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DD8F5" w14:textId="7EF97AA1" w:rsidR="00F84713" w:rsidRPr="0083765B" w:rsidRDefault="007D0118" w:rsidP="007D0118">
      <w:pPr>
        <w:pStyle w:val="Pagedecouverture"/>
        <w:rPr>
          <w:noProof/>
        </w:rPr>
      </w:pPr>
      <w:bookmarkStart w:id="0" w:name="LW_BM_COVERPAGE"/>
      <w:r>
        <w:rPr>
          <w:noProof/>
        </w:rPr>
        <w:pict w14:anchorId="65856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725415A-6611-4F8D-8DE5-AE5C88A39B1B" style="width:455.25pt;height:324pt">
            <v:imagedata r:id="rId11" o:title=""/>
          </v:shape>
        </w:pict>
      </w:r>
    </w:p>
    <w:bookmarkEnd w:id="0"/>
    <w:p w14:paraId="06109B4E" w14:textId="77777777" w:rsidR="00F84713" w:rsidRPr="0083765B" w:rsidRDefault="00F84713" w:rsidP="00F84713">
      <w:pPr>
        <w:rPr>
          <w:noProof/>
          <w:lang w:val="en-IE"/>
        </w:rPr>
        <w:sectPr w:rsidR="00F84713" w:rsidRPr="0083765B" w:rsidSect="007D0118">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417" w:bottom="1134" w:left="1417" w:header="709" w:footer="709" w:gutter="0"/>
          <w:pgNumType w:start="0"/>
          <w:cols w:space="720"/>
          <w:docGrid w:linePitch="326"/>
        </w:sectPr>
      </w:pPr>
    </w:p>
    <w:p w14:paraId="1AEC6DFA" w14:textId="7B43D38D" w:rsidR="003617CF" w:rsidRPr="003617CF" w:rsidRDefault="003617CF" w:rsidP="003617CF">
      <w:pPr>
        <w:pStyle w:val="Typedudocument"/>
        <w:rPr>
          <w:noProof/>
        </w:rPr>
      </w:pPr>
      <w:bookmarkStart w:id="1" w:name="_GoBack"/>
      <w:bookmarkEnd w:id="1"/>
      <w:r w:rsidRPr="003617CF">
        <w:rPr>
          <w:noProof/>
        </w:rPr>
        <w:lastRenderedPageBreak/>
        <w:t>COMMUNICATION DE LA COMMISSION AU PARLEMENT EUROPÉEN, AU CONSEIL, AU COMITÉ ÉCONOMIQUE ET SOCIAL EUROPÉEN ET AU COMITÉ DES RÉGIONS</w:t>
      </w:r>
    </w:p>
    <w:p w14:paraId="425A2C94" w14:textId="186D0329" w:rsidR="003617CF" w:rsidRPr="003617CF" w:rsidRDefault="003617CF" w:rsidP="003617CF">
      <w:pPr>
        <w:pStyle w:val="Titreobjet"/>
        <w:rPr>
          <w:noProof/>
        </w:rPr>
      </w:pPr>
      <w:r w:rsidRPr="003617CF">
        <w:rPr>
          <w:noProof/>
        </w:rPr>
        <w:t>Un plan d’action pour l’industrie chimique européenne</w:t>
      </w:r>
    </w:p>
    <w:p w14:paraId="489423C6" w14:textId="026A4809" w:rsidR="002E0995" w:rsidRPr="0083765B" w:rsidRDefault="002E0995" w:rsidP="002E0995">
      <w:pPr>
        <w:pStyle w:val="Heading1"/>
        <w:rPr>
          <w:noProof/>
        </w:rPr>
      </w:pPr>
      <w:r>
        <w:rPr>
          <w:noProof/>
        </w:rPr>
        <w:t>Introduction</w:t>
      </w:r>
    </w:p>
    <w:p w14:paraId="45125C0B" w14:textId="1F8F2397" w:rsidR="00FE0C01" w:rsidRPr="0083765B" w:rsidRDefault="472A4421" w:rsidP="002E0995">
      <w:pPr>
        <w:rPr>
          <w:noProof/>
          <w:color w:val="000000" w:themeColor="text1"/>
        </w:rPr>
      </w:pPr>
      <w:r>
        <w:rPr>
          <w:noProof/>
        </w:rPr>
        <w:t>L’industrie chimique est l’industrie des industries.</w:t>
      </w:r>
      <w:r>
        <w:rPr>
          <w:noProof/>
          <w:color w:val="000000" w:themeColor="text1"/>
        </w:rPr>
        <w:t xml:space="preserve"> </w:t>
      </w:r>
      <w:r>
        <w:rPr>
          <w:noProof/>
        </w:rPr>
        <w:t>En tant que quatrième industrie manufacturière de l’UE, elle contribue à plus de 96 % des produits manufacturés, ce qui en fait une pierre angulaire de la résilience industrielle et de la compétitivité de l’UE.</w:t>
      </w:r>
      <w:r>
        <w:rPr>
          <w:noProof/>
          <w:color w:val="000000" w:themeColor="text1"/>
        </w:rPr>
        <w:t xml:space="preserve"> </w:t>
      </w:r>
      <w:r>
        <w:rPr>
          <w:noProof/>
        </w:rPr>
        <w:t>Les produits chimiques sont essentiels pour un large éventail d’applications dans des secteurs stratégiques tels que la défense, les technologies propres et le numérique.</w:t>
      </w:r>
      <w:r>
        <w:rPr>
          <w:noProof/>
          <w:color w:val="000000" w:themeColor="text1"/>
        </w:rPr>
        <w:t xml:space="preserve"> L’Europe doit donc conserver une industrie chimique forte. Dans le même temps, l’industrie doit passer à un modèle d’économie propre et circulaire, en s’engageant sur la voie de l’innovation, en renforçant sa compétitivité au niveau mondial et en garantissant la protection de la santé humaine et de l’environnement. </w:t>
      </w:r>
    </w:p>
    <w:p w14:paraId="7BEBDF83" w14:textId="7F1EFDD6" w:rsidR="007731EB" w:rsidRPr="0083765B" w:rsidRDefault="00975607" w:rsidP="00D9009E">
      <w:pPr>
        <w:rPr>
          <w:noProof/>
          <w:color w:val="000000" w:themeColor="text1"/>
        </w:rPr>
      </w:pPr>
      <w:r>
        <w:rPr>
          <w:noProof/>
        </w:rPr>
        <w:t>Or, aujourd’hui, le secteur doit également faire face à d’importants défis qui menacent sa position concurrentielle et sa résilience.</w:t>
      </w:r>
      <w:r>
        <w:rPr>
          <w:noProof/>
          <w:color w:val="000000" w:themeColor="text1"/>
        </w:rPr>
        <w:t xml:space="preserve"> Sa part de marché mondiale a diminué de plus de 50 % depuis 2003, et d’autres régions, comme la Chine, sont devenues des acteurs de premier plan. </w:t>
      </w:r>
      <w:r>
        <w:rPr>
          <w:noProof/>
        </w:rPr>
        <w:t>Les prix élevés de l’énergie et des matières premières, les tensions géopolitiques et la faible demande du marché ont érodé la compétitivité des producteurs établis dans l’UE, entraînant une baisse des taux d’utilisation de la production.</w:t>
      </w:r>
      <w:r>
        <w:rPr>
          <w:noProof/>
          <w:color w:val="000000" w:themeColor="text1"/>
        </w:rPr>
        <w:t xml:space="preserve"> Ces deux dernières années ont vu la fermeture de plus d’une vingtaine de grands sites de production</w:t>
      </w:r>
      <w:r>
        <w:rPr>
          <w:rStyle w:val="FootnoteReference"/>
          <w:noProof/>
          <w:color w:val="000000" w:themeColor="text1"/>
          <w:lang w:val="en-US"/>
        </w:rPr>
        <w:footnoteReference w:id="2"/>
      </w:r>
      <w:r>
        <w:rPr>
          <w:noProof/>
          <w:color w:val="000000" w:themeColor="text1"/>
        </w:rPr>
        <w:t xml:space="preserve"> dans l’UE, notamment des vapocraqueurs et d’autres installations en amont utilisées pour produire des composants essentiels. </w:t>
      </w:r>
    </w:p>
    <w:p w14:paraId="0E882E9C" w14:textId="75D15D0E" w:rsidR="00E33613" w:rsidRPr="0083765B" w:rsidRDefault="472A4421" w:rsidP="00D9009E">
      <w:pPr>
        <w:rPr>
          <w:noProof/>
          <w:color w:val="000000" w:themeColor="text1"/>
        </w:rPr>
      </w:pPr>
      <w:r>
        <w:rPr>
          <w:noProof/>
          <w:color w:val="000000" w:themeColor="text1"/>
        </w:rPr>
        <w:t>Le présent plan d’action s’appuie sur la boussole pour la compétitivité</w:t>
      </w:r>
      <w:r>
        <w:rPr>
          <w:rStyle w:val="FootnoteReference"/>
          <w:noProof/>
          <w:color w:val="000000" w:themeColor="text1"/>
        </w:rPr>
        <w:footnoteReference w:id="3"/>
      </w:r>
      <w:r>
        <w:rPr>
          <w:noProof/>
          <w:color w:val="000000" w:themeColor="text1"/>
        </w:rPr>
        <w:t>, le pacte pour une industrie propre</w:t>
      </w:r>
      <w:r>
        <w:rPr>
          <w:rStyle w:val="FootnoteReference"/>
          <w:noProof/>
          <w:color w:val="000000" w:themeColor="text1"/>
        </w:rPr>
        <w:footnoteReference w:id="4"/>
      </w:r>
      <w:r>
        <w:rPr>
          <w:noProof/>
          <w:color w:val="000000" w:themeColor="text1"/>
        </w:rPr>
        <w:t xml:space="preserve"> et le dialogue stratégique avec l’industrie chimique, organisé par la présidente de la Commission, M</w:t>
      </w:r>
      <w:r>
        <w:rPr>
          <w:noProof/>
          <w:color w:val="000000" w:themeColor="text1"/>
          <w:vertAlign w:val="superscript"/>
        </w:rPr>
        <w:t>me</w:t>
      </w:r>
      <w:r>
        <w:rPr>
          <w:noProof/>
          <w:color w:val="000000" w:themeColor="text1"/>
        </w:rPr>
        <w:t xml:space="preserve"> von der Leyen, le 12 mai 2025. Il définit des mesures concrètes pour garantir la compétitivité mondiale de l’industrie européenne des produits chimiques, maintenir une base de production européenne solide et moderniser celle-ci grâce à des actions dans quatre domaines clés: 1) renforcer la résilience: </w:t>
      </w:r>
      <w:r>
        <w:rPr>
          <w:noProof/>
        </w:rPr>
        <w:t>maintenir une production critique dans l’UE et ouvrir de nouveaux marchés, et protéger l’industrie de l’Union; 2) sécuriser l’approvisionnement énergétique, soutenir la décarbonation et opérer une transition vers une économie propre et circulaire;</w:t>
      </w:r>
      <w:r>
        <w:rPr>
          <w:noProof/>
          <w:color w:val="000000" w:themeColor="text1"/>
        </w:rPr>
        <w:t xml:space="preserve"> 3) créer des marchés pilotes et promouvoir l’innovation; et 4) simplifier le cadre réglementaire. </w:t>
      </w:r>
    </w:p>
    <w:p w14:paraId="65743665" w14:textId="526FF383" w:rsidR="002E0995" w:rsidRPr="0083765B" w:rsidRDefault="00AF243E" w:rsidP="51D82B8F">
      <w:pPr>
        <w:spacing w:after="0"/>
        <w:rPr>
          <w:noProof/>
          <w:color w:val="000000" w:themeColor="text1"/>
        </w:rPr>
      </w:pPr>
      <w:r>
        <w:rPr>
          <w:noProof/>
        </w:rPr>
        <w:lastRenderedPageBreak/>
        <w:t>Le plan d’action s’accompagne d’une proposition législative omnibus sur les produits chimiques</w:t>
      </w:r>
      <w:r>
        <w:rPr>
          <w:rStyle w:val="FootnoteReference"/>
          <w:noProof/>
          <w:color w:val="000000" w:themeColor="text1"/>
        </w:rPr>
        <w:footnoteReference w:id="5"/>
      </w:r>
      <w:r>
        <w:rPr>
          <w:noProof/>
        </w:rPr>
        <w:t>, destiné à simplifier, par exemple, les exigences en matière d’étiquetage, ainsi que d’un acte délégué sur l’hydrogène bas carbone</w:t>
      </w:r>
      <w:r>
        <w:rPr>
          <w:rStyle w:val="FootnoteReference"/>
          <w:noProof/>
        </w:rPr>
        <w:footnoteReference w:id="6"/>
      </w:r>
      <w:r>
        <w:rPr>
          <w:noProof/>
        </w:rPr>
        <w:t>.</w:t>
      </w:r>
      <w:r>
        <w:rPr>
          <w:noProof/>
          <w:color w:val="000000" w:themeColor="text1"/>
        </w:rPr>
        <w:t xml:space="preserve"> </w:t>
      </w:r>
      <w:r>
        <w:rPr>
          <w:noProof/>
        </w:rPr>
        <w:t>Il est complété par une proposition de règlement de base de l’Agence européenne des produits chimiques (ECHA)</w:t>
      </w:r>
      <w:r>
        <w:rPr>
          <w:rStyle w:val="FootnoteReference"/>
          <w:noProof/>
          <w:color w:val="000000" w:themeColor="text1"/>
        </w:rPr>
        <w:footnoteReference w:id="7"/>
      </w:r>
      <w:r>
        <w:rPr>
          <w:noProof/>
        </w:rPr>
        <w:t>, qui simplifie encore la gouvernance du cadre réglementaire des produits chimiques.</w:t>
      </w:r>
      <w:r>
        <w:rPr>
          <w:noProof/>
          <w:color w:val="000000" w:themeColor="text1"/>
        </w:rPr>
        <w:t xml:space="preserve"> </w:t>
      </w:r>
    </w:p>
    <w:p w14:paraId="1130F761" w14:textId="7A4FD5A9" w:rsidR="00C21C0D" w:rsidRPr="0083765B" w:rsidRDefault="00C21C0D" w:rsidP="002E0995">
      <w:pPr>
        <w:pStyle w:val="Heading1"/>
        <w:rPr>
          <w:noProof/>
        </w:rPr>
      </w:pPr>
      <w:r>
        <w:rPr>
          <w:noProof/>
        </w:rPr>
        <w:t xml:space="preserve">Renforcer la résilience </w:t>
      </w:r>
    </w:p>
    <w:p w14:paraId="02F0805E" w14:textId="1D29CF4B" w:rsidR="00C21C0D" w:rsidRPr="0083765B" w:rsidRDefault="00C21C0D" w:rsidP="00AB4A35">
      <w:pPr>
        <w:pStyle w:val="Heading2"/>
        <w:rPr>
          <w:noProof/>
        </w:rPr>
      </w:pPr>
      <w:r>
        <w:rPr>
          <w:noProof/>
        </w:rPr>
        <w:t>Maintenir une production critique dans l’UE</w:t>
      </w:r>
    </w:p>
    <w:p w14:paraId="5288FE8D" w14:textId="2E76A417" w:rsidR="00C21C0D" w:rsidRPr="0083765B" w:rsidRDefault="004B075F" w:rsidP="71B70B85">
      <w:pPr>
        <w:rPr>
          <w:noProof/>
        </w:rPr>
      </w:pPr>
      <w:bookmarkStart w:id="2" w:name="_Hlk202339691"/>
      <w:r>
        <w:rPr>
          <w:noProof/>
        </w:rPr>
        <w:t>L’UE doit maintenir et améliorer sa capacité de production chimique de base, afin de renforcer sa compétitivité et de préserver sa résilience. Ses principales composantes, tels que la pétrochimie, l’ammoniac et le chlore, constituent la base de nombreuses chaînes de valeur, depuis les produits pharmaceutiques jusqu’aux batteries. Or, l’UE a perdu au moins 8 à 10 % de sa capacité de craquage au cours des trois dernières années, la perspective de nouvelles fermetures potentielles portant le total des pertes à plus de 20 % de la capacité de 2021. La plupart des craqueurs de l’UE, concentrés dans quelques régions et souvent intégrés à des raffineries de pétrole, sont obsolètes, fortement dépendants du naphta comme matière première et moins efficaces que leurs concurrents mondiaux</w:t>
      </w:r>
      <w:r>
        <w:rPr>
          <w:rStyle w:val="FootnoteReference"/>
          <w:noProof/>
        </w:rPr>
        <w:footnoteReference w:id="8"/>
      </w:r>
      <w:r>
        <w:rPr>
          <w:noProof/>
        </w:rPr>
        <w:t xml:space="preserve">. </w:t>
      </w:r>
    </w:p>
    <w:p w14:paraId="6C9A433C" w14:textId="3FF5B9B7" w:rsidR="00C21C0D" w:rsidRPr="0083765B" w:rsidRDefault="1672B049" w:rsidP="71B70B85">
      <w:pPr>
        <w:rPr>
          <w:noProof/>
        </w:rPr>
      </w:pPr>
      <w:r>
        <w:rPr>
          <w:noProof/>
        </w:rPr>
        <w:t>Ces faiblesses structurelles ne se limitent pas aux fours de vapocraquage. De nombreuses fermetures ont également été opérées dans d’autres productions critiques</w:t>
      </w:r>
      <w:r>
        <w:rPr>
          <w:rStyle w:val="FootnoteReference"/>
          <w:noProof/>
        </w:rPr>
        <w:footnoteReference w:id="9"/>
      </w:r>
      <w:r>
        <w:rPr>
          <w:noProof/>
        </w:rPr>
        <w:t>, ce qui a eu des répercussions sur l’ensemble de l’écosystème chimique. Non seulement elles ont affecté des secteurs tels que ceux des matières plastiques, des polymères et des produits chimiques destinés aux consommateurs et aux spécialités, mais elles menacent jusqu’à 200 000 emplois directs</w:t>
      </w:r>
      <w:r>
        <w:rPr>
          <w:rStyle w:val="FootnoteReference"/>
          <w:noProof/>
        </w:rPr>
        <w:footnoteReference w:id="10"/>
      </w:r>
      <w:r>
        <w:rPr>
          <w:noProof/>
        </w:rPr>
        <w:t>.</w:t>
      </w:r>
    </w:p>
    <w:p w14:paraId="1F2FD271" w14:textId="7BFF0076" w:rsidR="00B51458" w:rsidRPr="0083765B" w:rsidRDefault="00CF481C" w:rsidP="003D050A">
      <w:pPr>
        <w:rPr>
          <w:rFonts w:eastAsiaTheme="minorEastAsia"/>
          <w:noProof/>
          <w:color w:val="000000" w:themeColor="text1"/>
        </w:rPr>
      </w:pPr>
      <w:r>
        <w:rPr>
          <w:noProof/>
        </w:rPr>
        <w:t>Afin de préserver et de moderniser les capacités de production stratégiques et les chaînes de valeur, de décarboner le secteur, de réduire les dépendances</w:t>
      </w:r>
      <w:r>
        <w:rPr>
          <w:rStyle w:val="FootnoteReference"/>
          <w:noProof/>
        </w:rPr>
        <w:footnoteReference w:id="11"/>
      </w:r>
      <w:r>
        <w:rPr>
          <w:noProof/>
        </w:rPr>
        <w:t xml:space="preserve"> et d’attirer les compétences appropriées, la Commission mettra en place une </w:t>
      </w:r>
      <w:r>
        <w:rPr>
          <w:b/>
          <w:noProof/>
        </w:rPr>
        <w:t>alliance pour les produits chimiques critiques</w:t>
      </w:r>
      <w:r>
        <w:rPr>
          <w:rStyle w:val="FootnoteReference"/>
          <w:noProof/>
        </w:rPr>
        <w:footnoteReference w:id="12"/>
      </w:r>
      <w:r>
        <w:rPr>
          <w:noProof/>
        </w:rPr>
        <w:t>. Cette alliance servira de cadre stratégique permettant la coopération avec les États membres et les parties prenantes, de façon à pouvoir cartographier et gérer les risques de fermetures de capacités de production dans le secteur. L’alliance facilitera également les discussions sur les principaux défis commerciaux, tels que les distorsions des conditions de concurrence au niveau mondial, les dépendances de la chaîne d’approvisionnement et les questions relatives aux droits de propriété intellectuelle, en aidant l’industrie et la Commission à détecter à un stade précoce les importations massives potentiellement préjudiciables.</w:t>
      </w:r>
      <w:r>
        <w:rPr>
          <w:noProof/>
          <w:color w:val="000000" w:themeColor="text1"/>
        </w:rPr>
        <w:t xml:space="preserve"> </w:t>
      </w:r>
      <w:r>
        <w:rPr>
          <w:noProof/>
        </w:rPr>
        <w:t>Ces travaux s’appuieront sur le parcours de transition pour l’industrie chimique.</w:t>
      </w:r>
    </w:p>
    <w:p w14:paraId="36BF18CE" w14:textId="00C19BD1" w:rsidR="00C72A63" w:rsidRPr="0083765B" w:rsidRDefault="008D399B" w:rsidP="71B70B85">
      <w:pPr>
        <w:rPr>
          <w:noProof/>
        </w:rPr>
      </w:pPr>
      <w:r>
        <w:rPr>
          <w:noProof/>
        </w:rPr>
        <w:t xml:space="preserve">L’alliance contribuera à l’élaboration de </w:t>
      </w:r>
      <w:r>
        <w:rPr>
          <w:b/>
          <w:noProof/>
        </w:rPr>
        <w:t>critères permettant d’identifier les sites et molécules chimiques</w:t>
      </w:r>
      <w:r>
        <w:rPr>
          <w:noProof/>
        </w:rPr>
        <w:t xml:space="preserve"> essentiels pour la réalisation des objectifs stratégiques de l’UE. Ceux-ci devraient refléter leur importance pour les secteurs stratégiques en aval, ainsi que le niveau des dépendances commerciales de l’UE. En s’appuyant sur l’expérience des autres industries stratégiques, telles que celle des matières premières ou l’industrie «zéro net»</w:t>
      </w:r>
      <w:bookmarkStart w:id="3" w:name="_Hlk202346182"/>
      <w:r>
        <w:rPr>
          <w:noProof/>
        </w:rPr>
        <w:t xml:space="preserve">, elle pourrait également explorer de nouveaux facteurs de résilience pertinents pour le secteur des produits chimiques, comme les sites de production de réplication rares ou limités essentiels pour les chaînes de valeur de l’Union. </w:t>
      </w:r>
    </w:p>
    <w:p w14:paraId="0B2D0209" w14:textId="283815F1" w:rsidR="00FC6EFF" w:rsidRPr="0083765B" w:rsidRDefault="00FC6EFF" w:rsidP="0019734F">
      <w:pPr>
        <w:rPr>
          <w:noProof/>
        </w:rPr>
      </w:pPr>
      <w:r>
        <w:rPr>
          <w:noProof/>
        </w:rPr>
        <w:t xml:space="preserve">Sur la base de ces critères, l’alliance contribuera à la </w:t>
      </w:r>
      <w:r>
        <w:rPr>
          <w:b/>
          <w:noProof/>
        </w:rPr>
        <w:t>cartographie des molécules critiques</w:t>
      </w:r>
      <w:r>
        <w:rPr>
          <w:noProof/>
        </w:rPr>
        <w:t>, telles que celles qui sont essentielles pour les chaînes de valeur stratégiques et qui sont tributaires d’un seul pays tiers ou d’un petit nombre de fournisseurs</w:t>
      </w:r>
      <w:r>
        <w:rPr>
          <w:rStyle w:val="FootnoteReference"/>
          <w:noProof/>
        </w:rPr>
        <w:footnoteReference w:id="13"/>
      </w:r>
      <w:r>
        <w:rPr>
          <w:noProof/>
        </w:rPr>
        <w:t xml:space="preserve">. Ces molécules bénéficieraient par la suite d’une surveillance renforcée dans le cadre du système de surveillance douanière et pourraient être à la base d’une éventuelle proposition législative. </w:t>
      </w:r>
    </w:p>
    <w:bookmarkEnd w:id="3"/>
    <w:p w14:paraId="6222EF95" w14:textId="30EE32A7" w:rsidR="007D393F" w:rsidRPr="0083765B" w:rsidRDefault="00422CD2" w:rsidP="0019734F">
      <w:pPr>
        <w:rPr>
          <w:noProof/>
          <w:color w:val="000000" w:themeColor="text1"/>
        </w:rPr>
      </w:pPr>
      <w:r>
        <w:rPr>
          <w:noProof/>
        </w:rPr>
        <w:t>L’alliance aidera également l’UE et les États membres à aligner les priorités d’investissement et guidera la coordination des mécanismes de soutien de l’UE avec les projets nationaux, y compris les projets importants d’intérêt européen commun (PIIEC).</w:t>
      </w:r>
      <w:r>
        <w:rPr>
          <w:noProof/>
          <w:color w:val="000000" w:themeColor="text1"/>
        </w:rPr>
        <w:t xml:space="preserve"> Deux PIIEC potentiels pourraient bénéficier au secteur des produits chimiques. Premièrement, le forum européen conjoint pour les PIIEC (JEF-PIIEC) examine la chaîne de valeur des biotechnologies afin de déterminer les projets possibles. Deuxièmement, le forum a approuvé un projet sur les matériaux avancés circulaires, dont la conception est actuellement en cours. </w:t>
      </w:r>
      <w:bookmarkStart w:id="4" w:name="_Hlk202004804"/>
      <w:r>
        <w:rPr>
          <w:noProof/>
        </w:rPr>
        <w:t>Les États membres peuvent élaborer des mesures d’aide visant à soutenir les PIIEC en faveur de technologies essentielles à la transition propre ou de projets d’infrastructure importants. La concrétisation d’un PIIEC dépendra de la capacité budgétaire des États membres participants.</w:t>
      </w:r>
    </w:p>
    <w:bookmarkEnd w:id="4"/>
    <w:p w14:paraId="217D2F7C" w14:textId="2B4E1936" w:rsidR="0019734F" w:rsidRPr="0083765B" w:rsidRDefault="71E7634E" w:rsidP="5FAC0456">
      <w:pPr>
        <w:rPr>
          <w:rFonts w:eastAsiaTheme="minorEastAsia"/>
          <w:noProof/>
        </w:rPr>
      </w:pPr>
      <w:r>
        <w:rPr>
          <w:noProof/>
        </w:rPr>
        <w:t xml:space="preserve">Troisièmement, la Commission aidera les États membres et les régions à désigner les </w:t>
      </w:r>
      <w:r>
        <w:rPr>
          <w:b/>
          <w:noProof/>
        </w:rPr>
        <w:t>sites chimiques critiques de l’UE</w:t>
      </w:r>
      <w:r>
        <w:rPr>
          <w:noProof/>
        </w:rPr>
        <w:t xml:space="preserve">. Ils s’appuieraient sur les pôles et plateformes industriels existants, tels que le réseau européen des régions de la chimie. Ces écosystèmes industriels locaux ont un rôle crucial à jouer dans le maintien de chaînes de valeur résilientes dans des secteurs tels que ceux des technologies propres, de l’aérospatial, de la défense ou de la santé; secteurs qui nécessitent une base de production souple et modernisée. </w:t>
      </w:r>
    </w:p>
    <w:p w14:paraId="1D0ADFD5" w14:textId="3D1A0F75" w:rsidR="00C21C0D" w:rsidRPr="003A0EDD" w:rsidRDefault="003D050A" w:rsidP="7BBD0331">
      <w:pPr>
        <w:rPr>
          <w:noProof/>
        </w:rPr>
      </w:pPr>
      <w:r>
        <w:rPr>
          <w:noProof/>
        </w:rPr>
        <w:t xml:space="preserve">Nombre de ces sites nécessitent des investissements, en vue de leur modernisation, de leur dépollution et de leur décarbonation, ainsi que d’un renforcement de la compétitivité. Un soutien ciblé devrait être mis à disposition pour moderniser les sites menacés de fermeture et faciliter leur transition écologique, conformément aux règles en matière d’aides d’État, le cas échéant. </w:t>
      </w:r>
    </w:p>
    <w:p w14:paraId="71DBDA6D" w14:textId="1FFC0590" w:rsidR="06648BEC" w:rsidRPr="0083765B" w:rsidRDefault="74E9005B" w:rsidP="06648BEC">
      <w:pPr>
        <w:rPr>
          <w:noProof/>
        </w:rPr>
      </w:pPr>
      <w:r>
        <w:rPr>
          <w:noProof/>
        </w:rPr>
        <w:t>Il existe environ 150 parcs chimiques à travers l’UE. Ils implantent une activité industrielle, créent des emplois et établissent des centres d’excellence et d’innovation. La Commission contribuera à préserver et à soutenir le développement de ces écosystèmes par la modernisation et la décarbonation, en utilisant les fonds de cohésion, conformément au cadre juridique actuel et suivant la proposition de communication sur une politique de cohésion modernisée</w:t>
      </w:r>
      <w:r>
        <w:rPr>
          <w:rStyle w:val="FootnoteReference"/>
          <w:noProof/>
        </w:rPr>
        <w:footnoteReference w:id="14"/>
      </w:r>
      <w:r>
        <w:rPr>
          <w:noProof/>
        </w:rPr>
        <w:t>. Elle s’appuiera sur l’expérience acquise dans le cadre du Fonds pour une transition juste en ce qui concerne la décarbonation, le perfectionnement, la reconversion et le renforcement des capacités, du Fonds pour l’innovation et d’InvestEU. Actuellement, la Commission soutient déjà la décarbonation de l’industrie chimique par l’intermédiaire du Fonds pour une transition juste et du processus de transition juste.</w:t>
      </w:r>
    </w:p>
    <w:p w14:paraId="1BD78F8F" w14:textId="18B3068A" w:rsidR="00C21C0D" w:rsidRPr="0083765B" w:rsidRDefault="00FC6EFF" w:rsidP="00C21C0D">
      <w:pPr>
        <w:rPr>
          <w:noProof/>
        </w:rPr>
      </w:pPr>
      <w:r>
        <w:rPr>
          <w:noProof/>
        </w:rPr>
        <w:t>Les investissements pourraient être soutenus par la mise en place conjointe de plans régionaux pour les sites chimiques critiques de l’UE, qui réuniraient l’industrie, le monde universitaire, des start-ups (jeunes pousses) et les autorités régionales. Une telle initiative devrait permettre d’assurer une meilleure adéquation entre les besoins locaux et les ressources, infrastructures et instruments disponibles, et aux entreprises innovantes et aux start-ups d’apporter de nouvelles solutions pour moderniser les processus de production critiques, accélérer la décarbonation, la numérisation et la circularité, ainsi que pour promouvoir des produits chimiques plus sûrs et plus durables. Ce travail préparatoire collaboratif peut contribuer à améliorer la mise en relation avec les instruments de financement de l’UE. À cet égard, la Commission pourrait informer les États membres des possibilités de financement pertinentes et réduire le risque que les projets prometteurs passent à travers les mailles du filet en raison de la complexité administrative ou de la fragmentation du soutien.</w:t>
      </w:r>
    </w:p>
    <w:p w14:paraId="17F9AE88" w14:textId="0075B934" w:rsidR="00E51286" w:rsidRPr="0083765B" w:rsidRDefault="00E51286" w:rsidP="00E51286">
      <w:pPr>
        <w:rPr>
          <w:noProof/>
        </w:rPr>
      </w:pPr>
      <w:r>
        <w:rPr>
          <w:noProof/>
        </w:rPr>
        <w:t>Cette initiative permettra également d’apporter un soutien administratif à d’autres mesures telles que le renforcement de la collaboration entre la recherche et l’industrie, la promotion de l’innovation, le soutien aux PME et le perfectionnement et la reconversion de la main-d’œuvre locale</w:t>
      </w:r>
      <w:r>
        <w:rPr>
          <w:rStyle w:val="FootnoteReference"/>
          <w:noProof/>
        </w:rPr>
        <w:footnoteReference w:id="15"/>
      </w:r>
      <w:r>
        <w:rPr>
          <w:noProof/>
        </w:rPr>
        <w:t>.</w:t>
      </w:r>
    </w:p>
    <w:bookmarkEnd w:id="2"/>
    <w:p w14:paraId="55DF8773" w14:textId="6787FB7A" w:rsidR="005F5081" w:rsidRPr="0083765B" w:rsidRDefault="00EF6DF4" w:rsidP="00C21C0D">
      <w:pPr>
        <w:rPr>
          <w:noProof/>
        </w:rPr>
      </w:pPr>
      <w:r>
        <w:rPr>
          <w:noProof/>
        </w:rPr>
        <w:t xml:space="preserve">La mise en œuvre du plan d’action actuel s’appuiera également sur l’outil de coordination de la compétitivité, tel qu’il est présenté dans la boussole pour la compétitivité, afin de réduire les dépendances du secteur à l’égard de facteurs externes et de soutenir sa transition vers un avenir plus durable et plus compétitif. </w:t>
      </w:r>
    </w:p>
    <w:p w14:paraId="59AB7063" w14:textId="13CA3D71" w:rsidR="00906468" w:rsidRPr="0083765B" w:rsidRDefault="19D1FCF4" w:rsidP="7B2168E8">
      <w:pPr>
        <w:pBdr>
          <w:top w:val="single" w:sz="4" w:space="1" w:color="auto"/>
          <w:left w:val="single" w:sz="4" w:space="4" w:color="auto"/>
          <w:bottom w:val="single" w:sz="4" w:space="1" w:color="auto"/>
          <w:right w:val="single" w:sz="4" w:space="4" w:color="auto"/>
        </w:pBdr>
        <w:rPr>
          <w:b/>
          <w:bCs/>
          <w:noProof/>
          <w:szCs w:val="24"/>
        </w:rPr>
      </w:pPr>
      <w:r>
        <w:rPr>
          <w:b/>
          <w:noProof/>
          <w:sz w:val="22"/>
        </w:rPr>
        <w:t>La Commission:</w:t>
      </w:r>
    </w:p>
    <w:p w14:paraId="30238943" w14:textId="195821F0" w:rsidR="0077415F" w:rsidRPr="0083765B" w:rsidRDefault="00781E4E" w:rsidP="5FAC0456">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mettra en place une alliance pour les produits chimiques critiques à l’échelon de l’UE, qui fera office de structure faîtière stratégique pour la coopération avec les États membres et les parties prenantes afin de gérer les risques de fermeture des capacités de production dans le secteur et de discuter des principaux défis commerciaux (T4 2025).</w:t>
      </w:r>
    </w:p>
    <w:p w14:paraId="0FBA44AF" w14:textId="77777777" w:rsidR="0077415F" w:rsidRPr="0083765B" w:rsidRDefault="0077415F" w:rsidP="0077415F">
      <w:pPr>
        <w:pBdr>
          <w:top w:val="single" w:sz="4" w:space="1" w:color="auto"/>
          <w:left w:val="single" w:sz="4" w:space="4" w:color="auto"/>
          <w:bottom w:val="single" w:sz="4" w:space="1" w:color="auto"/>
          <w:right w:val="single" w:sz="4" w:space="4" w:color="auto"/>
        </w:pBdr>
        <w:spacing w:after="0"/>
        <w:rPr>
          <w:noProof/>
          <w:color w:val="000000" w:themeColor="text1"/>
          <w:szCs w:val="24"/>
        </w:rPr>
      </w:pPr>
    </w:p>
    <w:p w14:paraId="0FF8132C" w14:textId="0E421FA8" w:rsidR="00372AAE" w:rsidRPr="0083765B" w:rsidRDefault="0077415F" w:rsidP="0077415F">
      <w:pPr>
        <w:pBdr>
          <w:top w:val="single" w:sz="4" w:space="1" w:color="auto"/>
          <w:left w:val="single" w:sz="4" w:space="4" w:color="auto"/>
          <w:bottom w:val="single" w:sz="4" w:space="1" w:color="auto"/>
          <w:right w:val="single" w:sz="4" w:space="4" w:color="auto"/>
        </w:pBdr>
        <w:spacing w:after="0"/>
        <w:rPr>
          <w:b/>
          <w:noProof/>
          <w:color w:val="000000" w:themeColor="text1"/>
          <w:szCs w:val="24"/>
        </w:rPr>
      </w:pPr>
      <w:r>
        <w:rPr>
          <w:b/>
          <w:noProof/>
          <w:color w:val="000000" w:themeColor="text1"/>
        </w:rPr>
        <w:t xml:space="preserve">L’alliance: </w:t>
      </w:r>
    </w:p>
    <w:p w14:paraId="29134938" w14:textId="77777777" w:rsidR="005D1597" w:rsidRPr="0083765B" w:rsidRDefault="005D1597" w:rsidP="0077415F">
      <w:pPr>
        <w:pBdr>
          <w:top w:val="single" w:sz="4" w:space="1" w:color="auto"/>
          <w:left w:val="single" w:sz="4" w:space="4" w:color="auto"/>
          <w:bottom w:val="single" w:sz="4" w:space="1" w:color="auto"/>
          <w:right w:val="single" w:sz="4" w:space="4" w:color="auto"/>
        </w:pBdr>
        <w:spacing w:after="0"/>
        <w:rPr>
          <w:b/>
          <w:noProof/>
          <w:color w:val="000000" w:themeColor="text1"/>
          <w:szCs w:val="24"/>
        </w:rPr>
      </w:pPr>
    </w:p>
    <w:p w14:paraId="24E72A69" w14:textId="1EC39498" w:rsidR="0077415F" w:rsidRPr="0083765B" w:rsidRDefault="002D0A64" w:rsidP="0077415F">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mettra en place un soutien pour aider les États membres et les parties prenantes à élaborer des critères permettant d’identifier les sites de production et les molécules critiques dans l’UE (T4 2025); </w:t>
      </w:r>
    </w:p>
    <w:p w14:paraId="6106F2AB" w14:textId="4F227923" w:rsidR="00906468" w:rsidRPr="0083765B" w:rsidRDefault="002D0A64" w:rsidP="57943523">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sz w:val="24"/>
        </w:rPr>
        <w:t>assistera les États membres et les parties prenantes pour la cartographie des molécules critiques, qui servira de base à une surveillance renforcée dans le cadre du système de surveillance douanière, à la diversification de l’approvisionnement, ainsi qu’à une éventuelle proposition législative sur les molécules critiques (2026);</w:t>
      </w:r>
      <w:r>
        <w:rPr>
          <w:rFonts w:ascii="Times New Roman" w:hAnsi="Times New Roman"/>
          <w:noProof/>
          <w:color w:val="000000" w:themeColor="text1"/>
          <w:sz w:val="24"/>
        </w:rPr>
        <w:t xml:space="preserve"> </w:t>
      </w:r>
    </w:p>
    <w:p w14:paraId="3DDA6164" w14:textId="7C79F474" w:rsidR="00C21C0D" w:rsidRPr="0083765B" w:rsidRDefault="1672B049" w:rsidP="00336AE9">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aidera les États membres et les régions à mettre en place des sites européens de produits chimiques critiques, afin de faciliter les investissements et l’innovation, d’améliorer l’accès au financement et de contribuer à la modernisation des capacités de production critiques (2026).</w:t>
      </w:r>
    </w:p>
    <w:p w14:paraId="7AC0D7D6" w14:textId="77777777" w:rsidR="00C21C0D" w:rsidRPr="0083765B" w:rsidRDefault="00C21C0D" w:rsidP="00C21C0D">
      <w:pPr>
        <w:pStyle w:val="ListParagraph"/>
        <w:rPr>
          <w:rFonts w:ascii="Times New Roman" w:hAnsi="Times New Roman" w:cs="Times New Roman"/>
          <w:noProof/>
          <w:sz w:val="24"/>
          <w:szCs w:val="24"/>
        </w:rPr>
      </w:pPr>
    </w:p>
    <w:p w14:paraId="472E24A6" w14:textId="4B2C62CA" w:rsidR="00C21C0D" w:rsidRPr="0083765B" w:rsidRDefault="00C21C0D" w:rsidP="00AB4A35">
      <w:pPr>
        <w:pStyle w:val="Heading2"/>
        <w:rPr>
          <w:noProof/>
        </w:rPr>
      </w:pPr>
      <w:r>
        <w:rPr>
          <w:noProof/>
        </w:rPr>
        <w:t xml:space="preserve">Commerce international: ouvrir de nouveaux marchés et protéger l’industrie de l’UE </w:t>
      </w:r>
    </w:p>
    <w:p w14:paraId="5040D676" w14:textId="01E91AF0" w:rsidR="00C21C0D" w:rsidRPr="0083765B" w:rsidRDefault="00D90017" w:rsidP="00C21C0D">
      <w:pPr>
        <w:pStyle w:val="Text1"/>
        <w:spacing w:line="257" w:lineRule="auto"/>
        <w:ind w:left="0"/>
        <w:rPr>
          <w:noProof/>
          <w:color w:val="000000" w:themeColor="text1"/>
        </w:rPr>
      </w:pPr>
      <w:r>
        <w:rPr>
          <w:noProof/>
          <w:color w:val="000000" w:themeColor="text1"/>
        </w:rPr>
        <w:t>L’industrie chimique européenne est un exportateur de premier plan et un contributeur essentiel à la balance commerciale de l’Europe. En 2023, la valeur des exportations de produits chimiques en provenance de l’UE, à l’exclusion des produits pharmaceutiques et des médicaments, a atteint 285 milliards d’EUR, contre 241 milliards d’EUR pour les importations. Son excédent commercial est principalement attribué aux segments en aval (produits chimiques destinés aux consommateurs et aux spécialités), aux polymères et aux intermédiaires chimiques, tandis que son déficit commercial dans les segments en amont reflète la dépendance de l’UE à l’égard des sources d’énergie et de matières premières importées (énergie fossile et matières premières, matières premières biosourcées) utilisées pour produire d’autres produits chimiques.</w:t>
      </w:r>
    </w:p>
    <w:p w14:paraId="330B5B43" w14:textId="1B520B03" w:rsidR="002211B1" w:rsidRPr="0083765B" w:rsidRDefault="005D53D1" w:rsidP="000424BA">
      <w:pPr>
        <w:rPr>
          <w:noProof/>
        </w:rPr>
      </w:pPr>
      <w:r>
        <w:rPr>
          <w:noProof/>
          <w:color w:val="000000" w:themeColor="text1"/>
        </w:rPr>
        <w:t xml:space="preserve">Pour que l’industrie retrouve sa compétitivité au sein de l’UE et au niveau international, il est essentiel qu’elle ait accès aux marchés étrangers, d’exportation et d’importation, et que les conditions de concurrence soient plus équitables, par exemple dans le domaine de la protection de la propriété intellectuelle. Pour y parvenir, l’UE prendra les mesures sectorielles décrites ci-dessous. </w:t>
      </w:r>
    </w:p>
    <w:p w14:paraId="09E1E4A5" w14:textId="4C9C6BC9" w:rsidR="00E43704" w:rsidRPr="0083765B" w:rsidRDefault="00E43704" w:rsidP="00AB4A35">
      <w:pPr>
        <w:pStyle w:val="Text1"/>
        <w:spacing w:line="257" w:lineRule="auto"/>
        <w:ind w:left="0"/>
        <w:rPr>
          <w:noProof/>
          <w:color w:val="000000" w:themeColor="text1"/>
        </w:rPr>
      </w:pPr>
      <w:r>
        <w:rPr>
          <w:i/>
          <w:noProof/>
        </w:rPr>
        <w:t xml:space="preserve">Garantir l’accès aux marchés d’exportation </w:t>
      </w:r>
    </w:p>
    <w:p w14:paraId="3A0D3488" w14:textId="5F9691A8" w:rsidR="00E43704" w:rsidRPr="0083765B" w:rsidRDefault="00E43704" w:rsidP="00D9009E">
      <w:pPr>
        <w:rPr>
          <w:noProof/>
          <w:color w:val="000000" w:themeColor="text1"/>
        </w:rPr>
      </w:pPr>
      <w:r>
        <w:rPr>
          <w:noProof/>
        </w:rPr>
        <w:t>La Commission continuera d’étendre le réseau d’accords de libre-échange de l’UE afin de réduire les obstacles au commerce et d’évaluer les aspects pertinents des accords commerciaux existants en vue de promouvoir le commerce des produits chimiques, notamment en garantissant l’accès aux matières premières essentielles pour l’industrie chimique.</w:t>
      </w:r>
    </w:p>
    <w:p w14:paraId="27A50DCA" w14:textId="068BF6B2" w:rsidR="00E43704" w:rsidRPr="0083765B" w:rsidRDefault="00E43704" w:rsidP="00D9009E">
      <w:pPr>
        <w:rPr>
          <w:noProof/>
          <w:color w:val="000000" w:themeColor="text1"/>
        </w:rPr>
      </w:pPr>
      <w:r>
        <w:rPr>
          <w:noProof/>
          <w:color w:val="000000" w:themeColor="text1"/>
        </w:rPr>
        <w:t xml:space="preserve">La Commission s’efforcera, en coopération avec les parties prenantes, de soutenir l’industrie des produits chimiques par d’autres formes d’accords, lorsque les accords de libre-échange ne sont pas possibles dans les conditions actuelles, de faciliter l’accès au marché et de promouvoir les échanges par d’autres formes d’engagements sur mesure avec nos partenaires. </w:t>
      </w:r>
      <w:r>
        <w:rPr>
          <w:noProof/>
        </w:rPr>
        <w:t>Il pourrait s’agir d’accords sectoriels de coopération réglementaire, visant à réduire les obstacles inutiles afin de simplifier les échanges de produits chimiques, ainsi que de partenariats stratégiques pour les matières premières critiques ou de partenariats pour des échanges et des investissements propres (PEIP), afin d’assurer la diversification de la chaîne d’approvisionnement pour les intrants essentiels de matières premières critiques.</w:t>
      </w:r>
      <w:r>
        <w:rPr>
          <w:noProof/>
          <w:color w:val="000000" w:themeColor="text1"/>
        </w:rPr>
        <w:t xml:space="preserve"> </w:t>
      </w:r>
    </w:p>
    <w:p w14:paraId="627044C2" w14:textId="77777777" w:rsidR="00C21C0D" w:rsidRPr="0083765B" w:rsidRDefault="00C21C0D" w:rsidP="00AB4A35">
      <w:pPr>
        <w:pStyle w:val="Text1"/>
        <w:spacing w:line="257" w:lineRule="auto"/>
        <w:ind w:left="0"/>
        <w:rPr>
          <w:bCs/>
          <w:i/>
          <w:iCs/>
          <w:noProof/>
        </w:rPr>
      </w:pPr>
      <w:r>
        <w:rPr>
          <w:i/>
          <w:noProof/>
        </w:rPr>
        <w:t xml:space="preserve">Défense commerciale </w:t>
      </w:r>
    </w:p>
    <w:p w14:paraId="08EC567D" w14:textId="55CB7E19" w:rsidR="00E43704" w:rsidRPr="0083765B" w:rsidRDefault="006C7BC1" w:rsidP="00D9009E">
      <w:pPr>
        <w:rPr>
          <w:noProof/>
        </w:rPr>
      </w:pPr>
      <w:r>
        <w:rPr>
          <w:noProof/>
        </w:rPr>
        <w:t xml:space="preserve">Si nécessaire, la Commission continuera de faire un usage rapide et efficace des instruments de défense commerciale, tels que les mesures antidumping, antisubventions ou de sauvegarde. Ces instruments devraient protéger nos industries de la concurrence déloyale au niveau mondial et éviter que notre marché serve de destination d’exportation pour les flux commerciaux détournés et les capacités excédentaires mondiales induites par les États. </w:t>
      </w:r>
    </w:p>
    <w:p w14:paraId="670ADFDC" w14:textId="2BCFBD5E" w:rsidR="00C21C0D" w:rsidRPr="0083765B" w:rsidRDefault="00E61C6F" w:rsidP="00D9009E">
      <w:pPr>
        <w:rPr>
          <w:noProof/>
        </w:rPr>
      </w:pPr>
      <w:r>
        <w:rPr>
          <w:noProof/>
        </w:rPr>
        <w:t>Entre le 1</w:t>
      </w:r>
      <w:r>
        <w:rPr>
          <w:noProof/>
          <w:vertAlign w:val="superscript"/>
        </w:rPr>
        <w:t>er</w:t>
      </w:r>
      <w:r>
        <w:rPr>
          <w:noProof/>
        </w:rPr>
        <w:t> janvier 2024 et le 30 juin 2025, la Commission a ouvert 18 enquêtes de défense commerciale sur des importations de produits chimiques en provenance de pays tiers. En outre, au 30 juin 2025, 46 mesures concernant des produits chimiques étaient en vigueur. La majorité de ces affaires concernent des importations en provenance de Chine, probablement dues à une accumulation massive de surcapacités. Alors que l’industrie de l’Union faisait face à une hausse des coûts, les producteurs chinois ont fortement baissé leurs prix. Cette baisse des prix est totalement déconnectée des tendances du marché mondial des matières premières, ce qui indique l’existence de pratiques de dumping.</w:t>
      </w:r>
    </w:p>
    <w:p w14:paraId="32ED3FFA" w14:textId="2E5EB9F1" w:rsidR="00BA7E99" w:rsidRPr="0083765B" w:rsidRDefault="00BA7E99" w:rsidP="00BA7E99">
      <w:pPr>
        <w:rPr>
          <w:noProof/>
        </w:rPr>
      </w:pPr>
      <w:r>
        <w:rPr>
          <w:noProof/>
        </w:rPr>
        <w:t>La Commission renforcera la panoplie d’instruments de défense commerciale de l’UE afin qu’elle puisse réagir plus rapidement et plus efficacement aux pratiques tarifaires déloyales dans le secteur de la chimie. Elle accélérera également l’utilisation rapide et efficace des instruments de défense commerciale, notamment par une coopération étroite avec l’alliance pour l’industrie chimique afin de détecter ces pratiques. La Commission continuera d’agir avec fermeté contre les pratiques de contournement des mesures antidumping, en appliquant des procédures anticontournement.</w:t>
      </w:r>
    </w:p>
    <w:p w14:paraId="13DC0814" w14:textId="3097932D" w:rsidR="00C575BA" w:rsidRPr="0083765B" w:rsidRDefault="00AA069B" w:rsidP="00D9009E">
      <w:pPr>
        <w:rPr>
          <w:noProof/>
        </w:rPr>
      </w:pPr>
      <w:r>
        <w:rPr>
          <w:noProof/>
        </w:rPr>
        <w:t>Afin de permettre une action rapide fondée sur des données précises, la Commission continuera de surveiller de près les importations de produits chimiques, par l’intermédiaire de sa nouvelle task-force de surveillance des importations ainsi que dans le cadre du système de surveillance spécifique mis en place en mars 2025 pour certains produits chimiques industriels. Cette surveillance sera étendue à d’autres molécules, notamment à celles figurant sur la liste des molécules critiques, une fois qu’elle aura été approuvée.</w:t>
      </w:r>
    </w:p>
    <w:p w14:paraId="0C9EB1C1" w14:textId="1E8E5738" w:rsidR="005C753F" w:rsidRPr="0083765B" w:rsidRDefault="005C753F" w:rsidP="00654F3D">
      <w:pPr>
        <w:rPr>
          <w:i/>
          <w:iCs/>
          <w:noProof/>
        </w:rPr>
      </w:pPr>
      <w:r>
        <w:rPr>
          <w:i/>
          <w:noProof/>
        </w:rPr>
        <w:t xml:space="preserve">Douanes et surveillance du marché </w:t>
      </w:r>
    </w:p>
    <w:p w14:paraId="7FEDA9DF" w14:textId="76794E84" w:rsidR="000466D7" w:rsidRPr="0083765B" w:rsidRDefault="000C7F7E" w:rsidP="00D9009E">
      <w:pPr>
        <w:rPr>
          <w:noProof/>
        </w:rPr>
      </w:pPr>
      <w:r>
        <w:rPr>
          <w:noProof/>
        </w:rPr>
        <w:t xml:space="preserve">Les importations mises sur le marché de l’UE doivent respecter les mêmes règles que les produits fabriqués dans l’UE. C’est là une question de crédibilité, de résilience industrielle et de protection des consommateurs. L’UE et ses États membres renforceront l’application de la législation de l’UE relative aux produits chimiques afin de combler les failles qui permettent les importations non conformes, notamment par l’intermédiaire de plateformes en ligne ou d’intermédiaires non réglementés, car elles risquent de fausser la concurrence et de nuire aux producteurs de l’UE qui respectent les règles. Le passeport numérique de produit jouera un rôle dans la réalisation de cet objectif, en améliorant la transparence tout au long des chaînes de valeur et en fournissant des informations fiables et comparables sur les produits de l’UE et de pays tiers. </w:t>
      </w:r>
    </w:p>
    <w:p w14:paraId="0455EA82" w14:textId="06968EBC" w:rsidR="00F968F0" w:rsidRPr="0083765B" w:rsidRDefault="17664BA9" w:rsidP="00D9009E">
      <w:pPr>
        <w:rPr>
          <w:noProof/>
        </w:rPr>
      </w:pPr>
      <w:r>
        <w:rPr>
          <w:noProof/>
        </w:rPr>
        <w:t>Cela nécessite un renforcement des contrôles aux frontières, notamment par une réforme douanière et une meilleure surveillance du marché. En outre, l’UE devrait s’orienter vers des contrôles des produits chimiques ciblés et fondés sur les risques, en s’appuyant sur des initiatives telles que celles décrites dans la communication relative au commerce électronique</w:t>
      </w:r>
      <w:r>
        <w:rPr>
          <w:rStyle w:val="FootnoteReference"/>
          <w:noProof/>
          <w:lang w:val="en-IE"/>
        </w:rPr>
        <w:footnoteReference w:id="16"/>
      </w:r>
      <w:r>
        <w:rPr>
          <w:noProof/>
        </w:rPr>
        <w:t>. Il s’agit notamment de définir des priorités harmonisées en matière d’application de la législation, telles que le contrôle des substances présentes dans des articles, des substances chimiques réglementées ou des mélanges mal étiquetés. Ces efforts contribueront à garantir que les produits entrant dans l’UE ne contournent pas les règles de sécurité, faisant ainsi obstacle au marché intérieur et affaiblissant les incitations à l’innovation. Comme indiqué dans la stratégie pour le marché unique, la Commission s’est engagée à prendre des mesures efficaces pour améliorer la conformité des produits en exploitant les synergies avec les capacités des autorités européennes et nationales des douanes et de surveillance du marché de l’UE et, éventuellement, en créant une autorité européenne de surveillance des marchés</w:t>
      </w:r>
      <w:r>
        <w:rPr>
          <w:rStyle w:val="FootnoteReference"/>
          <w:noProof/>
        </w:rPr>
        <w:footnoteReference w:id="17"/>
      </w:r>
      <w:r>
        <w:rPr>
          <w:noProof/>
        </w:rPr>
        <w:t>.</w:t>
      </w:r>
    </w:p>
    <w:p w14:paraId="43F1FFB8" w14:textId="03101936" w:rsidR="0015319D" w:rsidRPr="0083765B" w:rsidRDefault="0015319D" w:rsidP="00D9009E">
      <w:pPr>
        <w:rPr>
          <w:noProof/>
        </w:rPr>
      </w:pPr>
      <w:r>
        <w:rPr>
          <w:noProof/>
        </w:rPr>
        <w:t>Afin d’améliorer la conformité des marchandises importées avec les règles pertinentes de l’UE, la Commission renforcera l’application de la législation en améliorant la coopération et l’échange d’informations entre les autorités nationales, l’ECHA et les autorités douanières. Il s’agira notamment de renforcer la coordination par l’intermédiaire des groupes de coopération administrative (ADCO) et d’améliorer les systèmes tels que le système d’information et de communication pour la surveillance du marché (ICSMS) et le système d’alerte rapide Safety Gate. La Commission encouragera également une meilleure application des règles existantes, notamment celles prévues par le règlement REACH, grâce à l’environnement de guichet unique de l’Union pour les douanes et à son articulation future dans le contexte de la réforme de l’union douanière et à sa plateforme des données douanières de l’UE, ainsi qu’à d’autres systèmes douaniers. Par ailleurs, le prochain cycle EMPACT (plateforme pluridisciplinaire européenne contre les menaces criminelles), couvrant la période 2026-2029, offre une occasion de renforcer le cadre de lutte contre les contrefaçons, y compris les produits chimiques.</w:t>
      </w:r>
      <w:r>
        <w:rPr>
          <w:rStyle w:val="FootnoteReference"/>
          <w:noProof/>
        </w:rPr>
        <w:t xml:space="preserve"> </w:t>
      </w:r>
      <w:r>
        <w:rPr>
          <w:rStyle w:val="FootnoteReference"/>
          <w:noProof/>
        </w:rPr>
        <w:footnoteReference w:id="18"/>
      </w:r>
      <w:r>
        <w:rPr>
          <w:noProof/>
        </w:rPr>
        <w:t xml:space="preserve"> </w:t>
      </w:r>
    </w:p>
    <w:p w14:paraId="6A7B08AA" w14:textId="6B0419F7" w:rsidR="00C21C0D" w:rsidRPr="0083765B" w:rsidRDefault="00C21C0D" w:rsidP="00C21C0D">
      <w:pPr>
        <w:pBdr>
          <w:top w:val="single" w:sz="4" w:space="1" w:color="auto"/>
          <w:left w:val="single" w:sz="4" w:space="4" w:color="auto"/>
          <w:bottom w:val="single" w:sz="4" w:space="1" w:color="auto"/>
          <w:right w:val="single" w:sz="4" w:space="4" w:color="auto"/>
        </w:pBdr>
        <w:rPr>
          <w:b/>
          <w:bCs/>
          <w:noProof/>
          <w:szCs w:val="24"/>
        </w:rPr>
      </w:pPr>
      <w:r>
        <w:rPr>
          <w:b/>
          <w:noProof/>
        </w:rPr>
        <w:t>La Commission:</w:t>
      </w:r>
    </w:p>
    <w:p w14:paraId="12002431" w14:textId="7A7F5761"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continuera de collaborer avec les partenaires internationaux en vue de garantir l’accès aux marchés mondiaux, en concluant des accords de coopération sectorielle lorsqu’il n’est pas possible de conclure des accords de libre-échange; </w:t>
      </w:r>
    </w:p>
    <w:p w14:paraId="2A791E4E" w14:textId="13E55E47"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renforcera la surveillance des produits chimiques dans le cadre du groupe de travail sur la surveillance des importations, notamment en ce qui concerne les réponses en matière de défense commerciale afin de détecter à un stade précoce les hausses massives des importations potentiellement préjudiciables (T3 2025);</w:t>
      </w:r>
    </w:p>
    <w:p w14:paraId="3A6B260B" w14:textId="1F96F0D4"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soutiendra la mise en place de contrôles harmonisés et fondés sur les risques pour les produits chimiques afin d’améliorer la conformité des marchandises importées avec les règles pertinentes de l’UE (T4 2025);</w:t>
      </w:r>
    </w:p>
    <w:p w14:paraId="4CC0807C" w14:textId="6C765E5A" w:rsidR="00B84BDD" w:rsidRPr="0083765B" w:rsidRDefault="1ED0CAD6">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coordonnera un ensemble de mesures d’exécution et de surveillance du marché, notamment par l’intégration du règlement REACH par l’intermédiaire de l’environnement de guichet unique de l’UE pour les douanes et de son articulation future dans le contexte de la réforme de l’union douanière et de sa plateforme des données douanières de l’UE, ainsi que d’autres systèmes douaniers, ainsi qu’en donnant la priorité aux produits chimiques dans les plans de travail nationaux en matière de surveillance du marché (T4 2025).</w:t>
      </w:r>
    </w:p>
    <w:p w14:paraId="36579B21" w14:textId="3987D663" w:rsidR="002E0995" w:rsidRPr="0083765B" w:rsidRDefault="00A40291" w:rsidP="002E0995">
      <w:pPr>
        <w:pStyle w:val="Heading1"/>
        <w:rPr>
          <w:noProof/>
        </w:rPr>
      </w:pPr>
      <w:r>
        <w:rPr>
          <w:noProof/>
        </w:rPr>
        <w:t>Garantir un approvisionnement énergétique abordable et soutenir la décarbonation</w:t>
      </w:r>
    </w:p>
    <w:p w14:paraId="135E98C9" w14:textId="04355B64" w:rsidR="002E0995" w:rsidRPr="0083765B" w:rsidRDefault="0062437B" w:rsidP="002E0995">
      <w:pPr>
        <w:rPr>
          <w:noProof/>
        </w:rPr>
      </w:pPr>
      <w:r>
        <w:rPr>
          <w:noProof/>
        </w:rPr>
        <w:t>Les prix élevés de l’énergie compromettent gravement la compétitivité sur le plan des coûts des producteurs de produits chimiques établis dans l’UE. L’énergie représente environ 75 % des coûts de production du secteur pétrochimique de l’UE. Le gaz naturel représente plus de 70 % des coûts variables de l’ammoniac, tandis que l’électricité représente plus de 60 % des coûts de production dans l’industrie. L’augmentation des investissements dans les interconnexions et les chaînes d’approvisionnement avec les partenaires du voisinage méridional dans le cadre du nouveau pacte pour la Méditerranée constituera un atout essentiel.</w:t>
      </w:r>
    </w:p>
    <w:p w14:paraId="6DA71220" w14:textId="0CB88D9B" w:rsidR="001D6145" w:rsidRPr="0083765B" w:rsidRDefault="00674A27" w:rsidP="51D82B8F">
      <w:pPr>
        <w:rPr>
          <w:noProof/>
        </w:rPr>
      </w:pPr>
      <w:r>
        <w:rPr>
          <w:noProof/>
        </w:rPr>
        <w:t>L’industrie chimique dépend des combustibles fossiles importés, non seulement comme source d’énergie, par exemple pour produire de la chaleur dans les processus de production, mais aussi comme intrants de matières premières pour la plupart des produits chimiques. Cette double dépendance rend le secteur particulièrement vulnérable à la volatilité des prix des combustibles fossiles et aux perturbations de la chaîne d’approvisionnement. Si l’industrie chimique de l’UE devrait progressivement s’affranchir de ces dépendances, il est essentiel que les politiques de transition tiennent compte des besoins actuels du secteur en matière d’énergie et de matières premières pour assurer la résilience, la décarbonation et la compétitivité.</w:t>
      </w:r>
    </w:p>
    <w:p w14:paraId="07C9AE3E" w14:textId="77777777" w:rsidR="00602F4F" w:rsidRPr="0083765B" w:rsidRDefault="00602F4F" w:rsidP="00AB4A35">
      <w:pPr>
        <w:pStyle w:val="Heading2"/>
        <w:rPr>
          <w:noProof/>
        </w:rPr>
      </w:pPr>
      <w:r>
        <w:rPr>
          <w:noProof/>
        </w:rPr>
        <w:t xml:space="preserve">Garantir un approvisionnement énergétique abordable </w:t>
      </w:r>
    </w:p>
    <w:p w14:paraId="5593FC29" w14:textId="237FE240" w:rsidR="002E0995" w:rsidRPr="0083765B" w:rsidRDefault="002E0995" w:rsidP="002E0995">
      <w:pPr>
        <w:rPr>
          <w:noProof/>
          <w:color w:val="000000" w:themeColor="text1"/>
        </w:rPr>
      </w:pPr>
      <w:r>
        <w:rPr>
          <w:noProof/>
          <w:color w:val="000000" w:themeColor="text1"/>
        </w:rPr>
        <w:t>Le plan d’action pour une énergie abordable</w:t>
      </w:r>
      <w:r>
        <w:rPr>
          <w:rStyle w:val="FootnoteReference"/>
          <w:noProof/>
          <w:color w:val="000000" w:themeColor="text1"/>
        </w:rPr>
        <w:footnoteReference w:id="19"/>
      </w:r>
      <w:r>
        <w:rPr>
          <w:noProof/>
          <w:color w:val="000000" w:themeColor="text1"/>
        </w:rPr>
        <w:t xml:space="preserve">, adopté en février 2025, vise à faire baisser les prix pour les consommateurs d’énergie européens, y compris l’industrie chimique. </w:t>
      </w:r>
      <w:r>
        <w:rPr>
          <w:noProof/>
        </w:rPr>
        <w:t xml:space="preserve">La Commission continuera également d’agréger la demande de gaz pour les entreprises de l’UE afin de réduire les coûts totaux de l’énergie. </w:t>
      </w:r>
    </w:p>
    <w:p w14:paraId="624D2316" w14:textId="7D1090F7" w:rsidR="001D6145" w:rsidRPr="003A0EDD" w:rsidRDefault="7B1B6151" w:rsidP="7BBD0331">
      <w:pPr>
        <w:rPr>
          <w:rFonts w:eastAsiaTheme="minorEastAsia"/>
          <w:noProof/>
          <w:color w:val="000000" w:themeColor="text1"/>
        </w:rPr>
      </w:pPr>
      <w:r>
        <w:rPr>
          <w:noProof/>
          <w:color w:val="000000" w:themeColor="text1"/>
        </w:rPr>
        <w:t>Les lignes directrices concernant les aides d’État pour la compensation indirecte des coûts du système d’échange de quotas d’émission de l’UE (SEQE)</w:t>
      </w:r>
      <w:r>
        <w:rPr>
          <w:rStyle w:val="FootnoteReference"/>
          <w:rFonts w:eastAsiaTheme="minorEastAsia"/>
          <w:noProof/>
          <w:color w:val="000000" w:themeColor="text1"/>
        </w:rPr>
        <w:footnoteReference w:id="20"/>
      </w:r>
      <w:r>
        <w:rPr>
          <w:noProof/>
          <w:color w:val="000000" w:themeColor="text1"/>
        </w:rPr>
        <w:t xml:space="preserve"> permettent aux États membres d’indemniser certains secteurs à forte intensité énergétique (y compris certains secteurs ou produits chimiques, tels que les produits pétroliers raffinés, certains produits chimiques inorganiques de base, certains gaz industriels ou le polyéthylène) de l’augmentation des prix de l’électricité due à l’application du SEQE de l’UE. Le cadre régissant actuellement les aides d’État ne couvre pas certains secteurs chimiques. </w:t>
      </w:r>
      <w:bookmarkStart w:id="5" w:name="_Hlk202003997"/>
      <w:r>
        <w:rPr>
          <w:noProof/>
        </w:rPr>
        <w:t>Toutefois, étant donné que les hypothèses de prix formulées à l’époque ne reflètent plus les conditions actuelles du marché, les prix affectant désormais également des secteurs tels que ceux des produits chimiques ou engrais organiques, la Commission procédera d’ici la fin de l’année à une mise à jour des lignes directrices concernant les aides d’État dans le cadre du SEQE en vue d’y inclure, entre autres, d’autres secteurs chimiques.</w:t>
      </w:r>
    </w:p>
    <w:bookmarkEnd w:id="5"/>
    <w:p w14:paraId="4447E00E" w14:textId="5580C987" w:rsidR="001D6145" w:rsidRPr="0083765B" w:rsidRDefault="001D6145" w:rsidP="001D6145">
      <w:pPr>
        <w:rPr>
          <w:rFonts w:eastAsiaTheme="minorEastAsia"/>
          <w:noProof/>
          <w:color w:val="000000" w:themeColor="text1"/>
        </w:rPr>
      </w:pPr>
      <w:r>
        <w:rPr>
          <w:noProof/>
          <w:color w:val="000000" w:themeColor="text1"/>
        </w:rPr>
        <w:t>Parallèlement, l’encadrement des aides d’État dans le cadre du pacte pour une industrie propre (CISAF)</w:t>
      </w:r>
      <w:r>
        <w:rPr>
          <w:rStyle w:val="FootnoteReference"/>
          <w:rFonts w:eastAsiaTheme="minorEastAsia"/>
          <w:noProof/>
          <w:color w:val="000000" w:themeColor="text1"/>
        </w:rPr>
        <w:footnoteReference w:id="21"/>
      </w:r>
      <w:r>
        <w:rPr>
          <w:noProof/>
          <w:color w:val="000000" w:themeColor="text1"/>
        </w:rPr>
        <w:t xml:space="preserve"> permet aux États membres d’accorder une réduction temporaire du prix de l’électricité (celui-ci ne pouvant pas être inférieur à 50 EUR/MWh) aux industries qui sont de grandes consommatrices d’énergie et qui sont exposées aux échanges, à condition qu’elles réinvestissent dans la décarbonation. L’encadrement permet également d’accorder des aides d’État pour soutenir le déploiement d’un large éventail de technologies de décarbonation, telles que l’électrification, l’hydrogène, la biomasse, le captage, l’utilisation et le stockage du carbone, ainsi que la réduction des risques liés aux investissements dans les projets d’énergie propre ou de décarbonation. Dans l’ensemble, ces mesures contribueront à la réalisation d’investissements dans la décarbonation, à l’allègement des pressions actuellement exercées sur les coûts de l’énergie et au soutien du maintien de la production de produits chimiques dans l’UE. </w:t>
      </w:r>
    </w:p>
    <w:p w14:paraId="0F3896F5" w14:textId="77777777" w:rsidR="001D6145" w:rsidRPr="0083765B" w:rsidRDefault="001D6145" w:rsidP="00D9009E">
      <w:pPr>
        <w:rPr>
          <w:i/>
          <w:iCs/>
          <w:noProof/>
        </w:rPr>
      </w:pPr>
      <w:r>
        <w:rPr>
          <w:i/>
          <w:noProof/>
        </w:rPr>
        <w:t>Accélération du processus d’autorisation</w:t>
      </w:r>
    </w:p>
    <w:p w14:paraId="7705A133" w14:textId="0E7D8595" w:rsidR="008C23B7" w:rsidRPr="0083765B" w:rsidRDefault="008C23B7" w:rsidP="008C23B7">
      <w:pPr>
        <w:rPr>
          <w:noProof/>
          <w:szCs w:val="24"/>
        </w:rPr>
      </w:pPr>
      <w:r>
        <w:rPr>
          <w:noProof/>
        </w:rPr>
        <w:t>L’industrie chimique nécessite souvent la mise en place de nouvelles installations ou l’adaptation et la modernisation des infrastructures existantes. De nouvelles autorisations doivent être obtenues à cette fin.</w:t>
      </w:r>
    </w:p>
    <w:p w14:paraId="59B3CFC7" w14:textId="163F0B9F" w:rsidR="00163553" w:rsidRPr="0083765B" w:rsidRDefault="008C23B7" w:rsidP="00D9009E">
      <w:pPr>
        <w:rPr>
          <w:noProof/>
        </w:rPr>
      </w:pPr>
      <w:r>
        <w:rPr>
          <w:noProof/>
        </w:rPr>
        <w:t>L’UE a déjà mis en place une législation destinée à accélérer et à rationaliser le processus d’autorisation pour certaines installations industrielles, par le règlement pour une industrie «zéro net»</w:t>
      </w:r>
      <w:r>
        <w:rPr>
          <w:rStyle w:val="FootnoteReference"/>
          <w:noProof/>
          <w:lang w:val="en-IE"/>
        </w:rPr>
        <w:footnoteReference w:id="22"/>
      </w:r>
      <w:r>
        <w:rPr>
          <w:noProof/>
        </w:rPr>
        <w:t xml:space="preserve"> et la révision de la directive relative aux émissions industrielles</w:t>
      </w:r>
      <w:r>
        <w:rPr>
          <w:noProof/>
          <w:vertAlign w:val="superscript"/>
          <w:lang w:val="en-IE"/>
        </w:rPr>
        <w:footnoteReference w:id="23"/>
      </w:r>
      <w:r>
        <w:rPr>
          <w:noProof/>
        </w:rPr>
        <w:t>. La directive révisée relative aux émissions industrielles</w:t>
      </w:r>
      <w:r>
        <w:rPr>
          <w:rStyle w:val="FootnoteReference"/>
          <w:noProof/>
          <w:lang w:val="en-IE"/>
        </w:rPr>
        <w:footnoteReference w:id="24"/>
      </w:r>
      <w:r>
        <w:rPr>
          <w:noProof/>
        </w:rPr>
        <w:t xml:space="preserve"> établit un nouveau centre d’innovation pour la transformation et les émissions industrielles (Incite), lequel déterminera et évaluera les techniques innovantes afin de mettre en évidence leur potentiel et de promouvoir leur adoption à plus grande échelle. Les techniques innovantes les plus efficaces et les plus viables seront incluses dans les conclusions sur les meilleures techniques disponibles.</w:t>
      </w:r>
    </w:p>
    <w:p w14:paraId="7BDE33CF" w14:textId="5BA08C06" w:rsidR="00B5487C" w:rsidRPr="0083765B" w:rsidRDefault="00155762" w:rsidP="00B5487C">
      <w:pPr>
        <w:rPr>
          <w:noProof/>
        </w:rPr>
      </w:pPr>
      <w:r>
        <w:rPr>
          <w:noProof/>
        </w:rPr>
        <w:t xml:space="preserve">Dans le train de mesures sur la préparation de la défense, la Commission a proposé un régime d’autorisation accéléré pour la préparation de la défense afin de permettre une augmentation rapide des capacités industrielles pour répondre à des besoins urgents en matière de sécurité. S’appuyant sur l’expérience acquise dans le cadre du règlement pour une industrie «zéro net», la Commission proposera dans le courant de l’année un règlement visant à accélérer la décarbonation de l’industrie, qui présentera des mesures concrètes pour éliminer les goulets d’étranglement dans le processus d’autorisation en ce qui concerne la décarbonation des industries à forte intensité énergétique. Les défis en matière d’autorisation liés aux évaluations environnementales seront abordés dans le cadre du train de mesures omnibus sur l’environnement au quatrième trimestre de 2025. </w:t>
      </w:r>
    </w:p>
    <w:p w14:paraId="1926FC01" w14:textId="5B4488AF" w:rsidR="008C23B7" w:rsidRPr="0083765B" w:rsidRDefault="008C23B7" w:rsidP="008C23B7">
      <w:pPr>
        <w:rPr>
          <w:noProof/>
        </w:rPr>
      </w:pPr>
      <w:r>
        <w:rPr>
          <w:noProof/>
        </w:rPr>
        <w:t>Pour accélérer le déploiement de projets d’électrification, il est essentiel d’accélérer l’accès au réseau pour les installations chimiques, en veillant à ce qu’elles puissent rapidement s’approvisionner en énergie propre pour transformer leurs processus de production. La Commission proposera en 2025, dans le cadre d’un train de mesures sur les réseaux européens, des mesures visant à accélérer l’accès aux réseaux, au stockage et aux énergies renouvelables.</w:t>
      </w:r>
    </w:p>
    <w:p w14:paraId="3C4D39F3" w14:textId="77777777" w:rsidR="002E0995" w:rsidRPr="0083765B" w:rsidRDefault="002E0995" w:rsidP="00D9009E">
      <w:pPr>
        <w:rPr>
          <w:i/>
          <w:iCs/>
          <w:noProof/>
          <w:szCs w:val="24"/>
        </w:rPr>
      </w:pPr>
      <w:r>
        <w:rPr>
          <w:i/>
          <w:noProof/>
        </w:rPr>
        <w:t>Hydrogène</w:t>
      </w:r>
    </w:p>
    <w:p w14:paraId="608BF4E6" w14:textId="680CE56E" w:rsidR="001D6145" w:rsidRPr="0083765B" w:rsidRDefault="002E0995" w:rsidP="002E0995">
      <w:pPr>
        <w:rPr>
          <w:noProof/>
        </w:rPr>
      </w:pPr>
      <w:r>
        <w:rPr>
          <w:noProof/>
        </w:rPr>
        <w:t xml:space="preserve">Outre son utilisation pour la production d’électricité, l’hydrogène est nécessaire à une transformation rentable de l’industrie chimique de l’UE. En tant que producteur et consommateur d’hydrogène, le secteur chimique est bien placé pour soutenir le développement des économies de l’hydrogène dans l’UE. L’hydrogène sera essentiel pour la décarbonation de divers produits chimiques, par exemple par la production d’engrais azotés à faible teneur en carbone. </w:t>
      </w:r>
    </w:p>
    <w:p w14:paraId="155B5BA2" w14:textId="0C409528" w:rsidR="000466D7" w:rsidRPr="0083765B" w:rsidRDefault="002E0995" w:rsidP="001D6145">
      <w:pPr>
        <w:rPr>
          <w:noProof/>
        </w:rPr>
      </w:pPr>
      <w:r>
        <w:rPr>
          <w:noProof/>
        </w:rPr>
        <w:t xml:space="preserve">La Commission soutiendra l’adoption de l’hydrogène renouvelable et bas carbone et le développement d’infrastructures connexes. La Commission a également lancé une étude destinée à évaluer l’efficacité du cadre relatif à l’hydrogène afin de repérer d’éventuels obstacles au développement de l’hydrogène renouvelable et d’évaluer la nécessité d’adapter son cadre réglementaire. </w:t>
      </w:r>
    </w:p>
    <w:p w14:paraId="41D57AFF" w14:textId="7B045125" w:rsidR="6BE23179" w:rsidRPr="0083765B" w:rsidRDefault="001D6145" w:rsidP="6BE23179">
      <w:pPr>
        <w:rPr>
          <w:noProof/>
        </w:rPr>
      </w:pPr>
      <w:r>
        <w:rPr>
          <w:noProof/>
        </w:rPr>
        <w:t>En outre, un troisième appel à propositions sera lancé prochainement dans le cadre de la Banque de l’hydrogène dans le but de soutenir la production d’hydrogène en Europe. Le jour même de l’adoption du présent plan d’action, la Commission adopte aussi un acte délégué sur l’hydrogène bas carbone afin d’offrir une sécurité aux investisseurs et de promouvoir l’adoption de ces technologies. La production et la fourniture d’hydrogène sont également l’un des principaux objectifs de la future initiative de coopération transméditerranéenne en matière d’énergie et de technologies propres.</w:t>
      </w:r>
    </w:p>
    <w:p w14:paraId="319BD7F5" w14:textId="0F1642C0" w:rsidR="008A0D19" w:rsidRPr="0083765B" w:rsidRDefault="00EC6D91" w:rsidP="001D6145">
      <w:pPr>
        <w:rPr>
          <w:noProof/>
          <w:szCs w:val="24"/>
        </w:rPr>
      </w:pPr>
      <w:r>
        <w:rPr>
          <w:noProof/>
        </w:rPr>
        <w:t>Outre les autres formes de soutien, les règles d’allocation à titre gratuit du SEQE de l’UE ont été mises à jour afin de garantir la neutralité technologique des mesures de protection contre les fuites de carbone. La production d’hydrogène par électrolyse peut donc désormais bénéficier de quotas d’émission gratuits dans le cadre du SEQE de l’UE au niveau de référence fixé par les technologies traditionnelles.</w:t>
      </w:r>
    </w:p>
    <w:p w14:paraId="6A760B49" w14:textId="0D4940C8" w:rsidR="002E0995" w:rsidRPr="0083765B" w:rsidRDefault="002E0995" w:rsidP="002E0995">
      <w:pPr>
        <w:pBdr>
          <w:top w:val="single" w:sz="4" w:space="1" w:color="auto"/>
          <w:left w:val="single" w:sz="4" w:space="4" w:color="auto"/>
          <w:bottom w:val="single" w:sz="4" w:space="1" w:color="auto"/>
          <w:right w:val="single" w:sz="4" w:space="4" w:color="auto"/>
        </w:pBdr>
        <w:rPr>
          <w:b/>
          <w:noProof/>
        </w:rPr>
      </w:pPr>
      <w:r>
        <w:rPr>
          <w:b/>
          <w:noProof/>
        </w:rPr>
        <w:t>La Commission:</w:t>
      </w:r>
    </w:p>
    <w:p w14:paraId="72CB340C" w14:textId="75D9EC86" w:rsidR="001D6145" w:rsidRPr="0083765B" w:rsidRDefault="00745325" w:rsidP="381DDAB4">
      <w:pPr>
        <w:pStyle w:val="Style2"/>
        <w:pBdr>
          <w:top w:val="single" w:sz="4" w:space="1" w:color="auto"/>
          <w:left w:val="single" w:sz="4" w:space="4" w:color="auto"/>
          <w:bottom w:val="single" w:sz="4" w:space="1" w:color="auto"/>
          <w:right w:val="single" w:sz="4" w:space="4" w:color="auto"/>
        </w:pBdr>
        <w:jc w:val="both"/>
        <w:rPr>
          <w:noProof/>
        </w:rPr>
      </w:pPr>
      <w:r>
        <w:rPr>
          <w:noProof/>
        </w:rPr>
        <w:t>mettra à jour les lignes directrices relatives aux aides d’État visant à compenser les coûts indirects au titre du SEQE, en vue d’y inclure des substances chimiques supplémentaires (T4 2025);</w:t>
      </w:r>
    </w:p>
    <w:p w14:paraId="7898A339" w14:textId="3672152C" w:rsidR="001D6145" w:rsidRPr="0083765B" w:rsidRDefault="008A0D19"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proposera de relever les défis liés aux autorisations environnementales, y compris pour les projets de décarbonation, dans le cadre du train de mesures omnibus sur l’environnement (T4 2025); </w:t>
      </w:r>
    </w:p>
    <w:p w14:paraId="425630D0" w14:textId="51A2FB4C" w:rsidR="00686D03" w:rsidRPr="0083765B" w:rsidRDefault="008A0D19"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proposera d’accélérer et de rationaliser d’autres aspects du processus d’autorisation (y compris la numérisation) pour les projets de décarbonation au titre de l’acte législatif visant à accélérer la décarbonation de l’industrie (T4 2025); </w:t>
      </w:r>
    </w:p>
    <w:p w14:paraId="18AFE1E3" w14:textId="3C72C6E3" w:rsidR="005C3357" w:rsidRPr="0083765B" w:rsidRDefault="00104D4E"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proposera de faciliter l’accès au réseau aux projets d’électrification des industries à forte intensité énergétique (T4 2025). </w:t>
      </w:r>
    </w:p>
    <w:p w14:paraId="544DF31A" w14:textId="442A9CC0" w:rsidR="00A40291" w:rsidRPr="0083765B" w:rsidRDefault="00A40291" w:rsidP="00AB4A35">
      <w:pPr>
        <w:rPr>
          <w:noProof/>
        </w:rPr>
      </w:pPr>
    </w:p>
    <w:p w14:paraId="53D3082C" w14:textId="10F6A547" w:rsidR="002E0995" w:rsidRPr="0083765B" w:rsidRDefault="002E0995" w:rsidP="00AB4A35">
      <w:pPr>
        <w:pStyle w:val="Heading2"/>
        <w:rPr>
          <w:noProof/>
        </w:rPr>
      </w:pPr>
      <w:r>
        <w:rPr>
          <w:noProof/>
        </w:rPr>
        <w:t xml:space="preserve">Soutenir la décarbonation et la transition vers une économie circulaire </w:t>
      </w:r>
    </w:p>
    <w:p w14:paraId="7ECC331B" w14:textId="4B9B61EA" w:rsidR="00A40291" w:rsidRPr="0083765B" w:rsidRDefault="3900ACD5" w:rsidP="51D82B8F">
      <w:pPr>
        <w:rPr>
          <w:noProof/>
        </w:rPr>
      </w:pPr>
      <w:r>
        <w:rPr>
          <w:noProof/>
        </w:rPr>
        <w:t>La réalisation des ambitions «zéro net» et la transition vers un modèle d’économie circulaire nécessitent des investissements. Dans le même temps, la transition vers des produits chimiques plus sûrs et plus durables offre des possibilités intéressantes à l’industrie chimique de l’UE et aux utilisateurs en aval.</w:t>
      </w:r>
    </w:p>
    <w:p w14:paraId="7AD184B2" w14:textId="66A510C5" w:rsidR="00A40291" w:rsidRPr="0083765B" w:rsidRDefault="567FC175" w:rsidP="71B70B85">
      <w:pPr>
        <w:rPr>
          <w:noProof/>
        </w:rPr>
      </w:pPr>
      <w:r>
        <w:rPr>
          <w:noProof/>
        </w:rPr>
        <w:t xml:space="preserve">L’industrie chimique étant l’un des secteurs dans lesquels il est le plus difficile de réduire les émissions, elle requiert une approche de la décarbonation qui soit neutre sur le plan technologique, progressive et transitoire. Les solutions transitoires en particulier, telles que les craqueurs d’éthane, joueront un rôle important dans le processus de transformation du secteur. </w:t>
      </w:r>
    </w:p>
    <w:p w14:paraId="5C7A9B4F" w14:textId="51CAAD76" w:rsidR="00A57830" w:rsidRPr="0083765B" w:rsidRDefault="567FC175" w:rsidP="00D9009E">
      <w:pPr>
        <w:rPr>
          <w:noProof/>
        </w:rPr>
      </w:pPr>
      <w:r>
        <w:rPr>
          <w:noProof/>
        </w:rPr>
        <w:t xml:space="preserve">En outre, la réalisation de la neutralité carbone et la réduction des dépendances stratégiques exigeront un abandon progressif des énergies fossiles et des matières premières fossiles vierges, lorsque cela sera techniquement et économiquement réalisable. D’autres sources de carbone propre telles que la biomasse, les déchets recyclés et le carbone issu du captage et de l’utilisation du dioxyde de carbone (CUC) sont essentielles pour cela. À cette fin, la Commission élaborera des mesures d’incitation afin de développer un argumentaire économique viable en faveur de la transition propre de l’industrie chimique de l’UE. </w:t>
      </w:r>
    </w:p>
    <w:p w14:paraId="76A57912" w14:textId="6110CC4D" w:rsidR="00A40291" w:rsidRPr="0083765B" w:rsidRDefault="00A40291" w:rsidP="00D9009E">
      <w:pPr>
        <w:rPr>
          <w:i/>
          <w:noProof/>
          <w:color w:val="000000" w:themeColor="text1"/>
        </w:rPr>
      </w:pPr>
      <w:r>
        <w:rPr>
          <w:i/>
          <w:noProof/>
        </w:rPr>
        <w:t>Soutien financier de l’UE</w:t>
      </w:r>
      <w:r>
        <w:rPr>
          <w:i/>
          <w:noProof/>
          <w:color w:val="000000" w:themeColor="text1"/>
        </w:rPr>
        <w:t xml:space="preserve"> </w:t>
      </w:r>
    </w:p>
    <w:p w14:paraId="45228E0A" w14:textId="25BF7701" w:rsidR="00A40291" w:rsidRPr="0083765B" w:rsidRDefault="567FC175" w:rsidP="71B70B85">
      <w:pPr>
        <w:rPr>
          <w:noProof/>
        </w:rPr>
      </w:pPr>
      <w:r>
        <w:rPr>
          <w:noProof/>
        </w:rPr>
        <w:t>Le budget de l’UE soutient les projets d’innovation et de décarbonation tout au long des différentes étapes de l’innovation.</w:t>
      </w:r>
    </w:p>
    <w:p w14:paraId="59B0020E" w14:textId="7AC4AC3D" w:rsidR="00A40291" w:rsidRPr="0083765B" w:rsidRDefault="032ABE49" w:rsidP="71B70B85">
      <w:pPr>
        <w:rPr>
          <w:noProof/>
        </w:rPr>
      </w:pPr>
      <w:r>
        <w:rPr>
          <w:noProof/>
        </w:rPr>
        <w:t>Le programme de travail d’Horizon Europe pour la période 2026-2027 soutiendra la transition vers la décarbonation industrielle aux premiers stades de l’innovation, à hauteur d’environ 370 millions d’EUR. En outre, comme annoncé dans le pacte pour une industrie propre, la Commission lancera un appel phare au titre d’Horizon Europe, doté d’un montant de 600 millions d’EUR, dans le cadre du programme de travail 2026-2027 afin de soutenir des projets prêts à être exécutés. Cet appel complétera les efforts de recherche et d’innovation en cours financés au titre d’Horizon Europe et aura pour but de favoriser des synergies entre le programme-cadre pour la recherche et l’investissement (R&amp;I) et le Fonds pour l’innovation, en créant une réserve de projets allant du stade de la R&amp;I à celui de l’exécution. L’appel s’adressera à toutes les industries à forte intensité énergétique, dont l’industrie chimique.</w:t>
      </w:r>
    </w:p>
    <w:p w14:paraId="79509E77" w14:textId="4453D2FB" w:rsidR="00A40291" w:rsidRPr="0083765B" w:rsidRDefault="567FC175" w:rsidP="00A40291">
      <w:pPr>
        <w:rPr>
          <w:noProof/>
        </w:rPr>
      </w:pPr>
      <w:r>
        <w:rPr>
          <w:noProof/>
        </w:rPr>
        <w:t>Le Fonds pour l’innovation, mis en place dans le cadre du SEQE de l’UE, offre des incitations à investir dans la décarbonation industrielle. Dans le contexte du réexamen du SEQE en 2026, la Commission tiendra compte des spécificités des industries à forte intensité énergétique et proposera de renforcer encore cette boîte à outils en créant une banque pour la décarbonation de l’industrie, visant à mobiliser jusqu’à 100 milliards d’EUR de financement en faveur de la décarbonation industrielle. Un projet pilote pour une nouvelle banque pour la décarbonation de l’industrie sera lancé en 2025, avec une enchère de 1 milliard d’EUR portant sur la décarbonation des principaux processus industriels, notamment celui de la chaleur, qui est également l’une des principales sources de demande d’énergie et d’émissions de gaz à effet de serre dans le secteur chimique</w:t>
      </w:r>
      <w:r>
        <w:rPr>
          <w:rStyle w:val="FootnoteReference"/>
          <w:noProof/>
          <w:lang w:val="en-IE"/>
        </w:rPr>
        <w:footnoteReference w:id="25"/>
      </w:r>
      <w:r>
        <w:rPr>
          <w:noProof/>
        </w:rPr>
        <w:t xml:space="preserve">. </w:t>
      </w:r>
    </w:p>
    <w:p w14:paraId="011404B1" w14:textId="6BECE537" w:rsidR="00B0271B" w:rsidRPr="0083765B" w:rsidRDefault="00B0271B" w:rsidP="00A40291">
      <w:pPr>
        <w:rPr>
          <w:noProof/>
        </w:rPr>
      </w:pPr>
      <w:r>
        <w:rPr>
          <w:noProof/>
        </w:rPr>
        <w:t>Le fonds InvestEU mobilise des investissements publics et privés en faveur de l’innovation et de la transition propre, notamment pour soutenir les start-ups et les scale-ups (jeunes pousses et gazelles) dans le domaine des technologies propres. La Commission a proposé une modification du règlement InvestEU, actuellement examinée par les colégislateurs, en vue d’accroître la taille du fonds InvestEU et son offre au marché (notamment les garanties, les prêts d’amorçage-investissement et les produits de fonds propres) en mobilisant 50 milliards d’EUR d’investissements supplémentaires pour soutenir également les objectifs du pacte pour une industrie propre et les initiatives mises en œuvre par le groupe Banque européenne d’investissement, telles que TechEU. Le fonds InvestEU ainsi révisé pourra apporter un soutien aux investissements bénéficiant aux industries à forte intensité énergétique, par exemple en soutenant les équipements de réseau électrique, les garanties en faveur des technologies propres et les accords d’achat d’électricité des entreprises pour les énergies renouvelables.</w:t>
      </w:r>
    </w:p>
    <w:p w14:paraId="3D2E20F5" w14:textId="02010B45" w:rsidR="009F29B2" w:rsidRPr="0083765B" w:rsidRDefault="10078230" w:rsidP="00A40291">
      <w:pPr>
        <w:rPr>
          <w:noProof/>
        </w:rPr>
      </w:pPr>
      <w:r>
        <w:rPr>
          <w:noProof/>
        </w:rPr>
        <w:t>Le futur Fonds pour la compétitivité soutiendra les efforts de décarbonation. Une initiative publique-privée spécifique pourrait également être mise en place pour promouvoir les investissements en faveur de la modernisation du secteur chimique, sans préjudice du paquet de la proposition relative au prochain cadre financier pluriannuel.</w:t>
      </w:r>
    </w:p>
    <w:p w14:paraId="68EF4D15" w14:textId="3879ADC0" w:rsidR="002E0995" w:rsidRPr="0083765B" w:rsidRDefault="472A4421" w:rsidP="00D9009E">
      <w:pPr>
        <w:rPr>
          <w:i/>
          <w:iCs/>
          <w:noProof/>
        </w:rPr>
      </w:pPr>
      <w:r>
        <w:rPr>
          <w:i/>
          <w:noProof/>
        </w:rPr>
        <w:t xml:space="preserve">Bioéconomie et biomasse </w:t>
      </w:r>
    </w:p>
    <w:p w14:paraId="39EC045D" w14:textId="4DA447F7" w:rsidR="00202B4B" w:rsidRPr="0083765B" w:rsidRDefault="002E0995" w:rsidP="00CE50C8">
      <w:pPr>
        <w:rPr>
          <w:noProof/>
        </w:rPr>
      </w:pPr>
      <w:r>
        <w:rPr>
          <w:noProof/>
        </w:rPr>
        <w:t>Les matières premières biosourcées peuvent constituer des substituts sérieux aux matières fossiles à base de carbone</w:t>
      </w:r>
      <w:r>
        <w:rPr>
          <w:rStyle w:val="FootnoteReference"/>
          <w:noProof/>
          <w:lang w:val="en-IE"/>
        </w:rPr>
        <w:footnoteReference w:id="26"/>
      </w:r>
      <w:r>
        <w:rPr>
          <w:noProof/>
        </w:rPr>
        <w:t xml:space="preserve">. Si elles sont conçues correctement, en utilisant des matériaux biosourcés d’origine locale et durable, elles peuvent réduire les dépendances à l’égard des chaînes de valeur mondiales (comme le remplacement du gaz fossile par du biogaz et de la biomasse) et les émissions de gaz à effet de serre. </w:t>
      </w:r>
    </w:p>
    <w:p w14:paraId="60106F15" w14:textId="676D7569" w:rsidR="000124DB" w:rsidRPr="0083765B" w:rsidRDefault="0027154C" w:rsidP="59F012B2">
      <w:pPr>
        <w:rPr>
          <w:noProof/>
        </w:rPr>
      </w:pPr>
      <w:r>
        <w:rPr>
          <w:noProof/>
        </w:rPr>
        <w:t xml:space="preserve">L’utilisation de substituts biosourcés permet de produire des produits chimiques plus sûrs et plus durables. Par exemple, la fermentation microbienne utilise des micro-organismes pour transformer les sucres et les matériaux d’origine végétale en substances chimiques très utiles, réduisant ainsi la nécessité de procédés à base de pétrole. Les enzymes utilisées dans les processus enzymatiques sont de plus en plus utilisées dans la production biochimique comme catalyseurs qui facilitent des réactions plus durables. Ces processus nécessitent souvent moins d’énergie et génèrent moins de sous-produits nocifs que les méthodes traditionnelles. </w:t>
      </w:r>
    </w:p>
    <w:p w14:paraId="5E758344" w14:textId="053AAE3C" w:rsidR="00695398" w:rsidRPr="0083765B" w:rsidRDefault="00E037F9" w:rsidP="59F012B2">
      <w:pPr>
        <w:rPr>
          <w:noProof/>
        </w:rPr>
      </w:pPr>
      <w:r>
        <w:rPr>
          <w:noProof/>
        </w:rPr>
        <w:t xml:space="preserve">Les avancées technologiques permettent aux entreprises de transformer et de valoriser les déchets, tels que les résidus agricoles et les déchets alimentaires, en produits chimiques biosourcés et en bioengrais très utiles. Cela réduit le besoin de matières premières vierges et valorise les déchets. En outre, il est possible d’exploiter les capacités de production actuelles pour utiliser d’autres matières premières biosourcées. Dans le même temps, il est indispensable d’assurer la protection de la biodiversité et la sécurité alimentaire. </w:t>
      </w:r>
    </w:p>
    <w:p w14:paraId="2F78DA6D" w14:textId="7D19F515" w:rsidR="002E0995" w:rsidRPr="0083765B" w:rsidRDefault="569BCF11" w:rsidP="00D9009E">
      <w:pPr>
        <w:rPr>
          <w:rFonts w:eastAsiaTheme="minorEastAsia"/>
          <w:noProof/>
        </w:rPr>
      </w:pPr>
      <w:r>
        <w:rPr>
          <w:noProof/>
        </w:rPr>
        <w:t xml:space="preserve">La future </w:t>
      </w:r>
      <w:r>
        <w:rPr>
          <w:b/>
          <w:noProof/>
        </w:rPr>
        <w:t xml:space="preserve">stratégie pour la bioéconomie </w:t>
      </w:r>
      <w:r>
        <w:rPr>
          <w:noProof/>
        </w:rPr>
        <w:t>(T4 2025) aura pour but d’améliorer l’efficience des ressources et d’exploiter le fort potentiel de croissance des matériaux biosourcés remplaçant les matériaux d’origine fossile, ainsi que des industries connexes. Cela peut également permettre de réduire plus encore les dépendances à l’égard des matières premières importées pour l’industrie chimique de l’UE. La stratégie définira une vision et des orientations pour intensifier la fabrication de matériaux biosourcés durables, développer les biotechnologies, promouvoir l’innovation et les investissements dans des applications à haute valeur ajoutée, y compris pour les produits chimiques. Elle étudiera également les moyens de garantir l’accès de l’industrie chimique aux biomatériaux pour des utilisations à valeur ajoutée telles que les bioproduits chimiques.</w:t>
      </w:r>
    </w:p>
    <w:p w14:paraId="622BABEF" w14:textId="373AF177" w:rsidR="00A40291" w:rsidRPr="0083765B" w:rsidRDefault="032ABE49" w:rsidP="00D9009E">
      <w:pPr>
        <w:rPr>
          <w:noProof/>
        </w:rPr>
      </w:pPr>
      <w:r>
        <w:rPr>
          <w:noProof/>
        </w:rPr>
        <w:t>La Commission a déjà souligné</w:t>
      </w:r>
      <w:r>
        <w:rPr>
          <w:rStyle w:val="FootnoteReference"/>
          <w:rFonts w:eastAsiaTheme="majorEastAsia"/>
          <w:noProof/>
          <w:lang w:val="en-IE"/>
        </w:rPr>
        <w:footnoteReference w:id="27"/>
      </w:r>
      <w:r>
        <w:rPr>
          <w:noProof/>
        </w:rPr>
        <w:t xml:space="preserve"> le potentiel de la biomasse durable comme matière première de substitution</w:t>
      </w:r>
      <w:r>
        <w:rPr>
          <w:rStyle w:val="FootnoteReference"/>
          <w:noProof/>
          <w:lang w:val="en-IE"/>
        </w:rPr>
        <w:footnoteReference w:id="28"/>
      </w:r>
      <w:r>
        <w:rPr>
          <w:noProof/>
        </w:rPr>
        <w:t xml:space="preserve">, avec la possibilité d’un étiquetage volontaire des bioproduits pour créer des marchés pilotes. Elle étudiera d’autres options pour encourager l’utilisation de la biomasse durable comme matière première. </w:t>
      </w:r>
    </w:p>
    <w:p w14:paraId="7C8162F4" w14:textId="17863D2F" w:rsidR="002E0995" w:rsidRPr="003A0EDD" w:rsidRDefault="00A40291" w:rsidP="00D9009E">
      <w:pPr>
        <w:rPr>
          <w:i/>
          <w:noProof/>
        </w:rPr>
      </w:pPr>
      <w:r>
        <w:rPr>
          <w:i/>
          <w:noProof/>
        </w:rPr>
        <w:t xml:space="preserve">Soutien à la circularité </w:t>
      </w:r>
    </w:p>
    <w:p w14:paraId="0ABE34BD" w14:textId="63FD02E6" w:rsidR="002E0995" w:rsidRPr="0083765B" w:rsidRDefault="002E0995" w:rsidP="002E0995">
      <w:pPr>
        <w:rPr>
          <w:noProof/>
          <w:szCs w:val="24"/>
        </w:rPr>
      </w:pPr>
      <w:r>
        <w:rPr>
          <w:noProof/>
        </w:rPr>
        <w:t>Le recyclage chimique peut jouer un rôle important dans la réduction de la dépendance de l’UE à l’égard des ressources fossiles vierges pour la production de plastique et la valorisation des produits en fin de vie. Par exemple, les déchets plastiques difficiles à recycler qui ne se prêtent pas au recyclage mécanique ou pour lesquels des exigences de qualité spécifiques doivent être respectées peuvent particulièrement bénéficier du recyclage chimique. Il contribuerait à la réalisation des objectifs de l’UE en matière de recyclage des déchets plastiques et d’augmentation du contenu en matières plastiques recyclées.</w:t>
      </w:r>
    </w:p>
    <w:p w14:paraId="3DF9E125" w14:textId="44FD8148" w:rsidR="002E0995" w:rsidRPr="0083765B" w:rsidRDefault="002E0995" w:rsidP="002E0995">
      <w:pPr>
        <w:rPr>
          <w:noProof/>
        </w:rPr>
      </w:pPr>
      <w:bookmarkStart w:id="6" w:name="_Hlk201697717"/>
      <w:r>
        <w:rPr>
          <w:noProof/>
        </w:rPr>
        <w:t>Pour promouvoir un déploiement efficace du recyclage chimique, la Commission lance la consultation publique relative à un acte d’exécution, en application de la directive sur les produits en plastique à usage unique</w:t>
      </w:r>
      <w:r>
        <w:rPr>
          <w:rStyle w:val="FootnoteReference"/>
          <w:noProof/>
          <w:lang w:val="en-IE"/>
        </w:rPr>
        <w:footnoteReference w:id="29"/>
      </w:r>
      <w:r>
        <w:rPr>
          <w:noProof/>
        </w:rPr>
        <w:t>, visant à établir un cadre clair, fondé sur des données scientifiques et technologiquement neutre sur l’allocation du bilan massique afin de tenir compte du contenu recyclé résultant du recyclage chimique, ce qui permettra de créer un marché pilote pour que le secteur chimique devienne plus circulaire</w:t>
      </w:r>
      <w:bookmarkEnd w:id="6"/>
      <w:r>
        <w:rPr>
          <w:noProof/>
        </w:rPr>
        <w:t xml:space="preserve">. L’adoption d’un acte d’exécution est prévue pour le quatrième trimestre de 2025. </w:t>
      </w:r>
    </w:p>
    <w:p w14:paraId="3EC8C1D3" w14:textId="23DC5FB7" w:rsidR="00D62100" w:rsidRPr="0083765B" w:rsidRDefault="388AE3A8" w:rsidP="00D62100">
      <w:pPr>
        <w:rPr>
          <w:noProof/>
        </w:rPr>
      </w:pPr>
      <w:r>
        <w:rPr>
          <w:noProof/>
        </w:rPr>
        <w:t>La proposition d’acte législatif sur l’économie circulaire</w:t>
      </w:r>
      <w:r>
        <w:rPr>
          <w:noProof/>
          <w:color w:val="D13438"/>
          <w:u w:val="single"/>
          <w:shd w:val="clear" w:color="auto" w:fill="FFFFFF"/>
        </w:rPr>
        <w:t xml:space="preserve"> </w:t>
      </w:r>
      <w:r>
        <w:rPr>
          <w:noProof/>
        </w:rPr>
        <w:t>couvrira à la fois le côté de l’offre et le côté de la demande en créant un marché unique des déchets et en promouvant l’utilisation de matériaux recyclés et secondaires. Il s’agit là d’une occasion importante pour l’industrie chimique, qui joue un rôle central dans la mise en place de solutions circulaires dans les chaînes de valeur.</w:t>
      </w:r>
    </w:p>
    <w:p w14:paraId="5E0D8DF3" w14:textId="70B82C7F" w:rsidR="002E0995" w:rsidRPr="0083765B" w:rsidRDefault="002E0995" w:rsidP="00AB4A35">
      <w:pPr>
        <w:rPr>
          <w:i/>
          <w:iCs/>
          <w:noProof/>
          <w:szCs w:val="24"/>
        </w:rPr>
      </w:pPr>
      <w:r>
        <w:rPr>
          <w:i/>
          <w:noProof/>
        </w:rPr>
        <w:t>Captage, utilisation et stockage du dioxyde de carbone (CUSC)</w:t>
      </w:r>
    </w:p>
    <w:p w14:paraId="09EF4EF5" w14:textId="683856E0" w:rsidR="001C3CF4" w:rsidRPr="0083765B" w:rsidRDefault="3A688409" w:rsidP="71B70B85">
      <w:pPr>
        <w:rPr>
          <w:noProof/>
        </w:rPr>
      </w:pPr>
      <w:r>
        <w:rPr>
          <w:noProof/>
        </w:rPr>
        <w:t>Le CUSC est une technologie fondamentale à zéro émission nette qui permet de réduire les dépendances à l’égard des combustibles fossiles et contribue à la résilience des industries européennes, en particulier celles qui sont plus difficiles à électrifier et dans lesquels il est plus difficile de réduire les émissions, telles que celle des produits chimiques, comme indiqué dans la communication de 2024 sur la gestion industrielle du carbone</w:t>
      </w:r>
      <w:r>
        <w:rPr>
          <w:rStyle w:val="FootnoteReference"/>
          <w:rFonts w:eastAsiaTheme="majorEastAsia"/>
          <w:noProof/>
          <w:szCs w:val="24"/>
          <w:lang w:val="en-IE"/>
        </w:rPr>
        <w:footnoteReference w:id="30"/>
      </w:r>
      <w:r>
        <w:rPr>
          <w:noProof/>
        </w:rPr>
        <w:t xml:space="preserve">. Le captage et l’utilisation du dioxyde de carbone peuvent également améliorer la symbiose industrielle, en reliant les sources d’émissions industrielles aux acquéreurs de la production dans les chaînes de valeur locales. </w:t>
      </w:r>
    </w:p>
    <w:p w14:paraId="24FC1B43" w14:textId="5469B38E" w:rsidR="00606C28" w:rsidRPr="0083765B" w:rsidRDefault="001C3CF4" w:rsidP="00606C28">
      <w:pPr>
        <w:rPr>
          <w:noProof/>
        </w:rPr>
      </w:pPr>
      <w:r>
        <w:rPr>
          <w:noProof/>
        </w:rPr>
        <w:t>Cela nécessite d’adopter une approche structurée de la planification des infrastructures, couvrant à la fois la demande et l’offre des réseaux de CO</w:t>
      </w:r>
      <w:r>
        <w:rPr>
          <w:noProof/>
          <w:vertAlign w:val="subscript"/>
        </w:rPr>
        <w:t>2</w:t>
      </w:r>
      <w:r>
        <w:rPr>
          <w:noProof/>
        </w:rPr>
        <w:t xml:space="preserve"> et d’hydrogène captés. Dans un premier temps, l’acte délégué adopté en vertu du règlement pour une industrie «zéro net», qui entrera en vigueur prochainement, définit les obligations des producteurs de gaz et de pétrole de l’UE aux fins de la réalisation de l’objectif de stockage de CO</w:t>
      </w:r>
      <w:r>
        <w:rPr>
          <w:noProof/>
          <w:vertAlign w:val="subscript"/>
        </w:rPr>
        <w:t>2</w:t>
      </w:r>
      <w:r>
        <w:rPr>
          <w:noProof/>
        </w:rPr>
        <w:t xml:space="preserve"> de l’UE à l’horizon 2030. En outre, la Commission a l’intention d’établir un régime législatif spécifique visant à assurer le développement progressif d’un marché européen du CO</w:t>
      </w:r>
      <w:r>
        <w:rPr>
          <w:noProof/>
          <w:vertAlign w:val="subscript"/>
        </w:rPr>
        <w:t>2</w:t>
      </w:r>
      <w:r>
        <w:rPr>
          <w:noProof/>
        </w:rPr>
        <w:t xml:space="preserve"> et d’infrastructures de CO</w:t>
      </w:r>
      <w:r>
        <w:rPr>
          <w:noProof/>
          <w:vertAlign w:val="subscript"/>
        </w:rPr>
        <w:t>2</w:t>
      </w:r>
      <w:r>
        <w:rPr>
          <w:noProof/>
        </w:rPr>
        <w:t xml:space="preserve">, instaurant ainsi un climat de confiance et une prévisibilité à long terme pour permettre le démarrage de la chaîne de valeur. </w:t>
      </w:r>
    </w:p>
    <w:p w14:paraId="0F904291" w14:textId="17A72538" w:rsidR="008C23B7" w:rsidRPr="0083765B" w:rsidRDefault="3A688409" w:rsidP="71B70B85">
      <w:pPr>
        <w:rPr>
          <w:noProof/>
        </w:rPr>
      </w:pPr>
      <w:r>
        <w:rPr>
          <w:noProof/>
        </w:rPr>
        <w:t>Pour que le captage et l’utilisation du dioxyde de carbone puissent être adoptés avec succès, il est également indispensable de mettre en place un cadre réglementaire favorable. Les règles actuelles du SEQE ne reconnaissent pas le CO</w:t>
      </w:r>
      <w:r>
        <w:rPr>
          <w:noProof/>
          <w:vertAlign w:val="subscript"/>
        </w:rPr>
        <w:t>2</w:t>
      </w:r>
      <w:r>
        <w:rPr>
          <w:noProof/>
        </w:rPr>
        <w:t xml:space="preserve"> capté dans les produits non permanents, tels que ceux produits par l’industrie chimique. </w:t>
      </w:r>
    </w:p>
    <w:p w14:paraId="1DEC4322" w14:textId="6B4E2883" w:rsidR="002E0995" w:rsidRPr="0083765B" w:rsidRDefault="3A688409" w:rsidP="002E0995">
      <w:pPr>
        <w:rPr>
          <w:noProof/>
        </w:rPr>
      </w:pPr>
      <w:r>
        <w:rPr>
          <w:noProof/>
        </w:rPr>
        <w:t>Dans le cadre du réexamen du SEQE de 2026, la Commission évaluera à la fois la faisabilité de l’inclusion de la gestion des déchets</w:t>
      </w:r>
      <w:r>
        <w:rPr>
          <w:rStyle w:val="FootnoteReference"/>
          <w:rFonts w:eastAsiaTheme="majorEastAsia"/>
          <w:noProof/>
        </w:rPr>
        <w:footnoteReference w:id="31"/>
      </w:r>
      <w:r>
        <w:rPr>
          <w:noProof/>
        </w:rPr>
        <w:t xml:space="preserve"> dans le SEQE de l’UE et, dans ce contexte, la meilleure manière de récompenser le CO</w:t>
      </w:r>
      <w:r>
        <w:rPr>
          <w:noProof/>
          <w:vertAlign w:val="subscript"/>
        </w:rPr>
        <w:t>2</w:t>
      </w:r>
      <w:r>
        <w:rPr>
          <w:noProof/>
        </w:rPr>
        <w:t xml:space="preserve"> capté dans les produits non permanents. Elle examinera également la possibilité de compenser les émissions résiduelles des secteurs dans lesquels il est difficile de réduire les émissions par des absorptions permanentes de carbone. </w:t>
      </w:r>
      <w:bookmarkStart w:id="7" w:name="_Hlk201734561"/>
    </w:p>
    <w:bookmarkEnd w:id="7"/>
    <w:p w14:paraId="42153E10" w14:textId="776DAFB9" w:rsidR="00981281" w:rsidRPr="0083765B" w:rsidRDefault="00981281" w:rsidP="00981281">
      <w:pPr>
        <w:pStyle w:val="Style2"/>
        <w:numPr>
          <w:ilvl w:val="0"/>
          <w:numId w:val="0"/>
        </w:numPr>
        <w:pBdr>
          <w:top w:val="single" w:sz="4" w:space="1" w:color="auto"/>
          <w:left w:val="single" w:sz="4" w:space="4" w:color="auto"/>
          <w:bottom w:val="single" w:sz="4" w:space="1" w:color="auto"/>
          <w:right w:val="single" w:sz="4" w:space="4" w:color="auto"/>
        </w:pBdr>
        <w:ind w:left="360" w:hanging="360"/>
        <w:jc w:val="both"/>
        <w:rPr>
          <w:b/>
          <w:bCs/>
          <w:noProof/>
        </w:rPr>
      </w:pPr>
      <w:r>
        <w:rPr>
          <w:b/>
          <w:noProof/>
        </w:rPr>
        <w:t xml:space="preserve">La Commission: </w:t>
      </w:r>
    </w:p>
    <w:p w14:paraId="2DB17AA0" w14:textId="77777777" w:rsidR="00981281" w:rsidRPr="0083765B" w:rsidRDefault="00981281" w:rsidP="002B1829">
      <w:pPr>
        <w:pStyle w:val="Style2"/>
        <w:numPr>
          <w:ilvl w:val="0"/>
          <w:numId w:val="0"/>
        </w:numPr>
        <w:pBdr>
          <w:top w:val="single" w:sz="4" w:space="1" w:color="auto"/>
          <w:left w:val="single" w:sz="4" w:space="4" w:color="auto"/>
          <w:bottom w:val="single" w:sz="4" w:space="1" w:color="auto"/>
          <w:right w:val="single" w:sz="4" w:space="4" w:color="auto"/>
        </w:pBdr>
        <w:ind w:left="360" w:hanging="360"/>
        <w:jc w:val="both"/>
        <w:rPr>
          <w:noProof/>
        </w:rPr>
      </w:pPr>
    </w:p>
    <w:p w14:paraId="17E04560" w14:textId="3A246895" w:rsidR="00BA0DA9" w:rsidRPr="0083765B" w:rsidRDefault="00224A75" w:rsidP="00AB4A35">
      <w:pPr>
        <w:pStyle w:val="Style2"/>
        <w:pBdr>
          <w:top w:val="single" w:sz="4" w:space="1" w:color="auto"/>
          <w:left w:val="single" w:sz="4" w:space="4" w:color="auto"/>
          <w:bottom w:val="single" w:sz="4" w:space="1" w:color="auto"/>
          <w:right w:val="single" w:sz="4" w:space="4" w:color="auto"/>
        </w:pBdr>
        <w:jc w:val="both"/>
        <w:rPr>
          <w:noProof/>
        </w:rPr>
      </w:pPr>
      <w:r>
        <w:rPr>
          <w:noProof/>
        </w:rPr>
        <w:t>adoptera une nouvelle stratégie de l’UE pour la bioéconomie afin de définir une vision et des orientations pour intensifier la fabrication de matériaux biosourcés durables, de développer les biotechnologies, de promouvoir l’innovation et les investissements dans des applications à haute valeur ajoutée, y compris pour les produits chimiques (T4 2025);</w:t>
      </w:r>
    </w:p>
    <w:p w14:paraId="19CE1589" w14:textId="4CFCB42C" w:rsidR="0062464F" w:rsidRPr="0083765B" w:rsidRDefault="0062464F" w:rsidP="0062464F">
      <w:pPr>
        <w:pStyle w:val="Style2"/>
        <w:pBdr>
          <w:top w:val="single" w:sz="4" w:space="1" w:color="auto"/>
          <w:left w:val="single" w:sz="4" w:space="4" w:color="auto"/>
          <w:bottom w:val="single" w:sz="4" w:space="1" w:color="auto"/>
          <w:right w:val="single" w:sz="4" w:space="4" w:color="auto"/>
        </w:pBdr>
        <w:jc w:val="both"/>
        <w:rPr>
          <w:noProof/>
        </w:rPr>
      </w:pPr>
      <w:r>
        <w:rPr>
          <w:noProof/>
        </w:rPr>
        <w:t>proposera un acte législatif sur l’économie circulaire afin de débloquer les marchés des matériaux secondaires et de favoriser la circularité des produits chimiques (2026);</w:t>
      </w:r>
    </w:p>
    <w:p w14:paraId="121CDAD3" w14:textId="7AE7A060" w:rsidR="0062464F" w:rsidRPr="0083765B" w:rsidRDefault="0062464F" w:rsidP="0062464F">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soutiendra le déploiement sûr et efficace du recyclage chimique conformément à la directive sur les plastiques à usage unique: lancement de la consultation publique au troisième trimestre de 2025 et adoption d’un acte d’exécution, conformément à la directive sur les plastiques à usage unique, concernant le recyclage chimique (T4 2025);  </w:t>
      </w:r>
    </w:p>
    <w:p w14:paraId="767D304B" w14:textId="23007D89" w:rsidR="00A72CD7" w:rsidRPr="0083765B" w:rsidRDefault="00B41209" w:rsidP="00AB4A35">
      <w:pPr>
        <w:pStyle w:val="Style2"/>
        <w:pBdr>
          <w:top w:val="single" w:sz="4" w:space="1" w:color="auto"/>
          <w:left w:val="single" w:sz="4" w:space="4" w:color="auto"/>
          <w:bottom w:val="single" w:sz="4" w:space="1" w:color="auto"/>
          <w:right w:val="single" w:sz="4" w:space="4" w:color="auto"/>
        </w:pBdr>
        <w:jc w:val="both"/>
        <w:rPr>
          <w:noProof/>
        </w:rPr>
      </w:pPr>
      <w:r>
        <w:rPr>
          <w:noProof/>
        </w:rPr>
        <w:t>évaluera la possibilité de comptabiliser les émissions des produits issus d’un procédé CCU non permanent en aval dans le cadre de la révision du SEQE (T2/T3 2026);</w:t>
      </w:r>
    </w:p>
    <w:p w14:paraId="398AE4BA" w14:textId="01957F8B" w:rsidR="00F07F28" w:rsidRPr="0083765B" w:rsidRDefault="00F6759F" w:rsidP="0FF5CFE2">
      <w:pPr>
        <w:pStyle w:val="Style2"/>
        <w:pBdr>
          <w:top w:val="single" w:sz="4" w:space="1" w:color="auto"/>
          <w:left w:val="single" w:sz="4" w:space="4" w:color="auto"/>
          <w:bottom w:val="single" w:sz="4" w:space="1" w:color="auto"/>
          <w:right w:val="single" w:sz="4" w:space="4" w:color="auto"/>
        </w:pBdr>
        <w:jc w:val="both"/>
        <w:rPr>
          <w:noProof/>
        </w:rPr>
      </w:pPr>
      <w:r>
        <w:rPr>
          <w:noProof/>
        </w:rPr>
        <w:t>élaborera des incitations financières pour promouvoir l’adoption du carbone non fossile ainsi que de l’hydrogène renouvelable et bas carbone;</w:t>
      </w:r>
    </w:p>
    <w:p w14:paraId="4A999A2E" w14:textId="23977BED" w:rsidR="007C47E1" w:rsidRPr="0083765B" w:rsidRDefault="00890FA4" w:rsidP="0067369B">
      <w:pPr>
        <w:pStyle w:val="Style2"/>
        <w:pBdr>
          <w:top w:val="single" w:sz="4" w:space="1" w:color="auto"/>
          <w:left w:val="single" w:sz="4" w:space="4" w:color="auto"/>
          <w:bottom w:val="single" w:sz="4" w:space="1" w:color="auto"/>
          <w:right w:val="single" w:sz="4" w:space="4" w:color="auto"/>
        </w:pBdr>
        <w:jc w:val="both"/>
        <w:rPr>
          <w:noProof/>
        </w:rPr>
      </w:pPr>
      <w:r>
        <w:rPr>
          <w:noProof/>
        </w:rPr>
        <w:t>améliorera le cadre réglementaire pour le captage, le transport, l’utilisation et le stockage du dioxyde de carbone, notamment en proposant un cadre réglementaire pour le développement de marchés et d’infrastructures du CO</w:t>
      </w:r>
      <w:r>
        <w:rPr>
          <w:noProof/>
          <w:vertAlign w:val="subscript"/>
        </w:rPr>
        <w:t>2</w:t>
      </w:r>
      <w:r>
        <w:rPr>
          <w:noProof/>
        </w:rPr>
        <w:t xml:space="preserve"> au niveau de l’UE. </w:t>
      </w:r>
    </w:p>
    <w:p w14:paraId="3B5B47FC" w14:textId="522BAFB0" w:rsidR="008C23B7" w:rsidRPr="0083765B" w:rsidRDefault="008C23B7" w:rsidP="00AB4A35">
      <w:pPr>
        <w:pStyle w:val="Heading1"/>
        <w:rPr>
          <w:noProof/>
        </w:rPr>
      </w:pPr>
      <w:r>
        <w:rPr>
          <w:noProof/>
        </w:rPr>
        <w:t xml:space="preserve">Marchés pilotes et innovation </w:t>
      </w:r>
    </w:p>
    <w:p w14:paraId="765A260D" w14:textId="198B9A74" w:rsidR="00602F4F" w:rsidRPr="0083765B" w:rsidRDefault="5BFBF30E" w:rsidP="00AB4A35">
      <w:pPr>
        <w:pStyle w:val="Heading2"/>
        <w:rPr>
          <w:noProof/>
        </w:rPr>
      </w:pPr>
      <w:r>
        <w:rPr>
          <w:noProof/>
        </w:rPr>
        <w:t>Marchés pilotes et fiscalité verte</w:t>
      </w:r>
    </w:p>
    <w:p w14:paraId="1F8EABF4" w14:textId="69C18A46" w:rsidR="00282BC7" w:rsidRPr="0083765B" w:rsidRDefault="00355D39" w:rsidP="00D9009E">
      <w:pPr>
        <w:rPr>
          <w:b/>
          <w:bCs/>
          <w:noProof/>
          <w:szCs w:val="24"/>
        </w:rPr>
      </w:pPr>
      <w:r>
        <w:rPr>
          <w:noProof/>
        </w:rPr>
        <w:t>Les investissements dans les matières premières non fossiles et les technologies à faible intensité de carbone sont souvent limités par le manque d’acquéreurs de la production, de sorte qu’il est difficile pour les entreprises pionnières de bénéficier de la «prime verte» et de tirer parti des investissements. Par conséquent, dans la logique de la prochaine réforme des marchés publics, l’acte législatif visant à accélérer la décarbonation de l’industrie introduira des exigences de l’UE en matière de contenu, conformément aux engagements juridiques internationaux de l’Union, ainsi que des critères de résilience et de durabilité dans le but de favoriser et de préserver un approvisionnement européen propre en produits à forte intensité énergétique et la demande européenne pour les industries en aval.</w:t>
      </w:r>
    </w:p>
    <w:p w14:paraId="71132F17" w14:textId="445ADCDE" w:rsidR="00FC3DC3" w:rsidRPr="0083765B" w:rsidRDefault="00FC3DC3" w:rsidP="002B1829">
      <w:pPr>
        <w:rPr>
          <w:noProof/>
        </w:rPr>
      </w:pPr>
      <w:r>
        <w:rPr>
          <w:noProof/>
        </w:rPr>
        <w:t xml:space="preserve">La fiscalité peut contribuer au développement de solutions innovantes et à faibles émissions de carbone </w:t>
      </w:r>
      <w:r>
        <w:rPr>
          <w:b/>
          <w:noProof/>
        </w:rPr>
        <w:t>pour l’industrie chimique de l’UE</w:t>
      </w:r>
      <w:r>
        <w:rPr>
          <w:noProof/>
        </w:rPr>
        <w:t>. À l’appui de cet objectif, la Commission a présenté sa recommandation sur les incitations fiscales visant à soutenir le pacte pour une industrie propre. Cette initiative envoie un signal stratégique aux entreprises, les encourageant à accélérer leur transition vers les technologies propres, la décarbonation de l’industrie et la croissance durable.</w:t>
      </w:r>
      <w:r>
        <w:rPr>
          <w:b/>
          <w:noProof/>
        </w:rPr>
        <w:t xml:space="preserve"> </w:t>
      </w:r>
      <w:r>
        <w:rPr>
          <w:noProof/>
        </w:rPr>
        <w:t>Elle recommande l’octroi de crédits d’impôt aux fabricants de technologies propres ainsi qu’un amortissement accéléré pour les industries lourdes telles que le secteur chimique lorsqu’elles investissent dans des équipements de technologie propre.</w:t>
      </w:r>
    </w:p>
    <w:p w14:paraId="550BD99F" w14:textId="77777777" w:rsidR="00403C4D" w:rsidRPr="0083765B" w:rsidRDefault="00403C4D" w:rsidP="00403C4D">
      <w:pPr>
        <w:pBdr>
          <w:top w:val="single" w:sz="4" w:space="1" w:color="auto"/>
          <w:left w:val="single" w:sz="4" w:space="4" w:color="auto"/>
          <w:bottom w:val="single" w:sz="4" w:space="1" w:color="auto"/>
          <w:right w:val="single" w:sz="4" w:space="4" w:color="auto"/>
        </w:pBdr>
        <w:rPr>
          <w:b/>
          <w:bCs/>
          <w:noProof/>
          <w:szCs w:val="24"/>
        </w:rPr>
      </w:pPr>
      <w:r>
        <w:rPr>
          <w:b/>
          <w:noProof/>
        </w:rPr>
        <w:t>La Commission:</w:t>
      </w:r>
    </w:p>
    <w:p w14:paraId="42A891BD" w14:textId="16BB42EA" w:rsidR="00403C4D" w:rsidRPr="0083765B" w:rsidRDefault="005A65E7" w:rsidP="0FF5CFE2">
      <w:pPr>
        <w:pStyle w:val="ListParagraph"/>
        <w:numPr>
          <w:ilvl w:val="0"/>
          <w:numId w:val="4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b/>
          <w:bCs/>
          <w:noProof/>
          <w:sz w:val="24"/>
          <w:szCs w:val="24"/>
        </w:rPr>
      </w:pPr>
      <w:r>
        <w:rPr>
          <w:rFonts w:ascii="Times New Roman" w:hAnsi="Times New Roman"/>
          <w:noProof/>
          <w:sz w:val="24"/>
        </w:rPr>
        <w:t>mettra en place des exigences de l’UE en matière de contenu ainsi que des critères de résilience et de durabilité afin d’encourager les marchés pilotes pour des secteurs spécifiques dans le cadre de l’acte législatif visant à accélérer la décarbonation de l’industrie (T4 2025).</w:t>
      </w:r>
    </w:p>
    <w:p w14:paraId="26E706AD" w14:textId="77777777" w:rsidR="008C23B7" w:rsidRPr="0083765B" w:rsidRDefault="008C23B7" w:rsidP="00AB4A35">
      <w:pPr>
        <w:pStyle w:val="Heading2"/>
        <w:rPr>
          <w:noProof/>
        </w:rPr>
      </w:pPr>
      <w:r>
        <w:rPr>
          <w:noProof/>
        </w:rPr>
        <w:t xml:space="preserve">Innovation </w:t>
      </w:r>
    </w:p>
    <w:p w14:paraId="07F7F105" w14:textId="774934D2" w:rsidR="008C23B7" w:rsidRPr="0083765B" w:rsidRDefault="3A688409" w:rsidP="008C23B7">
      <w:pPr>
        <w:rPr>
          <w:noProof/>
        </w:rPr>
      </w:pPr>
      <w:r>
        <w:rPr>
          <w:noProof/>
        </w:rPr>
        <w:t xml:space="preserve">L’innovation est essentielle pour permettre à l’industrie chimique de rester compétitive. Elle est fondamentale pour le développement de technologies de production de pointe, par exemple celles fondées sur la chimie verte, telles que la photochimie, l’électrochimie et la mise au point de nouveaux produits, notamment des matériaux avancés. L’innovation profite également aux utilisateurs en aval et aux consommateurs en offrant des solutions de substitution plus sûres et plus durables. </w:t>
      </w:r>
    </w:p>
    <w:p w14:paraId="4DE5FBF2" w14:textId="2902B784" w:rsidR="008C23B7" w:rsidRPr="0083765B" w:rsidRDefault="00FD3852" w:rsidP="008C23B7">
      <w:pPr>
        <w:rPr>
          <w:noProof/>
        </w:rPr>
      </w:pPr>
      <w:r>
        <w:rPr>
          <w:noProof/>
        </w:rPr>
        <w:t>L’UE assure un soutien important aux premiers stades de l’innovation dans l’industrie chimique, depuis le développement de nouveaux concepts jusqu’aux projets pilotes, au titre d’Horizon Europe, en particulier dans le cadre de partenariats européens, tels que l’entreprise commune «Une Europe fondée sur la bioéconomie circulaire»</w:t>
      </w:r>
      <w:r>
        <w:rPr>
          <w:rStyle w:val="FootnoteReference"/>
          <w:noProof/>
          <w:lang w:val="en-IE"/>
        </w:rPr>
        <w:footnoteReference w:id="32"/>
      </w:r>
      <w:r>
        <w:rPr>
          <w:noProof/>
        </w:rPr>
        <w:t xml:space="preserve"> (CBE JU), Process4Planet</w:t>
      </w:r>
      <w:r>
        <w:rPr>
          <w:rStyle w:val="FootnoteReference"/>
          <w:noProof/>
          <w:lang w:val="en-IE"/>
        </w:rPr>
        <w:footnoteReference w:id="33"/>
      </w:r>
      <w:r>
        <w:rPr>
          <w:noProof/>
        </w:rPr>
        <w:t xml:space="preserve"> et Matériaux innovants pour l’Europe (IAM4EU)</w:t>
      </w:r>
      <w:r>
        <w:rPr>
          <w:rStyle w:val="FootnoteReference"/>
          <w:noProof/>
          <w:lang w:val="en-IE"/>
        </w:rPr>
        <w:footnoteReference w:id="34"/>
      </w:r>
      <w:r>
        <w:rPr>
          <w:noProof/>
        </w:rPr>
        <w:t xml:space="preserve">. </w:t>
      </w:r>
    </w:p>
    <w:p w14:paraId="0AFF566C" w14:textId="307511F7" w:rsidR="008C23B7" w:rsidRPr="0083765B" w:rsidRDefault="3A688409" w:rsidP="008C23B7">
      <w:pPr>
        <w:rPr>
          <w:noProof/>
        </w:rPr>
      </w:pPr>
      <w:r>
        <w:rPr>
          <w:noProof/>
        </w:rPr>
        <w:t xml:space="preserve">Toutefois, la mise à l’échelle des applications innovantes en vue de leur déploiement industriel reste un défi de taille. C’est une étape délicate du processus d’innovation, car elle nécessite des niveaux élevés d’investissements et comporte un degré d’incertitude extrêmement élevé quant aux performances technologiques et à l’adoption future par le marché. </w:t>
      </w:r>
    </w:p>
    <w:p w14:paraId="0F38ABFA" w14:textId="5AA50B67" w:rsidR="004F29DC" w:rsidRPr="0083765B" w:rsidRDefault="526C171F">
      <w:pPr>
        <w:rPr>
          <w:noProof/>
        </w:rPr>
      </w:pPr>
      <w:r>
        <w:rPr>
          <w:noProof/>
        </w:rPr>
        <w:t xml:space="preserve">La Commission créera un ou plusieurs pôles européens d’innovation et de substitution afin de surmonter les obstacles à l’innovation et d’accélérer la mise au point de solutions plus sûres et plus durables, et explorera des approches collaboratives à l’égard de la substitution de produits chimiques ciblés. Ces pôles, inspirés du modèle Incite, aideront les entreprises, en particulier les PME, à analyser les perspectives, à trouver et à évaluer des solutions de substitution, à encourager les partenariats et à mutualiser les connaissances. Les </w:t>
      </w:r>
      <w:r>
        <w:rPr>
          <w:b/>
          <w:i/>
          <w:noProof/>
        </w:rPr>
        <w:t xml:space="preserve">produits chimiques sûrs et durables dès la conception </w:t>
      </w:r>
      <w:r>
        <w:rPr>
          <w:noProof/>
        </w:rPr>
        <w:t>(SSbD) seront intégrés dans les pôles d’innovation et fourniront des orientations techniques aux premiers stades de l’innovation. Le cadre en matière de sécurité et de durabilité dès la conception encouragera la collaboration entre les concepteurs de produits, les entreprises chimiques, les scientifiques et les organismes de recherche. La Commission facilitera l’accès aux infrastructures numériques et physiques nécessaires pour développer, tester et intensifier les innovations sûres et durables dès la conception.</w:t>
      </w:r>
    </w:p>
    <w:p w14:paraId="3A955282" w14:textId="27FCC0FF" w:rsidR="004B4FDB" w:rsidRPr="0083765B" w:rsidRDefault="004B4FDB" w:rsidP="00D9009E">
      <w:pPr>
        <w:rPr>
          <w:noProof/>
        </w:rPr>
      </w:pPr>
      <w:r>
        <w:rPr>
          <w:noProof/>
        </w:rPr>
        <w:t>Ces pôles exploreront également des approches collaboratives en vue de la substitution de produits chimiques ciblés et pourraient héberger un réseau européen de centres de substitution qui fournira un appui technique, scientifique et financier sur mesure aux entreprises, en particulier aux PME, désireuses de remplacer des substances dangereuses par des solutions de substitution plus sûres.</w:t>
      </w:r>
    </w:p>
    <w:p w14:paraId="060A2A91" w14:textId="12B09A35" w:rsidR="008E08A5" w:rsidRPr="0083765B" w:rsidRDefault="008E08A5" w:rsidP="008E08A5">
      <w:pPr>
        <w:rPr>
          <w:noProof/>
        </w:rPr>
      </w:pPr>
      <w:r>
        <w:rPr>
          <w:noProof/>
        </w:rPr>
        <w:t>La recommandation révisée de la Commission sur le cadre relatif aux produits chimiques sûrs et durables dès la conception (2025) renforcera la compétitivité de l’industrie chimique de l’UE en améliorant l’efficacité du processus d’innovation en vue de la création de solutions de substitution plus sûres et plus durables. Les programmes Horizon Europe pour la période 2025-2027 fourniront environ 120 millions d’EUR pour soutenir le développement ainsi que l’accélération de la découverte, également favorisée par l’IA et la numérisation, de solutions de substitution aux substances préoccupantes.</w:t>
      </w:r>
    </w:p>
    <w:p w14:paraId="1CCA78C6" w14:textId="7B1FAEAA" w:rsidR="000B2926" w:rsidRPr="0083765B" w:rsidRDefault="526C171F" w:rsidP="71B70B85">
      <w:pPr>
        <w:rPr>
          <w:noProof/>
        </w:rPr>
      </w:pPr>
      <w:r>
        <w:rPr>
          <w:noProof/>
        </w:rPr>
        <w:t xml:space="preserve">La Commission mettra en place une </w:t>
      </w:r>
      <w:r>
        <w:rPr>
          <w:b/>
          <w:i/>
          <w:noProof/>
        </w:rPr>
        <w:t>plateforme de données commune sur les produits chimiques</w:t>
      </w:r>
      <w:r>
        <w:rPr>
          <w:noProof/>
        </w:rPr>
        <w:t xml:space="preserve"> dans le cadre de l’initiative «Une substance, une évaluation», afin de simplifier l’accès aux données sur les substances chimiques et de le rendre plus transparent. </w:t>
      </w:r>
    </w:p>
    <w:p w14:paraId="2272B0F6" w14:textId="62F1F31D" w:rsidR="00282A9E" w:rsidRPr="0083765B" w:rsidRDefault="0055307D" w:rsidP="00282A9E">
      <w:pPr>
        <w:rPr>
          <w:noProof/>
        </w:rPr>
      </w:pPr>
      <w:r>
        <w:rPr>
          <w:noProof/>
        </w:rPr>
        <w:t>Le futur acte législatif sur les matériaux avancés, qui doit être adopté en 2026, stimulera et récompensera également l’innovation dans le secteur des produits chimiques. Les matériaux avancés offrent des solutions innovantes pour une industrie plus efficace, plus durable et plus compétitive. La Commission présentera un acte législatif sur les matériaux avancés établissant un cadre global pour soutenir l’ensemble de la chaîne de valeur, depuis la recherche et le développement jusqu’à la production et au déploiement en passant par les start-ups, et stimuler et récompenser l’innovation dans le secteur des produits chimiques.</w:t>
      </w:r>
    </w:p>
    <w:p w14:paraId="3A50315E" w14:textId="758BEB19" w:rsidR="008C23B7" w:rsidRPr="0083765B" w:rsidRDefault="2302086C" w:rsidP="71B70B85">
      <w:pPr>
        <w:rPr>
          <w:i/>
          <w:iCs/>
          <w:noProof/>
        </w:rPr>
      </w:pPr>
      <w:r>
        <w:rPr>
          <w:i/>
          <w:noProof/>
        </w:rPr>
        <w:t>Actualisation des évaluations de la sécurité chimique</w:t>
      </w:r>
    </w:p>
    <w:p w14:paraId="01662DD3" w14:textId="366A2535" w:rsidR="00480028" w:rsidRPr="0083765B" w:rsidRDefault="00480028" w:rsidP="00480028">
      <w:pPr>
        <w:rPr>
          <w:noProof/>
        </w:rPr>
      </w:pPr>
      <w:r>
        <w:rPr>
          <w:noProof/>
        </w:rPr>
        <w:t xml:space="preserve">L’innovation joue également un rôle crucial dans le renforcement de la sécurité chimique en améliorant la gestion des risques chimiques et en soutenant le développement de produits chimiques plus sûrs. Le renforcement de la collaboration tout au long de la chaîne de valeur chimique est également essentiel pour stimuler l’innovation en matière d’évaluation des risques chimiques. Le partenariat pour l’évaluation des risques liés aux substances chimiques (PARC) est l’initiative phare de l’UE dans ce domaine. Il réunit des ministères, des agences nationales de santé publique et d’évaluation des risques, des organismes de recherche et des universités. </w:t>
      </w:r>
    </w:p>
    <w:p w14:paraId="6FCE6AA9" w14:textId="7C482F22" w:rsidR="002E0995" w:rsidRPr="0083765B" w:rsidRDefault="00480028" w:rsidP="00D9009E">
      <w:pPr>
        <w:rPr>
          <w:noProof/>
        </w:rPr>
      </w:pPr>
      <w:r>
        <w:rPr>
          <w:noProof/>
        </w:rPr>
        <w:t>Les nouvelles approches méthodologiques («NAM») ou les approches sans expérimentation animale offrent des outils scientifiques modernes pour fournir des informations aux fins de l’évaluation des risques chimiques. Elles sont essentielles pour accélérer les évaluations des risques et combler les lacunes en matière d’information, et constituent des outils rentables. La Commission continuera d’œuvrer à la modernisation des essais chimiques et à l’accélération de la transition vers des approches sans expérimentation animale. Dans le cadre de l’initiative «Une substance, une évaluation», elle lancera une plateforme de données commune sur les produits chimiques afin d’améliorer l’accès aux données sur les substances chimiques. Parallèlement, elle présentera une feuille de route en vue de l’élimination progressive de l’expérimentation animale dans les évaluations de la sécurité chimique d’ici à 2026. Elle s’emploiera, en étroite collaboration avec les parties prenantes, à promouvoir des méthodes de substitution, afin d’éviter les expérimentations inutiles et de réduire leur coût. La feuille de route définira les besoins en matière d’élaboration et de validation de méthodes sans expérimentation animale, conformément à la demande formulée par le Conseil.</w:t>
      </w:r>
    </w:p>
    <w:p w14:paraId="1CAF7A6F" w14:textId="77777777" w:rsidR="005156C8" w:rsidRPr="003A0EDD" w:rsidRDefault="005156C8" w:rsidP="005156C8">
      <w:pPr>
        <w:pBdr>
          <w:top w:val="single" w:sz="4" w:space="1" w:color="auto"/>
          <w:left w:val="single" w:sz="4" w:space="1" w:color="auto"/>
          <w:bottom w:val="single" w:sz="4" w:space="1" w:color="auto"/>
          <w:right w:val="single" w:sz="4" w:space="1" w:color="auto"/>
        </w:pBdr>
        <w:rPr>
          <w:rFonts w:eastAsiaTheme="minorEastAsia"/>
          <w:b/>
          <w:noProof/>
        </w:rPr>
      </w:pPr>
      <w:r>
        <w:rPr>
          <w:b/>
          <w:noProof/>
        </w:rPr>
        <w:t xml:space="preserve">La Commission: </w:t>
      </w:r>
    </w:p>
    <w:p w14:paraId="12F8AC4C" w14:textId="77777777"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accélérera et renforcera l’innovation chimique au moyen de pôles volontaires de l’UE pour l’innovation dans le domaine des produits chimiques (T1 2026);</w:t>
      </w:r>
    </w:p>
    <w:p w14:paraId="0179C7D1" w14:textId="5B49396D"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proposera un acte législatif sur les matériaux avancés pour stimuler et récompenser l’innovation dans le secteur chimique (T4 2026);</w:t>
      </w:r>
    </w:p>
    <w:p w14:paraId="5A667745" w14:textId="24413E18"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mettra en place une plateforme de données commune sur les produits chimiques, telle que définie dans le paquet «Une substance, une évaluation»;</w:t>
      </w:r>
    </w:p>
    <w:p w14:paraId="27FA76C6" w14:textId="77777777"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présentera une feuille de route en vue de l’élimination progressive de l’expérimentation animale (T1 2026).</w:t>
      </w:r>
    </w:p>
    <w:p w14:paraId="6658B6D1" w14:textId="77777777" w:rsidR="00DF2A61" w:rsidRPr="0089309D" w:rsidRDefault="00DF2A61" w:rsidP="00D9009E">
      <w:pPr>
        <w:rPr>
          <w:noProof/>
        </w:rPr>
      </w:pPr>
    </w:p>
    <w:p w14:paraId="60DF3447" w14:textId="1548D7BB" w:rsidR="002E0995" w:rsidRPr="0083765B" w:rsidRDefault="00E55B47" w:rsidP="002E0995">
      <w:pPr>
        <w:pStyle w:val="Heading1"/>
        <w:rPr>
          <w:noProof/>
        </w:rPr>
      </w:pPr>
      <w:r>
        <w:rPr>
          <w:noProof/>
        </w:rPr>
        <w:t>Simplifier et rationaliser le cadre réglementaire</w:t>
      </w:r>
    </w:p>
    <w:p w14:paraId="6DE56527" w14:textId="3C9C932D" w:rsidR="002E0995" w:rsidRPr="0083765B" w:rsidRDefault="002E0995" w:rsidP="002E0995">
      <w:pPr>
        <w:rPr>
          <w:noProof/>
        </w:rPr>
      </w:pPr>
      <w:r>
        <w:rPr>
          <w:noProof/>
        </w:rPr>
        <w:t>La Commission a inscrit la simplification au cœur de son programme réglementaire, en se fixant comme objectif clair de réduire de 25 % la charge administrative pour les entreprises et de 35 % pour les PME jusqu’à la fin de son mandat.</w:t>
      </w:r>
    </w:p>
    <w:p w14:paraId="14666F73" w14:textId="77777777" w:rsidR="002E0995" w:rsidRPr="0083765B" w:rsidRDefault="002E0995" w:rsidP="002E0995">
      <w:pPr>
        <w:pStyle w:val="Heading2"/>
        <w:rPr>
          <w:bCs/>
          <w:noProof/>
        </w:rPr>
      </w:pPr>
      <w:r>
        <w:rPr>
          <w:noProof/>
        </w:rPr>
        <w:t xml:space="preserve">«Trains de mesures omnibus sur la simplification» </w:t>
      </w:r>
    </w:p>
    <w:p w14:paraId="5B60A24C" w14:textId="47165FCC" w:rsidR="00602F4F" w:rsidRPr="0083765B" w:rsidRDefault="472A4421" w:rsidP="71B70B85">
      <w:pPr>
        <w:rPr>
          <w:noProof/>
        </w:rPr>
      </w:pPr>
      <w:r>
        <w:rPr>
          <w:noProof/>
        </w:rPr>
        <w:t>Jusqu’à présent, en 2025, la Commission a adopté cinq «trains de mesures omnibus sur la simplification» destinés à rationaliser les règles et de réduire la charge administrative pesant sur les industries de l’UE. Certaines de ces propositions, en particulier celles présentées dans le «premier train de mesures omnibus sur la simplification», du 26 février 2025, présentent un intérêt direct pour l’industrie chimique de l’UE</w:t>
      </w:r>
      <w:r>
        <w:rPr>
          <w:rStyle w:val="FootnoteReference"/>
          <w:noProof/>
          <w:lang w:val="en-IE"/>
        </w:rPr>
        <w:footnoteReference w:id="35"/>
      </w:r>
      <w:r>
        <w:rPr>
          <w:noProof/>
        </w:rPr>
        <w:t>. Le «cinquième train de mesures omnibus sur la simplification», du 17 juin 2025, porte sur des aspects liés à la défense et renforce la possibilité pour les États membres d’exempter des substances chimiques, telles quelles ou contenues dans un mélange ou un article, lorsque cela est nécessaire dans l’intérêt de la défense.</w:t>
      </w:r>
    </w:p>
    <w:p w14:paraId="151E1BBD" w14:textId="684718BE" w:rsidR="00602F4F" w:rsidRPr="0083765B" w:rsidRDefault="003657A2" w:rsidP="00602F4F">
      <w:pPr>
        <w:rPr>
          <w:noProof/>
        </w:rPr>
      </w:pPr>
      <w:r>
        <w:rPr>
          <w:noProof/>
        </w:rPr>
        <w:t>Le jour même du présent plan d’action, la Commission propose, dans un premier temps, un «sixième train de mesures omnibus sur la simplification» spécifiquement axé sur la législation de l’UE relative aux produits chimiques et la législation connexe: le règlement relatif à la classification, à l’étiquetage et à l’emballage</w:t>
      </w:r>
      <w:r>
        <w:rPr>
          <w:rStyle w:val="FootnoteReference"/>
          <w:noProof/>
          <w:lang w:val="en-IE"/>
        </w:rPr>
        <w:footnoteReference w:id="36"/>
      </w:r>
      <w:r>
        <w:rPr>
          <w:noProof/>
        </w:rPr>
        <w:t xml:space="preserve"> (CLP), le règlement relatif aux fertilisants</w:t>
      </w:r>
      <w:r>
        <w:rPr>
          <w:rStyle w:val="FootnoteReference"/>
          <w:noProof/>
          <w:lang w:val="en-IE"/>
        </w:rPr>
        <w:footnoteReference w:id="37"/>
      </w:r>
      <w:r>
        <w:rPr>
          <w:noProof/>
        </w:rPr>
        <w:t xml:space="preserve"> et le règlement relatif aux produits cosmétiques</w:t>
      </w:r>
      <w:r>
        <w:rPr>
          <w:rStyle w:val="FootnoteReference"/>
          <w:noProof/>
          <w:lang w:val="en-IE"/>
        </w:rPr>
        <w:footnoteReference w:id="38"/>
      </w:r>
      <w:r>
        <w:rPr>
          <w:noProof/>
        </w:rPr>
        <w:t>. La proposition simplifie différentes règles de l’acquis dans le domaine des produits chimiques tout en garantissant un niveau élevé de protection de la santé humaine et de l’environnement. Elle modifie, par exemple, les dispositions relatives à la taille des caractères et à l’espacement des lignes obligatoires pour l’étiquetage des produits chimiques dangereux prévues par le règlement CLP, afin de faire en sorte que les entreprises chimiques puissent communiquer efficacement les informations sur les substances et les mélanges. Selon les estimations, cette proposition devrait permettre à l’industrie chimique d’économiser au moins 363 millions d’EUR par an.</w:t>
      </w:r>
    </w:p>
    <w:p w14:paraId="3269393A" w14:textId="0A8D3068" w:rsidR="00482916" w:rsidRPr="0083765B" w:rsidRDefault="4440F500" w:rsidP="71B70B85">
      <w:pPr>
        <w:rPr>
          <w:noProof/>
        </w:rPr>
      </w:pPr>
      <w:r>
        <w:rPr>
          <w:noProof/>
        </w:rPr>
        <w:t xml:space="preserve">Outre le train de mesures omnibus sur la simplification actuel, la Commission simplifiera également la législation de l’UE pertinente pour l’industrie chimique de l’Union. Au quatrième trimestre de 2025, elle adoptera une autre proposition de train de mesures omnibus visant à réduire la charge administrative dans la législation environnementale, qui sera également pertinente pour l’industrie chimique de l’UE. </w:t>
      </w:r>
    </w:p>
    <w:p w14:paraId="61B037D0" w14:textId="0A984E81" w:rsidR="002B2462" w:rsidRPr="0083765B" w:rsidRDefault="005626AE" w:rsidP="71B70B85">
      <w:pPr>
        <w:rPr>
          <w:noProof/>
        </w:rPr>
      </w:pPr>
      <w:r>
        <w:rPr>
          <w:noProof/>
        </w:rPr>
        <w:t xml:space="preserve">Par ailleurs, la Commission présentera d’ici la fin de l’année un train de mesures omnibus sur la simplification facilitant la protection biologique dans l’agriculture. Certains aspects, tels que la facilitation de l’accès au marché pour les biopesticides, seront également pertinents pour l’industrie chimique. </w:t>
      </w:r>
    </w:p>
    <w:p w14:paraId="44FB3F5C" w14:textId="77777777" w:rsidR="00602F4F" w:rsidRPr="0083765B" w:rsidRDefault="00602F4F" w:rsidP="00602F4F">
      <w:pPr>
        <w:rPr>
          <w:i/>
          <w:iCs/>
          <w:noProof/>
          <w:szCs w:val="24"/>
        </w:rPr>
      </w:pPr>
      <w:r>
        <w:rPr>
          <w:i/>
          <w:noProof/>
        </w:rPr>
        <w:t>Taxinomie</w:t>
      </w:r>
    </w:p>
    <w:p w14:paraId="5724A31F" w14:textId="1A054656" w:rsidR="009E0472" w:rsidRPr="0083765B" w:rsidRDefault="002E0995" w:rsidP="002E0995">
      <w:pPr>
        <w:rPr>
          <w:noProof/>
        </w:rPr>
      </w:pPr>
      <w:r>
        <w:rPr>
          <w:noProof/>
        </w:rPr>
        <w:t>Dans le cadre de la mise en œuvre du «premier train de mesures omnibus sur la simplification», la Commission adoptera prochainement une version révisée des critères permettant de «ne pas causer de préjudice important» pour la prévention et la réduction de la pollution dans le cadre de la taxinomie pour les investissements durables. Plus précisément, elle clarifiera et limitera le champ d’application de l’appendice C des actes délégués de la taxinomie relatifs au climat et à l’environnement</w:t>
      </w:r>
      <w:r>
        <w:rPr>
          <w:rStyle w:val="FootnoteReference"/>
          <w:noProof/>
          <w:lang w:val="en-IE"/>
        </w:rPr>
        <w:footnoteReference w:id="39"/>
      </w:r>
      <w:r>
        <w:rPr>
          <w:rStyle w:val="FootnoteReference"/>
          <w:noProof/>
          <w:lang w:val="en-IE"/>
        </w:rPr>
        <w:footnoteReference w:id="40"/>
      </w:r>
      <w:r>
        <w:rPr>
          <w:noProof/>
        </w:rPr>
        <w:t xml:space="preserve"> en ce qui concerne les substances couvertes. Ces modifications réduiront considérablement la charge de démontrer l’alignement sur la taxinomie et faciliteront l’accès au financement durable.</w:t>
      </w:r>
    </w:p>
    <w:p w14:paraId="75AF9FBD" w14:textId="77777777" w:rsidR="002E0995" w:rsidRPr="0083765B" w:rsidRDefault="002E0995" w:rsidP="002E0995">
      <w:pPr>
        <w:pStyle w:val="Heading2"/>
        <w:rPr>
          <w:noProof/>
        </w:rPr>
      </w:pPr>
      <w:r>
        <w:rPr>
          <w:noProof/>
        </w:rPr>
        <w:t xml:space="preserve">Révision ciblée du règlement REACH </w:t>
      </w:r>
    </w:p>
    <w:p w14:paraId="6D900886" w14:textId="57680B4F" w:rsidR="002E0995" w:rsidRPr="0083765B" w:rsidRDefault="002E0995" w:rsidP="002E0995">
      <w:pPr>
        <w:rPr>
          <w:noProof/>
        </w:rPr>
      </w:pPr>
      <w:r>
        <w:rPr>
          <w:noProof/>
        </w:rPr>
        <w:t>Le règlement concernant l’enregistrement, l’évaluation et l’autorisation des substances chimiques, ainsi que les restrictions applicables à ces substances (REACH)</w:t>
      </w:r>
      <w:r>
        <w:rPr>
          <w:noProof/>
          <w:vertAlign w:val="superscript"/>
        </w:rPr>
        <w:footnoteReference w:id="41"/>
      </w:r>
      <w:r>
        <w:rPr>
          <w:noProof/>
        </w:rPr>
        <w:t xml:space="preserve"> constitue la pierre angulaire de la législation de l’UE régissant les substances chimiques. Le règlement REACH a contribué à accroître les connaissances sur les substances chimiques grâce à l’enregistrement et à l’évaluation, et à gérer les risques liés à certaines substances chimiques au moyen d’autorisations et de restrictions. Toutefois, certains processus prévus par ce règlement se sont révélés fastidieux pour les entreprises, en particulier les PME. </w:t>
      </w:r>
    </w:p>
    <w:p w14:paraId="2686254D" w14:textId="68990D18" w:rsidR="00DB3B76" w:rsidRPr="0083765B" w:rsidRDefault="0032565F" w:rsidP="002B1829">
      <w:pPr>
        <w:rPr>
          <w:noProof/>
          <w:u w:val="single"/>
        </w:rPr>
      </w:pPr>
      <w:r>
        <w:rPr>
          <w:noProof/>
        </w:rPr>
        <w:t>D’ici la fin de 2025, la Commission adoptera une proposition de révision ciblée du règlement REACH afin d’en simplifier les règles et d’accélérer les procédures pour l’industrie, en tenant compte de considérations liées à la compétitivité, à la sûreté, à la sécurité et à la durabilité, tout en garantissant un niveau élevé de protection de la santé humaine et de l’environnement</w:t>
      </w:r>
      <w:r>
        <w:rPr>
          <w:rStyle w:val="FootnoteReference"/>
          <w:noProof/>
        </w:rPr>
        <w:footnoteReference w:id="42"/>
      </w:r>
      <w:r>
        <w:rPr>
          <w:noProof/>
        </w:rPr>
        <w:t xml:space="preserve">. </w:t>
      </w:r>
    </w:p>
    <w:p w14:paraId="6D56003A" w14:textId="7E33FCFD" w:rsidR="00602F4F" w:rsidRPr="0083765B" w:rsidRDefault="00657B97" w:rsidP="0006174E">
      <w:pPr>
        <w:pStyle w:val="Heading2"/>
        <w:rPr>
          <w:noProof/>
        </w:rPr>
      </w:pPr>
      <w:r>
        <w:rPr>
          <w:noProof/>
        </w:rPr>
        <w:t>Le règlement ECHA</w:t>
      </w:r>
    </w:p>
    <w:p w14:paraId="692A0609" w14:textId="689F48F9" w:rsidR="00A57830" w:rsidRPr="0083765B" w:rsidRDefault="00C74623" w:rsidP="00654F3D">
      <w:pPr>
        <w:rPr>
          <w:noProof/>
        </w:rPr>
      </w:pPr>
      <w:r>
        <w:rPr>
          <w:noProof/>
        </w:rPr>
        <w:t>Par ailleurs, la Commission propose un règlement autonome pour permettre à l’Agence européenne des produits chimiques (ECHA) d’améliorer sa gouvernance et d’accroître la durabilité de son modèle de financement. L’objectif est de donner à l’ECHA les moyens de s’acquitter efficacement de ses tâches élargies et de renforcer sa capacité d’émettre des avis scientifiques cohérents en temps utile, aidant ainsi les entreprises à planifier avec une plus grande sécurité leurs investissements. La simplification du modèle de financement renforcera la souplesse opérationnelle de l’ECHA et réduira sa charge administrative. L’amélioration de l’efficacité permettra également à l’ECHA de fournir de meilleurs services aux entreprises, en particulier aux PME, réduisant ainsi leurs coûts de mise en conformité.</w:t>
      </w:r>
    </w:p>
    <w:p w14:paraId="3395F249" w14:textId="4A66E9F4" w:rsidR="002E0995" w:rsidRPr="0083765B" w:rsidRDefault="002E0995" w:rsidP="00A57830">
      <w:pPr>
        <w:pStyle w:val="Heading2"/>
        <w:rPr>
          <w:noProof/>
        </w:rPr>
      </w:pPr>
      <w:r>
        <w:rPr>
          <w:noProof/>
        </w:rPr>
        <w:t xml:space="preserve">Fournir des précisions sur les PFAS </w:t>
      </w:r>
    </w:p>
    <w:p w14:paraId="1A7CA17B" w14:textId="365564D1" w:rsidR="002E0995" w:rsidRPr="0083765B" w:rsidRDefault="002E0995" w:rsidP="002E0995">
      <w:pPr>
        <w:rPr>
          <w:noProof/>
        </w:rPr>
      </w:pPr>
      <w:r>
        <w:rPr>
          <w:noProof/>
        </w:rPr>
        <w:t>L’évaluation scientifique de la restriction universelle des PFAS</w:t>
      </w:r>
      <w:r>
        <w:rPr>
          <w:rStyle w:val="FootnoteReference"/>
          <w:noProof/>
        </w:rPr>
        <w:footnoteReference w:id="43"/>
      </w:r>
      <w:r>
        <w:rPr>
          <w:noProof/>
        </w:rPr>
        <w:t xml:space="preserve"> par les comités de l’ECHA est en cours et devrait s’achever en 2026. La Commission s’est engagée à présenter une proposition dès que possible après réception de l’avis de l’ECHA, l’objectif global étant de réduire au minimum les émissions de PFAS. </w:t>
      </w:r>
    </w:p>
    <w:p w14:paraId="07773C43" w14:textId="41BF5B96" w:rsidR="00FE315B" w:rsidRPr="0083765B" w:rsidRDefault="6779E7B4" w:rsidP="002E0995">
      <w:pPr>
        <w:rPr>
          <w:noProof/>
        </w:rPr>
      </w:pPr>
      <w:r>
        <w:rPr>
          <w:noProof/>
        </w:rPr>
        <w:t>La Commission se penchera sur l’interdiction des PFAS dans les produits destinés à être utilisés par les consommateurs, tels que les cosmétiques, les matériaux destinés à entrer en contact avec des denrées alimentaires et les vêtements d’extérieur. En l’absence de solutions de substitution adéquates sur le plan des performances et de la sécurité, les PFAS pourront continuer d’être utilisées dans les applications industrielles pour des applications critiques, telles que la santé, la défense, les semi-conducteurs et d’autres secteurs stratégiques</w:t>
      </w:r>
      <w:r>
        <w:rPr>
          <w:rStyle w:val="FootnoteReference"/>
          <w:noProof/>
        </w:rPr>
        <w:footnoteReference w:id="44"/>
      </w:r>
      <w:r>
        <w:rPr>
          <w:noProof/>
        </w:rPr>
        <w:t xml:space="preserve">, dans des conditions strictes, jusqu’à ce que des solutions de substitution acceptables soient trouvées. Les dérogations pour certaines utilisations devront s’accompagner d’exigences visant à réduire les émissions à toutes les étapes du cycle de vie afin de limiter les rejets de polluants dans l’environnement, ainsi que d’incitations claires à innover. </w:t>
      </w:r>
    </w:p>
    <w:p w14:paraId="3A4B9FAF" w14:textId="65296F3E" w:rsidR="002E0995" w:rsidRPr="0083765B" w:rsidRDefault="472A4421" w:rsidP="002E0995">
      <w:pPr>
        <w:rPr>
          <w:noProof/>
        </w:rPr>
      </w:pPr>
      <w:r>
        <w:rPr>
          <w:noProof/>
        </w:rPr>
        <w:t>La Commission soutiendra les efforts déployés par l’industrie en vue de l’atténuation et de la réhabilitation afin d’accroître la résilience dans le domaine de l’eau, de renforcer la santé des océans</w:t>
      </w:r>
      <w:r>
        <w:rPr>
          <w:rStyle w:val="FootnoteReference"/>
          <w:noProof/>
        </w:rPr>
        <w:footnoteReference w:id="45"/>
      </w:r>
      <w:r>
        <w:rPr>
          <w:noProof/>
        </w:rPr>
        <w:t xml:space="preserve"> et de lutter contre la pollution de l’eau, des sols et de l’atmosphère.</w:t>
      </w:r>
    </w:p>
    <w:p w14:paraId="31A2BD1C" w14:textId="3E5D141F" w:rsidR="0007705A" w:rsidRPr="0083765B" w:rsidRDefault="2305A6E5" w:rsidP="096259C7">
      <w:pPr>
        <w:spacing w:before="100" w:beforeAutospacing="1"/>
        <w:rPr>
          <w:noProof/>
        </w:rPr>
      </w:pPr>
      <w:r>
        <w:rPr>
          <w:noProof/>
        </w:rPr>
        <w:t>Afin de soutenir la transition vers l’abandon des PFAS, la Commission applique une stratégie globale associant mesures réglementaires et autres mesures. Ces mesures comprendront notamment des investissements ciblés dans la recherche, l’innovation pour des solutions de substitution sûres et durables, et l’intensification de la coordination entre les institutions et les États membres de l’UE, et des réseaux d’experts en vue de la mutualisation des connaissances et des solutions. Les pôles d’innovation de l’UE accorderont la priorité aux actions visant à trouver des solutions sûres et durables de substitution aux PFAS.</w:t>
      </w:r>
    </w:p>
    <w:p w14:paraId="625F3501" w14:textId="57F8D990" w:rsidR="002E0995" w:rsidRPr="0083765B" w:rsidRDefault="75677E6E" w:rsidP="00D9009E">
      <w:pPr>
        <w:spacing w:before="100" w:beforeAutospacing="1"/>
        <w:rPr>
          <w:noProof/>
        </w:rPr>
      </w:pPr>
      <w:r>
        <w:rPr>
          <w:noProof/>
        </w:rPr>
        <w:t>La Commission encouragera l’abandon des PFAS au profit de solutions de substitutions plus sûres</w:t>
      </w:r>
      <w:r>
        <w:rPr>
          <w:rStyle w:val="FootnoteReference"/>
          <w:noProof/>
        </w:rPr>
        <w:footnoteReference w:id="46"/>
      </w:r>
      <w:r>
        <w:rPr>
          <w:noProof/>
        </w:rPr>
        <w:t xml:space="preserve">. L’UE doit prendre des mesures fermes pour nettoyer les sites déjà fortement pollués par ces substances. Le nettoyage devrait être fondé sur le principe du pollueur-payeur, des fonds publics étant mobilisés pour dépolluer les sites orphelins, lorsqu’aucune entité responsable n’a pu être identifiée. Si les mesures de réhabilitation sont très coûteuses, la recherche et l’innovation peuvent réduire considérablement ces coûts grâce à des technologies nouvelles, y compris biosourcées, qui seront encouragées dans la stratégie pour la bioéconomie. </w:t>
      </w:r>
    </w:p>
    <w:p w14:paraId="0239D8AA" w14:textId="03C89E44" w:rsidR="002E0995" w:rsidRPr="0083765B" w:rsidRDefault="472A4421" w:rsidP="00D9009E">
      <w:pPr>
        <w:spacing w:before="100" w:beforeAutospacing="1"/>
        <w:rPr>
          <w:noProof/>
        </w:rPr>
      </w:pPr>
      <w:r>
        <w:rPr>
          <w:noProof/>
        </w:rPr>
        <w:t>Un nouveau cadre de surveillance des PFAS à l’échelle de l’UE sera établi afin de centraliser les informations, de déterminer les points de pollution critiques, de mettre en évidence les pratiques de réhabilitation efficaces et de collecter des données provenant de la législation pertinente. La Commission étudiera les meilleurs moyens d’améliorer le partage d’informations et la communication sur la pollution liée aux PFAS et le remplacement de celles-ci, et engagera un dialogue réunissant les parties prenantes afin de soutenir une vision globale des défis liés à la pollution aux PFAS. En outre, pour lutter contre la pollution héritée du passé, la Commission s’efforcera de mettre en place une initiative public-privé afin de réaliser une percée technologique dans le domaine des méthodes réalisables et abordables de détection et d’élimination des PFAS.</w:t>
      </w:r>
    </w:p>
    <w:p w14:paraId="0039AE4E" w14:textId="77777777" w:rsidR="002E0995" w:rsidRPr="0083765B" w:rsidRDefault="002E0995" w:rsidP="002E0995">
      <w:pPr>
        <w:pStyle w:val="Heading2"/>
        <w:rPr>
          <w:noProof/>
        </w:rPr>
      </w:pPr>
      <w:r>
        <w:rPr>
          <w:noProof/>
        </w:rPr>
        <w:t>Sécurité et santé au travail</w:t>
      </w:r>
    </w:p>
    <w:p w14:paraId="3FE090D3" w14:textId="3A418973" w:rsidR="002E0995" w:rsidRPr="0083765B" w:rsidRDefault="002E0995" w:rsidP="002E0995">
      <w:pPr>
        <w:spacing w:before="100" w:beforeAutospacing="1"/>
        <w:rPr>
          <w:noProof/>
          <w:szCs w:val="24"/>
        </w:rPr>
      </w:pPr>
      <w:r>
        <w:rPr>
          <w:noProof/>
        </w:rPr>
        <w:t>La sécurité et la santé au travail sont essentielles non seulement pour protéger la santé et la sécurité des travailleurs, mais aussi pour stimuler la productivité, renforcer la compétitivité et garantir des conditions de concurrence équitables dans tous les secteurs. Cet objectif est atteint, entre autres, par l’établissement de limites d’exposition professionnelle au niveau de l’UE conformément à la directive sur les agents cancérigènes ou mutagènes et les substances reprotoxiques (DCMR)</w:t>
      </w:r>
      <w:r>
        <w:rPr>
          <w:rStyle w:val="FootnoteReference"/>
          <w:noProof/>
          <w:szCs w:val="24"/>
          <w:lang w:val="en-IE"/>
        </w:rPr>
        <w:footnoteReference w:id="47"/>
      </w:r>
      <w:r>
        <w:rPr>
          <w:noProof/>
        </w:rPr>
        <w:t xml:space="preserve"> et à la directive sur les agents chimiques</w:t>
      </w:r>
      <w:r>
        <w:rPr>
          <w:rStyle w:val="FootnoteReference"/>
          <w:noProof/>
          <w:szCs w:val="24"/>
          <w:lang w:val="en-IE"/>
        </w:rPr>
        <w:footnoteReference w:id="48"/>
      </w:r>
      <w:r>
        <w:rPr>
          <w:noProof/>
        </w:rPr>
        <w:t xml:space="preserve">. </w:t>
      </w:r>
    </w:p>
    <w:p w14:paraId="7A113D74" w14:textId="5982A94E" w:rsidR="00CA397C" w:rsidRPr="0083765B" w:rsidRDefault="00CA397C" w:rsidP="00CA397C">
      <w:pPr>
        <w:pBdr>
          <w:top w:val="single" w:sz="4" w:space="1" w:color="auto"/>
          <w:left w:val="single" w:sz="4" w:space="4" w:color="auto"/>
          <w:bottom w:val="single" w:sz="4" w:space="1" w:color="auto"/>
          <w:right w:val="single" w:sz="4" w:space="4" w:color="auto"/>
        </w:pBdr>
        <w:rPr>
          <w:b/>
          <w:noProof/>
        </w:rPr>
      </w:pPr>
      <w:r>
        <w:rPr>
          <w:b/>
          <w:noProof/>
        </w:rPr>
        <w:t>La Commission:</w:t>
      </w:r>
    </w:p>
    <w:p w14:paraId="026F7C5D" w14:textId="019D90FE" w:rsidR="00CA397C" w:rsidRPr="0083765B" w:rsidRDefault="00545DD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adoptera une proposition de train de mesures omnibus pour l’industrie chimique (T3 2025);</w:t>
      </w:r>
    </w:p>
    <w:p w14:paraId="0A02A620" w14:textId="489C1182"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modifiera les critères permettant de «ne pas causer de préjudice important» pour la prévention et la réduction de la pollution dans le cadre du règlement sur la taxinomie (T3 2025);</w:t>
      </w:r>
    </w:p>
    <w:p w14:paraId="22ABBECB" w14:textId="2658757B"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adoptera une proposition de révision ciblée du règlement REACH (T4 2025);</w:t>
      </w:r>
    </w:p>
    <w:p w14:paraId="31C33FD0" w14:textId="2A9FB90A"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adoptera une proposition de règlement de base de l’ECHA (T3 2025);</w:t>
      </w:r>
    </w:p>
    <w:p w14:paraId="2A73E37F" w14:textId="4C8A87CE"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adoptera un train de mesures omnibus sur la simplification concernant les produits phytopharmaceutiques et accélérera l’accès au marché pour les biopesticides (T4 2025);</w:t>
      </w:r>
    </w:p>
    <w:p w14:paraId="3AEB4190" w14:textId="7988B523" w:rsidR="00CA397C" w:rsidRPr="0083765B" w:rsidRDefault="78BD657C">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adoptera une proposition visant à réduire la charge administrative dans la législation environnementale (train de mesures omnibus sur l’environnement) (T4 2025);</w:t>
      </w:r>
    </w:p>
    <w:p w14:paraId="21ADF12F" w14:textId="727A6EA4" w:rsidR="00CA397C" w:rsidRPr="0083765B" w:rsidRDefault="00460CA7" w:rsidP="00460CA7">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proposera une restriction des PFAS dans le cadre du règlement REACH en se fondant sur l’avis de l’ECHA sur le dossier relatif à la restriction «universelle» des PFAS;</w:t>
      </w:r>
    </w:p>
    <w:p w14:paraId="20D54D44" w14:textId="14D0103B" w:rsidR="00CA397C" w:rsidRPr="0083765B" w:rsidRDefault="26BC4E98" w:rsidP="096259C7">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rPr>
      </w:pPr>
      <w:r>
        <w:rPr>
          <w:rFonts w:ascii="Times New Roman" w:hAnsi="Times New Roman"/>
          <w:noProof/>
          <w:sz w:val="24"/>
        </w:rPr>
        <w:t>élaborera un cadre de surveillance des PFAS à l’échelle de l’UE afin de centraliser les données et de promouvoir des solutions pratiques fondées sur des données scientifiques pour une transition durable de l’industrie de l’UE (T4 2026)</w:t>
      </w:r>
      <w:r>
        <w:rPr>
          <w:rFonts w:ascii="Times New Roman" w:hAnsi="Times New Roman"/>
          <w:noProof/>
        </w:rPr>
        <w:t>;</w:t>
      </w:r>
    </w:p>
    <w:p w14:paraId="7378ED98" w14:textId="5FC37463" w:rsidR="7D6F8CF0" w:rsidRPr="0083765B" w:rsidRDefault="7D6F8CF0">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rPr>
      </w:pPr>
      <w:r>
        <w:rPr>
          <w:rFonts w:ascii="Times New Roman" w:hAnsi="Times New Roman"/>
          <w:noProof/>
          <w:sz w:val="24"/>
        </w:rPr>
        <w:t xml:space="preserve">engagera un dialogue réunissant les parties prenantes afin de soutenir une vision globale des défis liés à la pollution par les PFAS (T2 2026). </w:t>
      </w:r>
    </w:p>
    <w:p w14:paraId="6B476000" w14:textId="77777777" w:rsidR="002E0995" w:rsidRPr="0083765B" w:rsidRDefault="002E0995" w:rsidP="002E0995">
      <w:pPr>
        <w:pStyle w:val="Heading1"/>
        <w:rPr>
          <w:noProof/>
        </w:rPr>
      </w:pPr>
      <w:r>
        <w:rPr>
          <w:noProof/>
        </w:rPr>
        <w:t xml:space="preserve">Conclusion </w:t>
      </w:r>
    </w:p>
    <w:p w14:paraId="09B50AFC" w14:textId="6C56C71A" w:rsidR="096259C7" w:rsidRPr="0083765B" w:rsidRDefault="00EE53AF" w:rsidP="00D9009E">
      <w:pPr>
        <w:spacing w:before="100" w:beforeAutospacing="1"/>
        <w:rPr>
          <w:noProof/>
        </w:rPr>
      </w:pPr>
      <w:r>
        <w:rPr>
          <w:noProof/>
        </w:rPr>
        <w:t xml:space="preserve">La réussite de la mise en œuvre de ce plan d’action nécessitera un effort concerté de la part de toutes les parties prenantes, y compris des institutions européennes, des États membres, de l’industrie et de la société civile. Il sera essentiel de travailler ensemble pour créer un environnement favorable aux entreprises, promouvoir les investissements dans la décarbonation et l’innovation, réduire les dépendances du secteur et donner accès aux ressources nécessaires à la transition vers un avenir plus compétitif et plus durable. </w:t>
      </w:r>
    </w:p>
    <w:p w14:paraId="64C175CC" w14:textId="5B10A520" w:rsidR="002E0995" w:rsidRPr="0083765B" w:rsidRDefault="002E0995" w:rsidP="00D9009E">
      <w:pPr>
        <w:spacing w:before="100" w:beforeAutospacing="1"/>
        <w:rPr>
          <w:noProof/>
          <w:szCs w:val="24"/>
        </w:rPr>
      </w:pPr>
      <w:r>
        <w:rPr>
          <w:noProof/>
        </w:rPr>
        <w:t>La Commission est déterminée à collaborer étroitement avec toutes les parties prenantes pour faire en sorte que ce plan d’action soit mis en œuvre efficacement et que ses objectifs soient atteints. À cette fin, elle maintiendra un dialogue étroit avec les parties prenantes, suivra les résultats de ce plan d’action et veillera à ce qu’il soit mis en œuvre rapidement.</w:t>
      </w:r>
    </w:p>
    <w:p w14:paraId="6CD105E6" w14:textId="77777777" w:rsidR="002E0995" w:rsidRPr="0083765B" w:rsidRDefault="002E0995" w:rsidP="00D9009E">
      <w:pPr>
        <w:spacing w:before="100" w:beforeAutospacing="1"/>
        <w:rPr>
          <w:noProof/>
          <w:szCs w:val="24"/>
        </w:rPr>
      </w:pPr>
      <w:r>
        <w:rPr>
          <w:noProof/>
        </w:rPr>
        <w:t>Grâce à ces efforts de collaboration, nous pouvons faire en sorte que l’industrie chimique de l’UE continue de jouer un rôle essentiel dans l’économie et la société de l’UE, tout en contribuant à la réalisation des objectifs climatiques et environnementaux de l’UE.</w:t>
      </w:r>
    </w:p>
    <w:p w14:paraId="22EF81E0" w14:textId="3AC773F1" w:rsidR="00FB0706" w:rsidRPr="00A72501" w:rsidRDefault="002E0995" w:rsidP="002E0995">
      <w:pPr>
        <w:pStyle w:val="Text1"/>
        <w:spacing w:line="257" w:lineRule="auto"/>
        <w:ind w:left="284"/>
        <w:jc w:val="center"/>
        <w:rPr>
          <w:noProof/>
          <w:szCs w:val="24"/>
        </w:rPr>
      </w:pPr>
      <w:r>
        <w:rPr>
          <w:noProof/>
          <w:color w:val="000000" w:themeColor="text1"/>
        </w:rPr>
        <w:t>***</w:t>
      </w:r>
    </w:p>
    <w:sectPr w:rsidR="00FB0706" w:rsidRPr="00A72501" w:rsidSect="00F06D58">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6" w:h="16838"/>
      <w:pgMar w:top="1020" w:right="1701" w:bottom="1020" w:left="1587" w:header="601"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FF4B0" w14:textId="77777777" w:rsidR="00BF4E4A" w:rsidRDefault="00BF4E4A">
      <w:pPr>
        <w:spacing w:after="0"/>
      </w:pPr>
      <w:r>
        <w:separator/>
      </w:r>
    </w:p>
  </w:endnote>
  <w:endnote w:type="continuationSeparator" w:id="0">
    <w:p w14:paraId="4ADE78FA" w14:textId="77777777" w:rsidR="00BF4E4A" w:rsidRDefault="00BF4E4A">
      <w:pPr>
        <w:spacing w:after="0"/>
      </w:pPr>
      <w:r>
        <w:continuationSeparator/>
      </w:r>
    </w:p>
  </w:endnote>
  <w:endnote w:type="continuationNotice" w:id="1">
    <w:p w14:paraId="0271FA01" w14:textId="77777777" w:rsidR="00BF4E4A" w:rsidRDefault="00BF4E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1820F" w14:textId="171C4D8E" w:rsidR="007D0118" w:rsidRPr="007D0118" w:rsidRDefault="007D0118" w:rsidP="007D0118">
    <w:pPr>
      <w:pStyle w:val="FooterCoverPage"/>
      <w:rPr>
        <w:rFonts w:ascii="Arial" w:hAnsi="Arial" w:cs="Arial"/>
        <w:b/>
        <w:sz w:val="48"/>
      </w:rPr>
    </w:pPr>
    <w:r w:rsidRPr="007D0118">
      <w:rPr>
        <w:rFonts w:ascii="Arial" w:hAnsi="Arial" w:cs="Arial"/>
        <w:b/>
        <w:sz w:val="48"/>
      </w:rPr>
      <w:t>FR</w:t>
    </w:r>
    <w:r w:rsidRPr="007D0118">
      <w:rPr>
        <w:rFonts w:ascii="Arial" w:hAnsi="Arial" w:cs="Arial"/>
        <w:b/>
        <w:sz w:val="48"/>
      </w:rPr>
      <w:tab/>
    </w:r>
    <w:r w:rsidRPr="007D0118">
      <w:rPr>
        <w:rFonts w:ascii="Arial" w:hAnsi="Arial" w:cs="Arial"/>
        <w:b/>
        <w:sz w:val="48"/>
      </w:rPr>
      <w:tab/>
    </w:r>
    <w:r w:rsidRPr="007D0118">
      <w:tab/>
    </w:r>
    <w:r w:rsidRPr="007D0118">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84EAB" w14:textId="5EA0E209" w:rsidR="007D0118" w:rsidRPr="007D0118" w:rsidRDefault="007D0118" w:rsidP="007D0118">
    <w:pPr>
      <w:pStyle w:val="FooterCoverPage"/>
      <w:rPr>
        <w:rFonts w:ascii="Arial" w:hAnsi="Arial" w:cs="Arial"/>
        <w:b/>
        <w:sz w:val="48"/>
      </w:rPr>
    </w:pPr>
    <w:r w:rsidRPr="007D0118">
      <w:rPr>
        <w:rFonts w:ascii="Arial" w:hAnsi="Arial" w:cs="Arial"/>
        <w:b/>
        <w:sz w:val="48"/>
      </w:rPr>
      <w:t>FR</w:t>
    </w:r>
    <w:r w:rsidRPr="007D0118">
      <w:rPr>
        <w:rFonts w:ascii="Arial" w:hAnsi="Arial" w:cs="Arial"/>
        <w:b/>
        <w:sz w:val="48"/>
      </w:rPr>
      <w:tab/>
    </w:r>
    <w:r w:rsidRPr="007D0118">
      <w:rPr>
        <w:rFonts w:ascii="Arial" w:hAnsi="Arial" w:cs="Arial"/>
        <w:b/>
        <w:sz w:val="48"/>
      </w:rPr>
      <w:tab/>
    </w:r>
    <w:r w:rsidRPr="007D0118">
      <w:tab/>
    </w:r>
    <w:r w:rsidRPr="007D0118">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37E92" w14:textId="77777777" w:rsidR="007D0118" w:rsidRPr="007D0118" w:rsidRDefault="007D0118" w:rsidP="007D011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1D59C" w14:textId="77777777" w:rsidR="00F84713" w:rsidRPr="00F84713" w:rsidRDefault="00F84713" w:rsidP="00F84713">
    <w:pPr>
      <w:pStyle w:val="FooterCoverPage"/>
      <w:rPr>
        <w:rFonts w:ascii="Arial" w:hAnsi="Arial" w:cs="Arial"/>
        <w:b/>
        <w:sz w:val="48"/>
      </w:rPr>
    </w:pPr>
    <w:r>
      <w:rPr>
        <w:rFonts w:ascii="Arial" w:hAnsi="Arial"/>
        <w:b/>
        <w:sz w:val="48"/>
      </w:rPr>
      <w:t>FR</w:t>
    </w:r>
    <w:r>
      <w:tab/>
    </w:r>
    <w:r>
      <w:tab/>
    </w:r>
    <w:r>
      <w:tab/>
    </w:r>
    <w:r>
      <w:rPr>
        <w:rFonts w:ascii="Arial" w:hAnsi="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FAFE" w14:textId="01BFA59E" w:rsidR="00F84713" w:rsidRDefault="00F84713">
    <w:pPr>
      <w:pStyle w:val="FooterLine"/>
      <w:jc w:val="center"/>
    </w:pPr>
    <w:r>
      <w:fldChar w:fldCharType="begin"/>
    </w:r>
    <w:r>
      <w:instrText>PAGE   \* MERGEFORMAT</w:instrText>
    </w:r>
    <w:r>
      <w:fldChar w:fldCharType="separate"/>
    </w:r>
    <w:r w:rsidR="007D0118">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CDB22" w14:textId="77777777" w:rsidR="00F84713" w:rsidRDefault="00F84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40D95" w14:textId="77777777" w:rsidR="00BF4E4A" w:rsidRDefault="00BF4E4A">
      <w:pPr>
        <w:spacing w:after="0"/>
      </w:pPr>
      <w:r>
        <w:separator/>
      </w:r>
    </w:p>
  </w:footnote>
  <w:footnote w:type="continuationSeparator" w:id="0">
    <w:p w14:paraId="20602003" w14:textId="77777777" w:rsidR="00BF4E4A" w:rsidRDefault="00BF4E4A">
      <w:pPr>
        <w:spacing w:after="0"/>
      </w:pPr>
      <w:r>
        <w:continuationSeparator/>
      </w:r>
    </w:p>
  </w:footnote>
  <w:footnote w:type="continuationNotice" w:id="1">
    <w:p w14:paraId="28529B92" w14:textId="77777777" w:rsidR="00BF4E4A" w:rsidRDefault="00BF4E4A">
      <w:pPr>
        <w:spacing w:after="0"/>
      </w:pPr>
    </w:p>
  </w:footnote>
  <w:footnote w:id="2">
    <w:p w14:paraId="36A6873A" w14:textId="342F5563" w:rsidR="00E71C1B" w:rsidRPr="00832FEA" w:rsidRDefault="00E71C1B" w:rsidP="00832FEA">
      <w:pPr>
        <w:pStyle w:val="FootnoteText"/>
        <w:spacing w:after="0"/>
      </w:pPr>
      <w:r>
        <w:footnoteRef/>
      </w:r>
      <w:r>
        <w:tab/>
        <w:t xml:space="preserve">On estime que ces grands sites représentent entre 10 000 et 20 000 pertes d’emplois. </w:t>
      </w:r>
    </w:p>
  </w:footnote>
  <w:footnote w:id="3">
    <w:p w14:paraId="29EFE7BD" w14:textId="77777777" w:rsidR="002E0995" w:rsidRPr="00832FEA" w:rsidRDefault="002E0995" w:rsidP="00832FEA">
      <w:pPr>
        <w:pStyle w:val="FootnoteText"/>
        <w:spacing w:after="0"/>
      </w:pPr>
      <w:r>
        <w:footnoteRef/>
      </w:r>
      <w:r>
        <w:tab/>
        <w:t>Communication de la Commission au Parlement européen, au Conseil, au Comité économique et social européen et au Comité des régions - Une boussole pour la compétitivité de l’UE [COM(2025) 30 final].</w:t>
      </w:r>
    </w:p>
  </w:footnote>
  <w:footnote w:id="4">
    <w:p w14:paraId="739A15FF" w14:textId="21108C24" w:rsidR="002E0995" w:rsidRPr="00832FEA" w:rsidRDefault="002E0995" w:rsidP="00832FEA">
      <w:pPr>
        <w:pStyle w:val="FootnoteText"/>
        <w:spacing w:after="0"/>
      </w:pPr>
      <w:r>
        <w:footnoteRef/>
      </w:r>
      <w:r>
        <w:tab/>
        <w:t>Communication de la Commission au Parlement européen, au Conseil, au Comité économique et social européen et au Comité des régions - Le pacte pour une industrie propre: une feuille de route commune pour la compétitivité et la décarbonation [COM(2025) 85 final].</w:t>
      </w:r>
    </w:p>
  </w:footnote>
  <w:footnote w:id="5">
    <w:p w14:paraId="64AA097E" w14:textId="5ED1BC3A" w:rsidR="00074F73" w:rsidRPr="00832FEA" w:rsidRDefault="00074F73" w:rsidP="00832FEA">
      <w:pPr>
        <w:pStyle w:val="FootnoteText"/>
        <w:spacing w:after="0"/>
      </w:pPr>
      <w:r>
        <w:footnoteRef/>
      </w:r>
      <w:r>
        <w:tab/>
        <w:t>Proposition de règlement du Parlement européen et du Conseil modifiant les règlements (CE) nº 1272/2008, (CE) nº 1223/2009 et (UE) 2019/1009 en ce qui concerne la simplification de certaines exigences et procédures applicables aux produits chimiques [COM(2025) 531 final].</w:t>
      </w:r>
    </w:p>
  </w:footnote>
  <w:footnote w:id="6">
    <w:p w14:paraId="19D45C67" w14:textId="2F2EDD21" w:rsidR="00074F73" w:rsidRPr="002B1829" w:rsidRDefault="00074F73" w:rsidP="00832FEA">
      <w:pPr>
        <w:pStyle w:val="FootnoteText"/>
        <w:spacing w:after="0"/>
      </w:pPr>
      <w:r>
        <w:footnoteRef/>
      </w:r>
      <w:r>
        <w:tab/>
        <w:t>RÈGLEMENT DÉLÉGUÉ (UE).../... DE LA COMMISSION complétant la directive (UE) 2024/1788 du Parlement européen et du Conseil en précisant une méthode d’évaluation des réductions des émissions de gaz à effet de serre réalisées grâce aux carburants bas carbone [C 2025 (4674)].</w:t>
      </w:r>
    </w:p>
  </w:footnote>
  <w:footnote w:id="7">
    <w:p w14:paraId="22D1BCA3" w14:textId="33E60F95" w:rsidR="00074F73" w:rsidRPr="002B1829" w:rsidRDefault="00074F73" w:rsidP="00832FEA">
      <w:pPr>
        <w:pStyle w:val="FootnoteText"/>
        <w:spacing w:after="0"/>
      </w:pPr>
      <w:r>
        <w:rPr>
          <w:rStyle w:val="FootnoteReference"/>
        </w:rPr>
        <w:footnoteRef/>
      </w:r>
      <w:r>
        <w:tab/>
        <w:t>Proposition de règlement du Parlement européen et du Conseil relatif à l’Agence européenne des produits chimiques et modifiant les règlements (CE) nº 1907/2006, (UE) nº 528/2012, (UE) nº 649/2012 et (UE) 2019/1021, COM 2025 (386).</w:t>
      </w:r>
    </w:p>
  </w:footnote>
  <w:footnote w:id="8">
    <w:p w14:paraId="487A2B52" w14:textId="073A2B46" w:rsidR="00247342" w:rsidRPr="00654F3D" w:rsidRDefault="00247342" w:rsidP="002B1829">
      <w:pPr>
        <w:pStyle w:val="FootnoteText"/>
        <w:spacing w:after="0"/>
      </w:pPr>
      <w:r>
        <w:rPr>
          <w:rStyle w:val="FootnoteReference"/>
        </w:rPr>
        <w:footnoteRef/>
      </w:r>
      <w:r>
        <w:tab/>
        <w:t>En particulier, les craqueurs d’éthane courants aux États-Unis et au Moyen-Orient.</w:t>
      </w:r>
    </w:p>
  </w:footnote>
  <w:footnote w:id="9">
    <w:p w14:paraId="684B8693" w14:textId="3283335A" w:rsidR="00C21C0D" w:rsidRPr="002B1829" w:rsidRDefault="00B01A4F" w:rsidP="002B1829">
      <w:pPr>
        <w:pStyle w:val="FootnoteText"/>
        <w:spacing w:after="0"/>
      </w:pPr>
      <w:r>
        <w:rPr>
          <w:rStyle w:val="FootnoteReference"/>
        </w:rPr>
        <w:footnoteRef/>
      </w:r>
      <w:r>
        <w:t xml:space="preserve"> Il s’agit notamment des oléfines, des aromatiques, du méthanol, de l’ammoniac et du chlore. </w:t>
      </w:r>
    </w:p>
  </w:footnote>
  <w:footnote w:id="10">
    <w:p w14:paraId="12673430" w14:textId="616155BB" w:rsidR="00E71C1B" w:rsidRPr="002B1829" w:rsidRDefault="00E71C1B" w:rsidP="002B1829">
      <w:pPr>
        <w:pStyle w:val="FootnoteText"/>
        <w:spacing w:after="0"/>
      </w:pPr>
      <w:r>
        <w:rPr>
          <w:rStyle w:val="FootnoteReference"/>
        </w:rPr>
        <w:footnoteRef/>
      </w:r>
      <w:r>
        <w:t xml:space="preserve"> Rapport du Conseil européen de l’industrie chimique (CEFIC): </w:t>
      </w:r>
      <w:r>
        <w:rPr>
          <w:i/>
          <w:iCs/>
        </w:rPr>
        <w:t>The Competitiveness of the EU Chemical Industry</w:t>
      </w:r>
      <w:r>
        <w:t xml:space="preserve"> (La compétitivité de l’industrie chimique de l’UE, en anglais uniquement).</w:t>
      </w:r>
    </w:p>
  </w:footnote>
  <w:footnote w:id="11">
    <w:p w14:paraId="742B781D" w14:textId="365F0592" w:rsidR="00612845" w:rsidRPr="002B1829" w:rsidRDefault="00612845" w:rsidP="002B1829">
      <w:pPr>
        <w:pStyle w:val="FootnoteText"/>
        <w:spacing w:after="0"/>
      </w:pPr>
      <w:r>
        <w:rPr>
          <w:rStyle w:val="FootnoteReference"/>
        </w:rPr>
        <w:footnoteRef/>
      </w:r>
      <w:r>
        <w:t xml:space="preserve"> Dépendance aux engrais, par exemple.</w:t>
      </w:r>
    </w:p>
  </w:footnote>
  <w:footnote w:id="12">
    <w:p w14:paraId="4BCB89AD" w14:textId="71A01323" w:rsidR="009C63BE" w:rsidRPr="002B1829" w:rsidRDefault="009C63BE" w:rsidP="00832FEA">
      <w:pPr>
        <w:pStyle w:val="FootnoteText"/>
        <w:spacing w:after="0"/>
      </w:pPr>
      <w:r>
        <w:rPr>
          <w:rStyle w:val="FootnoteReference"/>
        </w:rPr>
        <w:footnoteRef/>
      </w:r>
      <w:r>
        <w:tab/>
        <w:t>Dans le respect des règles de concurrence et des engagements internationaux de l’UE.</w:t>
      </w:r>
    </w:p>
  </w:footnote>
  <w:footnote w:id="13">
    <w:p w14:paraId="68EB75FC" w14:textId="77777777" w:rsidR="00FC6EFF" w:rsidRPr="00C94CEB" w:rsidRDefault="00FC6EFF" w:rsidP="00832FEA">
      <w:pPr>
        <w:pStyle w:val="FootnoteText"/>
        <w:spacing w:after="0"/>
      </w:pPr>
      <w:r>
        <w:rPr>
          <w:rStyle w:val="FootnoteReference"/>
        </w:rPr>
        <w:footnoteRef/>
      </w:r>
      <w:r>
        <w:t xml:space="preserve"> Pour les matières premières critiques, voir le système d’information sur les matières premières, RMIS (https://rmis.jrc.ec.europa.eu/).</w:t>
      </w:r>
    </w:p>
  </w:footnote>
  <w:footnote w:id="14">
    <w:p w14:paraId="2017DF70" w14:textId="77777777" w:rsidR="003144BF" w:rsidRPr="002B1829" w:rsidRDefault="003144BF">
      <w:pPr>
        <w:pStyle w:val="FootnoteText"/>
      </w:pPr>
      <w:r>
        <w:rPr>
          <w:rStyle w:val="FootnoteReference"/>
        </w:rPr>
        <w:footnoteRef/>
      </w:r>
      <w:r>
        <w:tab/>
        <w:t>Communication de la Commission intitulée «Une politique de cohésion modernisée: l’examen à mi-parcours», COM(2025) 163 final, 1</w:t>
      </w:r>
      <w:r>
        <w:rPr>
          <w:vertAlign w:val="superscript"/>
        </w:rPr>
        <w:t>er</w:t>
      </w:r>
      <w:r>
        <w:t> avril 2025.</w:t>
      </w:r>
    </w:p>
  </w:footnote>
  <w:footnote w:id="15">
    <w:p w14:paraId="60A95B24" w14:textId="77777777" w:rsidR="00E51286" w:rsidRPr="00004963" w:rsidRDefault="00E51286" w:rsidP="00E51286">
      <w:pPr>
        <w:pStyle w:val="FootnoteText"/>
      </w:pPr>
      <w:r>
        <w:rPr>
          <w:rStyle w:val="FootnoteReference"/>
        </w:rPr>
        <w:footnoteRef/>
      </w:r>
      <w:r>
        <w:tab/>
        <w:t>Dans le cadre du pacte pour les compétences, un partenariat régional emmené par le réseau européen des régions de la chimie s’est fixé comme principal engagement d’aider les régions à relever les défis posés par la transition de l’industrie vers des pratiques écologiques et numériques.</w:t>
      </w:r>
    </w:p>
  </w:footnote>
  <w:footnote w:id="16">
    <w:p w14:paraId="0E9B53A9" w14:textId="5A5D2B57" w:rsidR="00502E12" w:rsidRPr="00D9009E" w:rsidRDefault="00502E12">
      <w:pPr>
        <w:pStyle w:val="FootnoteText"/>
      </w:pPr>
      <w:r>
        <w:rPr>
          <w:rStyle w:val="FootnoteReference"/>
        </w:rPr>
        <w:footnoteRef/>
      </w:r>
      <w:r>
        <w:tab/>
        <w:t xml:space="preserve">Une boîte à outils complète de l’UE pour un commerce électronique sûr et durable, COM(2025) 37 final. </w:t>
      </w:r>
    </w:p>
  </w:footnote>
  <w:footnote w:id="17">
    <w:p w14:paraId="2878B457" w14:textId="77777777" w:rsidR="00F968F0" w:rsidRPr="00004963" w:rsidRDefault="00F968F0" w:rsidP="00F968F0">
      <w:pPr>
        <w:pStyle w:val="FootnoteText"/>
      </w:pPr>
      <w:r>
        <w:rPr>
          <w:rStyle w:val="FootnoteReference"/>
        </w:rPr>
        <w:footnoteRef/>
      </w:r>
      <w:r>
        <w:tab/>
        <w:t>COM(2025) 500 final.</w:t>
      </w:r>
    </w:p>
  </w:footnote>
  <w:footnote w:id="18">
    <w:p w14:paraId="32397CF0" w14:textId="5BC8D6C4" w:rsidR="0015319D" w:rsidRPr="00414E4C" w:rsidRDefault="00B01A4F" w:rsidP="0015319D">
      <w:pPr>
        <w:pStyle w:val="FootnoteText"/>
      </w:pPr>
      <w:r>
        <w:rPr>
          <w:rStyle w:val="FootnoteReference"/>
        </w:rPr>
        <w:footnoteRef/>
      </w:r>
      <w:r>
        <w:t xml:space="preserve"> Voir également la communication de la Commission intitulée «Une boîte à outils complète de l’UE pour un commerce électronique sûr et durable» [COM(2025) 37 final], 5 février 2025, p. 12. </w:t>
      </w:r>
    </w:p>
  </w:footnote>
  <w:footnote w:id="19">
    <w:p w14:paraId="794ADDC1" w14:textId="77777777" w:rsidR="002E0995" w:rsidRPr="00B4173E" w:rsidRDefault="002E0995" w:rsidP="00832FEA">
      <w:pPr>
        <w:pStyle w:val="FootnoteText"/>
        <w:spacing w:after="0"/>
      </w:pPr>
      <w:r>
        <w:rPr>
          <w:rStyle w:val="FootnoteReference"/>
        </w:rPr>
        <w:footnoteRef/>
      </w:r>
      <w:r>
        <w:tab/>
        <w:t>Communication de la Commission au Parlement européen, au Conseil, au Comité économique et social européen et au Comité des régions - Plan d’action pour une énergie abordable - Exploiter pleinement la vraie valeur de notre union de l’énergie pour garantir à tous les Européens une énergie abordable, efficace et propre [COM(2025)79 final].</w:t>
      </w:r>
    </w:p>
  </w:footnote>
  <w:footnote w:id="20">
    <w:p w14:paraId="640190F9" w14:textId="656846AD" w:rsidR="00B460AB" w:rsidRPr="002B1829" w:rsidRDefault="00B460AB" w:rsidP="00832FEA">
      <w:pPr>
        <w:pStyle w:val="FootnoteText"/>
        <w:spacing w:after="0"/>
      </w:pPr>
      <w:r>
        <w:rPr>
          <w:rStyle w:val="FootnoteReference"/>
        </w:rPr>
        <w:footnoteRef/>
      </w:r>
      <w:r>
        <w:tab/>
        <w:t>Communication de la Commission – Lignes directrices concernant certaines aides d’État dans le contexte du système d’échange de quotas d’émission de gaz à effet de serre après 2021 [C(2020) 6400 final].</w:t>
      </w:r>
    </w:p>
  </w:footnote>
  <w:footnote w:id="21">
    <w:p w14:paraId="77B81AF3" w14:textId="672125ED" w:rsidR="008A0D19" w:rsidRPr="008A0D19" w:rsidRDefault="008A0D19" w:rsidP="00832FEA">
      <w:pPr>
        <w:pStyle w:val="FootnoteText"/>
        <w:spacing w:after="0"/>
      </w:pPr>
      <w:r>
        <w:rPr>
          <w:rStyle w:val="FootnoteReference"/>
        </w:rPr>
        <w:footnoteRef/>
      </w:r>
      <w:r>
        <w:tab/>
        <w:t>Communication de la Commission - Encadrement des aides d’État visant à soutenir le pacte pour une industrie propre (encadrement des aides d’État dans le cadre du pacte pour une industrie propre) [C(2025) 7600].</w:t>
      </w:r>
    </w:p>
  </w:footnote>
  <w:footnote w:id="22">
    <w:p w14:paraId="2DB103D2" w14:textId="77777777" w:rsidR="008C23B7" w:rsidRPr="00614E75" w:rsidRDefault="008C23B7" w:rsidP="00832FEA">
      <w:pPr>
        <w:pStyle w:val="FootnoteText"/>
        <w:spacing w:after="0"/>
      </w:pPr>
      <w:r>
        <w:rPr>
          <w:rStyle w:val="FootnoteReference"/>
        </w:rPr>
        <w:footnoteRef/>
      </w:r>
      <w:r>
        <w:tab/>
        <w:t>Règlement (UE) 2024/1735 du Parlement européen et du Conseil du 13 juin 2024 relatif à l’établissement d’un cadre de mesures en vue de renforcer l’écosystème européen de la fabrication de produits de technologie «zéro net» (JO L, 2024/1735, 28.6.2024).</w:t>
      </w:r>
    </w:p>
  </w:footnote>
  <w:footnote w:id="23">
    <w:p w14:paraId="7AEC58B7" w14:textId="77777777" w:rsidR="008C23B7" w:rsidRDefault="008C23B7" w:rsidP="00832FEA">
      <w:pPr>
        <w:pStyle w:val="FootnoteText"/>
        <w:spacing w:after="0"/>
      </w:pPr>
      <w:r>
        <w:rPr>
          <w:rStyle w:val="FootnoteReference"/>
        </w:rPr>
        <w:footnoteRef/>
      </w:r>
      <w:r>
        <w:tab/>
        <w:t>Directive 2010/75/UE du Parlement européen et du Conseil du 24 novembre 2010 relative aux émissions industrielles et aux émissions de l’élevage (prévention et réduction intégrées de la pollution).</w:t>
      </w:r>
    </w:p>
  </w:footnote>
  <w:footnote w:id="24">
    <w:p w14:paraId="57E890C6" w14:textId="7701B693" w:rsidR="008A0D19" w:rsidRPr="002B1829" w:rsidRDefault="008A0D19" w:rsidP="00832FEA">
      <w:pPr>
        <w:pStyle w:val="FootnoteText"/>
        <w:spacing w:after="0"/>
      </w:pPr>
      <w:r>
        <w:rPr>
          <w:rStyle w:val="FootnoteReference"/>
        </w:rPr>
        <w:footnoteRef/>
      </w:r>
      <w:r>
        <w:tab/>
        <w:t>Telle que modifiée par la directive (UE) 2024/1785.</w:t>
      </w:r>
    </w:p>
  </w:footnote>
  <w:footnote w:id="25">
    <w:p w14:paraId="0D371E53" w14:textId="60C1C8EA" w:rsidR="00DA1523" w:rsidRPr="0089309D" w:rsidRDefault="00DA1523">
      <w:pPr>
        <w:pStyle w:val="FootnoteText"/>
        <w:rPr>
          <w:lang w:val="nl-NL"/>
        </w:rPr>
      </w:pPr>
      <w:r>
        <w:rPr>
          <w:rStyle w:val="FootnoteReference"/>
        </w:rPr>
        <w:footnoteRef/>
      </w:r>
      <w:r w:rsidRPr="0089309D">
        <w:rPr>
          <w:lang w:val="nl-NL"/>
        </w:rPr>
        <w:tab/>
      </w:r>
      <w:hyperlink r:id="rId1" w:history="1">
        <w:r w:rsidRPr="0089309D">
          <w:rPr>
            <w:rStyle w:val="Hyperlink"/>
            <w:lang w:val="nl-NL"/>
          </w:rPr>
          <w:t>cfde57b3-d80f-43e1-9ee4-cd96c42c6ca8_en</w:t>
        </w:r>
      </w:hyperlink>
      <w:r w:rsidRPr="0089309D">
        <w:rPr>
          <w:lang w:val="nl-NL"/>
        </w:rPr>
        <w:t xml:space="preserve">. </w:t>
      </w:r>
    </w:p>
  </w:footnote>
  <w:footnote w:id="26">
    <w:p w14:paraId="171B2CDD" w14:textId="77777777" w:rsidR="002E0995" w:rsidRPr="00B01A4F" w:rsidRDefault="002E0995" w:rsidP="002E0995">
      <w:pPr>
        <w:pStyle w:val="FootnoteText"/>
      </w:pPr>
      <w:r>
        <w:rPr>
          <w:rStyle w:val="FootnoteReference"/>
        </w:rPr>
        <w:footnoteRef/>
      </w:r>
      <w:r>
        <w:tab/>
        <w:t>Communication de la Commission au Parlement européen, au Conseil, au Comité économique et social européen et au Comité des régions - Bâtir l’avenir à l’aide de la nature: stimuler les biotechnologies et la bioproduction dans l’UE, COM(2024) 137 final.</w:t>
      </w:r>
    </w:p>
  </w:footnote>
  <w:footnote w:id="27">
    <w:p w14:paraId="5FD25CED" w14:textId="77777777" w:rsidR="00480EFE" w:rsidRPr="002B1829" w:rsidRDefault="00480EFE" w:rsidP="00832FEA">
      <w:pPr>
        <w:pStyle w:val="FootnoteText"/>
        <w:spacing w:after="0"/>
      </w:pPr>
      <w:r>
        <w:rPr>
          <w:rStyle w:val="FootnoteReference"/>
          <w:rFonts w:eastAsiaTheme="majorEastAsia"/>
        </w:rPr>
        <w:footnoteRef/>
      </w:r>
      <w:r>
        <w:tab/>
        <w:t>Communication de la Commission au Parlement européen, au Conseil, au Comité économique et social européen et au Comité des régions - Bâtir l’avenir à l’aide de la nature: stimuler les biotechnologies et la bioproduction dans l’UE, COM(2024) 137 final.</w:t>
      </w:r>
    </w:p>
  </w:footnote>
  <w:footnote w:id="28">
    <w:p w14:paraId="7C233C83" w14:textId="58213032" w:rsidR="00B01A4F" w:rsidRPr="002B1829" w:rsidRDefault="00B01A4F" w:rsidP="00832FEA">
      <w:pPr>
        <w:pStyle w:val="FootnoteText"/>
        <w:spacing w:after="0"/>
      </w:pPr>
      <w:r>
        <w:rPr>
          <w:rStyle w:val="FootnoteReference"/>
        </w:rPr>
        <w:footnoteRef/>
      </w:r>
      <w:r>
        <w:tab/>
        <w:t>Voir également la communication intitulée «Une vision pour l’agriculture et l’alimentation», adoptée en février 2025, qui a défini des perspectives pour développer la bioéconomie, valoriser les sous-produits et les déchets, accélérer l’accès au marché pour les biopesticides et soutenir le passage à l’utilisation d’engrais à faible émission de carbone et de nutriments recyclés et de digestat de biogaz.</w:t>
      </w:r>
    </w:p>
  </w:footnote>
  <w:footnote w:id="29">
    <w:p w14:paraId="0894DE79" w14:textId="77777777" w:rsidR="002E0995" w:rsidRPr="00467819" w:rsidRDefault="002E0995" w:rsidP="00832FEA">
      <w:pPr>
        <w:pStyle w:val="FootnoteText"/>
        <w:spacing w:after="0"/>
      </w:pPr>
      <w:r>
        <w:rPr>
          <w:rStyle w:val="FootnoteReference"/>
        </w:rPr>
        <w:footnoteRef/>
      </w:r>
      <w:r>
        <w:tab/>
        <w:t>Directive (UE) 2019/904 du Parlement européen et du Conseil du 5 juin 2019 relative à la réduction de l’incidence de certains produits en plastique sur l’environnement (JO L 155 du 12.6.2019, p. 1).</w:t>
      </w:r>
    </w:p>
  </w:footnote>
  <w:footnote w:id="30">
    <w:p w14:paraId="14AD184C" w14:textId="77777777" w:rsidR="008B729C" w:rsidRPr="00832FEA" w:rsidRDefault="008B729C" w:rsidP="00832FEA">
      <w:pPr>
        <w:pStyle w:val="FootnoteText"/>
        <w:spacing w:after="0"/>
      </w:pPr>
      <w:r>
        <w:rPr>
          <w:rStyle w:val="FootnoteReference"/>
          <w:rFonts w:eastAsiaTheme="majorEastAsia"/>
        </w:rPr>
        <w:footnoteRef/>
      </w:r>
      <w:r>
        <w:tab/>
        <w:t>Communication de la Commission au Parlement européen, au Conseil, au Comité économique et social européen et au Comité des régions, «Vers une gestion industrielle du carbone ambitieuse pour l’UE», COM(2024) 62 final.</w:t>
      </w:r>
    </w:p>
  </w:footnote>
  <w:footnote w:id="31">
    <w:p w14:paraId="6440C4D5" w14:textId="77777777" w:rsidR="008C23B7" w:rsidRPr="00681619" w:rsidRDefault="008C23B7" w:rsidP="00832FEA">
      <w:pPr>
        <w:pStyle w:val="FootnoteText"/>
        <w:spacing w:after="0"/>
        <w:rPr>
          <w:sz w:val="16"/>
          <w:szCs w:val="16"/>
        </w:rPr>
      </w:pPr>
      <w:r>
        <w:rPr>
          <w:rStyle w:val="FootnoteReference"/>
          <w:rFonts w:eastAsiaTheme="majorEastAsia"/>
        </w:rPr>
        <w:footnoteRef/>
      </w:r>
      <w:r>
        <w:tab/>
        <w:t>Incinération des déchets et autres procédés de gestion des déchets, tels que, notamment, la mise en décharge, qui génère des émissions de méthane et de protoxyde d’azote.</w:t>
      </w:r>
      <w:r>
        <w:rPr>
          <w:sz w:val="16"/>
        </w:rPr>
        <w:t xml:space="preserve"> </w:t>
      </w:r>
    </w:p>
  </w:footnote>
  <w:footnote w:id="32">
    <w:p w14:paraId="080A06FF" w14:textId="6CE19D71" w:rsidR="008C23B7" w:rsidRPr="00832FEA" w:rsidRDefault="00B01A4F" w:rsidP="008C23B7">
      <w:pPr>
        <w:pStyle w:val="FootnoteText"/>
        <w:spacing w:after="0"/>
        <w:ind w:left="0"/>
        <w:contextualSpacing/>
      </w:pPr>
      <w:r>
        <w:rPr>
          <w:rStyle w:val="FootnoteReference"/>
          <w:sz w:val="16"/>
          <w:szCs w:val="16"/>
        </w:rPr>
        <w:footnoteRef/>
      </w:r>
      <w:r>
        <w:rPr>
          <w:sz w:val="16"/>
        </w:rPr>
        <w:t xml:space="preserve"> </w:t>
      </w:r>
      <w:r>
        <w:t>L’entreprise commune «Une Europe fondée sur la bioéconomie circulaire» est un partenariat public-privé de 2 milliards d’EUR entre l’UE et le consortium Bio-industries (BIC). Elle finance des projets visant à promouvoir des bio-industries circulaires compétitives dans l’UE</w:t>
      </w:r>
      <w:r>
        <w:noBreakHyphen/>
        <w:t>29. L’entreprise commune «Une Europe fondée sur la bioéconomie circulaire» est financée au titre du cadre financier pluriannuel 2021-2027 et exerce ses activités conformément aux règles d’Horizon Europe pour la période 2021-2031.</w:t>
      </w:r>
    </w:p>
  </w:footnote>
  <w:footnote w:id="33">
    <w:p w14:paraId="03BB077B" w14:textId="38AC1ADE" w:rsidR="008C23B7" w:rsidRPr="00832FEA" w:rsidRDefault="00B01A4F" w:rsidP="008C23B7">
      <w:pPr>
        <w:pStyle w:val="FootnoteText"/>
        <w:spacing w:after="0"/>
        <w:ind w:left="0"/>
        <w:contextualSpacing/>
      </w:pPr>
      <w:r>
        <w:rPr>
          <w:rStyle w:val="FootnoteReference"/>
        </w:rPr>
        <w:footnoteRef/>
      </w:r>
      <w:r>
        <w:t xml:space="preserve"> Le partenariat Processes4Planet (P4Planet) vise à transformer les industries de transformation de l’UE afin de parvenir à la circularité et à la neutralité climatique globale au niveau de l’UE d’ici à 2050 tout en renforçant leur compétitivité au niveau mondial. P4Planet est un partenariat public-privé établi entre A.SPIRE (en tant qu’entité privée) et la Commission dans le cadre du pôle 4 (numérique, industrie et espace) d’Horizon Europe (</w:t>
      </w:r>
      <w:hyperlink r:id="rId2" w:history="1">
        <w:r>
          <w:rPr>
            <w:rStyle w:val="Hyperlink"/>
          </w:rPr>
          <w:t>https://www.aspire2050.eu/p4planet/about-p4planet</w:t>
        </w:r>
      </w:hyperlink>
      <w:r>
        <w:t xml:space="preserve">). </w:t>
      </w:r>
    </w:p>
  </w:footnote>
  <w:footnote w:id="34">
    <w:p w14:paraId="391ABEEB" w14:textId="05316D1C" w:rsidR="008C23B7" w:rsidRPr="00A831C8" w:rsidRDefault="00B01A4F" w:rsidP="008C23B7">
      <w:pPr>
        <w:pStyle w:val="FootnoteText"/>
        <w:spacing w:after="0"/>
        <w:ind w:left="0"/>
        <w:contextualSpacing/>
      </w:pPr>
      <w:r>
        <w:rPr>
          <w:rStyle w:val="FootnoteReference"/>
        </w:rPr>
        <w:footnoteRef/>
      </w:r>
      <w:r>
        <w:t xml:space="preserve"> «Matériaux avancés innovants pour l’Europe» (IAM4EU), un partenariat public-privé (PPP) établi dans le cadre d’Horizon Europe pour la période 2025-2027, dans le but de renforcer l’innovation en matière de matériaux avancés, couvrant la production, les procédés et la durabilité.</w:t>
      </w:r>
    </w:p>
  </w:footnote>
  <w:footnote w:id="35">
    <w:p w14:paraId="6AEBF2BB" w14:textId="77777777" w:rsidR="002E0995" w:rsidRPr="00531D03" w:rsidRDefault="002E0995" w:rsidP="00832FEA">
      <w:pPr>
        <w:pStyle w:val="FootnoteText"/>
        <w:spacing w:after="0"/>
      </w:pPr>
      <w:r>
        <w:rPr>
          <w:rStyle w:val="FootnoteReference"/>
        </w:rPr>
        <w:footnoteRef/>
      </w:r>
      <w:r>
        <w:tab/>
        <w:t>Proposition de directive du Parlement européen et du Conseil modifiant les directives 2006/43/CE, 2013/34/UE, (UE) 2022/2464 et (UE) 2024/1760 en ce qui concerne certaines obligations relatives à la publication d’informations en matière de durabilité et au devoir de vigilance applicables aux entreprises, COM(2025) 81 final.</w:t>
      </w:r>
    </w:p>
  </w:footnote>
  <w:footnote w:id="36">
    <w:p w14:paraId="07B0E060" w14:textId="77777777" w:rsidR="00602F4F" w:rsidRPr="00726590" w:rsidRDefault="00602F4F" w:rsidP="00832FEA">
      <w:pPr>
        <w:pStyle w:val="FootnoteText"/>
        <w:spacing w:after="0"/>
      </w:pPr>
      <w:r>
        <w:rPr>
          <w:rStyle w:val="FootnoteReference"/>
        </w:rPr>
        <w:footnoteRef/>
      </w:r>
      <w:r>
        <w:tab/>
        <w:t xml:space="preserve">Règlement (CE) nº 1272/2008 du Parlement européen et du Conseil du 16 décembre 2008 relatif à la classification, à l’étiquetage et à l’emballage des substances et des mélanges (JO L 353 du 31.12.2008, p. 1). </w:t>
      </w:r>
    </w:p>
  </w:footnote>
  <w:footnote w:id="37">
    <w:p w14:paraId="279C80EB" w14:textId="77777777" w:rsidR="00602F4F" w:rsidRPr="00726590" w:rsidRDefault="00602F4F" w:rsidP="00832FEA">
      <w:pPr>
        <w:pStyle w:val="FootnoteText"/>
        <w:spacing w:after="0"/>
      </w:pPr>
      <w:r>
        <w:rPr>
          <w:rStyle w:val="FootnoteReference"/>
        </w:rPr>
        <w:footnoteRef/>
      </w:r>
      <w:r>
        <w:tab/>
        <w:t>Règlement (UE) 2019/1009 du Parlement européen et du Conseil du 5 juin 2019 établissant les règles relatives à la mise à disposition sur le marché des fertilisants UE (JO L 170 du 25.6.2019, p. 1).</w:t>
      </w:r>
    </w:p>
  </w:footnote>
  <w:footnote w:id="38">
    <w:p w14:paraId="3A0A7A22" w14:textId="77777777" w:rsidR="00602F4F" w:rsidRPr="00726590" w:rsidRDefault="00602F4F" w:rsidP="00832FEA">
      <w:pPr>
        <w:pStyle w:val="FootnoteText"/>
        <w:spacing w:after="0"/>
      </w:pPr>
      <w:r>
        <w:rPr>
          <w:rStyle w:val="FootnoteReference"/>
        </w:rPr>
        <w:footnoteRef/>
      </w:r>
      <w:r>
        <w:tab/>
        <w:t>Règlement (CE) nº 1223/2009 du Parlement européen et du Conseil du 30 novembre 2009 relatif aux produits cosmétiques (refonte) (JO L 342 du 22.12.2009, p. 59).</w:t>
      </w:r>
    </w:p>
  </w:footnote>
  <w:footnote w:id="39">
    <w:p w14:paraId="6A05FFF8" w14:textId="7593EDF7" w:rsidR="002B2462" w:rsidRPr="002B1829" w:rsidRDefault="002B2462">
      <w:pPr>
        <w:pStyle w:val="FootnoteText"/>
      </w:pPr>
      <w:r>
        <w:rPr>
          <w:rStyle w:val="FootnoteReference"/>
        </w:rPr>
        <w:footnoteRef/>
      </w:r>
      <w:r>
        <w:tab/>
        <w:t>Règlement délégué (UE) 2023/2486 de la Commission du 27 juin 2023 complétant le règlement (UE) 2020/852 du Parlement européen et du Conseil par les critères d’examen technique permettant de déterminer à quelles conditions une activité économique peut être considérée comme contribuant substantiellement à l’utilisation durable et à la protection des ressources aquatiques et marines, à la transition vers une économie circulaire, à la prévention et à la réduction de la pollution, ou à la protection et à la restauration de la biodiversité et des écosystèmes, et si cette activité économique ne cause de préjudice important à aucun des autres objectifs environnementaux, et modifiant le règlement délégué (UE) 2021/2178 de la Commission en ce qui concerne les informations à publier spécifiquement pour ces activités économiques.</w:t>
      </w:r>
    </w:p>
  </w:footnote>
  <w:footnote w:id="40">
    <w:p w14:paraId="78CBDD40" w14:textId="77777777" w:rsidR="002E0995" w:rsidRPr="003C239F" w:rsidRDefault="002E0995" w:rsidP="002E0995">
      <w:pPr>
        <w:pStyle w:val="FootnoteText"/>
      </w:pPr>
      <w:r>
        <w:rPr>
          <w:rStyle w:val="FootnoteReference"/>
        </w:rPr>
        <w:footnoteRef/>
      </w:r>
      <w:r>
        <w:tab/>
        <w:t>Règlement délégué (UE) 2021/2139 de la Commission du 4 juin 2021 complétant le règlement (UE) 2020/852 du Parlement européen et du Conseil par les critères d’examen technique permettant de déterminer à quelles conditions une activité économique peut être considérée comme contribuant substantiellement à l’atténuation du changement climatique ou à l’adaptation à celui-ci et si cette activité économique ne cause de préjudice important à aucun des autres objectifs environnementaux (JO L 442 du 9.12.2021, p. 1).</w:t>
      </w:r>
    </w:p>
  </w:footnote>
  <w:footnote w:id="41">
    <w:p w14:paraId="15902962" w14:textId="77777777" w:rsidR="002E0995" w:rsidRPr="00F01C09" w:rsidRDefault="002E0995" w:rsidP="002E0995">
      <w:pPr>
        <w:pStyle w:val="FootnoteText"/>
      </w:pPr>
      <w:r>
        <w:rPr>
          <w:rStyle w:val="FootnoteReference"/>
        </w:rPr>
        <w:footnoteRef/>
      </w:r>
      <w:r>
        <w:t xml:space="preserve"> Règlement (CE) nº 1907/2006 du Parlement européen et du Conseil du 18 décembre 2006 concernant l’enregistrement, l’évaluation et l’autorisation des substances chimiques, ainsi que les restrictions applicables à ces substances (JO L 396 du 30.12.2006, p. 1).</w:t>
      </w:r>
    </w:p>
  </w:footnote>
  <w:footnote w:id="42">
    <w:p w14:paraId="7BFBAFCA" w14:textId="667CBDDF" w:rsidR="00433B9E" w:rsidRPr="00433B9E" w:rsidRDefault="00B2407C">
      <w:pPr>
        <w:pStyle w:val="FootnoteText"/>
      </w:pPr>
      <w:r>
        <w:rPr>
          <w:rStyle w:val="FootnoteReference"/>
        </w:rPr>
        <w:footnoteRef/>
      </w:r>
      <w:r>
        <w:t xml:space="preserve"> Voir également la communication intitulée «Train de mesures omnibus sur la préparation de la défense» [COM(2025) 820 final].</w:t>
      </w:r>
    </w:p>
  </w:footnote>
  <w:footnote w:id="43">
    <w:p w14:paraId="33B432FE" w14:textId="025F9639" w:rsidR="000578A4" w:rsidRPr="00866C76" w:rsidRDefault="000578A4">
      <w:pPr>
        <w:pStyle w:val="FootnoteText"/>
      </w:pPr>
      <w:r>
        <w:rPr>
          <w:rStyle w:val="FootnoteReference"/>
        </w:rPr>
        <w:footnoteRef/>
      </w:r>
      <w:r>
        <w:tab/>
        <w:t>Cinq autorités nationales (Danemark, Allemagne, Pays-Bas, Suède et Norvège) ont soumis à l’ECHA, en janvier 2023, un dossier de restriction pour toutes les PFAS.</w:t>
      </w:r>
    </w:p>
  </w:footnote>
  <w:footnote w:id="44">
    <w:p w14:paraId="6620E883" w14:textId="474DC660" w:rsidR="005A402F" w:rsidRPr="005A402F" w:rsidRDefault="00B2407C">
      <w:pPr>
        <w:pStyle w:val="FootnoteText"/>
      </w:pPr>
      <w:r>
        <w:rPr>
          <w:rStyle w:val="FootnoteReference"/>
        </w:rPr>
        <w:footnoteRef/>
      </w:r>
      <w:r>
        <w:t xml:space="preserve"> Communication de la Commission intitulée «Critères et principes directeurs pour le concept d’utilisation essentielle dans la législation de l’Union traitant des substances chimiques» (C/2024/2894).</w:t>
      </w:r>
    </w:p>
  </w:footnote>
  <w:footnote w:id="45">
    <w:p w14:paraId="10DBDB1C" w14:textId="528697E2" w:rsidR="001B47B6" w:rsidRPr="002B1829" w:rsidRDefault="00F466B8" w:rsidP="001B47B6">
      <w:pPr>
        <w:pStyle w:val="FootnoteText"/>
      </w:pPr>
      <w:r>
        <w:rPr>
          <w:rStyle w:val="FootnoteReference"/>
        </w:rPr>
        <w:footnoteRef/>
      </w:r>
      <w:r>
        <w:tab/>
        <w:t>Voir le pacte européen pour l’Océan, COM(2025) 281 final, p. 8.</w:t>
      </w:r>
    </w:p>
    <w:p w14:paraId="016984B4" w14:textId="5D7178D8" w:rsidR="00F466B8" w:rsidRPr="0089309D" w:rsidRDefault="00F466B8">
      <w:pPr>
        <w:pStyle w:val="FootnoteText"/>
      </w:pPr>
    </w:p>
  </w:footnote>
  <w:footnote w:id="46">
    <w:p w14:paraId="511E42A0" w14:textId="015D7607" w:rsidR="00115A65" w:rsidRPr="002B1829" w:rsidRDefault="00115A65">
      <w:pPr>
        <w:pStyle w:val="FootnoteText"/>
      </w:pPr>
      <w:r>
        <w:rPr>
          <w:rStyle w:val="FootnoteReference"/>
        </w:rPr>
        <w:footnoteRef/>
      </w:r>
      <w:r>
        <w:tab/>
        <w:t>Voir également la stratégie européenne pour la résilience dans le domaine de l’eau, COM(2025) 280 final, p. 5 et 6.</w:t>
      </w:r>
    </w:p>
  </w:footnote>
  <w:footnote w:id="47">
    <w:p w14:paraId="5690448E" w14:textId="77777777" w:rsidR="002E0995" w:rsidRPr="00740439" w:rsidRDefault="002E0995" w:rsidP="002E0995">
      <w:pPr>
        <w:pStyle w:val="FootnoteText"/>
        <w:rPr>
          <w:b/>
          <w:bCs/>
        </w:rPr>
      </w:pPr>
      <w:r>
        <w:rPr>
          <w:rStyle w:val="FootnoteReference"/>
        </w:rPr>
        <w:footnoteRef/>
      </w:r>
      <w:r>
        <w:tab/>
        <w:t>Directive 2004/37/CE du Parlement européen et du Conseil du 29 avril 2004 concernant la protection des travailleurs contre les risques liés à l’exposition à des agents cancérigènes ou mutagènes au travail (sixième directive particulière au sens de l’article 16, paragraphe 1, de la directive 89/391/CEE du Conseil) (JO L 158 du 30.4.2004).</w:t>
      </w:r>
    </w:p>
  </w:footnote>
  <w:footnote w:id="48">
    <w:p w14:paraId="77A2DF03" w14:textId="77777777" w:rsidR="002E0995" w:rsidRPr="00740439" w:rsidRDefault="002E0995" w:rsidP="002E0995">
      <w:pPr>
        <w:pStyle w:val="FootnoteText"/>
      </w:pPr>
      <w:r>
        <w:rPr>
          <w:rStyle w:val="FootnoteReference"/>
        </w:rPr>
        <w:footnoteRef/>
      </w:r>
      <w:r>
        <w:tab/>
        <w:t>Directive 98/24/CE du Conseil du 7 avril 1998 concernant la protection de la santé et de la sécurité des travailleurs contre les risques liés à des agents chimiques sur le lieu de travail (quatorzième directive particulière au sens de l’article 16, paragraphe 1, de la directive 89/391/CEE) (JO L 131 du 5.5.1998, p. 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DEC99" w14:textId="77777777" w:rsidR="007D0118" w:rsidRPr="007D0118" w:rsidRDefault="007D0118" w:rsidP="007D011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346A" w14:textId="77777777" w:rsidR="007D0118" w:rsidRPr="007D0118" w:rsidRDefault="007D0118" w:rsidP="007D011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88D6" w14:textId="77777777" w:rsidR="007D0118" w:rsidRPr="007D0118" w:rsidRDefault="007D0118" w:rsidP="007D011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C0AAD" w14:textId="77777777" w:rsidR="00F84713" w:rsidRPr="00F84713" w:rsidRDefault="00F84713" w:rsidP="00F84713">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E36E7" w14:textId="77777777" w:rsidR="00F84713" w:rsidRDefault="00F847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AFDFB" w14:textId="77777777" w:rsidR="00F84713" w:rsidRDefault="00F84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2C4"/>
    <w:multiLevelType w:val="hybridMultilevel"/>
    <w:tmpl w:val="D26C0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692015"/>
    <w:multiLevelType w:val="hybridMultilevel"/>
    <w:tmpl w:val="F176E5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7A40B3"/>
    <w:multiLevelType w:val="hybridMultilevel"/>
    <w:tmpl w:val="2EB68C70"/>
    <w:lvl w:ilvl="0" w:tplc="18090001">
      <w:start w:val="1"/>
      <w:numFmt w:val="bullet"/>
      <w:lvlText w:val=""/>
      <w:lvlJc w:val="left"/>
      <w:pPr>
        <w:ind w:left="720" w:hanging="360"/>
      </w:pPr>
      <w:rPr>
        <w:rFonts w:ascii="Symbol" w:hAnsi="Symbol" w:hint="default"/>
      </w:rPr>
    </w:lvl>
    <w:lvl w:ilvl="1" w:tplc="28B4094A">
      <w:numFmt w:val="bullet"/>
      <w:lvlText w:val="•"/>
      <w:lvlJc w:val="left"/>
      <w:pPr>
        <w:ind w:left="1800" w:hanging="72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2DFA4414"/>
    <w:name w:val="ListDash4Numbering"/>
    <w:lvl w:ilvl="0">
      <w:start w:val="1"/>
      <w:numFmt w:val="bullet"/>
      <w:pStyle w:val="ListDash4"/>
      <w:lvlText w:val="–"/>
      <w:lvlJc w:val="left"/>
      <w:pPr>
        <w:tabs>
          <w:tab w:val="num" w:pos="1485"/>
        </w:tabs>
        <w:ind w:left="1485" w:hanging="283"/>
      </w:pPr>
      <w:rPr>
        <w:rFonts w:ascii="Times New Roman" w:hAnsi="Times New Roman" w:hint="default"/>
      </w:rPr>
    </w:lvl>
    <w:lvl w:ilvl="1">
      <w:start w:val="1"/>
      <w:numFmt w:val="bullet"/>
      <w:pStyle w:val="ListDash4Level2"/>
      <w:lvlText w:val="–"/>
      <w:lvlJc w:val="left"/>
      <w:pPr>
        <w:tabs>
          <w:tab w:val="num" w:pos="1769"/>
        </w:tabs>
        <w:ind w:left="1769" w:hanging="284"/>
      </w:pPr>
      <w:rPr>
        <w:rFonts w:ascii="Times New Roman" w:hAnsi="Times New Roman" w:hint="default"/>
      </w:rPr>
    </w:lvl>
    <w:lvl w:ilvl="2">
      <w:start w:val="1"/>
      <w:numFmt w:val="bullet"/>
      <w:pStyle w:val="ListDash4Level3"/>
      <w:lvlText w:val="–"/>
      <w:lvlJc w:val="left"/>
      <w:pPr>
        <w:tabs>
          <w:tab w:val="num" w:pos="2052"/>
        </w:tabs>
        <w:ind w:left="2052" w:hanging="283"/>
      </w:pPr>
      <w:rPr>
        <w:rFonts w:ascii="Times New Roman" w:hAnsi="Times New Roman" w:hint="default"/>
      </w:rPr>
    </w:lvl>
    <w:lvl w:ilvl="3">
      <w:start w:val="1"/>
      <w:numFmt w:val="bullet"/>
      <w:pStyle w:val="ListDash4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B7115"/>
    <w:multiLevelType w:val="multilevel"/>
    <w:tmpl w:val="84202F3E"/>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hint="default"/>
      </w:rPr>
    </w:lvl>
    <w:lvl w:ilvl="3">
      <w:start w:val="1"/>
      <w:numFmt w:val="bullet"/>
      <w:pStyle w:val="ListNumber3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B7201"/>
    <w:multiLevelType w:val="multilevel"/>
    <w:tmpl w:val="443895B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B8345"/>
    <w:multiLevelType w:val="multilevel"/>
    <w:tmpl w:val="6AD295E8"/>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hint="default"/>
      </w:rPr>
    </w:lvl>
    <w:lvl w:ilvl="3">
      <w:start w:val="1"/>
      <w:numFmt w:val="bullet"/>
      <w:pStyle w:val="TableListNumberLevel4"/>
      <w:lvlText w:val=""/>
      <w:lvlJc w:val="left"/>
      <w:pPr>
        <w:tabs>
          <w:tab w:val="num" w:pos="1814"/>
        </w:tabs>
        <w:ind w:left="1814" w:hanging="45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2685D"/>
    <w:multiLevelType w:val="multilevel"/>
    <w:tmpl w:val="55528622"/>
    <w:name w:val="ListBullet4Numbering"/>
    <w:lvl w:ilvl="0">
      <w:start w:val="1"/>
      <w:numFmt w:val="bullet"/>
      <w:pStyle w:val="ListBullet4"/>
      <w:lvlText w:val=""/>
      <w:lvlJc w:val="left"/>
      <w:pPr>
        <w:tabs>
          <w:tab w:val="num" w:pos="1485"/>
        </w:tabs>
        <w:ind w:left="1485" w:hanging="283"/>
      </w:pPr>
      <w:rPr>
        <w:rFonts w:ascii="Symbol" w:hAnsi="Symbol" w:hint="default"/>
      </w:rPr>
    </w:lvl>
    <w:lvl w:ilvl="1">
      <w:start w:val="1"/>
      <w:numFmt w:val="bullet"/>
      <w:pStyle w:val="ListBullet4Level2"/>
      <w:lvlText w:val=""/>
      <w:lvlJc w:val="left"/>
      <w:pPr>
        <w:tabs>
          <w:tab w:val="num" w:pos="1769"/>
        </w:tabs>
        <w:ind w:left="1769" w:hanging="284"/>
      </w:pPr>
      <w:rPr>
        <w:rFonts w:ascii="Symbol" w:hAnsi="Symbol" w:hint="default"/>
      </w:rPr>
    </w:lvl>
    <w:lvl w:ilvl="2">
      <w:start w:val="1"/>
      <w:numFmt w:val="bullet"/>
      <w:pStyle w:val="ListBullet4Level3"/>
      <w:lvlText w:val=""/>
      <w:lvlJc w:val="left"/>
      <w:pPr>
        <w:tabs>
          <w:tab w:val="num" w:pos="2052"/>
        </w:tabs>
        <w:ind w:left="2052" w:hanging="283"/>
      </w:pPr>
      <w:rPr>
        <w:rFonts w:ascii="Symbol" w:hAnsi="Symbol" w:hint="default"/>
      </w:rPr>
    </w:lvl>
    <w:lvl w:ilvl="3">
      <w:start w:val="1"/>
      <w:numFmt w:val="bullet"/>
      <w:pStyle w:val="ListBullet4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D0A16"/>
    <w:multiLevelType w:val="multilevel"/>
    <w:tmpl w:val="1DEE9B72"/>
    <w:name w:val="ListBullet3Numbering"/>
    <w:lvl w:ilvl="0">
      <w:start w:val="1"/>
      <w:numFmt w:val="bullet"/>
      <w:pStyle w:val="ListBullet3"/>
      <w:lvlText w:val=""/>
      <w:lvlJc w:val="left"/>
      <w:pPr>
        <w:tabs>
          <w:tab w:val="num" w:pos="1485"/>
        </w:tabs>
        <w:ind w:left="1485" w:hanging="283"/>
      </w:pPr>
      <w:rPr>
        <w:rFonts w:ascii="Symbol" w:hAnsi="Symbol" w:hint="default"/>
      </w:rPr>
    </w:lvl>
    <w:lvl w:ilvl="1">
      <w:start w:val="1"/>
      <w:numFmt w:val="bullet"/>
      <w:pStyle w:val="ListBullet3Level2"/>
      <w:lvlText w:val=""/>
      <w:lvlJc w:val="left"/>
      <w:pPr>
        <w:tabs>
          <w:tab w:val="num" w:pos="1769"/>
        </w:tabs>
        <w:ind w:left="1769" w:hanging="284"/>
      </w:pPr>
      <w:rPr>
        <w:rFonts w:ascii="Symbol" w:hAnsi="Symbol" w:hint="default"/>
      </w:rPr>
    </w:lvl>
    <w:lvl w:ilvl="2">
      <w:start w:val="1"/>
      <w:numFmt w:val="bullet"/>
      <w:pStyle w:val="ListBullet3Level3"/>
      <w:lvlText w:val=""/>
      <w:lvlJc w:val="left"/>
      <w:pPr>
        <w:tabs>
          <w:tab w:val="num" w:pos="2052"/>
        </w:tabs>
        <w:ind w:left="2052" w:hanging="283"/>
      </w:pPr>
      <w:rPr>
        <w:rFonts w:ascii="Symbol" w:hAnsi="Symbol" w:hint="default"/>
      </w:rPr>
    </w:lvl>
    <w:lvl w:ilvl="3">
      <w:start w:val="1"/>
      <w:numFmt w:val="bullet"/>
      <w:pStyle w:val="ListBullet3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F0AC5"/>
    <w:multiLevelType w:val="multilevel"/>
    <w:tmpl w:val="BF444EA2"/>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hint="default"/>
      </w:rPr>
    </w:lvl>
    <w:lvl w:ilvl="3">
      <w:start w:val="1"/>
      <w:numFmt w:val="bullet"/>
      <w:pStyle w:val="ListNumber2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D16BFB"/>
    <w:multiLevelType w:val="hybridMultilevel"/>
    <w:tmpl w:val="A2DC43F2"/>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1C7B624F"/>
    <w:multiLevelType w:val="multilevel"/>
    <w:tmpl w:val="BBF0912E"/>
    <w:name w:val="ListDash2Numbering"/>
    <w:lvl w:ilvl="0">
      <w:start w:val="1"/>
      <w:numFmt w:val="bullet"/>
      <w:pStyle w:val="ListDash2"/>
      <w:lvlText w:val="–"/>
      <w:lvlJc w:val="left"/>
      <w:pPr>
        <w:tabs>
          <w:tab w:val="num" w:pos="1485"/>
        </w:tabs>
        <w:ind w:left="1485" w:hanging="283"/>
      </w:pPr>
      <w:rPr>
        <w:rFonts w:ascii="Times New Roman" w:hAnsi="Times New Roman" w:hint="default"/>
      </w:rPr>
    </w:lvl>
    <w:lvl w:ilvl="1">
      <w:start w:val="1"/>
      <w:numFmt w:val="bullet"/>
      <w:pStyle w:val="ListDash2Level2"/>
      <w:lvlText w:val="–"/>
      <w:lvlJc w:val="left"/>
      <w:pPr>
        <w:tabs>
          <w:tab w:val="num" w:pos="1769"/>
        </w:tabs>
        <w:ind w:left="1769" w:hanging="284"/>
      </w:pPr>
      <w:rPr>
        <w:rFonts w:ascii="Times New Roman" w:hAnsi="Times New Roman" w:hint="default"/>
      </w:rPr>
    </w:lvl>
    <w:lvl w:ilvl="2">
      <w:start w:val="1"/>
      <w:numFmt w:val="bullet"/>
      <w:pStyle w:val="ListDash2Level3"/>
      <w:lvlText w:val="–"/>
      <w:lvlJc w:val="left"/>
      <w:pPr>
        <w:tabs>
          <w:tab w:val="num" w:pos="2052"/>
        </w:tabs>
        <w:ind w:left="2052" w:hanging="283"/>
      </w:pPr>
      <w:rPr>
        <w:rFonts w:ascii="Times New Roman" w:hAnsi="Times New Roman" w:hint="default"/>
      </w:rPr>
    </w:lvl>
    <w:lvl w:ilvl="3">
      <w:start w:val="1"/>
      <w:numFmt w:val="bullet"/>
      <w:pStyle w:val="ListDash2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937873"/>
    <w:multiLevelType w:val="hybridMultilevel"/>
    <w:tmpl w:val="CBB2F922"/>
    <w:lvl w:ilvl="0" w:tplc="18090001">
      <w:start w:val="1"/>
      <w:numFmt w:val="bullet"/>
      <w:lvlText w:val=""/>
      <w:lvlJc w:val="left"/>
      <w:pPr>
        <w:ind w:left="360" w:hanging="360"/>
      </w:pPr>
      <w:rPr>
        <w:rFonts w:ascii="Symbol" w:hAnsi="Symbol" w:hint="default"/>
      </w:rPr>
    </w:lvl>
    <w:lvl w:ilvl="1" w:tplc="F7121E2C">
      <w:numFmt w:val="bullet"/>
      <w:lvlText w:val="-"/>
      <w:lvlJc w:val="left"/>
      <w:pPr>
        <w:ind w:left="1080" w:hanging="360"/>
      </w:pPr>
      <w:rPr>
        <w:rFonts w:ascii="Times New Roman" w:eastAsia="Times New Roman" w:hAnsi="Times New Roman" w:cs="Times New Roman" w:hint="default"/>
      </w:rPr>
    </w:lvl>
    <w:lvl w:ilvl="2" w:tplc="5E6CEF5A">
      <w:numFmt w:val="bullet"/>
      <w:lvlText w:val="•"/>
      <w:lvlJc w:val="left"/>
      <w:pPr>
        <w:ind w:left="2160" w:hanging="720"/>
      </w:pPr>
      <w:rPr>
        <w:rFonts w:ascii="Times New Roman" w:eastAsia="Times New Roman" w:hAnsi="Times New Roman" w:cs="Times New Roman" w:hint="default"/>
        <w:b/>
      </w:rPr>
    </w:lvl>
    <w:lvl w:ilvl="3" w:tplc="52B8EFB8">
      <w:numFmt w:val="bullet"/>
      <w:lvlText w:val=""/>
      <w:lvlJc w:val="left"/>
      <w:pPr>
        <w:ind w:left="2520" w:hanging="360"/>
      </w:pPr>
      <w:rPr>
        <w:rFonts w:ascii="Wingdings" w:eastAsia="Times New Roman" w:hAnsi="Wingdings" w:cs="Times New Roman"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2C8DFDF8"/>
    <w:multiLevelType w:val="multilevel"/>
    <w:tmpl w:val="2E0E5B60"/>
    <w:name w:val="ListBullet2Numbering"/>
    <w:lvl w:ilvl="0">
      <w:start w:val="1"/>
      <w:numFmt w:val="bullet"/>
      <w:pStyle w:val="ListBullet2"/>
      <w:lvlText w:val=""/>
      <w:lvlJc w:val="left"/>
      <w:pPr>
        <w:tabs>
          <w:tab w:val="num" w:pos="1485"/>
        </w:tabs>
        <w:ind w:left="1485" w:hanging="283"/>
      </w:pPr>
      <w:rPr>
        <w:rFonts w:ascii="Symbol" w:hAnsi="Symbol" w:hint="default"/>
      </w:rPr>
    </w:lvl>
    <w:lvl w:ilvl="1">
      <w:start w:val="1"/>
      <w:numFmt w:val="bullet"/>
      <w:pStyle w:val="ListBullet2Level2"/>
      <w:lvlText w:val=""/>
      <w:lvlJc w:val="left"/>
      <w:pPr>
        <w:tabs>
          <w:tab w:val="num" w:pos="1769"/>
        </w:tabs>
        <w:ind w:left="1769" w:hanging="284"/>
      </w:pPr>
      <w:rPr>
        <w:rFonts w:ascii="Symbol" w:hAnsi="Symbol" w:hint="default"/>
      </w:rPr>
    </w:lvl>
    <w:lvl w:ilvl="2">
      <w:start w:val="1"/>
      <w:numFmt w:val="bullet"/>
      <w:pStyle w:val="ListBullet2Level3"/>
      <w:lvlText w:val=""/>
      <w:lvlJc w:val="left"/>
      <w:pPr>
        <w:tabs>
          <w:tab w:val="num" w:pos="2052"/>
        </w:tabs>
        <w:ind w:left="2052" w:hanging="283"/>
      </w:pPr>
      <w:rPr>
        <w:rFonts w:ascii="Symbol" w:hAnsi="Symbol" w:hint="default"/>
      </w:rPr>
    </w:lvl>
    <w:lvl w:ilvl="3">
      <w:start w:val="1"/>
      <w:numFmt w:val="bullet"/>
      <w:pStyle w:val="ListBullet2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293CE3"/>
    <w:multiLevelType w:val="multilevel"/>
    <w:tmpl w:val="9A38D11E"/>
    <w:name w:val="LegalNumParNumbering"/>
    <w:lvl w:ilvl="0">
      <w:start w:val="1"/>
      <w:numFmt w:val="decimal"/>
      <w:pStyle w:val="LegalNumPar"/>
      <w:lvlText w:val="%1."/>
      <w:lvlJc w:val="left"/>
      <w:pPr>
        <w:tabs>
          <w:tab w:val="num" w:pos="476"/>
        </w:tabs>
        <w:ind w:left="476" w:hanging="476"/>
      </w:pPr>
    </w:lvl>
    <w:lvl w:ilvl="1">
      <w:start w:val="1"/>
      <w:numFmt w:val="lowerLetter"/>
      <w:pStyle w:val="LegalNumPar2"/>
      <w:lvlText w:val="%2."/>
      <w:lvlJc w:val="left"/>
      <w:pPr>
        <w:tabs>
          <w:tab w:val="num" w:pos="952"/>
        </w:tabs>
        <w:ind w:left="952" w:hanging="476"/>
      </w:pPr>
    </w:lvl>
    <w:lvl w:ilvl="2">
      <w:start w:val="1"/>
      <w:numFmt w:val="lowerRoman"/>
      <w:pStyle w:val="LegalNumPar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293CF4"/>
    <w:multiLevelType w:val="multilevel"/>
    <w:tmpl w:val="C3E23C5C"/>
    <w:name w:val="ContNumNumbering"/>
    <w:lvl w:ilvl="0">
      <w:start w:val="1"/>
      <w:numFmt w:val="decimal"/>
      <w:pStyle w:val="ContNum"/>
      <w:lvlText w:val="%1."/>
      <w:lvlJc w:val="left"/>
      <w:pPr>
        <w:tabs>
          <w:tab w:val="num" w:pos="476"/>
        </w:tabs>
        <w:ind w:left="476" w:hanging="476"/>
      </w:pPr>
    </w:lvl>
    <w:lvl w:ilvl="1">
      <w:start w:val="1"/>
      <w:numFmt w:val="lowerLetter"/>
      <w:pStyle w:val="ContNumLevel2"/>
      <w:lvlText w:val="%2."/>
      <w:lvlJc w:val="left"/>
      <w:pPr>
        <w:tabs>
          <w:tab w:val="num" w:pos="952"/>
        </w:tabs>
        <w:ind w:left="952" w:hanging="476"/>
      </w:pPr>
    </w:lvl>
    <w:lvl w:ilvl="2">
      <w:start w:val="1"/>
      <w:numFmt w:val="lowerRoman"/>
      <w:pStyle w:val="ContNumLevel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C379D"/>
    <w:multiLevelType w:val="hybridMultilevel"/>
    <w:tmpl w:val="65562D52"/>
    <w:lvl w:ilvl="0" w:tplc="268AE0C0">
      <w:start w:val="1"/>
      <w:numFmt w:val="bullet"/>
      <w:lvlText w:val=""/>
      <w:lvlJc w:val="left"/>
      <w:pPr>
        <w:ind w:left="1440" w:hanging="360"/>
      </w:pPr>
      <w:rPr>
        <w:rFonts w:ascii="Symbol" w:hAnsi="Symbol"/>
      </w:rPr>
    </w:lvl>
    <w:lvl w:ilvl="1" w:tplc="C72A526E">
      <w:start w:val="1"/>
      <w:numFmt w:val="bullet"/>
      <w:lvlText w:val=""/>
      <w:lvlJc w:val="left"/>
      <w:pPr>
        <w:ind w:left="1440" w:hanging="360"/>
      </w:pPr>
      <w:rPr>
        <w:rFonts w:ascii="Symbol" w:hAnsi="Symbol"/>
      </w:rPr>
    </w:lvl>
    <w:lvl w:ilvl="2" w:tplc="A83480FC">
      <w:start w:val="1"/>
      <w:numFmt w:val="bullet"/>
      <w:lvlText w:val=""/>
      <w:lvlJc w:val="left"/>
      <w:pPr>
        <w:ind w:left="1440" w:hanging="360"/>
      </w:pPr>
      <w:rPr>
        <w:rFonts w:ascii="Symbol" w:hAnsi="Symbol"/>
      </w:rPr>
    </w:lvl>
    <w:lvl w:ilvl="3" w:tplc="E6329756">
      <w:start w:val="1"/>
      <w:numFmt w:val="bullet"/>
      <w:lvlText w:val=""/>
      <w:lvlJc w:val="left"/>
      <w:pPr>
        <w:ind w:left="1440" w:hanging="360"/>
      </w:pPr>
      <w:rPr>
        <w:rFonts w:ascii="Symbol" w:hAnsi="Symbol"/>
      </w:rPr>
    </w:lvl>
    <w:lvl w:ilvl="4" w:tplc="352EABB6">
      <w:start w:val="1"/>
      <w:numFmt w:val="bullet"/>
      <w:lvlText w:val=""/>
      <w:lvlJc w:val="left"/>
      <w:pPr>
        <w:ind w:left="1440" w:hanging="360"/>
      </w:pPr>
      <w:rPr>
        <w:rFonts w:ascii="Symbol" w:hAnsi="Symbol"/>
      </w:rPr>
    </w:lvl>
    <w:lvl w:ilvl="5" w:tplc="109EE0F8">
      <w:start w:val="1"/>
      <w:numFmt w:val="bullet"/>
      <w:lvlText w:val=""/>
      <w:lvlJc w:val="left"/>
      <w:pPr>
        <w:ind w:left="1440" w:hanging="360"/>
      </w:pPr>
      <w:rPr>
        <w:rFonts w:ascii="Symbol" w:hAnsi="Symbol"/>
      </w:rPr>
    </w:lvl>
    <w:lvl w:ilvl="6" w:tplc="37BEE41A">
      <w:start w:val="1"/>
      <w:numFmt w:val="bullet"/>
      <w:lvlText w:val=""/>
      <w:lvlJc w:val="left"/>
      <w:pPr>
        <w:ind w:left="1440" w:hanging="360"/>
      </w:pPr>
      <w:rPr>
        <w:rFonts w:ascii="Symbol" w:hAnsi="Symbol"/>
      </w:rPr>
    </w:lvl>
    <w:lvl w:ilvl="7" w:tplc="594E5804">
      <w:start w:val="1"/>
      <w:numFmt w:val="bullet"/>
      <w:lvlText w:val=""/>
      <w:lvlJc w:val="left"/>
      <w:pPr>
        <w:ind w:left="1440" w:hanging="360"/>
      </w:pPr>
      <w:rPr>
        <w:rFonts w:ascii="Symbol" w:hAnsi="Symbol"/>
      </w:rPr>
    </w:lvl>
    <w:lvl w:ilvl="8" w:tplc="F176E372">
      <w:start w:val="1"/>
      <w:numFmt w:val="bullet"/>
      <w:lvlText w:val=""/>
      <w:lvlJc w:val="left"/>
      <w:pPr>
        <w:ind w:left="1440" w:hanging="360"/>
      </w:pPr>
      <w:rPr>
        <w:rFonts w:ascii="Symbol" w:hAnsi="Symbol"/>
      </w:rPr>
    </w:lvl>
  </w:abstractNum>
  <w:abstractNum w:abstractNumId="17" w15:restartNumberingAfterBreak="0">
    <w:nsid w:val="2EFA7907"/>
    <w:multiLevelType w:val="hybridMultilevel"/>
    <w:tmpl w:val="4F84F2C6"/>
    <w:lvl w:ilvl="0" w:tplc="04070001">
      <w:start w:val="1"/>
      <w:numFmt w:val="bullet"/>
      <w:lvlText w:val=""/>
      <w:lvlJc w:val="left"/>
      <w:pPr>
        <w:ind w:left="720" w:hanging="360"/>
      </w:pPr>
      <w:rPr>
        <w:rFonts w:ascii="Symbol" w:hAnsi="Symbol"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2DD0486"/>
    <w:multiLevelType w:val="hybridMultilevel"/>
    <w:tmpl w:val="92BC9B72"/>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5D861B3"/>
    <w:multiLevelType w:val="hybridMultilevel"/>
    <w:tmpl w:val="9FBED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6324F1E"/>
    <w:multiLevelType w:val="multilevel"/>
    <w:tmpl w:val="3D647660"/>
    <w:name w:val="ListDash3Numbering"/>
    <w:lvl w:ilvl="0">
      <w:start w:val="1"/>
      <w:numFmt w:val="bullet"/>
      <w:pStyle w:val="ListDash3"/>
      <w:lvlText w:val="–"/>
      <w:lvlJc w:val="left"/>
      <w:pPr>
        <w:tabs>
          <w:tab w:val="num" w:pos="1485"/>
        </w:tabs>
        <w:ind w:left="1485" w:hanging="283"/>
      </w:pPr>
      <w:rPr>
        <w:rFonts w:ascii="Times New Roman" w:hAnsi="Times New Roman" w:hint="default"/>
      </w:rPr>
    </w:lvl>
    <w:lvl w:ilvl="1">
      <w:start w:val="1"/>
      <w:numFmt w:val="bullet"/>
      <w:pStyle w:val="ListDash3Level2"/>
      <w:lvlText w:val="–"/>
      <w:lvlJc w:val="left"/>
      <w:pPr>
        <w:tabs>
          <w:tab w:val="num" w:pos="1769"/>
        </w:tabs>
        <w:ind w:left="1769" w:hanging="284"/>
      </w:pPr>
      <w:rPr>
        <w:rFonts w:ascii="Times New Roman" w:hAnsi="Times New Roman" w:hint="default"/>
      </w:rPr>
    </w:lvl>
    <w:lvl w:ilvl="2">
      <w:start w:val="1"/>
      <w:numFmt w:val="bullet"/>
      <w:pStyle w:val="ListDash3Level3"/>
      <w:lvlText w:val="–"/>
      <w:lvlJc w:val="left"/>
      <w:pPr>
        <w:tabs>
          <w:tab w:val="num" w:pos="2052"/>
        </w:tabs>
        <w:ind w:left="2052" w:hanging="283"/>
      </w:pPr>
      <w:rPr>
        <w:rFonts w:ascii="Times New Roman" w:hAnsi="Times New Roman" w:hint="default"/>
      </w:rPr>
    </w:lvl>
    <w:lvl w:ilvl="3">
      <w:start w:val="1"/>
      <w:numFmt w:val="bullet"/>
      <w:pStyle w:val="ListDash3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48722D"/>
    <w:multiLevelType w:val="hybridMultilevel"/>
    <w:tmpl w:val="DC7C15A4"/>
    <w:lvl w:ilvl="0" w:tplc="B8FC5328">
      <w:start w:val="1"/>
      <w:numFmt w:val="bullet"/>
      <w:lvlText w:val=""/>
      <w:lvlJc w:val="left"/>
      <w:pPr>
        <w:ind w:left="720" w:hanging="360"/>
      </w:pPr>
      <w:rPr>
        <w:rFonts w:ascii="Symbol" w:hAnsi="Symbol"/>
      </w:rPr>
    </w:lvl>
    <w:lvl w:ilvl="1" w:tplc="BF3C040E">
      <w:start w:val="1"/>
      <w:numFmt w:val="bullet"/>
      <w:lvlText w:val=""/>
      <w:lvlJc w:val="left"/>
      <w:pPr>
        <w:ind w:left="720" w:hanging="360"/>
      </w:pPr>
      <w:rPr>
        <w:rFonts w:ascii="Symbol" w:hAnsi="Symbol"/>
      </w:rPr>
    </w:lvl>
    <w:lvl w:ilvl="2" w:tplc="E52A4194">
      <w:start w:val="1"/>
      <w:numFmt w:val="bullet"/>
      <w:lvlText w:val=""/>
      <w:lvlJc w:val="left"/>
      <w:pPr>
        <w:ind w:left="720" w:hanging="360"/>
      </w:pPr>
      <w:rPr>
        <w:rFonts w:ascii="Symbol" w:hAnsi="Symbol"/>
      </w:rPr>
    </w:lvl>
    <w:lvl w:ilvl="3" w:tplc="3D4617D4">
      <w:start w:val="1"/>
      <w:numFmt w:val="bullet"/>
      <w:lvlText w:val=""/>
      <w:lvlJc w:val="left"/>
      <w:pPr>
        <w:ind w:left="720" w:hanging="360"/>
      </w:pPr>
      <w:rPr>
        <w:rFonts w:ascii="Symbol" w:hAnsi="Symbol"/>
      </w:rPr>
    </w:lvl>
    <w:lvl w:ilvl="4" w:tplc="99DC2F26">
      <w:start w:val="1"/>
      <w:numFmt w:val="bullet"/>
      <w:lvlText w:val=""/>
      <w:lvlJc w:val="left"/>
      <w:pPr>
        <w:ind w:left="720" w:hanging="360"/>
      </w:pPr>
      <w:rPr>
        <w:rFonts w:ascii="Symbol" w:hAnsi="Symbol"/>
      </w:rPr>
    </w:lvl>
    <w:lvl w:ilvl="5" w:tplc="3A344F80">
      <w:start w:val="1"/>
      <w:numFmt w:val="bullet"/>
      <w:lvlText w:val=""/>
      <w:lvlJc w:val="left"/>
      <w:pPr>
        <w:ind w:left="720" w:hanging="360"/>
      </w:pPr>
      <w:rPr>
        <w:rFonts w:ascii="Symbol" w:hAnsi="Symbol"/>
      </w:rPr>
    </w:lvl>
    <w:lvl w:ilvl="6" w:tplc="5030A7F4">
      <w:start w:val="1"/>
      <w:numFmt w:val="bullet"/>
      <w:lvlText w:val=""/>
      <w:lvlJc w:val="left"/>
      <w:pPr>
        <w:ind w:left="720" w:hanging="360"/>
      </w:pPr>
      <w:rPr>
        <w:rFonts w:ascii="Symbol" w:hAnsi="Symbol"/>
      </w:rPr>
    </w:lvl>
    <w:lvl w:ilvl="7" w:tplc="DC58A634">
      <w:start w:val="1"/>
      <w:numFmt w:val="bullet"/>
      <w:lvlText w:val=""/>
      <w:lvlJc w:val="left"/>
      <w:pPr>
        <w:ind w:left="720" w:hanging="360"/>
      </w:pPr>
      <w:rPr>
        <w:rFonts w:ascii="Symbol" w:hAnsi="Symbol"/>
      </w:rPr>
    </w:lvl>
    <w:lvl w:ilvl="8" w:tplc="C324DC32">
      <w:start w:val="1"/>
      <w:numFmt w:val="bullet"/>
      <w:lvlText w:val=""/>
      <w:lvlJc w:val="left"/>
      <w:pPr>
        <w:ind w:left="720" w:hanging="360"/>
      </w:pPr>
      <w:rPr>
        <w:rFonts w:ascii="Symbol" w:hAnsi="Symbol"/>
      </w:rPr>
    </w:lvl>
  </w:abstractNum>
  <w:abstractNum w:abstractNumId="22" w15:restartNumberingAfterBreak="0">
    <w:nsid w:val="37CB1E1C"/>
    <w:multiLevelType w:val="multilevel"/>
    <w:tmpl w:val="FC5274D8"/>
    <w:name w:val="ListDash1Numbering"/>
    <w:lvl w:ilvl="0">
      <w:start w:val="1"/>
      <w:numFmt w:val="bullet"/>
      <w:pStyle w:val="ListDash1"/>
      <w:lvlText w:val="–"/>
      <w:lvlJc w:val="left"/>
      <w:pPr>
        <w:tabs>
          <w:tab w:val="num" w:pos="765"/>
        </w:tabs>
        <w:ind w:left="765" w:hanging="283"/>
      </w:pPr>
      <w:rPr>
        <w:rFonts w:ascii="Times New Roman" w:hAnsi="Times New Roman" w:hint="default"/>
      </w:rPr>
    </w:lvl>
    <w:lvl w:ilvl="1">
      <w:start w:val="1"/>
      <w:numFmt w:val="bullet"/>
      <w:pStyle w:val="ListDash1Level2"/>
      <w:lvlText w:val="–"/>
      <w:lvlJc w:val="left"/>
      <w:pPr>
        <w:tabs>
          <w:tab w:val="num" w:pos="1049"/>
        </w:tabs>
        <w:ind w:left="1049" w:hanging="284"/>
      </w:pPr>
      <w:rPr>
        <w:rFonts w:ascii="Times New Roman" w:hAnsi="Times New Roman" w:hint="default"/>
      </w:rPr>
    </w:lvl>
    <w:lvl w:ilvl="2">
      <w:start w:val="1"/>
      <w:numFmt w:val="bullet"/>
      <w:pStyle w:val="ListDash1Level3"/>
      <w:lvlText w:val="–"/>
      <w:lvlJc w:val="left"/>
      <w:pPr>
        <w:tabs>
          <w:tab w:val="num" w:pos="1332"/>
        </w:tabs>
        <w:ind w:left="1332" w:hanging="283"/>
      </w:pPr>
      <w:rPr>
        <w:rFonts w:ascii="Times New Roman" w:hAnsi="Times New Roman" w:hint="default"/>
      </w:rPr>
    </w:lvl>
    <w:lvl w:ilvl="3">
      <w:start w:val="1"/>
      <w:numFmt w:val="bullet"/>
      <w:pStyle w:val="ListDash1Level4"/>
      <w:lvlText w:val="–"/>
      <w:lvlJc w:val="left"/>
      <w:pPr>
        <w:tabs>
          <w:tab w:val="num" w:pos="1616"/>
        </w:tabs>
        <w:ind w:left="161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7730C4"/>
    <w:multiLevelType w:val="multilevel"/>
    <w:tmpl w:val="058C1A66"/>
    <w:name w:val="ListBullet1Numbering"/>
    <w:lvl w:ilvl="0">
      <w:start w:val="1"/>
      <w:numFmt w:val="bullet"/>
      <w:pStyle w:val="ListBullet1"/>
      <w:lvlText w:val=""/>
      <w:lvlJc w:val="left"/>
      <w:pPr>
        <w:tabs>
          <w:tab w:val="num" w:pos="765"/>
        </w:tabs>
        <w:ind w:left="765" w:hanging="283"/>
      </w:pPr>
      <w:rPr>
        <w:rFonts w:ascii="Symbol" w:hAnsi="Symbol" w:hint="default"/>
      </w:rPr>
    </w:lvl>
    <w:lvl w:ilvl="1">
      <w:start w:val="1"/>
      <w:numFmt w:val="bullet"/>
      <w:pStyle w:val="ListBullet1Level2"/>
      <w:lvlText w:val=""/>
      <w:lvlJc w:val="left"/>
      <w:pPr>
        <w:tabs>
          <w:tab w:val="num" w:pos="1049"/>
        </w:tabs>
        <w:ind w:left="1049" w:hanging="284"/>
      </w:pPr>
      <w:rPr>
        <w:rFonts w:ascii="Symbol" w:hAnsi="Symbol" w:hint="default"/>
      </w:rPr>
    </w:lvl>
    <w:lvl w:ilvl="2">
      <w:start w:val="1"/>
      <w:numFmt w:val="bullet"/>
      <w:pStyle w:val="ListBullet1Level3"/>
      <w:lvlText w:val=""/>
      <w:lvlJc w:val="left"/>
      <w:pPr>
        <w:tabs>
          <w:tab w:val="num" w:pos="1332"/>
        </w:tabs>
        <w:ind w:left="1332" w:hanging="283"/>
      </w:pPr>
      <w:rPr>
        <w:rFonts w:ascii="Symbol" w:hAnsi="Symbol" w:hint="default"/>
      </w:rPr>
    </w:lvl>
    <w:lvl w:ilvl="3">
      <w:start w:val="1"/>
      <w:numFmt w:val="bullet"/>
      <w:pStyle w:val="ListBullet1Level4"/>
      <w:lvlText w:val=""/>
      <w:lvlJc w:val="left"/>
      <w:pPr>
        <w:tabs>
          <w:tab w:val="num" w:pos="1616"/>
        </w:tabs>
        <w:ind w:left="161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5A3663"/>
    <w:multiLevelType w:val="hybridMultilevel"/>
    <w:tmpl w:val="84FC3E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C75CC1"/>
    <w:multiLevelType w:val="hybridMultilevel"/>
    <w:tmpl w:val="61BAA3BC"/>
    <w:lvl w:ilvl="0" w:tplc="655E55D8">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28C4170"/>
    <w:multiLevelType w:val="hybridMultilevel"/>
    <w:tmpl w:val="20560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9E662A"/>
    <w:multiLevelType w:val="multilevel"/>
    <w:tmpl w:val="51CC775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830FEA"/>
    <w:multiLevelType w:val="hybridMultilevel"/>
    <w:tmpl w:val="809C70CC"/>
    <w:lvl w:ilvl="0" w:tplc="304C3152">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B6069CC"/>
    <w:multiLevelType w:val="hybridMultilevel"/>
    <w:tmpl w:val="FCB09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E1A63DF"/>
    <w:multiLevelType w:val="multilevel"/>
    <w:tmpl w:val="308824B8"/>
    <w:name w:val="TableListBulletNumbering"/>
    <w:lvl w:ilvl="0">
      <w:start w:val="1"/>
      <w:numFmt w:val="bullet"/>
      <w:pStyle w:val="TableListBullet"/>
      <w:lvlText w:val=""/>
      <w:lvlJc w:val="left"/>
      <w:pPr>
        <w:tabs>
          <w:tab w:val="num" w:pos="283"/>
        </w:tabs>
        <w:ind w:left="283" w:hanging="283"/>
      </w:pPr>
      <w:rPr>
        <w:rFonts w:ascii="Symbol" w:hAnsi="Symbol" w:hint="default"/>
      </w:rPr>
    </w:lvl>
    <w:lvl w:ilvl="1">
      <w:start w:val="1"/>
      <w:numFmt w:val="bullet"/>
      <w:pStyle w:val="TableListBulletLevel2"/>
      <w:lvlText w:val=""/>
      <w:lvlJc w:val="left"/>
      <w:pPr>
        <w:tabs>
          <w:tab w:val="num" w:pos="567"/>
        </w:tabs>
        <w:ind w:left="567" w:hanging="284"/>
      </w:pPr>
      <w:rPr>
        <w:rFonts w:ascii="Symbol" w:hAnsi="Symbol" w:hint="default"/>
      </w:rPr>
    </w:lvl>
    <w:lvl w:ilvl="2">
      <w:start w:val="1"/>
      <w:numFmt w:val="bullet"/>
      <w:pStyle w:val="TableListBulletLevel3"/>
      <w:lvlText w:val=""/>
      <w:lvlJc w:val="left"/>
      <w:pPr>
        <w:tabs>
          <w:tab w:val="num" w:pos="850"/>
        </w:tabs>
        <w:ind w:left="850" w:hanging="283"/>
      </w:pPr>
      <w:rPr>
        <w:rFonts w:ascii="Symbol" w:hAnsi="Symbol" w:hint="default"/>
      </w:rPr>
    </w:lvl>
    <w:lvl w:ilvl="3">
      <w:start w:val="1"/>
      <w:numFmt w:val="bullet"/>
      <w:pStyle w:val="Table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A982C"/>
    <w:multiLevelType w:val="multilevel"/>
    <w:tmpl w:val="1F52D494"/>
    <w:name w:val="ListBulletNumbering"/>
    <w:lvl w:ilvl="0">
      <w:start w:val="1"/>
      <w:numFmt w:val="bullet"/>
      <w:pStyle w:val="ListBullet"/>
      <w:lvlText w:val=""/>
      <w:lvlJc w:val="left"/>
      <w:pPr>
        <w:tabs>
          <w:tab w:val="num" w:pos="283"/>
        </w:tabs>
        <w:ind w:left="283" w:hanging="283"/>
      </w:pPr>
      <w:rPr>
        <w:rFonts w:ascii="Symbol" w:hAnsi="Symbol" w:hint="default"/>
      </w:rPr>
    </w:lvl>
    <w:lvl w:ilvl="1">
      <w:start w:val="1"/>
      <w:numFmt w:val="bullet"/>
      <w:pStyle w:val="ListBulletLevel2"/>
      <w:lvlText w:val=""/>
      <w:lvlJc w:val="left"/>
      <w:pPr>
        <w:tabs>
          <w:tab w:val="num" w:pos="567"/>
        </w:tabs>
        <w:ind w:left="567" w:hanging="284"/>
      </w:pPr>
      <w:rPr>
        <w:rFonts w:ascii="Symbol" w:hAnsi="Symbol" w:hint="default"/>
      </w:rPr>
    </w:lvl>
    <w:lvl w:ilvl="2">
      <w:start w:val="1"/>
      <w:numFmt w:val="bullet"/>
      <w:pStyle w:val="ListBulletLevel3"/>
      <w:lvlText w:val=""/>
      <w:lvlJc w:val="left"/>
      <w:pPr>
        <w:tabs>
          <w:tab w:val="num" w:pos="850"/>
        </w:tabs>
        <w:ind w:left="850" w:hanging="283"/>
      </w:pPr>
      <w:rPr>
        <w:rFonts w:ascii="Symbol" w:hAnsi="Symbol" w:hint="default"/>
      </w:rPr>
    </w:lvl>
    <w:lvl w:ilvl="3">
      <w:start w:val="1"/>
      <w:numFmt w:val="bullet"/>
      <w:pStyle w:val="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BD6E9A"/>
    <w:multiLevelType w:val="hybridMultilevel"/>
    <w:tmpl w:val="DF5A41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072619B"/>
    <w:multiLevelType w:val="multilevel"/>
    <w:tmpl w:val="6366DE76"/>
    <w:name w:val="ListDashNumbering"/>
    <w:lvl w:ilvl="0">
      <w:start w:val="1"/>
      <w:numFmt w:val="bullet"/>
      <w:pStyle w:val="ListDash"/>
      <w:lvlText w:val="–"/>
      <w:lvlJc w:val="left"/>
      <w:pPr>
        <w:tabs>
          <w:tab w:val="num" w:pos="283"/>
        </w:tabs>
        <w:ind w:left="283" w:hanging="283"/>
      </w:pPr>
      <w:rPr>
        <w:rFonts w:ascii="Times New Roman" w:hAnsi="Times New Roman" w:hint="default"/>
      </w:rPr>
    </w:lvl>
    <w:lvl w:ilvl="1">
      <w:start w:val="1"/>
      <w:numFmt w:val="bullet"/>
      <w:pStyle w:val="ListDashLevel2"/>
      <w:lvlText w:val="–"/>
      <w:lvlJc w:val="left"/>
      <w:pPr>
        <w:tabs>
          <w:tab w:val="num" w:pos="567"/>
        </w:tabs>
        <w:ind w:left="567" w:hanging="284"/>
      </w:pPr>
      <w:rPr>
        <w:rFonts w:ascii="Times New Roman" w:hAnsi="Times New Roman" w:hint="default"/>
      </w:rPr>
    </w:lvl>
    <w:lvl w:ilvl="2">
      <w:start w:val="1"/>
      <w:numFmt w:val="bullet"/>
      <w:pStyle w:val="ListDashLevel3"/>
      <w:lvlText w:val="–"/>
      <w:lvlJc w:val="left"/>
      <w:pPr>
        <w:tabs>
          <w:tab w:val="num" w:pos="850"/>
        </w:tabs>
        <w:ind w:left="850" w:hanging="283"/>
      </w:pPr>
      <w:rPr>
        <w:rFonts w:ascii="Times New Roman" w:hAnsi="Times New Roman" w:hint="default"/>
      </w:rPr>
    </w:lvl>
    <w:lvl w:ilvl="3">
      <w:start w:val="1"/>
      <w:numFmt w:val="bullet"/>
      <w:pStyle w:val="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729B52"/>
    <w:multiLevelType w:val="multilevel"/>
    <w:tmpl w:val="2F72A138"/>
    <w:name w:val="TableListDashNumbering"/>
    <w:lvl w:ilvl="0">
      <w:start w:val="1"/>
      <w:numFmt w:val="bullet"/>
      <w:pStyle w:val="TableListDash"/>
      <w:lvlText w:val="–"/>
      <w:lvlJc w:val="left"/>
      <w:pPr>
        <w:tabs>
          <w:tab w:val="num" w:pos="283"/>
        </w:tabs>
        <w:ind w:left="283" w:hanging="283"/>
      </w:pPr>
      <w:rPr>
        <w:rFonts w:ascii="Times New Roman" w:hAnsi="Times New Roman" w:hint="default"/>
      </w:rPr>
    </w:lvl>
    <w:lvl w:ilvl="1">
      <w:start w:val="1"/>
      <w:numFmt w:val="bullet"/>
      <w:pStyle w:val="TableListDashLevel2"/>
      <w:lvlText w:val="–"/>
      <w:lvlJc w:val="left"/>
      <w:pPr>
        <w:tabs>
          <w:tab w:val="num" w:pos="567"/>
        </w:tabs>
        <w:ind w:left="567" w:hanging="284"/>
      </w:pPr>
      <w:rPr>
        <w:rFonts w:ascii="Times New Roman" w:hAnsi="Times New Roman" w:hint="default"/>
      </w:rPr>
    </w:lvl>
    <w:lvl w:ilvl="2">
      <w:start w:val="1"/>
      <w:numFmt w:val="bullet"/>
      <w:pStyle w:val="TableListDashLevel3"/>
      <w:lvlText w:val="–"/>
      <w:lvlJc w:val="left"/>
      <w:pPr>
        <w:tabs>
          <w:tab w:val="num" w:pos="850"/>
        </w:tabs>
        <w:ind w:left="850" w:hanging="283"/>
      </w:pPr>
      <w:rPr>
        <w:rFonts w:ascii="Times New Roman" w:hAnsi="Times New Roman" w:hint="default"/>
      </w:rPr>
    </w:lvl>
    <w:lvl w:ilvl="3">
      <w:start w:val="1"/>
      <w:numFmt w:val="bullet"/>
      <w:pStyle w:val="Table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037D19"/>
    <w:multiLevelType w:val="hybridMultilevel"/>
    <w:tmpl w:val="FBEC4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59A3F55"/>
    <w:multiLevelType w:val="hybridMultilevel"/>
    <w:tmpl w:val="BAACF480"/>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5D2FC07E"/>
    <w:multiLevelType w:val="hybridMultilevel"/>
    <w:tmpl w:val="FFFFFFFF"/>
    <w:lvl w:ilvl="0" w:tplc="D5DA85C6">
      <w:start w:val="1"/>
      <w:numFmt w:val="bullet"/>
      <w:lvlText w:val="-"/>
      <w:lvlJc w:val="left"/>
      <w:pPr>
        <w:ind w:left="720" w:hanging="360"/>
      </w:pPr>
      <w:rPr>
        <w:rFonts w:ascii="Aptos" w:hAnsi="Aptos" w:hint="default"/>
      </w:rPr>
    </w:lvl>
    <w:lvl w:ilvl="1" w:tplc="6AA47718">
      <w:start w:val="1"/>
      <w:numFmt w:val="bullet"/>
      <w:lvlText w:val="o"/>
      <w:lvlJc w:val="left"/>
      <w:pPr>
        <w:ind w:left="1440" w:hanging="360"/>
      </w:pPr>
      <w:rPr>
        <w:rFonts w:ascii="Courier New" w:hAnsi="Courier New" w:hint="default"/>
      </w:rPr>
    </w:lvl>
    <w:lvl w:ilvl="2" w:tplc="304C3152">
      <w:start w:val="1"/>
      <w:numFmt w:val="bullet"/>
      <w:lvlText w:val=""/>
      <w:lvlJc w:val="left"/>
      <w:pPr>
        <w:ind w:left="2160" w:hanging="360"/>
      </w:pPr>
      <w:rPr>
        <w:rFonts w:ascii="Wingdings" w:hAnsi="Wingdings" w:hint="default"/>
      </w:rPr>
    </w:lvl>
    <w:lvl w:ilvl="3" w:tplc="6F04696E">
      <w:start w:val="1"/>
      <w:numFmt w:val="bullet"/>
      <w:lvlText w:val=""/>
      <w:lvlJc w:val="left"/>
      <w:pPr>
        <w:ind w:left="2880" w:hanging="360"/>
      </w:pPr>
      <w:rPr>
        <w:rFonts w:ascii="Symbol" w:hAnsi="Symbol" w:hint="default"/>
      </w:rPr>
    </w:lvl>
    <w:lvl w:ilvl="4" w:tplc="19E0033E">
      <w:start w:val="1"/>
      <w:numFmt w:val="bullet"/>
      <w:lvlText w:val="o"/>
      <w:lvlJc w:val="left"/>
      <w:pPr>
        <w:ind w:left="3600" w:hanging="360"/>
      </w:pPr>
      <w:rPr>
        <w:rFonts w:ascii="Courier New" w:hAnsi="Courier New" w:hint="default"/>
      </w:rPr>
    </w:lvl>
    <w:lvl w:ilvl="5" w:tplc="D35E5388">
      <w:start w:val="1"/>
      <w:numFmt w:val="bullet"/>
      <w:lvlText w:val=""/>
      <w:lvlJc w:val="left"/>
      <w:pPr>
        <w:ind w:left="4320" w:hanging="360"/>
      </w:pPr>
      <w:rPr>
        <w:rFonts w:ascii="Wingdings" w:hAnsi="Wingdings" w:hint="default"/>
      </w:rPr>
    </w:lvl>
    <w:lvl w:ilvl="6" w:tplc="1F3A4BF8">
      <w:start w:val="1"/>
      <w:numFmt w:val="bullet"/>
      <w:lvlText w:val=""/>
      <w:lvlJc w:val="left"/>
      <w:pPr>
        <w:ind w:left="5040" w:hanging="360"/>
      </w:pPr>
      <w:rPr>
        <w:rFonts w:ascii="Symbol" w:hAnsi="Symbol" w:hint="default"/>
      </w:rPr>
    </w:lvl>
    <w:lvl w:ilvl="7" w:tplc="F7D65FE6">
      <w:start w:val="1"/>
      <w:numFmt w:val="bullet"/>
      <w:lvlText w:val="o"/>
      <w:lvlJc w:val="left"/>
      <w:pPr>
        <w:ind w:left="5760" w:hanging="360"/>
      </w:pPr>
      <w:rPr>
        <w:rFonts w:ascii="Courier New" w:hAnsi="Courier New" w:hint="default"/>
      </w:rPr>
    </w:lvl>
    <w:lvl w:ilvl="8" w:tplc="90ACA2BC">
      <w:start w:val="1"/>
      <w:numFmt w:val="bullet"/>
      <w:lvlText w:val=""/>
      <w:lvlJc w:val="left"/>
      <w:pPr>
        <w:ind w:left="6480" w:hanging="360"/>
      </w:pPr>
      <w:rPr>
        <w:rFonts w:ascii="Wingdings" w:hAnsi="Wingdings" w:hint="default"/>
      </w:rPr>
    </w:lvl>
  </w:abstractNum>
  <w:abstractNum w:abstractNumId="38" w15:restartNumberingAfterBreak="0">
    <w:nsid w:val="5D59656A"/>
    <w:multiLevelType w:val="multilevel"/>
    <w:tmpl w:val="29726894"/>
    <w:lvl w:ilvl="0">
      <w:start w:val="2"/>
      <w:numFmt w:val="decimal"/>
      <w:lvlText w:val="%1"/>
      <w:lvlJc w:val="left"/>
      <w:pPr>
        <w:ind w:left="360" w:hanging="360"/>
      </w:pPr>
      <w:rPr>
        <w:rFonts w:hint="default"/>
      </w:rPr>
    </w:lvl>
    <w:lvl w:ilvl="1">
      <w:start w:val="1"/>
      <w:numFmt w:val="decimal"/>
      <w:pStyle w:val="Style1"/>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977472E"/>
    <w:multiLevelType w:val="multilevel"/>
    <w:tmpl w:val="D8026D94"/>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hint="default"/>
      </w:rPr>
    </w:lvl>
    <w:lvl w:ilvl="3">
      <w:start w:val="1"/>
      <w:numFmt w:val="bullet"/>
      <w:pStyle w:val="ListNumber4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C55CD1"/>
    <w:multiLevelType w:val="multilevel"/>
    <w:tmpl w:val="71FC7466"/>
    <w:lvl w:ilvl="0">
      <w:start w:val="1"/>
      <w:numFmt w:val="decimal"/>
      <w:pStyle w:val="Style3"/>
      <w:lvlText w:val="%1."/>
      <w:lvlJc w:val="left"/>
      <w:pPr>
        <w:ind w:left="720" w:hanging="360"/>
      </w:pPr>
      <w:rPr>
        <w:rFonts w:hint="default"/>
      </w:rPr>
    </w:lvl>
    <w:lvl w:ilvl="1">
      <w:start w:val="1"/>
      <w:numFmt w:val="decimal"/>
      <w:pStyle w:val="Style4"/>
      <w:isLgl/>
      <w:lvlText w:val="%1.%2"/>
      <w:lvlJc w:val="left"/>
      <w:pPr>
        <w:ind w:left="646" w:hanging="36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3CC2ABD"/>
    <w:multiLevelType w:val="hybridMultilevel"/>
    <w:tmpl w:val="E9504B18"/>
    <w:lvl w:ilvl="0" w:tplc="FFFFFFFF">
      <w:start w:val="1"/>
      <w:numFmt w:val="bullet"/>
      <w:pStyle w:val="Style2"/>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C65145E"/>
    <w:multiLevelType w:val="multilevel"/>
    <w:tmpl w:val="C306353E"/>
    <w:name w:val="EurolookHeading"/>
    <w:lvl w:ilvl="0">
      <w:start w:val="1"/>
      <w:numFmt w:val="decimal"/>
      <w:pStyle w:val="Heading1"/>
      <w:lvlText w:val="%1."/>
      <w:lvlJc w:val="left"/>
      <w:pPr>
        <w:tabs>
          <w:tab w:val="num" w:pos="482"/>
        </w:tabs>
        <w:ind w:left="482" w:hanging="482"/>
      </w:pPr>
      <w:rPr>
        <w:lang w:val="en-IE"/>
      </w:r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3"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3"/>
  </w:num>
  <w:num w:numId="2">
    <w:abstractNumId w:val="20"/>
  </w:num>
  <w:num w:numId="3">
    <w:abstractNumId w:val="11"/>
  </w:num>
  <w:num w:numId="4">
    <w:abstractNumId w:val="22"/>
  </w:num>
  <w:num w:numId="5">
    <w:abstractNumId w:val="33"/>
  </w:num>
  <w:num w:numId="6">
    <w:abstractNumId w:val="39"/>
  </w:num>
  <w:num w:numId="7">
    <w:abstractNumId w:val="4"/>
  </w:num>
  <w:num w:numId="8">
    <w:abstractNumId w:val="9"/>
  </w:num>
  <w:num w:numId="9">
    <w:abstractNumId w:val="27"/>
  </w:num>
  <w:num w:numId="10">
    <w:abstractNumId w:val="5"/>
  </w:num>
  <w:num w:numId="11">
    <w:abstractNumId w:val="7"/>
  </w:num>
  <w:num w:numId="12">
    <w:abstractNumId w:val="8"/>
  </w:num>
  <w:num w:numId="13">
    <w:abstractNumId w:val="13"/>
  </w:num>
  <w:num w:numId="14">
    <w:abstractNumId w:val="23"/>
  </w:num>
  <w:num w:numId="15">
    <w:abstractNumId w:val="31"/>
  </w:num>
  <w:num w:numId="16">
    <w:abstractNumId w:val="42"/>
  </w:num>
  <w:num w:numId="17">
    <w:abstractNumId w:val="14"/>
  </w:num>
  <w:num w:numId="18">
    <w:abstractNumId w:val="15"/>
  </w:num>
  <w:num w:numId="19">
    <w:abstractNumId w:val="43"/>
  </w:num>
  <w:num w:numId="20">
    <w:abstractNumId w:val="30"/>
  </w:num>
  <w:num w:numId="21">
    <w:abstractNumId w:val="34"/>
  </w:num>
  <w:num w:numId="22">
    <w:abstractNumId w:val="6"/>
  </w:num>
  <w:num w:numId="23">
    <w:abstractNumId w:val="40"/>
  </w:num>
  <w:num w:numId="24">
    <w:abstractNumId w:val="38"/>
  </w:num>
  <w:num w:numId="25">
    <w:abstractNumId w:val="1"/>
  </w:num>
  <w:num w:numId="26">
    <w:abstractNumId w:val="41"/>
  </w:num>
  <w:num w:numId="27">
    <w:abstractNumId w:val="17"/>
  </w:num>
  <w:num w:numId="28">
    <w:abstractNumId w:val="26"/>
  </w:num>
  <w:num w:numId="29">
    <w:abstractNumId w:val="42"/>
  </w:num>
  <w:num w:numId="30">
    <w:abstractNumId w:val="42"/>
  </w:num>
  <w:num w:numId="31">
    <w:abstractNumId w:val="42"/>
  </w:num>
  <w:num w:numId="32">
    <w:abstractNumId w:val="42"/>
  </w:num>
  <w:num w:numId="33">
    <w:abstractNumId w:val="42"/>
  </w:num>
  <w:num w:numId="34">
    <w:abstractNumId w:val="42"/>
  </w:num>
  <w:num w:numId="35">
    <w:abstractNumId w:val="41"/>
  </w:num>
  <w:num w:numId="36">
    <w:abstractNumId w:val="42"/>
  </w:num>
  <w:num w:numId="37">
    <w:abstractNumId w:val="42"/>
  </w:num>
  <w:num w:numId="3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7"/>
  </w:num>
  <w:num w:numId="41">
    <w:abstractNumId w:val="25"/>
  </w:num>
  <w:num w:numId="42">
    <w:abstractNumId w:val="12"/>
  </w:num>
  <w:num w:numId="43">
    <w:abstractNumId w:val="42"/>
    <w:lvlOverride w:ilvl="0">
      <w:startOverride w:val="2"/>
    </w:lvlOverride>
    <w:lvlOverride w:ilvl="1"/>
  </w:num>
  <w:num w:numId="44">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0"/>
  </w:num>
  <w:num w:numId="47">
    <w:abstractNumId w:val="32"/>
  </w:num>
  <w:num w:numId="48">
    <w:abstractNumId w:val="42"/>
  </w:num>
  <w:num w:numId="49">
    <w:abstractNumId w:val="42"/>
  </w:num>
  <w:num w:numId="50">
    <w:abstractNumId w:val="42"/>
  </w:num>
  <w:num w:numId="51">
    <w:abstractNumId w:val="42"/>
  </w:num>
  <w:num w:numId="52">
    <w:abstractNumId w:val="42"/>
  </w:num>
  <w:num w:numId="53">
    <w:abstractNumId w:val="42"/>
  </w:num>
  <w:num w:numId="54">
    <w:abstractNumId w:val="42"/>
  </w:num>
  <w:num w:numId="55">
    <w:abstractNumId w:val="42"/>
  </w:num>
  <w:num w:numId="56">
    <w:abstractNumId w:val="18"/>
  </w:num>
  <w:num w:numId="57">
    <w:abstractNumId w:val="36"/>
  </w:num>
  <w:num w:numId="58">
    <w:abstractNumId w:val="2"/>
  </w:num>
  <w:num w:numId="59">
    <w:abstractNumId w:val="24"/>
  </w:num>
  <w:num w:numId="60">
    <w:abstractNumId w:val="41"/>
  </w:num>
  <w:num w:numId="61">
    <w:abstractNumId w:val="35"/>
  </w:num>
  <w:num w:numId="62">
    <w:abstractNumId w:val="19"/>
  </w:num>
  <w:num w:numId="63">
    <w:abstractNumId w:val="29"/>
  </w:num>
  <w:num w:numId="64">
    <w:abstractNumId w:val="0"/>
  </w:num>
  <w:num w:numId="65">
    <w:abstractNumId w:val="28"/>
  </w:num>
  <w:num w:numId="66">
    <w:abstractNumId w:val="42"/>
  </w:num>
  <w:num w:numId="67">
    <w:abstractNumId w:val="42"/>
  </w:num>
  <w:num w:numId="68">
    <w:abstractNumId w:val="21"/>
  </w:num>
  <w:num w:numId="69">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9725415A-6611-4F8D-8DE5-AE5C88A39B1B"/>
    <w:docVar w:name="LW_COVERPAGE_TYPE" w:val="1"/>
    <w:docVar w:name="LW_CROSSREFERENCE" w:val="&lt;UNUSED&gt;"/>
    <w:docVar w:name="LW_DocType" w:val="EUROLOOK"/>
    <w:docVar w:name="LW_EMISSION" w:val="8.7.2025"/>
    <w:docVar w:name="LW_EMISSION_ISODATE" w:val="2025-07-08"/>
    <w:docVar w:name="LW_EMISSION_LOCATION" w:val="STR"/>
    <w:docVar w:name="LW_EMISSION_PREFIX" w:val="Strasbourg, le "/>
    <w:docVar w:name="LW_EMISSION_SUFFIX" w:val=" "/>
    <w:docVar w:name="LW_ID_DOCTYPE_NONLW" w:val="CP-014"/>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5) 53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n plan d\u8217?action pour l\u8217?industrie chimique européenne"/>
    <w:docVar w:name="LW_TYPE.DOC.CP" w:val="COMMUNICATION DE LA COMMISSION AU PARLEMENT EUROPÉEN, AU CONSEIL, AU COMITÉ ÉCONOMIQUE ET SOCIAL EUROPÉEN ET AU COMITÉ DES RÉGIONS"/>
    <w:docVar w:name="LW_TYPE.DOC.CP.USERTEXT" w:val="&lt;EMPTY&gt;"/>
    <w:docVar w:name="LwApiVersions" w:val="LW4CoDe 1.24.5.0; LW 9.0, Build 20240221"/>
  </w:docVars>
  <w:rsids>
    <w:rsidRoot w:val="00846E24"/>
    <w:rsid w:val="000004DB"/>
    <w:rsid w:val="00000687"/>
    <w:rsid w:val="00000915"/>
    <w:rsid w:val="00000AFE"/>
    <w:rsid w:val="00000B79"/>
    <w:rsid w:val="00001205"/>
    <w:rsid w:val="00001479"/>
    <w:rsid w:val="00001589"/>
    <w:rsid w:val="0000160A"/>
    <w:rsid w:val="000016E3"/>
    <w:rsid w:val="000016EC"/>
    <w:rsid w:val="00001A4D"/>
    <w:rsid w:val="00001AEA"/>
    <w:rsid w:val="00002001"/>
    <w:rsid w:val="00002056"/>
    <w:rsid w:val="0000219B"/>
    <w:rsid w:val="000022E9"/>
    <w:rsid w:val="00002373"/>
    <w:rsid w:val="00002557"/>
    <w:rsid w:val="000025E8"/>
    <w:rsid w:val="00002A23"/>
    <w:rsid w:val="00002B16"/>
    <w:rsid w:val="00002FB9"/>
    <w:rsid w:val="000030B8"/>
    <w:rsid w:val="00003296"/>
    <w:rsid w:val="0000364B"/>
    <w:rsid w:val="00003A4A"/>
    <w:rsid w:val="00003B0E"/>
    <w:rsid w:val="00003E95"/>
    <w:rsid w:val="00003F25"/>
    <w:rsid w:val="00004627"/>
    <w:rsid w:val="00004731"/>
    <w:rsid w:val="00004A37"/>
    <w:rsid w:val="00004B55"/>
    <w:rsid w:val="00004BAC"/>
    <w:rsid w:val="000054AC"/>
    <w:rsid w:val="00005561"/>
    <w:rsid w:val="00005601"/>
    <w:rsid w:val="000058EE"/>
    <w:rsid w:val="00005F13"/>
    <w:rsid w:val="00006009"/>
    <w:rsid w:val="00006389"/>
    <w:rsid w:val="000063EF"/>
    <w:rsid w:val="00006BCF"/>
    <w:rsid w:val="00006CDD"/>
    <w:rsid w:val="00006DF0"/>
    <w:rsid w:val="00007270"/>
    <w:rsid w:val="000072D8"/>
    <w:rsid w:val="000073E7"/>
    <w:rsid w:val="00007AAC"/>
    <w:rsid w:val="00010143"/>
    <w:rsid w:val="00010380"/>
    <w:rsid w:val="0001051C"/>
    <w:rsid w:val="00010824"/>
    <w:rsid w:val="00010B15"/>
    <w:rsid w:val="00011061"/>
    <w:rsid w:val="00011118"/>
    <w:rsid w:val="00011145"/>
    <w:rsid w:val="000111B2"/>
    <w:rsid w:val="000112CD"/>
    <w:rsid w:val="000116C5"/>
    <w:rsid w:val="00011881"/>
    <w:rsid w:val="0001194D"/>
    <w:rsid w:val="00011A86"/>
    <w:rsid w:val="00011C9B"/>
    <w:rsid w:val="00012436"/>
    <w:rsid w:val="000124DB"/>
    <w:rsid w:val="00012753"/>
    <w:rsid w:val="0001286A"/>
    <w:rsid w:val="00012CD2"/>
    <w:rsid w:val="000133EB"/>
    <w:rsid w:val="000133F7"/>
    <w:rsid w:val="000136F1"/>
    <w:rsid w:val="000138E5"/>
    <w:rsid w:val="00013AC1"/>
    <w:rsid w:val="00013C2D"/>
    <w:rsid w:val="00013D99"/>
    <w:rsid w:val="00013FC0"/>
    <w:rsid w:val="00014257"/>
    <w:rsid w:val="000145C4"/>
    <w:rsid w:val="00014C31"/>
    <w:rsid w:val="00015459"/>
    <w:rsid w:val="00015823"/>
    <w:rsid w:val="000158A9"/>
    <w:rsid w:val="000159F9"/>
    <w:rsid w:val="00015A7C"/>
    <w:rsid w:val="00015DA7"/>
    <w:rsid w:val="00015E31"/>
    <w:rsid w:val="00015E3F"/>
    <w:rsid w:val="00015F58"/>
    <w:rsid w:val="000160AF"/>
    <w:rsid w:val="0001636E"/>
    <w:rsid w:val="000167CB"/>
    <w:rsid w:val="00016BF2"/>
    <w:rsid w:val="00017142"/>
    <w:rsid w:val="00017405"/>
    <w:rsid w:val="0001761E"/>
    <w:rsid w:val="0001920A"/>
    <w:rsid w:val="00020402"/>
    <w:rsid w:val="00020963"/>
    <w:rsid w:val="00020C9F"/>
    <w:rsid w:val="00020E06"/>
    <w:rsid w:val="00020FBF"/>
    <w:rsid w:val="000212FC"/>
    <w:rsid w:val="000213A5"/>
    <w:rsid w:val="00021812"/>
    <w:rsid w:val="0002185D"/>
    <w:rsid w:val="000218EB"/>
    <w:rsid w:val="00021961"/>
    <w:rsid w:val="000219E9"/>
    <w:rsid w:val="00021CC6"/>
    <w:rsid w:val="000225BE"/>
    <w:rsid w:val="0002262F"/>
    <w:rsid w:val="00022809"/>
    <w:rsid w:val="000232E0"/>
    <w:rsid w:val="000236E4"/>
    <w:rsid w:val="00023B88"/>
    <w:rsid w:val="00023DCE"/>
    <w:rsid w:val="000244EE"/>
    <w:rsid w:val="0002490A"/>
    <w:rsid w:val="00024FCA"/>
    <w:rsid w:val="0002557C"/>
    <w:rsid w:val="000257E7"/>
    <w:rsid w:val="00025A65"/>
    <w:rsid w:val="00025D52"/>
    <w:rsid w:val="000260E7"/>
    <w:rsid w:val="00026519"/>
    <w:rsid w:val="0002658E"/>
    <w:rsid w:val="00026852"/>
    <w:rsid w:val="0002692F"/>
    <w:rsid w:val="0002697E"/>
    <w:rsid w:val="0002737C"/>
    <w:rsid w:val="0002741E"/>
    <w:rsid w:val="0002747C"/>
    <w:rsid w:val="0002757C"/>
    <w:rsid w:val="0002758E"/>
    <w:rsid w:val="00027598"/>
    <w:rsid w:val="000276B1"/>
    <w:rsid w:val="000277B8"/>
    <w:rsid w:val="00030452"/>
    <w:rsid w:val="000304D5"/>
    <w:rsid w:val="000308DD"/>
    <w:rsid w:val="00030957"/>
    <w:rsid w:val="00030AA0"/>
    <w:rsid w:val="00031932"/>
    <w:rsid w:val="00031B66"/>
    <w:rsid w:val="00031EAC"/>
    <w:rsid w:val="0003218D"/>
    <w:rsid w:val="000321FF"/>
    <w:rsid w:val="00032FA7"/>
    <w:rsid w:val="00032FFB"/>
    <w:rsid w:val="000333BC"/>
    <w:rsid w:val="00033737"/>
    <w:rsid w:val="0003380A"/>
    <w:rsid w:val="00033BD1"/>
    <w:rsid w:val="00033BD4"/>
    <w:rsid w:val="000340C0"/>
    <w:rsid w:val="0003416E"/>
    <w:rsid w:val="000341CA"/>
    <w:rsid w:val="00035173"/>
    <w:rsid w:val="000356D5"/>
    <w:rsid w:val="00035969"/>
    <w:rsid w:val="00035E61"/>
    <w:rsid w:val="00035F2C"/>
    <w:rsid w:val="000360D4"/>
    <w:rsid w:val="00036112"/>
    <w:rsid w:val="0003665D"/>
    <w:rsid w:val="0003667F"/>
    <w:rsid w:val="0003689D"/>
    <w:rsid w:val="000370A5"/>
    <w:rsid w:val="000371B6"/>
    <w:rsid w:val="00037793"/>
    <w:rsid w:val="00037F5E"/>
    <w:rsid w:val="00040020"/>
    <w:rsid w:val="00040033"/>
    <w:rsid w:val="0004065C"/>
    <w:rsid w:val="00040792"/>
    <w:rsid w:val="00040CD3"/>
    <w:rsid w:val="00040E0D"/>
    <w:rsid w:val="0004101B"/>
    <w:rsid w:val="00041131"/>
    <w:rsid w:val="0004178E"/>
    <w:rsid w:val="0004186E"/>
    <w:rsid w:val="00041DF6"/>
    <w:rsid w:val="00041E79"/>
    <w:rsid w:val="00042341"/>
    <w:rsid w:val="000424BA"/>
    <w:rsid w:val="00042A9F"/>
    <w:rsid w:val="00042ACF"/>
    <w:rsid w:val="00042CF7"/>
    <w:rsid w:val="00042DBA"/>
    <w:rsid w:val="0004302E"/>
    <w:rsid w:val="000431F8"/>
    <w:rsid w:val="0004324E"/>
    <w:rsid w:val="00043296"/>
    <w:rsid w:val="000436BB"/>
    <w:rsid w:val="0004374B"/>
    <w:rsid w:val="00043C97"/>
    <w:rsid w:val="00043DF8"/>
    <w:rsid w:val="00043FAD"/>
    <w:rsid w:val="00044181"/>
    <w:rsid w:val="000442D6"/>
    <w:rsid w:val="0004448B"/>
    <w:rsid w:val="000444DE"/>
    <w:rsid w:val="000445BD"/>
    <w:rsid w:val="0004478A"/>
    <w:rsid w:val="00044804"/>
    <w:rsid w:val="00044A19"/>
    <w:rsid w:val="000451FB"/>
    <w:rsid w:val="0004539C"/>
    <w:rsid w:val="000456DD"/>
    <w:rsid w:val="00045A8D"/>
    <w:rsid w:val="00045D6C"/>
    <w:rsid w:val="00045D78"/>
    <w:rsid w:val="00045D80"/>
    <w:rsid w:val="00045DAB"/>
    <w:rsid w:val="00045E63"/>
    <w:rsid w:val="0004612A"/>
    <w:rsid w:val="00046137"/>
    <w:rsid w:val="000461AA"/>
    <w:rsid w:val="0004662D"/>
    <w:rsid w:val="000466D7"/>
    <w:rsid w:val="000473F9"/>
    <w:rsid w:val="000474FA"/>
    <w:rsid w:val="0004765B"/>
    <w:rsid w:val="000478AC"/>
    <w:rsid w:val="00050346"/>
    <w:rsid w:val="000503B1"/>
    <w:rsid w:val="00050A84"/>
    <w:rsid w:val="0005127C"/>
    <w:rsid w:val="00051645"/>
    <w:rsid w:val="00051913"/>
    <w:rsid w:val="00051D90"/>
    <w:rsid w:val="00052380"/>
    <w:rsid w:val="000526C4"/>
    <w:rsid w:val="00052BC3"/>
    <w:rsid w:val="00052F46"/>
    <w:rsid w:val="00053894"/>
    <w:rsid w:val="0005398E"/>
    <w:rsid w:val="000539FD"/>
    <w:rsid w:val="00053E4E"/>
    <w:rsid w:val="00054108"/>
    <w:rsid w:val="000542ED"/>
    <w:rsid w:val="00054388"/>
    <w:rsid w:val="00054838"/>
    <w:rsid w:val="000548A9"/>
    <w:rsid w:val="00054AC8"/>
    <w:rsid w:val="00054D51"/>
    <w:rsid w:val="00054D79"/>
    <w:rsid w:val="00054EA5"/>
    <w:rsid w:val="00055130"/>
    <w:rsid w:val="000553D7"/>
    <w:rsid w:val="0005544A"/>
    <w:rsid w:val="00055653"/>
    <w:rsid w:val="00055D4D"/>
    <w:rsid w:val="00056517"/>
    <w:rsid w:val="000565FF"/>
    <w:rsid w:val="00056C84"/>
    <w:rsid w:val="00056C9F"/>
    <w:rsid w:val="00056FD6"/>
    <w:rsid w:val="0005700F"/>
    <w:rsid w:val="00057190"/>
    <w:rsid w:val="000574CB"/>
    <w:rsid w:val="00057759"/>
    <w:rsid w:val="00057860"/>
    <w:rsid w:val="000578A4"/>
    <w:rsid w:val="00057BF3"/>
    <w:rsid w:val="00060419"/>
    <w:rsid w:val="00060540"/>
    <w:rsid w:val="000605F1"/>
    <w:rsid w:val="00060977"/>
    <w:rsid w:val="00060CDA"/>
    <w:rsid w:val="00061182"/>
    <w:rsid w:val="000611FF"/>
    <w:rsid w:val="0006174E"/>
    <w:rsid w:val="00061861"/>
    <w:rsid w:val="0006195F"/>
    <w:rsid w:val="00061B43"/>
    <w:rsid w:val="00061DD0"/>
    <w:rsid w:val="00061FAB"/>
    <w:rsid w:val="00061FBF"/>
    <w:rsid w:val="000621C3"/>
    <w:rsid w:val="00062591"/>
    <w:rsid w:val="000627F4"/>
    <w:rsid w:val="00062EC4"/>
    <w:rsid w:val="00063246"/>
    <w:rsid w:val="00063485"/>
    <w:rsid w:val="000636CF"/>
    <w:rsid w:val="0006386C"/>
    <w:rsid w:val="00063A68"/>
    <w:rsid w:val="00063E02"/>
    <w:rsid w:val="00063EA6"/>
    <w:rsid w:val="00064273"/>
    <w:rsid w:val="00064326"/>
    <w:rsid w:val="0006484B"/>
    <w:rsid w:val="00064BE6"/>
    <w:rsid w:val="00064CAD"/>
    <w:rsid w:val="00064CD5"/>
    <w:rsid w:val="00064EBD"/>
    <w:rsid w:val="00065570"/>
    <w:rsid w:val="00065F8A"/>
    <w:rsid w:val="0006608E"/>
    <w:rsid w:val="00066187"/>
    <w:rsid w:val="000664B8"/>
    <w:rsid w:val="00066666"/>
    <w:rsid w:val="000666D1"/>
    <w:rsid w:val="0006670A"/>
    <w:rsid w:val="000668B1"/>
    <w:rsid w:val="00066A7F"/>
    <w:rsid w:val="00066E25"/>
    <w:rsid w:val="00066FB3"/>
    <w:rsid w:val="00067339"/>
    <w:rsid w:val="00067679"/>
    <w:rsid w:val="000676A2"/>
    <w:rsid w:val="000678EE"/>
    <w:rsid w:val="00067A03"/>
    <w:rsid w:val="00067A66"/>
    <w:rsid w:val="00067ACF"/>
    <w:rsid w:val="00067DC4"/>
    <w:rsid w:val="00067E28"/>
    <w:rsid w:val="0007047C"/>
    <w:rsid w:val="000704AD"/>
    <w:rsid w:val="00070E45"/>
    <w:rsid w:val="00070EBF"/>
    <w:rsid w:val="00071178"/>
    <w:rsid w:val="00071610"/>
    <w:rsid w:val="0007174F"/>
    <w:rsid w:val="00071937"/>
    <w:rsid w:val="00071965"/>
    <w:rsid w:val="00071D46"/>
    <w:rsid w:val="00071D84"/>
    <w:rsid w:val="00071E9C"/>
    <w:rsid w:val="00071FEA"/>
    <w:rsid w:val="00072001"/>
    <w:rsid w:val="000720B0"/>
    <w:rsid w:val="0007217F"/>
    <w:rsid w:val="0007255E"/>
    <w:rsid w:val="000727BB"/>
    <w:rsid w:val="00073327"/>
    <w:rsid w:val="000733DB"/>
    <w:rsid w:val="00073BAF"/>
    <w:rsid w:val="00073C47"/>
    <w:rsid w:val="00074D10"/>
    <w:rsid w:val="00074DCB"/>
    <w:rsid w:val="00074F73"/>
    <w:rsid w:val="00075216"/>
    <w:rsid w:val="000755E2"/>
    <w:rsid w:val="000756F2"/>
    <w:rsid w:val="00075974"/>
    <w:rsid w:val="00075B8A"/>
    <w:rsid w:val="00075F2F"/>
    <w:rsid w:val="00075F67"/>
    <w:rsid w:val="00076564"/>
    <w:rsid w:val="00076622"/>
    <w:rsid w:val="00076830"/>
    <w:rsid w:val="00076F60"/>
    <w:rsid w:val="00077020"/>
    <w:rsid w:val="0007705A"/>
    <w:rsid w:val="00077263"/>
    <w:rsid w:val="00077BE5"/>
    <w:rsid w:val="00077E5A"/>
    <w:rsid w:val="0008023C"/>
    <w:rsid w:val="000803C0"/>
    <w:rsid w:val="00080446"/>
    <w:rsid w:val="000804F7"/>
    <w:rsid w:val="00080764"/>
    <w:rsid w:val="00080940"/>
    <w:rsid w:val="00080A69"/>
    <w:rsid w:val="00080B06"/>
    <w:rsid w:val="00080B1C"/>
    <w:rsid w:val="00080CFE"/>
    <w:rsid w:val="00081068"/>
    <w:rsid w:val="000812CB"/>
    <w:rsid w:val="0008137A"/>
    <w:rsid w:val="00081444"/>
    <w:rsid w:val="000814EF"/>
    <w:rsid w:val="0008163E"/>
    <w:rsid w:val="000816EA"/>
    <w:rsid w:val="00082435"/>
    <w:rsid w:val="00082690"/>
    <w:rsid w:val="00082C17"/>
    <w:rsid w:val="00082C45"/>
    <w:rsid w:val="00083EA5"/>
    <w:rsid w:val="00083F3A"/>
    <w:rsid w:val="00083F5C"/>
    <w:rsid w:val="00084134"/>
    <w:rsid w:val="00084315"/>
    <w:rsid w:val="0008461B"/>
    <w:rsid w:val="0008463E"/>
    <w:rsid w:val="000846BC"/>
    <w:rsid w:val="0008482C"/>
    <w:rsid w:val="000851FB"/>
    <w:rsid w:val="0008522F"/>
    <w:rsid w:val="00085323"/>
    <w:rsid w:val="00085391"/>
    <w:rsid w:val="00085703"/>
    <w:rsid w:val="00085A65"/>
    <w:rsid w:val="00086A46"/>
    <w:rsid w:val="00086FB2"/>
    <w:rsid w:val="00087447"/>
    <w:rsid w:val="000879D6"/>
    <w:rsid w:val="0009026F"/>
    <w:rsid w:val="00090916"/>
    <w:rsid w:val="00090969"/>
    <w:rsid w:val="000909F9"/>
    <w:rsid w:val="00090D9E"/>
    <w:rsid w:val="00090DAC"/>
    <w:rsid w:val="00091058"/>
    <w:rsid w:val="000913E0"/>
    <w:rsid w:val="0009177B"/>
    <w:rsid w:val="000917E4"/>
    <w:rsid w:val="0009193C"/>
    <w:rsid w:val="00091B4A"/>
    <w:rsid w:val="00091B75"/>
    <w:rsid w:val="00091C53"/>
    <w:rsid w:val="00092092"/>
    <w:rsid w:val="000920B3"/>
    <w:rsid w:val="000928B6"/>
    <w:rsid w:val="00092972"/>
    <w:rsid w:val="00092D30"/>
    <w:rsid w:val="00092DC5"/>
    <w:rsid w:val="00092E6F"/>
    <w:rsid w:val="0009317A"/>
    <w:rsid w:val="000932E0"/>
    <w:rsid w:val="000936FD"/>
    <w:rsid w:val="000939D6"/>
    <w:rsid w:val="00093AFA"/>
    <w:rsid w:val="00093BF4"/>
    <w:rsid w:val="00093C85"/>
    <w:rsid w:val="00093CBD"/>
    <w:rsid w:val="00093E2F"/>
    <w:rsid w:val="00094596"/>
    <w:rsid w:val="000945E1"/>
    <w:rsid w:val="00094848"/>
    <w:rsid w:val="00094878"/>
    <w:rsid w:val="000949ED"/>
    <w:rsid w:val="00094AC5"/>
    <w:rsid w:val="00094D7A"/>
    <w:rsid w:val="00094E9A"/>
    <w:rsid w:val="00094FF8"/>
    <w:rsid w:val="00095075"/>
    <w:rsid w:val="00095139"/>
    <w:rsid w:val="000953A8"/>
    <w:rsid w:val="000953B5"/>
    <w:rsid w:val="00095457"/>
    <w:rsid w:val="00095A46"/>
    <w:rsid w:val="00095D23"/>
    <w:rsid w:val="00095E02"/>
    <w:rsid w:val="00096048"/>
    <w:rsid w:val="00096682"/>
    <w:rsid w:val="00096D96"/>
    <w:rsid w:val="00097122"/>
    <w:rsid w:val="000974F7"/>
    <w:rsid w:val="00097B77"/>
    <w:rsid w:val="00097FFC"/>
    <w:rsid w:val="000A0329"/>
    <w:rsid w:val="000A0560"/>
    <w:rsid w:val="000A07FB"/>
    <w:rsid w:val="000A096A"/>
    <w:rsid w:val="000A0DFD"/>
    <w:rsid w:val="000A11B1"/>
    <w:rsid w:val="000A16E3"/>
    <w:rsid w:val="000A19E1"/>
    <w:rsid w:val="000A1A0B"/>
    <w:rsid w:val="000A2459"/>
    <w:rsid w:val="000A26BD"/>
    <w:rsid w:val="000A29A4"/>
    <w:rsid w:val="000A2AAC"/>
    <w:rsid w:val="000A2E2A"/>
    <w:rsid w:val="000A3070"/>
    <w:rsid w:val="000A31BF"/>
    <w:rsid w:val="000A349D"/>
    <w:rsid w:val="000A376C"/>
    <w:rsid w:val="000A3797"/>
    <w:rsid w:val="000A3AFF"/>
    <w:rsid w:val="000A3E3F"/>
    <w:rsid w:val="000A44AF"/>
    <w:rsid w:val="000A5083"/>
    <w:rsid w:val="000A52B5"/>
    <w:rsid w:val="000A56C9"/>
    <w:rsid w:val="000A582F"/>
    <w:rsid w:val="000A5A52"/>
    <w:rsid w:val="000A6012"/>
    <w:rsid w:val="000A60BE"/>
    <w:rsid w:val="000A642B"/>
    <w:rsid w:val="000A64C7"/>
    <w:rsid w:val="000A6AB6"/>
    <w:rsid w:val="000A6BE0"/>
    <w:rsid w:val="000A6D47"/>
    <w:rsid w:val="000A6F5D"/>
    <w:rsid w:val="000A707E"/>
    <w:rsid w:val="000A7261"/>
    <w:rsid w:val="000A7B16"/>
    <w:rsid w:val="000A7FED"/>
    <w:rsid w:val="000B0933"/>
    <w:rsid w:val="000B0945"/>
    <w:rsid w:val="000B0B6A"/>
    <w:rsid w:val="000B0E57"/>
    <w:rsid w:val="000B143E"/>
    <w:rsid w:val="000B196C"/>
    <w:rsid w:val="000B1B8B"/>
    <w:rsid w:val="000B1C12"/>
    <w:rsid w:val="000B212A"/>
    <w:rsid w:val="000B2315"/>
    <w:rsid w:val="000B2926"/>
    <w:rsid w:val="000B2D2E"/>
    <w:rsid w:val="000B3072"/>
    <w:rsid w:val="000B3214"/>
    <w:rsid w:val="000B341F"/>
    <w:rsid w:val="000B3507"/>
    <w:rsid w:val="000B37AF"/>
    <w:rsid w:val="000B3BDC"/>
    <w:rsid w:val="000B4197"/>
    <w:rsid w:val="000B41AC"/>
    <w:rsid w:val="000B4551"/>
    <w:rsid w:val="000B4707"/>
    <w:rsid w:val="000B4B0A"/>
    <w:rsid w:val="000B4B44"/>
    <w:rsid w:val="000B4D71"/>
    <w:rsid w:val="000B4E2D"/>
    <w:rsid w:val="000B56FA"/>
    <w:rsid w:val="000B58DA"/>
    <w:rsid w:val="000B58EB"/>
    <w:rsid w:val="000B5B2E"/>
    <w:rsid w:val="000B5B5C"/>
    <w:rsid w:val="000B5C77"/>
    <w:rsid w:val="000B5F4A"/>
    <w:rsid w:val="000B65DD"/>
    <w:rsid w:val="000B68BC"/>
    <w:rsid w:val="000B6C13"/>
    <w:rsid w:val="000B7006"/>
    <w:rsid w:val="000B7183"/>
    <w:rsid w:val="000B72A2"/>
    <w:rsid w:val="000B7377"/>
    <w:rsid w:val="000B738D"/>
    <w:rsid w:val="000B73CF"/>
    <w:rsid w:val="000B769E"/>
    <w:rsid w:val="000B7715"/>
    <w:rsid w:val="000B78CD"/>
    <w:rsid w:val="000B7B3C"/>
    <w:rsid w:val="000B7BDD"/>
    <w:rsid w:val="000B7D87"/>
    <w:rsid w:val="000C00FA"/>
    <w:rsid w:val="000C024A"/>
    <w:rsid w:val="000C058D"/>
    <w:rsid w:val="000C0705"/>
    <w:rsid w:val="000C0FE3"/>
    <w:rsid w:val="000C1253"/>
    <w:rsid w:val="000C1348"/>
    <w:rsid w:val="000C18B8"/>
    <w:rsid w:val="000C18E0"/>
    <w:rsid w:val="000C19EC"/>
    <w:rsid w:val="000C1EA2"/>
    <w:rsid w:val="000C20FE"/>
    <w:rsid w:val="000C21EF"/>
    <w:rsid w:val="000C2214"/>
    <w:rsid w:val="000C2276"/>
    <w:rsid w:val="000C27F1"/>
    <w:rsid w:val="000C27FB"/>
    <w:rsid w:val="000C2C4F"/>
    <w:rsid w:val="000C2DEC"/>
    <w:rsid w:val="000C2DFC"/>
    <w:rsid w:val="000C30E7"/>
    <w:rsid w:val="000C3194"/>
    <w:rsid w:val="000C31A0"/>
    <w:rsid w:val="000C337C"/>
    <w:rsid w:val="000C33A1"/>
    <w:rsid w:val="000C347E"/>
    <w:rsid w:val="000C34C8"/>
    <w:rsid w:val="000C37DC"/>
    <w:rsid w:val="000C3943"/>
    <w:rsid w:val="000C3D1D"/>
    <w:rsid w:val="000C3F44"/>
    <w:rsid w:val="000C43C4"/>
    <w:rsid w:val="000C4DF0"/>
    <w:rsid w:val="000C524A"/>
    <w:rsid w:val="000C5A74"/>
    <w:rsid w:val="000C5CDA"/>
    <w:rsid w:val="000C5D8E"/>
    <w:rsid w:val="000C5DFE"/>
    <w:rsid w:val="000C5E6B"/>
    <w:rsid w:val="000C6988"/>
    <w:rsid w:val="000C6D31"/>
    <w:rsid w:val="000C704E"/>
    <w:rsid w:val="000C7090"/>
    <w:rsid w:val="000C70AD"/>
    <w:rsid w:val="000C7451"/>
    <w:rsid w:val="000C765B"/>
    <w:rsid w:val="000C770F"/>
    <w:rsid w:val="000C7AD7"/>
    <w:rsid w:val="000C7F7E"/>
    <w:rsid w:val="000D00B5"/>
    <w:rsid w:val="000D0493"/>
    <w:rsid w:val="000D06BE"/>
    <w:rsid w:val="000D0721"/>
    <w:rsid w:val="000D0764"/>
    <w:rsid w:val="000D0852"/>
    <w:rsid w:val="000D095E"/>
    <w:rsid w:val="000D0CC3"/>
    <w:rsid w:val="000D12DF"/>
    <w:rsid w:val="000D19BF"/>
    <w:rsid w:val="000D1C12"/>
    <w:rsid w:val="000D1C9C"/>
    <w:rsid w:val="000D1E02"/>
    <w:rsid w:val="000D22F0"/>
    <w:rsid w:val="000D24A3"/>
    <w:rsid w:val="000D25C5"/>
    <w:rsid w:val="000D28E1"/>
    <w:rsid w:val="000D2A31"/>
    <w:rsid w:val="000D321A"/>
    <w:rsid w:val="000D34EF"/>
    <w:rsid w:val="000D35B8"/>
    <w:rsid w:val="000D35C6"/>
    <w:rsid w:val="000D3794"/>
    <w:rsid w:val="000D403A"/>
    <w:rsid w:val="000D45C6"/>
    <w:rsid w:val="000D4BD7"/>
    <w:rsid w:val="000D54B7"/>
    <w:rsid w:val="000D57C8"/>
    <w:rsid w:val="000D5980"/>
    <w:rsid w:val="000D5A82"/>
    <w:rsid w:val="000D5AC3"/>
    <w:rsid w:val="000D5B8C"/>
    <w:rsid w:val="000D623E"/>
    <w:rsid w:val="000D648B"/>
    <w:rsid w:val="000D6702"/>
    <w:rsid w:val="000D67FA"/>
    <w:rsid w:val="000D6A98"/>
    <w:rsid w:val="000D6CCD"/>
    <w:rsid w:val="000D6F22"/>
    <w:rsid w:val="000D71E1"/>
    <w:rsid w:val="000D720E"/>
    <w:rsid w:val="000D72FA"/>
    <w:rsid w:val="000D7798"/>
    <w:rsid w:val="000D7F71"/>
    <w:rsid w:val="000E00B7"/>
    <w:rsid w:val="000E0491"/>
    <w:rsid w:val="000E0754"/>
    <w:rsid w:val="000E0DF1"/>
    <w:rsid w:val="000E116F"/>
    <w:rsid w:val="000E1703"/>
    <w:rsid w:val="000E1839"/>
    <w:rsid w:val="000E1AD2"/>
    <w:rsid w:val="000E1CDE"/>
    <w:rsid w:val="000E1E61"/>
    <w:rsid w:val="000E2257"/>
    <w:rsid w:val="000E274D"/>
    <w:rsid w:val="000E295B"/>
    <w:rsid w:val="000E2BDB"/>
    <w:rsid w:val="000E2CEC"/>
    <w:rsid w:val="000E2D3D"/>
    <w:rsid w:val="000E30C8"/>
    <w:rsid w:val="000E3220"/>
    <w:rsid w:val="000E32BC"/>
    <w:rsid w:val="000E3832"/>
    <w:rsid w:val="000E38E5"/>
    <w:rsid w:val="000E3A83"/>
    <w:rsid w:val="000E3CE7"/>
    <w:rsid w:val="000E40C0"/>
    <w:rsid w:val="000E498B"/>
    <w:rsid w:val="000E49B5"/>
    <w:rsid w:val="000E4A5D"/>
    <w:rsid w:val="000E4F66"/>
    <w:rsid w:val="000E542B"/>
    <w:rsid w:val="000E556C"/>
    <w:rsid w:val="000E5945"/>
    <w:rsid w:val="000E5EAE"/>
    <w:rsid w:val="000E5EB1"/>
    <w:rsid w:val="000E5FDE"/>
    <w:rsid w:val="000E606A"/>
    <w:rsid w:val="000E6537"/>
    <w:rsid w:val="000E6D85"/>
    <w:rsid w:val="000E6DD6"/>
    <w:rsid w:val="000E6EAD"/>
    <w:rsid w:val="000E6FD4"/>
    <w:rsid w:val="000E73D1"/>
    <w:rsid w:val="000E76DF"/>
    <w:rsid w:val="000E78DD"/>
    <w:rsid w:val="000F0161"/>
    <w:rsid w:val="000F09CA"/>
    <w:rsid w:val="000F0B7C"/>
    <w:rsid w:val="000F0E08"/>
    <w:rsid w:val="000F1192"/>
    <w:rsid w:val="000F11EB"/>
    <w:rsid w:val="000F1590"/>
    <w:rsid w:val="000F186B"/>
    <w:rsid w:val="000F1B16"/>
    <w:rsid w:val="000F1B40"/>
    <w:rsid w:val="000F1B8A"/>
    <w:rsid w:val="000F1BE2"/>
    <w:rsid w:val="000F1CDE"/>
    <w:rsid w:val="000F1D71"/>
    <w:rsid w:val="000F1DDB"/>
    <w:rsid w:val="000F1EB4"/>
    <w:rsid w:val="000F20B8"/>
    <w:rsid w:val="000F26E6"/>
    <w:rsid w:val="000F2915"/>
    <w:rsid w:val="000F2AC5"/>
    <w:rsid w:val="000F2B28"/>
    <w:rsid w:val="000F2D30"/>
    <w:rsid w:val="000F3114"/>
    <w:rsid w:val="000F3282"/>
    <w:rsid w:val="000F3497"/>
    <w:rsid w:val="000F370A"/>
    <w:rsid w:val="000F3C42"/>
    <w:rsid w:val="000F3F78"/>
    <w:rsid w:val="000F3FC6"/>
    <w:rsid w:val="000F43F8"/>
    <w:rsid w:val="000F4562"/>
    <w:rsid w:val="000F46AD"/>
    <w:rsid w:val="000F4BC2"/>
    <w:rsid w:val="000F5305"/>
    <w:rsid w:val="000F5518"/>
    <w:rsid w:val="000F598A"/>
    <w:rsid w:val="000F5C18"/>
    <w:rsid w:val="000F602E"/>
    <w:rsid w:val="000F61CF"/>
    <w:rsid w:val="000F6658"/>
    <w:rsid w:val="000F66F6"/>
    <w:rsid w:val="000F6AD1"/>
    <w:rsid w:val="000F6AE9"/>
    <w:rsid w:val="000F6AFE"/>
    <w:rsid w:val="000F6C9C"/>
    <w:rsid w:val="000F715D"/>
    <w:rsid w:val="000F76EA"/>
    <w:rsid w:val="000F7AE8"/>
    <w:rsid w:val="000F7FEA"/>
    <w:rsid w:val="001008A1"/>
    <w:rsid w:val="00100B0C"/>
    <w:rsid w:val="00100B33"/>
    <w:rsid w:val="00100C50"/>
    <w:rsid w:val="00101133"/>
    <w:rsid w:val="0010119D"/>
    <w:rsid w:val="001013A9"/>
    <w:rsid w:val="0010153E"/>
    <w:rsid w:val="0010177E"/>
    <w:rsid w:val="001018EA"/>
    <w:rsid w:val="00101AD9"/>
    <w:rsid w:val="00101CC0"/>
    <w:rsid w:val="00101FF5"/>
    <w:rsid w:val="00102E24"/>
    <w:rsid w:val="00102FD1"/>
    <w:rsid w:val="001030D6"/>
    <w:rsid w:val="0010316C"/>
    <w:rsid w:val="001035AD"/>
    <w:rsid w:val="00103985"/>
    <w:rsid w:val="001039CD"/>
    <w:rsid w:val="00103B72"/>
    <w:rsid w:val="00103E29"/>
    <w:rsid w:val="00104B13"/>
    <w:rsid w:val="00104B76"/>
    <w:rsid w:val="00104D4E"/>
    <w:rsid w:val="00105165"/>
    <w:rsid w:val="00105213"/>
    <w:rsid w:val="0010541A"/>
    <w:rsid w:val="00105664"/>
    <w:rsid w:val="00105AB7"/>
    <w:rsid w:val="00105C82"/>
    <w:rsid w:val="00105CEE"/>
    <w:rsid w:val="00105DDB"/>
    <w:rsid w:val="00106282"/>
    <w:rsid w:val="00106369"/>
    <w:rsid w:val="00106375"/>
    <w:rsid w:val="00106498"/>
    <w:rsid w:val="0010657F"/>
    <w:rsid w:val="00106810"/>
    <w:rsid w:val="00106A20"/>
    <w:rsid w:val="00106A4F"/>
    <w:rsid w:val="00106A63"/>
    <w:rsid w:val="00106BAF"/>
    <w:rsid w:val="00106E67"/>
    <w:rsid w:val="0010723C"/>
    <w:rsid w:val="001072AC"/>
    <w:rsid w:val="001074A4"/>
    <w:rsid w:val="0010771E"/>
    <w:rsid w:val="00107743"/>
    <w:rsid w:val="001077A9"/>
    <w:rsid w:val="00107901"/>
    <w:rsid w:val="00107982"/>
    <w:rsid w:val="00107A3C"/>
    <w:rsid w:val="00110202"/>
    <w:rsid w:val="00110302"/>
    <w:rsid w:val="001103C6"/>
    <w:rsid w:val="00110642"/>
    <w:rsid w:val="00110976"/>
    <w:rsid w:val="00110AAC"/>
    <w:rsid w:val="00110D9C"/>
    <w:rsid w:val="0011117E"/>
    <w:rsid w:val="0011135D"/>
    <w:rsid w:val="001113C5"/>
    <w:rsid w:val="00111476"/>
    <w:rsid w:val="0011165C"/>
    <w:rsid w:val="00111685"/>
    <w:rsid w:val="0011178A"/>
    <w:rsid w:val="00111AFF"/>
    <w:rsid w:val="00111DF5"/>
    <w:rsid w:val="00111FA4"/>
    <w:rsid w:val="00112197"/>
    <w:rsid w:val="001122D7"/>
    <w:rsid w:val="00112B37"/>
    <w:rsid w:val="00113152"/>
    <w:rsid w:val="00113865"/>
    <w:rsid w:val="00113B9E"/>
    <w:rsid w:val="00113D9B"/>
    <w:rsid w:val="00113DA5"/>
    <w:rsid w:val="00113F2A"/>
    <w:rsid w:val="00114282"/>
    <w:rsid w:val="00114411"/>
    <w:rsid w:val="001148AA"/>
    <w:rsid w:val="001153ED"/>
    <w:rsid w:val="00115725"/>
    <w:rsid w:val="001157DB"/>
    <w:rsid w:val="00115A65"/>
    <w:rsid w:val="00115AE3"/>
    <w:rsid w:val="00115D2E"/>
    <w:rsid w:val="00115D51"/>
    <w:rsid w:val="00115ED1"/>
    <w:rsid w:val="00115EF2"/>
    <w:rsid w:val="00115FE8"/>
    <w:rsid w:val="00116006"/>
    <w:rsid w:val="0011704A"/>
    <w:rsid w:val="00117460"/>
    <w:rsid w:val="001175A1"/>
    <w:rsid w:val="001176A2"/>
    <w:rsid w:val="001178CC"/>
    <w:rsid w:val="00117A64"/>
    <w:rsid w:val="001198D1"/>
    <w:rsid w:val="00120321"/>
    <w:rsid w:val="0012079F"/>
    <w:rsid w:val="00120A67"/>
    <w:rsid w:val="00120AE4"/>
    <w:rsid w:val="00120CC6"/>
    <w:rsid w:val="00120E1B"/>
    <w:rsid w:val="00120F27"/>
    <w:rsid w:val="00121046"/>
    <w:rsid w:val="00121A2D"/>
    <w:rsid w:val="00121B0D"/>
    <w:rsid w:val="00121EE5"/>
    <w:rsid w:val="001221E8"/>
    <w:rsid w:val="0012256F"/>
    <w:rsid w:val="001228B9"/>
    <w:rsid w:val="00122C78"/>
    <w:rsid w:val="00122D59"/>
    <w:rsid w:val="00122E7C"/>
    <w:rsid w:val="00123353"/>
    <w:rsid w:val="001233BD"/>
    <w:rsid w:val="00123895"/>
    <w:rsid w:val="001246EF"/>
    <w:rsid w:val="00124A54"/>
    <w:rsid w:val="00124F33"/>
    <w:rsid w:val="0012558F"/>
    <w:rsid w:val="00125726"/>
    <w:rsid w:val="00125ACB"/>
    <w:rsid w:val="00125D3F"/>
    <w:rsid w:val="00125F69"/>
    <w:rsid w:val="00126482"/>
    <w:rsid w:val="001264F9"/>
    <w:rsid w:val="00126950"/>
    <w:rsid w:val="00126AEE"/>
    <w:rsid w:val="001274F1"/>
    <w:rsid w:val="00127A76"/>
    <w:rsid w:val="00127BD2"/>
    <w:rsid w:val="001301C8"/>
    <w:rsid w:val="00130259"/>
    <w:rsid w:val="001303E3"/>
    <w:rsid w:val="0013053C"/>
    <w:rsid w:val="00130651"/>
    <w:rsid w:val="00130707"/>
    <w:rsid w:val="00130755"/>
    <w:rsid w:val="00130A45"/>
    <w:rsid w:val="00130A8B"/>
    <w:rsid w:val="00130C98"/>
    <w:rsid w:val="00130F54"/>
    <w:rsid w:val="00130FD1"/>
    <w:rsid w:val="0013121E"/>
    <w:rsid w:val="0013160F"/>
    <w:rsid w:val="00131892"/>
    <w:rsid w:val="001319B2"/>
    <w:rsid w:val="00131D54"/>
    <w:rsid w:val="00131DB1"/>
    <w:rsid w:val="001321CE"/>
    <w:rsid w:val="001326E4"/>
    <w:rsid w:val="00132A12"/>
    <w:rsid w:val="00132E62"/>
    <w:rsid w:val="00132F3D"/>
    <w:rsid w:val="00132F4B"/>
    <w:rsid w:val="00133286"/>
    <w:rsid w:val="0013328D"/>
    <w:rsid w:val="0013364F"/>
    <w:rsid w:val="0013367F"/>
    <w:rsid w:val="0013389C"/>
    <w:rsid w:val="001338D7"/>
    <w:rsid w:val="00133992"/>
    <w:rsid w:val="00133A05"/>
    <w:rsid w:val="00133B80"/>
    <w:rsid w:val="00133C06"/>
    <w:rsid w:val="00133DE1"/>
    <w:rsid w:val="00134384"/>
    <w:rsid w:val="001344FB"/>
    <w:rsid w:val="0013469E"/>
    <w:rsid w:val="0013482B"/>
    <w:rsid w:val="0013495D"/>
    <w:rsid w:val="00134AA1"/>
    <w:rsid w:val="00134C17"/>
    <w:rsid w:val="00134CE8"/>
    <w:rsid w:val="00134F03"/>
    <w:rsid w:val="00134F26"/>
    <w:rsid w:val="0013509A"/>
    <w:rsid w:val="00135139"/>
    <w:rsid w:val="00135245"/>
    <w:rsid w:val="0013550B"/>
    <w:rsid w:val="001356AF"/>
    <w:rsid w:val="0013575D"/>
    <w:rsid w:val="00135B87"/>
    <w:rsid w:val="00135C6A"/>
    <w:rsid w:val="00135DF3"/>
    <w:rsid w:val="00135E00"/>
    <w:rsid w:val="001360C0"/>
    <w:rsid w:val="00136198"/>
    <w:rsid w:val="001363E0"/>
    <w:rsid w:val="00136903"/>
    <w:rsid w:val="00136B75"/>
    <w:rsid w:val="00136D97"/>
    <w:rsid w:val="00136E5E"/>
    <w:rsid w:val="001379DB"/>
    <w:rsid w:val="00137E5B"/>
    <w:rsid w:val="0014035C"/>
    <w:rsid w:val="001404E3"/>
    <w:rsid w:val="001405B5"/>
    <w:rsid w:val="001409B0"/>
    <w:rsid w:val="001409E2"/>
    <w:rsid w:val="00140B07"/>
    <w:rsid w:val="00140B49"/>
    <w:rsid w:val="00140DC2"/>
    <w:rsid w:val="00140EF6"/>
    <w:rsid w:val="001411DB"/>
    <w:rsid w:val="001412F8"/>
    <w:rsid w:val="001414BD"/>
    <w:rsid w:val="001415E1"/>
    <w:rsid w:val="001419BA"/>
    <w:rsid w:val="00141ED7"/>
    <w:rsid w:val="00142051"/>
    <w:rsid w:val="00142AE1"/>
    <w:rsid w:val="00142D48"/>
    <w:rsid w:val="00142F2F"/>
    <w:rsid w:val="00143763"/>
    <w:rsid w:val="00143858"/>
    <w:rsid w:val="00143C7C"/>
    <w:rsid w:val="00143DC0"/>
    <w:rsid w:val="00143E04"/>
    <w:rsid w:val="0014432A"/>
    <w:rsid w:val="0014476F"/>
    <w:rsid w:val="00144DE4"/>
    <w:rsid w:val="00144F46"/>
    <w:rsid w:val="00144FBA"/>
    <w:rsid w:val="00145182"/>
    <w:rsid w:val="0014537D"/>
    <w:rsid w:val="00145705"/>
    <w:rsid w:val="001459E3"/>
    <w:rsid w:val="00145A39"/>
    <w:rsid w:val="00145C8B"/>
    <w:rsid w:val="00146025"/>
    <w:rsid w:val="0014603F"/>
    <w:rsid w:val="001470DC"/>
    <w:rsid w:val="001474E8"/>
    <w:rsid w:val="001479BF"/>
    <w:rsid w:val="00147D8A"/>
    <w:rsid w:val="00147DE8"/>
    <w:rsid w:val="00147EDB"/>
    <w:rsid w:val="00147F2E"/>
    <w:rsid w:val="0014989F"/>
    <w:rsid w:val="00150037"/>
    <w:rsid w:val="00150110"/>
    <w:rsid w:val="00150490"/>
    <w:rsid w:val="001505CD"/>
    <w:rsid w:val="00150AAF"/>
    <w:rsid w:val="00150C4C"/>
    <w:rsid w:val="00150D53"/>
    <w:rsid w:val="00151142"/>
    <w:rsid w:val="00151323"/>
    <w:rsid w:val="00151A55"/>
    <w:rsid w:val="00151A6A"/>
    <w:rsid w:val="00151BF5"/>
    <w:rsid w:val="00151D29"/>
    <w:rsid w:val="00152302"/>
    <w:rsid w:val="00152888"/>
    <w:rsid w:val="00152AE2"/>
    <w:rsid w:val="00152E10"/>
    <w:rsid w:val="0015319D"/>
    <w:rsid w:val="001531E7"/>
    <w:rsid w:val="00153200"/>
    <w:rsid w:val="00153516"/>
    <w:rsid w:val="00153669"/>
    <w:rsid w:val="0015384E"/>
    <w:rsid w:val="00153ADF"/>
    <w:rsid w:val="00153D82"/>
    <w:rsid w:val="00153DD8"/>
    <w:rsid w:val="00153EA6"/>
    <w:rsid w:val="001540B6"/>
    <w:rsid w:val="00154237"/>
    <w:rsid w:val="00154385"/>
    <w:rsid w:val="00154390"/>
    <w:rsid w:val="00154479"/>
    <w:rsid w:val="00154562"/>
    <w:rsid w:val="0015456F"/>
    <w:rsid w:val="001545FC"/>
    <w:rsid w:val="001549BE"/>
    <w:rsid w:val="00154BB3"/>
    <w:rsid w:val="00154BCC"/>
    <w:rsid w:val="00154BF8"/>
    <w:rsid w:val="00154FFE"/>
    <w:rsid w:val="00155762"/>
    <w:rsid w:val="00155883"/>
    <w:rsid w:val="00155B2F"/>
    <w:rsid w:val="00155E1C"/>
    <w:rsid w:val="00155E2B"/>
    <w:rsid w:val="0015606E"/>
    <w:rsid w:val="00156654"/>
    <w:rsid w:val="00156991"/>
    <w:rsid w:val="00156C82"/>
    <w:rsid w:val="00156CE9"/>
    <w:rsid w:val="00156CEB"/>
    <w:rsid w:val="00156DAA"/>
    <w:rsid w:val="00156E37"/>
    <w:rsid w:val="001576A8"/>
    <w:rsid w:val="001579FB"/>
    <w:rsid w:val="00157C48"/>
    <w:rsid w:val="00160242"/>
    <w:rsid w:val="00160283"/>
    <w:rsid w:val="001602AB"/>
    <w:rsid w:val="00160550"/>
    <w:rsid w:val="00160987"/>
    <w:rsid w:val="00160BF3"/>
    <w:rsid w:val="00160C7C"/>
    <w:rsid w:val="00160D6D"/>
    <w:rsid w:val="00161722"/>
    <w:rsid w:val="001619A5"/>
    <w:rsid w:val="00161A0B"/>
    <w:rsid w:val="00161C81"/>
    <w:rsid w:val="00162082"/>
    <w:rsid w:val="0016219D"/>
    <w:rsid w:val="00162CAD"/>
    <w:rsid w:val="0016304C"/>
    <w:rsid w:val="0016309F"/>
    <w:rsid w:val="00163189"/>
    <w:rsid w:val="00163333"/>
    <w:rsid w:val="00163553"/>
    <w:rsid w:val="001638B0"/>
    <w:rsid w:val="00163B64"/>
    <w:rsid w:val="00164899"/>
    <w:rsid w:val="001649F5"/>
    <w:rsid w:val="00164AB0"/>
    <w:rsid w:val="00164F64"/>
    <w:rsid w:val="001654E0"/>
    <w:rsid w:val="001655DF"/>
    <w:rsid w:val="00165988"/>
    <w:rsid w:val="00165D31"/>
    <w:rsid w:val="00166147"/>
    <w:rsid w:val="001665FF"/>
    <w:rsid w:val="0016666D"/>
    <w:rsid w:val="00166BBE"/>
    <w:rsid w:val="00166D31"/>
    <w:rsid w:val="00166DA6"/>
    <w:rsid w:val="00166F15"/>
    <w:rsid w:val="00166F17"/>
    <w:rsid w:val="0016726D"/>
    <w:rsid w:val="00167DAA"/>
    <w:rsid w:val="00167E07"/>
    <w:rsid w:val="00167F7C"/>
    <w:rsid w:val="00167FA9"/>
    <w:rsid w:val="00170030"/>
    <w:rsid w:val="0017019D"/>
    <w:rsid w:val="001703E2"/>
    <w:rsid w:val="00170711"/>
    <w:rsid w:val="00170877"/>
    <w:rsid w:val="001709FC"/>
    <w:rsid w:val="00171099"/>
    <w:rsid w:val="00171300"/>
    <w:rsid w:val="001716AE"/>
    <w:rsid w:val="001717A2"/>
    <w:rsid w:val="00171EC8"/>
    <w:rsid w:val="001722B8"/>
    <w:rsid w:val="001723E8"/>
    <w:rsid w:val="00172422"/>
    <w:rsid w:val="00172B46"/>
    <w:rsid w:val="00172C20"/>
    <w:rsid w:val="00172FB6"/>
    <w:rsid w:val="001733F7"/>
    <w:rsid w:val="001737AB"/>
    <w:rsid w:val="00173C15"/>
    <w:rsid w:val="00173DCA"/>
    <w:rsid w:val="00174038"/>
    <w:rsid w:val="00174393"/>
    <w:rsid w:val="001744D7"/>
    <w:rsid w:val="001745BD"/>
    <w:rsid w:val="001745E0"/>
    <w:rsid w:val="001746A1"/>
    <w:rsid w:val="001749A9"/>
    <w:rsid w:val="00175006"/>
    <w:rsid w:val="00175BB2"/>
    <w:rsid w:val="00175F8B"/>
    <w:rsid w:val="001762D0"/>
    <w:rsid w:val="00176334"/>
    <w:rsid w:val="00176BB0"/>
    <w:rsid w:val="00176F11"/>
    <w:rsid w:val="0017747E"/>
    <w:rsid w:val="00177844"/>
    <w:rsid w:val="00177853"/>
    <w:rsid w:val="00177856"/>
    <w:rsid w:val="00177D25"/>
    <w:rsid w:val="00177DBC"/>
    <w:rsid w:val="00177E0F"/>
    <w:rsid w:val="00177E5B"/>
    <w:rsid w:val="00177EDE"/>
    <w:rsid w:val="001801B8"/>
    <w:rsid w:val="001805D7"/>
    <w:rsid w:val="0018061A"/>
    <w:rsid w:val="001809DB"/>
    <w:rsid w:val="00180F9D"/>
    <w:rsid w:val="001811E2"/>
    <w:rsid w:val="00181221"/>
    <w:rsid w:val="00181427"/>
    <w:rsid w:val="00181460"/>
    <w:rsid w:val="00181792"/>
    <w:rsid w:val="00181B8A"/>
    <w:rsid w:val="00181C35"/>
    <w:rsid w:val="0018228C"/>
    <w:rsid w:val="001825A6"/>
    <w:rsid w:val="0018262C"/>
    <w:rsid w:val="00182B1F"/>
    <w:rsid w:val="0018349B"/>
    <w:rsid w:val="0018355B"/>
    <w:rsid w:val="001835A7"/>
    <w:rsid w:val="0018394B"/>
    <w:rsid w:val="00183A7A"/>
    <w:rsid w:val="00183D31"/>
    <w:rsid w:val="00183E8C"/>
    <w:rsid w:val="00183F31"/>
    <w:rsid w:val="0018419D"/>
    <w:rsid w:val="00184772"/>
    <w:rsid w:val="001847E3"/>
    <w:rsid w:val="00184859"/>
    <w:rsid w:val="0018496D"/>
    <w:rsid w:val="00184CA0"/>
    <w:rsid w:val="00184FFD"/>
    <w:rsid w:val="001851F1"/>
    <w:rsid w:val="0018568C"/>
    <w:rsid w:val="001856CA"/>
    <w:rsid w:val="00185D19"/>
    <w:rsid w:val="00185EC6"/>
    <w:rsid w:val="00185F4B"/>
    <w:rsid w:val="0018602E"/>
    <w:rsid w:val="0018669D"/>
    <w:rsid w:val="00186F6B"/>
    <w:rsid w:val="001870D6"/>
    <w:rsid w:val="001872FA"/>
    <w:rsid w:val="00187415"/>
    <w:rsid w:val="001874D3"/>
    <w:rsid w:val="00187597"/>
    <w:rsid w:val="00187980"/>
    <w:rsid w:val="00187D2A"/>
    <w:rsid w:val="00187D70"/>
    <w:rsid w:val="00187DF8"/>
    <w:rsid w:val="001900F5"/>
    <w:rsid w:val="00190166"/>
    <w:rsid w:val="00190259"/>
    <w:rsid w:val="0019065F"/>
    <w:rsid w:val="0019078F"/>
    <w:rsid w:val="00190CB9"/>
    <w:rsid w:val="00190D40"/>
    <w:rsid w:val="00190DBC"/>
    <w:rsid w:val="001910A7"/>
    <w:rsid w:val="001910E9"/>
    <w:rsid w:val="001911CE"/>
    <w:rsid w:val="00191384"/>
    <w:rsid w:val="00191683"/>
    <w:rsid w:val="0019186F"/>
    <w:rsid w:val="00191899"/>
    <w:rsid w:val="001919EC"/>
    <w:rsid w:val="00191DBA"/>
    <w:rsid w:val="00191E80"/>
    <w:rsid w:val="00191FAB"/>
    <w:rsid w:val="00192144"/>
    <w:rsid w:val="00192BAA"/>
    <w:rsid w:val="00192E2C"/>
    <w:rsid w:val="00192EB9"/>
    <w:rsid w:val="001935A0"/>
    <w:rsid w:val="00194384"/>
    <w:rsid w:val="001944BB"/>
    <w:rsid w:val="001945B1"/>
    <w:rsid w:val="00194793"/>
    <w:rsid w:val="001948A4"/>
    <w:rsid w:val="00194B5A"/>
    <w:rsid w:val="001951E5"/>
    <w:rsid w:val="0019527E"/>
    <w:rsid w:val="00195670"/>
    <w:rsid w:val="0019572D"/>
    <w:rsid w:val="00195884"/>
    <w:rsid w:val="001958DC"/>
    <w:rsid w:val="00195964"/>
    <w:rsid w:val="00195B41"/>
    <w:rsid w:val="00195B4A"/>
    <w:rsid w:val="00195CC7"/>
    <w:rsid w:val="00195D2D"/>
    <w:rsid w:val="00196110"/>
    <w:rsid w:val="0019615F"/>
    <w:rsid w:val="00196355"/>
    <w:rsid w:val="001966C4"/>
    <w:rsid w:val="00196858"/>
    <w:rsid w:val="0019734F"/>
    <w:rsid w:val="00197616"/>
    <w:rsid w:val="00197A73"/>
    <w:rsid w:val="00197CD5"/>
    <w:rsid w:val="00197F88"/>
    <w:rsid w:val="001A0080"/>
    <w:rsid w:val="001A080D"/>
    <w:rsid w:val="001A0B57"/>
    <w:rsid w:val="001A0DA9"/>
    <w:rsid w:val="001A1093"/>
    <w:rsid w:val="001A10C0"/>
    <w:rsid w:val="001A1376"/>
    <w:rsid w:val="001A1455"/>
    <w:rsid w:val="001A1F68"/>
    <w:rsid w:val="001A225F"/>
    <w:rsid w:val="001A2750"/>
    <w:rsid w:val="001A289E"/>
    <w:rsid w:val="001A297D"/>
    <w:rsid w:val="001A2DB1"/>
    <w:rsid w:val="001A2EAC"/>
    <w:rsid w:val="001A324A"/>
    <w:rsid w:val="001A32FB"/>
    <w:rsid w:val="001A336C"/>
    <w:rsid w:val="001A3418"/>
    <w:rsid w:val="001A34BA"/>
    <w:rsid w:val="001A36C9"/>
    <w:rsid w:val="001A389E"/>
    <w:rsid w:val="001A39ED"/>
    <w:rsid w:val="001A3FAB"/>
    <w:rsid w:val="001A455C"/>
    <w:rsid w:val="001A48C6"/>
    <w:rsid w:val="001A49B4"/>
    <w:rsid w:val="001A4C54"/>
    <w:rsid w:val="001A4F78"/>
    <w:rsid w:val="001A574D"/>
    <w:rsid w:val="001A5811"/>
    <w:rsid w:val="001A5A1E"/>
    <w:rsid w:val="001A5B23"/>
    <w:rsid w:val="001A61F9"/>
    <w:rsid w:val="001A6394"/>
    <w:rsid w:val="001A65F2"/>
    <w:rsid w:val="001A69AC"/>
    <w:rsid w:val="001A6BF5"/>
    <w:rsid w:val="001A6C78"/>
    <w:rsid w:val="001A7156"/>
    <w:rsid w:val="001A7458"/>
    <w:rsid w:val="001A75BA"/>
    <w:rsid w:val="001A7AFE"/>
    <w:rsid w:val="001A7B74"/>
    <w:rsid w:val="001A7C4B"/>
    <w:rsid w:val="001A7ED6"/>
    <w:rsid w:val="001A7EDB"/>
    <w:rsid w:val="001B04EE"/>
    <w:rsid w:val="001B0B38"/>
    <w:rsid w:val="001B0E64"/>
    <w:rsid w:val="001B0F26"/>
    <w:rsid w:val="001B0FA5"/>
    <w:rsid w:val="001B1117"/>
    <w:rsid w:val="001B1321"/>
    <w:rsid w:val="001B18C7"/>
    <w:rsid w:val="001B1AB8"/>
    <w:rsid w:val="001B1B41"/>
    <w:rsid w:val="001B1C17"/>
    <w:rsid w:val="001B1C8D"/>
    <w:rsid w:val="001B1DE1"/>
    <w:rsid w:val="001B202F"/>
    <w:rsid w:val="001B20DD"/>
    <w:rsid w:val="001B2870"/>
    <w:rsid w:val="001B2A72"/>
    <w:rsid w:val="001B316A"/>
    <w:rsid w:val="001B3176"/>
    <w:rsid w:val="001B3258"/>
    <w:rsid w:val="001B36B3"/>
    <w:rsid w:val="001B36C8"/>
    <w:rsid w:val="001B3A99"/>
    <w:rsid w:val="001B3B07"/>
    <w:rsid w:val="001B3E2F"/>
    <w:rsid w:val="001B4670"/>
    <w:rsid w:val="001B47B6"/>
    <w:rsid w:val="001B4902"/>
    <w:rsid w:val="001B4976"/>
    <w:rsid w:val="001B5067"/>
    <w:rsid w:val="001B506B"/>
    <w:rsid w:val="001B51AB"/>
    <w:rsid w:val="001B587C"/>
    <w:rsid w:val="001B5DD0"/>
    <w:rsid w:val="001B5ED4"/>
    <w:rsid w:val="001B646E"/>
    <w:rsid w:val="001B6666"/>
    <w:rsid w:val="001B6A5B"/>
    <w:rsid w:val="001B6F52"/>
    <w:rsid w:val="001B7215"/>
    <w:rsid w:val="001B73E9"/>
    <w:rsid w:val="001B7543"/>
    <w:rsid w:val="001B777F"/>
    <w:rsid w:val="001B7AFE"/>
    <w:rsid w:val="001B7B1A"/>
    <w:rsid w:val="001B7DFA"/>
    <w:rsid w:val="001C0049"/>
    <w:rsid w:val="001C01BC"/>
    <w:rsid w:val="001C0752"/>
    <w:rsid w:val="001C07E1"/>
    <w:rsid w:val="001C0CE8"/>
    <w:rsid w:val="001C0FC7"/>
    <w:rsid w:val="001C1033"/>
    <w:rsid w:val="001C1110"/>
    <w:rsid w:val="001C1114"/>
    <w:rsid w:val="001C1288"/>
    <w:rsid w:val="001C13A5"/>
    <w:rsid w:val="001C1941"/>
    <w:rsid w:val="001C1D13"/>
    <w:rsid w:val="001C1DDC"/>
    <w:rsid w:val="001C1FA9"/>
    <w:rsid w:val="001C2105"/>
    <w:rsid w:val="001C22D7"/>
    <w:rsid w:val="001C2378"/>
    <w:rsid w:val="001C2AC7"/>
    <w:rsid w:val="001C312D"/>
    <w:rsid w:val="001C319B"/>
    <w:rsid w:val="001C3218"/>
    <w:rsid w:val="001C3258"/>
    <w:rsid w:val="001C38DC"/>
    <w:rsid w:val="001C3B74"/>
    <w:rsid w:val="001C3CF4"/>
    <w:rsid w:val="001C422F"/>
    <w:rsid w:val="001C4284"/>
    <w:rsid w:val="001C43EE"/>
    <w:rsid w:val="001C440D"/>
    <w:rsid w:val="001C4A55"/>
    <w:rsid w:val="001C4ABC"/>
    <w:rsid w:val="001C4CCD"/>
    <w:rsid w:val="001C4F34"/>
    <w:rsid w:val="001C501E"/>
    <w:rsid w:val="001C5194"/>
    <w:rsid w:val="001C53B5"/>
    <w:rsid w:val="001C56FC"/>
    <w:rsid w:val="001C58A9"/>
    <w:rsid w:val="001C590D"/>
    <w:rsid w:val="001C59D7"/>
    <w:rsid w:val="001C5C63"/>
    <w:rsid w:val="001C600F"/>
    <w:rsid w:val="001C602A"/>
    <w:rsid w:val="001C6653"/>
    <w:rsid w:val="001C6858"/>
    <w:rsid w:val="001C68F5"/>
    <w:rsid w:val="001C69FB"/>
    <w:rsid w:val="001C6AFC"/>
    <w:rsid w:val="001C6E3D"/>
    <w:rsid w:val="001C6EBA"/>
    <w:rsid w:val="001C70F1"/>
    <w:rsid w:val="001C72FB"/>
    <w:rsid w:val="001C7B80"/>
    <w:rsid w:val="001C7B90"/>
    <w:rsid w:val="001C7F19"/>
    <w:rsid w:val="001D0664"/>
    <w:rsid w:val="001D09C0"/>
    <w:rsid w:val="001D0B99"/>
    <w:rsid w:val="001D0D28"/>
    <w:rsid w:val="001D0FF3"/>
    <w:rsid w:val="001D1514"/>
    <w:rsid w:val="001D18BC"/>
    <w:rsid w:val="001D20C6"/>
    <w:rsid w:val="001D23F2"/>
    <w:rsid w:val="001D265D"/>
    <w:rsid w:val="001D2F93"/>
    <w:rsid w:val="001D2FB8"/>
    <w:rsid w:val="001D34B4"/>
    <w:rsid w:val="001D35E6"/>
    <w:rsid w:val="001D3952"/>
    <w:rsid w:val="001D3BEB"/>
    <w:rsid w:val="001D3DCD"/>
    <w:rsid w:val="001D3F0F"/>
    <w:rsid w:val="001D3FE9"/>
    <w:rsid w:val="001D40AA"/>
    <w:rsid w:val="001D40EA"/>
    <w:rsid w:val="001D4126"/>
    <w:rsid w:val="001D4385"/>
    <w:rsid w:val="001D4486"/>
    <w:rsid w:val="001D46D6"/>
    <w:rsid w:val="001D472F"/>
    <w:rsid w:val="001D4909"/>
    <w:rsid w:val="001D4D30"/>
    <w:rsid w:val="001D5379"/>
    <w:rsid w:val="001D5587"/>
    <w:rsid w:val="001D58CA"/>
    <w:rsid w:val="001D591D"/>
    <w:rsid w:val="001D5938"/>
    <w:rsid w:val="001D5A2D"/>
    <w:rsid w:val="001D5C18"/>
    <w:rsid w:val="001D5CFF"/>
    <w:rsid w:val="001D6145"/>
    <w:rsid w:val="001D6297"/>
    <w:rsid w:val="001D65BA"/>
    <w:rsid w:val="001D66BA"/>
    <w:rsid w:val="001D6791"/>
    <w:rsid w:val="001D6A52"/>
    <w:rsid w:val="001D6ED9"/>
    <w:rsid w:val="001D6F1C"/>
    <w:rsid w:val="001D705D"/>
    <w:rsid w:val="001D72A2"/>
    <w:rsid w:val="001D74F4"/>
    <w:rsid w:val="001D7673"/>
    <w:rsid w:val="001D779A"/>
    <w:rsid w:val="001D792A"/>
    <w:rsid w:val="001D7C21"/>
    <w:rsid w:val="001D7CFD"/>
    <w:rsid w:val="001D7EC5"/>
    <w:rsid w:val="001E019C"/>
    <w:rsid w:val="001E067C"/>
    <w:rsid w:val="001E06EB"/>
    <w:rsid w:val="001E0C08"/>
    <w:rsid w:val="001E0CE2"/>
    <w:rsid w:val="001E0DCD"/>
    <w:rsid w:val="001E1422"/>
    <w:rsid w:val="001E16DE"/>
    <w:rsid w:val="001E1DBF"/>
    <w:rsid w:val="001E1E5C"/>
    <w:rsid w:val="001E236A"/>
    <w:rsid w:val="001E2462"/>
    <w:rsid w:val="001E253D"/>
    <w:rsid w:val="001E29C7"/>
    <w:rsid w:val="001E3966"/>
    <w:rsid w:val="001E3C56"/>
    <w:rsid w:val="001E3D38"/>
    <w:rsid w:val="001E40C9"/>
    <w:rsid w:val="001E41AE"/>
    <w:rsid w:val="001E4479"/>
    <w:rsid w:val="001E45C2"/>
    <w:rsid w:val="001E484E"/>
    <w:rsid w:val="001E48B5"/>
    <w:rsid w:val="001E4A16"/>
    <w:rsid w:val="001E4EE8"/>
    <w:rsid w:val="001E50F2"/>
    <w:rsid w:val="001E550C"/>
    <w:rsid w:val="001E558A"/>
    <w:rsid w:val="001E5A8B"/>
    <w:rsid w:val="001E6F2C"/>
    <w:rsid w:val="001E6FA2"/>
    <w:rsid w:val="001E78EC"/>
    <w:rsid w:val="001E7A5D"/>
    <w:rsid w:val="001E7CF9"/>
    <w:rsid w:val="001F06F9"/>
    <w:rsid w:val="001F09FC"/>
    <w:rsid w:val="001F0CBE"/>
    <w:rsid w:val="001F0D34"/>
    <w:rsid w:val="001F1374"/>
    <w:rsid w:val="001F147F"/>
    <w:rsid w:val="001F16CC"/>
    <w:rsid w:val="001F18C7"/>
    <w:rsid w:val="001F1A34"/>
    <w:rsid w:val="001F1DB1"/>
    <w:rsid w:val="001F1DE5"/>
    <w:rsid w:val="001F20F3"/>
    <w:rsid w:val="001F23F4"/>
    <w:rsid w:val="001F26D7"/>
    <w:rsid w:val="001F2A24"/>
    <w:rsid w:val="001F2B9E"/>
    <w:rsid w:val="001F2F35"/>
    <w:rsid w:val="001F3FAC"/>
    <w:rsid w:val="001F40A2"/>
    <w:rsid w:val="001F4AB9"/>
    <w:rsid w:val="001F5542"/>
    <w:rsid w:val="001F5608"/>
    <w:rsid w:val="001F564C"/>
    <w:rsid w:val="001F5B42"/>
    <w:rsid w:val="001F5B46"/>
    <w:rsid w:val="001F5F5A"/>
    <w:rsid w:val="001F61AD"/>
    <w:rsid w:val="001F68CD"/>
    <w:rsid w:val="001F6E0B"/>
    <w:rsid w:val="001F6E79"/>
    <w:rsid w:val="001F6F74"/>
    <w:rsid w:val="001F7005"/>
    <w:rsid w:val="001F70EE"/>
    <w:rsid w:val="001F77BF"/>
    <w:rsid w:val="001F78F3"/>
    <w:rsid w:val="00200677"/>
    <w:rsid w:val="00200AA1"/>
    <w:rsid w:val="00200BB5"/>
    <w:rsid w:val="0020105C"/>
    <w:rsid w:val="00201210"/>
    <w:rsid w:val="0020123B"/>
    <w:rsid w:val="00201256"/>
    <w:rsid w:val="00201477"/>
    <w:rsid w:val="00201727"/>
    <w:rsid w:val="002018FA"/>
    <w:rsid w:val="00201AA1"/>
    <w:rsid w:val="0020261C"/>
    <w:rsid w:val="0020292C"/>
    <w:rsid w:val="00202B4B"/>
    <w:rsid w:val="00202E77"/>
    <w:rsid w:val="0020302E"/>
    <w:rsid w:val="00203159"/>
    <w:rsid w:val="002033FC"/>
    <w:rsid w:val="002036A8"/>
    <w:rsid w:val="00203984"/>
    <w:rsid w:val="00203BEA"/>
    <w:rsid w:val="00203CDB"/>
    <w:rsid w:val="00203DD1"/>
    <w:rsid w:val="00203E07"/>
    <w:rsid w:val="00203F9F"/>
    <w:rsid w:val="002042C2"/>
    <w:rsid w:val="00204A95"/>
    <w:rsid w:val="00204EF7"/>
    <w:rsid w:val="00205244"/>
    <w:rsid w:val="002055E3"/>
    <w:rsid w:val="002059B8"/>
    <w:rsid w:val="00205A3A"/>
    <w:rsid w:val="00205DE8"/>
    <w:rsid w:val="00205EDB"/>
    <w:rsid w:val="00205F21"/>
    <w:rsid w:val="00206053"/>
    <w:rsid w:val="00206131"/>
    <w:rsid w:val="002064C8"/>
    <w:rsid w:val="00206C6A"/>
    <w:rsid w:val="00206DE9"/>
    <w:rsid w:val="00207041"/>
    <w:rsid w:val="002070A1"/>
    <w:rsid w:val="0020743A"/>
    <w:rsid w:val="00207987"/>
    <w:rsid w:val="00207A55"/>
    <w:rsid w:val="00207C51"/>
    <w:rsid w:val="00210027"/>
    <w:rsid w:val="00210129"/>
    <w:rsid w:val="00210329"/>
    <w:rsid w:val="002103FF"/>
    <w:rsid w:val="0021080D"/>
    <w:rsid w:val="0021086F"/>
    <w:rsid w:val="00210996"/>
    <w:rsid w:val="00210EE3"/>
    <w:rsid w:val="00210F9B"/>
    <w:rsid w:val="002111A9"/>
    <w:rsid w:val="0021132D"/>
    <w:rsid w:val="00211531"/>
    <w:rsid w:val="0021160A"/>
    <w:rsid w:val="00211B2E"/>
    <w:rsid w:val="00211D88"/>
    <w:rsid w:val="00211E24"/>
    <w:rsid w:val="00211F02"/>
    <w:rsid w:val="0021259E"/>
    <w:rsid w:val="00212752"/>
    <w:rsid w:val="00212754"/>
    <w:rsid w:val="002129DD"/>
    <w:rsid w:val="00213007"/>
    <w:rsid w:val="00213260"/>
    <w:rsid w:val="002132BC"/>
    <w:rsid w:val="00213304"/>
    <w:rsid w:val="002133F7"/>
    <w:rsid w:val="00213839"/>
    <w:rsid w:val="00213CA5"/>
    <w:rsid w:val="00213D51"/>
    <w:rsid w:val="00213F5C"/>
    <w:rsid w:val="00214662"/>
    <w:rsid w:val="00214899"/>
    <w:rsid w:val="002148BD"/>
    <w:rsid w:val="00214D9F"/>
    <w:rsid w:val="002150CA"/>
    <w:rsid w:val="0021524F"/>
    <w:rsid w:val="002153C3"/>
    <w:rsid w:val="002153F9"/>
    <w:rsid w:val="002155D0"/>
    <w:rsid w:val="00215870"/>
    <w:rsid w:val="00215897"/>
    <w:rsid w:val="00215CE8"/>
    <w:rsid w:val="00215E44"/>
    <w:rsid w:val="00215FCC"/>
    <w:rsid w:val="00216043"/>
    <w:rsid w:val="002162C8"/>
    <w:rsid w:val="00216398"/>
    <w:rsid w:val="0021660A"/>
    <w:rsid w:val="00216680"/>
    <w:rsid w:val="002166FA"/>
    <w:rsid w:val="00216787"/>
    <w:rsid w:val="00216A11"/>
    <w:rsid w:val="00216F22"/>
    <w:rsid w:val="0021706F"/>
    <w:rsid w:val="002170E0"/>
    <w:rsid w:val="002176BE"/>
    <w:rsid w:val="002176D2"/>
    <w:rsid w:val="002179E4"/>
    <w:rsid w:val="00217E82"/>
    <w:rsid w:val="00220134"/>
    <w:rsid w:val="00220297"/>
    <w:rsid w:val="00220381"/>
    <w:rsid w:val="00220456"/>
    <w:rsid w:val="00220543"/>
    <w:rsid w:val="002206BD"/>
    <w:rsid w:val="00220FF4"/>
    <w:rsid w:val="002211B1"/>
    <w:rsid w:val="002213A6"/>
    <w:rsid w:val="002216D1"/>
    <w:rsid w:val="00221797"/>
    <w:rsid w:val="002218AB"/>
    <w:rsid w:val="00221AE1"/>
    <w:rsid w:val="00221FFC"/>
    <w:rsid w:val="00222778"/>
    <w:rsid w:val="00222978"/>
    <w:rsid w:val="00222C8D"/>
    <w:rsid w:val="00222DC8"/>
    <w:rsid w:val="00222DF2"/>
    <w:rsid w:val="002230C4"/>
    <w:rsid w:val="0022335D"/>
    <w:rsid w:val="002233C0"/>
    <w:rsid w:val="002239AA"/>
    <w:rsid w:val="00223D09"/>
    <w:rsid w:val="00223E18"/>
    <w:rsid w:val="002241B0"/>
    <w:rsid w:val="00224847"/>
    <w:rsid w:val="0022484D"/>
    <w:rsid w:val="00224A75"/>
    <w:rsid w:val="00224A80"/>
    <w:rsid w:val="002250B1"/>
    <w:rsid w:val="002250D5"/>
    <w:rsid w:val="00225175"/>
    <w:rsid w:val="002252F5"/>
    <w:rsid w:val="0022539A"/>
    <w:rsid w:val="00225451"/>
    <w:rsid w:val="00225812"/>
    <w:rsid w:val="002259A9"/>
    <w:rsid w:val="00225B21"/>
    <w:rsid w:val="00225BEC"/>
    <w:rsid w:val="00225EF7"/>
    <w:rsid w:val="00225F7B"/>
    <w:rsid w:val="00226098"/>
    <w:rsid w:val="0022626B"/>
    <w:rsid w:val="0022635A"/>
    <w:rsid w:val="0022645E"/>
    <w:rsid w:val="00226614"/>
    <w:rsid w:val="00226BB2"/>
    <w:rsid w:val="00226C22"/>
    <w:rsid w:val="00226D48"/>
    <w:rsid w:val="00227020"/>
    <w:rsid w:val="0022706D"/>
    <w:rsid w:val="0022727D"/>
    <w:rsid w:val="002272EB"/>
    <w:rsid w:val="002272FE"/>
    <w:rsid w:val="00227350"/>
    <w:rsid w:val="0022743E"/>
    <w:rsid w:val="0022765F"/>
    <w:rsid w:val="00227669"/>
    <w:rsid w:val="00227833"/>
    <w:rsid w:val="00227BE1"/>
    <w:rsid w:val="00227D24"/>
    <w:rsid w:val="00230070"/>
    <w:rsid w:val="002300E7"/>
    <w:rsid w:val="00230873"/>
    <w:rsid w:val="00230A01"/>
    <w:rsid w:val="00230D66"/>
    <w:rsid w:val="00230D70"/>
    <w:rsid w:val="00230DBB"/>
    <w:rsid w:val="00230E69"/>
    <w:rsid w:val="00231006"/>
    <w:rsid w:val="00231037"/>
    <w:rsid w:val="002311E1"/>
    <w:rsid w:val="00231A83"/>
    <w:rsid w:val="00231AA4"/>
    <w:rsid w:val="00231D2C"/>
    <w:rsid w:val="00231E50"/>
    <w:rsid w:val="00231E8F"/>
    <w:rsid w:val="0023214C"/>
    <w:rsid w:val="00232295"/>
    <w:rsid w:val="0023243D"/>
    <w:rsid w:val="002324AC"/>
    <w:rsid w:val="00232721"/>
    <w:rsid w:val="002328A8"/>
    <w:rsid w:val="00232EE6"/>
    <w:rsid w:val="002331B9"/>
    <w:rsid w:val="002335FF"/>
    <w:rsid w:val="00233731"/>
    <w:rsid w:val="00233984"/>
    <w:rsid w:val="002339E1"/>
    <w:rsid w:val="00233BDF"/>
    <w:rsid w:val="00233D12"/>
    <w:rsid w:val="00234158"/>
    <w:rsid w:val="002342BF"/>
    <w:rsid w:val="00234455"/>
    <w:rsid w:val="00234996"/>
    <w:rsid w:val="002349A5"/>
    <w:rsid w:val="002352F8"/>
    <w:rsid w:val="00235780"/>
    <w:rsid w:val="00235A67"/>
    <w:rsid w:val="00235D70"/>
    <w:rsid w:val="002362C4"/>
    <w:rsid w:val="002363B3"/>
    <w:rsid w:val="002365FF"/>
    <w:rsid w:val="0023685C"/>
    <w:rsid w:val="00236920"/>
    <w:rsid w:val="002370E0"/>
    <w:rsid w:val="00237291"/>
    <w:rsid w:val="0023734D"/>
    <w:rsid w:val="002373B1"/>
    <w:rsid w:val="002374D3"/>
    <w:rsid w:val="00237598"/>
    <w:rsid w:val="00237BCD"/>
    <w:rsid w:val="00240143"/>
    <w:rsid w:val="00240301"/>
    <w:rsid w:val="00240C53"/>
    <w:rsid w:val="00240CC4"/>
    <w:rsid w:val="00240DCC"/>
    <w:rsid w:val="0024114A"/>
    <w:rsid w:val="002417E6"/>
    <w:rsid w:val="002418ED"/>
    <w:rsid w:val="00241AF3"/>
    <w:rsid w:val="002420B0"/>
    <w:rsid w:val="00242224"/>
    <w:rsid w:val="00242227"/>
    <w:rsid w:val="00242273"/>
    <w:rsid w:val="0024255C"/>
    <w:rsid w:val="002427F4"/>
    <w:rsid w:val="00242FC6"/>
    <w:rsid w:val="00242FE6"/>
    <w:rsid w:val="002437EE"/>
    <w:rsid w:val="0024380F"/>
    <w:rsid w:val="002445B3"/>
    <w:rsid w:val="00244A94"/>
    <w:rsid w:val="00244ABD"/>
    <w:rsid w:val="00244B64"/>
    <w:rsid w:val="002452C6"/>
    <w:rsid w:val="00245682"/>
    <w:rsid w:val="002457EA"/>
    <w:rsid w:val="0024588C"/>
    <w:rsid w:val="00245B10"/>
    <w:rsid w:val="00245B89"/>
    <w:rsid w:val="00246358"/>
    <w:rsid w:val="002467E2"/>
    <w:rsid w:val="002468B3"/>
    <w:rsid w:val="002468B4"/>
    <w:rsid w:val="00246AD4"/>
    <w:rsid w:val="00246BE0"/>
    <w:rsid w:val="00246DB5"/>
    <w:rsid w:val="00246E01"/>
    <w:rsid w:val="0024721B"/>
    <w:rsid w:val="00247342"/>
    <w:rsid w:val="0024734F"/>
    <w:rsid w:val="00247743"/>
    <w:rsid w:val="00247A54"/>
    <w:rsid w:val="00247AF7"/>
    <w:rsid w:val="00247BC5"/>
    <w:rsid w:val="00250550"/>
    <w:rsid w:val="0025055C"/>
    <w:rsid w:val="00250591"/>
    <w:rsid w:val="002505AE"/>
    <w:rsid w:val="002509AB"/>
    <w:rsid w:val="00250DF2"/>
    <w:rsid w:val="002510A7"/>
    <w:rsid w:val="002512B9"/>
    <w:rsid w:val="002514B9"/>
    <w:rsid w:val="002516B8"/>
    <w:rsid w:val="00251991"/>
    <w:rsid w:val="00251CAC"/>
    <w:rsid w:val="00251F62"/>
    <w:rsid w:val="00252BDE"/>
    <w:rsid w:val="00252C69"/>
    <w:rsid w:val="00252FE0"/>
    <w:rsid w:val="00253212"/>
    <w:rsid w:val="00253548"/>
    <w:rsid w:val="0025355C"/>
    <w:rsid w:val="002536A6"/>
    <w:rsid w:val="00253868"/>
    <w:rsid w:val="002538EF"/>
    <w:rsid w:val="00253DF2"/>
    <w:rsid w:val="00253F1E"/>
    <w:rsid w:val="00253F82"/>
    <w:rsid w:val="00254032"/>
    <w:rsid w:val="002540C7"/>
    <w:rsid w:val="002541A3"/>
    <w:rsid w:val="00254649"/>
    <w:rsid w:val="002548F7"/>
    <w:rsid w:val="00254B42"/>
    <w:rsid w:val="00255335"/>
    <w:rsid w:val="002554D5"/>
    <w:rsid w:val="0025550D"/>
    <w:rsid w:val="0025556A"/>
    <w:rsid w:val="0025584D"/>
    <w:rsid w:val="00255AE7"/>
    <w:rsid w:val="00256597"/>
    <w:rsid w:val="002568D5"/>
    <w:rsid w:val="00256E90"/>
    <w:rsid w:val="00256FAE"/>
    <w:rsid w:val="00256FD9"/>
    <w:rsid w:val="00257197"/>
    <w:rsid w:val="00257199"/>
    <w:rsid w:val="002574E0"/>
    <w:rsid w:val="002576C8"/>
    <w:rsid w:val="00257D54"/>
    <w:rsid w:val="00257E4E"/>
    <w:rsid w:val="002603CF"/>
    <w:rsid w:val="00260520"/>
    <w:rsid w:val="0026068A"/>
    <w:rsid w:val="00260A24"/>
    <w:rsid w:val="00260A3A"/>
    <w:rsid w:val="00260B87"/>
    <w:rsid w:val="00260C10"/>
    <w:rsid w:val="0026127A"/>
    <w:rsid w:val="002613C1"/>
    <w:rsid w:val="00261DF8"/>
    <w:rsid w:val="0026202A"/>
    <w:rsid w:val="00262223"/>
    <w:rsid w:val="00262384"/>
    <w:rsid w:val="002624FC"/>
    <w:rsid w:val="00262D19"/>
    <w:rsid w:val="00263109"/>
    <w:rsid w:val="0026326E"/>
    <w:rsid w:val="002632CB"/>
    <w:rsid w:val="002635F4"/>
    <w:rsid w:val="00263858"/>
    <w:rsid w:val="00264351"/>
    <w:rsid w:val="00264437"/>
    <w:rsid w:val="002647EA"/>
    <w:rsid w:val="0026489A"/>
    <w:rsid w:val="00264FEA"/>
    <w:rsid w:val="00265039"/>
    <w:rsid w:val="002652E6"/>
    <w:rsid w:val="002656E5"/>
    <w:rsid w:val="00265795"/>
    <w:rsid w:val="002657BF"/>
    <w:rsid w:val="00265A29"/>
    <w:rsid w:val="00265B11"/>
    <w:rsid w:val="00265B80"/>
    <w:rsid w:val="00265BA2"/>
    <w:rsid w:val="00265C31"/>
    <w:rsid w:val="00265EF9"/>
    <w:rsid w:val="002663F5"/>
    <w:rsid w:val="002665DE"/>
    <w:rsid w:val="00266B8B"/>
    <w:rsid w:val="002670B0"/>
    <w:rsid w:val="002673BD"/>
    <w:rsid w:val="002674E6"/>
    <w:rsid w:val="0026767B"/>
    <w:rsid w:val="0026786C"/>
    <w:rsid w:val="00267AD0"/>
    <w:rsid w:val="00267F67"/>
    <w:rsid w:val="002700B9"/>
    <w:rsid w:val="00270202"/>
    <w:rsid w:val="00270322"/>
    <w:rsid w:val="002703D5"/>
    <w:rsid w:val="0027072A"/>
    <w:rsid w:val="002709A4"/>
    <w:rsid w:val="00270ABB"/>
    <w:rsid w:val="00270CAB"/>
    <w:rsid w:val="00270D93"/>
    <w:rsid w:val="00271337"/>
    <w:rsid w:val="0027154C"/>
    <w:rsid w:val="00271555"/>
    <w:rsid w:val="002716F1"/>
    <w:rsid w:val="002717D7"/>
    <w:rsid w:val="0027191A"/>
    <w:rsid w:val="00271A14"/>
    <w:rsid w:val="00271DD5"/>
    <w:rsid w:val="00271E55"/>
    <w:rsid w:val="00271F91"/>
    <w:rsid w:val="00272393"/>
    <w:rsid w:val="002726AD"/>
    <w:rsid w:val="00272B7E"/>
    <w:rsid w:val="00272DD5"/>
    <w:rsid w:val="00272EB2"/>
    <w:rsid w:val="00273180"/>
    <w:rsid w:val="002733A1"/>
    <w:rsid w:val="002735D6"/>
    <w:rsid w:val="00273E7A"/>
    <w:rsid w:val="0027414B"/>
    <w:rsid w:val="002744AE"/>
    <w:rsid w:val="00274513"/>
    <w:rsid w:val="002745BB"/>
    <w:rsid w:val="00274B20"/>
    <w:rsid w:val="00274C5B"/>
    <w:rsid w:val="0027510C"/>
    <w:rsid w:val="002753C0"/>
    <w:rsid w:val="002755C7"/>
    <w:rsid w:val="00275AC8"/>
    <w:rsid w:val="00275ADF"/>
    <w:rsid w:val="00276549"/>
    <w:rsid w:val="002766E0"/>
    <w:rsid w:val="002767A3"/>
    <w:rsid w:val="0027680D"/>
    <w:rsid w:val="00276C7A"/>
    <w:rsid w:val="002770AC"/>
    <w:rsid w:val="002770AD"/>
    <w:rsid w:val="002775F7"/>
    <w:rsid w:val="00277606"/>
    <w:rsid w:val="002776D6"/>
    <w:rsid w:val="002779C6"/>
    <w:rsid w:val="00277BC8"/>
    <w:rsid w:val="00277D06"/>
    <w:rsid w:val="00280281"/>
    <w:rsid w:val="002802C0"/>
    <w:rsid w:val="002802CF"/>
    <w:rsid w:val="00280438"/>
    <w:rsid w:val="002806AE"/>
    <w:rsid w:val="002806F4"/>
    <w:rsid w:val="00280832"/>
    <w:rsid w:val="002808DD"/>
    <w:rsid w:val="0028094B"/>
    <w:rsid w:val="00280C1E"/>
    <w:rsid w:val="00280C9E"/>
    <w:rsid w:val="00280EBD"/>
    <w:rsid w:val="00280FE4"/>
    <w:rsid w:val="00281352"/>
    <w:rsid w:val="00281F46"/>
    <w:rsid w:val="00282065"/>
    <w:rsid w:val="00282170"/>
    <w:rsid w:val="00282465"/>
    <w:rsid w:val="00282471"/>
    <w:rsid w:val="00282515"/>
    <w:rsid w:val="002828C1"/>
    <w:rsid w:val="00282A51"/>
    <w:rsid w:val="00282A9E"/>
    <w:rsid w:val="00282BC7"/>
    <w:rsid w:val="00282C69"/>
    <w:rsid w:val="00282F7D"/>
    <w:rsid w:val="00283038"/>
    <w:rsid w:val="002835E7"/>
    <w:rsid w:val="0028384C"/>
    <w:rsid w:val="0028397C"/>
    <w:rsid w:val="00283B9A"/>
    <w:rsid w:val="00283C4C"/>
    <w:rsid w:val="00283DBC"/>
    <w:rsid w:val="00284848"/>
    <w:rsid w:val="00284903"/>
    <w:rsid w:val="002849B6"/>
    <w:rsid w:val="00285002"/>
    <w:rsid w:val="00285C02"/>
    <w:rsid w:val="002860EA"/>
    <w:rsid w:val="00286160"/>
    <w:rsid w:val="00286177"/>
    <w:rsid w:val="00286690"/>
    <w:rsid w:val="00286A31"/>
    <w:rsid w:val="00286B2A"/>
    <w:rsid w:val="00286C4F"/>
    <w:rsid w:val="00286C5C"/>
    <w:rsid w:val="00286C9D"/>
    <w:rsid w:val="00286D51"/>
    <w:rsid w:val="00286FA9"/>
    <w:rsid w:val="0028724C"/>
    <w:rsid w:val="002879D3"/>
    <w:rsid w:val="00287AE7"/>
    <w:rsid w:val="00287D52"/>
    <w:rsid w:val="00287E64"/>
    <w:rsid w:val="00287F48"/>
    <w:rsid w:val="002900FF"/>
    <w:rsid w:val="00290142"/>
    <w:rsid w:val="0029106E"/>
    <w:rsid w:val="002910AE"/>
    <w:rsid w:val="00291168"/>
    <w:rsid w:val="00291BCD"/>
    <w:rsid w:val="00291CBC"/>
    <w:rsid w:val="00291EB4"/>
    <w:rsid w:val="00292144"/>
    <w:rsid w:val="002925C6"/>
    <w:rsid w:val="00292A65"/>
    <w:rsid w:val="00292AFE"/>
    <w:rsid w:val="00292CDA"/>
    <w:rsid w:val="00293091"/>
    <w:rsid w:val="002931F4"/>
    <w:rsid w:val="00293A91"/>
    <w:rsid w:val="00293ABA"/>
    <w:rsid w:val="00293C2F"/>
    <w:rsid w:val="00293F9E"/>
    <w:rsid w:val="00294089"/>
    <w:rsid w:val="0029418D"/>
    <w:rsid w:val="002941DD"/>
    <w:rsid w:val="002942D4"/>
    <w:rsid w:val="00294525"/>
    <w:rsid w:val="00294988"/>
    <w:rsid w:val="00295438"/>
    <w:rsid w:val="00295A5F"/>
    <w:rsid w:val="00295AD0"/>
    <w:rsid w:val="00295BD9"/>
    <w:rsid w:val="00296279"/>
    <w:rsid w:val="00296573"/>
    <w:rsid w:val="00296838"/>
    <w:rsid w:val="00296860"/>
    <w:rsid w:val="00296A61"/>
    <w:rsid w:val="00296AB9"/>
    <w:rsid w:val="00296B15"/>
    <w:rsid w:val="00296C55"/>
    <w:rsid w:val="00296D5B"/>
    <w:rsid w:val="00296ED5"/>
    <w:rsid w:val="00297337"/>
    <w:rsid w:val="002973AA"/>
    <w:rsid w:val="0029788D"/>
    <w:rsid w:val="002979AC"/>
    <w:rsid w:val="002A010E"/>
    <w:rsid w:val="002A0163"/>
    <w:rsid w:val="002A01CF"/>
    <w:rsid w:val="002A027F"/>
    <w:rsid w:val="002A084B"/>
    <w:rsid w:val="002A0B0D"/>
    <w:rsid w:val="002A0BBD"/>
    <w:rsid w:val="002A0F0C"/>
    <w:rsid w:val="002A0F94"/>
    <w:rsid w:val="002A1021"/>
    <w:rsid w:val="002A1607"/>
    <w:rsid w:val="002A1F24"/>
    <w:rsid w:val="002A2016"/>
    <w:rsid w:val="002A212D"/>
    <w:rsid w:val="002A2291"/>
    <w:rsid w:val="002A2782"/>
    <w:rsid w:val="002A2D11"/>
    <w:rsid w:val="002A2FDE"/>
    <w:rsid w:val="002A3031"/>
    <w:rsid w:val="002A309D"/>
    <w:rsid w:val="002A3327"/>
    <w:rsid w:val="002A3888"/>
    <w:rsid w:val="002A3B43"/>
    <w:rsid w:val="002A4033"/>
    <w:rsid w:val="002A404D"/>
    <w:rsid w:val="002A40F4"/>
    <w:rsid w:val="002A4A3E"/>
    <w:rsid w:val="002A4ACB"/>
    <w:rsid w:val="002A4C9C"/>
    <w:rsid w:val="002A4F36"/>
    <w:rsid w:val="002A511F"/>
    <w:rsid w:val="002A56F8"/>
    <w:rsid w:val="002A579F"/>
    <w:rsid w:val="002A5950"/>
    <w:rsid w:val="002A5967"/>
    <w:rsid w:val="002A5F41"/>
    <w:rsid w:val="002A65BC"/>
    <w:rsid w:val="002A700B"/>
    <w:rsid w:val="002A713C"/>
    <w:rsid w:val="002A72AD"/>
    <w:rsid w:val="002A7441"/>
    <w:rsid w:val="002A7552"/>
    <w:rsid w:val="002A7B3D"/>
    <w:rsid w:val="002A7B8B"/>
    <w:rsid w:val="002B02C9"/>
    <w:rsid w:val="002B0394"/>
    <w:rsid w:val="002B03D1"/>
    <w:rsid w:val="002B0BB2"/>
    <w:rsid w:val="002B0C75"/>
    <w:rsid w:val="002B0E36"/>
    <w:rsid w:val="002B13EF"/>
    <w:rsid w:val="002B1486"/>
    <w:rsid w:val="002B1510"/>
    <w:rsid w:val="002B1655"/>
    <w:rsid w:val="002B16AC"/>
    <w:rsid w:val="002B1742"/>
    <w:rsid w:val="002B181E"/>
    <w:rsid w:val="002B1829"/>
    <w:rsid w:val="002B1872"/>
    <w:rsid w:val="002B1A0B"/>
    <w:rsid w:val="002B1B15"/>
    <w:rsid w:val="002B1FB2"/>
    <w:rsid w:val="002B236F"/>
    <w:rsid w:val="002B2462"/>
    <w:rsid w:val="002B28A5"/>
    <w:rsid w:val="002B2C5C"/>
    <w:rsid w:val="002B2D46"/>
    <w:rsid w:val="002B2DC9"/>
    <w:rsid w:val="002B2DE7"/>
    <w:rsid w:val="002B4A6E"/>
    <w:rsid w:val="002B52FB"/>
    <w:rsid w:val="002B532A"/>
    <w:rsid w:val="002B5336"/>
    <w:rsid w:val="002B5571"/>
    <w:rsid w:val="002B5653"/>
    <w:rsid w:val="002B58FB"/>
    <w:rsid w:val="002B5922"/>
    <w:rsid w:val="002B5B6D"/>
    <w:rsid w:val="002B5C41"/>
    <w:rsid w:val="002B5D77"/>
    <w:rsid w:val="002B62E0"/>
    <w:rsid w:val="002B6337"/>
    <w:rsid w:val="002B6394"/>
    <w:rsid w:val="002B6B35"/>
    <w:rsid w:val="002B6E34"/>
    <w:rsid w:val="002B7070"/>
    <w:rsid w:val="002B722C"/>
    <w:rsid w:val="002B74F4"/>
    <w:rsid w:val="002B7544"/>
    <w:rsid w:val="002B7902"/>
    <w:rsid w:val="002B7AD9"/>
    <w:rsid w:val="002B7B68"/>
    <w:rsid w:val="002C00EF"/>
    <w:rsid w:val="002C0423"/>
    <w:rsid w:val="002C0479"/>
    <w:rsid w:val="002C0A4B"/>
    <w:rsid w:val="002C0B29"/>
    <w:rsid w:val="002C0EBD"/>
    <w:rsid w:val="002C15B6"/>
    <w:rsid w:val="002C16A9"/>
    <w:rsid w:val="002C1799"/>
    <w:rsid w:val="002C1BCD"/>
    <w:rsid w:val="002C1BF7"/>
    <w:rsid w:val="002C2797"/>
    <w:rsid w:val="002C2A4C"/>
    <w:rsid w:val="002C333B"/>
    <w:rsid w:val="002C33FC"/>
    <w:rsid w:val="002C3650"/>
    <w:rsid w:val="002C371F"/>
    <w:rsid w:val="002C3756"/>
    <w:rsid w:val="002C3B70"/>
    <w:rsid w:val="002C3D0E"/>
    <w:rsid w:val="002C3F4D"/>
    <w:rsid w:val="002C456E"/>
    <w:rsid w:val="002C4631"/>
    <w:rsid w:val="002C4B39"/>
    <w:rsid w:val="002C512E"/>
    <w:rsid w:val="002C5242"/>
    <w:rsid w:val="002C54E7"/>
    <w:rsid w:val="002C5B46"/>
    <w:rsid w:val="002C5C52"/>
    <w:rsid w:val="002C657F"/>
    <w:rsid w:val="002C68BE"/>
    <w:rsid w:val="002C6969"/>
    <w:rsid w:val="002C6D2B"/>
    <w:rsid w:val="002C6F5E"/>
    <w:rsid w:val="002C70F8"/>
    <w:rsid w:val="002C75AD"/>
    <w:rsid w:val="002C77E5"/>
    <w:rsid w:val="002C78D3"/>
    <w:rsid w:val="002C7BB7"/>
    <w:rsid w:val="002C7D00"/>
    <w:rsid w:val="002C7FA9"/>
    <w:rsid w:val="002C7FFB"/>
    <w:rsid w:val="002D0025"/>
    <w:rsid w:val="002D0788"/>
    <w:rsid w:val="002D0A28"/>
    <w:rsid w:val="002D0A64"/>
    <w:rsid w:val="002D0C3A"/>
    <w:rsid w:val="002D0F2D"/>
    <w:rsid w:val="002D1438"/>
    <w:rsid w:val="002D1602"/>
    <w:rsid w:val="002D1A2C"/>
    <w:rsid w:val="002D1BD3"/>
    <w:rsid w:val="002D1D46"/>
    <w:rsid w:val="002D1EA4"/>
    <w:rsid w:val="002D1FB0"/>
    <w:rsid w:val="002D2112"/>
    <w:rsid w:val="002D259A"/>
    <w:rsid w:val="002D29D3"/>
    <w:rsid w:val="002D2F02"/>
    <w:rsid w:val="002D3420"/>
    <w:rsid w:val="002D350B"/>
    <w:rsid w:val="002D38E0"/>
    <w:rsid w:val="002D3BF2"/>
    <w:rsid w:val="002D3C58"/>
    <w:rsid w:val="002D3D3A"/>
    <w:rsid w:val="002D41C9"/>
    <w:rsid w:val="002D4213"/>
    <w:rsid w:val="002D4254"/>
    <w:rsid w:val="002D46D3"/>
    <w:rsid w:val="002D501C"/>
    <w:rsid w:val="002D505D"/>
    <w:rsid w:val="002D508D"/>
    <w:rsid w:val="002D5324"/>
    <w:rsid w:val="002D59D4"/>
    <w:rsid w:val="002D5CEB"/>
    <w:rsid w:val="002D61E4"/>
    <w:rsid w:val="002D6279"/>
    <w:rsid w:val="002D6307"/>
    <w:rsid w:val="002D6423"/>
    <w:rsid w:val="002D6579"/>
    <w:rsid w:val="002D66DC"/>
    <w:rsid w:val="002D6BFA"/>
    <w:rsid w:val="002D6DBD"/>
    <w:rsid w:val="002D70DE"/>
    <w:rsid w:val="002D71ED"/>
    <w:rsid w:val="002D71FB"/>
    <w:rsid w:val="002D74B6"/>
    <w:rsid w:val="002D757C"/>
    <w:rsid w:val="002D7977"/>
    <w:rsid w:val="002D7D91"/>
    <w:rsid w:val="002DE8A8"/>
    <w:rsid w:val="002E01FA"/>
    <w:rsid w:val="002E0677"/>
    <w:rsid w:val="002E06B0"/>
    <w:rsid w:val="002E0714"/>
    <w:rsid w:val="002E0995"/>
    <w:rsid w:val="002E0A24"/>
    <w:rsid w:val="002E0BE1"/>
    <w:rsid w:val="002E0DFF"/>
    <w:rsid w:val="002E1175"/>
    <w:rsid w:val="002E11D4"/>
    <w:rsid w:val="002E1231"/>
    <w:rsid w:val="002E151B"/>
    <w:rsid w:val="002E15E3"/>
    <w:rsid w:val="002E1602"/>
    <w:rsid w:val="002E1DB3"/>
    <w:rsid w:val="002E207B"/>
    <w:rsid w:val="002E2157"/>
    <w:rsid w:val="002E2269"/>
    <w:rsid w:val="002E2421"/>
    <w:rsid w:val="002E25DE"/>
    <w:rsid w:val="002E2839"/>
    <w:rsid w:val="002E2F67"/>
    <w:rsid w:val="002E3118"/>
    <w:rsid w:val="002E32B9"/>
    <w:rsid w:val="002E3394"/>
    <w:rsid w:val="002E3C61"/>
    <w:rsid w:val="002E3E5D"/>
    <w:rsid w:val="002E3F40"/>
    <w:rsid w:val="002E41A7"/>
    <w:rsid w:val="002E476F"/>
    <w:rsid w:val="002E499B"/>
    <w:rsid w:val="002E4A75"/>
    <w:rsid w:val="002E4B8D"/>
    <w:rsid w:val="002E4E8F"/>
    <w:rsid w:val="002E51E0"/>
    <w:rsid w:val="002E563A"/>
    <w:rsid w:val="002E590B"/>
    <w:rsid w:val="002E59EE"/>
    <w:rsid w:val="002E5A99"/>
    <w:rsid w:val="002E5D4C"/>
    <w:rsid w:val="002E62D2"/>
    <w:rsid w:val="002E6428"/>
    <w:rsid w:val="002E6902"/>
    <w:rsid w:val="002E6931"/>
    <w:rsid w:val="002E6BDF"/>
    <w:rsid w:val="002E700A"/>
    <w:rsid w:val="002E70EF"/>
    <w:rsid w:val="002E7336"/>
    <w:rsid w:val="002E73F4"/>
    <w:rsid w:val="002E7930"/>
    <w:rsid w:val="002E7CBA"/>
    <w:rsid w:val="002E7CD8"/>
    <w:rsid w:val="002F0049"/>
    <w:rsid w:val="002F0140"/>
    <w:rsid w:val="002F02EB"/>
    <w:rsid w:val="002F055F"/>
    <w:rsid w:val="002F058A"/>
    <w:rsid w:val="002F0605"/>
    <w:rsid w:val="002F080C"/>
    <w:rsid w:val="002F083F"/>
    <w:rsid w:val="002F0A09"/>
    <w:rsid w:val="002F0C5B"/>
    <w:rsid w:val="002F0DA4"/>
    <w:rsid w:val="002F1016"/>
    <w:rsid w:val="002F1029"/>
    <w:rsid w:val="002F1038"/>
    <w:rsid w:val="002F1173"/>
    <w:rsid w:val="002F13AB"/>
    <w:rsid w:val="002F1614"/>
    <w:rsid w:val="002F1860"/>
    <w:rsid w:val="002F206E"/>
    <w:rsid w:val="002F2217"/>
    <w:rsid w:val="002F22E5"/>
    <w:rsid w:val="002F24D1"/>
    <w:rsid w:val="002F278F"/>
    <w:rsid w:val="002F3098"/>
    <w:rsid w:val="002F3316"/>
    <w:rsid w:val="002F34C4"/>
    <w:rsid w:val="002F35A3"/>
    <w:rsid w:val="002F361B"/>
    <w:rsid w:val="002F3778"/>
    <w:rsid w:val="002F3DE4"/>
    <w:rsid w:val="002F3F76"/>
    <w:rsid w:val="002F408C"/>
    <w:rsid w:val="002F42F4"/>
    <w:rsid w:val="002F433D"/>
    <w:rsid w:val="002F43E9"/>
    <w:rsid w:val="002F44C8"/>
    <w:rsid w:val="002F45E6"/>
    <w:rsid w:val="002F48B7"/>
    <w:rsid w:val="002F4B9D"/>
    <w:rsid w:val="002F4CC3"/>
    <w:rsid w:val="002F533D"/>
    <w:rsid w:val="002F551A"/>
    <w:rsid w:val="002F57DC"/>
    <w:rsid w:val="002F5987"/>
    <w:rsid w:val="002F5C7F"/>
    <w:rsid w:val="002F5E74"/>
    <w:rsid w:val="002F5FFD"/>
    <w:rsid w:val="002F6120"/>
    <w:rsid w:val="002F62D0"/>
    <w:rsid w:val="002F65C2"/>
    <w:rsid w:val="002F66BB"/>
    <w:rsid w:val="002F6A2B"/>
    <w:rsid w:val="002F6E48"/>
    <w:rsid w:val="002F711D"/>
    <w:rsid w:val="002F7198"/>
    <w:rsid w:val="002F7533"/>
    <w:rsid w:val="002F76CC"/>
    <w:rsid w:val="002F779F"/>
    <w:rsid w:val="002F7995"/>
    <w:rsid w:val="003002BB"/>
    <w:rsid w:val="00300488"/>
    <w:rsid w:val="00300BA5"/>
    <w:rsid w:val="00301986"/>
    <w:rsid w:val="00301B7E"/>
    <w:rsid w:val="00301FE2"/>
    <w:rsid w:val="003020B5"/>
    <w:rsid w:val="0030211B"/>
    <w:rsid w:val="00302202"/>
    <w:rsid w:val="00302632"/>
    <w:rsid w:val="0030278D"/>
    <w:rsid w:val="00302790"/>
    <w:rsid w:val="00302CA6"/>
    <w:rsid w:val="00303427"/>
    <w:rsid w:val="00303615"/>
    <w:rsid w:val="00303A5D"/>
    <w:rsid w:val="00303F53"/>
    <w:rsid w:val="003045CB"/>
    <w:rsid w:val="003046CD"/>
    <w:rsid w:val="00304913"/>
    <w:rsid w:val="00304968"/>
    <w:rsid w:val="00304A91"/>
    <w:rsid w:val="00304F21"/>
    <w:rsid w:val="003054F5"/>
    <w:rsid w:val="00305A2E"/>
    <w:rsid w:val="00305ABE"/>
    <w:rsid w:val="00305CDD"/>
    <w:rsid w:val="0030641B"/>
    <w:rsid w:val="0030649F"/>
    <w:rsid w:val="00306637"/>
    <w:rsid w:val="0030689D"/>
    <w:rsid w:val="003068F1"/>
    <w:rsid w:val="00306A4F"/>
    <w:rsid w:val="00306A8A"/>
    <w:rsid w:val="00306AFD"/>
    <w:rsid w:val="00307441"/>
    <w:rsid w:val="0030761B"/>
    <w:rsid w:val="00307C83"/>
    <w:rsid w:val="00310029"/>
    <w:rsid w:val="00310207"/>
    <w:rsid w:val="003104E8"/>
    <w:rsid w:val="00310AD3"/>
    <w:rsid w:val="00310BBC"/>
    <w:rsid w:val="00310C83"/>
    <w:rsid w:val="00311291"/>
    <w:rsid w:val="003112C3"/>
    <w:rsid w:val="0031174A"/>
    <w:rsid w:val="00311D18"/>
    <w:rsid w:val="00311E81"/>
    <w:rsid w:val="00311FBF"/>
    <w:rsid w:val="003120FF"/>
    <w:rsid w:val="00312213"/>
    <w:rsid w:val="003122AC"/>
    <w:rsid w:val="00312414"/>
    <w:rsid w:val="0031242B"/>
    <w:rsid w:val="003125E5"/>
    <w:rsid w:val="00312828"/>
    <w:rsid w:val="003128FF"/>
    <w:rsid w:val="0031290D"/>
    <w:rsid w:val="00312D74"/>
    <w:rsid w:val="0031301F"/>
    <w:rsid w:val="00313072"/>
    <w:rsid w:val="00313F16"/>
    <w:rsid w:val="0031412F"/>
    <w:rsid w:val="003144BF"/>
    <w:rsid w:val="00314784"/>
    <w:rsid w:val="00314999"/>
    <w:rsid w:val="00314AC2"/>
    <w:rsid w:val="00314B0A"/>
    <w:rsid w:val="003156E4"/>
    <w:rsid w:val="00315809"/>
    <w:rsid w:val="0031585D"/>
    <w:rsid w:val="003159B9"/>
    <w:rsid w:val="00315C5B"/>
    <w:rsid w:val="00315CF0"/>
    <w:rsid w:val="00315D22"/>
    <w:rsid w:val="00316040"/>
    <w:rsid w:val="003160CC"/>
    <w:rsid w:val="0031616A"/>
    <w:rsid w:val="003163DD"/>
    <w:rsid w:val="003163E6"/>
    <w:rsid w:val="0031668C"/>
    <w:rsid w:val="0031687B"/>
    <w:rsid w:val="00316B90"/>
    <w:rsid w:val="00316E09"/>
    <w:rsid w:val="003170B7"/>
    <w:rsid w:val="003172A9"/>
    <w:rsid w:val="003172DC"/>
    <w:rsid w:val="00317696"/>
    <w:rsid w:val="003177D6"/>
    <w:rsid w:val="00317990"/>
    <w:rsid w:val="00317BAC"/>
    <w:rsid w:val="00317DB2"/>
    <w:rsid w:val="003205BB"/>
    <w:rsid w:val="003206D6"/>
    <w:rsid w:val="0032079D"/>
    <w:rsid w:val="003208D7"/>
    <w:rsid w:val="00320B4A"/>
    <w:rsid w:val="00320BCF"/>
    <w:rsid w:val="00320D4D"/>
    <w:rsid w:val="00320E07"/>
    <w:rsid w:val="00321015"/>
    <w:rsid w:val="0032106A"/>
    <w:rsid w:val="003211BD"/>
    <w:rsid w:val="003214CF"/>
    <w:rsid w:val="003216B3"/>
    <w:rsid w:val="00321770"/>
    <w:rsid w:val="00322418"/>
    <w:rsid w:val="00322479"/>
    <w:rsid w:val="00322578"/>
    <w:rsid w:val="0032260A"/>
    <w:rsid w:val="003228AF"/>
    <w:rsid w:val="00322C24"/>
    <w:rsid w:val="00323632"/>
    <w:rsid w:val="00323BDE"/>
    <w:rsid w:val="00323CD2"/>
    <w:rsid w:val="00323FC3"/>
    <w:rsid w:val="00324635"/>
    <w:rsid w:val="0032477D"/>
    <w:rsid w:val="0032497D"/>
    <w:rsid w:val="00324C5F"/>
    <w:rsid w:val="00324D78"/>
    <w:rsid w:val="0032514B"/>
    <w:rsid w:val="00325457"/>
    <w:rsid w:val="00325593"/>
    <w:rsid w:val="003255DD"/>
    <w:rsid w:val="0032565F"/>
    <w:rsid w:val="00325A02"/>
    <w:rsid w:val="00325F94"/>
    <w:rsid w:val="00326100"/>
    <w:rsid w:val="003267CB"/>
    <w:rsid w:val="00326CDA"/>
    <w:rsid w:val="00326D1F"/>
    <w:rsid w:val="00326DD5"/>
    <w:rsid w:val="00326FCA"/>
    <w:rsid w:val="00327207"/>
    <w:rsid w:val="00327375"/>
    <w:rsid w:val="003276EE"/>
    <w:rsid w:val="003303AF"/>
    <w:rsid w:val="003306DA"/>
    <w:rsid w:val="00330791"/>
    <w:rsid w:val="0033083E"/>
    <w:rsid w:val="003308CC"/>
    <w:rsid w:val="00330B65"/>
    <w:rsid w:val="00330FD9"/>
    <w:rsid w:val="00331121"/>
    <w:rsid w:val="00331218"/>
    <w:rsid w:val="0033128C"/>
    <w:rsid w:val="00331694"/>
    <w:rsid w:val="0033188B"/>
    <w:rsid w:val="00331D95"/>
    <w:rsid w:val="00331DE7"/>
    <w:rsid w:val="00332191"/>
    <w:rsid w:val="003321D3"/>
    <w:rsid w:val="00332351"/>
    <w:rsid w:val="00332E20"/>
    <w:rsid w:val="00333361"/>
    <w:rsid w:val="0033385D"/>
    <w:rsid w:val="00333D02"/>
    <w:rsid w:val="003340E6"/>
    <w:rsid w:val="0033465B"/>
    <w:rsid w:val="00334700"/>
    <w:rsid w:val="00334703"/>
    <w:rsid w:val="00334B43"/>
    <w:rsid w:val="00334EEB"/>
    <w:rsid w:val="003354F7"/>
    <w:rsid w:val="00335A67"/>
    <w:rsid w:val="00335C20"/>
    <w:rsid w:val="00335D15"/>
    <w:rsid w:val="00335EBD"/>
    <w:rsid w:val="00335ED6"/>
    <w:rsid w:val="003360AE"/>
    <w:rsid w:val="003360F7"/>
    <w:rsid w:val="00336119"/>
    <w:rsid w:val="00336122"/>
    <w:rsid w:val="003364C6"/>
    <w:rsid w:val="003364F5"/>
    <w:rsid w:val="003365BA"/>
    <w:rsid w:val="00336AE9"/>
    <w:rsid w:val="00336DCC"/>
    <w:rsid w:val="00336E5C"/>
    <w:rsid w:val="00336F89"/>
    <w:rsid w:val="0033709E"/>
    <w:rsid w:val="00337AD6"/>
    <w:rsid w:val="00337D80"/>
    <w:rsid w:val="00340072"/>
    <w:rsid w:val="00340F7C"/>
    <w:rsid w:val="00341211"/>
    <w:rsid w:val="0034125C"/>
    <w:rsid w:val="0034133E"/>
    <w:rsid w:val="003413D7"/>
    <w:rsid w:val="003415F4"/>
    <w:rsid w:val="003416F1"/>
    <w:rsid w:val="00341966"/>
    <w:rsid w:val="00341BA2"/>
    <w:rsid w:val="00341C12"/>
    <w:rsid w:val="00341DBD"/>
    <w:rsid w:val="00342467"/>
    <w:rsid w:val="0034257C"/>
    <w:rsid w:val="00342580"/>
    <w:rsid w:val="0034277F"/>
    <w:rsid w:val="003429B5"/>
    <w:rsid w:val="00342AFF"/>
    <w:rsid w:val="00342F84"/>
    <w:rsid w:val="00342F9B"/>
    <w:rsid w:val="00343071"/>
    <w:rsid w:val="00343274"/>
    <w:rsid w:val="00343386"/>
    <w:rsid w:val="00343709"/>
    <w:rsid w:val="00343913"/>
    <w:rsid w:val="00343BA1"/>
    <w:rsid w:val="00343BE5"/>
    <w:rsid w:val="00344372"/>
    <w:rsid w:val="0034483D"/>
    <w:rsid w:val="00344898"/>
    <w:rsid w:val="00344E4C"/>
    <w:rsid w:val="00344EEE"/>
    <w:rsid w:val="00344F87"/>
    <w:rsid w:val="00345250"/>
    <w:rsid w:val="00345380"/>
    <w:rsid w:val="00345667"/>
    <w:rsid w:val="003459AC"/>
    <w:rsid w:val="00345A5E"/>
    <w:rsid w:val="00345BE7"/>
    <w:rsid w:val="00345C5D"/>
    <w:rsid w:val="00345D74"/>
    <w:rsid w:val="00345DC7"/>
    <w:rsid w:val="0034637B"/>
    <w:rsid w:val="00346408"/>
    <w:rsid w:val="0034642C"/>
    <w:rsid w:val="00346487"/>
    <w:rsid w:val="00346675"/>
    <w:rsid w:val="003466BB"/>
    <w:rsid w:val="003466C3"/>
    <w:rsid w:val="0034691D"/>
    <w:rsid w:val="00346AAC"/>
    <w:rsid w:val="00346BB1"/>
    <w:rsid w:val="00346DFF"/>
    <w:rsid w:val="0034726F"/>
    <w:rsid w:val="003473CF"/>
    <w:rsid w:val="00347745"/>
    <w:rsid w:val="003477A8"/>
    <w:rsid w:val="00347918"/>
    <w:rsid w:val="00347957"/>
    <w:rsid w:val="00347E9A"/>
    <w:rsid w:val="00350189"/>
    <w:rsid w:val="0035023A"/>
    <w:rsid w:val="00350375"/>
    <w:rsid w:val="003503BE"/>
    <w:rsid w:val="00350D22"/>
    <w:rsid w:val="00350F5B"/>
    <w:rsid w:val="00350F85"/>
    <w:rsid w:val="00351026"/>
    <w:rsid w:val="00351845"/>
    <w:rsid w:val="00351ED2"/>
    <w:rsid w:val="0035212C"/>
    <w:rsid w:val="00352317"/>
    <w:rsid w:val="0035243B"/>
    <w:rsid w:val="003526E5"/>
    <w:rsid w:val="00352A58"/>
    <w:rsid w:val="0035380E"/>
    <w:rsid w:val="00353B59"/>
    <w:rsid w:val="00353DC8"/>
    <w:rsid w:val="00353E55"/>
    <w:rsid w:val="0035431B"/>
    <w:rsid w:val="00354464"/>
    <w:rsid w:val="0035447B"/>
    <w:rsid w:val="003547D9"/>
    <w:rsid w:val="0035489D"/>
    <w:rsid w:val="00354F8F"/>
    <w:rsid w:val="0035505E"/>
    <w:rsid w:val="00355456"/>
    <w:rsid w:val="00355BBF"/>
    <w:rsid w:val="00355D39"/>
    <w:rsid w:val="00355E48"/>
    <w:rsid w:val="00355EA9"/>
    <w:rsid w:val="00355F2B"/>
    <w:rsid w:val="00355FC0"/>
    <w:rsid w:val="0035610B"/>
    <w:rsid w:val="00356807"/>
    <w:rsid w:val="003568FE"/>
    <w:rsid w:val="00356CC4"/>
    <w:rsid w:val="0035717E"/>
    <w:rsid w:val="003572EB"/>
    <w:rsid w:val="003573A2"/>
    <w:rsid w:val="00357E39"/>
    <w:rsid w:val="00357F93"/>
    <w:rsid w:val="00360189"/>
    <w:rsid w:val="00360300"/>
    <w:rsid w:val="003605A6"/>
    <w:rsid w:val="00360824"/>
    <w:rsid w:val="00360F74"/>
    <w:rsid w:val="00361699"/>
    <w:rsid w:val="003617CF"/>
    <w:rsid w:val="00362581"/>
    <w:rsid w:val="00362694"/>
    <w:rsid w:val="00362EBF"/>
    <w:rsid w:val="00362FCF"/>
    <w:rsid w:val="0036302F"/>
    <w:rsid w:val="003630A6"/>
    <w:rsid w:val="003631AE"/>
    <w:rsid w:val="00363369"/>
    <w:rsid w:val="003634F9"/>
    <w:rsid w:val="00363695"/>
    <w:rsid w:val="0036378F"/>
    <w:rsid w:val="00363848"/>
    <w:rsid w:val="00363B40"/>
    <w:rsid w:val="00363B49"/>
    <w:rsid w:val="00364788"/>
    <w:rsid w:val="00364840"/>
    <w:rsid w:val="003648EA"/>
    <w:rsid w:val="00365429"/>
    <w:rsid w:val="00365575"/>
    <w:rsid w:val="00365619"/>
    <w:rsid w:val="003657A2"/>
    <w:rsid w:val="0036593B"/>
    <w:rsid w:val="00365D3C"/>
    <w:rsid w:val="0036617D"/>
    <w:rsid w:val="00366318"/>
    <w:rsid w:val="00366526"/>
    <w:rsid w:val="003667A4"/>
    <w:rsid w:val="00366CEE"/>
    <w:rsid w:val="00366EDA"/>
    <w:rsid w:val="00367966"/>
    <w:rsid w:val="00367C1A"/>
    <w:rsid w:val="00367E58"/>
    <w:rsid w:val="00367E99"/>
    <w:rsid w:val="0036CA22"/>
    <w:rsid w:val="003700DA"/>
    <w:rsid w:val="0037068B"/>
    <w:rsid w:val="003707D2"/>
    <w:rsid w:val="00370814"/>
    <w:rsid w:val="00370885"/>
    <w:rsid w:val="00370A02"/>
    <w:rsid w:val="00370A96"/>
    <w:rsid w:val="003716D7"/>
    <w:rsid w:val="00371797"/>
    <w:rsid w:val="00371CB3"/>
    <w:rsid w:val="00371E91"/>
    <w:rsid w:val="00371FF8"/>
    <w:rsid w:val="003720B6"/>
    <w:rsid w:val="0037225F"/>
    <w:rsid w:val="00372475"/>
    <w:rsid w:val="003725BB"/>
    <w:rsid w:val="0037298C"/>
    <w:rsid w:val="00372AAE"/>
    <w:rsid w:val="00372B28"/>
    <w:rsid w:val="00372CFD"/>
    <w:rsid w:val="00373303"/>
    <w:rsid w:val="003737FF"/>
    <w:rsid w:val="003738B1"/>
    <w:rsid w:val="003738FE"/>
    <w:rsid w:val="00373ADD"/>
    <w:rsid w:val="00373C7E"/>
    <w:rsid w:val="003742A6"/>
    <w:rsid w:val="003744EF"/>
    <w:rsid w:val="003745DA"/>
    <w:rsid w:val="003747CC"/>
    <w:rsid w:val="00374B64"/>
    <w:rsid w:val="0037531D"/>
    <w:rsid w:val="0037535F"/>
    <w:rsid w:val="003757A4"/>
    <w:rsid w:val="003757B8"/>
    <w:rsid w:val="0037696B"/>
    <w:rsid w:val="003769F1"/>
    <w:rsid w:val="00376B3B"/>
    <w:rsid w:val="00376DAA"/>
    <w:rsid w:val="00376E70"/>
    <w:rsid w:val="00376FA0"/>
    <w:rsid w:val="003771A1"/>
    <w:rsid w:val="0037749D"/>
    <w:rsid w:val="0037751A"/>
    <w:rsid w:val="003777B0"/>
    <w:rsid w:val="00377AB2"/>
    <w:rsid w:val="00377AE7"/>
    <w:rsid w:val="00377D90"/>
    <w:rsid w:val="00377F54"/>
    <w:rsid w:val="00377FAD"/>
    <w:rsid w:val="0037A439"/>
    <w:rsid w:val="00380205"/>
    <w:rsid w:val="00380537"/>
    <w:rsid w:val="00380555"/>
    <w:rsid w:val="00380B8D"/>
    <w:rsid w:val="00380C8A"/>
    <w:rsid w:val="00380EB1"/>
    <w:rsid w:val="00380F48"/>
    <w:rsid w:val="00381046"/>
    <w:rsid w:val="003818CB"/>
    <w:rsid w:val="00381A8B"/>
    <w:rsid w:val="00381DCD"/>
    <w:rsid w:val="00382149"/>
    <w:rsid w:val="003821F1"/>
    <w:rsid w:val="0038224E"/>
    <w:rsid w:val="003826CC"/>
    <w:rsid w:val="0038286A"/>
    <w:rsid w:val="00382889"/>
    <w:rsid w:val="00382BD0"/>
    <w:rsid w:val="00382CD0"/>
    <w:rsid w:val="00382D4D"/>
    <w:rsid w:val="00382EC5"/>
    <w:rsid w:val="00382FDD"/>
    <w:rsid w:val="003830C2"/>
    <w:rsid w:val="00383535"/>
    <w:rsid w:val="003838EB"/>
    <w:rsid w:val="00383907"/>
    <w:rsid w:val="003839D5"/>
    <w:rsid w:val="003839E9"/>
    <w:rsid w:val="00383DE5"/>
    <w:rsid w:val="00384105"/>
    <w:rsid w:val="0038451B"/>
    <w:rsid w:val="003850A4"/>
    <w:rsid w:val="003851FA"/>
    <w:rsid w:val="0038535D"/>
    <w:rsid w:val="00385438"/>
    <w:rsid w:val="0038589B"/>
    <w:rsid w:val="00385919"/>
    <w:rsid w:val="00385BC7"/>
    <w:rsid w:val="00386119"/>
    <w:rsid w:val="0038614B"/>
    <w:rsid w:val="003863E3"/>
    <w:rsid w:val="0038668F"/>
    <w:rsid w:val="00386719"/>
    <w:rsid w:val="003867A2"/>
    <w:rsid w:val="003868AA"/>
    <w:rsid w:val="00386A1B"/>
    <w:rsid w:val="00386C28"/>
    <w:rsid w:val="00386C62"/>
    <w:rsid w:val="00386C80"/>
    <w:rsid w:val="0038701A"/>
    <w:rsid w:val="00387146"/>
    <w:rsid w:val="00387494"/>
    <w:rsid w:val="003875A3"/>
    <w:rsid w:val="0038769F"/>
    <w:rsid w:val="00387801"/>
    <w:rsid w:val="00387813"/>
    <w:rsid w:val="003878D5"/>
    <w:rsid w:val="00387A6B"/>
    <w:rsid w:val="00387E33"/>
    <w:rsid w:val="00388343"/>
    <w:rsid w:val="00390080"/>
    <w:rsid w:val="00390278"/>
    <w:rsid w:val="00390440"/>
    <w:rsid w:val="00390565"/>
    <w:rsid w:val="0039061C"/>
    <w:rsid w:val="003913FD"/>
    <w:rsid w:val="0039176A"/>
    <w:rsid w:val="00391AD2"/>
    <w:rsid w:val="00391CA6"/>
    <w:rsid w:val="003920C5"/>
    <w:rsid w:val="00392118"/>
    <w:rsid w:val="00392268"/>
    <w:rsid w:val="00392DDE"/>
    <w:rsid w:val="00392ECF"/>
    <w:rsid w:val="00392F35"/>
    <w:rsid w:val="00393061"/>
    <w:rsid w:val="0039317F"/>
    <w:rsid w:val="00393203"/>
    <w:rsid w:val="00393852"/>
    <w:rsid w:val="00393B98"/>
    <w:rsid w:val="00393C5D"/>
    <w:rsid w:val="00393F24"/>
    <w:rsid w:val="00393F4F"/>
    <w:rsid w:val="0039410E"/>
    <w:rsid w:val="00394267"/>
    <w:rsid w:val="003946E1"/>
    <w:rsid w:val="003946EE"/>
    <w:rsid w:val="0039479A"/>
    <w:rsid w:val="00394922"/>
    <w:rsid w:val="00394E79"/>
    <w:rsid w:val="003950A0"/>
    <w:rsid w:val="003950B8"/>
    <w:rsid w:val="003954A9"/>
    <w:rsid w:val="0039550D"/>
    <w:rsid w:val="0039576D"/>
    <w:rsid w:val="003957A2"/>
    <w:rsid w:val="003965BC"/>
    <w:rsid w:val="003968B3"/>
    <w:rsid w:val="00396A25"/>
    <w:rsid w:val="00396A8C"/>
    <w:rsid w:val="00396AE2"/>
    <w:rsid w:val="00396B11"/>
    <w:rsid w:val="00396B33"/>
    <w:rsid w:val="00396FE6"/>
    <w:rsid w:val="00397367"/>
    <w:rsid w:val="0039740E"/>
    <w:rsid w:val="003974FB"/>
    <w:rsid w:val="003975D3"/>
    <w:rsid w:val="00397894"/>
    <w:rsid w:val="00397BF7"/>
    <w:rsid w:val="00397E03"/>
    <w:rsid w:val="00397E1C"/>
    <w:rsid w:val="003A0268"/>
    <w:rsid w:val="003A0448"/>
    <w:rsid w:val="003A052B"/>
    <w:rsid w:val="003A056A"/>
    <w:rsid w:val="003A0ECB"/>
    <w:rsid w:val="003A0EDD"/>
    <w:rsid w:val="003A1362"/>
    <w:rsid w:val="003A1404"/>
    <w:rsid w:val="003A17BD"/>
    <w:rsid w:val="003A1F5E"/>
    <w:rsid w:val="003A22F8"/>
    <w:rsid w:val="003A257A"/>
    <w:rsid w:val="003A2649"/>
    <w:rsid w:val="003A2893"/>
    <w:rsid w:val="003A29F7"/>
    <w:rsid w:val="003A2D5B"/>
    <w:rsid w:val="003A36F8"/>
    <w:rsid w:val="003A3BEA"/>
    <w:rsid w:val="003A3D0C"/>
    <w:rsid w:val="003A417D"/>
    <w:rsid w:val="003A41B3"/>
    <w:rsid w:val="003A43E6"/>
    <w:rsid w:val="003A4ABE"/>
    <w:rsid w:val="003A4B93"/>
    <w:rsid w:val="003A4F67"/>
    <w:rsid w:val="003A53F7"/>
    <w:rsid w:val="003A5688"/>
    <w:rsid w:val="003A581D"/>
    <w:rsid w:val="003A5ADA"/>
    <w:rsid w:val="003A5C33"/>
    <w:rsid w:val="003A5D9A"/>
    <w:rsid w:val="003A6063"/>
    <w:rsid w:val="003A638B"/>
    <w:rsid w:val="003A64D0"/>
    <w:rsid w:val="003A6829"/>
    <w:rsid w:val="003A6864"/>
    <w:rsid w:val="003A69ED"/>
    <w:rsid w:val="003A6B73"/>
    <w:rsid w:val="003A6E44"/>
    <w:rsid w:val="003A7383"/>
    <w:rsid w:val="003A75BE"/>
    <w:rsid w:val="003A7A11"/>
    <w:rsid w:val="003A7AC1"/>
    <w:rsid w:val="003A7C2D"/>
    <w:rsid w:val="003A7CF0"/>
    <w:rsid w:val="003A7D5B"/>
    <w:rsid w:val="003A7F67"/>
    <w:rsid w:val="003AF084"/>
    <w:rsid w:val="003B01F2"/>
    <w:rsid w:val="003B03B7"/>
    <w:rsid w:val="003B079F"/>
    <w:rsid w:val="003B08FE"/>
    <w:rsid w:val="003B0F98"/>
    <w:rsid w:val="003B12F1"/>
    <w:rsid w:val="003B1427"/>
    <w:rsid w:val="003B1913"/>
    <w:rsid w:val="003B1C19"/>
    <w:rsid w:val="003B20A8"/>
    <w:rsid w:val="003B21AD"/>
    <w:rsid w:val="003B21EB"/>
    <w:rsid w:val="003B2251"/>
    <w:rsid w:val="003B25A4"/>
    <w:rsid w:val="003B25D1"/>
    <w:rsid w:val="003B2854"/>
    <w:rsid w:val="003B2D3D"/>
    <w:rsid w:val="003B2E45"/>
    <w:rsid w:val="003B2F62"/>
    <w:rsid w:val="003B3015"/>
    <w:rsid w:val="003B30AC"/>
    <w:rsid w:val="003B371A"/>
    <w:rsid w:val="003B39B7"/>
    <w:rsid w:val="003B3BB2"/>
    <w:rsid w:val="003B3F75"/>
    <w:rsid w:val="003B412E"/>
    <w:rsid w:val="003B4512"/>
    <w:rsid w:val="003B4B05"/>
    <w:rsid w:val="003B4C86"/>
    <w:rsid w:val="003B5057"/>
    <w:rsid w:val="003B5434"/>
    <w:rsid w:val="003B5686"/>
    <w:rsid w:val="003B5E1E"/>
    <w:rsid w:val="003B5FD8"/>
    <w:rsid w:val="003B6081"/>
    <w:rsid w:val="003B634A"/>
    <w:rsid w:val="003B64B7"/>
    <w:rsid w:val="003B64E7"/>
    <w:rsid w:val="003B65F7"/>
    <w:rsid w:val="003B69AA"/>
    <w:rsid w:val="003B6B33"/>
    <w:rsid w:val="003B6CC5"/>
    <w:rsid w:val="003B6F01"/>
    <w:rsid w:val="003B6F1A"/>
    <w:rsid w:val="003B6F89"/>
    <w:rsid w:val="003B72B9"/>
    <w:rsid w:val="003B7320"/>
    <w:rsid w:val="003B7735"/>
    <w:rsid w:val="003C018C"/>
    <w:rsid w:val="003C024F"/>
    <w:rsid w:val="003C02F1"/>
    <w:rsid w:val="003C034C"/>
    <w:rsid w:val="003C0362"/>
    <w:rsid w:val="003C04A3"/>
    <w:rsid w:val="003C0532"/>
    <w:rsid w:val="003C054A"/>
    <w:rsid w:val="003C09E0"/>
    <w:rsid w:val="003C13B7"/>
    <w:rsid w:val="003C153A"/>
    <w:rsid w:val="003C1CEB"/>
    <w:rsid w:val="003C1D30"/>
    <w:rsid w:val="003C1FDD"/>
    <w:rsid w:val="003C239F"/>
    <w:rsid w:val="003C2588"/>
    <w:rsid w:val="003C27BB"/>
    <w:rsid w:val="003C294B"/>
    <w:rsid w:val="003C2A6B"/>
    <w:rsid w:val="003C3214"/>
    <w:rsid w:val="003C33A8"/>
    <w:rsid w:val="003C345D"/>
    <w:rsid w:val="003C34FE"/>
    <w:rsid w:val="003C3851"/>
    <w:rsid w:val="003C3CE2"/>
    <w:rsid w:val="003C3D22"/>
    <w:rsid w:val="003C4132"/>
    <w:rsid w:val="003C4548"/>
    <w:rsid w:val="003C4C03"/>
    <w:rsid w:val="003C516F"/>
    <w:rsid w:val="003C51CD"/>
    <w:rsid w:val="003C55BA"/>
    <w:rsid w:val="003C56BD"/>
    <w:rsid w:val="003C5C96"/>
    <w:rsid w:val="003C5EAF"/>
    <w:rsid w:val="003C6134"/>
    <w:rsid w:val="003C6202"/>
    <w:rsid w:val="003C6433"/>
    <w:rsid w:val="003C6AAC"/>
    <w:rsid w:val="003C77AB"/>
    <w:rsid w:val="003C7803"/>
    <w:rsid w:val="003C7DCB"/>
    <w:rsid w:val="003D050A"/>
    <w:rsid w:val="003D0730"/>
    <w:rsid w:val="003D0992"/>
    <w:rsid w:val="003D0C23"/>
    <w:rsid w:val="003D0CCE"/>
    <w:rsid w:val="003D0E4C"/>
    <w:rsid w:val="003D12EE"/>
    <w:rsid w:val="003D15FA"/>
    <w:rsid w:val="003D1671"/>
    <w:rsid w:val="003D16A5"/>
    <w:rsid w:val="003D1C53"/>
    <w:rsid w:val="003D1E0A"/>
    <w:rsid w:val="003D27CA"/>
    <w:rsid w:val="003D2A82"/>
    <w:rsid w:val="003D2E62"/>
    <w:rsid w:val="003D3445"/>
    <w:rsid w:val="003D35A8"/>
    <w:rsid w:val="003D390E"/>
    <w:rsid w:val="003D3A0D"/>
    <w:rsid w:val="003D3D01"/>
    <w:rsid w:val="003D4052"/>
    <w:rsid w:val="003D40C1"/>
    <w:rsid w:val="003D411E"/>
    <w:rsid w:val="003D4440"/>
    <w:rsid w:val="003D4610"/>
    <w:rsid w:val="003D4F00"/>
    <w:rsid w:val="003D5138"/>
    <w:rsid w:val="003D517C"/>
    <w:rsid w:val="003D541F"/>
    <w:rsid w:val="003D56DB"/>
    <w:rsid w:val="003D58C9"/>
    <w:rsid w:val="003D5AC2"/>
    <w:rsid w:val="003D5B9A"/>
    <w:rsid w:val="003D5BA8"/>
    <w:rsid w:val="003D5EB9"/>
    <w:rsid w:val="003D6173"/>
    <w:rsid w:val="003D64A7"/>
    <w:rsid w:val="003D65CC"/>
    <w:rsid w:val="003D6E09"/>
    <w:rsid w:val="003D6FE6"/>
    <w:rsid w:val="003D7361"/>
    <w:rsid w:val="003D7700"/>
    <w:rsid w:val="003D7AF5"/>
    <w:rsid w:val="003E011E"/>
    <w:rsid w:val="003E015C"/>
    <w:rsid w:val="003E0BDF"/>
    <w:rsid w:val="003E0EBE"/>
    <w:rsid w:val="003E12FD"/>
    <w:rsid w:val="003E136C"/>
    <w:rsid w:val="003E13FD"/>
    <w:rsid w:val="003E1461"/>
    <w:rsid w:val="003E1995"/>
    <w:rsid w:val="003E1ABE"/>
    <w:rsid w:val="003E2977"/>
    <w:rsid w:val="003E2B60"/>
    <w:rsid w:val="003E2F6E"/>
    <w:rsid w:val="003E36DD"/>
    <w:rsid w:val="003E3CC1"/>
    <w:rsid w:val="003E3DF4"/>
    <w:rsid w:val="003E3F46"/>
    <w:rsid w:val="003E40B2"/>
    <w:rsid w:val="003E40DB"/>
    <w:rsid w:val="003E4217"/>
    <w:rsid w:val="003E4712"/>
    <w:rsid w:val="003E4B08"/>
    <w:rsid w:val="003E4D6E"/>
    <w:rsid w:val="003E4F2D"/>
    <w:rsid w:val="003E4F99"/>
    <w:rsid w:val="003E508D"/>
    <w:rsid w:val="003E510B"/>
    <w:rsid w:val="003E524F"/>
    <w:rsid w:val="003E5560"/>
    <w:rsid w:val="003E5AF5"/>
    <w:rsid w:val="003E5B1D"/>
    <w:rsid w:val="003E5D94"/>
    <w:rsid w:val="003E5FC0"/>
    <w:rsid w:val="003E625B"/>
    <w:rsid w:val="003E6320"/>
    <w:rsid w:val="003E639B"/>
    <w:rsid w:val="003E6569"/>
    <w:rsid w:val="003E65B2"/>
    <w:rsid w:val="003E6667"/>
    <w:rsid w:val="003E6833"/>
    <w:rsid w:val="003E6C86"/>
    <w:rsid w:val="003E6D26"/>
    <w:rsid w:val="003E6FCC"/>
    <w:rsid w:val="003E7279"/>
    <w:rsid w:val="003E7338"/>
    <w:rsid w:val="003E7380"/>
    <w:rsid w:val="003E744F"/>
    <w:rsid w:val="003E765E"/>
    <w:rsid w:val="003E76AE"/>
    <w:rsid w:val="003E76C1"/>
    <w:rsid w:val="003E76D9"/>
    <w:rsid w:val="003E796D"/>
    <w:rsid w:val="003E7EE0"/>
    <w:rsid w:val="003F00BD"/>
    <w:rsid w:val="003F010E"/>
    <w:rsid w:val="003F011F"/>
    <w:rsid w:val="003F0134"/>
    <w:rsid w:val="003F029E"/>
    <w:rsid w:val="003F02D8"/>
    <w:rsid w:val="003F0516"/>
    <w:rsid w:val="003F1062"/>
    <w:rsid w:val="003F162D"/>
    <w:rsid w:val="003F1C32"/>
    <w:rsid w:val="003F1C74"/>
    <w:rsid w:val="003F1F68"/>
    <w:rsid w:val="003F2472"/>
    <w:rsid w:val="003F26AB"/>
    <w:rsid w:val="003F2A9F"/>
    <w:rsid w:val="003F2B06"/>
    <w:rsid w:val="003F2B8F"/>
    <w:rsid w:val="003F2C35"/>
    <w:rsid w:val="003F2EF6"/>
    <w:rsid w:val="003F2F6A"/>
    <w:rsid w:val="003F2FD7"/>
    <w:rsid w:val="003F3416"/>
    <w:rsid w:val="003F3424"/>
    <w:rsid w:val="003F38BE"/>
    <w:rsid w:val="003F3EEA"/>
    <w:rsid w:val="003F3F82"/>
    <w:rsid w:val="003F40BB"/>
    <w:rsid w:val="003F4103"/>
    <w:rsid w:val="003F4432"/>
    <w:rsid w:val="003F4502"/>
    <w:rsid w:val="003F4518"/>
    <w:rsid w:val="003F4560"/>
    <w:rsid w:val="003F48CD"/>
    <w:rsid w:val="003F4914"/>
    <w:rsid w:val="003F51E2"/>
    <w:rsid w:val="003F54D6"/>
    <w:rsid w:val="003F562F"/>
    <w:rsid w:val="003F5666"/>
    <w:rsid w:val="003F59A6"/>
    <w:rsid w:val="003F5AC2"/>
    <w:rsid w:val="003F5AF0"/>
    <w:rsid w:val="003F5C8C"/>
    <w:rsid w:val="003F5D50"/>
    <w:rsid w:val="003F5D57"/>
    <w:rsid w:val="003F5D68"/>
    <w:rsid w:val="003F5D89"/>
    <w:rsid w:val="003F5DEE"/>
    <w:rsid w:val="003F653B"/>
    <w:rsid w:val="003F653E"/>
    <w:rsid w:val="003F71F8"/>
    <w:rsid w:val="003F74A5"/>
    <w:rsid w:val="003F75C2"/>
    <w:rsid w:val="003F76CF"/>
    <w:rsid w:val="003F779A"/>
    <w:rsid w:val="003F7D22"/>
    <w:rsid w:val="003F7D41"/>
    <w:rsid w:val="003F7D5A"/>
    <w:rsid w:val="003F7F67"/>
    <w:rsid w:val="004000B7"/>
    <w:rsid w:val="004005BC"/>
    <w:rsid w:val="004005D5"/>
    <w:rsid w:val="00400AD3"/>
    <w:rsid w:val="00400B0C"/>
    <w:rsid w:val="00400CD0"/>
    <w:rsid w:val="00400F1A"/>
    <w:rsid w:val="004010D9"/>
    <w:rsid w:val="0040148C"/>
    <w:rsid w:val="004014B7"/>
    <w:rsid w:val="00401C0C"/>
    <w:rsid w:val="00401D60"/>
    <w:rsid w:val="00401ECA"/>
    <w:rsid w:val="00402785"/>
    <w:rsid w:val="0040278D"/>
    <w:rsid w:val="0040286F"/>
    <w:rsid w:val="00402AB2"/>
    <w:rsid w:val="00402C74"/>
    <w:rsid w:val="0040325C"/>
    <w:rsid w:val="00403290"/>
    <w:rsid w:val="00403294"/>
    <w:rsid w:val="0040345C"/>
    <w:rsid w:val="0040396B"/>
    <w:rsid w:val="00403C4D"/>
    <w:rsid w:val="00403FEF"/>
    <w:rsid w:val="0040417A"/>
    <w:rsid w:val="00404719"/>
    <w:rsid w:val="004047EE"/>
    <w:rsid w:val="00404D26"/>
    <w:rsid w:val="004053C1"/>
    <w:rsid w:val="004053C2"/>
    <w:rsid w:val="00405711"/>
    <w:rsid w:val="00405855"/>
    <w:rsid w:val="00405879"/>
    <w:rsid w:val="00405884"/>
    <w:rsid w:val="00405959"/>
    <w:rsid w:val="00405C43"/>
    <w:rsid w:val="00405D3D"/>
    <w:rsid w:val="00405ECE"/>
    <w:rsid w:val="00405ED9"/>
    <w:rsid w:val="00405F6B"/>
    <w:rsid w:val="00406996"/>
    <w:rsid w:val="00406E91"/>
    <w:rsid w:val="00407074"/>
    <w:rsid w:val="004072D0"/>
    <w:rsid w:val="004073F4"/>
    <w:rsid w:val="00407507"/>
    <w:rsid w:val="004075AB"/>
    <w:rsid w:val="004079CC"/>
    <w:rsid w:val="004079EC"/>
    <w:rsid w:val="00407A30"/>
    <w:rsid w:val="00407C8F"/>
    <w:rsid w:val="00407DD4"/>
    <w:rsid w:val="00407E1A"/>
    <w:rsid w:val="00407FD9"/>
    <w:rsid w:val="00407FE7"/>
    <w:rsid w:val="004103B1"/>
    <w:rsid w:val="0041044A"/>
    <w:rsid w:val="00410792"/>
    <w:rsid w:val="00410B7C"/>
    <w:rsid w:val="00410D9C"/>
    <w:rsid w:val="00410DC9"/>
    <w:rsid w:val="00410F72"/>
    <w:rsid w:val="00411650"/>
    <w:rsid w:val="00411AF0"/>
    <w:rsid w:val="00411B74"/>
    <w:rsid w:val="00411E15"/>
    <w:rsid w:val="00411F08"/>
    <w:rsid w:val="0041201C"/>
    <w:rsid w:val="004120C4"/>
    <w:rsid w:val="004123FF"/>
    <w:rsid w:val="004125EA"/>
    <w:rsid w:val="00412849"/>
    <w:rsid w:val="00412855"/>
    <w:rsid w:val="00412A26"/>
    <w:rsid w:val="00412C68"/>
    <w:rsid w:val="00412D10"/>
    <w:rsid w:val="00412E7D"/>
    <w:rsid w:val="00412F1C"/>
    <w:rsid w:val="00412F34"/>
    <w:rsid w:val="00413434"/>
    <w:rsid w:val="004137EB"/>
    <w:rsid w:val="00413974"/>
    <w:rsid w:val="00413AEE"/>
    <w:rsid w:val="00413CB1"/>
    <w:rsid w:val="00413EDB"/>
    <w:rsid w:val="00413F8E"/>
    <w:rsid w:val="004140A8"/>
    <w:rsid w:val="0041418E"/>
    <w:rsid w:val="0041431D"/>
    <w:rsid w:val="0041435A"/>
    <w:rsid w:val="004143EB"/>
    <w:rsid w:val="00414484"/>
    <w:rsid w:val="004145D9"/>
    <w:rsid w:val="0041474B"/>
    <w:rsid w:val="00414B8E"/>
    <w:rsid w:val="00414C09"/>
    <w:rsid w:val="00414DD3"/>
    <w:rsid w:val="004150B7"/>
    <w:rsid w:val="0041528F"/>
    <w:rsid w:val="004154E9"/>
    <w:rsid w:val="004155A1"/>
    <w:rsid w:val="0041592C"/>
    <w:rsid w:val="00415B2B"/>
    <w:rsid w:val="00415B76"/>
    <w:rsid w:val="00415D03"/>
    <w:rsid w:val="0041633C"/>
    <w:rsid w:val="0041649A"/>
    <w:rsid w:val="00416A4C"/>
    <w:rsid w:val="00416A5B"/>
    <w:rsid w:val="00416B50"/>
    <w:rsid w:val="00416CE3"/>
    <w:rsid w:val="00416DBA"/>
    <w:rsid w:val="004171C0"/>
    <w:rsid w:val="00417599"/>
    <w:rsid w:val="004175DC"/>
    <w:rsid w:val="00417D02"/>
    <w:rsid w:val="0042083E"/>
    <w:rsid w:val="00420A15"/>
    <w:rsid w:val="00420C82"/>
    <w:rsid w:val="00421162"/>
    <w:rsid w:val="004218E2"/>
    <w:rsid w:val="00421BFF"/>
    <w:rsid w:val="00421C29"/>
    <w:rsid w:val="004229C2"/>
    <w:rsid w:val="00422CD2"/>
    <w:rsid w:val="00422D6F"/>
    <w:rsid w:val="00422DB3"/>
    <w:rsid w:val="00422E81"/>
    <w:rsid w:val="00422F59"/>
    <w:rsid w:val="00423019"/>
    <w:rsid w:val="0042316A"/>
    <w:rsid w:val="004234CB"/>
    <w:rsid w:val="00423A98"/>
    <w:rsid w:val="00423C14"/>
    <w:rsid w:val="00423D88"/>
    <w:rsid w:val="00423F58"/>
    <w:rsid w:val="00423F83"/>
    <w:rsid w:val="00424029"/>
    <w:rsid w:val="00424078"/>
    <w:rsid w:val="004244F0"/>
    <w:rsid w:val="00424794"/>
    <w:rsid w:val="00424B0F"/>
    <w:rsid w:val="00424EBE"/>
    <w:rsid w:val="00424FA4"/>
    <w:rsid w:val="00425007"/>
    <w:rsid w:val="00425352"/>
    <w:rsid w:val="0042573B"/>
    <w:rsid w:val="004258A8"/>
    <w:rsid w:val="004260E0"/>
    <w:rsid w:val="00426147"/>
    <w:rsid w:val="00426633"/>
    <w:rsid w:val="00426A51"/>
    <w:rsid w:val="00426E26"/>
    <w:rsid w:val="00427237"/>
    <w:rsid w:val="00427305"/>
    <w:rsid w:val="00427490"/>
    <w:rsid w:val="00427499"/>
    <w:rsid w:val="00427702"/>
    <w:rsid w:val="00427969"/>
    <w:rsid w:val="004279F8"/>
    <w:rsid w:val="00427C84"/>
    <w:rsid w:val="00430169"/>
    <w:rsid w:val="00430807"/>
    <w:rsid w:val="00430A88"/>
    <w:rsid w:val="00430B8C"/>
    <w:rsid w:val="00430B99"/>
    <w:rsid w:val="00431093"/>
    <w:rsid w:val="004310B1"/>
    <w:rsid w:val="004310C9"/>
    <w:rsid w:val="00431107"/>
    <w:rsid w:val="004313F6"/>
    <w:rsid w:val="0043145B"/>
    <w:rsid w:val="00431CCB"/>
    <w:rsid w:val="00431D3D"/>
    <w:rsid w:val="00432100"/>
    <w:rsid w:val="0043277E"/>
    <w:rsid w:val="00432889"/>
    <w:rsid w:val="00432949"/>
    <w:rsid w:val="00432CFC"/>
    <w:rsid w:val="0043345C"/>
    <w:rsid w:val="004336DB"/>
    <w:rsid w:val="00433841"/>
    <w:rsid w:val="00433866"/>
    <w:rsid w:val="00433989"/>
    <w:rsid w:val="00433B84"/>
    <w:rsid w:val="00433B9E"/>
    <w:rsid w:val="00433BA8"/>
    <w:rsid w:val="00433DFB"/>
    <w:rsid w:val="00433F8C"/>
    <w:rsid w:val="004344C1"/>
    <w:rsid w:val="004344DD"/>
    <w:rsid w:val="00434748"/>
    <w:rsid w:val="004348E8"/>
    <w:rsid w:val="00434ADA"/>
    <w:rsid w:val="00434B79"/>
    <w:rsid w:val="00434E56"/>
    <w:rsid w:val="00434F83"/>
    <w:rsid w:val="004352F0"/>
    <w:rsid w:val="004355D8"/>
    <w:rsid w:val="0043577D"/>
    <w:rsid w:val="00435BCE"/>
    <w:rsid w:val="00435D61"/>
    <w:rsid w:val="00436381"/>
    <w:rsid w:val="00436405"/>
    <w:rsid w:val="00436602"/>
    <w:rsid w:val="00436656"/>
    <w:rsid w:val="004368FB"/>
    <w:rsid w:val="00436B3A"/>
    <w:rsid w:val="00436BEA"/>
    <w:rsid w:val="00436D4F"/>
    <w:rsid w:val="00436FD3"/>
    <w:rsid w:val="0043716E"/>
    <w:rsid w:val="004374CF"/>
    <w:rsid w:val="0043758E"/>
    <w:rsid w:val="004375E6"/>
    <w:rsid w:val="00437ABE"/>
    <w:rsid w:val="004409B1"/>
    <w:rsid w:val="00440A90"/>
    <w:rsid w:val="0044102C"/>
    <w:rsid w:val="004410CD"/>
    <w:rsid w:val="00441250"/>
    <w:rsid w:val="004418C7"/>
    <w:rsid w:val="00441F80"/>
    <w:rsid w:val="00442142"/>
    <w:rsid w:val="00442244"/>
    <w:rsid w:val="0044248F"/>
    <w:rsid w:val="004424BE"/>
    <w:rsid w:val="004425D9"/>
    <w:rsid w:val="00443020"/>
    <w:rsid w:val="004433A0"/>
    <w:rsid w:val="004434F8"/>
    <w:rsid w:val="004435E4"/>
    <w:rsid w:val="0044361E"/>
    <w:rsid w:val="0044377F"/>
    <w:rsid w:val="0044378F"/>
    <w:rsid w:val="00443AE9"/>
    <w:rsid w:val="00443CAD"/>
    <w:rsid w:val="00443F01"/>
    <w:rsid w:val="004440B8"/>
    <w:rsid w:val="0044422F"/>
    <w:rsid w:val="00444566"/>
    <w:rsid w:val="00444742"/>
    <w:rsid w:val="00444754"/>
    <w:rsid w:val="00444EFA"/>
    <w:rsid w:val="00444F6C"/>
    <w:rsid w:val="00444F8A"/>
    <w:rsid w:val="0044529F"/>
    <w:rsid w:val="0044535E"/>
    <w:rsid w:val="00445362"/>
    <w:rsid w:val="004463F5"/>
    <w:rsid w:val="00446490"/>
    <w:rsid w:val="0044657C"/>
    <w:rsid w:val="00446A6A"/>
    <w:rsid w:val="00446B2D"/>
    <w:rsid w:val="00446B74"/>
    <w:rsid w:val="00446E22"/>
    <w:rsid w:val="00446EA9"/>
    <w:rsid w:val="00447058"/>
    <w:rsid w:val="0044717E"/>
    <w:rsid w:val="00447350"/>
    <w:rsid w:val="004474A1"/>
    <w:rsid w:val="00447AC5"/>
    <w:rsid w:val="00447C3A"/>
    <w:rsid w:val="00447CBE"/>
    <w:rsid w:val="00447CCB"/>
    <w:rsid w:val="00447DA7"/>
    <w:rsid w:val="00448ECB"/>
    <w:rsid w:val="0045009D"/>
    <w:rsid w:val="0045015B"/>
    <w:rsid w:val="004501D8"/>
    <w:rsid w:val="0045024B"/>
    <w:rsid w:val="0045038E"/>
    <w:rsid w:val="00450685"/>
    <w:rsid w:val="004506E0"/>
    <w:rsid w:val="00450927"/>
    <w:rsid w:val="00450EAA"/>
    <w:rsid w:val="0045134E"/>
    <w:rsid w:val="00451377"/>
    <w:rsid w:val="00451504"/>
    <w:rsid w:val="00451A1A"/>
    <w:rsid w:val="00451CB0"/>
    <w:rsid w:val="00451DB5"/>
    <w:rsid w:val="00451E7B"/>
    <w:rsid w:val="00451F06"/>
    <w:rsid w:val="004520BE"/>
    <w:rsid w:val="004526EF"/>
    <w:rsid w:val="0045273E"/>
    <w:rsid w:val="00452774"/>
    <w:rsid w:val="004528DB"/>
    <w:rsid w:val="00452F89"/>
    <w:rsid w:val="004532B5"/>
    <w:rsid w:val="004532F2"/>
    <w:rsid w:val="004534E8"/>
    <w:rsid w:val="004536B8"/>
    <w:rsid w:val="00453838"/>
    <w:rsid w:val="00453918"/>
    <w:rsid w:val="0045398F"/>
    <w:rsid w:val="00453A35"/>
    <w:rsid w:val="00453C24"/>
    <w:rsid w:val="00453C86"/>
    <w:rsid w:val="00453F60"/>
    <w:rsid w:val="00454252"/>
    <w:rsid w:val="004543B9"/>
    <w:rsid w:val="00454458"/>
    <w:rsid w:val="00454504"/>
    <w:rsid w:val="004548A9"/>
    <w:rsid w:val="004549A9"/>
    <w:rsid w:val="00454FD7"/>
    <w:rsid w:val="004550FD"/>
    <w:rsid w:val="004552BB"/>
    <w:rsid w:val="004552E2"/>
    <w:rsid w:val="0045552B"/>
    <w:rsid w:val="00455547"/>
    <w:rsid w:val="00455777"/>
    <w:rsid w:val="004559D7"/>
    <w:rsid w:val="00455B15"/>
    <w:rsid w:val="00455F18"/>
    <w:rsid w:val="00456333"/>
    <w:rsid w:val="004564A7"/>
    <w:rsid w:val="004566FE"/>
    <w:rsid w:val="004568CC"/>
    <w:rsid w:val="00456913"/>
    <w:rsid w:val="00456A8D"/>
    <w:rsid w:val="00456F09"/>
    <w:rsid w:val="0045723F"/>
    <w:rsid w:val="00457400"/>
    <w:rsid w:val="0045769E"/>
    <w:rsid w:val="00457838"/>
    <w:rsid w:val="004600C9"/>
    <w:rsid w:val="0046030E"/>
    <w:rsid w:val="00460371"/>
    <w:rsid w:val="0046050B"/>
    <w:rsid w:val="00460625"/>
    <w:rsid w:val="004606B8"/>
    <w:rsid w:val="00460A2B"/>
    <w:rsid w:val="00460CA7"/>
    <w:rsid w:val="00460EB4"/>
    <w:rsid w:val="00460FB1"/>
    <w:rsid w:val="004610B8"/>
    <w:rsid w:val="0046135A"/>
    <w:rsid w:val="00461414"/>
    <w:rsid w:val="0046160E"/>
    <w:rsid w:val="00461851"/>
    <w:rsid w:val="00461C74"/>
    <w:rsid w:val="00461EB2"/>
    <w:rsid w:val="00461F54"/>
    <w:rsid w:val="00462266"/>
    <w:rsid w:val="004622DD"/>
    <w:rsid w:val="0046233A"/>
    <w:rsid w:val="004626AD"/>
    <w:rsid w:val="004628BC"/>
    <w:rsid w:val="004628F6"/>
    <w:rsid w:val="004629F2"/>
    <w:rsid w:val="00462B47"/>
    <w:rsid w:val="00463034"/>
    <w:rsid w:val="0046329C"/>
    <w:rsid w:val="00463B9A"/>
    <w:rsid w:val="00463C22"/>
    <w:rsid w:val="00463CB2"/>
    <w:rsid w:val="00463E79"/>
    <w:rsid w:val="004640B6"/>
    <w:rsid w:val="00464385"/>
    <w:rsid w:val="0046438D"/>
    <w:rsid w:val="0046471B"/>
    <w:rsid w:val="00464853"/>
    <w:rsid w:val="00464C9D"/>
    <w:rsid w:val="00464F4B"/>
    <w:rsid w:val="00465185"/>
    <w:rsid w:val="004655AE"/>
    <w:rsid w:val="00465B61"/>
    <w:rsid w:val="00465CD7"/>
    <w:rsid w:val="00465D8E"/>
    <w:rsid w:val="00465E29"/>
    <w:rsid w:val="00465E42"/>
    <w:rsid w:val="00465FDE"/>
    <w:rsid w:val="0046676E"/>
    <w:rsid w:val="00466A47"/>
    <w:rsid w:val="00466A9F"/>
    <w:rsid w:val="00466AF8"/>
    <w:rsid w:val="00466B41"/>
    <w:rsid w:val="00466BA4"/>
    <w:rsid w:val="00466EC9"/>
    <w:rsid w:val="004673B5"/>
    <w:rsid w:val="00467714"/>
    <w:rsid w:val="0046775C"/>
    <w:rsid w:val="00467918"/>
    <w:rsid w:val="00467993"/>
    <w:rsid w:val="004679C5"/>
    <w:rsid w:val="00467E18"/>
    <w:rsid w:val="00470090"/>
    <w:rsid w:val="0047011A"/>
    <w:rsid w:val="00470186"/>
    <w:rsid w:val="004703D6"/>
    <w:rsid w:val="0047043A"/>
    <w:rsid w:val="00470578"/>
    <w:rsid w:val="004705FA"/>
    <w:rsid w:val="00470D01"/>
    <w:rsid w:val="00470D12"/>
    <w:rsid w:val="00470F6A"/>
    <w:rsid w:val="004710A0"/>
    <w:rsid w:val="00471269"/>
    <w:rsid w:val="0047144B"/>
    <w:rsid w:val="004717A0"/>
    <w:rsid w:val="00471842"/>
    <w:rsid w:val="00471A0B"/>
    <w:rsid w:val="004724BC"/>
    <w:rsid w:val="00472857"/>
    <w:rsid w:val="004729B0"/>
    <w:rsid w:val="00472B69"/>
    <w:rsid w:val="00472C3D"/>
    <w:rsid w:val="00472DE4"/>
    <w:rsid w:val="00472E90"/>
    <w:rsid w:val="00472F08"/>
    <w:rsid w:val="00472FAC"/>
    <w:rsid w:val="004733C5"/>
    <w:rsid w:val="004737EC"/>
    <w:rsid w:val="00473B59"/>
    <w:rsid w:val="00473CDE"/>
    <w:rsid w:val="00473EC5"/>
    <w:rsid w:val="00473FF7"/>
    <w:rsid w:val="004745A1"/>
    <w:rsid w:val="004746BC"/>
    <w:rsid w:val="0047472E"/>
    <w:rsid w:val="00474C79"/>
    <w:rsid w:val="00474DCB"/>
    <w:rsid w:val="004751A9"/>
    <w:rsid w:val="0047558D"/>
    <w:rsid w:val="00475846"/>
    <w:rsid w:val="004758F7"/>
    <w:rsid w:val="00475903"/>
    <w:rsid w:val="00475DC3"/>
    <w:rsid w:val="00476368"/>
    <w:rsid w:val="004767C6"/>
    <w:rsid w:val="00476839"/>
    <w:rsid w:val="00476AC6"/>
    <w:rsid w:val="00476C51"/>
    <w:rsid w:val="00476DAB"/>
    <w:rsid w:val="00476E5E"/>
    <w:rsid w:val="00477718"/>
    <w:rsid w:val="0047786D"/>
    <w:rsid w:val="00477987"/>
    <w:rsid w:val="00477A37"/>
    <w:rsid w:val="00477FF0"/>
    <w:rsid w:val="0047DE3D"/>
    <w:rsid w:val="00480016"/>
    <w:rsid w:val="00480028"/>
    <w:rsid w:val="0048032B"/>
    <w:rsid w:val="00480C34"/>
    <w:rsid w:val="00480ECB"/>
    <w:rsid w:val="00480EFE"/>
    <w:rsid w:val="00481160"/>
    <w:rsid w:val="004815BC"/>
    <w:rsid w:val="004816F6"/>
    <w:rsid w:val="004817DD"/>
    <w:rsid w:val="00481C34"/>
    <w:rsid w:val="00481DB3"/>
    <w:rsid w:val="00481FB9"/>
    <w:rsid w:val="004824F6"/>
    <w:rsid w:val="0048280E"/>
    <w:rsid w:val="0048287D"/>
    <w:rsid w:val="00482916"/>
    <w:rsid w:val="00482C4F"/>
    <w:rsid w:val="004831D8"/>
    <w:rsid w:val="0048333E"/>
    <w:rsid w:val="0048352C"/>
    <w:rsid w:val="00483597"/>
    <w:rsid w:val="0048368A"/>
    <w:rsid w:val="004838F9"/>
    <w:rsid w:val="0048399D"/>
    <w:rsid w:val="00483A9E"/>
    <w:rsid w:val="00483DC2"/>
    <w:rsid w:val="00483DDF"/>
    <w:rsid w:val="00483E42"/>
    <w:rsid w:val="00483EAE"/>
    <w:rsid w:val="004841CC"/>
    <w:rsid w:val="004842B9"/>
    <w:rsid w:val="0048445D"/>
    <w:rsid w:val="004844F9"/>
    <w:rsid w:val="004845E2"/>
    <w:rsid w:val="00484761"/>
    <w:rsid w:val="00484A45"/>
    <w:rsid w:val="00484D23"/>
    <w:rsid w:val="00484D94"/>
    <w:rsid w:val="00484DEA"/>
    <w:rsid w:val="00484F75"/>
    <w:rsid w:val="00485289"/>
    <w:rsid w:val="004853C5"/>
    <w:rsid w:val="004855B0"/>
    <w:rsid w:val="00485AE8"/>
    <w:rsid w:val="00485EFA"/>
    <w:rsid w:val="00486306"/>
    <w:rsid w:val="0048646E"/>
    <w:rsid w:val="00486657"/>
    <w:rsid w:val="004868EF"/>
    <w:rsid w:val="004868F3"/>
    <w:rsid w:val="00486BCA"/>
    <w:rsid w:val="00486E64"/>
    <w:rsid w:val="00487116"/>
    <w:rsid w:val="00487149"/>
    <w:rsid w:val="00487302"/>
    <w:rsid w:val="004873D2"/>
    <w:rsid w:val="00487537"/>
    <w:rsid w:val="004879A0"/>
    <w:rsid w:val="004879F6"/>
    <w:rsid w:val="00487A61"/>
    <w:rsid w:val="00487AE2"/>
    <w:rsid w:val="00487E5E"/>
    <w:rsid w:val="00490168"/>
    <w:rsid w:val="004902B0"/>
    <w:rsid w:val="00490A3E"/>
    <w:rsid w:val="00490ED2"/>
    <w:rsid w:val="00491246"/>
    <w:rsid w:val="004913FF"/>
    <w:rsid w:val="0049189B"/>
    <w:rsid w:val="00491B01"/>
    <w:rsid w:val="0049207B"/>
    <w:rsid w:val="004921AA"/>
    <w:rsid w:val="004926B7"/>
    <w:rsid w:val="00492914"/>
    <w:rsid w:val="00492B1C"/>
    <w:rsid w:val="00492B77"/>
    <w:rsid w:val="0049361E"/>
    <w:rsid w:val="004937DF"/>
    <w:rsid w:val="00493E43"/>
    <w:rsid w:val="00493F1B"/>
    <w:rsid w:val="00494027"/>
    <w:rsid w:val="00494063"/>
    <w:rsid w:val="0049431B"/>
    <w:rsid w:val="00494D87"/>
    <w:rsid w:val="00494DC0"/>
    <w:rsid w:val="00495E43"/>
    <w:rsid w:val="00495EFB"/>
    <w:rsid w:val="00495F85"/>
    <w:rsid w:val="00496024"/>
    <w:rsid w:val="004966A0"/>
    <w:rsid w:val="0049675B"/>
    <w:rsid w:val="0049695B"/>
    <w:rsid w:val="00496A09"/>
    <w:rsid w:val="00496BC8"/>
    <w:rsid w:val="00496F95"/>
    <w:rsid w:val="00497457"/>
    <w:rsid w:val="004976B4"/>
    <w:rsid w:val="004979E3"/>
    <w:rsid w:val="00497C18"/>
    <w:rsid w:val="00497F4C"/>
    <w:rsid w:val="004A00B5"/>
    <w:rsid w:val="004A021F"/>
    <w:rsid w:val="004A02AA"/>
    <w:rsid w:val="004A032B"/>
    <w:rsid w:val="004A03EE"/>
    <w:rsid w:val="004A0502"/>
    <w:rsid w:val="004A08FF"/>
    <w:rsid w:val="004A0A07"/>
    <w:rsid w:val="004A0DC0"/>
    <w:rsid w:val="004A0EBD"/>
    <w:rsid w:val="004A0F2C"/>
    <w:rsid w:val="004A11D1"/>
    <w:rsid w:val="004A11FF"/>
    <w:rsid w:val="004A1396"/>
    <w:rsid w:val="004A1966"/>
    <w:rsid w:val="004A1E38"/>
    <w:rsid w:val="004A2011"/>
    <w:rsid w:val="004A2087"/>
    <w:rsid w:val="004A21EB"/>
    <w:rsid w:val="004A22C7"/>
    <w:rsid w:val="004A23EE"/>
    <w:rsid w:val="004A25D9"/>
    <w:rsid w:val="004A2820"/>
    <w:rsid w:val="004A294D"/>
    <w:rsid w:val="004A2A3A"/>
    <w:rsid w:val="004A2D8C"/>
    <w:rsid w:val="004A3130"/>
    <w:rsid w:val="004A3649"/>
    <w:rsid w:val="004A3691"/>
    <w:rsid w:val="004A36D7"/>
    <w:rsid w:val="004A36DA"/>
    <w:rsid w:val="004A38B2"/>
    <w:rsid w:val="004A39AF"/>
    <w:rsid w:val="004A3C09"/>
    <w:rsid w:val="004A4307"/>
    <w:rsid w:val="004A4602"/>
    <w:rsid w:val="004A5024"/>
    <w:rsid w:val="004A5FBE"/>
    <w:rsid w:val="004A5FE6"/>
    <w:rsid w:val="004A609F"/>
    <w:rsid w:val="004A61DD"/>
    <w:rsid w:val="004A632E"/>
    <w:rsid w:val="004A66D6"/>
    <w:rsid w:val="004A68C9"/>
    <w:rsid w:val="004A6BD6"/>
    <w:rsid w:val="004A6D13"/>
    <w:rsid w:val="004A6FAB"/>
    <w:rsid w:val="004A724C"/>
    <w:rsid w:val="004A7365"/>
    <w:rsid w:val="004A73FA"/>
    <w:rsid w:val="004A7572"/>
    <w:rsid w:val="004A75B9"/>
    <w:rsid w:val="004A75E9"/>
    <w:rsid w:val="004A7727"/>
    <w:rsid w:val="004A7783"/>
    <w:rsid w:val="004A7817"/>
    <w:rsid w:val="004A7946"/>
    <w:rsid w:val="004A7A53"/>
    <w:rsid w:val="004A7AFF"/>
    <w:rsid w:val="004A7CCF"/>
    <w:rsid w:val="004A7D4F"/>
    <w:rsid w:val="004B0015"/>
    <w:rsid w:val="004B00ED"/>
    <w:rsid w:val="004B0162"/>
    <w:rsid w:val="004B059B"/>
    <w:rsid w:val="004B05EE"/>
    <w:rsid w:val="004B075F"/>
    <w:rsid w:val="004B07B9"/>
    <w:rsid w:val="004B0AF0"/>
    <w:rsid w:val="004B0AF6"/>
    <w:rsid w:val="004B0E63"/>
    <w:rsid w:val="004B0E98"/>
    <w:rsid w:val="004B10FE"/>
    <w:rsid w:val="004B129A"/>
    <w:rsid w:val="004B134B"/>
    <w:rsid w:val="004B17CC"/>
    <w:rsid w:val="004B19F3"/>
    <w:rsid w:val="004B1B37"/>
    <w:rsid w:val="004B231D"/>
    <w:rsid w:val="004B249F"/>
    <w:rsid w:val="004B2AAF"/>
    <w:rsid w:val="004B304A"/>
    <w:rsid w:val="004B3447"/>
    <w:rsid w:val="004B36C2"/>
    <w:rsid w:val="004B387A"/>
    <w:rsid w:val="004B390C"/>
    <w:rsid w:val="004B39DE"/>
    <w:rsid w:val="004B3B7F"/>
    <w:rsid w:val="004B3DEB"/>
    <w:rsid w:val="004B3EC9"/>
    <w:rsid w:val="004B4199"/>
    <w:rsid w:val="004B41C4"/>
    <w:rsid w:val="004B45C6"/>
    <w:rsid w:val="004B4896"/>
    <w:rsid w:val="004B48B6"/>
    <w:rsid w:val="004B4F82"/>
    <w:rsid w:val="004B4F9E"/>
    <w:rsid w:val="004B4FDB"/>
    <w:rsid w:val="004B4FE4"/>
    <w:rsid w:val="004B5054"/>
    <w:rsid w:val="004B5267"/>
    <w:rsid w:val="004B548C"/>
    <w:rsid w:val="004B54DD"/>
    <w:rsid w:val="004B5835"/>
    <w:rsid w:val="004B589C"/>
    <w:rsid w:val="004B5CAF"/>
    <w:rsid w:val="004B6432"/>
    <w:rsid w:val="004B666C"/>
    <w:rsid w:val="004B67B1"/>
    <w:rsid w:val="004B6889"/>
    <w:rsid w:val="004B6D74"/>
    <w:rsid w:val="004B72C8"/>
    <w:rsid w:val="004B73C6"/>
    <w:rsid w:val="004B76ED"/>
    <w:rsid w:val="004B77C9"/>
    <w:rsid w:val="004B7A9C"/>
    <w:rsid w:val="004B7F3E"/>
    <w:rsid w:val="004C00E5"/>
    <w:rsid w:val="004C0547"/>
    <w:rsid w:val="004C088F"/>
    <w:rsid w:val="004C0AD9"/>
    <w:rsid w:val="004C0D21"/>
    <w:rsid w:val="004C0E18"/>
    <w:rsid w:val="004C1A8A"/>
    <w:rsid w:val="004C2405"/>
    <w:rsid w:val="004C24EB"/>
    <w:rsid w:val="004C2BCA"/>
    <w:rsid w:val="004C3196"/>
    <w:rsid w:val="004C3575"/>
    <w:rsid w:val="004C3A3A"/>
    <w:rsid w:val="004C3AC9"/>
    <w:rsid w:val="004C3C8C"/>
    <w:rsid w:val="004C3CBC"/>
    <w:rsid w:val="004C3CF7"/>
    <w:rsid w:val="004C3DA1"/>
    <w:rsid w:val="004C3E4A"/>
    <w:rsid w:val="004C410A"/>
    <w:rsid w:val="004C4487"/>
    <w:rsid w:val="004C49AE"/>
    <w:rsid w:val="004C505D"/>
    <w:rsid w:val="004C5163"/>
    <w:rsid w:val="004C5346"/>
    <w:rsid w:val="004C5A60"/>
    <w:rsid w:val="004C5C1E"/>
    <w:rsid w:val="004C5CF3"/>
    <w:rsid w:val="004C5D62"/>
    <w:rsid w:val="004C5ECD"/>
    <w:rsid w:val="004C5F27"/>
    <w:rsid w:val="004C6535"/>
    <w:rsid w:val="004C6582"/>
    <w:rsid w:val="004C65CF"/>
    <w:rsid w:val="004C6A66"/>
    <w:rsid w:val="004C6E79"/>
    <w:rsid w:val="004C6F3F"/>
    <w:rsid w:val="004C7182"/>
    <w:rsid w:val="004C72DC"/>
    <w:rsid w:val="004C733B"/>
    <w:rsid w:val="004C78C4"/>
    <w:rsid w:val="004C7AC5"/>
    <w:rsid w:val="004C7CEE"/>
    <w:rsid w:val="004D0194"/>
    <w:rsid w:val="004D02AF"/>
    <w:rsid w:val="004D03ED"/>
    <w:rsid w:val="004D0498"/>
    <w:rsid w:val="004D092B"/>
    <w:rsid w:val="004D0C8A"/>
    <w:rsid w:val="004D0CF0"/>
    <w:rsid w:val="004D1221"/>
    <w:rsid w:val="004D127B"/>
    <w:rsid w:val="004D18B7"/>
    <w:rsid w:val="004D1912"/>
    <w:rsid w:val="004D1B92"/>
    <w:rsid w:val="004D1D8F"/>
    <w:rsid w:val="004D1EF9"/>
    <w:rsid w:val="004D2154"/>
    <w:rsid w:val="004D2177"/>
    <w:rsid w:val="004D2356"/>
    <w:rsid w:val="004D24BB"/>
    <w:rsid w:val="004D253E"/>
    <w:rsid w:val="004D28D1"/>
    <w:rsid w:val="004D2976"/>
    <w:rsid w:val="004D2E3D"/>
    <w:rsid w:val="004D30B5"/>
    <w:rsid w:val="004D34AD"/>
    <w:rsid w:val="004D3741"/>
    <w:rsid w:val="004D3BD5"/>
    <w:rsid w:val="004D3C34"/>
    <w:rsid w:val="004D3C70"/>
    <w:rsid w:val="004D3EC0"/>
    <w:rsid w:val="004D3F38"/>
    <w:rsid w:val="004D3FAB"/>
    <w:rsid w:val="004D3FFF"/>
    <w:rsid w:val="004D40E3"/>
    <w:rsid w:val="004D42BF"/>
    <w:rsid w:val="004D4327"/>
    <w:rsid w:val="004D434D"/>
    <w:rsid w:val="004D46AB"/>
    <w:rsid w:val="004D4741"/>
    <w:rsid w:val="004D4A54"/>
    <w:rsid w:val="004D4E08"/>
    <w:rsid w:val="004D50DC"/>
    <w:rsid w:val="004D53E4"/>
    <w:rsid w:val="004D55A0"/>
    <w:rsid w:val="004D58F4"/>
    <w:rsid w:val="004D5C8A"/>
    <w:rsid w:val="004D5CFB"/>
    <w:rsid w:val="004D5FA0"/>
    <w:rsid w:val="004D616F"/>
    <w:rsid w:val="004D63B7"/>
    <w:rsid w:val="004D6597"/>
    <w:rsid w:val="004D6A29"/>
    <w:rsid w:val="004D6BDF"/>
    <w:rsid w:val="004D71A0"/>
    <w:rsid w:val="004D748A"/>
    <w:rsid w:val="004D798D"/>
    <w:rsid w:val="004D7A1E"/>
    <w:rsid w:val="004D7B9E"/>
    <w:rsid w:val="004D7D51"/>
    <w:rsid w:val="004E0202"/>
    <w:rsid w:val="004E055E"/>
    <w:rsid w:val="004E059C"/>
    <w:rsid w:val="004E0793"/>
    <w:rsid w:val="004E0843"/>
    <w:rsid w:val="004E08E1"/>
    <w:rsid w:val="004E0D27"/>
    <w:rsid w:val="004E0EDC"/>
    <w:rsid w:val="004E0EE6"/>
    <w:rsid w:val="004E10E6"/>
    <w:rsid w:val="004E110F"/>
    <w:rsid w:val="004E117B"/>
    <w:rsid w:val="004E1250"/>
    <w:rsid w:val="004E167B"/>
    <w:rsid w:val="004E1828"/>
    <w:rsid w:val="004E1A68"/>
    <w:rsid w:val="004E1AD8"/>
    <w:rsid w:val="004E21C9"/>
    <w:rsid w:val="004E2398"/>
    <w:rsid w:val="004E23B1"/>
    <w:rsid w:val="004E23BB"/>
    <w:rsid w:val="004E2DAE"/>
    <w:rsid w:val="004E33CB"/>
    <w:rsid w:val="004E3645"/>
    <w:rsid w:val="004E36C2"/>
    <w:rsid w:val="004E3BD8"/>
    <w:rsid w:val="004E3E7D"/>
    <w:rsid w:val="004E404D"/>
    <w:rsid w:val="004E4136"/>
    <w:rsid w:val="004E41E5"/>
    <w:rsid w:val="004E43F1"/>
    <w:rsid w:val="004E48B6"/>
    <w:rsid w:val="004E4A7B"/>
    <w:rsid w:val="004E4C11"/>
    <w:rsid w:val="004E4DEC"/>
    <w:rsid w:val="004E520E"/>
    <w:rsid w:val="004E5536"/>
    <w:rsid w:val="004E554C"/>
    <w:rsid w:val="004E55E4"/>
    <w:rsid w:val="004E5C1F"/>
    <w:rsid w:val="004E5D0D"/>
    <w:rsid w:val="004E5F00"/>
    <w:rsid w:val="004E5FD8"/>
    <w:rsid w:val="004E658E"/>
    <w:rsid w:val="004E65E3"/>
    <w:rsid w:val="004E6E34"/>
    <w:rsid w:val="004E7076"/>
    <w:rsid w:val="004E7685"/>
    <w:rsid w:val="004E79AD"/>
    <w:rsid w:val="004E7A90"/>
    <w:rsid w:val="004E7B6D"/>
    <w:rsid w:val="004E7C9C"/>
    <w:rsid w:val="004E7F2D"/>
    <w:rsid w:val="004E7F67"/>
    <w:rsid w:val="004F0256"/>
    <w:rsid w:val="004F0476"/>
    <w:rsid w:val="004F079F"/>
    <w:rsid w:val="004F0846"/>
    <w:rsid w:val="004F08C5"/>
    <w:rsid w:val="004F0C92"/>
    <w:rsid w:val="004F12E6"/>
    <w:rsid w:val="004F1657"/>
    <w:rsid w:val="004F19CE"/>
    <w:rsid w:val="004F1A0F"/>
    <w:rsid w:val="004F1A91"/>
    <w:rsid w:val="004F1B5C"/>
    <w:rsid w:val="004F1EE5"/>
    <w:rsid w:val="004F27CD"/>
    <w:rsid w:val="004F29DC"/>
    <w:rsid w:val="004F2D22"/>
    <w:rsid w:val="004F309F"/>
    <w:rsid w:val="004F31AD"/>
    <w:rsid w:val="004F31CE"/>
    <w:rsid w:val="004F31DF"/>
    <w:rsid w:val="004F33F0"/>
    <w:rsid w:val="004F372E"/>
    <w:rsid w:val="004F3950"/>
    <w:rsid w:val="004F3D2C"/>
    <w:rsid w:val="004F3EA7"/>
    <w:rsid w:val="004F41C7"/>
    <w:rsid w:val="004F4384"/>
    <w:rsid w:val="004F43A6"/>
    <w:rsid w:val="004F4A30"/>
    <w:rsid w:val="004F4D53"/>
    <w:rsid w:val="004F51FD"/>
    <w:rsid w:val="004F5536"/>
    <w:rsid w:val="004F5A84"/>
    <w:rsid w:val="004F5E7B"/>
    <w:rsid w:val="004F60EB"/>
    <w:rsid w:val="004F6614"/>
    <w:rsid w:val="004F66E4"/>
    <w:rsid w:val="004F682F"/>
    <w:rsid w:val="004F6961"/>
    <w:rsid w:val="004F6DD7"/>
    <w:rsid w:val="004F6EBC"/>
    <w:rsid w:val="004F7112"/>
    <w:rsid w:val="004F773A"/>
    <w:rsid w:val="004FDE4B"/>
    <w:rsid w:val="00500D2C"/>
    <w:rsid w:val="00500DC8"/>
    <w:rsid w:val="00500DDF"/>
    <w:rsid w:val="00500EDB"/>
    <w:rsid w:val="00501003"/>
    <w:rsid w:val="00501493"/>
    <w:rsid w:val="0050159B"/>
    <w:rsid w:val="0050163C"/>
    <w:rsid w:val="005017EB"/>
    <w:rsid w:val="00501D24"/>
    <w:rsid w:val="00501D28"/>
    <w:rsid w:val="00501E02"/>
    <w:rsid w:val="00501F75"/>
    <w:rsid w:val="0050209F"/>
    <w:rsid w:val="005024C7"/>
    <w:rsid w:val="00502894"/>
    <w:rsid w:val="00502A06"/>
    <w:rsid w:val="00502D38"/>
    <w:rsid w:val="00502E12"/>
    <w:rsid w:val="00502EDD"/>
    <w:rsid w:val="00502F6B"/>
    <w:rsid w:val="00502F8E"/>
    <w:rsid w:val="005031BD"/>
    <w:rsid w:val="0050324A"/>
    <w:rsid w:val="005034F3"/>
    <w:rsid w:val="005035CD"/>
    <w:rsid w:val="00503756"/>
    <w:rsid w:val="005038A6"/>
    <w:rsid w:val="0050451E"/>
    <w:rsid w:val="005048F2"/>
    <w:rsid w:val="00504BAC"/>
    <w:rsid w:val="00504CF1"/>
    <w:rsid w:val="00504E6B"/>
    <w:rsid w:val="00504F86"/>
    <w:rsid w:val="00504FE4"/>
    <w:rsid w:val="00505403"/>
    <w:rsid w:val="00505434"/>
    <w:rsid w:val="0050575F"/>
    <w:rsid w:val="0050586F"/>
    <w:rsid w:val="00505E34"/>
    <w:rsid w:val="00505F2F"/>
    <w:rsid w:val="00506430"/>
    <w:rsid w:val="0050652C"/>
    <w:rsid w:val="0050666D"/>
    <w:rsid w:val="0050699E"/>
    <w:rsid w:val="00506F76"/>
    <w:rsid w:val="00507055"/>
    <w:rsid w:val="005072E9"/>
    <w:rsid w:val="00507520"/>
    <w:rsid w:val="005076A9"/>
    <w:rsid w:val="00507D21"/>
    <w:rsid w:val="00507E53"/>
    <w:rsid w:val="005104D9"/>
    <w:rsid w:val="005109B8"/>
    <w:rsid w:val="00510B59"/>
    <w:rsid w:val="00510DB5"/>
    <w:rsid w:val="00510DBB"/>
    <w:rsid w:val="0051127C"/>
    <w:rsid w:val="00511310"/>
    <w:rsid w:val="005114DA"/>
    <w:rsid w:val="00511562"/>
    <w:rsid w:val="00511722"/>
    <w:rsid w:val="005117D9"/>
    <w:rsid w:val="00511B8E"/>
    <w:rsid w:val="00511C2B"/>
    <w:rsid w:val="00511EE8"/>
    <w:rsid w:val="00511FA8"/>
    <w:rsid w:val="00512040"/>
    <w:rsid w:val="00512294"/>
    <w:rsid w:val="0051238F"/>
    <w:rsid w:val="00512477"/>
    <w:rsid w:val="0051254C"/>
    <w:rsid w:val="00512BEA"/>
    <w:rsid w:val="00512C57"/>
    <w:rsid w:val="00513208"/>
    <w:rsid w:val="005134B8"/>
    <w:rsid w:val="005137C8"/>
    <w:rsid w:val="0051395E"/>
    <w:rsid w:val="00513A66"/>
    <w:rsid w:val="00513B05"/>
    <w:rsid w:val="00513EF3"/>
    <w:rsid w:val="00513F2F"/>
    <w:rsid w:val="00513FE1"/>
    <w:rsid w:val="00514220"/>
    <w:rsid w:val="00514418"/>
    <w:rsid w:val="00514532"/>
    <w:rsid w:val="00514762"/>
    <w:rsid w:val="00514A3D"/>
    <w:rsid w:val="00514D60"/>
    <w:rsid w:val="00514F0B"/>
    <w:rsid w:val="005154A9"/>
    <w:rsid w:val="005156C8"/>
    <w:rsid w:val="00515A3D"/>
    <w:rsid w:val="00515BC6"/>
    <w:rsid w:val="00515F90"/>
    <w:rsid w:val="005161D3"/>
    <w:rsid w:val="005161F9"/>
    <w:rsid w:val="00516281"/>
    <w:rsid w:val="005162B6"/>
    <w:rsid w:val="005164DA"/>
    <w:rsid w:val="00516535"/>
    <w:rsid w:val="00516B16"/>
    <w:rsid w:val="00516C21"/>
    <w:rsid w:val="00516DA2"/>
    <w:rsid w:val="00516E85"/>
    <w:rsid w:val="00516E86"/>
    <w:rsid w:val="0051712F"/>
    <w:rsid w:val="005172AC"/>
    <w:rsid w:val="00517BAD"/>
    <w:rsid w:val="00517BDE"/>
    <w:rsid w:val="005201D8"/>
    <w:rsid w:val="00520429"/>
    <w:rsid w:val="005204B8"/>
    <w:rsid w:val="00520700"/>
    <w:rsid w:val="00520D66"/>
    <w:rsid w:val="00520FFC"/>
    <w:rsid w:val="00521160"/>
    <w:rsid w:val="005211D0"/>
    <w:rsid w:val="005211EE"/>
    <w:rsid w:val="005214A5"/>
    <w:rsid w:val="0052151B"/>
    <w:rsid w:val="00521CFF"/>
    <w:rsid w:val="005220E2"/>
    <w:rsid w:val="0052217D"/>
    <w:rsid w:val="00522191"/>
    <w:rsid w:val="00522253"/>
    <w:rsid w:val="005223C1"/>
    <w:rsid w:val="00522477"/>
    <w:rsid w:val="00522D30"/>
    <w:rsid w:val="00522EB3"/>
    <w:rsid w:val="00523758"/>
    <w:rsid w:val="005237C5"/>
    <w:rsid w:val="00523CC4"/>
    <w:rsid w:val="0052405F"/>
    <w:rsid w:val="005241BE"/>
    <w:rsid w:val="00524590"/>
    <w:rsid w:val="00524631"/>
    <w:rsid w:val="005246AE"/>
    <w:rsid w:val="0052474E"/>
    <w:rsid w:val="00524B42"/>
    <w:rsid w:val="00524C92"/>
    <w:rsid w:val="00524D9A"/>
    <w:rsid w:val="00524E0E"/>
    <w:rsid w:val="00524FFA"/>
    <w:rsid w:val="005253BB"/>
    <w:rsid w:val="0052545E"/>
    <w:rsid w:val="005255B6"/>
    <w:rsid w:val="005258F0"/>
    <w:rsid w:val="00525918"/>
    <w:rsid w:val="00525934"/>
    <w:rsid w:val="00525BD2"/>
    <w:rsid w:val="00525CA1"/>
    <w:rsid w:val="00525DD6"/>
    <w:rsid w:val="00525F1B"/>
    <w:rsid w:val="00526164"/>
    <w:rsid w:val="00526CED"/>
    <w:rsid w:val="00527449"/>
    <w:rsid w:val="00527630"/>
    <w:rsid w:val="005278B0"/>
    <w:rsid w:val="00527FB4"/>
    <w:rsid w:val="00527FC5"/>
    <w:rsid w:val="005302ED"/>
    <w:rsid w:val="00530896"/>
    <w:rsid w:val="005308EE"/>
    <w:rsid w:val="00530B5F"/>
    <w:rsid w:val="00530CEF"/>
    <w:rsid w:val="00530D2B"/>
    <w:rsid w:val="005310C5"/>
    <w:rsid w:val="00531332"/>
    <w:rsid w:val="005315F4"/>
    <w:rsid w:val="00531960"/>
    <w:rsid w:val="00531BE7"/>
    <w:rsid w:val="00531D03"/>
    <w:rsid w:val="00531DAD"/>
    <w:rsid w:val="00531E4B"/>
    <w:rsid w:val="0053210D"/>
    <w:rsid w:val="005324CD"/>
    <w:rsid w:val="00532511"/>
    <w:rsid w:val="0053258B"/>
    <w:rsid w:val="005325B9"/>
    <w:rsid w:val="0053275F"/>
    <w:rsid w:val="00532F24"/>
    <w:rsid w:val="005331BF"/>
    <w:rsid w:val="005332C5"/>
    <w:rsid w:val="005337D1"/>
    <w:rsid w:val="00534259"/>
    <w:rsid w:val="00534415"/>
    <w:rsid w:val="005344B6"/>
    <w:rsid w:val="005345D9"/>
    <w:rsid w:val="00534634"/>
    <w:rsid w:val="005346F7"/>
    <w:rsid w:val="005347DA"/>
    <w:rsid w:val="00534827"/>
    <w:rsid w:val="00534C27"/>
    <w:rsid w:val="00534F68"/>
    <w:rsid w:val="00535805"/>
    <w:rsid w:val="005358D0"/>
    <w:rsid w:val="00535AD2"/>
    <w:rsid w:val="00535AE5"/>
    <w:rsid w:val="005360E3"/>
    <w:rsid w:val="00536288"/>
    <w:rsid w:val="0053644B"/>
    <w:rsid w:val="00536675"/>
    <w:rsid w:val="005366F3"/>
    <w:rsid w:val="0053688D"/>
    <w:rsid w:val="00536C20"/>
    <w:rsid w:val="005371EA"/>
    <w:rsid w:val="00537333"/>
    <w:rsid w:val="005376AD"/>
    <w:rsid w:val="00537A1F"/>
    <w:rsid w:val="00537D5B"/>
    <w:rsid w:val="00537DED"/>
    <w:rsid w:val="00540169"/>
    <w:rsid w:val="00540422"/>
    <w:rsid w:val="00540B6B"/>
    <w:rsid w:val="00540F50"/>
    <w:rsid w:val="005411C5"/>
    <w:rsid w:val="005411EF"/>
    <w:rsid w:val="005416D4"/>
    <w:rsid w:val="00541D0D"/>
    <w:rsid w:val="00541E1D"/>
    <w:rsid w:val="00542650"/>
    <w:rsid w:val="005427B1"/>
    <w:rsid w:val="005427B3"/>
    <w:rsid w:val="0054281A"/>
    <w:rsid w:val="0054313A"/>
    <w:rsid w:val="0054328C"/>
    <w:rsid w:val="00543748"/>
    <w:rsid w:val="00543804"/>
    <w:rsid w:val="00543842"/>
    <w:rsid w:val="00543C31"/>
    <w:rsid w:val="00543F21"/>
    <w:rsid w:val="00543FDD"/>
    <w:rsid w:val="00544181"/>
    <w:rsid w:val="00544776"/>
    <w:rsid w:val="00544A07"/>
    <w:rsid w:val="00544DC2"/>
    <w:rsid w:val="00544E82"/>
    <w:rsid w:val="005453B7"/>
    <w:rsid w:val="00545725"/>
    <w:rsid w:val="00545C24"/>
    <w:rsid w:val="00545C48"/>
    <w:rsid w:val="00545DDA"/>
    <w:rsid w:val="00545FCE"/>
    <w:rsid w:val="00546071"/>
    <w:rsid w:val="005461BF"/>
    <w:rsid w:val="005461C8"/>
    <w:rsid w:val="005464D0"/>
    <w:rsid w:val="0054651A"/>
    <w:rsid w:val="005468DC"/>
    <w:rsid w:val="005469DA"/>
    <w:rsid w:val="00546B6A"/>
    <w:rsid w:val="00546C13"/>
    <w:rsid w:val="005470E2"/>
    <w:rsid w:val="0054716F"/>
    <w:rsid w:val="00547197"/>
    <w:rsid w:val="00547487"/>
    <w:rsid w:val="005475B8"/>
    <w:rsid w:val="00547608"/>
    <w:rsid w:val="00547651"/>
    <w:rsid w:val="005476BD"/>
    <w:rsid w:val="00547A0E"/>
    <w:rsid w:val="00547D5C"/>
    <w:rsid w:val="00547D79"/>
    <w:rsid w:val="00547D84"/>
    <w:rsid w:val="00547E15"/>
    <w:rsid w:val="00547F7B"/>
    <w:rsid w:val="00547F7F"/>
    <w:rsid w:val="00550096"/>
    <w:rsid w:val="00550297"/>
    <w:rsid w:val="00550421"/>
    <w:rsid w:val="0055047F"/>
    <w:rsid w:val="00550544"/>
    <w:rsid w:val="00550A2D"/>
    <w:rsid w:val="00550BD1"/>
    <w:rsid w:val="00550FE8"/>
    <w:rsid w:val="005512A2"/>
    <w:rsid w:val="0055147A"/>
    <w:rsid w:val="0055178D"/>
    <w:rsid w:val="005517C8"/>
    <w:rsid w:val="00551C6B"/>
    <w:rsid w:val="00551D00"/>
    <w:rsid w:val="00551D54"/>
    <w:rsid w:val="00552151"/>
    <w:rsid w:val="00552574"/>
    <w:rsid w:val="005526FF"/>
    <w:rsid w:val="005528AD"/>
    <w:rsid w:val="00552917"/>
    <w:rsid w:val="005529B1"/>
    <w:rsid w:val="00552A88"/>
    <w:rsid w:val="00552F3E"/>
    <w:rsid w:val="0055307D"/>
    <w:rsid w:val="00553687"/>
    <w:rsid w:val="005539C9"/>
    <w:rsid w:val="00553C5A"/>
    <w:rsid w:val="00553F26"/>
    <w:rsid w:val="00553F53"/>
    <w:rsid w:val="0055406E"/>
    <w:rsid w:val="0055422D"/>
    <w:rsid w:val="00554268"/>
    <w:rsid w:val="00554C3B"/>
    <w:rsid w:val="00554E8A"/>
    <w:rsid w:val="00555096"/>
    <w:rsid w:val="00555339"/>
    <w:rsid w:val="005554BB"/>
    <w:rsid w:val="005554C1"/>
    <w:rsid w:val="005554F3"/>
    <w:rsid w:val="00555E76"/>
    <w:rsid w:val="00555E95"/>
    <w:rsid w:val="00556189"/>
    <w:rsid w:val="0055642F"/>
    <w:rsid w:val="005567D0"/>
    <w:rsid w:val="00556927"/>
    <w:rsid w:val="00556E35"/>
    <w:rsid w:val="00556F32"/>
    <w:rsid w:val="00557448"/>
    <w:rsid w:val="0055774F"/>
    <w:rsid w:val="005578CD"/>
    <w:rsid w:val="00557960"/>
    <w:rsid w:val="00557BF1"/>
    <w:rsid w:val="00557C30"/>
    <w:rsid w:val="0056009C"/>
    <w:rsid w:val="005609CD"/>
    <w:rsid w:val="00560BB0"/>
    <w:rsid w:val="00560C42"/>
    <w:rsid w:val="00560C96"/>
    <w:rsid w:val="0056145D"/>
    <w:rsid w:val="00561C77"/>
    <w:rsid w:val="00561EA8"/>
    <w:rsid w:val="005622F4"/>
    <w:rsid w:val="0056239F"/>
    <w:rsid w:val="0056242A"/>
    <w:rsid w:val="005626AE"/>
    <w:rsid w:val="00562918"/>
    <w:rsid w:val="00562DDC"/>
    <w:rsid w:val="00562FBA"/>
    <w:rsid w:val="005631E7"/>
    <w:rsid w:val="005634F0"/>
    <w:rsid w:val="0056395A"/>
    <w:rsid w:val="0056397A"/>
    <w:rsid w:val="0056404D"/>
    <w:rsid w:val="0056452C"/>
    <w:rsid w:val="005645C6"/>
    <w:rsid w:val="00564D8E"/>
    <w:rsid w:val="0056513C"/>
    <w:rsid w:val="00565A60"/>
    <w:rsid w:val="00565B1E"/>
    <w:rsid w:val="00565B76"/>
    <w:rsid w:val="00565D1B"/>
    <w:rsid w:val="00565F41"/>
    <w:rsid w:val="0056611F"/>
    <w:rsid w:val="00566303"/>
    <w:rsid w:val="00566492"/>
    <w:rsid w:val="0056663A"/>
    <w:rsid w:val="005666BE"/>
    <w:rsid w:val="0056686B"/>
    <w:rsid w:val="00566B84"/>
    <w:rsid w:val="00566EE3"/>
    <w:rsid w:val="0056703F"/>
    <w:rsid w:val="005676FE"/>
    <w:rsid w:val="00567794"/>
    <w:rsid w:val="00567DEA"/>
    <w:rsid w:val="00567ED7"/>
    <w:rsid w:val="00567F30"/>
    <w:rsid w:val="005702E5"/>
    <w:rsid w:val="0057077D"/>
    <w:rsid w:val="0057087A"/>
    <w:rsid w:val="00570C04"/>
    <w:rsid w:val="00570C9A"/>
    <w:rsid w:val="005710CB"/>
    <w:rsid w:val="00571124"/>
    <w:rsid w:val="00571188"/>
    <w:rsid w:val="00571323"/>
    <w:rsid w:val="0057144F"/>
    <w:rsid w:val="00571475"/>
    <w:rsid w:val="005715A0"/>
    <w:rsid w:val="0057176E"/>
    <w:rsid w:val="00571A14"/>
    <w:rsid w:val="00571B1C"/>
    <w:rsid w:val="00571F9B"/>
    <w:rsid w:val="00571FC2"/>
    <w:rsid w:val="00572016"/>
    <w:rsid w:val="0057234D"/>
    <w:rsid w:val="00572906"/>
    <w:rsid w:val="00572955"/>
    <w:rsid w:val="005729A5"/>
    <w:rsid w:val="00572A66"/>
    <w:rsid w:val="00572B43"/>
    <w:rsid w:val="00572B64"/>
    <w:rsid w:val="00572C39"/>
    <w:rsid w:val="00572E79"/>
    <w:rsid w:val="00573007"/>
    <w:rsid w:val="005737EB"/>
    <w:rsid w:val="00573B22"/>
    <w:rsid w:val="00573B32"/>
    <w:rsid w:val="00574580"/>
    <w:rsid w:val="005746C2"/>
    <w:rsid w:val="005747EA"/>
    <w:rsid w:val="00574A43"/>
    <w:rsid w:val="00574B49"/>
    <w:rsid w:val="00574F46"/>
    <w:rsid w:val="00575277"/>
    <w:rsid w:val="00575894"/>
    <w:rsid w:val="0057589E"/>
    <w:rsid w:val="00575A08"/>
    <w:rsid w:val="00575A14"/>
    <w:rsid w:val="00575A8A"/>
    <w:rsid w:val="00575B99"/>
    <w:rsid w:val="00575C05"/>
    <w:rsid w:val="00576002"/>
    <w:rsid w:val="005763E7"/>
    <w:rsid w:val="00576588"/>
    <w:rsid w:val="00576621"/>
    <w:rsid w:val="00576901"/>
    <w:rsid w:val="00576937"/>
    <w:rsid w:val="00576C4E"/>
    <w:rsid w:val="00576E0E"/>
    <w:rsid w:val="00576E50"/>
    <w:rsid w:val="0057723F"/>
    <w:rsid w:val="005772C1"/>
    <w:rsid w:val="005773A8"/>
    <w:rsid w:val="00577480"/>
    <w:rsid w:val="005774DA"/>
    <w:rsid w:val="00577750"/>
    <w:rsid w:val="005777CA"/>
    <w:rsid w:val="005778BE"/>
    <w:rsid w:val="00577EAB"/>
    <w:rsid w:val="005800B0"/>
    <w:rsid w:val="0058085A"/>
    <w:rsid w:val="005808BE"/>
    <w:rsid w:val="00580961"/>
    <w:rsid w:val="00581584"/>
    <w:rsid w:val="00581EB1"/>
    <w:rsid w:val="00582494"/>
    <w:rsid w:val="0058257E"/>
    <w:rsid w:val="0058282C"/>
    <w:rsid w:val="00582908"/>
    <w:rsid w:val="00582E7D"/>
    <w:rsid w:val="00583363"/>
    <w:rsid w:val="005835A4"/>
    <w:rsid w:val="0058384A"/>
    <w:rsid w:val="00583879"/>
    <w:rsid w:val="00583961"/>
    <w:rsid w:val="00583BB3"/>
    <w:rsid w:val="00583D25"/>
    <w:rsid w:val="00584B49"/>
    <w:rsid w:val="00584FC2"/>
    <w:rsid w:val="005854BE"/>
    <w:rsid w:val="00585910"/>
    <w:rsid w:val="00585E50"/>
    <w:rsid w:val="0058637D"/>
    <w:rsid w:val="005863DA"/>
    <w:rsid w:val="005871D8"/>
    <w:rsid w:val="0058729D"/>
    <w:rsid w:val="005873B6"/>
    <w:rsid w:val="005875C2"/>
    <w:rsid w:val="005875CC"/>
    <w:rsid w:val="00587ACD"/>
    <w:rsid w:val="00587AF6"/>
    <w:rsid w:val="00590371"/>
    <w:rsid w:val="005904B8"/>
    <w:rsid w:val="005905FF"/>
    <w:rsid w:val="00591643"/>
    <w:rsid w:val="0059186B"/>
    <w:rsid w:val="00591A2F"/>
    <w:rsid w:val="005920FD"/>
    <w:rsid w:val="00592646"/>
    <w:rsid w:val="00592DF9"/>
    <w:rsid w:val="00592E1F"/>
    <w:rsid w:val="00593179"/>
    <w:rsid w:val="005931E2"/>
    <w:rsid w:val="00593285"/>
    <w:rsid w:val="005938E6"/>
    <w:rsid w:val="00593914"/>
    <w:rsid w:val="00593E09"/>
    <w:rsid w:val="005943A6"/>
    <w:rsid w:val="0059440B"/>
    <w:rsid w:val="005947DF"/>
    <w:rsid w:val="00594C38"/>
    <w:rsid w:val="00594F44"/>
    <w:rsid w:val="005951E1"/>
    <w:rsid w:val="0059589A"/>
    <w:rsid w:val="00595D13"/>
    <w:rsid w:val="0059608F"/>
    <w:rsid w:val="005961F6"/>
    <w:rsid w:val="00596317"/>
    <w:rsid w:val="0059642C"/>
    <w:rsid w:val="0059644D"/>
    <w:rsid w:val="00596685"/>
    <w:rsid w:val="00596991"/>
    <w:rsid w:val="00597187"/>
    <w:rsid w:val="005973EC"/>
    <w:rsid w:val="0059764E"/>
    <w:rsid w:val="00597850"/>
    <w:rsid w:val="00597AB0"/>
    <w:rsid w:val="00597BD4"/>
    <w:rsid w:val="00597DFB"/>
    <w:rsid w:val="005A0248"/>
    <w:rsid w:val="005A02B9"/>
    <w:rsid w:val="005A0386"/>
    <w:rsid w:val="005A03AB"/>
    <w:rsid w:val="005A0FC9"/>
    <w:rsid w:val="005A1384"/>
    <w:rsid w:val="005A13B8"/>
    <w:rsid w:val="005A1703"/>
    <w:rsid w:val="005A18D1"/>
    <w:rsid w:val="005A198A"/>
    <w:rsid w:val="005A1E48"/>
    <w:rsid w:val="005A2A6C"/>
    <w:rsid w:val="005A34F9"/>
    <w:rsid w:val="005A370A"/>
    <w:rsid w:val="005A37B4"/>
    <w:rsid w:val="005A402F"/>
    <w:rsid w:val="005A4241"/>
    <w:rsid w:val="005A42E5"/>
    <w:rsid w:val="005A452F"/>
    <w:rsid w:val="005A49E0"/>
    <w:rsid w:val="005A4D0E"/>
    <w:rsid w:val="005A4D0F"/>
    <w:rsid w:val="005A4D13"/>
    <w:rsid w:val="005A4EA2"/>
    <w:rsid w:val="005A4F58"/>
    <w:rsid w:val="005A4F6A"/>
    <w:rsid w:val="005A584E"/>
    <w:rsid w:val="005A5887"/>
    <w:rsid w:val="005A5AC9"/>
    <w:rsid w:val="005A61DC"/>
    <w:rsid w:val="005A65E7"/>
    <w:rsid w:val="005A666D"/>
    <w:rsid w:val="005A6677"/>
    <w:rsid w:val="005A676A"/>
    <w:rsid w:val="005A69CE"/>
    <w:rsid w:val="005A6CD5"/>
    <w:rsid w:val="005A70D9"/>
    <w:rsid w:val="005A747D"/>
    <w:rsid w:val="005A7640"/>
    <w:rsid w:val="005A7806"/>
    <w:rsid w:val="005A7C2A"/>
    <w:rsid w:val="005A7F59"/>
    <w:rsid w:val="005B00FD"/>
    <w:rsid w:val="005B03CB"/>
    <w:rsid w:val="005B044A"/>
    <w:rsid w:val="005B0560"/>
    <w:rsid w:val="005B0622"/>
    <w:rsid w:val="005B0699"/>
    <w:rsid w:val="005B09F2"/>
    <w:rsid w:val="005B0B87"/>
    <w:rsid w:val="005B0B90"/>
    <w:rsid w:val="005B0BF8"/>
    <w:rsid w:val="005B0C02"/>
    <w:rsid w:val="005B0CE2"/>
    <w:rsid w:val="005B0DB7"/>
    <w:rsid w:val="005B0FB4"/>
    <w:rsid w:val="005B1094"/>
    <w:rsid w:val="005B10B4"/>
    <w:rsid w:val="005B123D"/>
    <w:rsid w:val="005B1C66"/>
    <w:rsid w:val="005B1FA9"/>
    <w:rsid w:val="005B203E"/>
    <w:rsid w:val="005B20EC"/>
    <w:rsid w:val="005B2479"/>
    <w:rsid w:val="005B298F"/>
    <w:rsid w:val="005B2A43"/>
    <w:rsid w:val="005B2D17"/>
    <w:rsid w:val="005B2DAF"/>
    <w:rsid w:val="005B2F15"/>
    <w:rsid w:val="005B31A6"/>
    <w:rsid w:val="005B3318"/>
    <w:rsid w:val="005B377F"/>
    <w:rsid w:val="005B3894"/>
    <w:rsid w:val="005B39F7"/>
    <w:rsid w:val="005B3CD8"/>
    <w:rsid w:val="005B3D39"/>
    <w:rsid w:val="005B3D95"/>
    <w:rsid w:val="005B3FB6"/>
    <w:rsid w:val="005B42A6"/>
    <w:rsid w:val="005B432B"/>
    <w:rsid w:val="005B4440"/>
    <w:rsid w:val="005B4589"/>
    <w:rsid w:val="005B46BC"/>
    <w:rsid w:val="005B4AC7"/>
    <w:rsid w:val="005B4B0E"/>
    <w:rsid w:val="005B4CDA"/>
    <w:rsid w:val="005B4D6A"/>
    <w:rsid w:val="005B56EA"/>
    <w:rsid w:val="005B5D48"/>
    <w:rsid w:val="005B5F74"/>
    <w:rsid w:val="005B616E"/>
    <w:rsid w:val="005B6673"/>
    <w:rsid w:val="005B67A8"/>
    <w:rsid w:val="005B6A99"/>
    <w:rsid w:val="005B6ACA"/>
    <w:rsid w:val="005B6D34"/>
    <w:rsid w:val="005B6F87"/>
    <w:rsid w:val="005B7D37"/>
    <w:rsid w:val="005B7D95"/>
    <w:rsid w:val="005C01B4"/>
    <w:rsid w:val="005C07FC"/>
    <w:rsid w:val="005C099E"/>
    <w:rsid w:val="005C0B47"/>
    <w:rsid w:val="005C0C7D"/>
    <w:rsid w:val="005C0D2E"/>
    <w:rsid w:val="005C0DC0"/>
    <w:rsid w:val="005C0E53"/>
    <w:rsid w:val="005C11D0"/>
    <w:rsid w:val="005C14E9"/>
    <w:rsid w:val="005C1C5F"/>
    <w:rsid w:val="005C1F2F"/>
    <w:rsid w:val="005C2105"/>
    <w:rsid w:val="005C2206"/>
    <w:rsid w:val="005C2285"/>
    <w:rsid w:val="005C2795"/>
    <w:rsid w:val="005C2BB2"/>
    <w:rsid w:val="005C2D21"/>
    <w:rsid w:val="005C2D72"/>
    <w:rsid w:val="005C31D0"/>
    <w:rsid w:val="005C3237"/>
    <w:rsid w:val="005C3265"/>
    <w:rsid w:val="005C32A5"/>
    <w:rsid w:val="005C3357"/>
    <w:rsid w:val="005C346B"/>
    <w:rsid w:val="005C357A"/>
    <w:rsid w:val="005C3608"/>
    <w:rsid w:val="005C36E0"/>
    <w:rsid w:val="005C382F"/>
    <w:rsid w:val="005C3887"/>
    <w:rsid w:val="005C390F"/>
    <w:rsid w:val="005C3AA2"/>
    <w:rsid w:val="005C3B8F"/>
    <w:rsid w:val="005C3BD1"/>
    <w:rsid w:val="005C4237"/>
    <w:rsid w:val="005C4654"/>
    <w:rsid w:val="005C4844"/>
    <w:rsid w:val="005C4859"/>
    <w:rsid w:val="005C4903"/>
    <w:rsid w:val="005C4BC8"/>
    <w:rsid w:val="005C4ED1"/>
    <w:rsid w:val="005C4ED2"/>
    <w:rsid w:val="005C50E1"/>
    <w:rsid w:val="005C5363"/>
    <w:rsid w:val="005C581A"/>
    <w:rsid w:val="005C5898"/>
    <w:rsid w:val="005C5980"/>
    <w:rsid w:val="005C59AB"/>
    <w:rsid w:val="005C5BF0"/>
    <w:rsid w:val="005C5CEB"/>
    <w:rsid w:val="005C5CF9"/>
    <w:rsid w:val="005C5ECC"/>
    <w:rsid w:val="005C6014"/>
    <w:rsid w:val="005C6121"/>
    <w:rsid w:val="005C6921"/>
    <w:rsid w:val="005C6F74"/>
    <w:rsid w:val="005C6FDA"/>
    <w:rsid w:val="005C73A6"/>
    <w:rsid w:val="005C753F"/>
    <w:rsid w:val="005C77F2"/>
    <w:rsid w:val="005C7A3F"/>
    <w:rsid w:val="005D00E7"/>
    <w:rsid w:val="005D02FD"/>
    <w:rsid w:val="005D036D"/>
    <w:rsid w:val="005D0806"/>
    <w:rsid w:val="005D0987"/>
    <w:rsid w:val="005D0B08"/>
    <w:rsid w:val="005D0D54"/>
    <w:rsid w:val="005D0F58"/>
    <w:rsid w:val="005D114E"/>
    <w:rsid w:val="005D14E2"/>
    <w:rsid w:val="005D1597"/>
    <w:rsid w:val="005D1AFB"/>
    <w:rsid w:val="005D1BC9"/>
    <w:rsid w:val="005D1F9E"/>
    <w:rsid w:val="005D1FED"/>
    <w:rsid w:val="005D2278"/>
    <w:rsid w:val="005D255C"/>
    <w:rsid w:val="005D2B9A"/>
    <w:rsid w:val="005D2BCC"/>
    <w:rsid w:val="005D2DB9"/>
    <w:rsid w:val="005D2ED2"/>
    <w:rsid w:val="005D2F85"/>
    <w:rsid w:val="005D380E"/>
    <w:rsid w:val="005D3BDB"/>
    <w:rsid w:val="005D3CF6"/>
    <w:rsid w:val="005D3F3E"/>
    <w:rsid w:val="005D3FBE"/>
    <w:rsid w:val="005D46A4"/>
    <w:rsid w:val="005D50AA"/>
    <w:rsid w:val="005D50CC"/>
    <w:rsid w:val="005D5109"/>
    <w:rsid w:val="005D53D1"/>
    <w:rsid w:val="005D5479"/>
    <w:rsid w:val="005D5540"/>
    <w:rsid w:val="005D57AD"/>
    <w:rsid w:val="005D594D"/>
    <w:rsid w:val="005D5B25"/>
    <w:rsid w:val="005D5B5D"/>
    <w:rsid w:val="005D6169"/>
    <w:rsid w:val="005D6827"/>
    <w:rsid w:val="005D6A33"/>
    <w:rsid w:val="005D6B38"/>
    <w:rsid w:val="005D6C19"/>
    <w:rsid w:val="005D6D4D"/>
    <w:rsid w:val="005D6D9D"/>
    <w:rsid w:val="005D6F4D"/>
    <w:rsid w:val="005D71AE"/>
    <w:rsid w:val="005D7C31"/>
    <w:rsid w:val="005D7C81"/>
    <w:rsid w:val="005D7D91"/>
    <w:rsid w:val="005D7DED"/>
    <w:rsid w:val="005D7E6B"/>
    <w:rsid w:val="005E0022"/>
    <w:rsid w:val="005E01C1"/>
    <w:rsid w:val="005E0580"/>
    <w:rsid w:val="005E076E"/>
    <w:rsid w:val="005E1058"/>
    <w:rsid w:val="005E10A9"/>
    <w:rsid w:val="005E1453"/>
    <w:rsid w:val="005E16B1"/>
    <w:rsid w:val="005E1890"/>
    <w:rsid w:val="005E1BC6"/>
    <w:rsid w:val="005E205A"/>
    <w:rsid w:val="005E2415"/>
    <w:rsid w:val="005E26C6"/>
    <w:rsid w:val="005E2836"/>
    <w:rsid w:val="005E2B16"/>
    <w:rsid w:val="005E2C5E"/>
    <w:rsid w:val="005E31EB"/>
    <w:rsid w:val="005E3216"/>
    <w:rsid w:val="005E33FD"/>
    <w:rsid w:val="005E3449"/>
    <w:rsid w:val="005E3477"/>
    <w:rsid w:val="005E370A"/>
    <w:rsid w:val="005E3723"/>
    <w:rsid w:val="005E3E2F"/>
    <w:rsid w:val="005E453F"/>
    <w:rsid w:val="005E45D6"/>
    <w:rsid w:val="005E4B05"/>
    <w:rsid w:val="005E4B3E"/>
    <w:rsid w:val="005E4CD6"/>
    <w:rsid w:val="005E4CF4"/>
    <w:rsid w:val="005E4F79"/>
    <w:rsid w:val="005E4FE9"/>
    <w:rsid w:val="005E520F"/>
    <w:rsid w:val="005E5290"/>
    <w:rsid w:val="005E53A2"/>
    <w:rsid w:val="005E541D"/>
    <w:rsid w:val="005E56D4"/>
    <w:rsid w:val="005E648F"/>
    <w:rsid w:val="005E64E8"/>
    <w:rsid w:val="005E67D9"/>
    <w:rsid w:val="005E6DB3"/>
    <w:rsid w:val="005E6E60"/>
    <w:rsid w:val="005E6E8F"/>
    <w:rsid w:val="005E6F94"/>
    <w:rsid w:val="005E715C"/>
    <w:rsid w:val="005E7592"/>
    <w:rsid w:val="005E796F"/>
    <w:rsid w:val="005E7C73"/>
    <w:rsid w:val="005F01B7"/>
    <w:rsid w:val="005F021A"/>
    <w:rsid w:val="005F088A"/>
    <w:rsid w:val="005F0CF9"/>
    <w:rsid w:val="005F1102"/>
    <w:rsid w:val="005F14CA"/>
    <w:rsid w:val="005F1843"/>
    <w:rsid w:val="005F18D4"/>
    <w:rsid w:val="005F1D8F"/>
    <w:rsid w:val="005F241D"/>
    <w:rsid w:val="005F2CB8"/>
    <w:rsid w:val="005F316D"/>
    <w:rsid w:val="005F33F2"/>
    <w:rsid w:val="005F3538"/>
    <w:rsid w:val="005F38EB"/>
    <w:rsid w:val="005F3A0F"/>
    <w:rsid w:val="005F3ADB"/>
    <w:rsid w:val="005F3E78"/>
    <w:rsid w:val="005F3F10"/>
    <w:rsid w:val="005F4138"/>
    <w:rsid w:val="005F43E0"/>
    <w:rsid w:val="005F4C3D"/>
    <w:rsid w:val="005F5081"/>
    <w:rsid w:val="005F5092"/>
    <w:rsid w:val="005F50F8"/>
    <w:rsid w:val="005F530E"/>
    <w:rsid w:val="005F54F3"/>
    <w:rsid w:val="005F5757"/>
    <w:rsid w:val="005F5AEE"/>
    <w:rsid w:val="005F5C48"/>
    <w:rsid w:val="005F5C88"/>
    <w:rsid w:val="005F5D30"/>
    <w:rsid w:val="005F5EDB"/>
    <w:rsid w:val="005F5F78"/>
    <w:rsid w:val="005F627A"/>
    <w:rsid w:val="005F6A58"/>
    <w:rsid w:val="005F6D29"/>
    <w:rsid w:val="005F707F"/>
    <w:rsid w:val="005F7611"/>
    <w:rsid w:val="005F7E6C"/>
    <w:rsid w:val="005F7F1E"/>
    <w:rsid w:val="006000D4"/>
    <w:rsid w:val="00600AFB"/>
    <w:rsid w:val="00600D1C"/>
    <w:rsid w:val="00600F4D"/>
    <w:rsid w:val="00601472"/>
    <w:rsid w:val="00601474"/>
    <w:rsid w:val="006016F5"/>
    <w:rsid w:val="006018BF"/>
    <w:rsid w:val="0060199D"/>
    <w:rsid w:val="00601A00"/>
    <w:rsid w:val="00601B32"/>
    <w:rsid w:val="0060203E"/>
    <w:rsid w:val="006020A2"/>
    <w:rsid w:val="006020E8"/>
    <w:rsid w:val="0060244D"/>
    <w:rsid w:val="006024FC"/>
    <w:rsid w:val="006027D1"/>
    <w:rsid w:val="00602D70"/>
    <w:rsid w:val="00602DBD"/>
    <w:rsid w:val="00602E7D"/>
    <w:rsid w:val="00602F4F"/>
    <w:rsid w:val="006034CF"/>
    <w:rsid w:val="006035A1"/>
    <w:rsid w:val="00603773"/>
    <w:rsid w:val="0060380C"/>
    <w:rsid w:val="00603934"/>
    <w:rsid w:val="0060396A"/>
    <w:rsid w:val="0060399C"/>
    <w:rsid w:val="00604124"/>
    <w:rsid w:val="00604462"/>
    <w:rsid w:val="00605381"/>
    <w:rsid w:val="00605607"/>
    <w:rsid w:val="006059CC"/>
    <w:rsid w:val="00605B54"/>
    <w:rsid w:val="00605E25"/>
    <w:rsid w:val="00606245"/>
    <w:rsid w:val="00606403"/>
    <w:rsid w:val="00606805"/>
    <w:rsid w:val="00606806"/>
    <w:rsid w:val="0060680B"/>
    <w:rsid w:val="006068D1"/>
    <w:rsid w:val="0060690B"/>
    <w:rsid w:val="00606BB2"/>
    <w:rsid w:val="00606BEF"/>
    <w:rsid w:val="00606C28"/>
    <w:rsid w:val="00606F53"/>
    <w:rsid w:val="00606F8B"/>
    <w:rsid w:val="00607081"/>
    <w:rsid w:val="006070A3"/>
    <w:rsid w:val="00607507"/>
    <w:rsid w:val="006078A2"/>
    <w:rsid w:val="00607ACD"/>
    <w:rsid w:val="00607BB5"/>
    <w:rsid w:val="00607CC8"/>
    <w:rsid w:val="00607E4D"/>
    <w:rsid w:val="00607FEB"/>
    <w:rsid w:val="00610078"/>
    <w:rsid w:val="00610106"/>
    <w:rsid w:val="00610203"/>
    <w:rsid w:val="006104C5"/>
    <w:rsid w:val="0061054D"/>
    <w:rsid w:val="00610B03"/>
    <w:rsid w:val="00610B34"/>
    <w:rsid w:val="00610C24"/>
    <w:rsid w:val="00610C90"/>
    <w:rsid w:val="00610E41"/>
    <w:rsid w:val="00611198"/>
    <w:rsid w:val="006114B8"/>
    <w:rsid w:val="00611838"/>
    <w:rsid w:val="00611844"/>
    <w:rsid w:val="006118BD"/>
    <w:rsid w:val="006123C6"/>
    <w:rsid w:val="0061264E"/>
    <w:rsid w:val="00612698"/>
    <w:rsid w:val="006127AF"/>
    <w:rsid w:val="00612845"/>
    <w:rsid w:val="00612909"/>
    <w:rsid w:val="00612CEE"/>
    <w:rsid w:val="00612D45"/>
    <w:rsid w:val="0061309C"/>
    <w:rsid w:val="006130C0"/>
    <w:rsid w:val="00613131"/>
    <w:rsid w:val="00613573"/>
    <w:rsid w:val="00613894"/>
    <w:rsid w:val="00613CC1"/>
    <w:rsid w:val="00613F71"/>
    <w:rsid w:val="00613FE6"/>
    <w:rsid w:val="00614213"/>
    <w:rsid w:val="006142AE"/>
    <w:rsid w:val="00614466"/>
    <w:rsid w:val="0061484F"/>
    <w:rsid w:val="0061488A"/>
    <w:rsid w:val="00614982"/>
    <w:rsid w:val="00614A9D"/>
    <w:rsid w:val="00614A9F"/>
    <w:rsid w:val="00614D55"/>
    <w:rsid w:val="00614D6C"/>
    <w:rsid w:val="00614E75"/>
    <w:rsid w:val="0061518B"/>
    <w:rsid w:val="0061522E"/>
    <w:rsid w:val="00615555"/>
    <w:rsid w:val="006157AF"/>
    <w:rsid w:val="006157E6"/>
    <w:rsid w:val="00615900"/>
    <w:rsid w:val="006160DE"/>
    <w:rsid w:val="00616104"/>
    <w:rsid w:val="00616356"/>
    <w:rsid w:val="0061643C"/>
    <w:rsid w:val="0061691E"/>
    <w:rsid w:val="00616AE6"/>
    <w:rsid w:val="006170D3"/>
    <w:rsid w:val="00617289"/>
    <w:rsid w:val="006175A8"/>
    <w:rsid w:val="006176ED"/>
    <w:rsid w:val="00617720"/>
    <w:rsid w:val="00617953"/>
    <w:rsid w:val="00617A46"/>
    <w:rsid w:val="00617B2E"/>
    <w:rsid w:val="00617E6F"/>
    <w:rsid w:val="00620342"/>
    <w:rsid w:val="00620610"/>
    <w:rsid w:val="00620785"/>
    <w:rsid w:val="00620905"/>
    <w:rsid w:val="00620B6E"/>
    <w:rsid w:val="00620CE3"/>
    <w:rsid w:val="0062125C"/>
    <w:rsid w:val="0062164F"/>
    <w:rsid w:val="00621970"/>
    <w:rsid w:val="00621AA1"/>
    <w:rsid w:val="00621B49"/>
    <w:rsid w:val="00621E09"/>
    <w:rsid w:val="00621EA6"/>
    <w:rsid w:val="00621F01"/>
    <w:rsid w:val="006223A9"/>
    <w:rsid w:val="0062250F"/>
    <w:rsid w:val="006225FA"/>
    <w:rsid w:val="006229EF"/>
    <w:rsid w:val="00622E17"/>
    <w:rsid w:val="006231D9"/>
    <w:rsid w:val="006234BF"/>
    <w:rsid w:val="00623598"/>
    <w:rsid w:val="00623A49"/>
    <w:rsid w:val="00623B0B"/>
    <w:rsid w:val="0062423E"/>
    <w:rsid w:val="0062437B"/>
    <w:rsid w:val="00624598"/>
    <w:rsid w:val="0062464F"/>
    <w:rsid w:val="00624D15"/>
    <w:rsid w:val="00624E33"/>
    <w:rsid w:val="00624E47"/>
    <w:rsid w:val="00624E7A"/>
    <w:rsid w:val="006250F9"/>
    <w:rsid w:val="0062514E"/>
    <w:rsid w:val="0062566C"/>
    <w:rsid w:val="00625835"/>
    <w:rsid w:val="006260EE"/>
    <w:rsid w:val="0062616E"/>
    <w:rsid w:val="006263AE"/>
    <w:rsid w:val="00626856"/>
    <w:rsid w:val="00626867"/>
    <w:rsid w:val="00627811"/>
    <w:rsid w:val="006278D9"/>
    <w:rsid w:val="00627C7D"/>
    <w:rsid w:val="00630AF2"/>
    <w:rsid w:val="00630B81"/>
    <w:rsid w:val="00630D22"/>
    <w:rsid w:val="00630F06"/>
    <w:rsid w:val="00631015"/>
    <w:rsid w:val="00631135"/>
    <w:rsid w:val="006318B8"/>
    <w:rsid w:val="0063197C"/>
    <w:rsid w:val="006319D5"/>
    <w:rsid w:val="00631BF9"/>
    <w:rsid w:val="0063222C"/>
    <w:rsid w:val="0063230C"/>
    <w:rsid w:val="00632436"/>
    <w:rsid w:val="006324DD"/>
    <w:rsid w:val="0063290B"/>
    <w:rsid w:val="0063294F"/>
    <w:rsid w:val="006329CA"/>
    <w:rsid w:val="006332B5"/>
    <w:rsid w:val="006332B8"/>
    <w:rsid w:val="006332F6"/>
    <w:rsid w:val="006336F3"/>
    <w:rsid w:val="006337E4"/>
    <w:rsid w:val="00633A61"/>
    <w:rsid w:val="00633A7E"/>
    <w:rsid w:val="00633D30"/>
    <w:rsid w:val="00633E03"/>
    <w:rsid w:val="00633E52"/>
    <w:rsid w:val="00633F50"/>
    <w:rsid w:val="00633FFC"/>
    <w:rsid w:val="006344B5"/>
    <w:rsid w:val="006345DB"/>
    <w:rsid w:val="00634877"/>
    <w:rsid w:val="00634B17"/>
    <w:rsid w:val="00634F96"/>
    <w:rsid w:val="0063501E"/>
    <w:rsid w:val="0063513A"/>
    <w:rsid w:val="0063519C"/>
    <w:rsid w:val="006353C5"/>
    <w:rsid w:val="006355E9"/>
    <w:rsid w:val="006358B1"/>
    <w:rsid w:val="00635933"/>
    <w:rsid w:val="00635EBE"/>
    <w:rsid w:val="00636180"/>
    <w:rsid w:val="0063626E"/>
    <w:rsid w:val="0063630E"/>
    <w:rsid w:val="006366B0"/>
    <w:rsid w:val="00636B96"/>
    <w:rsid w:val="00636DE9"/>
    <w:rsid w:val="00636EC1"/>
    <w:rsid w:val="00636F9C"/>
    <w:rsid w:val="00637557"/>
    <w:rsid w:val="006375B8"/>
    <w:rsid w:val="00637603"/>
    <w:rsid w:val="00637833"/>
    <w:rsid w:val="006378B2"/>
    <w:rsid w:val="00637A9E"/>
    <w:rsid w:val="00637B4B"/>
    <w:rsid w:val="00637BE5"/>
    <w:rsid w:val="00637F21"/>
    <w:rsid w:val="00640011"/>
    <w:rsid w:val="0064002E"/>
    <w:rsid w:val="00640168"/>
    <w:rsid w:val="00640172"/>
    <w:rsid w:val="00640226"/>
    <w:rsid w:val="006405BC"/>
    <w:rsid w:val="00640B45"/>
    <w:rsid w:val="00640C54"/>
    <w:rsid w:val="00640EB5"/>
    <w:rsid w:val="006410E7"/>
    <w:rsid w:val="00641299"/>
    <w:rsid w:val="006414C5"/>
    <w:rsid w:val="006414F7"/>
    <w:rsid w:val="00641931"/>
    <w:rsid w:val="00641979"/>
    <w:rsid w:val="00641A69"/>
    <w:rsid w:val="00641B5D"/>
    <w:rsid w:val="00641E21"/>
    <w:rsid w:val="00641E75"/>
    <w:rsid w:val="00642238"/>
    <w:rsid w:val="00642971"/>
    <w:rsid w:val="0064305C"/>
    <w:rsid w:val="00643274"/>
    <w:rsid w:val="006434DC"/>
    <w:rsid w:val="006436F4"/>
    <w:rsid w:val="00643B18"/>
    <w:rsid w:val="00643B61"/>
    <w:rsid w:val="00643B77"/>
    <w:rsid w:val="00643DEE"/>
    <w:rsid w:val="00643E94"/>
    <w:rsid w:val="006443F8"/>
    <w:rsid w:val="0064456B"/>
    <w:rsid w:val="00644676"/>
    <w:rsid w:val="00644D81"/>
    <w:rsid w:val="00644DAD"/>
    <w:rsid w:val="00645166"/>
    <w:rsid w:val="0064565C"/>
    <w:rsid w:val="006459AE"/>
    <w:rsid w:val="00645B8E"/>
    <w:rsid w:val="00645E32"/>
    <w:rsid w:val="00645EFB"/>
    <w:rsid w:val="00645FCB"/>
    <w:rsid w:val="0064612F"/>
    <w:rsid w:val="00646348"/>
    <w:rsid w:val="006463EA"/>
    <w:rsid w:val="006465F8"/>
    <w:rsid w:val="00646759"/>
    <w:rsid w:val="00646CBA"/>
    <w:rsid w:val="00647107"/>
    <w:rsid w:val="0064723B"/>
    <w:rsid w:val="00647706"/>
    <w:rsid w:val="006478A4"/>
    <w:rsid w:val="006478AB"/>
    <w:rsid w:val="00647CEB"/>
    <w:rsid w:val="00647E89"/>
    <w:rsid w:val="00647EFE"/>
    <w:rsid w:val="00647F89"/>
    <w:rsid w:val="00650411"/>
    <w:rsid w:val="00650731"/>
    <w:rsid w:val="00650787"/>
    <w:rsid w:val="006507E0"/>
    <w:rsid w:val="00650823"/>
    <w:rsid w:val="00650901"/>
    <w:rsid w:val="00650940"/>
    <w:rsid w:val="00650E59"/>
    <w:rsid w:val="006511E7"/>
    <w:rsid w:val="006514E3"/>
    <w:rsid w:val="00651708"/>
    <w:rsid w:val="00651B87"/>
    <w:rsid w:val="00651F08"/>
    <w:rsid w:val="006526FC"/>
    <w:rsid w:val="00652E10"/>
    <w:rsid w:val="00652ED7"/>
    <w:rsid w:val="00652F20"/>
    <w:rsid w:val="00653169"/>
    <w:rsid w:val="00653327"/>
    <w:rsid w:val="00653757"/>
    <w:rsid w:val="006537B9"/>
    <w:rsid w:val="006537E0"/>
    <w:rsid w:val="00653AD0"/>
    <w:rsid w:val="00653D9D"/>
    <w:rsid w:val="0065402B"/>
    <w:rsid w:val="006542AE"/>
    <w:rsid w:val="00654513"/>
    <w:rsid w:val="006545FF"/>
    <w:rsid w:val="0065469B"/>
    <w:rsid w:val="0065491D"/>
    <w:rsid w:val="00654EB0"/>
    <w:rsid w:val="00654F3D"/>
    <w:rsid w:val="00654F48"/>
    <w:rsid w:val="00654FE8"/>
    <w:rsid w:val="00655215"/>
    <w:rsid w:val="00655528"/>
    <w:rsid w:val="006555CC"/>
    <w:rsid w:val="0065567D"/>
    <w:rsid w:val="006558AC"/>
    <w:rsid w:val="00655A3E"/>
    <w:rsid w:val="00655A6C"/>
    <w:rsid w:val="00655F08"/>
    <w:rsid w:val="00656650"/>
    <w:rsid w:val="00656E64"/>
    <w:rsid w:val="006571DB"/>
    <w:rsid w:val="006572BF"/>
    <w:rsid w:val="006574C5"/>
    <w:rsid w:val="006578EE"/>
    <w:rsid w:val="00657B97"/>
    <w:rsid w:val="006602A8"/>
    <w:rsid w:val="006602C2"/>
    <w:rsid w:val="00660444"/>
    <w:rsid w:val="006604D0"/>
    <w:rsid w:val="0066065C"/>
    <w:rsid w:val="00660A46"/>
    <w:rsid w:val="00660F8C"/>
    <w:rsid w:val="00661034"/>
    <w:rsid w:val="0066116B"/>
    <w:rsid w:val="00661240"/>
    <w:rsid w:val="0066174A"/>
    <w:rsid w:val="0066204E"/>
    <w:rsid w:val="006623D4"/>
    <w:rsid w:val="006623E0"/>
    <w:rsid w:val="006624E3"/>
    <w:rsid w:val="00662694"/>
    <w:rsid w:val="006626AC"/>
    <w:rsid w:val="00662A25"/>
    <w:rsid w:val="00662ACD"/>
    <w:rsid w:val="00662EF9"/>
    <w:rsid w:val="00662FD1"/>
    <w:rsid w:val="0066302A"/>
    <w:rsid w:val="00663371"/>
    <w:rsid w:val="006634C6"/>
    <w:rsid w:val="0066360E"/>
    <w:rsid w:val="006636EB"/>
    <w:rsid w:val="00663B4A"/>
    <w:rsid w:val="00663E31"/>
    <w:rsid w:val="00664258"/>
    <w:rsid w:val="00664E19"/>
    <w:rsid w:val="0066527D"/>
    <w:rsid w:val="00665355"/>
    <w:rsid w:val="00665417"/>
    <w:rsid w:val="006654BB"/>
    <w:rsid w:val="0066559D"/>
    <w:rsid w:val="006658C9"/>
    <w:rsid w:val="006659FD"/>
    <w:rsid w:val="00665BED"/>
    <w:rsid w:val="00665CAB"/>
    <w:rsid w:val="00666113"/>
    <w:rsid w:val="00666382"/>
    <w:rsid w:val="006663A2"/>
    <w:rsid w:val="00666634"/>
    <w:rsid w:val="006666CD"/>
    <w:rsid w:val="00666873"/>
    <w:rsid w:val="00666A4C"/>
    <w:rsid w:val="00666B77"/>
    <w:rsid w:val="00667060"/>
    <w:rsid w:val="006674AA"/>
    <w:rsid w:val="00667660"/>
    <w:rsid w:val="006701ED"/>
    <w:rsid w:val="00670217"/>
    <w:rsid w:val="006706BD"/>
    <w:rsid w:val="0067077D"/>
    <w:rsid w:val="00670781"/>
    <w:rsid w:val="006708B5"/>
    <w:rsid w:val="00670D37"/>
    <w:rsid w:val="00670DE5"/>
    <w:rsid w:val="00670FE6"/>
    <w:rsid w:val="00671A6A"/>
    <w:rsid w:val="00671FC8"/>
    <w:rsid w:val="00672318"/>
    <w:rsid w:val="006723BA"/>
    <w:rsid w:val="00672416"/>
    <w:rsid w:val="006724ED"/>
    <w:rsid w:val="006724FA"/>
    <w:rsid w:val="0067305E"/>
    <w:rsid w:val="00673131"/>
    <w:rsid w:val="0067327E"/>
    <w:rsid w:val="00673329"/>
    <w:rsid w:val="0067332F"/>
    <w:rsid w:val="0067369B"/>
    <w:rsid w:val="006736FF"/>
    <w:rsid w:val="00673A37"/>
    <w:rsid w:val="00673C5E"/>
    <w:rsid w:val="00673E41"/>
    <w:rsid w:val="00674204"/>
    <w:rsid w:val="006742BB"/>
    <w:rsid w:val="00674838"/>
    <w:rsid w:val="00674A27"/>
    <w:rsid w:val="00674A5A"/>
    <w:rsid w:val="00674C92"/>
    <w:rsid w:val="00674CB3"/>
    <w:rsid w:val="00674CDA"/>
    <w:rsid w:val="00674F3E"/>
    <w:rsid w:val="00675508"/>
    <w:rsid w:val="00675667"/>
    <w:rsid w:val="006756D5"/>
    <w:rsid w:val="006756F8"/>
    <w:rsid w:val="006759A7"/>
    <w:rsid w:val="00675D1E"/>
    <w:rsid w:val="00675E23"/>
    <w:rsid w:val="0067639A"/>
    <w:rsid w:val="0067649B"/>
    <w:rsid w:val="006766A0"/>
    <w:rsid w:val="00676B05"/>
    <w:rsid w:val="00676C26"/>
    <w:rsid w:val="00676E1F"/>
    <w:rsid w:val="006774EF"/>
    <w:rsid w:val="006776BA"/>
    <w:rsid w:val="006777AD"/>
    <w:rsid w:val="006778D6"/>
    <w:rsid w:val="006778F8"/>
    <w:rsid w:val="006779B4"/>
    <w:rsid w:val="00677A8B"/>
    <w:rsid w:val="00677AA2"/>
    <w:rsid w:val="00677E4E"/>
    <w:rsid w:val="00677EE9"/>
    <w:rsid w:val="00680103"/>
    <w:rsid w:val="00680363"/>
    <w:rsid w:val="00680817"/>
    <w:rsid w:val="00680F5F"/>
    <w:rsid w:val="0068127C"/>
    <w:rsid w:val="0068178D"/>
    <w:rsid w:val="00681818"/>
    <w:rsid w:val="00681997"/>
    <w:rsid w:val="00681A71"/>
    <w:rsid w:val="00681B63"/>
    <w:rsid w:val="00681BEF"/>
    <w:rsid w:val="00681C00"/>
    <w:rsid w:val="00681E8C"/>
    <w:rsid w:val="006823BE"/>
    <w:rsid w:val="00682469"/>
    <w:rsid w:val="006824CD"/>
    <w:rsid w:val="0068293F"/>
    <w:rsid w:val="00682963"/>
    <w:rsid w:val="00682B79"/>
    <w:rsid w:val="00682E7D"/>
    <w:rsid w:val="0068302C"/>
    <w:rsid w:val="00683197"/>
    <w:rsid w:val="006833A4"/>
    <w:rsid w:val="006833F8"/>
    <w:rsid w:val="00683429"/>
    <w:rsid w:val="00683E5E"/>
    <w:rsid w:val="00684111"/>
    <w:rsid w:val="006841DD"/>
    <w:rsid w:val="006842DA"/>
    <w:rsid w:val="006848D2"/>
    <w:rsid w:val="00684B5E"/>
    <w:rsid w:val="006851BF"/>
    <w:rsid w:val="006852D8"/>
    <w:rsid w:val="00685648"/>
    <w:rsid w:val="0068641E"/>
    <w:rsid w:val="00686579"/>
    <w:rsid w:val="00686970"/>
    <w:rsid w:val="00686971"/>
    <w:rsid w:val="00686D03"/>
    <w:rsid w:val="00687021"/>
    <w:rsid w:val="0068766C"/>
    <w:rsid w:val="00687A4F"/>
    <w:rsid w:val="00687B81"/>
    <w:rsid w:val="00687CE4"/>
    <w:rsid w:val="00687D11"/>
    <w:rsid w:val="00687EEA"/>
    <w:rsid w:val="00687F42"/>
    <w:rsid w:val="00690004"/>
    <w:rsid w:val="006900E6"/>
    <w:rsid w:val="006900ED"/>
    <w:rsid w:val="00690100"/>
    <w:rsid w:val="006901B2"/>
    <w:rsid w:val="006903F2"/>
    <w:rsid w:val="006905E6"/>
    <w:rsid w:val="00690657"/>
    <w:rsid w:val="00690F18"/>
    <w:rsid w:val="00691182"/>
    <w:rsid w:val="0069129A"/>
    <w:rsid w:val="0069132F"/>
    <w:rsid w:val="006915B5"/>
    <w:rsid w:val="00691732"/>
    <w:rsid w:val="0069189B"/>
    <w:rsid w:val="00691963"/>
    <w:rsid w:val="00691D99"/>
    <w:rsid w:val="00691FAB"/>
    <w:rsid w:val="006923E6"/>
    <w:rsid w:val="0069297E"/>
    <w:rsid w:val="00692F3D"/>
    <w:rsid w:val="00693210"/>
    <w:rsid w:val="00693214"/>
    <w:rsid w:val="0069334F"/>
    <w:rsid w:val="0069354B"/>
    <w:rsid w:val="006938A1"/>
    <w:rsid w:val="006938F6"/>
    <w:rsid w:val="00693EA9"/>
    <w:rsid w:val="006944DF"/>
    <w:rsid w:val="00695398"/>
    <w:rsid w:val="00695403"/>
    <w:rsid w:val="00695A84"/>
    <w:rsid w:val="00695C1B"/>
    <w:rsid w:val="00695C41"/>
    <w:rsid w:val="00695EA9"/>
    <w:rsid w:val="00695F7C"/>
    <w:rsid w:val="00696243"/>
    <w:rsid w:val="00696835"/>
    <w:rsid w:val="00696941"/>
    <w:rsid w:val="00696A0D"/>
    <w:rsid w:val="00696B2C"/>
    <w:rsid w:val="00696D78"/>
    <w:rsid w:val="00696F26"/>
    <w:rsid w:val="006973DC"/>
    <w:rsid w:val="0069792A"/>
    <w:rsid w:val="00697995"/>
    <w:rsid w:val="00697E85"/>
    <w:rsid w:val="00697FDF"/>
    <w:rsid w:val="006A0078"/>
    <w:rsid w:val="006A047F"/>
    <w:rsid w:val="006A0F1B"/>
    <w:rsid w:val="006A136B"/>
    <w:rsid w:val="006A149E"/>
    <w:rsid w:val="006A1AC7"/>
    <w:rsid w:val="006A256B"/>
    <w:rsid w:val="006A259E"/>
    <w:rsid w:val="006A281E"/>
    <w:rsid w:val="006A3156"/>
    <w:rsid w:val="006A3458"/>
    <w:rsid w:val="006A359E"/>
    <w:rsid w:val="006A3638"/>
    <w:rsid w:val="006A37AC"/>
    <w:rsid w:val="006A394D"/>
    <w:rsid w:val="006A3E24"/>
    <w:rsid w:val="006A3FAB"/>
    <w:rsid w:val="006A4783"/>
    <w:rsid w:val="006A48A3"/>
    <w:rsid w:val="006A4BC4"/>
    <w:rsid w:val="006A4C57"/>
    <w:rsid w:val="006A4E49"/>
    <w:rsid w:val="006A4F16"/>
    <w:rsid w:val="006A4FD3"/>
    <w:rsid w:val="006A52BE"/>
    <w:rsid w:val="006A52D1"/>
    <w:rsid w:val="006A52E7"/>
    <w:rsid w:val="006A5517"/>
    <w:rsid w:val="006A56B6"/>
    <w:rsid w:val="006A56C2"/>
    <w:rsid w:val="006A57B9"/>
    <w:rsid w:val="006A585B"/>
    <w:rsid w:val="006A59DB"/>
    <w:rsid w:val="006A6236"/>
    <w:rsid w:val="006A63A8"/>
    <w:rsid w:val="006A64CF"/>
    <w:rsid w:val="006A6AF7"/>
    <w:rsid w:val="006A6B59"/>
    <w:rsid w:val="006A6B90"/>
    <w:rsid w:val="006A6B99"/>
    <w:rsid w:val="006A6BA4"/>
    <w:rsid w:val="006A6C04"/>
    <w:rsid w:val="006A6F62"/>
    <w:rsid w:val="006A718A"/>
    <w:rsid w:val="006A7293"/>
    <w:rsid w:val="006A78F2"/>
    <w:rsid w:val="006A7E7B"/>
    <w:rsid w:val="006B001E"/>
    <w:rsid w:val="006B00FB"/>
    <w:rsid w:val="006B0253"/>
    <w:rsid w:val="006B0884"/>
    <w:rsid w:val="006B08F2"/>
    <w:rsid w:val="006B0A24"/>
    <w:rsid w:val="006B1C0A"/>
    <w:rsid w:val="006B1C8A"/>
    <w:rsid w:val="006B1E15"/>
    <w:rsid w:val="006B20BE"/>
    <w:rsid w:val="006B2557"/>
    <w:rsid w:val="006B26A3"/>
    <w:rsid w:val="006B2889"/>
    <w:rsid w:val="006B2A5F"/>
    <w:rsid w:val="006B2D03"/>
    <w:rsid w:val="006B31EF"/>
    <w:rsid w:val="006B32EA"/>
    <w:rsid w:val="006B3734"/>
    <w:rsid w:val="006B3991"/>
    <w:rsid w:val="006B3BBC"/>
    <w:rsid w:val="006B406F"/>
    <w:rsid w:val="006B4370"/>
    <w:rsid w:val="006B47E1"/>
    <w:rsid w:val="006B4A52"/>
    <w:rsid w:val="006B4C28"/>
    <w:rsid w:val="006B550C"/>
    <w:rsid w:val="006B59C4"/>
    <w:rsid w:val="006B5AC1"/>
    <w:rsid w:val="006B5B29"/>
    <w:rsid w:val="006B5B79"/>
    <w:rsid w:val="006B5C9E"/>
    <w:rsid w:val="006B60D3"/>
    <w:rsid w:val="006B63A2"/>
    <w:rsid w:val="006B6415"/>
    <w:rsid w:val="006B6492"/>
    <w:rsid w:val="006B64AC"/>
    <w:rsid w:val="006B65CC"/>
    <w:rsid w:val="006B6C44"/>
    <w:rsid w:val="006B6D32"/>
    <w:rsid w:val="006B6EB1"/>
    <w:rsid w:val="006B7BC1"/>
    <w:rsid w:val="006B7D53"/>
    <w:rsid w:val="006C058B"/>
    <w:rsid w:val="006C0708"/>
    <w:rsid w:val="006C07EB"/>
    <w:rsid w:val="006C0B21"/>
    <w:rsid w:val="006C1336"/>
    <w:rsid w:val="006C15C5"/>
    <w:rsid w:val="006C160D"/>
    <w:rsid w:val="006C1910"/>
    <w:rsid w:val="006C1B75"/>
    <w:rsid w:val="006C1BD0"/>
    <w:rsid w:val="006C1C10"/>
    <w:rsid w:val="006C1CFB"/>
    <w:rsid w:val="006C1D8C"/>
    <w:rsid w:val="006C1E30"/>
    <w:rsid w:val="006C21E3"/>
    <w:rsid w:val="006C22DA"/>
    <w:rsid w:val="006C22F1"/>
    <w:rsid w:val="006C29CB"/>
    <w:rsid w:val="006C2C87"/>
    <w:rsid w:val="006C2D5E"/>
    <w:rsid w:val="006C31EF"/>
    <w:rsid w:val="006C3228"/>
    <w:rsid w:val="006C3267"/>
    <w:rsid w:val="006C32F3"/>
    <w:rsid w:val="006C3494"/>
    <w:rsid w:val="006C34F7"/>
    <w:rsid w:val="006C3628"/>
    <w:rsid w:val="006C369B"/>
    <w:rsid w:val="006C3737"/>
    <w:rsid w:val="006C3E9F"/>
    <w:rsid w:val="006C4629"/>
    <w:rsid w:val="006C4697"/>
    <w:rsid w:val="006C4803"/>
    <w:rsid w:val="006C4C7A"/>
    <w:rsid w:val="006C4CAC"/>
    <w:rsid w:val="006C4F1A"/>
    <w:rsid w:val="006C4FE9"/>
    <w:rsid w:val="006C56FB"/>
    <w:rsid w:val="006C584C"/>
    <w:rsid w:val="006C598B"/>
    <w:rsid w:val="006C5EA9"/>
    <w:rsid w:val="006C5EEE"/>
    <w:rsid w:val="006C65F9"/>
    <w:rsid w:val="006C6657"/>
    <w:rsid w:val="006C66E5"/>
    <w:rsid w:val="006C67D3"/>
    <w:rsid w:val="006C6CF4"/>
    <w:rsid w:val="006C6D27"/>
    <w:rsid w:val="006C6EA5"/>
    <w:rsid w:val="006C6FF5"/>
    <w:rsid w:val="006C70FE"/>
    <w:rsid w:val="006C7718"/>
    <w:rsid w:val="006C7A75"/>
    <w:rsid w:val="006C7AD6"/>
    <w:rsid w:val="006C7BC1"/>
    <w:rsid w:val="006C7E88"/>
    <w:rsid w:val="006C7F7E"/>
    <w:rsid w:val="006D006B"/>
    <w:rsid w:val="006D05CC"/>
    <w:rsid w:val="006D088F"/>
    <w:rsid w:val="006D0962"/>
    <w:rsid w:val="006D0AAF"/>
    <w:rsid w:val="006D0AFE"/>
    <w:rsid w:val="006D0CBA"/>
    <w:rsid w:val="006D0DDC"/>
    <w:rsid w:val="006D0EDA"/>
    <w:rsid w:val="006D104A"/>
    <w:rsid w:val="006D111B"/>
    <w:rsid w:val="006D11E3"/>
    <w:rsid w:val="006D1280"/>
    <w:rsid w:val="006D1525"/>
    <w:rsid w:val="006D1528"/>
    <w:rsid w:val="006D1A00"/>
    <w:rsid w:val="006D1E6A"/>
    <w:rsid w:val="006D2343"/>
    <w:rsid w:val="006D2481"/>
    <w:rsid w:val="006D25D4"/>
    <w:rsid w:val="006D273C"/>
    <w:rsid w:val="006D2838"/>
    <w:rsid w:val="006D31C8"/>
    <w:rsid w:val="006D32A4"/>
    <w:rsid w:val="006D36E5"/>
    <w:rsid w:val="006D38DA"/>
    <w:rsid w:val="006D3921"/>
    <w:rsid w:val="006D398D"/>
    <w:rsid w:val="006D3BD2"/>
    <w:rsid w:val="006D3E19"/>
    <w:rsid w:val="006D3E60"/>
    <w:rsid w:val="006D3E7B"/>
    <w:rsid w:val="006D41DD"/>
    <w:rsid w:val="006D47B9"/>
    <w:rsid w:val="006D4E96"/>
    <w:rsid w:val="006D51B2"/>
    <w:rsid w:val="006D529A"/>
    <w:rsid w:val="006D569D"/>
    <w:rsid w:val="006D596E"/>
    <w:rsid w:val="006D5E52"/>
    <w:rsid w:val="006D6005"/>
    <w:rsid w:val="006D6121"/>
    <w:rsid w:val="006D6823"/>
    <w:rsid w:val="006D6D39"/>
    <w:rsid w:val="006D6D90"/>
    <w:rsid w:val="006D6E7D"/>
    <w:rsid w:val="006D6F84"/>
    <w:rsid w:val="006D7781"/>
    <w:rsid w:val="006D7B2C"/>
    <w:rsid w:val="006D7C7F"/>
    <w:rsid w:val="006D7D67"/>
    <w:rsid w:val="006D7DBD"/>
    <w:rsid w:val="006E019D"/>
    <w:rsid w:val="006E037D"/>
    <w:rsid w:val="006E0872"/>
    <w:rsid w:val="006E12D1"/>
    <w:rsid w:val="006E1355"/>
    <w:rsid w:val="006E13D7"/>
    <w:rsid w:val="006E15D6"/>
    <w:rsid w:val="006E166E"/>
    <w:rsid w:val="006E1851"/>
    <w:rsid w:val="006E19CE"/>
    <w:rsid w:val="006E1A61"/>
    <w:rsid w:val="006E1C06"/>
    <w:rsid w:val="006E1D1D"/>
    <w:rsid w:val="006E2087"/>
    <w:rsid w:val="006E239D"/>
    <w:rsid w:val="006E249D"/>
    <w:rsid w:val="006E2649"/>
    <w:rsid w:val="006E28A3"/>
    <w:rsid w:val="006E2B66"/>
    <w:rsid w:val="006E2F9C"/>
    <w:rsid w:val="006E301B"/>
    <w:rsid w:val="006E3334"/>
    <w:rsid w:val="006E357A"/>
    <w:rsid w:val="006E3586"/>
    <w:rsid w:val="006E38F5"/>
    <w:rsid w:val="006E3AC4"/>
    <w:rsid w:val="006E3ACF"/>
    <w:rsid w:val="006E3AD0"/>
    <w:rsid w:val="006E3B0D"/>
    <w:rsid w:val="006E3C3D"/>
    <w:rsid w:val="006E3CCD"/>
    <w:rsid w:val="006E4B83"/>
    <w:rsid w:val="006E4BC6"/>
    <w:rsid w:val="006E548C"/>
    <w:rsid w:val="006E5822"/>
    <w:rsid w:val="006E58BB"/>
    <w:rsid w:val="006E5B1F"/>
    <w:rsid w:val="006E608A"/>
    <w:rsid w:val="006E6385"/>
    <w:rsid w:val="006E6386"/>
    <w:rsid w:val="006E6509"/>
    <w:rsid w:val="006E660B"/>
    <w:rsid w:val="006E68F2"/>
    <w:rsid w:val="006E6A4D"/>
    <w:rsid w:val="006E6B02"/>
    <w:rsid w:val="006E6B55"/>
    <w:rsid w:val="006E6B5A"/>
    <w:rsid w:val="006E6F19"/>
    <w:rsid w:val="006E6FA1"/>
    <w:rsid w:val="006E73F8"/>
    <w:rsid w:val="006E7599"/>
    <w:rsid w:val="006E75E0"/>
    <w:rsid w:val="006E766D"/>
    <w:rsid w:val="006E7C73"/>
    <w:rsid w:val="006E7DFD"/>
    <w:rsid w:val="006F02D5"/>
    <w:rsid w:val="006F04BD"/>
    <w:rsid w:val="006F0893"/>
    <w:rsid w:val="006F12F8"/>
    <w:rsid w:val="006F1847"/>
    <w:rsid w:val="006F2284"/>
    <w:rsid w:val="006F2385"/>
    <w:rsid w:val="006F2625"/>
    <w:rsid w:val="006F26A8"/>
    <w:rsid w:val="006F2703"/>
    <w:rsid w:val="006F2A82"/>
    <w:rsid w:val="006F2AB4"/>
    <w:rsid w:val="006F2AB8"/>
    <w:rsid w:val="006F2B82"/>
    <w:rsid w:val="006F2DA6"/>
    <w:rsid w:val="006F3436"/>
    <w:rsid w:val="006F3607"/>
    <w:rsid w:val="006F3B67"/>
    <w:rsid w:val="006F3BCF"/>
    <w:rsid w:val="006F3D46"/>
    <w:rsid w:val="006F3D52"/>
    <w:rsid w:val="006F414D"/>
    <w:rsid w:val="006F437B"/>
    <w:rsid w:val="006F4989"/>
    <w:rsid w:val="006F49DE"/>
    <w:rsid w:val="006F51ED"/>
    <w:rsid w:val="006F52DA"/>
    <w:rsid w:val="006F5580"/>
    <w:rsid w:val="006F565F"/>
    <w:rsid w:val="006F5799"/>
    <w:rsid w:val="006F5836"/>
    <w:rsid w:val="006F5990"/>
    <w:rsid w:val="006F5C08"/>
    <w:rsid w:val="006F5C9A"/>
    <w:rsid w:val="006F5FC3"/>
    <w:rsid w:val="006F6393"/>
    <w:rsid w:val="006F67FD"/>
    <w:rsid w:val="006F704C"/>
    <w:rsid w:val="006F73D8"/>
    <w:rsid w:val="006F7D59"/>
    <w:rsid w:val="007000B5"/>
    <w:rsid w:val="00700177"/>
    <w:rsid w:val="007005E2"/>
    <w:rsid w:val="007007AC"/>
    <w:rsid w:val="00701134"/>
    <w:rsid w:val="00701461"/>
    <w:rsid w:val="00701904"/>
    <w:rsid w:val="00701D70"/>
    <w:rsid w:val="0070233A"/>
    <w:rsid w:val="007023CB"/>
    <w:rsid w:val="00702523"/>
    <w:rsid w:val="00702585"/>
    <w:rsid w:val="0070264D"/>
    <w:rsid w:val="00702DEA"/>
    <w:rsid w:val="00702E28"/>
    <w:rsid w:val="00703029"/>
    <w:rsid w:val="007032DE"/>
    <w:rsid w:val="0070377D"/>
    <w:rsid w:val="00703B8D"/>
    <w:rsid w:val="00703EC8"/>
    <w:rsid w:val="0070463B"/>
    <w:rsid w:val="0070464A"/>
    <w:rsid w:val="0070488B"/>
    <w:rsid w:val="0070488C"/>
    <w:rsid w:val="00704D43"/>
    <w:rsid w:val="00704F5B"/>
    <w:rsid w:val="007053D2"/>
    <w:rsid w:val="00705732"/>
    <w:rsid w:val="00705940"/>
    <w:rsid w:val="00705A65"/>
    <w:rsid w:val="00705F07"/>
    <w:rsid w:val="007068DD"/>
    <w:rsid w:val="00706BC6"/>
    <w:rsid w:val="0071024F"/>
    <w:rsid w:val="00710352"/>
    <w:rsid w:val="0071050E"/>
    <w:rsid w:val="007105CE"/>
    <w:rsid w:val="007108D5"/>
    <w:rsid w:val="007109C4"/>
    <w:rsid w:val="0071116A"/>
    <w:rsid w:val="007112E6"/>
    <w:rsid w:val="007117DA"/>
    <w:rsid w:val="00711A6C"/>
    <w:rsid w:val="00711AA7"/>
    <w:rsid w:val="00711B1E"/>
    <w:rsid w:val="00711F9D"/>
    <w:rsid w:val="007124F6"/>
    <w:rsid w:val="007127CE"/>
    <w:rsid w:val="00712852"/>
    <w:rsid w:val="007128CD"/>
    <w:rsid w:val="00712E11"/>
    <w:rsid w:val="00712EB6"/>
    <w:rsid w:val="00712EE7"/>
    <w:rsid w:val="007131E7"/>
    <w:rsid w:val="00713953"/>
    <w:rsid w:val="00713DFD"/>
    <w:rsid w:val="00713E3E"/>
    <w:rsid w:val="00713F7C"/>
    <w:rsid w:val="00714024"/>
    <w:rsid w:val="0071402D"/>
    <w:rsid w:val="00714543"/>
    <w:rsid w:val="007146E8"/>
    <w:rsid w:val="0071476B"/>
    <w:rsid w:val="00714A34"/>
    <w:rsid w:val="00714C65"/>
    <w:rsid w:val="007151A6"/>
    <w:rsid w:val="0071520B"/>
    <w:rsid w:val="00715314"/>
    <w:rsid w:val="00715818"/>
    <w:rsid w:val="00715C7D"/>
    <w:rsid w:val="00715FCE"/>
    <w:rsid w:val="007161BE"/>
    <w:rsid w:val="0071632C"/>
    <w:rsid w:val="007163E0"/>
    <w:rsid w:val="0071696B"/>
    <w:rsid w:val="00716BC9"/>
    <w:rsid w:val="00716C49"/>
    <w:rsid w:val="007173AC"/>
    <w:rsid w:val="00717574"/>
    <w:rsid w:val="0071757E"/>
    <w:rsid w:val="007177AC"/>
    <w:rsid w:val="007178FC"/>
    <w:rsid w:val="00717994"/>
    <w:rsid w:val="00717A51"/>
    <w:rsid w:val="00717AA3"/>
    <w:rsid w:val="00717C1B"/>
    <w:rsid w:val="00717E54"/>
    <w:rsid w:val="00717F84"/>
    <w:rsid w:val="0071F43C"/>
    <w:rsid w:val="00720305"/>
    <w:rsid w:val="007203B1"/>
    <w:rsid w:val="0072072B"/>
    <w:rsid w:val="0072099A"/>
    <w:rsid w:val="00720B1F"/>
    <w:rsid w:val="00720D1B"/>
    <w:rsid w:val="0072158A"/>
    <w:rsid w:val="00721B85"/>
    <w:rsid w:val="00721D24"/>
    <w:rsid w:val="00721D82"/>
    <w:rsid w:val="00721E13"/>
    <w:rsid w:val="00721E93"/>
    <w:rsid w:val="00721F89"/>
    <w:rsid w:val="0072218A"/>
    <w:rsid w:val="00722203"/>
    <w:rsid w:val="007223A4"/>
    <w:rsid w:val="00722475"/>
    <w:rsid w:val="00722643"/>
    <w:rsid w:val="00722B3D"/>
    <w:rsid w:val="00722C46"/>
    <w:rsid w:val="0072353A"/>
    <w:rsid w:val="007237A2"/>
    <w:rsid w:val="0072384D"/>
    <w:rsid w:val="00723C0F"/>
    <w:rsid w:val="00724291"/>
    <w:rsid w:val="00724353"/>
    <w:rsid w:val="0072449D"/>
    <w:rsid w:val="00724B6A"/>
    <w:rsid w:val="00724BF5"/>
    <w:rsid w:val="0072530F"/>
    <w:rsid w:val="00725353"/>
    <w:rsid w:val="00725B23"/>
    <w:rsid w:val="00725E34"/>
    <w:rsid w:val="0072603B"/>
    <w:rsid w:val="00726273"/>
    <w:rsid w:val="00726425"/>
    <w:rsid w:val="00726590"/>
    <w:rsid w:val="007269AD"/>
    <w:rsid w:val="00726E2B"/>
    <w:rsid w:val="007274BB"/>
    <w:rsid w:val="0072789E"/>
    <w:rsid w:val="00727AD9"/>
    <w:rsid w:val="00727B8B"/>
    <w:rsid w:val="0073005D"/>
    <w:rsid w:val="0073011C"/>
    <w:rsid w:val="00731035"/>
    <w:rsid w:val="007313FD"/>
    <w:rsid w:val="00731A7E"/>
    <w:rsid w:val="00731A97"/>
    <w:rsid w:val="00731E07"/>
    <w:rsid w:val="00732207"/>
    <w:rsid w:val="0073223E"/>
    <w:rsid w:val="00732458"/>
    <w:rsid w:val="00732558"/>
    <w:rsid w:val="00732627"/>
    <w:rsid w:val="00732695"/>
    <w:rsid w:val="00732C0D"/>
    <w:rsid w:val="0073322C"/>
    <w:rsid w:val="007332AE"/>
    <w:rsid w:val="0073339C"/>
    <w:rsid w:val="00733430"/>
    <w:rsid w:val="007335C1"/>
    <w:rsid w:val="007335E7"/>
    <w:rsid w:val="00733A65"/>
    <w:rsid w:val="007340AA"/>
    <w:rsid w:val="00734246"/>
    <w:rsid w:val="00734305"/>
    <w:rsid w:val="00734856"/>
    <w:rsid w:val="00734874"/>
    <w:rsid w:val="00734878"/>
    <w:rsid w:val="007348BE"/>
    <w:rsid w:val="00734A51"/>
    <w:rsid w:val="00734B68"/>
    <w:rsid w:val="00734CB6"/>
    <w:rsid w:val="007358CC"/>
    <w:rsid w:val="00735B43"/>
    <w:rsid w:val="00735B56"/>
    <w:rsid w:val="00735B99"/>
    <w:rsid w:val="00735EA0"/>
    <w:rsid w:val="0073639B"/>
    <w:rsid w:val="007369E6"/>
    <w:rsid w:val="00736B29"/>
    <w:rsid w:val="00736FA0"/>
    <w:rsid w:val="00736FDC"/>
    <w:rsid w:val="00737099"/>
    <w:rsid w:val="00737270"/>
    <w:rsid w:val="00737B5F"/>
    <w:rsid w:val="00737D08"/>
    <w:rsid w:val="0074005D"/>
    <w:rsid w:val="007401D7"/>
    <w:rsid w:val="00740E39"/>
    <w:rsid w:val="007410DA"/>
    <w:rsid w:val="007411FC"/>
    <w:rsid w:val="0074120D"/>
    <w:rsid w:val="00741C41"/>
    <w:rsid w:val="00742786"/>
    <w:rsid w:val="00742B62"/>
    <w:rsid w:val="007431DA"/>
    <w:rsid w:val="00743312"/>
    <w:rsid w:val="007433F6"/>
    <w:rsid w:val="007434B6"/>
    <w:rsid w:val="007434BE"/>
    <w:rsid w:val="007434CF"/>
    <w:rsid w:val="007434DF"/>
    <w:rsid w:val="0074376E"/>
    <w:rsid w:val="0074377D"/>
    <w:rsid w:val="00743791"/>
    <w:rsid w:val="0074390A"/>
    <w:rsid w:val="00743B42"/>
    <w:rsid w:val="00743B4E"/>
    <w:rsid w:val="00743E5F"/>
    <w:rsid w:val="00743F5E"/>
    <w:rsid w:val="007447C8"/>
    <w:rsid w:val="00744896"/>
    <w:rsid w:val="00745057"/>
    <w:rsid w:val="00745325"/>
    <w:rsid w:val="00745831"/>
    <w:rsid w:val="00745A55"/>
    <w:rsid w:val="00745AB2"/>
    <w:rsid w:val="00745D41"/>
    <w:rsid w:val="007462C6"/>
    <w:rsid w:val="00746D50"/>
    <w:rsid w:val="0074745B"/>
    <w:rsid w:val="0074745C"/>
    <w:rsid w:val="00747517"/>
    <w:rsid w:val="0074752A"/>
    <w:rsid w:val="00747663"/>
    <w:rsid w:val="00747738"/>
    <w:rsid w:val="007477EA"/>
    <w:rsid w:val="00747986"/>
    <w:rsid w:val="007479CE"/>
    <w:rsid w:val="00750B29"/>
    <w:rsid w:val="00750E91"/>
    <w:rsid w:val="0075151B"/>
    <w:rsid w:val="007518CE"/>
    <w:rsid w:val="00751A87"/>
    <w:rsid w:val="00751AAA"/>
    <w:rsid w:val="00751BF2"/>
    <w:rsid w:val="007527CE"/>
    <w:rsid w:val="007528DF"/>
    <w:rsid w:val="00752A0B"/>
    <w:rsid w:val="00752B22"/>
    <w:rsid w:val="007531E0"/>
    <w:rsid w:val="00753341"/>
    <w:rsid w:val="007533A1"/>
    <w:rsid w:val="0075347E"/>
    <w:rsid w:val="00753534"/>
    <w:rsid w:val="0075389C"/>
    <w:rsid w:val="00754195"/>
    <w:rsid w:val="0075419D"/>
    <w:rsid w:val="007541F6"/>
    <w:rsid w:val="007544E6"/>
    <w:rsid w:val="007544E7"/>
    <w:rsid w:val="007545BF"/>
    <w:rsid w:val="00754621"/>
    <w:rsid w:val="007549B7"/>
    <w:rsid w:val="007549D7"/>
    <w:rsid w:val="00754B42"/>
    <w:rsid w:val="00754CEE"/>
    <w:rsid w:val="00754D93"/>
    <w:rsid w:val="0075551A"/>
    <w:rsid w:val="00755746"/>
    <w:rsid w:val="0075584E"/>
    <w:rsid w:val="007560D2"/>
    <w:rsid w:val="007561E0"/>
    <w:rsid w:val="00756316"/>
    <w:rsid w:val="007563C4"/>
    <w:rsid w:val="00756400"/>
    <w:rsid w:val="00756565"/>
    <w:rsid w:val="00756888"/>
    <w:rsid w:val="00756C33"/>
    <w:rsid w:val="00756D37"/>
    <w:rsid w:val="0075705A"/>
    <w:rsid w:val="007570E2"/>
    <w:rsid w:val="007572C9"/>
    <w:rsid w:val="0075749B"/>
    <w:rsid w:val="00757881"/>
    <w:rsid w:val="00757DF1"/>
    <w:rsid w:val="00757F29"/>
    <w:rsid w:val="00757FE5"/>
    <w:rsid w:val="007605D1"/>
    <w:rsid w:val="007606F0"/>
    <w:rsid w:val="00760962"/>
    <w:rsid w:val="00760A7C"/>
    <w:rsid w:val="00760B88"/>
    <w:rsid w:val="00760EC8"/>
    <w:rsid w:val="00761340"/>
    <w:rsid w:val="007614E2"/>
    <w:rsid w:val="0076153C"/>
    <w:rsid w:val="007617D0"/>
    <w:rsid w:val="007618E0"/>
    <w:rsid w:val="00761974"/>
    <w:rsid w:val="007619C3"/>
    <w:rsid w:val="00761C8C"/>
    <w:rsid w:val="00761CF1"/>
    <w:rsid w:val="00761D3D"/>
    <w:rsid w:val="00762082"/>
    <w:rsid w:val="00762458"/>
    <w:rsid w:val="00762C4D"/>
    <w:rsid w:val="00762D3F"/>
    <w:rsid w:val="007632A9"/>
    <w:rsid w:val="00763381"/>
    <w:rsid w:val="00763585"/>
    <w:rsid w:val="0076386F"/>
    <w:rsid w:val="00763B84"/>
    <w:rsid w:val="00763E99"/>
    <w:rsid w:val="00764037"/>
    <w:rsid w:val="00764412"/>
    <w:rsid w:val="0076456E"/>
    <w:rsid w:val="007645C6"/>
    <w:rsid w:val="00764707"/>
    <w:rsid w:val="00764BE7"/>
    <w:rsid w:val="00764E62"/>
    <w:rsid w:val="0076586E"/>
    <w:rsid w:val="00765AAB"/>
    <w:rsid w:val="00765BA9"/>
    <w:rsid w:val="00766218"/>
    <w:rsid w:val="00766411"/>
    <w:rsid w:val="0076659C"/>
    <w:rsid w:val="0076672F"/>
    <w:rsid w:val="00766773"/>
    <w:rsid w:val="00766803"/>
    <w:rsid w:val="00766E88"/>
    <w:rsid w:val="00767172"/>
    <w:rsid w:val="00767341"/>
    <w:rsid w:val="007675FB"/>
    <w:rsid w:val="00767706"/>
    <w:rsid w:val="00767D65"/>
    <w:rsid w:val="00767EC1"/>
    <w:rsid w:val="007709BD"/>
    <w:rsid w:val="00770E45"/>
    <w:rsid w:val="00770E7C"/>
    <w:rsid w:val="00771257"/>
    <w:rsid w:val="007713E4"/>
    <w:rsid w:val="007715ED"/>
    <w:rsid w:val="007717E2"/>
    <w:rsid w:val="007718A5"/>
    <w:rsid w:val="007719C3"/>
    <w:rsid w:val="007719EF"/>
    <w:rsid w:val="00771CF5"/>
    <w:rsid w:val="0077221D"/>
    <w:rsid w:val="0077262E"/>
    <w:rsid w:val="007727EB"/>
    <w:rsid w:val="007731A1"/>
    <w:rsid w:val="007731EB"/>
    <w:rsid w:val="0077352F"/>
    <w:rsid w:val="00773613"/>
    <w:rsid w:val="00773986"/>
    <w:rsid w:val="0077415F"/>
    <w:rsid w:val="0077428F"/>
    <w:rsid w:val="007744D0"/>
    <w:rsid w:val="00774CC4"/>
    <w:rsid w:val="00775B0B"/>
    <w:rsid w:val="0077608F"/>
    <w:rsid w:val="0077612E"/>
    <w:rsid w:val="007763E8"/>
    <w:rsid w:val="007765DE"/>
    <w:rsid w:val="00776983"/>
    <w:rsid w:val="00776CCE"/>
    <w:rsid w:val="00776D5C"/>
    <w:rsid w:val="00776E28"/>
    <w:rsid w:val="00776F5A"/>
    <w:rsid w:val="0077711C"/>
    <w:rsid w:val="0077725D"/>
    <w:rsid w:val="00777514"/>
    <w:rsid w:val="007779C6"/>
    <w:rsid w:val="00777BEE"/>
    <w:rsid w:val="00777D10"/>
    <w:rsid w:val="00777DB3"/>
    <w:rsid w:val="00777EA8"/>
    <w:rsid w:val="0077E30C"/>
    <w:rsid w:val="00780270"/>
    <w:rsid w:val="0078042F"/>
    <w:rsid w:val="00780509"/>
    <w:rsid w:val="007805FE"/>
    <w:rsid w:val="0078111D"/>
    <w:rsid w:val="0078120B"/>
    <w:rsid w:val="00781646"/>
    <w:rsid w:val="007816E4"/>
    <w:rsid w:val="007817C3"/>
    <w:rsid w:val="007817EB"/>
    <w:rsid w:val="0078189B"/>
    <w:rsid w:val="0078195E"/>
    <w:rsid w:val="00781A65"/>
    <w:rsid w:val="00781AF4"/>
    <w:rsid w:val="00781C9F"/>
    <w:rsid w:val="00781D24"/>
    <w:rsid w:val="00781E04"/>
    <w:rsid w:val="00781E4E"/>
    <w:rsid w:val="00782094"/>
    <w:rsid w:val="00782454"/>
    <w:rsid w:val="00782656"/>
    <w:rsid w:val="00782B3E"/>
    <w:rsid w:val="00782D9E"/>
    <w:rsid w:val="00782DF9"/>
    <w:rsid w:val="007830F4"/>
    <w:rsid w:val="007832A5"/>
    <w:rsid w:val="00783385"/>
    <w:rsid w:val="0078418E"/>
    <w:rsid w:val="00784C90"/>
    <w:rsid w:val="00784DAE"/>
    <w:rsid w:val="00784E40"/>
    <w:rsid w:val="00784EAD"/>
    <w:rsid w:val="007855D7"/>
    <w:rsid w:val="00785884"/>
    <w:rsid w:val="007858A2"/>
    <w:rsid w:val="00785ABB"/>
    <w:rsid w:val="00785E12"/>
    <w:rsid w:val="00785E35"/>
    <w:rsid w:val="007861C2"/>
    <w:rsid w:val="007865BE"/>
    <w:rsid w:val="00786998"/>
    <w:rsid w:val="00786B35"/>
    <w:rsid w:val="00786E00"/>
    <w:rsid w:val="00787266"/>
    <w:rsid w:val="007872CD"/>
    <w:rsid w:val="007873C7"/>
    <w:rsid w:val="007874A4"/>
    <w:rsid w:val="00787538"/>
    <w:rsid w:val="00787C3F"/>
    <w:rsid w:val="00787D24"/>
    <w:rsid w:val="007902A6"/>
    <w:rsid w:val="007902CB"/>
    <w:rsid w:val="0079041B"/>
    <w:rsid w:val="007905BE"/>
    <w:rsid w:val="00791086"/>
    <w:rsid w:val="00791420"/>
    <w:rsid w:val="00791794"/>
    <w:rsid w:val="00791A0B"/>
    <w:rsid w:val="00791FE3"/>
    <w:rsid w:val="0079235A"/>
    <w:rsid w:val="00792421"/>
    <w:rsid w:val="0079244F"/>
    <w:rsid w:val="0079253C"/>
    <w:rsid w:val="0079263E"/>
    <w:rsid w:val="007926DA"/>
    <w:rsid w:val="00792932"/>
    <w:rsid w:val="00792B51"/>
    <w:rsid w:val="00792CDF"/>
    <w:rsid w:val="00792DA5"/>
    <w:rsid w:val="00792F8D"/>
    <w:rsid w:val="00793035"/>
    <w:rsid w:val="007930C5"/>
    <w:rsid w:val="00793560"/>
    <w:rsid w:val="00793A6E"/>
    <w:rsid w:val="00793D4C"/>
    <w:rsid w:val="0079444F"/>
    <w:rsid w:val="007948F0"/>
    <w:rsid w:val="00794D68"/>
    <w:rsid w:val="0079571A"/>
    <w:rsid w:val="007958DD"/>
    <w:rsid w:val="00795934"/>
    <w:rsid w:val="00795A68"/>
    <w:rsid w:val="00795BF7"/>
    <w:rsid w:val="00795C5A"/>
    <w:rsid w:val="007964C4"/>
    <w:rsid w:val="00796792"/>
    <w:rsid w:val="00796A3C"/>
    <w:rsid w:val="00796CC1"/>
    <w:rsid w:val="00796DFB"/>
    <w:rsid w:val="007970D3"/>
    <w:rsid w:val="007978A1"/>
    <w:rsid w:val="0079798A"/>
    <w:rsid w:val="00797CFF"/>
    <w:rsid w:val="007A006B"/>
    <w:rsid w:val="007A073F"/>
    <w:rsid w:val="007A097B"/>
    <w:rsid w:val="007A0A2D"/>
    <w:rsid w:val="007A0B67"/>
    <w:rsid w:val="007A0BCC"/>
    <w:rsid w:val="007A0C06"/>
    <w:rsid w:val="007A0D0C"/>
    <w:rsid w:val="007A0D8F"/>
    <w:rsid w:val="007A107D"/>
    <w:rsid w:val="007A1238"/>
    <w:rsid w:val="007A1A9F"/>
    <w:rsid w:val="007A1B8D"/>
    <w:rsid w:val="007A1F38"/>
    <w:rsid w:val="007A2D39"/>
    <w:rsid w:val="007A2DF2"/>
    <w:rsid w:val="007A2FED"/>
    <w:rsid w:val="007A32BF"/>
    <w:rsid w:val="007A32E2"/>
    <w:rsid w:val="007A3429"/>
    <w:rsid w:val="007A3498"/>
    <w:rsid w:val="007A34B3"/>
    <w:rsid w:val="007A3609"/>
    <w:rsid w:val="007A3717"/>
    <w:rsid w:val="007A3B92"/>
    <w:rsid w:val="007A3DAD"/>
    <w:rsid w:val="007A4067"/>
    <w:rsid w:val="007A42D5"/>
    <w:rsid w:val="007A44FE"/>
    <w:rsid w:val="007A45C0"/>
    <w:rsid w:val="007A4DA5"/>
    <w:rsid w:val="007A4E05"/>
    <w:rsid w:val="007A4EB3"/>
    <w:rsid w:val="007A5485"/>
    <w:rsid w:val="007A55B9"/>
    <w:rsid w:val="007A565C"/>
    <w:rsid w:val="007A5897"/>
    <w:rsid w:val="007A59C3"/>
    <w:rsid w:val="007A5A3C"/>
    <w:rsid w:val="007A5F84"/>
    <w:rsid w:val="007A60AE"/>
    <w:rsid w:val="007A60ED"/>
    <w:rsid w:val="007A61A2"/>
    <w:rsid w:val="007A6231"/>
    <w:rsid w:val="007A6398"/>
    <w:rsid w:val="007A63F6"/>
    <w:rsid w:val="007A656C"/>
    <w:rsid w:val="007A65A2"/>
    <w:rsid w:val="007A65F3"/>
    <w:rsid w:val="007A6640"/>
    <w:rsid w:val="007A6690"/>
    <w:rsid w:val="007A6960"/>
    <w:rsid w:val="007A6BFC"/>
    <w:rsid w:val="007A6FAB"/>
    <w:rsid w:val="007A7044"/>
    <w:rsid w:val="007A70DD"/>
    <w:rsid w:val="007A783B"/>
    <w:rsid w:val="007A788E"/>
    <w:rsid w:val="007A78A9"/>
    <w:rsid w:val="007A7A93"/>
    <w:rsid w:val="007A7AED"/>
    <w:rsid w:val="007A7D52"/>
    <w:rsid w:val="007B0051"/>
    <w:rsid w:val="007B08A5"/>
    <w:rsid w:val="007B0AAA"/>
    <w:rsid w:val="007B0ADF"/>
    <w:rsid w:val="007B0B1C"/>
    <w:rsid w:val="007B0DCB"/>
    <w:rsid w:val="007B1117"/>
    <w:rsid w:val="007B133B"/>
    <w:rsid w:val="007B1629"/>
    <w:rsid w:val="007B1A72"/>
    <w:rsid w:val="007B1C63"/>
    <w:rsid w:val="007B1D40"/>
    <w:rsid w:val="007B20ED"/>
    <w:rsid w:val="007B21CF"/>
    <w:rsid w:val="007B2216"/>
    <w:rsid w:val="007B22DA"/>
    <w:rsid w:val="007B2335"/>
    <w:rsid w:val="007B255F"/>
    <w:rsid w:val="007B28D0"/>
    <w:rsid w:val="007B29B0"/>
    <w:rsid w:val="007B3289"/>
    <w:rsid w:val="007B3756"/>
    <w:rsid w:val="007B3E5A"/>
    <w:rsid w:val="007B3F2B"/>
    <w:rsid w:val="007B419B"/>
    <w:rsid w:val="007B44DB"/>
    <w:rsid w:val="007B4683"/>
    <w:rsid w:val="007B4718"/>
    <w:rsid w:val="007B4794"/>
    <w:rsid w:val="007B4D59"/>
    <w:rsid w:val="007B4F95"/>
    <w:rsid w:val="007B50CE"/>
    <w:rsid w:val="007B52FD"/>
    <w:rsid w:val="007B5572"/>
    <w:rsid w:val="007B571C"/>
    <w:rsid w:val="007B5A9A"/>
    <w:rsid w:val="007B5D96"/>
    <w:rsid w:val="007B5DE3"/>
    <w:rsid w:val="007B616B"/>
    <w:rsid w:val="007B637F"/>
    <w:rsid w:val="007B6421"/>
    <w:rsid w:val="007B758C"/>
    <w:rsid w:val="007B767E"/>
    <w:rsid w:val="007B7CC8"/>
    <w:rsid w:val="007B7D36"/>
    <w:rsid w:val="007B7DAE"/>
    <w:rsid w:val="007C0138"/>
    <w:rsid w:val="007C0237"/>
    <w:rsid w:val="007C09CD"/>
    <w:rsid w:val="007C0AD7"/>
    <w:rsid w:val="007C1B94"/>
    <w:rsid w:val="007C1CFA"/>
    <w:rsid w:val="007C1D0E"/>
    <w:rsid w:val="007C24B7"/>
    <w:rsid w:val="007C25B0"/>
    <w:rsid w:val="007C27EB"/>
    <w:rsid w:val="007C2CA5"/>
    <w:rsid w:val="007C2CD9"/>
    <w:rsid w:val="007C330F"/>
    <w:rsid w:val="007C3347"/>
    <w:rsid w:val="007C36D5"/>
    <w:rsid w:val="007C3CE0"/>
    <w:rsid w:val="007C3D33"/>
    <w:rsid w:val="007C3ED7"/>
    <w:rsid w:val="007C44E2"/>
    <w:rsid w:val="007C47E1"/>
    <w:rsid w:val="007C5395"/>
    <w:rsid w:val="007C5553"/>
    <w:rsid w:val="007C58F8"/>
    <w:rsid w:val="007C59C9"/>
    <w:rsid w:val="007C59E1"/>
    <w:rsid w:val="007C5CE0"/>
    <w:rsid w:val="007C5E34"/>
    <w:rsid w:val="007C5E99"/>
    <w:rsid w:val="007C5FC6"/>
    <w:rsid w:val="007C5FE6"/>
    <w:rsid w:val="007C618F"/>
    <w:rsid w:val="007C7083"/>
    <w:rsid w:val="007C755A"/>
    <w:rsid w:val="007C75BF"/>
    <w:rsid w:val="007C76DA"/>
    <w:rsid w:val="007C7A6A"/>
    <w:rsid w:val="007C7E30"/>
    <w:rsid w:val="007C7F4B"/>
    <w:rsid w:val="007D0118"/>
    <w:rsid w:val="007D0A34"/>
    <w:rsid w:val="007D0B71"/>
    <w:rsid w:val="007D0FF4"/>
    <w:rsid w:val="007D15BE"/>
    <w:rsid w:val="007D1670"/>
    <w:rsid w:val="007D173D"/>
    <w:rsid w:val="007D1C13"/>
    <w:rsid w:val="007D1D97"/>
    <w:rsid w:val="007D29B7"/>
    <w:rsid w:val="007D2AD6"/>
    <w:rsid w:val="007D2C3B"/>
    <w:rsid w:val="007D35E1"/>
    <w:rsid w:val="007D35ED"/>
    <w:rsid w:val="007D393F"/>
    <w:rsid w:val="007D3CA9"/>
    <w:rsid w:val="007D3E61"/>
    <w:rsid w:val="007D3F8C"/>
    <w:rsid w:val="007D4154"/>
    <w:rsid w:val="007D4409"/>
    <w:rsid w:val="007D4749"/>
    <w:rsid w:val="007D4B9B"/>
    <w:rsid w:val="007D4D84"/>
    <w:rsid w:val="007D4E83"/>
    <w:rsid w:val="007D5490"/>
    <w:rsid w:val="007D5846"/>
    <w:rsid w:val="007D5CCF"/>
    <w:rsid w:val="007D5DA0"/>
    <w:rsid w:val="007D633D"/>
    <w:rsid w:val="007D635A"/>
    <w:rsid w:val="007D6450"/>
    <w:rsid w:val="007D6625"/>
    <w:rsid w:val="007D6952"/>
    <w:rsid w:val="007D6F6A"/>
    <w:rsid w:val="007D6F70"/>
    <w:rsid w:val="007D6FAC"/>
    <w:rsid w:val="007D700C"/>
    <w:rsid w:val="007D7101"/>
    <w:rsid w:val="007D7286"/>
    <w:rsid w:val="007D732B"/>
    <w:rsid w:val="007D734A"/>
    <w:rsid w:val="007D73CA"/>
    <w:rsid w:val="007D78B7"/>
    <w:rsid w:val="007D79DC"/>
    <w:rsid w:val="007D7B10"/>
    <w:rsid w:val="007D7D52"/>
    <w:rsid w:val="007D7F3E"/>
    <w:rsid w:val="007E0482"/>
    <w:rsid w:val="007E0523"/>
    <w:rsid w:val="007E06CC"/>
    <w:rsid w:val="007E0852"/>
    <w:rsid w:val="007E08B9"/>
    <w:rsid w:val="007E08C5"/>
    <w:rsid w:val="007E0A23"/>
    <w:rsid w:val="007E0ACB"/>
    <w:rsid w:val="007E0C37"/>
    <w:rsid w:val="007E0D11"/>
    <w:rsid w:val="007E16D5"/>
    <w:rsid w:val="007E19E8"/>
    <w:rsid w:val="007E1DAF"/>
    <w:rsid w:val="007E1F52"/>
    <w:rsid w:val="007E24EC"/>
    <w:rsid w:val="007E27E4"/>
    <w:rsid w:val="007E2DA4"/>
    <w:rsid w:val="007E37FF"/>
    <w:rsid w:val="007E383F"/>
    <w:rsid w:val="007E40B6"/>
    <w:rsid w:val="007E4410"/>
    <w:rsid w:val="007E45DC"/>
    <w:rsid w:val="007E4656"/>
    <w:rsid w:val="007E4D41"/>
    <w:rsid w:val="007E530F"/>
    <w:rsid w:val="007E57CF"/>
    <w:rsid w:val="007E5F6D"/>
    <w:rsid w:val="007E6032"/>
    <w:rsid w:val="007E6550"/>
    <w:rsid w:val="007E67F1"/>
    <w:rsid w:val="007E689C"/>
    <w:rsid w:val="007E69BB"/>
    <w:rsid w:val="007E6BFF"/>
    <w:rsid w:val="007E70E3"/>
    <w:rsid w:val="007E7314"/>
    <w:rsid w:val="007E74C7"/>
    <w:rsid w:val="007E77F5"/>
    <w:rsid w:val="007E78CB"/>
    <w:rsid w:val="007E7958"/>
    <w:rsid w:val="007E7F14"/>
    <w:rsid w:val="007EB22F"/>
    <w:rsid w:val="007F0102"/>
    <w:rsid w:val="007F01C4"/>
    <w:rsid w:val="007F038F"/>
    <w:rsid w:val="007F06AE"/>
    <w:rsid w:val="007F0AE3"/>
    <w:rsid w:val="007F0BD9"/>
    <w:rsid w:val="007F0C25"/>
    <w:rsid w:val="007F0D6F"/>
    <w:rsid w:val="007F0FE3"/>
    <w:rsid w:val="007F1272"/>
    <w:rsid w:val="007F1401"/>
    <w:rsid w:val="007F170C"/>
    <w:rsid w:val="007F1BEC"/>
    <w:rsid w:val="007F26B2"/>
    <w:rsid w:val="007F2926"/>
    <w:rsid w:val="007F2C62"/>
    <w:rsid w:val="007F2D5D"/>
    <w:rsid w:val="007F343D"/>
    <w:rsid w:val="007F35BE"/>
    <w:rsid w:val="007F3825"/>
    <w:rsid w:val="007F3834"/>
    <w:rsid w:val="007F3B7D"/>
    <w:rsid w:val="007F3E7E"/>
    <w:rsid w:val="007F4172"/>
    <w:rsid w:val="007F437E"/>
    <w:rsid w:val="007F4A34"/>
    <w:rsid w:val="007F4BD1"/>
    <w:rsid w:val="007F5152"/>
    <w:rsid w:val="007F5323"/>
    <w:rsid w:val="007F53B0"/>
    <w:rsid w:val="007F58E6"/>
    <w:rsid w:val="007F5BC1"/>
    <w:rsid w:val="007F5C6D"/>
    <w:rsid w:val="007F5D0E"/>
    <w:rsid w:val="007F604A"/>
    <w:rsid w:val="007F64EB"/>
    <w:rsid w:val="007F6777"/>
    <w:rsid w:val="007F691B"/>
    <w:rsid w:val="007F697A"/>
    <w:rsid w:val="007F69E3"/>
    <w:rsid w:val="007F6CA4"/>
    <w:rsid w:val="007F6D33"/>
    <w:rsid w:val="007F7087"/>
    <w:rsid w:val="007F7482"/>
    <w:rsid w:val="007F751B"/>
    <w:rsid w:val="007F7C61"/>
    <w:rsid w:val="008000D7"/>
    <w:rsid w:val="00800112"/>
    <w:rsid w:val="008003BD"/>
    <w:rsid w:val="0080079F"/>
    <w:rsid w:val="00800BF2"/>
    <w:rsid w:val="00800C58"/>
    <w:rsid w:val="00800D29"/>
    <w:rsid w:val="0080109C"/>
    <w:rsid w:val="008010C3"/>
    <w:rsid w:val="008011EF"/>
    <w:rsid w:val="008013F7"/>
    <w:rsid w:val="008014AD"/>
    <w:rsid w:val="008014BE"/>
    <w:rsid w:val="0080153A"/>
    <w:rsid w:val="0080153E"/>
    <w:rsid w:val="008018E4"/>
    <w:rsid w:val="00801BFE"/>
    <w:rsid w:val="00801CB6"/>
    <w:rsid w:val="00801D42"/>
    <w:rsid w:val="0080206E"/>
    <w:rsid w:val="00802686"/>
    <w:rsid w:val="00802777"/>
    <w:rsid w:val="00802859"/>
    <w:rsid w:val="008029F6"/>
    <w:rsid w:val="008030BF"/>
    <w:rsid w:val="008031DE"/>
    <w:rsid w:val="00803491"/>
    <w:rsid w:val="008034E2"/>
    <w:rsid w:val="0080355D"/>
    <w:rsid w:val="00803863"/>
    <w:rsid w:val="008038CA"/>
    <w:rsid w:val="00803C60"/>
    <w:rsid w:val="00803FB4"/>
    <w:rsid w:val="0080433C"/>
    <w:rsid w:val="00804FF7"/>
    <w:rsid w:val="008051BC"/>
    <w:rsid w:val="0080544B"/>
    <w:rsid w:val="008055F8"/>
    <w:rsid w:val="00805ECE"/>
    <w:rsid w:val="008062F2"/>
    <w:rsid w:val="008066DD"/>
    <w:rsid w:val="008068E2"/>
    <w:rsid w:val="008069C5"/>
    <w:rsid w:val="00806F66"/>
    <w:rsid w:val="00807050"/>
    <w:rsid w:val="00807268"/>
    <w:rsid w:val="0080732F"/>
    <w:rsid w:val="00807514"/>
    <w:rsid w:val="00807B6E"/>
    <w:rsid w:val="00807C42"/>
    <w:rsid w:val="00807D72"/>
    <w:rsid w:val="00807F1A"/>
    <w:rsid w:val="00810132"/>
    <w:rsid w:val="0081087D"/>
    <w:rsid w:val="00810DB6"/>
    <w:rsid w:val="00811081"/>
    <w:rsid w:val="0081131D"/>
    <w:rsid w:val="008113CF"/>
    <w:rsid w:val="00811432"/>
    <w:rsid w:val="00811440"/>
    <w:rsid w:val="008116EE"/>
    <w:rsid w:val="008116EF"/>
    <w:rsid w:val="00811731"/>
    <w:rsid w:val="00811B43"/>
    <w:rsid w:val="00811DCE"/>
    <w:rsid w:val="008120F2"/>
    <w:rsid w:val="008122AA"/>
    <w:rsid w:val="008130DD"/>
    <w:rsid w:val="00813624"/>
    <w:rsid w:val="00813B69"/>
    <w:rsid w:val="00813BB3"/>
    <w:rsid w:val="00813C2F"/>
    <w:rsid w:val="00813D92"/>
    <w:rsid w:val="00813DD2"/>
    <w:rsid w:val="0081403F"/>
    <w:rsid w:val="00814220"/>
    <w:rsid w:val="008143B5"/>
    <w:rsid w:val="008144B1"/>
    <w:rsid w:val="0081469D"/>
    <w:rsid w:val="00814785"/>
    <w:rsid w:val="008147CE"/>
    <w:rsid w:val="00814815"/>
    <w:rsid w:val="00814C40"/>
    <w:rsid w:val="00814E9D"/>
    <w:rsid w:val="008156B4"/>
    <w:rsid w:val="0081584D"/>
    <w:rsid w:val="00815F4D"/>
    <w:rsid w:val="008160C2"/>
    <w:rsid w:val="0081634A"/>
    <w:rsid w:val="00816737"/>
    <w:rsid w:val="00816931"/>
    <w:rsid w:val="00817183"/>
    <w:rsid w:val="00817193"/>
    <w:rsid w:val="008172D1"/>
    <w:rsid w:val="00817387"/>
    <w:rsid w:val="00817663"/>
    <w:rsid w:val="00817A38"/>
    <w:rsid w:val="00817E89"/>
    <w:rsid w:val="00817F33"/>
    <w:rsid w:val="0082062F"/>
    <w:rsid w:val="00820A7A"/>
    <w:rsid w:val="00820D1D"/>
    <w:rsid w:val="0082122A"/>
    <w:rsid w:val="008213AB"/>
    <w:rsid w:val="00821655"/>
    <w:rsid w:val="00821B4C"/>
    <w:rsid w:val="00821B89"/>
    <w:rsid w:val="00821BA6"/>
    <w:rsid w:val="00821DDC"/>
    <w:rsid w:val="00821FCB"/>
    <w:rsid w:val="00822202"/>
    <w:rsid w:val="00822203"/>
    <w:rsid w:val="008228A5"/>
    <w:rsid w:val="008228E8"/>
    <w:rsid w:val="00822916"/>
    <w:rsid w:val="00822A12"/>
    <w:rsid w:val="00822BBA"/>
    <w:rsid w:val="00822E2D"/>
    <w:rsid w:val="008230C1"/>
    <w:rsid w:val="008235A5"/>
    <w:rsid w:val="00823705"/>
    <w:rsid w:val="008237F3"/>
    <w:rsid w:val="008238C2"/>
    <w:rsid w:val="00823C6A"/>
    <w:rsid w:val="00823F77"/>
    <w:rsid w:val="00824424"/>
    <w:rsid w:val="00824430"/>
    <w:rsid w:val="008244B6"/>
    <w:rsid w:val="008244CC"/>
    <w:rsid w:val="0082479A"/>
    <w:rsid w:val="0082481A"/>
    <w:rsid w:val="00824D23"/>
    <w:rsid w:val="0082533D"/>
    <w:rsid w:val="00825508"/>
    <w:rsid w:val="00825781"/>
    <w:rsid w:val="00825A53"/>
    <w:rsid w:val="00825BC6"/>
    <w:rsid w:val="00825FCA"/>
    <w:rsid w:val="008269A0"/>
    <w:rsid w:val="00826EEC"/>
    <w:rsid w:val="00827A0C"/>
    <w:rsid w:val="00827B69"/>
    <w:rsid w:val="00827E99"/>
    <w:rsid w:val="0083043D"/>
    <w:rsid w:val="00830671"/>
    <w:rsid w:val="00830900"/>
    <w:rsid w:val="00830DB9"/>
    <w:rsid w:val="008310BE"/>
    <w:rsid w:val="00831592"/>
    <w:rsid w:val="00831636"/>
    <w:rsid w:val="008317CB"/>
    <w:rsid w:val="00831941"/>
    <w:rsid w:val="00831978"/>
    <w:rsid w:val="00831B51"/>
    <w:rsid w:val="00832265"/>
    <w:rsid w:val="0083233F"/>
    <w:rsid w:val="008323F2"/>
    <w:rsid w:val="008324A3"/>
    <w:rsid w:val="008324D7"/>
    <w:rsid w:val="00832527"/>
    <w:rsid w:val="00832C45"/>
    <w:rsid w:val="00832EC0"/>
    <w:rsid w:val="00832FEA"/>
    <w:rsid w:val="00833045"/>
    <w:rsid w:val="00833406"/>
    <w:rsid w:val="008339A1"/>
    <w:rsid w:val="00833AC8"/>
    <w:rsid w:val="00833BAD"/>
    <w:rsid w:val="00833FC3"/>
    <w:rsid w:val="0083427B"/>
    <w:rsid w:val="0083479D"/>
    <w:rsid w:val="008348F9"/>
    <w:rsid w:val="00834A9F"/>
    <w:rsid w:val="00834AA7"/>
    <w:rsid w:val="0083503B"/>
    <w:rsid w:val="00835200"/>
    <w:rsid w:val="0083588D"/>
    <w:rsid w:val="00835E4A"/>
    <w:rsid w:val="00835EC6"/>
    <w:rsid w:val="0083621D"/>
    <w:rsid w:val="00836301"/>
    <w:rsid w:val="0083630B"/>
    <w:rsid w:val="008364B0"/>
    <w:rsid w:val="00836792"/>
    <w:rsid w:val="00836B4E"/>
    <w:rsid w:val="00836CB5"/>
    <w:rsid w:val="00836FB6"/>
    <w:rsid w:val="0083765B"/>
    <w:rsid w:val="008377D5"/>
    <w:rsid w:val="008377FD"/>
    <w:rsid w:val="008400EB"/>
    <w:rsid w:val="008401D8"/>
    <w:rsid w:val="008408EE"/>
    <w:rsid w:val="00840CC1"/>
    <w:rsid w:val="008411E3"/>
    <w:rsid w:val="00841493"/>
    <w:rsid w:val="00841637"/>
    <w:rsid w:val="008417FB"/>
    <w:rsid w:val="00841887"/>
    <w:rsid w:val="0084189A"/>
    <w:rsid w:val="0084197A"/>
    <w:rsid w:val="00841C9E"/>
    <w:rsid w:val="008420AF"/>
    <w:rsid w:val="008420F7"/>
    <w:rsid w:val="00842928"/>
    <w:rsid w:val="0084296A"/>
    <w:rsid w:val="00842D38"/>
    <w:rsid w:val="0084317F"/>
    <w:rsid w:val="008431D8"/>
    <w:rsid w:val="00843326"/>
    <w:rsid w:val="008433B1"/>
    <w:rsid w:val="00843420"/>
    <w:rsid w:val="0084343C"/>
    <w:rsid w:val="00843445"/>
    <w:rsid w:val="008446D7"/>
    <w:rsid w:val="00844880"/>
    <w:rsid w:val="00844918"/>
    <w:rsid w:val="00844A3A"/>
    <w:rsid w:val="00844BC1"/>
    <w:rsid w:val="00844EAD"/>
    <w:rsid w:val="008452B3"/>
    <w:rsid w:val="00845406"/>
    <w:rsid w:val="0084565E"/>
    <w:rsid w:val="00845921"/>
    <w:rsid w:val="00845AAE"/>
    <w:rsid w:val="00845C0E"/>
    <w:rsid w:val="00845C47"/>
    <w:rsid w:val="00845D30"/>
    <w:rsid w:val="00845E49"/>
    <w:rsid w:val="008460EA"/>
    <w:rsid w:val="008469FC"/>
    <w:rsid w:val="00846BD4"/>
    <w:rsid w:val="00846D2C"/>
    <w:rsid w:val="00846E24"/>
    <w:rsid w:val="00847079"/>
    <w:rsid w:val="00847096"/>
    <w:rsid w:val="00847AF9"/>
    <w:rsid w:val="00847D72"/>
    <w:rsid w:val="00847FA6"/>
    <w:rsid w:val="0084A4FC"/>
    <w:rsid w:val="008502C7"/>
    <w:rsid w:val="008503B2"/>
    <w:rsid w:val="008503D6"/>
    <w:rsid w:val="008505D1"/>
    <w:rsid w:val="008509D7"/>
    <w:rsid w:val="00850B3A"/>
    <w:rsid w:val="00850CE7"/>
    <w:rsid w:val="00850DAC"/>
    <w:rsid w:val="00850DCD"/>
    <w:rsid w:val="00850FDF"/>
    <w:rsid w:val="0085108F"/>
    <w:rsid w:val="008511BE"/>
    <w:rsid w:val="00851E73"/>
    <w:rsid w:val="00851EEF"/>
    <w:rsid w:val="00852231"/>
    <w:rsid w:val="0085228E"/>
    <w:rsid w:val="008522F1"/>
    <w:rsid w:val="008525D7"/>
    <w:rsid w:val="008527F4"/>
    <w:rsid w:val="0085327B"/>
    <w:rsid w:val="008532DB"/>
    <w:rsid w:val="00853326"/>
    <w:rsid w:val="0085354C"/>
    <w:rsid w:val="008538D7"/>
    <w:rsid w:val="00853917"/>
    <w:rsid w:val="00853960"/>
    <w:rsid w:val="00853986"/>
    <w:rsid w:val="00853E32"/>
    <w:rsid w:val="00853E77"/>
    <w:rsid w:val="00854045"/>
    <w:rsid w:val="008540BC"/>
    <w:rsid w:val="0085425B"/>
    <w:rsid w:val="008542BB"/>
    <w:rsid w:val="008543D5"/>
    <w:rsid w:val="008546C5"/>
    <w:rsid w:val="00854751"/>
    <w:rsid w:val="008547C7"/>
    <w:rsid w:val="008549A2"/>
    <w:rsid w:val="00854C95"/>
    <w:rsid w:val="008552E1"/>
    <w:rsid w:val="00855349"/>
    <w:rsid w:val="00855538"/>
    <w:rsid w:val="00855C8E"/>
    <w:rsid w:val="00855CC8"/>
    <w:rsid w:val="00855DA6"/>
    <w:rsid w:val="00855E39"/>
    <w:rsid w:val="00855FB4"/>
    <w:rsid w:val="00855FEF"/>
    <w:rsid w:val="008561EE"/>
    <w:rsid w:val="0085641B"/>
    <w:rsid w:val="00856887"/>
    <w:rsid w:val="00856BF5"/>
    <w:rsid w:val="00856D62"/>
    <w:rsid w:val="00856E0A"/>
    <w:rsid w:val="00857166"/>
    <w:rsid w:val="008577EF"/>
    <w:rsid w:val="00857DEF"/>
    <w:rsid w:val="0086023C"/>
    <w:rsid w:val="0086074C"/>
    <w:rsid w:val="00860972"/>
    <w:rsid w:val="00860B5D"/>
    <w:rsid w:val="00860BB1"/>
    <w:rsid w:val="00860D07"/>
    <w:rsid w:val="00860ECC"/>
    <w:rsid w:val="008613C5"/>
    <w:rsid w:val="008618E4"/>
    <w:rsid w:val="00861C3A"/>
    <w:rsid w:val="00861C4D"/>
    <w:rsid w:val="00861D21"/>
    <w:rsid w:val="0086290D"/>
    <w:rsid w:val="00862D86"/>
    <w:rsid w:val="00862F4B"/>
    <w:rsid w:val="00862F5E"/>
    <w:rsid w:val="008633A1"/>
    <w:rsid w:val="00863E4B"/>
    <w:rsid w:val="00864155"/>
    <w:rsid w:val="00864939"/>
    <w:rsid w:val="00864C2F"/>
    <w:rsid w:val="00864C42"/>
    <w:rsid w:val="00864D98"/>
    <w:rsid w:val="00864FFF"/>
    <w:rsid w:val="008650AC"/>
    <w:rsid w:val="008650CF"/>
    <w:rsid w:val="0086513A"/>
    <w:rsid w:val="00865611"/>
    <w:rsid w:val="00865805"/>
    <w:rsid w:val="008658F8"/>
    <w:rsid w:val="008659AD"/>
    <w:rsid w:val="00865AAE"/>
    <w:rsid w:val="00865BA1"/>
    <w:rsid w:val="00865CEC"/>
    <w:rsid w:val="00865DDD"/>
    <w:rsid w:val="00865F59"/>
    <w:rsid w:val="00866316"/>
    <w:rsid w:val="00866520"/>
    <w:rsid w:val="00866855"/>
    <w:rsid w:val="008669E7"/>
    <w:rsid w:val="00866C76"/>
    <w:rsid w:val="00866CB9"/>
    <w:rsid w:val="00866CFF"/>
    <w:rsid w:val="00866F70"/>
    <w:rsid w:val="0086757A"/>
    <w:rsid w:val="00867877"/>
    <w:rsid w:val="00867A33"/>
    <w:rsid w:val="00867D54"/>
    <w:rsid w:val="008705C7"/>
    <w:rsid w:val="00870723"/>
    <w:rsid w:val="0087075B"/>
    <w:rsid w:val="008708F7"/>
    <w:rsid w:val="008709EA"/>
    <w:rsid w:val="008717D9"/>
    <w:rsid w:val="00871BCB"/>
    <w:rsid w:val="00871BEB"/>
    <w:rsid w:val="00872069"/>
    <w:rsid w:val="00872134"/>
    <w:rsid w:val="008722DE"/>
    <w:rsid w:val="00872A5F"/>
    <w:rsid w:val="00872C60"/>
    <w:rsid w:val="00873164"/>
    <w:rsid w:val="00873311"/>
    <w:rsid w:val="00873460"/>
    <w:rsid w:val="008734F1"/>
    <w:rsid w:val="0087359C"/>
    <w:rsid w:val="00873865"/>
    <w:rsid w:val="00873933"/>
    <w:rsid w:val="00873EEF"/>
    <w:rsid w:val="008748D1"/>
    <w:rsid w:val="0087499C"/>
    <w:rsid w:val="00874B33"/>
    <w:rsid w:val="00874FFC"/>
    <w:rsid w:val="00875643"/>
    <w:rsid w:val="00875BFA"/>
    <w:rsid w:val="00875FAB"/>
    <w:rsid w:val="00876149"/>
    <w:rsid w:val="00876667"/>
    <w:rsid w:val="00876998"/>
    <w:rsid w:val="00876A81"/>
    <w:rsid w:val="00876CCC"/>
    <w:rsid w:val="00876D39"/>
    <w:rsid w:val="00876DB1"/>
    <w:rsid w:val="008775C6"/>
    <w:rsid w:val="008776ED"/>
    <w:rsid w:val="00877A4D"/>
    <w:rsid w:val="00877B11"/>
    <w:rsid w:val="00877D2F"/>
    <w:rsid w:val="00880458"/>
    <w:rsid w:val="008804B5"/>
    <w:rsid w:val="00880661"/>
    <w:rsid w:val="00880709"/>
    <w:rsid w:val="00880B96"/>
    <w:rsid w:val="00880EC0"/>
    <w:rsid w:val="00880ED8"/>
    <w:rsid w:val="008812F7"/>
    <w:rsid w:val="0088139D"/>
    <w:rsid w:val="008813F8"/>
    <w:rsid w:val="008814BB"/>
    <w:rsid w:val="00881710"/>
    <w:rsid w:val="00881898"/>
    <w:rsid w:val="008818FB"/>
    <w:rsid w:val="00881F5D"/>
    <w:rsid w:val="008821FA"/>
    <w:rsid w:val="00882406"/>
    <w:rsid w:val="008825E1"/>
    <w:rsid w:val="00882612"/>
    <w:rsid w:val="008827FC"/>
    <w:rsid w:val="00882B58"/>
    <w:rsid w:val="0088338E"/>
    <w:rsid w:val="008837F4"/>
    <w:rsid w:val="00883D04"/>
    <w:rsid w:val="00883F77"/>
    <w:rsid w:val="008840C8"/>
    <w:rsid w:val="00884488"/>
    <w:rsid w:val="008844A5"/>
    <w:rsid w:val="008848F0"/>
    <w:rsid w:val="00884C59"/>
    <w:rsid w:val="00884E91"/>
    <w:rsid w:val="008850A8"/>
    <w:rsid w:val="008854BC"/>
    <w:rsid w:val="0088558E"/>
    <w:rsid w:val="008855AF"/>
    <w:rsid w:val="008856E0"/>
    <w:rsid w:val="00885FCB"/>
    <w:rsid w:val="008863B4"/>
    <w:rsid w:val="00886638"/>
    <w:rsid w:val="00886DB2"/>
    <w:rsid w:val="0088700F"/>
    <w:rsid w:val="00887356"/>
    <w:rsid w:val="008873DA"/>
    <w:rsid w:val="00887609"/>
    <w:rsid w:val="00887792"/>
    <w:rsid w:val="008878FD"/>
    <w:rsid w:val="0088791B"/>
    <w:rsid w:val="00887AB7"/>
    <w:rsid w:val="00887C10"/>
    <w:rsid w:val="00887E57"/>
    <w:rsid w:val="0089004C"/>
    <w:rsid w:val="008901E7"/>
    <w:rsid w:val="00890202"/>
    <w:rsid w:val="0089027E"/>
    <w:rsid w:val="008908F0"/>
    <w:rsid w:val="00890B66"/>
    <w:rsid w:val="00890BDD"/>
    <w:rsid w:val="00890FA4"/>
    <w:rsid w:val="008911C9"/>
    <w:rsid w:val="008917C1"/>
    <w:rsid w:val="00891970"/>
    <w:rsid w:val="00891B48"/>
    <w:rsid w:val="00891BFE"/>
    <w:rsid w:val="00891DDB"/>
    <w:rsid w:val="00891E8B"/>
    <w:rsid w:val="00892626"/>
    <w:rsid w:val="00892BA2"/>
    <w:rsid w:val="00892BAD"/>
    <w:rsid w:val="00892F77"/>
    <w:rsid w:val="0089305E"/>
    <w:rsid w:val="0089309D"/>
    <w:rsid w:val="0089330B"/>
    <w:rsid w:val="0089343F"/>
    <w:rsid w:val="0089350F"/>
    <w:rsid w:val="008935D5"/>
    <w:rsid w:val="00893672"/>
    <w:rsid w:val="0089375D"/>
    <w:rsid w:val="0089381D"/>
    <w:rsid w:val="00893AC8"/>
    <w:rsid w:val="00893BE7"/>
    <w:rsid w:val="00893D14"/>
    <w:rsid w:val="00894224"/>
    <w:rsid w:val="00894271"/>
    <w:rsid w:val="00894279"/>
    <w:rsid w:val="008943C1"/>
    <w:rsid w:val="00894474"/>
    <w:rsid w:val="00894AE0"/>
    <w:rsid w:val="00894DA2"/>
    <w:rsid w:val="00895152"/>
    <w:rsid w:val="00895217"/>
    <w:rsid w:val="00895851"/>
    <w:rsid w:val="00895952"/>
    <w:rsid w:val="00895FA3"/>
    <w:rsid w:val="0089633F"/>
    <w:rsid w:val="008964A5"/>
    <w:rsid w:val="008965C3"/>
    <w:rsid w:val="00896738"/>
    <w:rsid w:val="00896799"/>
    <w:rsid w:val="0089685E"/>
    <w:rsid w:val="00896BD6"/>
    <w:rsid w:val="00896BD9"/>
    <w:rsid w:val="00896C0A"/>
    <w:rsid w:val="00896E6E"/>
    <w:rsid w:val="00897981"/>
    <w:rsid w:val="00897BBD"/>
    <w:rsid w:val="00897DC3"/>
    <w:rsid w:val="008A0134"/>
    <w:rsid w:val="008A0137"/>
    <w:rsid w:val="008A049C"/>
    <w:rsid w:val="008A09F7"/>
    <w:rsid w:val="008A0BC2"/>
    <w:rsid w:val="008A0D19"/>
    <w:rsid w:val="008A0F6C"/>
    <w:rsid w:val="008A1238"/>
    <w:rsid w:val="008A152E"/>
    <w:rsid w:val="008A153D"/>
    <w:rsid w:val="008A1949"/>
    <w:rsid w:val="008A1B18"/>
    <w:rsid w:val="008A1D5B"/>
    <w:rsid w:val="008A1D6D"/>
    <w:rsid w:val="008A2130"/>
    <w:rsid w:val="008A2208"/>
    <w:rsid w:val="008A2292"/>
    <w:rsid w:val="008A2401"/>
    <w:rsid w:val="008A27D3"/>
    <w:rsid w:val="008A27F2"/>
    <w:rsid w:val="008A28CF"/>
    <w:rsid w:val="008A2E52"/>
    <w:rsid w:val="008A31FA"/>
    <w:rsid w:val="008A34EA"/>
    <w:rsid w:val="008A37BA"/>
    <w:rsid w:val="008A39A1"/>
    <w:rsid w:val="008A411D"/>
    <w:rsid w:val="008A4360"/>
    <w:rsid w:val="008A439D"/>
    <w:rsid w:val="008A462D"/>
    <w:rsid w:val="008A4DAF"/>
    <w:rsid w:val="008A4E77"/>
    <w:rsid w:val="008A4EC1"/>
    <w:rsid w:val="008A4FC9"/>
    <w:rsid w:val="008A5072"/>
    <w:rsid w:val="008A53FD"/>
    <w:rsid w:val="008A5B46"/>
    <w:rsid w:val="008A6126"/>
    <w:rsid w:val="008A6354"/>
    <w:rsid w:val="008A645E"/>
    <w:rsid w:val="008A66B1"/>
    <w:rsid w:val="008A6B2D"/>
    <w:rsid w:val="008A6BD0"/>
    <w:rsid w:val="008A7147"/>
    <w:rsid w:val="008A78B8"/>
    <w:rsid w:val="008A7D84"/>
    <w:rsid w:val="008B0325"/>
    <w:rsid w:val="008B07AA"/>
    <w:rsid w:val="008B0B3E"/>
    <w:rsid w:val="008B0BA8"/>
    <w:rsid w:val="008B0D63"/>
    <w:rsid w:val="008B0E66"/>
    <w:rsid w:val="008B105C"/>
    <w:rsid w:val="008B1446"/>
    <w:rsid w:val="008B14AA"/>
    <w:rsid w:val="008B22FA"/>
    <w:rsid w:val="008B23C3"/>
    <w:rsid w:val="008B265F"/>
    <w:rsid w:val="008B2750"/>
    <w:rsid w:val="008B32AC"/>
    <w:rsid w:val="008B3478"/>
    <w:rsid w:val="008B355E"/>
    <w:rsid w:val="008B3B24"/>
    <w:rsid w:val="008B3BA3"/>
    <w:rsid w:val="008B3BA5"/>
    <w:rsid w:val="008B3BC7"/>
    <w:rsid w:val="008B47DD"/>
    <w:rsid w:val="008B4812"/>
    <w:rsid w:val="008B4C6B"/>
    <w:rsid w:val="008B51DE"/>
    <w:rsid w:val="008B5261"/>
    <w:rsid w:val="008B53C3"/>
    <w:rsid w:val="008B542C"/>
    <w:rsid w:val="008B54CB"/>
    <w:rsid w:val="008B5934"/>
    <w:rsid w:val="008B59D5"/>
    <w:rsid w:val="008B5FA6"/>
    <w:rsid w:val="008B6251"/>
    <w:rsid w:val="008B62B2"/>
    <w:rsid w:val="008B63B8"/>
    <w:rsid w:val="008B6825"/>
    <w:rsid w:val="008B6B61"/>
    <w:rsid w:val="008B6CA7"/>
    <w:rsid w:val="008B6CF5"/>
    <w:rsid w:val="008B729C"/>
    <w:rsid w:val="008B7323"/>
    <w:rsid w:val="008B79A0"/>
    <w:rsid w:val="008B7C64"/>
    <w:rsid w:val="008C0743"/>
    <w:rsid w:val="008C0A72"/>
    <w:rsid w:val="008C1096"/>
    <w:rsid w:val="008C12BF"/>
    <w:rsid w:val="008C140E"/>
    <w:rsid w:val="008C1899"/>
    <w:rsid w:val="008C1ACF"/>
    <w:rsid w:val="008C1AEB"/>
    <w:rsid w:val="008C1AED"/>
    <w:rsid w:val="008C1B03"/>
    <w:rsid w:val="008C1B76"/>
    <w:rsid w:val="008C23B7"/>
    <w:rsid w:val="008C29A6"/>
    <w:rsid w:val="008C2C73"/>
    <w:rsid w:val="008C2C7B"/>
    <w:rsid w:val="008C2CB8"/>
    <w:rsid w:val="008C33D6"/>
    <w:rsid w:val="008C3483"/>
    <w:rsid w:val="008C36AB"/>
    <w:rsid w:val="008C37FB"/>
    <w:rsid w:val="008C3A39"/>
    <w:rsid w:val="008C400B"/>
    <w:rsid w:val="008C421F"/>
    <w:rsid w:val="008C472F"/>
    <w:rsid w:val="008C4DD1"/>
    <w:rsid w:val="008C50DA"/>
    <w:rsid w:val="008C518A"/>
    <w:rsid w:val="008C524B"/>
    <w:rsid w:val="008C557B"/>
    <w:rsid w:val="008C5593"/>
    <w:rsid w:val="008C59B3"/>
    <w:rsid w:val="008C59BB"/>
    <w:rsid w:val="008C5E0C"/>
    <w:rsid w:val="008C5E1B"/>
    <w:rsid w:val="008C60E6"/>
    <w:rsid w:val="008C6238"/>
    <w:rsid w:val="008C6367"/>
    <w:rsid w:val="008C65B7"/>
    <w:rsid w:val="008C673E"/>
    <w:rsid w:val="008C683A"/>
    <w:rsid w:val="008C6AE1"/>
    <w:rsid w:val="008C6B9B"/>
    <w:rsid w:val="008C6C44"/>
    <w:rsid w:val="008C6EF6"/>
    <w:rsid w:val="008C7000"/>
    <w:rsid w:val="008C76C1"/>
    <w:rsid w:val="008C7711"/>
    <w:rsid w:val="008C7A3B"/>
    <w:rsid w:val="008C7F28"/>
    <w:rsid w:val="008D014C"/>
    <w:rsid w:val="008D0667"/>
    <w:rsid w:val="008D067C"/>
    <w:rsid w:val="008D0704"/>
    <w:rsid w:val="008D08FA"/>
    <w:rsid w:val="008D0CB1"/>
    <w:rsid w:val="008D0E66"/>
    <w:rsid w:val="008D10EB"/>
    <w:rsid w:val="008D10FF"/>
    <w:rsid w:val="008D182F"/>
    <w:rsid w:val="008D1B18"/>
    <w:rsid w:val="008D1B43"/>
    <w:rsid w:val="008D206A"/>
    <w:rsid w:val="008D240B"/>
    <w:rsid w:val="008D248D"/>
    <w:rsid w:val="008D2954"/>
    <w:rsid w:val="008D2CF4"/>
    <w:rsid w:val="008D3144"/>
    <w:rsid w:val="008D318E"/>
    <w:rsid w:val="008D31EC"/>
    <w:rsid w:val="008D3206"/>
    <w:rsid w:val="008D33FE"/>
    <w:rsid w:val="008D399B"/>
    <w:rsid w:val="008D43DF"/>
    <w:rsid w:val="008D4ADE"/>
    <w:rsid w:val="008D4D44"/>
    <w:rsid w:val="008D4EFD"/>
    <w:rsid w:val="008D5323"/>
    <w:rsid w:val="008D5416"/>
    <w:rsid w:val="008D5CE8"/>
    <w:rsid w:val="008D6022"/>
    <w:rsid w:val="008D6CC9"/>
    <w:rsid w:val="008D6DE1"/>
    <w:rsid w:val="008D6F37"/>
    <w:rsid w:val="008D6FB4"/>
    <w:rsid w:val="008D7030"/>
    <w:rsid w:val="008D727D"/>
    <w:rsid w:val="008D7697"/>
    <w:rsid w:val="008D79EC"/>
    <w:rsid w:val="008D7ABA"/>
    <w:rsid w:val="008D7BAB"/>
    <w:rsid w:val="008D7FEC"/>
    <w:rsid w:val="008DD731"/>
    <w:rsid w:val="008E08A5"/>
    <w:rsid w:val="008E097C"/>
    <w:rsid w:val="008E09EE"/>
    <w:rsid w:val="008E0DE8"/>
    <w:rsid w:val="008E155F"/>
    <w:rsid w:val="008E1A85"/>
    <w:rsid w:val="008E1C63"/>
    <w:rsid w:val="008E22DA"/>
    <w:rsid w:val="008E27E8"/>
    <w:rsid w:val="008E27EC"/>
    <w:rsid w:val="008E27F3"/>
    <w:rsid w:val="008E29BF"/>
    <w:rsid w:val="008E32FD"/>
    <w:rsid w:val="008E350D"/>
    <w:rsid w:val="008E3A67"/>
    <w:rsid w:val="008E4453"/>
    <w:rsid w:val="008E44B0"/>
    <w:rsid w:val="008E46CB"/>
    <w:rsid w:val="008E4EB5"/>
    <w:rsid w:val="008E53A1"/>
    <w:rsid w:val="008E5455"/>
    <w:rsid w:val="008E5A2F"/>
    <w:rsid w:val="008E5FFF"/>
    <w:rsid w:val="008E6E7A"/>
    <w:rsid w:val="008E6F2A"/>
    <w:rsid w:val="008E718B"/>
    <w:rsid w:val="008E722C"/>
    <w:rsid w:val="008E7381"/>
    <w:rsid w:val="008E7610"/>
    <w:rsid w:val="008E77EE"/>
    <w:rsid w:val="008E7958"/>
    <w:rsid w:val="008E7DDE"/>
    <w:rsid w:val="008F0038"/>
    <w:rsid w:val="008F056C"/>
    <w:rsid w:val="008F0622"/>
    <w:rsid w:val="008F0A4C"/>
    <w:rsid w:val="008F0FC6"/>
    <w:rsid w:val="008F1129"/>
    <w:rsid w:val="008F155E"/>
    <w:rsid w:val="008F1576"/>
    <w:rsid w:val="008F1900"/>
    <w:rsid w:val="008F1C0C"/>
    <w:rsid w:val="008F1F8F"/>
    <w:rsid w:val="008F2084"/>
    <w:rsid w:val="008F240B"/>
    <w:rsid w:val="008F2627"/>
    <w:rsid w:val="008F2909"/>
    <w:rsid w:val="008F2A51"/>
    <w:rsid w:val="008F2B56"/>
    <w:rsid w:val="008F2CC4"/>
    <w:rsid w:val="008F2D46"/>
    <w:rsid w:val="008F2DD5"/>
    <w:rsid w:val="008F2F1A"/>
    <w:rsid w:val="008F31FA"/>
    <w:rsid w:val="008F333D"/>
    <w:rsid w:val="008F36E3"/>
    <w:rsid w:val="008F38F7"/>
    <w:rsid w:val="008F39F8"/>
    <w:rsid w:val="008F3B46"/>
    <w:rsid w:val="008F3FCA"/>
    <w:rsid w:val="008F4106"/>
    <w:rsid w:val="008F428F"/>
    <w:rsid w:val="008F439D"/>
    <w:rsid w:val="008F43B5"/>
    <w:rsid w:val="008F4D2D"/>
    <w:rsid w:val="008F4D8C"/>
    <w:rsid w:val="008F5112"/>
    <w:rsid w:val="008F5207"/>
    <w:rsid w:val="008F5795"/>
    <w:rsid w:val="008F5B37"/>
    <w:rsid w:val="008F5C13"/>
    <w:rsid w:val="008F5E34"/>
    <w:rsid w:val="008F709B"/>
    <w:rsid w:val="008F70DE"/>
    <w:rsid w:val="008F72EB"/>
    <w:rsid w:val="008F750B"/>
    <w:rsid w:val="008F765D"/>
    <w:rsid w:val="008F7700"/>
    <w:rsid w:val="008F7C55"/>
    <w:rsid w:val="008F7D60"/>
    <w:rsid w:val="008F7F62"/>
    <w:rsid w:val="00900158"/>
    <w:rsid w:val="009001D3"/>
    <w:rsid w:val="009002C4"/>
    <w:rsid w:val="0090053A"/>
    <w:rsid w:val="009005DD"/>
    <w:rsid w:val="00900646"/>
    <w:rsid w:val="009008AF"/>
    <w:rsid w:val="00900EFF"/>
    <w:rsid w:val="00901079"/>
    <w:rsid w:val="0090118C"/>
    <w:rsid w:val="009011B1"/>
    <w:rsid w:val="00901235"/>
    <w:rsid w:val="00901935"/>
    <w:rsid w:val="00901B30"/>
    <w:rsid w:val="00901CEE"/>
    <w:rsid w:val="0090231C"/>
    <w:rsid w:val="00902644"/>
    <w:rsid w:val="00902798"/>
    <w:rsid w:val="0090287B"/>
    <w:rsid w:val="00902DFE"/>
    <w:rsid w:val="009032F7"/>
    <w:rsid w:val="0090397C"/>
    <w:rsid w:val="00903CFD"/>
    <w:rsid w:val="00903EB1"/>
    <w:rsid w:val="00903EE3"/>
    <w:rsid w:val="0090405D"/>
    <w:rsid w:val="009040FD"/>
    <w:rsid w:val="009042C0"/>
    <w:rsid w:val="009044EE"/>
    <w:rsid w:val="009046EA"/>
    <w:rsid w:val="0090471C"/>
    <w:rsid w:val="0090491B"/>
    <w:rsid w:val="009054E3"/>
    <w:rsid w:val="009057CE"/>
    <w:rsid w:val="00905863"/>
    <w:rsid w:val="00905887"/>
    <w:rsid w:val="00905A03"/>
    <w:rsid w:val="00905B7B"/>
    <w:rsid w:val="00905E84"/>
    <w:rsid w:val="00906034"/>
    <w:rsid w:val="00906468"/>
    <w:rsid w:val="00906744"/>
    <w:rsid w:val="0090682F"/>
    <w:rsid w:val="009069F1"/>
    <w:rsid w:val="00906BA6"/>
    <w:rsid w:val="00906F36"/>
    <w:rsid w:val="009074C7"/>
    <w:rsid w:val="00907588"/>
    <w:rsid w:val="009075ED"/>
    <w:rsid w:val="0090787F"/>
    <w:rsid w:val="00907BD1"/>
    <w:rsid w:val="00907C59"/>
    <w:rsid w:val="00907CF1"/>
    <w:rsid w:val="00907D06"/>
    <w:rsid w:val="00907FCD"/>
    <w:rsid w:val="00910481"/>
    <w:rsid w:val="00910AA9"/>
    <w:rsid w:val="00910AE9"/>
    <w:rsid w:val="00910F0B"/>
    <w:rsid w:val="00910F23"/>
    <w:rsid w:val="009110C8"/>
    <w:rsid w:val="009110DE"/>
    <w:rsid w:val="0091184D"/>
    <w:rsid w:val="00911C69"/>
    <w:rsid w:val="0091268B"/>
    <w:rsid w:val="0091289E"/>
    <w:rsid w:val="009130C0"/>
    <w:rsid w:val="009132CA"/>
    <w:rsid w:val="00913424"/>
    <w:rsid w:val="009135B4"/>
    <w:rsid w:val="00913A19"/>
    <w:rsid w:val="00913CFE"/>
    <w:rsid w:val="00913DC7"/>
    <w:rsid w:val="0091413C"/>
    <w:rsid w:val="009141EF"/>
    <w:rsid w:val="00914321"/>
    <w:rsid w:val="00914AFD"/>
    <w:rsid w:val="00914E6A"/>
    <w:rsid w:val="00915F33"/>
    <w:rsid w:val="00916023"/>
    <w:rsid w:val="009160A5"/>
    <w:rsid w:val="009160CA"/>
    <w:rsid w:val="0091615D"/>
    <w:rsid w:val="0091630F"/>
    <w:rsid w:val="00916A1A"/>
    <w:rsid w:val="00916C27"/>
    <w:rsid w:val="00916DD0"/>
    <w:rsid w:val="0091723A"/>
    <w:rsid w:val="009173DA"/>
    <w:rsid w:val="0091780C"/>
    <w:rsid w:val="009178C5"/>
    <w:rsid w:val="00917C2C"/>
    <w:rsid w:val="009201F3"/>
    <w:rsid w:val="0092049A"/>
    <w:rsid w:val="009204BF"/>
    <w:rsid w:val="009206EF"/>
    <w:rsid w:val="009208C8"/>
    <w:rsid w:val="00920A23"/>
    <w:rsid w:val="00920DC6"/>
    <w:rsid w:val="00920E1F"/>
    <w:rsid w:val="00920E72"/>
    <w:rsid w:val="00920F7A"/>
    <w:rsid w:val="009211C4"/>
    <w:rsid w:val="00921582"/>
    <w:rsid w:val="00921602"/>
    <w:rsid w:val="00921C51"/>
    <w:rsid w:val="00921D27"/>
    <w:rsid w:val="00921F5B"/>
    <w:rsid w:val="00921F68"/>
    <w:rsid w:val="00921F6F"/>
    <w:rsid w:val="00922447"/>
    <w:rsid w:val="009224B1"/>
    <w:rsid w:val="00922845"/>
    <w:rsid w:val="00922AF8"/>
    <w:rsid w:val="00922CE9"/>
    <w:rsid w:val="00922F3A"/>
    <w:rsid w:val="009237A4"/>
    <w:rsid w:val="00923AD2"/>
    <w:rsid w:val="00923C30"/>
    <w:rsid w:val="00923DE5"/>
    <w:rsid w:val="00923EAE"/>
    <w:rsid w:val="00923EB7"/>
    <w:rsid w:val="00923F20"/>
    <w:rsid w:val="00924158"/>
    <w:rsid w:val="009242BF"/>
    <w:rsid w:val="009247D8"/>
    <w:rsid w:val="00924ECC"/>
    <w:rsid w:val="00924F34"/>
    <w:rsid w:val="009250D3"/>
    <w:rsid w:val="00925155"/>
    <w:rsid w:val="00925158"/>
    <w:rsid w:val="00925201"/>
    <w:rsid w:val="009252F8"/>
    <w:rsid w:val="009258B3"/>
    <w:rsid w:val="00925A98"/>
    <w:rsid w:val="00925CDF"/>
    <w:rsid w:val="00926188"/>
    <w:rsid w:val="00926787"/>
    <w:rsid w:val="009267E0"/>
    <w:rsid w:val="00926B45"/>
    <w:rsid w:val="00926D28"/>
    <w:rsid w:val="00926ED0"/>
    <w:rsid w:val="00927065"/>
    <w:rsid w:val="00927068"/>
    <w:rsid w:val="0092714E"/>
    <w:rsid w:val="009275D4"/>
    <w:rsid w:val="00927602"/>
    <w:rsid w:val="00927752"/>
    <w:rsid w:val="00927D7D"/>
    <w:rsid w:val="00927E4E"/>
    <w:rsid w:val="00927EFA"/>
    <w:rsid w:val="00930450"/>
    <w:rsid w:val="00930508"/>
    <w:rsid w:val="009308AC"/>
    <w:rsid w:val="009309BC"/>
    <w:rsid w:val="00930D6B"/>
    <w:rsid w:val="0093135F"/>
    <w:rsid w:val="00931363"/>
    <w:rsid w:val="009314C5"/>
    <w:rsid w:val="00931585"/>
    <w:rsid w:val="0093158E"/>
    <w:rsid w:val="0093165B"/>
    <w:rsid w:val="0093181C"/>
    <w:rsid w:val="009318F9"/>
    <w:rsid w:val="00931BB5"/>
    <w:rsid w:val="00931C51"/>
    <w:rsid w:val="00931CDB"/>
    <w:rsid w:val="00931EC1"/>
    <w:rsid w:val="00932087"/>
    <w:rsid w:val="00932AD4"/>
    <w:rsid w:val="00932C1D"/>
    <w:rsid w:val="00932DDB"/>
    <w:rsid w:val="00933106"/>
    <w:rsid w:val="00933678"/>
    <w:rsid w:val="00933867"/>
    <w:rsid w:val="009340F8"/>
    <w:rsid w:val="00934455"/>
    <w:rsid w:val="009345F3"/>
    <w:rsid w:val="00934902"/>
    <w:rsid w:val="00934DF4"/>
    <w:rsid w:val="00935045"/>
    <w:rsid w:val="0093549D"/>
    <w:rsid w:val="009356D5"/>
    <w:rsid w:val="00935962"/>
    <w:rsid w:val="00935ECC"/>
    <w:rsid w:val="00936315"/>
    <w:rsid w:val="00936552"/>
    <w:rsid w:val="009365F5"/>
    <w:rsid w:val="00936705"/>
    <w:rsid w:val="00936B2F"/>
    <w:rsid w:val="00936B57"/>
    <w:rsid w:val="00936D7A"/>
    <w:rsid w:val="00937215"/>
    <w:rsid w:val="0093721A"/>
    <w:rsid w:val="009372AF"/>
    <w:rsid w:val="00937495"/>
    <w:rsid w:val="009377C2"/>
    <w:rsid w:val="00937995"/>
    <w:rsid w:val="00937A1D"/>
    <w:rsid w:val="00937CCB"/>
    <w:rsid w:val="00937D99"/>
    <w:rsid w:val="00937DF0"/>
    <w:rsid w:val="00940233"/>
    <w:rsid w:val="009402C0"/>
    <w:rsid w:val="009402EA"/>
    <w:rsid w:val="009402FC"/>
    <w:rsid w:val="009404A0"/>
    <w:rsid w:val="009408DB"/>
    <w:rsid w:val="00940DE6"/>
    <w:rsid w:val="00940EBE"/>
    <w:rsid w:val="00940FB1"/>
    <w:rsid w:val="009416D9"/>
    <w:rsid w:val="00941B6F"/>
    <w:rsid w:val="00941BBA"/>
    <w:rsid w:val="0094220B"/>
    <w:rsid w:val="00942473"/>
    <w:rsid w:val="009425CA"/>
    <w:rsid w:val="00942655"/>
    <w:rsid w:val="00942A6A"/>
    <w:rsid w:val="00942D6A"/>
    <w:rsid w:val="00943001"/>
    <w:rsid w:val="00943177"/>
    <w:rsid w:val="00943289"/>
    <w:rsid w:val="009433B4"/>
    <w:rsid w:val="00943558"/>
    <w:rsid w:val="009437D8"/>
    <w:rsid w:val="00943A55"/>
    <w:rsid w:val="00943AA1"/>
    <w:rsid w:val="00943D5A"/>
    <w:rsid w:val="00943D7C"/>
    <w:rsid w:val="00943F4A"/>
    <w:rsid w:val="009446A5"/>
    <w:rsid w:val="009447E2"/>
    <w:rsid w:val="00944809"/>
    <w:rsid w:val="00944F70"/>
    <w:rsid w:val="00945264"/>
    <w:rsid w:val="00945315"/>
    <w:rsid w:val="0094534B"/>
    <w:rsid w:val="0094555B"/>
    <w:rsid w:val="0094576D"/>
    <w:rsid w:val="009458A8"/>
    <w:rsid w:val="009459AC"/>
    <w:rsid w:val="00945A15"/>
    <w:rsid w:val="00945A79"/>
    <w:rsid w:val="00945ADB"/>
    <w:rsid w:val="009460C6"/>
    <w:rsid w:val="00946664"/>
    <w:rsid w:val="00946745"/>
    <w:rsid w:val="00946962"/>
    <w:rsid w:val="00946E32"/>
    <w:rsid w:val="0094728C"/>
    <w:rsid w:val="0094744E"/>
    <w:rsid w:val="00947C4B"/>
    <w:rsid w:val="00947CCF"/>
    <w:rsid w:val="00947DA7"/>
    <w:rsid w:val="00947E70"/>
    <w:rsid w:val="00950569"/>
    <w:rsid w:val="00950725"/>
    <w:rsid w:val="009507A9"/>
    <w:rsid w:val="00950C0F"/>
    <w:rsid w:val="00950EA6"/>
    <w:rsid w:val="00950FD0"/>
    <w:rsid w:val="0095118D"/>
    <w:rsid w:val="0095123E"/>
    <w:rsid w:val="00951429"/>
    <w:rsid w:val="009515F0"/>
    <w:rsid w:val="00951882"/>
    <w:rsid w:val="00951A3C"/>
    <w:rsid w:val="00951A98"/>
    <w:rsid w:val="00951B3B"/>
    <w:rsid w:val="00951BA9"/>
    <w:rsid w:val="00951E98"/>
    <w:rsid w:val="00951FA7"/>
    <w:rsid w:val="00952039"/>
    <w:rsid w:val="00952095"/>
    <w:rsid w:val="0095239E"/>
    <w:rsid w:val="00952768"/>
    <w:rsid w:val="00952793"/>
    <w:rsid w:val="00952934"/>
    <w:rsid w:val="00952E56"/>
    <w:rsid w:val="0095301D"/>
    <w:rsid w:val="009530B1"/>
    <w:rsid w:val="0095360E"/>
    <w:rsid w:val="0095372E"/>
    <w:rsid w:val="00953887"/>
    <w:rsid w:val="00953A0B"/>
    <w:rsid w:val="00953C14"/>
    <w:rsid w:val="00953D55"/>
    <w:rsid w:val="00954085"/>
    <w:rsid w:val="009545FC"/>
    <w:rsid w:val="0095461A"/>
    <w:rsid w:val="00954905"/>
    <w:rsid w:val="00954C1A"/>
    <w:rsid w:val="00954D3A"/>
    <w:rsid w:val="009552AF"/>
    <w:rsid w:val="0095539A"/>
    <w:rsid w:val="009555E2"/>
    <w:rsid w:val="00955723"/>
    <w:rsid w:val="00955797"/>
    <w:rsid w:val="00955A35"/>
    <w:rsid w:val="00955B03"/>
    <w:rsid w:val="00955BC1"/>
    <w:rsid w:val="0095632B"/>
    <w:rsid w:val="00956482"/>
    <w:rsid w:val="009568E5"/>
    <w:rsid w:val="0095691C"/>
    <w:rsid w:val="00956C20"/>
    <w:rsid w:val="00956D57"/>
    <w:rsid w:val="00956DF9"/>
    <w:rsid w:val="00956F04"/>
    <w:rsid w:val="00956F1E"/>
    <w:rsid w:val="009570CA"/>
    <w:rsid w:val="009570DB"/>
    <w:rsid w:val="0095729F"/>
    <w:rsid w:val="0095743C"/>
    <w:rsid w:val="00957C46"/>
    <w:rsid w:val="00960B5C"/>
    <w:rsid w:val="00960C43"/>
    <w:rsid w:val="00960F1B"/>
    <w:rsid w:val="00960FAE"/>
    <w:rsid w:val="009613AE"/>
    <w:rsid w:val="009613FD"/>
    <w:rsid w:val="009614DE"/>
    <w:rsid w:val="009616AA"/>
    <w:rsid w:val="00962486"/>
    <w:rsid w:val="00962920"/>
    <w:rsid w:val="00962B29"/>
    <w:rsid w:val="0096318F"/>
    <w:rsid w:val="009633CA"/>
    <w:rsid w:val="00963763"/>
    <w:rsid w:val="009638BB"/>
    <w:rsid w:val="00963BC3"/>
    <w:rsid w:val="009640AF"/>
    <w:rsid w:val="009644E7"/>
    <w:rsid w:val="00964556"/>
    <w:rsid w:val="00964570"/>
    <w:rsid w:val="0096481F"/>
    <w:rsid w:val="00964989"/>
    <w:rsid w:val="009649D2"/>
    <w:rsid w:val="00964BD5"/>
    <w:rsid w:val="00965098"/>
    <w:rsid w:val="009650B2"/>
    <w:rsid w:val="00965246"/>
    <w:rsid w:val="009652A9"/>
    <w:rsid w:val="00965672"/>
    <w:rsid w:val="00965732"/>
    <w:rsid w:val="00965D4F"/>
    <w:rsid w:val="00965E5D"/>
    <w:rsid w:val="009662F3"/>
    <w:rsid w:val="009664B8"/>
    <w:rsid w:val="0096678A"/>
    <w:rsid w:val="00966D7F"/>
    <w:rsid w:val="00966EDF"/>
    <w:rsid w:val="009670A6"/>
    <w:rsid w:val="0096765E"/>
    <w:rsid w:val="00967788"/>
    <w:rsid w:val="00967A52"/>
    <w:rsid w:val="00967CC6"/>
    <w:rsid w:val="00967E05"/>
    <w:rsid w:val="0097036F"/>
    <w:rsid w:val="0097052A"/>
    <w:rsid w:val="009705A4"/>
    <w:rsid w:val="00970671"/>
    <w:rsid w:val="00970A28"/>
    <w:rsid w:val="00970AC2"/>
    <w:rsid w:val="00970BBE"/>
    <w:rsid w:val="00970EB6"/>
    <w:rsid w:val="009710D2"/>
    <w:rsid w:val="00971241"/>
    <w:rsid w:val="00971A71"/>
    <w:rsid w:val="00972256"/>
    <w:rsid w:val="009724BD"/>
    <w:rsid w:val="0097282B"/>
    <w:rsid w:val="00972A00"/>
    <w:rsid w:val="00972AFE"/>
    <w:rsid w:val="00972EEF"/>
    <w:rsid w:val="0097327F"/>
    <w:rsid w:val="00973386"/>
    <w:rsid w:val="0097393F"/>
    <w:rsid w:val="00973E6C"/>
    <w:rsid w:val="00973F5E"/>
    <w:rsid w:val="009740A9"/>
    <w:rsid w:val="0097444D"/>
    <w:rsid w:val="009748F4"/>
    <w:rsid w:val="009749BB"/>
    <w:rsid w:val="009749E5"/>
    <w:rsid w:val="00974A09"/>
    <w:rsid w:val="00974D65"/>
    <w:rsid w:val="00975292"/>
    <w:rsid w:val="009755F5"/>
    <w:rsid w:val="00975607"/>
    <w:rsid w:val="009758B4"/>
    <w:rsid w:val="00975953"/>
    <w:rsid w:val="00975D4C"/>
    <w:rsid w:val="00975F28"/>
    <w:rsid w:val="00975FC6"/>
    <w:rsid w:val="00976861"/>
    <w:rsid w:val="009768BB"/>
    <w:rsid w:val="00976D4F"/>
    <w:rsid w:val="00976F4E"/>
    <w:rsid w:val="009773A1"/>
    <w:rsid w:val="00977437"/>
    <w:rsid w:val="009775A8"/>
    <w:rsid w:val="009775C0"/>
    <w:rsid w:val="009775C4"/>
    <w:rsid w:val="00977739"/>
    <w:rsid w:val="0098031F"/>
    <w:rsid w:val="009803DF"/>
    <w:rsid w:val="00980451"/>
    <w:rsid w:val="00980AE0"/>
    <w:rsid w:val="00980EB8"/>
    <w:rsid w:val="00981281"/>
    <w:rsid w:val="0098148D"/>
    <w:rsid w:val="0098152E"/>
    <w:rsid w:val="00981B54"/>
    <w:rsid w:val="00981C2F"/>
    <w:rsid w:val="00981F1E"/>
    <w:rsid w:val="009827CA"/>
    <w:rsid w:val="00982F24"/>
    <w:rsid w:val="00983723"/>
    <w:rsid w:val="009837BA"/>
    <w:rsid w:val="00983CC5"/>
    <w:rsid w:val="00983F07"/>
    <w:rsid w:val="00984225"/>
    <w:rsid w:val="00984429"/>
    <w:rsid w:val="0098467F"/>
    <w:rsid w:val="009846FA"/>
    <w:rsid w:val="00984B39"/>
    <w:rsid w:val="00984C16"/>
    <w:rsid w:val="00984E96"/>
    <w:rsid w:val="00984F3B"/>
    <w:rsid w:val="009855CA"/>
    <w:rsid w:val="00985B83"/>
    <w:rsid w:val="00985C8D"/>
    <w:rsid w:val="00986371"/>
    <w:rsid w:val="009864A2"/>
    <w:rsid w:val="0098667B"/>
    <w:rsid w:val="0098669B"/>
    <w:rsid w:val="009866B1"/>
    <w:rsid w:val="0098676A"/>
    <w:rsid w:val="0098695B"/>
    <w:rsid w:val="00986D8C"/>
    <w:rsid w:val="009870C7"/>
    <w:rsid w:val="009874B4"/>
    <w:rsid w:val="00987639"/>
    <w:rsid w:val="009878F9"/>
    <w:rsid w:val="0098795C"/>
    <w:rsid w:val="00987EE8"/>
    <w:rsid w:val="00987FFB"/>
    <w:rsid w:val="0099096E"/>
    <w:rsid w:val="00990D00"/>
    <w:rsid w:val="00990EC1"/>
    <w:rsid w:val="00990F8B"/>
    <w:rsid w:val="009911DB"/>
    <w:rsid w:val="009912EF"/>
    <w:rsid w:val="00991355"/>
    <w:rsid w:val="00991396"/>
    <w:rsid w:val="009913A1"/>
    <w:rsid w:val="009913CF"/>
    <w:rsid w:val="00991A22"/>
    <w:rsid w:val="00991A80"/>
    <w:rsid w:val="00991E51"/>
    <w:rsid w:val="009921CC"/>
    <w:rsid w:val="00992417"/>
    <w:rsid w:val="00992765"/>
    <w:rsid w:val="0099285D"/>
    <w:rsid w:val="00992EC8"/>
    <w:rsid w:val="0099313B"/>
    <w:rsid w:val="00993355"/>
    <w:rsid w:val="0099340C"/>
    <w:rsid w:val="009935ED"/>
    <w:rsid w:val="009939B9"/>
    <w:rsid w:val="00993C00"/>
    <w:rsid w:val="00994138"/>
    <w:rsid w:val="009943BC"/>
    <w:rsid w:val="009945FB"/>
    <w:rsid w:val="009947AD"/>
    <w:rsid w:val="009947E3"/>
    <w:rsid w:val="00995152"/>
    <w:rsid w:val="00995227"/>
    <w:rsid w:val="00995374"/>
    <w:rsid w:val="009954A4"/>
    <w:rsid w:val="00995D44"/>
    <w:rsid w:val="009960EB"/>
    <w:rsid w:val="00996781"/>
    <w:rsid w:val="00996C5A"/>
    <w:rsid w:val="0099705E"/>
    <w:rsid w:val="009970D3"/>
    <w:rsid w:val="00997129"/>
    <w:rsid w:val="0099756E"/>
    <w:rsid w:val="009977FA"/>
    <w:rsid w:val="009978E0"/>
    <w:rsid w:val="00997E80"/>
    <w:rsid w:val="009A027D"/>
    <w:rsid w:val="009A0509"/>
    <w:rsid w:val="009A06A0"/>
    <w:rsid w:val="009A0BCB"/>
    <w:rsid w:val="009A0E0C"/>
    <w:rsid w:val="009A0E31"/>
    <w:rsid w:val="009A11B6"/>
    <w:rsid w:val="009A11ED"/>
    <w:rsid w:val="009A18AB"/>
    <w:rsid w:val="009A1946"/>
    <w:rsid w:val="009A1A95"/>
    <w:rsid w:val="009A1DAE"/>
    <w:rsid w:val="009A1F6E"/>
    <w:rsid w:val="009A2583"/>
    <w:rsid w:val="009A2B06"/>
    <w:rsid w:val="009A2B7D"/>
    <w:rsid w:val="009A2BDE"/>
    <w:rsid w:val="009A2F54"/>
    <w:rsid w:val="009A2F5E"/>
    <w:rsid w:val="009A2FCD"/>
    <w:rsid w:val="009A340A"/>
    <w:rsid w:val="009A344E"/>
    <w:rsid w:val="009A35CB"/>
    <w:rsid w:val="009A3D10"/>
    <w:rsid w:val="009A3D31"/>
    <w:rsid w:val="009A3D3F"/>
    <w:rsid w:val="009A408A"/>
    <w:rsid w:val="009A40DE"/>
    <w:rsid w:val="009A429E"/>
    <w:rsid w:val="009A4412"/>
    <w:rsid w:val="009A4530"/>
    <w:rsid w:val="009A4699"/>
    <w:rsid w:val="009A4D67"/>
    <w:rsid w:val="009A4EFE"/>
    <w:rsid w:val="009A51DB"/>
    <w:rsid w:val="009A5340"/>
    <w:rsid w:val="009A571E"/>
    <w:rsid w:val="009A57FA"/>
    <w:rsid w:val="009A591D"/>
    <w:rsid w:val="009A5B40"/>
    <w:rsid w:val="009A5B71"/>
    <w:rsid w:val="009A5C95"/>
    <w:rsid w:val="009A5D02"/>
    <w:rsid w:val="009A5F1D"/>
    <w:rsid w:val="009A6035"/>
    <w:rsid w:val="009A60A3"/>
    <w:rsid w:val="009A6452"/>
    <w:rsid w:val="009A70F2"/>
    <w:rsid w:val="009A72FD"/>
    <w:rsid w:val="009A78DC"/>
    <w:rsid w:val="009A7B7E"/>
    <w:rsid w:val="009A7B80"/>
    <w:rsid w:val="009A7BE1"/>
    <w:rsid w:val="009A7D31"/>
    <w:rsid w:val="009A7FBD"/>
    <w:rsid w:val="009B0359"/>
    <w:rsid w:val="009B0C19"/>
    <w:rsid w:val="009B0F31"/>
    <w:rsid w:val="009B1319"/>
    <w:rsid w:val="009B139C"/>
    <w:rsid w:val="009B158F"/>
    <w:rsid w:val="009B1592"/>
    <w:rsid w:val="009B18D5"/>
    <w:rsid w:val="009B1A0F"/>
    <w:rsid w:val="009B1EA2"/>
    <w:rsid w:val="009B1FAD"/>
    <w:rsid w:val="009B20E1"/>
    <w:rsid w:val="009B20F8"/>
    <w:rsid w:val="009B23EB"/>
    <w:rsid w:val="009B24D9"/>
    <w:rsid w:val="009B2853"/>
    <w:rsid w:val="009B2F2F"/>
    <w:rsid w:val="009B32EA"/>
    <w:rsid w:val="009B3695"/>
    <w:rsid w:val="009B39C2"/>
    <w:rsid w:val="009B4351"/>
    <w:rsid w:val="009B43B0"/>
    <w:rsid w:val="009B441A"/>
    <w:rsid w:val="009B4424"/>
    <w:rsid w:val="009B4CD3"/>
    <w:rsid w:val="009B4EAF"/>
    <w:rsid w:val="009B5129"/>
    <w:rsid w:val="009B544E"/>
    <w:rsid w:val="009B54D2"/>
    <w:rsid w:val="009B5B4B"/>
    <w:rsid w:val="009B5F5B"/>
    <w:rsid w:val="009B606D"/>
    <w:rsid w:val="009B61C4"/>
    <w:rsid w:val="009B622F"/>
    <w:rsid w:val="009B639B"/>
    <w:rsid w:val="009B6833"/>
    <w:rsid w:val="009B6C27"/>
    <w:rsid w:val="009B6EC8"/>
    <w:rsid w:val="009B76D1"/>
    <w:rsid w:val="009B7B92"/>
    <w:rsid w:val="009C0535"/>
    <w:rsid w:val="009C083F"/>
    <w:rsid w:val="009C0A37"/>
    <w:rsid w:val="009C10A4"/>
    <w:rsid w:val="009C126E"/>
    <w:rsid w:val="009C13B4"/>
    <w:rsid w:val="009C13E3"/>
    <w:rsid w:val="009C1538"/>
    <w:rsid w:val="009C1C93"/>
    <w:rsid w:val="009C1EB0"/>
    <w:rsid w:val="009C22F5"/>
    <w:rsid w:val="009C2386"/>
    <w:rsid w:val="009C2646"/>
    <w:rsid w:val="009C2665"/>
    <w:rsid w:val="009C2953"/>
    <w:rsid w:val="009C2D54"/>
    <w:rsid w:val="009C2DB8"/>
    <w:rsid w:val="009C2DD9"/>
    <w:rsid w:val="009C322A"/>
    <w:rsid w:val="009C36E3"/>
    <w:rsid w:val="009C3D61"/>
    <w:rsid w:val="009C3DE0"/>
    <w:rsid w:val="009C499D"/>
    <w:rsid w:val="009C49A4"/>
    <w:rsid w:val="009C4BC8"/>
    <w:rsid w:val="009C5008"/>
    <w:rsid w:val="009C5042"/>
    <w:rsid w:val="009C5186"/>
    <w:rsid w:val="009C5442"/>
    <w:rsid w:val="009C56F1"/>
    <w:rsid w:val="009C5831"/>
    <w:rsid w:val="009C595D"/>
    <w:rsid w:val="009C5BA2"/>
    <w:rsid w:val="009C5D10"/>
    <w:rsid w:val="009C5E8D"/>
    <w:rsid w:val="009C634C"/>
    <w:rsid w:val="009C63BE"/>
    <w:rsid w:val="009C663E"/>
    <w:rsid w:val="009C6E1F"/>
    <w:rsid w:val="009C714F"/>
    <w:rsid w:val="009C719C"/>
    <w:rsid w:val="009C7742"/>
    <w:rsid w:val="009C7821"/>
    <w:rsid w:val="009C79DE"/>
    <w:rsid w:val="009C7C17"/>
    <w:rsid w:val="009D0134"/>
    <w:rsid w:val="009D0246"/>
    <w:rsid w:val="009D0529"/>
    <w:rsid w:val="009D0711"/>
    <w:rsid w:val="009D0805"/>
    <w:rsid w:val="009D0A7D"/>
    <w:rsid w:val="009D13AF"/>
    <w:rsid w:val="009D1620"/>
    <w:rsid w:val="009D18EE"/>
    <w:rsid w:val="009D1A08"/>
    <w:rsid w:val="009D1F3C"/>
    <w:rsid w:val="009D1FE0"/>
    <w:rsid w:val="009D22D4"/>
    <w:rsid w:val="009D2303"/>
    <w:rsid w:val="009D2370"/>
    <w:rsid w:val="009D25C5"/>
    <w:rsid w:val="009D2639"/>
    <w:rsid w:val="009D2760"/>
    <w:rsid w:val="009D2D29"/>
    <w:rsid w:val="009D2D59"/>
    <w:rsid w:val="009D309B"/>
    <w:rsid w:val="009D35E3"/>
    <w:rsid w:val="009D3803"/>
    <w:rsid w:val="009D41E4"/>
    <w:rsid w:val="009D436B"/>
    <w:rsid w:val="009D44FB"/>
    <w:rsid w:val="009D4865"/>
    <w:rsid w:val="009D4D3E"/>
    <w:rsid w:val="009D4DB6"/>
    <w:rsid w:val="009D5456"/>
    <w:rsid w:val="009D58C4"/>
    <w:rsid w:val="009D5D19"/>
    <w:rsid w:val="009D6708"/>
    <w:rsid w:val="009D67CA"/>
    <w:rsid w:val="009D6820"/>
    <w:rsid w:val="009D69D4"/>
    <w:rsid w:val="009D776A"/>
    <w:rsid w:val="009D77A3"/>
    <w:rsid w:val="009D7879"/>
    <w:rsid w:val="009D7884"/>
    <w:rsid w:val="009D7BAE"/>
    <w:rsid w:val="009D7BB7"/>
    <w:rsid w:val="009D7E43"/>
    <w:rsid w:val="009E0472"/>
    <w:rsid w:val="009E095F"/>
    <w:rsid w:val="009E0CB2"/>
    <w:rsid w:val="009E0D83"/>
    <w:rsid w:val="009E0F1F"/>
    <w:rsid w:val="009E128C"/>
    <w:rsid w:val="009E143B"/>
    <w:rsid w:val="009E170E"/>
    <w:rsid w:val="009E1A71"/>
    <w:rsid w:val="009E1B49"/>
    <w:rsid w:val="009E1D6A"/>
    <w:rsid w:val="009E1DF0"/>
    <w:rsid w:val="009E1DF2"/>
    <w:rsid w:val="009E21F2"/>
    <w:rsid w:val="009E22CF"/>
    <w:rsid w:val="009E2593"/>
    <w:rsid w:val="009E2652"/>
    <w:rsid w:val="009E26B0"/>
    <w:rsid w:val="009E2CC6"/>
    <w:rsid w:val="009E2FE0"/>
    <w:rsid w:val="009E3034"/>
    <w:rsid w:val="009E3381"/>
    <w:rsid w:val="009E3AA5"/>
    <w:rsid w:val="009E3AF5"/>
    <w:rsid w:val="009E3F92"/>
    <w:rsid w:val="009E42FB"/>
    <w:rsid w:val="009E4E7A"/>
    <w:rsid w:val="009E4EE3"/>
    <w:rsid w:val="009E4F44"/>
    <w:rsid w:val="009E515B"/>
    <w:rsid w:val="009E5410"/>
    <w:rsid w:val="009E5756"/>
    <w:rsid w:val="009E5938"/>
    <w:rsid w:val="009E5ACA"/>
    <w:rsid w:val="009E5DB3"/>
    <w:rsid w:val="009E5F5A"/>
    <w:rsid w:val="009E5FAC"/>
    <w:rsid w:val="009E6169"/>
    <w:rsid w:val="009E61F4"/>
    <w:rsid w:val="009E629B"/>
    <w:rsid w:val="009E6F89"/>
    <w:rsid w:val="009E7059"/>
    <w:rsid w:val="009E7064"/>
    <w:rsid w:val="009E7871"/>
    <w:rsid w:val="009E796D"/>
    <w:rsid w:val="009E7DEB"/>
    <w:rsid w:val="009F009A"/>
    <w:rsid w:val="009F0220"/>
    <w:rsid w:val="009F0256"/>
    <w:rsid w:val="009F06C5"/>
    <w:rsid w:val="009F09F2"/>
    <w:rsid w:val="009F0CDA"/>
    <w:rsid w:val="009F13B0"/>
    <w:rsid w:val="009F13D8"/>
    <w:rsid w:val="009F163B"/>
    <w:rsid w:val="009F18C8"/>
    <w:rsid w:val="009F1A12"/>
    <w:rsid w:val="009F2032"/>
    <w:rsid w:val="009F2039"/>
    <w:rsid w:val="009F22AE"/>
    <w:rsid w:val="009F24FC"/>
    <w:rsid w:val="009F2538"/>
    <w:rsid w:val="009F29B2"/>
    <w:rsid w:val="009F2BA2"/>
    <w:rsid w:val="009F2DA9"/>
    <w:rsid w:val="009F2EC0"/>
    <w:rsid w:val="009F2F00"/>
    <w:rsid w:val="009F32F8"/>
    <w:rsid w:val="009F36EA"/>
    <w:rsid w:val="009F3DF9"/>
    <w:rsid w:val="009F3E22"/>
    <w:rsid w:val="009F4286"/>
    <w:rsid w:val="009F4291"/>
    <w:rsid w:val="009F432C"/>
    <w:rsid w:val="009F4938"/>
    <w:rsid w:val="009F494E"/>
    <w:rsid w:val="009F4C56"/>
    <w:rsid w:val="009F510C"/>
    <w:rsid w:val="009F51AF"/>
    <w:rsid w:val="009F5ADB"/>
    <w:rsid w:val="009F5DD3"/>
    <w:rsid w:val="009F5E84"/>
    <w:rsid w:val="009F5FE7"/>
    <w:rsid w:val="009F6259"/>
    <w:rsid w:val="009F6724"/>
    <w:rsid w:val="009F678D"/>
    <w:rsid w:val="009F698A"/>
    <w:rsid w:val="009F6A75"/>
    <w:rsid w:val="009F6EA8"/>
    <w:rsid w:val="009F6F81"/>
    <w:rsid w:val="009F71EE"/>
    <w:rsid w:val="009F71FD"/>
    <w:rsid w:val="009F7743"/>
    <w:rsid w:val="009F7B61"/>
    <w:rsid w:val="009F7B77"/>
    <w:rsid w:val="009F7C35"/>
    <w:rsid w:val="009F7F0A"/>
    <w:rsid w:val="009F7F8B"/>
    <w:rsid w:val="009FC4DA"/>
    <w:rsid w:val="00A003BC"/>
    <w:rsid w:val="00A006DB"/>
    <w:rsid w:val="00A007DC"/>
    <w:rsid w:val="00A00E4D"/>
    <w:rsid w:val="00A00E5A"/>
    <w:rsid w:val="00A00F36"/>
    <w:rsid w:val="00A010A5"/>
    <w:rsid w:val="00A010F9"/>
    <w:rsid w:val="00A01111"/>
    <w:rsid w:val="00A01354"/>
    <w:rsid w:val="00A0160C"/>
    <w:rsid w:val="00A016AC"/>
    <w:rsid w:val="00A017CC"/>
    <w:rsid w:val="00A01AE4"/>
    <w:rsid w:val="00A01B18"/>
    <w:rsid w:val="00A01B76"/>
    <w:rsid w:val="00A02441"/>
    <w:rsid w:val="00A02558"/>
    <w:rsid w:val="00A025B5"/>
    <w:rsid w:val="00A02A2E"/>
    <w:rsid w:val="00A02C8E"/>
    <w:rsid w:val="00A02E2C"/>
    <w:rsid w:val="00A02E3C"/>
    <w:rsid w:val="00A02FAE"/>
    <w:rsid w:val="00A03283"/>
    <w:rsid w:val="00A03343"/>
    <w:rsid w:val="00A03480"/>
    <w:rsid w:val="00A034C0"/>
    <w:rsid w:val="00A03915"/>
    <w:rsid w:val="00A03928"/>
    <w:rsid w:val="00A03C81"/>
    <w:rsid w:val="00A04614"/>
    <w:rsid w:val="00A04720"/>
    <w:rsid w:val="00A04FF0"/>
    <w:rsid w:val="00A05186"/>
    <w:rsid w:val="00A05656"/>
    <w:rsid w:val="00A05AF5"/>
    <w:rsid w:val="00A05B84"/>
    <w:rsid w:val="00A05D92"/>
    <w:rsid w:val="00A05DF2"/>
    <w:rsid w:val="00A05EBC"/>
    <w:rsid w:val="00A06430"/>
    <w:rsid w:val="00A0685A"/>
    <w:rsid w:val="00A06ABF"/>
    <w:rsid w:val="00A0748A"/>
    <w:rsid w:val="00A07808"/>
    <w:rsid w:val="00A07846"/>
    <w:rsid w:val="00A0786A"/>
    <w:rsid w:val="00A07922"/>
    <w:rsid w:val="00A07FD5"/>
    <w:rsid w:val="00A101D3"/>
    <w:rsid w:val="00A1025A"/>
    <w:rsid w:val="00A10A22"/>
    <w:rsid w:val="00A10CC0"/>
    <w:rsid w:val="00A10ED3"/>
    <w:rsid w:val="00A10EE1"/>
    <w:rsid w:val="00A11043"/>
    <w:rsid w:val="00A11133"/>
    <w:rsid w:val="00A113F2"/>
    <w:rsid w:val="00A11457"/>
    <w:rsid w:val="00A116EA"/>
    <w:rsid w:val="00A11A1D"/>
    <w:rsid w:val="00A11DD7"/>
    <w:rsid w:val="00A11DEA"/>
    <w:rsid w:val="00A11F1A"/>
    <w:rsid w:val="00A1208B"/>
    <w:rsid w:val="00A1217D"/>
    <w:rsid w:val="00A12463"/>
    <w:rsid w:val="00A1246E"/>
    <w:rsid w:val="00A1277A"/>
    <w:rsid w:val="00A1284A"/>
    <w:rsid w:val="00A13000"/>
    <w:rsid w:val="00A13191"/>
    <w:rsid w:val="00A13234"/>
    <w:rsid w:val="00A133C0"/>
    <w:rsid w:val="00A1385C"/>
    <w:rsid w:val="00A13886"/>
    <w:rsid w:val="00A13969"/>
    <w:rsid w:val="00A13CE8"/>
    <w:rsid w:val="00A13D71"/>
    <w:rsid w:val="00A13F22"/>
    <w:rsid w:val="00A14224"/>
    <w:rsid w:val="00A1425B"/>
    <w:rsid w:val="00A1441D"/>
    <w:rsid w:val="00A1460E"/>
    <w:rsid w:val="00A14646"/>
    <w:rsid w:val="00A14DDD"/>
    <w:rsid w:val="00A15117"/>
    <w:rsid w:val="00A1512C"/>
    <w:rsid w:val="00A15310"/>
    <w:rsid w:val="00A15465"/>
    <w:rsid w:val="00A15600"/>
    <w:rsid w:val="00A157D8"/>
    <w:rsid w:val="00A15986"/>
    <w:rsid w:val="00A16081"/>
    <w:rsid w:val="00A166A6"/>
    <w:rsid w:val="00A16A90"/>
    <w:rsid w:val="00A170C7"/>
    <w:rsid w:val="00A170DF"/>
    <w:rsid w:val="00A172BA"/>
    <w:rsid w:val="00A200A6"/>
    <w:rsid w:val="00A20318"/>
    <w:rsid w:val="00A204A9"/>
    <w:rsid w:val="00A2079A"/>
    <w:rsid w:val="00A20A5F"/>
    <w:rsid w:val="00A2103A"/>
    <w:rsid w:val="00A212DB"/>
    <w:rsid w:val="00A212F2"/>
    <w:rsid w:val="00A219A9"/>
    <w:rsid w:val="00A21A44"/>
    <w:rsid w:val="00A21B4B"/>
    <w:rsid w:val="00A21E57"/>
    <w:rsid w:val="00A225A2"/>
    <w:rsid w:val="00A23050"/>
    <w:rsid w:val="00A230DE"/>
    <w:rsid w:val="00A232D3"/>
    <w:rsid w:val="00A23541"/>
    <w:rsid w:val="00A236FE"/>
    <w:rsid w:val="00A237EA"/>
    <w:rsid w:val="00A238A0"/>
    <w:rsid w:val="00A23967"/>
    <w:rsid w:val="00A23B3E"/>
    <w:rsid w:val="00A23D9E"/>
    <w:rsid w:val="00A244C8"/>
    <w:rsid w:val="00A24752"/>
    <w:rsid w:val="00A24766"/>
    <w:rsid w:val="00A24A60"/>
    <w:rsid w:val="00A24D49"/>
    <w:rsid w:val="00A24DE9"/>
    <w:rsid w:val="00A24F6E"/>
    <w:rsid w:val="00A24FD3"/>
    <w:rsid w:val="00A25509"/>
    <w:rsid w:val="00A2596C"/>
    <w:rsid w:val="00A259A0"/>
    <w:rsid w:val="00A25DC7"/>
    <w:rsid w:val="00A25E7B"/>
    <w:rsid w:val="00A25F1C"/>
    <w:rsid w:val="00A25FA1"/>
    <w:rsid w:val="00A26529"/>
    <w:rsid w:val="00A26767"/>
    <w:rsid w:val="00A26ECC"/>
    <w:rsid w:val="00A26F9F"/>
    <w:rsid w:val="00A26FE4"/>
    <w:rsid w:val="00A2719F"/>
    <w:rsid w:val="00A27755"/>
    <w:rsid w:val="00A279EB"/>
    <w:rsid w:val="00A27ACB"/>
    <w:rsid w:val="00A30097"/>
    <w:rsid w:val="00A30C88"/>
    <w:rsid w:val="00A30F7A"/>
    <w:rsid w:val="00A31089"/>
    <w:rsid w:val="00A3111D"/>
    <w:rsid w:val="00A312D3"/>
    <w:rsid w:val="00A31479"/>
    <w:rsid w:val="00A31B8B"/>
    <w:rsid w:val="00A31C71"/>
    <w:rsid w:val="00A31CB7"/>
    <w:rsid w:val="00A31D5D"/>
    <w:rsid w:val="00A31E54"/>
    <w:rsid w:val="00A31E68"/>
    <w:rsid w:val="00A31E85"/>
    <w:rsid w:val="00A32347"/>
    <w:rsid w:val="00A323DC"/>
    <w:rsid w:val="00A327C9"/>
    <w:rsid w:val="00A32895"/>
    <w:rsid w:val="00A3362E"/>
    <w:rsid w:val="00A3368A"/>
    <w:rsid w:val="00A336FC"/>
    <w:rsid w:val="00A3383C"/>
    <w:rsid w:val="00A3387F"/>
    <w:rsid w:val="00A339D9"/>
    <w:rsid w:val="00A33AD8"/>
    <w:rsid w:val="00A33ADE"/>
    <w:rsid w:val="00A33B2D"/>
    <w:rsid w:val="00A33C46"/>
    <w:rsid w:val="00A33EFD"/>
    <w:rsid w:val="00A341E4"/>
    <w:rsid w:val="00A34630"/>
    <w:rsid w:val="00A351C6"/>
    <w:rsid w:val="00A351EE"/>
    <w:rsid w:val="00A35366"/>
    <w:rsid w:val="00A35686"/>
    <w:rsid w:val="00A35D58"/>
    <w:rsid w:val="00A36191"/>
    <w:rsid w:val="00A362FB"/>
    <w:rsid w:val="00A36324"/>
    <w:rsid w:val="00A36439"/>
    <w:rsid w:val="00A36465"/>
    <w:rsid w:val="00A36766"/>
    <w:rsid w:val="00A369E1"/>
    <w:rsid w:val="00A37154"/>
    <w:rsid w:val="00A372F8"/>
    <w:rsid w:val="00A37536"/>
    <w:rsid w:val="00A37726"/>
    <w:rsid w:val="00A377C5"/>
    <w:rsid w:val="00A37916"/>
    <w:rsid w:val="00A37956"/>
    <w:rsid w:val="00A37A6B"/>
    <w:rsid w:val="00A40063"/>
    <w:rsid w:val="00A40291"/>
    <w:rsid w:val="00A404AC"/>
    <w:rsid w:val="00A407D6"/>
    <w:rsid w:val="00A40864"/>
    <w:rsid w:val="00A40C94"/>
    <w:rsid w:val="00A40E5B"/>
    <w:rsid w:val="00A4129D"/>
    <w:rsid w:val="00A41389"/>
    <w:rsid w:val="00A413DE"/>
    <w:rsid w:val="00A41A5D"/>
    <w:rsid w:val="00A41AAA"/>
    <w:rsid w:val="00A4202D"/>
    <w:rsid w:val="00A4233A"/>
    <w:rsid w:val="00A426DC"/>
    <w:rsid w:val="00A42B96"/>
    <w:rsid w:val="00A42C9C"/>
    <w:rsid w:val="00A42FE8"/>
    <w:rsid w:val="00A43106"/>
    <w:rsid w:val="00A4320D"/>
    <w:rsid w:val="00A43696"/>
    <w:rsid w:val="00A43832"/>
    <w:rsid w:val="00A43A33"/>
    <w:rsid w:val="00A43B64"/>
    <w:rsid w:val="00A43CFB"/>
    <w:rsid w:val="00A445B8"/>
    <w:rsid w:val="00A445DA"/>
    <w:rsid w:val="00A44736"/>
    <w:rsid w:val="00A44852"/>
    <w:rsid w:val="00A4493B"/>
    <w:rsid w:val="00A44A82"/>
    <w:rsid w:val="00A44D67"/>
    <w:rsid w:val="00A45612"/>
    <w:rsid w:val="00A458DF"/>
    <w:rsid w:val="00A45FEA"/>
    <w:rsid w:val="00A46127"/>
    <w:rsid w:val="00A4620D"/>
    <w:rsid w:val="00A463F7"/>
    <w:rsid w:val="00A46581"/>
    <w:rsid w:val="00A46698"/>
    <w:rsid w:val="00A469BF"/>
    <w:rsid w:val="00A46BD3"/>
    <w:rsid w:val="00A46D32"/>
    <w:rsid w:val="00A46DB0"/>
    <w:rsid w:val="00A470E2"/>
    <w:rsid w:val="00A47266"/>
    <w:rsid w:val="00A4727E"/>
    <w:rsid w:val="00A47402"/>
    <w:rsid w:val="00A47631"/>
    <w:rsid w:val="00A47798"/>
    <w:rsid w:val="00A479F1"/>
    <w:rsid w:val="00A47C7D"/>
    <w:rsid w:val="00A47DE7"/>
    <w:rsid w:val="00A47E59"/>
    <w:rsid w:val="00A502A7"/>
    <w:rsid w:val="00A50717"/>
    <w:rsid w:val="00A5098C"/>
    <w:rsid w:val="00A50BA1"/>
    <w:rsid w:val="00A51E8C"/>
    <w:rsid w:val="00A522F5"/>
    <w:rsid w:val="00A5253C"/>
    <w:rsid w:val="00A52A22"/>
    <w:rsid w:val="00A52AE6"/>
    <w:rsid w:val="00A52FD0"/>
    <w:rsid w:val="00A536F8"/>
    <w:rsid w:val="00A53705"/>
    <w:rsid w:val="00A53F60"/>
    <w:rsid w:val="00A54D9E"/>
    <w:rsid w:val="00A54E15"/>
    <w:rsid w:val="00A54F19"/>
    <w:rsid w:val="00A55009"/>
    <w:rsid w:val="00A55017"/>
    <w:rsid w:val="00A55308"/>
    <w:rsid w:val="00A553F4"/>
    <w:rsid w:val="00A5589C"/>
    <w:rsid w:val="00A55AAC"/>
    <w:rsid w:val="00A55D6D"/>
    <w:rsid w:val="00A55F13"/>
    <w:rsid w:val="00A56097"/>
    <w:rsid w:val="00A56237"/>
    <w:rsid w:val="00A56A49"/>
    <w:rsid w:val="00A56E5B"/>
    <w:rsid w:val="00A57107"/>
    <w:rsid w:val="00A57597"/>
    <w:rsid w:val="00A57830"/>
    <w:rsid w:val="00A57835"/>
    <w:rsid w:val="00A57ADB"/>
    <w:rsid w:val="00A57F3D"/>
    <w:rsid w:val="00A605AC"/>
    <w:rsid w:val="00A6077D"/>
    <w:rsid w:val="00A60B62"/>
    <w:rsid w:val="00A60C6C"/>
    <w:rsid w:val="00A614E6"/>
    <w:rsid w:val="00A61654"/>
    <w:rsid w:val="00A61748"/>
    <w:rsid w:val="00A61911"/>
    <w:rsid w:val="00A61A84"/>
    <w:rsid w:val="00A61B1C"/>
    <w:rsid w:val="00A61B3C"/>
    <w:rsid w:val="00A61E18"/>
    <w:rsid w:val="00A61FEE"/>
    <w:rsid w:val="00A62373"/>
    <w:rsid w:val="00A62452"/>
    <w:rsid w:val="00A627C5"/>
    <w:rsid w:val="00A62C57"/>
    <w:rsid w:val="00A62C76"/>
    <w:rsid w:val="00A62F24"/>
    <w:rsid w:val="00A63773"/>
    <w:rsid w:val="00A637EE"/>
    <w:rsid w:val="00A63D1C"/>
    <w:rsid w:val="00A63FCB"/>
    <w:rsid w:val="00A6420C"/>
    <w:rsid w:val="00A64C5A"/>
    <w:rsid w:val="00A64CF4"/>
    <w:rsid w:val="00A6511E"/>
    <w:rsid w:val="00A65365"/>
    <w:rsid w:val="00A65474"/>
    <w:rsid w:val="00A65BFF"/>
    <w:rsid w:val="00A65D4F"/>
    <w:rsid w:val="00A661C7"/>
    <w:rsid w:val="00A666F0"/>
    <w:rsid w:val="00A6673F"/>
    <w:rsid w:val="00A668A7"/>
    <w:rsid w:val="00A66E66"/>
    <w:rsid w:val="00A66F4B"/>
    <w:rsid w:val="00A674D5"/>
    <w:rsid w:val="00A677C6"/>
    <w:rsid w:val="00A67831"/>
    <w:rsid w:val="00A679CB"/>
    <w:rsid w:val="00A701FC"/>
    <w:rsid w:val="00A70347"/>
    <w:rsid w:val="00A70515"/>
    <w:rsid w:val="00A70516"/>
    <w:rsid w:val="00A70868"/>
    <w:rsid w:val="00A708F8"/>
    <w:rsid w:val="00A70DD7"/>
    <w:rsid w:val="00A71247"/>
    <w:rsid w:val="00A713A8"/>
    <w:rsid w:val="00A715B1"/>
    <w:rsid w:val="00A722A2"/>
    <w:rsid w:val="00A7243C"/>
    <w:rsid w:val="00A72501"/>
    <w:rsid w:val="00A72CD7"/>
    <w:rsid w:val="00A72DF3"/>
    <w:rsid w:val="00A72F6F"/>
    <w:rsid w:val="00A73143"/>
    <w:rsid w:val="00A73246"/>
    <w:rsid w:val="00A733C7"/>
    <w:rsid w:val="00A7351B"/>
    <w:rsid w:val="00A73689"/>
    <w:rsid w:val="00A7388C"/>
    <w:rsid w:val="00A73975"/>
    <w:rsid w:val="00A739AB"/>
    <w:rsid w:val="00A739DC"/>
    <w:rsid w:val="00A74002"/>
    <w:rsid w:val="00A74336"/>
    <w:rsid w:val="00A74416"/>
    <w:rsid w:val="00A74421"/>
    <w:rsid w:val="00A745C6"/>
    <w:rsid w:val="00A74A95"/>
    <w:rsid w:val="00A74EB2"/>
    <w:rsid w:val="00A74EC4"/>
    <w:rsid w:val="00A74EDD"/>
    <w:rsid w:val="00A74F4D"/>
    <w:rsid w:val="00A75239"/>
    <w:rsid w:val="00A752D5"/>
    <w:rsid w:val="00A755B8"/>
    <w:rsid w:val="00A756E9"/>
    <w:rsid w:val="00A75D00"/>
    <w:rsid w:val="00A760F3"/>
    <w:rsid w:val="00A761A1"/>
    <w:rsid w:val="00A7635B"/>
    <w:rsid w:val="00A76679"/>
    <w:rsid w:val="00A76886"/>
    <w:rsid w:val="00A76904"/>
    <w:rsid w:val="00A76D3C"/>
    <w:rsid w:val="00A76E26"/>
    <w:rsid w:val="00A77175"/>
    <w:rsid w:val="00A77389"/>
    <w:rsid w:val="00A774ED"/>
    <w:rsid w:val="00A77819"/>
    <w:rsid w:val="00A778BB"/>
    <w:rsid w:val="00A77B3C"/>
    <w:rsid w:val="00A77D08"/>
    <w:rsid w:val="00A77F02"/>
    <w:rsid w:val="00A80155"/>
    <w:rsid w:val="00A80B36"/>
    <w:rsid w:val="00A80C84"/>
    <w:rsid w:val="00A80DD4"/>
    <w:rsid w:val="00A810B3"/>
    <w:rsid w:val="00A8116F"/>
    <w:rsid w:val="00A811AF"/>
    <w:rsid w:val="00A81477"/>
    <w:rsid w:val="00A816E1"/>
    <w:rsid w:val="00A8171C"/>
    <w:rsid w:val="00A817DE"/>
    <w:rsid w:val="00A81A69"/>
    <w:rsid w:val="00A81C41"/>
    <w:rsid w:val="00A81C5D"/>
    <w:rsid w:val="00A81D0C"/>
    <w:rsid w:val="00A81D8D"/>
    <w:rsid w:val="00A81EFB"/>
    <w:rsid w:val="00A8200F"/>
    <w:rsid w:val="00A82073"/>
    <w:rsid w:val="00A8293A"/>
    <w:rsid w:val="00A8302D"/>
    <w:rsid w:val="00A83C25"/>
    <w:rsid w:val="00A83E96"/>
    <w:rsid w:val="00A840AF"/>
    <w:rsid w:val="00A841DA"/>
    <w:rsid w:val="00A8421F"/>
    <w:rsid w:val="00A842BF"/>
    <w:rsid w:val="00A8440D"/>
    <w:rsid w:val="00A84433"/>
    <w:rsid w:val="00A84558"/>
    <w:rsid w:val="00A84913"/>
    <w:rsid w:val="00A849B6"/>
    <w:rsid w:val="00A849E0"/>
    <w:rsid w:val="00A84AC5"/>
    <w:rsid w:val="00A84AF6"/>
    <w:rsid w:val="00A84BBC"/>
    <w:rsid w:val="00A8516E"/>
    <w:rsid w:val="00A851F7"/>
    <w:rsid w:val="00A85475"/>
    <w:rsid w:val="00A858AA"/>
    <w:rsid w:val="00A85CA2"/>
    <w:rsid w:val="00A85DC8"/>
    <w:rsid w:val="00A85E1F"/>
    <w:rsid w:val="00A85F07"/>
    <w:rsid w:val="00A86279"/>
    <w:rsid w:val="00A86397"/>
    <w:rsid w:val="00A866BD"/>
    <w:rsid w:val="00A867EF"/>
    <w:rsid w:val="00A87141"/>
    <w:rsid w:val="00A87533"/>
    <w:rsid w:val="00A875E6"/>
    <w:rsid w:val="00A876A3"/>
    <w:rsid w:val="00A87A58"/>
    <w:rsid w:val="00A87C85"/>
    <w:rsid w:val="00A87D1E"/>
    <w:rsid w:val="00A90037"/>
    <w:rsid w:val="00A900C0"/>
    <w:rsid w:val="00A90368"/>
    <w:rsid w:val="00A90553"/>
    <w:rsid w:val="00A90659"/>
    <w:rsid w:val="00A90675"/>
    <w:rsid w:val="00A90820"/>
    <w:rsid w:val="00A90A42"/>
    <w:rsid w:val="00A90DE0"/>
    <w:rsid w:val="00A90E25"/>
    <w:rsid w:val="00A90F16"/>
    <w:rsid w:val="00A91005"/>
    <w:rsid w:val="00A911E7"/>
    <w:rsid w:val="00A91309"/>
    <w:rsid w:val="00A91321"/>
    <w:rsid w:val="00A91576"/>
    <w:rsid w:val="00A91A99"/>
    <w:rsid w:val="00A91D1A"/>
    <w:rsid w:val="00A926C7"/>
    <w:rsid w:val="00A92758"/>
    <w:rsid w:val="00A92BAD"/>
    <w:rsid w:val="00A92DE8"/>
    <w:rsid w:val="00A92DFA"/>
    <w:rsid w:val="00A9344D"/>
    <w:rsid w:val="00A9351F"/>
    <w:rsid w:val="00A937D0"/>
    <w:rsid w:val="00A93901"/>
    <w:rsid w:val="00A93B94"/>
    <w:rsid w:val="00A93C1B"/>
    <w:rsid w:val="00A94214"/>
    <w:rsid w:val="00A942AC"/>
    <w:rsid w:val="00A94377"/>
    <w:rsid w:val="00A944E1"/>
    <w:rsid w:val="00A948BE"/>
    <w:rsid w:val="00A948F9"/>
    <w:rsid w:val="00A94B61"/>
    <w:rsid w:val="00A95021"/>
    <w:rsid w:val="00A95186"/>
    <w:rsid w:val="00A9569A"/>
    <w:rsid w:val="00A956B4"/>
    <w:rsid w:val="00A956F9"/>
    <w:rsid w:val="00A959F3"/>
    <w:rsid w:val="00A95CB2"/>
    <w:rsid w:val="00A9616B"/>
    <w:rsid w:val="00A967A0"/>
    <w:rsid w:val="00A96E0A"/>
    <w:rsid w:val="00A970FB"/>
    <w:rsid w:val="00A975FC"/>
    <w:rsid w:val="00A97C7F"/>
    <w:rsid w:val="00A97F09"/>
    <w:rsid w:val="00AA019B"/>
    <w:rsid w:val="00AA01F6"/>
    <w:rsid w:val="00AA0468"/>
    <w:rsid w:val="00AA069B"/>
    <w:rsid w:val="00AA089D"/>
    <w:rsid w:val="00AA0B64"/>
    <w:rsid w:val="00AA10DE"/>
    <w:rsid w:val="00AA16A1"/>
    <w:rsid w:val="00AA18AA"/>
    <w:rsid w:val="00AA18B6"/>
    <w:rsid w:val="00AA192D"/>
    <w:rsid w:val="00AA1A4C"/>
    <w:rsid w:val="00AA1AEF"/>
    <w:rsid w:val="00AA1B53"/>
    <w:rsid w:val="00AA1CF5"/>
    <w:rsid w:val="00AA20A7"/>
    <w:rsid w:val="00AA255C"/>
    <w:rsid w:val="00AA2673"/>
    <w:rsid w:val="00AA269F"/>
    <w:rsid w:val="00AA27EA"/>
    <w:rsid w:val="00AA2CDE"/>
    <w:rsid w:val="00AA2EE1"/>
    <w:rsid w:val="00AA3571"/>
    <w:rsid w:val="00AA35D8"/>
    <w:rsid w:val="00AA4217"/>
    <w:rsid w:val="00AA44EC"/>
    <w:rsid w:val="00AA452F"/>
    <w:rsid w:val="00AA4966"/>
    <w:rsid w:val="00AA4AF3"/>
    <w:rsid w:val="00AA4B81"/>
    <w:rsid w:val="00AA50DE"/>
    <w:rsid w:val="00AA516A"/>
    <w:rsid w:val="00AA5215"/>
    <w:rsid w:val="00AA53FA"/>
    <w:rsid w:val="00AA547D"/>
    <w:rsid w:val="00AA5688"/>
    <w:rsid w:val="00AA57F7"/>
    <w:rsid w:val="00AA5D90"/>
    <w:rsid w:val="00AA6038"/>
    <w:rsid w:val="00AA6066"/>
    <w:rsid w:val="00AA6166"/>
    <w:rsid w:val="00AA62E7"/>
    <w:rsid w:val="00AA6568"/>
    <w:rsid w:val="00AA6C3D"/>
    <w:rsid w:val="00AA6CA6"/>
    <w:rsid w:val="00AA7503"/>
    <w:rsid w:val="00AA78A8"/>
    <w:rsid w:val="00AA7C41"/>
    <w:rsid w:val="00AA7D5F"/>
    <w:rsid w:val="00AA7EB4"/>
    <w:rsid w:val="00AA7ECC"/>
    <w:rsid w:val="00AB0169"/>
    <w:rsid w:val="00AB043D"/>
    <w:rsid w:val="00AB08ED"/>
    <w:rsid w:val="00AB09D3"/>
    <w:rsid w:val="00AB0BB6"/>
    <w:rsid w:val="00AB1047"/>
    <w:rsid w:val="00AB1946"/>
    <w:rsid w:val="00AB19FA"/>
    <w:rsid w:val="00AB20C9"/>
    <w:rsid w:val="00AB2106"/>
    <w:rsid w:val="00AB21E4"/>
    <w:rsid w:val="00AB2288"/>
    <w:rsid w:val="00AB2314"/>
    <w:rsid w:val="00AB235E"/>
    <w:rsid w:val="00AB265D"/>
    <w:rsid w:val="00AB294F"/>
    <w:rsid w:val="00AB29E4"/>
    <w:rsid w:val="00AB3053"/>
    <w:rsid w:val="00AB309E"/>
    <w:rsid w:val="00AB3510"/>
    <w:rsid w:val="00AB3532"/>
    <w:rsid w:val="00AB3803"/>
    <w:rsid w:val="00AB3A4A"/>
    <w:rsid w:val="00AB3D91"/>
    <w:rsid w:val="00AB3F19"/>
    <w:rsid w:val="00AB3F8B"/>
    <w:rsid w:val="00AB417B"/>
    <w:rsid w:val="00AB485B"/>
    <w:rsid w:val="00AB4A35"/>
    <w:rsid w:val="00AB4D67"/>
    <w:rsid w:val="00AB4E9D"/>
    <w:rsid w:val="00AB4FE8"/>
    <w:rsid w:val="00AB5065"/>
    <w:rsid w:val="00AB59FD"/>
    <w:rsid w:val="00AB5EA0"/>
    <w:rsid w:val="00AB6113"/>
    <w:rsid w:val="00AB62BB"/>
    <w:rsid w:val="00AB64D6"/>
    <w:rsid w:val="00AB6D23"/>
    <w:rsid w:val="00AB7230"/>
    <w:rsid w:val="00AB752A"/>
    <w:rsid w:val="00AB7776"/>
    <w:rsid w:val="00AB7938"/>
    <w:rsid w:val="00AB7DC3"/>
    <w:rsid w:val="00AB7F80"/>
    <w:rsid w:val="00AC0027"/>
    <w:rsid w:val="00AC043C"/>
    <w:rsid w:val="00AC05A1"/>
    <w:rsid w:val="00AC0868"/>
    <w:rsid w:val="00AC09D7"/>
    <w:rsid w:val="00AC0A81"/>
    <w:rsid w:val="00AC0D23"/>
    <w:rsid w:val="00AC0D9D"/>
    <w:rsid w:val="00AC0E77"/>
    <w:rsid w:val="00AC15D3"/>
    <w:rsid w:val="00AC169D"/>
    <w:rsid w:val="00AC18E5"/>
    <w:rsid w:val="00AC194C"/>
    <w:rsid w:val="00AC1AB7"/>
    <w:rsid w:val="00AC1B30"/>
    <w:rsid w:val="00AC1B7C"/>
    <w:rsid w:val="00AC1C8E"/>
    <w:rsid w:val="00AC1CAB"/>
    <w:rsid w:val="00AC1E39"/>
    <w:rsid w:val="00AC21B6"/>
    <w:rsid w:val="00AC220A"/>
    <w:rsid w:val="00AC2895"/>
    <w:rsid w:val="00AC2CAA"/>
    <w:rsid w:val="00AC2D0C"/>
    <w:rsid w:val="00AC30C7"/>
    <w:rsid w:val="00AC3153"/>
    <w:rsid w:val="00AC336A"/>
    <w:rsid w:val="00AC33A6"/>
    <w:rsid w:val="00AC38F3"/>
    <w:rsid w:val="00AC39CF"/>
    <w:rsid w:val="00AC40BF"/>
    <w:rsid w:val="00AC4206"/>
    <w:rsid w:val="00AC4788"/>
    <w:rsid w:val="00AC4A52"/>
    <w:rsid w:val="00AC4AF9"/>
    <w:rsid w:val="00AC4ED3"/>
    <w:rsid w:val="00AC4EF5"/>
    <w:rsid w:val="00AC505A"/>
    <w:rsid w:val="00AC50CF"/>
    <w:rsid w:val="00AC51A6"/>
    <w:rsid w:val="00AC5235"/>
    <w:rsid w:val="00AC5D06"/>
    <w:rsid w:val="00AC5E94"/>
    <w:rsid w:val="00AC626E"/>
    <w:rsid w:val="00AC64F9"/>
    <w:rsid w:val="00AC6AF5"/>
    <w:rsid w:val="00AC6DE5"/>
    <w:rsid w:val="00AC7231"/>
    <w:rsid w:val="00AC7347"/>
    <w:rsid w:val="00AC7BB3"/>
    <w:rsid w:val="00AC7BF1"/>
    <w:rsid w:val="00AC7BFD"/>
    <w:rsid w:val="00AC7C76"/>
    <w:rsid w:val="00AC7DFC"/>
    <w:rsid w:val="00AC7EBE"/>
    <w:rsid w:val="00AD015A"/>
    <w:rsid w:val="00AD0410"/>
    <w:rsid w:val="00AD0493"/>
    <w:rsid w:val="00AD049A"/>
    <w:rsid w:val="00AD0526"/>
    <w:rsid w:val="00AD091A"/>
    <w:rsid w:val="00AD0AB3"/>
    <w:rsid w:val="00AD0E71"/>
    <w:rsid w:val="00AD0F31"/>
    <w:rsid w:val="00AD16A7"/>
    <w:rsid w:val="00AD16AD"/>
    <w:rsid w:val="00AD1800"/>
    <w:rsid w:val="00AD19AD"/>
    <w:rsid w:val="00AD1B23"/>
    <w:rsid w:val="00AD1E4F"/>
    <w:rsid w:val="00AD22B2"/>
    <w:rsid w:val="00AD243C"/>
    <w:rsid w:val="00AD2552"/>
    <w:rsid w:val="00AD2728"/>
    <w:rsid w:val="00AD2877"/>
    <w:rsid w:val="00AD2B64"/>
    <w:rsid w:val="00AD2C65"/>
    <w:rsid w:val="00AD3456"/>
    <w:rsid w:val="00AD3D25"/>
    <w:rsid w:val="00AD3DF9"/>
    <w:rsid w:val="00AD3F7D"/>
    <w:rsid w:val="00AD3FAE"/>
    <w:rsid w:val="00AD43F2"/>
    <w:rsid w:val="00AD46E2"/>
    <w:rsid w:val="00AD4A2D"/>
    <w:rsid w:val="00AD4D8E"/>
    <w:rsid w:val="00AD4DBC"/>
    <w:rsid w:val="00AD4E11"/>
    <w:rsid w:val="00AD5063"/>
    <w:rsid w:val="00AD53A9"/>
    <w:rsid w:val="00AD54D0"/>
    <w:rsid w:val="00AD55C0"/>
    <w:rsid w:val="00AD5673"/>
    <w:rsid w:val="00AD570E"/>
    <w:rsid w:val="00AD571F"/>
    <w:rsid w:val="00AD5B52"/>
    <w:rsid w:val="00AD5EB0"/>
    <w:rsid w:val="00AD643B"/>
    <w:rsid w:val="00AD652E"/>
    <w:rsid w:val="00AD6C7D"/>
    <w:rsid w:val="00AD6E90"/>
    <w:rsid w:val="00AD7202"/>
    <w:rsid w:val="00AD7217"/>
    <w:rsid w:val="00AD72CA"/>
    <w:rsid w:val="00AD78C5"/>
    <w:rsid w:val="00AD7BAA"/>
    <w:rsid w:val="00AE06E4"/>
    <w:rsid w:val="00AE15D9"/>
    <w:rsid w:val="00AE19D4"/>
    <w:rsid w:val="00AE1AC0"/>
    <w:rsid w:val="00AE1DA0"/>
    <w:rsid w:val="00AE1EDC"/>
    <w:rsid w:val="00AE1FDB"/>
    <w:rsid w:val="00AE2761"/>
    <w:rsid w:val="00AE2763"/>
    <w:rsid w:val="00AE2BA7"/>
    <w:rsid w:val="00AE2DB0"/>
    <w:rsid w:val="00AE316F"/>
    <w:rsid w:val="00AE31C7"/>
    <w:rsid w:val="00AE3296"/>
    <w:rsid w:val="00AE3601"/>
    <w:rsid w:val="00AE38EE"/>
    <w:rsid w:val="00AE3DFA"/>
    <w:rsid w:val="00AE44CD"/>
    <w:rsid w:val="00AE460B"/>
    <w:rsid w:val="00AE48FB"/>
    <w:rsid w:val="00AE4E0E"/>
    <w:rsid w:val="00AE4E0F"/>
    <w:rsid w:val="00AE4EFF"/>
    <w:rsid w:val="00AE50B2"/>
    <w:rsid w:val="00AE533A"/>
    <w:rsid w:val="00AE54AC"/>
    <w:rsid w:val="00AE5523"/>
    <w:rsid w:val="00AE55ED"/>
    <w:rsid w:val="00AE5937"/>
    <w:rsid w:val="00AE5CA1"/>
    <w:rsid w:val="00AE5E88"/>
    <w:rsid w:val="00AE6284"/>
    <w:rsid w:val="00AE64D2"/>
    <w:rsid w:val="00AE6555"/>
    <w:rsid w:val="00AE6566"/>
    <w:rsid w:val="00AE66BD"/>
    <w:rsid w:val="00AE6860"/>
    <w:rsid w:val="00AE6D0F"/>
    <w:rsid w:val="00AE6D4A"/>
    <w:rsid w:val="00AE73B9"/>
    <w:rsid w:val="00AE74F0"/>
    <w:rsid w:val="00AE78B9"/>
    <w:rsid w:val="00AE7C21"/>
    <w:rsid w:val="00AE7E56"/>
    <w:rsid w:val="00AE7EF8"/>
    <w:rsid w:val="00AF022F"/>
    <w:rsid w:val="00AF03EB"/>
    <w:rsid w:val="00AF12B8"/>
    <w:rsid w:val="00AF12CE"/>
    <w:rsid w:val="00AF145E"/>
    <w:rsid w:val="00AF1675"/>
    <w:rsid w:val="00AF17A6"/>
    <w:rsid w:val="00AF17D4"/>
    <w:rsid w:val="00AF1834"/>
    <w:rsid w:val="00AF1A81"/>
    <w:rsid w:val="00AF1E9A"/>
    <w:rsid w:val="00AF20DC"/>
    <w:rsid w:val="00AF243E"/>
    <w:rsid w:val="00AF2520"/>
    <w:rsid w:val="00AF2763"/>
    <w:rsid w:val="00AF298D"/>
    <w:rsid w:val="00AF299A"/>
    <w:rsid w:val="00AF2AC2"/>
    <w:rsid w:val="00AF309D"/>
    <w:rsid w:val="00AF34B2"/>
    <w:rsid w:val="00AF34CF"/>
    <w:rsid w:val="00AF380F"/>
    <w:rsid w:val="00AF38D9"/>
    <w:rsid w:val="00AF3D7D"/>
    <w:rsid w:val="00AF4CF6"/>
    <w:rsid w:val="00AF4E44"/>
    <w:rsid w:val="00AF5084"/>
    <w:rsid w:val="00AF5226"/>
    <w:rsid w:val="00AF52DA"/>
    <w:rsid w:val="00AF5348"/>
    <w:rsid w:val="00AF547C"/>
    <w:rsid w:val="00AF5A80"/>
    <w:rsid w:val="00AF62FC"/>
    <w:rsid w:val="00AF6308"/>
    <w:rsid w:val="00AF6A8D"/>
    <w:rsid w:val="00AF6B2B"/>
    <w:rsid w:val="00AF7565"/>
    <w:rsid w:val="00AF77FB"/>
    <w:rsid w:val="00AF78E7"/>
    <w:rsid w:val="00AF7AA8"/>
    <w:rsid w:val="00AF7CD3"/>
    <w:rsid w:val="00AF7E24"/>
    <w:rsid w:val="00B00288"/>
    <w:rsid w:val="00B00953"/>
    <w:rsid w:val="00B00B1A"/>
    <w:rsid w:val="00B00D1C"/>
    <w:rsid w:val="00B00D7C"/>
    <w:rsid w:val="00B00DEB"/>
    <w:rsid w:val="00B00ED2"/>
    <w:rsid w:val="00B00FC3"/>
    <w:rsid w:val="00B017B0"/>
    <w:rsid w:val="00B0189B"/>
    <w:rsid w:val="00B019DF"/>
    <w:rsid w:val="00B019ED"/>
    <w:rsid w:val="00B01A4F"/>
    <w:rsid w:val="00B01B78"/>
    <w:rsid w:val="00B01B7C"/>
    <w:rsid w:val="00B01C0B"/>
    <w:rsid w:val="00B01C7D"/>
    <w:rsid w:val="00B01F36"/>
    <w:rsid w:val="00B023B3"/>
    <w:rsid w:val="00B02522"/>
    <w:rsid w:val="00B0271B"/>
    <w:rsid w:val="00B02ACB"/>
    <w:rsid w:val="00B03439"/>
    <w:rsid w:val="00B03845"/>
    <w:rsid w:val="00B038AD"/>
    <w:rsid w:val="00B03948"/>
    <w:rsid w:val="00B03999"/>
    <w:rsid w:val="00B039C5"/>
    <w:rsid w:val="00B03B0B"/>
    <w:rsid w:val="00B03BBA"/>
    <w:rsid w:val="00B03CCB"/>
    <w:rsid w:val="00B03D5E"/>
    <w:rsid w:val="00B03FCA"/>
    <w:rsid w:val="00B03FFC"/>
    <w:rsid w:val="00B040EA"/>
    <w:rsid w:val="00B04159"/>
    <w:rsid w:val="00B041F9"/>
    <w:rsid w:val="00B04567"/>
    <w:rsid w:val="00B04763"/>
    <w:rsid w:val="00B048BE"/>
    <w:rsid w:val="00B04A87"/>
    <w:rsid w:val="00B04B53"/>
    <w:rsid w:val="00B04FCD"/>
    <w:rsid w:val="00B0540A"/>
    <w:rsid w:val="00B054F6"/>
    <w:rsid w:val="00B05824"/>
    <w:rsid w:val="00B0590A"/>
    <w:rsid w:val="00B05970"/>
    <w:rsid w:val="00B05C24"/>
    <w:rsid w:val="00B05CD0"/>
    <w:rsid w:val="00B05F87"/>
    <w:rsid w:val="00B065C7"/>
    <w:rsid w:val="00B066C7"/>
    <w:rsid w:val="00B0699F"/>
    <w:rsid w:val="00B06BA4"/>
    <w:rsid w:val="00B06BB1"/>
    <w:rsid w:val="00B06C78"/>
    <w:rsid w:val="00B06E93"/>
    <w:rsid w:val="00B075EB"/>
    <w:rsid w:val="00B07E16"/>
    <w:rsid w:val="00B07F0D"/>
    <w:rsid w:val="00B07F73"/>
    <w:rsid w:val="00B10473"/>
    <w:rsid w:val="00B109EA"/>
    <w:rsid w:val="00B10AF7"/>
    <w:rsid w:val="00B10D5A"/>
    <w:rsid w:val="00B11160"/>
    <w:rsid w:val="00B114EF"/>
    <w:rsid w:val="00B11547"/>
    <w:rsid w:val="00B11777"/>
    <w:rsid w:val="00B11919"/>
    <w:rsid w:val="00B11D9B"/>
    <w:rsid w:val="00B1219A"/>
    <w:rsid w:val="00B12388"/>
    <w:rsid w:val="00B124C5"/>
    <w:rsid w:val="00B125A0"/>
    <w:rsid w:val="00B12951"/>
    <w:rsid w:val="00B12C46"/>
    <w:rsid w:val="00B12F0F"/>
    <w:rsid w:val="00B1308A"/>
    <w:rsid w:val="00B130D6"/>
    <w:rsid w:val="00B13579"/>
    <w:rsid w:val="00B13618"/>
    <w:rsid w:val="00B138E0"/>
    <w:rsid w:val="00B14197"/>
    <w:rsid w:val="00B14487"/>
    <w:rsid w:val="00B144B7"/>
    <w:rsid w:val="00B145BB"/>
    <w:rsid w:val="00B1509B"/>
    <w:rsid w:val="00B15371"/>
    <w:rsid w:val="00B1548E"/>
    <w:rsid w:val="00B155CD"/>
    <w:rsid w:val="00B15C35"/>
    <w:rsid w:val="00B15CF2"/>
    <w:rsid w:val="00B15F83"/>
    <w:rsid w:val="00B16198"/>
    <w:rsid w:val="00B161E8"/>
    <w:rsid w:val="00B164BE"/>
    <w:rsid w:val="00B16708"/>
    <w:rsid w:val="00B1690A"/>
    <w:rsid w:val="00B169D4"/>
    <w:rsid w:val="00B16BC2"/>
    <w:rsid w:val="00B16DC6"/>
    <w:rsid w:val="00B16FB1"/>
    <w:rsid w:val="00B17058"/>
    <w:rsid w:val="00B17480"/>
    <w:rsid w:val="00B178BC"/>
    <w:rsid w:val="00B17AD1"/>
    <w:rsid w:val="00B17BAD"/>
    <w:rsid w:val="00B17EBE"/>
    <w:rsid w:val="00B17F85"/>
    <w:rsid w:val="00B2084E"/>
    <w:rsid w:val="00B20A51"/>
    <w:rsid w:val="00B20C65"/>
    <w:rsid w:val="00B20E38"/>
    <w:rsid w:val="00B20E52"/>
    <w:rsid w:val="00B20FA0"/>
    <w:rsid w:val="00B2105A"/>
    <w:rsid w:val="00B210C5"/>
    <w:rsid w:val="00B210FE"/>
    <w:rsid w:val="00B212D3"/>
    <w:rsid w:val="00B213A9"/>
    <w:rsid w:val="00B21590"/>
    <w:rsid w:val="00B21A19"/>
    <w:rsid w:val="00B21C27"/>
    <w:rsid w:val="00B220FA"/>
    <w:rsid w:val="00B22CCA"/>
    <w:rsid w:val="00B22D25"/>
    <w:rsid w:val="00B22E35"/>
    <w:rsid w:val="00B22E75"/>
    <w:rsid w:val="00B22EDA"/>
    <w:rsid w:val="00B23253"/>
    <w:rsid w:val="00B2327B"/>
    <w:rsid w:val="00B235B2"/>
    <w:rsid w:val="00B23793"/>
    <w:rsid w:val="00B23962"/>
    <w:rsid w:val="00B239F8"/>
    <w:rsid w:val="00B23AA6"/>
    <w:rsid w:val="00B23DB1"/>
    <w:rsid w:val="00B23E6F"/>
    <w:rsid w:val="00B23FD8"/>
    <w:rsid w:val="00B2407C"/>
    <w:rsid w:val="00B2430A"/>
    <w:rsid w:val="00B245A8"/>
    <w:rsid w:val="00B247A4"/>
    <w:rsid w:val="00B247DA"/>
    <w:rsid w:val="00B24DAE"/>
    <w:rsid w:val="00B24E67"/>
    <w:rsid w:val="00B25856"/>
    <w:rsid w:val="00B25A23"/>
    <w:rsid w:val="00B261C4"/>
    <w:rsid w:val="00B2623B"/>
    <w:rsid w:val="00B2677E"/>
    <w:rsid w:val="00B26874"/>
    <w:rsid w:val="00B268CC"/>
    <w:rsid w:val="00B26B65"/>
    <w:rsid w:val="00B26F84"/>
    <w:rsid w:val="00B27146"/>
    <w:rsid w:val="00B2716F"/>
    <w:rsid w:val="00B274CB"/>
    <w:rsid w:val="00B27534"/>
    <w:rsid w:val="00B301E5"/>
    <w:rsid w:val="00B3055F"/>
    <w:rsid w:val="00B30916"/>
    <w:rsid w:val="00B30BBD"/>
    <w:rsid w:val="00B30F13"/>
    <w:rsid w:val="00B30F76"/>
    <w:rsid w:val="00B3101B"/>
    <w:rsid w:val="00B310CA"/>
    <w:rsid w:val="00B313C7"/>
    <w:rsid w:val="00B31809"/>
    <w:rsid w:val="00B31AC4"/>
    <w:rsid w:val="00B31D33"/>
    <w:rsid w:val="00B3203B"/>
    <w:rsid w:val="00B322E2"/>
    <w:rsid w:val="00B32454"/>
    <w:rsid w:val="00B326D2"/>
    <w:rsid w:val="00B3284E"/>
    <w:rsid w:val="00B32A8E"/>
    <w:rsid w:val="00B32C01"/>
    <w:rsid w:val="00B32E54"/>
    <w:rsid w:val="00B331F1"/>
    <w:rsid w:val="00B333F7"/>
    <w:rsid w:val="00B3343B"/>
    <w:rsid w:val="00B33681"/>
    <w:rsid w:val="00B33C3B"/>
    <w:rsid w:val="00B33C93"/>
    <w:rsid w:val="00B33E43"/>
    <w:rsid w:val="00B33EF6"/>
    <w:rsid w:val="00B33F4D"/>
    <w:rsid w:val="00B34253"/>
    <w:rsid w:val="00B34638"/>
    <w:rsid w:val="00B34D4D"/>
    <w:rsid w:val="00B34E46"/>
    <w:rsid w:val="00B35288"/>
    <w:rsid w:val="00B35335"/>
    <w:rsid w:val="00B3588B"/>
    <w:rsid w:val="00B35960"/>
    <w:rsid w:val="00B35972"/>
    <w:rsid w:val="00B35A5B"/>
    <w:rsid w:val="00B35A92"/>
    <w:rsid w:val="00B35F71"/>
    <w:rsid w:val="00B360ED"/>
    <w:rsid w:val="00B3623F"/>
    <w:rsid w:val="00B366C5"/>
    <w:rsid w:val="00B36B01"/>
    <w:rsid w:val="00B36F09"/>
    <w:rsid w:val="00B37210"/>
    <w:rsid w:val="00B3722B"/>
    <w:rsid w:val="00B373BA"/>
    <w:rsid w:val="00B376A1"/>
    <w:rsid w:val="00B378B3"/>
    <w:rsid w:val="00B378FB"/>
    <w:rsid w:val="00B3797D"/>
    <w:rsid w:val="00B37FF2"/>
    <w:rsid w:val="00B40108"/>
    <w:rsid w:val="00B4066B"/>
    <w:rsid w:val="00B409D4"/>
    <w:rsid w:val="00B40B2F"/>
    <w:rsid w:val="00B41047"/>
    <w:rsid w:val="00B41209"/>
    <w:rsid w:val="00B4173E"/>
    <w:rsid w:val="00B41C9E"/>
    <w:rsid w:val="00B42198"/>
    <w:rsid w:val="00B424FD"/>
    <w:rsid w:val="00B4299E"/>
    <w:rsid w:val="00B42A7B"/>
    <w:rsid w:val="00B42CA2"/>
    <w:rsid w:val="00B42F92"/>
    <w:rsid w:val="00B4306E"/>
    <w:rsid w:val="00B43371"/>
    <w:rsid w:val="00B434ED"/>
    <w:rsid w:val="00B43565"/>
    <w:rsid w:val="00B439F2"/>
    <w:rsid w:val="00B43ABC"/>
    <w:rsid w:val="00B43B0A"/>
    <w:rsid w:val="00B43B1F"/>
    <w:rsid w:val="00B43B4D"/>
    <w:rsid w:val="00B43D5F"/>
    <w:rsid w:val="00B441BE"/>
    <w:rsid w:val="00B44509"/>
    <w:rsid w:val="00B44A5A"/>
    <w:rsid w:val="00B44BB2"/>
    <w:rsid w:val="00B453F3"/>
    <w:rsid w:val="00B453FE"/>
    <w:rsid w:val="00B45431"/>
    <w:rsid w:val="00B4544A"/>
    <w:rsid w:val="00B45580"/>
    <w:rsid w:val="00B4579D"/>
    <w:rsid w:val="00B45D60"/>
    <w:rsid w:val="00B460AB"/>
    <w:rsid w:val="00B4633A"/>
    <w:rsid w:val="00B464B4"/>
    <w:rsid w:val="00B46BFD"/>
    <w:rsid w:val="00B46C23"/>
    <w:rsid w:val="00B46C5F"/>
    <w:rsid w:val="00B46DDB"/>
    <w:rsid w:val="00B471F7"/>
    <w:rsid w:val="00B4731D"/>
    <w:rsid w:val="00B47355"/>
    <w:rsid w:val="00B47460"/>
    <w:rsid w:val="00B478FC"/>
    <w:rsid w:val="00B47A1B"/>
    <w:rsid w:val="00B47A84"/>
    <w:rsid w:val="00B50071"/>
    <w:rsid w:val="00B5012E"/>
    <w:rsid w:val="00B50360"/>
    <w:rsid w:val="00B50651"/>
    <w:rsid w:val="00B5089A"/>
    <w:rsid w:val="00B50ACE"/>
    <w:rsid w:val="00B50B00"/>
    <w:rsid w:val="00B510D4"/>
    <w:rsid w:val="00B51260"/>
    <w:rsid w:val="00B513CF"/>
    <w:rsid w:val="00B51458"/>
    <w:rsid w:val="00B515C7"/>
    <w:rsid w:val="00B51991"/>
    <w:rsid w:val="00B51B69"/>
    <w:rsid w:val="00B52107"/>
    <w:rsid w:val="00B522F5"/>
    <w:rsid w:val="00B52348"/>
    <w:rsid w:val="00B52639"/>
    <w:rsid w:val="00B52B48"/>
    <w:rsid w:val="00B52D70"/>
    <w:rsid w:val="00B52FA0"/>
    <w:rsid w:val="00B53387"/>
    <w:rsid w:val="00B535AD"/>
    <w:rsid w:val="00B535D2"/>
    <w:rsid w:val="00B536EA"/>
    <w:rsid w:val="00B5376B"/>
    <w:rsid w:val="00B53C14"/>
    <w:rsid w:val="00B53CA4"/>
    <w:rsid w:val="00B53D30"/>
    <w:rsid w:val="00B53D55"/>
    <w:rsid w:val="00B53D93"/>
    <w:rsid w:val="00B542D8"/>
    <w:rsid w:val="00B5487C"/>
    <w:rsid w:val="00B549C0"/>
    <w:rsid w:val="00B54B80"/>
    <w:rsid w:val="00B55045"/>
    <w:rsid w:val="00B55183"/>
    <w:rsid w:val="00B553C0"/>
    <w:rsid w:val="00B55420"/>
    <w:rsid w:val="00B5581E"/>
    <w:rsid w:val="00B55865"/>
    <w:rsid w:val="00B55A61"/>
    <w:rsid w:val="00B5612E"/>
    <w:rsid w:val="00B56251"/>
    <w:rsid w:val="00B56527"/>
    <w:rsid w:val="00B5675C"/>
    <w:rsid w:val="00B568DF"/>
    <w:rsid w:val="00B5695E"/>
    <w:rsid w:val="00B56C0E"/>
    <w:rsid w:val="00B56EFC"/>
    <w:rsid w:val="00B56F91"/>
    <w:rsid w:val="00B570CC"/>
    <w:rsid w:val="00B57148"/>
    <w:rsid w:val="00B575C1"/>
    <w:rsid w:val="00B57819"/>
    <w:rsid w:val="00B579AD"/>
    <w:rsid w:val="00B6012F"/>
    <w:rsid w:val="00B6016F"/>
    <w:rsid w:val="00B606B7"/>
    <w:rsid w:val="00B608C3"/>
    <w:rsid w:val="00B60E49"/>
    <w:rsid w:val="00B616B0"/>
    <w:rsid w:val="00B6172B"/>
    <w:rsid w:val="00B619C3"/>
    <w:rsid w:val="00B61AAF"/>
    <w:rsid w:val="00B61B0E"/>
    <w:rsid w:val="00B61DA5"/>
    <w:rsid w:val="00B61DF6"/>
    <w:rsid w:val="00B61F62"/>
    <w:rsid w:val="00B62A85"/>
    <w:rsid w:val="00B62C69"/>
    <w:rsid w:val="00B62F68"/>
    <w:rsid w:val="00B63116"/>
    <w:rsid w:val="00B63364"/>
    <w:rsid w:val="00B6372C"/>
    <w:rsid w:val="00B639A7"/>
    <w:rsid w:val="00B63C54"/>
    <w:rsid w:val="00B6423D"/>
    <w:rsid w:val="00B64806"/>
    <w:rsid w:val="00B65502"/>
    <w:rsid w:val="00B65771"/>
    <w:rsid w:val="00B6577C"/>
    <w:rsid w:val="00B65FCD"/>
    <w:rsid w:val="00B6626F"/>
    <w:rsid w:val="00B66867"/>
    <w:rsid w:val="00B66AAF"/>
    <w:rsid w:val="00B66D6F"/>
    <w:rsid w:val="00B66EBC"/>
    <w:rsid w:val="00B670B4"/>
    <w:rsid w:val="00B6715E"/>
    <w:rsid w:val="00B675B7"/>
    <w:rsid w:val="00B67769"/>
    <w:rsid w:val="00B678BF"/>
    <w:rsid w:val="00B67A00"/>
    <w:rsid w:val="00B67FBE"/>
    <w:rsid w:val="00B6E0DA"/>
    <w:rsid w:val="00B7071A"/>
    <w:rsid w:val="00B708BC"/>
    <w:rsid w:val="00B70D90"/>
    <w:rsid w:val="00B70DAE"/>
    <w:rsid w:val="00B70F9A"/>
    <w:rsid w:val="00B716E8"/>
    <w:rsid w:val="00B7171B"/>
    <w:rsid w:val="00B717C8"/>
    <w:rsid w:val="00B71D18"/>
    <w:rsid w:val="00B71DEF"/>
    <w:rsid w:val="00B71F22"/>
    <w:rsid w:val="00B71FE4"/>
    <w:rsid w:val="00B72236"/>
    <w:rsid w:val="00B725A8"/>
    <w:rsid w:val="00B72781"/>
    <w:rsid w:val="00B72A07"/>
    <w:rsid w:val="00B72C98"/>
    <w:rsid w:val="00B72D28"/>
    <w:rsid w:val="00B73024"/>
    <w:rsid w:val="00B73163"/>
    <w:rsid w:val="00B73321"/>
    <w:rsid w:val="00B742D1"/>
    <w:rsid w:val="00B744D8"/>
    <w:rsid w:val="00B7467A"/>
    <w:rsid w:val="00B74997"/>
    <w:rsid w:val="00B74A22"/>
    <w:rsid w:val="00B74E1A"/>
    <w:rsid w:val="00B74F8D"/>
    <w:rsid w:val="00B75115"/>
    <w:rsid w:val="00B7522A"/>
    <w:rsid w:val="00B75654"/>
    <w:rsid w:val="00B758E4"/>
    <w:rsid w:val="00B75A3D"/>
    <w:rsid w:val="00B75C56"/>
    <w:rsid w:val="00B75C8D"/>
    <w:rsid w:val="00B75DDE"/>
    <w:rsid w:val="00B75EA9"/>
    <w:rsid w:val="00B75EAD"/>
    <w:rsid w:val="00B76199"/>
    <w:rsid w:val="00B7623A"/>
    <w:rsid w:val="00B763B6"/>
    <w:rsid w:val="00B766C0"/>
    <w:rsid w:val="00B76811"/>
    <w:rsid w:val="00B7689D"/>
    <w:rsid w:val="00B77950"/>
    <w:rsid w:val="00B77BDD"/>
    <w:rsid w:val="00B77D06"/>
    <w:rsid w:val="00B80305"/>
    <w:rsid w:val="00B8059A"/>
    <w:rsid w:val="00B805A4"/>
    <w:rsid w:val="00B80A12"/>
    <w:rsid w:val="00B80CDF"/>
    <w:rsid w:val="00B80FB8"/>
    <w:rsid w:val="00B81180"/>
    <w:rsid w:val="00B81307"/>
    <w:rsid w:val="00B813B0"/>
    <w:rsid w:val="00B814EE"/>
    <w:rsid w:val="00B81869"/>
    <w:rsid w:val="00B818AE"/>
    <w:rsid w:val="00B8197D"/>
    <w:rsid w:val="00B81BF8"/>
    <w:rsid w:val="00B81E9D"/>
    <w:rsid w:val="00B81F70"/>
    <w:rsid w:val="00B822A9"/>
    <w:rsid w:val="00B823D9"/>
    <w:rsid w:val="00B8242D"/>
    <w:rsid w:val="00B8244B"/>
    <w:rsid w:val="00B82644"/>
    <w:rsid w:val="00B8277C"/>
    <w:rsid w:val="00B82DD3"/>
    <w:rsid w:val="00B832BB"/>
    <w:rsid w:val="00B8331A"/>
    <w:rsid w:val="00B83350"/>
    <w:rsid w:val="00B8397D"/>
    <w:rsid w:val="00B83A1A"/>
    <w:rsid w:val="00B83ABA"/>
    <w:rsid w:val="00B83CD4"/>
    <w:rsid w:val="00B83EEA"/>
    <w:rsid w:val="00B83F02"/>
    <w:rsid w:val="00B83F24"/>
    <w:rsid w:val="00B842D9"/>
    <w:rsid w:val="00B8453F"/>
    <w:rsid w:val="00B84BDD"/>
    <w:rsid w:val="00B84C14"/>
    <w:rsid w:val="00B84C34"/>
    <w:rsid w:val="00B85409"/>
    <w:rsid w:val="00B85861"/>
    <w:rsid w:val="00B85C40"/>
    <w:rsid w:val="00B85E41"/>
    <w:rsid w:val="00B86787"/>
    <w:rsid w:val="00B868D3"/>
    <w:rsid w:val="00B869AA"/>
    <w:rsid w:val="00B869B9"/>
    <w:rsid w:val="00B86B0C"/>
    <w:rsid w:val="00B86B3F"/>
    <w:rsid w:val="00B87F67"/>
    <w:rsid w:val="00B90494"/>
    <w:rsid w:val="00B90699"/>
    <w:rsid w:val="00B90C1B"/>
    <w:rsid w:val="00B90FD6"/>
    <w:rsid w:val="00B91058"/>
    <w:rsid w:val="00B910CF"/>
    <w:rsid w:val="00B91317"/>
    <w:rsid w:val="00B91618"/>
    <w:rsid w:val="00B91735"/>
    <w:rsid w:val="00B91C53"/>
    <w:rsid w:val="00B92387"/>
    <w:rsid w:val="00B923CD"/>
    <w:rsid w:val="00B9292C"/>
    <w:rsid w:val="00B92B40"/>
    <w:rsid w:val="00B93132"/>
    <w:rsid w:val="00B93451"/>
    <w:rsid w:val="00B9362C"/>
    <w:rsid w:val="00B9395A"/>
    <w:rsid w:val="00B9405E"/>
    <w:rsid w:val="00B940A8"/>
    <w:rsid w:val="00B944B8"/>
    <w:rsid w:val="00B947CC"/>
    <w:rsid w:val="00B949F6"/>
    <w:rsid w:val="00B94AA4"/>
    <w:rsid w:val="00B94E99"/>
    <w:rsid w:val="00B94FAA"/>
    <w:rsid w:val="00B955D7"/>
    <w:rsid w:val="00B9564C"/>
    <w:rsid w:val="00B9575A"/>
    <w:rsid w:val="00B95794"/>
    <w:rsid w:val="00B95805"/>
    <w:rsid w:val="00B95D47"/>
    <w:rsid w:val="00B95D93"/>
    <w:rsid w:val="00B95ED9"/>
    <w:rsid w:val="00B95F09"/>
    <w:rsid w:val="00B95FCF"/>
    <w:rsid w:val="00B96392"/>
    <w:rsid w:val="00B96560"/>
    <w:rsid w:val="00B966D9"/>
    <w:rsid w:val="00B96AA8"/>
    <w:rsid w:val="00B97213"/>
    <w:rsid w:val="00B97458"/>
    <w:rsid w:val="00B97DDE"/>
    <w:rsid w:val="00BA0056"/>
    <w:rsid w:val="00BA036D"/>
    <w:rsid w:val="00BA0403"/>
    <w:rsid w:val="00BA0539"/>
    <w:rsid w:val="00BA054C"/>
    <w:rsid w:val="00BA0961"/>
    <w:rsid w:val="00BA0DA9"/>
    <w:rsid w:val="00BA0DE2"/>
    <w:rsid w:val="00BA0E27"/>
    <w:rsid w:val="00BA0ED8"/>
    <w:rsid w:val="00BA10E1"/>
    <w:rsid w:val="00BA1106"/>
    <w:rsid w:val="00BA1A87"/>
    <w:rsid w:val="00BA1BB0"/>
    <w:rsid w:val="00BA1D2A"/>
    <w:rsid w:val="00BA1E0D"/>
    <w:rsid w:val="00BA2022"/>
    <w:rsid w:val="00BA20E7"/>
    <w:rsid w:val="00BA214D"/>
    <w:rsid w:val="00BA274C"/>
    <w:rsid w:val="00BA275A"/>
    <w:rsid w:val="00BA2A3A"/>
    <w:rsid w:val="00BA2CCC"/>
    <w:rsid w:val="00BA3655"/>
    <w:rsid w:val="00BA3BF0"/>
    <w:rsid w:val="00BA3DD5"/>
    <w:rsid w:val="00BA4703"/>
    <w:rsid w:val="00BA49D3"/>
    <w:rsid w:val="00BA4C45"/>
    <w:rsid w:val="00BA505E"/>
    <w:rsid w:val="00BA52FB"/>
    <w:rsid w:val="00BA57A5"/>
    <w:rsid w:val="00BA5B69"/>
    <w:rsid w:val="00BA639E"/>
    <w:rsid w:val="00BA6488"/>
    <w:rsid w:val="00BA6547"/>
    <w:rsid w:val="00BA6B1E"/>
    <w:rsid w:val="00BA6BB4"/>
    <w:rsid w:val="00BA72C3"/>
    <w:rsid w:val="00BA733C"/>
    <w:rsid w:val="00BA7382"/>
    <w:rsid w:val="00BA73C0"/>
    <w:rsid w:val="00BA7A57"/>
    <w:rsid w:val="00BA7A75"/>
    <w:rsid w:val="00BA7E99"/>
    <w:rsid w:val="00BA7F8F"/>
    <w:rsid w:val="00BA7FF2"/>
    <w:rsid w:val="00BB07E9"/>
    <w:rsid w:val="00BB0D03"/>
    <w:rsid w:val="00BB0E65"/>
    <w:rsid w:val="00BB0E96"/>
    <w:rsid w:val="00BB104E"/>
    <w:rsid w:val="00BB11F1"/>
    <w:rsid w:val="00BB1361"/>
    <w:rsid w:val="00BB1559"/>
    <w:rsid w:val="00BB156C"/>
    <w:rsid w:val="00BB1589"/>
    <w:rsid w:val="00BB1797"/>
    <w:rsid w:val="00BB1804"/>
    <w:rsid w:val="00BB1AFE"/>
    <w:rsid w:val="00BB1B53"/>
    <w:rsid w:val="00BB1B69"/>
    <w:rsid w:val="00BB1BDA"/>
    <w:rsid w:val="00BB1BE0"/>
    <w:rsid w:val="00BB1BF0"/>
    <w:rsid w:val="00BB1C97"/>
    <w:rsid w:val="00BB23DA"/>
    <w:rsid w:val="00BB2635"/>
    <w:rsid w:val="00BB2AB5"/>
    <w:rsid w:val="00BB2AF8"/>
    <w:rsid w:val="00BB2C85"/>
    <w:rsid w:val="00BB2F17"/>
    <w:rsid w:val="00BB3CFC"/>
    <w:rsid w:val="00BB436F"/>
    <w:rsid w:val="00BB43BD"/>
    <w:rsid w:val="00BB458B"/>
    <w:rsid w:val="00BB45C2"/>
    <w:rsid w:val="00BB4604"/>
    <w:rsid w:val="00BB480F"/>
    <w:rsid w:val="00BB4F68"/>
    <w:rsid w:val="00BB519D"/>
    <w:rsid w:val="00BB55AD"/>
    <w:rsid w:val="00BB5649"/>
    <w:rsid w:val="00BB57D7"/>
    <w:rsid w:val="00BB59BD"/>
    <w:rsid w:val="00BB5A30"/>
    <w:rsid w:val="00BB5D4A"/>
    <w:rsid w:val="00BB5F20"/>
    <w:rsid w:val="00BB668C"/>
    <w:rsid w:val="00BB66B7"/>
    <w:rsid w:val="00BB6914"/>
    <w:rsid w:val="00BB6E60"/>
    <w:rsid w:val="00BB6F87"/>
    <w:rsid w:val="00BB73D1"/>
    <w:rsid w:val="00BB74D6"/>
    <w:rsid w:val="00BB766B"/>
    <w:rsid w:val="00BB7CBE"/>
    <w:rsid w:val="00BB7E60"/>
    <w:rsid w:val="00BB7EF7"/>
    <w:rsid w:val="00BB8524"/>
    <w:rsid w:val="00BC06D2"/>
    <w:rsid w:val="00BC072D"/>
    <w:rsid w:val="00BC0878"/>
    <w:rsid w:val="00BC0986"/>
    <w:rsid w:val="00BC1129"/>
    <w:rsid w:val="00BC112E"/>
    <w:rsid w:val="00BC1206"/>
    <w:rsid w:val="00BC131A"/>
    <w:rsid w:val="00BC160D"/>
    <w:rsid w:val="00BC18FD"/>
    <w:rsid w:val="00BC2073"/>
    <w:rsid w:val="00BC242A"/>
    <w:rsid w:val="00BC2900"/>
    <w:rsid w:val="00BC2985"/>
    <w:rsid w:val="00BC2E58"/>
    <w:rsid w:val="00BC3097"/>
    <w:rsid w:val="00BC3376"/>
    <w:rsid w:val="00BC34AB"/>
    <w:rsid w:val="00BC354E"/>
    <w:rsid w:val="00BC3A9C"/>
    <w:rsid w:val="00BC3BFD"/>
    <w:rsid w:val="00BC3F89"/>
    <w:rsid w:val="00BC4148"/>
    <w:rsid w:val="00BC4171"/>
    <w:rsid w:val="00BC41E2"/>
    <w:rsid w:val="00BC44AC"/>
    <w:rsid w:val="00BC47E8"/>
    <w:rsid w:val="00BC4A59"/>
    <w:rsid w:val="00BC4AB0"/>
    <w:rsid w:val="00BC4D7B"/>
    <w:rsid w:val="00BC4D86"/>
    <w:rsid w:val="00BC5316"/>
    <w:rsid w:val="00BC5609"/>
    <w:rsid w:val="00BC5A43"/>
    <w:rsid w:val="00BC5AAF"/>
    <w:rsid w:val="00BC6194"/>
    <w:rsid w:val="00BC650A"/>
    <w:rsid w:val="00BC6535"/>
    <w:rsid w:val="00BC688D"/>
    <w:rsid w:val="00BC6A63"/>
    <w:rsid w:val="00BC6BD3"/>
    <w:rsid w:val="00BC6C1A"/>
    <w:rsid w:val="00BC6E6A"/>
    <w:rsid w:val="00BC71FD"/>
    <w:rsid w:val="00BC7561"/>
    <w:rsid w:val="00BC7B64"/>
    <w:rsid w:val="00BC7BB3"/>
    <w:rsid w:val="00BC7DFE"/>
    <w:rsid w:val="00BC7F79"/>
    <w:rsid w:val="00BCE415"/>
    <w:rsid w:val="00BD0105"/>
    <w:rsid w:val="00BD02A1"/>
    <w:rsid w:val="00BD0475"/>
    <w:rsid w:val="00BD0B67"/>
    <w:rsid w:val="00BD0BEC"/>
    <w:rsid w:val="00BD0C7D"/>
    <w:rsid w:val="00BD0DA8"/>
    <w:rsid w:val="00BD0E67"/>
    <w:rsid w:val="00BD1A7F"/>
    <w:rsid w:val="00BD1EB5"/>
    <w:rsid w:val="00BD2453"/>
    <w:rsid w:val="00BD2A95"/>
    <w:rsid w:val="00BD2BBD"/>
    <w:rsid w:val="00BD2C22"/>
    <w:rsid w:val="00BD2F7B"/>
    <w:rsid w:val="00BD353D"/>
    <w:rsid w:val="00BD353E"/>
    <w:rsid w:val="00BD35FF"/>
    <w:rsid w:val="00BD37CA"/>
    <w:rsid w:val="00BD388B"/>
    <w:rsid w:val="00BD3F08"/>
    <w:rsid w:val="00BD434E"/>
    <w:rsid w:val="00BD4630"/>
    <w:rsid w:val="00BD48EE"/>
    <w:rsid w:val="00BD4943"/>
    <w:rsid w:val="00BD4CF4"/>
    <w:rsid w:val="00BD4F74"/>
    <w:rsid w:val="00BD5094"/>
    <w:rsid w:val="00BD514B"/>
    <w:rsid w:val="00BD51FD"/>
    <w:rsid w:val="00BD5F39"/>
    <w:rsid w:val="00BD5FD9"/>
    <w:rsid w:val="00BD60AB"/>
    <w:rsid w:val="00BD630D"/>
    <w:rsid w:val="00BD6563"/>
    <w:rsid w:val="00BD65DE"/>
    <w:rsid w:val="00BD660B"/>
    <w:rsid w:val="00BD67DA"/>
    <w:rsid w:val="00BD6CB4"/>
    <w:rsid w:val="00BD73D7"/>
    <w:rsid w:val="00BD74C6"/>
    <w:rsid w:val="00BD74F4"/>
    <w:rsid w:val="00BD7DCB"/>
    <w:rsid w:val="00BD7EB4"/>
    <w:rsid w:val="00BE00B2"/>
    <w:rsid w:val="00BE0338"/>
    <w:rsid w:val="00BE06D6"/>
    <w:rsid w:val="00BE06EE"/>
    <w:rsid w:val="00BE07A0"/>
    <w:rsid w:val="00BE0A0F"/>
    <w:rsid w:val="00BE11F7"/>
    <w:rsid w:val="00BE14DA"/>
    <w:rsid w:val="00BE1722"/>
    <w:rsid w:val="00BE18A2"/>
    <w:rsid w:val="00BE1909"/>
    <w:rsid w:val="00BE2107"/>
    <w:rsid w:val="00BE2157"/>
    <w:rsid w:val="00BE22CE"/>
    <w:rsid w:val="00BE256C"/>
    <w:rsid w:val="00BE26FB"/>
    <w:rsid w:val="00BE29EE"/>
    <w:rsid w:val="00BE2CDA"/>
    <w:rsid w:val="00BE2F0E"/>
    <w:rsid w:val="00BE3100"/>
    <w:rsid w:val="00BE3320"/>
    <w:rsid w:val="00BE36C8"/>
    <w:rsid w:val="00BE3893"/>
    <w:rsid w:val="00BE3D2E"/>
    <w:rsid w:val="00BE3E2D"/>
    <w:rsid w:val="00BE3FAA"/>
    <w:rsid w:val="00BE3FD8"/>
    <w:rsid w:val="00BE4097"/>
    <w:rsid w:val="00BE4292"/>
    <w:rsid w:val="00BE4530"/>
    <w:rsid w:val="00BE488E"/>
    <w:rsid w:val="00BE4B66"/>
    <w:rsid w:val="00BE4E29"/>
    <w:rsid w:val="00BE5128"/>
    <w:rsid w:val="00BE51B8"/>
    <w:rsid w:val="00BE524A"/>
    <w:rsid w:val="00BE5345"/>
    <w:rsid w:val="00BE53D1"/>
    <w:rsid w:val="00BE5721"/>
    <w:rsid w:val="00BE5ECE"/>
    <w:rsid w:val="00BE60DB"/>
    <w:rsid w:val="00BE6150"/>
    <w:rsid w:val="00BE618A"/>
    <w:rsid w:val="00BE66D8"/>
    <w:rsid w:val="00BE6733"/>
    <w:rsid w:val="00BE683B"/>
    <w:rsid w:val="00BE6A30"/>
    <w:rsid w:val="00BE6C12"/>
    <w:rsid w:val="00BE6C8E"/>
    <w:rsid w:val="00BE6EE9"/>
    <w:rsid w:val="00BE7342"/>
    <w:rsid w:val="00BE7C33"/>
    <w:rsid w:val="00BE7E53"/>
    <w:rsid w:val="00BF095C"/>
    <w:rsid w:val="00BF0A7C"/>
    <w:rsid w:val="00BF0AA0"/>
    <w:rsid w:val="00BF0F78"/>
    <w:rsid w:val="00BF0FBB"/>
    <w:rsid w:val="00BF1508"/>
    <w:rsid w:val="00BF15E3"/>
    <w:rsid w:val="00BF1860"/>
    <w:rsid w:val="00BF192C"/>
    <w:rsid w:val="00BF1B92"/>
    <w:rsid w:val="00BF1BCC"/>
    <w:rsid w:val="00BF229C"/>
    <w:rsid w:val="00BF2DB6"/>
    <w:rsid w:val="00BF3066"/>
    <w:rsid w:val="00BF3143"/>
    <w:rsid w:val="00BF34BF"/>
    <w:rsid w:val="00BF37B7"/>
    <w:rsid w:val="00BF37EB"/>
    <w:rsid w:val="00BF3D20"/>
    <w:rsid w:val="00BF3D73"/>
    <w:rsid w:val="00BF3E41"/>
    <w:rsid w:val="00BF4048"/>
    <w:rsid w:val="00BF43FC"/>
    <w:rsid w:val="00BF45C9"/>
    <w:rsid w:val="00BF4B21"/>
    <w:rsid w:val="00BF4DAA"/>
    <w:rsid w:val="00BF4E4A"/>
    <w:rsid w:val="00BF5018"/>
    <w:rsid w:val="00BF538B"/>
    <w:rsid w:val="00BF56D4"/>
    <w:rsid w:val="00BF5A06"/>
    <w:rsid w:val="00BF5F9D"/>
    <w:rsid w:val="00BF6213"/>
    <w:rsid w:val="00BF63C3"/>
    <w:rsid w:val="00BF64E9"/>
    <w:rsid w:val="00BF669B"/>
    <w:rsid w:val="00BF6950"/>
    <w:rsid w:val="00BF6A93"/>
    <w:rsid w:val="00BF6B50"/>
    <w:rsid w:val="00BF6B73"/>
    <w:rsid w:val="00BF6C46"/>
    <w:rsid w:val="00BF6D27"/>
    <w:rsid w:val="00BF6E5F"/>
    <w:rsid w:val="00BF710C"/>
    <w:rsid w:val="00BF7140"/>
    <w:rsid w:val="00BF72DF"/>
    <w:rsid w:val="00BF7426"/>
    <w:rsid w:val="00BF74A7"/>
    <w:rsid w:val="00C00095"/>
    <w:rsid w:val="00C00255"/>
    <w:rsid w:val="00C0026F"/>
    <w:rsid w:val="00C00540"/>
    <w:rsid w:val="00C005D0"/>
    <w:rsid w:val="00C005E6"/>
    <w:rsid w:val="00C00670"/>
    <w:rsid w:val="00C008CB"/>
    <w:rsid w:val="00C009D4"/>
    <w:rsid w:val="00C00C91"/>
    <w:rsid w:val="00C01114"/>
    <w:rsid w:val="00C012A2"/>
    <w:rsid w:val="00C015CD"/>
    <w:rsid w:val="00C01622"/>
    <w:rsid w:val="00C01643"/>
    <w:rsid w:val="00C01B15"/>
    <w:rsid w:val="00C01B70"/>
    <w:rsid w:val="00C01D44"/>
    <w:rsid w:val="00C028F5"/>
    <w:rsid w:val="00C02B2D"/>
    <w:rsid w:val="00C03053"/>
    <w:rsid w:val="00C03180"/>
    <w:rsid w:val="00C03308"/>
    <w:rsid w:val="00C03376"/>
    <w:rsid w:val="00C03688"/>
    <w:rsid w:val="00C03DDF"/>
    <w:rsid w:val="00C04206"/>
    <w:rsid w:val="00C0423B"/>
    <w:rsid w:val="00C04377"/>
    <w:rsid w:val="00C045BD"/>
    <w:rsid w:val="00C045F6"/>
    <w:rsid w:val="00C04B3D"/>
    <w:rsid w:val="00C04CB1"/>
    <w:rsid w:val="00C04CBD"/>
    <w:rsid w:val="00C04FA1"/>
    <w:rsid w:val="00C05813"/>
    <w:rsid w:val="00C05907"/>
    <w:rsid w:val="00C05AF1"/>
    <w:rsid w:val="00C060C4"/>
    <w:rsid w:val="00C06777"/>
    <w:rsid w:val="00C06EA8"/>
    <w:rsid w:val="00C06EE8"/>
    <w:rsid w:val="00C07501"/>
    <w:rsid w:val="00C079E9"/>
    <w:rsid w:val="00C07CB0"/>
    <w:rsid w:val="00C07DE3"/>
    <w:rsid w:val="00C101D6"/>
    <w:rsid w:val="00C10482"/>
    <w:rsid w:val="00C109B5"/>
    <w:rsid w:val="00C10A66"/>
    <w:rsid w:val="00C10E1B"/>
    <w:rsid w:val="00C1101C"/>
    <w:rsid w:val="00C1121A"/>
    <w:rsid w:val="00C113C4"/>
    <w:rsid w:val="00C118EB"/>
    <w:rsid w:val="00C12196"/>
    <w:rsid w:val="00C12384"/>
    <w:rsid w:val="00C12B10"/>
    <w:rsid w:val="00C12BE3"/>
    <w:rsid w:val="00C131FD"/>
    <w:rsid w:val="00C1332D"/>
    <w:rsid w:val="00C1375B"/>
    <w:rsid w:val="00C13D36"/>
    <w:rsid w:val="00C13DD9"/>
    <w:rsid w:val="00C13E0B"/>
    <w:rsid w:val="00C13ED4"/>
    <w:rsid w:val="00C13F32"/>
    <w:rsid w:val="00C14045"/>
    <w:rsid w:val="00C1436D"/>
    <w:rsid w:val="00C1507E"/>
    <w:rsid w:val="00C150A8"/>
    <w:rsid w:val="00C1518E"/>
    <w:rsid w:val="00C151F9"/>
    <w:rsid w:val="00C15850"/>
    <w:rsid w:val="00C15B87"/>
    <w:rsid w:val="00C15BD3"/>
    <w:rsid w:val="00C15C17"/>
    <w:rsid w:val="00C15DE9"/>
    <w:rsid w:val="00C160DC"/>
    <w:rsid w:val="00C161B3"/>
    <w:rsid w:val="00C162F6"/>
    <w:rsid w:val="00C1637A"/>
    <w:rsid w:val="00C16AA2"/>
    <w:rsid w:val="00C16E50"/>
    <w:rsid w:val="00C16ED2"/>
    <w:rsid w:val="00C171FB"/>
    <w:rsid w:val="00C175E5"/>
    <w:rsid w:val="00C178E3"/>
    <w:rsid w:val="00C17CBE"/>
    <w:rsid w:val="00C17CCD"/>
    <w:rsid w:val="00C20242"/>
    <w:rsid w:val="00C20367"/>
    <w:rsid w:val="00C20B8E"/>
    <w:rsid w:val="00C20DE6"/>
    <w:rsid w:val="00C20F16"/>
    <w:rsid w:val="00C2135B"/>
    <w:rsid w:val="00C21829"/>
    <w:rsid w:val="00C21A06"/>
    <w:rsid w:val="00C21B6F"/>
    <w:rsid w:val="00C21C0D"/>
    <w:rsid w:val="00C21C60"/>
    <w:rsid w:val="00C22723"/>
    <w:rsid w:val="00C228EB"/>
    <w:rsid w:val="00C22C3B"/>
    <w:rsid w:val="00C22CB7"/>
    <w:rsid w:val="00C22E50"/>
    <w:rsid w:val="00C22F3B"/>
    <w:rsid w:val="00C2304F"/>
    <w:rsid w:val="00C233ED"/>
    <w:rsid w:val="00C234F8"/>
    <w:rsid w:val="00C2399D"/>
    <w:rsid w:val="00C23F2D"/>
    <w:rsid w:val="00C23FEC"/>
    <w:rsid w:val="00C24205"/>
    <w:rsid w:val="00C2432C"/>
    <w:rsid w:val="00C24410"/>
    <w:rsid w:val="00C24565"/>
    <w:rsid w:val="00C24A08"/>
    <w:rsid w:val="00C24DAA"/>
    <w:rsid w:val="00C250D1"/>
    <w:rsid w:val="00C25298"/>
    <w:rsid w:val="00C2535A"/>
    <w:rsid w:val="00C254C4"/>
    <w:rsid w:val="00C25615"/>
    <w:rsid w:val="00C2586E"/>
    <w:rsid w:val="00C25CFF"/>
    <w:rsid w:val="00C2601D"/>
    <w:rsid w:val="00C2607F"/>
    <w:rsid w:val="00C260DC"/>
    <w:rsid w:val="00C26558"/>
    <w:rsid w:val="00C2674E"/>
    <w:rsid w:val="00C267EB"/>
    <w:rsid w:val="00C26C7A"/>
    <w:rsid w:val="00C26E2B"/>
    <w:rsid w:val="00C26F5E"/>
    <w:rsid w:val="00C27258"/>
    <w:rsid w:val="00C273A7"/>
    <w:rsid w:val="00C27443"/>
    <w:rsid w:val="00C274D2"/>
    <w:rsid w:val="00C27523"/>
    <w:rsid w:val="00C2784E"/>
    <w:rsid w:val="00C278BE"/>
    <w:rsid w:val="00C279F5"/>
    <w:rsid w:val="00C27B8C"/>
    <w:rsid w:val="00C27D4D"/>
    <w:rsid w:val="00C304F5"/>
    <w:rsid w:val="00C30642"/>
    <w:rsid w:val="00C30706"/>
    <w:rsid w:val="00C30C18"/>
    <w:rsid w:val="00C30FC1"/>
    <w:rsid w:val="00C30FCA"/>
    <w:rsid w:val="00C3110B"/>
    <w:rsid w:val="00C312D5"/>
    <w:rsid w:val="00C3136D"/>
    <w:rsid w:val="00C3137F"/>
    <w:rsid w:val="00C31406"/>
    <w:rsid w:val="00C315E5"/>
    <w:rsid w:val="00C31B46"/>
    <w:rsid w:val="00C31C7F"/>
    <w:rsid w:val="00C31DF1"/>
    <w:rsid w:val="00C31E5F"/>
    <w:rsid w:val="00C323B5"/>
    <w:rsid w:val="00C3244F"/>
    <w:rsid w:val="00C324BB"/>
    <w:rsid w:val="00C325E5"/>
    <w:rsid w:val="00C3264C"/>
    <w:rsid w:val="00C329CE"/>
    <w:rsid w:val="00C32C41"/>
    <w:rsid w:val="00C32C7E"/>
    <w:rsid w:val="00C32D93"/>
    <w:rsid w:val="00C33519"/>
    <w:rsid w:val="00C3351B"/>
    <w:rsid w:val="00C33C29"/>
    <w:rsid w:val="00C33DFA"/>
    <w:rsid w:val="00C34172"/>
    <w:rsid w:val="00C34364"/>
    <w:rsid w:val="00C345B2"/>
    <w:rsid w:val="00C34930"/>
    <w:rsid w:val="00C34E0C"/>
    <w:rsid w:val="00C3524C"/>
    <w:rsid w:val="00C353D5"/>
    <w:rsid w:val="00C35A6D"/>
    <w:rsid w:val="00C35C37"/>
    <w:rsid w:val="00C36359"/>
    <w:rsid w:val="00C363EE"/>
    <w:rsid w:val="00C3645C"/>
    <w:rsid w:val="00C36833"/>
    <w:rsid w:val="00C36D03"/>
    <w:rsid w:val="00C36E0A"/>
    <w:rsid w:val="00C37A1D"/>
    <w:rsid w:val="00C37CC7"/>
    <w:rsid w:val="00C37DF8"/>
    <w:rsid w:val="00C37E8A"/>
    <w:rsid w:val="00C402BF"/>
    <w:rsid w:val="00C402EF"/>
    <w:rsid w:val="00C408B7"/>
    <w:rsid w:val="00C40D9F"/>
    <w:rsid w:val="00C40EBF"/>
    <w:rsid w:val="00C40FD4"/>
    <w:rsid w:val="00C419AA"/>
    <w:rsid w:val="00C41DC8"/>
    <w:rsid w:val="00C421BE"/>
    <w:rsid w:val="00C425A0"/>
    <w:rsid w:val="00C429D1"/>
    <w:rsid w:val="00C42B66"/>
    <w:rsid w:val="00C42CD0"/>
    <w:rsid w:val="00C4316B"/>
    <w:rsid w:val="00C43178"/>
    <w:rsid w:val="00C432C7"/>
    <w:rsid w:val="00C43368"/>
    <w:rsid w:val="00C433BD"/>
    <w:rsid w:val="00C435F6"/>
    <w:rsid w:val="00C437A8"/>
    <w:rsid w:val="00C43C16"/>
    <w:rsid w:val="00C43D91"/>
    <w:rsid w:val="00C442B9"/>
    <w:rsid w:val="00C4475F"/>
    <w:rsid w:val="00C44851"/>
    <w:rsid w:val="00C44DB3"/>
    <w:rsid w:val="00C44F11"/>
    <w:rsid w:val="00C4502B"/>
    <w:rsid w:val="00C45A3A"/>
    <w:rsid w:val="00C45C48"/>
    <w:rsid w:val="00C45DD6"/>
    <w:rsid w:val="00C45E40"/>
    <w:rsid w:val="00C45E48"/>
    <w:rsid w:val="00C45EE5"/>
    <w:rsid w:val="00C460E4"/>
    <w:rsid w:val="00C46218"/>
    <w:rsid w:val="00C4663E"/>
    <w:rsid w:val="00C46813"/>
    <w:rsid w:val="00C4695C"/>
    <w:rsid w:val="00C46A66"/>
    <w:rsid w:val="00C46C74"/>
    <w:rsid w:val="00C470AA"/>
    <w:rsid w:val="00C4721C"/>
    <w:rsid w:val="00C47560"/>
    <w:rsid w:val="00C475F1"/>
    <w:rsid w:val="00C477F4"/>
    <w:rsid w:val="00C47A54"/>
    <w:rsid w:val="00C47FA4"/>
    <w:rsid w:val="00C501D1"/>
    <w:rsid w:val="00C501E5"/>
    <w:rsid w:val="00C505AE"/>
    <w:rsid w:val="00C50B0F"/>
    <w:rsid w:val="00C50D0A"/>
    <w:rsid w:val="00C50EF3"/>
    <w:rsid w:val="00C51021"/>
    <w:rsid w:val="00C51419"/>
    <w:rsid w:val="00C5143C"/>
    <w:rsid w:val="00C515D2"/>
    <w:rsid w:val="00C51CC7"/>
    <w:rsid w:val="00C520BF"/>
    <w:rsid w:val="00C527AE"/>
    <w:rsid w:val="00C52B38"/>
    <w:rsid w:val="00C52CF8"/>
    <w:rsid w:val="00C52DFC"/>
    <w:rsid w:val="00C52EE7"/>
    <w:rsid w:val="00C53078"/>
    <w:rsid w:val="00C5313E"/>
    <w:rsid w:val="00C533FB"/>
    <w:rsid w:val="00C534C1"/>
    <w:rsid w:val="00C53637"/>
    <w:rsid w:val="00C53682"/>
    <w:rsid w:val="00C53848"/>
    <w:rsid w:val="00C53966"/>
    <w:rsid w:val="00C53FA7"/>
    <w:rsid w:val="00C54DB0"/>
    <w:rsid w:val="00C54F5D"/>
    <w:rsid w:val="00C54FF7"/>
    <w:rsid w:val="00C5501F"/>
    <w:rsid w:val="00C5514B"/>
    <w:rsid w:val="00C55275"/>
    <w:rsid w:val="00C55337"/>
    <w:rsid w:val="00C55FCE"/>
    <w:rsid w:val="00C55FD2"/>
    <w:rsid w:val="00C56080"/>
    <w:rsid w:val="00C5615A"/>
    <w:rsid w:val="00C5626D"/>
    <w:rsid w:val="00C563D0"/>
    <w:rsid w:val="00C56574"/>
    <w:rsid w:val="00C56577"/>
    <w:rsid w:val="00C56AFB"/>
    <w:rsid w:val="00C56BD3"/>
    <w:rsid w:val="00C56D9C"/>
    <w:rsid w:val="00C570F0"/>
    <w:rsid w:val="00C571E3"/>
    <w:rsid w:val="00C575BA"/>
    <w:rsid w:val="00C577A1"/>
    <w:rsid w:val="00C57996"/>
    <w:rsid w:val="00C57AFC"/>
    <w:rsid w:val="00C57BFD"/>
    <w:rsid w:val="00C600A3"/>
    <w:rsid w:val="00C60448"/>
    <w:rsid w:val="00C60561"/>
    <w:rsid w:val="00C6091B"/>
    <w:rsid w:val="00C60978"/>
    <w:rsid w:val="00C60C85"/>
    <w:rsid w:val="00C6106B"/>
    <w:rsid w:val="00C610E0"/>
    <w:rsid w:val="00C6139D"/>
    <w:rsid w:val="00C616DA"/>
    <w:rsid w:val="00C61A7D"/>
    <w:rsid w:val="00C61DAA"/>
    <w:rsid w:val="00C61FDB"/>
    <w:rsid w:val="00C62051"/>
    <w:rsid w:val="00C620BE"/>
    <w:rsid w:val="00C6220A"/>
    <w:rsid w:val="00C6261C"/>
    <w:rsid w:val="00C62949"/>
    <w:rsid w:val="00C62C15"/>
    <w:rsid w:val="00C62CBE"/>
    <w:rsid w:val="00C6306E"/>
    <w:rsid w:val="00C63A6D"/>
    <w:rsid w:val="00C63B19"/>
    <w:rsid w:val="00C63EE5"/>
    <w:rsid w:val="00C6481C"/>
    <w:rsid w:val="00C64B5F"/>
    <w:rsid w:val="00C64BCE"/>
    <w:rsid w:val="00C64D67"/>
    <w:rsid w:val="00C659A7"/>
    <w:rsid w:val="00C65BE5"/>
    <w:rsid w:val="00C65D23"/>
    <w:rsid w:val="00C65E2C"/>
    <w:rsid w:val="00C65E4B"/>
    <w:rsid w:val="00C65F62"/>
    <w:rsid w:val="00C6635D"/>
    <w:rsid w:val="00C66689"/>
    <w:rsid w:val="00C669C4"/>
    <w:rsid w:val="00C66A6B"/>
    <w:rsid w:val="00C66E27"/>
    <w:rsid w:val="00C66E34"/>
    <w:rsid w:val="00C677B8"/>
    <w:rsid w:val="00C678AE"/>
    <w:rsid w:val="00C67936"/>
    <w:rsid w:val="00C67AC0"/>
    <w:rsid w:val="00C67B74"/>
    <w:rsid w:val="00C67BC1"/>
    <w:rsid w:val="00C67C20"/>
    <w:rsid w:val="00C7091F"/>
    <w:rsid w:val="00C70C82"/>
    <w:rsid w:val="00C70FEC"/>
    <w:rsid w:val="00C7107B"/>
    <w:rsid w:val="00C71304"/>
    <w:rsid w:val="00C71517"/>
    <w:rsid w:val="00C71851"/>
    <w:rsid w:val="00C71896"/>
    <w:rsid w:val="00C718A5"/>
    <w:rsid w:val="00C719B4"/>
    <w:rsid w:val="00C71ADE"/>
    <w:rsid w:val="00C71BCB"/>
    <w:rsid w:val="00C721C5"/>
    <w:rsid w:val="00C7233E"/>
    <w:rsid w:val="00C723E9"/>
    <w:rsid w:val="00C727B4"/>
    <w:rsid w:val="00C72876"/>
    <w:rsid w:val="00C72A63"/>
    <w:rsid w:val="00C72B7E"/>
    <w:rsid w:val="00C72B85"/>
    <w:rsid w:val="00C72BB3"/>
    <w:rsid w:val="00C72CD2"/>
    <w:rsid w:val="00C73245"/>
    <w:rsid w:val="00C73397"/>
    <w:rsid w:val="00C7386B"/>
    <w:rsid w:val="00C73E1A"/>
    <w:rsid w:val="00C74623"/>
    <w:rsid w:val="00C74998"/>
    <w:rsid w:val="00C74B08"/>
    <w:rsid w:val="00C750C1"/>
    <w:rsid w:val="00C75420"/>
    <w:rsid w:val="00C7546A"/>
    <w:rsid w:val="00C75475"/>
    <w:rsid w:val="00C7551D"/>
    <w:rsid w:val="00C75D42"/>
    <w:rsid w:val="00C76863"/>
    <w:rsid w:val="00C76964"/>
    <w:rsid w:val="00C76A52"/>
    <w:rsid w:val="00C76AC3"/>
    <w:rsid w:val="00C7755F"/>
    <w:rsid w:val="00C775C8"/>
    <w:rsid w:val="00C77933"/>
    <w:rsid w:val="00C77D29"/>
    <w:rsid w:val="00C77E1F"/>
    <w:rsid w:val="00C80097"/>
    <w:rsid w:val="00C80309"/>
    <w:rsid w:val="00C803B8"/>
    <w:rsid w:val="00C805F6"/>
    <w:rsid w:val="00C80A41"/>
    <w:rsid w:val="00C80A65"/>
    <w:rsid w:val="00C80CD3"/>
    <w:rsid w:val="00C80D19"/>
    <w:rsid w:val="00C80EC9"/>
    <w:rsid w:val="00C81142"/>
    <w:rsid w:val="00C812A0"/>
    <w:rsid w:val="00C812BF"/>
    <w:rsid w:val="00C814B5"/>
    <w:rsid w:val="00C8179B"/>
    <w:rsid w:val="00C819CD"/>
    <w:rsid w:val="00C81A28"/>
    <w:rsid w:val="00C81A88"/>
    <w:rsid w:val="00C81BF8"/>
    <w:rsid w:val="00C81D14"/>
    <w:rsid w:val="00C81F70"/>
    <w:rsid w:val="00C821D9"/>
    <w:rsid w:val="00C826A5"/>
    <w:rsid w:val="00C8293F"/>
    <w:rsid w:val="00C8298C"/>
    <w:rsid w:val="00C8300B"/>
    <w:rsid w:val="00C83074"/>
    <w:rsid w:val="00C8336A"/>
    <w:rsid w:val="00C83838"/>
    <w:rsid w:val="00C83D80"/>
    <w:rsid w:val="00C841D2"/>
    <w:rsid w:val="00C84234"/>
    <w:rsid w:val="00C8434A"/>
    <w:rsid w:val="00C84409"/>
    <w:rsid w:val="00C84637"/>
    <w:rsid w:val="00C847DE"/>
    <w:rsid w:val="00C84994"/>
    <w:rsid w:val="00C84AB4"/>
    <w:rsid w:val="00C85067"/>
    <w:rsid w:val="00C850ED"/>
    <w:rsid w:val="00C851BC"/>
    <w:rsid w:val="00C85299"/>
    <w:rsid w:val="00C86083"/>
    <w:rsid w:val="00C8615E"/>
    <w:rsid w:val="00C8627D"/>
    <w:rsid w:val="00C863F7"/>
    <w:rsid w:val="00C863FD"/>
    <w:rsid w:val="00C86460"/>
    <w:rsid w:val="00C8665A"/>
    <w:rsid w:val="00C86EC7"/>
    <w:rsid w:val="00C86EFC"/>
    <w:rsid w:val="00C86F92"/>
    <w:rsid w:val="00C8733F"/>
    <w:rsid w:val="00C874DA"/>
    <w:rsid w:val="00C879ED"/>
    <w:rsid w:val="00C87A8E"/>
    <w:rsid w:val="00C87C25"/>
    <w:rsid w:val="00C8BAFC"/>
    <w:rsid w:val="00C9021A"/>
    <w:rsid w:val="00C902B3"/>
    <w:rsid w:val="00C90312"/>
    <w:rsid w:val="00C90666"/>
    <w:rsid w:val="00C90722"/>
    <w:rsid w:val="00C9072A"/>
    <w:rsid w:val="00C9085F"/>
    <w:rsid w:val="00C90AFD"/>
    <w:rsid w:val="00C90F06"/>
    <w:rsid w:val="00C91092"/>
    <w:rsid w:val="00C910DD"/>
    <w:rsid w:val="00C91299"/>
    <w:rsid w:val="00C912ED"/>
    <w:rsid w:val="00C91351"/>
    <w:rsid w:val="00C914AE"/>
    <w:rsid w:val="00C914D1"/>
    <w:rsid w:val="00C91A80"/>
    <w:rsid w:val="00C9205D"/>
    <w:rsid w:val="00C920D1"/>
    <w:rsid w:val="00C920F9"/>
    <w:rsid w:val="00C92147"/>
    <w:rsid w:val="00C921AC"/>
    <w:rsid w:val="00C92298"/>
    <w:rsid w:val="00C925BC"/>
    <w:rsid w:val="00C92814"/>
    <w:rsid w:val="00C92C39"/>
    <w:rsid w:val="00C92CBF"/>
    <w:rsid w:val="00C92CFD"/>
    <w:rsid w:val="00C92D7D"/>
    <w:rsid w:val="00C92D80"/>
    <w:rsid w:val="00C92FE0"/>
    <w:rsid w:val="00C9300B"/>
    <w:rsid w:val="00C93425"/>
    <w:rsid w:val="00C934B1"/>
    <w:rsid w:val="00C93502"/>
    <w:rsid w:val="00C935E4"/>
    <w:rsid w:val="00C9396A"/>
    <w:rsid w:val="00C93E66"/>
    <w:rsid w:val="00C93FF4"/>
    <w:rsid w:val="00C94484"/>
    <w:rsid w:val="00C9486C"/>
    <w:rsid w:val="00C9489E"/>
    <w:rsid w:val="00C94939"/>
    <w:rsid w:val="00C94BF9"/>
    <w:rsid w:val="00C94C48"/>
    <w:rsid w:val="00C94E43"/>
    <w:rsid w:val="00C9514C"/>
    <w:rsid w:val="00C9535F"/>
    <w:rsid w:val="00C954D9"/>
    <w:rsid w:val="00C955E2"/>
    <w:rsid w:val="00C95635"/>
    <w:rsid w:val="00C9576E"/>
    <w:rsid w:val="00C95AEC"/>
    <w:rsid w:val="00C95C28"/>
    <w:rsid w:val="00C95C8B"/>
    <w:rsid w:val="00C95C8C"/>
    <w:rsid w:val="00C95ED1"/>
    <w:rsid w:val="00C9672E"/>
    <w:rsid w:val="00C96ACB"/>
    <w:rsid w:val="00C96BE2"/>
    <w:rsid w:val="00C96C08"/>
    <w:rsid w:val="00C96EED"/>
    <w:rsid w:val="00C97720"/>
    <w:rsid w:val="00C977D1"/>
    <w:rsid w:val="00C977D8"/>
    <w:rsid w:val="00C97DE0"/>
    <w:rsid w:val="00C97EBC"/>
    <w:rsid w:val="00C97F5F"/>
    <w:rsid w:val="00CA002D"/>
    <w:rsid w:val="00CA0156"/>
    <w:rsid w:val="00CA02A0"/>
    <w:rsid w:val="00CA02D8"/>
    <w:rsid w:val="00CA0692"/>
    <w:rsid w:val="00CA07D9"/>
    <w:rsid w:val="00CA0869"/>
    <w:rsid w:val="00CA0C6A"/>
    <w:rsid w:val="00CA0F4C"/>
    <w:rsid w:val="00CA1024"/>
    <w:rsid w:val="00CA1237"/>
    <w:rsid w:val="00CA1785"/>
    <w:rsid w:val="00CA17C8"/>
    <w:rsid w:val="00CA183B"/>
    <w:rsid w:val="00CA1884"/>
    <w:rsid w:val="00CA1AA0"/>
    <w:rsid w:val="00CA1D3E"/>
    <w:rsid w:val="00CA1EB7"/>
    <w:rsid w:val="00CA1F55"/>
    <w:rsid w:val="00CA267C"/>
    <w:rsid w:val="00CA2743"/>
    <w:rsid w:val="00CA2752"/>
    <w:rsid w:val="00CA2AF5"/>
    <w:rsid w:val="00CA2D4A"/>
    <w:rsid w:val="00CA3132"/>
    <w:rsid w:val="00CA31EF"/>
    <w:rsid w:val="00CA33F3"/>
    <w:rsid w:val="00CA34BB"/>
    <w:rsid w:val="00CA35D2"/>
    <w:rsid w:val="00CA3808"/>
    <w:rsid w:val="00CA394E"/>
    <w:rsid w:val="00CA397C"/>
    <w:rsid w:val="00CA3A97"/>
    <w:rsid w:val="00CA3B5A"/>
    <w:rsid w:val="00CA3E1B"/>
    <w:rsid w:val="00CA3F20"/>
    <w:rsid w:val="00CA3F74"/>
    <w:rsid w:val="00CA4001"/>
    <w:rsid w:val="00CA4170"/>
    <w:rsid w:val="00CA425B"/>
    <w:rsid w:val="00CA4341"/>
    <w:rsid w:val="00CA45E7"/>
    <w:rsid w:val="00CA494E"/>
    <w:rsid w:val="00CA4997"/>
    <w:rsid w:val="00CA49F1"/>
    <w:rsid w:val="00CA50F6"/>
    <w:rsid w:val="00CA5854"/>
    <w:rsid w:val="00CA5FCE"/>
    <w:rsid w:val="00CA5FF6"/>
    <w:rsid w:val="00CA61D5"/>
    <w:rsid w:val="00CA61F9"/>
    <w:rsid w:val="00CA62E9"/>
    <w:rsid w:val="00CA661E"/>
    <w:rsid w:val="00CA6753"/>
    <w:rsid w:val="00CA709F"/>
    <w:rsid w:val="00CA7127"/>
    <w:rsid w:val="00CA7507"/>
    <w:rsid w:val="00CA7AB6"/>
    <w:rsid w:val="00CA7B37"/>
    <w:rsid w:val="00CA7B9A"/>
    <w:rsid w:val="00CA7BC1"/>
    <w:rsid w:val="00CA7EF2"/>
    <w:rsid w:val="00CB00FC"/>
    <w:rsid w:val="00CB026B"/>
    <w:rsid w:val="00CB07B7"/>
    <w:rsid w:val="00CB10D6"/>
    <w:rsid w:val="00CB1344"/>
    <w:rsid w:val="00CB1482"/>
    <w:rsid w:val="00CB15DE"/>
    <w:rsid w:val="00CB19A1"/>
    <w:rsid w:val="00CB1B5F"/>
    <w:rsid w:val="00CB1F65"/>
    <w:rsid w:val="00CB21E0"/>
    <w:rsid w:val="00CB2814"/>
    <w:rsid w:val="00CB2EA4"/>
    <w:rsid w:val="00CB30B0"/>
    <w:rsid w:val="00CB31A3"/>
    <w:rsid w:val="00CB3766"/>
    <w:rsid w:val="00CB3995"/>
    <w:rsid w:val="00CB3E7F"/>
    <w:rsid w:val="00CB47C2"/>
    <w:rsid w:val="00CB49D3"/>
    <w:rsid w:val="00CB4AEC"/>
    <w:rsid w:val="00CB4D25"/>
    <w:rsid w:val="00CB4D9D"/>
    <w:rsid w:val="00CB5054"/>
    <w:rsid w:val="00CB5133"/>
    <w:rsid w:val="00CB55BD"/>
    <w:rsid w:val="00CB560D"/>
    <w:rsid w:val="00CB577A"/>
    <w:rsid w:val="00CB6190"/>
    <w:rsid w:val="00CB62B5"/>
    <w:rsid w:val="00CB6509"/>
    <w:rsid w:val="00CB6654"/>
    <w:rsid w:val="00CB66B9"/>
    <w:rsid w:val="00CB66D1"/>
    <w:rsid w:val="00CB6D3E"/>
    <w:rsid w:val="00CB6EF5"/>
    <w:rsid w:val="00CB7172"/>
    <w:rsid w:val="00CB71D1"/>
    <w:rsid w:val="00CB74AC"/>
    <w:rsid w:val="00CB7525"/>
    <w:rsid w:val="00CB7B9C"/>
    <w:rsid w:val="00CB7BD1"/>
    <w:rsid w:val="00CBD23C"/>
    <w:rsid w:val="00CC018C"/>
    <w:rsid w:val="00CC0246"/>
    <w:rsid w:val="00CC063C"/>
    <w:rsid w:val="00CC06FB"/>
    <w:rsid w:val="00CC077B"/>
    <w:rsid w:val="00CC0C16"/>
    <w:rsid w:val="00CC0FAD"/>
    <w:rsid w:val="00CC1237"/>
    <w:rsid w:val="00CC124F"/>
    <w:rsid w:val="00CC13AC"/>
    <w:rsid w:val="00CC1837"/>
    <w:rsid w:val="00CC18E0"/>
    <w:rsid w:val="00CC1A2C"/>
    <w:rsid w:val="00CC2006"/>
    <w:rsid w:val="00CC20C9"/>
    <w:rsid w:val="00CC2463"/>
    <w:rsid w:val="00CC24E7"/>
    <w:rsid w:val="00CC2F7E"/>
    <w:rsid w:val="00CC354D"/>
    <w:rsid w:val="00CC371B"/>
    <w:rsid w:val="00CC37A2"/>
    <w:rsid w:val="00CC3A59"/>
    <w:rsid w:val="00CC413E"/>
    <w:rsid w:val="00CC417F"/>
    <w:rsid w:val="00CC418A"/>
    <w:rsid w:val="00CC42AB"/>
    <w:rsid w:val="00CC461F"/>
    <w:rsid w:val="00CC477A"/>
    <w:rsid w:val="00CC4B60"/>
    <w:rsid w:val="00CC4CEC"/>
    <w:rsid w:val="00CC4EDA"/>
    <w:rsid w:val="00CC4F2D"/>
    <w:rsid w:val="00CC4F5D"/>
    <w:rsid w:val="00CC5113"/>
    <w:rsid w:val="00CC5262"/>
    <w:rsid w:val="00CC52BE"/>
    <w:rsid w:val="00CC546D"/>
    <w:rsid w:val="00CC547B"/>
    <w:rsid w:val="00CC54BF"/>
    <w:rsid w:val="00CC5892"/>
    <w:rsid w:val="00CC5998"/>
    <w:rsid w:val="00CC5DE7"/>
    <w:rsid w:val="00CC5E1F"/>
    <w:rsid w:val="00CC5EFA"/>
    <w:rsid w:val="00CC61EC"/>
    <w:rsid w:val="00CC6280"/>
    <w:rsid w:val="00CC6303"/>
    <w:rsid w:val="00CC6599"/>
    <w:rsid w:val="00CC65B9"/>
    <w:rsid w:val="00CC66F7"/>
    <w:rsid w:val="00CC6965"/>
    <w:rsid w:val="00CC6E77"/>
    <w:rsid w:val="00CC70B1"/>
    <w:rsid w:val="00CC760A"/>
    <w:rsid w:val="00CC7EEF"/>
    <w:rsid w:val="00CC7FC2"/>
    <w:rsid w:val="00CD073F"/>
    <w:rsid w:val="00CD11BB"/>
    <w:rsid w:val="00CD1282"/>
    <w:rsid w:val="00CD13F8"/>
    <w:rsid w:val="00CD1A87"/>
    <w:rsid w:val="00CD238F"/>
    <w:rsid w:val="00CD277D"/>
    <w:rsid w:val="00CD283C"/>
    <w:rsid w:val="00CD2FF1"/>
    <w:rsid w:val="00CD3445"/>
    <w:rsid w:val="00CD349D"/>
    <w:rsid w:val="00CD3516"/>
    <w:rsid w:val="00CD405A"/>
    <w:rsid w:val="00CD4070"/>
    <w:rsid w:val="00CD4117"/>
    <w:rsid w:val="00CD46B6"/>
    <w:rsid w:val="00CD486C"/>
    <w:rsid w:val="00CD5633"/>
    <w:rsid w:val="00CD5634"/>
    <w:rsid w:val="00CD5B4C"/>
    <w:rsid w:val="00CD5E3C"/>
    <w:rsid w:val="00CD60BE"/>
    <w:rsid w:val="00CD6143"/>
    <w:rsid w:val="00CD62C5"/>
    <w:rsid w:val="00CD6303"/>
    <w:rsid w:val="00CD641C"/>
    <w:rsid w:val="00CD65D6"/>
    <w:rsid w:val="00CD6D43"/>
    <w:rsid w:val="00CD72E8"/>
    <w:rsid w:val="00CD7814"/>
    <w:rsid w:val="00CD7D23"/>
    <w:rsid w:val="00CDF909"/>
    <w:rsid w:val="00CE0121"/>
    <w:rsid w:val="00CE0297"/>
    <w:rsid w:val="00CE043F"/>
    <w:rsid w:val="00CE068E"/>
    <w:rsid w:val="00CE0C9A"/>
    <w:rsid w:val="00CE0D96"/>
    <w:rsid w:val="00CE148A"/>
    <w:rsid w:val="00CE1B61"/>
    <w:rsid w:val="00CE1F60"/>
    <w:rsid w:val="00CE2B26"/>
    <w:rsid w:val="00CE2B53"/>
    <w:rsid w:val="00CE2F9A"/>
    <w:rsid w:val="00CE36F9"/>
    <w:rsid w:val="00CE3BA5"/>
    <w:rsid w:val="00CE3C77"/>
    <w:rsid w:val="00CE3E10"/>
    <w:rsid w:val="00CE462A"/>
    <w:rsid w:val="00CE4AE5"/>
    <w:rsid w:val="00CE4B04"/>
    <w:rsid w:val="00CE4C71"/>
    <w:rsid w:val="00CE4CBE"/>
    <w:rsid w:val="00CE4E6C"/>
    <w:rsid w:val="00CE4E84"/>
    <w:rsid w:val="00CE4F75"/>
    <w:rsid w:val="00CE5000"/>
    <w:rsid w:val="00CE50C8"/>
    <w:rsid w:val="00CE5162"/>
    <w:rsid w:val="00CE59C4"/>
    <w:rsid w:val="00CE5A1B"/>
    <w:rsid w:val="00CE5A48"/>
    <w:rsid w:val="00CE5A50"/>
    <w:rsid w:val="00CE5BD4"/>
    <w:rsid w:val="00CE617B"/>
    <w:rsid w:val="00CE698A"/>
    <w:rsid w:val="00CE7021"/>
    <w:rsid w:val="00CE70AA"/>
    <w:rsid w:val="00CE71F6"/>
    <w:rsid w:val="00CE721D"/>
    <w:rsid w:val="00CE74CD"/>
    <w:rsid w:val="00CE7514"/>
    <w:rsid w:val="00CE77E6"/>
    <w:rsid w:val="00CE7A6C"/>
    <w:rsid w:val="00CE7FA4"/>
    <w:rsid w:val="00CF0267"/>
    <w:rsid w:val="00CF0B9B"/>
    <w:rsid w:val="00CF0D0A"/>
    <w:rsid w:val="00CF10E7"/>
    <w:rsid w:val="00CF116C"/>
    <w:rsid w:val="00CF1783"/>
    <w:rsid w:val="00CF1889"/>
    <w:rsid w:val="00CF18E7"/>
    <w:rsid w:val="00CF190D"/>
    <w:rsid w:val="00CF2220"/>
    <w:rsid w:val="00CF2434"/>
    <w:rsid w:val="00CF2735"/>
    <w:rsid w:val="00CF28AE"/>
    <w:rsid w:val="00CF2C7C"/>
    <w:rsid w:val="00CF2FB5"/>
    <w:rsid w:val="00CF3280"/>
    <w:rsid w:val="00CF338D"/>
    <w:rsid w:val="00CF3411"/>
    <w:rsid w:val="00CF3747"/>
    <w:rsid w:val="00CF37AA"/>
    <w:rsid w:val="00CF385F"/>
    <w:rsid w:val="00CF38EB"/>
    <w:rsid w:val="00CF3B45"/>
    <w:rsid w:val="00CF3C21"/>
    <w:rsid w:val="00CF3CD5"/>
    <w:rsid w:val="00CF3EEB"/>
    <w:rsid w:val="00CF3F51"/>
    <w:rsid w:val="00CF3F56"/>
    <w:rsid w:val="00CF4071"/>
    <w:rsid w:val="00CF40E0"/>
    <w:rsid w:val="00CF4193"/>
    <w:rsid w:val="00CF42A8"/>
    <w:rsid w:val="00CF4572"/>
    <w:rsid w:val="00CF45D9"/>
    <w:rsid w:val="00CF481C"/>
    <w:rsid w:val="00CF48FB"/>
    <w:rsid w:val="00CF4DBD"/>
    <w:rsid w:val="00CF50E3"/>
    <w:rsid w:val="00CF5394"/>
    <w:rsid w:val="00CF62B6"/>
    <w:rsid w:val="00CF645D"/>
    <w:rsid w:val="00CF649C"/>
    <w:rsid w:val="00CF6836"/>
    <w:rsid w:val="00CF6949"/>
    <w:rsid w:val="00CF6F41"/>
    <w:rsid w:val="00CF72E9"/>
    <w:rsid w:val="00CF7356"/>
    <w:rsid w:val="00CF7645"/>
    <w:rsid w:val="00CF78A2"/>
    <w:rsid w:val="00D00291"/>
    <w:rsid w:val="00D003E4"/>
    <w:rsid w:val="00D00EC0"/>
    <w:rsid w:val="00D01203"/>
    <w:rsid w:val="00D0125D"/>
    <w:rsid w:val="00D0125E"/>
    <w:rsid w:val="00D0138C"/>
    <w:rsid w:val="00D0150E"/>
    <w:rsid w:val="00D015ED"/>
    <w:rsid w:val="00D01EE2"/>
    <w:rsid w:val="00D02206"/>
    <w:rsid w:val="00D02682"/>
    <w:rsid w:val="00D026A5"/>
    <w:rsid w:val="00D029AE"/>
    <w:rsid w:val="00D02A84"/>
    <w:rsid w:val="00D02ADB"/>
    <w:rsid w:val="00D03329"/>
    <w:rsid w:val="00D0369C"/>
    <w:rsid w:val="00D03AE3"/>
    <w:rsid w:val="00D03D1A"/>
    <w:rsid w:val="00D03DCF"/>
    <w:rsid w:val="00D0409A"/>
    <w:rsid w:val="00D046C8"/>
    <w:rsid w:val="00D04716"/>
    <w:rsid w:val="00D04B15"/>
    <w:rsid w:val="00D04F7F"/>
    <w:rsid w:val="00D055D8"/>
    <w:rsid w:val="00D05812"/>
    <w:rsid w:val="00D0586E"/>
    <w:rsid w:val="00D058C2"/>
    <w:rsid w:val="00D05972"/>
    <w:rsid w:val="00D05AA4"/>
    <w:rsid w:val="00D05ECF"/>
    <w:rsid w:val="00D0600A"/>
    <w:rsid w:val="00D06425"/>
    <w:rsid w:val="00D06513"/>
    <w:rsid w:val="00D0656F"/>
    <w:rsid w:val="00D06602"/>
    <w:rsid w:val="00D0666A"/>
    <w:rsid w:val="00D0667D"/>
    <w:rsid w:val="00D06831"/>
    <w:rsid w:val="00D06AFB"/>
    <w:rsid w:val="00D06C97"/>
    <w:rsid w:val="00D07006"/>
    <w:rsid w:val="00D073C0"/>
    <w:rsid w:val="00D079E9"/>
    <w:rsid w:val="00D07A99"/>
    <w:rsid w:val="00D07DB5"/>
    <w:rsid w:val="00D07E49"/>
    <w:rsid w:val="00D07ED8"/>
    <w:rsid w:val="00D1029F"/>
    <w:rsid w:val="00D10350"/>
    <w:rsid w:val="00D10491"/>
    <w:rsid w:val="00D107EF"/>
    <w:rsid w:val="00D11174"/>
    <w:rsid w:val="00D116F3"/>
    <w:rsid w:val="00D11E8D"/>
    <w:rsid w:val="00D11EEA"/>
    <w:rsid w:val="00D12344"/>
    <w:rsid w:val="00D125AD"/>
    <w:rsid w:val="00D12687"/>
    <w:rsid w:val="00D12BC3"/>
    <w:rsid w:val="00D12CAE"/>
    <w:rsid w:val="00D12CFA"/>
    <w:rsid w:val="00D133EC"/>
    <w:rsid w:val="00D13985"/>
    <w:rsid w:val="00D13C05"/>
    <w:rsid w:val="00D13F8C"/>
    <w:rsid w:val="00D14539"/>
    <w:rsid w:val="00D1470E"/>
    <w:rsid w:val="00D14B2B"/>
    <w:rsid w:val="00D14DD3"/>
    <w:rsid w:val="00D14E81"/>
    <w:rsid w:val="00D14F23"/>
    <w:rsid w:val="00D15512"/>
    <w:rsid w:val="00D15564"/>
    <w:rsid w:val="00D15F43"/>
    <w:rsid w:val="00D162EE"/>
    <w:rsid w:val="00D16A6E"/>
    <w:rsid w:val="00D16FD7"/>
    <w:rsid w:val="00D17049"/>
    <w:rsid w:val="00D170A0"/>
    <w:rsid w:val="00D173C4"/>
    <w:rsid w:val="00D17B6F"/>
    <w:rsid w:val="00D17E4C"/>
    <w:rsid w:val="00D2069A"/>
    <w:rsid w:val="00D2092F"/>
    <w:rsid w:val="00D20E0D"/>
    <w:rsid w:val="00D210DB"/>
    <w:rsid w:val="00D21737"/>
    <w:rsid w:val="00D217E7"/>
    <w:rsid w:val="00D21A35"/>
    <w:rsid w:val="00D2209A"/>
    <w:rsid w:val="00D223AD"/>
    <w:rsid w:val="00D226D3"/>
    <w:rsid w:val="00D22B18"/>
    <w:rsid w:val="00D22C2A"/>
    <w:rsid w:val="00D22E91"/>
    <w:rsid w:val="00D22F92"/>
    <w:rsid w:val="00D23565"/>
    <w:rsid w:val="00D236B6"/>
    <w:rsid w:val="00D23720"/>
    <w:rsid w:val="00D239BD"/>
    <w:rsid w:val="00D23D1B"/>
    <w:rsid w:val="00D244CD"/>
    <w:rsid w:val="00D24692"/>
    <w:rsid w:val="00D24913"/>
    <w:rsid w:val="00D24A1C"/>
    <w:rsid w:val="00D24D1F"/>
    <w:rsid w:val="00D24D77"/>
    <w:rsid w:val="00D2528B"/>
    <w:rsid w:val="00D253D1"/>
    <w:rsid w:val="00D25536"/>
    <w:rsid w:val="00D25877"/>
    <w:rsid w:val="00D25C99"/>
    <w:rsid w:val="00D25EBE"/>
    <w:rsid w:val="00D2604F"/>
    <w:rsid w:val="00D26086"/>
    <w:rsid w:val="00D264E0"/>
    <w:rsid w:val="00D267D9"/>
    <w:rsid w:val="00D2680C"/>
    <w:rsid w:val="00D26BD4"/>
    <w:rsid w:val="00D2741A"/>
    <w:rsid w:val="00D27483"/>
    <w:rsid w:val="00D278F5"/>
    <w:rsid w:val="00D27953"/>
    <w:rsid w:val="00D27AE9"/>
    <w:rsid w:val="00D2ADE8"/>
    <w:rsid w:val="00D30127"/>
    <w:rsid w:val="00D302FD"/>
    <w:rsid w:val="00D30303"/>
    <w:rsid w:val="00D30308"/>
    <w:rsid w:val="00D3033A"/>
    <w:rsid w:val="00D3079C"/>
    <w:rsid w:val="00D30DB4"/>
    <w:rsid w:val="00D30EE8"/>
    <w:rsid w:val="00D30F78"/>
    <w:rsid w:val="00D31134"/>
    <w:rsid w:val="00D314AF"/>
    <w:rsid w:val="00D31686"/>
    <w:rsid w:val="00D31763"/>
    <w:rsid w:val="00D31769"/>
    <w:rsid w:val="00D31AEB"/>
    <w:rsid w:val="00D31B7C"/>
    <w:rsid w:val="00D31F78"/>
    <w:rsid w:val="00D31FC7"/>
    <w:rsid w:val="00D31FED"/>
    <w:rsid w:val="00D322CE"/>
    <w:rsid w:val="00D323EA"/>
    <w:rsid w:val="00D324C9"/>
    <w:rsid w:val="00D3262F"/>
    <w:rsid w:val="00D32667"/>
    <w:rsid w:val="00D32671"/>
    <w:rsid w:val="00D329A2"/>
    <w:rsid w:val="00D32D5F"/>
    <w:rsid w:val="00D32DEE"/>
    <w:rsid w:val="00D32E0E"/>
    <w:rsid w:val="00D32F3D"/>
    <w:rsid w:val="00D3317F"/>
    <w:rsid w:val="00D33250"/>
    <w:rsid w:val="00D33321"/>
    <w:rsid w:val="00D33A78"/>
    <w:rsid w:val="00D33DAA"/>
    <w:rsid w:val="00D344C5"/>
    <w:rsid w:val="00D34ED6"/>
    <w:rsid w:val="00D34EDB"/>
    <w:rsid w:val="00D3531A"/>
    <w:rsid w:val="00D35A27"/>
    <w:rsid w:val="00D35B47"/>
    <w:rsid w:val="00D35E20"/>
    <w:rsid w:val="00D35EEA"/>
    <w:rsid w:val="00D35FF2"/>
    <w:rsid w:val="00D36508"/>
    <w:rsid w:val="00D36659"/>
    <w:rsid w:val="00D36858"/>
    <w:rsid w:val="00D3696D"/>
    <w:rsid w:val="00D369BE"/>
    <w:rsid w:val="00D36A12"/>
    <w:rsid w:val="00D36C90"/>
    <w:rsid w:val="00D36CCA"/>
    <w:rsid w:val="00D36DF9"/>
    <w:rsid w:val="00D37375"/>
    <w:rsid w:val="00D3767C"/>
    <w:rsid w:val="00D376F4"/>
    <w:rsid w:val="00D3788F"/>
    <w:rsid w:val="00D37934"/>
    <w:rsid w:val="00D37AA8"/>
    <w:rsid w:val="00D37ED2"/>
    <w:rsid w:val="00D37F6D"/>
    <w:rsid w:val="00D40337"/>
    <w:rsid w:val="00D406C1"/>
    <w:rsid w:val="00D406D8"/>
    <w:rsid w:val="00D4071B"/>
    <w:rsid w:val="00D4080D"/>
    <w:rsid w:val="00D40A39"/>
    <w:rsid w:val="00D40EA2"/>
    <w:rsid w:val="00D41AFB"/>
    <w:rsid w:val="00D41B6E"/>
    <w:rsid w:val="00D41B7F"/>
    <w:rsid w:val="00D4232E"/>
    <w:rsid w:val="00D42662"/>
    <w:rsid w:val="00D42766"/>
    <w:rsid w:val="00D42CC5"/>
    <w:rsid w:val="00D42F31"/>
    <w:rsid w:val="00D431F3"/>
    <w:rsid w:val="00D4363B"/>
    <w:rsid w:val="00D439E5"/>
    <w:rsid w:val="00D43EF9"/>
    <w:rsid w:val="00D44270"/>
    <w:rsid w:val="00D4455D"/>
    <w:rsid w:val="00D4459E"/>
    <w:rsid w:val="00D44664"/>
    <w:rsid w:val="00D446F8"/>
    <w:rsid w:val="00D44778"/>
    <w:rsid w:val="00D448FE"/>
    <w:rsid w:val="00D4495E"/>
    <w:rsid w:val="00D44A66"/>
    <w:rsid w:val="00D44AA2"/>
    <w:rsid w:val="00D44F09"/>
    <w:rsid w:val="00D451D7"/>
    <w:rsid w:val="00D45274"/>
    <w:rsid w:val="00D453E6"/>
    <w:rsid w:val="00D4541C"/>
    <w:rsid w:val="00D45541"/>
    <w:rsid w:val="00D459F1"/>
    <w:rsid w:val="00D45B27"/>
    <w:rsid w:val="00D45BCC"/>
    <w:rsid w:val="00D45C40"/>
    <w:rsid w:val="00D46126"/>
    <w:rsid w:val="00D46369"/>
    <w:rsid w:val="00D463A1"/>
    <w:rsid w:val="00D4641C"/>
    <w:rsid w:val="00D4646E"/>
    <w:rsid w:val="00D46615"/>
    <w:rsid w:val="00D46821"/>
    <w:rsid w:val="00D46836"/>
    <w:rsid w:val="00D468DA"/>
    <w:rsid w:val="00D46D1A"/>
    <w:rsid w:val="00D46EDE"/>
    <w:rsid w:val="00D46F3B"/>
    <w:rsid w:val="00D471DC"/>
    <w:rsid w:val="00D47219"/>
    <w:rsid w:val="00D4749E"/>
    <w:rsid w:val="00D4751D"/>
    <w:rsid w:val="00D47709"/>
    <w:rsid w:val="00D47728"/>
    <w:rsid w:val="00D47E29"/>
    <w:rsid w:val="00D47EFA"/>
    <w:rsid w:val="00D47F0B"/>
    <w:rsid w:val="00D50214"/>
    <w:rsid w:val="00D50267"/>
    <w:rsid w:val="00D5041F"/>
    <w:rsid w:val="00D50628"/>
    <w:rsid w:val="00D508E0"/>
    <w:rsid w:val="00D508E4"/>
    <w:rsid w:val="00D50B08"/>
    <w:rsid w:val="00D50D83"/>
    <w:rsid w:val="00D50F14"/>
    <w:rsid w:val="00D513D3"/>
    <w:rsid w:val="00D514B7"/>
    <w:rsid w:val="00D5178F"/>
    <w:rsid w:val="00D51841"/>
    <w:rsid w:val="00D51B60"/>
    <w:rsid w:val="00D51D42"/>
    <w:rsid w:val="00D5216F"/>
    <w:rsid w:val="00D52A21"/>
    <w:rsid w:val="00D52A66"/>
    <w:rsid w:val="00D52CFE"/>
    <w:rsid w:val="00D52FD5"/>
    <w:rsid w:val="00D52FDE"/>
    <w:rsid w:val="00D533AC"/>
    <w:rsid w:val="00D53535"/>
    <w:rsid w:val="00D535C0"/>
    <w:rsid w:val="00D535DA"/>
    <w:rsid w:val="00D538D9"/>
    <w:rsid w:val="00D53AD3"/>
    <w:rsid w:val="00D53D8C"/>
    <w:rsid w:val="00D53D99"/>
    <w:rsid w:val="00D53F5A"/>
    <w:rsid w:val="00D54B49"/>
    <w:rsid w:val="00D54D09"/>
    <w:rsid w:val="00D54D5F"/>
    <w:rsid w:val="00D54D95"/>
    <w:rsid w:val="00D54F27"/>
    <w:rsid w:val="00D5502D"/>
    <w:rsid w:val="00D55291"/>
    <w:rsid w:val="00D5552A"/>
    <w:rsid w:val="00D5556C"/>
    <w:rsid w:val="00D555D8"/>
    <w:rsid w:val="00D5568C"/>
    <w:rsid w:val="00D558D9"/>
    <w:rsid w:val="00D559AE"/>
    <w:rsid w:val="00D55AD3"/>
    <w:rsid w:val="00D55BDF"/>
    <w:rsid w:val="00D55C74"/>
    <w:rsid w:val="00D55F33"/>
    <w:rsid w:val="00D560AA"/>
    <w:rsid w:val="00D56233"/>
    <w:rsid w:val="00D56759"/>
    <w:rsid w:val="00D56AC6"/>
    <w:rsid w:val="00D56AE2"/>
    <w:rsid w:val="00D56D26"/>
    <w:rsid w:val="00D56D59"/>
    <w:rsid w:val="00D571CC"/>
    <w:rsid w:val="00D57311"/>
    <w:rsid w:val="00D57336"/>
    <w:rsid w:val="00D57603"/>
    <w:rsid w:val="00D5760B"/>
    <w:rsid w:val="00D57901"/>
    <w:rsid w:val="00D579B4"/>
    <w:rsid w:val="00D601EA"/>
    <w:rsid w:val="00D60376"/>
    <w:rsid w:val="00D60425"/>
    <w:rsid w:val="00D6061B"/>
    <w:rsid w:val="00D607E6"/>
    <w:rsid w:val="00D6093A"/>
    <w:rsid w:val="00D60BCC"/>
    <w:rsid w:val="00D60D64"/>
    <w:rsid w:val="00D612E9"/>
    <w:rsid w:val="00D61340"/>
    <w:rsid w:val="00D61381"/>
    <w:rsid w:val="00D615EF"/>
    <w:rsid w:val="00D61696"/>
    <w:rsid w:val="00D6178E"/>
    <w:rsid w:val="00D61818"/>
    <w:rsid w:val="00D61BE3"/>
    <w:rsid w:val="00D62028"/>
    <w:rsid w:val="00D62100"/>
    <w:rsid w:val="00D6231E"/>
    <w:rsid w:val="00D626C0"/>
    <w:rsid w:val="00D6285A"/>
    <w:rsid w:val="00D628A1"/>
    <w:rsid w:val="00D630EC"/>
    <w:rsid w:val="00D63382"/>
    <w:rsid w:val="00D63395"/>
    <w:rsid w:val="00D6352A"/>
    <w:rsid w:val="00D635CE"/>
    <w:rsid w:val="00D6378D"/>
    <w:rsid w:val="00D63ABC"/>
    <w:rsid w:val="00D63DFA"/>
    <w:rsid w:val="00D646AE"/>
    <w:rsid w:val="00D6483A"/>
    <w:rsid w:val="00D64B41"/>
    <w:rsid w:val="00D64BCA"/>
    <w:rsid w:val="00D653A9"/>
    <w:rsid w:val="00D65727"/>
    <w:rsid w:val="00D6595C"/>
    <w:rsid w:val="00D66860"/>
    <w:rsid w:val="00D66DF2"/>
    <w:rsid w:val="00D66E45"/>
    <w:rsid w:val="00D6700C"/>
    <w:rsid w:val="00D670D9"/>
    <w:rsid w:val="00D672C8"/>
    <w:rsid w:val="00D67A1C"/>
    <w:rsid w:val="00D67E13"/>
    <w:rsid w:val="00D6FC9F"/>
    <w:rsid w:val="00D7015B"/>
    <w:rsid w:val="00D7033A"/>
    <w:rsid w:val="00D70409"/>
    <w:rsid w:val="00D706FF"/>
    <w:rsid w:val="00D7093D"/>
    <w:rsid w:val="00D70A0D"/>
    <w:rsid w:val="00D70C6B"/>
    <w:rsid w:val="00D70E05"/>
    <w:rsid w:val="00D71696"/>
    <w:rsid w:val="00D716D2"/>
    <w:rsid w:val="00D71D75"/>
    <w:rsid w:val="00D721DE"/>
    <w:rsid w:val="00D72281"/>
    <w:rsid w:val="00D724ED"/>
    <w:rsid w:val="00D726C9"/>
    <w:rsid w:val="00D72754"/>
    <w:rsid w:val="00D7290B"/>
    <w:rsid w:val="00D73652"/>
    <w:rsid w:val="00D739C5"/>
    <w:rsid w:val="00D739DA"/>
    <w:rsid w:val="00D73A60"/>
    <w:rsid w:val="00D73BC1"/>
    <w:rsid w:val="00D741AD"/>
    <w:rsid w:val="00D743D8"/>
    <w:rsid w:val="00D74B7F"/>
    <w:rsid w:val="00D74D7B"/>
    <w:rsid w:val="00D7515C"/>
    <w:rsid w:val="00D758A4"/>
    <w:rsid w:val="00D759B6"/>
    <w:rsid w:val="00D759BF"/>
    <w:rsid w:val="00D75A76"/>
    <w:rsid w:val="00D75C23"/>
    <w:rsid w:val="00D75D27"/>
    <w:rsid w:val="00D75FD9"/>
    <w:rsid w:val="00D76049"/>
    <w:rsid w:val="00D76317"/>
    <w:rsid w:val="00D76596"/>
    <w:rsid w:val="00D765D3"/>
    <w:rsid w:val="00D765E2"/>
    <w:rsid w:val="00D7694C"/>
    <w:rsid w:val="00D76BA4"/>
    <w:rsid w:val="00D77BC8"/>
    <w:rsid w:val="00D77DFE"/>
    <w:rsid w:val="00D77EBD"/>
    <w:rsid w:val="00D80BD6"/>
    <w:rsid w:val="00D810E1"/>
    <w:rsid w:val="00D8117C"/>
    <w:rsid w:val="00D81449"/>
    <w:rsid w:val="00D819B6"/>
    <w:rsid w:val="00D81C43"/>
    <w:rsid w:val="00D81C57"/>
    <w:rsid w:val="00D820AA"/>
    <w:rsid w:val="00D8290E"/>
    <w:rsid w:val="00D82A2B"/>
    <w:rsid w:val="00D8308E"/>
    <w:rsid w:val="00D8312D"/>
    <w:rsid w:val="00D83888"/>
    <w:rsid w:val="00D84388"/>
    <w:rsid w:val="00D847D3"/>
    <w:rsid w:val="00D84F6A"/>
    <w:rsid w:val="00D85078"/>
    <w:rsid w:val="00D85122"/>
    <w:rsid w:val="00D85161"/>
    <w:rsid w:val="00D851D0"/>
    <w:rsid w:val="00D8521A"/>
    <w:rsid w:val="00D853CE"/>
    <w:rsid w:val="00D85479"/>
    <w:rsid w:val="00D854D6"/>
    <w:rsid w:val="00D855A7"/>
    <w:rsid w:val="00D85E24"/>
    <w:rsid w:val="00D85EED"/>
    <w:rsid w:val="00D860DB"/>
    <w:rsid w:val="00D86471"/>
    <w:rsid w:val="00D8654E"/>
    <w:rsid w:val="00D865C9"/>
    <w:rsid w:val="00D8660C"/>
    <w:rsid w:val="00D86A73"/>
    <w:rsid w:val="00D86C9B"/>
    <w:rsid w:val="00D86CEB"/>
    <w:rsid w:val="00D86EAF"/>
    <w:rsid w:val="00D87202"/>
    <w:rsid w:val="00D87299"/>
    <w:rsid w:val="00D875B1"/>
    <w:rsid w:val="00D877F6"/>
    <w:rsid w:val="00D87F6D"/>
    <w:rsid w:val="00D90017"/>
    <w:rsid w:val="00D9009E"/>
    <w:rsid w:val="00D90543"/>
    <w:rsid w:val="00D90953"/>
    <w:rsid w:val="00D9098B"/>
    <w:rsid w:val="00D9098F"/>
    <w:rsid w:val="00D90B01"/>
    <w:rsid w:val="00D90D24"/>
    <w:rsid w:val="00D90E26"/>
    <w:rsid w:val="00D90E39"/>
    <w:rsid w:val="00D91435"/>
    <w:rsid w:val="00D914A3"/>
    <w:rsid w:val="00D9158A"/>
    <w:rsid w:val="00D91C39"/>
    <w:rsid w:val="00D91C5F"/>
    <w:rsid w:val="00D91E22"/>
    <w:rsid w:val="00D91E93"/>
    <w:rsid w:val="00D91FF5"/>
    <w:rsid w:val="00D9220F"/>
    <w:rsid w:val="00D92398"/>
    <w:rsid w:val="00D926E6"/>
    <w:rsid w:val="00D92732"/>
    <w:rsid w:val="00D92A1B"/>
    <w:rsid w:val="00D92B74"/>
    <w:rsid w:val="00D92CA7"/>
    <w:rsid w:val="00D9302E"/>
    <w:rsid w:val="00D93115"/>
    <w:rsid w:val="00D9330D"/>
    <w:rsid w:val="00D934E4"/>
    <w:rsid w:val="00D93C62"/>
    <w:rsid w:val="00D93F2C"/>
    <w:rsid w:val="00D94183"/>
    <w:rsid w:val="00D94565"/>
    <w:rsid w:val="00D94686"/>
    <w:rsid w:val="00D94D95"/>
    <w:rsid w:val="00D94E13"/>
    <w:rsid w:val="00D951BD"/>
    <w:rsid w:val="00D955D4"/>
    <w:rsid w:val="00D95822"/>
    <w:rsid w:val="00D958F2"/>
    <w:rsid w:val="00D95A89"/>
    <w:rsid w:val="00D964C0"/>
    <w:rsid w:val="00D96660"/>
    <w:rsid w:val="00D966F6"/>
    <w:rsid w:val="00D968D4"/>
    <w:rsid w:val="00D9694F"/>
    <w:rsid w:val="00D96B8B"/>
    <w:rsid w:val="00D96C6F"/>
    <w:rsid w:val="00D96F75"/>
    <w:rsid w:val="00D97051"/>
    <w:rsid w:val="00D977E3"/>
    <w:rsid w:val="00D9784B"/>
    <w:rsid w:val="00DA051F"/>
    <w:rsid w:val="00DA0957"/>
    <w:rsid w:val="00DA1171"/>
    <w:rsid w:val="00DA1446"/>
    <w:rsid w:val="00DA14C2"/>
    <w:rsid w:val="00DA1523"/>
    <w:rsid w:val="00DA16BF"/>
    <w:rsid w:val="00DA171D"/>
    <w:rsid w:val="00DA177D"/>
    <w:rsid w:val="00DA17D4"/>
    <w:rsid w:val="00DA18DB"/>
    <w:rsid w:val="00DA1A33"/>
    <w:rsid w:val="00DA1E63"/>
    <w:rsid w:val="00DA2071"/>
    <w:rsid w:val="00DA2157"/>
    <w:rsid w:val="00DA225A"/>
    <w:rsid w:val="00DA248F"/>
    <w:rsid w:val="00DA24A3"/>
    <w:rsid w:val="00DA2DEA"/>
    <w:rsid w:val="00DA32E3"/>
    <w:rsid w:val="00DA3960"/>
    <w:rsid w:val="00DA3B3D"/>
    <w:rsid w:val="00DA3EBF"/>
    <w:rsid w:val="00DA3FE6"/>
    <w:rsid w:val="00DA410C"/>
    <w:rsid w:val="00DA4475"/>
    <w:rsid w:val="00DA450F"/>
    <w:rsid w:val="00DA45C6"/>
    <w:rsid w:val="00DA482C"/>
    <w:rsid w:val="00DA4ADF"/>
    <w:rsid w:val="00DA4C68"/>
    <w:rsid w:val="00DA4D05"/>
    <w:rsid w:val="00DA4DC3"/>
    <w:rsid w:val="00DA4E29"/>
    <w:rsid w:val="00DA4F64"/>
    <w:rsid w:val="00DA570A"/>
    <w:rsid w:val="00DA5C48"/>
    <w:rsid w:val="00DA5EDF"/>
    <w:rsid w:val="00DA5F3D"/>
    <w:rsid w:val="00DA5F70"/>
    <w:rsid w:val="00DA5FD9"/>
    <w:rsid w:val="00DA6038"/>
    <w:rsid w:val="00DA6405"/>
    <w:rsid w:val="00DA641E"/>
    <w:rsid w:val="00DA6768"/>
    <w:rsid w:val="00DA68A4"/>
    <w:rsid w:val="00DA69AB"/>
    <w:rsid w:val="00DA69BC"/>
    <w:rsid w:val="00DA69F3"/>
    <w:rsid w:val="00DA7037"/>
    <w:rsid w:val="00DA703D"/>
    <w:rsid w:val="00DA7052"/>
    <w:rsid w:val="00DA7451"/>
    <w:rsid w:val="00DA7959"/>
    <w:rsid w:val="00DA7BF0"/>
    <w:rsid w:val="00DB0055"/>
    <w:rsid w:val="00DB0653"/>
    <w:rsid w:val="00DB0867"/>
    <w:rsid w:val="00DB089A"/>
    <w:rsid w:val="00DB08D0"/>
    <w:rsid w:val="00DB0954"/>
    <w:rsid w:val="00DB0967"/>
    <w:rsid w:val="00DB0B24"/>
    <w:rsid w:val="00DB0C4E"/>
    <w:rsid w:val="00DB1C42"/>
    <w:rsid w:val="00DB1E43"/>
    <w:rsid w:val="00DB2304"/>
    <w:rsid w:val="00DB26F6"/>
    <w:rsid w:val="00DB292B"/>
    <w:rsid w:val="00DB294A"/>
    <w:rsid w:val="00DB2C2B"/>
    <w:rsid w:val="00DB2D10"/>
    <w:rsid w:val="00DB2D6A"/>
    <w:rsid w:val="00DB2E77"/>
    <w:rsid w:val="00DB2F03"/>
    <w:rsid w:val="00DB3204"/>
    <w:rsid w:val="00DB325A"/>
    <w:rsid w:val="00DB33DE"/>
    <w:rsid w:val="00DB33F4"/>
    <w:rsid w:val="00DB34A9"/>
    <w:rsid w:val="00DB355C"/>
    <w:rsid w:val="00DB35AE"/>
    <w:rsid w:val="00DB39D5"/>
    <w:rsid w:val="00DB3B76"/>
    <w:rsid w:val="00DB3CA8"/>
    <w:rsid w:val="00DB41C8"/>
    <w:rsid w:val="00DB4371"/>
    <w:rsid w:val="00DB44BE"/>
    <w:rsid w:val="00DB462C"/>
    <w:rsid w:val="00DB4853"/>
    <w:rsid w:val="00DB49DD"/>
    <w:rsid w:val="00DB51AC"/>
    <w:rsid w:val="00DB5864"/>
    <w:rsid w:val="00DB5B3A"/>
    <w:rsid w:val="00DB5EC0"/>
    <w:rsid w:val="00DB5EF8"/>
    <w:rsid w:val="00DB5F5B"/>
    <w:rsid w:val="00DB6004"/>
    <w:rsid w:val="00DB612B"/>
    <w:rsid w:val="00DB6134"/>
    <w:rsid w:val="00DB64D5"/>
    <w:rsid w:val="00DB6632"/>
    <w:rsid w:val="00DB664F"/>
    <w:rsid w:val="00DB671C"/>
    <w:rsid w:val="00DB6B6E"/>
    <w:rsid w:val="00DB6CB0"/>
    <w:rsid w:val="00DB6DD6"/>
    <w:rsid w:val="00DB6F1E"/>
    <w:rsid w:val="00DB70C4"/>
    <w:rsid w:val="00DB716F"/>
    <w:rsid w:val="00DB7172"/>
    <w:rsid w:val="00DB72A2"/>
    <w:rsid w:val="00DB76C9"/>
    <w:rsid w:val="00DB79B6"/>
    <w:rsid w:val="00DB7B1B"/>
    <w:rsid w:val="00DB7BA9"/>
    <w:rsid w:val="00DB7D15"/>
    <w:rsid w:val="00DC0184"/>
    <w:rsid w:val="00DC0227"/>
    <w:rsid w:val="00DC06E1"/>
    <w:rsid w:val="00DC0A4D"/>
    <w:rsid w:val="00DC138F"/>
    <w:rsid w:val="00DC1A09"/>
    <w:rsid w:val="00DC1EAE"/>
    <w:rsid w:val="00DC23DF"/>
    <w:rsid w:val="00DC2C1D"/>
    <w:rsid w:val="00DC304E"/>
    <w:rsid w:val="00DC3433"/>
    <w:rsid w:val="00DC3502"/>
    <w:rsid w:val="00DC37A8"/>
    <w:rsid w:val="00DC39B3"/>
    <w:rsid w:val="00DC3C53"/>
    <w:rsid w:val="00DC3D69"/>
    <w:rsid w:val="00DC4260"/>
    <w:rsid w:val="00DC4370"/>
    <w:rsid w:val="00DC45A1"/>
    <w:rsid w:val="00DC475B"/>
    <w:rsid w:val="00DC4BF1"/>
    <w:rsid w:val="00DC4C27"/>
    <w:rsid w:val="00DC533E"/>
    <w:rsid w:val="00DC53F2"/>
    <w:rsid w:val="00DC54CF"/>
    <w:rsid w:val="00DC5906"/>
    <w:rsid w:val="00DC59FB"/>
    <w:rsid w:val="00DC5C26"/>
    <w:rsid w:val="00DC5CEA"/>
    <w:rsid w:val="00DC5E23"/>
    <w:rsid w:val="00DC5ED9"/>
    <w:rsid w:val="00DC619D"/>
    <w:rsid w:val="00DC6209"/>
    <w:rsid w:val="00DC62CB"/>
    <w:rsid w:val="00DC679B"/>
    <w:rsid w:val="00DC6D5A"/>
    <w:rsid w:val="00DC6E02"/>
    <w:rsid w:val="00DC6EFE"/>
    <w:rsid w:val="00DC7220"/>
    <w:rsid w:val="00DC7584"/>
    <w:rsid w:val="00DC759F"/>
    <w:rsid w:val="00DC7896"/>
    <w:rsid w:val="00DC7C78"/>
    <w:rsid w:val="00DC7C97"/>
    <w:rsid w:val="00DD002C"/>
    <w:rsid w:val="00DD00F3"/>
    <w:rsid w:val="00DD032A"/>
    <w:rsid w:val="00DD0542"/>
    <w:rsid w:val="00DD0624"/>
    <w:rsid w:val="00DD07D9"/>
    <w:rsid w:val="00DD086F"/>
    <w:rsid w:val="00DD0A1C"/>
    <w:rsid w:val="00DD0AA9"/>
    <w:rsid w:val="00DD0B86"/>
    <w:rsid w:val="00DD0CEC"/>
    <w:rsid w:val="00DD0F25"/>
    <w:rsid w:val="00DD0FAD"/>
    <w:rsid w:val="00DD16B8"/>
    <w:rsid w:val="00DD1CD5"/>
    <w:rsid w:val="00DD1D55"/>
    <w:rsid w:val="00DD1F93"/>
    <w:rsid w:val="00DD223D"/>
    <w:rsid w:val="00DD244E"/>
    <w:rsid w:val="00DD2767"/>
    <w:rsid w:val="00DD2818"/>
    <w:rsid w:val="00DD2927"/>
    <w:rsid w:val="00DD29C0"/>
    <w:rsid w:val="00DD2AF5"/>
    <w:rsid w:val="00DD2C7B"/>
    <w:rsid w:val="00DD2DD7"/>
    <w:rsid w:val="00DD3195"/>
    <w:rsid w:val="00DD31EF"/>
    <w:rsid w:val="00DD31F0"/>
    <w:rsid w:val="00DD3797"/>
    <w:rsid w:val="00DD3C48"/>
    <w:rsid w:val="00DD3D5D"/>
    <w:rsid w:val="00DD410D"/>
    <w:rsid w:val="00DD421C"/>
    <w:rsid w:val="00DD4568"/>
    <w:rsid w:val="00DD4810"/>
    <w:rsid w:val="00DD4843"/>
    <w:rsid w:val="00DD4B74"/>
    <w:rsid w:val="00DD4BD5"/>
    <w:rsid w:val="00DD4D6F"/>
    <w:rsid w:val="00DD4D9C"/>
    <w:rsid w:val="00DD4F39"/>
    <w:rsid w:val="00DD513F"/>
    <w:rsid w:val="00DD55BF"/>
    <w:rsid w:val="00DD563C"/>
    <w:rsid w:val="00DD5665"/>
    <w:rsid w:val="00DD58E9"/>
    <w:rsid w:val="00DD5B72"/>
    <w:rsid w:val="00DD5D35"/>
    <w:rsid w:val="00DD65EF"/>
    <w:rsid w:val="00DD66F4"/>
    <w:rsid w:val="00DD6A31"/>
    <w:rsid w:val="00DD6BC3"/>
    <w:rsid w:val="00DD6BEE"/>
    <w:rsid w:val="00DD6EBA"/>
    <w:rsid w:val="00DD6EE2"/>
    <w:rsid w:val="00DD74CB"/>
    <w:rsid w:val="00DD75CB"/>
    <w:rsid w:val="00DD799A"/>
    <w:rsid w:val="00DD7A6A"/>
    <w:rsid w:val="00DD7D99"/>
    <w:rsid w:val="00DD7F98"/>
    <w:rsid w:val="00DD816F"/>
    <w:rsid w:val="00DE0555"/>
    <w:rsid w:val="00DE0627"/>
    <w:rsid w:val="00DE0A5D"/>
    <w:rsid w:val="00DE0BDD"/>
    <w:rsid w:val="00DE0CFE"/>
    <w:rsid w:val="00DE0D32"/>
    <w:rsid w:val="00DE0D6D"/>
    <w:rsid w:val="00DE0D7F"/>
    <w:rsid w:val="00DE0DEC"/>
    <w:rsid w:val="00DE1109"/>
    <w:rsid w:val="00DE13D1"/>
    <w:rsid w:val="00DE1A44"/>
    <w:rsid w:val="00DE1BBC"/>
    <w:rsid w:val="00DE1E2F"/>
    <w:rsid w:val="00DE1EEA"/>
    <w:rsid w:val="00DE212F"/>
    <w:rsid w:val="00DE22EA"/>
    <w:rsid w:val="00DE2686"/>
    <w:rsid w:val="00DE2BBD"/>
    <w:rsid w:val="00DE2C96"/>
    <w:rsid w:val="00DE2D9A"/>
    <w:rsid w:val="00DE2E21"/>
    <w:rsid w:val="00DE320D"/>
    <w:rsid w:val="00DE33FB"/>
    <w:rsid w:val="00DE371F"/>
    <w:rsid w:val="00DE37C9"/>
    <w:rsid w:val="00DE37F8"/>
    <w:rsid w:val="00DE3A61"/>
    <w:rsid w:val="00DE3B54"/>
    <w:rsid w:val="00DE3BA3"/>
    <w:rsid w:val="00DE3E64"/>
    <w:rsid w:val="00DE4155"/>
    <w:rsid w:val="00DE41F1"/>
    <w:rsid w:val="00DE4519"/>
    <w:rsid w:val="00DE472E"/>
    <w:rsid w:val="00DE483C"/>
    <w:rsid w:val="00DE4E27"/>
    <w:rsid w:val="00DE5029"/>
    <w:rsid w:val="00DE504E"/>
    <w:rsid w:val="00DE51E0"/>
    <w:rsid w:val="00DE5D53"/>
    <w:rsid w:val="00DE6062"/>
    <w:rsid w:val="00DE6152"/>
    <w:rsid w:val="00DE663F"/>
    <w:rsid w:val="00DE6850"/>
    <w:rsid w:val="00DE6AC2"/>
    <w:rsid w:val="00DE6B02"/>
    <w:rsid w:val="00DE7154"/>
    <w:rsid w:val="00DE761B"/>
    <w:rsid w:val="00DE79F4"/>
    <w:rsid w:val="00DE7F86"/>
    <w:rsid w:val="00DEF8A3"/>
    <w:rsid w:val="00DF01C7"/>
    <w:rsid w:val="00DF02CA"/>
    <w:rsid w:val="00DF04F4"/>
    <w:rsid w:val="00DF0669"/>
    <w:rsid w:val="00DF06BD"/>
    <w:rsid w:val="00DF083A"/>
    <w:rsid w:val="00DF0CED"/>
    <w:rsid w:val="00DF0DC4"/>
    <w:rsid w:val="00DF0DE6"/>
    <w:rsid w:val="00DF0E31"/>
    <w:rsid w:val="00DF0E39"/>
    <w:rsid w:val="00DF12C3"/>
    <w:rsid w:val="00DF144E"/>
    <w:rsid w:val="00DF16AB"/>
    <w:rsid w:val="00DF2016"/>
    <w:rsid w:val="00DF23B3"/>
    <w:rsid w:val="00DF248C"/>
    <w:rsid w:val="00DF2A61"/>
    <w:rsid w:val="00DF2C82"/>
    <w:rsid w:val="00DF3584"/>
    <w:rsid w:val="00DF35A1"/>
    <w:rsid w:val="00DF37AB"/>
    <w:rsid w:val="00DF3947"/>
    <w:rsid w:val="00DF3D30"/>
    <w:rsid w:val="00DF3D67"/>
    <w:rsid w:val="00DF4090"/>
    <w:rsid w:val="00DF4521"/>
    <w:rsid w:val="00DF4613"/>
    <w:rsid w:val="00DF47D6"/>
    <w:rsid w:val="00DF4A15"/>
    <w:rsid w:val="00DF4B4F"/>
    <w:rsid w:val="00DF4F04"/>
    <w:rsid w:val="00DF5256"/>
    <w:rsid w:val="00DF52D4"/>
    <w:rsid w:val="00DF52FA"/>
    <w:rsid w:val="00DF538B"/>
    <w:rsid w:val="00DF57DB"/>
    <w:rsid w:val="00DF5924"/>
    <w:rsid w:val="00DF5A7C"/>
    <w:rsid w:val="00DF5CC1"/>
    <w:rsid w:val="00DF69F9"/>
    <w:rsid w:val="00DF6A33"/>
    <w:rsid w:val="00DF6A37"/>
    <w:rsid w:val="00DF6AA4"/>
    <w:rsid w:val="00DF6D52"/>
    <w:rsid w:val="00DF6EFA"/>
    <w:rsid w:val="00DF7362"/>
    <w:rsid w:val="00DF750C"/>
    <w:rsid w:val="00DF7683"/>
    <w:rsid w:val="00DF796C"/>
    <w:rsid w:val="00DF7ED6"/>
    <w:rsid w:val="00DFF1F8"/>
    <w:rsid w:val="00E0003A"/>
    <w:rsid w:val="00E0027E"/>
    <w:rsid w:val="00E00431"/>
    <w:rsid w:val="00E004D6"/>
    <w:rsid w:val="00E005ED"/>
    <w:rsid w:val="00E00684"/>
    <w:rsid w:val="00E007A3"/>
    <w:rsid w:val="00E00B0E"/>
    <w:rsid w:val="00E00C97"/>
    <w:rsid w:val="00E015BB"/>
    <w:rsid w:val="00E01763"/>
    <w:rsid w:val="00E01825"/>
    <w:rsid w:val="00E01871"/>
    <w:rsid w:val="00E01DE8"/>
    <w:rsid w:val="00E01E47"/>
    <w:rsid w:val="00E0210C"/>
    <w:rsid w:val="00E02242"/>
    <w:rsid w:val="00E025EF"/>
    <w:rsid w:val="00E028B2"/>
    <w:rsid w:val="00E0295C"/>
    <w:rsid w:val="00E02D9E"/>
    <w:rsid w:val="00E0358A"/>
    <w:rsid w:val="00E037F9"/>
    <w:rsid w:val="00E03AE3"/>
    <w:rsid w:val="00E03E45"/>
    <w:rsid w:val="00E03EDD"/>
    <w:rsid w:val="00E03F55"/>
    <w:rsid w:val="00E040BC"/>
    <w:rsid w:val="00E04228"/>
    <w:rsid w:val="00E0470A"/>
    <w:rsid w:val="00E04892"/>
    <w:rsid w:val="00E04948"/>
    <w:rsid w:val="00E04C29"/>
    <w:rsid w:val="00E04CDC"/>
    <w:rsid w:val="00E04E5B"/>
    <w:rsid w:val="00E04EB1"/>
    <w:rsid w:val="00E05027"/>
    <w:rsid w:val="00E051DD"/>
    <w:rsid w:val="00E05323"/>
    <w:rsid w:val="00E05A67"/>
    <w:rsid w:val="00E05C71"/>
    <w:rsid w:val="00E05EB4"/>
    <w:rsid w:val="00E05EE5"/>
    <w:rsid w:val="00E05F06"/>
    <w:rsid w:val="00E05F09"/>
    <w:rsid w:val="00E06362"/>
    <w:rsid w:val="00E064EF"/>
    <w:rsid w:val="00E06572"/>
    <w:rsid w:val="00E06ACD"/>
    <w:rsid w:val="00E06B1A"/>
    <w:rsid w:val="00E06BB2"/>
    <w:rsid w:val="00E06C37"/>
    <w:rsid w:val="00E06F27"/>
    <w:rsid w:val="00E07B0E"/>
    <w:rsid w:val="00E07CED"/>
    <w:rsid w:val="00E10519"/>
    <w:rsid w:val="00E105C1"/>
    <w:rsid w:val="00E10857"/>
    <w:rsid w:val="00E109A2"/>
    <w:rsid w:val="00E10A47"/>
    <w:rsid w:val="00E10C6B"/>
    <w:rsid w:val="00E10C80"/>
    <w:rsid w:val="00E1148D"/>
    <w:rsid w:val="00E114A3"/>
    <w:rsid w:val="00E1197B"/>
    <w:rsid w:val="00E119F7"/>
    <w:rsid w:val="00E1245C"/>
    <w:rsid w:val="00E1281D"/>
    <w:rsid w:val="00E1338B"/>
    <w:rsid w:val="00E13C86"/>
    <w:rsid w:val="00E13CBD"/>
    <w:rsid w:val="00E13F2E"/>
    <w:rsid w:val="00E14190"/>
    <w:rsid w:val="00E142AA"/>
    <w:rsid w:val="00E14661"/>
    <w:rsid w:val="00E14689"/>
    <w:rsid w:val="00E14699"/>
    <w:rsid w:val="00E14988"/>
    <w:rsid w:val="00E14EF7"/>
    <w:rsid w:val="00E14FAF"/>
    <w:rsid w:val="00E15310"/>
    <w:rsid w:val="00E15316"/>
    <w:rsid w:val="00E15318"/>
    <w:rsid w:val="00E1552D"/>
    <w:rsid w:val="00E15552"/>
    <w:rsid w:val="00E15577"/>
    <w:rsid w:val="00E159EE"/>
    <w:rsid w:val="00E15A0F"/>
    <w:rsid w:val="00E15E79"/>
    <w:rsid w:val="00E160F5"/>
    <w:rsid w:val="00E1612B"/>
    <w:rsid w:val="00E1642D"/>
    <w:rsid w:val="00E16769"/>
    <w:rsid w:val="00E168A3"/>
    <w:rsid w:val="00E168C3"/>
    <w:rsid w:val="00E16980"/>
    <w:rsid w:val="00E170A6"/>
    <w:rsid w:val="00E170E1"/>
    <w:rsid w:val="00E17146"/>
    <w:rsid w:val="00E17183"/>
    <w:rsid w:val="00E1741B"/>
    <w:rsid w:val="00E17839"/>
    <w:rsid w:val="00E17875"/>
    <w:rsid w:val="00E179FB"/>
    <w:rsid w:val="00E17D04"/>
    <w:rsid w:val="00E17F03"/>
    <w:rsid w:val="00E2020A"/>
    <w:rsid w:val="00E20613"/>
    <w:rsid w:val="00E2071C"/>
    <w:rsid w:val="00E20797"/>
    <w:rsid w:val="00E20940"/>
    <w:rsid w:val="00E20B07"/>
    <w:rsid w:val="00E20B87"/>
    <w:rsid w:val="00E20B89"/>
    <w:rsid w:val="00E20CCB"/>
    <w:rsid w:val="00E20E4D"/>
    <w:rsid w:val="00E213F1"/>
    <w:rsid w:val="00E21698"/>
    <w:rsid w:val="00E218AC"/>
    <w:rsid w:val="00E21A4E"/>
    <w:rsid w:val="00E21AE4"/>
    <w:rsid w:val="00E21D9A"/>
    <w:rsid w:val="00E21E24"/>
    <w:rsid w:val="00E2202F"/>
    <w:rsid w:val="00E224A2"/>
    <w:rsid w:val="00E2250E"/>
    <w:rsid w:val="00E22A0B"/>
    <w:rsid w:val="00E22A30"/>
    <w:rsid w:val="00E22BAE"/>
    <w:rsid w:val="00E22F51"/>
    <w:rsid w:val="00E23044"/>
    <w:rsid w:val="00E230A0"/>
    <w:rsid w:val="00E2356B"/>
    <w:rsid w:val="00E23682"/>
    <w:rsid w:val="00E23888"/>
    <w:rsid w:val="00E239AD"/>
    <w:rsid w:val="00E23C9A"/>
    <w:rsid w:val="00E23DF6"/>
    <w:rsid w:val="00E24408"/>
    <w:rsid w:val="00E2440D"/>
    <w:rsid w:val="00E249C3"/>
    <w:rsid w:val="00E24D2A"/>
    <w:rsid w:val="00E24D3C"/>
    <w:rsid w:val="00E24E92"/>
    <w:rsid w:val="00E2507B"/>
    <w:rsid w:val="00E25194"/>
    <w:rsid w:val="00E257FC"/>
    <w:rsid w:val="00E2594E"/>
    <w:rsid w:val="00E259EA"/>
    <w:rsid w:val="00E25D51"/>
    <w:rsid w:val="00E263DB"/>
    <w:rsid w:val="00E26400"/>
    <w:rsid w:val="00E26640"/>
    <w:rsid w:val="00E26C2D"/>
    <w:rsid w:val="00E26DDD"/>
    <w:rsid w:val="00E26FD0"/>
    <w:rsid w:val="00E271AB"/>
    <w:rsid w:val="00E272FB"/>
    <w:rsid w:val="00E27487"/>
    <w:rsid w:val="00E2770E"/>
    <w:rsid w:val="00E279B6"/>
    <w:rsid w:val="00E27A17"/>
    <w:rsid w:val="00E27C63"/>
    <w:rsid w:val="00E27F5F"/>
    <w:rsid w:val="00E2F564"/>
    <w:rsid w:val="00E30020"/>
    <w:rsid w:val="00E30750"/>
    <w:rsid w:val="00E3082B"/>
    <w:rsid w:val="00E30899"/>
    <w:rsid w:val="00E30908"/>
    <w:rsid w:val="00E30A02"/>
    <w:rsid w:val="00E30B28"/>
    <w:rsid w:val="00E30BAE"/>
    <w:rsid w:val="00E30C3A"/>
    <w:rsid w:val="00E30D71"/>
    <w:rsid w:val="00E311E4"/>
    <w:rsid w:val="00E31444"/>
    <w:rsid w:val="00E31518"/>
    <w:rsid w:val="00E3188B"/>
    <w:rsid w:val="00E31C21"/>
    <w:rsid w:val="00E31DD3"/>
    <w:rsid w:val="00E31EB7"/>
    <w:rsid w:val="00E31F82"/>
    <w:rsid w:val="00E3201D"/>
    <w:rsid w:val="00E32200"/>
    <w:rsid w:val="00E32651"/>
    <w:rsid w:val="00E32B10"/>
    <w:rsid w:val="00E32B5A"/>
    <w:rsid w:val="00E32CA1"/>
    <w:rsid w:val="00E32D1B"/>
    <w:rsid w:val="00E32D53"/>
    <w:rsid w:val="00E330FF"/>
    <w:rsid w:val="00E33446"/>
    <w:rsid w:val="00E33613"/>
    <w:rsid w:val="00E3396B"/>
    <w:rsid w:val="00E33B8D"/>
    <w:rsid w:val="00E33BD1"/>
    <w:rsid w:val="00E33C1C"/>
    <w:rsid w:val="00E33D91"/>
    <w:rsid w:val="00E33DEC"/>
    <w:rsid w:val="00E343CC"/>
    <w:rsid w:val="00E344E7"/>
    <w:rsid w:val="00E3452D"/>
    <w:rsid w:val="00E34535"/>
    <w:rsid w:val="00E348A0"/>
    <w:rsid w:val="00E34A25"/>
    <w:rsid w:val="00E35015"/>
    <w:rsid w:val="00E351AF"/>
    <w:rsid w:val="00E35281"/>
    <w:rsid w:val="00E35464"/>
    <w:rsid w:val="00E3560C"/>
    <w:rsid w:val="00E359E3"/>
    <w:rsid w:val="00E35A3E"/>
    <w:rsid w:val="00E35DBA"/>
    <w:rsid w:val="00E36172"/>
    <w:rsid w:val="00E36815"/>
    <w:rsid w:val="00E369E0"/>
    <w:rsid w:val="00E36A89"/>
    <w:rsid w:val="00E36B3B"/>
    <w:rsid w:val="00E36C9C"/>
    <w:rsid w:val="00E36CEA"/>
    <w:rsid w:val="00E36DC6"/>
    <w:rsid w:val="00E3727A"/>
    <w:rsid w:val="00E373B5"/>
    <w:rsid w:val="00E37610"/>
    <w:rsid w:val="00E37E58"/>
    <w:rsid w:val="00E37FE3"/>
    <w:rsid w:val="00E402F2"/>
    <w:rsid w:val="00E40A0B"/>
    <w:rsid w:val="00E40B33"/>
    <w:rsid w:val="00E40C56"/>
    <w:rsid w:val="00E41032"/>
    <w:rsid w:val="00E410B9"/>
    <w:rsid w:val="00E411B5"/>
    <w:rsid w:val="00E412A3"/>
    <w:rsid w:val="00E412C7"/>
    <w:rsid w:val="00E417AD"/>
    <w:rsid w:val="00E41998"/>
    <w:rsid w:val="00E41AD2"/>
    <w:rsid w:val="00E41ADB"/>
    <w:rsid w:val="00E4216A"/>
    <w:rsid w:val="00E4248E"/>
    <w:rsid w:val="00E424AD"/>
    <w:rsid w:val="00E4291E"/>
    <w:rsid w:val="00E42AF1"/>
    <w:rsid w:val="00E42E9E"/>
    <w:rsid w:val="00E42EA7"/>
    <w:rsid w:val="00E42F48"/>
    <w:rsid w:val="00E43325"/>
    <w:rsid w:val="00E43421"/>
    <w:rsid w:val="00E4352D"/>
    <w:rsid w:val="00E43612"/>
    <w:rsid w:val="00E43704"/>
    <w:rsid w:val="00E43B5A"/>
    <w:rsid w:val="00E43BEE"/>
    <w:rsid w:val="00E4402E"/>
    <w:rsid w:val="00E44653"/>
    <w:rsid w:val="00E447AB"/>
    <w:rsid w:val="00E44D28"/>
    <w:rsid w:val="00E44E0D"/>
    <w:rsid w:val="00E454F5"/>
    <w:rsid w:val="00E455A6"/>
    <w:rsid w:val="00E455BB"/>
    <w:rsid w:val="00E4599C"/>
    <w:rsid w:val="00E45C70"/>
    <w:rsid w:val="00E45ED8"/>
    <w:rsid w:val="00E46BE9"/>
    <w:rsid w:val="00E46FC0"/>
    <w:rsid w:val="00E47077"/>
    <w:rsid w:val="00E47791"/>
    <w:rsid w:val="00E47795"/>
    <w:rsid w:val="00E4796A"/>
    <w:rsid w:val="00E47BA1"/>
    <w:rsid w:val="00E47E0B"/>
    <w:rsid w:val="00E500CA"/>
    <w:rsid w:val="00E50387"/>
    <w:rsid w:val="00E50567"/>
    <w:rsid w:val="00E506E7"/>
    <w:rsid w:val="00E50DD3"/>
    <w:rsid w:val="00E50DFD"/>
    <w:rsid w:val="00E50FD2"/>
    <w:rsid w:val="00E51286"/>
    <w:rsid w:val="00E5163C"/>
    <w:rsid w:val="00E516B4"/>
    <w:rsid w:val="00E518AB"/>
    <w:rsid w:val="00E51D57"/>
    <w:rsid w:val="00E51ECE"/>
    <w:rsid w:val="00E520A4"/>
    <w:rsid w:val="00E523C6"/>
    <w:rsid w:val="00E52B0C"/>
    <w:rsid w:val="00E53241"/>
    <w:rsid w:val="00E533E7"/>
    <w:rsid w:val="00E53419"/>
    <w:rsid w:val="00E534B4"/>
    <w:rsid w:val="00E5373E"/>
    <w:rsid w:val="00E53853"/>
    <w:rsid w:val="00E53889"/>
    <w:rsid w:val="00E538E0"/>
    <w:rsid w:val="00E539D5"/>
    <w:rsid w:val="00E53C27"/>
    <w:rsid w:val="00E54140"/>
    <w:rsid w:val="00E54371"/>
    <w:rsid w:val="00E54397"/>
    <w:rsid w:val="00E54469"/>
    <w:rsid w:val="00E54650"/>
    <w:rsid w:val="00E546AB"/>
    <w:rsid w:val="00E5472F"/>
    <w:rsid w:val="00E54794"/>
    <w:rsid w:val="00E547AC"/>
    <w:rsid w:val="00E54ADE"/>
    <w:rsid w:val="00E54D37"/>
    <w:rsid w:val="00E54DE0"/>
    <w:rsid w:val="00E54EAB"/>
    <w:rsid w:val="00E553DD"/>
    <w:rsid w:val="00E554F8"/>
    <w:rsid w:val="00E558BF"/>
    <w:rsid w:val="00E55903"/>
    <w:rsid w:val="00E55AE8"/>
    <w:rsid w:val="00E55B47"/>
    <w:rsid w:val="00E560A5"/>
    <w:rsid w:val="00E560C3"/>
    <w:rsid w:val="00E56428"/>
    <w:rsid w:val="00E567D0"/>
    <w:rsid w:val="00E56900"/>
    <w:rsid w:val="00E56A8F"/>
    <w:rsid w:val="00E56AA6"/>
    <w:rsid w:val="00E5742A"/>
    <w:rsid w:val="00E5748F"/>
    <w:rsid w:val="00E57D86"/>
    <w:rsid w:val="00E57FEF"/>
    <w:rsid w:val="00E60720"/>
    <w:rsid w:val="00E60ABE"/>
    <w:rsid w:val="00E60CC1"/>
    <w:rsid w:val="00E61211"/>
    <w:rsid w:val="00E61282"/>
    <w:rsid w:val="00E614C3"/>
    <w:rsid w:val="00E61C6F"/>
    <w:rsid w:val="00E61CD3"/>
    <w:rsid w:val="00E61FEF"/>
    <w:rsid w:val="00E62768"/>
    <w:rsid w:val="00E62845"/>
    <w:rsid w:val="00E62977"/>
    <w:rsid w:val="00E62D50"/>
    <w:rsid w:val="00E62EA7"/>
    <w:rsid w:val="00E62EB5"/>
    <w:rsid w:val="00E62F47"/>
    <w:rsid w:val="00E63078"/>
    <w:rsid w:val="00E6338B"/>
    <w:rsid w:val="00E63C09"/>
    <w:rsid w:val="00E63C6F"/>
    <w:rsid w:val="00E641A7"/>
    <w:rsid w:val="00E643FF"/>
    <w:rsid w:val="00E65586"/>
    <w:rsid w:val="00E655E6"/>
    <w:rsid w:val="00E65686"/>
    <w:rsid w:val="00E658A0"/>
    <w:rsid w:val="00E65C19"/>
    <w:rsid w:val="00E65C73"/>
    <w:rsid w:val="00E65D75"/>
    <w:rsid w:val="00E66663"/>
    <w:rsid w:val="00E66917"/>
    <w:rsid w:val="00E66A8E"/>
    <w:rsid w:val="00E67119"/>
    <w:rsid w:val="00E673DB"/>
    <w:rsid w:val="00E6756B"/>
    <w:rsid w:val="00E676EB"/>
    <w:rsid w:val="00E6782C"/>
    <w:rsid w:val="00E6790B"/>
    <w:rsid w:val="00E67CA6"/>
    <w:rsid w:val="00E70111"/>
    <w:rsid w:val="00E7012A"/>
    <w:rsid w:val="00E702F2"/>
    <w:rsid w:val="00E70358"/>
    <w:rsid w:val="00E704FD"/>
    <w:rsid w:val="00E70797"/>
    <w:rsid w:val="00E707A6"/>
    <w:rsid w:val="00E70864"/>
    <w:rsid w:val="00E70F30"/>
    <w:rsid w:val="00E710F4"/>
    <w:rsid w:val="00E710FD"/>
    <w:rsid w:val="00E711ED"/>
    <w:rsid w:val="00E71997"/>
    <w:rsid w:val="00E71A8E"/>
    <w:rsid w:val="00E71C1B"/>
    <w:rsid w:val="00E71C2E"/>
    <w:rsid w:val="00E721B3"/>
    <w:rsid w:val="00E722C5"/>
    <w:rsid w:val="00E72682"/>
    <w:rsid w:val="00E72E09"/>
    <w:rsid w:val="00E72E7A"/>
    <w:rsid w:val="00E73359"/>
    <w:rsid w:val="00E734B7"/>
    <w:rsid w:val="00E734F9"/>
    <w:rsid w:val="00E737AE"/>
    <w:rsid w:val="00E73AB7"/>
    <w:rsid w:val="00E73B46"/>
    <w:rsid w:val="00E73BD7"/>
    <w:rsid w:val="00E73F56"/>
    <w:rsid w:val="00E74106"/>
    <w:rsid w:val="00E7422B"/>
    <w:rsid w:val="00E74260"/>
    <w:rsid w:val="00E7434D"/>
    <w:rsid w:val="00E74519"/>
    <w:rsid w:val="00E74C73"/>
    <w:rsid w:val="00E7506F"/>
    <w:rsid w:val="00E75386"/>
    <w:rsid w:val="00E753C8"/>
    <w:rsid w:val="00E75651"/>
    <w:rsid w:val="00E75819"/>
    <w:rsid w:val="00E75A2E"/>
    <w:rsid w:val="00E75ACD"/>
    <w:rsid w:val="00E75B33"/>
    <w:rsid w:val="00E761AE"/>
    <w:rsid w:val="00E763B9"/>
    <w:rsid w:val="00E765B9"/>
    <w:rsid w:val="00E766C5"/>
    <w:rsid w:val="00E76978"/>
    <w:rsid w:val="00E769B8"/>
    <w:rsid w:val="00E76D9C"/>
    <w:rsid w:val="00E76F4C"/>
    <w:rsid w:val="00E76F79"/>
    <w:rsid w:val="00E77331"/>
    <w:rsid w:val="00E77337"/>
    <w:rsid w:val="00E7BF93"/>
    <w:rsid w:val="00E800C3"/>
    <w:rsid w:val="00E8044D"/>
    <w:rsid w:val="00E804E2"/>
    <w:rsid w:val="00E8083D"/>
    <w:rsid w:val="00E80859"/>
    <w:rsid w:val="00E80A79"/>
    <w:rsid w:val="00E80ABC"/>
    <w:rsid w:val="00E80B25"/>
    <w:rsid w:val="00E810B1"/>
    <w:rsid w:val="00E8163E"/>
    <w:rsid w:val="00E81BC9"/>
    <w:rsid w:val="00E81E57"/>
    <w:rsid w:val="00E823C2"/>
    <w:rsid w:val="00E830F1"/>
    <w:rsid w:val="00E832A6"/>
    <w:rsid w:val="00E833CF"/>
    <w:rsid w:val="00E834CF"/>
    <w:rsid w:val="00E83562"/>
    <w:rsid w:val="00E83941"/>
    <w:rsid w:val="00E83AF9"/>
    <w:rsid w:val="00E8443B"/>
    <w:rsid w:val="00E848FE"/>
    <w:rsid w:val="00E848FF"/>
    <w:rsid w:val="00E84AD2"/>
    <w:rsid w:val="00E84BFB"/>
    <w:rsid w:val="00E84CA8"/>
    <w:rsid w:val="00E84D30"/>
    <w:rsid w:val="00E85026"/>
    <w:rsid w:val="00E85098"/>
    <w:rsid w:val="00E85211"/>
    <w:rsid w:val="00E85657"/>
    <w:rsid w:val="00E85F5F"/>
    <w:rsid w:val="00E8608F"/>
    <w:rsid w:val="00E86409"/>
    <w:rsid w:val="00E8641B"/>
    <w:rsid w:val="00E8645D"/>
    <w:rsid w:val="00E8654B"/>
    <w:rsid w:val="00E867C7"/>
    <w:rsid w:val="00E86C6F"/>
    <w:rsid w:val="00E86E10"/>
    <w:rsid w:val="00E873E6"/>
    <w:rsid w:val="00E875BF"/>
    <w:rsid w:val="00E87A8E"/>
    <w:rsid w:val="00E87CE2"/>
    <w:rsid w:val="00E87EAD"/>
    <w:rsid w:val="00E901A4"/>
    <w:rsid w:val="00E9031E"/>
    <w:rsid w:val="00E9086B"/>
    <w:rsid w:val="00E9087A"/>
    <w:rsid w:val="00E90A17"/>
    <w:rsid w:val="00E90CAE"/>
    <w:rsid w:val="00E90D9C"/>
    <w:rsid w:val="00E90E44"/>
    <w:rsid w:val="00E90FE6"/>
    <w:rsid w:val="00E9111C"/>
    <w:rsid w:val="00E913F5"/>
    <w:rsid w:val="00E9163A"/>
    <w:rsid w:val="00E9171B"/>
    <w:rsid w:val="00E91893"/>
    <w:rsid w:val="00E919AF"/>
    <w:rsid w:val="00E91A75"/>
    <w:rsid w:val="00E91F31"/>
    <w:rsid w:val="00E921B6"/>
    <w:rsid w:val="00E92217"/>
    <w:rsid w:val="00E92230"/>
    <w:rsid w:val="00E92303"/>
    <w:rsid w:val="00E9242F"/>
    <w:rsid w:val="00E9280F"/>
    <w:rsid w:val="00E931BD"/>
    <w:rsid w:val="00E936EF"/>
    <w:rsid w:val="00E93D48"/>
    <w:rsid w:val="00E93E25"/>
    <w:rsid w:val="00E9404A"/>
    <w:rsid w:val="00E941EF"/>
    <w:rsid w:val="00E941FC"/>
    <w:rsid w:val="00E943BC"/>
    <w:rsid w:val="00E94412"/>
    <w:rsid w:val="00E94678"/>
    <w:rsid w:val="00E94DD7"/>
    <w:rsid w:val="00E950BB"/>
    <w:rsid w:val="00E95110"/>
    <w:rsid w:val="00E957AE"/>
    <w:rsid w:val="00E957D4"/>
    <w:rsid w:val="00E95BAF"/>
    <w:rsid w:val="00E95CDE"/>
    <w:rsid w:val="00E95DC6"/>
    <w:rsid w:val="00E96058"/>
    <w:rsid w:val="00E961D6"/>
    <w:rsid w:val="00E962DA"/>
    <w:rsid w:val="00E9658C"/>
    <w:rsid w:val="00E969B6"/>
    <w:rsid w:val="00E96C69"/>
    <w:rsid w:val="00E96CD9"/>
    <w:rsid w:val="00E97226"/>
    <w:rsid w:val="00E97353"/>
    <w:rsid w:val="00E973C4"/>
    <w:rsid w:val="00E97728"/>
    <w:rsid w:val="00E978E7"/>
    <w:rsid w:val="00E97DB1"/>
    <w:rsid w:val="00EA0053"/>
    <w:rsid w:val="00EA0698"/>
    <w:rsid w:val="00EA0D30"/>
    <w:rsid w:val="00EA0EA1"/>
    <w:rsid w:val="00EA1579"/>
    <w:rsid w:val="00EA15AF"/>
    <w:rsid w:val="00EA1675"/>
    <w:rsid w:val="00EA197E"/>
    <w:rsid w:val="00EA1ADA"/>
    <w:rsid w:val="00EA1F4C"/>
    <w:rsid w:val="00EA2420"/>
    <w:rsid w:val="00EA2527"/>
    <w:rsid w:val="00EA29F1"/>
    <w:rsid w:val="00EA2B09"/>
    <w:rsid w:val="00EA2BCE"/>
    <w:rsid w:val="00EA2BD3"/>
    <w:rsid w:val="00EA2F93"/>
    <w:rsid w:val="00EA3170"/>
    <w:rsid w:val="00EA31CE"/>
    <w:rsid w:val="00EA33E2"/>
    <w:rsid w:val="00EA34F0"/>
    <w:rsid w:val="00EA35D6"/>
    <w:rsid w:val="00EA36A8"/>
    <w:rsid w:val="00EA3ADD"/>
    <w:rsid w:val="00EA3C36"/>
    <w:rsid w:val="00EA4091"/>
    <w:rsid w:val="00EA4155"/>
    <w:rsid w:val="00EA4491"/>
    <w:rsid w:val="00EA4593"/>
    <w:rsid w:val="00EA46CD"/>
    <w:rsid w:val="00EA4793"/>
    <w:rsid w:val="00EA4C4D"/>
    <w:rsid w:val="00EA4C80"/>
    <w:rsid w:val="00EA5197"/>
    <w:rsid w:val="00EA51FA"/>
    <w:rsid w:val="00EA5210"/>
    <w:rsid w:val="00EA5691"/>
    <w:rsid w:val="00EA56B5"/>
    <w:rsid w:val="00EA57CE"/>
    <w:rsid w:val="00EA5823"/>
    <w:rsid w:val="00EA58CF"/>
    <w:rsid w:val="00EA60C9"/>
    <w:rsid w:val="00EA6A35"/>
    <w:rsid w:val="00EA6B2C"/>
    <w:rsid w:val="00EA6F1D"/>
    <w:rsid w:val="00EA6FCB"/>
    <w:rsid w:val="00EA73C7"/>
    <w:rsid w:val="00EA762B"/>
    <w:rsid w:val="00EA7791"/>
    <w:rsid w:val="00EA7931"/>
    <w:rsid w:val="00EA7D39"/>
    <w:rsid w:val="00EA7ED9"/>
    <w:rsid w:val="00EB00E9"/>
    <w:rsid w:val="00EB0107"/>
    <w:rsid w:val="00EB0456"/>
    <w:rsid w:val="00EB056C"/>
    <w:rsid w:val="00EB05AA"/>
    <w:rsid w:val="00EB05D6"/>
    <w:rsid w:val="00EB0679"/>
    <w:rsid w:val="00EB07FF"/>
    <w:rsid w:val="00EB099A"/>
    <w:rsid w:val="00EB0C1A"/>
    <w:rsid w:val="00EB0E29"/>
    <w:rsid w:val="00EB0FC9"/>
    <w:rsid w:val="00EB0FFC"/>
    <w:rsid w:val="00EB12A6"/>
    <w:rsid w:val="00EB1301"/>
    <w:rsid w:val="00EB13C3"/>
    <w:rsid w:val="00EB1804"/>
    <w:rsid w:val="00EB181A"/>
    <w:rsid w:val="00EB1A64"/>
    <w:rsid w:val="00EB1CD3"/>
    <w:rsid w:val="00EB222B"/>
    <w:rsid w:val="00EB2321"/>
    <w:rsid w:val="00EB24C3"/>
    <w:rsid w:val="00EB27E5"/>
    <w:rsid w:val="00EB2823"/>
    <w:rsid w:val="00EB3183"/>
    <w:rsid w:val="00EB32DE"/>
    <w:rsid w:val="00EB3EAE"/>
    <w:rsid w:val="00EB4235"/>
    <w:rsid w:val="00EB45DB"/>
    <w:rsid w:val="00EB46CB"/>
    <w:rsid w:val="00EB4909"/>
    <w:rsid w:val="00EB49E9"/>
    <w:rsid w:val="00EB4A62"/>
    <w:rsid w:val="00EB4BA5"/>
    <w:rsid w:val="00EB4BCE"/>
    <w:rsid w:val="00EB4ECD"/>
    <w:rsid w:val="00EB50AB"/>
    <w:rsid w:val="00EB5172"/>
    <w:rsid w:val="00EB5225"/>
    <w:rsid w:val="00EB52CC"/>
    <w:rsid w:val="00EB5307"/>
    <w:rsid w:val="00EB5A03"/>
    <w:rsid w:val="00EB6893"/>
    <w:rsid w:val="00EB6BC0"/>
    <w:rsid w:val="00EB6FF3"/>
    <w:rsid w:val="00EB70C7"/>
    <w:rsid w:val="00EB72A8"/>
    <w:rsid w:val="00EB7327"/>
    <w:rsid w:val="00EB74EC"/>
    <w:rsid w:val="00EB76BB"/>
    <w:rsid w:val="00EB7774"/>
    <w:rsid w:val="00EB7A39"/>
    <w:rsid w:val="00EB7A87"/>
    <w:rsid w:val="00EB7D3F"/>
    <w:rsid w:val="00EC008B"/>
    <w:rsid w:val="00EC0115"/>
    <w:rsid w:val="00EC0296"/>
    <w:rsid w:val="00EC0428"/>
    <w:rsid w:val="00EC08B5"/>
    <w:rsid w:val="00EC0A1D"/>
    <w:rsid w:val="00EC0A77"/>
    <w:rsid w:val="00EC11C5"/>
    <w:rsid w:val="00EC1895"/>
    <w:rsid w:val="00EC1A09"/>
    <w:rsid w:val="00EC241C"/>
    <w:rsid w:val="00EC260A"/>
    <w:rsid w:val="00EC2811"/>
    <w:rsid w:val="00EC2E8B"/>
    <w:rsid w:val="00EC2EBE"/>
    <w:rsid w:val="00EC3136"/>
    <w:rsid w:val="00EC3302"/>
    <w:rsid w:val="00EC3862"/>
    <w:rsid w:val="00EC3B3C"/>
    <w:rsid w:val="00EC3D03"/>
    <w:rsid w:val="00EC4867"/>
    <w:rsid w:val="00EC4B2C"/>
    <w:rsid w:val="00EC4E3C"/>
    <w:rsid w:val="00EC503C"/>
    <w:rsid w:val="00EC52EB"/>
    <w:rsid w:val="00EC55DB"/>
    <w:rsid w:val="00EC5CCD"/>
    <w:rsid w:val="00EC5DF4"/>
    <w:rsid w:val="00EC5E11"/>
    <w:rsid w:val="00EC645E"/>
    <w:rsid w:val="00EC6539"/>
    <w:rsid w:val="00EC6D62"/>
    <w:rsid w:val="00EC6D91"/>
    <w:rsid w:val="00EC700D"/>
    <w:rsid w:val="00EC733E"/>
    <w:rsid w:val="00EC7451"/>
    <w:rsid w:val="00EC75C8"/>
    <w:rsid w:val="00EC75C9"/>
    <w:rsid w:val="00EC772A"/>
    <w:rsid w:val="00EC7E73"/>
    <w:rsid w:val="00ED01DB"/>
    <w:rsid w:val="00ED06F2"/>
    <w:rsid w:val="00ED08E3"/>
    <w:rsid w:val="00ED09FA"/>
    <w:rsid w:val="00ED0A41"/>
    <w:rsid w:val="00ED0EEE"/>
    <w:rsid w:val="00ED1241"/>
    <w:rsid w:val="00ED124F"/>
    <w:rsid w:val="00ED1436"/>
    <w:rsid w:val="00ED1510"/>
    <w:rsid w:val="00ED190E"/>
    <w:rsid w:val="00ED1D49"/>
    <w:rsid w:val="00ED2181"/>
    <w:rsid w:val="00ED23FE"/>
    <w:rsid w:val="00ED2748"/>
    <w:rsid w:val="00ED2B19"/>
    <w:rsid w:val="00ED2CC8"/>
    <w:rsid w:val="00ED2D5B"/>
    <w:rsid w:val="00ED2F47"/>
    <w:rsid w:val="00ED354B"/>
    <w:rsid w:val="00ED3634"/>
    <w:rsid w:val="00ED37D7"/>
    <w:rsid w:val="00ED3A53"/>
    <w:rsid w:val="00ED3B8F"/>
    <w:rsid w:val="00ED3BE1"/>
    <w:rsid w:val="00ED4448"/>
    <w:rsid w:val="00ED444E"/>
    <w:rsid w:val="00ED44CC"/>
    <w:rsid w:val="00ED4652"/>
    <w:rsid w:val="00ED4D04"/>
    <w:rsid w:val="00ED4F21"/>
    <w:rsid w:val="00ED501D"/>
    <w:rsid w:val="00ED5097"/>
    <w:rsid w:val="00ED511E"/>
    <w:rsid w:val="00ED56B6"/>
    <w:rsid w:val="00ED5A89"/>
    <w:rsid w:val="00ED6561"/>
    <w:rsid w:val="00ED6A92"/>
    <w:rsid w:val="00ED6CBB"/>
    <w:rsid w:val="00ED701E"/>
    <w:rsid w:val="00ED704D"/>
    <w:rsid w:val="00ED71E9"/>
    <w:rsid w:val="00ED726C"/>
    <w:rsid w:val="00ED7AD4"/>
    <w:rsid w:val="00ED7B66"/>
    <w:rsid w:val="00ED7C40"/>
    <w:rsid w:val="00ED7D92"/>
    <w:rsid w:val="00ED7E57"/>
    <w:rsid w:val="00ED7FDA"/>
    <w:rsid w:val="00EE0C36"/>
    <w:rsid w:val="00EE13DC"/>
    <w:rsid w:val="00EE13F5"/>
    <w:rsid w:val="00EE1557"/>
    <w:rsid w:val="00EE1560"/>
    <w:rsid w:val="00EE1E7E"/>
    <w:rsid w:val="00EE1FEE"/>
    <w:rsid w:val="00EE2071"/>
    <w:rsid w:val="00EE26B6"/>
    <w:rsid w:val="00EE2838"/>
    <w:rsid w:val="00EE2BC7"/>
    <w:rsid w:val="00EE2CBA"/>
    <w:rsid w:val="00EE2CF1"/>
    <w:rsid w:val="00EE30E0"/>
    <w:rsid w:val="00EE31B3"/>
    <w:rsid w:val="00EE33F8"/>
    <w:rsid w:val="00EE3A96"/>
    <w:rsid w:val="00EE3B20"/>
    <w:rsid w:val="00EE3C76"/>
    <w:rsid w:val="00EE3C8B"/>
    <w:rsid w:val="00EE3F70"/>
    <w:rsid w:val="00EE40E0"/>
    <w:rsid w:val="00EE40F9"/>
    <w:rsid w:val="00EE4299"/>
    <w:rsid w:val="00EE49E5"/>
    <w:rsid w:val="00EE50ED"/>
    <w:rsid w:val="00EE50F4"/>
    <w:rsid w:val="00EE5197"/>
    <w:rsid w:val="00EE5294"/>
    <w:rsid w:val="00EE5385"/>
    <w:rsid w:val="00EE53AF"/>
    <w:rsid w:val="00EE5447"/>
    <w:rsid w:val="00EE5565"/>
    <w:rsid w:val="00EE55B2"/>
    <w:rsid w:val="00EE5748"/>
    <w:rsid w:val="00EE57E5"/>
    <w:rsid w:val="00EE584C"/>
    <w:rsid w:val="00EE58A3"/>
    <w:rsid w:val="00EE5976"/>
    <w:rsid w:val="00EE5981"/>
    <w:rsid w:val="00EE5B40"/>
    <w:rsid w:val="00EE649F"/>
    <w:rsid w:val="00EE6717"/>
    <w:rsid w:val="00EE6997"/>
    <w:rsid w:val="00EE71B1"/>
    <w:rsid w:val="00EE7255"/>
    <w:rsid w:val="00EE72A4"/>
    <w:rsid w:val="00EE75A6"/>
    <w:rsid w:val="00EE76F6"/>
    <w:rsid w:val="00EE7CCA"/>
    <w:rsid w:val="00EE7E93"/>
    <w:rsid w:val="00EF0B84"/>
    <w:rsid w:val="00EF0CD4"/>
    <w:rsid w:val="00EF0DDB"/>
    <w:rsid w:val="00EF18F0"/>
    <w:rsid w:val="00EF19AD"/>
    <w:rsid w:val="00EF1FB8"/>
    <w:rsid w:val="00EF201B"/>
    <w:rsid w:val="00EF2DBA"/>
    <w:rsid w:val="00EF2E36"/>
    <w:rsid w:val="00EF310A"/>
    <w:rsid w:val="00EF3301"/>
    <w:rsid w:val="00EF3337"/>
    <w:rsid w:val="00EF3A87"/>
    <w:rsid w:val="00EF3BDA"/>
    <w:rsid w:val="00EF5161"/>
    <w:rsid w:val="00EF5485"/>
    <w:rsid w:val="00EF562A"/>
    <w:rsid w:val="00EF5779"/>
    <w:rsid w:val="00EF595C"/>
    <w:rsid w:val="00EF5B40"/>
    <w:rsid w:val="00EF5B41"/>
    <w:rsid w:val="00EF62ED"/>
    <w:rsid w:val="00EF6319"/>
    <w:rsid w:val="00EF6612"/>
    <w:rsid w:val="00EF663E"/>
    <w:rsid w:val="00EF6756"/>
    <w:rsid w:val="00EF6861"/>
    <w:rsid w:val="00EF6D5D"/>
    <w:rsid w:val="00EF6DF4"/>
    <w:rsid w:val="00EF722F"/>
    <w:rsid w:val="00EF741B"/>
    <w:rsid w:val="00EF7507"/>
    <w:rsid w:val="00EF75BE"/>
    <w:rsid w:val="00EF7708"/>
    <w:rsid w:val="00EF77B2"/>
    <w:rsid w:val="00EF7A48"/>
    <w:rsid w:val="00EF7CB7"/>
    <w:rsid w:val="00EF7CD6"/>
    <w:rsid w:val="00EF7CF5"/>
    <w:rsid w:val="00EF7F88"/>
    <w:rsid w:val="00F0012D"/>
    <w:rsid w:val="00F00180"/>
    <w:rsid w:val="00F00565"/>
    <w:rsid w:val="00F005B5"/>
    <w:rsid w:val="00F007D0"/>
    <w:rsid w:val="00F00A18"/>
    <w:rsid w:val="00F0176C"/>
    <w:rsid w:val="00F01EFD"/>
    <w:rsid w:val="00F0200F"/>
    <w:rsid w:val="00F02415"/>
    <w:rsid w:val="00F0245E"/>
    <w:rsid w:val="00F02483"/>
    <w:rsid w:val="00F028E0"/>
    <w:rsid w:val="00F02A87"/>
    <w:rsid w:val="00F03384"/>
    <w:rsid w:val="00F03712"/>
    <w:rsid w:val="00F039DE"/>
    <w:rsid w:val="00F03ADD"/>
    <w:rsid w:val="00F03B2B"/>
    <w:rsid w:val="00F03DDB"/>
    <w:rsid w:val="00F04162"/>
    <w:rsid w:val="00F04237"/>
    <w:rsid w:val="00F044F4"/>
    <w:rsid w:val="00F04569"/>
    <w:rsid w:val="00F04646"/>
    <w:rsid w:val="00F04704"/>
    <w:rsid w:val="00F04742"/>
    <w:rsid w:val="00F04832"/>
    <w:rsid w:val="00F04A57"/>
    <w:rsid w:val="00F04CAB"/>
    <w:rsid w:val="00F04CB8"/>
    <w:rsid w:val="00F04EDE"/>
    <w:rsid w:val="00F0534D"/>
    <w:rsid w:val="00F053D7"/>
    <w:rsid w:val="00F056C0"/>
    <w:rsid w:val="00F056CC"/>
    <w:rsid w:val="00F056D3"/>
    <w:rsid w:val="00F05722"/>
    <w:rsid w:val="00F05A86"/>
    <w:rsid w:val="00F05E31"/>
    <w:rsid w:val="00F06585"/>
    <w:rsid w:val="00F06A39"/>
    <w:rsid w:val="00F06B98"/>
    <w:rsid w:val="00F06D58"/>
    <w:rsid w:val="00F06DBC"/>
    <w:rsid w:val="00F0721C"/>
    <w:rsid w:val="00F078D8"/>
    <w:rsid w:val="00F0799D"/>
    <w:rsid w:val="00F07EA5"/>
    <w:rsid w:val="00F07F28"/>
    <w:rsid w:val="00F104DC"/>
    <w:rsid w:val="00F1098B"/>
    <w:rsid w:val="00F10D80"/>
    <w:rsid w:val="00F1103C"/>
    <w:rsid w:val="00F112C0"/>
    <w:rsid w:val="00F11703"/>
    <w:rsid w:val="00F11DB0"/>
    <w:rsid w:val="00F11ECA"/>
    <w:rsid w:val="00F11EF0"/>
    <w:rsid w:val="00F12139"/>
    <w:rsid w:val="00F124A1"/>
    <w:rsid w:val="00F12679"/>
    <w:rsid w:val="00F12CFA"/>
    <w:rsid w:val="00F12EC5"/>
    <w:rsid w:val="00F135AF"/>
    <w:rsid w:val="00F13973"/>
    <w:rsid w:val="00F139F5"/>
    <w:rsid w:val="00F14372"/>
    <w:rsid w:val="00F147AD"/>
    <w:rsid w:val="00F14A5A"/>
    <w:rsid w:val="00F14B49"/>
    <w:rsid w:val="00F14D4A"/>
    <w:rsid w:val="00F14F4B"/>
    <w:rsid w:val="00F15600"/>
    <w:rsid w:val="00F1567C"/>
    <w:rsid w:val="00F1598C"/>
    <w:rsid w:val="00F159CB"/>
    <w:rsid w:val="00F15A0F"/>
    <w:rsid w:val="00F15CA0"/>
    <w:rsid w:val="00F160CB"/>
    <w:rsid w:val="00F16189"/>
    <w:rsid w:val="00F16622"/>
    <w:rsid w:val="00F166B1"/>
    <w:rsid w:val="00F16B53"/>
    <w:rsid w:val="00F16CA4"/>
    <w:rsid w:val="00F16D3D"/>
    <w:rsid w:val="00F16FD6"/>
    <w:rsid w:val="00F17004"/>
    <w:rsid w:val="00F203A4"/>
    <w:rsid w:val="00F20436"/>
    <w:rsid w:val="00F2045B"/>
    <w:rsid w:val="00F20599"/>
    <w:rsid w:val="00F2060E"/>
    <w:rsid w:val="00F2068A"/>
    <w:rsid w:val="00F20B46"/>
    <w:rsid w:val="00F20B6F"/>
    <w:rsid w:val="00F20DCB"/>
    <w:rsid w:val="00F2115B"/>
    <w:rsid w:val="00F21176"/>
    <w:rsid w:val="00F2132C"/>
    <w:rsid w:val="00F21354"/>
    <w:rsid w:val="00F21B49"/>
    <w:rsid w:val="00F21DC5"/>
    <w:rsid w:val="00F2235C"/>
    <w:rsid w:val="00F2253A"/>
    <w:rsid w:val="00F2262D"/>
    <w:rsid w:val="00F2287B"/>
    <w:rsid w:val="00F228AB"/>
    <w:rsid w:val="00F22C64"/>
    <w:rsid w:val="00F22F06"/>
    <w:rsid w:val="00F230B9"/>
    <w:rsid w:val="00F23268"/>
    <w:rsid w:val="00F2340C"/>
    <w:rsid w:val="00F23437"/>
    <w:rsid w:val="00F23953"/>
    <w:rsid w:val="00F23A07"/>
    <w:rsid w:val="00F23A72"/>
    <w:rsid w:val="00F23A97"/>
    <w:rsid w:val="00F23C9F"/>
    <w:rsid w:val="00F24086"/>
    <w:rsid w:val="00F2453D"/>
    <w:rsid w:val="00F249E4"/>
    <w:rsid w:val="00F24FFA"/>
    <w:rsid w:val="00F25C80"/>
    <w:rsid w:val="00F25D49"/>
    <w:rsid w:val="00F2621D"/>
    <w:rsid w:val="00F262D2"/>
    <w:rsid w:val="00F2630F"/>
    <w:rsid w:val="00F26350"/>
    <w:rsid w:val="00F26888"/>
    <w:rsid w:val="00F26AA6"/>
    <w:rsid w:val="00F26FAA"/>
    <w:rsid w:val="00F27412"/>
    <w:rsid w:val="00F27495"/>
    <w:rsid w:val="00F27538"/>
    <w:rsid w:val="00F27541"/>
    <w:rsid w:val="00F2779B"/>
    <w:rsid w:val="00F278BD"/>
    <w:rsid w:val="00F30017"/>
    <w:rsid w:val="00F30086"/>
    <w:rsid w:val="00F301CE"/>
    <w:rsid w:val="00F30522"/>
    <w:rsid w:val="00F309C8"/>
    <w:rsid w:val="00F30BAC"/>
    <w:rsid w:val="00F30E60"/>
    <w:rsid w:val="00F31085"/>
    <w:rsid w:val="00F31142"/>
    <w:rsid w:val="00F311C7"/>
    <w:rsid w:val="00F31A71"/>
    <w:rsid w:val="00F31F13"/>
    <w:rsid w:val="00F32215"/>
    <w:rsid w:val="00F32325"/>
    <w:rsid w:val="00F3242D"/>
    <w:rsid w:val="00F324BD"/>
    <w:rsid w:val="00F3269B"/>
    <w:rsid w:val="00F328A3"/>
    <w:rsid w:val="00F32C94"/>
    <w:rsid w:val="00F32E8B"/>
    <w:rsid w:val="00F330F1"/>
    <w:rsid w:val="00F33606"/>
    <w:rsid w:val="00F3390A"/>
    <w:rsid w:val="00F3391F"/>
    <w:rsid w:val="00F339DC"/>
    <w:rsid w:val="00F34118"/>
    <w:rsid w:val="00F344EE"/>
    <w:rsid w:val="00F346AF"/>
    <w:rsid w:val="00F34994"/>
    <w:rsid w:val="00F34FFD"/>
    <w:rsid w:val="00F355A9"/>
    <w:rsid w:val="00F35717"/>
    <w:rsid w:val="00F35A19"/>
    <w:rsid w:val="00F35AF2"/>
    <w:rsid w:val="00F35C90"/>
    <w:rsid w:val="00F35D3F"/>
    <w:rsid w:val="00F361B5"/>
    <w:rsid w:val="00F361BF"/>
    <w:rsid w:val="00F362FD"/>
    <w:rsid w:val="00F36AA5"/>
    <w:rsid w:val="00F36BE5"/>
    <w:rsid w:val="00F36C1D"/>
    <w:rsid w:val="00F36CD6"/>
    <w:rsid w:val="00F36D00"/>
    <w:rsid w:val="00F36DF5"/>
    <w:rsid w:val="00F373CE"/>
    <w:rsid w:val="00F373F8"/>
    <w:rsid w:val="00F374CC"/>
    <w:rsid w:val="00F3760D"/>
    <w:rsid w:val="00F378FD"/>
    <w:rsid w:val="00F37AFE"/>
    <w:rsid w:val="00F37B2A"/>
    <w:rsid w:val="00F37BF9"/>
    <w:rsid w:val="00F37D82"/>
    <w:rsid w:val="00F400B5"/>
    <w:rsid w:val="00F40973"/>
    <w:rsid w:val="00F40982"/>
    <w:rsid w:val="00F41118"/>
    <w:rsid w:val="00F412C0"/>
    <w:rsid w:val="00F412EB"/>
    <w:rsid w:val="00F4141A"/>
    <w:rsid w:val="00F41551"/>
    <w:rsid w:val="00F416F0"/>
    <w:rsid w:val="00F417EA"/>
    <w:rsid w:val="00F41BAB"/>
    <w:rsid w:val="00F41E92"/>
    <w:rsid w:val="00F42807"/>
    <w:rsid w:val="00F42A3F"/>
    <w:rsid w:val="00F42AEB"/>
    <w:rsid w:val="00F42B45"/>
    <w:rsid w:val="00F42CC9"/>
    <w:rsid w:val="00F42D9C"/>
    <w:rsid w:val="00F42E15"/>
    <w:rsid w:val="00F42EB0"/>
    <w:rsid w:val="00F430C9"/>
    <w:rsid w:val="00F43127"/>
    <w:rsid w:val="00F43272"/>
    <w:rsid w:val="00F43676"/>
    <w:rsid w:val="00F43A8F"/>
    <w:rsid w:val="00F43CF6"/>
    <w:rsid w:val="00F44179"/>
    <w:rsid w:val="00F44268"/>
    <w:rsid w:val="00F444E5"/>
    <w:rsid w:val="00F444E8"/>
    <w:rsid w:val="00F44A42"/>
    <w:rsid w:val="00F44B61"/>
    <w:rsid w:val="00F44E3B"/>
    <w:rsid w:val="00F44E6D"/>
    <w:rsid w:val="00F45119"/>
    <w:rsid w:val="00F4522B"/>
    <w:rsid w:val="00F4554D"/>
    <w:rsid w:val="00F455B8"/>
    <w:rsid w:val="00F4573C"/>
    <w:rsid w:val="00F45ADC"/>
    <w:rsid w:val="00F45CAF"/>
    <w:rsid w:val="00F45D15"/>
    <w:rsid w:val="00F45F46"/>
    <w:rsid w:val="00F460B2"/>
    <w:rsid w:val="00F46197"/>
    <w:rsid w:val="00F462F6"/>
    <w:rsid w:val="00F466B8"/>
    <w:rsid w:val="00F4695B"/>
    <w:rsid w:val="00F46CBD"/>
    <w:rsid w:val="00F46CBE"/>
    <w:rsid w:val="00F47011"/>
    <w:rsid w:val="00F4726E"/>
    <w:rsid w:val="00F47C0C"/>
    <w:rsid w:val="00F47C43"/>
    <w:rsid w:val="00F47E8C"/>
    <w:rsid w:val="00F50A72"/>
    <w:rsid w:val="00F50CDF"/>
    <w:rsid w:val="00F51180"/>
    <w:rsid w:val="00F51328"/>
    <w:rsid w:val="00F51C61"/>
    <w:rsid w:val="00F51D4B"/>
    <w:rsid w:val="00F521DA"/>
    <w:rsid w:val="00F52260"/>
    <w:rsid w:val="00F52463"/>
    <w:rsid w:val="00F527BF"/>
    <w:rsid w:val="00F52804"/>
    <w:rsid w:val="00F52C17"/>
    <w:rsid w:val="00F52C52"/>
    <w:rsid w:val="00F52FB3"/>
    <w:rsid w:val="00F52FFF"/>
    <w:rsid w:val="00F530AB"/>
    <w:rsid w:val="00F532EF"/>
    <w:rsid w:val="00F535FE"/>
    <w:rsid w:val="00F536F0"/>
    <w:rsid w:val="00F538AB"/>
    <w:rsid w:val="00F53AFF"/>
    <w:rsid w:val="00F5419D"/>
    <w:rsid w:val="00F5456C"/>
    <w:rsid w:val="00F5467C"/>
    <w:rsid w:val="00F546CF"/>
    <w:rsid w:val="00F54949"/>
    <w:rsid w:val="00F54A1F"/>
    <w:rsid w:val="00F54C79"/>
    <w:rsid w:val="00F54F57"/>
    <w:rsid w:val="00F5538E"/>
    <w:rsid w:val="00F55572"/>
    <w:rsid w:val="00F55675"/>
    <w:rsid w:val="00F55B25"/>
    <w:rsid w:val="00F55D85"/>
    <w:rsid w:val="00F55DF4"/>
    <w:rsid w:val="00F55F2F"/>
    <w:rsid w:val="00F55FCE"/>
    <w:rsid w:val="00F562D7"/>
    <w:rsid w:val="00F56670"/>
    <w:rsid w:val="00F56991"/>
    <w:rsid w:val="00F56A36"/>
    <w:rsid w:val="00F570D4"/>
    <w:rsid w:val="00F574BA"/>
    <w:rsid w:val="00F5781F"/>
    <w:rsid w:val="00F57A86"/>
    <w:rsid w:val="00F57B4E"/>
    <w:rsid w:val="00F57ECA"/>
    <w:rsid w:val="00F60063"/>
    <w:rsid w:val="00F6019F"/>
    <w:rsid w:val="00F6036D"/>
    <w:rsid w:val="00F606AF"/>
    <w:rsid w:val="00F60A36"/>
    <w:rsid w:val="00F60CC1"/>
    <w:rsid w:val="00F60DF5"/>
    <w:rsid w:val="00F60EF4"/>
    <w:rsid w:val="00F61124"/>
    <w:rsid w:val="00F61354"/>
    <w:rsid w:val="00F613BF"/>
    <w:rsid w:val="00F616C7"/>
    <w:rsid w:val="00F6176C"/>
    <w:rsid w:val="00F61B0D"/>
    <w:rsid w:val="00F61BED"/>
    <w:rsid w:val="00F61C1D"/>
    <w:rsid w:val="00F61CE2"/>
    <w:rsid w:val="00F61E91"/>
    <w:rsid w:val="00F61F28"/>
    <w:rsid w:val="00F62331"/>
    <w:rsid w:val="00F62699"/>
    <w:rsid w:val="00F62C7C"/>
    <w:rsid w:val="00F63089"/>
    <w:rsid w:val="00F6336A"/>
    <w:rsid w:val="00F63482"/>
    <w:rsid w:val="00F63497"/>
    <w:rsid w:val="00F63B9C"/>
    <w:rsid w:val="00F63CC8"/>
    <w:rsid w:val="00F6401D"/>
    <w:rsid w:val="00F64039"/>
    <w:rsid w:val="00F64086"/>
    <w:rsid w:val="00F6473C"/>
    <w:rsid w:val="00F6473E"/>
    <w:rsid w:val="00F649CD"/>
    <w:rsid w:val="00F64BF3"/>
    <w:rsid w:val="00F65051"/>
    <w:rsid w:val="00F6508D"/>
    <w:rsid w:val="00F6541C"/>
    <w:rsid w:val="00F6567A"/>
    <w:rsid w:val="00F65774"/>
    <w:rsid w:val="00F6577E"/>
    <w:rsid w:val="00F65AE2"/>
    <w:rsid w:val="00F66093"/>
    <w:rsid w:val="00F66319"/>
    <w:rsid w:val="00F6725D"/>
    <w:rsid w:val="00F672C9"/>
    <w:rsid w:val="00F6759F"/>
    <w:rsid w:val="00F679E6"/>
    <w:rsid w:val="00F67BE7"/>
    <w:rsid w:val="00F67F21"/>
    <w:rsid w:val="00F68D7C"/>
    <w:rsid w:val="00F70796"/>
    <w:rsid w:val="00F707A9"/>
    <w:rsid w:val="00F7092B"/>
    <w:rsid w:val="00F70939"/>
    <w:rsid w:val="00F70947"/>
    <w:rsid w:val="00F70C23"/>
    <w:rsid w:val="00F70DC3"/>
    <w:rsid w:val="00F70FFE"/>
    <w:rsid w:val="00F7134F"/>
    <w:rsid w:val="00F713F7"/>
    <w:rsid w:val="00F71832"/>
    <w:rsid w:val="00F71853"/>
    <w:rsid w:val="00F719F5"/>
    <w:rsid w:val="00F72233"/>
    <w:rsid w:val="00F7233A"/>
    <w:rsid w:val="00F7251D"/>
    <w:rsid w:val="00F725A7"/>
    <w:rsid w:val="00F72709"/>
    <w:rsid w:val="00F72BB5"/>
    <w:rsid w:val="00F72BE7"/>
    <w:rsid w:val="00F72FE7"/>
    <w:rsid w:val="00F730FC"/>
    <w:rsid w:val="00F7320E"/>
    <w:rsid w:val="00F7326F"/>
    <w:rsid w:val="00F73288"/>
    <w:rsid w:val="00F7370A"/>
    <w:rsid w:val="00F73B1E"/>
    <w:rsid w:val="00F73F17"/>
    <w:rsid w:val="00F74006"/>
    <w:rsid w:val="00F74122"/>
    <w:rsid w:val="00F7451F"/>
    <w:rsid w:val="00F749A0"/>
    <w:rsid w:val="00F749CE"/>
    <w:rsid w:val="00F74B0C"/>
    <w:rsid w:val="00F74ED2"/>
    <w:rsid w:val="00F75023"/>
    <w:rsid w:val="00F7570F"/>
    <w:rsid w:val="00F75906"/>
    <w:rsid w:val="00F75C05"/>
    <w:rsid w:val="00F76087"/>
    <w:rsid w:val="00F7618C"/>
    <w:rsid w:val="00F7628B"/>
    <w:rsid w:val="00F76344"/>
    <w:rsid w:val="00F764FF"/>
    <w:rsid w:val="00F765AE"/>
    <w:rsid w:val="00F7675A"/>
    <w:rsid w:val="00F76765"/>
    <w:rsid w:val="00F76A2C"/>
    <w:rsid w:val="00F76A61"/>
    <w:rsid w:val="00F76C2B"/>
    <w:rsid w:val="00F774D2"/>
    <w:rsid w:val="00F77C41"/>
    <w:rsid w:val="00F77C54"/>
    <w:rsid w:val="00F77F73"/>
    <w:rsid w:val="00F7CB4B"/>
    <w:rsid w:val="00F7DC2F"/>
    <w:rsid w:val="00F801EB"/>
    <w:rsid w:val="00F808CE"/>
    <w:rsid w:val="00F80A55"/>
    <w:rsid w:val="00F80AE0"/>
    <w:rsid w:val="00F810D3"/>
    <w:rsid w:val="00F82074"/>
    <w:rsid w:val="00F82111"/>
    <w:rsid w:val="00F8217F"/>
    <w:rsid w:val="00F82251"/>
    <w:rsid w:val="00F822DC"/>
    <w:rsid w:val="00F82522"/>
    <w:rsid w:val="00F82988"/>
    <w:rsid w:val="00F82B18"/>
    <w:rsid w:val="00F82E41"/>
    <w:rsid w:val="00F83034"/>
    <w:rsid w:val="00F8327E"/>
    <w:rsid w:val="00F83952"/>
    <w:rsid w:val="00F83A1D"/>
    <w:rsid w:val="00F83B76"/>
    <w:rsid w:val="00F84299"/>
    <w:rsid w:val="00F8462E"/>
    <w:rsid w:val="00F846C2"/>
    <w:rsid w:val="00F84713"/>
    <w:rsid w:val="00F84894"/>
    <w:rsid w:val="00F84B25"/>
    <w:rsid w:val="00F84C24"/>
    <w:rsid w:val="00F854F7"/>
    <w:rsid w:val="00F85613"/>
    <w:rsid w:val="00F856F6"/>
    <w:rsid w:val="00F85785"/>
    <w:rsid w:val="00F857B8"/>
    <w:rsid w:val="00F85A21"/>
    <w:rsid w:val="00F85C5B"/>
    <w:rsid w:val="00F8601C"/>
    <w:rsid w:val="00F861F1"/>
    <w:rsid w:val="00F8622B"/>
    <w:rsid w:val="00F862A1"/>
    <w:rsid w:val="00F86510"/>
    <w:rsid w:val="00F8651C"/>
    <w:rsid w:val="00F8673D"/>
    <w:rsid w:val="00F869F5"/>
    <w:rsid w:val="00F86A11"/>
    <w:rsid w:val="00F86C40"/>
    <w:rsid w:val="00F86F8D"/>
    <w:rsid w:val="00F876AA"/>
    <w:rsid w:val="00F87757"/>
    <w:rsid w:val="00F87B2A"/>
    <w:rsid w:val="00F87BDF"/>
    <w:rsid w:val="00F87F5F"/>
    <w:rsid w:val="00F900D4"/>
    <w:rsid w:val="00F90101"/>
    <w:rsid w:val="00F90178"/>
    <w:rsid w:val="00F901B5"/>
    <w:rsid w:val="00F90481"/>
    <w:rsid w:val="00F904A7"/>
    <w:rsid w:val="00F90672"/>
    <w:rsid w:val="00F907BD"/>
    <w:rsid w:val="00F90975"/>
    <w:rsid w:val="00F90BF3"/>
    <w:rsid w:val="00F90EB6"/>
    <w:rsid w:val="00F90FF6"/>
    <w:rsid w:val="00F911AF"/>
    <w:rsid w:val="00F916BC"/>
    <w:rsid w:val="00F91B02"/>
    <w:rsid w:val="00F91C3D"/>
    <w:rsid w:val="00F91E06"/>
    <w:rsid w:val="00F92429"/>
    <w:rsid w:val="00F92B2D"/>
    <w:rsid w:val="00F92C05"/>
    <w:rsid w:val="00F92F18"/>
    <w:rsid w:val="00F92FB6"/>
    <w:rsid w:val="00F92FD5"/>
    <w:rsid w:val="00F935F4"/>
    <w:rsid w:val="00F936E4"/>
    <w:rsid w:val="00F936F9"/>
    <w:rsid w:val="00F94007"/>
    <w:rsid w:val="00F940AB"/>
    <w:rsid w:val="00F94174"/>
    <w:rsid w:val="00F94696"/>
    <w:rsid w:val="00F948F0"/>
    <w:rsid w:val="00F94B32"/>
    <w:rsid w:val="00F94E85"/>
    <w:rsid w:val="00F94EB0"/>
    <w:rsid w:val="00F94FFB"/>
    <w:rsid w:val="00F95277"/>
    <w:rsid w:val="00F9537B"/>
    <w:rsid w:val="00F95566"/>
    <w:rsid w:val="00F95CED"/>
    <w:rsid w:val="00F95D14"/>
    <w:rsid w:val="00F968F0"/>
    <w:rsid w:val="00F96B66"/>
    <w:rsid w:val="00F96C9F"/>
    <w:rsid w:val="00F96D39"/>
    <w:rsid w:val="00F96F73"/>
    <w:rsid w:val="00F96FFF"/>
    <w:rsid w:val="00F970EA"/>
    <w:rsid w:val="00F97391"/>
    <w:rsid w:val="00F97403"/>
    <w:rsid w:val="00F9750D"/>
    <w:rsid w:val="00F975D0"/>
    <w:rsid w:val="00F975F3"/>
    <w:rsid w:val="00F9795D"/>
    <w:rsid w:val="00F97B21"/>
    <w:rsid w:val="00F97CC2"/>
    <w:rsid w:val="00F97DDC"/>
    <w:rsid w:val="00FA021F"/>
    <w:rsid w:val="00FA06E2"/>
    <w:rsid w:val="00FA089F"/>
    <w:rsid w:val="00FA09F5"/>
    <w:rsid w:val="00FA0A29"/>
    <w:rsid w:val="00FA0DBF"/>
    <w:rsid w:val="00FA0FB1"/>
    <w:rsid w:val="00FA1337"/>
    <w:rsid w:val="00FA16A4"/>
    <w:rsid w:val="00FA18FE"/>
    <w:rsid w:val="00FA1A38"/>
    <w:rsid w:val="00FA1BA7"/>
    <w:rsid w:val="00FA1C52"/>
    <w:rsid w:val="00FA1CB0"/>
    <w:rsid w:val="00FA1D13"/>
    <w:rsid w:val="00FA232D"/>
    <w:rsid w:val="00FA244C"/>
    <w:rsid w:val="00FA2729"/>
    <w:rsid w:val="00FA27A4"/>
    <w:rsid w:val="00FA2827"/>
    <w:rsid w:val="00FA284B"/>
    <w:rsid w:val="00FA295A"/>
    <w:rsid w:val="00FA29AC"/>
    <w:rsid w:val="00FA2C38"/>
    <w:rsid w:val="00FA2CC4"/>
    <w:rsid w:val="00FA2E6A"/>
    <w:rsid w:val="00FA2E9A"/>
    <w:rsid w:val="00FA3273"/>
    <w:rsid w:val="00FA3788"/>
    <w:rsid w:val="00FA3864"/>
    <w:rsid w:val="00FA39AF"/>
    <w:rsid w:val="00FA3AD0"/>
    <w:rsid w:val="00FA3DE6"/>
    <w:rsid w:val="00FA3FD3"/>
    <w:rsid w:val="00FA407D"/>
    <w:rsid w:val="00FA4176"/>
    <w:rsid w:val="00FA4286"/>
    <w:rsid w:val="00FA4575"/>
    <w:rsid w:val="00FA45D8"/>
    <w:rsid w:val="00FA4B8D"/>
    <w:rsid w:val="00FA4C5C"/>
    <w:rsid w:val="00FA528C"/>
    <w:rsid w:val="00FA543C"/>
    <w:rsid w:val="00FA572D"/>
    <w:rsid w:val="00FA5CD7"/>
    <w:rsid w:val="00FA5F8B"/>
    <w:rsid w:val="00FA60EE"/>
    <w:rsid w:val="00FA618B"/>
    <w:rsid w:val="00FA62F8"/>
    <w:rsid w:val="00FA632B"/>
    <w:rsid w:val="00FA657F"/>
    <w:rsid w:val="00FA662E"/>
    <w:rsid w:val="00FA686B"/>
    <w:rsid w:val="00FA68C3"/>
    <w:rsid w:val="00FA6DC5"/>
    <w:rsid w:val="00FA6F1B"/>
    <w:rsid w:val="00FA7274"/>
    <w:rsid w:val="00FA72C0"/>
    <w:rsid w:val="00FA743F"/>
    <w:rsid w:val="00FA74D4"/>
    <w:rsid w:val="00FA778F"/>
    <w:rsid w:val="00FA785D"/>
    <w:rsid w:val="00FA7A7C"/>
    <w:rsid w:val="00FA7DF5"/>
    <w:rsid w:val="00FA7FC7"/>
    <w:rsid w:val="00FAD64F"/>
    <w:rsid w:val="00FB03A4"/>
    <w:rsid w:val="00FB055F"/>
    <w:rsid w:val="00FB0706"/>
    <w:rsid w:val="00FB0AFA"/>
    <w:rsid w:val="00FB0D32"/>
    <w:rsid w:val="00FB106A"/>
    <w:rsid w:val="00FB130A"/>
    <w:rsid w:val="00FB1643"/>
    <w:rsid w:val="00FB1ADD"/>
    <w:rsid w:val="00FB1AE5"/>
    <w:rsid w:val="00FB1B6C"/>
    <w:rsid w:val="00FB1F59"/>
    <w:rsid w:val="00FB201D"/>
    <w:rsid w:val="00FB217D"/>
    <w:rsid w:val="00FB2207"/>
    <w:rsid w:val="00FB242A"/>
    <w:rsid w:val="00FB26FF"/>
    <w:rsid w:val="00FB2AAA"/>
    <w:rsid w:val="00FB2E4A"/>
    <w:rsid w:val="00FB2FB1"/>
    <w:rsid w:val="00FB2FCF"/>
    <w:rsid w:val="00FB30A4"/>
    <w:rsid w:val="00FB31B2"/>
    <w:rsid w:val="00FB343D"/>
    <w:rsid w:val="00FB35A5"/>
    <w:rsid w:val="00FB3863"/>
    <w:rsid w:val="00FB38A1"/>
    <w:rsid w:val="00FB3A31"/>
    <w:rsid w:val="00FB3CA2"/>
    <w:rsid w:val="00FB3DFA"/>
    <w:rsid w:val="00FB3E0A"/>
    <w:rsid w:val="00FB4A81"/>
    <w:rsid w:val="00FB4D6E"/>
    <w:rsid w:val="00FB5604"/>
    <w:rsid w:val="00FB562A"/>
    <w:rsid w:val="00FB593B"/>
    <w:rsid w:val="00FB5C64"/>
    <w:rsid w:val="00FB616E"/>
    <w:rsid w:val="00FB6251"/>
    <w:rsid w:val="00FB636E"/>
    <w:rsid w:val="00FB6D78"/>
    <w:rsid w:val="00FB6E23"/>
    <w:rsid w:val="00FB72B1"/>
    <w:rsid w:val="00FB78F1"/>
    <w:rsid w:val="00FB793E"/>
    <w:rsid w:val="00FB7AE9"/>
    <w:rsid w:val="00FB7BAF"/>
    <w:rsid w:val="00FB9C99"/>
    <w:rsid w:val="00FBFB5D"/>
    <w:rsid w:val="00FC0071"/>
    <w:rsid w:val="00FC02F4"/>
    <w:rsid w:val="00FC0494"/>
    <w:rsid w:val="00FC08E8"/>
    <w:rsid w:val="00FC0A52"/>
    <w:rsid w:val="00FC0CF9"/>
    <w:rsid w:val="00FC0DA6"/>
    <w:rsid w:val="00FC0DB4"/>
    <w:rsid w:val="00FC0EEE"/>
    <w:rsid w:val="00FC10D6"/>
    <w:rsid w:val="00FC132C"/>
    <w:rsid w:val="00FC1408"/>
    <w:rsid w:val="00FC15A7"/>
    <w:rsid w:val="00FC18A1"/>
    <w:rsid w:val="00FC1CEA"/>
    <w:rsid w:val="00FC1E86"/>
    <w:rsid w:val="00FC2016"/>
    <w:rsid w:val="00FC21FA"/>
    <w:rsid w:val="00FC25C6"/>
    <w:rsid w:val="00FC28F2"/>
    <w:rsid w:val="00FC2B4F"/>
    <w:rsid w:val="00FC2C98"/>
    <w:rsid w:val="00FC2D8B"/>
    <w:rsid w:val="00FC2E73"/>
    <w:rsid w:val="00FC322F"/>
    <w:rsid w:val="00FC34D3"/>
    <w:rsid w:val="00FC3706"/>
    <w:rsid w:val="00FC38B5"/>
    <w:rsid w:val="00FC3921"/>
    <w:rsid w:val="00FC393C"/>
    <w:rsid w:val="00FC39AB"/>
    <w:rsid w:val="00FC3A2E"/>
    <w:rsid w:val="00FC3C9D"/>
    <w:rsid w:val="00FC3CC1"/>
    <w:rsid w:val="00FC3DC3"/>
    <w:rsid w:val="00FC4F82"/>
    <w:rsid w:val="00FC5533"/>
    <w:rsid w:val="00FC5569"/>
    <w:rsid w:val="00FC55C4"/>
    <w:rsid w:val="00FC5706"/>
    <w:rsid w:val="00FC592F"/>
    <w:rsid w:val="00FC5A7F"/>
    <w:rsid w:val="00FC5AFF"/>
    <w:rsid w:val="00FC5E09"/>
    <w:rsid w:val="00FC5F48"/>
    <w:rsid w:val="00FC673B"/>
    <w:rsid w:val="00FC6B5F"/>
    <w:rsid w:val="00FC6EFF"/>
    <w:rsid w:val="00FC6FF0"/>
    <w:rsid w:val="00FC71F7"/>
    <w:rsid w:val="00FC735E"/>
    <w:rsid w:val="00FC754A"/>
    <w:rsid w:val="00FC7569"/>
    <w:rsid w:val="00FC783F"/>
    <w:rsid w:val="00FC78A9"/>
    <w:rsid w:val="00FC7EF9"/>
    <w:rsid w:val="00FD0376"/>
    <w:rsid w:val="00FD03A8"/>
    <w:rsid w:val="00FD03E7"/>
    <w:rsid w:val="00FD0420"/>
    <w:rsid w:val="00FD044D"/>
    <w:rsid w:val="00FD044E"/>
    <w:rsid w:val="00FD0B5A"/>
    <w:rsid w:val="00FD0F2E"/>
    <w:rsid w:val="00FD11BA"/>
    <w:rsid w:val="00FD15D4"/>
    <w:rsid w:val="00FD1713"/>
    <w:rsid w:val="00FD1D3F"/>
    <w:rsid w:val="00FD1F05"/>
    <w:rsid w:val="00FD2464"/>
    <w:rsid w:val="00FD2A66"/>
    <w:rsid w:val="00FD2DE1"/>
    <w:rsid w:val="00FD311B"/>
    <w:rsid w:val="00FD379F"/>
    <w:rsid w:val="00FD37E8"/>
    <w:rsid w:val="00FD3852"/>
    <w:rsid w:val="00FD39D3"/>
    <w:rsid w:val="00FD3B44"/>
    <w:rsid w:val="00FD3C5D"/>
    <w:rsid w:val="00FD4014"/>
    <w:rsid w:val="00FD42D6"/>
    <w:rsid w:val="00FD44DD"/>
    <w:rsid w:val="00FD45F0"/>
    <w:rsid w:val="00FD4AD2"/>
    <w:rsid w:val="00FD4C79"/>
    <w:rsid w:val="00FD4CDF"/>
    <w:rsid w:val="00FD5175"/>
    <w:rsid w:val="00FD544C"/>
    <w:rsid w:val="00FD55D2"/>
    <w:rsid w:val="00FD55EB"/>
    <w:rsid w:val="00FD605D"/>
    <w:rsid w:val="00FD6062"/>
    <w:rsid w:val="00FD660D"/>
    <w:rsid w:val="00FD69FF"/>
    <w:rsid w:val="00FD6C31"/>
    <w:rsid w:val="00FD72A9"/>
    <w:rsid w:val="00FD7488"/>
    <w:rsid w:val="00FD7755"/>
    <w:rsid w:val="00FE036A"/>
    <w:rsid w:val="00FE0438"/>
    <w:rsid w:val="00FE04F1"/>
    <w:rsid w:val="00FE0663"/>
    <w:rsid w:val="00FE08E8"/>
    <w:rsid w:val="00FE0C01"/>
    <w:rsid w:val="00FE0DE8"/>
    <w:rsid w:val="00FE101D"/>
    <w:rsid w:val="00FE1395"/>
    <w:rsid w:val="00FE14A0"/>
    <w:rsid w:val="00FE180A"/>
    <w:rsid w:val="00FE19AF"/>
    <w:rsid w:val="00FE1DF8"/>
    <w:rsid w:val="00FE22C5"/>
    <w:rsid w:val="00FE2342"/>
    <w:rsid w:val="00FE23DF"/>
    <w:rsid w:val="00FE24A9"/>
    <w:rsid w:val="00FE2518"/>
    <w:rsid w:val="00FE2996"/>
    <w:rsid w:val="00FE2BA8"/>
    <w:rsid w:val="00FE3093"/>
    <w:rsid w:val="00FE315B"/>
    <w:rsid w:val="00FE31F7"/>
    <w:rsid w:val="00FE3270"/>
    <w:rsid w:val="00FE3362"/>
    <w:rsid w:val="00FE348D"/>
    <w:rsid w:val="00FE3620"/>
    <w:rsid w:val="00FE3679"/>
    <w:rsid w:val="00FE3815"/>
    <w:rsid w:val="00FE3892"/>
    <w:rsid w:val="00FE38D8"/>
    <w:rsid w:val="00FE39EF"/>
    <w:rsid w:val="00FE3A02"/>
    <w:rsid w:val="00FE3BE6"/>
    <w:rsid w:val="00FE40C1"/>
    <w:rsid w:val="00FE4496"/>
    <w:rsid w:val="00FE473B"/>
    <w:rsid w:val="00FE51A9"/>
    <w:rsid w:val="00FE54F2"/>
    <w:rsid w:val="00FE55BE"/>
    <w:rsid w:val="00FE58CD"/>
    <w:rsid w:val="00FE5AFC"/>
    <w:rsid w:val="00FE5DB6"/>
    <w:rsid w:val="00FE613C"/>
    <w:rsid w:val="00FE62DB"/>
    <w:rsid w:val="00FE6529"/>
    <w:rsid w:val="00FE6599"/>
    <w:rsid w:val="00FE6F10"/>
    <w:rsid w:val="00FE70D0"/>
    <w:rsid w:val="00FE73D4"/>
    <w:rsid w:val="00FE7596"/>
    <w:rsid w:val="00FE76FF"/>
    <w:rsid w:val="00FE773B"/>
    <w:rsid w:val="00FE7B9E"/>
    <w:rsid w:val="00FE7DC8"/>
    <w:rsid w:val="00FE7E5F"/>
    <w:rsid w:val="00FE7EE7"/>
    <w:rsid w:val="00FE7F6F"/>
    <w:rsid w:val="00FF068B"/>
    <w:rsid w:val="00FF0F14"/>
    <w:rsid w:val="00FF0FD5"/>
    <w:rsid w:val="00FF16D3"/>
    <w:rsid w:val="00FF18DD"/>
    <w:rsid w:val="00FF1CC1"/>
    <w:rsid w:val="00FF1E92"/>
    <w:rsid w:val="00FF1EDD"/>
    <w:rsid w:val="00FF1F78"/>
    <w:rsid w:val="00FF21EC"/>
    <w:rsid w:val="00FF239E"/>
    <w:rsid w:val="00FF29AE"/>
    <w:rsid w:val="00FF3125"/>
    <w:rsid w:val="00FF328D"/>
    <w:rsid w:val="00FF3FC2"/>
    <w:rsid w:val="00FF447F"/>
    <w:rsid w:val="00FF47D9"/>
    <w:rsid w:val="00FF4B44"/>
    <w:rsid w:val="00FF4B76"/>
    <w:rsid w:val="00FF52C3"/>
    <w:rsid w:val="00FF555C"/>
    <w:rsid w:val="00FF570A"/>
    <w:rsid w:val="00FF57E6"/>
    <w:rsid w:val="00FF588E"/>
    <w:rsid w:val="00FF5AD8"/>
    <w:rsid w:val="00FF5AF7"/>
    <w:rsid w:val="00FF62A6"/>
    <w:rsid w:val="00FF62BC"/>
    <w:rsid w:val="00FF64FB"/>
    <w:rsid w:val="00FF6B5E"/>
    <w:rsid w:val="00FF6CE8"/>
    <w:rsid w:val="00FF7007"/>
    <w:rsid w:val="00FF7218"/>
    <w:rsid w:val="00FF76D6"/>
    <w:rsid w:val="00FF7855"/>
    <w:rsid w:val="00FF78E6"/>
    <w:rsid w:val="00FF79B4"/>
    <w:rsid w:val="00FF7F23"/>
    <w:rsid w:val="0110303F"/>
    <w:rsid w:val="01137B7D"/>
    <w:rsid w:val="011968D8"/>
    <w:rsid w:val="011DA094"/>
    <w:rsid w:val="0123CD8F"/>
    <w:rsid w:val="0124B535"/>
    <w:rsid w:val="012A786C"/>
    <w:rsid w:val="012BDF0B"/>
    <w:rsid w:val="013B7B20"/>
    <w:rsid w:val="014315B8"/>
    <w:rsid w:val="014318A2"/>
    <w:rsid w:val="0143D47A"/>
    <w:rsid w:val="0144CF6F"/>
    <w:rsid w:val="0148871E"/>
    <w:rsid w:val="01544137"/>
    <w:rsid w:val="015635FF"/>
    <w:rsid w:val="0156F8A0"/>
    <w:rsid w:val="015877BC"/>
    <w:rsid w:val="015AFD02"/>
    <w:rsid w:val="015F8A90"/>
    <w:rsid w:val="01639FE5"/>
    <w:rsid w:val="016E269A"/>
    <w:rsid w:val="01719470"/>
    <w:rsid w:val="01785BB9"/>
    <w:rsid w:val="017C60BD"/>
    <w:rsid w:val="018AE5E4"/>
    <w:rsid w:val="01973A1E"/>
    <w:rsid w:val="0199D8A1"/>
    <w:rsid w:val="019A4656"/>
    <w:rsid w:val="019AF1CD"/>
    <w:rsid w:val="019AF425"/>
    <w:rsid w:val="019EFD6A"/>
    <w:rsid w:val="01A6DB5B"/>
    <w:rsid w:val="01A7ECDF"/>
    <w:rsid w:val="01AF35F8"/>
    <w:rsid w:val="01B107A6"/>
    <w:rsid w:val="01B9D12F"/>
    <w:rsid w:val="01D031B0"/>
    <w:rsid w:val="01DEE684"/>
    <w:rsid w:val="01E42D38"/>
    <w:rsid w:val="01E64D19"/>
    <w:rsid w:val="01E8C807"/>
    <w:rsid w:val="01F303CC"/>
    <w:rsid w:val="01F6CF9D"/>
    <w:rsid w:val="01F97644"/>
    <w:rsid w:val="0205D9EF"/>
    <w:rsid w:val="0207972E"/>
    <w:rsid w:val="020FAE5E"/>
    <w:rsid w:val="02191410"/>
    <w:rsid w:val="021B2CEA"/>
    <w:rsid w:val="021BAC7C"/>
    <w:rsid w:val="021ED73D"/>
    <w:rsid w:val="021EE1C6"/>
    <w:rsid w:val="021F901E"/>
    <w:rsid w:val="022542B6"/>
    <w:rsid w:val="022C36A8"/>
    <w:rsid w:val="022DDEF3"/>
    <w:rsid w:val="02318622"/>
    <w:rsid w:val="0235B261"/>
    <w:rsid w:val="02372291"/>
    <w:rsid w:val="0237EA91"/>
    <w:rsid w:val="023838DF"/>
    <w:rsid w:val="023DED6F"/>
    <w:rsid w:val="023E87B5"/>
    <w:rsid w:val="024173F1"/>
    <w:rsid w:val="02452DC9"/>
    <w:rsid w:val="0252D8E1"/>
    <w:rsid w:val="0256BE23"/>
    <w:rsid w:val="0258D3B1"/>
    <w:rsid w:val="025F9D35"/>
    <w:rsid w:val="0260A0CB"/>
    <w:rsid w:val="02666ED6"/>
    <w:rsid w:val="0268FB8E"/>
    <w:rsid w:val="0269AE64"/>
    <w:rsid w:val="0269B70B"/>
    <w:rsid w:val="026F8A00"/>
    <w:rsid w:val="026FD6A2"/>
    <w:rsid w:val="02721FC0"/>
    <w:rsid w:val="02723734"/>
    <w:rsid w:val="02732E7F"/>
    <w:rsid w:val="027D7D27"/>
    <w:rsid w:val="028A1A76"/>
    <w:rsid w:val="028B00AE"/>
    <w:rsid w:val="029188BD"/>
    <w:rsid w:val="0291E4AB"/>
    <w:rsid w:val="0295519F"/>
    <w:rsid w:val="029717A1"/>
    <w:rsid w:val="0297EC1B"/>
    <w:rsid w:val="029B4266"/>
    <w:rsid w:val="029F506D"/>
    <w:rsid w:val="02A0BC2B"/>
    <w:rsid w:val="02A2471C"/>
    <w:rsid w:val="02A4ED9E"/>
    <w:rsid w:val="02A7D71D"/>
    <w:rsid w:val="02AD2319"/>
    <w:rsid w:val="02B0D1F0"/>
    <w:rsid w:val="02B15911"/>
    <w:rsid w:val="02B318CA"/>
    <w:rsid w:val="02B5F756"/>
    <w:rsid w:val="02B60356"/>
    <w:rsid w:val="02BB4ABF"/>
    <w:rsid w:val="02C39FB9"/>
    <w:rsid w:val="02C7464D"/>
    <w:rsid w:val="02C9FDB0"/>
    <w:rsid w:val="02CAE3B8"/>
    <w:rsid w:val="02D175E8"/>
    <w:rsid w:val="02D3418E"/>
    <w:rsid w:val="02D54E15"/>
    <w:rsid w:val="02D61478"/>
    <w:rsid w:val="02DDE15D"/>
    <w:rsid w:val="02E2545B"/>
    <w:rsid w:val="02E2F9B6"/>
    <w:rsid w:val="02E3C16A"/>
    <w:rsid w:val="02E5BC3B"/>
    <w:rsid w:val="02EB91C9"/>
    <w:rsid w:val="02F1C577"/>
    <w:rsid w:val="02F20E20"/>
    <w:rsid w:val="02FB8C95"/>
    <w:rsid w:val="02FF7185"/>
    <w:rsid w:val="0300945C"/>
    <w:rsid w:val="03027D4E"/>
    <w:rsid w:val="0304498D"/>
    <w:rsid w:val="0306F924"/>
    <w:rsid w:val="030A205A"/>
    <w:rsid w:val="030A2514"/>
    <w:rsid w:val="030E8929"/>
    <w:rsid w:val="030EC1DB"/>
    <w:rsid w:val="0310B64D"/>
    <w:rsid w:val="0313C47A"/>
    <w:rsid w:val="031A9AE9"/>
    <w:rsid w:val="031E17D2"/>
    <w:rsid w:val="0328156F"/>
    <w:rsid w:val="03281B12"/>
    <w:rsid w:val="032A515E"/>
    <w:rsid w:val="032ABE49"/>
    <w:rsid w:val="032ACA93"/>
    <w:rsid w:val="0334E8DA"/>
    <w:rsid w:val="033AFED3"/>
    <w:rsid w:val="033B59F4"/>
    <w:rsid w:val="033D2606"/>
    <w:rsid w:val="0347C0EE"/>
    <w:rsid w:val="0348AB48"/>
    <w:rsid w:val="034D1900"/>
    <w:rsid w:val="034F0D6A"/>
    <w:rsid w:val="035356AE"/>
    <w:rsid w:val="0353D930"/>
    <w:rsid w:val="0358579F"/>
    <w:rsid w:val="03586D82"/>
    <w:rsid w:val="035AFCF2"/>
    <w:rsid w:val="035BA6AB"/>
    <w:rsid w:val="035E31F5"/>
    <w:rsid w:val="036057EC"/>
    <w:rsid w:val="0360FB5A"/>
    <w:rsid w:val="0362D3C7"/>
    <w:rsid w:val="0364B241"/>
    <w:rsid w:val="0366060A"/>
    <w:rsid w:val="0367236D"/>
    <w:rsid w:val="03684628"/>
    <w:rsid w:val="036A4278"/>
    <w:rsid w:val="036AF609"/>
    <w:rsid w:val="036C169C"/>
    <w:rsid w:val="036EF469"/>
    <w:rsid w:val="03712917"/>
    <w:rsid w:val="0373C630"/>
    <w:rsid w:val="0375B1DC"/>
    <w:rsid w:val="0377E458"/>
    <w:rsid w:val="0380F406"/>
    <w:rsid w:val="038202B5"/>
    <w:rsid w:val="0383D608"/>
    <w:rsid w:val="03882A0D"/>
    <w:rsid w:val="038C8CDE"/>
    <w:rsid w:val="038E653D"/>
    <w:rsid w:val="038F21E1"/>
    <w:rsid w:val="039A41B5"/>
    <w:rsid w:val="039F6221"/>
    <w:rsid w:val="03A020B5"/>
    <w:rsid w:val="03A8B0DF"/>
    <w:rsid w:val="03ABC45C"/>
    <w:rsid w:val="03ACBD5E"/>
    <w:rsid w:val="03B1BC08"/>
    <w:rsid w:val="03C41D5E"/>
    <w:rsid w:val="03C4A1F5"/>
    <w:rsid w:val="03CCB5F7"/>
    <w:rsid w:val="03D6028F"/>
    <w:rsid w:val="03D7419C"/>
    <w:rsid w:val="03D8FD8E"/>
    <w:rsid w:val="03E09BDB"/>
    <w:rsid w:val="03E0C44F"/>
    <w:rsid w:val="03E1027B"/>
    <w:rsid w:val="03E2E9BC"/>
    <w:rsid w:val="03E62FC6"/>
    <w:rsid w:val="03F0F7B6"/>
    <w:rsid w:val="03F25FC5"/>
    <w:rsid w:val="03F95A34"/>
    <w:rsid w:val="03F9AE30"/>
    <w:rsid w:val="03FD1D4F"/>
    <w:rsid w:val="04006E11"/>
    <w:rsid w:val="0400C338"/>
    <w:rsid w:val="04020711"/>
    <w:rsid w:val="04036627"/>
    <w:rsid w:val="0403A176"/>
    <w:rsid w:val="04059698"/>
    <w:rsid w:val="04060329"/>
    <w:rsid w:val="040C7A16"/>
    <w:rsid w:val="0415E018"/>
    <w:rsid w:val="04192F5E"/>
    <w:rsid w:val="04199901"/>
    <w:rsid w:val="041A829D"/>
    <w:rsid w:val="041BF22A"/>
    <w:rsid w:val="041CC220"/>
    <w:rsid w:val="041EC65F"/>
    <w:rsid w:val="042433B6"/>
    <w:rsid w:val="0424358B"/>
    <w:rsid w:val="042930C2"/>
    <w:rsid w:val="042A1164"/>
    <w:rsid w:val="042BB482"/>
    <w:rsid w:val="0430F26C"/>
    <w:rsid w:val="043362B0"/>
    <w:rsid w:val="0435262F"/>
    <w:rsid w:val="043731B3"/>
    <w:rsid w:val="0437AB1D"/>
    <w:rsid w:val="0440D776"/>
    <w:rsid w:val="0443488C"/>
    <w:rsid w:val="04496180"/>
    <w:rsid w:val="0449E89D"/>
    <w:rsid w:val="044B6BF5"/>
    <w:rsid w:val="044C0616"/>
    <w:rsid w:val="044D4EC1"/>
    <w:rsid w:val="044E87D1"/>
    <w:rsid w:val="04506585"/>
    <w:rsid w:val="0450E038"/>
    <w:rsid w:val="0456A3C1"/>
    <w:rsid w:val="0459FFE8"/>
    <w:rsid w:val="045AC758"/>
    <w:rsid w:val="04609153"/>
    <w:rsid w:val="04626747"/>
    <w:rsid w:val="046550EB"/>
    <w:rsid w:val="04669640"/>
    <w:rsid w:val="0466C0F1"/>
    <w:rsid w:val="04689DAE"/>
    <w:rsid w:val="046C6A5B"/>
    <w:rsid w:val="046D6D9F"/>
    <w:rsid w:val="046D70A3"/>
    <w:rsid w:val="04777338"/>
    <w:rsid w:val="047A4347"/>
    <w:rsid w:val="047C30AB"/>
    <w:rsid w:val="047DB15C"/>
    <w:rsid w:val="0485964A"/>
    <w:rsid w:val="049161B9"/>
    <w:rsid w:val="04918E9C"/>
    <w:rsid w:val="0493F3A1"/>
    <w:rsid w:val="049833C2"/>
    <w:rsid w:val="04992F73"/>
    <w:rsid w:val="0499F2FA"/>
    <w:rsid w:val="049B1DFE"/>
    <w:rsid w:val="04A2D933"/>
    <w:rsid w:val="04A36505"/>
    <w:rsid w:val="04A4500F"/>
    <w:rsid w:val="04A515E8"/>
    <w:rsid w:val="04A68D55"/>
    <w:rsid w:val="04AB9320"/>
    <w:rsid w:val="04BD8D38"/>
    <w:rsid w:val="04BE001E"/>
    <w:rsid w:val="04C0A8F2"/>
    <w:rsid w:val="04C19A62"/>
    <w:rsid w:val="04CB666D"/>
    <w:rsid w:val="04CD3364"/>
    <w:rsid w:val="04D01600"/>
    <w:rsid w:val="04D27941"/>
    <w:rsid w:val="04DA1377"/>
    <w:rsid w:val="04DF4761"/>
    <w:rsid w:val="04E49AA3"/>
    <w:rsid w:val="04E64D39"/>
    <w:rsid w:val="04E6AB54"/>
    <w:rsid w:val="04EAD8BC"/>
    <w:rsid w:val="04EE0710"/>
    <w:rsid w:val="04F0354B"/>
    <w:rsid w:val="04F184A3"/>
    <w:rsid w:val="04F4039B"/>
    <w:rsid w:val="04F5EC1A"/>
    <w:rsid w:val="0501F5E0"/>
    <w:rsid w:val="0504ED75"/>
    <w:rsid w:val="0506489C"/>
    <w:rsid w:val="0507CF48"/>
    <w:rsid w:val="05096F3D"/>
    <w:rsid w:val="05098575"/>
    <w:rsid w:val="051308EA"/>
    <w:rsid w:val="051EC955"/>
    <w:rsid w:val="051F4C4E"/>
    <w:rsid w:val="051FDB48"/>
    <w:rsid w:val="05202D00"/>
    <w:rsid w:val="05221351"/>
    <w:rsid w:val="05241944"/>
    <w:rsid w:val="0528159F"/>
    <w:rsid w:val="052C949A"/>
    <w:rsid w:val="052D3EDE"/>
    <w:rsid w:val="052ECE29"/>
    <w:rsid w:val="053646EE"/>
    <w:rsid w:val="05425107"/>
    <w:rsid w:val="0542B294"/>
    <w:rsid w:val="0544FDD8"/>
    <w:rsid w:val="054EEF29"/>
    <w:rsid w:val="054F434A"/>
    <w:rsid w:val="05502429"/>
    <w:rsid w:val="05505775"/>
    <w:rsid w:val="055641DE"/>
    <w:rsid w:val="055C4289"/>
    <w:rsid w:val="055DF311"/>
    <w:rsid w:val="05630AD7"/>
    <w:rsid w:val="056B9883"/>
    <w:rsid w:val="056F0448"/>
    <w:rsid w:val="056F136D"/>
    <w:rsid w:val="05746340"/>
    <w:rsid w:val="0575A597"/>
    <w:rsid w:val="0577A5D2"/>
    <w:rsid w:val="0577B73B"/>
    <w:rsid w:val="057D53C2"/>
    <w:rsid w:val="0585C1F4"/>
    <w:rsid w:val="05865360"/>
    <w:rsid w:val="0586BF4B"/>
    <w:rsid w:val="05875EF9"/>
    <w:rsid w:val="0587BF30"/>
    <w:rsid w:val="05893CFF"/>
    <w:rsid w:val="058B6434"/>
    <w:rsid w:val="059B40F2"/>
    <w:rsid w:val="05A15AC8"/>
    <w:rsid w:val="05A183E6"/>
    <w:rsid w:val="05A25398"/>
    <w:rsid w:val="05A54190"/>
    <w:rsid w:val="05A5C670"/>
    <w:rsid w:val="05A9FAC1"/>
    <w:rsid w:val="05B06641"/>
    <w:rsid w:val="05B2A267"/>
    <w:rsid w:val="05B2ED55"/>
    <w:rsid w:val="05B30DFC"/>
    <w:rsid w:val="05B3A2EA"/>
    <w:rsid w:val="05B59FEF"/>
    <w:rsid w:val="05B9536B"/>
    <w:rsid w:val="05CD78FB"/>
    <w:rsid w:val="05D8CA0F"/>
    <w:rsid w:val="05E493ED"/>
    <w:rsid w:val="05E6AAB1"/>
    <w:rsid w:val="05EB14A2"/>
    <w:rsid w:val="05ED27A4"/>
    <w:rsid w:val="05F1D2A7"/>
    <w:rsid w:val="05F8CE33"/>
    <w:rsid w:val="05FA1EC6"/>
    <w:rsid w:val="0600B657"/>
    <w:rsid w:val="06077548"/>
    <w:rsid w:val="060A0918"/>
    <w:rsid w:val="060CEC5F"/>
    <w:rsid w:val="0610BF5A"/>
    <w:rsid w:val="0614D737"/>
    <w:rsid w:val="061A99C4"/>
    <w:rsid w:val="061FCA37"/>
    <w:rsid w:val="061FDC39"/>
    <w:rsid w:val="0620B84C"/>
    <w:rsid w:val="06296654"/>
    <w:rsid w:val="062DB9C4"/>
    <w:rsid w:val="063DE5AF"/>
    <w:rsid w:val="0649DBD7"/>
    <w:rsid w:val="0650F306"/>
    <w:rsid w:val="06517ADE"/>
    <w:rsid w:val="065293A3"/>
    <w:rsid w:val="0656BA95"/>
    <w:rsid w:val="06588DEB"/>
    <w:rsid w:val="065AA630"/>
    <w:rsid w:val="065EBCE7"/>
    <w:rsid w:val="0662F8FB"/>
    <w:rsid w:val="06648BEC"/>
    <w:rsid w:val="0664F0FA"/>
    <w:rsid w:val="0666185F"/>
    <w:rsid w:val="0667D116"/>
    <w:rsid w:val="066D67C0"/>
    <w:rsid w:val="066E4BD8"/>
    <w:rsid w:val="066E93B2"/>
    <w:rsid w:val="066F8FB6"/>
    <w:rsid w:val="06728A4F"/>
    <w:rsid w:val="06746406"/>
    <w:rsid w:val="067D11CB"/>
    <w:rsid w:val="067D6267"/>
    <w:rsid w:val="06805B75"/>
    <w:rsid w:val="068A9D4E"/>
    <w:rsid w:val="0695179B"/>
    <w:rsid w:val="069A31EE"/>
    <w:rsid w:val="069AC919"/>
    <w:rsid w:val="06A57FCD"/>
    <w:rsid w:val="06ACA9D8"/>
    <w:rsid w:val="06B44F4E"/>
    <w:rsid w:val="06B88F15"/>
    <w:rsid w:val="06C01CD2"/>
    <w:rsid w:val="06C212B3"/>
    <w:rsid w:val="06CD6040"/>
    <w:rsid w:val="06CD89F5"/>
    <w:rsid w:val="06CF49D0"/>
    <w:rsid w:val="06D2B100"/>
    <w:rsid w:val="06D98DF7"/>
    <w:rsid w:val="06DB00FD"/>
    <w:rsid w:val="06E1858C"/>
    <w:rsid w:val="06E4D17E"/>
    <w:rsid w:val="06E776C8"/>
    <w:rsid w:val="06ED0769"/>
    <w:rsid w:val="06F44BF6"/>
    <w:rsid w:val="06FB5581"/>
    <w:rsid w:val="06FF6F3E"/>
    <w:rsid w:val="06FFB6A1"/>
    <w:rsid w:val="07004EB1"/>
    <w:rsid w:val="0713A6AA"/>
    <w:rsid w:val="0714C6F0"/>
    <w:rsid w:val="07174379"/>
    <w:rsid w:val="0723F20A"/>
    <w:rsid w:val="072ADB91"/>
    <w:rsid w:val="072C3247"/>
    <w:rsid w:val="0730BCE2"/>
    <w:rsid w:val="07314099"/>
    <w:rsid w:val="07340AB4"/>
    <w:rsid w:val="073764E0"/>
    <w:rsid w:val="0749DA85"/>
    <w:rsid w:val="074B603F"/>
    <w:rsid w:val="074C58EF"/>
    <w:rsid w:val="0750D78D"/>
    <w:rsid w:val="075478DF"/>
    <w:rsid w:val="0754A399"/>
    <w:rsid w:val="0754D0D7"/>
    <w:rsid w:val="07560FF1"/>
    <w:rsid w:val="0760C64E"/>
    <w:rsid w:val="0763B39C"/>
    <w:rsid w:val="0765F669"/>
    <w:rsid w:val="0766218A"/>
    <w:rsid w:val="076C12CE"/>
    <w:rsid w:val="07725BA1"/>
    <w:rsid w:val="0774DCA0"/>
    <w:rsid w:val="0777B36D"/>
    <w:rsid w:val="077C4430"/>
    <w:rsid w:val="077C641C"/>
    <w:rsid w:val="078472DD"/>
    <w:rsid w:val="0788323E"/>
    <w:rsid w:val="078A49D9"/>
    <w:rsid w:val="078BE8FB"/>
    <w:rsid w:val="078D1BED"/>
    <w:rsid w:val="078DFDEB"/>
    <w:rsid w:val="0790E353"/>
    <w:rsid w:val="07969C2A"/>
    <w:rsid w:val="079ACE56"/>
    <w:rsid w:val="079B0538"/>
    <w:rsid w:val="079B6090"/>
    <w:rsid w:val="079C97F5"/>
    <w:rsid w:val="079E37A3"/>
    <w:rsid w:val="07A13EEB"/>
    <w:rsid w:val="07A1C6B3"/>
    <w:rsid w:val="07A8D121"/>
    <w:rsid w:val="07AD469A"/>
    <w:rsid w:val="07B2B01B"/>
    <w:rsid w:val="07B39826"/>
    <w:rsid w:val="07B53434"/>
    <w:rsid w:val="07B72AE3"/>
    <w:rsid w:val="07B7B79A"/>
    <w:rsid w:val="07B9175B"/>
    <w:rsid w:val="07BFD1DB"/>
    <w:rsid w:val="07CDD4A1"/>
    <w:rsid w:val="07CE3BD5"/>
    <w:rsid w:val="07CE43B0"/>
    <w:rsid w:val="07D001DF"/>
    <w:rsid w:val="07D4C245"/>
    <w:rsid w:val="07DB4DE0"/>
    <w:rsid w:val="07DD4C78"/>
    <w:rsid w:val="07DEB0F9"/>
    <w:rsid w:val="07DFFC09"/>
    <w:rsid w:val="07E0A44B"/>
    <w:rsid w:val="07E3C7E5"/>
    <w:rsid w:val="07E5478B"/>
    <w:rsid w:val="07E8369A"/>
    <w:rsid w:val="07E96ACA"/>
    <w:rsid w:val="07EB4790"/>
    <w:rsid w:val="07EDFA90"/>
    <w:rsid w:val="07EEEFDC"/>
    <w:rsid w:val="07F7EE42"/>
    <w:rsid w:val="07F7F001"/>
    <w:rsid w:val="07FFD696"/>
    <w:rsid w:val="0803F0C5"/>
    <w:rsid w:val="0806316C"/>
    <w:rsid w:val="0806A451"/>
    <w:rsid w:val="0808422F"/>
    <w:rsid w:val="080925C7"/>
    <w:rsid w:val="08102B6E"/>
    <w:rsid w:val="0812B899"/>
    <w:rsid w:val="0815511F"/>
    <w:rsid w:val="081932CD"/>
    <w:rsid w:val="081DEBB5"/>
    <w:rsid w:val="0828A7E9"/>
    <w:rsid w:val="082BF381"/>
    <w:rsid w:val="082C3DEA"/>
    <w:rsid w:val="082C9D53"/>
    <w:rsid w:val="0831346A"/>
    <w:rsid w:val="08369929"/>
    <w:rsid w:val="083A233E"/>
    <w:rsid w:val="08405BED"/>
    <w:rsid w:val="084361F0"/>
    <w:rsid w:val="0844A6EE"/>
    <w:rsid w:val="084702B1"/>
    <w:rsid w:val="08495809"/>
    <w:rsid w:val="084997A0"/>
    <w:rsid w:val="084CB558"/>
    <w:rsid w:val="084EECB5"/>
    <w:rsid w:val="084F1308"/>
    <w:rsid w:val="0855982B"/>
    <w:rsid w:val="0858EAC5"/>
    <w:rsid w:val="085B2245"/>
    <w:rsid w:val="085BB3F1"/>
    <w:rsid w:val="085BE7BC"/>
    <w:rsid w:val="085EBE96"/>
    <w:rsid w:val="08603B24"/>
    <w:rsid w:val="08645A02"/>
    <w:rsid w:val="0867C1FF"/>
    <w:rsid w:val="086DB99D"/>
    <w:rsid w:val="086E314A"/>
    <w:rsid w:val="086E5015"/>
    <w:rsid w:val="0870A30F"/>
    <w:rsid w:val="0876FB15"/>
    <w:rsid w:val="087B0018"/>
    <w:rsid w:val="087BE681"/>
    <w:rsid w:val="08852D61"/>
    <w:rsid w:val="089228D6"/>
    <w:rsid w:val="089CC715"/>
    <w:rsid w:val="08A002D4"/>
    <w:rsid w:val="08A0CD08"/>
    <w:rsid w:val="08A14C4E"/>
    <w:rsid w:val="08A5A56F"/>
    <w:rsid w:val="08B4B777"/>
    <w:rsid w:val="08B4EF45"/>
    <w:rsid w:val="08BDF26E"/>
    <w:rsid w:val="08BEFC60"/>
    <w:rsid w:val="08C22467"/>
    <w:rsid w:val="08C28D6C"/>
    <w:rsid w:val="08CF2BF3"/>
    <w:rsid w:val="08CFC19B"/>
    <w:rsid w:val="08D1EE7E"/>
    <w:rsid w:val="08D3019F"/>
    <w:rsid w:val="08D8A370"/>
    <w:rsid w:val="08E4C58D"/>
    <w:rsid w:val="08E737F3"/>
    <w:rsid w:val="08EEB317"/>
    <w:rsid w:val="08F1893C"/>
    <w:rsid w:val="08F1D671"/>
    <w:rsid w:val="08F829EE"/>
    <w:rsid w:val="08FA9D8D"/>
    <w:rsid w:val="08FD823F"/>
    <w:rsid w:val="08FDFCC3"/>
    <w:rsid w:val="09031578"/>
    <w:rsid w:val="09056806"/>
    <w:rsid w:val="090CDEE4"/>
    <w:rsid w:val="0911F53B"/>
    <w:rsid w:val="09167465"/>
    <w:rsid w:val="091C0963"/>
    <w:rsid w:val="091D2BB3"/>
    <w:rsid w:val="09205667"/>
    <w:rsid w:val="0920D3E9"/>
    <w:rsid w:val="09226C56"/>
    <w:rsid w:val="0925FE76"/>
    <w:rsid w:val="0926B731"/>
    <w:rsid w:val="09289494"/>
    <w:rsid w:val="092FD636"/>
    <w:rsid w:val="0934822F"/>
    <w:rsid w:val="093713BE"/>
    <w:rsid w:val="09383F72"/>
    <w:rsid w:val="094CB1E2"/>
    <w:rsid w:val="09570005"/>
    <w:rsid w:val="0959EB71"/>
    <w:rsid w:val="095C2150"/>
    <w:rsid w:val="0960221E"/>
    <w:rsid w:val="096259C7"/>
    <w:rsid w:val="0963F948"/>
    <w:rsid w:val="0964FE75"/>
    <w:rsid w:val="09671389"/>
    <w:rsid w:val="096A9F9D"/>
    <w:rsid w:val="096C2A52"/>
    <w:rsid w:val="096E6578"/>
    <w:rsid w:val="096F0C73"/>
    <w:rsid w:val="0971C76E"/>
    <w:rsid w:val="097B3DF1"/>
    <w:rsid w:val="097B43F2"/>
    <w:rsid w:val="097CCEFE"/>
    <w:rsid w:val="097F390E"/>
    <w:rsid w:val="0983902D"/>
    <w:rsid w:val="0983FED5"/>
    <w:rsid w:val="0985C766"/>
    <w:rsid w:val="09899E18"/>
    <w:rsid w:val="098F9A17"/>
    <w:rsid w:val="0990A77A"/>
    <w:rsid w:val="0991FA62"/>
    <w:rsid w:val="0997142F"/>
    <w:rsid w:val="099E1432"/>
    <w:rsid w:val="09A154FB"/>
    <w:rsid w:val="09A59DD8"/>
    <w:rsid w:val="09A818B6"/>
    <w:rsid w:val="09A95405"/>
    <w:rsid w:val="09B35C8E"/>
    <w:rsid w:val="09BC0BFF"/>
    <w:rsid w:val="09BC764A"/>
    <w:rsid w:val="09C05FBC"/>
    <w:rsid w:val="09C48BBF"/>
    <w:rsid w:val="09C79094"/>
    <w:rsid w:val="09CBA68F"/>
    <w:rsid w:val="09CF8815"/>
    <w:rsid w:val="09D313DA"/>
    <w:rsid w:val="09D38DB1"/>
    <w:rsid w:val="09D5C044"/>
    <w:rsid w:val="09DD3830"/>
    <w:rsid w:val="09E5B577"/>
    <w:rsid w:val="09E5FB7F"/>
    <w:rsid w:val="09E9C5EE"/>
    <w:rsid w:val="09EC463D"/>
    <w:rsid w:val="09F3DEE2"/>
    <w:rsid w:val="09F4B83D"/>
    <w:rsid w:val="09F7F9DF"/>
    <w:rsid w:val="09F9CEC4"/>
    <w:rsid w:val="09FAB86A"/>
    <w:rsid w:val="09FB59AE"/>
    <w:rsid w:val="09FBD0FA"/>
    <w:rsid w:val="0A00BE5D"/>
    <w:rsid w:val="0A076212"/>
    <w:rsid w:val="0A0BDF62"/>
    <w:rsid w:val="0A11825D"/>
    <w:rsid w:val="0A11CFEB"/>
    <w:rsid w:val="0A13D0B5"/>
    <w:rsid w:val="0A18DC26"/>
    <w:rsid w:val="0A19AE8C"/>
    <w:rsid w:val="0A1F5336"/>
    <w:rsid w:val="0A206FD4"/>
    <w:rsid w:val="0A2AD71E"/>
    <w:rsid w:val="0A2ECE38"/>
    <w:rsid w:val="0A35E18F"/>
    <w:rsid w:val="0A376793"/>
    <w:rsid w:val="0A37F4A3"/>
    <w:rsid w:val="0A3B804C"/>
    <w:rsid w:val="0A41A4EB"/>
    <w:rsid w:val="0A43D5E5"/>
    <w:rsid w:val="0A44FDDC"/>
    <w:rsid w:val="0A4D185E"/>
    <w:rsid w:val="0A4ECBCD"/>
    <w:rsid w:val="0A4EEB53"/>
    <w:rsid w:val="0A572A92"/>
    <w:rsid w:val="0A57F112"/>
    <w:rsid w:val="0A5981A4"/>
    <w:rsid w:val="0A5C77F7"/>
    <w:rsid w:val="0A5CC722"/>
    <w:rsid w:val="0A5DDBF6"/>
    <w:rsid w:val="0A689755"/>
    <w:rsid w:val="0A6A0E58"/>
    <w:rsid w:val="0A6F09D5"/>
    <w:rsid w:val="0A6FCDD2"/>
    <w:rsid w:val="0A777D36"/>
    <w:rsid w:val="0A7CB8F6"/>
    <w:rsid w:val="0A7D9749"/>
    <w:rsid w:val="0A7EE095"/>
    <w:rsid w:val="0A8072F8"/>
    <w:rsid w:val="0A810197"/>
    <w:rsid w:val="0A8352D4"/>
    <w:rsid w:val="0A8495A4"/>
    <w:rsid w:val="0A88212A"/>
    <w:rsid w:val="0A8C153C"/>
    <w:rsid w:val="0A8C3390"/>
    <w:rsid w:val="0A90950A"/>
    <w:rsid w:val="0A9BC0A8"/>
    <w:rsid w:val="0A9F98E7"/>
    <w:rsid w:val="0AA15D41"/>
    <w:rsid w:val="0AA52189"/>
    <w:rsid w:val="0AA8B82C"/>
    <w:rsid w:val="0AADB2CD"/>
    <w:rsid w:val="0AB62F62"/>
    <w:rsid w:val="0AB746C1"/>
    <w:rsid w:val="0ABAB052"/>
    <w:rsid w:val="0AC0FDC5"/>
    <w:rsid w:val="0AC5FE47"/>
    <w:rsid w:val="0AC60DF0"/>
    <w:rsid w:val="0ADC404A"/>
    <w:rsid w:val="0ADE4C9D"/>
    <w:rsid w:val="0AE28224"/>
    <w:rsid w:val="0AEA2654"/>
    <w:rsid w:val="0AF2B49F"/>
    <w:rsid w:val="0AF2FE75"/>
    <w:rsid w:val="0AFBF1A2"/>
    <w:rsid w:val="0AFF6B50"/>
    <w:rsid w:val="0B01E9CD"/>
    <w:rsid w:val="0B067E0C"/>
    <w:rsid w:val="0B11B7FC"/>
    <w:rsid w:val="0B121D73"/>
    <w:rsid w:val="0B175779"/>
    <w:rsid w:val="0B1A0575"/>
    <w:rsid w:val="0B1E0F5D"/>
    <w:rsid w:val="0B23F0A9"/>
    <w:rsid w:val="0B29116A"/>
    <w:rsid w:val="0B30A043"/>
    <w:rsid w:val="0B330C9A"/>
    <w:rsid w:val="0B36B710"/>
    <w:rsid w:val="0B430360"/>
    <w:rsid w:val="0B45E220"/>
    <w:rsid w:val="0B48899A"/>
    <w:rsid w:val="0B49D752"/>
    <w:rsid w:val="0B4B4B0F"/>
    <w:rsid w:val="0B4B65F9"/>
    <w:rsid w:val="0B60F21C"/>
    <w:rsid w:val="0B60F3DB"/>
    <w:rsid w:val="0B620CEB"/>
    <w:rsid w:val="0B6EE089"/>
    <w:rsid w:val="0B70FC37"/>
    <w:rsid w:val="0B748627"/>
    <w:rsid w:val="0B7732CD"/>
    <w:rsid w:val="0B779C1D"/>
    <w:rsid w:val="0B7CC6E8"/>
    <w:rsid w:val="0B829DFC"/>
    <w:rsid w:val="0B82A4A0"/>
    <w:rsid w:val="0B85AB3C"/>
    <w:rsid w:val="0B85AD87"/>
    <w:rsid w:val="0B961B89"/>
    <w:rsid w:val="0B984925"/>
    <w:rsid w:val="0B988197"/>
    <w:rsid w:val="0B9A3E3C"/>
    <w:rsid w:val="0BA1A1B9"/>
    <w:rsid w:val="0BAE0D0B"/>
    <w:rsid w:val="0BAF87A1"/>
    <w:rsid w:val="0BB620DD"/>
    <w:rsid w:val="0BB96D08"/>
    <w:rsid w:val="0BBBE968"/>
    <w:rsid w:val="0BBCE0D3"/>
    <w:rsid w:val="0BBE365F"/>
    <w:rsid w:val="0BC43B45"/>
    <w:rsid w:val="0BC702AE"/>
    <w:rsid w:val="0BC93EBF"/>
    <w:rsid w:val="0BCAB55C"/>
    <w:rsid w:val="0BCAC442"/>
    <w:rsid w:val="0BCC33BB"/>
    <w:rsid w:val="0BCDF47C"/>
    <w:rsid w:val="0BD50F19"/>
    <w:rsid w:val="0BD51485"/>
    <w:rsid w:val="0BD67991"/>
    <w:rsid w:val="0BDA77FF"/>
    <w:rsid w:val="0BE2B0B9"/>
    <w:rsid w:val="0BE2DDF0"/>
    <w:rsid w:val="0BE35B2B"/>
    <w:rsid w:val="0BECD74B"/>
    <w:rsid w:val="0BEF4909"/>
    <w:rsid w:val="0BFA7896"/>
    <w:rsid w:val="0C01108F"/>
    <w:rsid w:val="0C011F67"/>
    <w:rsid w:val="0C03DD9D"/>
    <w:rsid w:val="0C063A3C"/>
    <w:rsid w:val="0C104F96"/>
    <w:rsid w:val="0C1E4C6E"/>
    <w:rsid w:val="0C1ED784"/>
    <w:rsid w:val="0C1F3F30"/>
    <w:rsid w:val="0C20EC6F"/>
    <w:rsid w:val="0C29FB8F"/>
    <w:rsid w:val="0C2AEDA4"/>
    <w:rsid w:val="0C2C2957"/>
    <w:rsid w:val="0C2F420C"/>
    <w:rsid w:val="0C35C73A"/>
    <w:rsid w:val="0C3985D0"/>
    <w:rsid w:val="0C3991D9"/>
    <w:rsid w:val="0C3ADE25"/>
    <w:rsid w:val="0C483CDC"/>
    <w:rsid w:val="0C48B4C0"/>
    <w:rsid w:val="0C4B6052"/>
    <w:rsid w:val="0C5152E0"/>
    <w:rsid w:val="0C52247F"/>
    <w:rsid w:val="0C559B2C"/>
    <w:rsid w:val="0C5655EE"/>
    <w:rsid w:val="0C5B67A3"/>
    <w:rsid w:val="0C688ABF"/>
    <w:rsid w:val="0C6CB557"/>
    <w:rsid w:val="0C6D2C65"/>
    <w:rsid w:val="0C6D8D62"/>
    <w:rsid w:val="0C6E1C35"/>
    <w:rsid w:val="0C70FFBD"/>
    <w:rsid w:val="0C715719"/>
    <w:rsid w:val="0C7A293E"/>
    <w:rsid w:val="0C7D6864"/>
    <w:rsid w:val="0C7F2FAF"/>
    <w:rsid w:val="0C804274"/>
    <w:rsid w:val="0C8969A4"/>
    <w:rsid w:val="0C8AAE6D"/>
    <w:rsid w:val="0C90E201"/>
    <w:rsid w:val="0C910268"/>
    <w:rsid w:val="0C9B3A1A"/>
    <w:rsid w:val="0C9F2920"/>
    <w:rsid w:val="0CA37740"/>
    <w:rsid w:val="0CAE203E"/>
    <w:rsid w:val="0CBA4D17"/>
    <w:rsid w:val="0CC1C2FB"/>
    <w:rsid w:val="0CC48C72"/>
    <w:rsid w:val="0CC8BA7E"/>
    <w:rsid w:val="0CD53DA4"/>
    <w:rsid w:val="0CD798C8"/>
    <w:rsid w:val="0CDED145"/>
    <w:rsid w:val="0CDF7400"/>
    <w:rsid w:val="0CE40FC3"/>
    <w:rsid w:val="0CE489CC"/>
    <w:rsid w:val="0CE75558"/>
    <w:rsid w:val="0CE941A8"/>
    <w:rsid w:val="0CED4F37"/>
    <w:rsid w:val="0CF1018A"/>
    <w:rsid w:val="0CF1298A"/>
    <w:rsid w:val="0CF4CD8F"/>
    <w:rsid w:val="0CF71295"/>
    <w:rsid w:val="0CF8422B"/>
    <w:rsid w:val="0CFE4F70"/>
    <w:rsid w:val="0D0307EB"/>
    <w:rsid w:val="0D109F3B"/>
    <w:rsid w:val="0D1927A1"/>
    <w:rsid w:val="0D22A1EF"/>
    <w:rsid w:val="0D3319CB"/>
    <w:rsid w:val="0D35FBC2"/>
    <w:rsid w:val="0D364DA6"/>
    <w:rsid w:val="0D375C67"/>
    <w:rsid w:val="0D381CB8"/>
    <w:rsid w:val="0D3A7276"/>
    <w:rsid w:val="0D41A930"/>
    <w:rsid w:val="0D42082B"/>
    <w:rsid w:val="0D46EC05"/>
    <w:rsid w:val="0D49E228"/>
    <w:rsid w:val="0D4F480A"/>
    <w:rsid w:val="0D4FDE46"/>
    <w:rsid w:val="0D516C5E"/>
    <w:rsid w:val="0D5604A8"/>
    <w:rsid w:val="0D6E010B"/>
    <w:rsid w:val="0D7A7335"/>
    <w:rsid w:val="0D7A733F"/>
    <w:rsid w:val="0D80D616"/>
    <w:rsid w:val="0D877A28"/>
    <w:rsid w:val="0D8BB297"/>
    <w:rsid w:val="0D8F99B7"/>
    <w:rsid w:val="0D92FC96"/>
    <w:rsid w:val="0D94147B"/>
    <w:rsid w:val="0D96B137"/>
    <w:rsid w:val="0D98461B"/>
    <w:rsid w:val="0DA33F72"/>
    <w:rsid w:val="0DA778E2"/>
    <w:rsid w:val="0DA7C64D"/>
    <w:rsid w:val="0DB4F081"/>
    <w:rsid w:val="0DB8FE44"/>
    <w:rsid w:val="0DBDC300"/>
    <w:rsid w:val="0DC13EC0"/>
    <w:rsid w:val="0DC1C076"/>
    <w:rsid w:val="0DC415D7"/>
    <w:rsid w:val="0DC4B7B7"/>
    <w:rsid w:val="0DCB4E89"/>
    <w:rsid w:val="0DCDB20D"/>
    <w:rsid w:val="0DCEBBD4"/>
    <w:rsid w:val="0DCEE59B"/>
    <w:rsid w:val="0DD2793B"/>
    <w:rsid w:val="0DD38A43"/>
    <w:rsid w:val="0DD50012"/>
    <w:rsid w:val="0DDAEC5A"/>
    <w:rsid w:val="0DDC0317"/>
    <w:rsid w:val="0DDCF7EA"/>
    <w:rsid w:val="0DE51417"/>
    <w:rsid w:val="0DEA1160"/>
    <w:rsid w:val="0DEE4A65"/>
    <w:rsid w:val="0DEE69A3"/>
    <w:rsid w:val="0DF2A613"/>
    <w:rsid w:val="0DF8E6D8"/>
    <w:rsid w:val="0DFA2F26"/>
    <w:rsid w:val="0DFEF841"/>
    <w:rsid w:val="0E010216"/>
    <w:rsid w:val="0E0266DE"/>
    <w:rsid w:val="0E10C8EB"/>
    <w:rsid w:val="0E11D3DF"/>
    <w:rsid w:val="0E11FABA"/>
    <w:rsid w:val="0E1C481A"/>
    <w:rsid w:val="0E1E3066"/>
    <w:rsid w:val="0E1EF375"/>
    <w:rsid w:val="0E1F8D79"/>
    <w:rsid w:val="0E200C3C"/>
    <w:rsid w:val="0E21E217"/>
    <w:rsid w:val="0E2A543A"/>
    <w:rsid w:val="0E2AE8FF"/>
    <w:rsid w:val="0E2B581E"/>
    <w:rsid w:val="0E2F1235"/>
    <w:rsid w:val="0E3D2845"/>
    <w:rsid w:val="0E3EA7F8"/>
    <w:rsid w:val="0E401AED"/>
    <w:rsid w:val="0E42BFB1"/>
    <w:rsid w:val="0E47A519"/>
    <w:rsid w:val="0E4A8F53"/>
    <w:rsid w:val="0E4AD0B3"/>
    <w:rsid w:val="0E4ED5DC"/>
    <w:rsid w:val="0E59FF91"/>
    <w:rsid w:val="0E5B7641"/>
    <w:rsid w:val="0E5BB643"/>
    <w:rsid w:val="0E639CF7"/>
    <w:rsid w:val="0E662927"/>
    <w:rsid w:val="0E6F12FD"/>
    <w:rsid w:val="0E792718"/>
    <w:rsid w:val="0E79C5FD"/>
    <w:rsid w:val="0E84363D"/>
    <w:rsid w:val="0E8B76CD"/>
    <w:rsid w:val="0E8E8CD6"/>
    <w:rsid w:val="0E8FE87B"/>
    <w:rsid w:val="0E919F77"/>
    <w:rsid w:val="0E938055"/>
    <w:rsid w:val="0E951F65"/>
    <w:rsid w:val="0E9535E7"/>
    <w:rsid w:val="0E956339"/>
    <w:rsid w:val="0EA3CFB6"/>
    <w:rsid w:val="0EA52789"/>
    <w:rsid w:val="0EA7909B"/>
    <w:rsid w:val="0EB228B3"/>
    <w:rsid w:val="0EB67A30"/>
    <w:rsid w:val="0EBE4B0A"/>
    <w:rsid w:val="0EBF3346"/>
    <w:rsid w:val="0EC25962"/>
    <w:rsid w:val="0EC3F699"/>
    <w:rsid w:val="0EC42EA9"/>
    <w:rsid w:val="0EC84442"/>
    <w:rsid w:val="0ED48D99"/>
    <w:rsid w:val="0ED69392"/>
    <w:rsid w:val="0ED7C70F"/>
    <w:rsid w:val="0EDA2F7F"/>
    <w:rsid w:val="0EE3AE60"/>
    <w:rsid w:val="0EE7E081"/>
    <w:rsid w:val="0EEB19AD"/>
    <w:rsid w:val="0EF15295"/>
    <w:rsid w:val="0EF79CB9"/>
    <w:rsid w:val="0F0193BA"/>
    <w:rsid w:val="0F027A7C"/>
    <w:rsid w:val="0F100D1B"/>
    <w:rsid w:val="0F13F710"/>
    <w:rsid w:val="0F163E08"/>
    <w:rsid w:val="0F1D6750"/>
    <w:rsid w:val="0F1DD3B2"/>
    <w:rsid w:val="0F1FF60C"/>
    <w:rsid w:val="0F2180BD"/>
    <w:rsid w:val="0F219156"/>
    <w:rsid w:val="0F21F5A7"/>
    <w:rsid w:val="0F224981"/>
    <w:rsid w:val="0F24B9F9"/>
    <w:rsid w:val="0F273220"/>
    <w:rsid w:val="0F333BF1"/>
    <w:rsid w:val="0F3442F7"/>
    <w:rsid w:val="0F3780B6"/>
    <w:rsid w:val="0F38E592"/>
    <w:rsid w:val="0F3ADD27"/>
    <w:rsid w:val="0F3E8EE7"/>
    <w:rsid w:val="0F42517B"/>
    <w:rsid w:val="0F42BA5E"/>
    <w:rsid w:val="0F43EEDF"/>
    <w:rsid w:val="0F442404"/>
    <w:rsid w:val="0F4997E7"/>
    <w:rsid w:val="0F4ACE3E"/>
    <w:rsid w:val="0F4F86F5"/>
    <w:rsid w:val="0F4FF9D1"/>
    <w:rsid w:val="0F537A76"/>
    <w:rsid w:val="0F53C83E"/>
    <w:rsid w:val="0F550C0C"/>
    <w:rsid w:val="0F5A1210"/>
    <w:rsid w:val="0F5D47CE"/>
    <w:rsid w:val="0F65DE69"/>
    <w:rsid w:val="0F6E45EA"/>
    <w:rsid w:val="0F7228B1"/>
    <w:rsid w:val="0F745409"/>
    <w:rsid w:val="0F77FDE6"/>
    <w:rsid w:val="0F7D9225"/>
    <w:rsid w:val="0F868626"/>
    <w:rsid w:val="0F8F43E6"/>
    <w:rsid w:val="0F954E9E"/>
    <w:rsid w:val="0F9CB90E"/>
    <w:rsid w:val="0FA449B8"/>
    <w:rsid w:val="0FB2954F"/>
    <w:rsid w:val="0FB2AB8A"/>
    <w:rsid w:val="0FB5CF6B"/>
    <w:rsid w:val="0FBD46FD"/>
    <w:rsid w:val="0FBD6F30"/>
    <w:rsid w:val="0FBEE096"/>
    <w:rsid w:val="0FC46528"/>
    <w:rsid w:val="0FCC6BD0"/>
    <w:rsid w:val="0FD4D2F2"/>
    <w:rsid w:val="0FD71140"/>
    <w:rsid w:val="0FDF4222"/>
    <w:rsid w:val="0FE04808"/>
    <w:rsid w:val="0FE1034D"/>
    <w:rsid w:val="0FE8570A"/>
    <w:rsid w:val="0FE97EA5"/>
    <w:rsid w:val="0FECC163"/>
    <w:rsid w:val="0FED6207"/>
    <w:rsid w:val="0FF3ACF9"/>
    <w:rsid w:val="0FF5CFE2"/>
    <w:rsid w:val="0FF61B32"/>
    <w:rsid w:val="0FF7E91D"/>
    <w:rsid w:val="0FFD5CA2"/>
    <w:rsid w:val="0FFE9706"/>
    <w:rsid w:val="0FFE9768"/>
    <w:rsid w:val="100255F3"/>
    <w:rsid w:val="1002A22C"/>
    <w:rsid w:val="10062E0C"/>
    <w:rsid w:val="10078230"/>
    <w:rsid w:val="100C426F"/>
    <w:rsid w:val="100FBACB"/>
    <w:rsid w:val="10122985"/>
    <w:rsid w:val="1014B17D"/>
    <w:rsid w:val="10190955"/>
    <w:rsid w:val="1019D1B3"/>
    <w:rsid w:val="101F6B54"/>
    <w:rsid w:val="10267E65"/>
    <w:rsid w:val="1029AF88"/>
    <w:rsid w:val="1029B744"/>
    <w:rsid w:val="102A3236"/>
    <w:rsid w:val="102CECDC"/>
    <w:rsid w:val="102D09D4"/>
    <w:rsid w:val="102D2F22"/>
    <w:rsid w:val="102FECD8"/>
    <w:rsid w:val="1036E87B"/>
    <w:rsid w:val="103BB038"/>
    <w:rsid w:val="103C01AA"/>
    <w:rsid w:val="103E3146"/>
    <w:rsid w:val="1044482B"/>
    <w:rsid w:val="104731FD"/>
    <w:rsid w:val="104FA970"/>
    <w:rsid w:val="1057D3A0"/>
    <w:rsid w:val="1059ACCE"/>
    <w:rsid w:val="105CE758"/>
    <w:rsid w:val="1063410E"/>
    <w:rsid w:val="10636F50"/>
    <w:rsid w:val="107063A4"/>
    <w:rsid w:val="1071B029"/>
    <w:rsid w:val="107C48C5"/>
    <w:rsid w:val="107D948F"/>
    <w:rsid w:val="107F25AD"/>
    <w:rsid w:val="107F5B71"/>
    <w:rsid w:val="108104BA"/>
    <w:rsid w:val="10848C7F"/>
    <w:rsid w:val="108C5AA0"/>
    <w:rsid w:val="108F370A"/>
    <w:rsid w:val="10902D5D"/>
    <w:rsid w:val="10929B0C"/>
    <w:rsid w:val="10942A19"/>
    <w:rsid w:val="109810B1"/>
    <w:rsid w:val="109B5A7C"/>
    <w:rsid w:val="109E0EC5"/>
    <w:rsid w:val="10A1C999"/>
    <w:rsid w:val="10A8C779"/>
    <w:rsid w:val="10AA96B3"/>
    <w:rsid w:val="10B05CC3"/>
    <w:rsid w:val="10B4A9C9"/>
    <w:rsid w:val="10B875D7"/>
    <w:rsid w:val="10C315F6"/>
    <w:rsid w:val="10C43623"/>
    <w:rsid w:val="10C5A7CA"/>
    <w:rsid w:val="10D46C11"/>
    <w:rsid w:val="10D6363F"/>
    <w:rsid w:val="10D793B1"/>
    <w:rsid w:val="10DC7B08"/>
    <w:rsid w:val="10E26709"/>
    <w:rsid w:val="10E5527F"/>
    <w:rsid w:val="10E90B19"/>
    <w:rsid w:val="10EB0FA4"/>
    <w:rsid w:val="10EDB0AD"/>
    <w:rsid w:val="10F25C86"/>
    <w:rsid w:val="1102FD1E"/>
    <w:rsid w:val="1108D786"/>
    <w:rsid w:val="110D2752"/>
    <w:rsid w:val="110F1BD5"/>
    <w:rsid w:val="110FB528"/>
    <w:rsid w:val="111447EB"/>
    <w:rsid w:val="111A28CC"/>
    <w:rsid w:val="111A5728"/>
    <w:rsid w:val="111AD505"/>
    <w:rsid w:val="111E305A"/>
    <w:rsid w:val="1122B923"/>
    <w:rsid w:val="11235816"/>
    <w:rsid w:val="112EB93F"/>
    <w:rsid w:val="112F42F6"/>
    <w:rsid w:val="1133559F"/>
    <w:rsid w:val="1138B999"/>
    <w:rsid w:val="11391251"/>
    <w:rsid w:val="113A15A7"/>
    <w:rsid w:val="113AA516"/>
    <w:rsid w:val="113ECC9D"/>
    <w:rsid w:val="1140D791"/>
    <w:rsid w:val="1144A5B3"/>
    <w:rsid w:val="1149AD90"/>
    <w:rsid w:val="114B47A7"/>
    <w:rsid w:val="114DA968"/>
    <w:rsid w:val="114E84D9"/>
    <w:rsid w:val="11547CFD"/>
    <w:rsid w:val="115545E5"/>
    <w:rsid w:val="115A6FBC"/>
    <w:rsid w:val="115EE10C"/>
    <w:rsid w:val="116E7A00"/>
    <w:rsid w:val="1172B556"/>
    <w:rsid w:val="1174DF1A"/>
    <w:rsid w:val="117A9601"/>
    <w:rsid w:val="117B171C"/>
    <w:rsid w:val="117C6BD5"/>
    <w:rsid w:val="117D5E7B"/>
    <w:rsid w:val="117E8512"/>
    <w:rsid w:val="117E9469"/>
    <w:rsid w:val="1180B431"/>
    <w:rsid w:val="1182F7FD"/>
    <w:rsid w:val="1187DA07"/>
    <w:rsid w:val="1189B8C7"/>
    <w:rsid w:val="118BFABB"/>
    <w:rsid w:val="118C53F0"/>
    <w:rsid w:val="11940C28"/>
    <w:rsid w:val="11A33624"/>
    <w:rsid w:val="11A96616"/>
    <w:rsid w:val="11A998E2"/>
    <w:rsid w:val="11AA6408"/>
    <w:rsid w:val="11AE9088"/>
    <w:rsid w:val="11B40CFB"/>
    <w:rsid w:val="11B442E2"/>
    <w:rsid w:val="11B9E948"/>
    <w:rsid w:val="11BA30C7"/>
    <w:rsid w:val="11C085FF"/>
    <w:rsid w:val="11C098F2"/>
    <w:rsid w:val="11C9E6A6"/>
    <w:rsid w:val="11CA931F"/>
    <w:rsid w:val="11CBDAEF"/>
    <w:rsid w:val="11CD3BF4"/>
    <w:rsid w:val="11CD64CC"/>
    <w:rsid w:val="11CE8E1E"/>
    <w:rsid w:val="11E272B6"/>
    <w:rsid w:val="11E2A25B"/>
    <w:rsid w:val="11E67FEF"/>
    <w:rsid w:val="11EA5B77"/>
    <w:rsid w:val="11F2F859"/>
    <w:rsid w:val="11F33468"/>
    <w:rsid w:val="11FBC9C4"/>
    <w:rsid w:val="11FD2C05"/>
    <w:rsid w:val="11FD6634"/>
    <w:rsid w:val="11FE0A1D"/>
    <w:rsid w:val="12065EE7"/>
    <w:rsid w:val="1208E0AA"/>
    <w:rsid w:val="120A4066"/>
    <w:rsid w:val="120B01E9"/>
    <w:rsid w:val="120CB485"/>
    <w:rsid w:val="120E166B"/>
    <w:rsid w:val="120FDBA6"/>
    <w:rsid w:val="121B10A3"/>
    <w:rsid w:val="121B724C"/>
    <w:rsid w:val="12209040"/>
    <w:rsid w:val="1220F7EE"/>
    <w:rsid w:val="122140CE"/>
    <w:rsid w:val="12226DE5"/>
    <w:rsid w:val="122B2C6B"/>
    <w:rsid w:val="122BBA6C"/>
    <w:rsid w:val="122FA5C8"/>
    <w:rsid w:val="122FFF32"/>
    <w:rsid w:val="12320099"/>
    <w:rsid w:val="123B598C"/>
    <w:rsid w:val="1241D017"/>
    <w:rsid w:val="12435D3C"/>
    <w:rsid w:val="12491CEA"/>
    <w:rsid w:val="124CCE9B"/>
    <w:rsid w:val="125587BA"/>
    <w:rsid w:val="1260C8AD"/>
    <w:rsid w:val="1266FFEC"/>
    <w:rsid w:val="12684A64"/>
    <w:rsid w:val="1269FEAC"/>
    <w:rsid w:val="126C8BAA"/>
    <w:rsid w:val="126CB092"/>
    <w:rsid w:val="126D11C8"/>
    <w:rsid w:val="126EE617"/>
    <w:rsid w:val="127BCBDF"/>
    <w:rsid w:val="128077BF"/>
    <w:rsid w:val="1280DAA3"/>
    <w:rsid w:val="12818840"/>
    <w:rsid w:val="1285DA84"/>
    <w:rsid w:val="128B1812"/>
    <w:rsid w:val="12954B22"/>
    <w:rsid w:val="129A9363"/>
    <w:rsid w:val="12A20CD3"/>
    <w:rsid w:val="12A2DC26"/>
    <w:rsid w:val="12A79FBC"/>
    <w:rsid w:val="12A9887B"/>
    <w:rsid w:val="12A9B93E"/>
    <w:rsid w:val="12A9BB67"/>
    <w:rsid w:val="12AF3797"/>
    <w:rsid w:val="12B6B89A"/>
    <w:rsid w:val="12C5580B"/>
    <w:rsid w:val="12CF0ED2"/>
    <w:rsid w:val="12D44ED8"/>
    <w:rsid w:val="12D6EBCB"/>
    <w:rsid w:val="12D7B097"/>
    <w:rsid w:val="12D8F37E"/>
    <w:rsid w:val="12D965FC"/>
    <w:rsid w:val="12D99B13"/>
    <w:rsid w:val="12E4FC50"/>
    <w:rsid w:val="12E90308"/>
    <w:rsid w:val="12ECCFC3"/>
    <w:rsid w:val="12ECD839"/>
    <w:rsid w:val="12EDAD35"/>
    <w:rsid w:val="12F2A367"/>
    <w:rsid w:val="12F6698E"/>
    <w:rsid w:val="12F83BDB"/>
    <w:rsid w:val="12FB3B58"/>
    <w:rsid w:val="12FC63A9"/>
    <w:rsid w:val="1301CCA0"/>
    <w:rsid w:val="1306FB84"/>
    <w:rsid w:val="130CD114"/>
    <w:rsid w:val="13126F42"/>
    <w:rsid w:val="131F1FA3"/>
    <w:rsid w:val="13207740"/>
    <w:rsid w:val="1321530C"/>
    <w:rsid w:val="132681D6"/>
    <w:rsid w:val="132683E3"/>
    <w:rsid w:val="132F37BB"/>
    <w:rsid w:val="133210A2"/>
    <w:rsid w:val="13326BAC"/>
    <w:rsid w:val="1333A7C0"/>
    <w:rsid w:val="133872D4"/>
    <w:rsid w:val="1338B019"/>
    <w:rsid w:val="133A4523"/>
    <w:rsid w:val="133FA162"/>
    <w:rsid w:val="13439A54"/>
    <w:rsid w:val="1349AA77"/>
    <w:rsid w:val="134B8B6D"/>
    <w:rsid w:val="134EEB50"/>
    <w:rsid w:val="1350A5C4"/>
    <w:rsid w:val="135D3053"/>
    <w:rsid w:val="135E517D"/>
    <w:rsid w:val="1361CD59"/>
    <w:rsid w:val="13659BD7"/>
    <w:rsid w:val="136A936D"/>
    <w:rsid w:val="136E55EE"/>
    <w:rsid w:val="137170DA"/>
    <w:rsid w:val="1373B4C0"/>
    <w:rsid w:val="1379A1BA"/>
    <w:rsid w:val="137BC5E6"/>
    <w:rsid w:val="137E0441"/>
    <w:rsid w:val="137F6641"/>
    <w:rsid w:val="1386DE29"/>
    <w:rsid w:val="13878238"/>
    <w:rsid w:val="1388D6AF"/>
    <w:rsid w:val="13898C9A"/>
    <w:rsid w:val="138DC17A"/>
    <w:rsid w:val="13904B03"/>
    <w:rsid w:val="13911059"/>
    <w:rsid w:val="139168AF"/>
    <w:rsid w:val="139496FF"/>
    <w:rsid w:val="139A6239"/>
    <w:rsid w:val="13ADA637"/>
    <w:rsid w:val="13B1E475"/>
    <w:rsid w:val="13B30B23"/>
    <w:rsid w:val="13B7572B"/>
    <w:rsid w:val="13BD1CF3"/>
    <w:rsid w:val="13C0BEA7"/>
    <w:rsid w:val="13C5F8C6"/>
    <w:rsid w:val="13CAEFF9"/>
    <w:rsid w:val="13CCAE2D"/>
    <w:rsid w:val="13CF6E6E"/>
    <w:rsid w:val="13D2FD90"/>
    <w:rsid w:val="13D52868"/>
    <w:rsid w:val="13D80517"/>
    <w:rsid w:val="13DDE568"/>
    <w:rsid w:val="13E164F4"/>
    <w:rsid w:val="13E24257"/>
    <w:rsid w:val="13E577C0"/>
    <w:rsid w:val="13E627FF"/>
    <w:rsid w:val="13EF41CB"/>
    <w:rsid w:val="13F37291"/>
    <w:rsid w:val="13F9299A"/>
    <w:rsid w:val="13FC2E63"/>
    <w:rsid w:val="13FE27DD"/>
    <w:rsid w:val="14029C80"/>
    <w:rsid w:val="140BE004"/>
    <w:rsid w:val="140C8F6A"/>
    <w:rsid w:val="14101123"/>
    <w:rsid w:val="14150BC4"/>
    <w:rsid w:val="1417871C"/>
    <w:rsid w:val="1417B2AB"/>
    <w:rsid w:val="14235EB1"/>
    <w:rsid w:val="142B6440"/>
    <w:rsid w:val="14302F3C"/>
    <w:rsid w:val="14311FB4"/>
    <w:rsid w:val="1431AE62"/>
    <w:rsid w:val="14349FB3"/>
    <w:rsid w:val="143644F7"/>
    <w:rsid w:val="143AED98"/>
    <w:rsid w:val="143CFAB5"/>
    <w:rsid w:val="143D8BA6"/>
    <w:rsid w:val="144076B5"/>
    <w:rsid w:val="144092BA"/>
    <w:rsid w:val="1442D6F0"/>
    <w:rsid w:val="144A71E4"/>
    <w:rsid w:val="144B609B"/>
    <w:rsid w:val="144C9E92"/>
    <w:rsid w:val="144CB34E"/>
    <w:rsid w:val="144CECC7"/>
    <w:rsid w:val="14529751"/>
    <w:rsid w:val="14540186"/>
    <w:rsid w:val="1454D94A"/>
    <w:rsid w:val="1464C4E3"/>
    <w:rsid w:val="147389A5"/>
    <w:rsid w:val="1473AA2F"/>
    <w:rsid w:val="14748865"/>
    <w:rsid w:val="14758B07"/>
    <w:rsid w:val="147A0522"/>
    <w:rsid w:val="147BB66B"/>
    <w:rsid w:val="147CE06A"/>
    <w:rsid w:val="14810F41"/>
    <w:rsid w:val="148409D2"/>
    <w:rsid w:val="1495B8D6"/>
    <w:rsid w:val="1499FEC9"/>
    <w:rsid w:val="14A22871"/>
    <w:rsid w:val="14A61C03"/>
    <w:rsid w:val="14AC1C07"/>
    <w:rsid w:val="14B21B18"/>
    <w:rsid w:val="14B8C706"/>
    <w:rsid w:val="14BE17EE"/>
    <w:rsid w:val="14C5B6B3"/>
    <w:rsid w:val="14C7F3C4"/>
    <w:rsid w:val="14C9830A"/>
    <w:rsid w:val="14CB6D3D"/>
    <w:rsid w:val="14CE89D2"/>
    <w:rsid w:val="14D4E419"/>
    <w:rsid w:val="14E34368"/>
    <w:rsid w:val="14E491DA"/>
    <w:rsid w:val="14E67261"/>
    <w:rsid w:val="14E76BC8"/>
    <w:rsid w:val="14EFF5AB"/>
    <w:rsid w:val="14FABB0A"/>
    <w:rsid w:val="14FD4457"/>
    <w:rsid w:val="150341B2"/>
    <w:rsid w:val="1503E764"/>
    <w:rsid w:val="150E5F83"/>
    <w:rsid w:val="150E86D6"/>
    <w:rsid w:val="150F0A9B"/>
    <w:rsid w:val="1512AF87"/>
    <w:rsid w:val="151474E6"/>
    <w:rsid w:val="15149126"/>
    <w:rsid w:val="15159174"/>
    <w:rsid w:val="151773A2"/>
    <w:rsid w:val="151966C2"/>
    <w:rsid w:val="15197D43"/>
    <w:rsid w:val="151A8C71"/>
    <w:rsid w:val="151D2C5C"/>
    <w:rsid w:val="152240A4"/>
    <w:rsid w:val="1522A0D3"/>
    <w:rsid w:val="152875BF"/>
    <w:rsid w:val="15301578"/>
    <w:rsid w:val="1533B6CF"/>
    <w:rsid w:val="153744FA"/>
    <w:rsid w:val="153B339A"/>
    <w:rsid w:val="153BBBC9"/>
    <w:rsid w:val="153FCCA2"/>
    <w:rsid w:val="154123D9"/>
    <w:rsid w:val="15446966"/>
    <w:rsid w:val="1552DB1F"/>
    <w:rsid w:val="155BAE72"/>
    <w:rsid w:val="1562FA92"/>
    <w:rsid w:val="15631FD9"/>
    <w:rsid w:val="15659AE4"/>
    <w:rsid w:val="1567E9D4"/>
    <w:rsid w:val="15694CEB"/>
    <w:rsid w:val="157BD8A5"/>
    <w:rsid w:val="157ECE60"/>
    <w:rsid w:val="157EF21A"/>
    <w:rsid w:val="1580511C"/>
    <w:rsid w:val="15879120"/>
    <w:rsid w:val="15894705"/>
    <w:rsid w:val="158C4B5C"/>
    <w:rsid w:val="1593B370"/>
    <w:rsid w:val="15993BAB"/>
    <w:rsid w:val="159DE00F"/>
    <w:rsid w:val="159ED5C1"/>
    <w:rsid w:val="159F434C"/>
    <w:rsid w:val="15AE3574"/>
    <w:rsid w:val="15B79EB2"/>
    <w:rsid w:val="15C02923"/>
    <w:rsid w:val="15C74A72"/>
    <w:rsid w:val="15C7E677"/>
    <w:rsid w:val="15C94EC3"/>
    <w:rsid w:val="15CA690A"/>
    <w:rsid w:val="15CF2D33"/>
    <w:rsid w:val="15D04710"/>
    <w:rsid w:val="15D408F7"/>
    <w:rsid w:val="15D8A776"/>
    <w:rsid w:val="15DDAB18"/>
    <w:rsid w:val="15DDF01F"/>
    <w:rsid w:val="15E195DC"/>
    <w:rsid w:val="15E5DA36"/>
    <w:rsid w:val="15E5E3AC"/>
    <w:rsid w:val="15E780F8"/>
    <w:rsid w:val="15EC5F02"/>
    <w:rsid w:val="15F612ED"/>
    <w:rsid w:val="15FE86A7"/>
    <w:rsid w:val="15FF0D58"/>
    <w:rsid w:val="160380CA"/>
    <w:rsid w:val="1606EC9D"/>
    <w:rsid w:val="160CF520"/>
    <w:rsid w:val="1613B9B9"/>
    <w:rsid w:val="16168331"/>
    <w:rsid w:val="16181FF2"/>
    <w:rsid w:val="161BAEBF"/>
    <w:rsid w:val="161C6765"/>
    <w:rsid w:val="161D29D1"/>
    <w:rsid w:val="1620BDFC"/>
    <w:rsid w:val="16249E6F"/>
    <w:rsid w:val="162C5655"/>
    <w:rsid w:val="162CEAEE"/>
    <w:rsid w:val="16303559"/>
    <w:rsid w:val="16307781"/>
    <w:rsid w:val="16328997"/>
    <w:rsid w:val="1635FAE5"/>
    <w:rsid w:val="16365B38"/>
    <w:rsid w:val="164630BD"/>
    <w:rsid w:val="164B4B9B"/>
    <w:rsid w:val="164E6C4B"/>
    <w:rsid w:val="1654D99C"/>
    <w:rsid w:val="1657ED66"/>
    <w:rsid w:val="165EE820"/>
    <w:rsid w:val="1660A84E"/>
    <w:rsid w:val="166B3FE7"/>
    <w:rsid w:val="166B8D28"/>
    <w:rsid w:val="166FB477"/>
    <w:rsid w:val="1671E162"/>
    <w:rsid w:val="1672B049"/>
    <w:rsid w:val="1676788D"/>
    <w:rsid w:val="1678035B"/>
    <w:rsid w:val="167DCCB5"/>
    <w:rsid w:val="16897F9B"/>
    <w:rsid w:val="168BE1DF"/>
    <w:rsid w:val="16A2092E"/>
    <w:rsid w:val="16A37293"/>
    <w:rsid w:val="16A50F49"/>
    <w:rsid w:val="16A9E646"/>
    <w:rsid w:val="16ACBF59"/>
    <w:rsid w:val="16B10693"/>
    <w:rsid w:val="16B6B433"/>
    <w:rsid w:val="16C24E22"/>
    <w:rsid w:val="16C6C4E0"/>
    <w:rsid w:val="16C9E680"/>
    <w:rsid w:val="16CBC104"/>
    <w:rsid w:val="16CCC7D0"/>
    <w:rsid w:val="16D246A7"/>
    <w:rsid w:val="16D756B4"/>
    <w:rsid w:val="16D75C1C"/>
    <w:rsid w:val="16D7B45E"/>
    <w:rsid w:val="16DBA4FD"/>
    <w:rsid w:val="16DC0FB5"/>
    <w:rsid w:val="16DCE950"/>
    <w:rsid w:val="16DE8E3B"/>
    <w:rsid w:val="16EDD1DF"/>
    <w:rsid w:val="16F24EA1"/>
    <w:rsid w:val="16F2DA9B"/>
    <w:rsid w:val="16F87259"/>
    <w:rsid w:val="16FB546C"/>
    <w:rsid w:val="16FDA876"/>
    <w:rsid w:val="16FE6A73"/>
    <w:rsid w:val="170BF6C0"/>
    <w:rsid w:val="170D55DF"/>
    <w:rsid w:val="170E7840"/>
    <w:rsid w:val="170EC85E"/>
    <w:rsid w:val="171505D3"/>
    <w:rsid w:val="17154F66"/>
    <w:rsid w:val="17177A90"/>
    <w:rsid w:val="171AAF1B"/>
    <w:rsid w:val="171F3217"/>
    <w:rsid w:val="17213B3A"/>
    <w:rsid w:val="1723514C"/>
    <w:rsid w:val="1723B58F"/>
    <w:rsid w:val="17242B30"/>
    <w:rsid w:val="172FDC91"/>
    <w:rsid w:val="17323540"/>
    <w:rsid w:val="173351D5"/>
    <w:rsid w:val="17346477"/>
    <w:rsid w:val="17402CA0"/>
    <w:rsid w:val="1745FCEA"/>
    <w:rsid w:val="174C8E8B"/>
    <w:rsid w:val="174CB3E5"/>
    <w:rsid w:val="1759ADA7"/>
    <w:rsid w:val="175DEF84"/>
    <w:rsid w:val="17664BA9"/>
    <w:rsid w:val="1766B755"/>
    <w:rsid w:val="17696279"/>
    <w:rsid w:val="176D148F"/>
    <w:rsid w:val="176D9E54"/>
    <w:rsid w:val="177090B9"/>
    <w:rsid w:val="1777915F"/>
    <w:rsid w:val="1778F129"/>
    <w:rsid w:val="177C5048"/>
    <w:rsid w:val="177C6679"/>
    <w:rsid w:val="177F5E2B"/>
    <w:rsid w:val="1780198E"/>
    <w:rsid w:val="17832A22"/>
    <w:rsid w:val="178589E1"/>
    <w:rsid w:val="178B9961"/>
    <w:rsid w:val="17959F5A"/>
    <w:rsid w:val="179697EE"/>
    <w:rsid w:val="17A1D2D0"/>
    <w:rsid w:val="17A69C1D"/>
    <w:rsid w:val="17ACD462"/>
    <w:rsid w:val="17B1B54A"/>
    <w:rsid w:val="17B3DF80"/>
    <w:rsid w:val="17B6F81D"/>
    <w:rsid w:val="17BAAB20"/>
    <w:rsid w:val="17BB24EB"/>
    <w:rsid w:val="17BC5114"/>
    <w:rsid w:val="17C36EEF"/>
    <w:rsid w:val="17CABEBA"/>
    <w:rsid w:val="17CC2718"/>
    <w:rsid w:val="17CF8E32"/>
    <w:rsid w:val="17CF90BC"/>
    <w:rsid w:val="17D05AF6"/>
    <w:rsid w:val="17D2FF8C"/>
    <w:rsid w:val="17D3199B"/>
    <w:rsid w:val="17E1C965"/>
    <w:rsid w:val="17E3CA7A"/>
    <w:rsid w:val="17EA166E"/>
    <w:rsid w:val="17EAB5E2"/>
    <w:rsid w:val="17EBA063"/>
    <w:rsid w:val="17F0BDD0"/>
    <w:rsid w:val="17F1F4BF"/>
    <w:rsid w:val="17F325B6"/>
    <w:rsid w:val="17F6FA26"/>
    <w:rsid w:val="17F9CD29"/>
    <w:rsid w:val="17FDA87F"/>
    <w:rsid w:val="17FDE44E"/>
    <w:rsid w:val="18005684"/>
    <w:rsid w:val="18048C95"/>
    <w:rsid w:val="18077DA3"/>
    <w:rsid w:val="180C708D"/>
    <w:rsid w:val="180C751A"/>
    <w:rsid w:val="18124FCF"/>
    <w:rsid w:val="18128EF5"/>
    <w:rsid w:val="18194E42"/>
    <w:rsid w:val="1819A44B"/>
    <w:rsid w:val="181ABDB6"/>
    <w:rsid w:val="1821251F"/>
    <w:rsid w:val="182E3F7B"/>
    <w:rsid w:val="18332F11"/>
    <w:rsid w:val="1834DF7E"/>
    <w:rsid w:val="183C5923"/>
    <w:rsid w:val="18433A43"/>
    <w:rsid w:val="1843DD3C"/>
    <w:rsid w:val="184748F8"/>
    <w:rsid w:val="1848A32C"/>
    <w:rsid w:val="184A73CA"/>
    <w:rsid w:val="184B1849"/>
    <w:rsid w:val="184FA791"/>
    <w:rsid w:val="1851655F"/>
    <w:rsid w:val="18531905"/>
    <w:rsid w:val="18554BD7"/>
    <w:rsid w:val="1860E6CB"/>
    <w:rsid w:val="1864258F"/>
    <w:rsid w:val="18645850"/>
    <w:rsid w:val="1865D8CB"/>
    <w:rsid w:val="18673AEB"/>
    <w:rsid w:val="186A81C1"/>
    <w:rsid w:val="18707214"/>
    <w:rsid w:val="18758739"/>
    <w:rsid w:val="187C7B2E"/>
    <w:rsid w:val="187DAAD1"/>
    <w:rsid w:val="18802E55"/>
    <w:rsid w:val="1880E388"/>
    <w:rsid w:val="18853E60"/>
    <w:rsid w:val="188A9815"/>
    <w:rsid w:val="188D452B"/>
    <w:rsid w:val="18934FF2"/>
    <w:rsid w:val="1896EA41"/>
    <w:rsid w:val="18972862"/>
    <w:rsid w:val="1897B039"/>
    <w:rsid w:val="1899C2F3"/>
    <w:rsid w:val="189A0724"/>
    <w:rsid w:val="189B8EAB"/>
    <w:rsid w:val="189CA14B"/>
    <w:rsid w:val="189EB976"/>
    <w:rsid w:val="18A0CEEF"/>
    <w:rsid w:val="18A8508E"/>
    <w:rsid w:val="18ABD7D0"/>
    <w:rsid w:val="18B17326"/>
    <w:rsid w:val="18B1BA7F"/>
    <w:rsid w:val="18B83152"/>
    <w:rsid w:val="18B8A7B6"/>
    <w:rsid w:val="18B93CC0"/>
    <w:rsid w:val="18C27C60"/>
    <w:rsid w:val="18C2D938"/>
    <w:rsid w:val="18C4B713"/>
    <w:rsid w:val="18C662D8"/>
    <w:rsid w:val="18C94073"/>
    <w:rsid w:val="18C9D6FF"/>
    <w:rsid w:val="18CA0532"/>
    <w:rsid w:val="18CDF4D3"/>
    <w:rsid w:val="18D2D518"/>
    <w:rsid w:val="18D74185"/>
    <w:rsid w:val="18DB22DA"/>
    <w:rsid w:val="18E0EFD4"/>
    <w:rsid w:val="18E4A1F1"/>
    <w:rsid w:val="18E8AE54"/>
    <w:rsid w:val="18F62C07"/>
    <w:rsid w:val="18F74F75"/>
    <w:rsid w:val="18F946E1"/>
    <w:rsid w:val="18FC8AF7"/>
    <w:rsid w:val="1904BF25"/>
    <w:rsid w:val="190852AE"/>
    <w:rsid w:val="190A9121"/>
    <w:rsid w:val="1910E376"/>
    <w:rsid w:val="191850A8"/>
    <w:rsid w:val="19224074"/>
    <w:rsid w:val="192CDB92"/>
    <w:rsid w:val="192DCE48"/>
    <w:rsid w:val="192ECDC6"/>
    <w:rsid w:val="19360CED"/>
    <w:rsid w:val="193F5DFB"/>
    <w:rsid w:val="1940AC37"/>
    <w:rsid w:val="19428122"/>
    <w:rsid w:val="194DFE7D"/>
    <w:rsid w:val="194E54B4"/>
    <w:rsid w:val="19506931"/>
    <w:rsid w:val="19536B3F"/>
    <w:rsid w:val="19591657"/>
    <w:rsid w:val="195B92F2"/>
    <w:rsid w:val="195D4F0F"/>
    <w:rsid w:val="1961D192"/>
    <w:rsid w:val="1962D64C"/>
    <w:rsid w:val="19632E55"/>
    <w:rsid w:val="196EE33D"/>
    <w:rsid w:val="19740077"/>
    <w:rsid w:val="197748F1"/>
    <w:rsid w:val="19790AE8"/>
    <w:rsid w:val="1982E107"/>
    <w:rsid w:val="1987C195"/>
    <w:rsid w:val="1989009D"/>
    <w:rsid w:val="198CA42C"/>
    <w:rsid w:val="199059B3"/>
    <w:rsid w:val="19924690"/>
    <w:rsid w:val="1995049F"/>
    <w:rsid w:val="199593CC"/>
    <w:rsid w:val="199646D3"/>
    <w:rsid w:val="19A06036"/>
    <w:rsid w:val="19A2D451"/>
    <w:rsid w:val="19A3BFC4"/>
    <w:rsid w:val="19A5D9D0"/>
    <w:rsid w:val="19A7B7CB"/>
    <w:rsid w:val="19A8DD33"/>
    <w:rsid w:val="19ACA4AA"/>
    <w:rsid w:val="19AF964C"/>
    <w:rsid w:val="19C0DBFB"/>
    <w:rsid w:val="19C2C7B5"/>
    <w:rsid w:val="19C32ADD"/>
    <w:rsid w:val="19C38364"/>
    <w:rsid w:val="19C70B81"/>
    <w:rsid w:val="19CF4B55"/>
    <w:rsid w:val="19D1FCF4"/>
    <w:rsid w:val="19D3E803"/>
    <w:rsid w:val="19DC0054"/>
    <w:rsid w:val="19E1085D"/>
    <w:rsid w:val="19E710AC"/>
    <w:rsid w:val="19ECE939"/>
    <w:rsid w:val="19EDCD1E"/>
    <w:rsid w:val="19F71D59"/>
    <w:rsid w:val="19F782F5"/>
    <w:rsid w:val="19F97A1E"/>
    <w:rsid w:val="19FA8BD1"/>
    <w:rsid w:val="19FC0FE7"/>
    <w:rsid w:val="1A00D1F4"/>
    <w:rsid w:val="1A020490"/>
    <w:rsid w:val="1A06E1E8"/>
    <w:rsid w:val="1A0F86A4"/>
    <w:rsid w:val="1A1AFCBF"/>
    <w:rsid w:val="1A1B60A3"/>
    <w:rsid w:val="1A205900"/>
    <w:rsid w:val="1A2189B4"/>
    <w:rsid w:val="1A248841"/>
    <w:rsid w:val="1A259BC1"/>
    <w:rsid w:val="1A2A3950"/>
    <w:rsid w:val="1A2B7797"/>
    <w:rsid w:val="1A2EFAC6"/>
    <w:rsid w:val="1A2F5719"/>
    <w:rsid w:val="1A316AB3"/>
    <w:rsid w:val="1A3C4412"/>
    <w:rsid w:val="1A401154"/>
    <w:rsid w:val="1A4AD532"/>
    <w:rsid w:val="1A4B1CE6"/>
    <w:rsid w:val="1A4C3D45"/>
    <w:rsid w:val="1A516C58"/>
    <w:rsid w:val="1A534668"/>
    <w:rsid w:val="1A568F1E"/>
    <w:rsid w:val="1A59600B"/>
    <w:rsid w:val="1A5D6A49"/>
    <w:rsid w:val="1A5D8164"/>
    <w:rsid w:val="1A5ECAD3"/>
    <w:rsid w:val="1A5FFDE6"/>
    <w:rsid w:val="1A6425A9"/>
    <w:rsid w:val="1A654D95"/>
    <w:rsid w:val="1A681E4D"/>
    <w:rsid w:val="1A6D834E"/>
    <w:rsid w:val="1A6FA2DF"/>
    <w:rsid w:val="1A6FEE97"/>
    <w:rsid w:val="1A77DA2E"/>
    <w:rsid w:val="1A796C89"/>
    <w:rsid w:val="1A7A0273"/>
    <w:rsid w:val="1A7E208B"/>
    <w:rsid w:val="1A8194C0"/>
    <w:rsid w:val="1A826919"/>
    <w:rsid w:val="1A848513"/>
    <w:rsid w:val="1A84ED11"/>
    <w:rsid w:val="1A86756E"/>
    <w:rsid w:val="1A87AB9C"/>
    <w:rsid w:val="1A8B0672"/>
    <w:rsid w:val="1A99DD15"/>
    <w:rsid w:val="1A9D92C2"/>
    <w:rsid w:val="1A9FBFF4"/>
    <w:rsid w:val="1AA3CBCD"/>
    <w:rsid w:val="1AA793ED"/>
    <w:rsid w:val="1AA8EEFD"/>
    <w:rsid w:val="1AAE11D1"/>
    <w:rsid w:val="1AB089CF"/>
    <w:rsid w:val="1ABB0F1D"/>
    <w:rsid w:val="1ABF4E81"/>
    <w:rsid w:val="1AC9BA85"/>
    <w:rsid w:val="1ACABB20"/>
    <w:rsid w:val="1ACF914A"/>
    <w:rsid w:val="1AD8FB96"/>
    <w:rsid w:val="1ADCB2DB"/>
    <w:rsid w:val="1AE2DCB8"/>
    <w:rsid w:val="1AE60A50"/>
    <w:rsid w:val="1AECF61A"/>
    <w:rsid w:val="1AED671E"/>
    <w:rsid w:val="1AEF3718"/>
    <w:rsid w:val="1AFCA983"/>
    <w:rsid w:val="1AFCB183"/>
    <w:rsid w:val="1B020823"/>
    <w:rsid w:val="1B03B5C1"/>
    <w:rsid w:val="1B03D09B"/>
    <w:rsid w:val="1B052D9B"/>
    <w:rsid w:val="1B09F2A8"/>
    <w:rsid w:val="1B105201"/>
    <w:rsid w:val="1B12EA2F"/>
    <w:rsid w:val="1B1DC6B8"/>
    <w:rsid w:val="1B2594D3"/>
    <w:rsid w:val="1B2DAD9D"/>
    <w:rsid w:val="1B32C094"/>
    <w:rsid w:val="1B349158"/>
    <w:rsid w:val="1B3878A5"/>
    <w:rsid w:val="1B395A9D"/>
    <w:rsid w:val="1B3ACC9D"/>
    <w:rsid w:val="1B3F2706"/>
    <w:rsid w:val="1B470EB8"/>
    <w:rsid w:val="1B47CD93"/>
    <w:rsid w:val="1B4B7B6B"/>
    <w:rsid w:val="1B4BADBA"/>
    <w:rsid w:val="1B50C4E1"/>
    <w:rsid w:val="1B53D71F"/>
    <w:rsid w:val="1B57759C"/>
    <w:rsid w:val="1B5B24F8"/>
    <w:rsid w:val="1B5CCF7D"/>
    <w:rsid w:val="1B5FE88F"/>
    <w:rsid w:val="1B63210D"/>
    <w:rsid w:val="1B689670"/>
    <w:rsid w:val="1B6C5FB6"/>
    <w:rsid w:val="1B6F1660"/>
    <w:rsid w:val="1B7CE944"/>
    <w:rsid w:val="1B804258"/>
    <w:rsid w:val="1B8CC021"/>
    <w:rsid w:val="1B8FAFA0"/>
    <w:rsid w:val="1B903661"/>
    <w:rsid w:val="1B93B62A"/>
    <w:rsid w:val="1B9F2B29"/>
    <w:rsid w:val="1BA45B42"/>
    <w:rsid w:val="1BA65DAA"/>
    <w:rsid w:val="1BAC3434"/>
    <w:rsid w:val="1BAD285F"/>
    <w:rsid w:val="1BB63655"/>
    <w:rsid w:val="1BB6472A"/>
    <w:rsid w:val="1BBA9B24"/>
    <w:rsid w:val="1BBF658C"/>
    <w:rsid w:val="1BC4D60D"/>
    <w:rsid w:val="1BC7D9E7"/>
    <w:rsid w:val="1BC92C9C"/>
    <w:rsid w:val="1BCA8D73"/>
    <w:rsid w:val="1BCD98FB"/>
    <w:rsid w:val="1BD694BF"/>
    <w:rsid w:val="1BDDA53C"/>
    <w:rsid w:val="1BE2D1BB"/>
    <w:rsid w:val="1BEAF33F"/>
    <w:rsid w:val="1BEEB697"/>
    <w:rsid w:val="1BF2788C"/>
    <w:rsid w:val="1BF62C70"/>
    <w:rsid w:val="1BFA35BC"/>
    <w:rsid w:val="1BFEBFD2"/>
    <w:rsid w:val="1BFF4EFD"/>
    <w:rsid w:val="1BFFEAFE"/>
    <w:rsid w:val="1C035B39"/>
    <w:rsid w:val="1C035E58"/>
    <w:rsid w:val="1C09319C"/>
    <w:rsid w:val="1C095CCA"/>
    <w:rsid w:val="1C0CAF5C"/>
    <w:rsid w:val="1C1210F9"/>
    <w:rsid w:val="1C17A911"/>
    <w:rsid w:val="1C277FD7"/>
    <w:rsid w:val="1C291991"/>
    <w:rsid w:val="1C2C427A"/>
    <w:rsid w:val="1C2CE7EA"/>
    <w:rsid w:val="1C33D755"/>
    <w:rsid w:val="1C3CC59B"/>
    <w:rsid w:val="1C4A4863"/>
    <w:rsid w:val="1C4EE16F"/>
    <w:rsid w:val="1C4FC852"/>
    <w:rsid w:val="1C50D9CD"/>
    <w:rsid w:val="1C51EDF4"/>
    <w:rsid w:val="1C55435A"/>
    <w:rsid w:val="1C56E61F"/>
    <w:rsid w:val="1C58FD6B"/>
    <w:rsid w:val="1C59ABDF"/>
    <w:rsid w:val="1C5B6B25"/>
    <w:rsid w:val="1C5CFD9D"/>
    <w:rsid w:val="1C6331B5"/>
    <w:rsid w:val="1C64A363"/>
    <w:rsid w:val="1C6C96AA"/>
    <w:rsid w:val="1C6FD26E"/>
    <w:rsid w:val="1C764625"/>
    <w:rsid w:val="1C7BA20C"/>
    <w:rsid w:val="1C7DF48B"/>
    <w:rsid w:val="1C817225"/>
    <w:rsid w:val="1C891A83"/>
    <w:rsid w:val="1C91B8BA"/>
    <w:rsid w:val="1C946BD8"/>
    <w:rsid w:val="1C952385"/>
    <w:rsid w:val="1C96052D"/>
    <w:rsid w:val="1C991EC7"/>
    <w:rsid w:val="1C99B691"/>
    <w:rsid w:val="1C99CA9A"/>
    <w:rsid w:val="1CA3AE66"/>
    <w:rsid w:val="1CAFE452"/>
    <w:rsid w:val="1CB0A042"/>
    <w:rsid w:val="1CB18D85"/>
    <w:rsid w:val="1CB426F0"/>
    <w:rsid w:val="1CB646A5"/>
    <w:rsid w:val="1CB750B2"/>
    <w:rsid w:val="1CBFAFF5"/>
    <w:rsid w:val="1CC3551D"/>
    <w:rsid w:val="1CC8E301"/>
    <w:rsid w:val="1CC9C976"/>
    <w:rsid w:val="1CCAB278"/>
    <w:rsid w:val="1CCC2B17"/>
    <w:rsid w:val="1CD6EE79"/>
    <w:rsid w:val="1CD9B656"/>
    <w:rsid w:val="1CDEEDA9"/>
    <w:rsid w:val="1CE07E17"/>
    <w:rsid w:val="1CE1B465"/>
    <w:rsid w:val="1CE68E4F"/>
    <w:rsid w:val="1CE7C033"/>
    <w:rsid w:val="1CE80D1A"/>
    <w:rsid w:val="1CEBCF76"/>
    <w:rsid w:val="1CEC6BD1"/>
    <w:rsid w:val="1CED52D7"/>
    <w:rsid w:val="1CED7B49"/>
    <w:rsid w:val="1CF8DC60"/>
    <w:rsid w:val="1CFBB703"/>
    <w:rsid w:val="1D02ED8B"/>
    <w:rsid w:val="1D030F7D"/>
    <w:rsid w:val="1D07BA22"/>
    <w:rsid w:val="1D103294"/>
    <w:rsid w:val="1D1280C6"/>
    <w:rsid w:val="1D179A10"/>
    <w:rsid w:val="1D185E16"/>
    <w:rsid w:val="1D1C3ED2"/>
    <w:rsid w:val="1D1F887C"/>
    <w:rsid w:val="1D3521B7"/>
    <w:rsid w:val="1D363BD7"/>
    <w:rsid w:val="1D395F4D"/>
    <w:rsid w:val="1D3B494A"/>
    <w:rsid w:val="1D3D0C4A"/>
    <w:rsid w:val="1D40DDDB"/>
    <w:rsid w:val="1D460DB1"/>
    <w:rsid w:val="1D494B9B"/>
    <w:rsid w:val="1D49CC9B"/>
    <w:rsid w:val="1D4D6C48"/>
    <w:rsid w:val="1D4E7A36"/>
    <w:rsid w:val="1D529A60"/>
    <w:rsid w:val="1D53868B"/>
    <w:rsid w:val="1D579489"/>
    <w:rsid w:val="1D585E8A"/>
    <w:rsid w:val="1D6DA226"/>
    <w:rsid w:val="1D6ED154"/>
    <w:rsid w:val="1D6F7BEE"/>
    <w:rsid w:val="1D71CC0F"/>
    <w:rsid w:val="1D74C703"/>
    <w:rsid w:val="1D7A94A3"/>
    <w:rsid w:val="1D7C18C6"/>
    <w:rsid w:val="1D8CC23B"/>
    <w:rsid w:val="1D8F45C8"/>
    <w:rsid w:val="1D92218A"/>
    <w:rsid w:val="1D93AFFC"/>
    <w:rsid w:val="1D95A887"/>
    <w:rsid w:val="1D9756C1"/>
    <w:rsid w:val="1DA6657A"/>
    <w:rsid w:val="1DA8B235"/>
    <w:rsid w:val="1DA8D8AA"/>
    <w:rsid w:val="1DA90FA3"/>
    <w:rsid w:val="1DAD1407"/>
    <w:rsid w:val="1DB1CD7A"/>
    <w:rsid w:val="1DB47CF2"/>
    <w:rsid w:val="1DB5F8C8"/>
    <w:rsid w:val="1DBC8E2E"/>
    <w:rsid w:val="1DBFE884"/>
    <w:rsid w:val="1DC7A84C"/>
    <w:rsid w:val="1DC7CD23"/>
    <w:rsid w:val="1DCE3E7E"/>
    <w:rsid w:val="1DD06E0C"/>
    <w:rsid w:val="1DD5D103"/>
    <w:rsid w:val="1DD67D71"/>
    <w:rsid w:val="1DD6A8B3"/>
    <w:rsid w:val="1DD845C5"/>
    <w:rsid w:val="1DDEB757"/>
    <w:rsid w:val="1DE00BDE"/>
    <w:rsid w:val="1DE2C7AE"/>
    <w:rsid w:val="1DE37A78"/>
    <w:rsid w:val="1DF2B0B8"/>
    <w:rsid w:val="1DF68F7E"/>
    <w:rsid w:val="1DFB6B19"/>
    <w:rsid w:val="1DFE5CE3"/>
    <w:rsid w:val="1DFEFEED"/>
    <w:rsid w:val="1E00EFB7"/>
    <w:rsid w:val="1E00EFE5"/>
    <w:rsid w:val="1E01796A"/>
    <w:rsid w:val="1E03EB3A"/>
    <w:rsid w:val="1E0436B0"/>
    <w:rsid w:val="1E07050E"/>
    <w:rsid w:val="1E12AA02"/>
    <w:rsid w:val="1E165E6C"/>
    <w:rsid w:val="1E1AC675"/>
    <w:rsid w:val="1E1C5541"/>
    <w:rsid w:val="1E1E2762"/>
    <w:rsid w:val="1E25B44A"/>
    <w:rsid w:val="1E277CC2"/>
    <w:rsid w:val="1E29AEFF"/>
    <w:rsid w:val="1E2C0C8F"/>
    <w:rsid w:val="1E2FAE6F"/>
    <w:rsid w:val="1E3257FF"/>
    <w:rsid w:val="1E36992A"/>
    <w:rsid w:val="1E3713DE"/>
    <w:rsid w:val="1E3C6C9F"/>
    <w:rsid w:val="1E3EB917"/>
    <w:rsid w:val="1E3EDDA0"/>
    <w:rsid w:val="1E450A4E"/>
    <w:rsid w:val="1E4754F1"/>
    <w:rsid w:val="1E499943"/>
    <w:rsid w:val="1E49FAEB"/>
    <w:rsid w:val="1E52F962"/>
    <w:rsid w:val="1E555EF1"/>
    <w:rsid w:val="1E559D27"/>
    <w:rsid w:val="1E5CD914"/>
    <w:rsid w:val="1E5F99E0"/>
    <w:rsid w:val="1E610EE2"/>
    <w:rsid w:val="1E63E64E"/>
    <w:rsid w:val="1E6671DB"/>
    <w:rsid w:val="1E694C0F"/>
    <w:rsid w:val="1E71511B"/>
    <w:rsid w:val="1E75B5E0"/>
    <w:rsid w:val="1E7A3868"/>
    <w:rsid w:val="1E7E944C"/>
    <w:rsid w:val="1E816E64"/>
    <w:rsid w:val="1E81A38A"/>
    <w:rsid w:val="1E821C0B"/>
    <w:rsid w:val="1E84E17A"/>
    <w:rsid w:val="1E855B9F"/>
    <w:rsid w:val="1E944772"/>
    <w:rsid w:val="1E9647C2"/>
    <w:rsid w:val="1EA07C67"/>
    <w:rsid w:val="1EA42257"/>
    <w:rsid w:val="1EA52B46"/>
    <w:rsid w:val="1EAEE12C"/>
    <w:rsid w:val="1EB11A8F"/>
    <w:rsid w:val="1EB3F0BA"/>
    <w:rsid w:val="1EB47B23"/>
    <w:rsid w:val="1EB5EF4F"/>
    <w:rsid w:val="1EB6EB93"/>
    <w:rsid w:val="1EBC252C"/>
    <w:rsid w:val="1EBF199B"/>
    <w:rsid w:val="1EC025C1"/>
    <w:rsid w:val="1EC21831"/>
    <w:rsid w:val="1EC2DC52"/>
    <w:rsid w:val="1EC7432A"/>
    <w:rsid w:val="1ECC9426"/>
    <w:rsid w:val="1ECD222B"/>
    <w:rsid w:val="1ED0CAD6"/>
    <w:rsid w:val="1ED8DACB"/>
    <w:rsid w:val="1ED94EF0"/>
    <w:rsid w:val="1EE04692"/>
    <w:rsid w:val="1EE12D40"/>
    <w:rsid w:val="1EEC5349"/>
    <w:rsid w:val="1EF14DB4"/>
    <w:rsid w:val="1EF25C99"/>
    <w:rsid w:val="1EF79890"/>
    <w:rsid w:val="1EF9F131"/>
    <w:rsid w:val="1EFD6AB8"/>
    <w:rsid w:val="1F05BA6E"/>
    <w:rsid w:val="1F0CF353"/>
    <w:rsid w:val="1F138F5D"/>
    <w:rsid w:val="1F147B3C"/>
    <w:rsid w:val="1F14C8B5"/>
    <w:rsid w:val="1F168BDB"/>
    <w:rsid w:val="1F17C8FC"/>
    <w:rsid w:val="1F2204B2"/>
    <w:rsid w:val="1F279E90"/>
    <w:rsid w:val="1F27D591"/>
    <w:rsid w:val="1F2B14AA"/>
    <w:rsid w:val="1F2FB658"/>
    <w:rsid w:val="1F33ACC7"/>
    <w:rsid w:val="1F377F0E"/>
    <w:rsid w:val="1F468908"/>
    <w:rsid w:val="1F4797DB"/>
    <w:rsid w:val="1F51202A"/>
    <w:rsid w:val="1F519DCB"/>
    <w:rsid w:val="1F58812C"/>
    <w:rsid w:val="1F5B88AE"/>
    <w:rsid w:val="1F5F8D40"/>
    <w:rsid w:val="1F60CF51"/>
    <w:rsid w:val="1F6B6041"/>
    <w:rsid w:val="1F6D7B83"/>
    <w:rsid w:val="1F6EEBF6"/>
    <w:rsid w:val="1F78AE65"/>
    <w:rsid w:val="1F7C1B2B"/>
    <w:rsid w:val="1F7DEA5C"/>
    <w:rsid w:val="1F7DF415"/>
    <w:rsid w:val="1F82C6C1"/>
    <w:rsid w:val="1F870A5B"/>
    <w:rsid w:val="1F8E94A8"/>
    <w:rsid w:val="1F900EB2"/>
    <w:rsid w:val="1F9B1776"/>
    <w:rsid w:val="1F9F6E12"/>
    <w:rsid w:val="1FA07EA4"/>
    <w:rsid w:val="1FA32BD5"/>
    <w:rsid w:val="1FA40275"/>
    <w:rsid w:val="1FAB076A"/>
    <w:rsid w:val="1FAB2EB7"/>
    <w:rsid w:val="1FAB62AE"/>
    <w:rsid w:val="1FAEDE7F"/>
    <w:rsid w:val="1FB1B453"/>
    <w:rsid w:val="1FB1EDEE"/>
    <w:rsid w:val="1FB267A4"/>
    <w:rsid w:val="1FBA1307"/>
    <w:rsid w:val="1FC6AD7F"/>
    <w:rsid w:val="1FCB86F7"/>
    <w:rsid w:val="1FE3AF29"/>
    <w:rsid w:val="1FE4BA8F"/>
    <w:rsid w:val="1FE843C4"/>
    <w:rsid w:val="1FE9180F"/>
    <w:rsid w:val="1FEC65D5"/>
    <w:rsid w:val="1FF5633E"/>
    <w:rsid w:val="1FF6E38A"/>
    <w:rsid w:val="1FF7139D"/>
    <w:rsid w:val="1FFC2B49"/>
    <w:rsid w:val="1FFDBF36"/>
    <w:rsid w:val="2001E912"/>
    <w:rsid w:val="20059C15"/>
    <w:rsid w:val="20070181"/>
    <w:rsid w:val="200CB8D9"/>
    <w:rsid w:val="20100100"/>
    <w:rsid w:val="20174861"/>
    <w:rsid w:val="201AFB98"/>
    <w:rsid w:val="201F02FE"/>
    <w:rsid w:val="201FA4DA"/>
    <w:rsid w:val="20237CBF"/>
    <w:rsid w:val="20267A11"/>
    <w:rsid w:val="2027BAC7"/>
    <w:rsid w:val="202DE910"/>
    <w:rsid w:val="202EB4C1"/>
    <w:rsid w:val="20300502"/>
    <w:rsid w:val="2036E054"/>
    <w:rsid w:val="2038E652"/>
    <w:rsid w:val="203FACC8"/>
    <w:rsid w:val="204CAC2F"/>
    <w:rsid w:val="204E8BB1"/>
    <w:rsid w:val="20504EF0"/>
    <w:rsid w:val="2054CEAF"/>
    <w:rsid w:val="205D2B29"/>
    <w:rsid w:val="20608864"/>
    <w:rsid w:val="20675CB6"/>
    <w:rsid w:val="206B2B16"/>
    <w:rsid w:val="206E5EE3"/>
    <w:rsid w:val="206FCFE6"/>
    <w:rsid w:val="20791092"/>
    <w:rsid w:val="207D425F"/>
    <w:rsid w:val="207F4C13"/>
    <w:rsid w:val="208281AB"/>
    <w:rsid w:val="208330C5"/>
    <w:rsid w:val="208B4E1C"/>
    <w:rsid w:val="208F9B04"/>
    <w:rsid w:val="20946B2D"/>
    <w:rsid w:val="209AACA9"/>
    <w:rsid w:val="209D143B"/>
    <w:rsid w:val="20AB83FA"/>
    <w:rsid w:val="20B11FCE"/>
    <w:rsid w:val="20B3E911"/>
    <w:rsid w:val="20BA4E75"/>
    <w:rsid w:val="20BF66A7"/>
    <w:rsid w:val="20C2529D"/>
    <w:rsid w:val="20C436EC"/>
    <w:rsid w:val="20D0A241"/>
    <w:rsid w:val="20D28E40"/>
    <w:rsid w:val="20D3E557"/>
    <w:rsid w:val="20D4C00B"/>
    <w:rsid w:val="20D8D982"/>
    <w:rsid w:val="20E1F151"/>
    <w:rsid w:val="20E4C2F3"/>
    <w:rsid w:val="20E6178A"/>
    <w:rsid w:val="20E67CD5"/>
    <w:rsid w:val="20E6E749"/>
    <w:rsid w:val="20E8AE72"/>
    <w:rsid w:val="20EA45E4"/>
    <w:rsid w:val="20EB8264"/>
    <w:rsid w:val="20EB8352"/>
    <w:rsid w:val="20EC20D1"/>
    <w:rsid w:val="20EF54A2"/>
    <w:rsid w:val="20F00574"/>
    <w:rsid w:val="20F02159"/>
    <w:rsid w:val="20F1A686"/>
    <w:rsid w:val="2104E68D"/>
    <w:rsid w:val="21052571"/>
    <w:rsid w:val="210F7C45"/>
    <w:rsid w:val="21191985"/>
    <w:rsid w:val="211DA6F1"/>
    <w:rsid w:val="2122993E"/>
    <w:rsid w:val="2122D0CF"/>
    <w:rsid w:val="2123C311"/>
    <w:rsid w:val="21286F25"/>
    <w:rsid w:val="212BEBB7"/>
    <w:rsid w:val="212D69CB"/>
    <w:rsid w:val="213064B0"/>
    <w:rsid w:val="21318E72"/>
    <w:rsid w:val="2132BBD4"/>
    <w:rsid w:val="21427C23"/>
    <w:rsid w:val="2142D9E2"/>
    <w:rsid w:val="21463DED"/>
    <w:rsid w:val="214A0B41"/>
    <w:rsid w:val="214B55D4"/>
    <w:rsid w:val="214BCAA5"/>
    <w:rsid w:val="214D9140"/>
    <w:rsid w:val="214DBCAE"/>
    <w:rsid w:val="214E03E1"/>
    <w:rsid w:val="21509B0F"/>
    <w:rsid w:val="21512954"/>
    <w:rsid w:val="21635BE3"/>
    <w:rsid w:val="2164504C"/>
    <w:rsid w:val="2165FE1E"/>
    <w:rsid w:val="216D82B8"/>
    <w:rsid w:val="2174861D"/>
    <w:rsid w:val="21776247"/>
    <w:rsid w:val="2181DF80"/>
    <w:rsid w:val="2181FB4F"/>
    <w:rsid w:val="2184EFD4"/>
    <w:rsid w:val="218967AC"/>
    <w:rsid w:val="218AD07F"/>
    <w:rsid w:val="218BC1FD"/>
    <w:rsid w:val="219067A3"/>
    <w:rsid w:val="21949B4D"/>
    <w:rsid w:val="219BB18B"/>
    <w:rsid w:val="219EE1D3"/>
    <w:rsid w:val="21B618E1"/>
    <w:rsid w:val="21BEB7FC"/>
    <w:rsid w:val="21C177F3"/>
    <w:rsid w:val="21C3664F"/>
    <w:rsid w:val="21C62FED"/>
    <w:rsid w:val="21C961B8"/>
    <w:rsid w:val="21D21F91"/>
    <w:rsid w:val="21D31F82"/>
    <w:rsid w:val="21D41AC0"/>
    <w:rsid w:val="21D634F0"/>
    <w:rsid w:val="21E7E248"/>
    <w:rsid w:val="21E852CB"/>
    <w:rsid w:val="21F4974E"/>
    <w:rsid w:val="21F8FFA5"/>
    <w:rsid w:val="21F91D90"/>
    <w:rsid w:val="21FA0F25"/>
    <w:rsid w:val="21FA69E0"/>
    <w:rsid w:val="21FC7FA0"/>
    <w:rsid w:val="21FDE9FC"/>
    <w:rsid w:val="21FFEFEB"/>
    <w:rsid w:val="2207005D"/>
    <w:rsid w:val="2209F2A5"/>
    <w:rsid w:val="220BEF01"/>
    <w:rsid w:val="2215B9FB"/>
    <w:rsid w:val="22177EE9"/>
    <w:rsid w:val="22185BE4"/>
    <w:rsid w:val="22190741"/>
    <w:rsid w:val="2224B19A"/>
    <w:rsid w:val="2224FAAD"/>
    <w:rsid w:val="222D8F05"/>
    <w:rsid w:val="222DAF93"/>
    <w:rsid w:val="222F4E1C"/>
    <w:rsid w:val="22329A4B"/>
    <w:rsid w:val="2235B1AE"/>
    <w:rsid w:val="2239348B"/>
    <w:rsid w:val="224596E8"/>
    <w:rsid w:val="224AE7BE"/>
    <w:rsid w:val="224F6F01"/>
    <w:rsid w:val="2257B081"/>
    <w:rsid w:val="225B23E3"/>
    <w:rsid w:val="225B6580"/>
    <w:rsid w:val="225D16BC"/>
    <w:rsid w:val="225D8D62"/>
    <w:rsid w:val="2260D614"/>
    <w:rsid w:val="2266C88C"/>
    <w:rsid w:val="2268676D"/>
    <w:rsid w:val="22695C9F"/>
    <w:rsid w:val="226E7E29"/>
    <w:rsid w:val="22706062"/>
    <w:rsid w:val="2270A9EF"/>
    <w:rsid w:val="2275E8EE"/>
    <w:rsid w:val="2277E951"/>
    <w:rsid w:val="2286BA35"/>
    <w:rsid w:val="2288A67D"/>
    <w:rsid w:val="22963C49"/>
    <w:rsid w:val="229810E5"/>
    <w:rsid w:val="22988249"/>
    <w:rsid w:val="22A110AB"/>
    <w:rsid w:val="22A2387B"/>
    <w:rsid w:val="22A3067A"/>
    <w:rsid w:val="22A3A663"/>
    <w:rsid w:val="22AC6194"/>
    <w:rsid w:val="22AEACCB"/>
    <w:rsid w:val="22AFA15D"/>
    <w:rsid w:val="22B0FBB9"/>
    <w:rsid w:val="22B5F589"/>
    <w:rsid w:val="22C56645"/>
    <w:rsid w:val="22D07F8D"/>
    <w:rsid w:val="22D3838D"/>
    <w:rsid w:val="22D67C18"/>
    <w:rsid w:val="22E178F7"/>
    <w:rsid w:val="22E56847"/>
    <w:rsid w:val="22E6FA38"/>
    <w:rsid w:val="22EB53E8"/>
    <w:rsid w:val="22EB66B8"/>
    <w:rsid w:val="22EB9C62"/>
    <w:rsid w:val="22EC7BB3"/>
    <w:rsid w:val="22EEAD8D"/>
    <w:rsid w:val="22EF1219"/>
    <w:rsid w:val="22F474D4"/>
    <w:rsid w:val="22F9917B"/>
    <w:rsid w:val="22FF18E4"/>
    <w:rsid w:val="2302086C"/>
    <w:rsid w:val="23026975"/>
    <w:rsid w:val="2305A6E5"/>
    <w:rsid w:val="230B5D43"/>
    <w:rsid w:val="230E79B1"/>
    <w:rsid w:val="2311112C"/>
    <w:rsid w:val="23134044"/>
    <w:rsid w:val="231DD1E8"/>
    <w:rsid w:val="2327A527"/>
    <w:rsid w:val="232B85F3"/>
    <w:rsid w:val="232C290B"/>
    <w:rsid w:val="23312148"/>
    <w:rsid w:val="2333C649"/>
    <w:rsid w:val="2336183D"/>
    <w:rsid w:val="2338316F"/>
    <w:rsid w:val="23396237"/>
    <w:rsid w:val="23396B95"/>
    <w:rsid w:val="2343393B"/>
    <w:rsid w:val="2348FE63"/>
    <w:rsid w:val="23539832"/>
    <w:rsid w:val="23552E90"/>
    <w:rsid w:val="23562E98"/>
    <w:rsid w:val="23589B5E"/>
    <w:rsid w:val="235A96D1"/>
    <w:rsid w:val="235C71B1"/>
    <w:rsid w:val="2366C22A"/>
    <w:rsid w:val="2367528C"/>
    <w:rsid w:val="23680B59"/>
    <w:rsid w:val="236DC302"/>
    <w:rsid w:val="236E4E7F"/>
    <w:rsid w:val="236ECDB0"/>
    <w:rsid w:val="2370C48D"/>
    <w:rsid w:val="2378E637"/>
    <w:rsid w:val="2379061C"/>
    <w:rsid w:val="2380060E"/>
    <w:rsid w:val="23807517"/>
    <w:rsid w:val="238289E5"/>
    <w:rsid w:val="2388B226"/>
    <w:rsid w:val="23898A93"/>
    <w:rsid w:val="238996F0"/>
    <w:rsid w:val="238CA777"/>
    <w:rsid w:val="239110D3"/>
    <w:rsid w:val="239247D3"/>
    <w:rsid w:val="2393A0E1"/>
    <w:rsid w:val="2395A1B2"/>
    <w:rsid w:val="23B7C7C4"/>
    <w:rsid w:val="23B86DF9"/>
    <w:rsid w:val="23BF0141"/>
    <w:rsid w:val="23C0FE3A"/>
    <w:rsid w:val="23C9A664"/>
    <w:rsid w:val="23CA0C9C"/>
    <w:rsid w:val="23CE2FA6"/>
    <w:rsid w:val="23D27ED9"/>
    <w:rsid w:val="23D3B180"/>
    <w:rsid w:val="23D6D8F3"/>
    <w:rsid w:val="23DAC07B"/>
    <w:rsid w:val="23DD6DE0"/>
    <w:rsid w:val="23E4EFDE"/>
    <w:rsid w:val="23E7BDE9"/>
    <w:rsid w:val="23E8ED58"/>
    <w:rsid w:val="23EFECDB"/>
    <w:rsid w:val="23F0CE61"/>
    <w:rsid w:val="23F65594"/>
    <w:rsid w:val="23FD7F81"/>
    <w:rsid w:val="2400C6E9"/>
    <w:rsid w:val="240F115D"/>
    <w:rsid w:val="24122EAA"/>
    <w:rsid w:val="2417F2FD"/>
    <w:rsid w:val="241C1D07"/>
    <w:rsid w:val="2420B987"/>
    <w:rsid w:val="242A44A0"/>
    <w:rsid w:val="242A84E6"/>
    <w:rsid w:val="242A99A0"/>
    <w:rsid w:val="242ADB53"/>
    <w:rsid w:val="24357DB3"/>
    <w:rsid w:val="243944AC"/>
    <w:rsid w:val="24396358"/>
    <w:rsid w:val="243C905C"/>
    <w:rsid w:val="24511AAD"/>
    <w:rsid w:val="2452271E"/>
    <w:rsid w:val="2453A776"/>
    <w:rsid w:val="24555993"/>
    <w:rsid w:val="24592563"/>
    <w:rsid w:val="2460C29A"/>
    <w:rsid w:val="2460E797"/>
    <w:rsid w:val="2462D08E"/>
    <w:rsid w:val="24661372"/>
    <w:rsid w:val="24690AFE"/>
    <w:rsid w:val="24697755"/>
    <w:rsid w:val="2469E771"/>
    <w:rsid w:val="246D000D"/>
    <w:rsid w:val="246FED1C"/>
    <w:rsid w:val="2478872D"/>
    <w:rsid w:val="247AC7C0"/>
    <w:rsid w:val="24817EEB"/>
    <w:rsid w:val="2485814E"/>
    <w:rsid w:val="2487B319"/>
    <w:rsid w:val="248EB38C"/>
    <w:rsid w:val="248F23ED"/>
    <w:rsid w:val="2493BBF0"/>
    <w:rsid w:val="249485F0"/>
    <w:rsid w:val="2497AE8B"/>
    <w:rsid w:val="249BDCD0"/>
    <w:rsid w:val="249D4DC6"/>
    <w:rsid w:val="249DF91D"/>
    <w:rsid w:val="24A86A22"/>
    <w:rsid w:val="24B1777F"/>
    <w:rsid w:val="24B5677D"/>
    <w:rsid w:val="24BA87DD"/>
    <w:rsid w:val="24BD21EA"/>
    <w:rsid w:val="24BD7B6B"/>
    <w:rsid w:val="24BEB68A"/>
    <w:rsid w:val="24BFAC74"/>
    <w:rsid w:val="24C1E915"/>
    <w:rsid w:val="24C25615"/>
    <w:rsid w:val="24C3A8A3"/>
    <w:rsid w:val="24C4A51F"/>
    <w:rsid w:val="24CC1B91"/>
    <w:rsid w:val="24D7BB6C"/>
    <w:rsid w:val="24D91542"/>
    <w:rsid w:val="24DB448B"/>
    <w:rsid w:val="24DC5634"/>
    <w:rsid w:val="24E5C9FC"/>
    <w:rsid w:val="24EB4D7E"/>
    <w:rsid w:val="24F1D91E"/>
    <w:rsid w:val="24F34849"/>
    <w:rsid w:val="24F3E685"/>
    <w:rsid w:val="24FC05FD"/>
    <w:rsid w:val="24FCCD84"/>
    <w:rsid w:val="24FD7738"/>
    <w:rsid w:val="25023DF9"/>
    <w:rsid w:val="250405B3"/>
    <w:rsid w:val="2508DC48"/>
    <w:rsid w:val="250B015C"/>
    <w:rsid w:val="251B8807"/>
    <w:rsid w:val="251C39B9"/>
    <w:rsid w:val="25263FF9"/>
    <w:rsid w:val="2528E565"/>
    <w:rsid w:val="2535D6BC"/>
    <w:rsid w:val="253F2EF4"/>
    <w:rsid w:val="2546D3C0"/>
    <w:rsid w:val="254B3917"/>
    <w:rsid w:val="254BB524"/>
    <w:rsid w:val="254C696A"/>
    <w:rsid w:val="254D68E5"/>
    <w:rsid w:val="25508A9A"/>
    <w:rsid w:val="25513B03"/>
    <w:rsid w:val="255D3D17"/>
    <w:rsid w:val="256592CB"/>
    <w:rsid w:val="25689A3A"/>
    <w:rsid w:val="2569775F"/>
    <w:rsid w:val="256E7E1F"/>
    <w:rsid w:val="2579E39C"/>
    <w:rsid w:val="2583852A"/>
    <w:rsid w:val="258BEC09"/>
    <w:rsid w:val="258C388B"/>
    <w:rsid w:val="2593B201"/>
    <w:rsid w:val="25A37C19"/>
    <w:rsid w:val="25A4C76B"/>
    <w:rsid w:val="25A64629"/>
    <w:rsid w:val="25A82E5C"/>
    <w:rsid w:val="25A897C2"/>
    <w:rsid w:val="25AA1B1B"/>
    <w:rsid w:val="25ADA73A"/>
    <w:rsid w:val="25B0762A"/>
    <w:rsid w:val="25B3DB78"/>
    <w:rsid w:val="25B65C88"/>
    <w:rsid w:val="25B69F35"/>
    <w:rsid w:val="25B92A4B"/>
    <w:rsid w:val="25BB25F6"/>
    <w:rsid w:val="25C2168F"/>
    <w:rsid w:val="25C75A35"/>
    <w:rsid w:val="25D01786"/>
    <w:rsid w:val="25D10D13"/>
    <w:rsid w:val="25D26DF4"/>
    <w:rsid w:val="25D39D7E"/>
    <w:rsid w:val="25D77FD7"/>
    <w:rsid w:val="25E2A30D"/>
    <w:rsid w:val="25E426B0"/>
    <w:rsid w:val="25E55839"/>
    <w:rsid w:val="25E7DA3C"/>
    <w:rsid w:val="25F21C05"/>
    <w:rsid w:val="25F32EC9"/>
    <w:rsid w:val="25FA9E80"/>
    <w:rsid w:val="25FE3035"/>
    <w:rsid w:val="260393A0"/>
    <w:rsid w:val="26057086"/>
    <w:rsid w:val="261AC4E5"/>
    <w:rsid w:val="261FE107"/>
    <w:rsid w:val="26240A09"/>
    <w:rsid w:val="2625CED0"/>
    <w:rsid w:val="262B0C44"/>
    <w:rsid w:val="262B1BD2"/>
    <w:rsid w:val="262BB206"/>
    <w:rsid w:val="26331174"/>
    <w:rsid w:val="263A9A24"/>
    <w:rsid w:val="263AEF1D"/>
    <w:rsid w:val="263E7E25"/>
    <w:rsid w:val="264538E7"/>
    <w:rsid w:val="265BEC89"/>
    <w:rsid w:val="2660890C"/>
    <w:rsid w:val="2669E056"/>
    <w:rsid w:val="266BEAB2"/>
    <w:rsid w:val="26705DBD"/>
    <w:rsid w:val="26732582"/>
    <w:rsid w:val="26764705"/>
    <w:rsid w:val="26816146"/>
    <w:rsid w:val="26819522"/>
    <w:rsid w:val="2684714A"/>
    <w:rsid w:val="268B2B02"/>
    <w:rsid w:val="2690593B"/>
    <w:rsid w:val="2693B9D6"/>
    <w:rsid w:val="26993C02"/>
    <w:rsid w:val="26A6F95B"/>
    <w:rsid w:val="26AB69DE"/>
    <w:rsid w:val="26AF1F06"/>
    <w:rsid w:val="26B308F3"/>
    <w:rsid w:val="26B56D4D"/>
    <w:rsid w:val="26B6BC1F"/>
    <w:rsid w:val="26B80712"/>
    <w:rsid w:val="26BC4E98"/>
    <w:rsid w:val="26BCAA8B"/>
    <w:rsid w:val="26BED90B"/>
    <w:rsid w:val="26C54AF1"/>
    <w:rsid w:val="26C82408"/>
    <w:rsid w:val="26CB252B"/>
    <w:rsid w:val="26D240A1"/>
    <w:rsid w:val="26D3273F"/>
    <w:rsid w:val="26D41805"/>
    <w:rsid w:val="26D58DC9"/>
    <w:rsid w:val="26D6D6A3"/>
    <w:rsid w:val="26DD2CAD"/>
    <w:rsid w:val="26E7EF75"/>
    <w:rsid w:val="26E94205"/>
    <w:rsid w:val="26E9E865"/>
    <w:rsid w:val="26EF0A23"/>
    <w:rsid w:val="26F16E9D"/>
    <w:rsid w:val="26F264C4"/>
    <w:rsid w:val="26F53E2C"/>
    <w:rsid w:val="26F64B2F"/>
    <w:rsid w:val="26FF2A2C"/>
    <w:rsid w:val="2700E673"/>
    <w:rsid w:val="2700EA3F"/>
    <w:rsid w:val="27011893"/>
    <w:rsid w:val="27094AFC"/>
    <w:rsid w:val="270CEFED"/>
    <w:rsid w:val="270DCF95"/>
    <w:rsid w:val="270F7212"/>
    <w:rsid w:val="27124BA0"/>
    <w:rsid w:val="271378EC"/>
    <w:rsid w:val="2713B893"/>
    <w:rsid w:val="2715D930"/>
    <w:rsid w:val="271B804A"/>
    <w:rsid w:val="271FA0E9"/>
    <w:rsid w:val="27233128"/>
    <w:rsid w:val="272BD596"/>
    <w:rsid w:val="27346B27"/>
    <w:rsid w:val="2747F75B"/>
    <w:rsid w:val="274A0208"/>
    <w:rsid w:val="274BD866"/>
    <w:rsid w:val="27501DEA"/>
    <w:rsid w:val="27503E11"/>
    <w:rsid w:val="2756060D"/>
    <w:rsid w:val="275A5CC5"/>
    <w:rsid w:val="276197FA"/>
    <w:rsid w:val="276213C3"/>
    <w:rsid w:val="2762BBC4"/>
    <w:rsid w:val="27677425"/>
    <w:rsid w:val="2768A107"/>
    <w:rsid w:val="276BA9A3"/>
    <w:rsid w:val="27740E4E"/>
    <w:rsid w:val="2774B693"/>
    <w:rsid w:val="2778C2EC"/>
    <w:rsid w:val="277F47AB"/>
    <w:rsid w:val="278706B9"/>
    <w:rsid w:val="278A6825"/>
    <w:rsid w:val="2793D19C"/>
    <w:rsid w:val="2794CDC4"/>
    <w:rsid w:val="27987914"/>
    <w:rsid w:val="279A3222"/>
    <w:rsid w:val="279BBAAB"/>
    <w:rsid w:val="27A9E53D"/>
    <w:rsid w:val="27AA0C16"/>
    <w:rsid w:val="27ABF6B2"/>
    <w:rsid w:val="27AE63B4"/>
    <w:rsid w:val="27B08778"/>
    <w:rsid w:val="27B568C0"/>
    <w:rsid w:val="27BA0BAA"/>
    <w:rsid w:val="27BE728A"/>
    <w:rsid w:val="27C11046"/>
    <w:rsid w:val="27C74782"/>
    <w:rsid w:val="27C7F873"/>
    <w:rsid w:val="27CD805E"/>
    <w:rsid w:val="27D65E3D"/>
    <w:rsid w:val="27D7E932"/>
    <w:rsid w:val="27DC4A0A"/>
    <w:rsid w:val="27DD2899"/>
    <w:rsid w:val="27DE0CBD"/>
    <w:rsid w:val="27E01AA2"/>
    <w:rsid w:val="27E3BF44"/>
    <w:rsid w:val="27E93764"/>
    <w:rsid w:val="27EED3F4"/>
    <w:rsid w:val="2801F396"/>
    <w:rsid w:val="280B5F13"/>
    <w:rsid w:val="281044FA"/>
    <w:rsid w:val="282A0E17"/>
    <w:rsid w:val="282D9CCB"/>
    <w:rsid w:val="2839CE72"/>
    <w:rsid w:val="283A47AD"/>
    <w:rsid w:val="283BD0E3"/>
    <w:rsid w:val="283D7FDD"/>
    <w:rsid w:val="2840B94A"/>
    <w:rsid w:val="28463B3E"/>
    <w:rsid w:val="28472592"/>
    <w:rsid w:val="2849D8DD"/>
    <w:rsid w:val="284A3D6A"/>
    <w:rsid w:val="284EBD4E"/>
    <w:rsid w:val="28535FF1"/>
    <w:rsid w:val="28553B68"/>
    <w:rsid w:val="285D4338"/>
    <w:rsid w:val="28601788"/>
    <w:rsid w:val="2861C8D0"/>
    <w:rsid w:val="2861E947"/>
    <w:rsid w:val="2868DABE"/>
    <w:rsid w:val="286A2BD2"/>
    <w:rsid w:val="286B7C9C"/>
    <w:rsid w:val="286C4873"/>
    <w:rsid w:val="286F6D77"/>
    <w:rsid w:val="28703FC3"/>
    <w:rsid w:val="28745EEF"/>
    <w:rsid w:val="287610A3"/>
    <w:rsid w:val="2879CA1A"/>
    <w:rsid w:val="2882E0A4"/>
    <w:rsid w:val="2887D5FE"/>
    <w:rsid w:val="2889D3AD"/>
    <w:rsid w:val="288D2B4E"/>
    <w:rsid w:val="288DE8CA"/>
    <w:rsid w:val="288DEB46"/>
    <w:rsid w:val="289D9340"/>
    <w:rsid w:val="28A9BA2B"/>
    <w:rsid w:val="28AFEA79"/>
    <w:rsid w:val="28B2150E"/>
    <w:rsid w:val="28B6587D"/>
    <w:rsid w:val="28C130FD"/>
    <w:rsid w:val="28CB2D1E"/>
    <w:rsid w:val="28CB80F7"/>
    <w:rsid w:val="28D7297D"/>
    <w:rsid w:val="28D89789"/>
    <w:rsid w:val="28DA8762"/>
    <w:rsid w:val="28DB76C9"/>
    <w:rsid w:val="28DF8DE6"/>
    <w:rsid w:val="28E0310B"/>
    <w:rsid w:val="28E4D4CC"/>
    <w:rsid w:val="28E6C3CD"/>
    <w:rsid w:val="28ED0E03"/>
    <w:rsid w:val="28EE76EF"/>
    <w:rsid w:val="28F965CC"/>
    <w:rsid w:val="28FD158F"/>
    <w:rsid w:val="29010212"/>
    <w:rsid w:val="290303F0"/>
    <w:rsid w:val="2904E674"/>
    <w:rsid w:val="2905CB25"/>
    <w:rsid w:val="29084CC0"/>
    <w:rsid w:val="2908F1E6"/>
    <w:rsid w:val="290C8A2C"/>
    <w:rsid w:val="29118007"/>
    <w:rsid w:val="2915C3B9"/>
    <w:rsid w:val="2919889B"/>
    <w:rsid w:val="291FFD7B"/>
    <w:rsid w:val="292660C3"/>
    <w:rsid w:val="292BBF42"/>
    <w:rsid w:val="29372EB7"/>
    <w:rsid w:val="29378042"/>
    <w:rsid w:val="29383FFF"/>
    <w:rsid w:val="2938531A"/>
    <w:rsid w:val="29387A74"/>
    <w:rsid w:val="293A8B90"/>
    <w:rsid w:val="293EC898"/>
    <w:rsid w:val="2941DD31"/>
    <w:rsid w:val="2946DB69"/>
    <w:rsid w:val="294C898A"/>
    <w:rsid w:val="294D2B8B"/>
    <w:rsid w:val="29519663"/>
    <w:rsid w:val="2954B8A2"/>
    <w:rsid w:val="29566F1C"/>
    <w:rsid w:val="29570747"/>
    <w:rsid w:val="29575C5F"/>
    <w:rsid w:val="29583637"/>
    <w:rsid w:val="295902C7"/>
    <w:rsid w:val="295C13CA"/>
    <w:rsid w:val="29625B86"/>
    <w:rsid w:val="2965E3EC"/>
    <w:rsid w:val="2977ACBE"/>
    <w:rsid w:val="2979480F"/>
    <w:rsid w:val="297C2BFC"/>
    <w:rsid w:val="2982FECC"/>
    <w:rsid w:val="298542A9"/>
    <w:rsid w:val="298A2536"/>
    <w:rsid w:val="2990C994"/>
    <w:rsid w:val="29916CC8"/>
    <w:rsid w:val="29918FBC"/>
    <w:rsid w:val="29938330"/>
    <w:rsid w:val="29983EA5"/>
    <w:rsid w:val="299ACBDB"/>
    <w:rsid w:val="299ACEE2"/>
    <w:rsid w:val="29A14C01"/>
    <w:rsid w:val="29A1CE52"/>
    <w:rsid w:val="29A45E5B"/>
    <w:rsid w:val="29AA2988"/>
    <w:rsid w:val="29AA3724"/>
    <w:rsid w:val="29B40004"/>
    <w:rsid w:val="29B7CE16"/>
    <w:rsid w:val="29B9577F"/>
    <w:rsid w:val="29B9BE95"/>
    <w:rsid w:val="29BF454E"/>
    <w:rsid w:val="29C0AE1D"/>
    <w:rsid w:val="29C5395D"/>
    <w:rsid w:val="29CB660C"/>
    <w:rsid w:val="29CDB1AD"/>
    <w:rsid w:val="29CEA906"/>
    <w:rsid w:val="29D184C4"/>
    <w:rsid w:val="29D2B065"/>
    <w:rsid w:val="29D4AA54"/>
    <w:rsid w:val="29DAF4B0"/>
    <w:rsid w:val="29DD7F5A"/>
    <w:rsid w:val="29DFD94A"/>
    <w:rsid w:val="29E5019B"/>
    <w:rsid w:val="29E63952"/>
    <w:rsid w:val="29E6C4F4"/>
    <w:rsid w:val="29E6CCC4"/>
    <w:rsid w:val="29E799DA"/>
    <w:rsid w:val="29EB5B1E"/>
    <w:rsid w:val="29F0B0E8"/>
    <w:rsid w:val="29F44696"/>
    <w:rsid w:val="29FCBC2E"/>
    <w:rsid w:val="29FFC920"/>
    <w:rsid w:val="2A022F77"/>
    <w:rsid w:val="2A04EA86"/>
    <w:rsid w:val="2A0924B7"/>
    <w:rsid w:val="2A0CA311"/>
    <w:rsid w:val="2A10092F"/>
    <w:rsid w:val="2A125430"/>
    <w:rsid w:val="2A12FC10"/>
    <w:rsid w:val="2A156974"/>
    <w:rsid w:val="2A16E11F"/>
    <w:rsid w:val="2A17E8D9"/>
    <w:rsid w:val="2A1DAAAC"/>
    <w:rsid w:val="2A2AE690"/>
    <w:rsid w:val="2A30106E"/>
    <w:rsid w:val="2A312055"/>
    <w:rsid w:val="2A350DFC"/>
    <w:rsid w:val="2A3B2E5F"/>
    <w:rsid w:val="2A3F0D95"/>
    <w:rsid w:val="2A3F1F16"/>
    <w:rsid w:val="2A45CB8E"/>
    <w:rsid w:val="2A49111E"/>
    <w:rsid w:val="2A4C40CA"/>
    <w:rsid w:val="2A576716"/>
    <w:rsid w:val="2A5F13B5"/>
    <w:rsid w:val="2A5F98D9"/>
    <w:rsid w:val="2A5FC1CD"/>
    <w:rsid w:val="2A67B1DB"/>
    <w:rsid w:val="2A685B4C"/>
    <w:rsid w:val="2A6E88DA"/>
    <w:rsid w:val="2A6F4663"/>
    <w:rsid w:val="2A700FF4"/>
    <w:rsid w:val="2A7214BF"/>
    <w:rsid w:val="2A72414F"/>
    <w:rsid w:val="2A736693"/>
    <w:rsid w:val="2A795DD2"/>
    <w:rsid w:val="2A7A0741"/>
    <w:rsid w:val="2A7BB5D6"/>
    <w:rsid w:val="2A80419A"/>
    <w:rsid w:val="2A8274DA"/>
    <w:rsid w:val="2A856C5C"/>
    <w:rsid w:val="2A86058E"/>
    <w:rsid w:val="2A8750DA"/>
    <w:rsid w:val="2A8863B7"/>
    <w:rsid w:val="2A8E53B4"/>
    <w:rsid w:val="2A914C2E"/>
    <w:rsid w:val="2A9393EF"/>
    <w:rsid w:val="2A9936D9"/>
    <w:rsid w:val="2A9E83B3"/>
    <w:rsid w:val="2A9EF3C7"/>
    <w:rsid w:val="2AA06198"/>
    <w:rsid w:val="2AAC1203"/>
    <w:rsid w:val="2AAE3342"/>
    <w:rsid w:val="2AAE48FE"/>
    <w:rsid w:val="2AB39F0C"/>
    <w:rsid w:val="2AB7AFF9"/>
    <w:rsid w:val="2ABB8F3B"/>
    <w:rsid w:val="2ABE92F6"/>
    <w:rsid w:val="2AC00AB7"/>
    <w:rsid w:val="2AC4DD78"/>
    <w:rsid w:val="2AC52EF1"/>
    <w:rsid w:val="2AC61DED"/>
    <w:rsid w:val="2AC96CDB"/>
    <w:rsid w:val="2AC98126"/>
    <w:rsid w:val="2ACA2549"/>
    <w:rsid w:val="2ACB9C49"/>
    <w:rsid w:val="2ACD7D23"/>
    <w:rsid w:val="2AD6A60D"/>
    <w:rsid w:val="2AD72C6E"/>
    <w:rsid w:val="2AD7D2B4"/>
    <w:rsid w:val="2ADD72D9"/>
    <w:rsid w:val="2AE72D83"/>
    <w:rsid w:val="2AEC7C2A"/>
    <w:rsid w:val="2AEEF804"/>
    <w:rsid w:val="2AF0146D"/>
    <w:rsid w:val="2AF15751"/>
    <w:rsid w:val="2AF1D0C0"/>
    <w:rsid w:val="2AFCBC49"/>
    <w:rsid w:val="2B00B3CE"/>
    <w:rsid w:val="2B074363"/>
    <w:rsid w:val="2B0B2B28"/>
    <w:rsid w:val="2B0C7656"/>
    <w:rsid w:val="2B1565C8"/>
    <w:rsid w:val="2B1ADE47"/>
    <w:rsid w:val="2B1C9AD2"/>
    <w:rsid w:val="2B1DAC78"/>
    <w:rsid w:val="2B24BF87"/>
    <w:rsid w:val="2B25EB9D"/>
    <w:rsid w:val="2B280667"/>
    <w:rsid w:val="2B286F1B"/>
    <w:rsid w:val="2B2CA312"/>
    <w:rsid w:val="2B2FA6C3"/>
    <w:rsid w:val="2B42240D"/>
    <w:rsid w:val="2B486A98"/>
    <w:rsid w:val="2B4FEB34"/>
    <w:rsid w:val="2B52FCE8"/>
    <w:rsid w:val="2B58A712"/>
    <w:rsid w:val="2B5D7BBE"/>
    <w:rsid w:val="2B69B7A5"/>
    <w:rsid w:val="2B703D5E"/>
    <w:rsid w:val="2B7368C6"/>
    <w:rsid w:val="2B742220"/>
    <w:rsid w:val="2B74BF6F"/>
    <w:rsid w:val="2B758C71"/>
    <w:rsid w:val="2B77704D"/>
    <w:rsid w:val="2B78BED3"/>
    <w:rsid w:val="2B808320"/>
    <w:rsid w:val="2B880027"/>
    <w:rsid w:val="2B8813B5"/>
    <w:rsid w:val="2B891F64"/>
    <w:rsid w:val="2B8A8551"/>
    <w:rsid w:val="2B8ABDDC"/>
    <w:rsid w:val="2B8ABDE8"/>
    <w:rsid w:val="2B8C4E45"/>
    <w:rsid w:val="2B910ADC"/>
    <w:rsid w:val="2B9266E3"/>
    <w:rsid w:val="2B95E737"/>
    <w:rsid w:val="2B9BC755"/>
    <w:rsid w:val="2BA08965"/>
    <w:rsid w:val="2BA7ED9A"/>
    <w:rsid w:val="2BA96DB2"/>
    <w:rsid w:val="2BB75FD3"/>
    <w:rsid w:val="2BB959B7"/>
    <w:rsid w:val="2BBB39FD"/>
    <w:rsid w:val="2BC02FAC"/>
    <w:rsid w:val="2BC24EB3"/>
    <w:rsid w:val="2BC27D3E"/>
    <w:rsid w:val="2BC3923F"/>
    <w:rsid w:val="2BC5938A"/>
    <w:rsid w:val="2BC71879"/>
    <w:rsid w:val="2BC78852"/>
    <w:rsid w:val="2BCAA175"/>
    <w:rsid w:val="2BCF2A3F"/>
    <w:rsid w:val="2BD13AB3"/>
    <w:rsid w:val="2BD2E519"/>
    <w:rsid w:val="2BD5A043"/>
    <w:rsid w:val="2BD691F0"/>
    <w:rsid w:val="2BDA219A"/>
    <w:rsid w:val="2BDE6856"/>
    <w:rsid w:val="2BE18AF6"/>
    <w:rsid w:val="2BE67D81"/>
    <w:rsid w:val="2BF111C0"/>
    <w:rsid w:val="2BF30588"/>
    <w:rsid w:val="2BF50EF3"/>
    <w:rsid w:val="2BF6C75B"/>
    <w:rsid w:val="2BFBF13C"/>
    <w:rsid w:val="2C036697"/>
    <w:rsid w:val="2C0C0F76"/>
    <w:rsid w:val="2C0F1873"/>
    <w:rsid w:val="2C110008"/>
    <w:rsid w:val="2C17A131"/>
    <w:rsid w:val="2C19F8CD"/>
    <w:rsid w:val="2C1C9BDD"/>
    <w:rsid w:val="2C27CB05"/>
    <w:rsid w:val="2C2B3DF4"/>
    <w:rsid w:val="2C2D3A03"/>
    <w:rsid w:val="2C357863"/>
    <w:rsid w:val="2C37C6D6"/>
    <w:rsid w:val="2C39A3EA"/>
    <w:rsid w:val="2C3BC3CF"/>
    <w:rsid w:val="2C3E52FE"/>
    <w:rsid w:val="2C457DCB"/>
    <w:rsid w:val="2C485D5D"/>
    <w:rsid w:val="2C4DEC22"/>
    <w:rsid w:val="2C510CF4"/>
    <w:rsid w:val="2C53DA7C"/>
    <w:rsid w:val="2C56CE59"/>
    <w:rsid w:val="2C57D245"/>
    <w:rsid w:val="2C5A03C2"/>
    <w:rsid w:val="2C5A5E13"/>
    <w:rsid w:val="2C5B35EA"/>
    <w:rsid w:val="2C64635D"/>
    <w:rsid w:val="2C653733"/>
    <w:rsid w:val="2C67918B"/>
    <w:rsid w:val="2C6A0A2C"/>
    <w:rsid w:val="2C6F54B3"/>
    <w:rsid w:val="2C777E5E"/>
    <w:rsid w:val="2C7D7362"/>
    <w:rsid w:val="2C808948"/>
    <w:rsid w:val="2C90487E"/>
    <w:rsid w:val="2C90F998"/>
    <w:rsid w:val="2C949C4F"/>
    <w:rsid w:val="2CA134D3"/>
    <w:rsid w:val="2CA41A8F"/>
    <w:rsid w:val="2CA44B4F"/>
    <w:rsid w:val="2CA7B23B"/>
    <w:rsid w:val="2CAD88E3"/>
    <w:rsid w:val="2CADDF41"/>
    <w:rsid w:val="2CAEE31D"/>
    <w:rsid w:val="2CB066D4"/>
    <w:rsid w:val="2CB2C340"/>
    <w:rsid w:val="2CB92DD4"/>
    <w:rsid w:val="2CBF5652"/>
    <w:rsid w:val="2CC194CF"/>
    <w:rsid w:val="2CC2292C"/>
    <w:rsid w:val="2CC89DF3"/>
    <w:rsid w:val="2CC9E0C0"/>
    <w:rsid w:val="2CCA6764"/>
    <w:rsid w:val="2CCF979B"/>
    <w:rsid w:val="2CD05E02"/>
    <w:rsid w:val="2CD20AF2"/>
    <w:rsid w:val="2CD60C41"/>
    <w:rsid w:val="2CD7C704"/>
    <w:rsid w:val="2CDDB6F6"/>
    <w:rsid w:val="2CFC82BF"/>
    <w:rsid w:val="2CFE4915"/>
    <w:rsid w:val="2D00038D"/>
    <w:rsid w:val="2D013432"/>
    <w:rsid w:val="2D050E5D"/>
    <w:rsid w:val="2D08507F"/>
    <w:rsid w:val="2D0C828D"/>
    <w:rsid w:val="2D0CC947"/>
    <w:rsid w:val="2D1091E2"/>
    <w:rsid w:val="2D160076"/>
    <w:rsid w:val="2D1F724F"/>
    <w:rsid w:val="2D20C6AA"/>
    <w:rsid w:val="2D22B8E2"/>
    <w:rsid w:val="2D2E8CFE"/>
    <w:rsid w:val="2D36DA6A"/>
    <w:rsid w:val="2D36DCA4"/>
    <w:rsid w:val="2D3E05D9"/>
    <w:rsid w:val="2D3E4ADE"/>
    <w:rsid w:val="2D3F2BE1"/>
    <w:rsid w:val="2D405CA8"/>
    <w:rsid w:val="2D463CAC"/>
    <w:rsid w:val="2D5A0279"/>
    <w:rsid w:val="2D5B0433"/>
    <w:rsid w:val="2D605971"/>
    <w:rsid w:val="2D60DB5B"/>
    <w:rsid w:val="2D61A279"/>
    <w:rsid w:val="2D63AAE9"/>
    <w:rsid w:val="2D6455F5"/>
    <w:rsid w:val="2D6AD7A0"/>
    <w:rsid w:val="2D6C6550"/>
    <w:rsid w:val="2D72D801"/>
    <w:rsid w:val="2D73B946"/>
    <w:rsid w:val="2D76F037"/>
    <w:rsid w:val="2D780F79"/>
    <w:rsid w:val="2D84ECC5"/>
    <w:rsid w:val="2D873CFB"/>
    <w:rsid w:val="2D8AD43A"/>
    <w:rsid w:val="2D8CF90A"/>
    <w:rsid w:val="2D8EB033"/>
    <w:rsid w:val="2D8EBD18"/>
    <w:rsid w:val="2D91314A"/>
    <w:rsid w:val="2DA3637B"/>
    <w:rsid w:val="2DA6886C"/>
    <w:rsid w:val="2DABA86B"/>
    <w:rsid w:val="2DAFA701"/>
    <w:rsid w:val="2DB029F1"/>
    <w:rsid w:val="2DB8D95E"/>
    <w:rsid w:val="2DBAB998"/>
    <w:rsid w:val="2DBC52B8"/>
    <w:rsid w:val="2DBC88E9"/>
    <w:rsid w:val="2DBDF1AE"/>
    <w:rsid w:val="2DBE08C1"/>
    <w:rsid w:val="2DC4BE3D"/>
    <w:rsid w:val="2DC62B2C"/>
    <w:rsid w:val="2DC7A0AD"/>
    <w:rsid w:val="2DCD007A"/>
    <w:rsid w:val="2DD54F10"/>
    <w:rsid w:val="2DD643DA"/>
    <w:rsid w:val="2DDEFA5E"/>
    <w:rsid w:val="2DE5BF38"/>
    <w:rsid w:val="2DF32AE7"/>
    <w:rsid w:val="2DF52422"/>
    <w:rsid w:val="2DF8D9A0"/>
    <w:rsid w:val="2DFA0B7A"/>
    <w:rsid w:val="2DFC2A3A"/>
    <w:rsid w:val="2DFCC053"/>
    <w:rsid w:val="2E043F77"/>
    <w:rsid w:val="2E166C9B"/>
    <w:rsid w:val="2E239C80"/>
    <w:rsid w:val="2E270394"/>
    <w:rsid w:val="2E30907D"/>
    <w:rsid w:val="2E31CB56"/>
    <w:rsid w:val="2E35812C"/>
    <w:rsid w:val="2E3D1A27"/>
    <w:rsid w:val="2E457B73"/>
    <w:rsid w:val="2E4A2993"/>
    <w:rsid w:val="2E4E551E"/>
    <w:rsid w:val="2E517069"/>
    <w:rsid w:val="2E54E5FE"/>
    <w:rsid w:val="2E5920B1"/>
    <w:rsid w:val="2E59C01D"/>
    <w:rsid w:val="2E609933"/>
    <w:rsid w:val="2E631DBB"/>
    <w:rsid w:val="2E633966"/>
    <w:rsid w:val="2E65624C"/>
    <w:rsid w:val="2E68AE47"/>
    <w:rsid w:val="2E6B9C01"/>
    <w:rsid w:val="2E730D16"/>
    <w:rsid w:val="2E735D4E"/>
    <w:rsid w:val="2E764C54"/>
    <w:rsid w:val="2E7A5B9C"/>
    <w:rsid w:val="2E857CA5"/>
    <w:rsid w:val="2E87267C"/>
    <w:rsid w:val="2E8B0AB3"/>
    <w:rsid w:val="2E91C908"/>
    <w:rsid w:val="2E943098"/>
    <w:rsid w:val="2E94B6E3"/>
    <w:rsid w:val="2E987A4F"/>
    <w:rsid w:val="2E997FA6"/>
    <w:rsid w:val="2E9BB6E7"/>
    <w:rsid w:val="2EA559DC"/>
    <w:rsid w:val="2EA9A569"/>
    <w:rsid w:val="2EA9E044"/>
    <w:rsid w:val="2EAC01A0"/>
    <w:rsid w:val="2EAD793F"/>
    <w:rsid w:val="2EB5DF2B"/>
    <w:rsid w:val="2EB70885"/>
    <w:rsid w:val="2EC02F39"/>
    <w:rsid w:val="2EC1C9B0"/>
    <w:rsid w:val="2ED194CF"/>
    <w:rsid w:val="2ED636EB"/>
    <w:rsid w:val="2EDA5D6B"/>
    <w:rsid w:val="2EDB7D20"/>
    <w:rsid w:val="2EDF3D33"/>
    <w:rsid w:val="2EDF6FE1"/>
    <w:rsid w:val="2EE4611A"/>
    <w:rsid w:val="2EE81457"/>
    <w:rsid w:val="2EECA7CF"/>
    <w:rsid w:val="2EEDAABC"/>
    <w:rsid w:val="2EF61B5E"/>
    <w:rsid w:val="2EFA3B9B"/>
    <w:rsid w:val="2EFBB3C5"/>
    <w:rsid w:val="2EFC1717"/>
    <w:rsid w:val="2F01DD8B"/>
    <w:rsid w:val="2F05CECF"/>
    <w:rsid w:val="2F05FDB1"/>
    <w:rsid w:val="2F0712E9"/>
    <w:rsid w:val="2F08B9E7"/>
    <w:rsid w:val="2F0DB620"/>
    <w:rsid w:val="2F168C2A"/>
    <w:rsid w:val="2F18C29E"/>
    <w:rsid w:val="2F1A821B"/>
    <w:rsid w:val="2F1EC7D8"/>
    <w:rsid w:val="2F245490"/>
    <w:rsid w:val="2F25EC44"/>
    <w:rsid w:val="2F26EC11"/>
    <w:rsid w:val="2F2C3AB6"/>
    <w:rsid w:val="2F325536"/>
    <w:rsid w:val="2F428113"/>
    <w:rsid w:val="2F43B6C8"/>
    <w:rsid w:val="2F440813"/>
    <w:rsid w:val="2F4A0E65"/>
    <w:rsid w:val="2F4AAC07"/>
    <w:rsid w:val="2F512012"/>
    <w:rsid w:val="2F512C68"/>
    <w:rsid w:val="2F52D92D"/>
    <w:rsid w:val="2F531048"/>
    <w:rsid w:val="2F534462"/>
    <w:rsid w:val="2F54752B"/>
    <w:rsid w:val="2F576D90"/>
    <w:rsid w:val="2F5837F1"/>
    <w:rsid w:val="2F58F425"/>
    <w:rsid w:val="2F5BA959"/>
    <w:rsid w:val="2F5DB925"/>
    <w:rsid w:val="2F5FA8C5"/>
    <w:rsid w:val="2F6147EF"/>
    <w:rsid w:val="2F64E214"/>
    <w:rsid w:val="2F651651"/>
    <w:rsid w:val="2F6EAA04"/>
    <w:rsid w:val="2F75C059"/>
    <w:rsid w:val="2F7B25F1"/>
    <w:rsid w:val="2F7F49B5"/>
    <w:rsid w:val="2F84CC24"/>
    <w:rsid w:val="2F86C734"/>
    <w:rsid w:val="2F88B9F9"/>
    <w:rsid w:val="2F8D8DF1"/>
    <w:rsid w:val="2F939A80"/>
    <w:rsid w:val="2F9C7E49"/>
    <w:rsid w:val="2FA11FCB"/>
    <w:rsid w:val="2FA33552"/>
    <w:rsid w:val="2FA4D0A1"/>
    <w:rsid w:val="2FAC38E4"/>
    <w:rsid w:val="2FADC1F0"/>
    <w:rsid w:val="2FAF9837"/>
    <w:rsid w:val="2FB0880C"/>
    <w:rsid w:val="2FB4BCEC"/>
    <w:rsid w:val="2FB9DB6C"/>
    <w:rsid w:val="2FBA28C4"/>
    <w:rsid w:val="2FBDC5B1"/>
    <w:rsid w:val="2FC2F28B"/>
    <w:rsid w:val="2FC6DCB9"/>
    <w:rsid w:val="2FC94465"/>
    <w:rsid w:val="2FD46E64"/>
    <w:rsid w:val="2FD9B21D"/>
    <w:rsid w:val="2FDC45E1"/>
    <w:rsid w:val="2FE257BF"/>
    <w:rsid w:val="2FE31B95"/>
    <w:rsid w:val="2FE3B75D"/>
    <w:rsid w:val="2FE70F6B"/>
    <w:rsid w:val="2FEC6D4A"/>
    <w:rsid w:val="2FF639AD"/>
    <w:rsid w:val="2FF9D0C6"/>
    <w:rsid w:val="300342DB"/>
    <w:rsid w:val="3007DF45"/>
    <w:rsid w:val="3010F5AD"/>
    <w:rsid w:val="30125826"/>
    <w:rsid w:val="30133F73"/>
    <w:rsid w:val="30148641"/>
    <w:rsid w:val="30152F9B"/>
    <w:rsid w:val="3016954B"/>
    <w:rsid w:val="301AFBA8"/>
    <w:rsid w:val="301FCD90"/>
    <w:rsid w:val="3021A8D0"/>
    <w:rsid w:val="302347D6"/>
    <w:rsid w:val="3027D977"/>
    <w:rsid w:val="302B522A"/>
    <w:rsid w:val="302BD9BA"/>
    <w:rsid w:val="3030F2D9"/>
    <w:rsid w:val="30312080"/>
    <w:rsid w:val="303291BC"/>
    <w:rsid w:val="303426A2"/>
    <w:rsid w:val="303B761C"/>
    <w:rsid w:val="303C07DC"/>
    <w:rsid w:val="303F98DB"/>
    <w:rsid w:val="3041993F"/>
    <w:rsid w:val="30420257"/>
    <w:rsid w:val="3048D6E1"/>
    <w:rsid w:val="304BB0CB"/>
    <w:rsid w:val="305D8BA9"/>
    <w:rsid w:val="306057F6"/>
    <w:rsid w:val="306545DC"/>
    <w:rsid w:val="3066631A"/>
    <w:rsid w:val="3067FB8B"/>
    <w:rsid w:val="30684D50"/>
    <w:rsid w:val="3069FFD4"/>
    <w:rsid w:val="3071F35E"/>
    <w:rsid w:val="3073CC3C"/>
    <w:rsid w:val="30750611"/>
    <w:rsid w:val="30774397"/>
    <w:rsid w:val="3082BB92"/>
    <w:rsid w:val="30847FB9"/>
    <w:rsid w:val="3085BB02"/>
    <w:rsid w:val="308D5101"/>
    <w:rsid w:val="30962F10"/>
    <w:rsid w:val="30972BE9"/>
    <w:rsid w:val="3097B887"/>
    <w:rsid w:val="309CE15D"/>
    <w:rsid w:val="30A176A4"/>
    <w:rsid w:val="30A38B5F"/>
    <w:rsid w:val="30A4DD0E"/>
    <w:rsid w:val="30A52B7A"/>
    <w:rsid w:val="30A73BE2"/>
    <w:rsid w:val="30A80E0A"/>
    <w:rsid w:val="30A8DC9C"/>
    <w:rsid w:val="30AEC6EA"/>
    <w:rsid w:val="30C04E17"/>
    <w:rsid w:val="30C44787"/>
    <w:rsid w:val="30CBA984"/>
    <w:rsid w:val="30CDAB54"/>
    <w:rsid w:val="30CF362D"/>
    <w:rsid w:val="30D36235"/>
    <w:rsid w:val="30D50A5B"/>
    <w:rsid w:val="30D79A92"/>
    <w:rsid w:val="30DAC48A"/>
    <w:rsid w:val="30DC45EC"/>
    <w:rsid w:val="30E1AB02"/>
    <w:rsid w:val="30E227FB"/>
    <w:rsid w:val="30E4BF36"/>
    <w:rsid w:val="30E66E1E"/>
    <w:rsid w:val="30EC752D"/>
    <w:rsid w:val="30F66657"/>
    <w:rsid w:val="30F9F237"/>
    <w:rsid w:val="31009FC8"/>
    <w:rsid w:val="3101C046"/>
    <w:rsid w:val="31027E60"/>
    <w:rsid w:val="3102FB3F"/>
    <w:rsid w:val="31044E1F"/>
    <w:rsid w:val="31057D2F"/>
    <w:rsid w:val="310B5E73"/>
    <w:rsid w:val="310E042C"/>
    <w:rsid w:val="310F15D3"/>
    <w:rsid w:val="3115A6F1"/>
    <w:rsid w:val="31187CA6"/>
    <w:rsid w:val="3121D8D2"/>
    <w:rsid w:val="312246F0"/>
    <w:rsid w:val="3127A342"/>
    <w:rsid w:val="31293FBC"/>
    <w:rsid w:val="31326C2D"/>
    <w:rsid w:val="3136E92F"/>
    <w:rsid w:val="31377A2A"/>
    <w:rsid w:val="31379E11"/>
    <w:rsid w:val="3138B2BD"/>
    <w:rsid w:val="3139F0CE"/>
    <w:rsid w:val="313A634D"/>
    <w:rsid w:val="313ACD26"/>
    <w:rsid w:val="313E52B7"/>
    <w:rsid w:val="314533F3"/>
    <w:rsid w:val="3148BD18"/>
    <w:rsid w:val="314CCC0F"/>
    <w:rsid w:val="31518E7A"/>
    <w:rsid w:val="3153EB91"/>
    <w:rsid w:val="3155C766"/>
    <w:rsid w:val="315A8AC1"/>
    <w:rsid w:val="315DB7B8"/>
    <w:rsid w:val="315E27E6"/>
    <w:rsid w:val="31620588"/>
    <w:rsid w:val="31620B1D"/>
    <w:rsid w:val="316981AD"/>
    <w:rsid w:val="316CF0AE"/>
    <w:rsid w:val="316D12EB"/>
    <w:rsid w:val="316EC35A"/>
    <w:rsid w:val="31739D54"/>
    <w:rsid w:val="317B4B39"/>
    <w:rsid w:val="317D3AD7"/>
    <w:rsid w:val="31835838"/>
    <w:rsid w:val="3186C904"/>
    <w:rsid w:val="31871C36"/>
    <w:rsid w:val="318B578B"/>
    <w:rsid w:val="3191AA10"/>
    <w:rsid w:val="3193C92D"/>
    <w:rsid w:val="31969BC3"/>
    <w:rsid w:val="319E98E2"/>
    <w:rsid w:val="31A534D4"/>
    <w:rsid w:val="31AC8968"/>
    <w:rsid w:val="31B04C93"/>
    <w:rsid w:val="31B15E89"/>
    <w:rsid w:val="31B2DA2A"/>
    <w:rsid w:val="31B33BA6"/>
    <w:rsid w:val="31B8EB94"/>
    <w:rsid w:val="31B93BC0"/>
    <w:rsid w:val="31C7675D"/>
    <w:rsid w:val="31CA5423"/>
    <w:rsid w:val="31CF5B56"/>
    <w:rsid w:val="31D33876"/>
    <w:rsid w:val="31D364FF"/>
    <w:rsid w:val="31D7D1A4"/>
    <w:rsid w:val="31DBABC7"/>
    <w:rsid w:val="31DDACC3"/>
    <w:rsid w:val="31E91D98"/>
    <w:rsid w:val="31EA2EFE"/>
    <w:rsid w:val="31EF6F21"/>
    <w:rsid w:val="31F1717C"/>
    <w:rsid w:val="31FC4DBE"/>
    <w:rsid w:val="32030D14"/>
    <w:rsid w:val="32037549"/>
    <w:rsid w:val="3209B75B"/>
    <w:rsid w:val="320EF2DA"/>
    <w:rsid w:val="32131522"/>
    <w:rsid w:val="3213FA06"/>
    <w:rsid w:val="321469D1"/>
    <w:rsid w:val="321764E3"/>
    <w:rsid w:val="321C52BC"/>
    <w:rsid w:val="3220C1A8"/>
    <w:rsid w:val="3227EAF2"/>
    <w:rsid w:val="322A7DF5"/>
    <w:rsid w:val="322BBEEA"/>
    <w:rsid w:val="3235A5BA"/>
    <w:rsid w:val="3236F1A4"/>
    <w:rsid w:val="323A1257"/>
    <w:rsid w:val="323F11E9"/>
    <w:rsid w:val="324A01B5"/>
    <w:rsid w:val="324A7D86"/>
    <w:rsid w:val="324C2700"/>
    <w:rsid w:val="3251DDE8"/>
    <w:rsid w:val="3257277D"/>
    <w:rsid w:val="325CE0C6"/>
    <w:rsid w:val="32675CF0"/>
    <w:rsid w:val="3268CE60"/>
    <w:rsid w:val="326B3537"/>
    <w:rsid w:val="326F6DE1"/>
    <w:rsid w:val="32718089"/>
    <w:rsid w:val="32764CC4"/>
    <w:rsid w:val="3279CBC9"/>
    <w:rsid w:val="327BEF07"/>
    <w:rsid w:val="3281129C"/>
    <w:rsid w:val="3284BFCD"/>
    <w:rsid w:val="32868163"/>
    <w:rsid w:val="3287E863"/>
    <w:rsid w:val="32905861"/>
    <w:rsid w:val="329074B7"/>
    <w:rsid w:val="3292300F"/>
    <w:rsid w:val="32938509"/>
    <w:rsid w:val="329C0D91"/>
    <w:rsid w:val="329FCFB5"/>
    <w:rsid w:val="32A291E8"/>
    <w:rsid w:val="32A38C05"/>
    <w:rsid w:val="32A89F85"/>
    <w:rsid w:val="32B22A24"/>
    <w:rsid w:val="32B7DD89"/>
    <w:rsid w:val="32B9F476"/>
    <w:rsid w:val="32BA1665"/>
    <w:rsid w:val="32BB0C16"/>
    <w:rsid w:val="32BE827D"/>
    <w:rsid w:val="32BEB6C7"/>
    <w:rsid w:val="32C25048"/>
    <w:rsid w:val="32C3FAE5"/>
    <w:rsid w:val="32C831CB"/>
    <w:rsid w:val="32DA1AC4"/>
    <w:rsid w:val="32E63312"/>
    <w:rsid w:val="32FCFC56"/>
    <w:rsid w:val="3300AA6A"/>
    <w:rsid w:val="3300E192"/>
    <w:rsid w:val="3301B1C7"/>
    <w:rsid w:val="3309B457"/>
    <w:rsid w:val="330E357B"/>
    <w:rsid w:val="330EC050"/>
    <w:rsid w:val="33101E47"/>
    <w:rsid w:val="3311A221"/>
    <w:rsid w:val="33139BD2"/>
    <w:rsid w:val="33175806"/>
    <w:rsid w:val="331EDFE6"/>
    <w:rsid w:val="331F4C21"/>
    <w:rsid w:val="3325F71A"/>
    <w:rsid w:val="33269034"/>
    <w:rsid w:val="33347C1F"/>
    <w:rsid w:val="3334FFE8"/>
    <w:rsid w:val="3335E30E"/>
    <w:rsid w:val="333B5D3A"/>
    <w:rsid w:val="3346E689"/>
    <w:rsid w:val="3348A19A"/>
    <w:rsid w:val="334AC0BB"/>
    <w:rsid w:val="334CA742"/>
    <w:rsid w:val="3353421C"/>
    <w:rsid w:val="335F7E69"/>
    <w:rsid w:val="33618518"/>
    <w:rsid w:val="3363D8DC"/>
    <w:rsid w:val="336E1764"/>
    <w:rsid w:val="33747D51"/>
    <w:rsid w:val="3378C634"/>
    <w:rsid w:val="337A3E48"/>
    <w:rsid w:val="337D29E5"/>
    <w:rsid w:val="337D63E3"/>
    <w:rsid w:val="337EEA2E"/>
    <w:rsid w:val="3381AF27"/>
    <w:rsid w:val="33822E7D"/>
    <w:rsid w:val="33825824"/>
    <w:rsid w:val="3382EE13"/>
    <w:rsid w:val="338307AC"/>
    <w:rsid w:val="338B0673"/>
    <w:rsid w:val="338C2324"/>
    <w:rsid w:val="338D5B4E"/>
    <w:rsid w:val="338D749B"/>
    <w:rsid w:val="339140D9"/>
    <w:rsid w:val="3397CABC"/>
    <w:rsid w:val="33991EF4"/>
    <w:rsid w:val="339D0988"/>
    <w:rsid w:val="33A1C268"/>
    <w:rsid w:val="33A36A8D"/>
    <w:rsid w:val="33A8C9CE"/>
    <w:rsid w:val="33AE6A3F"/>
    <w:rsid w:val="33AFE0B2"/>
    <w:rsid w:val="33B06782"/>
    <w:rsid w:val="33B51347"/>
    <w:rsid w:val="33B65272"/>
    <w:rsid w:val="33BAA156"/>
    <w:rsid w:val="33BF9E9E"/>
    <w:rsid w:val="33BFAF48"/>
    <w:rsid w:val="33D195B0"/>
    <w:rsid w:val="33D4E0A4"/>
    <w:rsid w:val="33D6389C"/>
    <w:rsid w:val="33DDFCF0"/>
    <w:rsid w:val="33E0AAE8"/>
    <w:rsid w:val="33E59D4E"/>
    <w:rsid w:val="33E8F12A"/>
    <w:rsid w:val="33FE03CD"/>
    <w:rsid w:val="33FE4E3E"/>
    <w:rsid w:val="34019446"/>
    <w:rsid w:val="34058A2B"/>
    <w:rsid w:val="340CA919"/>
    <w:rsid w:val="340E5344"/>
    <w:rsid w:val="340EF5B3"/>
    <w:rsid w:val="3411DF5A"/>
    <w:rsid w:val="3411F9E4"/>
    <w:rsid w:val="34132C5E"/>
    <w:rsid w:val="3421E9A2"/>
    <w:rsid w:val="34230D3E"/>
    <w:rsid w:val="34245BD7"/>
    <w:rsid w:val="3425109B"/>
    <w:rsid w:val="3427D039"/>
    <w:rsid w:val="342BEB67"/>
    <w:rsid w:val="342C46C2"/>
    <w:rsid w:val="3433F9AE"/>
    <w:rsid w:val="343659BB"/>
    <w:rsid w:val="34382CD5"/>
    <w:rsid w:val="3439A6E6"/>
    <w:rsid w:val="343FFE31"/>
    <w:rsid w:val="34481CEA"/>
    <w:rsid w:val="344E48BD"/>
    <w:rsid w:val="344E9364"/>
    <w:rsid w:val="34571E67"/>
    <w:rsid w:val="345AAB37"/>
    <w:rsid w:val="346066DE"/>
    <w:rsid w:val="346764CA"/>
    <w:rsid w:val="346C1A8C"/>
    <w:rsid w:val="346C55AA"/>
    <w:rsid w:val="346D4CBC"/>
    <w:rsid w:val="34724689"/>
    <w:rsid w:val="3474CC77"/>
    <w:rsid w:val="347C10F3"/>
    <w:rsid w:val="347D3F87"/>
    <w:rsid w:val="3480C385"/>
    <w:rsid w:val="34815909"/>
    <w:rsid w:val="34825D33"/>
    <w:rsid w:val="348F1F85"/>
    <w:rsid w:val="34936B3F"/>
    <w:rsid w:val="34997524"/>
    <w:rsid w:val="349EAF33"/>
    <w:rsid w:val="349FCD0F"/>
    <w:rsid w:val="34A5DF09"/>
    <w:rsid w:val="34AB9767"/>
    <w:rsid w:val="34ACF808"/>
    <w:rsid w:val="34AFEEAA"/>
    <w:rsid w:val="34B42404"/>
    <w:rsid w:val="34B5594C"/>
    <w:rsid w:val="34BE6E35"/>
    <w:rsid w:val="34C079F4"/>
    <w:rsid w:val="34CD0AD8"/>
    <w:rsid w:val="34D1B79F"/>
    <w:rsid w:val="34D467BC"/>
    <w:rsid w:val="34D5549A"/>
    <w:rsid w:val="34DA228C"/>
    <w:rsid w:val="34DF6EA0"/>
    <w:rsid w:val="34E07333"/>
    <w:rsid w:val="34E53D0F"/>
    <w:rsid w:val="34E900C8"/>
    <w:rsid w:val="34EBEE7A"/>
    <w:rsid w:val="34F087BF"/>
    <w:rsid w:val="34F75137"/>
    <w:rsid w:val="34F78A22"/>
    <w:rsid w:val="34F80895"/>
    <w:rsid w:val="34FB4872"/>
    <w:rsid w:val="34FB6B1E"/>
    <w:rsid w:val="34FCF473"/>
    <w:rsid w:val="34FD6D0A"/>
    <w:rsid w:val="350892AE"/>
    <w:rsid w:val="3509F578"/>
    <w:rsid w:val="350A6869"/>
    <w:rsid w:val="350EB568"/>
    <w:rsid w:val="3511E3B2"/>
    <w:rsid w:val="35139BD4"/>
    <w:rsid w:val="3514D867"/>
    <w:rsid w:val="35153CA3"/>
    <w:rsid w:val="351B81EE"/>
    <w:rsid w:val="35212A6E"/>
    <w:rsid w:val="35222B7D"/>
    <w:rsid w:val="35228C27"/>
    <w:rsid w:val="35234890"/>
    <w:rsid w:val="3525386E"/>
    <w:rsid w:val="35261EFC"/>
    <w:rsid w:val="352A39AD"/>
    <w:rsid w:val="352CB8B0"/>
    <w:rsid w:val="352DDE1D"/>
    <w:rsid w:val="352E8F99"/>
    <w:rsid w:val="352F2F7A"/>
    <w:rsid w:val="35329D86"/>
    <w:rsid w:val="35373ACB"/>
    <w:rsid w:val="353CC9F1"/>
    <w:rsid w:val="353DE8BB"/>
    <w:rsid w:val="35428FA1"/>
    <w:rsid w:val="354797F7"/>
    <w:rsid w:val="354F9BD1"/>
    <w:rsid w:val="35597BE6"/>
    <w:rsid w:val="355B05D4"/>
    <w:rsid w:val="355FECCC"/>
    <w:rsid w:val="3569A6F3"/>
    <w:rsid w:val="356BD723"/>
    <w:rsid w:val="356F18A0"/>
    <w:rsid w:val="3573AFAD"/>
    <w:rsid w:val="3577515B"/>
    <w:rsid w:val="357C8CC0"/>
    <w:rsid w:val="357D1DFE"/>
    <w:rsid w:val="35801856"/>
    <w:rsid w:val="358E6F04"/>
    <w:rsid w:val="359A95CA"/>
    <w:rsid w:val="359BB614"/>
    <w:rsid w:val="359D43D4"/>
    <w:rsid w:val="359D47DE"/>
    <w:rsid w:val="35A315CF"/>
    <w:rsid w:val="35A82B79"/>
    <w:rsid w:val="35AA847F"/>
    <w:rsid w:val="35ABF5B6"/>
    <w:rsid w:val="35AD8A87"/>
    <w:rsid w:val="35B8927D"/>
    <w:rsid w:val="35BB0756"/>
    <w:rsid w:val="35BDF14A"/>
    <w:rsid w:val="35C2FD7E"/>
    <w:rsid w:val="35C38D39"/>
    <w:rsid w:val="35CCE10F"/>
    <w:rsid w:val="35CD0D97"/>
    <w:rsid w:val="35D52E47"/>
    <w:rsid w:val="35D8F57B"/>
    <w:rsid w:val="35E35BF4"/>
    <w:rsid w:val="35E5FDB3"/>
    <w:rsid w:val="35E86C94"/>
    <w:rsid w:val="35ED880D"/>
    <w:rsid w:val="3601EF4D"/>
    <w:rsid w:val="3606A694"/>
    <w:rsid w:val="3608AC4F"/>
    <w:rsid w:val="360BFB85"/>
    <w:rsid w:val="3610E4C7"/>
    <w:rsid w:val="36280FE8"/>
    <w:rsid w:val="362B8FF2"/>
    <w:rsid w:val="36309F66"/>
    <w:rsid w:val="36321BDA"/>
    <w:rsid w:val="36334052"/>
    <w:rsid w:val="3633869A"/>
    <w:rsid w:val="363A9112"/>
    <w:rsid w:val="363EADE5"/>
    <w:rsid w:val="363F64D5"/>
    <w:rsid w:val="36443EC4"/>
    <w:rsid w:val="3647E471"/>
    <w:rsid w:val="3649034D"/>
    <w:rsid w:val="364A0D32"/>
    <w:rsid w:val="364B2DC1"/>
    <w:rsid w:val="364D30CC"/>
    <w:rsid w:val="36565CD4"/>
    <w:rsid w:val="365DEF63"/>
    <w:rsid w:val="3662EC4F"/>
    <w:rsid w:val="36658E5D"/>
    <w:rsid w:val="3666625E"/>
    <w:rsid w:val="367360E0"/>
    <w:rsid w:val="367381FC"/>
    <w:rsid w:val="3677AA1E"/>
    <w:rsid w:val="367AAF0C"/>
    <w:rsid w:val="367BE298"/>
    <w:rsid w:val="368210A7"/>
    <w:rsid w:val="3689E676"/>
    <w:rsid w:val="36902722"/>
    <w:rsid w:val="369460D1"/>
    <w:rsid w:val="3696004E"/>
    <w:rsid w:val="369A0DEF"/>
    <w:rsid w:val="369C4E8E"/>
    <w:rsid w:val="36A36506"/>
    <w:rsid w:val="36A3B98B"/>
    <w:rsid w:val="36A5D2DF"/>
    <w:rsid w:val="36AACCD4"/>
    <w:rsid w:val="36B10A31"/>
    <w:rsid w:val="36B1B7E9"/>
    <w:rsid w:val="36B42CF8"/>
    <w:rsid w:val="36B981C7"/>
    <w:rsid w:val="36B9F8A6"/>
    <w:rsid w:val="36C13DFA"/>
    <w:rsid w:val="36C1F868"/>
    <w:rsid w:val="36C786D0"/>
    <w:rsid w:val="36CDCCA7"/>
    <w:rsid w:val="36D053FB"/>
    <w:rsid w:val="36E11B23"/>
    <w:rsid w:val="36E39AAF"/>
    <w:rsid w:val="36E3FDD6"/>
    <w:rsid w:val="36E8B19A"/>
    <w:rsid w:val="36E96C6A"/>
    <w:rsid w:val="36EA1F8F"/>
    <w:rsid w:val="36EA305F"/>
    <w:rsid w:val="36F8B98D"/>
    <w:rsid w:val="36FA2A9B"/>
    <w:rsid w:val="370251E2"/>
    <w:rsid w:val="37053225"/>
    <w:rsid w:val="370A9ECE"/>
    <w:rsid w:val="370FB60B"/>
    <w:rsid w:val="3711476F"/>
    <w:rsid w:val="371675EB"/>
    <w:rsid w:val="3718B397"/>
    <w:rsid w:val="3721FA85"/>
    <w:rsid w:val="37223F9E"/>
    <w:rsid w:val="372AA808"/>
    <w:rsid w:val="372B08E4"/>
    <w:rsid w:val="372D1A04"/>
    <w:rsid w:val="372D280D"/>
    <w:rsid w:val="372F76FA"/>
    <w:rsid w:val="37389555"/>
    <w:rsid w:val="37397DC9"/>
    <w:rsid w:val="373A0E6C"/>
    <w:rsid w:val="373A8CF3"/>
    <w:rsid w:val="373AAF7D"/>
    <w:rsid w:val="373AFCA7"/>
    <w:rsid w:val="373AFDBA"/>
    <w:rsid w:val="373C3B62"/>
    <w:rsid w:val="373DE9AA"/>
    <w:rsid w:val="373E555C"/>
    <w:rsid w:val="37439533"/>
    <w:rsid w:val="37453491"/>
    <w:rsid w:val="374699FD"/>
    <w:rsid w:val="374E0700"/>
    <w:rsid w:val="374E8D93"/>
    <w:rsid w:val="37506677"/>
    <w:rsid w:val="37549160"/>
    <w:rsid w:val="3757E114"/>
    <w:rsid w:val="3767C882"/>
    <w:rsid w:val="3767DDC3"/>
    <w:rsid w:val="376D926C"/>
    <w:rsid w:val="3770D8BB"/>
    <w:rsid w:val="37774E10"/>
    <w:rsid w:val="377C663C"/>
    <w:rsid w:val="378106D0"/>
    <w:rsid w:val="37862151"/>
    <w:rsid w:val="37866348"/>
    <w:rsid w:val="3792A33F"/>
    <w:rsid w:val="37939E71"/>
    <w:rsid w:val="3794AAB5"/>
    <w:rsid w:val="3795363C"/>
    <w:rsid w:val="379ED85E"/>
    <w:rsid w:val="37A2AE3A"/>
    <w:rsid w:val="37AD36FE"/>
    <w:rsid w:val="37AE565E"/>
    <w:rsid w:val="37B3FE1D"/>
    <w:rsid w:val="37BE2C08"/>
    <w:rsid w:val="37C2E106"/>
    <w:rsid w:val="37C6E2C3"/>
    <w:rsid w:val="37C92DE7"/>
    <w:rsid w:val="37C98B66"/>
    <w:rsid w:val="37D1C91C"/>
    <w:rsid w:val="37D5B0EB"/>
    <w:rsid w:val="37D84F9A"/>
    <w:rsid w:val="37DB6944"/>
    <w:rsid w:val="37DB8194"/>
    <w:rsid w:val="37DE2B02"/>
    <w:rsid w:val="37E07B84"/>
    <w:rsid w:val="37E10920"/>
    <w:rsid w:val="37E1AA45"/>
    <w:rsid w:val="37E45D33"/>
    <w:rsid w:val="37E67E11"/>
    <w:rsid w:val="37E8F70D"/>
    <w:rsid w:val="37E9BE32"/>
    <w:rsid w:val="37EAC11F"/>
    <w:rsid w:val="37F25381"/>
    <w:rsid w:val="37FAC528"/>
    <w:rsid w:val="38020FA1"/>
    <w:rsid w:val="3803F442"/>
    <w:rsid w:val="380920B8"/>
    <w:rsid w:val="380AE762"/>
    <w:rsid w:val="381A838C"/>
    <w:rsid w:val="381DDAB4"/>
    <w:rsid w:val="381E3E8E"/>
    <w:rsid w:val="381F74CA"/>
    <w:rsid w:val="38228F59"/>
    <w:rsid w:val="382404B8"/>
    <w:rsid w:val="38245926"/>
    <w:rsid w:val="3824DAD9"/>
    <w:rsid w:val="382836C3"/>
    <w:rsid w:val="382ABB9F"/>
    <w:rsid w:val="38316ED1"/>
    <w:rsid w:val="38343D41"/>
    <w:rsid w:val="383903F0"/>
    <w:rsid w:val="383D285F"/>
    <w:rsid w:val="383F6E44"/>
    <w:rsid w:val="3846A8ED"/>
    <w:rsid w:val="3847E8C8"/>
    <w:rsid w:val="3848E6CA"/>
    <w:rsid w:val="3849EB32"/>
    <w:rsid w:val="385089BD"/>
    <w:rsid w:val="3854E44C"/>
    <w:rsid w:val="3855FD3C"/>
    <w:rsid w:val="385651F3"/>
    <w:rsid w:val="3857AA1F"/>
    <w:rsid w:val="385A4A11"/>
    <w:rsid w:val="385D3AD0"/>
    <w:rsid w:val="386256FD"/>
    <w:rsid w:val="3865BD7E"/>
    <w:rsid w:val="3869374A"/>
    <w:rsid w:val="386AA6B0"/>
    <w:rsid w:val="387041F5"/>
    <w:rsid w:val="388AE3A8"/>
    <w:rsid w:val="388B21EF"/>
    <w:rsid w:val="388C8F2F"/>
    <w:rsid w:val="388CDB56"/>
    <w:rsid w:val="3897A7AA"/>
    <w:rsid w:val="389DED51"/>
    <w:rsid w:val="38ABB09F"/>
    <w:rsid w:val="38AE53B9"/>
    <w:rsid w:val="38B09E1F"/>
    <w:rsid w:val="38B47F62"/>
    <w:rsid w:val="38BE0DA8"/>
    <w:rsid w:val="38C38FC4"/>
    <w:rsid w:val="38CF43A0"/>
    <w:rsid w:val="38D10527"/>
    <w:rsid w:val="38D25A0F"/>
    <w:rsid w:val="38D7333B"/>
    <w:rsid w:val="38D7D18A"/>
    <w:rsid w:val="38DB0679"/>
    <w:rsid w:val="38E01887"/>
    <w:rsid w:val="38E04A57"/>
    <w:rsid w:val="38E2DC4D"/>
    <w:rsid w:val="38E5A760"/>
    <w:rsid w:val="38E5AE48"/>
    <w:rsid w:val="38E712B4"/>
    <w:rsid w:val="38E9FC51"/>
    <w:rsid w:val="38EC2688"/>
    <w:rsid w:val="38F2ED2B"/>
    <w:rsid w:val="38F3E73E"/>
    <w:rsid w:val="38FABA27"/>
    <w:rsid w:val="3900ACD5"/>
    <w:rsid w:val="39026E33"/>
    <w:rsid w:val="3905EABE"/>
    <w:rsid w:val="39082EE5"/>
    <w:rsid w:val="391375D1"/>
    <w:rsid w:val="39141AF2"/>
    <w:rsid w:val="3914A16E"/>
    <w:rsid w:val="3915ED33"/>
    <w:rsid w:val="39197F8D"/>
    <w:rsid w:val="391AFFC0"/>
    <w:rsid w:val="391B0B69"/>
    <w:rsid w:val="391E41DF"/>
    <w:rsid w:val="392A6851"/>
    <w:rsid w:val="392B7E24"/>
    <w:rsid w:val="392C8F85"/>
    <w:rsid w:val="392EA9D6"/>
    <w:rsid w:val="392FDA5B"/>
    <w:rsid w:val="392FDC97"/>
    <w:rsid w:val="3931BAFA"/>
    <w:rsid w:val="3938FE77"/>
    <w:rsid w:val="393A033F"/>
    <w:rsid w:val="393AD9DE"/>
    <w:rsid w:val="393AF921"/>
    <w:rsid w:val="393C7FA8"/>
    <w:rsid w:val="393EE1FF"/>
    <w:rsid w:val="393F6774"/>
    <w:rsid w:val="39413B31"/>
    <w:rsid w:val="39430D04"/>
    <w:rsid w:val="3945515C"/>
    <w:rsid w:val="3945E22A"/>
    <w:rsid w:val="394C28C5"/>
    <w:rsid w:val="3951C8DE"/>
    <w:rsid w:val="3954C1CF"/>
    <w:rsid w:val="39556833"/>
    <w:rsid w:val="3957FA23"/>
    <w:rsid w:val="395D6A36"/>
    <w:rsid w:val="395E9200"/>
    <w:rsid w:val="396072FB"/>
    <w:rsid w:val="39634C1A"/>
    <w:rsid w:val="3963B0FF"/>
    <w:rsid w:val="39644ADF"/>
    <w:rsid w:val="39696596"/>
    <w:rsid w:val="39712668"/>
    <w:rsid w:val="39762A25"/>
    <w:rsid w:val="3976B7FA"/>
    <w:rsid w:val="3978F2FA"/>
    <w:rsid w:val="39794BB2"/>
    <w:rsid w:val="397B590E"/>
    <w:rsid w:val="397C7CF6"/>
    <w:rsid w:val="398548FE"/>
    <w:rsid w:val="398B372A"/>
    <w:rsid w:val="398E7832"/>
    <w:rsid w:val="39937E1F"/>
    <w:rsid w:val="39997EEF"/>
    <w:rsid w:val="39A385DF"/>
    <w:rsid w:val="39A3B6D8"/>
    <w:rsid w:val="39A72FE0"/>
    <w:rsid w:val="39ABE89A"/>
    <w:rsid w:val="39B099EA"/>
    <w:rsid w:val="39B362FE"/>
    <w:rsid w:val="39B4D3E3"/>
    <w:rsid w:val="39BB6D17"/>
    <w:rsid w:val="39C5F023"/>
    <w:rsid w:val="39C95251"/>
    <w:rsid w:val="39CA20B4"/>
    <w:rsid w:val="39CDAF24"/>
    <w:rsid w:val="39D12EB4"/>
    <w:rsid w:val="39D36B32"/>
    <w:rsid w:val="39DA5602"/>
    <w:rsid w:val="39DA630B"/>
    <w:rsid w:val="39E2E882"/>
    <w:rsid w:val="39E3AAD1"/>
    <w:rsid w:val="39E86636"/>
    <w:rsid w:val="39E9E232"/>
    <w:rsid w:val="39EABF00"/>
    <w:rsid w:val="39F78513"/>
    <w:rsid w:val="39FA9BAA"/>
    <w:rsid w:val="3A011629"/>
    <w:rsid w:val="3A01AC16"/>
    <w:rsid w:val="3A0A404D"/>
    <w:rsid w:val="3A0C21B2"/>
    <w:rsid w:val="3A0C3254"/>
    <w:rsid w:val="3A0E2D80"/>
    <w:rsid w:val="3A0F16DA"/>
    <w:rsid w:val="3A0F9946"/>
    <w:rsid w:val="3A15FCD7"/>
    <w:rsid w:val="3A232468"/>
    <w:rsid w:val="3A26F1B4"/>
    <w:rsid w:val="3A27367B"/>
    <w:rsid w:val="3A2C2725"/>
    <w:rsid w:val="3A35E61B"/>
    <w:rsid w:val="3A38F63E"/>
    <w:rsid w:val="3A3ADCC6"/>
    <w:rsid w:val="3A3D2783"/>
    <w:rsid w:val="3A3D5DC4"/>
    <w:rsid w:val="3A3EDC18"/>
    <w:rsid w:val="3A40C95C"/>
    <w:rsid w:val="3A4609CF"/>
    <w:rsid w:val="3A4CDF8F"/>
    <w:rsid w:val="3A4DC296"/>
    <w:rsid w:val="3A5B756F"/>
    <w:rsid w:val="3A647C3A"/>
    <w:rsid w:val="3A688409"/>
    <w:rsid w:val="3A6F28D4"/>
    <w:rsid w:val="3A72987C"/>
    <w:rsid w:val="3A78968B"/>
    <w:rsid w:val="3A7C0C0B"/>
    <w:rsid w:val="3A80ECEA"/>
    <w:rsid w:val="3A815337"/>
    <w:rsid w:val="3A826BCA"/>
    <w:rsid w:val="3A83425A"/>
    <w:rsid w:val="3A843A04"/>
    <w:rsid w:val="3A8AA153"/>
    <w:rsid w:val="3A8B1EAF"/>
    <w:rsid w:val="3A8BF615"/>
    <w:rsid w:val="3A92E737"/>
    <w:rsid w:val="3A9454E0"/>
    <w:rsid w:val="3AA390F3"/>
    <w:rsid w:val="3AABFE1A"/>
    <w:rsid w:val="3AAC1B9D"/>
    <w:rsid w:val="3AAC3F49"/>
    <w:rsid w:val="3AAC61E6"/>
    <w:rsid w:val="3AB073F7"/>
    <w:rsid w:val="3AB2E5CF"/>
    <w:rsid w:val="3AB68F4A"/>
    <w:rsid w:val="3AB9D7E0"/>
    <w:rsid w:val="3ABB24BD"/>
    <w:rsid w:val="3AC28AAE"/>
    <w:rsid w:val="3ACC1B6D"/>
    <w:rsid w:val="3AD7F831"/>
    <w:rsid w:val="3AD894E8"/>
    <w:rsid w:val="3AE2605D"/>
    <w:rsid w:val="3AE4F6A7"/>
    <w:rsid w:val="3AEE1AF5"/>
    <w:rsid w:val="3AF06E10"/>
    <w:rsid w:val="3AF6CF06"/>
    <w:rsid w:val="3AF8108E"/>
    <w:rsid w:val="3AFF0633"/>
    <w:rsid w:val="3B04A6AC"/>
    <w:rsid w:val="3B0C7CA7"/>
    <w:rsid w:val="3B0E47FA"/>
    <w:rsid w:val="3B16AB51"/>
    <w:rsid w:val="3B223779"/>
    <w:rsid w:val="3B2CC6CE"/>
    <w:rsid w:val="3B2F51B6"/>
    <w:rsid w:val="3B2FF2D0"/>
    <w:rsid w:val="3B30881B"/>
    <w:rsid w:val="3B3A9076"/>
    <w:rsid w:val="3B3C0649"/>
    <w:rsid w:val="3B3F97BE"/>
    <w:rsid w:val="3B467D9F"/>
    <w:rsid w:val="3B5446B5"/>
    <w:rsid w:val="3B56AA57"/>
    <w:rsid w:val="3B5BCB2A"/>
    <w:rsid w:val="3B5C9A46"/>
    <w:rsid w:val="3B60C5A8"/>
    <w:rsid w:val="3B6B2ABD"/>
    <w:rsid w:val="3B6BFACC"/>
    <w:rsid w:val="3B71DCEE"/>
    <w:rsid w:val="3B725E70"/>
    <w:rsid w:val="3B75FCBE"/>
    <w:rsid w:val="3B79DCAD"/>
    <w:rsid w:val="3B7A8122"/>
    <w:rsid w:val="3B850592"/>
    <w:rsid w:val="3B87FA80"/>
    <w:rsid w:val="3B9848EB"/>
    <w:rsid w:val="3B98CC42"/>
    <w:rsid w:val="3B9B279D"/>
    <w:rsid w:val="3BA1103E"/>
    <w:rsid w:val="3BA139D8"/>
    <w:rsid w:val="3BA93A35"/>
    <w:rsid w:val="3BA9910D"/>
    <w:rsid w:val="3BABFED0"/>
    <w:rsid w:val="3BB0BE0B"/>
    <w:rsid w:val="3BB1F4C2"/>
    <w:rsid w:val="3BBA64CD"/>
    <w:rsid w:val="3BBD4FAF"/>
    <w:rsid w:val="3BC2C2A4"/>
    <w:rsid w:val="3BC6201F"/>
    <w:rsid w:val="3BC71935"/>
    <w:rsid w:val="3BCE9D88"/>
    <w:rsid w:val="3BCEFDB5"/>
    <w:rsid w:val="3BD171B1"/>
    <w:rsid w:val="3BD4141D"/>
    <w:rsid w:val="3BD4A57F"/>
    <w:rsid w:val="3BDD50E4"/>
    <w:rsid w:val="3BE66A34"/>
    <w:rsid w:val="3BE8001B"/>
    <w:rsid w:val="3BE8CAB8"/>
    <w:rsid w:val="3BF65271"/>
    <w:rsid w:val="3BF7E890"/>
    <w:rsid w:val="3BFC1670"/>
    <w:rsid w:val="3C086C9F"/>
    <w:rsid w:val="3C0C93EE"/>
    <w:rsid w:val="3C142FAB"/>
    <w:rsid w:val="3C17E596"/>
    <w:rsid w:val="3C209631"/>
    <w:rsid w:val="3C25F48D"/>
    <w:rsid w:val="3C289EC6"/>
    <w:rsid w:val="3C2B490B"/>
    <w:rsid w:val="3C2ED997"/>
    <w:rsid w:val="3C35A3A7"/>
    <w:rsid w:val="3C3E3955"/>
    <w:rsid w:val="3C3EC7CA"/>
    <w:rsid w:val="3C436F37"/>
    <w:rsid w:val="3C4501CF"/>
    <w:rsid w:val="3C45F635"/>
    <w:rsid w:val="3C480BA2"/>
    <w:rsid w:val="3C49521A"/>
    <w:rsid w:val="3C4974A2"/>
    <w:rsid w:val="3C4CE085"/>
    <w:rsid w:val="3C52DBFD"/>
    <w:rsid w:val="3C5313F2"/>
    <w:rsid w:val="3C53F889"/>
    <w:rsid w:val="3C570246"/>
    <w:rsid w:val="3C5A65D1"/>
    <w:rsid w:val="3C60F0CC"/>
    <w:rsid w:val="3C6216AC"/>
    <w:rsid w:val="3C6BD7EB"/>
    <w:rsid w:val="3C6D96EF"/>
    <w:rsid w:val="3C78F9ED"/>
    <w:rsid w:val="3C7F0D86"/>
    <w:rsid w:val="3C8142F1"/>
    <w:rsid w:val="3C835C07"/>
    <w:rsid w:val="3C8485C8"/>
    <w:rsid w:val="3C86CC18"/>
    <w:rsid w:val="3C8771D2"/>
    <w:rsid w:val="3C8F7A97"/>
    <w:rsid w:val="3C941E3A"/>
    <w:rsid w:val="3C95A8D3"/>
    <w:rsid w:val="3C981BAF"/>
    <w:rsid w:val="3C999449"/>
    <w:rsid w:val="3CA708AC"/>
    <w:rsid w:val="3CA85A76"/>
    <w:rsid w:val="3CB458CB"/>
    <w:rsid w:val="3CB6495E"/>
    <w:rsid w:val="3CB6CEC2"/>
    <w:rsid w:val="3CB7FE3C"/>
    <w:rsid w:val="3CC11675"/>
    <w:rsid w:val="3CC89F50"/>
    <w:rsid w:val="3CD5A34D"/>
    <w:rsid w:val="3CD7299F"/>
    <w:rsid w:val="3CD98B13"/>
    <w:rsid w:val="3CDEA48C"/>
    <w:rsid w:val="3CE03AA4"/>
    <w:rsid w:val="3CE1250B"/>
    <w:rsid w:val="3CED384A"/>
    <w:rsid w:val="3CF08298"/>
    <w:rsid w:val="3CF4759E"/>
    <w:rsid w:val="3CF4F9C9"/>
    <w:rsid w:val="3CFA55AD"/>
    <w:rsid w:val="3CFB2CAC"/>
    <w:rsid w:val="3CFD5C8F"/>
    <w:rsid w:val="3D01E97C"/>
    <w:rsid w:val="3D047B99"/>
    <w:rsid w:val="3D07203A"/>
    <w:rsid w:val="3D0ABEEF"/>
    <w:rsid w:val="3D0EC297"/>
    <w:rsid w:val="3D10FA1A"/>
    <w:rsid w:val="3D123147"/>
    <w:rsid w:val="3D128A8D"/>
    <w:rsid w:val="3D1401BF"/>
    <w:rsid w:val="3D15147D"/>
    <w:rsid w:val="3D180868"/>
    <w:rsid w:val="3D201B69"/>
    <w:rsid w:val="3D2A8A85"/>
    <w:rsid w:val="3D2BCA30"/>
    <w:rsid w:val="3D2E05E9"/>
    <w:rsid w:val="3D36FD32"/>
    <w:rsid w:val="3D390F0C"/>
    <w:rsid w:val="3D396A1C"/>
    <w:rsid w:val="3D42A360"/>
    <w:rsid w:val="3D443C95"/>
    <w:rsid w:val="3D461796"/>
    <w:rsid w:val="3D4A9B96"/>
    <w:rsid w:val="3D4CB5DA"/>
    <w:rsid w:val="3D4E5C3D"/>
    <w:rsid w:val="3D54FBED"/>
    <w:rsid w:val="3D574CC7"/>
    <w:rsid w:val="3D583D18"/>
    <w:rsid w:val="3D5952F9"/>
    <w:rsid w:val="3D5A5D97"/>
    <w:rsid w:val="3D62CEBD"/>
    <w:rsid w:val="3D64B183"/>
    <w:rsid w:val="3D67F76C"/>
    <w:rsid w:val="3D742505"/>
    <w:rsid w:val="3D74D083"/>
    <w:rsid w:val="3D75F465"/>
    <w:rsid w:val="3D772CEF"/>
    <w:rsid w:val="3D7A51C1"/>
    <w:rsid w:val="3D7B9CF1"/>
    <w:rsid w:val="3D7D5801"/>
    <w:rsid w:val="3D8235AA"/>
    <w:rsid w:val="3D8BA56C"/>
    <w:rsid w:val="3D8BA779"/>
    <w:rsid w:val="3D8E4460"/>
    <w:rsid w:val="3D916564"/>
    <w:rsid w:val="3D93F034"/>
    <w:rsid w:val="3D942092"/>
    <w:rsid w:val="3D95B132"/>
    <w:rsid w:val="3D97E6CE"/>
    <w:rsid w:val="3D98DA7D"/>
    <w:rsid w:val="3D9ABB53"/>
    <w:rsid w:val="3D9C0300"/>
    <w:rsid w:val="3D9E7BBD"/>
    <w:rsid w:val="3DA08178"/>
    <w:rsid w:val="3DA2432F"/>
    <w:rsid w:val="3DA2992B"/>
    <w:rsid w:val="3DA391CF"/>
    <w:rsid w:val="3DAC7218"/>
    <w:rsid w:val="3DAE215E"/>
    <w:rsid w:val="3DB063A4"/>
    <w:rsid w:val="3DB4848E"/>
    <w:rsid w:val="3DB6A2F0"/>
    <w:rsid w:val="3DB6E72C"/>
    <w:rsid w:val="3DB8A8B9"/>
    <w:rsid w:val="3DC3D071"/>
    <w:rsid w:val="3DC75B1A"/>
    <w:rsid w:val="3DCB128E"/>
    <w:rsid w:val="3DCBD7D9"/>
    <w:rsid w:val="3DCC304B"/>
    <w:rsid w:val="3DCF9035"/>
    <w:rsid w:val="3DDC98D0"/>
    <w:rsid w:val="3DDF0228"/>
    <w:rsid w:val="3DE16CC9"/>
    <w:rsid w:val="3DE2FA7E"/>
    <w:rsid w:val="3DE2FC16"/>
    <w:rsid w:val="3DE8CC61"/>
    <w:rsid w:val="3DECAA7F"/>
    <w:rsid w:val="3DF6B064"/>
    <w:rsid w:val="3DF79DD7"/>
    <w:rsid w:val="3DF8BC60"/>
    <w:rsid w:val="3DF9F663"/>
    <w:rsid w:val="3DFA4436"/>
    <w:rsid w:val="3DFCABAD"/>
    <w:rsid w:val="3E00F474"/>
    <w:rsid w:val="3E01DD35"/>
    <w:rsid w:val="3E072C2B"/>
    <w:rsid w:val="3E07F423"/>
    <w:rsid w:val="3E0AEC00"/>
    <w:rsid w:val="3E0CB8A0"/>
    <w:rsid w:val="3E0FF328"/>
    <w:rsid w:val="3E144A40"/>
    <w:rsid w:val="3E17039E"/>
    <w:rsid w:val="3E18F4D6"/>
    <w:rsid w:val="3E1A8D93"/>
    <w:rsid w:val="3E1B4280"/>
    <w:rsid w:val="3E281333"/>
    <w:rsid w:val="3E299D11"/>
    <w:rsid w:val="3E30E03B"/>
    <w:rsid w:val="3E31A708"/>
    <w:rsid w:val="3E356F0C"/>
    <w:rsid w:val="3E36AD38"/>
    <w:rsid w:val="3E3A0C12"/>
    <w:rsid w:val="3E3B2A07"/>
    <w:rsid w:val="3E3F9442"/>
    <w:rsid w:val="3E4A61BB"/>
    <w:rsid w:val="3E4C59ED"/>
    <w:rsid w:val="3E4CCE51"/>
    <w:rsid w:val="3E4FF5A9"/>
    <w:rsid w:val="3E526694"/>
    <w:rsid w:val="3E5D7C7C"/>
    <w:rsid w:val="3E6005C3"/>
    <w:rsid w:val="3E60AA1E"/>
    <w:rsid w:val="3E61F514"/>
    <w:rsid w:val="3E6AEED2"/>
    <w:rsid w:val="3E79A669"/>
    <w:rsid w:val="3E818511"/>
    <w:rsid w:val="3E8397BA"/>
    <w:rsid w:val="3E911853"/>
    <w:rsid w:val="3E9658AA"/>
    <w:rsid w:val="3E99160C"/>
    <w:rsid w:val="3E99FC86"/>
    <w:rsid w:val="3E9FBDCD"/>
    <w:rsid w:val="3EA1ABEB"/>
    <w:rsid w:val="3EA2753C"/>
    <w:rsid w:val="3EA3140C"/>
    <w:rsid w:val="3EA9EE3D"/>
    <w:rsid w:val="3EAB03D7"/>
    <w:rsid w:val="3EAC2831"/>
    <w:rsid w:val="3EACE4FA"/>
    <w:rsid w:val="3EAF5B4E"/>
    <w:rsid w:val="3EB3C740"/>
    <w:rsid w:val="3EB71A08"/>
    <w:rsid w:val="3EB83510"/>
    <w:rsid w:val="3EB872D7"/>
    <w:rsid w:val="3EBAFB95"/>
    <w:rsid w:val="3EBE2CE0"/>
    <w:rsid w:val="3EC5621E"/>
    <w:rsid w:val="3EC77EE1"/>
    <w:rsid w:val="3ED0B17D"/>
    <w:rsid w:val="3ED28103"/>
    <w:rsid w:val="3EDF9865"/>
    <w:rsid w:val="3EE4B01C"/>
    <w:rsid w:val="3EE4DAB5"/>
    <w:rsid w:val="3EE58EE6"/>
    <w:rsid w:val="3EE5D742"/>
    <w:rsid w:val="3EE9E3BF"/>
    <w:rsid w:val="3EED1166"/>
    <w:rsid w:val="3EF7F0EE"/>
    <w:rsid w:val="3F0029E6"/>
    <w:rsid w:val="3F05300F"/>
    <w:rsid w:val="3F0599D8"/>
    <w:rsid w:val="3F05BCCF"/>
    <w:rsid w:val="3F0C5B9D"/>
    <w:rsid w:val="3F12B2F5"/>
    <w:rsid w:val="3F18C2D8"/>
    <w:rsid w:val="3F19AD20"/>
    <w:rsid w:val="3F1CA618"/>
    <w:rsid w:val="3F1CF5AB"/>
    <w:rsid w:val="3F22EAED"/>
    <w:rsid w:val="3F265DDE"/>
    <w:rsid w:val="3F2892F5"/>
    <w:rsid w:val="3F2A1B75"/>
    <w:rsid w:val="3F2C5E66"/>
    <w:rsid w:val="3F2C9BFC"/>
    <w:rsid w:val="3F2D83D0"/>
    <w:rsid w:val="3F300C23"/>
    <w:rsid w:val="3F322CBD"/>
    <w:rsid w:val="3F353DCA"/>
    <w:rsid w:val="3F380185"/>
    <w:rsid w:val="3F3979DA"/>
    <w:rsid w:val="3F3A8C5C"/>
    <w:rsid w:val="3F42F7BB"/>
    <w:rsid w:val="3F46B0F6"/>
    <w:rsid w:val="3F49FE48"/>
    <w:rsid w:val="3F5336AF"/>
    <w:rsid w:val="3F5C0F6C"/>
    <w:rsid w:val="3F5D0B83"/>
    <w:rsid w:val="3F5D20CB"/>
    <w:rsid w:val="3F5E2F95"/>
    <w:rsid w:val="3F627A12"/>
    <w:rsid w:val="3F650F09"/>
    <w:rsid w:val="3F670D80"/>
    <w:rsid w:val="3F6C0403"/>
    <w:rsid w:val="3F6C7474"/>
    <w:rsid w:val="3F6EF1E8"/>
    <w:rsid w:val="3F730858"/>
    <w:rsid w:val="3F76E2E2"/>
    <w:rsid w:val="3F7951B8"/>
    <w:rsid w:val="3F7A8D37"/>
    <w:rsid w:val="3F7C20D4"/>
    <w:rsid w:val="3F80C1A1"/>
    <w:rsid w:val="3F86E3FD"/>
    <w:rsid w:val="3F878C8F"/>
    <w:rsid w:val="3F8C8DA8"/>
    <w:rsid w:val="3F8DB1C1"/>
    <w:rsid w:val="3F9046F4"/>
    <w:rsid w:val="3F9E3FBD"/>
    <w:rsid w:val="3FA6D1A2"/>
    <w:rsid w:val="3FA72511"/>
    <w:rsid w:val="3FAC4DC1"/>
    <w:rsid w:val="3FAE0FFD"/>
    <w:rsid w:val="3FAE1A5D"/>
    <w:rsid w:val="3FAF9156"/>
    <w:rsid w:val="3FB1EDF2"/>
    <w:rsid w:val="3FB36F84"/>
    <w:rsid w:val="3FB528A2"/>
    <w:rsid w:val="3FB5F14C"/>
    <w:rsid w:val="3FBEEC92"/>
    <w:rsid w:val="3FC11E97"/>
    <w:rsid w:val="3FC93ECD"/>
    <w:rsid w:val="3FCEFC6E"/>
    <w:rsid w:val="3FD4D27F"/>
    <w:rsid w:val="3FD6314F"/>
    <w:rsid w:val="3FD8A7FB"/>
    <w:rsid w:val="3FDEA8AE"/>
    <w:rsid w:val="3FE191B2"/>
    <w:rsid w:val="3FE32C95"/>
    <w:rsid w:val="3FEBFCA5"/>
    <w:rsid w:val="3FF1D55E"/>
    <w:rsid w:val="3FF6F02B"/>
    <w:rsid w:val="3FF8D69B"/>
    <w:rsid w:val="3FF8EA17"/>
    <w:rsid w:val="3FFCA21B"/>
    <w:rsid w:val="3FFE17BE"/>
    <w:rsid w:val="40001D3E"/>
    <w:rsid w:val="40053F75"/>
    <w:rsid w:val="4005CEA7"/>
    <w:rsid w:val="400F44AB"/>
    <w:rsid w:val="4011B705"/>
    <w:rsid w:val="4015E5B2"/>
    <w:rsid w:val="401A4ED0"/>
    <w:rsid w:val="401C35CE"/>
    <w:rsid w:val="401D9695"/>
    <w:rsid w:val="40209485"/>
    <w:rsid w:val="4031EC20"/>
    <w:rsid w:val="403470B8"/>
    <w:rsid w:val="403D6730"/>
    <w:rsid w:val="40437C05"/>
    <w:rsid w:val="4044B8C7"/>
    <w:rsid w:val="4046004A"/>
    <w:rsid w:val="40465FF3"/>
    <w:rsid w:val="40511372"/>
    <w:rsid w:val="4053D827"/>
    <w:rsid w:val="405AB845"/>
    <w:rsid w:val="405D724A"/>
    <w:rsid w:val="4061AE8D"/>
    <w:rsid w:val="40698692"/>
    <w:rsid w:val="406D3246"/>
    <w:rsid w:val="406E2B99"/>
    <w:rsid w:val="40731F99"/>
    <w:rsid w:val="4073C135"/>
    <w:rsid w:val="40757199"/>
    <w:rsid w:val="407761DD"/>
    <w:rsid w:val="408AA585"/>
    <w:rsid w:val="40983A86"/>
    <w:rsid w:val="409CB172"/>
    <w:rsid w:val="409EACCE"/>
    <w:rsid w:val="409F04B6"/>
    <w:rsid w:val="40A4F334"/>
    <w:rsid w:val="40A6F3ED"/>
    <w:rsid w:val="40AFAE64"/>
    <w:rsid w:val="40B76506"/>
    <w:rsid w:val="40B7D4FC"/>
    <w:rsid w:val="40BAE80C"/>
    <w:rsid w:val="40C105F3"/>
    <w:rsid w:val="40C294B8"/>
    <w:rsid w:val="40C3CC1E"/>
    <w:rsid w:val="40C4F510"/>
    <w:rsid w:val="40CA35EC"/>
    <w:rsid w:val="40CA7862"/>
    <w:rsid w:val="40CAE024"/>
    <w:rsid w:val="40CD3C33"/>
    <w:rsid w:val="40D10495"/>
    <w:rsid w:val="40D5DDEB"/>
    <w:rsid w:val="40D5EDAF"/>
    <w:rsid w:val="40DACCD6"/>
    <w:rsid w:val="40DAD49B"/>
    <w:rsid w:val="40DB2FAD"/>
    <w:rsid w:val="40DBD0F6"/>
    <w:rsid w:val="40E0789D"/>
    <w:rsid w:val="40E826B9"/>
    <w:rsid w:val="40E8790D"/>
    <w:rsid w:val="40E8A5D5"/>
    <w:rsid w:val="40EA0B84"/>
    <w:rsid w:val="40EA261B"/>
    <w:rsid w:val="40EA3A64"/>
    <w:rsid w:val="40EA43C5"/>
    <w:rsid w:val="40F5231E"/>
    <w:rsid w:val="40FAE4C3"/>
    <w:rsid w:val="40FC3D88"/>
    <w:rsid w:val="41007DC1"/>
    <w:rsid w:val="4101B7D7"/>
    <w:rsid w:val="410637DA"/>
    <w:rsid w:val="41099437"/>
    <w:rsid w:val="410E6277"/>
    <w:rsid w:val="41138B5B"/>
    <w:rsid w:val="4117C362"/>
    <w:rsid w:val="4118AE7D"/>
    <w:rsid w:val="4119EAEC"/>
    <w:rsid w:val="411A4E89"/>
    <w:rsid w:val="411C9E27"/>
    <w:rsid w:val="412308CE"/>
    <w:rsid w:val="41236F8C"/>
    <w:rsid w:val="4127CB6A"/>
    <w:rsid w:val="412BE110"/>
    <w:rsid w:val="413275DE"/>
    <w:rsid w:val="4135B905"/>
    <w:rsid w:val="4137FBB7"/>
    <w:rsid w:val="41399573"/>
    <w:rsid w:val="414CD67B"/>
    <w:rsid w:val="4159E156"/>
    <w:rsid w:val="41613378"/>
    <w:rsid w:val="4165B67F"/>
    <w:rsid w:val="41664240"/>
    <w:rsid w:val="417E8666"/>
    <w:rsid w:val="41813030"/>
    <w:rsid w:val="418EAD5D"/>
    <w:rsid w:val="419A3F28"/>
    <w:rsid w:val="419D2319"/>
    <w:rsid w:val="41A98945"/>
    <w:rsid w:val="41ACB289"/>
    <w:rsid w:val="41B1D2DF"/>
    <w:rsid w:val="41B4905B"/>
    <w:rsid w:val="41B6C9E3"/>
    <w:rsid w:val="41C2EC2F"/>
    <w:rsid w:val="41C48FA5"/>
    <w:rsid w:val="41C795F4"/>
    <w:rsid w:val="41C8B8CF"/>
    <w:rsid w:val="41D01656"/>
    <w:rsid w:val="41D24322"/>
    <w:rsid w:val="41D7A0A9"/>
    <w:rsid w:val="41D7C385"/>
    <w:rsid w:val="41DC0667"/>
    <w:rsid w:val="41DF28D9"/>
    <w:rsid w:val="41E5ABB0"/>
    <w:rsid w:val="41E82587"/>
    <w:rsid w:val="41E8A491"/>
    <w:rsid w:val="41F1B0A7"/>
    <w:rsid w:val="41F338D3"/>
    <w:rsid w:val="41FE772B"/>
    <w:rsid w:val="42020584"/>
    <w:rsid w:val="420A0331"/>
    <w:rsid w:val="420B8183"/>
    <w:rsid w:val="420BA4FD"/>
    <w:rsid w:val="420D3850"/>
    <w:rsid w:val="4215E646"/>
    <w:rsid w:val="4216FEF8"/>
    <w:rsid w:val="421D45B3"/>
    <w:rsid w:val="4226797A"/>
    <w:rsid w:val="422B4D84"/>
    <w:rsid w:val="422B8622"/>
    <w:rsid w:val="422CE32F"/>
    <w:rsid w:val="4230EF81"/>
    <w:rsid w:val="4233298C"/>
    <w:rsid w:val="42350ED7"/>
    <w:rsid w:val="4236C6B7"/>
    <w:rsid w:val="4238BB4F"/>
    <w:rsid w:val="423A9F27"/>
    <w:rsid w:val="423D7F54"/>
    <w:rsid w:val="423F7ECE"/>
    <w:rsid w:val="423FEBA3"/>
    <w:rsid w:val="42411B64"/>
    <w:rsid w:val="424196F0"/>
    <w:rsid w:val="424428A1"/>
    <w:rsid w:val="424A39A3"/>
    <w:rsid w:val="424C89A2"/>
    <w:rsid w:val="42518F01"/>
    <w:rsid w:val="4255B991"/>
    <w:rsid w:val="42576305"/>
    <w:rsid w:val="425F8233"/>
    <w:rsid w:val="425FE2A8"/>
    <w:rsid w:val="4260E527"/>
    <w:rsid w:val="4262ACFF"/>
    <w:rsid w:val="42670A51"/>
    <w:rsid w:val="426ACB98"/>
    <w:rsid w:val="42753666"/>
    <w:rsid w:val="4277D5B2"/>
    <w:rsid w:val="427AAB2D"/>
    <w:rsid w:val="427AC659"/>
    <w:rsid w:val="427E6480"/>
    <w:rsid w:val="427FB82C"/>
    <w:rsid w:val="427FE59C"/>
    <w:rsid w:val="428027D5"/>
    <w:rsid w:val="4295B955"/>
    <w:rsid w:val="42984A28"/>
    <w:rsid w:val="429BF522"/>
    <w:rsid w:val="429CA975"/>
    <w:rsid w:val="429D3AE7"/>
    <w:rsid w:val="42A58724"/>
    <w:rsid w:val="42A78C70"/>
    <w:rsid w:val="42B4127D"/>
    <w:rsid w:val="42B8652A"/>
    <w:rsid w:val="42BAF368"/>
    <w:rsid w:val="42C14AFB"/>
    <w:rsid w:val="42C4FC08"/>
    <w:rsid w:val="42CDC720"/>
    <w:rsid w:val="42D022C6"/>
    <w:rsid w:val="42E324B7"/>
    <w:rsid w:val="42E3AD03"/>
    <w:rsid w:val="42EC02F8"/>
    <w:rsid w:val="42ED87D8"/>
    <w:rsid w:val="42F91E92"/>
    <w:rsid w:val="43021BB5"/>
    <w:rsid w:val="430254C0"/>
    <w:rsid w:val="430946DF"/>
    <w:rsid w:val="430AAD0E"/>
    <w:rsid w:val="430E06D4"/>
    <w:rsid w:val="430E18A8"/>
    <w:rsid w:val="430EA319"/>
    <w:rsid w:val="4310B051"/>
    <w:rsid w:val="431CAA45"/>
    <w:rsid w:val="431E02FB"/>
    <w:rsid w:val="431E16DA"/>
    <w:rsid w:val="43204224"/>
    <w:rsid w:val="43243F86"/>
    <w:rsid w:val="43271B8B"/>
    <w:rsid w:val="432C9D71"/>
    <w:rsid w:val="432F5987"/>
    <w:rsid w:val="4330995C"/>
    <w:rsid w:val="43310F8D"/>
    <w:rsid w:val="4331E5BC"/>
    <w:rsid w:val="4337EF1B"/>
    <w:rsid w:val="433878A4"/>
    <w:rsid w:val="43389362"/>
    <w:rsid w:val="433E34A3"/>
    <w:rsid w:val="433FA338"/>
    <w:rsid w:val="4340BEB3"/>
    <w:rsid w:val="4347CC6A"/>
    <w:rsid w:val="4349A1A3"/>
    <w:rsid w:val="4351C32E"/>
    <w:rsid w:val="4355025E"/>
    <w:rsid w:val="43563981"/>
    <w:rsid w:val="435D7197"/>
    <w:rsid w:val="435DD067"/>
    <w:rsid w:val="435EFBE4"/>
    <w:rsid w:val="435FEFF8"/>
    <w:rsid w:val="4366BBCB"/>
    <w:rsid w:val="436819A5"/>
    <w:rsid w:val="43696E7B"/>
    <w:rsid w:val="436A830E"/>
    <w:rsid w:val="437152EF"/>
    <w:rsid w:val="437765DA"/>
    <w:rsid w:val="438BB5AC"/>
    <w:rsid w:val="438C8305"/>
    <w:rsid w:val="438E93DD"/>
    <w:rsid w:val="438F2D76"/>
    <w:rsid w:val="439231F5"/>
    <w:rsid w:val="439483A4"/>
    <w:rsid w:val="43A1A27B"/>
    <w:rsid w:val="43A217A3"/>
    <w:rsid w:val="43A21BB8"/>
    <w:rsid w:val="43A2ED4B"/>
    <w:rsid w:val="43A4B576"/>
    <w:rsid w:val="43AA19D9"/>
    <w:rsid w:val="43AE8785"/>
    <w:rsid w:val="43B534D8"/>
    <w:rsid w:val="43B82759"/>
    <w:rsid w:val="43B8B8E1"/>
    <w:rsid w:val="43BDA31C"/>
    <w:rsid w:val="43C3FF4E"/>
    <w:rsid w:val="43C9BD38"/>
    <w:rsid w:val="43D4A3AB"/>
    <w:rsid w:val="43D7916C"/>
    <w:rsid w:val="43E2D25F"/>
    <w:rsid w:val="43E746CB"/>
    <w:rsid w:val="43F3270D"/>
    <w:rsid w:val="43F5CC30"/>
    <w:rsid w:val="43F9F73E"/>
    <w:rsid w:val="43FE9E32"/>
    <w:rsid w:val="44050EF9"/>
    <w:rsid w:val="44070137"/>
    <w:rsid w:val="4407AE2A"/>
    <w:rsid w:val="44081115"/>
    <w:rsid w:val="4408C901"/>
    <w:rsid w:val="440C16B1"/>
    <w:rsid w:val="441210F0"/>
    <w:rsid w:val="4414EFA3"/>
    <w:rsid w:val="441565F0"/>
    <w:rsid w:val="4415D2ED"/>
    <w:rsid w:val="4419A8AC"/>
    <w:rsid w:val="441C1946"/>
    <w:rsid w:val="4426F196"/>
    <w:rsid w:val="442EAAF8"/>
    <w:rsid w:val="442EB26F"/>
    <w:rsid w:val="4435ACD1"/>
    <w:rsid w:val="443608AF"/>
    <w:rsid w:val="443688F6"/>
    <w:rsid w:val="443A230F"/>
    <w:rsid w:val="443AD1A3"/>
    <w:rsid w:val="443B95A2"/>
    <w:rsid w:val="4440F500"/>
    <w:rsid w:val="4443C1BA"/>
    <w:rsid w:val="44478D43"/>
    <w:rsid w:val="444B68BD"/>
    <w:rsid w:val="444CD51E"/>
    <w:rsid w:val="44521913"/>
    <w:rsid w:val="44531B1B"/>
    <w:rsid w:val="4454F3D8"/>
    <w:rsid w:val="445790D1"/>
    <w:rsid w:val="445BB4E2"/>
    <w:rsid w:val="445C0EC9"/>
    <w:rsid w:val="445D8BB8"/>
    <w:rsid w:val="4467EF76"/>
    <w:rsid w:val="446935E7"/>
    <w:rsid w:val="446B52DD"/>
    <w:rsid w:val="446D7A70"/>
    <w:rsid w:val="446F5F22"/>
    <w:rsid w:val="4475228F"/>
    <w:rsid w:val="447D75B2"/>
    <w:rsid w:val="447DE46F"/>
    <w:rsid w:val="448306A5"/>
    <w:rsid w:val="44834440"/>
    <w:rsid w:val="449D04C3"/>
    <w:rsid w:val="449D851A"/>
    <w:rsid w:val="449DDDFD"/>
    <w:rsid w:val="449F4DD4"/>
    <w:rsid w:val="44A0727A"/>
    <w:rsid w:val="44A7CB0B"/>
    <w:rsid w:val="44A8885C"/>
    <w:rsid w:val="44B1A540"/>
    <w:rsid w:val="44B7A3AE"/>
    <w:rsid w:val="44B8CA4B"/>
    <w:rsid w:val="44B91FCE"/>
    <w:rsid w:val="44BEFC90"/>
    <w:rsid w:val="44C3CCFA"/>
    <w:rsid w:val="44C40FF2"/>
    <w:rsid w:val="44C4DEB7"/>
    <w:rsid w:val="44C8966D"/>
    <w:rsid w:val="44D1EEB7"/>
    <w:rsid w:val="44D3506B"/>
    <w:rsid w:val="44D8B2A9"/>
    <w:rsid w:val="44DA9F2C"/>
    <w:rsid w:val="44DD44E8"/>
    <w:rsid w:val="44E03033"/>
    <w:rsid w:val="44F08B1D"/>
    <w:rsid w:val="44F2281D"/>
    <w:rsid w:val="44F448A7"/>
    <w:rsid w:val="44F638B7"/>
    <w:rsid w:val="44F8BF67"/>
    <w:rsid w:val="44FBCD3C"/>
    <w:rsid w:val="44FCE6DC"/>
    <w:rsid w:val="44FDD08A"/>
    <w:rsid w:val="44FE574C"/>
    <w:rsid w:val="44FE8642"/>
    <w:rsid w:val="4500BEDC"/>
    <w:rsid w:val="450253B4"/>
    <w:rsid w:val="450475A9"/>
    <w:rsid w:val="45073A0B"/>
    <w:rsid w:val="450EB2AF"/>
    <w:rsid w:val="45118D3A"/>
    <w:rsid w:val="45139F2C"/>
    <w:rsid w:val="452D6FAB"/>
    <w:rsid w:val="452FE7B9"/>
    <w:rsid w:val="4534425A"/>
    <w:rsid w:val="453D1ED1"/>
    <w:rsid w:val="4549F316"/>
    <w:rsid w:val="45525E9F"/>
    <w:rsid w:val="4555A5AE"/>
    <w:rsid w:val="4555E699"/>
    <w:rsid w:val="4559846B"/>
    <w:rsid w:val="455B279E"/>
    <w:rsid w:val="455DB107"/>
    <w:rsid w:val="45636ED0"/>
    <w:rsid w:val="4563EB19"/>
    <w:rsid w:val="456CA68A"/>
    <w:rsid w:val="456E621C"/>
    <w:rsid w:val="4573D0FC"/>
    <w:rsid w:val="45744526"/>
    <w:rsid w:val="457BF97D"/>
    <w:rsid w:val="457E3C66"/>
    <w:rsid w:val="458153E4"/>
    <w:rsid w:val="45835357"/>
    <w:rsid w:val="45908B0D"/>
    <w:rsid w:val="45947668"/>
    <w:rsid w:val="459941CD"/>
    <w:rsid w:val="459A0916"/>
    <w:rsid w:val="459A8A8D"/>
    <w:rsid w:val="459CD9DA"/>
    <w:rsid w:val="459FE71B"/>
    <w:rsid w:val="45A12603"/>
    <w:rsid w:val="45A2C2FF"/>
    <w:rsid w:val="45A3CFAD"/>
    <w:rsid w:val="45A7388C"/>
    <w:rsid w:val="45AA1171"/>
    <w:rsid w:val="45AAAA09"/>
    <w:rsid w:val="45AD9F2B"/>
    <w:rsid w:val="45AE9C33"/>
    <w:rsid w:val="45B2D721"/>
    <w:rsid w:val="45B5CA70"/>
    <w:rsid w:val="45B88113"/>
    <w:rsid w:val="45BB26EC"/>
    <w:rsid w:val="45BF0A85"/>
    <w:rsid w:val="45C576D4"/>
    <w:rsid w:val="45C9FAD1"/>
    <w:rsid w:val="45CF5F15"/>
    <w:rsid w:val="45D47707"/>
    <w:rsid w:val="45DA2EEB"/>
    <w:rsid w:val="45DBD72A"/>
    <w:rsid w:val="45DC860E"/>
    <w:rsid w:val="45DD6DA7"/>
    <w:rsid w:val="45DE4235"/>
    <w:rsid w:val="45E2973B"/>
    <w:rsid w:val="45EAEC96"/>
    <w:rsid w:val="45EB966C"/>
    <w:rsid w:val="45ECAE33"/>
    <w:rsid w:val="45EEAE82"/>
    <w:rsid w:val="45F3B55D"/>
    <w:rsid w:val="45F803F3"/>
    <w:rsid w:val="45F8A63B"/>
    <w:rsid w:val="45F97EA8"/>
    <w:rsid w:val="45FDF5E0"/>
    <w:rsid w:val="4604691D"/>
    <w:rsid w:val="460E579B"/>
    <w:rsid w:val="4618E2FF"/>
    <w:rsid w:val="461B7A6C"/>
    <w:rsid w:val="461E71F6"/>
    <w:rsid w:val="46227A26"/>
    <w:rsid w:val="462F8981"/>
    <w:rsid w:val="46350ADB"/>
    <w:rsid w:val="463F05F0"/>
    <w:rsid w:val="4644E5ED"/>
    <w:rsid w:val="464B0647"/>
    <w:rsid w:val="4653BA42"/>
    <w:rsid w:val="4654C634"/>
    <w:rsid w:val="46574B90"/>
    <w:rsid w:val="46584CCF"/>
    <w:rsid w:val="465C1258"/>
    <w:rsid w:val="465C3897"/>
    <w:rsid w:val="465F7085"/>
    <w:rsid w:val="4666C14E"/>
    <w:rsid w:val="4667524B"/>
    <w:rsid w:val="466FB08F"/>
    <w:rsid w:val="466FBF46"/>
    <w:rsid w:val="46700D7D"/>
    <w:rsid w:val="467C09A5"/>
    <w:rsid w:val="467E0DD6"/>
    <w:rsid w:val="46808736"/>
    <w:rsid w:val="4682BC3B"/>
    <w:rsid w:val="4683273B"/>
    <w:rsid w:val="46873D22"/>
    <w:rsid w:val="468C0F12"/>
    <w:rsid w:val="46946516"/>
    <w:rsid w:val="469894CE"/>
    <w:rsid w:val="469C981C"/>
    <w:rsid w:val="469D80C5"/>
    <w:rsid w:val="46A008AC"/>
    <w:rsid w:val="46B0FEEC"/>
    <w:rsid w:val="46B4F273"/>
    <w:rsid w:val="46B59F38"/>
    <w:rsid w:val="46B988D0"/>
    <w:rsid w:val="46BE019B"/>
    <w:rsid w:val="46C3889C"/>
    <w:rsid w:val="46D1F8CF"/>
    <w:rsid w:val="46D3E4B4"/>
    <w:rsid w:val="46DBC4F7"/>
    <w:rsid w:val="46DDA7AA"/>
    <w:rsid w:val="46E06782"/>
    <w:rsid w:val="46E8D47B"/>
    <w:rsid w:val="46EF1F07"/>
    <w:rsid w:val="46F2C52D"/>
    <w:rsid w:val="46F6CE78"/>
    <w:rsid w:val="46F73A4C"/>
    <w:rsid w:val="46FB5B26"/>
    <w:rsid w:val="46FEC83F"/>
    <w:rsid w:val="4700C1E1"/>
    <w:rsid w:val="4706C922"/>
    <w:rsid w:val="4713962E"/>
    <w:rsid w:val="47151E37"/>
    <w:rsid w:val="47153BF9"/>
    <w:rsid w:val="47161FE9"/>
    <w:rsid w:val="471DCCBA"/>
    <w:rsid w:val="471F16EB"/>
    <w:rsid w:val="47218730"/>
    <w:rsid w:val="4721E543"/>
    <w:rsid w:val="472A4421"/>
    <w:rsid w:val="472BDECF"/>
    <w:rsid w:val="472DDC56"/>
    <w:rsid w:val="472EAB00"/>
    <w:rsid w:val="472EDCDE"/>
    <w:rsid w:val="4731C6E0"/>
    <w:rsid w:val="47345B9C"/>
    <w:rsid w:val="47363096"/>
    <w:rsid w:val="4739B50E"/>
    <w:rsid w:val="473E5F45"/>
    <w:rsid w:val="4741C5CF"/>
    <w:rsid w:val="4744261C"/>
    <w:rsid w:val="474829B8"/>
    <w:rsid w:val="4748F00A"/>
    <w:rsid w:val="4749B17B"/>
    <w:rsid w:val="474CC5FA"/>
    <w:rsid w:val="474F1E1E"/>
    <w:rsid w:val="4751A0BE"/>
    <w:rsid w:val="47531D27"/>
    <w:rsid w:val="4753800C"/>
    <w:rsid w:val="475423B5"/>
    <w:rsid w:val="4755F02F"/>
    <w:rsid w:val="47601C96"/>
    <w:rsid w:val="47629634"/>
    <w:rsid w:val="47637E4D"/>
    <w:rsid w:val="476D2D6B"/>
    <w:rsid w:val="4772E494"/>
    <w:rsid w:val="4775461F"/>
    <w:rsid w:val="47755EDB"/>
    <w:rsid w:val="4777BD38"/>
    <w:rsid w:val="477894EC"/>
    <w:rsid w:val="477997A7"/>
    <w:rsid w:val="4782DC72"/>
    <w:rsid w:val="478444EA"/>
    <w:rsid w:val="478FD836"/>
    <w:rsid w:val="47955222"/>
    <w:rsid w:val="4797D04B"/>
    <w:rsid w:val="47A83058"/>
    <w:rsid w:val="47AB3C6E"/>
    <w:rsid w:val="47AE3422"/>
    <w:rsid w:val="47B2E82E"/>
    <w:rsid w:val="47B5241E"/>
    <w:rsid w:val="47B614C4"/>
    <w:rsid w:val="47B6225F"/>
    <w:rsid w:val="47B8F01F"/>
    <w:rsid w:val="47C1E7FF"/>
    <w:rsid w:val="47C31872"/>
    <w:rsid w:val="47C6C9B7"/>
    <w:rsid w:val="47CD026D"/>
    <w:rsid w:val="47CE2ED4"/>
    <w:rsid w:val="47D04257"/>
    <w:rsid w:val="47D04ADF"/>
    <w:rsid w:val="47D0C588"/>
    <w:rsid w:val="47D30D5A"/>
    <w:rsid w:val="47DC31C6"/>
    <w:rsid w:val="47DC3DB1"/>
    <w:rsid w:val="47E0400C"/>
    <w:rsid w:val="47E70422"/>
    <w:rsid w:val="47EADCD1"/>
    <w:rsid w:val="47EB933D"/>
    <w:rsid w:val="47F197CF"/>
    <w:rsid w:val="4800020A"/>
    <w:rsid w:val="480912FC"/>
    <w:rsid w:val="480F9F1F"/>
    <w:rsid w:val="481BCC91"/>
    <w:rsid w:val="48203D98"/>
    <w:rsid w:val="48212EA1"/>
    <w:rsid w:val="4821E526"/>
    <w:rsid w:val="4827B9AF"/>
    <w:rsid w:val="48282B33"/>
    <w:rsid w:val="48286CB8"/>
    <w:rsid w:val="4829643A"/>
    <w:rsid w:val="482A0953"/>
    <w:rsid w:val="482CD646"/>
    <w:rsid w:val="482F3A14"/>
    <w:rsid w:val="48316F7C"/>
    <w:rsid w:val="483289AA"/>
    <w:rsid w:val="4837F7C8"/>
    <w:rsid w:val="484511FE"/>
    <w:rsid w:val="4847A4B0"/>
    <w:rsid w:val="48488CD9"/>
    <w:rsid w:val="484A384A"/>
    <w:rsid w:val="484ED6E3"/>
    <w:rsid w:val="484FD68B"/>
    <w:rsid w:val="485219A9"/>
    <w:rsid w:val="4854B7D6"/>
    <w:rsid w:val="4859DF1F"/>
    <w:rsid w:val="486385EE"/>
    <w:rsid w:val="486806AA"/>
    <w:rsid w:val="4868C441"/>
    <w:rsid w:val="4869D44E"/>
    <w:rsid w:val="486C3FCC"/>
    <w:rsid w:val="486EE66F"/>
    <w:rsid w:val="48728D7F"/>
    <w:rsid w:val="487688B7"/>
    <w:rsid w:val="4878F5C7"/>
    <w:rsid w:val="487ECD5E"/>
    <w:rsid w:val="48807426"/>
    <w:rsid w:val="4883703C"/>
    <w:rsid w:val="488419CE"/>
    <w:rsid w:val="48849520"/>
    <w:rsid w:val="4886D9EF"/>
    <w:rsid w:val="4887560D"/>
    <w:rsid w:val="4888583A"/>
    <w:rsid w:val="488A13F1"/>
    <w:rsid w:val="488DC084"/>
    <w:rsid w:val="4895EC5E"/>
    <w:rsid w:val="48967586"/>
    <w:rsid w:val="489B6223"/>
    <w:rsid w:val="489D465D"/>
    <w:rsid w:val="48A00A44"/>
    <w:rsid w:val="48A5348E"/>
    <w:rsid w:val="48A569CC"/>
    <w:rsid w:val="48AA36AC"/>
    <w:rsid w:val="48AC4270"/>
    <w:rsid w:val="48ACE46C"/>
    <w:rsid w:val="48AEBEE3"/>
    <w:rsid w:val="48B22A70"/>
    <w:rsid w:val="48B4E95A"/>
    <w:rsid w:val="48B6AB5C"/>
    <w:rsid w:val="48BDF718"/>
    <w:rsid w:val="48C923B7"/>
    <w:rsid w:val="48D2D0B7"/>
    <w:rsid w:val="48D4F3C4"/>
    <w:rsid w:val="48DB16FE"/>
    <w:rsid w:val="48DB319A"/>
    <w:rsid w:val="48DD9B2E"/>
    <w:rsid w:val="48E40546"/>
    <w:rsid w:val="48E6C26C"/>
    <w:rsid w:val="48EC8017"/>
    <w:rsid w:val="48EDF1E5"/>
    <w:rsid w:val="48EF4C4C"/>
    <w:rsid w:val="48F183DE"/>
    <w:rsid w:val="48F30948"/>
    <w:rsid w:val="48F3BE69"/>
    <w:rsid w:val="48F92A3D"/>
    <w:rsid w:val="48FE499F"/>
    <w:rsid w:val="49003EF1"/>
    <w:rsid w:val="490B3A10"/>
    <w:rsid w:val="4913235E"/>
    <w:rsid w:val="4919700A"/>
    <w:rsid w:val="491D88AC"/>
    <w:rsid w:val="491E98A1"/>
    <w:rsid w:val="4922193B"/>
    <w:rsid w:val="492548B2"/>
    <w:rsid w:val="4925BA39"/>
    <w:rsid w:val="4927E2A1"/>
    <w:rsid w:val="4932345B"/>
    <w:rsid w:val="49393ED7"/>
    <w:rsid w:val="493CEF8F"/>
    <w:rsid w:val="493CF316"/>
    <w:rsid w:val="494CFD06"/>
    <w:rsid w:val="49520E46"/>
    <w:rsid w:val="49566E1F"/>
    <w:rsid w:val="49570794"/>
    <w:rsid w:val="495F4749"/>
    <w:rsid w:val="496464E1"/>
    <w:rsid w:val="4964AEAE"/>
    <w:rsid w:val="496B2124"/>
    <w:rsid w:val="49723C71"/>
    <w:rsid w:val="4972E215"/>
    <w:rsid w:val="4978E219"/>
    <w:rsid w:val="497D2689"/>
    <w:rsid w:val="49823235"/>
    <w:rsid w:val="49832E6E"/>
    <w:rsid w:val="498605AA"/>
    <w:rsid w:val="49888A42"/>
    <w:rsid w:val="4988A802"/>
    <w:rsid w:val="498D3904"/>
    <w:rsid w:val="498EA1F9"/>
    <w:rsid w:val="49903151"/>
    <w:rsid w:val="499F1F68"/>
    <w:rsid w:val="49A3CB62"/>
    <w:rsid w:val="49A5443F"/>
    <w:rsid w:val="49B0BF86"/>
    <w:rsid w:val="49B66B58"/>
    <w:rsid w:val="49B6E693"/>
    <w:rsid w:val="49BD126B"/>
    <w:rsid w:val="49C1FD9A"/>
    <w:rsid w:val="49C23760"/>
    <w:rsid w:val="49C5038A"/>
    <w:rsid w:val="49C7AB09"/>
    <w:rsid w:val="49C8EEDF"/>
    <w:rsid w:val="49C90E47"/>
    <w:rsid w:val="49CBFE44"/>
    <w:rsid w:val="49CD7CB0"/>
    <w:rsid w:val="49D04B4B"/>
    <w:rsid w:val="49D5E0E5"/>
    <w:rsid w:val="49D894DF"/>
    <w:rsid w:val="49E3F175"/>
    <w:rsid w:val="49F0D46E"/>
    <w:rsid w:val="49F325C1"/>
    <w:rsid w:val="49F3816B"/>
    <w:rsid w:val="49F5960B"/>
    <w:rsid w:val="49F80CA9"/>
    <w:rsid w:val="49F846E2"/>
    <w:rsid w:val="49F91ED0"/>
    <w:rsid w:val="4A0046B0"/>
    <w:rsid w:val="4A0051D2"/>
    <w:rsid w:val="4A028CFE"/>
    <w:rsid w:val="4A09799C"/>
    <w:rsid w:val="4A0A9A26"/>
    <w:rsid w:val="4A0C53C1"/>
    <w:rsid w:val="4A1126E3"/>
    <w:rsid w:val="4A11DF88"/>
    <w:rsid w:val="4A12D500"/>
    <w:rsid w:val="4A134916"/>
    <w:rsid w:val="4A189D77"/>
    <w:rsid w:val="4A1D9990"/>
    <w:rsid w:val="4A2BCDE4"/>
    <w:rsid w:val="4A32FB3E"/>
    <w:rsid w:val="4A35BD4B"/>
    <w:rsid w:val="4A396075"/>
    <w:rsid w:val="4A448C25"/>
    <w:rsid w:val="4A44C6A0"/>
    <w:rsid w:val="4A471F1F"/>
    <w:rsid w:val="4A498B9B"/>
    <w:rsid w:val="4A4C10B7"/>
    <w:rsid w:val="4A4F3B2E"/>
    <w:rsid w:val="4A4F470C"/>
    <w:rsid w:val="4A56CFF8"/>
    <w:rsid w:val="4A56DBE6"/>
    <w:rsid w:val="4A65AE63"/>
    <w:rsid w:val="4A698643"/>
    <w:rsid w:val="4A6E7269"/>
    <w:rsid w:val="4A71907E"/>
    <w:rsid w:val="4A7577C1"/>
    <w:rsid w:val="4A7CB5F3"/>
    <w:rsid w:val="4A8515BE"/>
    <w:rsid w:val="4A8941DC"/>
    <w:rsid w:val="4A8A6ACE"/>
    <w:rsid w:val="4A8C7D2C"/>
    <w:rsid w:val="4A8C89AE"/>
    <w:rsid w:val="4A93000F"/>
    <w:rsid w:val="4A978F09"/>
    <w:rsid w:val="4A985F87"/>
    <w:rsid w:val="4A9D03BC"/>
    <w:rsid w:val="4A9E509E"/>
    <w:rsid w:val="4A9FAAEB"/>
    <w:rsid w:val="4AA707DA"/>
    <w:rsid w:val="4AAC468C"/>
    <w:rsid w:val="4AAE7EFE"/>
    <w:rsid w:val="4AAE9503"/>
    <w:rsid w:val="4AAF7DD8"/>
    <w:rsid w:val="4AAFFD23"/>
    <w:rsid w:val="4AB6D1DF"/>
    <w:rsid w:val="4ABD7E42"/>
    <w:rsid w:val="4AC191EB"/>
    <w:rsid w:val="4ACE0422"/>
    <w:rsid w:val="4AD5DAE3"/>
    <w:rsid w:val="4AD60A81"/>
    <w:rsid w:val="4AD9F8D2"/>
    <w:rsid w:val="4ADA947C"/>
    <w:rsid w:val="4ADF4A20"/>
    <w:rsid w:val="4AE2EB39"/>
    <w:rsid w:val="4AE322B9"/>
    <w:rsid w:val="4AE930F1"/>
    <w:rsid w:val="4AEB2A66"/>
    <w:rsid w:val="4AEEBB68"/>
    <w:rsid w:val="4AF0EE99"/>
    <w:rsid w:val="4B0115BA"/>
    <w:rsid w:val="4B05EE4F"/>
    <w:rsid w:val="4B0AECA4"/>
    <w:rsid w:val="4B0AFE6F"/>
    <w:rsid w:val="4B0DE6F1"/>
    <w:rsid w:val="4B0E54B5"/>
    <w:rsid w:val="4B17A9F0"/>
    <w:rsid w:val="4B198D88"/>
    <w:rsid w:val="4B1B5106"/>
    <w:rsid w:val="4B1D9CBA"/>
    <w:rsid w:val="4B20F28C"/>
    <w:rsid w:val="4B2144C7"/>
    <w:rsid w:val="4B222257"/>
    <w:rsid w:val="4B243BB0"/>
    <w:rsid w:val="4B27718D"/>
    <w:rsid w:val="4B2B55D4"/>
    <w:rsid w:val="4B2CF58F"/>
    <w:rsid w:val="4B2F335D"/>
    <w:rsid w:val="4B2F5EAA"/>
    <w:rsid w:val="4B3437F2"/>
    <w:rsid w:val="4B35DD07"/>
    <w:rsid w:val="4B368127"/>
    <w:rsid w:val="4B380747"/>
    <w:rsid w:val="4B399676"/>
    <w:rsid w:val="4B41DFDA"/>
    <w:rsid w:val="4B4557C1"/>
    <w:rsid w:val="4B4724C1"/>
    <w:rsid w:val="4B47BF2A"/>
    <w:rsid w:val="4B52A107"/>
    <w:rsid w:val="4B54E546"/>
    <w:rsid w:val="4B5722A0"/>
    <w:rsid w:val="4B59CCE5"/>
    <w:rsid w:val="4B5F985D"/>
    <w:rsid w:val="4B60AC3E"/>
    <w:rsid w:val="4B60ED5D"/>
    <w:rsid w:val="4B610E1D"/>
    <w:rsid w:val="4B6A3D9B"/>
    <w:rsid w:val="4B6EB58B"/>
    <w:rsid w:val="4B767528"/>
    <w:rsid w:val="4B7A3929"/>
    <w:rsid w:val="4B7AC819"/>
    <w:rsid w:val="4B7AD924"/>
    <w:rsid w:val="4B7C808C"/>
    <w:rsid w:val="4B7DA212"/>
    <w:rsid w:val="4B7EBBCB"/>
    <w:rsid w:val="4B843FE9"/>
    <w:rsid w:val="4B85DC7A"/>
    <w:rsid w:val="4B899F51"/>
    <w:rsid w:val="4B8C2B3A"/>
    <w:rsid w:val="4B8C6D84"/>
    <w:rsid w:val="4B93E5E6"/>
    <w:rsid w:val="4B9AF8E0"/>
    <w:rsid w:val="4BA1AA17"/>
    <w:rsid w:val="4BA331B9"/>
    <w:rsid w:val="4BA50BF3"/>
    <w:rsid w:val="4BA73340"/>
    <w:rsid w:val="4BAB934F"/>
    <w:rsid w:val="4BAF4645"/>
    <w:rsid w:val="4BB4B559"/>
    <w:rsid w:val="4BB759CA"/>
    <w:rsid w:val="4BB8AF34"/>
    <w:rsid w:val="4BB9461E"/>
    <w:rsid w:val="4BBBBFCF"/>
    <w:rsid w:val="4BBE6D47"/>
    <w:rsid w:val="4BC03D6B"/>
    <w:rsid w:val="4BC11440"/>
    <w:rsid w:val="4BC4FF69"/>
    <w:rsid w:val="4BC6CC3D"/>
    <w:rsid w:val="4BC9C3BF"/>
    <w:rsid w:val="4BCE5D11"/>
    <w:rsid w:val="4BCEA2C1"/>
    <w:rsid w:val="4BDF6339"/>
    <w:rsid w:val="4BE1D738"/>
    <w:rsid w:val="4BE41925"/>
    <w:rsid w:val="4BE6684E"/>
    <w:rsid w:val="4BEB1668"/>
    <w:rsid w:val="4BEE951B"/>
    <w:rsid w:val="4BF7BF4B"/>
    <w:rsid w:val="4BFCE96A"/>
    <w:rsid w:val="4BFE0B18"/>
    <w:rsid w:val="4C00D1EF"/>
    <w:rsid w:val="4C03311C"/>
    <w:rsid w:val="4C103BDF"/>
    <w:rsid w:val="4C147187"/>
    <w:rsid w:val="4C162871"/>
    <w:rsid w:val="4C1C086A"/>
    <w:rsid w:val="4C1DC6FC"/>
    <w:rsid w:val="4C1F1E96"/>
    <w:rsid w:val="4C2097D0"/>
    <w:rsid w:val="4C228F75"/>
    <w:rsid w:val="4C24FB27"/>
    <w:rsid w:val="4C269469"/>
    <w:rsid w:val="4C2D15D3"/>
    <w:rsid w:val="4C2D8076"/>
    <w:rsid w:val="4C2E76DE"/>
    <w:rsid w:val="4C2F1AA8"/>
    <w:rsid w:val="4C309E07"/>
    <w:rsid w:val="4C30E45E"/>
    <w:rsid w:val="4C354CC8"/>
    <w:rsid w:val="4C3797E7"/>
    <w:rsid w:val="4C39FE29"/>
    <w:rsid w:val="4C4885F1"/>
    <w:rsid w:val="4C49150F"/>
    <w:rsid w:val="4C4B631D"/>
    <w:rsid w:val="4C4C7B6D"/>
    <w:rsid w:val="4C5161CD"/>
    <w:rsid w:val="4C55B755"/>
    <w:rsid w:val="4C5613FA"/>
    <w:rsid w:val="4C595917"/>
    <w:rsid w:val="4C59CF42"/>
    <w:rsid w:val="4C5B6AF6"/>
    <w:rsid w:val="4C5C7C4A"/>
    <w:rsid w:val="4C5C8584"/>
    <w:rsid w:val="4C5EBECC"/>
    <w:rsid w:val="4C619ED3"/>
    <w:rsid w:val="4C62AF6B"/>
    <w:rsid w:val="4C63B43C"/>
    <w:rsid w:val="4C6502D6"/>
    <w:rsid w:val="4C663D2E"/>
    <w:rsid w:val="4C68326B"/>
    <w:rsid w:val="4C6AABDF"/>
    <w:rsid w:val="4C6B3C87"/>
    <w:rsid w:val="4C6CDA4E"/>
    <w:rsid w:val="4C70F540"/>
    <w:rsid w:val="4C738E67"/>
    <w:rsid w:val="4C7694E6"/>
    <w:rsid w:val="4C784722"/>
    <w:rsid w:val="4C78D4D3"/>
    <w:rsid w:val="4C7922C3"/>
    <w:rsid w:val="4C7CFD49"/>
    <w:rsid w:val="4C81C28B"/>
    <w:rsid w:val="4C867112"/>
    <w:rsid w:val="4C93699D"/>
    <w:rsid w:val="4C97017F"/>
    <w:rsid w:val="4C9EFF2F"/>
    <w:rsid w:val="4CA31049"/>
    <w:rsid w:val="4CA3CC97"/>
    <w:rsid w:val="4CA66104"/>
    <w:rsid w:val="4CA70A0C"/>
    <w:rsid w:val="4CA86654"/>
    <w:rsid w:val="4CAB9AD7"/>
    <w:rsid w:val="4CB2AB7A"/>
    <w:rsid w:val="4CB65D97"/>
    <w:rsid w:val="4CBA2BA5"/>
    <w:rsid w:val="4CBECFD6"/>
    <w:rsid w:val="4CC19CA6"/>
    <w:rsid w:val="4CC27214"/>
    <w:rsid w:val="4CC28676"/>
    <w:rsid w:val="4CC54EEC"/>
    <w:rsid w:val="4CC5DDD0"/>
    <w:rsid w:val="4CC84B92"/>
    <w:rsid w:val="4CC9A588"/>
    <w:rsid w:val="4CCC4641"/>
    <w:rsid w:val="4CD1B0EC"/>
    <w:rsid w:val="4CDD0CD5"/>
    <w:rsid w:val="4CE20957"/>
    <w:rsid w:val="4CE5D21E"/>
    <w:rsid w:val="4CE82F39"/>
    <w:rsid w:val="4CEBE794"/>
    <w:rsid w:val="4CECA35C"/>
    <w:rsid w:val="4CECFAEE"/>
    <w:rsid w:val="4CEEE588"/>
    <w:rsid w:val="4CF96277"/>
    <w:rsid w:val="4D010512"/>
    <w:rsid w:val="4D02C776"/>
    <w:rsid w:val="4D067F11"/>
    <w:rsid w:val="4D09B851"/>
    <w:rsid w:val="4D0E06EE"/>
    <w:rsid w:val="4D0F9670"/>
    <w:rsid w:val="4D10125A"/>
    <w:rsid w:val="4D150C5B"/>
    <w:rsid w:val="4D1BB02A"/>
    <w:rsid w:val="4D1D3F38"/>
    <w:rsid w:val="4D2C82EC"/>
    <w:rsid w:val="4D2C9FED"/>
    <w:rsid w:val="4D2DEFE4"/>
    <w:rsid w:val="4D36FA47"/>
    <w:rsid w:val="4D3DCEC3"/>
    <w:rsid w:val="4D44CE17"/>
    <w:rsid w:val="4D451116"/>
    <w:rsid w:val="4D4B5C05"/>
    <w:rsid w:val="4D4E268A"/>
    <w:rsid w:val="4D5AECF7"/>
    <w:rsid w:val="4D5E985B"/>
    <w:rsid w:val="4D60A56F"/>
    <w:rsid w:val="4D6124D5"/>
    <w:rsid w:val="4D6196D6"/>
    <w:rsid w:val="4D619DB4"/>
    <w:rsid w:val="4D65B4EA"/>
    <w:rsid w:val="4D6B6FA4"/>
    <w:rsid w:val="4D6B7DA6"/>
    <w:rsid w:val="4D6BA717"/>
    <w:rsid w:val="4D6BAA58"/>
    <w:rsid w:val="4D728284"/>
    <w:rsid w:val="4D73BF1D"/>
    <w:rsid w:val="4D7B7A26"/>
    <w:rsid w:val="4D7CF7A6"/>
    <w:rsid w:val="4D82F1DA"/>
    <w:rsid w:val="4D890CCA"/>
    <w:rsid w:val="4D8A706E"/>
    <w:rsid w:val="4D8E3ECA"/>
    <w:rsid w:val="4D930B11"/>
    <w:rsid w:val="4D9C6109"/>
    <w:rsid w:val="4D9E6449"/>
    <w:rsid w:val="4DA53E98"/>
    <w:rsid w:val="4DA67F90"/>
    <w:rsid w:val="4DAA16F5"/>
    <w:rsid w:val="4DABAC62"/>
    <w:rsid w:val="4DAE68F8"/>
    <w:rsid w:val="4DAEC3B5"/>
    <w:rsid w:val="4DB40947"/>
    <w:rsid w:val="4DBB16E4"/>
    <w:rsid w:val="4DBBCF1F"/>
    <w:rsid w:val="4DBF6B33"/>
    <w:rsid w:val="4DC20D6A"/>
    <w:rsid w:val="4DC5133F"/>
    <w:rsid w:val="4DC7759F"/>
    <w:rsid w:val="4DCE73FE"/>
    <w:rsid w:val="4DD000B6"/>
    <w:rsid w:val="4DD19567"/>
    <w:rsid w:val="4DD1BDE5"/>
    <w:rsid w:val="4DD7875A"/>
    <w:rsid w:val="4DDA853A"/>
    <w:rsid w:val="4DDAA28D"/>
    <w:rsid w:val="4DDFC15A"/>
    <w:rsid w:val="4DE068F5"/>
    <w:rsid w:val="4DEB7483"/>
    <w:rsid w:val="4DF15DA0"/>
    <w:rsid w:val="4DF17B97"/>
    <w:rsid w:val="4DF28578"/>
    <w:rsid w:val="4DF330C8"/>
    <w:rsid w:val="4DF75DE1"/>
    <w:rsid w:val="4DFB0003"/>
    <w:rsid w:val="4E003ECB"/>
    <w:rsid w:val="4E043975"/>
    <w:rsid w:val="4E08B53E"/>
    <w:rsid w:val="4E0D2F2F"/>
    <w:rsid w:val="4E20FF26"/>
    <w:rsid w:val="4E226321"/>
    <w:rsid w:val="4E2B7CDC"/>
    <w:rsid w:val="4E2BC2F2"/>
    <w:rsid w:val="4E2EEB76"/>
    <w:rsid w:val="4E30C73E"/>
    <w:rsid w:val="4E3AF8FE"/>
    <w:rsid w:val="4E3BA9AA"/>
    <w:rsid w:val="4E4433FF"/>
    <w:rsid w:val="4E44D074"/>
    <w:rsid w:val="4E44DB79"/>
    <w:rsid w:val="4E495B75"/>
    <w:rsid w:val="4E49DA59"/>
    <w:rsid w:val="4E4D9C15"/>
    <w:rsid w:val="4E4E5C0D"/>
    <w:rsid w:val="4E4E9C12"/>
    <w:rsid w:val="4E51C926"/>
    <w:rsid w:val="4E59DFAB"/>
    <w:rsid w:val="4E603695"/>
    <w:rsid w:val="4E61B707"/>
    <w:rsid w:val="4E664ACF"/>
    <w:rsid w:val="4E691E05"/>
    <w:rsid w:val="4E6AE7C9"/>
    <w:rsid w:val="4E74ECA5"/>
    <w:rsid w:val="4E7890BB"/>
    <w:rsid w:val="4E81F6D4"/>
    <w:rsid w:val="4E849EB0"/>
    <w:rsid w:val="4E869784"/>
    <w:rsid w:val="4E89A2FE"/>
    <w:rsid w:val="4E8DBA62"/>
    <w:rsid w:val="4E906F8D"/>
    <w:rsid w:val="4E99A191"/>
    <w:rsid w:val="4E9A5F70"/>
    <w:rsid w:val="4E9A932A"/>
    <w:rsid w:val="4EA0270F"/>
    <w:rsid w:val="4EAA0982"/>
    <w:rsid w:val="4EBD62B0"/>
    <w:rsid w:val="4EBE599D"/>
    <w:rsid w:val="4EBFD813"/>
    <w:rsid w:val="4EC428EB"/>
    <w:rsid w:val="4EC9E541"/>
    <w:rsid w:val="4ECCF888"/>
    <w:rsid w:val="4ED0803F"/>
    <w:rsid w:val="4ED2C866"/>
    <w:rsid w:val="4EE2344E"/>
    <w:rsid w:val="4EE9C0BF"/>
    <w:rsid w:val="4EEEE7A2"/>
    <w:rsid w:val="4EF29E9A"/>
    <w:rsid w:val="4EFCECFB"/>
    <w:rsid w:val="4EFCFA79"/>
    <w:rsid w:val="4EFD676B"/>
    <w:rsid w:val="4EFFA4F5"/>
    <w:rsid w:val="4EFFEB33"/>
    <w:rsid w:val="4F027A58"/>
    <w:rsid w:val="4F030510"/>
    <w:rsid w:val="4F04951B"/>
    <w:rsid w:val="4F05A628"/>
    <w:rsid w:val="4F0648FE"/>
    <w:rsid w:val="4F09B54D"/>
    <w:rsid w:val="4F09EF67"/>
    <w:rsid w:val="4F0ED886"/>
    <w:rsid w:val="4F185407"/>
    <w:rsid w:val="4F1C1E71"/>
    <w:rsid w:val="4F22B26C"/>
    <w:rsid w:val="4F2D8583"/>
    <w:rsid w:val="4F2D9335"/>
    <w:rsid w:val="4F2FF38C"/>
    <w:rsid w:val="4F379F8B"/>
    <w:rsid w:val="4F3AF20C"/>
    <w:rsid w:val="4F3C5296"/>
    <w:rsid w:val="4F3CEE28"/>
    <w:rsid w:val="4F3D9E3B"/>
    <w:rsid w:val="4F3E4ED7"/>
    <w:rsid w:val="4F3F45E2"/>
    <w:rsid w:val="4F4B0A0D"/>
    <w:rsid w:val="4F4B905E"/>
    <w:rsid w:val="4F4F7161"/>
    <w:rsid w:val="4F523813"/>
    <w:rsid w:val="4F5BF93B"/>
    <w:rsid w:val="4F601F19"/>
    <w:rsid w:val="4F61A2C2"/>
    <w:rsid w:val="4F6706A1"/>
    <w:rsid w:val="4F671514"/>
    <w:rsid w:val="4F6A28D6"/>
    <w:rsid w:val="4F6C3A48"/>
    <w:rsid w:val="4F6E178F"/>
    <w:rsid w:val="4F6FF89D"/>
    <w:rsid w:val="4F73A4F2"/>
    <w:rsid w:val="4F73B154"/>
    <w:rsid w:val="4F78C545"/>
    <w:rsid w:val="4F7B0F3D"/>
    <w:rsid w:val="4F7C9AB2"/>
    <w:rsid w:val="4F7DEA60"/>
    <w:rsid w:val="4F83FD0C"/>
    <w:rsid w:val="4F8A79E1"/>
    <w:rsid w:val="4F8BAB5C"/>
    <w:rsid w:val="4F8DBD6E"/>
    <w:rsid w:val="4F930AF9"/>
    <w:rsid w:val="4F93CC90"/>
    <w:rsid w:val="4F94EF75"/>
    <w:rsid w:val="4FA02AA7"/>
    <w:rsid w:val="4FA34332"/>
    <w:rsid w:val="4FA54D04"/>
    <w:rsid w:val="4FA7783B"/>
    <w:rsid w:val="4FAB06EB"/>
    <w:rsid w:val="4FB7DF77"/>
    <w:rsid w:val="4FB93B9A"/>
    <w:rsid w:val="4FBBD383"/>
    <w:rsid w:val="4FC4A643"/>
    <w:rsid w:val="4FC86456"/>
    <w:rsid w:val="4FCBBDEB"/>
    <w:rsid w:val="4FCD548E"/>
    <w:rsid w:val="4FCE77E7"/>
    <w:rsid w:val="4FCF0BC3"/>
    <w:rsid w:val="4FCF19DC"/>
    <w:rsid w:val="4FCFDC74"/>
    <w:rsid w:val="4FD0F5CB"/>
    <w:rsid w:val="4FD36656"/>
    <w:rsid w:val="4FD4F0ED"/>
    <w:rsid w:val="4FDE7299"/>
    <w:rsid w:val="4FE55730"/>
    <w:rsid w:val="4FEBCDF3"/>
    <w:rsid w:val="4FEC693C"/>
    <w:rsid w:val="4FEE0C4A"/>
    <w:rsid w:val="4FEF0928"/>
    <w:rsid w:val="4FF0879F"/>
    <w:rsid w:val="4FF34A8F"/>
    <w:rsid w:val="4FF40A7D"/>
    <w:rsid w:val="4FFAF222"/>
    <w:rsid w:val="50017D5B"/>
    <w:rsid w:val="500689DE"/>
    <w:rsid w:val="500F02C1"/>
    <w:rsid w:val="5015605A"/>
    <w:rsid w:val="5016B3AC"/>
    <w:rsid w:val="50173572"/>
    <w:rsid w:val="50196296"/>
    <w:rsid w:val="5019774D"/>
    <w:rsid w:val="501AC5E8"/>
    <w:rsid w:val="501C4444"/>
    <w:rsid w:val="5023C3FE"/>
    <w:rsid w:val="50250B5B"/>
    <w:rsid w:val="5029B6AE"/>
    <w:rsid w:val="502F0587"/>
    <w:rsid w:val="502FD017"/>
    <w:rsid w:val="5032BE21"/>
    <w:rsid w:val="50330AF4"/>
    <w:rsid w:val="503C18CF"/>
    <w:rsid w:val="5040001F"/>
    <w:rsid w:val="50411BDE"/>
    <w:rsid w:val="50430C3D"/>
    <w:rsid w:val="504463A1"/>
    <w:rsid w:val="50511BE2"/>
    <w:rsid w:val="5051C761"/>
    <w:rsid w:val="50551BD2"/>
    <w:rsid w:val="5056BA30"/>
    <w:rsid w:val="50570B57"/>
    <w:rsid w:val="50586F77"/>
    <w:rsid w:val="505A9ACD"/>
    <w:rsid w:val="50608742"/>
    <w:rsid w:val="50637435"/>
    <w:rsid w:val="5068C0C6"/>
    <w:rsid w:val="506DB276"/>
    <w:rsid w:val="5078DB6D"/>
    <w:rsid w:val="507A7E7E"/>
    <w:rsid w:val="507F3D24"/>
    <w:rsid w:val="50830E1E"/>
    <w:rsid w:val="508FF6CE"/>
    <w:rsid w:val="5097951C"/>
    <w:rsid w:val="509AEA07"/>
    <w:rsid w:val="509FB758"/>
    <w:rsid w:val="50A3BD75"/>
    <w:rsid w:val="50A82715"/>
    <w:rsid w:val="50A9524B"/>
    <w:rsid w:val="50AA0ADB"/>
    <w:rsid w:val="50B21DB7"/>
    <w:rsid w:val="50B40593"/>
    <w:rsid w:val="50B5055E"/>
    <w:rsid w:val="50B6CACE"/>
    <w:rsid w:val="50B7AD68"/>
    <w:rsid w:val="50BB0017"/>
    <w:rsid w:val="50BE67BD"/>
    <w:rsid w:val="50BEE1CF"/>
    <w:rsid w:val="50C1D7EC"/>
    <w:rsid w:val="50C38BC7"/>
    <w:rsid w:val="50C6AFFA"/>
    <w:rsid w:val="50C94C3E"/>
    <w:rsid w:val="50CE8C87"/>
    <w:rsid w:val="50D30076"/>
    <w:rsid w:val="50D9BE68"/>
    <w:rsid w:val="50DC9F92"/>
    <w:rsid w:val="50E1DED9"/>
    <w:rsid w:val="50E3EDB2"/>
    <w:rsid w:val="50E7996C"/>
    <w:rsid w:val="50E8B851"/>
    <w:rsid w:val="50F38CB9"/>
    <w:rsid w:val="50F6F39C"/>
    <w:rsid w:val="51006C6D"/>
    <w:rsid w:val="51007D93"/>
    <w:rsid w:val="51015CAB"/>
    <w:rsid w:val="510B054E"/>
    <w:rsid w:val="510C1D07"/>
    <w:rsid w:val="510DBEB3"/>
    <w:rsid w:val="51100718"/>
    <w:rsid w:val="51117F4C"/>
    <w:rsid w:val="511704FC"/>
    <w:rsid w:val="51197F3C"/>
    <w:rsid w:val="511ADE19"/>
    <w:rsid w:val="511C3F84"/>
    <w:rsid w:val="511D46B0"/>
    <w:rsid w:val="511EE14D"/>
    <w:rsid w:val="5126A0FF"/>
    <w:rsid w:val="512A8837"/>
    <w:rsid w:val="512DB614"/>
    <w:rsid w:val="51326180"/>
    <w:rsid w:val="513352AC"/>
    <w:rsid w:val="51347BF8"/>
    <w:rsid w:val="5138F688"/>
    <w:rsid w:val="513AADD4"/>
    <w:rsid w:val="513AB878"/>
    <w:rsid w:val="513BAA75"/>
    <w:rsid w:val="513C9526"/>
    <w:rsid w:val="513EAE1A"/>
    <w:rsid w:val="51455D12"/>
    <w:rsid w:val="514D0498"/>
    <w:rsid w:val="514E95DD"/>
    <w:rsid w:val="5151BCA4"/>
    <w:rsid w:val="5152D50B"/>
    <w:rsid w:val="515444DE"/>
    <w:rsid w:val="51597B62"/>
    <w:rsid w:val="51639DC0"/>
    <w:rsid w:val="51655698"/>
    <w:rsid w:val="51677445"/>
    <w:rsid w:val="51694BF6"/>
    <w:rsid w:val="516D17FC"/>
    <w:rsid w:val="516E0991"/>
    <w:rsid w:val="5171A1EB"/>
    <w:rsid w:val="5174FF13"/>
    <w:rsid w:val="517669D5"/>
    <w:rsid w:val="517A6CBE"/>
    <w:rsid w:val="518670B7"/>
    <w:rsid w:val="5187E1BF"/>
    <w:rsid w:val="518C8761"/>
    <w:rsid w:val="518D8EAD"/>
    <w:rsid w:val="518F7C67"/>
    <w:rsid w:val="5194F1C0"/>
    <w:rsid w:val="519AB9FF"/>
    <w:rsid w:val="51A90B22"/>
    <w:rsid w:val="51AC0756"/>
    <w:rsid w:val="51B196BC"/>
    <w:rsid w:val="51B31091"/>
    <w:rsid w:val="51B324F6"/>
    <w:rsid w:val="51B56D22"/>
    <w:rsid w:val="51B98A25"/>
    <w:rsid w:val="51C308CE"/>
    <w:rsid w:val="51C4CFED"/>
    <w:rsid w:val="51C5FFA3"/>
    <w:rsid w:val="51C84441"/>
    <w:rsid w:val="51C8E27F"/>
    <w:rsid w:val="51CD3A14"/>
    <w:rsid w:val="51CD79D3"/>
    <w:rsid w:val="51D53178"/>
    <w:rsid w:val="51D82B8F"/>
    <w:rsid w:val="51E05B78"/>
    <w:rsid w:val="51E26B81"/>
    <w:rsid w:val="51E40ECC"/>
    <w:rsid w:val="51EB1CDF"/>
    <w:rsid w:val="51EC7120"/>
    <w:rsid w:val="51ED2B52"/>
    <w:rsid w:val="51ED73E0"/>
    <w:rsid w:val="51EE19A1"/>
    <w:rsid w:val="51F6A671"/>
    <w:rsid w:val="51F8051D"/>
    <w:rsid w:val="51FCC91E"/>
    <w:rsid w:val="52034058"/>
    <w:rsid w:val="5205CB22"/>
    <w:rsid w:val="5207E738"/>
    <w:rsid w:val="520AC4B4"/>
    <w:rsid w:val="52122284"/>
    <w:rsid w:val="5218E219"/>
    <w:rsid w:val="52215BFC"/>
    <w:rsid w:val="5221D74B"/>
    <w:rsid w:val="52223AEB"/>
    <w:rsid w:val="52363CBB"/>
    <w:rsid w:val="5238AAC0"/>
    <w:rsid w:val="5239FD21"/>
    <w:rsid w:val="523CBF6D"/>
    <w:rsid w:val="523F1C97"/>
    <w:rsid w:val="5242DC26"/>
    <w:rsid w:val="52432AE6"/>
    <w:rsid w:val="524D6386"/>
    <w:rsid w:val="525C584F"/>
    <w:rsid w:val="5264B716"/>
    <w:rsid w:val="5265882F"/>
    <w:rsid w:val="526ACF97"/>
    <w:rsid w:val="526C171F"/>
    <w:rsid w:val="526C635A"/>
    <w:rsid w:val="526C66F0"/>
    <w:rsid w:val="52727555"/>
    <w:rsid w:val="52735DB2"/>
    <w:rsid w:val="5274E7FB"/>
    <w:rsid w:val="5279F865"/>
    <w:rsid w:val="527B1082"/>
    <w:rsid w:val="527C3719"/>
    <w:rsid w:val="527CD36D"/>
    <w:rsid w:val="52810739"/>
    <w:rsid w:val="52831862"/>
    <w:rsid w:val="52843A8F"/>
    <w:rsid w:val="528945CF"/>
    <w:rsid w:val="528965E4"/>
    <w:rsid w:val="52978270"/>
    <w:rsid w:val="5299544D"/>
    <w:rsid w:val="529B27C9"/>
    <w:rsid w:val="52A5DB7A"/>
    <w:rsid w:val="52A6B973"/>
    <w:rsid w:val="52A90449"/>
    <w:rsid w:val="52AD302A"/>
    <w:rsid w:val="52B03840"/>
    <w:rsid w:val="52B41735"/>
    <w:rsid w:val="52B8626B"/>
    <w:rsid w:val="52BB6F11"/>
    <w:rsid w:val="52C67EF2"/>
    <w:rsid w:val="52C8E0C2"/>
    <w:rsid w:val="52CC1805"/>
    <w:rsid w:val="52CC1E53"/>
    <w:rsid w:val="52CF82AD"/>
    <w:rsid w:val="52D13825"/>
    <w:rsid w:val="52D2B6FD"/>
    <w:rsid w:val="52D3FEA9"/>
    <w:rsid w:val="52D50F6D"/>
    <w:rsid w:val="52D95681"/>
    <w:rsid w:val="52D9D8B5"/>
    <w:rsid w:val="52DA0BDA"/>
    <w:rsid w:val="52DB4658"/>
    <w:rsid w:val="52E24465"/>
    <w:rsid w:val="52EC69B8"/>
    <w:rsid w:val="52EE4B38"/>
    <w:rsid w:val="52F4C036"/>
    <w:rsid w:val="52FAD4C7"/>
    <w:rsid w:val="52FE5434"/>
    <w:rsid w:val="5300474C"/>
    <w:rsid w:val="5301D302"/>
    <w:rsid w:val="5302015B"/>
    <w:rsid w:val="530EC1FE"/>
    <w:rsid w:val="53114171"/>
    <w:rsid w:val="531F0D6B"/>
    <w:rsid w:val="53205A7D"/>
    <w:rsid w:val="53220755"/>
    <w:rsid w:val="53221613"/>
    <w:rsid w:val="53227662"/>
    <w:rsid w:val="5324521C"/>
    <w:rsid w:val="53245DD1"/>
    <w:rsid w:val="5327A2E9"/>
    <w:rsid w:val="532884E2"/>
    <w:rsid w:val="5329AAD7"/>
    <w:rsid w:val="532E8BFB"/>
    <w:rsid w:val="53364849"/>
    <w:rsid w:val="534235FC"/>
    <w:rsid w:val="53475AA2"/>
    <w:rsid w:val="5347AC8C"/>
    <w:rsid w:val="534B4D61"/>
    <w:rsid w:val="534E7840"/>
    <w:rsid w:val="5352C4FB"/>
    <w:rsid w:val="53583963"/>
    <w:rsid w:val="5359B443"/>
    <w:rsid w:val="535FC483"/>
    <w:rsid w:val="535FFABF"/>
    <w:rsid w:val="5360A8DE"/>
    <w:rsid w:val="53632B5E"/>
    <w:rsid w:val="53679DEC"/>
    <w:rsid w:val="5368E17D"/>
    <w:rsid w:val="5371481A"/>
    <w:rsid w:val="53791FF7"/>
    <w:rsid w:val="5379DF2B"/>
    <w:rsid w:val="537AAE0F"/>
    <w:rsid w:val="537AF48B"/>
    <w:rsid w:val="537B8D55"/>
    <w:rsid w:val="537BC908"/>
    <w:rsid w:val="53866313"/>
    <w:rsid w:val="5388BDDE"/>
    <w:rsid w:val="538ADA72"/>
    <w:rsid w:val="538F261C"/>
    <w:rsid w:val="538FE43F"/>
    <w:rsid w:val="53905E3F"/>
    <w:rsid w:val="539074A3"/>
    <w:rsid w:val="5393C098"/>
    <w:rsid w:val="5393CACF"/>
    <w:rsid w:val="53952CB0"/>
    <w:rsid w:val="53958E52"/>
    <w:rsid w:val="5398D1B1"/>
    <w:rsid w:val="539A34E9"/>
    <w:rsid w:val="539D9CFA"/>
    <w:rsid w:val="539E9722"/>
    <w:rsid w:val="53A2C206"/>
    <w:rsid w:val="53A31082"/>
    <w:rsid w:val="53AEDC54"/>
    <w:rsid w:val="53AFF842"/>
    <w:rsid w:val="53B4DD63"/>
    <w:rsid w:val="53B8A966"/>
    <w:rsid w:val="53BB35BF"/>
    <w:rsid w:val="53C08BF2"/>
    <w:rsid w:val="53C14B67"/>
    <w:rsid w:val="53C39260"/>
    <w:rsid w:val="53CE884A"/>
    <w:rsid w:val="53CEE61F"/>
    <w:rsid w:val="53D1EC96"/>
    <w:rsid w:val="53D7393D"/>
    <w:rsid w:val="53D8117C"/>
    <w:rsid w:val="53DA5C28"/>
    <w:rsid w:val="53DC4439"/>
    <w:rsid w:val="53E2E9B5"/>
    <w:rsid w:val="53E6754C"/>
    <w:rsid w:val="53E84917"/>
    <w:rsid w:val="53EA8BDF"/>
    <w:rsid w:val="53EB3298"/>
    <w:rsid w:val="53ECAABE"/>
    <w:rsid w:val="53ED70E1"/>
    <w:rsid w:val="53EDE6ED"/>
    <w:rsid w:val="53EE90C3"/>
    <w:rsid w:val="53F045CA"/>
    <w:rsid w:val="53F14351"/>
    <w:rsid w:val="53F27346"/>
    <w:rsid w:val="540030B8"/>
    <w:rsid w:val="540AAED2"/>
    <w:rsid w:val="540E868C"/>
    <w:rsid w:val="54107747"/>
    <w:rsid w:val="5411FD71"/>
    <w:rsid w:val="5415D193"/>
    <w:rsid w:val="54169354"/>
    <w:rsid w:val="541B0A4F"/>
    <w:rsid w:val="54235BE6"/>
    <w:rsid w:val="5426F45E"/>
    <w:rsid w:val="542F1A4D"/>
    <w:rsid w:val="5430A137"/>
    <w:rsid w:val="54367E25"/>
    <w:rsid w:val="544DB436"/>
    <w:rsid w:val="544E8173"/>
    <w:rsid w:val="54532036"/>
    <w:rsid w:val="545D58DC"/>
    <w:rsid w:val="545D6D60"/>
    <w:rsid w:val="545E2FF3"/>
    <w:rsid w:val="545F1713"/>
    <w:rsid w:val="5465EF9C"/>
    <w:rsid w:val="54663FA8"/>
    <w:rsid w:val="546C13FE"/>
    <w:rsid w:val="546E866D"/>
    <w:rsid w:val="546FE99D"/>
    <w:rsid w:val="547568DE"/>
    <w:rsid w:val="547E8C8D"/>
    <w:rsid w:val="54801C6A"/>
    <w:rsid w:val="5480D8CA"/>
    <w:rsid w:val="5481E32F"/>
    <w:rsid w:val="54830401"/>
    <w:rsid w:val="548A5216"/>
    <w:rsid w:val="5492A1BD"/>
    <w:rsid w:val="54933BB5"/>
    <w:rsid w:val="5494E825"/>
    <w:rsid w:val="54965472"/>
    <w:rsid w:val="54974272"/>
    <w:rsid w:val="549924D9"/>
    <w:rsid w:val="549FA5AB"/>
    <w:rsid w:val="54A690CF"/>
    <w:rsid w:val="54A79EAC"/>
    <w:rsid w:val="54A9E0A8"/>
    <w:rsid w:val="54B219D3"/>
    <w:rsid w:val="54B72C68"/>
    <w:rsid w:val="54BA5A23"/>
    <w:rsid w:val="54C1BC54"/>
    <w:rsid w:val="54C629DD"/>
    <w:rsid w:val="54C6C16C"/>
    <w:rsid w:val="54C703C6"/>
    <w:rsid w:val="54C8D64B"/>
    <w:rsid w:val="54D107EE"/>
    <w:rsid w:val="54DA233E"/>
    <w:rsid w:val="54DA864B"/>
    <w:rsid w:val="54DBC49D"/>
    <w:rsid w:val="54DFCF0A"/>
    <w:rsid w:val="54E65040"/>
    <w:rsid w:val="54EEDEC5"/>
    <w:rsid w:val="54FAE2FE"/>
    <w:rsid w:val="54FD7DAC"/>
    <w:rsid w:val="55079041"/>
    <w:rsid w:val="5507A6AD"/>
    <w:rsid w:val="5512875B"/>
    <w:rsid w:val="55144DCB"/>
    <w:rsid w:val="551600C3"/>
    <w:rsid w:val="551B6ED0"/>
    <w:rsid w:val="551E86EE"/>
    <w:rsid w:val="552FE126"/>
    <w:rsid w:val="553429A9"/>
    <w:rsid w:val="553556EF"/>
    <w:rsid w:val="553B3425"/>
    <w:rsid w:val="554052BB"/>
    <w:rsid w:val="5542D992"/>
    <w:rsid w:val="5546FC56"/>
    <w:rsid w:val="554A5B51"/>
    <w:rsid w:val="554FC731"/>
    <w:rsid w:val="5553ABFC"/>
    <w:rsid w:val="55551879"/>
    <w:rsid w:val="555851E1"/>
    <w:rsid w:val="55600274"/>
    <w:rsid w:val="55630844"/>
    <w:rsid w:val="55680C0A"/>
    <w:rsid w:val="556A84DB"/>
    <w:rsid w:val="556C3D6F"/>
    <w:rsid w:val="556CE8CB"/>
    <w:rsid w:val="5573E12D"/>
    <w:rsid w:val="55776505"/>
    <w:rsid w:val="55824E2B"/>
    <w:rsid w:val="5584A32A"/>
    <w:rsid w:val="558A7CDD"/>
    <w:rsid w:val="558AE3CB"/>
    <w:rsid w:val="558D0D78"/>
    <w:rsid w:val="558D42DC"/>
    <w:rsid w:val="55917130"/>
    <w:rsid w:val="5593A06C"/>
    <w:rsid w:val="5599A571"/>
    <w:rsid w:val="559C5BF4"/>
    <w:rsid w:val="559E70FC"/>
    <w:rsid w:val="55A9826A"/>
    <w:rsid w:val="55A9F12C"/>
    <w:rsid w:val="55B4E04D"/>
    <w:rsid w:val="55B64EA6"/>
    <w:rsid w:val="55B76D1B"/>
    <w:rsid w:val="55BA9CB9"/>
    <w:rsid w:val="55CEDA5A"/>
    <w:rsid w:val="55CF3D3E"/>
    <w:rsid w:val="55DA7C23"/>
    <w:rsid w:val="55DDFB04"/>
    <w:rsid w:val="55DEB8F0"/>
    <w:rsid w:val="55DEF18B"/>
    <w:rsid w:val="55E12BBF"/>
    <w:rsid w:val="55E48971"/>
    <w:rsid w:val="55F0E603"/>
    <w:rsid w:val="55F741B2"/>
    <w:rsid w:val="55F7F199"/>
    <w:rsid w:val="55FB475A"/>
    <w:rsid w:val="55FBD5B2"/>
    <w:rsid w:val="560BD814"/>
    <w:rsid w:val="561B56B0"/>
    <w:rsid w:val="561BB9ED"/>
    <w:rsid w:val="561DCD96"/>
    <w:rsid w:val="5624E114"/>
    <w:rsid w:val="56257AC7"/>
    <w:rsid w:val="562AED9E"/>
    <w:rsid w:val="562C9B19"/>
    <w:rsid w:val="562E22EF"/>
    <w:rsid w:val="563457CE"/>
    <w:rsid w:val="563495ED"/>
    <w:rsid w:val="5635E1F8"/>
    <w:rsid w:val="563D8A26"/>
    <w:rsid w:val="563FDBBF"/>
    <w:rsid w:val="56409F67"/>
    <w:rsid w:val="564C85DF"/>
    <w:rsid w:val="5654945B"/>
    <w:rsid w:val="565E1AA6"/>
    <w:rsid w:val="566055B1"/>
    <w:rsid w:val="5666DEDD"/>
    <w:rsid w:val="5667D9FB"/>
    <w:rsid w:val="5668A90E"/>
    <w:rsid w:val="566A402B"/>
    <w:rsid w:val="56701ADE"/>
    <w:rsid w:val="567256AA"/>
    <w:rsid w:val="56749B7A"/>
    <w:rsid w:val="56755D27"/>
    <w:rsid w:val="5677E8F4"/>
    <w:rsid w:val="5678733E"/>
    <w:rsid w:val="5678FB85"/>
    <w:rsid w:val="567B06E2"/>
    <w:rsid w:val="567C15A5"/>
    <w:rsid w:val="567D84AA"/>
    <w:rsid w:val="567F2FCC"/>
    <w:rsid w:val="567FC175"/>
    <w:rsid w:val="5682AC6D"/>
    <w:rsid w:val="568959C5"/>
    <w:rsid w:val="56897C71"/>
    <w:rsid w:val="568BCC6E"/>
    <w:rsid w:val="568D714B"/>
    <w:rsid w:val="568DDAAE"/>
    <w:rsid w:val="5694347B"/>
    <w:rsid w:val="569569BB"/>
    <w:rsid w:val="569BCF11"/>
    <w:rsid w:val="56A0898D"/>
    <w:rsid w:val="56A3EC79"/>
    <w:rsid w:val="56A4110A"/>
    <w:rsid w:val="56AA1FFC"/>
    <w:rsid w:val="56ACA478"/>
    <w:rsid w:val="56AD122E"/>
    <w:rsid w:val="56B87092"/>
    <w:rsid w:val="56C0963F"/>
    <w:rsid w:val="56C18797"/>
    <w:rsid w:val="56C626E5"/>
    <w:rsid w:val="56CF36B0"/>
    <w:rsid w:val="56D16B9D"/>
    <w:rsid w:val="56D231E2"/>
    <w:rsid w:val="56D2FA35"/>
    <w:rsid w:val="56D736B4"/>
    <w:rsid w:val="56D74E6E"/>
    <w:rsid w:val="56D9F737"/>
    <w:rsid w:val="56DAFEDE"/>
    <w:rsid w:val="56E04ACD"/>
    <w:rsid w:val="56E2639C"/>
    <w:rsid w:val="56E3472A"/>
    <w:rsid w:val="56E3F18F"/>
    <w:rsid w:val="56E64629"/>
    <w:rsid w:val="56EA285A"/>
    <w:rsid w:val="56ED982B"/>
    <w:rsid w:val="56F0BEE9"/>
    <w:rsid w:val="56F18A99"/>
    <w:rsid w:val="56F7DDBB"/>
    <w:rsid w:val="5705C0AF"/>
    <w:rsid w:val="57079168"/>
    <w:rsid w:val="570AD885"/>
    <w:rsid w:val="570C0B74"/>
    <w:rsid w:val="570C15A8"/>
    <w:rsid w:val="5713315E"/>
    <w:rsid w:val="571B43A2"/>
    <w:rsid w:val="5721BD0E"/>
    <w:rsid w:val="57221CE1"/>
    <w:rsid w:val="5724A00B"/>
    <w:rsid w:val="5725F21F"/>
    <w:rsid w:val="572681CA"/>
    <w:rsid w:val="572A6CF1"/>
    <w:rsid w:val="57354120"/>
    <w:rsid w:val="5736D613"/>
    <w:rsid w:val="573CF2A3"/>
    <w:rsid w:val="57428995"/>
    <w:rsid w:val="57457812"/>
    <w:rsid w:val="574DE3B9"/>
    <w:rsid w:val="574FE1CC"/>
    <w:rsid w:val="575C0B32"/>
    <w:rsid w:val="575D4242"/>
    <w:rsid w:val="57696C33"/>
    <w:rsid w:val="576DDA4B"/>
    <w:rsid w:val="576E9CFE"/>
    <w:rsid w:val="576F3E8F"/>
    <w:rsid w:val="577061EB"/>
    <w:rsid w:val="5771ABB0"/>
    <w:rsid w:val="5771BBF1"/>
    <w:rsid w:val="5775B0C1"/>
    <w:rsid w:val="57772AA0"/>
    <w:rsid w:val="5778DFDF"/>
    <w:rsid w:val="5778E2EF"/>
    <w:rsid w:val="57804BD9"/>
    <w:rsid w:val="578C3386"/>
    <w:rsid w:val="578EC0A4"/>
    <w:rsid w:val="57921D2B"/>
    <w:rsid w:val="57943523"/>
    <w:rsid w:val="579A968C"/>
    <w:rsid w:val="57A0E88F"/>
    <w:rsid w:val="57A3F7E9"/>
    <w:rsid w:val="57A60363"/>
    <w:rsid w:val="57A78E88"/>
    <w:rsid w:val="57AAD898"/>
    <w:rsid w:val="57AE257A"/>
    <w:rsid w:val="57B723B8"/>
    <w:rsid w:val="57BD40B7"/>
    <w:rsid w:val="57BF0D7F"/>
    <w:rsid w:val="57C10519"/>
    <w:rsid w:val="57C2DBAB"/>
    <w:rsid w:val="57C3324E"/>
    <w:rsid w:val="57C3858E"/>
    <w:rsid w:val="57CAD0DF"/>
    <w:rsid w:val="57CF3085"/>
    <w:rsid w:val="57DA3AFF"/>
    <w:rsid w:val="57E31CB6"/>
    <w:rsid w:val="57EACAEF"/>
    <w:rsid w:val="57ED5C0B"/>
    <w:rsid w:val="57ED9601"/>
    <w:rsid w:val="57F85429"/>
    <w:rsid w:val="57FB24C9"/>
    <w:rsid w:val="57FF64BA"/>
    <w:rsid w:val="5803A0CD"/>
    <w:rsid w:val="5804E9A0"/>
    <w:rsid w:val="580A84D3"/>
    <w:rsid w:val="580A8675"/>
    <w:rsid w:val="581D68CB"/>
    <w:rsid w:val="58249376"/>
    <w:rsid w:val="582B5953"/>
    <w:rsid w:val="582BA5BC"/>
    <w:rsid w:val="582F5D89"/>
    <w:rsid w:val="58310B88"/>
    <w:rsid w:val="58313EAA"/>
    <w:rsid w:val="58325FB9"/>
    <w:rsid w:val="5835BB39"/>
    <w:rsid w:val="5835E89F"/>
    <w:rsid w:val="58383281"/>
    <w:rsid w:val="5838EF47"/>
    <w:rsid w:val="583BAAAE"/>
    <w:rsid w:val="583C8B6A"/>
    <w:rsid w:val="583DDBB3"/>
    <w:rsid w:val="583E1551"/>
    <w:rsid w:val="58435705"/>
    <w:rsid w:val="5847BB2E"/>
    <w:rsid w:val="5848233E"/>
    <w:rsid w:val="584976E3"/>
    <w:rsid w:val="584A9918"/>
    <w:rsid w:val="584E90D9"/>
    <w:rsid w:val="5850B988"/>
    <w:rsid w:val="585173A7"/>
    <w:rsid w:val="585258B2"/>
    <w:rsid w:val="58537D24"/>
    <w:rsid w:val="5856125F"/>
    <w:rsid w:val="5856618C"/>
    <w:rsid w:val="58573306"/>
    <w:rsid w:val="58580558"/>
    <w:rsid w:val="5859DE90"/>
    <w:rsid w:val="585F0DB6"/>
    <w:rsid w:val="585F6869"/>
    <w:rsid w:val="585FE1D0"/>
    <w:rsid w:val="58614431"/>
    <w:rsid w:val="586F698F"/>
    <w:rsid w:val="586F6AB9"/>
    <w:rsid w:val="58703850"/>
    <w:rsid w:val="587376E9"/>
    <w:rsid w:val="588D3448"/>
    <w:rsid w:val="588E3AE7"/>
    <w:rsid w:val="5891BAAE"/>
    <w:rsid w:val="5896676A"/>
    <w:rsid w:val="58986736"/>
    <w:rsid w:val="5899D5A4"/>
    <w:rsid w:val="589B9C57"/>
    <w:rsid w:val="589D6CE2"/>
    <w:rsid w:val="589DBFDD"/>
    <w:rsid w:val="58A19325"/>
    <w:rsid w:val="58A57FF2"/>
    <w:rsid w:val="58A6B893"/>
    <w:rsid w:val="58A83CEB"/>
    <w:rsid w:val="58AD8B00"/>
    <w:rsid w:val="58B28029"/>
    <w:rsid w:val="58BCE8DF"/>
    <w:rsid w:val="58BF26F7"/>
    <w:rsid w:val="58C24235"/>
    <w:rsid w:val="58C426DA"/>
    <w:rsid w:val="58C6B989"/>
    <w:rsid w:val="58CB19C0"/>
    <w:rsid w:val="58CB79AB"/>
    <w:rsid w:val="58D250FF"/>
    <w:rsid w:val="58D40AEC"/>
    <w:rsid w:val="58D69528"/>
    <w:rsid w:val="58DAD08B"/>
    <w:rsid w:val="58E06294"/>
    <w:rsid w:val="58E21BB5"/>
    <w:rsid w:val="58E9E442"/>
    <w:rsid w:val="58EFF1A1"/>
    <w:rsid w:val="58F2929B"/>
    <w:rsid w:val="58F2E11C"/>
    <w:rsid w:val="58F75CEE"/>
    <w:rsid w:val="58FC6B4B"/>
    <w:rsid w:val="58FDD927"/>
    <w:rsid w:val="58FEE661"/>
    <w:rsid w:val="59048B77"/>
    <w:rsid w:val="590760E6"/>
    <w:rsid w:val="591268C8"/>
    <w:rsid w:val="59194C51"/>
    <w:rsid w:val="591A0074"/>
    <w:rsid w:val="591C6649"/>
    <w:rsid w:val="591EFF1A"/>
    <w:rsid w:val="591F17D1"/>
    <w:rsid w:val="59219975"/>
    <w:rsid w:val="5926B5C8"/>
    <w:rsid w:val="592865C2"/>
    <w:rsid w:val="592AABB2"/>
    <w:rsid w:val="592C35A2"/>
    <w:rsid w:val="592F1CFF"/>
    <w:rsid w:val="5937C217"/>
    <w:rsid w:val="593A48DF"/>
    <w:rsid w:val="594159A0"/>
    <w:rsid w:val="594D10D8"/>
    <w:rsid w:val="5950D837"/>
    <w:rsid w:val="595DA398"/>
    <w:rsid w:val="5962E0FC"/>
    <w:rsid w:val="5966979C"/>
    <w:rsid w:val="596754EF"/>
    <w:rsid w:val="5967C574"/>
    <w:rsid w:val="596B1EE7"/>
    <w:rsid w:val="597030C0"/>
    <w:rsid w:val="5970A698"/>
    <w:rsid w:val="597337D3"/>
    <w:rsid w:val="59786384"/>
    <w:rsid w:val="597A06A1"/>
    <w:rsid w:val="59805592"/>
    <w:rsid w:val="5982264D"/>
    <w:rsid w:val="598438E7"/>
    <w:rsid w:val="598511C4"/>
    <w:rsid w:val="59896AC5"/>
    <w:rsid w:val="598A2561"/>
    <w:rsid w:val="5997E767"/>
    <w:rsid w:val="599A1B03"/>
    <w:rsid w:val="59A4367A"/>
    <w:rsid w:val="59AA7FAB"/>
    <w:rsid w:val="59AAE2BE"/>
    <w:rsid w:val="59ADA772"/>
    <w:rsid w:val="59B1101A"/>
    <w:rsid w:val="59B28EE6"/>
    <w:rsid w:val="59B3DACA"/>
    <w:rsid w:val="59B5585A"/>
    <w:rsid w:val="59BA309F"/>
    <w:rsid w:val="59BAFAD0"/>
    <w:rsid w:val="59BD035F"/>
    <w:rsid w:val="59BEB3CC"/>
    <w:rsid w:val="59BF7EF5"/>
    <w:rsid w:val="59C00934"/>
    <w:rsid w:val="59C46DD9"/>
    <w:rsid w:val="59C6944F"/>
    <w:rsid w:val="59C6FADF"/>
    <w:rsid w:val="59CA33F9"/>
    <w:rsid w:val="59CAD7C5"/>
    <w:rsid w:val="59D84671"/>
    <w:rsid w:val="59D9A242"/>
    <w:rsid w:val="59DC9112"/>
    <w:rsid w:val="59DE1B27"/>
    <w:rsid w:val="59DE9E48"/>
    <w:rsid w:val="59E25C4D"/>
    <w:rsid w:val="59E4B157"/>
    <w:rsid w:val="59E61DEE"/>
    <w:rsid w:val="59EB22A5"/>
    <w:rsid w:val="59EC54DE"/>
    <w:rsid w:val="59ED3CFC"/>
    <w:rsid w:val="59F012B2"/>
    <w:rsid w:val="59F53599"/>
    <w:rsid w:val="59FA9852"/>
    <w:rsid w:val="59FAB9FC"/>
    <w:rsid w:val="5A00156A"/>
    <w:rsid w:val="5A02A1D9"/>
    <w:rsid w:val="5A054535"/>
    <w:rsid w:val="5A057EBD"/>
    <w:rsid w:val="5A0C5A5D"/>
    <w:rsid w:val="5A0F3DA2"/>
    <w:rsid w:val="5A11152D"/>
    <w:rsid w:val="5A1301B9"/>
    <w:rsid w:val="5A146E18"/>
    <w:rsid w:val="5A21BD7F"/>
    <w:rsid w:val="5A2BA486"/>
    <w:rsid w:val="5A2F71F2"/>
    <w:rsid w:val="5A36A7D8"/>
    <w:rsid w:val="5A37A983"/>
    <w:rsid w:val="5A39FFD5"/>
    <w:rsid w:val="5A3C5410"/>
    <w:rsid w:val="5A3E9ECD"/>
    <w:rsid w:val="5A428A7E"/>
    <w:rsid w:val="5A44BBB2"/>
    <w:rsid w:val="5A476D54"/>
    <w:rsid w:val="5A488D4B"/>
    <w:rsid w:val="5A4A9998"/>
    <w:rsid w:val="5A527A5E"/>
    <w:rsid w:val="5A56FCC1"/>
    <w:rsid w:val="5A58FB1E"/>
    <w:rsid w:val="5A59DD0E"/>
    <w:rsid w:val="5A5DB73D"/>
    <w:rsid w:val="5A5DF563"/>
    <w:rsid w:val="5A65EA15"/>
    <w:rsid w:val="5A6B7491"/>
    <w:rsid w:val="5A6C232D"/>
    <w:rsid w:val="5A6C4E36"/>
    <w:rsid w:val="5A6E37D5"/>
    <w:rsid w:val="5A71642E"/>
    <w:rsid w:val="5A749D08"/>
    <w:rsid w:val="5A9068DD"/>
    <w:rsid w:val="5A930891"/>
    <w:rsid w:val="5A957EC0"/>
    <w:rsid w:val="5A97A28E"/>
    <w:rsid w:val="5A9AB884"/>
    <w:rsid w:val="5A9D4D70"/>
    <w:rsid w:val="5A9F0499"/>
    <w:rsid w:val="5AA4CC01"/>
    <w:rsid w:val="5AA82467"/>
    <w:rsid w:val="5AA962EB"/>
    <w:rsid w:val="5AACB15F"/>
    <w:rsid w:val="5AAE5176"/>
    <w:rsid w:val="5AB37E10"/>
    <w:rsid w:val="5AB3DC50"/>
    <w:rsid w:val="5AB4008F"/>
    <w:rsid w:val="5AB5B0BA"/>
    <w:rsid w:val="5AB87583"/>
    <w:rsid w:val="5AB8DE0E"/>
    <w:rsid w:val="5ABBB8C5"/>
    <w:rsid w:val="5AC02D83"/>
    <w:rsid w:val="5AC09D48"/>
    <w:rsid w:val="5AC52376"/>
    <w:rsid w:val="5ACB398F"/>
    <w:rsid w:val="5ACF4CB4"/>
    <w:rsid w:val="5ACFCF7D"/>
    <w:rsid w:val="5ADB91FB"/>
    <w:rsid w:val="5ADD7E83"/>
    <w:rsid w:val="5AE034EF"/>
    <w:rsid w:val="5AEAA7E4"/>
    <w:rsid w:val="5AF36ADA"/>
    <w:rsid w:val="5AF5659E"/>
    <w:rsid w:val="5AFA4CC6"/>
    <w:rsid w:val="5AFE51D6"/>
    <w:rsid w:val="5AFE8656"/>
    <w:rsid w:val="5AFEC160"/>
    <w:rsid w:val="5B0539BB"/>
    <w:rsid w:val="5B05B78E"/>
    <w:rsid w:val="5B05DCED"/>
    <w:rsid w:val="5B0934C4"/>
    <w:rsid w:val="5B0D90F0"/>
    <w:rsid w:val="5B16AA39"/>
    <w:rsid w:val="5B17FF58"/>
    <w:rsid w:val="5B22D7BC"/>
    <w:rsid w:val="5B27B996"/>
    <w:rsid w:val="5B2AC193"/>
    <w:rsid w:val="5B2FD473"/>
    <w:rsid w:val="5B3191CA"/>
    <w:rsid w:val="5B31E383"/>
    <w:rsid w:val="5B397DF9"/>
    <w:rsid w:val="5B3C1FC5"/>
    <w:rsid w:val="5B3FA253"/>
    <w:rsid w:val="5B431E28"/>
    <w:rsid w:val="5B547E8A"/>
    <w:rsid w:val="5B5D3D4E"/>
    <w:rsid w:val="5B60DA15"/>
    <w:rsid w:val="5B618864"/>
    <w:rsid w:val="5B668EE0"/>
    <w:rsid w:val="5B74B4EF"/>
    <w:rsid w:val="5B7EEA5E"/>
    <w:rsid w:val="5B7F4486"/>
    <w:rsid w:val="5B864879"/>
    <w:rsid w:val="5B8C90EA"/>
    <w:rsid w:val="5B8C970C"/>
    <w:rsid w:val="5B8CFE6A"/>
    <w:rsid w:val="5B8F24C0"/>
    <w:rsid w:val="5B8FF603"/>
    <w:rsid w:val="5B9139B1"/>
    <w:rsid w:val="5B931AA8"/>
    <w:rsid w:val="5B94A704"/>
    <w:rsid w:val="5B975829"/>
    <w:rsid w:val="5B9C53CE"/>
    <w:rsid w:val="5B9F3A76"/>
    <w:rsid w:val="5BA29C7D"/>
    <w:rsid w:val="5BA697F2"/>
    <w:rsid w:val="5BAA539B"/>
    <w:rsid w:val="5BB1E15C"/>
    <w:rsid w:val="5BB466FB"/>
    <w:rsid w:val="5BB6FB82"/>
    <w:rsid w:val="5BCA747C"/>
    <w:rsid w:val="5BCE66A9"/>
    <w:rsid w:val="5BE1CE28"/>
    <w:rsid w:val="5BE6444F"/>
    <w:rsid w:val="5BE69730"/>
    <w:rsid w:val="5BE6B598"/>
    <w:rsid w:val="5BECCB54"/>
    <w:rsid w:val="5BF10CD3"/>
    <w:rsid w:val="5BF35574"/>
    <w:rsid w:val="5BF49ACE"/>
    <w:rsid w:val="5BF5C26F"/>
    <w:rsid w:val="5BF707E1"/>
    <w:rsid w:val="5BF8CBC4"/>
    <w:rsid w:val="5BF8FFF6"/>
    <w:rsid w:val="5BFBF30E"/>
    <w:rsid w:val="5C112EAD"/>
    <w:rsid w:val="5C12ED04"/>
    <w:rsid w:val="5C14804C"/>
    <w:rsid w:val="5C149EB5"/>
    <w:rsid w:val="5C15609C"/>
    <w:rsid w:val="5C15D090"/>
    <w:rsid w:val="5C1702D1"/>
    <w:rsid w:val="5C170D24"/>
    <w:rsid w:val="5C1AA30A"/>
    <w:rsid w:val="5C1F2A1E"/>
    <w:rsid w:val="5C26B7BD"/>
    <w:rsid w:val="5C2C8A09"/>
    <w:rsid w:val="5C30A92A"/>
    <w:rsid w:val="5C395B58"/>
    <w:rsid w:val="5C3D5EF8"/>
    <w:rsid w:val="5C41A64C"/>
    <w:rsid w:val="5C4384AC"/>
    <w:rsid w:val="5C4F7111"/>
    <w:rsid w:val="5C51674B"/>
    <w:rsid w:val="5C5237E9"/>
    <w:rsid w:val="5C540BD1"/>
    <w:rsid w:val="5C5A32E9"/>
    <w:rsid w:val="5C5D84BF"/>
    <w:rsid w:val="5C5DE255"/>
    <w:rsid w:val="5C670B4E"/>
    <w:rsid w:val="5C676C9B"/>
    <w:rsid w:val="5C6BE835"/>
    <w:rsid w:val="5C6D63D7"/>
    <w:rsid w:val="5C6E57A7"/>
    <w:rsid w:val="5C6F1D94"/>
    <w:rsid w:val="5C722161"/>
    <w:rsid w:val="5C760EDF"/>
    <w:rsid w:val="5C791976"/>
    <w:rsid w:val="5C7AD72C"/>
    <w:rsid w:val="5C80DFC6"/>
    <w:rsid w:val="5C845A4C"/>
    <w:rsid w:val="5C8B4919"/>
    <w:rsid w:val="5C952741"/>
    <w:rsid w:val="5C9A2DD5"/>
    <w:rsid w:val="5CA36C9E"/>
    <w:rsid w:val="5CA48BDD"/>
    <w:rsid w:val="5CA6FA1C"/>
    <w:rsid w:val="5CA80119"/>
    <w:rsid w:val="5CA867AC"/>
    <w:rsid w:val="5CAA9C57"/>
    <w:rsid w:val="5CBBF076"/>
    <w:rsid w:val="5CBC9DC3"/>
    <w:rsid w:val="5CC0A6D0"/>
    <w:rsid w:val="5CCC06E8"/>
    <w:rsid w:val="5CCDC8AD"/>
    <w:rsid w:val="5CE2D5E5"/>
    <w:rsid w:val="5CE651FC"/>
    <w:rsid w:val="5CE9E94D"/>
    <w:rsid w:val="5CEBBE04"/>
    <w:rsid w:val="5CF5FCD1"/>
    <w:rsid w:val="5CF6E5CC"/>
    <w:rsid w:val="5CF7AAF5"/>
    <w:rsid w:val="5CF81E62"/>
    <w:rsid w:val="5D01598C"/>
    <w:rsid w:val="5D0405E6"/>
    <w:rsid w:val="5D05371F"/>
    <w:rsid w:val="5D07700C"/>
    <w:rsid w:val="5D09EA4F"/>
    <w:rsid w:val="5D0D2ED6"/>
    <w:rsid w:val="5D0E8045"/>
    <w:rsid w:val="5D1B9DA5"/>
    <w:rsid w:val="5D22208F"/>
    <w:rsid w:val="5D2401DA"/>
    <w:rsid w:val="5D275AF6"/>
    <w:rsid w:val="5D28340A"/>
    <w:rsid w:val="5D2C8B31"/>
    <w:rsid w:val="5D2E184F"/>
    <w:rsid w:val="5D2E33E4"/>
    <w:rsid w:val="5D323140"/>
    <w:rsid w:val="5D34FB87"/>
    <w:rsid w:val="5D3B2310"/>
    <w:rsid w:val="5D3D1B4E"/>
    <w:rsid w:val="5D3F1631"/>
    <w:rsid w:val="5D3F713D"/>
    <w:rsid w:val="5D49F9FC"/>
    <w:rsid w:val="5D515B57"/>
    <w:rsid w:val="5D53CAB1"/>
    <w:rsid w:val="5D5AA038"/>
    <w:rsid w:val="5D5D2554"/>
    <w:rsid w:val="5D70E9FF"/>
    <w:rsid w:val="5D740B56"/>
    <w:rsid w:val="5D744127"/>
    <w:rsid w:val="5D794DEB"/>
    <w:rsid w:val="5D7AAB08"/>
    <w:rsid w:val="5D7DA356"/>
    <w:rsid w:val="5D81E033"/>
    <w:rsid w:val="5D827A97"/>
    <w:rsid w:val="5D83734D"/>
    <w:rsid w:val="5D8BAFCF"/>
    <w:rsid w:val="5D8DE15A"/>
    <w:rsid w:val="5D8ECDCD"/>
    <w:rsid w:val="5D92CD58"/>
    <w:rsid w:val="5D92F488"/>
    <w:rsid w:val="5D98A6D1"/>
    <w:rsid w:val="5D9BB3E9"/>
    <w:rsid w:val="5D9D9938"/>
    <w:rsid w:val="5DA10915"/>
    <w:rsid w:val="5DA14A00"/>
    <w:rsid w:val="5DA1F63B"/>
    <w:rsid w:val="5DA44DFA"/>
    <w:rsid w:val="5DA4E4E4"/>
    <w:rsid w:val="5DA55F8C"/>
    <w:rsid w:val="5DA69FDA"/>
    <w:rsid w:val="5DB352AF"/>
    <w:rsid w:val="5DB3C3D4"/>
    <w:rsid w:val="5DB7CD33"/>
    <w:rsid w:val="5DB82043"/>
    <w:rsid w:val="5DBC356A"/>
    <w:rsid w:val="5DBC5555"/>
    <w:rsid w:val="5DBC6FC4"/>
    <w:rsid w:val="5DBC91C8"/>
    <w:rsid w:val="5DBD31E8"/>
    <w:rsid w:val="5DC38970"/>
    <w:rsid w:val="5DC4B657"/>
    <w:rsid w:val="5DC75045"/>
    <w:rsid w:val="5DC85EEE"/>
    <w:rsid w:val="5DCA1730"/>
    <w:rsid w:val="5DCBBBCC"/>
    <w:rsid w:val="5DCCAF82"/>
    <w:rsid w:val="5DCF05D0"/>
    <w:rsid w:val="5DDF5D75"/>
    <w:rsid w:val="5DE3E172"/>
    <w:rsid w:val="5DE6EE8E"/>
    <w:rsid w:val="5DE70B20"/>
    <w:rsid w:val="5DED5BFB"/>
    <w:rsid w:val="5DF49510"/>
    <w:rsid w:val="5DF55FA6"/>
    <w:rsid w:val="5DF996F6"/>
    <w:rsid w:val="5DFAF542"/>
    <w:rsid w:val="5E0018E1"/>
    <w:rsid w:val="5E057708"/>
    <w:rsid w:val="5E0D00DA"/>
    <w:rsid w:val="5E0DBE71"/>
    <w:rsid w:val="5E109654"/>
    <w:rsid w:val="5E17AFF3"/>
    <w:rsid w:val="5E17E9C7"/>
    <w:rsid w:val="5E19C2BC"/>
    <w:rsid w:val="5E1A19C9"/>
    <w:rsid w:val="5E1ABF8E"/>
    <w:rsid w:val="5E1AD90D"/>
    <w:rsid w:val="5E1F1573"/>
    <w:rsid w:val="5E20A901"/>
    <w:rsid w:val="5E22A083"/>
    <w:rsid w:val="5E2364B7"/>
    <w:rsid w:val="5E251A84"/>
    <w:rsid w:val="5E2BF2FC"/>
    <w:rsid w:val="5E2DD6A4"/>
    <w:rsid w:val="5E2FCDC3"/>
    <w:rsid w:val="5E342657"/>
    <w:rsid w:val="5E3486F4"/>
    <w:rsid w:val="5E394EC1"/>
    <w:rsid w:val="5E4185EC"/>
    <w:rsid w:val="5E446BDE"/>
    <w:rsid w:val="5E45BE8C"/>
    <w:rsid w:val="5E478EB6"/>
    <w:rsid w:val="5E4866CF"/>
    <w:rsid w:val="5E4D71E6"/>
    <w:rsid w:val="5E4E9282"/>
    <w:rsid w:val="5E50ADD1"/>
    <w:rsid w:val="5E55C5C2"/>
    <w:rsid w:val="5E5A0C10"/>
    <w:rsid w:val="5E5C9726"/>
    <w:rsid w:val="5E648FBE"/>
    <w:rsid w:val="5E659BC3"/>
    <w:rsid w:val="5E65FABE"/>
    <w:rsid w:val="5E66B7E2"/>
    <w:rsid w:val="5E6D65EE"/>
    <w:rsid w:val="5E792748"/>
    <w:rsid w:val="5E793BC1"/>
    <w:rsid w:val="5E7AC168"/>
    <w:rsid w:val="5E81105C"/>
    <w:rsid w:val="5E8E52DD"/>
    <w:rsid w:val="5E91AC25"/>
    <w:rsid w:val="5E93FD0F"/>
    <w:rsid w:val="5E9547DF"/>
    <w:rsid w:val="5E97080A"/>
    <w:rsid w:val="5E98D816"/>
    <w:rsid w:val="5E9A3740"/>
    <w:rsid w:val="5E9D397D"/>
    <w:rsid w:val="5E9D558D"/>
    <w:rsid w:val="5EA01BBD"/>
    <w:rsid w:val="5EA4EEEC"/>
    <w:rsid w:val="5EA860A8"/>
    <w:rsid w:val="5EAC1EBE"/>
    <w:rsid w:val="5EAF4666"/>
    <w:rsid w:val="5EB12254"/>
    <w:rsid w:val="5EB14294"/>
    <w:rsid w:val="5EB4FDDC"/>
    <w:rsid w:val="5EBC7D6B"/>
    <w:rsid w:val="5EC64FA9"/>
    <w:rsid w:val="5ECD4D09"/>
    <w:rsid w:val="5ED3C5F0"/>
    <w:rsid w:val="5ED5ED8C"/>
    <w:rsid w:val="5ED83BF6"/>
    <w:rsid w:val="5ED84E8B"/>
    <w:rsid w:val="5ED8672D"/>
    <w:rsid w:val="5EE2B1B2"/>
    <w:rsid w:val="5EEADA70"/>
    <w:rsid w:val="5EEF45C8"/>
    <w:rsid w:val="5EF29248"/>
    <w:rsid w:val="5EF359DF"/>
    <w:rsid w:val="5EF36A47"/>
    <w:rsid w:val="5EF531B3"/>
    <w:rsid w:val="5EF602D8"/>
    <w:rsid w:val="5EF94F62"/>
    <w:rsid w:val="5EFB9807"/>
    <w:rsid w:val="5F02EFC7"/>
    <w:rsid w:val="5F03ECC1"/>
    <w:rsid w:val="5F0ED9D6"/>
    <w:rsid w:val="5F145AD7"/>
    <w:rsid w:val="5F1A8D68"/>
    <w:rsid w:val="5F1EFE3D"/>
    <w:rsid w:val="5F229E86"/>
    <w:rsid w:val="5F22BB33"/>
    <w:rsid w:val="5F23703A"/>
    <w:rsid w:val="5F24830B"/>
    <w:rsid w:val="5F276126"/>
    <w:rsid w:val="5F2DEBCE"/>
    <w:rsid w:val="5F371C2E"/>
    <w:rsid w:val="5F3E7787"/>
    <w:rsid w:val="5F3ED78E"/>
    <w:rsid w:val="5F4185C1"/>
    <w:rsid w:val="5F5315E9"/>
    <w:rsid w:val="5F58B782"/>
    <w:rsid w:val="5F5D1C50"/>
    <w:rsid w:val="5F5EB07B"/>
    <w:rsid w:val="5F622E5E"/>
    <w:rsid w:val="5F62B4E2"/>
    <w:rsid w:val="5F62D067"/>
    <w:rsid w:val="5F64CE38"/>
    <w:rsid w:val="5F67001D"/>
    <w:rsid w:val="5F6A69CF"/>
    <w:rsid w:val="5F75B2F2"/>
    <w:rsid w:val="5F766719"/>
    <w:rsid w:val="5F7789C1"/>
    <w:rsid w:val="5F7C5673"/>
    <w:rsid w:val="5F7CF5B4"/>
    <w:rsid w:val="5F836040"/>
    <w:rsid w:val="5F8624A5"/>
    <w:rsid w:val="5F87AA18"/>
    <w:rsid w:val="5F88BB4F"/>
    <w:rsid w:val="5F8D42DA"/>
    <w:rsid w:val="5F952A9D"/>
    <w:rsid w:val="5F9AC2FB"/>
    <w:rsid w:val="5FA0DA2D"/>
    <w:rsid w:val="5FA5200F"/>
    <w:rsid w:val="5FA9811A"/>
    <w:rsid w:val="5FAB5C45"/>
    <w:rsid w:val="5FAC0456"/>
    <w:rsid w:val="5FAEEF8A"/>
    <w:rsid w:val="5FB64640"/>
    <w:rsid w:val="5FB962A2"/>
    <w:rsid w:val="5FC6A505"/>
    <w:rsid w:val="5FD36F35"/>
    <w:rsid w:val="5FDAA2D1"/>
    <w:rsid w:val="5FDFA5A3"/>
    <w:rsid w:val="5FE0D20D"/>
    <w:rsid w:val="5FE0E174"/>
    <w:rsid w:val="5FE57138"/>
    <w:rsid w:val="5FF18AD2"/>
    <w:rsid w:val="5FF420B1"/>
    <w:rsid w:val="5FF668EF"/>
    <w:rsid w:val="5FF735B3"/>
    <w:rsid w:val="5FF8C6FF"/>
    <w:rsid w:val="5FFFCA77"/>
    <w:rsid w:val="6003BE52"/>
    <w:rsid w:val="6005707E"/>
    <w:rsid w:val="6007F03A"/>
    <w:rsid w:val="600A768C"/>
    <w:rsid w:val="600D5112"/>
    <w:rsid w:val="6014D4C0"/>
    <w:rsid w:val="6020A670"/>
    <w:rsid w:val="6025735D"/>
    <w:rsid w:val="6028817C"/>
    <w:rsid w:val="602B48B1"/>
    <w:rsid w:val="60378AE5"/>
    <w:rsid w:val="60388413"/>
    <w:rsid w:val="603A0AC8"/>
    <w:rsid w:val="603BD155"/>
    <w:rsid w:val="603EDDDF"/>
    <w:rsid w:val="60405150"/>
    <w:rsid w:val="60409146"/>
    <w:rsid w:val="60450D9E"/>
    <w:rsid w:val="60495543"/>
    <w:rsid w:val="604F2D4C"/>
    <w:rsid w:val="60508283"/>
    <w:rsid w:val="60570677"/>
    <w:rsid w:val="605CFA8F"/>
    <w:rsid w:val="606431C1"/>
    <w:rsid w:val="6066B3B0"/>
    <w:rsid w:val="606AF83A"/>
    <w:rsid w:val="606C5D9B"/>
    <w:rsid w:val="606DB132"/>
    <w:rsid w:val="60719BD2"/>
    <w:rsid w:val="607B3413"/>
    <w:rsid w:val="608137AA"/>
    <w:rsid w:val="6085B083"/>
    <w:rsid w:val="608A6184"/>
    <w:rsid w:val="6098CDA0"/>
    <w:rsid w:val="60A459DA"/>
    <w:rsid w:val="60A58520"/>
    <w:rsid w:val="60A7DC41"/>
    <w:rsid w:val="60A9C474"/>
    <w:rsid w:val="60AE45BC"/>
    <w:rsid w:val="60B5AE85"/>
    <w:rsid w:val="60B626B5"/>
    <w:rsid w:val="60BA2039"/>
    <w:rsid w:val="60BE2D05"/>
    <w:rsid w:val="60C6B309"/>
    <w:rsid w:val="60C9B9A3"/>
    <w:rsid w:val="60CD78C1"/>
    <w:rsid w:val="60CDC3A7"/>
    <w:rsid w:val="60CF17C7"/>
    <w:rsid w:val="60CF3726"/>
    <w:rsid w:val="60CF6950"/>
    <w:rsid w:val="60DA05D8"/>
    <w:rsid w:val="60DAD62E"/>
    <w:rsid w:val="60E1DEA0"/>
    <w:rsid w:val="60E305BD"/>
    <w:rsid w:val="60F2C87D"/>
    <w:rsid w:val="60F2F609"/>
    <w:rsid w:val="60F46380"/>
    <w:rsid w:val="60F768BA"/>
    <w:rsid w:val="60F9E594"/>
    <w:rsid w:val="60FBBD8C"/>
    <w:rsid w:val="60FE7FF8"/>
    <w:rsid w:val="6103E1EF"/>
    <w:rsid w:val="6104887D"/>
    <w:rsid w:val="610A6787"/>
    <w:rsid w:val="610CF7C3"/>
    <w:rsid w:val="610DF107"/>
    <w:rsid w:val="61158017"/>
    <w:rsid w:val="611DB713"/>
    <w:rsid w:val="611F23C2"/>
    <w:rsid w:val="611F5F68"/>
    <w:rsid w:val="612009D7"/>
    <w:rsid w:val="6120165C"/>
    <w:rsid w:val="6122A2D1"/>
    <w:rsid w:val="61290BA2"/>
    <w:rsid w:val="612CC21E"/>
    <w:rsid w:val="6130B0D2"/>
    <w:rsid w:val="6133A516"/>
    <w:rsid w:val="6134592A"/>
    <w:rsid w:val="613B8A8F"/>
    <w:rsid w:val="613F0BD1"/>
    <w:rsid w:val="6147C6E2"/>
    <w:rsid w:val="614DE56B"/>
    <w:rsid w:val="6153C258"/>
    <w:rsid w:val="61569B17"/>
    <w:rsid w:val="615A6724"/>
    <w:rsid w:val="6171ACE0"/>
    <w:rsid w:val="6178F25E"/>
    <w:rsid w:val="617C7B50"/>
    <w:rsid w:val="617D3219"/>
    <w:rsid w:val="61803D62"/>
    <w:rsid w:val="618598E5"/>
    <w:rsid w:val="618C04D2"/>
    <w:rsid w:val="6191F2F6"/>
    <w:rsid w:val="6196550F"/>
    <w:rsid w:val="6199D007"/>
    <w:rsid w:val="619B10F6"/>
    <w:rsid w:val="619CB511"/>
    <w:rsid w:val="61A0CF39"/>
    <w:rsid w:val="61A1A758"/>
    <w:rsid w:val="61A52363"/>
    <w:rsid w:val="61A7219A"/>
    <w:rsid w:val="61A7955A"/>
    <w:rsid w:val="61AD0C03"/>
    <w:rsid w:val="61AD4AF0"/>
    <w:rsid w:val="61AF3684"/>
    <w:rsid w:val="61AF96D1"/>
    <w:rsid w:val="61B3AE2C"/>
    <w:rsid w:val="61B3DD6C"/>
    <w:rsid w:val="61B4B52E"/>
    <w:rsid w:val="61BBAB6C"/>
    <w:rsid w:val="61BBF9FB"/>
    <w:rsid w:val="61BC12F3"/>
    <w:rsid w:val="61C06461"/>
    <w:rsid w:val="61C22013"/>
    <w:rsid w:val="61C319F9"/>
    <w:rsid w:val="61C4E8D7"/>
    <w:rsid w:val="61C94D67"/>
    <w:rsid w:val="61C9F6DE"/>
    <w:rsid w:val="61CEDDCE"/>
    <w:rsid w:val="61D1F6B9"/>
    <w:rsid w:val="61D2024D"/>
    <w:rsid w:val="61D20A43"/>
    <w:rsid w:val="61D2CE2F"/>
    <w:rsid w:val="61D7CE43"/>
    <w:rsid w:val="61D8EA8D"/>
    <w:rsid w:val="61DC11C9"/>
    <w:rsid w:val="61E1154C"/>
    <w:rsid w:val="61E421C6"/>
    <w:rsid w:val="61E73DA8"/>
    <w:rsid w:val="61E798C8"/>
    <w:rsid w:val="61EE723B"/>
    <w:rsid w:val="61F39220"/>
    <w:rsid w:val="61F40E09"/>
    <w:rsid w:val="61F64072"/>
    <w:rsid w:val="61FBB51B"/>
    <w:rsid w:val="61FE2D82"/>
    <w:rsid w:val="6200A699"/>
    <w:rsid w:val="6201BD54"/>
    <w:rsid w:val="621377E4"/>
    <w:rsid w:val="6214B291"/>
    <w:rsid w:val="6216C5FB"/>
    <w:rsid w:val="621A5864"/>
    <w:rsid w:val="6224548E"/>
    <w:rsid w:val="6225E9AC"/>
    <w:rsid w:val="62267B81"/>
    <w:rsid w:val="6227023E"/>
    <w:rsid w:val="6233A067"/>
    <w:rsid w:val="6240C15F"/>
    <w:rsid w:val="62441D5F"/>
    <w:rsid w:val="624A691E"/>
    <w:rsid w:val="624A6A8E"/>
    <w:rsid w:val="624ECD85"/>
    <w:rsid w:val="624F36F8"/>
    <w:rsid w:val="624F5F96"/>
    <w:rsid w:val="6252D6B0"/>
    <w:rsid w:val="6254A038"/>
    <w:rsid w:val="625641F1"/>
    <w:rsid w:val="6256EAFC"/>
    <w:rsid w:val="625982C9"/>
    <w:rsid w:val="6259B8A8"/>
    <w:rsid w:val="6261FCF9"/>
    <w:rsid w:val="6265ECDE"/>
    <w:rsid w:val="6266CE38"/>
    <w:rsid w:val="626C56B1"/>
    <w:rsid w:val="626CF49B"/>
    <w:rsid w:val="627B4DA6"/>
    <w:rsid w:val="627BD593"/>
    <w:rsid w:val="627FAA25"/>
    <w:rsid w:val="628032F2"/>
    <w:rsid w:val="6281387E"/>
    <w:rsid w:val="628582BB"/>
    <w:rsid w:val="62874305"/>
    <w:rsid w:val="6287B7DF"/>
    <w:rsid w:val="6288B21B"/>
    <w:rsid w:val="6292AEAD"/>
    <w:rsid w:val="62940FAB"/>
    <w:rsid w:val="62959E0C"/>
    <w:rsid w:val="6296B2D1"/>
    <w:rsid w:val="629CB238"/>
    <w:rsid w:val="62ABD6CF"/>
    <w:rsid w:val="62B43FFB"/>
    <w:rsid w:val="62B8D6C4"/>
    <w:rsid w:val="62BBCF89"/>
    <w:rsid w:val="62C6451A"/>
    <w:rsid w:val="62C7F8E2"/>
    <w:rsid w:val="62C8321E"/>
    <w:rsid w:val="62C894B9"/>
    <w:rsid w:val="62C8FAB6"/>
    <w:rsid w:val="62E15204"/>
    <w:rsid w:val="62E2DED1"/>
    <w:rsid w:val="62E53AC8"/>
    <w:rsid w:val="62E6B668"/>
    <w:rsid w:val="62F2AF23"/>
    <w:rsid w:val="62F549D7"/>
    <w:rsid w:val="62F929BC"/>
    <w:rsid w:val="62FE879F"/>
    <w:rsid w:val="63001C5D"/>
    <w:rsid w:val="6305961B"/>
    <w:rsid w:val="6310EFE7"/>
    <w:rsid w:val="63138BA1"/>
    <w:rsid w:val="6317D74A"/>
    <w:rsid w:val="631A18D8"/>
    <w:rsid w:val="631EA9F8"/>
    <w:rsid w:val="6322C99C"/>
    <w:rsid w:val="633CD3B7"/>
    <w:rsid w:val="6340D81F"/>
    <w:rsid w:val="63437168"/>
    <w:rsid w:val="634668EA"/>
    <w:rsid w:val="634A02DD"/>
    <w:rsid w:val="634A5CCF"/>
    <w:rsid w:val="634CD032"/>
    <w:rsid w:val="634DF484"/>
    <w:rsid w:val="634E5F3E"/>
    <w:rsid w:val="6352940D"/>
    <w:rsid w:val="635D94B5"/>
    <w:rsid w:val="6363C0B8"/>
    <w:rsid w:val="636712BD"/>
    <w:rsid w:val="636D16F8"/>
    <w:rsid w:val="636DBE15"/>
    <w:rsid w:val="636EB42A"/>
    <w:rsid w:val="6376486E"/>
    <w:rsid w:val="63785957"/>
    <w:rsid w:val="6378B701"/>
    <w:rsid w:val="637B488E"/>
    <w:rsid w:val="6382077E"/>
    <w:rsid w:val="638484E9"/>
    <w:rsid w:val="63862753"/>
    <w:rsid w:val="6390D3F9"/>
    <w:rsid w:val="63939542"/>
    <w:rsid w:val="639A48DE"/>
    <w:rsid w:val="63A59294"/>
    <w:rsid w:val="63A6A43C"/>
    <w:rsid w:val="63AFD5A0"/>
    <w:rsid w:val="63B694E0"/>
    <w:rsid w:val="63B7F45F"/>
    <w:rsid w:val="63B9AEB9"/>
    <w:rsid w:val="63BA3573"/>
    <w:rsid w:val="63BB06F6"/>
    <w:rsid w:val="63CD104B"/>
    <w:rsid w:val="63D046BA"/>
    <w:rsid w:val="63D78DED"/>
    <w:rsid w:val="63DCB5AC"/>
    <w:rsid w:val="63DE43A5"/>
    <w:rsid w:val="63DE58D1"/>
    <w:rsid w:val="63E8346C"/>
    <w:rsid w:val="63EC4441"/>
    <w:rsid w:val="63ECCC5D"/>
    <w:rsid w:val="63EE3A54"/>
    <w:rsid w:val="63EEBD33"/>
    <w:rsid w:val="63EEF189"/>
    <w:rsid w:val="63F2AED0"/>
    <w:rsid w:val="63F93DF5"/>
    <w:rsid w:val="63FE560B"/>
    <w:rsid w:val="6402E012"/>
    <w:rsid w:val="6409B8AE"/>
    <w:rsid w:val="640A88D8"/>
    <w:rsid w:val="640BE64D"/>
    <w:rsid w:val="6415D3E8"/>
    <w:rsid w:val="641C021D"/>
    <w:rsid w:val="641E6349"/>
    <w:rsid w:val="6424119B"/>
    <w:rsid w:val="64283E1F"/>
    <w:rsid w:val="642AE3F6"/>
    <w:rsid w:val="642F22AD"/>
    <w:rsid w:val="64325689"/>
    <w:rsid w:val="6432639B"/>
    <w:rsid w:val="64339D8B"/>
    <w:rsid w:val="643994AF"/>
    <w:rsid w:val="6441A600"/>
    <w:rsid w:val="644318BA"/>
    <w:rsid w:val="6443524A"/>
    <w:rsid w:val="644EC021"/>
    <w:rsid w:val="6454810F"/>
    <w:rsid w:val="645568A5"/>
    <w:rsid w:val="64556FC7"/>
    <w:rsid w:val="6456DAF1"/>
    <w:rsid w:val="645D57BD"/>
    <w:rsid w:val="646050AD"/>
    <w:rsid w:val="64607ADF"/>
    <w:rsid w:val="64633A4E"/>
    <w:rsid w:val="646AF430"/>
    <w:rsid w:val="646B6045"/>
    <w:rsid w:val="64706E9B"/>
    <w:rsid w:val="64753C6A"/>
    <w:rsid w:val="647AF31C"/>
    <w:rsid w:val="647CF9F6"/>
    <w:rsid w:val="648348D2"/>
    <w:rsid w:val="648648F0"/>
    <w:rsid w:val="6487B75F"/>
    <w:rsid w:val="648C3836"/>
    <w:rsid w:val="648E1528"/>
    <w:rsid w:val="649015BF"/>
    <w:rsid w:val="6490F2FA"/>
    <w:rsid w:val="649660F1"/>
    <w:rsid w:val="649AD033"/>
    <w:rsid w:val="649C5B53"/>
    <w:rsid w:val="64A4BD73"/>
    <w:rsid w:val="64ACAE16"/>
    <w:rsid w:val="64AE3AC2"/>
    <w:rsid w:val="64B53847"/>
    <w:rsid w:val="64BA1C06"/>
    <w:rsid w:val="64D47E77"/>
    <w:rsid w:val="64D54203"/>
    <w:rsid w:val="64D57D5B"/>
    <w:rsid w:val="64D7F37E"/>
    <w:rsid w:val="64D816FB"/>
    <w:rsid w:val="64D948B8"/>
    <w:rsid w:val="64E2CC60"/>
    <w:rsid w:val="64E35A7B"/>
    <w:rsid w:val="64E4E5FB"/>
    <w:rsid w:val="64E8AEDE"/>
    <w:rsid w:val="64ED2F22"/>
    <w:rsid w:val="64EFE97C"/>
    <w:rsid w:val="64F221E1"/>
    <w:rsid w:val="64F24005"/>
    <w:rsid w:val="64F683DF"/>
    <w:rsid w:val="64F7D719"/>
    <w:rsid w:val="64FA326A"/>
    <w:rsid w:val="64FB9194"/>
    <w:rsid w:val="6500C26F"/>
    <w:rsid w:val="6510E8D7"/>
    <w:rsid w:val="65162ACC"/>
    <w:rsid w:val="651756E8"/>
    <w:rsid w:val="651B4DC9"/>
    <w:rsid w:val="65202D68"/>
    <w:rsid w:val="65212EFC"/>
    <w:rsid w:val="65217971"/>
    <w:rsid w:val="6525EB78"/>
    <w:rsid w:val="652747C8"/>
    <w:rsid w:val="652BA6DB"/>
    <w:rsid w:val="65329500"/>
    <w:rsid w:val="653A95D9"/>
    <w:rsid w:val="6540B268"/>
    <w:rsid w:val="6549B8E6"/>
    <w:rsid w:val="65573F1D"/>
    <w:rsid w:val="6559D35B"/>
    <w:rsid w:val="655AF1A6"/>
    <w:rsid w:val="65611979"/>
    <w:rsid w:val="6562BD11"/>
    <w:rsid w:val="65645F99"/>
    <w:rsid w:val="65697AB4"/>
    <w:rsid w:val="65714131"/>
    <w:rsid w:val="65751D0E"/>
    <w:rsid w:val="657674E4"/>
    <w:rsid w:val="657DE705"/>
    <w:rsid w:val="6584D1DA"/>
    <w:rsid w:val="658815A9"/>
    <w:rsid w:val="658A89F8"/>
    <w:rsid w:val="658D1958"/>
    <w:rsid w:val="658E2A52"/>
    <w:rsid w:val="658EE18C"/>
    <w:rsid w:val="659B15ED"/>
    <w:rsid w:val="659B8BF5"/>
    <w:rsid w:val="659BC562"/>
    <w:rsid w:val="65A27738"/>
    <w:rsid w:val="65A47D6D"/>
    <w:rsid w:val="65A785CE"/>
    <w:rsid w:val="65B0D963"/>
    <w:rsid w:val="65B1C520"/>
    <w:rsid w:val="65B5FE7D"/>
    <w:rsid w:val="65B96A5E"/>
    <w:rsid w:val="65CD0165"/>
    <w:rsid w:val="65D1CAAA"/>
    <w:rsid w:val="65D5F676"/>
    <w:rsid w:val="65E410F9"/>
    <w:rsid w:val="65E8AB51"/>
    <w:rsid w:val="65ED5667"/>
    <w:rsid w:val="65EEA480"/>
    <w:rsid w:val="65EFC6B6"/>
    <w:rsid w:val="65F3B8D4"/>
    <w:rsid w:val="65F72678"/>
    <w:rsid w:val="65F7EF97"/>
    <w:rsid w:val="65FF78EF"/>
    <w:rsid w:val="66018DA4"/>
    <w:rsid w:val="66085DC8"/>
    <w:rsid w:val="6611B080"/>
    <w:rsid w:val="66134AF7"/>
    <w:rsid w:val="6614D76B"/>
    <w:rsid w:val="661A2A11"/>
    <w:rsid w:val="661E22CC"/>
    <w:rsid w:val="661E6A82"/>
    <w:rsid w:val="6628ACCB"/>
    <w:rsid w:val="662D79EC"/>
    <w:rsid w:val="662E67F8"/>
    <w:rsid w:val="6631BDE5"/>
    <w:rsid w:val="6633E3CC"/>
    <w:rsid w:val="66381FFB"/>
    <w:rsid w:val="66387861"/>
    <w:rsid w:val="6638B2F0"/>
    <w:rsid w:val="663B1EAE"/>
    <w:rsid w:val="663DCCA8"/>
    <w:rsid w:val="66409F0B"/>
    <w:rsid w:val="6648102F"/>
    <w:rsid w:val="664C31A4"/>
    <w:rsid w:val="664DDBD1"/>
    <w:rsid w:val="66599375"/>
    <w:rsid w:val="665AF0E9"/>
    <w:rsid w:val="665DCD1E"/>
    <w:rsid w:val="665F25EF"/>
    <w:rsid w:val="665FD849"/>
    <w:rsid w:val="6661AA1A"/>
    <w:rsid w:val="666337A7"/>
    <w:rsid w:val="66663F83"/>
    <w:rsid w:val="66689262"/>
    <w:rsid w:val="666DF198"/>
    <w:rsid w:val="667098D6"/>
    <w:rsid w:val="66761684"/>
    <w:rsid w:val="6684EB12"/>
    <w:rsid w:val="66888536"/>
    <w:rsid w:val="668D11E7"/>
    <w:rsid w:val="6694A37D"/>
    <w:rsid w:val="6694ED6D"/>
    <w:rsid w:val="6696960B"/>
    <w:rsid w:val="669CC276"/>
    <w:rsid w:val="669E6778"/>
    <w:rsid w:val="66A08BCD"/>
    <w:rsid w:val="66B09E89"/>
    <w:rsid w:val="66B25361"/>
    <w:rsid w:val="66C1BEFD"/>
    <w:rsid w:val="66C277EE"/>
    <w:rsid w:val="66C4B92F"/>
    <w:rsid w:val="66CDFDE1"/>
    <w:rsid w:val="66D0CAAF"/>
    <w:rsid w:val="66D14F09"/>
    <w:rsid w:val="66D63A3C"/>
    <w:rsid w:val="66DD33F0"/>
    <w:rsid w:val="66ECE58A"/>
    <w:rsid w:val="66F26674"/>
    <w:rsid w:val="66F2780F"/>
    <w:rsid w:val="66F73A5A"/>
    <w:rsid w:val="66F794F3"/>
    <w:rsid w:val="66F797EF"/>
    <w:rsid w:val="66F905E1"/>
    <w:rsid w:val="6700627C"/>
    <w:rsid w:val="67016EF2"/>
    <w:rsid w:val="670CEB20"/>
    <w:rsid w:val="67184C1B"/>
    <w:rsid w:val="671F2B0D"/>
    <w:rsid w:val="6721A000"/>
    <w:rsid w:val="67239207"/>
    <w:rsid w:val="6729CD0E"/>
    <w:rsid w:val="672C756F"/>
    <w:rsid w:val="672E0AD2"/>
    <w:rsid w:val="6732CBE1"/>
    <w:rsid w:val="6734E932"/>
    <w:rsid w:val="6739D9B6"/>
    <w:rsid w:val="673B6074"/>
    <w:rsid w:val="67406651"/>
    <w:rsid w:val="67412713"/>
    <w:rsid w:val="67432987"/>
    <w:rsid w:val="67461837"/>
    <w:rsid w:val="674AAEB7"/>
    <w:rsid w:val="6754A54E"/>
    <w:rsid w:val="675654AE"/>
    <w:rsid w:val="675908D9"/>
    <w:rsid w:val="675A4CD9"/>
    <w:rsid w:val="67674DFD"/>
    <w:rsid w:val="67686B48"/>
    <w:rsid w:val="676913A9"/>
    <w:rsid w:val="6769E824"/>
    <w:rsid w:val="676D6D01"/>
    <w:rsid w:val="67735314"/>
    <w:rsid w:val="6775110B"/>
    <w:rsid w:val="6776E64A"/>
    <w:rsid w:val="6779E7B4"/>
    <w:rsid w:val="677C7717"/>
    <w:rsid w:val="677F4FCB"/>
    <w:rsid w:val="677F659C"/>
    <w:rsid w:val="677FE907"/>
    <w:rsid w:val="678E1E4D"/>
    <w:rsid w:val="678E8325"/>
    <w:rsid w:val="679BE7CC"/>
    <w:rsid w:val="679D7374"/>
    <w:rsid w:val="679E544D"/>
    <w:rsid w:val="679EA428"/>
    <w:rsid w:val="679EE59B"/>
    <w:rsid w:val="67A00198"/>
    <w:rsid w:val="67A48F89"/>
    <w:rsid w:val="67A69DE4"/>
    <w:rsid w:val="67A70195"/>
    <w:rsid w:val="67AAF0DD"/>
    <w:rsid w:val="67AD1656"/>
    <w:rsid w:val="67B1E580"/>
    <w:rsid w:val="67B6ABD4"/>
    <w:rsid w:val="67B882E6"/>
    <w:rsid w:val="67C2085E"/>
    <w:rsid w:val="67C6E155"/>
    <w:rsid w:val="67C75E59"/>
    <w:rsid w:val="67CAF70E"/>
    <w:rsid w:val="67CC1BBD"/>
    <w:rsid w:val="67CCBF8F"/>
    <w:rsid w:val="67E5821B"/>
    <w:rsid w:val="67E75A87"/>
    <w:rsid w:val="67EA4D4F"/>
    <w:rsid w:val="67ECF087"/>
    <w:rsid w:val="67F04980"/>
    <w:rsid w:val="67F71810"/>
    <w:rsid w:val="67FC6FE5"/>
    <w:rsid w:val="68082029"/>
    <w:rsid w:val="68213A00"/>
    <w:rsid w:val="682310B5"/>
    <w:rsid w:val="68281332"/>
    <w:rsid w:val="682CEE7C"/>
    <w:rsid w:val="68304BC7"/>
    <w:rsid w:val="683259B0"/>
    <w:rsid w:val="68331005"/>
    <w:rsid w:val="68332F76"/>
    <w:rsid w:val="68340EA3"/>
    <w:rsid w:val="6835163D"/>
    <w:rsid w:val="683966FA"/>
    <w:rsid w:val="683CFF64"/>
    <w:rsid w:val="68435A55"/>
    <w:rsid w:val="684794D3"/>
    <w:rsid w:val="68485FFC"/>
    <w:rsid w:val="68497CF2"/>
    <w:rsid w:val="684CD83B"/>
    <w:rsid w:val="684E60C6"/>
    <w:rsid w:val="68535012"/>
    <w:rsid w:val="6854D994"/>
    <w:rsid w:val="6858297F"/>
    <w:rsid w:val="6859CFFA"/>
    <w:rsid w:val="685A5452"/>
    <w:rsid w:val="685BD925"/>
    <w:rsid w:val="685C0980"/>
    <w:rsid w:val="685D4015"/>
    <w:rsid w:val="685E1818"/>
    <w:rsid w:val="685E9A9B"/>
    <w:rsid w:val="686608E0"/>
    <w:rsid w:val="6866F44D"/>
    <w:rsid w:val="6868CDFD"/>
    <w:rsid w:val="6869E68B"/>
    <w:rsid w:val="68705F4B"/>
    <w:rsid w:val="6873418A"/>
    <w:rsid w:val="68757201"/>
    <w:rsid w:val="687954A8"/>
    <w:rsid w:val="68796368"/>
    <w:rsid w:val="687ACD89"/>
    <w:rsid w:val="6881D1A1"/>
    <w:rsid w:val="688543EF"/>
    <w:rsid w:val="68887A09"/>
    <w:rsid w:val="688AFC55"/>
    <w:rsid w:val="688DDDCE"/>
    <w:rsid w:val="688E3DA4"/>
    <w:rsid w:val="688EAF5B"/>
    <w:rsid w:val="688FD254"/>
    <w:rsid w:val="6891A575"/>
    <w:rsid w:val="68960B83"/>
    <w:rsid w:val="68972B3B"/>
    <w:rsid w:val="68999402"/>
    <w:rsid w:val="689A3774"/>
    <w:rsid w:val="689B3ABB"/>
    <w:rsid w:val="689FFD7A"/>
    <w:rsid w:val="68A0155A"/>
    <w:rsid w:val="68A7AFEF"/>
    <w:rsid w:val="68A7DA50"/>
    <w:rsid w:val="68AC0A1A"/>
    <w:rsid w:val="68B4AFCC"/>
    <w:rsid w:val="68B9C3A2"/>
    <w:rsid w:val="68C2AC00"/>
    <w:rsid w:val="68C8B8FC"/>
    <w:rsid w:val="68CBDECF"/>
    <w:rsid w:val="68D1DE4D"/>
    <w:rsid w:val="68D2A8C8"/>
    <w:rsid w:val="68D3D78B"/>
    <w:rsid w:val="68D40006"/>
    <w:rsid w:val="68D51E3C"/>
    <w:rsid w:val="68D73F7C"/>
    <w:rsid w:val="68D857C8"/>
    <w:rsid w:val="68D965A3"/>
    <w:rsid w:val="68DCC2B0"/>
    <w:rsid w:val="68DE4732"/>
    <w:rsid w:val="68DEA622"/>
    <w:rsid w:val="68DF0FE3"/>
    <w:rsid w:val="68E48028"/>
    <w:rsid w:val="68E53AA4"/>
    <w:rsid w:val="68E7328C"/>
    <w:rsid w:val="68E8B6DD"/>
    <w:rsid w:val="68EB979F"/>
    <w:rsid w:val="68F168F2"/>
    <w:rsid w:val="68F32280"/>
    <w:rsid w:val="68F85A36"/>
    <w:rsid w:val="68F95E7F"/>
    <w:rsid w:val="68FC281D"/>
    <w:rsid w:val="69033515"/>
    <w:rsid w:val="6905E1D9"/>
    <w:rsid w:val="69064072"/>
    <w:rsid w:val="6913F135"/>
    <w:rsid w:val="6920EF97"/>
    <w:rsid w:val="69249906"/>
    <w:rsid w:val="69271F48"/>
    <w:rsid w:val="692A5B45"/>
    <w:rsid w:val="692FDFA0"/>
    <w:rsid w:val="69314A53"/>
    <w:rsid w:val="6932BB55"/>
    <w:rsid w:val="6933C9A3"/>
    <w:rsid w:val="693B9B31"/>
    <w:rsid w:val="693C12D0"/>
    <w:rsid w:val="693CBBDA"/>
    <w:rsid w:val="693E1A24"/>
    <w:rsid w:val="693FF86E"/>
    <w:rsid w:val="6940AFC3"/>
    <w:rsid w:val="6940CB9D"/>
    <w:rsid w:val="69483B6E"/>
    <w:rsid w:val="694AE790"/>
    <w:rsid w:val="695251CB"/>
    <w:rsid w:val="69591CE3"/>
    <w:rsid w:val="6959226C"/>
    <w:rsid w:val="6959F160"/>
    <w:rsid w:val="696418AB"/>
    <w:rsid w:val="696E1F59"/>
    <w:rsid w:val="69721916"/>
    <w:rsid w:val="6972AEAB"/>
    <w:rsid w:val="6973FA58"/>
    <w:rsid w:val="69772E0C"/>
    <w:rsid w:val="697B4BEB"/>
    <w:rsid w:val="69807A9E"/>
    <w:rsid w:val="69883FA9"/>
    <w:rsid w:val="698DF5F4"/>
    <w:rsid w:val="698EEB89"/>
    <w:rsid w:val="699428BE"/>
    <w:rsid w:val="699AD05F"/>
    <w:rsid w:val="699DAE86"/>
    <w:rsid w:val="699EC534"/>
    <w:rsid w:val="69A10545"/>
    <w:rsid w:val="69A14F7B"/>
    <w:rsid w:val="69A6F06B"/>
    <w:rsid w:val="69A94817"/>
    <w:rsid w:val="69A9CE24"/>
    <w:rsid w:val="69AF6DDD"/>
    <w:rsid w:val="69B40C3A"/>
    <w:rsid w:val="69B8CE73"/>
    <w:rsid w:val="69C2E03D"/>
    <w:rsid w:val="69C81227"/>
    <w:rsid w:val="69C980C9"/>
    <w:rsid w:val="69CC5363"/>
    <w:rsid w:val="69CD2AED"/>
    <w:rsid w:val="69CE1C99"/>
    <w:rsid w:val="69CF0F54"/>
    <w:rsid w:val="69D571FF"/>
    <w:rsid w:val="69D6622B"/>
    <w:rsid w:val="69DC74E5"/>
    <w:rsid w:val="69E62385"/>
    <w:rsid w:val="69F13E5F"/>
    <w:rsid w:val="69F51B26"/>
    <w:rsid w:val="69F70970"/>
    <w:rsid w:val="69F8DAD6"/>
    <w:rsid w:val="69FED4BC"/>
    <w:rsid w:val="6A0145F8"/>
    <w:rsid w:val="6A05B15A"/>
    <w:rsid w:val="6A073277"/>
    <w:rsid w:val="6A09711D"/>
    <w:rsid w:val="6A12BDD2"/>
    <w:rsid w:val="6A1576B5"/>
    <w:rsid w:val="6A179379"/>
    <w:rsid w:val="6A1F33D2"/>
    <w:rsid w:val="6A1FB583"/>
    <w:rsid w:val="6A22E85C"/>
    <w:rsid w:val="6A271B3A"/>
    <w:rsid w:val="6A2DF34D"/>
    <w:rsid w:val="6A31611F"/>
    <w:rsid w:val="6A32A720"/>
    <w:rsid w:val="6A33BCBA"/>
    <w:rsid w:val="6A3689E2"/>
    <w:rsid w:val="6A395081"/>
    <w:rsid w:val="6A3AB5AE"/>
    <w:rsid w:val="6A4011C1"/>
    <w:rsid w:val="6A455C75"/>
    <w:rsid w:val="6A4649EC"/>
    <w:rsid w:val="6A49AF9C"/>
    <w:rsid w:val="6A4B2C29"/>
    <w:rsid w:val="6A564C7B"/>
    <w:rsid w:val="6A579C88"/>
    <w:rsid w:val="6A5D6D96"/>
    <w:rsid w:val="6A61C6CB"/>
    <w:rsid w:val="6A624E78"/>
    <w:rsid w:val="6A6350B1"/>
    <w:rsid w:val="6A6A7C66"/>
    <w:rsid w:val="6A6AF9E7"/>
    <w:rsid w:val="6A71EC70"/>
    <w:rsid w:val="6A7B3887"/>
    <w:rsid w:val="6A7B5961"/>
    <w:rsid w:val="6A7D916B"/>
    <w:rsid w:val="6A7E0E81"/>
    <w:rsid w:val="6A7F340C"/>
    <w:rsid w:val="6A8130F6"/>
    <w:rsid w:val="6A8337E2"/>
    <w:rsid w:val="6A83D3C5"/>
    <w:rsid w:val="6A8483BB"/>
    <w:rsid w:val="6A84C593"/>
    <w:rsid w:val="6A85429F"/>
    <w:rsid w:val="6A8A8EBC"/>
    <w:rsid w:val="6A990036"/>
    <w:rsid w:val="6A9D3773"/>
    <w:rsid w:val="6AA389A2"/>
    <w:rsid w:val="6AA3F6D5"/>
    <w:rsid w:val="6AA81A8F"/>
    <w:rsid w:val="6AA88284"/>
    <w:rsid w:val="6AABCCA9"/>
    <w:rsid w:val="6AACA1B7"/>
    <w:rsid w:val="6AAE17D2"/>
    <w:rsid w:val="6AB438EB"/>
    <w:rsid w:val="6AB4BE38"/>
    <w:rsid w:val="6AB86132"/>
    <w:rsid w:val="6ABE26E9"/>
    <w:rsid w:val="6AC2FE53"/>
    <w:rsid w:val="6AC4AD3A"/>
    <w:rsid w:val="6ACA9FB1"/>
    <w:rsid w:val="6ACBFE71"/>
    <w:rsid w:val="6ACC3940"/>
    <w:rsid w:val="6ACD44F7"/>
    <w:rsid w:val="6AE08BBF"/>
    <w:rsid w:val="6AE76C9E"/>
    <w:rsid w:val="6AE927B6"/>
    <w:rsid w:val="6AEA41E0"/>
    <w:rsid w:val="6AEEAC09"/>
    <w:rsid w:val="6AF27F18"/>
    <w:rsid w:val="6AF98F32"/>
    <w:rsid w:val="6AF9B2F9"/>
    <w:rsid w:val="6AFA1EAE"/>
    <w:rsid w:val="6AFAA8FA"/>
    <w:rsid w:val="6AFF414E"/>
    <w:rsid w:val="6B04384F"/>
    <w:rsid w:val="6B12C180"/>
    <w:rsid w:val="6B174D90"/>
    <w:rsid w:val="6B1CEA2E"/>
    <w:rsid w:val="6B213380"/>
    <w:rsid w:val="6B2359A4"/>
    <w:rsid w:val="6B285272"/>
    <w:rsid w:val="6B294E73"/>
    <w:rsid w:val="6B2AD52B"/>
    <w:rsid w:val="6B31CB1E"/>
    <w:rsid w:val="6B32BA19"/>
    <w:rsid w:val="6B35BDF3"/>
    <w:rsid w:val="6B4655B5"/>
    <w:rsid w:val="6B47C778"/>
    <w:rsid w:val="6B4B941F"/>
    <w:rsid w:val="6B4BB54D"/>
    <w:rsid w:val="6B4E1EBC"/>
    <w:rsid w:val="6B513F2C"/>
    <w:rsid w:val="6B56D41C"/>
    <w:rsid w:val="6B56D656"/>
    <w:rsid w:val="6B60692A"/>
    <w:rsid w:val="6B6B38C1"/>
    <w:rsid w:val="6B6B4A5F"/>
    <w:rsid w:val="6B702145"/>
    <w:rsid w:val="6B712195"/>
    <w:rsid w:val="6B73F195"/>
    <w:rsid w:val="6B743925"/>
    <w:rsid w:val="6B75D264"/>
    <w:rsid w:val="6B77ED60"/>
    <w:rsid w:val="6B797633"/>
    <w:rsid w:val="6B7A969B"/>
    <w:rsid w:val="6B7BD0E1"/>
    <w:rsid w:val="6B7C71CB"/>
    <w:rsid w:val="6B7E73A3"/>
    <w:rsid w:val="6B7F9EDD"/>
    <w:rsid w:val="6B82493A"/>
    <w:rsid w:val="6B84D71C"/>
    <w:rsid w:val="6B859A6A"/>
    <w:rsid w:val="6B8E704F"/>
    <w:rsid w:val="6B8F31EE"/>
    <w:rsid w:val="6B90F0BF"/>
    <w:rsid w:val="6B96DE08"/>
    <w:rsid w:val="6B9A9623"/>
    <w:rsid w:val="6BA552E4"/>
    <w:rsid w:val="6BAFCD6F"/>
    <w:rsid w:val="6BAFE049"/>
    <w:rsid w:val="6BB3B3D2"/>
    <w:rsid w:val="6BB40237"/>
    <w:rsid w:val="6BB53C4A"/>
    <w:rsid w:val="6BB77847"/>
    <w:rsid w:val="6BBDCCB2"/>
    <w:rsid w:val="6BC34137"/>
    <w:rsid w:val="6BC47138"/>
    <w:rsid w:val="6BC7351F"/>
    <w:rsid w:val="6BC85BA7"/>
    <w:rsid w:val="6BC9EE0A"/>
    <w:rsid w:val="6BCB0235"/>
    <w:rsid w:val="6BCFD6B4"/>
    <w:rsid w:val="6BDB1285"/>
    <w:rsid w:val="6BDD0546"/>
    <w:rsid w:val="6BDF146C"/>
    <w:rsid w:val="6BDF9669"/>
    <w:rsid w:val="6BDFA054"/>
    <w:rsid w:val="6BE05E59"/>
    <w:rsid w:val="6BE23179"/>
    <w:rsid w:val="6BE3FBED"/>
    <w:rsid w:val="6BE4122A"/>
    <w:rsid w:val="6BE6C439"/>
    <w:rsid w:val="6BEAD034"/>
    <w:rsid w:val="6BEAEA56"/>
    <w:rsid w:val="6BED18FA"/>
    <w:rsid w:val="6BF27706"/>
    <w:rsid w:val="6BF349E7"/>
    <w:rsid w:val="6BFA6468"/>
    <w:rsid w:val="6BFF0049"/>
    <w:rsid w:val="6C00ACC9"/>
    <w:rsid w:val="6C06F2FB"/>
    <w:rsid w:val="6C085620"/>
    <w:rsid w:val="6C0BA6F5"/>
    <w:rsid w:val="6C0BCF62"/>
    <w:rsid w:val="6C0DE275"/>
    <w:rsid w:val="6C0EF794"/>
    <w:rsid w:val="6C141969"/>
    <w:rsid w:val="6C14E072"/>
    <w:rsid w:val="6C1D5FEA"/>
    <w:rsid w:val="6C1E1479"/>
    <w:rsid w:val="6C1ED56C"/>
    <w:rsid w:val="6C1F137E"/>
    <w:rsid w:val="6C21F7CB"/>
    <w:rsid w:val="6C23B17A"/>
    <w:rsid w:val="6C25FAC8"/>
    <w:rsid w:val="6C271FBF"/>
    <w:rsid w:val="6C279F90"/>
    <w:rsid w:val="6C2942FF"/>
    <w:rsid w:val="6C337F30"/>
    <w:rsid w:val="6C35AC3E"/>
    <w:rsid w:val="6C35D2BB"/>
    <w:rsid w:val="6C36054C"/>
    <w:rsid w:val="6C36C35C"/>
    <w:rsid w:val="6C385CE1"/>
    <w:rsid w:val="6C3C1F40"/>
    <w:rsid w:val="6C427487"/>
    <w:rsid w:val="6C55C7E4"/>
    <w:rsid w:val="6C5656FD"/>
    <w:rsid w:val="6C5AB9BA"/>
    <w:rsid w:val="6C5D709B"/>
    <w:rsid w:val="6C5F722C"/>
    <w:rsid w:val="6C615027"/>
    <w:rsid w:val="6C62AD4D"/>
    <w:rsid w:val="6C634EF4"/>
    <w:rsid w:val="6C6785AF"/>
    <w:rsid w:val="6C6E177F"/>
    <w:rsid w:val="6C742B35"/>
    <w:rsid w:val="6C7BC007"/>
    <w:rsid w:val="6C7BFF2A"/>
    <w:rsid w:val="6C81D422"/>
    <w:rsid w:val="6C833BAF"/>
    <w:rsid w:val="6C872338"/>
    <w:rsid w:val="6C87D8F3"/>
    <w:rsid w:val="6C9139A1"/>
    <w:rsid w:val="6C93E7CF"/>
    <w:rsid w:val="6C940527"/>
    <w:rsid w:val="6C995D43"/>
    <w:rsid w:val="6C9E1762"/>
    <w:rsid w:val="6C9EA9B6"/>
    <w:rsid w:val="6C9F645D"/>
    <w:rsid w:val="6C9F7B67"/>
    <w:rsid w:val="6CA330CB"/>
    <w:rsid w:val="6CA3503A"/>
    <w:rsid w:val="6CA38EC3"/>
    <w:rsid w:val="6CA4962B"/>
    <w:rsid w:val="6CA74A8D"/>
    <w:rsid w:val="6CAC220C"/>
    <w:rsid w:val="6CACCB69"/>
    <w:rsid w:val="6CAE5293"/>
    <w:rsid w:val="6CAEDEF8"/>
    <w:rsid w:val="6CB1710E"/>
    <w:rsid w:val="6CB69A7A"/>
    <w:rsid w:val="6CBCC66D"/>
    <w:rsid w:val="6CBDC727"/>
    <w:rsid w:val="6CBE8898"/>
    <w:rsid w:val="6CC2BAE1"/>
    <w:rsid w:val="6CCAAEBE"/>
    <w:rsid w:val="6CCB50D9"/>
    <w:rsid w:val="6CCF6F40"/>
    <w:rsid w:val="6CD7438A"/>
    <w:rsid w:val="6CDE559A"/>
    <w:rsid w:val="6CE6C98A"/>
    <w:rsid w:val="6CF60F5E"/>
    <w:rsid w:val="6D02268A"/>
    <w:rsid w:val="6D031988"/>
    <w:rsid w:val="6D0513B8"/>
    <w:rsid w:val="6D1354D7"/>
    <w:rsid w:val="6D1A8A0A"/>
    <w:rsid w:val="6D232106"/>
    <w:rsid w:val="6D2A9F76"/>
    <w:rsid w:val="6D31A405"/>
    <w:rsid w:val="6D373485"/>
    <w:rsid w:val="6D38F52D"/>
    <w:rsid w:val="6D3F75A1"/>
    <w:rsid w:val="6D422358"/>
    <w:rsid w:val="6D479597"/>
    <w:rsid w:val="6D49F66E"/>
    <w:rsid w:val="6D4A88A7"/>
    <w:rsid w:val="6D4D8E97"/>
    <w:rsid w:val="6D510BFD"/>
    <w:rsid w:val="6D51FDD0"/>
    <w:rsid w:val="6D57DAD6"/>
    <w:rsid w:val="6D5E554E"/>
    <w:rsid w:val="6D5F4E4E"/>
    <w:rsid w:val="6D608810"/>
    <w:rsid w:val="6D633603"/>
    <w:rsid w:val="6D6464FF"/>
    <w:rsid w:val="6D68B262"/>
    <w:rsid w:val="6D6BFAFC"/>
    <w:rsid w:val="6D7E5E39"/>
    <w:rsid w:val="6D8593A0"/>
    <w:rsid w:val="6D8782B7"/>
    <w:rsid w:val="6D87D226"/>
    <w:rsid w:val="6D88A2DA"/>
    <w:rsid w:val="6D9F8A7A"/>
    <w:rsid w:val="6DA0475F"/>
    <w:rsid w:val="6DA0F156"/>
    <w:rsid w:val="6DA28FDF"/>
    <w:rsid w:val="6DA58082"/>
    <w:rsid w:val="6DA7CB4A"/>
    <w:rsid w:val="6DAC3F67"/>
    <w:rsid w:val="6DAC57F7"/>
    <w:rsid w:val="6DBB70F6"/>
    <w:rsid w:val="6DBC10B9"/>
    <w:rsid w:val="6DBEB5A5"/>
    <w:rsid w:val="6DBEF50D"/>
    <w:rsid w:val="6DBF7496"/>
    <w:rsid w:val="6DBFDD0C"/>
    <w:rsid w:val="6DC46822"/>
    <w:rsid w:val="6DC6DC2F"/>
    <w:rsid w:val="6DC723FD"/>
    <w:rsid w:val="6DC75494"/>
    <w:rsid w:val="6DC7BAD6"/>
    <w:rsid w:val="6DC828B7"/>
    <w:rsid w:val="6DCF3FEB"/>
    <w:rsid w:val="6DD63B45"/>
    <w:rsid w:val="6DD78869"/>
    <w:rsid w:val="6DD9A361"/>
    <w:rsid w:val="6DDBB208"/>
    <w:rsid w:val="6DDCA734"/>
    <w:rsid w:val="6DDE5F94"/>
    <w:rsid w:val="6DE306AE"/>
    <w:rsid w:val="6DE33A10"/>
    <w:rsid w:val="6DE7A9B8"/>
    <w:rsid w:val="6DE9A60F"/>
    <w:rsid w:val="6DEA68C2"/>
    <w:rsid w:val="6DF0FB4A"/>
    <w:rsid w:val="6DF5CFA2"/>
    <w:rsid w:val="6DF77C99"/>
    <w:rsid w:val="6DF97552"/>
    <w:rsid w:val="6DF9A3A3"/>
    <w:rsid w:val="6DFDE037"/>
    <w:rsid w:val="6E024244"/>
    <w:rsid w:val="6E02BA70"/>
    <w:rsid w:val="6E076AFE"/>
    <w:rsid w:val="6E08DB4A"/>
    <w:rsid w:val="6E0A174E"/>
    <w:rsid w:val="6E0D9B8E"/>
    <w:rsid w:val="6E0E2AB0"/>
    <w:rsid w:val="6E0FBFCD"/>
    <w:rsid w:val="6E0FD739"/>
    <w:rsid w:val="6E0FE64D"/>
    <w:rsid w:val="6E0FF1D3"/>
    <w:rsid w:val="6E23C7FE"/>
    <w:rsid w:val="6E2424FD"/>
    <w:rsid w:val="6E28736C"/>
    <w:rsid w:val="6E2F7C72"/>
    <w:rsid w:val="6E353E70"/>
    <w:rsid w:val="6E38FF41"/>
    <w:rsid w:val="6E4BF4D7"/>
    <w:rsid w:val="6E4E4712"/>
    <w:rsid w:val="6E56F27C"/>
    <w:rsid w:val="6E5CAF74"/>
    <w:rsid w:val="6E5F9B38"/>
    <w:rsid w:val="6E6112EA"/>
    <w:rsid w:val="6E66F46D"/>
    <w:rsid w:val="6E680F8B"/>
    <w:rsid w:val="6E699FDA"/>
    <w:rsid w:val="6E6BC00C"/>
    <w:rsid w:val="6E6E91BE"/>
    <w:rsid w:val="6E706368"/>
    <w:rsid w:val="6E78F6A8"/>
    <w:rsid w:val="6E7F97CA"/>
    <w:rsid w:val="6E811EF0"/>
    <w:rsid w:val="6E81D09F"/>
    <w:rsid w:val="6E834A63"/>
    <w:rsid w:val="6E83DBDA"/>
    <w:rsid w:val="6E841FFB"/>
    <w:rsid w:val="6E8FEE3C"/>
    <w:rsid w:val="6E93C494"/>
    <w:rsid w:val="6E9C404D"/>
    <w:rsid w:val="6E9F7570"/>
    <w:rsid w:val="6E9F8A34"/>
    <w:rsid w:val="6EA2226B"/>
    <w:rsid w:val="6EAB9E0F"/>
    <w:rsid w:val="6EAD0635"/>
    <w:rsid w:val="6EAE5B31"/>
    <w:rsid w:val="6EB55671"/>
    <w:rsid w:val="6EB7B07E"/>
    <w:rsid w:val="6EB9246F"/>
    <w:rsid w:val="6EBBE870"/>
    <w:rsid w:val="6EC2A029"/>
    <w:rsid w:val="6EC5F3D3"/>
    <w:rsid w:val="6EC9F663"/>
    <w:rsid w:val="6ECBD029"/>
    <w:rsid w:val="6ECDCB59"/>
    <w:rsid w:val="6ED1E50A"/>
    <w:rsid w:val="6ED8FB27"/>
    <w:rsid w:val="6EDB61BF"/>
    <w:rsid w:val="6EDC21E6"/>
    <w:rsid w:val="6EDC8AFA"/>
    <w:rsid w:val="6EE07AF5"/>
    <w:rsid w:val="6EE5FF2A"/>
    <w:rsid w:val="6EE9183B"/>
    <w:rsid w:val="6EEA07EE"/>
    <w:rsid w:val="6EED10E5"/>
    <w:rsid w:val="6EF12B62"/>
    <w:rsid w:val="6EFAFA2E"/>
    <w:rsid w:val="6EFF4CD7"/>
    <w:rsid w:val="6F07A0A3"/>
    <w:rsid w:val="6F08955B"/>
    <w:rsid w:val="6F1101B0"/>
    <w:rsid w:val="6F1E18A8"/>
    <w:rsid w:val="6F220AFA"/>
    <w:rsid w:val="6F259574"/>
    <w:rsid w:val="6F272CD8"/>
    <w:rsid w:val="6F316EF1"/>
    <w:rsid w:val="6F31AA5E"/>
    <w:rsid w:val="6F37AEE6"/>
    <w:rsid w:val="6F38326A"/>
    <w:rsid w:val="6F3934C3"/>
    <w:rsid w:val="6F3FF415"/>
    <w:rsid w:val="6F40E57B"/>
    <w:rsid w:val="6F47C266"/>
    <w:rsid w:val="6F483A9E"/>
    <w:rsid w:val="6F4BC1D9"/>
    <w:rsid w:val="6F4D756C"/>
    <w:rsid w:val="6F505656"/>
    <w:rsid w:val="6F5302A5"/>
    <w:rsid w:val="6F5B5E4E"/>
    <w:rsid w:val="6F63EBDA"/>
    <w:rsid w:val="6F6B9783"/>
    <w:rsid w:val="6F708CD5"/>
    <w:rsid w:val="6F772B11"/>
    <w:rsid w:val="6F7B55F7"/>
    <w:rsid w:val="6F84BF93"/>
    <w:rsid w:val="6F8EB39B"/>
    <w:rsid w:val="6F92F025"/>
    <w:rsid w:val="6F93A02C"/>
    <w:rsid w:val="6F9CB13F"/>
    <w:rsid w:val="6F9CBC5B"/>
    <w:rsid w:val="6FA1C85D"/>
    <w:rsid w:val="6FA50600"/>
    <w:rsid w:val="6FA8B81C"/>
    <w:rsid w:val="6FB362D0"/>
    <w:rsid w:val="6FC49636"/>
    <w:rsid w:val="6FC7C487"/>
    <w:rsid w:val="6FCA872C"/>
    <w:rsid w:val="6FD22EDD"/>
    <w:rsid w:val="6FD2748E"/>
    <w:rsid w:val="6FD55515"/>
    <w:rsid w:val="6FDAE82E"/>
    <w:rsid w:val="6FDDD994"/>
    <w:rsid w:val="6FE09907"/>
    <w:rsid w:val="6FE25E20"/>
    <w:rsid w:val="6FE4E7E2"/>
    <w:rsid w:val="6FE52039"/>
    <w:rsid w:val="6FE76B7F"/>
    <w:rsid w:val="6FE7BACF"/>
    <w:rsid w:val="6FE91384"/>
    <w:rsid w:val="6FEDEFDF"/>
    <w:rsid w:val="6FF4909F"/>
    <w:rsid w:val="6FF6BEBB"/>
    <w:rsid w:val="6FFB90E6"/>
    <w:rsid w:val="6FFECE30"/>
    <w:rsid w:val="6FFFF3C0"/>
    <w:rsid w:val="70044335"/>
    <w:rsid w:val="70091318"/>
    <w:rsid w:val="7012B99E"/>
    <w:rsid w:val="701803A6"/>
    <w:rsid w:val="701D24E3"/>
    <w:rsid w:val="702341E1"/>
    <w:rsid w:val="7027A517"/>
    <w:rsid w:val="7033D806"/>
    <w:rsid w:val="703667E8"/>
    <w:rsid w:val="703A8F71"/>
    <w:rsid w:val="703B33E3"/>
    <w:rsid w:val="703C84DC"/>
    <w:rsid w:val="703C9477"/>
    <w:rsid w:val="703F8EF8"/>
    <w:rsid w:val="70423853"/>
    <w:rsid w:val="70427BED"/>
    <w:rsid w:val="7043E9E9"/>
    <w:rsid w:val="70487C48"/>
    <w:rsid w:val="704A0116"/>
    <w:rsid w:val="704B763B"/>
    <w:rsid w:val="704D7F38"/>
    <w:rsid w:val="704E49FA"/>
    <w:rsid w:val="7050255E"/>
    <w:rsid w:val="70523DDD"/>
    <w:rsid w:val="7054972B"/>
    <w:rsid w:val="7054C277"/>
    <w:rsid w:val="7057C87A"/>
    <w:rsid w:val="70589DF1"/>
    <w:rsid w:val="706427AA"/>
    <w:rsid w:val="70675E73"/>
    <w:rsid w:val="706B9F48"/>
    <w:rsid w:val="706CBC04"/>
    <w:rsid w:val="706F059A"/>
    <w:rsid w:val="707139F7"/>
    <w:rsid w:val="7071A0E0"/>
    <w:rsid w:val="70734432"/>
    <w:rsid w:val="7076084C"/>
    <w:rsid w:val="7077EBBE"/>
    <w:rsid w:val="707D3D92"/>
    <w:rsid w:val="707EF8F4"/>
    <w:rsid w:val="7089F7EB"/>
    <w:rsid w:val="7095DD05"/>
    <w:rsid w:val="709FA755"/>
    <w:rsid w:val="70A5110A"/>
    <w:rsid w:val="70A67F3F"/>
    <w:rsid w:val="70A7488A"/>
    <w:rsid w:val="70A95C9C"/>
    <w:rsid w:val="70AE0B7B"/>
    <w:rsid w:val="70AFFEE7"/>
    <w:rsid w:val="70B1FC5B"/>
    <w:rsid w:val="70B49C63"/>
    <w:rsid w:val="70B94CB2"/>
    <w:rsid w:val="70BAE347"/>
    <w:rsid w:val="70CB6289"/>
    <w:rsid w:val="70D42099"/>
    <w:rsid w:val="70DA1ABC"/>
    <w:rsid w:val="70DC5A18"/>
    <w:rsid w:val="70DD64CD"/>
    <w:rsid w:val="70DDD512"/>
    <w:rsid w:val="70E2F6C0"/>
    <w:rsid w:val="70E7F9DA"/>
    <w:rsid w:val="70F00501"/>
    <w:rsid w:val="70F462E6"/>
    <w:rsid w:val="70F4AA0D"/>
    <w:rsid w:val="70FC8200"/>
    <w:rsid w:val="710461BD"/>
    <w:rsid w:val="71073441"/>
    <w:rsid w:val="71083730"/>
    <w:rsid w:val="7108D2F6"/>
    <w:rsid w:val="710C3719"/>
    <w:rsid w:val="710C949D"/>
    <w:rsid w:val="710E5107"/>
    <w:rsid w:val="71130CFA"/>
    <w:rsid w:val="71131A98"/>
    <w:rsid w:val="711384A1"/>
    <w:rsid w:val="7122D2C3"/>
    <w:rsid w:val="7124E5AC"/>
    <w:rsid w:val="712600F1"/>
    <w:rsid w:val="71279176"/>
    <w:rsid w:val="713EFB8F"/>
    <w:rsid w:val="71455FE9"/>
    <w:rsid w:val="71493429"/>
    <w:rsid w:val="714F395B"/>
    <w:rsid w:val="714F8DFF"/>
    <w:rsid w:val="7151175F"/>
    <w:rsid w:val="715AC6ED"/>
    <w:rsid w:val="7161F9D0"/>
    <w:rsid w:val="71672866"/>
    <w:rsid w:val="7168AC1F"/>
    <w:rsid w:val="716A1C1A"/>
    <w:rsid w:val="716F1BA3"/>
    <w:rsid w:val="7171B2E5"/>
    <w:rsid w:val="7175831D"/>
    <w:rsid w:val="7183A65D"/>
    <w:rsid w:val="7186C3F4"/>
    <w:rsid w:val="71899E51"/>
    <w:rsid w:val="718EC5AD"/>
    <w:rsid w:val="718F04E0"/>
    <w:rsid w:val="71915296"/>
    <w:rsid w:val="7193E570"/>
    <w:rsid w:val="719992D5"/>
    <w:rsid w:val="719AA347"/>
    <w:rsid w:val="719C10CB"/>
    <w:rsid w:val="71AB0FE4"/>
    <w:rsid w:val="71B37D24"/>
    <w:rsid w:val="71B70B85"/>
    <w:rsid w:val="71BB1A80"/>
    <w:rsid w:val="71BC6ADA"/>
    <w:rsid w:val="71C4AD55"/>
    <w:rsid w:val="71C5C011"/>
    <w:rsid w:val="71C8D12E"/>
    <w:rsid w:val="71C9125D"/>
    <w:rsid w:val="71CBC2BD"/>
    <w:rsid w:val="71CC1099"/>
    <w:rsid w:val="71D18930"/>
    <w:rsid w:val="71D28E1A"/>
    <w:rsid w:val="71D82714"/>
    <w:rsid w:val="71DBEFD0"/>
    <w:rsid w:val="71DFC2FA"/>
    <w:rsid w:val="71E1328E"/>
    <w:rsid w:val="71E2689D"/>
    <w:rsid w:val="71E30FC8"/>
    <w:rsid w:val="71E7634E"/>
    <w:rsid w:val="71E8D591"/>
    <w:rsid w:val="71EAA2B7"/>
    <w:rsid w:val="71EEA3C2"/>
    <w:rsid w:val="71EEA9EA"/>
    <w:rsid w:val="71F65844"/>
    <w:rsid w:val="71FE9B02"/>
    <w:rsid w:val="72019520"/>
    <w:rsid w:val="72060CA9"/>
    <w:rsid w:val="72090589"/>
    <w:rsid w:val="720CE519"/>
    <w:rsid w:val="720DC643"/>
    <w:rsid w:val="720DDF12"/>
    <w:rsid w:val="7211A15E"/>
    <w:rsid w:val="7213819B"/>
    <w:rsid w:val="72158BDF"/>
    <w:rsid w:val="7218938E"/>
    <w:rsid w:val="721A52EC"/>
    <w:rsid w:val="722A2D44"/>
    <w:rsid w:val="722A92DD"/>
    <w:rsid w:val="722D4603"/>
    <w:rsid w:val="72318E45"/>
    <w:rsid w:val="72365AF3"/>
    <w:rsid w:val="723962EF"/>
    <w:rsid w:val="72495E7E"/>
    <w:rsid w:val="724EE512"/>
    <w:rsid w:val="724F3CAA"/>
    <w:rsid w:val="72542AEC"/>
    <w:rsid w:val="7258BAEA"/>
    <w:rsid w:val="725FBDA4"/>
    <w:rsid w:val="72625686"/>
    <w:rsid w:val="726496B5"/>
    <w:rsid w:val="7267C932"/>
    <w:rsid w:val="726B6515"/>
    <w:rsid w:val="726C4086"/>
    <w:rsid w:val="726EF91D"/>
    <w:rsid w:val="72733DE7"/>
    <w:rsid w:val="7274C638"/>
    <w:rsid w:val="727C9C8C"/>
    <w:rsid w:val="7281502B"/>
    <w:rsid w:val="728308E9"/>
    <w:rsid w:val="72938972"/>
    <w:rsid w:val="72974AC4"/>
    <w:rsid w:val="729DF95B"/>
    <w:rsid w:val="72A37F56"/>
    <w:rsid w:val="72A7224A"/>
    <w:rsid w:val="72AA6E35"/>
    <w:rsid w:val="72B5B783"/>
    <w:rsid w:val="72B6C664"/>
    <w:rsid w:val="72BA54E0"/>
    <w:rsid w:val="72BAC0FB"/>
    <w:rsid w:val="72BFF2A0"/>
    <w:rsid w:val="72C17AB2"/>
    <w:rsid w:val="72C18108"/>
    <w:rsid w:val="72C1E79D"/>
    <w:rsid w:val="72C2B0E1"/>
    <w:rsid w:val="72C4D504"/>
    <w:rsid w:val="72C52670"/>
    <w:rsid w:val="72C7B914"/>
    <w:rsid w:val="72CCCFF3"/>
    <w:rsid w:val="72CF50E7"/>
    <w:rsid w:val="72D622A7"/>
    <w:rsid w:val="72D720B7"/>
    <w:rsid w:val="72D971B3"/>
    <w:rsid w:val="72DB4B37"/>
    <w:rsid w:val="72DC7978"/>
    <w:rsid w:val="72DD9558"/>
    <w:rsid w:val="72E118A5"/>
    <w:rsid w:val="72E2508C"/>
    <w:rsid w:val="72F04AFA"/>
    <w:rsid w:val="72F1B18A"/>
    <w:rsid w:val="72F370A2"/>
    <w:rsid w:val="72F41370"/>
    <w:rsid w:val="72F583D4"/>
    <w:rsid w:val="72FAEFC6"/>
    <w:rsid w:val="72FCEBCC"/>
    <w:rsid w:val="7304ADF5"/>
    <w:rsid w:val="7308D57F"/>
    <w:rsid w:val="731072DA"/>
    <w:rsid w:val="73128FDF"/>
    <w:rsid w:val="73143673"/>
    <w:rsid w:val="7315BBB6"/>
    <w:rsid w:val="731BB14F"/>
    <w:rsid w:val="731DD442"/>
    <w:rsid w:val="7324739A"/>
    <w:rsid w:val="73277CC4"/>
    <w:rsid w:val="732956B9"/>
    <w:rsid w:val="7332D29A"/>
    <w:rsid w:val="7335C584"/>
    <w:rsid w:val="7335CC27"/>
    <w:rsid w:val="73391DBD"/>
    <w:rsid w:val="7347C284"/>
    <w:rsid w:val="7350FFFF"/>
    <w:rsid w:val="7354229B"/>
    <w:rsid w:val="73559615"/>
    <w:rsid w:val="735C41AE"/>
    <w:rsid w:val="735FC8A3"/>
    <w:rsid w:val="735FD5AC"/>
    <w:rsid w:val="7363A42C"/>
    <w:rsid w:val="7369AAB7"/>
    <w:rsid w:val="736B2542"/>
    <w:rsid w:val="736B579D"/>
    <w:rsid w:val="736BC521"/>
    <w:rsid w:val="736FA2ED"/>
    <w:rsid w:val="7373794E"/>
    <w:rsid w:val="7376DD79"/>
    <w:rsid w:val="73781D0D"/>
    <w:rsid w:val="737EB4EF"/>
    <w:rsid w:val="737F3C16"/>
    <w:rsid w:val="73848CF9"/>
    <w:rsid w:val="738FFA9B"/>
    <w:rsid w:val="73913878"/>
    <w:rsid w:val="7392BD4F"/>
    <w:rsid w:val="739493F5"/>
    <w:rsid w:val="7394B91C"/>
    <w:rsid w:val="7398461B"/>
    <w:rsid w:val="73988DE9"/>
    <w:rsid w:val="7398C9C1"/>
    <w:rsid w:val="739E525A"/>
    <w:rsid w:val="73A74CE6"/>
    <w:rsid w:val="73A890E6"/>
    <w:rsid w:val="73AB6A0F"/>
    <w:rsid w:val="73AF01CC"/>
    <w:rsid w:val="73C5FB94"/>
    <w:rsid w:val="73C81386"/>
    <w:rsid w:val="73C92B43"/>
    <w:rsid w:val="73CB54AA"/>
    <w:rsid w:val="73D4B9E2"/>
    <w:rsid w:val="73EAE485"/>
    <w:rsid w:val="73ECA0DE"/>
    <w:rsid w:val="73F9DBF4"/>
    <w:rsid w:val="73FAABA9"/>
    <w:rsid w:val="73FE2071"/>
    <w:rsid w:val="73FF457D"/>
    <w:rsid w:val="7408819C"/>
    <w:rsid w:val="7408B805"/>
    <w:rsid w:val="740AE8FC"/>
    <w:rsid w:val="740B7C9A"/>
    <w:rsid w:val="740B9021"/>
    <w:rsid w:val="740D736C"/>
    <w:rsid w:val="740EBC17"/>
    <w:rsid w:val="7417E26D"/>
    <w:rsid w:val="7419686B"/>
    <w:rsid w:val="741D9000"/>
    <w:rsid w:val="74218DCE"/>
    <w:rsid w:val="742619DC"/>
    <w:rsid w:val="7428C1B2"/>
    <w:rsid w:val="743071C7"/>
    <w:rsid w:val="74376DF9"/>
    <w:rsid w:val="743808E6"/>
    <w:rsid w:val="7439D8BB"/>
    <w:rsid w:val="743B0806"/>
    <w:rsid w:val="743D232C"/>
    <w:rsid w:val="74422890"/>
    <w:rsid w:val="74427562"/>
    <w:rsid w:val="744542F1"/>
    <w:rsid w:val="74484E77"/>
    <w:rsid w:val="7451DBB6"/>
    <w:rsid w:val="7454CD2B"/>
    <w:rsid w:val="745C9D74"/>
    <w:rsid w:val="74607880"/>
    <w:rsid w:val="7461E586"/>
    <w:rsid w:val="7464290F"/>
    <w:rsid w:val="7466C11D"/>
    <w:rsid w:val="746ECE3E"/>
    <w:rsid w:val="747076EF"/>
    <w:rsid w:val="74746442"/>
    <w:rsid w:val="74774209"/>
    <w:rsid w:val="747AA3A9"/>
    <w:rsid w:val="747E9689"/>
    <w:rsid w:val="7481C666"/>
    <w:rsid w:val="74835FDD"/>
    <w:rsid w:val="7489A8A5"/>
    <w:rsid w:val="74938774"/>
    <w:rsid w:val="74A09E41"/>
    <w:rsid w:val="74A6E243"/>
    <w:rsid w:val="74AAA308"/>
    <w:rsid w:val="74AD8886"/>
    <w:rsid w:val="74AF5F6C"/>
    <w:rsid w:val="74B034B6"/>
    <w:rsid w:val="74B24998"/>
    <w:rsid w:val="74B3A1C3"/>
    <w:rsid w:val="74B68232"/>
    <w:rsid w:val="74B7CC60"/>
    <w:rsid w:val="74BD0F8F"/>
    <w:rsid w:val="74C17704"/>
    <w:rsid w:val="74CA83A3"/>
    <w:rsid w:val="74CB400E"/>
    <w:rsid w:val="74D63D44"/>
    <w:rsid w:val="74D97DFC"/>
    <w:rsid w:val="74D98922"/>
    <w:rsid w:val="74E14367"/>
    <w:rsid w:val="74E2B584"/>
    <w:rsid w:val="74E4B83F"/>
    <w:rsid w:val="74E6D064"/>
    <w:rsid w:val="74E9005B"/>
    <w:rsid w:val="74EBCA67"/>
    <w:rsid w:val="74ECB0D0"/>
    <w:rsid w:val="74F114C6"/>
    <w:rsid w:val="74F35CDA"/>
    <w:rsid w:val="74F6C51A"/>
    <w:rsid w:val="74FDDE8F"/>
    <w:rsid w:val="750316EB"/>
    <w:rsid w:val="7503D4A8"/>
    <w:rsid w:val="750CAF68"/>
    <w:rsid w:val="7516EFA2"/>
    <w:rsid w:val="75186BEB"/>
    <w:rsid w:val="751A2FE8"/>
    <w:rsid w:val="751EE1CA"/>
    <w:rsid w:val="751F2A25"/>
    <w:rsid w:val="75220928"/>
    <w:rsid w:val="75272001"/>
    <w:rsid w:val="753AE191"/>
    <w:rsid w:val="753C2BE1"/>
    <w:rsid w:val="753CED97"/>
    <w:rsid w:val="753DEF26"/>
    <w:rsid w:val="753F0181"/>
    <w:rsid w:val="754B691B"/>
    <w:rsid w:val="755690E4"/>
    <w:rsid w:val="7559A28F"/>
    <w:rsid w:val="755FBE52"/>
    <w:rsid w:val="7564BE43"/>
    <w:rsid w:val="75677E6E"/>
    <w:rsid w:val="75697FC0"/>
    <w:rsid w:val="756BC717"/>
    <w:rsid w:val="757417AC"/>
    <w:rsid w:val="7575EF1F"/>
    <w:rsid w:val="757819C9"/>
    <w:rsid w:val="757CDAA3"/>
    <w:rsid w:val="7581D455"/>
    <w:rsid w:val="75841794"/>
    <w:rsid w:val="75845624"/>
    <w:rsid w:val="758B89DD"/>
    <w:rsid w:val="758DA156"/>
    <w:rsid w:val="75964B65"/>
    <w:rsid w:val="75A1BAA6"/>
    <w:rsid w:val="75A34343"/>
    <w:rsid w:val="75A5EAC1"/>
    <w:rsid w:val="75A6E031"/>
    <w:rsid w:val="75A9947D"/>
    <w:rsid w:val="75ACE845"/>
    <w:rsid w:val="75ACF59E"/>
    <w:rsid w:val="75AD0467"/>
    <w:rsid w:val="75B3118F"/>
    <w:rsid w:val="75BB8A5A"/>
    <w:rsid w:val="75BE4A10"/>
    <w:rsid w:val="75CA7458"/>
    <w:rsid w:val="75CC6EF7"/>
    <w:rsid w:val="75CE8F8E"/>
    <w:rsid w:val="75D2378D"/>
    <w:rsid w:val="75D25F18"/>
    <w:rsid w:val="75D498DE"/>
    <w:rsid w:val="75DAE846"/>
    <w:rsid w:val="75DB76FB"/>
    <w:rsid w:val="75DC7FEF"/>
    <w:rsid w:val="75DCDEA4"/>
    <w:rsid w:val="75DEEFC1"/>
    <w:rsid w:val="75E48023"/>
    <w:rsid w:val="75E7D69F"/>
    <w:rsid w:val="75EB21A4"/>
    <w:rsid w:val="75F24929"/>
    <w:rsid w:val="75F82402"/>
    <w:rsid w:val="75FE6F6C"/>
    <w:rsid w:val="75FEFB19"/>
    <w:rsid w:val="76016A26"/>
    <w:rsid w:val="760464B3"/>
    <w:rsid w:val="7609EAA4"/>
    <w:rsid w:val="760EA6FB"/>
    <w:rsid w:val="7611FD3C"/>
    <w:rsid w:val="76124FCC"/>
    <w:rsid w:val="76126D68"/>
    <w:rsid w:val="76134014"/>
    <w:rsid w:val="76142313"/>
    <w:rsid w:val="7615EAB7"/>
    <w:rsid w:val="76228E65"/>
    <w:rsid w:val="7623B5E5"/>
    <w:rsid w:val="76240F7F"/>
    <w:rsid w:val="762E75B9"/>
    <w:rsid w:val="762E9B2B"/>
    <w:rsid w:val="7630DD88"/>
    <w:rsid w:val="7631EDD2"/>
    <w:rsid w:val="7635DD1D"/>
    <w:rsid w:val="763B6969"/>
    <w:rsid w:val="764F0129"/>
    <w:rsid w:val="7650150F"/>
    <w:rsid w:val="7654740A"/>
    <w:rsid w:val="76560177"/>
    <w:rsid w:val="765605B1"/>
    <w:rsid w:val="765BB03B"/>
    <w:rsid w:val="765F0122"/>
    <w:rsid w:val="7663AEA1"/>
    <w:rsid w:val="7668D0FA"/>
    <w:rsid w:val="766DDFDE"/>
    <w:rsid w:val="766E5B6D"/>
    <w:rsid w:val="766F5BED"/>
    <w:rsid w:val="767D5F69"/>
    <w:rsid w:val="767E4BB7"/>
    <w:rsid w:val="767FD081"/>
    <w:rsid w:val="7681FC86"/>
    <w:rsid w:val="768328FA"/>
    <w:rsid w:val="76864E46"/>
    <w:rsid w:val="7686AAAC"/>
    <w:rsid w:val="7687022E"/>
    <w:rsid w:val="768AB209"/>
    <w:rsid w:val="768BC638"/>
    <w:rsid w:val="768E15CE"/>
    <w:rsid w:val="769330F1"/>
    <w:rsid w:val="7693FF3E"/>
    <w:rsid w:val="769F1173"/>
    <w:rsid w:val="769F76FA"/>
    <w:rsid w:val="76A0EE9D"/>
    <w:rsid w:val="76AB1E22"/>
    <w:rsid w:val="76AF146C"/>
    <w:rsid w:val="76B052CA"/>
    <w:rsid w:val="76B17072"/>
    <w:rsid w:val="76B2B276"/>
    <w:rsid w:val="76BCF570"/>
    <w:rsid w:val="76CB6521"/>
    <w:rsid w:val="76CE6253"/>
    <w:rsid w:val="76D414FF"/>
    <w:rsid w:val="76D480DF"/>
    <w:rsid w:val="76D78016"/>
    <w:rsid w:val="76D84A07"/>
    <w:rsid w:val="76D9E45C"/>
    <w:rsid w:val="76DA098F"/>
    <w:rsid w:val="76DDEDDD"/>
    <w:rsid w:val="76DEB692"/>
    <w:rsid w:val="76E22F8F"/>
    <w:rsid w:val="76E2EFE2"/>
    <w:rsid w:val="76E6A7E8"/>
    <w:rsid w:val="76E771EE"/>
    <w:rsid w:val="76F7CE0C"/>
    <w:rsid w:val="76FD36D3"/>
    <w:rsid w:val="76FE4BFD"/>
    <w:rsid w:val="770B70EB"/>
    <w:rsid w:val="770DE230"/>
    <w:rsid w:val="771080D6"/>
    <w:rsid w:val="7715B5BE"/>
    <w:rsid w:val="7717E8ED"/>
    <w:rsid w:val="771B133D"/>
    <w:rsid w:val="7720C021"/>
    <w:rsid w:val="7722D39C"/>
    <w:rsid w:val="7723FA8A"/>
    <w:rsid w:val="7726F15C"/>
    <w:rsid w:val="7728AD1A"/>
    <w:rsid w:val="772BF6AE"/>
    <w:rsid w:val="772C241C"/>
    <w:rsid w:val="773203C6"/>
    <w:rsid w:val="7737D2FC"/>
    <w:rsid w:val="773A4256"/>
    <w:rsid w:val="77401B1B"/>
    <w:rsid w:val="77453D53"/>
    <w:rsid w:val="77465599"/>
    <w:rsid w:val="7748D8EB"/>
    <w:rsid w:val="7752600B"/>
    <w:rsid w:val="7753C381"/>
    <w:rsid w:val="7755E813"/>
    <w:rsid w:val="775AF650"/>
    <w:rsid w:val="775B8B84"/>
    <w:rsid w:val="775EA12D"/>
    <w:rsid w:val="775F25D5"/>
    <w:rsid w:val="776A9D8D"/>
    <w:rsid w:val="776BC7E6"/>
    <w:rsid w:val="776D56C6"/>
    <w:rsid w:val="776EB8F7"/>
    <w:rsid w:val="776F83C7"/>
    <w:rsid w:val="77700CFF"/>
    <w:rsid w:val="77739FCF"/>
    <w:rsid w:val="7776EF90"/>
    <w:rsid w:val="77772025"/>
    <w:rsid w:val="777E63EF"/>
    <w:rsid w:val="7780B832"/>
    <w:rsid w:val="778A1847"/>
    <w:rsid w:val="778C597E"/>
    <w:rsid w:val="778CD871"/>
    <w:rsid w:val="778EC0B6"/>
    <w:rsid w:val="77905B4F"/>
    <w:rsid w:val="7794BB81"/>
    <w:rsid w:val="77963E12"/>
    <w:rsid w:val="7799ACBB"/>
    <w:rsid w:val="779BCD38"/>
    <w:rsid w:val="779E0453"/>
    <w:rsid w:val="77A08E7F"/>
    <w:rsid w:val="77A10075"/>
    <w:rsid w:val="77A28FA1"/>
    <w:rsid w:val="77A8AA98"/>
    <w:rsid w:val="77A9C131"/>
    <w:rsid w:val="77AAEAB9"/>
    <w:rsid w:val="77AB8EFA"/>
    <w:rsid w:val="77AF9A0F"/>
    <w:rsid w:val="77B448E9"/>
    <w:rsid w:val="77B7AF8C"/>
    <w:rsid w:val="77B8FA1A"/>
    <w:rsid w:val="77BDF0A5"/>
    <w:rsid w:val="77C0457E"/>
    <w:rsid w:val="77C09834"/>
    <w:rsid w:val="77C0F0F5"/>
    <w:rsid w:val="77C595DF"/>
    <w:rsid w:val="77C72A8C"/>
    <w:rsid w:val="77CE9291"/>
    <w:rsid w:val="77CEE14C"/>
    <w:rsid w:val="77D2B4D6"/>
    <w:rsid w:val="77D4786E"/>
    <w:rsid w:val="77D5C370"/>
    <w:rsid w:val="77D80307"/>
    <w:rsid w:val="77E43D7F"/>
    <w:rsid w:val="77E688E1"/>
    <w:rsid w:val="77EBF420"/>
    <w:rsid w:val="77EE1EF0"/>
    <w:rsid w:val="77FA29A0"/>
    <w:rsid w:val="7801FBE8"/>
    <w:rsid w:val="780E9029"/>
    <w:rsid w:val="780EE293"/>
    <w:rsid w:val="78132492"/>
    <w:rsid w:val="78166677"/>
    <w:rsid w:val="7816A0F1"/>
    <w:rsid w:val="7818BB9A"/>
    <w:rsid w:val="7819155C"/>
    <w:rsid w:val="781D1BCB"/>
    <w:rsid w:val="781DA185"/>
    <w:rsid w:val="7820056F"/>
    <w:rsid w:val="7820611C"/>
    <w:rsid w:val="7825720E"/>
    <w:rsid w:val="782B3AD4"/>
    <w:rsid w:val="782BC6A0"/>
    <w:rsid w:val="782C6112"/>
    <w:rsid w:val="782D7B80"/>
    <w:rsid w:val="782E8405"/>
    <w:rsid w:val="7831215B"/>
    <w:rsid w:val="783505F1"/>
    <w:rsid w:val="783937A2"/>
    <w:rsid w:val="783E5929"/>
    <w:rsid w:val="783F7B51"/>
    <w:rsid w:val="78403A9E"/>
    <w:rsid w:val="78479BAC"/>
    <w:rsid w:val="7849A372"/>
    <w:rsid w:val="7849CF77"/>
    <w:rsid w:val="784C62A2"/>
    <w:rsid w:val="784C94D0"/>
    <w:rsid w:val="784F5E9A"/>
    <w:rsid w:val="78523A95"/>
    <w:rsid w:val="78539A4A"/>
    <w:rsid w:val="78559ABC"/>
    <w:rsid w:val="785ACD93"/>
    <w:rsid w:val="785DED95"/>
    <w:rsid w:val="78614237"/>
    <w:rsid w:val="7865E557"/>
    <w:rsid w:val="78666B33"/>
    <w:rsid w:val="78684AD7"/>
    <w:rsid w:val="786ABB9F"/>
    <w:rsid w:val="786BC307"/>
    <w:rsid w:val="78773098"/>
    <w:rsid w:val="7877629B"/>
    <w:rsid w:val="78793AD6"/>
    <w:rsid w:val="787B5F25"/>
    <w:rsid w:val="787BFE67"/>
    <w:rsid w:val="78828B39"/>
    <w:rsid w:val="789F5C5E"/>
    <w:rsid w:val="78A1E39C"/>
    <w:rsid w:val="78A1F74B"/>
    <w:rsid w:val="78A43B52"/>
    <w:rsid w:val="78A6A551"/>
    <w:rsid w:val="78A8A9E6"/>
    <w:rsid w:val="78AF5CE5"/>
    <w:rsid w:val="78B01CDC"/>
    <w:rsid w:val="78BCB560"/>
    <w:rsid w:val="78BD657C"/>
    <w:rsid w:val="78BDB8D3"/>
    <w:rsid w:val="78BEA369"/>
    <w:rsid w:val="78BF28E5"/>
    <w:rsid w:val="78C591AC"/>
    <w:rsid w:val="78C65242"/>
    <w:rsid w:val="78C65C29"/>
    <w:rsid w:val="78C7BC50"/>
    <w:rsid w:val="78C8C2DB"/>
    <w:rsid w:val="78CA738B"/>
    <w:rsid w:val="78CF89B2"/>
    <w:rsid w:val="78D04003"/>
    <w:rsid w:val="78D42FE3"/>
    <w:rsid w:val="78D52A87"/>
    <w:rsid w:val="78DBB229"/>
    <w:rsid w:val="78DDFD80"/>
    <w:rsid w:val="78E2C7C9"/>
    <w:rsid w:val="78E3F1C4"/>
    <w:rsid w:val="78E4A0AF"/>
    <w:rsid w:val="78E71017"/>
    <w:rsid w:val="78EB8DBA"/>
    <w:rsid w:val="78EC3FA5"/>
    <w:rsid w:val="78F0F8E2"/>
    <w:rsid w:val="78F6CCF1"/>
    <w:rsid w:val="78F83090"/>
    <w:rsid w:val="78FA11EC"/>
    <w:rsid w:val="79001DA8"/>
    <w:rsid w:val="79007F15"/>
    <w:rsid w:val="79008055"/>
    <w:rsid w:val="7904BA9F"/>
    <w:rsid w:val="790EF825"/>
    <w:rsid w:val="791E2178"/>
    <w:rsid w:val="792356A7"/>
    <w:rsid w:val="792BD48D"/>
    <w:rsid w:val="792BF568"/>
    <w:rsid w:val="792EA00F"/>
    <w:rsid w:val="792F8434"/>
    <w:rsid w:val="79307472"/>
    <w:rsid w:val="79347028"/>
    <w:rsid w:val="79403C81"/>
    <w:rsid w:val="79407EEE"/>
    <w:rsid w:val="79467341"/>
    <w:rsid w:val="794E32B4"/>
    <w:rsid w:val="7955E192"/>
    <w:rsid w:val="795936A4"/>
    <w:rsid w:val="795C966F"/>
    <w:rsid w:val="796227A9"/>
    <w:rsid w:val="79663482"/>
    <w:rsid w:val="796F31C6"/>
    <w:rsid w:val="7973DE2F"/>
    <w:rsid w:val="79753BBB"/>
    <w:rsid w:val="7978E5BB"/>
    <w:rsid w:val="7979C4D7"/>
    <w:rsid w:val="7979FB39"/>
    <w:rsid w:val="797AF3DF"/>
    <w:rsid w:val="7980685C"/>
    <w:rsid w:val="7985B4D4"/>
    <w:rsid w:val="798FF6BA"/>
    <w:rsid w:val="7991FFF7"/>
    <w:rsid w:val="7992B216"/>
    <w:rsid w:val="7995F172"/>
    <w:rsid w:val="7996E66D"/>
    <w:rsid w:val="7997D984"/>
    <w:rsid w:val="799AD1E6"/>
    <w:rsid w:val="799B36D1"/>
    <w:rsid w:val="799B65E2"/>
    <w:rsid w:val="799C77E1"/>
    <w:rsid w:val="79A1052F"/>
    <w:rsid w:val="79A15B27"/>
    <w:rsid w:val="79A16356"/>
    <w:rsid w:val="79B45CAE"/>
    <w:rsid w:val="79B938BE"/>
    <w:rsid w:val="79BD3239"/>
    <w:rsid w:val="79C005EC"/>
    <w:rsid w:val="79C6260C"/>
    <w:rsid w:val="79C6CF45"/>
    <w:rsid w:val="79C916BA"/>
    <w:rsid w:val="79CACD54"/>
    <w:rsid w:val="79D0617A"/>
    <w:rsid w:val="79D5B000"/>
    <w:rsid w:val="79E49366"/>
    <w:rsid w:val="79EA9468"/>
    <w:rsid w:val="79EB0C65"/>
    <w:rsid w:val="79F04D48"/>
    <w:rsid w:val="79F38389"/>
    <w:rsid w:val="79F45420"/>
    <w:rsid w:val="79F75A9D"/>
    <w:rsid w:val="79FA2FBC"/>
    <w:rsid w:val="79FE8A5F"/>
    <w:rsid w:val="79FEB97C"/>
    <w:rsid w:val="79FEBDC0"/>
    <w:rsid w:val="79FEDA56"/>
    <w:rsid w:val="79FF3DC4"/>
    <w:rsid w:val="7A049B0E"/>
    <w:rsid w:val="7A08A46E"/>
    <w:rsid w:val="7A0E7BCC"/>
    <w:rsid w:val="7A0EC3B0"/>
    <w:rsid w:val="7A0F1798"/>
    <w:rsid w:val="7A0F3B58"/>
    <w:rsid w:val="7A10455C"/>
    <w:rsid w:val="7A177B32"/>
    <w:rsid w:val="7A1A1EF8"/>
    <w:rsid w:val="7A1C82D7"/>
    <w:rsid w:val="7A1D6A5D"/>
    <w:rsid w:val="7A1E2BC0"/>
    <w:rsid w:val="7A1EB41B"/>
    <w:rsid w:val="7A1EFC19"/>
    <w:rsid w:val="7A1FB733"/>
    <w:rsid w:val="7A210416"/>
    <w:rsid w:val="7A228823"/>
    <w:rsid w:val="7A25CF4A"/>
    <w:rsid w:val="7A29C4D8"/>
    <w:rsid w:val="7A2F400C"/>
    <w:rsid w:val="7A3466A4"/>
    <w:rsid w:val="7A34E434"/>
    <w:rsid w:val="7A3A5907"/>
    <w:rsid w:val="7A3F8EB0"/>
    <w:rsid w:val="7A41AE18"/>
    <w:rsid w:val="7A474F5A"/>
    <w:rsid w:val="7A48F689"/>
    <w:rsid w:val="7A4F8725"/>
    <w:rsid w:val="7A4FFAB5"/>
    <w:rsid w:val="7A50864C"/>
    <w:rsid w:val="7A51D9DC"/>
    <w:rsid w:val="7A5539A0"/>
    <w:rsid w:val="7A5A41D9"/>
    <w:rsid w:val="7A5B6E02"/>
    <w:rsid w:val="7A632501"/>
    <w:rsid w:val="7A63535F"/>
    <w:rsid w:val="7A694121"/>
    <w:rsid w:val="7A6F1094"/>
    <w:rsid w:val="7A76B9F6"/>
    <w:rsid w:val="7A7FBD2C"/>
    <w:rsid w:val="7A82A574"/>
    <w:rsid w:val="7A83084C"/>
    <w:rsid w:val="7A854BD7"/>
    <w:rsid w:val="7A875B5E"/>
    <w:rsid w:val="7A911B8E"/>
    <w:rsid w:val="7A94AE34"/>
    <w:rsid w:val="7A9BBB87"/>
    <w:rsid w:val="7A9CD175"/>
    <w:rsid w:val="7AA5CA91"/>
    <w:rsid w:val="7AAB3C65"/>
    <w:rsid w:val="7AB29A49"/>
    <w:rsid w:val="7AB2AF5D"/>
    <w:rsid w:val="7AB43323"/>
    <w:rsid w:val="7AB5BCEE"/>
    <w:rsid w:val="7AB6D8FF"/>
    <w:rsid w:val="7AB9EBCF"/>
    <w:rsid w:val="7ABCFF1B"/>
    <w:rsid w:val="7ABF91E7"/>
    <w:rsid w:val="7AC2E0A6"/>
    <w:rsid w:val="7AC69185"/>
    <w:rsid w:val="7AC6E3CA"/>
    <w:rsid w:val="7ACD38B6"/>
    <w:rsid w:val="7AD87F2D"/>
    <w:rsid w:val="7ADE0200"/>
    <w:rsid w:val="7AE23BAC"/>
    <w:rsid w:val="7AE394FB"/>
    <w:rsid w:val="7AECA8B2"/>
    <w:rsid w:val="7AEE3D4C"/>
    <w:rsid w:val="7AF2DC8A"/>
    <w:rsid w:val="7AF94054"/>
    <w:rsid w:val="7B0054C1"/>
    <w:rsid w:val="7B00E73D"/>
    <w:rsid w:val="7B02D753"/>
    <w:rsid w:val="7B0BC59F"/>
    <w:rsid w:val="7B0CC8D2"/>
    <w:rsid w:val="7B155281"/>
    <w:rsid w:val="7B183934"/>
    <w:rsid w:val="7B18961C"/>
    <w:rsid w:val="7B1B6151"/>
    <w:rsid w:val="7B2137DE"/>
    <w:rsid w:val="7B2168E8"/>
    <w:rsid w:val="7B219EC8"/>
    <w:rsid w:val="7B287682"/>
    <w:rsid w:val="7B2D6924"/>
    <w:rsid w:val="7B2E944D"/>
    <w:rsid w:val="7B30FFA0"/>
    <w:rsid w:val="7B32B2DA"/>
    <w:rsid w:val="7B3805CF"/>
    <w:rsid w:val="7B397742"/>
    <w:rsid w:val="7B3B415A"/>
    <w:rsid w:val="7B3D0F8E"/>
    <w:rsid w:val="7B3D751F"/>
    <w:rsid w:val="7B3E7B1C"/>
    <w:rsid w:val="7B46BFB8"/>
    <w:rsid w:val="7B474D3D"/>
    <w:rsid w:val="7B4C71FE"/>
    <w:rsid w:val="7B582F4F"/>
    <w:rsid w:val="7B5A0512"/>
    <w:rsid w:val="7B5BADBC"/>
    <w:rsid w:val="7B5CC094"/>
    <w:rsid w:val="7B62E4D3"/>
    <w:rsid w:val="7B67E3EF"/>
    <w:rsid w:val="7B6BD18F"/>
    <w:rsid w:val="7B6CC69E"/>
    <w:rsid w:val="7B6D16D3"/>
    <w:rsid w:val="7B742102"/>
    <w:rsid w:val="7B758D60"/>
    <w:rsid w:val="7B7AA11C"/>
    <w:rsid w:val="7B7B07D4"/>
    <w:rsid w:val="7B7B7BB4"/>
    <w:rsid w:val="7B83AD68"/>
    <w:rsid w:val="7B83C1B6"/>
    <w:rsid w:val="7B87C974"/>
    <w:rsid w:val="7B882E55"/>
    <w:rsid w:val="7B8A2DEF"/>
    <w:rsid w:val="7B8DCDE0"/>
    <w:rsid w:val="7B95F440"/>
    <w:rsid w:val="7B99668C"/>
    <w:rsid w:val="7B9E6FBC"/>
    <w:rsid w:val="7B9E8196"/>
    <w:rsid w:val="7BA268BA"/>
    <w:rsid w:val="7BA274F1"/>
    <w:rsid w:val="7BA3C777"/>
    <w:rsid w:val="7BA611E9"/>
    <w:rsid w:val="7BA87043"/>
    <w:rsid w:val="7BA9809B"/>
    <w:rsid w:val="7BAA5AEF"/>
    <w:rsid w:val="7BAD1A92"/>
    <w:rsid w:val="7BB21EDC"/>
    <w:rsid w:val="7BBD0331"/>
    <w:rsid w:val="7BBD419A"/>
    <w:rsid w:val="7BBD53F1"/>
    <w:rsid w:val="7BBE4014"/>
    <w:rsid w:val="7BC27620"/>
    <w:rsid w:val="7BC64025"/>
    <w:rsid w:val="7BC84435"/>
    <w:rsid w:val="7BD25221"/>
    <w:rsid w:val="7BD52CCA"/>
    <w:rsid w:val="7BD5B88D"/>
    <w:rsid w:val="7BDC922F"/>
    <w:rsid w:val="7BDCA065"/>
    <w:rsid w:val="7BE046BA"/>
    <w:rsid w:val="7BE1554E"/>
    <w:rsid w:val="7BE361E6"/>
    <w:rsid w:val="7BEBB244"/>
    <w:rsid w:val="7BED8DC1"/>
    <w:rsid w:val="7BF046EC"/>
    <w:rsid w:val="7BF2C93E"/>
    <w:rsid w:val="7BF58B0F"/>
    <w:rsid w:val="7BF6AC2E"/>
    <w:rsid w:val="7BF80858"/>
    <w:rsid w:val="7BF8A6B7"/>
    <w:rsid w:val="7BF9122A"/>
    <w:rsid w:val="7BF9174E"/>
    <w:rsid w:val="7BFC7FBB"/>
    <w:rsid w:val="7BFF1ACA"/>
    <w:rsid w:val="7BFF5D38"/>
    <w:rsid w:val="7C04A388"/>
    <w:rsid w:val="7C09BF19"/>
    <w:rsid w:val="7C0ADA7D"/>
    <w:rsid w:val="7C137A69"/>
    <w:rsid w:val="7C13FAD0"/>
    <w:rsid w:val="7C1D9467"/>
    <w:rsid w:val="7C1DFED6"/>
    <w:rsid w:val="7C27BD65"/>
    <w:rsid w:val="7C3360C4"/>
    <w:rsid w:val="7C36660C"/>
    <w:rsid w:val="7C384212"/>
    <w:rsid w:val="7C3D68CF"/>
    <w:rsid w:val="7C486AAB"/>
    <w:rsid w:val="7C4997F1"/>
    <w:rsid w:val="7C4A29A8"/>
    <w:rsid w:val="7C4D6B7E"/>
    <w:rsid w:val="7C5291FA"/>
    <w:rsid w:val="7C5653AB"/>
    <w:rsid w:val="7C5929F7"/>
    <w:rsid w:val="7C64BD0E"/>
    <w:rsid w:val="7C6601C5"/>
    <w:rsid w:val="7C6A4B52"/>
    <w:rsid w:val="7C6EC51B"/>
    <w:rsid w:val="7C72A88A"/>
    <w:rsid w:val="7C7459CF"/>
    <w:rsid w:val="7C75B9AC"/>
    <w:rsid w:val="7C777B0C"/>
    <w:rsid w:val="7C786016"/>
    <w:rsid w:val="7C7D8207"/>
    <w:rsid w:val="7C82B7AF"/>
    <w:rsid w:val="7C861228"/>
    <w:rsid w:val="7C864FA5"/>
    <w:rsid w:val="7C8AA97F"/>
    <w:rsid w:val="7C927274"/>
    <w:rsid w:val="7C931158"/>
    <w:rsid w:val="7C958BEF"/>
    <w:rsid w:val="7C981FB2"/>
    <w:rsid w:val="7C99C815"/>
    <w:rsid w:val="7C9CB672"/>
    <w:rsid w:val="7C9DB5D4"/>
    <w:rsid w:val="7C9E519C"/>
    <w:rsid w:val="7C9F16F5"/>
    <w:rsid w:val="7CA088FF"/>
    <w:rsid w:val="7CAB2EB5"/>
    <w:rsid w:val="7CB00439"/>
    <w:rsid w:val="7CB24742"/>
    <w:rsid w:val="7CB43D6F"/>
    <w:rsid w:val="7CBD35CC"/>
    <w:rsid w:val="7CC796A9"/>
    <w:rsid w:val="7CCC6602"/>
    <w:rsid w:val="7CD10985"/>
    <w:rsid w:val="7CD5C39F"/>
    <w:rsid w:val="7CDAAF0D"/>
    <w:rsid w:val="7CDBC0C9"/>
    <w:rsid w:val="7CDDCC56"/>
    <w:rsid w:val="7CDE1601"/>
    <w:rsid w:val="7CE18E58"/>
    <w:rsid w:val="7CE5B785"/>
    <w:rsid w:val="7CE7B530"/>
    <w:rsid w:val="7CED61B5"/>
    <w:rsid w:val="7CEF3579"/>
    <w:rsid w:val="7CF3CB58"/>
    <w:rsid w:val="7CFDC52C"/>
    <w:rsid w:val="7CFFF3B6"/>
    <w:rsid w:val="7D0414F0"/>
    <w:rsid w:val="7D0A2777"/>
    <w:rsid w:val="7D12BE78"/>
    <w:rsid w:val="7D1E4A1B"/>
    <w:rsid w:val="7D1E9867"/>
    <w:rsid w:val="7D23A048"/>
    <w:rsid w:val="7D2749FB"/>
    <w:rsid w:val="7D292368"/>
    <w:rsid w:val="7D2A5B35"/>
    <w:rsid w:val="7D2D179E"/>
    <w:rsid w:val="7D3549B6"/>
    <w:rsid w:val="7D38E775"/>
    <w:rsid w:val="7D3D1B02"/>
    <w:rsid w:val="7D400D06"/>
    <w:rsid w:val="7D43CD17"/>
    <w:rsid w:val="7D49C75D"/>
    <w:rsid w:val="7D4AED99"/>
    <w:rsid w:val="7D4C37C6"/>
    <w:rsid w:val="7D4D207D"/>
    <w:rsid w:val="7D4E393E"/>
    <w:rsid w:val="7D52BC5C"/>
    <w:rsid w:val="7D57D3CC"/>
    <w:rsid w:val="7D6074BA"/>
    <w:rsid w:val="7D629C35"/>
    <w:rsid w:val="7D62D508"/>
    <w:rsid w:val="7D650CD3"/>
    <w:rsid w:val="7D692164"/>
    <w:rsid w:val="7D6B9378"/>
    <w:rsid w:val="7D6CB5A1"/>
    <w:rsid w:val="7D6CD429"/>
    <w:rsid w:val="7D6F8CF0"/>
    <w:rsid w:val="7D784C46"/>
    <w:rsid w:val="7D7AC97A"/>
    <w:rsid w:val="7D7C0A1F"/>
    <w:rsid w:val="7D7FBF08"/>
    <w:rsid w:val="7D869628"/>
    <w:rsid w:val="7D8971EA"/>
    <w:rsid w:val="7D8D3DEE"/>
    <w:rsid w:val="7D8E9406"/>
    <w:rsid w:val="7D914ECB"/>
    <w:rsid w:val="7D98C7E2"/>
    <w:rsid w:val="7D9F0599"/>
    <w:rsid w:val="7DA8C6E5"/>
    <w:rsid w:val="7DAC8FED"/>
    <w:rsid w:val="7DB05C06"/>
    <w:rsid w:val="7DB2B6AE"/>
    <w:rsid w:val="7DB3118C"/>
    <w:rsid w:val="7DB3B446"/>
    <w:rsid w:val="7DB72BDE"/>
    <w:rsid w:val="7DB9AE0B"/>
    <w:rsid w:val="7DC71D27"/>
    <w:rsid w:val="7DC85729"/>
    <w:rsid w:val="7DCBD9AE"/>
    <w:rsid w:val="7DD28DE2"/>
    <w:rsid w:val="7DD60EC4"/>
    <w:rsid w:val="7DD6900F"/>
    <w:rsid w:val="7DD6C33C"/>
    <w:rsid w:val="7DD6E9DF"/>
    <w:rsid w:val="7DD806D8"/>
    <w:rsid w:val="7DD95D76"/>
    <w:rsid w:val="7DDC0768"/>
    <w:rsid w:val="7DDDAD37"/>
    <w:rsid w:val="7DE56B44"/>
    <w:rsid w:val="7DEACF60"/>
    <w:rsid w:val="7DEFD667"/>
    <w:rsid w:val="7DF64CEF"/>
    <w:rsid w:val="7DF82A8A"/>
    <w:rsid w:val="7DFA24DE"/>
    <w:rsid w:val="7DFB0F59"/>
    <w:rsid w:val="7DFC3B86"/>
    <w:rsid w:val="7DFE106B"/>
    <w:rsid w:val="7DFF7470"/>
    <w:rsid w:val="7E07BEFE"/>
    <w:rsid w:val="7E096414"/>
    <w:rsid w:val="7E09E5C3"/>
    <w:rsid w:val="7E0B976A"/>
    <w:rsid w:val="7E0C6B90"/>
    <w:rsid w:val="7E136E34"/>
    <w:rsid w:val="7E14E9C5"/>
    <w:rsid w:val="7E21B07B"/>
    <w:rsid w:val="7E22C387"/>
    <w:rsid w:val="7E269E39"/>
    <w:rsid w:val="7E2D577F"/>
    <w:rsid w:val="7E3CC991"/>
    <w:rsid w:val="7E493C1E"/>
    <w:rsid w:val="7E4DC780"/>
    <w:rsid w:val="7E4F4D45"/>
    <w:rsid w:val="7E4FC33D"/>
    <w:rsid w:val="7E50D0C2"/>
    <w:rsid w:val="7E513AF4"/>
    <w:rsid w:val="7E53E1E4"/>
    <w:rsid w:val="7E5A9177"/>
    <w:rsid w:val="7E5E01EA"/>
    <w:rsid w:val="7E5F6F0A"/>
    <w:rsid w:val="7E6E9A75"/>
    <w:rsid w:val="7E700399"/>
    <w:rsid w:val="7E704F19"/>
    <w:rsid w:val="7E71DD74"/>
    <w:rsid w:val="7E752D63"/>
    <w:rsid w:val="7E75EEAB"/>
    <w:rsid w:val="7E771087"/>
    <w:rsid w:val="7E79B0B3"/>
    <w:rsid w:val="7E7B08C0"/>
    <w:rsid w:val="7E7F1BAB"/>
    <w:rsid w:val="7E817449"/>
    <w:rsid w:val="7E84CB79"/>
    <w:rsid w:val="7E85E90E"/>
    <w:rsid w:val="7E8959B6"/>
    <w:rsid w:val="7E89DA31"/>
    <w:rsid w:val="7E8A693B"/>
    <w:rsid w:val="7E8C09E3"/>
    <w:rsid w:val="7E8FA9C0"/>
    <w:rsid w:val="7E9B01C3"/>
    <w:rsid w:val="7EA0F7CE"/>
    <w:rsid w:val="7EA6B331"/>
    <w:rsid w:val="7EAB2003"/>
    <w:rsid w:val="7EAB4C37"/>
    <w:rsid w:val="7EAC426C"/>
    <w:rsid w:val="7EAD06E0"/>
    <w:rsid w:val="7EAE9DBD"/>
    <w:rsid w:val="7EAEC996"/>
    <w:rsid w:val="7EB389A7"/>
    <w:rsid w:val="7EBD1494"/>
    <w:rsid w:val="7EBD6DF9"/>
    <w:rsid w:val="7EC11A63"/>
    <w:rsid w:val="7EC16709"/>
    <w:rsid w:val="7EC3DA96"/>
    <w:rsid w:val="7ECE49BA"/>
    <w:rsid w:val="7ED21F14"/>
    <w:rsid w:val="7ED3EF6C"/>
    <w:rsid w:val="7ED9B68F"/>
    <w:rsid w:val="7EE2235B"/>
    <w:rsid w:val="7EE32CE8"/>
    <w:rsid w:val="7EE35881"/>
    <w:rsid w:val="7EE3CF5C"/>
    <w:rsid w:val="7EE5871E"/>
    <w:rsid w:val="7EEBF6D6"/>
    <w:rsid w:val="7EFB7ED2"/>
    <w:rsid w:val="7EFD68D8"/>
    <w:rsid w:val="7F0361B1"/>
    <w:rsid w:val="7F075708"/>
    <w:rsid w:val="7F08B057"/>
    <w:rsid w:val="7F0E6129"/>
    <w:rsid w:val="7F1018D2"/>
    <w:rsid w:val="7F1639CE"/>
    <w:rsid w:val="7F1DEF5E"/>
    <w:rsid w:val="7F2C9CAB"/>
    <w:rsid w:val="7F380C50"/>
    <w:rsid w:val="7F3C18E6"/>
    <w:rsid w:val="7F3C5BF0"/>
    <w:rsid w:val="7F3D1C6E"/>
    <w:rsid w:val="7F3D9556"/>
    <w:rsid w:val="7F3EA509"/>
    <w:rsid w:val="7F4084F9"/>
    <w:rsid w:val="7F40F257"/>
    <w:rsid w:val="7F40FCEA"/>
    <w:rsid w:val="7F49F4DD"/>
    <w:rsid w:val="7F4DAA8C"/>
    <w:rsid w:val="7F50B726"/>
    <w:rsid w:val="7F54B472"/>
    <w:rsid w:val="7F56FE7D"/>
    <w:rsid w:val="7F57B575"/>
    <w:rsid w:val="7F59D8DE"/>
    <w:rsid w:val="7F5A8B80"/>
    <w:rsid w:val="7F5C573C"/>
    <w:rsid w:val="7F5C8D3F"/>
    <w:rsid w:val="7F5CA20D"/>
    <w:rsid w:val="7F5D6AE0"/>
    <w:rsid w:val="7F6056DB"/>
    <w:rsid w:val="7F624192"/>
    <w:rsid w:val="7F66F4F2"/>
    <w:rsid w:val="7F6B65B2"/>
    <w:rsid w:val="7F6BA0A1"/>
    <w:rsid w:val="7F6D8B62"/>
    <w:rsid w:val="7F72B1A4"/>
    <w:rsid w:val="7F7374EA"/>
    <w:rsid w:val="7F73C718"/>
    <w:rsid w:val="7F7C3B5C"/>
    <w:rsid w:val="7F7C5B98"/>
    <w:rsid w:val="7F7C62E1"/>
    <w:rsid w:val="7F7CC676"/>
    <w:rsid w:val="7F7E5A9A"/>
    <w:rsid w:val="7F7FC9DF"/>
    <w:rsid w:val="7F806576"/>
    <w:rsid w:val="7F81D986"/>
    <w:rsid w:val="7F81E1B4"/>
    <w:rsid w:val="7F831D5D"/>
    <w:rsid w:val="7F85B64F"/>
    <w:rsid w:val="7F85CC9F"/>
    <w:rsid w:val="7F8C873A"/>
    <w:rsid w:val="7F92FA08"/>
    <w:rsid w:val="7F94E459"/>
    <w:rsid w:val="7F97D0B7"/>
    <w:rsid w:val="7F9BDAAD"/>
    <w:rsid w:val="7FA4A9CB"/>
    <w:rsid w:val="7FA91482"/>
    <w:rsid w:val="7FA9E266"/>
    <w:rsid w:val="7FAC1349"/>
    <w:rsid w:val="7FB735B6"/>
    <w:rsid w:val="7FB83FF3"/>
    <w:rsid w:val="7FBC054F"/>
    <w:rsid w:val="7FBC91A3"/>
    <w:rsid w:val="7FBE8F3A"/>
    <w:rsid w:val="7FC0D8AB"/>
    <w:rsid w:val="7FC2336E"/>
    <w:rsid w:val="7FC50252"/>
    <w:rsid w:val="7FD0351B"/>
    <w:rsid w:val="7FD72779"/>
    <w:rsid w:val="7FD9BE84"/>
    <w:rsid w:val="7FDBFB61"/>
    <w:rsid w:val="7FE54911"/>
    <w:rsid w:val="7FE753D1"/>
    <w:rsid w:val="7FE85613"/>
    <w:rsid w:val="7FE89B85"/>
    <w:rsid w:val="7FF2B738"/>
    <w:rsid w:val="7FFF68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AC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r-FR" w:eastAsia="en-IE" w:bidi="ar-SA"/>
      </w:rPr>
    </w:rPrDefault>
    <w:pPrDefault/>
  </w:docDefaults>
  <w:latentStyles w:defLockedState="0" w:defUIPriority="99" w:defSemiHidden="0" w:defUnhideWhenUsed="0" w:defQFormat="0" w:count="371">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qFormat="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aliases w:val="ftref,Footnotes refss,Fussnota,Footnote symbol,Footnote reference number,Times 10 Point,Exposant 3 Point,EN Footnote Reference,note TESI,Footnote Reference Superscript,Zchn Zchn,Footnote number,Footnote Reference Number,BVI fnr,Re,R"/>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semiHidden/>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Fußnotentext Char,o"/>
    <w:basedOn w:val="Normal"/>
    <w:link w:val="FootnoteTextChar"/>
    <w:uiPriority w:val="99"/>
    <w:qFormat/>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rsid w:val="05F8CE33"/>
    <w:pPr>
      <w:keepNext w:val="0"/>
      <w:spacing w:before="0"/>
    </w:pPr>
    <w:rPr>
      <w:b w:val="0"/>
      <w:bCs/>
      <w:smallCaps w:val="0"/>
    </w:rPr>
  </w:style>
  <w:style w:type="paragraph" w:customStyle="1" w:styleId="NumPar2">
    <w:name w:val="NumPar 2"/>
    <w:basedOn w:val="Heading2"/>
    <w:uiPriority w:val="20"/>
    <w:qFormat/>
    <w:rsid w:val="05F8CE33"/>
    <w:pPr>
      <w:keepNext w:val="0"/>
    </w:pPr>
    <w:rPr>
      <w:b w:val="0"/>
      <w:bCs/>
    </w:rPr>
  </w:style>
  <w:style w:type="paragraph" w:customStyle="1" w:styleId="NumPar3">
    <w:name w:val="NumPar 3"/>
    <w:basedOn w:val="Heading3"/>
    <w:uiPriority w:val="20"/>
    <w:qFormat/>
    <w:rsid w:val="05F8CE33"/>
    <w:pPr>
      <w:keepNext w:val="0"/>
    </w:pPr>
    <w:rPr>
      <w:i w:val="0"/>
      <w:iCs/>
    </w:rPr>
  </w:style>
  <w:style w:type="paragraph" w:customStyle="1" w:styleId="NumPar4">
    <w:name w:val="NumPar 4"/>
    <w:basedOn w:val="Heading4"/>
    <w:uiPriority w:val="20"/>
    <w:qFormat/>
    <w:rsid w:val="05F8CE33"/>
    <w:pPr>
      <w:keepNext w:val="0"/>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link w:val="Text1Char"/>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aliases w:val="Document Table"/>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aliases w:val="Normal bullet 2,Bullet list,List Paragraph1,Numbered List,1st level - Bullet List Paragraph,Lettre d'introduction,Paragrafo elenco,List Paragraph11,Normal bullet 21,List Paragraph111,Bullet list1,Dot pt,No Spacing1,Indicator Text,Bullet 1"/>
    <w:basedOn w:val="Normal"/>
    <w:link w:val="ListParagraphChar"/>
    <w:uiPriority w:val="34"/>
    <w:qFormat/>
    <w:rsid w:val="00846E24"/>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rsid w:val="00846E24"/>
    <w:rPr>
      <w:sz w:val="20"/>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locked/>
    <w:rsid w:val="00846E24"/>
    <w:rPr>
      <w:rFonts w:asciiTheme="minorHAnsi" w:eastAsiaTheme="minorHAnsi" w:hAnsiTheme="minorHAnsi" w:cstheme="minorBidi"/>
      <w:kern w:val="2"/>
      <w:sz w:val="22"/>
      <w:szCs w:val="22"/>
      <w:lang w:val="fr-FR" w:eastAsia="en-US"/>
      <w14:ligatures w14:val="standardContextual"/>
    </w:rPr>
  </w:style>
  <w:style w:type="character" w:styleId="CommentReference">
    <w:name w:val="annotation reference"/>
    <w:basedOn w:val="DefaultParagraphFont"/>
    <w:uiPriority w:val="99"/>
    <w:semiHidden/>
    <w:unhideWhenUsed/>
    <w:rsid w:val="00846E24"/>
    <w:rPr>
      <w:sz w:val="16"/>
      <w:szCs w:val="16"/>
    </w:rPr>
  </w:style>
  <w:style w:type="paragraph" w:styleId="CommentText">
    <w:name w:val="annotation text"/>
    <w:basedOn w:val="Normal"/>
    <w:link w:val="CommentTextChar"/>
    <w:uiPriority w:val="99"/>
    <w:unhideWhenUsed/>
    <w:rsid w:val="00846E24"/>
    <w:pPr>
      <w:spacing w:after="160"/>
      <w:jc w:val="left"/>
    </w:pPr>
    <w:rPr>
      <w:rFonts w:asciiTheme="minorHAnsi" w:eastAsiaTheme="minorHAnsi"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846E24"/>
    <w:rPr>
      <w:rFonts w:asciiTheme="minorHAnsi" w:eastAsiaTheme="minorHAnsi" w:hAnsiTheme="minorHAnsi" w:cstheme="minorBidi"/>
      <w:kern w:val="2"/>
      <w:sz w:val="20"/>
      <w:lang w:val="fr-FR" w:eastAsia="en-US"/>
      <w14:ligatures w14:val="standardContextual"/>
    </w:rPr>
  </w:style>
  <w:style w:type="paragraph" w:styleId="CommentSubject">
    <w:name w:val="annotation subject"/>
    <w:basedOn w:val="CommentText"/>
    <w:next w:val="CommentText"/>
    <w:link w:val="CommentSubjectChar"/>
    <w:uiPriority w:val="99"/>
    <w:semiHidden/>
    <w:rsid w:val="00846E24"/>
    <w:pPr>
      <w:spacing w:after="240"/>
      <w:jc w:val="both"/>
    </w:pPr>
    <w:rPr>
      <w:rFonts w:ascii="Times New Roman" w:eastAsia="Times New Roman" w:hAnsi="Times New Roman" w:cs="Times New Roman"/>
      <w:b/>
      <w:bCs/>
      <w:kern w:val="0"/>
      <w:lang w:eastAsia="en-IE"/>
      <w14:ligatures w14:val="none"/>
    </w:rPr>
  </w:style>
  <w:style w:type="character" w:customStyle="1" w:styleId="CommentSubjectChar">
    <w:name w:val="Comment Subject Char"/>
    <w:basedOn w:val="CommentTextChar"/>
    <w:link w:val="CommentSubject"/>
    <w:uiPriority w:val="99"/>
    <w:semiHidden/>
    <w:rsid w:val="00846E24"/>
    <w:rPr>
      <w:rFonts w:asciiTheme="minorHAnsi" w:eastAsiaTheme="minorHAnsi" w:hAnsiTheme="minorHAnsi" w:cstheme="minorBidi"/>
      <w:b/>
      <w:bCs/>
      <w:kern w:val="2"/>
      <w:sz w:val="20"/>
      <w:lang w:val="fr-FR" w:eastAsia="en-US"/>
      <w14:ligatures w14:val="standardContextual"/>
    </w:rPr>
  </w:style>
  <w:style w:type="paragraph" w:styleId="Revision">
    <w:name w:val="Revision"/>
    <w:hidden/>
    <w:uiPriority w:val="99"/>
    <w:semiHidden/>
    <w:rsid w:val="0062250F"/>
  </w:style>
  <w:style w:type="character" w:styleId="Hyperlink">
    <w:name w:val="Hyperlink"/>
    <w:basedOn w:val="DefaultParagraphFont"/>
    <w:uiPriority w:val="99"/>
    <w:rsid w:val="00353B59"/>
    <w:rPr>
      <w:color w:val="0563C1" w:themeColor="hyperlink"/>
      <w:u w:val="single"/>
    </w:rPr>
  </w:style>
  <w:style w:type="character" w:customStyle="1" w:styleId="UnresolvedMention1">
    <w:name w:val="Unresolved Mention1"/>
    <w:basedOn w:val="DefaultParagraphFont"/>
    <w:uiPriority w:val="99"/>
    <w:semiHidden/>
    <w:unhideWhenUsed/>
    <w:rsid w:val="00353B59"/>
    <w:rPr>
      <w:color w:val="605E5C"/>
      <w:shd w:val="clear" w:color="auto" w:fill="E1DFDD"/>
    </w:rPr>
  </w:style>
  <w:style w:type="paragraph" w:customStyle="1" w:styleId="Default">
    <w:name w:val="Default"/>
    <w:rsid w:val="002F7995"/>
    <w:pPr>
      <w:autoSpaceDE w:val="0"/>
      <w:autoSpaceDN w:val="0"/>
      <w:adjustRightInd w:val="0"/>
    </w:pPr>
    <w:rPr>
      <w:rFonts w:ascii="Arial" w:hAnsi="Arial" w:cs="Arial"/>
      <w:color w:val="000000"/>
      <w:szCs w:val="24"/>
    </w:rPr>
  </w:style>
  <w:style w:type="character" w:customStyle="1" w:styleId="CommentTextChar1">
    <w:name w:val="Comment Text Char1"/>
    <w:basedOn w:val="DefaultParagraphFont"/>
    <w:uiPriority w:val="99"/>
    <w:rsid w:val="00C30FC1"/>
    <w:rPr>
      <w:lang w:val="fr-FR" w:eastAsia="en-US"/>
    </w:rPr>
  </w:style>
  <w:style w:type="character" w:customStyle="1" w:styleId="normaltextrun">
    <w:name w:val="normaltextrun"/>
    <w:basedOn w:val="DefaultParagraphFont"/>
    <w:rsid w:val="008A152E"/>
  </w:style>
  <w:style w:type="character" w:styleId="FollowedHyperlink">
    <w:name w:val="FollowedHyperlink"/>
    <w:basedOn w:val="DefaultParagraphFont"/>
    <w:uiPriority w:val="99"/>
    <w:semiHidden/>
    <w:rsid w:val="006774EF"/>
    <w:rPr>
      <w:color w:val="954F72" w:themeColor="followedHyperlink"/>
      <w:u w:val="single"/>
    </w:rPr>
  </w:style>
  <w:style w:type="character" w:customStyle="1" w:styleId="Mention1">
    <w:name w:val="Mention1"/>
    <w:basedOn w:val="DefaultParagraphFont"/>
    <w:uiPriority w:val="99"/>
    <w:unhideWhenUsed/>
    <w:rsid w:val="00487537"/>
    <w:rPr>
      <w:color w:val="2B579A"/>
      <w:shd w:val="clear" w:color="auto" w:fill="E1DFDD"/>
    </w:rPr>
  </w:style>
  <w:style w:type="character" w:customStyle="1" w:styleId="Marker">
    <w:name w:val="Marker"/>
    <w:basedOn w:val="DefaultParagraphFont"/>
    <w:rsid w:val="00F84713"/>
    <w:rPr>
      <w:color w:val="0000FF"/>
      <w:shd w:val="clear" w:color="auto" w:fill="auto"/>
    </w:rPr>
  </w:style>
  <w:style w:type="paragraph" w:customStyle="1" w:styleId="Pagedecouverture">
    <w:name w:val="Page de couverture"/>
    <w:basedOn w:val="Normal"/>
    <w:next w:val="Normal"/>
    <w:link w:val="PagedecouvertureChar"/>
    <w:rsid w:val="00F84713"/>
    <w:pPr>
      <w:spacing w:after="0"/>
    </w:pPr>
    <w:rPr>
      <w:rFonts w:eastAsiaTheme="minorHAnsi"/>
      <w:szCs w:val="22"/>
      <w:lang w:eastAsia="en-US"/>
    </w:rPr>
  </w:style>
  <w:style w:type="paragraph" w:customStyle="1" w:styleId="Typedudocument">
    <w:name w:val="Type du document"/>
    <w:basedOn w:val="Normal"/>
    <w:next w:val="Normal"/>
    <w:rsid w:val="00F84713"/>
    <w:pPr>
      <w:spacing w:before="360" w:after="0"/>
      <w:jc w:val="center"/>
    </w:pPr>
    <w:rPr>
      <w:rFonts w:eastAsiaTheme="minorHAnsi"/>
      <w:b/>
      <w:szCs w:val="22"/>
      <w:lang w:eastAsia="en-US"/>
    </w:rPr>
  </w:style>
  <w:style w:type="paragraph" w:customStyle="1" w:styleId="Titreobjet">
    <w:name w:val="Titre objet"/>
    <w:basedOn w:val="Normal"/>
    <w:next w:val="Normal"/>
    <w:rsid w:val="00F84713"/>
    <w:pPr>
      <w:spacing w:before="360" w:after="360"/>
      <w:jc w:val="center"/>
    </w:pPr>
    <w:rPr>
      <w:rFonts w:eastAsiaTheme="minorHAnsi"/>
      <w:b/>
      <w:szCs w:val="22"/>
      <w:lang w:eastAsia="en-US"/>
    </w:rPr>
  </w:style>
  <w:style w:type="paragraph" w:customStyle="1" w:styleId="FooterCoverPage">
    <w:name w:val="Footer Cover Page"/>
    <w:basedOn w:val="Normal"/>
    <w:link w:val="FooterCoverPageChar"/>
    <w:rsid w:val="00F84713"/>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F84713"/>
    <w:rPr>
      <w:rFonts w:eastAsiaTheme="minorHAnsi"/>
      <w:szCs w:val="22"/>
      <w:lang w:eastAsia="en-US"/>
    </w:rPr>
  </w:style>
  <w:style w:type="character" w:customStyle="1" w:styleId="FooterCoverPageChar">
    <w:name w:val="Footer Cover Page Char"/>
    <w:basedOn w:val="PagedecouvertureChar"/>
    <w:link w:val="FooterCoverPage"/>
    <w:rsid w:val="00F84713"/>
    <w:rPr>
      <w:rFonts w:eastAsiaTheme="minorHAnsi"/>
      <w:szCs w:val="22"/>
      <w:lang w:eastAsia="en-US"/>
    </w:rPr>
  </w:style>
  <w:style w:type="paragraph" w:customStyle="1" w:styleId="FooterSensitivity">
    <w:name w:val="Footer Sensitivity"/>
    <w:basedOn w:val="Normal"/>
    <w:link w:val="FooterSensitivityChar"/>
    <w:rsid w:val="00F8471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F84713"/>
    <w:rPr>
      <w:rFonts w:eastAsiaTheme="minorHAnsi"/>
      <w:b/>
      <w:sz w:val="32"/>
      <w:szCs w:val="22"/>
      <w:lang w:eastAsia="en-US"/>
    </w:rPr>
  </w:style>
  <w:style w:type="paragraph" w:customStyle="1" w:styleId="HeaderCoverPage">
    <w:name w:val="Header Cover Page"/>
    <w:basedOn w:val="Normal"/>
    <w:link w:val="HeaderCoverPageChar"/>
    <w:rsid w:val="00F84713"/>
    <w:pPr>
      <w:tabs>
        <w:tab w:val="center" w:pos="4535"/>
        <w:tab w:val="right" w:pos="9071"/>
      </w:tabs>
      <w:spacing w:after="120"/>
    </w:pPr>
  </w:style>
  <w:style w:type="character" w:customStyle="1" w:styleId="HeaderCoverPageChar">
    <w:name w:val="Header Cover Page Char"/>
    <w:basedOn w:val="PagedecouvertureChar"/>
    <w:link w:val="HeaderCoverPage"/>
    <w:rsid w:val="00F84713"/>
    <w:rPr>
      <w:rFonts w:eastAsiaTheme="minorHAnsi"/>
      <w:szCs w:val="22"/>
      <w:lang w:eastAsia="en-US"/>
    </w:rPr>
  </w:style>
  <w:style w:type="paragraph" w:customStyle="1" w:styleId="HeaderSensitivity">
    <w:name w:val="Header Sensitivity"/>
    <w:basedOn w:val="Normal"/>
    <w:link w:val="HeaderSensitivityChar"/>
    <w:rsid w:val="00F84713"/>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F84713"/>
    <w:rPr>
      <w:rFonts w:eastAsiaTheme="minorHAnsi"/>
      <w:b/>
      <w:sz w:val="32"/>
      <w:szCs w:val="22"/>
      <w:lang w:eastAsia="en-US"/>
    </w:rPr>
  </w:style>
  <w:style w:type="paragraph" w:customStyle="1" w:styleId="HeaderSensitivityRight">
    <w:name w:val="Header Sensitivity Right"/>
    <w:basedOn w:val="Normal"/>
    <w:link w:val="HeaderSensitivityRightChar"/>
    <w:rsid w:val="00D5502D"/>
    <w:pPr>
      <w:spacing w:after="120"/>
      <w:jc w:val="right"/>
    </w:pPr>
    <w:rPr>
      <w:sz w:val="28"/>
    </w:rPr>
  </w:style>
  <w:style w:type="character" w:customStyle="1" w:styleId="HeaderSensitivityRightChar">
    <w:name w:val="Header Sensitivity Right Char"/>
    <w:basedOn w:val="PagedecouvertureChar"/>
    <w:link w:val="HeaderSensitivityRight"/>
    <w:rsid w:val="00F84713"/>
    <w:rPr>
      <w:rFonts w:eastAsiaTheme="minorHAnsi"/>
      <w:sz w:val="28"/>
      <w:szCs w:val="22"/>
      <w:lang w:eastAsia="en-US"/>
    </w:rPr>
  </w:style>
  <w:style w:type="paragraph" w:customStyle="1" w:styleId="Style1">
    <w:name w:val="Style1"/>
    <w:basedOn w:val="Text1"/>
    <w:link w:val="Style1Char"/>
    <w:qFormat/>
    <w:rsid w:val="006776BA"/>
    <w:pPr>
      <w:numPr>
        <w:ilvl w:val="1"/>
        <w:numId w:val="24"/>
      </w:numPr>
      <w:spacing w:before="240"/>
      <w:ind w:left="284" w:hanging="284"/>
    </w:pPr>
    <w:rPr>
      <w:b/>
      <w:bCs/>
      <w:color w:val="000000" w:themeColor="text1"/>
      <w:szCs w:val="24"/>
    </w:rPr>
  </w:style>
  <w:style w:type="character" w:customStyle="1" w:styleId="Text1Char">
    <w:name w:val="Text 1 Char"/>
    <w:basedOn w:val="DefaultParagraphFont"/>
    <w:link w:val="Text1"/>
    <w:rsid w:val="006776BA"/>
  </w:style>
  <w:style w:type="character" w:customStyle="1" w:styleId="Style1Char">
    <w:name w:val="Style1 Char"/>
    <w:basedOn w:val="Text1Char"/>
    <w:link w:val="Style1"/>
    <w:rsid w:val="006776BA"/>
    <w:rPr>
      <w:b/>
      <w:bCs/>
      <w:color w:val="000000" w:themeColor="text1"/>
      <w:szCs w:val="24"/>
      <w:lang w:val="fr-FR"/>
    </w:rPr>
  </w:style>
  <w:style w:type="paragraph" w:customStyle="1" w:styleId="Style2">
    <w:name w:val="Style2"/>
    <w:basedOn w:val="ListParagraph"/>
    <w:link w:val="Style2Char"/>
    <w:qFormat/>
    <w:rsid w:val="006776BA"/>
    <w:pPr>
      <w:numPr>
        <w:numId w:val="26"/>
      </w:numPr>
      <w:spacing w:after="0" w:line="240" w:lineRule="auto"/>
    </w:pPr>
    <w:rPr>
      <w:rFonts w:ascii="Times New Roman" w:hAnsi="Times New Roman" w:cs="Times New Roman"/>
      <w:kern w:val="0"/>
      <w:sz w:val="24"/>
      <w:szCs w:val="24"/>
    </w:rPr>
  </w:style>
  <w:style w:type="character" w:customStyle="1" w:styleId="Style2Char">
    <w:name w:val="Style2 Char"/>
    <w:basedOn w:val="DefaultParagraphFont"/>
    <w:link w:val="Style2"/>
    <w:rsid w:val="006776BA"/>
    <w:rPr>
      <w:rFonts w:eastAsiaTheme="minorHAnsi"/>
      <w:szCs w:val="24"/>
      <w:lang w:val="fr-FR" w:eastAsia="en-US"/>
      <w14:ligatures w14:val="standardContextual"/>
    </w:rPr>
  </w:style>
  <w:style w:type="paragraph" w:customStyle="1" w:styleId="Style3">
    <w:name w:val="Style3"/>
    <w:basedOn w:val="Text1"/>
    <w:link w:val="Style3Char"/>
    <w:qFormat/>
    <w:rsid w:val="006776BA"/>
    <w:pPr>
      <w:numPr>
        <w:numId w:val="23"/>
      </w:numPr>
      <w:tabs>
        <w:tab w:val="left" w:pos="1134"/>
      </w:tabs>
      <w:spacing w:before="360" w:after="360" w:line="257" w:lineRule="auto"/>
    </w:pPr>
    <w:rPr>
      <w:b/>
      <w:bCs/>
      <w:color w:val="000000" w:themeColor="text1"/>
      <w:szCs w:val="24"/>
    </w:rPr>
  </w:style>
  <w:style w:type="character" w:customStyle="1" w:styleId="Style3Char">
    <w:name w:val="Style3 Char"/>
    <w:basedOn w:val="Text1Char"/>
    <w:link w:val="Style3"/>
    <w:rsid w:val="006776BA"/>
    <w:rPr>
      <w:b/>
      <w:bCs/>
      <w:color w:val="000000" w:themeColor="text1"/>
      <w:szCs w:val="24"/>
      <w:lang w:val="fr-FR"/>
    </w:rPr>
  </w:style>
  <w:style w:type="paragraph" w:customStyle="1" w:styleId="Style4">
    <w:name w:val="Style4"/>
    <w:basedOn w:val="Style1"/>
    <w:link w:val="Style4Char"/>
    <w:qFormat/>
    <w:rsid w:val="006776BA"/>
    <w:pPr>
      <w:numPr>
        <w:numId w:val="23"/>
      </w:numPr>
    </w:pPr>
  </w:style>
  <w:style w:type="character" w:customStyle="1" w:styleId="Style4Char">
    <w:name w:val="Style4 Char"/>
    <w:basedOn w:val="Style1Char"/>
    <w:link w:val="Style4"/>
    <w:rsid w:val="006776BA"/>
    <w:rPr>
      <w:b/>
      <w:bCs/>
      <w:color w:val="000000" w:themeColor="text1"/>
      <w:szCs w:val="24"/>
      <w:lang w:val="fr-FR"/>
    </w:rPr>
  </w:style>
  <w:style w:type="paragraph" w:customStyle="1" w:styleId="Style5">
    <w:name w:val="Style5"/>
    <w:basedOn w:val="Text1"/>
    <w:link w:val="Style5Char"/>
    <w:qFormat/>
    <w:rsid w:val="006776BA"/>
    <w:pPr>
      <w:spacing w:after="0" w:line="257" w:lineRule="auto"/>
      <w:ind w:left="0"/>
    </w:pPr>
    <w:rPr>
      <w:sz w:val="18"/>
      <w:szCs w:val="14"/>
    </w:rPr>
  </w:style>
  <w:style w:type="character" w:customStyle="1" w:styleId="Style5Char">
    <w:name w:val="Style5 Char"/>
    <w:basedOn w:val="Text1Char"/>
    <w:link w:val="Style5"/>
    <w:rsid w:val="006776BA"/>
    <w:rPr>
      <w:sz w:val="18"/>
      <w:szCs w:val="14"/>
    </w:rPr>
  </w:style>
  <w:style w:type="paragraph" w:customStyle="1" w:styleId="Disclaimer">
    <w:name w:val="Disclaimer"/>
    <w:basedOn w:val="Normal"/>
    <w:rsid w:val="00D5502D"/>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D5502D"/>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D5502D"/>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D5502D"/>
    <w:pPr>
      <w:spacing w:after="0" w:line="276" w:lineRule="auto"/>
      <w:ind w:left="5103"/>
      <w:jc w:val="left"/>
    </w:pPr>
    <w:rPr>
      <w:rFonts w:eastAsiaTheme="minorHAnsi"/>
      <w:i/>
      <w:sz w:val="28"/>
      <w:szCs w:val="22"/>
      <w:lang w:eastAsia="en-US"/>
    </w:rPr>
  </w:style>
  <w:style w:type="character" w:customStyle="1" w:styleId="UnresolvedMention">
    <w:name w:val="Unresolved Mention"/>
    <w:basedOn w:val="DefaultParagraphFont"/>
    <w:uiPriority w:val="99"/>
    <w:semiHidden/>
    <w:unhideWhenUsed/>
    <w:rsid w:val="00C32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675">
      <w:bodyDiv w:val="1"/>
      <w:marLeft w:val="0"/>
      <w:marRight w:val="0"/>
      <w:marTop w:val="0"/>
      <w:marBottom w:val="0"/>
      <w:divBdr>
        <w:top w:val="none" w:sz="0" w:space="0" w:color="auto"/>
        <w:left w:val="none" w:sz="0" w:space="0" w:color="auto"/>
        <w:bottom w:val="none" w:sz="0" w:space="0" w:color="auto"/>
        <w:right w:val="none" w:sz="0" w:space="0" w:color="auto"/>
      </w:divBdr>
      <w:divsChild>
        <w:div w:id="220748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908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018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10296">
      <w:bodyDiv w:val="1"/>
      <w:marLeft w:val="0"/>
      <w:marRight w:val="0"/>
      <w:marTop w:val="0"/>
      <w:marBottom w:val="0"/>
      <w:divBdr>
        <w:top w:val="none" w:sz="0" w:space="0" w:color="auto"/>
        <w:left w:val="none" w:sz="0" w:space="0" w:color="auto"/>
        <w:bottom w:val="none" w:sz="0" w:space="0" w:color="auto"/>
        <w:right w:val="none" w:sz="0" w:space="0" w:color="auto"/>
      </w:divBdr>
      <w:divsChild>
        <w:div w:id="442919873">
          <w:marLeft w:val="720"/>
          <w:marRight w:val="0"/>
          <w:marTop w:val="0"/>
          <w:marBottom w:val="120"/>
          <w:divBdr>
            <w:top w:val="none" w:sz="0" w:space="0" w:color="auto"/>
            <w:left w:val="none" w:sz="0" w:space="0" w:color="auto"/>
            <w:bottom w:val="none" w:sz="0" w:space="0" w:color="auto"/>
            <w:right w:val="none" w:sz="0" w:space="0" w:color="auto"/>
          </w:divBdr>
        </w:div>
      </w:divsChild>
    </w:div>
    <w:div w:id="49772170">
      <w:bodyDiv w:val="1"/>
      <w:marLeft w:val="0"/>
      <w:marRight w:val="0"/>
      <w:marTop w:val="0"/>
      <w:marBottom w:val="0"/>
      <w:divBdr>
        <w:top w:val="none" w:sz="0" w:space="0" w:color="auto"/>
        <w:left w:val="none" w:sz="0" w:space="0" w:color="auto"/>
        <w:bottom w:val="none" w:sz="0" w:space="0" w:color="auto"/>
        <w:right w:val="none" w:sz="0" w:space="0" w:color="auto"/>
      </w:divBdr>
    </w:div>
    <w:div w:id="100801257">
      <w:bodyDiv w:val="1"/>
      <w:marLeft w:val="0"/>
      <w:marRight w:val="0"/>
      <w:marTop w:val="0"/>
      <w:marBottom w:val="0"/>
      <w:divBdr>
        <w:top w:val="none" w:sz="0" w:space="0" w:color="auto"/>
        <w:left w:val="none" w:sz="0" w:space="0" w:color="auto"/>
        <w:bottom w:val="none" w:sz="0" w:space="0" w:color="auto"/>
        <w:right w:val="none" w:sz="0" w:space="0" w:color="auto"/>
      </w:divBdr>
    </w:div>
    <w:div w:id="100809226">
      <w:bodyDiv w:val="1"/>
      <w:marLeft w:val="0"/>
      <w:marRight w:val="0"/>
      <w:marTop w:val="0"/>
      <w:marBottom w:val="0"/>
      <w:divBdr>
        <w:top w:val="none" w:sz="0" w:space="0" w:color="auto"/>
        <w:left w:val="none" w:sz="0" w:space="0" w:color="auto"/>
        <w:bottom w:val="none" w:sz="0" w:space="0" w:color="auto"/>
        <w:right w:val="none" w:sz="0" w:space="0" w:color="auto"/>
      </w:divBdr>
    </w:div>
    <w:div w:id="109513383">
      <w:bodyDiv w:val="1"/>
      <w:marLeft w:val="0"/>
      <w:marRight w:val="0"/>
      <w:marTop w:val="0"/>
      <w:marBottom w:val="0"/>
      <w:divBdr>
        <w:top w:val="none" w:sz="0" w:space="0" w:color="auto"/>
        <w:left w:val="none" w:sz="0" w:space="0" w:color="auto"/>
        <w:bottom w:val="none" w:sz="0" w:space="0" w:color="auto"/>
        <w:right w:val="none" w:sz="0" w:space="0" w:color="auto"/>
      </w:divBdr>
    </w:div>
    <w:div w:id="135534250">
      <w:bodyDiv w:val="1"/>
      <w:marLeft w:val="0"/>
      <w:marRight w:val="0"/>
      <w:marTop w:val="0"/>
      <w:marBottom w:val="0"/>
      <w:divBdr>
        <w:top w:val="none" w:sz="0" w:space="0" w:color="auto"/>
        <w:left w:val="none" w:sz="0" w:space="0" w:color="auto"/>
        <w:bottom w:val="none" w:sz="0" w:space="0" w:color="auto"/>
        <w:right w:val="none" w:sz="0" w:space="0" w:color="auto"/>
      </w:divBdr>
    </w:div>
    <w:div w:id="169569858">
      <w:bodyDiv w:val="1"/>
      <w:marLeft w:val="0"/>
      <w:marRight w:val="0"/>
      <w:marTop w:val="0"/>
      <w:marBottom w:val="0"/>
      <w:divBdr>
        <w:top w:val="none" w:sz="0" w:space="0" w:color="auto"/>
        <w:left w:val="none" w:sz="0" w:space="0" w:color="auto"/>
        <w:bottom w:val="none" w:sz="0" w:space="0" w:color="auto"/>
        <w:right w:val="none" w:sz="0" w:space="0" w:color="auto"/>
      </w:divBdr>
    </w:div>
    <w:div w:id="177938180">
      <w:bodyDiv w:val="1"/>
      <w:marLeft w:val="0"/>
      <w:marRight w:val="0"/>
      <w:marTop w:val="0"/>
      <w:marBottom w:val="0"/>
      <w:divBdr>
        <w:top w:val="none" w:sz="0" w:space="0" w:color="auto"/>
        <w:left w:val="none" w:sz="0" w:space="0" w:color="auto"/>
        <w:bottom w:val="none" w:sz="0" w:space="0" w:color="auto"/>
        <w:right w:val="none" w:sz="0" w:space="0" w:color="auto"/>
      </w:divBdr>
    </w:div>
    <w:div w:id="252860962">
      <w:bodyDiv w:val="1"/>
      <w:marLeft w:val="0"/>
      <w:marRight w:val="0"/>
      <w:marTop w:val="0"/>
      <w:marBottom w:val="0"/>
      <w:divBdr>
        <w:top w:val="none" w:sz="0" w:space="0" w:color="auto"/>
        <w:left w:val="none" w:sz="0" w:space="0" w:color="auto"/>
        <w:bottom w:val="none" w:sz="0" w:space="0" w:color="auto"/>
        <w:right w:val="none" w:sz="0" w:space="0" w:color="auto"/>
      </w:divBdr>
      <w:divsChild>
        <w:div w:id="821628372">
          <w:marLeft w:val="547"/>
          <w:marRight w:val="0"/>
          <w:marTop w:val="0"/>
          <w:marBottom w:val="0"/>
          <w:divBdr>
            <w:top w:val="none" w:sz="0" w:space="0" w:color="auto"/>
            <w:left w:val="none" w:sz="0" w:space="0" w:color="auto"/>
            <w:bottom w:val="none" w:sz="0" w:space="0" w:color="auto"/>
            <w:right w:val="none" w:sz="0" w:space="0" w:color="auto"/>
          </w:divBdr>
        </w:div>
      </w:divsChild>
    </w:div>
    <w:div w:id="257032439">
      <w:bodyDiv w:val="1"/>
      <w:marLeft w:val="0"/>
      <w:marRight w:val="0"/>
      <w:marTop w:val="0"/>
      <w:marBottom w:val="0"/>
      <w:divBdr>
        <w:top w:val="none" w:sz="0" w:space="0" w:color="auto"/>
        <w:left w:val="none" w:sz="0" w:space="0" w:color="auto"/>
        <w:bottom w:val="none" w:sz="0" w:space="0" w:color="auto"/>
        <w:right w:val="none" w:sz="0" w:space="0" w:color="auto"/>
      </w:divBdr>
    </w:div>
    <w:div w:id="263921774">
      <w:bodyDiv w:val="1"/>
      <w:marLeft w:val="0"/>
      <w:marRight w:val="0"/>
      <w:marTop w:val="0"/>
      <w:marBottom w:val="0"/>
      <w:divBdr>
        <w:top w:val="none" w:sz="0" w:space="0" w:color="auto"/>
        <w:left w:val="none" w:sz="0" w:space="0" w:color="auto"/>
        <w:bottom w:val="none" w:sz="0" w:space="0" w:color="auto"/>
        <w:right w:val="none" w:sz="0" w:space="0" w:color="auto"/>
      </w:divBdr>
    </w:div>
    <w:div w:id="276641046">
      <w:bodyDiv w:val="1"/>
      <w:marLeft w:val="0"/>
      <w:marRight w:val="0"/>
      <w:marTop w:val="0"/>
      <w:marBottom w:val="0"/>
      <w:divBdr>
        <w:top w:val="none" w:sz="0" w:space="0" w:color="auto"/>
        <w:left w:val="none" w:sz="0" w:space="0" w:color="auto"/>
        <w:bottom w:val="none" w:sz="0" w:space="0" w:color="auto"/>
        <w:right w:val="none" w:sz="0" w:space="0" w:color="auto"/>
      </w:divBdr>
    </w:div>
    <w:div w:id="287129074">
      <w:bodyDiv w:val="1"/>
      <w:marLeft w:val="0"/>
      <w:marRight w:val="0"/>
      <w:marTop w:val="0"/>
      <w:marBottom w:val="0"/>
      <w:divBdr>
        <w:top w:val="none" w:sz="0" w:space="0" w:color="auto"/>
        <w:left w:val="none" w:sz="0" w:space="0" w:color="auto"/>
        <w:bottom w:val="none" w:sz="0" w:space="0" w:color="auto"/>
        <w:right w:val="none" w:sz="0" w:space="0" w:color="auto"/>
      </w:divBdr>
    </w:div>
    <w:div w:id="305356322">
      <w:bodyDiv w:val="1"/>
      <w:marLeft w:val="0"/>
      <w:marRight w:val="0"/>
      <w:marTop w:val="0"/>
      <w:marBottom w:val="0"/>
      <w:divBdr>
        <w:top w:val="none" w:sz="0" w:space="0" w:color="auto"/>
        <w:left w:val="none" w:sz="0" w:space="0" w:color="auto"/>
        <w:bottom w:val="none" w:sz="0" w:space="0" w:color="auto"/>
        <w:right w:val="none" w:sz="0" w:space="0" w:color="auto"/>
      </w:divBdr>
      <w:divsChild>
        <w:div w:id="112794149">
          <w:marLeft w:val="720"/>
          <w:marRight w:val="0"/>
          <w:marTop w:val="0"/>
          <w:marBottom w:val="120"/>
          <w:divBdr>
            <w:top w:val="none" w:sz="0" w:space="0" w:color="auto"/>
            <w:left w:val="none" w:sz="0" w:space="0" w:color="auto"/>
            <w:bottom w:val="none" w:sz="0" w:space="0" w:color="auto"/>
            <w:right w:val="none" w:sz="0" w:space="0" w:color="auto"/>
          </w:divBdr>
        </w:div>
        <w:div w:id="163669597">
          <w:marLeft w:val="720"/>
          <w:marRight w:val="0"/>
          <w:marTop w:val="0"/>
          <w:marBottom w:val="120"/>
          <w:divBdr>
            <w:top w:val="none" w:sz="0" w:space="0" w:color="auto"/>
            <w:left w:val="none" w:sz="0" w:space="0" w:color="auto"/>
            <w:bottom w:val="none" w:sz="0" w:space="0" w:color="auto"/>
            <w:right w:val="none" w:sz="0" w:space="0" w:color="auto"/>
          </w:divBdr>
        </w:div>
        <w:div w:id="1514958504">
          <w:marLeft w:val="720"/>
          <w:marRight w:val="0"/>
          <w:marTop w:val="0"/>
          <w:marBottom w:val="120"/>
          <w:divBdr>
            <w:top w:val="none" w:sz="0" w:space="0" w:color="auto"/>
            <w:left w:val="none" w:sz="0" w:space="0" w:color="auto"/>
            <w:bottom w:val="none" w:sz="0" w:space="0" w:color="auto"/>
            <w:right w:val="none" w:sz="0" w:space="0" w:color="auto"/>
          </w:divBdr>
        </w:div>
      </w:divsChild>
    </w:div>
    <w:div w:id="351541477">
      <w:bodyDiv w:val="1"/>
      <w:marLeft w:val="0"/>
      <w:marRight w:val="0"/>
      <w:marTop w:val="0"/>
      <w:marBottom w:val="0"/>
      <w:divBdr>
        <w:top w:val="none" w:sz="0" w:space="0" w:color="auto"/>
        <w:left w:val="none" w:sz="0" w:space="0" w:color="auto"/>
        <w:bottom w:val="none" w:sz="0" w:space="0" w:color="auto"/>
        <w:right w:val="none" w:sz="0" w:space="0" w:color="auto"/>
      </w:divBdr>
    </w:div>
    <w:div w:id="425806257">
      <w:bodyDiv w:val="1"/>
      <w:marLeft w:val="0"/>
      <w:marRight w:val="0"/>
      <w:marTop w:val="0"/>
      <w:marBottom w:val="0"/>
      <w:divBdr>
        <w:top w:val="none" w:sz="0" w:space="0" w:color="auto"/>
        <w:left w:val="none" w:sz="0" w:space="0" w:color="auto"/>
        <w:bottom w:val="none" w:sz="0" w:space="0" w:color="auto"/>
        <w:right w:val="none" w:sz="0" w:space="0" w:color="auto"/>
      </w:divBdr>
    </w:div>
    <w:div w:id="519858629">
      <w:bodyDiv w:val="1"/>
      <w:marLeft w:val="0"/>
      <w:marRight w:val="0"/>
      <w:marTop w:val="0"/>
      <w:marBottom w:val="0"/>
      <w:divBdr>
        <w:top w:val="none" w:sz="0" w:space="0" w:color="auto"/>
        <w:left w:val="none" w:sz="0" w:space="0" w:color="auto"/>
        <w:bottom w:val="none" w:sz="0" w:space="0" w:color="auto"/>
        <w:right w:val="none" w:sz="0" w:space="0" w:color="auto"/>
      </w:divBdr>
    </w:div>
    <w:div w:id="687026018">
      <w:bodyDiv w:val="1"/>
      <w:marLeft w:val="0"/>
      <w:marRight w:val="0"/>
      <w:marTop w:val="0"/>
      <w:marBottom w:val="0"/>
      <w:divBdr>
        <w:top w:val="none" w:sz="0" w:space="0" w:color="auto"/>
        <w:left w:val="none" w:sz="0" w:space="0" w:color="auto"/>
        <w:bottom w:val="none" w:sz="0" w:space="0" w:color="auto"/>
        <w:right w:val="none" w:sz="0" w:space="0" w:color="auto"/>
      </w:divBdr>
    </w:div>
    <w:div w:id="688799466">
      <w:bodyDiv w:val="1"/>
      <w:marLeft w:val="0"/>
      <w:marRight w:val="0"/>
      <w:marTop w:val="0"/>
      <w:marBottom w:val="0"/>
      <w:divBdr>
        <w:top w:val="none" w:sz="0" w:space="0" w:color="auto"/>
        <w:left w:val="none" w:sz="0" w:space="0" w:color="auto"/>
        <w:bottom w:val="none" w:sz="0" w:space="0" w:color="auto"/>
        <w:right w:val="none" w:sz="0" w:space="0" w:color="auto"/>
      </w:divBdr>
    </w:div>
    <w:div w:id="712197776">
      <w:bodyDiv w:val="1"/>
      <w:marLeft w:val="0"/>
      <w:marRight w:val="0"/>
      <w:marTop w:val="0"/>
      <w:marBottom w:val="0"/>
      <w:divBdr>
        <w:top w:val="none" w:sz="0" w:space="0" w:color="auto"/>
        <w:left w:val="none" w:sz="0" w:space="0" w:color="auto"/>
        <w:bottom w:val="none" w:sz="0" w:space="0" w:color="auto"/>
        <w:right w:val="none" w:sz="0" w:space="0" w:color="auto"/>
      </w:divBdr>
    </w:div>
    <w:div w:id="716245667">
      <w:bodyDiv w:val="1"/>
      <w:marLeft w:val="0"/>
      <w:marRight w:val="0"/>
      <w:marTop w:val="0"/>
      <w:marBottom w:val="0"/>
      <w:divBdr>
        <w:top w:val="none" w:sz="0" w:space="0" w:color="auto"/>
        <w:left w:val="none" w:sz="0" w:space="0" w:color="auto"/>
        <w:bottom w:val="none" w:sz="0" w:space="0" w:color="auto"/>
        <w:right w:val="none" w:sz="0" w:space="0" w:color="auto"/>
      </w:divBdr>
    </w:div>
    <w:div w:id="717242441">
      <w:bodyDiv w:val="1"/>
      <w:marLeft w:val="0"/>
      <w:marRight w:val="0"/>
      <w:marTop w:val="0"/>
      <w:marBottom w:val="0"/>
      <w:divBdr>
        <w:top w:val="none" w:sz="0" w:space="0" w:color="auto"/>
        <w:left w:val="none" w:sz="0" w:space="0" w:color="auto"/>
        <w:bottom w:val="none" w:sz="0" w:space="0" w:color="auto"/>
        <w:right w:val="none" w:sz="0" w:space="0" w:color="auto"/>
      </w:divBdr>
    </w:div>
    <w:div w:id="787356225">
      <w:bodyDiv w:val="1"/>
      <w:marLeft w:val="0"/>
      <w:marRight w:val="0"/>
      <w:marTop w:val="0"/>
      <w:marBottom w:val="0"/>
      <w:divBdr>
        <w:top w:val="none" w:sz="0" w:space="0" w:color="auto"/>
        <w:left w:val="none" w:sz="0" w:space="0" w:color="auto"/>
        <w:bottom w:val="none" w:sz="0" w:space="0" w:color="auto"/>
        <w:right w:val="none" w:sz="0" w:space="0" w:color="auto"/>
      </w:divBdr>
    </w:div>
    <w:div w:id="831140185">
      <w:bodyDiv w:val="1"/>
      <w:marLeft w:val="0"/>
      <w:marRight w:val="0"/>
      <w:marTop w:val="0"/>
      <w:marBottom w:val="0"/>
      <w:divBdr>
        <w:top w:val="none" w:sz="0" w:space="0" w:color="auto"/>
        <w:left w:val="none" w:sz="0" w:space="0" w:color="auto"/>
        <w:bottom w:val="none" w:sz="0" w:space="0" w:color="auto"/>
        <w:right w:val="none" w:sz="0" w:space="0" w:color="auto"/>
      </w:divBdr>
    </w:div>
    <w:div w:id="864751952">
      <w:bodyDiv w:val="1"/>
      <w:marLeft w:val="0"/>
      <w:marRight w:val="0"/>
      <w:marTop w:val="0"/>
      <w:marBottom w:val="0"/>
      <w:divBdr>
        <w:top w:val="none" w:sz="0" w:space="0" w:color="auto"/>
        <w:left w:val="none" w:sz="0" w:space="0" w:color="auto"/>
        <w:bottom w:val="none" w:sz="0" w:space="0" w:color="auto"/>
        <w:right w:val="none" w:sz="0" w:space="0" w:color="auto"/>
      </w:divBdr>
    </w:div>
    <w:div w:id="871383939">
      <w:bodyDiv w:val="1"/>
      <w:marLeft w:val="0"/>
      <w:marRight w:val="0"/>
      <w:marTop w:val="0"/>
      <w:marBottom w:val="0"/>
      <w:divBdr>
        <w:top w:val="none" w:sz="0" w:space="0" w:color="auto"/>
        <w:left w:val="none" w:sz="0" w:space="0" w:color="auto"/>
        <w:bottom w:val="none" w:sz="0" w:space="0" w:color="auto"/>
        <w:right w:val="none" w:sz="0" w:space="0" w:color="auto"/>
      </w:divBdr>
      <w:divsChild>
        <w:div w:id="805781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39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152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567973">
      <w:bodyDiv w:val="1"/>
      <w:marLeft w:val="0"/>
      <w:marRight w:val="0"/>
      <w:marTop w:val="0"/>
      <w:marBottom w:val="0"/>
      <w:divBdr>
        <w:top w:val="none" w:sz="0" w:space="0" w:color="auto"/>
        <w:left w:val="none" w:sz="0" w:space="0" w:color="auto"/>
        <w:bottom w:val="none" w:sz="0" w:space="0" w:color="auto"/>
        <w:right w:val="none" w:sz="0" w:space="0" w:color="auto"/>
      </w:divBdr>
    </w:div>
    <w:div w:id="987131270">
      <w:bodyDiv w:val="1"/>
      <w:marLeft w:val="0"/>
      <w:marRight w:val="0"/>
      <w:marTop w:val="0"/>
      <w:marBottom w:val="0"/>
      <w:divBdr>
        <w:top w:val="none" w:sz="0" w:space="0" w:color="auto"/>
        <w:left w:val="none" w:sz="0" w:space="0" w:color="auto"/>
        <w:bottom w:val="none" w:sz="0" w:space="0" w:color="auto"/>
        <w:right w:val="none" w:sz="0" w:space="0" w:color="auto"/>
      </w:divBdr>
    </w:div>
    <w:div w:id="1084572148">
      <w:bodyDiv w:val="1"/>
      <w:marLeft w:val="0"/>
      <w:marRight w:val="0"/>
      <w:marTop w:val="0"/>
      <w:marBottom w:val="0"/>
      <w:divBdr>
        <w:top w:val="none" w:sz="0" w:space="0" w:color="auto"/>
        <w:left w:val="none" w:sz="0" w:space="0" w:color="auto"/>
        <w:bottom w:val="none" w:sz="0" w:space="0" w:color="auto"/>
        <w:right w:val="none" w:sz="0" w:space="0" w:color="auto"/>
      </w:divBdr>
    </w:div>
    <w:div w:id="1085804888">
      <w:bodyDiv w:val="1"/>
      <w:marLeft w:val="0"/>
      <w:marRight w:val="0"/>
      <w:marTop w:val="0"/>
      <w:marBottom w:val="0"/>
      <w:divBdr>
        <w:top w:val="none" w:sz="0" w:space="0" w:color="auto"/>
        <w:left w:val="none" w:sz="0" w:space="0" w:color="auto"/>
        <w:bottom w:val="none" w:sz="0" w:space="0" w:color="auto"/>
        <w:right w:val="none" w:sz="0" w:space="0" w:color="auto"/>
      </w:divBdr>
    </w:div>
    <w:div w:id="1128546435">
      <w:bodyDiv w:val="1"/>
      <w:marLeft w:val="0"/>
      <w:marRight w:val="0"/>
      <w:marTop w:val="0"/>
      <w:marBottom w:val="0"/>
      <w:divBdr>
        <w:top w:val="none" w:sz="0" w:space="0" w:color="auto"/>
        <w:left w:val="none" w:sz="0" w:space="0" w:color="auto"/>
        <w:bottom w:val="none" w:sz="0" w:space="0" w:color="auto"/>
        <w:right w:val="none" w:sz="0" w:space="0" w:color="auto"/>
      </w:divBdr>
    </w:div>
    <w:div w:id="1163471647">
      <w:bodyDiv w:val="1"/>
      <w:marLeft w:val="0"/>
      <w:marRight w:val="0"/>
      <w:marTop w:val="0"/>
      <w:marBottom w:val="0"/>
      <w:divBdr>
        <w:top w:val="none" w:sz="0" w:space="0" w:color="auto"/>
        <w:left w:val="none" w:sz="0" w:space="0" w:color="auto"/>
        <w:bottom w:val="none" w:sz="0" w:space="0" w:color="auto"/>
        <w:right w:val="none" w:sz="0" w:space="0" w:color="auto"/>
      </w:divBdr>
    </w:div>
    <w:div w:id="1175878952">
      <w:bodyDiv w:val="1"/>
      <w:marLeft w:val="0"/>
      <w:marRight w:val="0"/>
      <w:marTop w:val="0"/>
      <w:marBottom w:val="0"/>
      <w:divBdr>
        <w:top w:val="none" w:sz="0" w:space="0" w:color="auto"/>
        <w:left w:val="none" w:sz="0" w:space="0" w:color="auto"/>
        <w:bottom w:val="none" w:sz="0" w:space="0" w:color="auto"/>
        <w:right w:val="none" w:sz="0" w:space="0" w:color="auto"/>
      </w:divBdr>
    </w:div>
    <w:div w:id="1184981012">
      <w:bodyDiv w:val="1"/>
      <w:marLeft w:val="0"/>
      <w:marRight w:val="0"/>
      <w:marTop w:val="0"/>
      <w:marBottom w:val="0"/>
      <w:divBdr>
        <w:top w:val="none" w:sz="0" w:space="0" w:color="auto"/>
        <w:left w:val="none" w:sz="0" w:space="0" w:color="auto"/>
        <w:bottom w:val="none" w:sz="0" w:space="0" w:color="auto"/>
        <w:right w:val="none" w:sz="0" w:space="0" w:color="auto"/>
      </w:divBdr>
    </w:div>
    <w:div w:id="1190334053">
      <w:bodyDiv w:val="1"/>
      <w:marLeft w:val="0"/>
      <w:marRight w:val="0"/>
      <w:marTop w:val="0"/>
      <w:marBottom w:val="0"/>
      <w:divBdr>
        <w:top w:val="none" w:sz="0" w:space="0" w:color="auto"/>
        <w:left w:val="none" w:sz="0" w:space="0" w:color="auto"/>
        <w:bottom w:val="none" w:sz="0" w:space="0" w:color="auto"/>
        <w:right w:val="none" w:sz="0" w:space="0" w:color="auto"/>
      </w:divBdr>
    </w:div>
    <w:div w:id="1207795069">
      <w:bodyDiv w:val="1"/>
      <w:marLeft w:val="0"/>
      <w:marRight w:val="0"/>
      <w:marTop w:val="0"/>
      <w:marBottom w:val="0"/>
      <w:divBdr>
        <w:top w:val="none" w:sz="0" w:space="0" w:color="auto"/>
        <w:left w:val="none" w:sz="0" w:space="0" w:color="auto"/>
        <w:bottom w:val="none" w:sz="0" w:space="0" w:color="auto"/>
        <w:right w:val="none" w:sz="0" w:space="0" w:color="auto"/>
      </w:divBdr>
    </w:div>
    <w:div w:id="1235431807">
      <w:bodyDiv w:val="1"/>
      <w:marLeft w:val="0"/>
      <w:marRight w:val="0"/>
      <w:marTop w:val="0"/>
      <w:marBottom w:val="0"/>
      <w:divBdr>
        <w:top w:val="none" w:sz="0" w:space="0" w:color="auto"/>
        <w:left w:val="none" w:sz="0" w:space="0" w:color="auto"/>
        <w:bottom w:val="none" w:sz="0" w:space="0" w:color="auto"/>
        <w:right w:val="none" w:sz="0" w:space="0" w:color="auto"/>
      </w:divBdr>
    </w:div>
    <w:div w:id="1235966628">
      <w:bodyDiv w:val="1"/>
      <w:marLeft w:val="0"/>
      <w:marRight w:val="0"/>
      <w:marTop w:val="0"/>
      <w:marBottom w:val="0"/>
      <w:divBdr>
        <w:top w:val="none" w:sz="0" w:space="0" w:color="auto"/>
        <w:left w:val="none" w:sz="0" w:space="0" w:color="auto"/>
        <w:bottom w:val="none" w:sz="0" w:space="0" w:color="auto"/>
        <w:right w:val="none" w:sz="0" w:space="0" w:color="auto"/>
      </w:divBdr>
    </w:div>
    <w:div w:id="1240869544">
      <w:bodyDiv w:val="1"/>
      <w:marLeft w:val="0"/>
      <w:marRight w:val="0"/>
      <w:marTop w:val="0"/>
      <w:marBottom w:val="0"/>
      <w:divBdr>
        <w:top w:val="none" w:sz="0" w:space="0" w:color="auto"/>
        <w:left w:val="none" w:sz="0" w:space="0" w:color="auto"/>
        <w:bottom w:val="none" w:sz="0" w:space="0" w:color="auto"/>
        <w:right w:val="none" w:sz="0" w:space="0" w:color="auto"/>
      </w:divBdr>
    </w:div>
    <w:div w:id="1265042520">
      <w:bodyDiv w:val="1"/>
      <w:marLeft w:val="0"/>
      <w:marRight w:val="0"/>
      <w:marTop w:val="0"/>
      <w:marBottom w:val="0"/>
      <w:divBdr>
        <w:top w:val="none" w:sz="0" w:space="0" w:color="auto"/>
        <w:left w:val="none" w:sz="0" w:space="0" w:color="auto"/>
        <w:bottom w:val="none" w:sz="0" w:space="0" w:color="auto"/>
        <w:right w:val="none" w:sz="0" w:space="0" w:color="auto"/>
      </w:divBdr>
    </w:div>
    <w:div w:id="1355423389">
      <w:bodyDiv w:val="1"/>
      <w:marLeft w:val="0"/>
      <w:marRight w:val="0"/>
      <w:marTop w:val="0"/>
      <w:marBottom w:val="0"/>
      <w:divBdr>
        <w:top w:val="none" w:sz="0" w:space="0" w:color="auto"/>
        <w:left w:val="none" w:sz="0" w:space="0" w:color="auto"/>
        <w:bottom w:val="none" w:sz="0" w:space="0" w:color="auto"/>
        <w:right w:val="none" w:sz="0" w:space="0" w:color="auto"/>
      </w:divBdr>
    </w:div>
    <w:div w:id="1363821576">
      <w:bodyDiv w:val="1"/>
      <w:marLeft w:val="0"/>
      <w:marRight w:val="0"/>
      <w:marTop w:val="0"/>
      <w:marBottom w:val="0"/>
      <w:divBdr>
        <w:top w:val="none" w:sz="0" w:space="0" w:color="auto"/>
        <w:left w:val="none" w:sz="0" w:space="0" w:color="auto"/>
        <w:bottom w:val="none" w:sz="0" w:space="0" w:color="auto"/>
        <w:right w:val="none" w:sz="0" w:space="0" w:color="auto"/>
      </w:divBdr>
    </w:div>
    <w:div w:id="1396585459">
      <w:bodyDiv w:val="1"/>
      <w:marLeft w:val="0"/>
      <w:marRight w:val="0"/>
      <w:marTop w:val="0"/>
      <w:marBottom w:val="0"/>
      <w:divBdr>
        <w:top w:val="none" w:sz="0" w:space="0" w:color="auto"/>
        <w:left w:val="none" w:sz="0" w:space="0" w:color="auto"/>
        <w:bottom w:val="none" w:sz="0" w:space="0" w:color="auto"/>
        <w:right w:val="none" w:sz="0" w:space="0" w:color="auto"/>
      </w:divBdr>
    </w:div>
    <w:div w:id="1440879626">
      <w:bodyDiv w:val="1"/>
      <w:marLeft w:val="0"/>
      <w:marRight w:val="0"/>
      <w:marTop w:val="0"/>
      <w:marBottom w:val="0"/>
      <w:divBdr>
        <w:top w:val="none" w:sz="0" w:space="0" w:color="auto"/>
        <w:left w:val="none" w:sz="0" w:space="0" w:color="auto"/>
        <w:bottom w:val="none" w:sz="0" w:space="0" w:color="auto"/>
        <w:right w:val="none" w:sz="0" w:space="0" w:color="auto"/>
      </w:divBdr>
    </w:div>
    <w:div w:id="1495800847">
      <w:bodyDiv w:val="1"/>
      <w:marLeft w:val="0"/>
      <w:marRight w:val="0"/>
      <w:marTop w:val="0"/>
      <w:marBottom w:val="0"/>
      <w:divBdr>
        <w:top w:val="none" w:sz="0" w:space="0" w:color="auto"/>
        <w:left w:val="none" w:sz="0" w:space="0" w:color="auto"/>
        <w:bottom w:val="none" w:sz="0" w:space="0" w:color="auto"/>
        <w:right w:val="none" w:sz="0" w:space="0" w:color="auto"/>
      </w:divBdr>
    </w:div>
    <w:div w:id="1500998600">
      <w:bodyDiv w:val="1"/>
      <w:marLeft w:val="0"/>
      <w:marRight w:val="0"/>
      <w:marTop w:val="0"/>
      <w:marBottom w:val="0"/>
      <w:divBdr>
        <w:top w:val="none" w:sz="0" w:space="0" w:color="auto"/>
        <w:left w:val="none" w:sz="0" w:space="0" w:color="auto"/>
        <w:bottom w:val="none" w:sz="0" w:space="0" w:color="auto"/>
        <w:right w:val="none" w:sz="0" w:space="0" w:color="auto"/>
      </w:divBdr>
    </w:div>
    <w:div w:id="1520393500">
      <w:bodyDiv w:val="1"/>
      <w:marLeft w:val="0"/>
      <w:marRight w:val="0"/>
      <w:marTop w:val="0"/>
      <w:marBottom w:val="0"/>
      <w:divBdr>
        <w:top w:val="none" w:sz="0" w:space="0" w:color="auto"/>
        <w:left w:val="none" w:sz="0" w:space="0" w:color="auto"/>
        <w:bottom w:val="none" w:sz="0" w:space="0" w:color="auto"/>
        <w:right w:val="none" w:sz="0" w:space="0" w:color="auto"/>
      </w:divBdr>
    </w:div>
    <w:div w:id="1573202881">
      <w:bodyDiv w:val="1"/>
      <w:marLeft w:val="0"/>
      <w:marRight w:val="0"/>
      <w:marTop w:val="0"/>
      <w:marBottom w:val="0"/>
      <w:divBdr>
        <w:top w:val="none" w:sz="0" w:space="0" w:color="auto"/>
        <w:left w:val="none" w:sz="0" w:space="0" w:color="auto"/>
        <w:bottom w:val="none" w:sz="0" w:space="0" w:color="auto"/>
        <w:right w:val="none" w:sz="0" w:space="0" w:color="auto"/>
      </w:divBdr>
    </w:div>
    <w:div w:id="1641691639">
      <w:bodyDiv w:val="1"/>
      <w:marLeft w:val="0"/>
      <w:marRight w:val="0"/>
      <w:marTop w:val="0"/>
      <w:marBottom w:val="0"/>
      <w:divBdr>
        <w:top w:val="none" w:sz="0" w:space="0" w:color="auto"/>
        <w:left w:val="none" w:sz="0" w:space="0" w:color="auto"/>
        <w:bottom w:val="none" w:sz="0" w:space="0" w:color="auto"/>
        <w:right w:val="none" w:sz="0" w:space="0" w:color="auto"/>
      </w:divBdr>
    </w:div>
    <w:div w:id="1644501279">
      <w:bodyDiv w:val="1"/>
      <w:marLeft w:val="0"/>
      <w:marRight w:val="0"/>
      <w:marTop w:val="0"/>
      <w:marBottom w:val="0"/>
      <w:divBdr>
        <w:top w:val="none" w:sz="0" w:space="0" w:color="auto"/>
        <w:left w:val="none" w:sz="0" w:space="0" w:color="auto"/>
        <w:bottom w:val="none" w:sz="0" w:space="0" w:color="auto"/>
        <w:right w:val="none" w:sz="0" w:space="0" w:color="auto"/>
      </w:divBdr>
    </w:div>
    <w:div w:id="1653484058">
      <w:bodyDiv w:val="1"/>
      <w:marLeft w:val="0"/>
      <w:marRight w:val="0"/>
      <w:marTop w:val="0"/>
      <w:marBottom w:val="0"/>
      <w:divBdr>
        <w:top w:val="none" w:sz="0" w:space="0" w:color="auto"/>
        <w:left w:val="none" w:sz="0" w:space="0" w:color="auto"/>
        <w:bottom w:val="none" w:sz="0" w:space="0" w:color="auto"/>
        <w:right w:val="none" w:sz="0" w:space="0" w:color="auto"/>
      </w:divBdr>
    </w:div>
    <w:div w:id="1687444857">
      <w:bodyDiv w:val="1"/>
      <w:marLeft w:val="0"/>
      <w:marRight w:val="0"/>
      <w:marTop w:val="0"/>
      <w:marBottom w:val="0"/>
      <w:divBdr>
        <w:top w:val="none" w:sz="0" w:space="0" w:color="auto"/>
        <w:left w:val="none" w:sz="0" w:space="0" w:color="auto"/>
        <w:bottom w:val="none" w:sz="0" w:space="0" w:color="auto"/>
        <w:right w:val="none" w:sz="0" w:space="0" w:color="auto"/>
      </w:divBdr>
    </w:div>
    <w:div w:id="1758478936">
      <w:bodyDiv w:val="1"/>
      <w:marLeft w:val="0"/>
      <w:marRight w:val="0"/>
      <w:marTop w:val="0"/>
      <w:marBottom w:val="0"/>
      <w:divBdr>
        <w:top w:val="none" w:sz="0" w:space="0" w:color="auto"/>
        <w:left w:val="none" w:sz="0" w:space="0" w:color="auto"/>
        <w:bottom w:val="none" w:sz="0" w:space="0" w:color="auto"/>
        <w:right w:val="none" w:sz="0" w:space="0" w:color="auto"/>
      </w:divBdr>
    </w:div>
    <w:div w:id="1765422381">
      <w:bodyDiv w:val="1"/>
      <w:marLeft w:val="0"/>
      <w:marRight w:val="0"/>
      <w:marTop w:val="0"/>
      <w:marBottom w:val="0"/>
      <w:divBdr>
        <w:top w:val="none" w:sz="0" w:space="0" w:color="auto"/>
        <w:left w:val="none" w:sz="0" w:space="0" w:color="auto"/>
        <w:bottom w:val="none" w:sz="0" w:space="0" w:color="auto"/>
        <w:right w:val="none" w:sz="0" w:space="0" w:color="auto"/>
      </w:divBdr>
    </w:div>
    <w:div w:id="1895387948">
      <w:bodyDiv w:val="1"/>
      <w:marLeft w:val="0"/>
      <w:marRight w:val="0"/>
      <w:marTop w:val="0"/>
      <w:marBottom w:val="0"/>
      <w:divBdr>
        <w:top w:val="none" w:sz="0" w:space="0" w:color="auto"/>
        <w:left w:val="none" w:sz="0" w:space="0" w:color="auto"/>
        <w:bottom w:val="none" w:sz="0" w:space="0" w:color="auto"/>
        <w:right w:val="none" w:sz="0" w:space="0" w:color="auto"/>
      </w:divBdr>
    </w:div>
    <w:div w:id="1928609622">
      <w:bodyDiv w:val="1"/>
      <w:marLeft w:val="0"/>
      <w:marRight w:val="0"/>
      <w:marTop w:val="0"/>
      <w:marBottom w:val="0"/>
      <w:divBdr>
        <w:top w:val="none" w:sz="0" w:space="0" w:color="auto"/>
        <w:left w:val="none" w:sz="0" w:space="0" w:color="auto"/>
        <w:bottom w:val="none" w:sz="0" w:space="0" w:color="auto"/>
        <w:right w:val="none" w:sz="0" w:space="0" w:color="auto"/>
      </w:divBdr>
    </w:div>
    <w:div w:id="1976836532">
      <w:bodyDiv w:val="1"/>
      <w:marLeft w:val="0"/>
      <w:marRight w:val="0"/>
      <w:marTop w:val="0"/>
      <w:marBottom w:val="0"/>
      <w:divBdr>
        <w:top w:val="none" w:sz="0" w:space="0" w:color="auto"/>
        <w:left w:val="none" w:sz="0" w:space="0" w:color="auto"/>
        <w:bottom w:val="none" w:sz="0" w:space="0" w:color="auto"/>
        <w:right w:val="none" w:sz="0" w:space="0" w:color="auto"/>
      </w:divBdr>
    </w:div>
    <w:div w:id="2001959851">
      <w:bodyDiv w:val="1"/>
      <w:marLeft w:val="0"/>
      <w:marRight w:val="0"/>
      <w:marTop w:val="0"/>
      <w:marBottom w:val="0"/>
      <w:divBdr>
        <w:top w:val="none" w:sz="0" w:space="0" w:color="auto"/>
        <w:left w:val="none" w:sz="0" w:space="0" w:color="auto"/>
        <w:bottom w:val="none" w:sz="0" w:space="0" w:color="auto"/>
        <w:right w:val="none" w:sz="0" w:space="0" w:color="auto"/>
      </w:divBdr>
    </w:div>
    <w:div w:id="2035417852">
      <w:bodyDiv w:val="1"/>
      <w:marLeft w:val="0"/>
      <w:marRight w:val="0"/>
      <w:marTop w:val="0"/>
      <w:marBottom w:val="0"/>
      <w:divBdr>
        <w:top w:val="none" w:sz="0" w:space="0" w:color="auto"/>
        <w:left w:val="none" w:sz="0" w:space="0" w:color="auto"/>
        <w:bottom w:val="none" w:sz="0" w:space="0" w:color="auto"/>
        <w:right w:val="none" w:sz="0" w:space="0" w:color="auto"/>
      </w:divBdr>
    </w:div>
    <w:div w:id="2104521633">
      <w:bodyDiv w:val="1"/>
      <w:marLeft w:val="0"/>
      <w:marRight w:val="0"/>
      <w:marTop w:val="0"/>
      <w:marBottom w:val="0"/>
      <w:divBdr>
        <w:top w:val="none" w:sz="0" w:space="0" w:color="auto"/>
        <w:left w:val="none" w:sz="0" w:space="0" w:color="auto"/>
        <w:bottom w:val="none" w:sz="0" w:space="0" w:color="auto"/>
        <w:right w:val="none" w:sz="0" w:space="0" w:color="auto"/>
      </w:divBdr>
    </w:div>
    <w:div w:id="2123760960">
      <w:bodyDiv w:val="1"/>
      <w:marLeft w:val="0"/>
      <w:marRight w:val="0"/>
      <w:marTop w:val="0"/>
      <w:marBottom w:val="0"/>
      <w:divBdr>
        <w:top w:val="none" w:sz="0" w:space="0" w:color="auto"/>
        <w:left w:val="none" w:sz="0" w:space="0" w:color="auto"/>
        <w:bottom w:val="none" w:sz="0" w:space="0" w:color="auto"/>
        <w:right w:val="none" w:sz="0" w:space="0" w:color="auto"/>
      </w:divBdr>
    </w:div>
    <w:div w:id="2137333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aspire2050.eu/p4planet/about-p4planet." TargetMode="External"/><Relationship Id="rId1" Type="http://schemas.openxmlformats.org/officeDocument/2006/relationships/hyperlink" Target="https://climate.ec.europa.eu/document/download/cfde57b3-d80f-43e1-9ee4-cd96c42c6ca8_en?filename=if_2025_draft_t_c_heat_auction_en.pdf&amp;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88A3EC4697541BF65478A7A8B85FD" ma:contentTypeVersion="10" ma:contentTypeDescription="Create a new document." ma:contentTypeScope="" ma:versionID="8a41c8a9596f7d2405cd98a627b7d21a">
  <xsd:schema xmlns:xsd="http://www.w3.org/2001/XMLSchema" xmlns:xs="http://www.w3.org/2001/XMLSchema" xmlns:p="http://schemas.microsoft.com/office/2006/metadata/properties" xmlns:ns1="http://schemas.microsoft.com/sharepoint/v3" xmlns:ns2="1265161a-ba03-42f5-8a29-f9523f1edcd7" xmlns:ns3="ed350a78-f7eb-44a2-bb43-fd61cd942e28" xmlns:ns4="http://schemas.microsoft.com/sharepoint/v4" targetNamespace="http://schemas.microsoft.com/office/2006/metadata/properties" ma:root="true" ma:fieldsID="23f5233618effd0cd2191795844ca1ae" ns1:_="" ns2:_="" ns3:_="" ns4:_="">
    <xsd:import namespace="http://schemas.microsoft.com/sharepoint/v3"/>
    <xsd:import namespace="1265161a-ba03-42f5-8a29-f9523f1edcd7"/>
    <xsd:import namespace="ed350a78-f7eb-44a2-bb43-fd61cd942e28"/>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65161a-ba03-42f5-8a29-f9523f1ed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50a78-f7eb-44a2-bb43-fd61cd942e28" elementFormDefault="qualified">
    <xsd:import namespace="http://schemas.microsoft.com/office/2006/documentManagement/types"/>
    <xsd:import namespace="http://schemas.microsoft.com/office/infopath/2007/PartnerControls"/>
    <xsd:element name="EC_ARES_NUMBER" ma:index="1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3" nillable="true" ma:displayName="Transferred to Ares" ma:format="DateTime" ma:hidden="true" ma:internalName="EC_ARES_DATE_TRANSFERRED">
      <xsd:simpleType>
        <xsd:restriction base="dms:DateTime"/>
      </xsd:simpleType>
    </xsd:element>
    <xsd:element name="EC_ARES_TRANSFERRED_BY" ma:index="14"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ARES_TRANSFERRED_BY xmlns="ed350a78-f7eb-44a2-bb43-fd61cd942e28" xsi:nil="true"/>
    <IconOverlay xmlns="http://schemas.microsoft.com/sharepoint/v4" xsi:nil="true"/>
    <EC_ARES_NUMBER xmlns="ed350a78-f7eb-44a2-bb43-fd61cd942e28">
      <Url xsi:nil="true"/>
      <Description xsi:nil="true"/>
    </EC_ARES_NUMBER>
    <EC_ARES_DATE_TRANSFERRED xmlns="ed350a78-f7eb-44a2-bb43-fd61cd942e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68A4D-B3DC-4AC8-8F5F-AD754252C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65161a-ba03-42f5-8a29-f9523f1edcd7"/>
    <ds:schemaRef ds:uri="ed350a78-f7eb-44a2-bb43-fd61cd942e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269E5-3552-4F4E-B154-B4F541A36DAD}">
  <ds:schemaRefs>
    <ds:schemaRef ds:uri="http://schemas.microsoft.com/sharepoint/v3/contenttype/forms"/>
  </ds:schemaRefs>
</ds:datastoreItem>
</file>

<file path=customXml/itemProps3.xml><?xml version="1.0" encoding="utf-8"?>
<ds:datastoreItem xmlns:ds="http://schemas.openxmlformats.org/officeDocument/2006/customXml" ds:itemID="{73DBDD0E-6BAF-4B1A-A2C1-332C6AC1A66F}">
  <ds:schemaRefs>
    <ds:schemaRef ds:uri="http://schemas.microsoft.com/office/2006/metadata/properties"/>
    <ds:schemaRef ds:uri="http://schemas.microsoft.com/office/infopath/2007/PartnerControls"/>
    <ds:schemaRef ds:uri="ed350a78-f7eb-44a2-bb43-fd61cd942e28"/>
    <ds:schemaRef ds:uri="http://schemas.microsoft.com/sharepoint/v4"/>
  </ds:schemaRefs>
</ds:datastoreItem>
</file>

<file path=customXml/itemProps4.xml><?xml version="1.0" encoding="utf-8"?>
<ds:datastoreItem xmlns:ds="http://schemas.openxmlformats.org/officeDocument/2006/customXml" ds:itemID="{1338680D-D7FF-4260-A6CF-9713A647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9552</Words>
  <Characters>54449</Characters>
  <Application>Microsoft Office Word</Application>
  <DocSecurity>0</DocSecurity>
  <PresentationFormat>Microsoft Word 14.0</PresentationFormat>
  <Lines>453</Lines>
  <Paragraphs>127</Paragraphs>
  <ScaleCrop>true</ScaleCrop>
  <Manager/>
  <Company/>
  <LinksUpToDate>false</LinksUpToDate>
  <CharactersWithSpaces>63874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2025-07-07T15:05:00Z</dcterms:created>
  <dcterms:modified xsi:type="dcterms:W3CDTF">2025-09-16T11:13:00Z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2025-07-05T17:49:25Z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3ad0bd30-17fb-402a-90f5-65b98c174863</vt:lpwstr>
  </property>
  <property fmtid="{D5CDD505-2E9C-101B-9397-08002B2CF9AE}" pid="8" name="MSIP_Label_6bd9ddd1-4d20-43f6-abfa-fc3c07406f94_ContentBits">
    <vt:lpwstr>0</vt:lpwstr>
  </property>
  <property fmtid="{D5CDD505-2E9C-101B-9397-08002B2CF9AE}" pid="9" name="ContentTypeId">
    <vt:lpwstr>0x01010029F88A3EC4697541BF65478A7A8B85FD</vt:lpwstr>
  </property>
  <property fmtid="{D5CDD505-2E9C-101B-9397-08002B2CF9AE}" pid="10" name="Level of sensitivity">
    <vt:lpwstr>Standard treatment</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CP-014</vt:lpwstr>
  </property>
</Properties>
</file>