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C9077" w14:textId="0333C9FA" w:rsidR="00B5734C" w:rsidRDefault="001D453E" w:rsidP="001D453E">
      <w:pPr>
        <w:pStyle w:val="Pagedecouverture"/>
        <w:rPr>
          <w:noProof/>
        </w:rPr>
      </w:pPr>
      <w:bookmarkStart w:id="0" w:name="LW_BM_COVERPAGE"/>
      <w:r>
        <w:rPr>
          <w:noProof/>
        </w:rPr>
        <w:pict w14:anchorId="714FB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06FAAD8-5523-400A-BA8F-06473C107641" style="width:455.25pt;height:310.5pt">
            <v:imagedata r:id="rId8" o:title=""/>
          </v:shape>
        </w:pict>
      </w:r>
    </w:p>
    <w:bookmarkEnd w:id="0"/>
    <w:p w14:paraId="726E9076" w14:textId="3823DE87" w:rsidR="009F34E6" w:rsidRPr="009F34E6" w:rsidRDefault="009F34E6" w:rsidP="009F34E6">
      <w:pPr>
        <w:pStyle w:val="Pagedecouverture"/>
        <w:rPr>
          <w:noProof/>
          <w:lang w:val="en-IE"/>
        </w:rPr>
        <w:sectPr w:rsidR="009F34E6" w:rsidRPr="009F34E6" w:rsidSect="001D453E">
          <w:headerReference w:type="even" r:id="rId9"/>
          <w:headerReference w:type="default" r:id="rId10"/>
          <w:footerReference w:type="even" r:id="rId11"/>
          <w:footerReference w:type="default" r:id="rId12"/>
          <w:headerReference w:type="first" r:id="rId13"/>
          <w:footerReference w:type="first" r:id="rId14"/>
          <w:pgSz w:w="11906" w:h="16838" w:code="9"/>
          <w:pgMar w:top="1134" w:right="1417" w:bottom="1134" w:left="1417" w:header="709" w:footer="709" w:gutter="0"/>
          <w:pgNumType w:start="0"/>
          <w:cols w:space="720"/>
          <w:docGrid w:linePitch="360"/>
        </w:sectPr>
      </w:pPr>
    </w:p>
    <w:p w14:paraId="36DD954E" w14:textId="32C6204A" w:rsidR="00036698" w:rsidRPr="00470E6E" w:rsidRDefault="00036698" w:rsidP="00036698">
      <w:pPr>
        <w:pStyle w:val="TOCHeading"/>
        <w:jc w:val="center"/>
        <w:rPr>
          <w:rFonts w:ascii="Times New Roman" w:hAnsi="Times New Roman"/>
          <w:b/>
          <w:color w:val="auto"/>
          <w:sz w:val="24"/>
          <w:szCs w:val="24"/>
        </w:rPr>
      </w:pPr>
      <w:bookmarkStart w:id="1" w:name="_GoBack"/>
      <w:bookmarkEnd w:id="1"/>
      <w:r>
        <w:rPr>
          <w:rFonts w:ascii="Times New Roman" w:hAnsi="Times New Roman"/>
          <w:b/>
          <w:color w:val="auto"/>
          <w:sz w:val="24"/>
        </w:rPr>
        <w:lastRenderedPageBreak/>
        <w:t>RAPPORT DE LA COMMISSION</w:t>
      </w:r>
    </w:p>
    <w:p w14:paraId="6DB5A87A" w14:textId="7FBE7DBE" w:rsidR="00036698" w:rsidRPr="00470E6E" w:rsidRDefault="00036698" w:rsidP="00036698">
      <w:pPr>
        <w:jc w:val="center"/>
        <w:rPr>
          <w:rFonts w:ascii="Times New Roman" w:hAnsi="Times New Roman"/>
          <w:b/>
          <w:noProof/>
          <w:sz w:val="24"/>
          <w:szCs w:val="24"/>
        </w:rPr>
      </w:pPr>
      <w:r>
        <w:rPr>
          <w:rFonts w:ascii="Times New Roman" w:hAnsi="Times New Roman"/>
          <w:b/>
          <w:noProof/>
          <w:sz w:val="24"/>
        </w:rPr>
        <w:t>Rapport annuel de la Commission européenne sur la sécurité des opérations pétrolières et gazières en mer pour l’année 2023</w:t>
      </w:r>
    </w:p>
    <w:p w14:paraId="6D0D33AC" w14:textId="77777777" w:rsidR="00036698" w:rsidRPr="003D2CCD" w:rsidRDefault="00036698" w:rsidP="00036698">
      <w:pPr>
        <w:spacing w:after="0" w:line="240" w:lineRule="auto"/>
        <w:jc w:val="center"/>
        <w:rPr>
          <w:rFonts w:ascii="Times New Roman" w:eastAsia="Times New Roman" w:hAnsi="Times New Roman"/>
          <w:b/>
          <w:noProof/>
          <w:color w:val="365F91"/>
          <w:sz w:val="32"/>
          <w:szCs w:val="32"/>
          <w:lang w:val="fr-BE"/>
        </w:rPr>
      </w:pPr>
    </w:p>
    <w:p w14:paraId="2E84484B" w14:textId="77777777" w:rsidR="00036698" w:rsidRPr="00470E6E" w:rsidRDefault="00036698" w:rsidP="00036698">
      <w:pPr>
        <w:pStyle w:val="TOCHeading"/>
        <w:jc w:val="center"/>
        <w:rPr>
          <w:rFonts w:ascii="Times New Roman" w:hAnsi="Times New Roman"/>
          <w:b/>
          <w:color w:val="auto"/>
          <w:sz w:val="24"/>
          <w:szCs w:val="24"/>
        </w:rPr>
      </w:pPr>
      <w:r>
        <w:rPr>
          <w:rFonts w:ascii="Times New Roman" w:hAnsi="Times New Roman"/>
          <w:b/>
          <w:color w:val="auto"/>
          <w:sz w:val="24"/>
        </w:rPr>
        <w:t>Table des matières</w:t>
      </w:r>
    </w:p>
    <w:p w14:paraId="40C968E4" w14:textId="276C9877" w:rsidR="003D2CCD" w:rsidRDefault="00036698">
      <w:pPr>
        <w:pStyle w:val="TOC1"/>
        <w:rPr>
          <w:rFonts w:asciiTheme="minorHAnsi" w:eastAsiaTheme="minorEastAsia" w:hAnsiTheme="minorHAnsi" w:cstheme="minorBidi"/>
          <w:noProof/>
          <w:kern w:val="2"/>
          <w:sz w:val="24"/>
          <w:szCs w:val="24"/>
          <w:lang w:val="en-IE" w:eastAsia="en-IE"/>
          <w14:ligatures w14:val="standardContextual"/>
        </w:rPr>
      </w:pPr>
      <w:r w:rsidRPr="00470E6E">
        <w:rPr>
          <w:rFonts w:ascii="Times New Roman" w:hAnsi="Times New Roman"/>
          <w:noProof/>
          <w:sz w:val="24"/>
        </w:rPr>
        <w:fldChar w:fldCharType="begin"/>
      </w:r>
      <w:r w:rsidRPr="00470E6E">
        <w:rPr>
          <w:rFonts w:ascii="Times New Roman" w:hAnsi="Times New Roman"/>
          <w:noProof/>
          <w:sz w:val="24"/>
        </w:rPr>
        <w:instrText xml:space="preserve"> TOC \o "1-3" \h \z \u </w:instrText>
      </w:r>
      <w:r w:rsidRPr="00470E6E">
        <w:rPr>
          <w:rFonts w:ascii="Times New Roman" w:hAnsi="Times New Roman"/>
          <w:noProof/>
          <w:sz w:val="24"/>
        </w:rPr>
        <w:fldChar w:fldCharType="separate"/>
      </w:r>
      <w:hyperlink w:anchor="_Toc202865911" w:history="1">
        <w:r w:rsidR="003D2CCD" w:rsidRPr="00DB2C66">
          <w:rPr>
            <w:rStyle w:val="Hyperlink"/>
            <w:rFonts w:ascii="Times New Roman" w:eastAsia="Calibri" w:hAnsi="Times New Roman"/>
            <w:noProof/>
          </w:rPr>
          <w:t>1.</w:t>
        </w:r>
        <w:r w:rsidR="003D2CCD">
          <w:rPr>
            <w:rFonts w:asciiTheme="minorHAnsi" w:eastAsiaTheme="minorEastAsia" w:hAnsiTheme="minorHAnsi" w:cstheme="minorBidi"/>
            <w:noProof/>
            <w:kern w:val="2"/>
            <w:sz w:val="24"/>
            <w:szCs w:val="24"/>
            <w:lang w:val="en-IE" w:eastAsia="en-IE"/>
            <w14:ligatures w14:val="standardContextual"/>
          </w:rPr>
          <w:tab/>
        </w:r>
        <w:r w:rsidR="003D2CCD" w:rsidRPr="00DB2C66">
          <w:rPr>
            <w:rStyle w:val="Hyperlink"/>
            <w:rFonts w:ascii="Times New Roman" w:eastAsia="Calibri" w:hAnsi="Times New Roman"/>
            <w:noProof/>
          </w:rPr>
          <w:t>INTRODUCTION</w:t>
        </w:r>
        <w:r w:rsidR="003D2CCD">
          <w:rPr>
            <w:noProof/>
            <w:webHidden/>
          </w:rPr>
          <w:tab/>
        </w:r>
        <w:r w:rsidR="003D2CCD">
          <w:rPr>
            <w:noProof/>
            <w:webHidden/>
          </w:rPr>
          <w:fldChar w:fldCharType="begin"/>
        </w:r>
        <w:r w:rsidR="003D2CCD">
          <w:rPr>
            <w:noProof/>
            <w:webHidden/>
          </w:rPr>
          <w:instrText xml:space="preserve"> PAGEREF _Toc202865911 \h </w:instrText>
        </w:r>
        <w:r w:rsidR="003D2CCD">
          <w:rPr>
            <w:noProof/>
            <w:webHidden/>
          </w:rPr>
        </w:r>
        <w:r w:rsidR="003D2CCD">
          <w:rPr>
            <w:noProof/>
            <w:webHidden/>
          </w:rPr>
          <w:fldChar w:fldCharType="separate"/>
        </w:r>
        <w:r w:rsidR="003D2CCD">
          <w:rPr>
            <w:noProof/>
            <w:webHidden/>
          </w:rPr>
          <w:t>2</w:t>
        </w:r>
        <w:r w:rsidR="003D2CCD">
          <w:rPr>
            <w:noProof/>
            <w:webHidden/>
          </w:rPr>
          <w:fldChar w:fldCharType="end"/>
        </w:r>
      </w:hyperlink>
    </w:p>
    <w:p w14:paraId="09C9D506" w14:textId="2AC981BC" w:rsidR="003D2CCD" w:rsidRDefault="001D453E">
      <w:pPr>
        <w:pStyle w:val="TOC1"/>
        <w:rPr>
          <w:rFonts w:asciiTheme="minorHAnsi" w:eastAsiaTheme="minorEastAsia" w:hAnsiTheme="minorHAnsi" w:cstheme="minorBidi"/>
          <w:noProof/>
          <w:kern w:val="2"/>
          <w:sz w:val="24"/>
          <w:szCs w:val="24"/>
          <w:lang w:val="en-IE" w:eastAsia="en-IE"/>
          <w14:ligatures w14:val="standardContextual"/>
        </w:rPr>
      </w:pPr>
      <w:hyperlink w:anchor="_Toc202865912" w:history="1">
        <w:r w:rsidR="003D2CCD" w:rsidRPr="00DB2C66">
          <w:rPr>
            <w:rStyle w:val="Hyperlink"/>
            <w:rFonts w:ascii="Times New Roman" w:eastAsia="Calibri" w:hAnsi="Times New Roman"/>
            <w:noProof/>
          </w:rPr>
          <w:t>2.</w:t>
        </w:r>
        <w:r w:rsidR="003D2CCD">
          <w:rPr>
            <w:rFonts w:asciiTheme="minorHAnsi" w:eastAsiaTheme="minorEastAsia" w:hAnsiTheme="minorHAnsi" w:cstheme="minorBidi"/>
            <w:noProof/>
            <w:kern w:val="2"/>
            <w:sz w:val="24"/>
            <w:szCs w:val="24"/>
            <w:lang w:val="en-IE" w:eastAsia="en-IE"/>
            <w14:ligatures w14:val="standardContextual"/>
          </w:rPr>
          <w:tab/>
        </w:r>
        <w:r w:rsidR="003D2CCD" w:rsidRPr="00DB2C66">
          <w:rPr>
            <w:rStyle w:val="Hyperlink"/>
            <w:rFonts w:ascii="Times New Roman" w:eastAsia="Calibri" w:hAnsi="Times New Roman"/>
            <w:noProof/>
          </w:rPr>
          <w:t>BASE JURIDIQUE</w:t>
        </w:r>
        <w:r w:rsidR="003D2CCD">
          <w:rPr>
            <w:noProof/>
            <w:webHidden/>
          </w:rPr>
          <w:tab/>
        </w:r>
        <w:r w:rsidR="003D2CCD">
          <w:rPr>
            <w:noProof/>
            <w:webHidden/>
          </w:rPr>
          <w:fldChar w:fldCharType="begin"/>
        </w:r>
        <w:r w:rsidR="003D2CCD">
          <w:rPr>
            <w:noProof/>
            <w:webHidden/>
          </w:rPr>
          <w:instrText xml:space="preserve"> PAGEREF _Toc202865912 \h </w:instrText>
        </w:r>
        <w:r w:rsidR="003D2CCD">
          <w:rPr>
            <w:noProof/>
            <w:webHidden/>
          </w:rPr>
        </w:r>
        <w:r w:rsidR="003D2CCD">
          <w:rPr>
            <w:noProof/>
            <w:webHidden/>
          </w:rPr>
          <w:fldChar w:fldCharType="separate"/>
        </w:r>
        <w:r w:rsidR="003D2CCD">
          <w:rPr>
            <w:noProof/>
            <w:webHidden/>
          </w:rPr>
          <w:t>3</w:t>
        </w:r>
        <w:r w:rsidR="003D2CCD">
          <w:rPr>
            <w:noProof/>
            <w:webHidden/>
          </w:rPr>
          <w:fldChar w:fldCharType="end"/>
        </w:r>
      </w:hyperlink>
    </w:p>
    <w:p w14:paraId="1EFE0F6A" w14:textId="3FFD61F9" w:rsidR="003D2CCD" w:rsidRDefault="001D453E">
      <w:pPr>
        <w:pStyle w:val="TOC1"/>
        <w:rPr>
          <w:rFonts w:asciiTheme="minorHAnsi" w:eastAsiaTheme="minorEastAsia" w:hAnsiTheme="minorHAnsi" w:cstheme="minorBidi"/>
          <w:noProof/>
          <w:kern w:val="2"/>
          <w:sz w:val="24"/>
          <w:szCs w:val="24"/>
          <w:lang w:val="en-IE" w:eastAsia="en-IE"/>
          <w14:ligatures w14:val="standardContextual"/>
        </w:rPr>
      </w:pPr>
      <w:hyperlink w:anchor="_Toc202865913" w:history="1">
        <w:r w:rsidR="003D2CCD" w:rsidRPr="00DB2C66">
          <w:rPr>
            <w:rStyle w:val="Hyperlink"/>
            <w:rFonts w:ascii="Times New Roman" w:eastAsia="Calibri" w:hAnsi="Times New Roman"/>
            <w:noProof/>
          </w:rPr>
          <w:t>3.</w:t>
        </w:r>
        <w:r w:rsidR="003D2CCD">
          <w:rPr>
            <w:rFonts w:asciiTheme="minorHAnsi" w:eastAsiaTheme="minorEastAsia" w:hAnsiTheme="minorHAnsi" w:cstheme="minorBidi"/>
            <w:noProof/>
            <w:kern w:val="2"/>
            <w:sz w:val="24"/>
            <w:szCs w:val="24"/>
            <w:lang w:val="en-IE" w:eastAsia="en-IE"/>
            <w14:ligatures w14:val="standardContextual"/>
          </w:rPr>
          <w:tab/>
        </w:r>
        <w:r w:rsidR="003D2CCD" w:rsidRPr="00DB2C66">
          <w:rPr>
            <w:rStyle w:val="Hyperlink"/>
            <w:rFonts w:ascii="Times New Roman" w:eastAsia="Calibri" w:hAnsi="Times New Roman"/>
            <w:noProof/>
          </w:rPr>
          <w:t>MÉTHODOLOGIE ET INFORMATIONS REÇUES</w:t>
        </w:r>
        <w:r w:rsidR="003D2CCD">
          <w:rPr>
            <w:noProof/>
            <w:webHidden/>
          </w:rPr>
          <w:tab/>
        </w:r>
        <w:r w:rsidR="003D2CCD">
          <w:rPr>
            <w:noProof/>
            <w:webHidden/>
          </w:rPr>
          <w:fldChar w:fldCharType="begin"/>
        </w:r>
        <w:r w:rsidR="003D2CCD">
          <w:rPr>
            <w:noProof/>
            <w:webHidden/>
          </w:rPr>
          <w:instrText xml:space="preserve"> PAGEREF _Toc202865913 \h </w:instrText>
        </w:r>
        <w:r w:rsidR="003D2CCD">
          <w:rPr>
            <w:noProof/>
            <w:webHidden/>
          </w:rPr>
        </w:r>
        <w:r w:rsidR="003D2CCD">
          <w:rPr>
            <w:noProof/>
            <w:webHidden/>
          </w:rPr>
          <w:fldChar w:fldCharType="separate"/>
        </w:r>
        <w:r w:rsidR="003D2CCD">
          <w:rPr>
            <w:noProof/>
            <w:webHidden/>
          </w:rPr>
          <w:t>3</w:t>
        </w:r>
        <w:r w:rsidR="003D2CCD">
          <w:rPr>
            <w:noProof/>
            <w:webHidden/>
          </w:rPr>
          <w:fldChar w:fldCharType="end"/>
        </w:r>
      </w:hyperlink>
    </w:p>
    <w:p w14:paraId="13A20CE2" w14:textId="06D77CB2" w:rsidR="003D2CCD" w:rsidRDefault="001D453E">
      <w:pPr>
        <w:pStyle w:val="TOC1"/>
        <w:rPr>
          <w:rFonts w:asciiTheme="minorHAnsi" w:eastAsiaTheme="minorEastAsia" w:hAnsiTheme="minorHAnsi" w:cstheme="minorBidi"/>
          <w:noProof/>
          <w:kern w:val="2"/>
          <w:sz w:val="24"/>
          <w:szCs w:val="24"/>
          <w:lang w:val="en-IE" w:eastAsia="en-IE"/>
          <w14:ligatures w14:val="standardContextual"/>
        </w:rPr>
      </w:pPr>
      <w:hyperlink w:anchor="_Toc202865914" w:history="1">
        <w:r w:rsidR="003D2CCD" w:rsidRPr="00DB2C66">
          <w:rPr>
            <w:rStyle w:val="Hyperlink"/>
            <w:rFonts w:ascii="Times New Roman" w:eastAsia="Calibri" w:hAnsi="Times New Roman"/>
            <w:noProof/>
          </w:rPr>
          <w:t>4.</w:t>
        </w:r>
        <w:r w:rsidR="003D2CCD">
          <w:rPr>
            <w:rFonts w:asciiTheme="minorHAnsi" w:eastAsiaTheme="minorEastAsia" w:hAnsiTheme="minorHAnsi" w:cstheme="minorBidi"/>
            <w:noProof/>
            <w:kern w:val="2"/>
            <w:sz w:val="24"/>
            <w:szCs w:val="24"/>
            <w:lang w:val="en-IE" w:eastAsia="en-IE"/>
            <w14:ligatures w14:val="standardContextual"/>
          </w:rPr>
          <w:tab/>
        </w:r>
        <w:r w:rsidR="003D2CCD" w:rsidRPr="00DB2C66">
          <w:rPr>
            <w:rStyle w:val="Hyperlink"/>
            <w:rFonts w:ascii="Times New Roman" w:eastAsia="Calibri" w:hAnsi="Times New Roman"/>
            <w:noProof/>
          </w:rPr>
          <w:t>LE SECTEUR PÉTROLIER ET GAZIER EN MER DE L’UE</w:t>
        </w:r>
        <w:r w:rsidR="003D2CCD">
          <w:rPr>
            <w:noProof/>
            <w:webHidden/>
          </w:rPr>
          <w:tab/>
        </w:r>
        <w:r w:rsidR="003D2CCD">
          <w:rPr>
            <w:noProof/>
            <w:webHidden/>
          </w:rPr>
          <w:fldChar w:fldCharType="begin"/>
        </w:r>
        <w:r w:rsidR="003D2CCD">
          <w:rPr>
            <w:noProof/>
            <w:webHidden/>
          </w:rPr>
          <w:instrText xml:space="preserve"> PAGEREF _Toc202865914 \h </w:instrText>
        </w:r>
        <w:r w:rsidR="003D2CCD">
          <w:rPr>
            <w:noProof/>
            <w:webHidden/>
          </w:rPr>
        </w:r>
        <w:r w:rsidR="003D2CCD">
          <w:rPr>
            <w:noProof/>
            <w:webHidden/>
          </w:rPr>
          <w:fldChar w:fldCharType="separate"/>
        </w:r>
        <w:r w:rsidR="003D2CCD">
          <w:rPr>
            <w:noProof/>
            <w:webHidden/>
          </w:rPr>
          <w:t>4</w:t>
        </w:r>
        <w:r w:rsidR="003D2CCD">
          <w:rPr>
            <w:noProof/>
            <w:webHidden/>
          </w:rPr>
          <w:fldChar w:fldCharType="end"/>
        </w:r>
      </w:hyperlink>
    </w:p>
    <w:p w14:paraId="4AD4F67E" w14:textId="4816914F" w:rsidR="003D2CCD" w:rsidRDefault="001D453E">
      <w:pPr>
        <w:pStyle w:val="TOC2"/>
        <w:tabs>
          <w:tab w:val="left" w:pos="960"/>
          <w:tab w:val="right" w:leader="dot" w:pos="9736"/>
        </w:tabs>
        <w:rPr>
          <w:rFonts w:asciiTheme="minorHAnsi" w:eastAsiaTheme="minorEastAsia" w:hAnsiTheme="minorHAnsi" w:cstheme="minorBidi"/>
          <w:noProof/>
          <w:kern w:val="2"/>
          <w:sz w:val="24"/>
          <w:szCs w:val="24"/>
          <w:lang w:val="en-IE" w:eastAsia="en-IE"/>
          <w14:ligatures w14:val="standardContextual"/>
        </w:rPr>
      </w:pPr>
      <w:hyperlink w:anchor="_Toc202865915" w:history="1">
        <w:r w:rsidR="003D2CCD" w:rsidRPr="00DB2C66">
          <w:rPr>
            <w:rStyle w:val="Hyperlink"/>
            <w:rFonts w:ascii="Times New Roman" w:eastAsia="Calibri" w:hAnsi="Times New Roman"/>
            <w:noProof/>
          </w:rPr>
          <w:t>4.1</w:t>
        </w:r>
        <w:r w:rsidR="003D2CCD">
          <w:rPr>
            <w:rFonts w:asciiTheme="minorHAnsi" w:eastAsiaTheme="minorEastAsia" w:hAnsiTheme="minorHAnsi" w:cstheme="minorBidi"/>
            <w:noProof/>
            <w:kern w:val="2"/>
            <w:sz w:val="24"/>
            <w:szCs w:val="24"/>
            <w:lang w:val="en-IE" w:eastAsia="en-IE"/>
            <w14:ligatures w14:val="standardContextual"/>
          </w:rPr>
          <w:tab/>
        </w:r>
        <w:r w:rsidR="003D2CCD" w:rsidRPr="00DB2C66">
          <w:rPr>
            <w:rStyle w:val="Hyperlink"/>
            <w:rFonts w:ascii="Times New Roman" w:eastAsia="Calibri" w:hAnsi="Times New Roman"/>
            <w:noProof/>
          </w:rPr>
          <w:t>Installations et production</w:t>
        </w:r>
        <w:r w:rsidR="003D2CCD">
          <w:rPr>
            <w:noProof/>
            <w:webHidden/>
          </w:rPr>
          <w:tab/>
        </w:r>
        <w:r w:rsidR="003D2CCD">
          <w:rPr>
            <w:noProof/>
            <w:webHidden/>
          </w:rPr>
          <w:fldChar w:fldCharType="begin"/>
        </w:r>
        <w:r w:rsidR="003D2CCD">
          <w:rPr>
            <w:noProof/>
            <w:webHidden/>
          </w:rPr>
          <w:instrText xml:space="preserve"> PAGEREF _Toc202865915 \h </w:instrText>
        </w:r>
        <w:r w:rsidR="003D2CCD">
          <w:rPr>
            <w:noProof/>
            <w:webHidden/>
          </w:rPr>
        </w:r>
        <w:r w:rsidR="003D2CCD">
          <w:rPr>
            <w:noProof/>
            <w:webHidden/>
          </w:rPr>
          <w:fldChar w:fldCharType="separate"/>
        </w:r>
        <w:r w:rsidR="003D2CCD">
          <w:rPr>
            <w:noProof/>
            <w:webHidden/>
          </w:rPr>
          <w:t>4</w:t>
        </w:r>
        <w:r w:rsidR="003D2CCD">
          <w:rPr>
            <w:noProof/>
            <w:webHidden/>
          </w:rPr>
          <w:fldChar w:fldCharType="end"/>
        </w:r>
      </w:hyperlink>
    </w:p>
    <w:p w14:paraId="6701290C" w14:textId="46873409" w:rsidR="003D2CCD" w:rsidRDefault="001D453E">
      <w:pPr>
        <w:pStyle w:val="TOC2"/>
        <w:tabs>
          <w:tab w:val="left" w:pos="960"/>
          <w:tab w:val="right" w:leader="dot" w:pos="9736"/>
        </w:tabs>
        <w:rPr>
          <w:rFonts w:asciiTheme="minorHAnsi" w:eastAsiaTheme="minorEastAsia" w:hAnsiTheme="minorHAnsi" w:cstheme="minorBidi"/>
          <w:noProof/>
          <w:kern w:val="2"/>
          <w:sz w:val="24"/>
          <w:szCs w:val="24"/>
          <w:lang w:val="en-IE" w:eastAsia="en-IE"/>
          <w14:ligatures w14:val="standardContextual"/>
        </w:rPr>
      </w:pPr>
      <w:hyperlink w:anchor="_Toc202865916" w:history="1">
        <w:r w:rsidR="003D2CCD" w:rsidRPr="00DB2C66">
          <w:rPr>
            <w:rStyle w:val="Hyperlink"/>
            <w:rFonts w:ascii="Times New Roman" w:eastAsia="Calibri" w:hAnsi="Times New Roman"/>
            <w:noProof/>
          </w:rPr>
          <w:t>4.2</w:t>
        </w:r>
        <w:r w:rsidR="003D2CCD">
          <w:rPr>
            <w:rFonts w:asciiTheme="minorHAnsi" w:eastAsiaTheme="minorEastAsia" w:hAnsiTheme="minorHAnsi" w:cstheme="minorBidi"/>
            <w:noProof/>
            <w:kern w:val="2"/>
            <w:sz w:val="24"/>
            <w:szCs w:val="24"/>
            <w:lang w:val="en-IE" w:eastAsia="en-IE"/>
            <w14:ligatures w14:val="standardContextual"/>
          </w:rPr>
          <w:tab/>
        </w:r>
        <w:r w:rsidR="003D2CCD" w:rsidRPr="00DB2C66">
          <w:rPr>
            <w:rStyle w:val="Hyperlink"/>
            <w:rFonts w:ascii="Times New Roman" w:eastAsia="Calibri" w:hAnsi="Times New Roman"/>
            <w:noProof/>
          </w:rPr>
          <w:t>Inspections en mer, enquêtes, mesures d’exécution et cadre réglementaire</w:t>
        </w:r>
        <w:r w:rsidR="003D2CCD">
          <w:rPr>
            <w:noProof/>
            <w:webHidden/>
          </w:rPr>
          <w:tab/>
        </w:r>
        <w:r w:rsidR="003D2CCD">
          <w:rPr>
            <w:noProof/>
            <w:webHidden/>
          </w:rPr>
          <w:fldChar w:fldCharType="begin"/>
        </w:r>
        <w:r w:rsidR="003D2CCD">
          <w:rPr>
            <w:noProof/>
            <w:webHidden/>
          </w:rPr>
          <w:instrText xml:space="preserve"> PAGEREF _Toc202865916 \h </w:instrText>
        </w:r>
        <w:r w:rsidR="003D2CCD">
          <w:rPr>
            <w:noProof/>
            <w:webHidden/>
          </w:rPr>
        </w:r>
        <w:r w:rsidR="003D2CCD">
          <w:rPr>
            <w:noProof/>
            <w:webHidden/>
          </w:rPr>
          <w:fldChar w:fldCharType="separate"/>
        </w:r>
        <w:r w:rsidR="003D2CCD">
          <w:rPr>
            <w:noProof/>
            <w:webHidden/>
          </w:rPr>
          <w:t>6</w:t>
        </w:r>
        <w:r w:rsidR="003D2CCD">
          <w:rPr>
            <w:noProof/>
            <w:webHidden/>
          </w:rPr>
          <w:fldChar w:fldCharType="end"/>
        </w:r>
      </w:hyperlink>
    </w:p>
    <w:p w14:paraId="32909311" w14:textId="4688ABDE" w:rsidR="003D2CCD" w:rsidRDefault="001D453E">
      <w:pPr>
        <w:pStyle w:val="TOC1"/>
        <w:rPr>
          <w:rFonts w:asciiTheme="minorHAnsi" w:eastAsiaTheme="minorEastAsia" w:hAnsiTheme="minorHAnsi" w:cstheme="minorBidi"/>
          <w:noProof/>
          <w:kern w:val="2"/>
          <w:sz w:val="24"/>
          <w:szCs w:val="24"/>
          <w:lang w:val="en-IE" w:eastAsia="en-IE"/>
          <w14:ligatures w14:val="standardContextual"/>
        </w:rPr>
      </w:pPr>
      <w:hyperlink w:anchor="_Toc202865917" w:history="1">
        <w:r w:rsidR="003D2CCD" w:rsidRPr="00DB2C66">
          <w:rPr>
            <w:rStyle w:val="Hyperlink"/>
            <w:rFonts w:ascii="Times New Roman" w:eastAsia="Calibri" w:hAnsi="Times New Roman"/>
            <w:noProof/>
          </w:rPr>
          <w:t>5.</w:t>
        </w:r>
        <w:r w:rsidR="003D2CCD">
          <w:rPr>
            <w:rFonts w:asciiTheme="minorHAnsi" w:eastAsiaTheme="minorEastAsia" w:hAnsiTheme="minorHAnsi" w:cstheme="minorBidi"/>
            <w:noProof/>
            <w:kern w:val="2"/>
            <w:sz w:val="24"/>
            <w:szCs w:val="24"/>
            <w:lang w:val="en-IE" w:eastAsia="en-IE"/>
            <w14:ligatures w14:val="standardContextual"/>
          </w:rPr>
          <w:tab/>
        </w:r>
        <w:r w:rsidR="003D2CCD" w:rsidRPr="00DB2C66">
          <w:rPr>
            <w:rStyle w:val="Hyperlink"/>
            <w:rFonts w:ascii="Times New Roman" w:eastAsia="Calibri" w:hAnsi="Times New Roman"/>
            <w:noProof/>
          </w:rPr>
          <w:t>INCIDENTS ET PERFORMANCES EN MATIÈRE DE SÉCURITÉ</w:t>
        </w:r>
        <w:r w:rsidR="003D2CCD">
          <w:rPr>
            <w:noProof/>
            <w:webHidden/>
          </w:rPr>
          <w:tab/>
        </w:r>
        <w:r w:rsidR="003D2CCD">
          <w:rPr>
            <w:noProof/>
            <w:webHidden/>
          </w:rPr>
          <w:fldChar w:fldCharType="begin"/>
        </w:r>
        <w:r w:rsidR="003D2CCD">
          <w:rPr>
            <w:noProof/>
            <w:webHidden/>
          </w:rPr>
          <w:instrText xml:space="preserve"> PAGEREF _Toc202865917 \h </w:instrText>
        </w:r>
        <w:r w:rsidR="003D2CCD">
          <w:rPr>
            <w:noProof/>
            <w:webHidden/>
          </w:rPr>
        </w:r>
        <w:r w:rsidR="003D2CCD">
          <w:rPr>
            <w:noProof/>
            <w:webHidden/>
          </w:rPr>
          <w:fldChar w:fldCharType="separate"/>
        </w:r>
        <w:r w:rsidR="003D2CCD">
          <w:rPr>
            <w:noProof/>
            <w:webHidden/>
          </w:rPr>
          <w:t>7</w:t>
        </w:r>
        <w:r w:rsidR="003D2CCD">
          <w:rPr>
            <w:noProof/>
            <w:webHidden/>
          </w:rPr>
          <w:fldChar w:fldCharType="end"/>
        </w:r>
      </w:hyperlink>
    </w:p>
    <w:p w14:paraId="6F66C79E" w14:textId="306C160D" w:rsidR="003D2CCD" w:rsidRDefault="001D453E">
      <w:pPr>
        <w:pStyle w:val="TOC1"/>
        <w:rPr>
          <w:rFonts w:asciiTheme="minorHAnsi" w:eastAsiaTheme="minorEastAsia" w:hAnsiTheme="minorHAnsi" w:cstheme="minorBidi"/>
          <w:noProof/>
          <w:kern w:val="2"/>
          <w:sz w:val="24"/>
          <w:szCs w:val="24"/>
          <w:lang w:val="en-IE" w:eastAsia="en-IE"/>
          <w14:ligatures w14:val="standardContextual"/>
        </w:rPr>
      </w:pPr>
      <w:hyperlink w:anchor="_Toc202865918" w:history="1">
        <w:r w:rsidR="003D2CCD" w:rsidRPr="00DB2C66">
          <w:rPr>
            <w:rStyle w:val="Hyperlink"/>
            <w:rFonts w:ascii="Times New Roman" w:eastAsia="Calibri" w:hAnsi="Times New Roman"/>
            <w:noProof/>
          </w:rPr>
          <w:t>6.</w:t>
        </w:r>
        <w:r w:rsidR="003D2CCD">
          <w:rPr>
            <w:rFonts w:asciiTheme="minorHAnsi" w:eastAsiaTheme="minorEastAsia" w:hAnsiTheme="minorHAnsi" w:cstheme="minorBidi"/>
            <w:noProof/>
            <w:kern w:val="2"/>
            <w:sz w:val="24"/>
            <w:szCs w:val="24"/>
            <w:lang w:val="en-IE" w:eastAsia="en-IE"/>
            <w14:ligatures w14:val="standardContextual"/>
          </w:rPr>
          <w:tab/>
        </w:r>
        <w:r w:rsidR="003D2CCD" w:rsidRPr="00DB2C66">
          <w:rPr>
            <w:rStyle w:val="Hyperlink"/>
            <w:rFonts w:ascii="Times New Roman" w:eastAsia="Calibri" w:hAnsi="Times New Roman"/>
            <w:noProof/>
          </w:rPr>
          <w:t>CONCLUSION</w:t>
        </w:r>
        <w:r w:rsidR="003D2CCD">
          <w:rPr>
            <w:noProof/>
            <w:webHidden/>
          </w:rPr>
          <w:tab/>
        </w:r>
        <w:r w:rsidR="003D2CCD">
          <w:rPr>
            <w:noProof/>
            <w:webHidden/>
          </w:rPr>
          <w:fldChar w:fldCharType="begin"/>
        </w:r>
        <w:r w:rsidR="003D2CCD">
          <w:rPr>
            <w:noProof/>
            <w:webHidden/>
          </w:rPr>
          <w:instrText xml:space="preserve"> PAGEREF _Toc202865918 \h </w:instrText>
        </w:r>
        <w:r w:rsidR="003D2CCD">
          <w:rPr>
            <w:noProof/>
            <w:webHidden/>
          </w:rPr>
        </w:r>
        <w:r w:rsidR="003D2CCD">
          <w:rPr>
            <w:noProof/>
            <w:webHidden/>
          </w:rPr>
          <w:fldChar w:fldCharType="separate"/>
        </w:r>
        <w:r w:rsidR="003D2CCD">
          <w:rPr>
            <w:noProof/>
            <w:webHidden/>
          </w:rPr>
          <w:t>8</w:t>
        </w:r>
        <w:r w:rsidR="003D2CCD">
          <w:rPr>
            <w:noProof/>
            <w:webHidden/>
          </w:rPr>
          <w:fldChar w:fldCharType="end"/>
        </w:r>
      </w:hyperlink>
    </w:p>
    <w:p w14:paraId="086029D5" w14:textId="5504ED6F" w:rsidR="00036698" w:rsidRPr="00470E6E" w:rsidRDefault="00036698" w:rsidP="00036698">
      <w:pPr>
        <w:pStyle w:val="TOC1"/>
        <w:rPr>
          <w:rFonts w:ascii="Times New Roman" w:hAnsi="Times New Roman"/>
          <w:noProof/>
          <w:sz w:val="24"/>
        </w:rPr>
        <w:sectPr w:rsidR="00036698" w:rsidRPr="00470E6E" w:rsidSect="00036698">
          <w:headerReference w:type="even" r:id="rId15"/>
          <w:headerReference w:type="default" r:id="rId16"/>
          <w:footerReference w:type="even" r:id="rId17"/>
          <w:footerReference w:type="default" r:id="rId18"/>
          <w:headerReference w:type="first" r:id="rId19"/>
          <w:footerReference w:type="first" r:id="rId20"/>
          <w:pgSz w:w="11906" w:h="16838" w:code="9"/>
          <w:pgMar w:top="1440" w:right="1080" w:bottom="1440" w:left="1080" w:header="720" w:footer="720" w:gutter="0"/>
          <w:cols w:space="720"/>
          <w:docGrid w:linePitch="360"/>
        </w:sectPr>
      </w:pPr>
      <w:r w:rsidRPr="00470E6E">
        <w:rPr>
          <w:rFonts w:ascii="Times New Roman" w:hAnsi="Times New Roman"/>
          <w:b/>
          <w:noProof/>
          <w:sz w:val="24"/>
        </w:rPr>
        <w:fldChar w:fldCharType="end"/>
      </w:r>
    </w:p>
    <w:p w14:paraId="6C318FFE" w14:textId="77777777" w:rsidR="00036698" w:rsidRPr="00470E6E" w:rsidRDefault="00036698" w:rsidP="00036698">
      <w:pPr>
        <w:pStyle w:val="Heading1"/>
        <w:rPr>
          <w:rFonts w:ascii="Times New Roman" w:hAnsi="Times New Roman"/>
          <w:color w:val="auto"/>
        </w:rPr>
      </w:pPr>
      <w:bookmarkStart w:id="2" w:name="_Toc202865911"/>
      <w:r>
        <w:rPr>
          <w:rFonts w:ascii="Times New Roman" w:hAnsi="Times New Roman"/>
          <w:color w:val="auto"/>
        </w:rPr>
        <w:t>1.</w:t>
      </w:r>
      <w:r>
        <w:rPr>
          <w:rFonts w:ascii="Times New Roman" w:hAnsi="Times New Roman"/>
          <w:color w:val="auto"/>
        </w:rPr>
        <w:tab/>
        <w:t>INTRODUCTION</w:t>
      </w:r>
      <w:bookmarkEnd w:id="2"/>
    </w:p>
    <w:p w14:paraId="446DE548" w14:textId="77777777" w:rsidR="00036698" w:rsidRPr="00470E6E" w:rsidRDefault="00036698" w:rsidP="00036698">
      <w:pPr>
        <w:jc w:val="both"/>
        <w:rPr>
          <w:rFonts w:ascii="Times New Roman" w:hAnsi="Times New Roman"/>
          <w:noProof/>
          <w:sz w:val="24"/>
          <w:szCs w:val="24"/>
        </w:rPr>
      </w:pPr>
      <w:r>
        <w:rPr>
          <w:rFonts w:ascii="Times New Roman" w:hAnsi="Times New Roman"/>
          <w:noProof/>
          <w:sz w:val="24"/>
        </w:rPr>
        <w:t>Depuis 2016, la Commission européenne publie un rapport annuel sur la sécurité des opérations pétrolières et gazières en mer de l’UE.</w:t>
      </w:r>
    </w:p>
    <w:p w14:paraId="4701C51C" w14:textId="589319C6" w:rsidR="00036698" w:rsidRPr="00470E6E" w:rsidRDefault="00036698" w:rsidP="00036698">
      <w:pPr>
        <w:jc w:val="both"/>
        <w:rPr>
          <w:rFonts w:ascii="Times New Roman" w:hAnsi="Times New Roman"/>
          <w:noProof/>
          <w:sz w:val="24"/>
          <w:szCs w:val="24"/>
        </w:rPr>
      </w:pPr>
      <w:r w:rsidRPr="003D2CCD">
        <w:rPr>
          <w:rFonts w:ascii="Times New Roman" w:hAnsi="Times New Roman"/>
          <w:noProof/>
          <w:sz w:val="24"/>
          <w:szCs w:val="24"/>
        </w:rPr>
        <w:t>La base juridique de ce rapport est la directive 2013/30/UE</w:t>
      </w:r>
      <w:r w:rsidRPr="003D2CCD">
        <w:rPr>
          <w:rStyle w:val="FootnoteReference"/>
          <w:rFonts w:ascii="Times New Roman" w:hAnsi="Times New Roman"/>
          <w:noProof/>
          <w:sz w:val="24"/>
          <w:szCs w:val="24"/>
          <w:lang w:val="en-IE"/>
        </w:rPr>
        <w:footnoteReference w:id="1"/>
      </w:r>
      <w:r w:rsidRPr="003D2CCD">
        <w:rPr>
          <w:rFonts w:ascii="Times New Roman" w:hAnsi="Times New Roman"/>
          <w:noProof/>
          <w:sz w:val="24"/>
          <w:szCs w:val="24"/>
        </w:rPr>
        <w:t xml:space="preserve"> du Parlement européen et du Conseil du 12 juin 2013 relative à la sécurité des opérations pétrolières et gazières en mer et modifiant la directive 2004/35/CE (ci-après la «directive sur la sécurité en mer»)</w:t>
      </w:r>
      <w:r w:rsidR="003D2CCD" w:rsidRPr="003D2CCD">
        <w:rPr>
          <w:rFonts w:ascii="Times New Roman" w:hAnsi="Times New Roman"/>
          <w:noProof/>
          <w:sz w:val="24"/>
          <w:szCs w:val="24"/>
        </w:rPr>
        <w:t>,</w:t>
      </w:r>
      <w:r>
        <w:rPr>
          <w:rFonts w:ascii="Times New Roman" w:hAnsi="Times New Roman"/>
          <w:noProof/>
          <w:sz w:val="24"/>
        </w:rPr>
        <w:t xml:space="preserve"> qui vise à atteindre un niveau élevé de sécurité pour les opérations pétrolières et gazières en mer, dans l’intérêt:</w:t>
      </w:r>
    </w:p>
    <w:p w14:paraId="29F3A7BA" w14:textId="4FDCC961" w:rsidR="00036698" w:rsidRPr="00470E6E" w:rsidRDefault="001A7AF6" w:rsidP="00036698">
      <w:pPr>
        <w:pStyle w:val="ListParagraph"/>
        <w:numPr>
          <w:ilvl w:val="0"/>
          <w:numId w:val="25"/>
        </w:numPr>
        <w:jc w:val="both"/>
        <w:rPr>
          <w:rFonts w:ascii="Times New Roman" w:hAnsi="Times New Roman"/>
          <w:noProof/>
          <w:sz w:val="24"/>
          <w:szCs w:val="24"/>
        </w:rPr>
      </w:pPr>
      <w:r>
        <w:rPr>
          <w:rFonts w:ascii="Times New Roman" w:hAnsi="Times New Roman"/>
          <w:noProof/>
          <w:sz w:val="24"/>
        </w:rPr>
        <w:t>des travailleurs;</w:t>
      </w:r>
    </w:p>
    <w:p w14:paraId="03765B46" w14:textId="17FAD611" w:rsidR="00036698" w:rsidRPr="00470E6E" w:rsidRDefault="00036698" w:rsidP="00036698">
      <w:pPr>
        <w:pStyle w:val="ListParagraph"/>
        <w:numPr>
          <w:ilvl w:val="0"/>
          <w:numId w:val="25"/>
        </w:numPr>
        <w:jc w:val="both"/>
        <w:rPr>
          <w:rFonts w:ascii="Times New Roman" w:hAnsi="Times New Roman"/>
          <w:noProof/>
          <w:sz w:val="24"/>
          <w:szCs w:val="24"/>
        </w:rPr>
      </w:pPr>
      <w:r>
        <w:rPr>
          <w:rFonts w:ascii="Times New Roman" w:hAnsi="Times New Roman"/>
          <w:noProof/>
          <w:sz w:val="24"/>
        </w:rPr>
        <w:t>de l'environnement;</w:t>
      </w:r>
    </w:p>
    <w:p w14:paraId="6E983197" w14:textId="63B1620B" w:rsidR="00036698" w:rsidRPr="00470E6E" w:rsidRDefault="00036698" w:rsidP="00036698">
      <w:pPr>
        <w:pStyle w:val="ListParagraph"/>
        <w:numPr>
          <w:ilvl w:val="0"/>
          <w:numId w:val="25"/>
        </w:numPr>
        <w:jc w:val="both"/>
        <w:rPr>
          <w:rFonts w:ascii="Times New Roman" w:hAnsi="Times New Roman"/>
          <w:noProof/>
          <w:sz w:val="24"/>
          <w:szCs w:val="24"/>
        </w:rPr>
      </w:pPr>
      <w:r>
        <w:rPr>
          <w:rFonts w:ascii="Times New Roman" w:hAnsi="Times New Roman"/>
          <w:noProof/>
          <w:sz w:val="24"/>
        </w:rPr>
        <w:t>des plateformes et équipements en mer;</w:t>
      </w:r>
    </w:p>
    <w:p w14:paraId="5FB371A7" w14:textId="77777777" w:rsidR="00036698" w:rsidRPr="00470E6E" w:rsidRDefault="00036698" w:rsidP="00036698">
      <w:pPr>
        <w:pStyle w:val="ListParagraph"/>
        <w:numPr>
          <w:ilvl w:val="0"/>
          <w:numId w:val="25"/>
        </w:numPr>
        <w:jc w:val="both"/>
        <w:rPr>
          <w:rFonts w:ascii="Times New Roman" w:hAnsi="Times New Roman"/>
          <w:noProof/>
          <w:sz w:val="24"/>
          <w:szCs w:val="24"/>
        </w:rPr>
      </w:pPr>
      <w:r>
        <w:rPr>
          <w:rFonts w:ascii="Times New Roman" w:hAnsi="Times New Roman"/>
          <w:noProof/>
          <w:sz w:val="24"/>
        </w:rPr>
        <w:t xml:space="preserve">des activités économiques telles que la pêche et le tourisme. </w:t>
      </w:r>
    </w:p>
    <w:p w14:paraId="021C00FE" w14:textId="77777777" w:rsidR="00036698" w:rsidRPr="00470E6E" w:rsidRDefault="00036698" w:rsidP="00036698">
      <w:pPr>
        <w:jc w:val="both"/>
        <w:rPr>
          <w:rFonts w:ascii="Times New Roman" w:hAnsi="Times New Roman"/>
          <w:noProof/>
          <w:sz w:val="24"/>
          <w:szCs w:val="24"/>
        </w:rPr>
      </w:pPr>
      <w:r>
        <w:rPr>
          <w:rFonts w:ascii="Times New Roman" w:hAnsi="Times New Roman"/>
          <w:noProof/>
          <w:sz w:val="24"/>
        </w:rPr>
        <w:t>La directive, telle que mise en œuvre par les États membres, contribue à:</w:t>
      </w:r>
    </w:p>
    <w:p w14:paraId="075EC447" w14:textId="6FDF78EE" w:rsidR="00036698" w:rsidRPr="00470E6E" w:rsidRDefault="00036698" w:rsidP="00036698">
      <w:pPr>
        <w:pStyle w:val="ListParagraph"/>
        <w:numPr>
          <w:ilvl w:val="0"/>
          <w:numId w:val="26"/>
        </w:numPr>
        <w:jc w:val="both"/>
        <w:rPr>
          <w:rFonts w:ascii="Times New Roman" w:hAnsi="Times New Roman"/>
          <w:noProof/>
          <w:sz w:val="24"/>
          <w:szCs w:val="24"/>
        </w:rPr>
      </w:pPr>
      <w:r>
        <w:rPr>
          <w:rFonts w:ascii="Times New Roman" w:hAnsi="Times New Roman"/>
          <w:noProof/>
          <w:sz w:val="24"/>
        </w:rPr>
        <w:t>prévenir les accidents et incidents majeurs;</w:t>
      </w:r>
    </w:p>
    <w:p w14:paraId="599C8D85" w14:textId="0BC4AC0C" w:rsidR="00036698" w:rsidRPr="00470E6E" w:rsidRDefault="00036698" w:rsidP="00036698">
      <w:pPr>
        <w:pStyle w:val="ListParagraph"/>
        <w:numPr>
          <w:ilvl w:val="0"/>
          <w:numId w:val="26"/>
        </w:numPr>
        <w:jc w:val="both"/>
        <w:rPr>
          <w:rFonts w:ascii="Times New Roman" w:hAnsi="Times New Roman"/>
          <w:noProof/>
          <w:sz w:val="24"/>
          <w:szCs w:val="24"/>
        </w:rPr>
      </w:pPr>
      <w:r>
        <w:rPr>
          <w:rFonts w:ascii="Times New Roman" w:hAnsi="Times New Roman"/>
          <w:noProof/>
          <w:sz w:val="24"/>
        </w:rPr>
        <w:t>réduire le nombre d’incidents;</w:t>
      </w:r>
    </w:p>
    <w:p w14:paraId="65EDFADA" w14:textId="77777777" w:rsidR="00036698" w:rsidRPr="00470E6E" w:rsidRDefault="00036698" w:rsidP="00036698">
      <w:pPr>
        <w:pStyle w:val="ListParagraph"/>
        <w:numPr>
          <w:ilvl w:val="0"/>
          <w:numId w:val="26"/>
        </w:numPr>
        <w:jc w:val="both"/>
        <w:rPr>
          <w:rFonts w:ascii="Times New Roman" w:hAnsi="Times New Roman"/>
          <w:noProof/>
          <w:sz w:val="24"/>
          <w:szCs w:val="24"/>
        </w:rPr>
      </w:pPr>
      <w:r>
        <w:rPr>
          <w:rFonts w:ascii="Times New Roman" w:hAnsi="Times New Roman"/>
          <w:noProof/>
          <w:sz w:val="24"/>
        </w:rPr>
        <w:t>assurer un suivi efficace des accidents et incidents afin de réduire la gravité de leurs conséquences.</w:t>
      </w:r>
    </w:p>
    <w:p w14:paraId="75BD5C0D" w14:textId="77777777" w:rsidR="00036698" w:rsidRPr="00470E6E" w:rsidRDefault="00036698" w:rsidP="00036698">
      <w:pPr>
        <w:jc w:val="both"/>
        <w:rPr>
          <w:rFonts w:ascii="Times New Roman" w:hAnsi="Times New Roman"/>
          <w:noProof/>
          <w:sz w:val="24"/>
          <w:szCs w:val="24"/>
        </w:rPr>
      </w:pPr>
      <w:r>
        <w:rPr>
          <w:rFonts w:ascii="Times New Roman" w:hAnsi="Times New Roman"/>
          <w:noProof/>
          <w:sz w:val="24"/>
        </w:rPr>
        <w:t>Comme le font les rapports précédents, le présent rapport annuel:</w:t>
      </w:r>
    </w:p>
    <w:p w14:paraId="7C815D46" w14:textId="5BC04642" w:rsidR="00036698" w:rsidRPr="00470E6E" w:rsidRDefault="00036698" w:rsidP="00036698">
      <w:pPr>
        <w:pStyle w:val="ListParagraph"/>
        <w:numPr>
          <w:ilvl w:val="0"/>
          <w:numId w:val="27"/>
        </w:numPr>
        <w:jc w:val="both"/>
        <w:rPr>
          <w:rFonts w:ascii="Times New Roman" w:hAnsi="Times New Roman"/>
          <w:noProof/>
          <w:sz w:val="24"/>
          <w:szCs w:val="24"/>
        </w:rPr>
      </w:pPr>
      <w:r>
        <w:rPr>
          <w:rFonts w:ascii="Times New Roman" w:hAnsi="Times New Roman"/>
          <w:noProof/>
          <w:sz w:val="24"/>
        </w:rPr>
        <w:t>fournit des données sur le nombre et le type d’installations dans l’UE;</w:t>
      </w:r>
    </w:p>
    <w:p w14:paraId="09E43EB1" w14:textId="0980C9D8" w:rsidR="00036698" w:rsidRPr="00470E6E" w:rsidRDefault="00036698" w:rsidP="00036698">
      <w:pPr>
        <w:pStyle w:val="ListParagraph"/>
        <w:numPr>
          <w:ilvl w:val="0"/>
          <w:numId w:val="27"/>
        </w:numPr>
        <w:jc w:val="both"/>
        <w:rPr>
          <w:rFonts w:ascii="Times New Roman" w:hAnsi="Times New Roman"/>
          <w:noProof/>
          <w:sz w:val="24"/>
          <w:szCs w:val="24"/>
        </w:rPr>
      </w:pPr>
      <w:r>
        <w:rPr>
          <w:rFonts w:ascii="Times New Roman" w:hAnsi="Times New Roman"/>
          <w:noProof/>
          <w:sz w:val="24"/>
        </w:rPr>
        <w:t>donne des informations sur les incidents de sécurité dans ces installations;</w:t>
      </w:r>
    </w:p>
    <w:p w14:paraId="1445D44F" w14:textId="77777777" w:rsidR="00036698" w:rsidRPr="00470E6E" w:rsidRDefault="00036698" w:rsidP="00036698">
      <w:pPr>
        <w:pStyle w:val="ListParagraph"/>
        <w:numPr>
          <w:ilvl w:val="0"/>
          <w:numId w:val="27"/>
        </w:numPr>
        <w:jc w:val="both"/>
        <w:rPr>
          <w:rFonts w:ascii="Times New Roman" w:hAnsi="Times New Roman"/>
          <w:noProof/>
          <w:sz w:val="24"/>
          <w:szCs w:val="24"/>
        </w:rPr>
      </w:pPr>
      <w:r>
        <w:rPr>
          <w:rFonts w:ascii="Times New Roman" w:hAnsi="Times New Roman"/>
          <w:noProof/>
          <w:sz w:val="24"/>
        </w:rPr>
        <w:t xml:space="preserve">évalue la performance en matière de sécurité des opérations pétrolières et gazières en mer. </w:t>
      </w:r>
    </w:p>
    <w:p w14:paraId="55EEA387" w14:textId="0A99A59D" w:rsidR="00036698" w:rsidRPr="00470E6E" w:rsidRDefault="00036698" w:rsidP="00036698">
      <w:pPr>
        <w:jc w:val="both"/>
        <w:rPr>
          <w:rFonts w:ascii="Times New Roman" w:hAnsi="Times New Roman"/>
          <w:noProof/>
          <w:sz w:val="24"/>
          <w:szCs w:val="24"/>
        </w:rPr>
      </w:pPr>
      <w:r>
        <w:rPr>
          <w:rFonts w:ascii="Times New Roman" w:hAnsi="Times New Roman"/>
          <w:noProof/>
          <w:sz w:val="24"/>
        </w:rPr>
        <w:t>Le rapport couvre à présent une période de huit ans et il documente l’évolution des performances en matière de sécurité des activités pétrolières et gazières en mer des États membres.</w:t>
      </w:r>
    </w:p>
    <w:p w14:paraId="3F046129" w14:textId="77777777" w:rsidR="00036698" w:rsidRPr="00470E6E" w:rsidRDefault="00036698" w:rsidP="00036698">
      <w:pPr>
        <w:jc w:val="both"/>
        <w:rPr>
          <w:rFonts w:ascii="Times New Roman" w:hAnsi="Times New Roman"/>
          <w:noProof/>
          <w:sz w:val="24"/>
          <w:szCs w:val="24"/>
        </w:rPr>
      </w:pPr>
      <w:r>
        <w:rPr>
          <w:rFonts w:ascii="Times New Roman" w:hAnsi="Times New Roman"/>
          <w:noProof/>
          <w:sz w:val="24"/>
        </w:rPr>
        <w:t>Le présent rapport se fonde sur les rapports annuels et les données communiqués par les États membres conformément à la directive sur la sécurité en mer.</w:t>
      </w:r>
    </w:p>
    <w:p w14:paraId="26104A0C" w14:textId="2057F1AD" w:rsidR="00036698" w:rsidRPr="00470E6E" w:rsidRDefault="00036698" w:rsidP="00036698">
      <w:pPr>
        <w:jc w:val="both"/>
        <w:rPr>
          <w:rFonts w:ascii="Times New Roman" w:hAnsi="Times New Roman"/>
          <w:noProof/>
          <w:sz w:val="24"/>
          <w:szCs w:val="24"/>
        </w:rPr>
      </w:pPr>
      <w:r>
        <w:rPr>
          <w:rFonts w:ascii="Times New Roman" w:hAnsi="Times New Roman"/>
          <w:noProof/>
          <w:sz w:val="24"/>
        </w:rPr>
        <w:t>On compte 164 installations situées en mer Méditerranée, tandis que 136 installations se trouvent en mer du Nord et dans l’océan Atlantique, 9 en mer Noire et 4 en mer Baltique. En 2023, les autorités compétentes des États membres ont inspecté 388 installations en mer relevant de leur juridiction. Les pays n’ont pas signalé d’accidents majeurs.</w:t>
      </w:r>
    </w:p>
    <w:p w14:paraId="59F57444" w14:textId="2C8A5DC4" w:rsidR="00036698" w:rsidRPr="00470E6E" w:rsidRDefault="00036698" w:rsidP="00036698">
      <w:pPr>
        <w:jc w:val="both"/>
        <w:rPr>
          <w:rFonts w:ascii="Times New Roman" w:hAnsi="Times New Roman"/>
          <w:noProof/>
          <w:sz w:val="24"/>
          <w:szCs w:val="24"/>
        </w:rPr>
      </w:pPr>
      <w:r>
        <w:rPr>
          <w:rFonts w:ascii="Times New Roman" w:hAnsi="Times New Roman"/>
          <w:noProof/>
          <w:sz w:val="24"/>
        </w:rPr>
        <w:t xml:space="preserve">Le nombre d’incidents a augmenté, passant de 37 en 2022 à 44 en 2023. </w:t>
      </w:r>
    </w:p>
    <w:p w14:paraId="387A409A" w14:textId="77777777" w:rsidR="00036698" w:rsidRPr="00470E6E" w:rsidRDefault="00036698" w:rsidP="00036698">
      <w:pPr>
        <w:pStyle w:val="Heading1"/>
        <w:rPr>
          <w:rFonts w:ascii="Times New Roman" w:hAnsi="Times New Roman"/>
          <w:color w:val="auto"/>
        </w:rPr>
      </w:pPr>
      <w:bookmarkStart w:id="3" w:name="_Toc202865912"/>
      <w:r>
        <w:rPr>
          <w:rFonts w:ascii="Times New Roman" w:hAnsi="Times New Roman"/>
          <w:color w:val="auto"/>
        </w:rPr>
        <w:t>2.</w:t>
      </w:r>
      <w:r>
        <w:rPr>
          <w:rFonts w:ascii="Times New Roman" w:hAnsi="Times New Roman"/>
          <w:color w:val="auto"/>
        </w:rPr>
        <w:tab/>
        <w:t>BASE JURIDIQUE</w:t>
      </w:r>
      <w:bookmarkEnd w:id="3"/>
    </w:p>
    <w:p w14:paraId="450D1D00" w14:textId="6F6721F4" w:rsidR="00036698" w:rsidRPr="00470E6E" w:rsidRDefault="00036698" w:rsidP="00036698">
      <w:pPr>
        <w:jc w:val="both"/>
        <w:rPr>
          <w:rFonts w:ascii="Times New Roman" w:hAnsi="Times New Roman"/>
          <w:noProof/>
          <w:sz w:val="24"/>
          <w:szCs w:val="24"/>
        </w:rPr>
      </w:pPr>
      <w:r>
        <w:rPr>
          <w:rFonts w:ascii="Times New Roman" w:hAnsi="Times New Roman"/>
          <w:noProof/>
          <w:sz w:val="24"/>
        </w:rPr>
        <w:t>En vertu de l’article 25 de la directive sur la sécurité en mer, la Commission doit publier un rapport annuel sur les incidences en matière de sécurité et d’environnement des opérations pétrolières et gazières en mer. Ce rapport se fonde sur les rapports annuels individuels que les États membres doivent soumettre à la Commission. L’annexe IX, point 3, de la directive définit les informations minimales que les rapports annuels doivent contenir:</w:t>
      </w:r>
    </w:p>
    <w:p w14:paraId="231E66AA" w14:textId="628E914A" w:rsidR="00036698" w:rsidRPr="00470E6E" w:rsidRDefault="00036698" w:rsidP="001A7AF6">
      <w:pPr>
        <w:pStyle w:val="ListParagraph"/>
        <w:numPr>
          <w:ilvl w:val="0"/>
          <w:numId w:val="32"/>
        </w:numPr>
        <w:jc w:val="both"/>
        <w:rPr>
          <w:rFonts w:ascii="Times New Roman" w:hAnsi="Times New Roman"/>
          <w:noProof/>
          <w:sz w:val="24"/>
          <w:szCs w:val="24"/>
        </w:rPr>
      </w:pPr>
      <w:r>
        <w:rPr>
          <w:rFonts w:ascii="Times New Roman" w:hAnsi="Times New Roman"/>
          <w:noProof/>
          <w:sz w:val="24"/>
        </w:rPr>
        <w:t>le nombre, l’ancienneté et l’implantation des installations;</w:t>
      </w:r>
    </w:p>
    <w:p w14:paraId="60553D2E" w14:textId="6622FB09" w:rsidR="00036698" w:rsidRPr="00470E6E" w:rsidRDefault="00036698" w:rsidP="001A7AF6">
      <w:pPr>
        <w:pStyle w:val="ListParagraph"/>
        <w:numPr>
          <w:ilvl w:val="0"/>
          <w:numId w:val="32"/>
        </w:numPr>
        <w:jc w:val="both"/>
        <w:rPr>
          <w:rFonts w:ascii="Times New Roman" w:hAnsi="Times New Roman"/>
          <w:noProof/>
          <w:sz w:val="24"/>
          <w:szCs w:val="24"/>
        </w:rPr>
      </w:pPr>
      <w:r>
        <w:rPr>
          <w:rFonts w:ascii="Times New Roman" w:hAnsi="Times New Roman"/>
          <w:noProof/>
          <w:sz w:val="24"/>
        </w:rPr>
        <w:t>le nombre et le type d’inspections et d’enquêtes réalisées, les mesures coercitives éventuellement prises ou les condamnations éventuelles;</w:t>
      </w:r>
    </w:p>
    <w:p w14:paraId="4118FB1B" w14:textId="5840736C" w:rsidR="00036698" w:rsidRPr="00470E6E" w:rsidRDefault="00036698" w:rsidP="001A7AF6">
      <w:pPr>
        <w:pStyle w:val="ListParagraph"/>
        <w:numPr>
          <w:ilvl w:val="0"/>
          <w:numId w:val="32"/>
        </w:numPr>
        <w:jc w:val="both"/>
        <w:rPr>
          <w:rFonts w:ascii="Times New Roman" w:hAnsi="Times New Roman"/>
          <w:noProof/>
          <w:sz w:val="24"/>
          <w:szCs w:val="24"/>
        </w:rPr>
      </w:pPr>
      <w:r>
        <w:rPr>
          <w:rFonts w:ascii="Times New Roman" w:hAnsi="Times New Roman"/>
          <w:noProof/>
          <w:sz w:val="24"/>
        </w:rPr>
        <w:t>les incidents qui se sont produits;</w:t>
      </w:r>
    </w:p>
    <w:p w14:paraId="76661C23" w14:textId="74C8C8A7" w:rsidR="00036698" w:rsidRPr="00470E6E" w:rsidRDefault="00036698" w:rsidP="001A7AF6">
      <w:pPr>
        <w:pStyle w:val="ListParagraph"/>
        <w:numPr>
          <w:ilvl w:val="0"/>
          <w:numId w:val="32"/>
        </w:numPr>
        <w:jc w:val="both"/>
        <w:rPr>
          <w:rFonts w:ascii="Times New Roman" w:hAnsi="Times New Roman"/>
          <w:noProof/>
          <w:sz w:val="24"/>
          <w:szCs w:val="24"/>
        </w:rPr>
      </w:pPr>
      <w:r>
        <w:rPr>
          <w:rFonts w:ascii="Times New Roman" w:hAnsi="Times New Roman"/>
          <w:noProof/>
          <w:sz w:val="24"/>
        </w:rPr>
        <w:t>toute modification importante du cadre réglementaire relatif aux activités en mer;</w:t>
      </w:r>
    </w:p>
    <w:p w14:paraId="4652690B" w14:textId="050A95CF" w:rsidR="00036698" w:rsidRPr="00470E6E" w:rsidRDefault="00036698" w:rsidP="001A7AF6">
      <w:pPr>
        <w:pStyle w:val="ListParagraph"/>
        <w:numPr>
          <w:ilvl w:val="0"/>
          <w:numId w:val="32"/>
        </w:numPr>
        <w:jc w:val="both"/>
        <w:rPr>
          <w:rFonts w:ascii="Times New Roman" w:hAnsi="Times New Roman"/>
          <w:noProof/>
          <w:sz w:val="24"/>
          <w:szCs w:val="24"/>
        </w:rPr>
      </w:pPr>
      <w:r>
        <w:rPr>
          <w:rFonts w:ascii="Times New Roman" w:hAnsi="Times New Roman"/>
          <w:noProof/>
          <w:sz w:val="24"/>
        </w:rPr>
        <w:t>les résultats obtenus dans le cadre des opérations pétrolières et gazières en mer.</w:t>
      </w:r>
    </w:p>
    <w:p w14:paraId="6294AE6D" w14:textId="608BFB85" w:rsidR="00036698" w:rsidRPr="00470E6E" w:rsidRDefault="00036698" w:rsidP="00036698">
      <w:pPr>
        <w:jc w:val="both"/>
        <w:rPr>
          <w:rFonts w:ascii="Times New Roman" w:hAnsi="Times New Roman"/>
          <w:noProof/>
          <w:sz w:val="24"/>
          <w:szCs w:val="24"/>
        </w:rPr>
      </w:pPr>
      <w:r>
        <w:rPr>
          <w:rFonts w:ascii="Times New Roman" w:hAnsi="Times New Roman"/>
          <w:noProof/>
          <w:sz w:val="24"/>
        </w:rPr>
        <w:t>Les États membres doivent publier et soumettre les informations requises au plus tard le 1</w:t>
      </w:r>
      <w:r>
        <w:rPr>
          <w:rFonts w:ascii="Times New Roman" w:hAnsi="Times New Roman"/>
          <w:noProof/>
          <w:sz w:val="24"/>
          <w:vertAlign w:val="superscript"/>
        </w:rPr>
        <w:t>er</w:t>
      </w:r>
      <w:r>
        <w:rPr>
          <w:rFonts w:ascii="Times New Roman" w:hAnsi="Times New Roman"/>
          <w:noProof/>
          <w:sz w:val="24"/>
        </w:rPr>
        <w:t xml:space="preserve"> juin qui suit la période de référence (par exemple, le 1</w:t>
      </w:r>
      <w:r>
        <w:rPr>
          <w:rFonts w:ascii="Times New Roman" w:hAnsi="Times New Roman"/>
          <w:noProof/>
          <w:sz w:val="24"/>
          <w:vertAlign w:val="superscript"/>
        </w:rPr>
        <w:t>er</w:t>
      </w:r>
      <w:r>
        <w:rPr>
          <w:rFonts w:ascii="Times New Roman" w:hAnsi="Times New Roman"/>
          <w:noProof/>
          <w:sz w:val="24"/>
        </w:rPr>
        <w:t xml:space="preserve"> juin 2024 pour l’année 2023).</w:t>
      </w:r>
    </w:p>
    <w:p w14:paraId="7CF466DB" w14:textId="77777777" w:rsidR="00036698" w:rsidRPr="00470E6E" w:rsidRDefault="00036698" w:rsidP="00036698">
      <w:pPr>
        <w:jc w:val="both"/>
        <w:rPr>
          <w:rFonts w:ascii="Times New Roman" w:hAnsi="Times New Roman"/>
          <w:noProof/>
          <w:sz w:val="24"/>
          <w:szCs w:val="24"/>
        </w:rPr>
      </w:pPr>
      <w:r>
        <w:rPr>
          <w:rFonts w:ascii="Times New Roman" w:hAnsi="Times New Roman"/>
          <w:noProof/>
          <w:sz w:val="24"/>
        </w:rPr>
        <w:t>Les États membres doivent soumettre les informations en utilisant les modèles fournis dans le règlement d’exécution (UE) nº 1112/2014 de la Commission du 13 octobre 2014</w:t>
      </w:r>
      <w:r w:rsidRPr="00470E6E">
        <w:rPr>
          <w:rStyle w:val="FootnoteReference"/>
          <w:rFonts w:ascii="Times New Roman" w:hAnsi="Times New Roman"/>
          <w:noProof/>
          <w:sz w:val="24"/>
          <w:szCs w:val="24"/>
          <w:lang w:val="en-IE"/>
        </w:rPr>
        <w:footnoteReference w:id="2"/>
      </w:r>
      <w:r>
        <w:rPr>
          <w:rFonts w:ascii="Times New Roman" w:hAnsi="Times New Roman"/>
          <w:noProof/>
          <w:sz w:val="24"/>
        </w:rPr>
        <w:t>. Les modèles permettent:</w:t>
      </w:r>
    </w:p>
    <w:p w14:paraId="471AE8E7" w14:textId="7D43D5EC" w:rsidR="00036698" w:rsidRPr="00470E6E" w:rsidRDefault="00036698" w:rsidP="00036698">
      <w:pPr>
        <w:pStyle w:val="ListParagraph"/>
        <w:numPr>
          <w:ilvl w:val="0"/>
          <w:numId w:val="28"/>
        </w:numPr>
        <w:jc w:val="both"/>
        <w:rPr>
          <w:rFonts w:ascii="Times New Roman" w:hAnsi="Times New Roman"/>
          <w:noProof/>
          <w:sz w:val="24"/>
          <w:szCs w:val="24"/>
        </w:rPr>
      </w:pPr>
      <w:r>
        <w:rPr>
          <w:rFonts w:ascii="Times New Roman" w:hAnsi="Times New Roman"/>
          <w:noProof/>
          <w:sz w:val="24"/>
        </w:rPr>
        <w:t>aux exploitants et propriétaires d’installations pétrolières et gazières en mer, de partager des informations sur les indicateurs des dangers majeurs;</w:t>
      </w:r>
    </w:p>
    <w:p w14:paraId="6E65BDCE" w14:textId="57404F36" w:rsidR="00036698" w:rsidRPr="00470E6E" w:rsidRDefault="000B31FB" w:rsidP="00036698">
      <w:pPr>
        <w:pStyle w:val="ListParagraph"/>
        <w:numPr>
          <w:ilvl w:val="0"/>
          <w:numId w:val="28"/>
        </w:numPr>
        <w:jc w:val="both"/>
        <w:rPr>
          <w:rFonts w:ascii="Times New Roman" w:hAnsi="Times New Roman"/>
          <w:noProof/>
          <w:sz w:val="24"/>
          <w:szCs w:val="24"/>
        </w:rPr>
      </w:pPr>
      <w:r>
        <w:rPr>
          <w:rFonts w:ascii="Times New Roman" w:hAnsi="Times New Roman"/>
          <w:noProof/>
          <w:sz w:val="24"/>
        </w:rPr>
        <w:t>l</w:t>
      </w:r>
      <w:r w:rsidR="00036698">
        <w:rPr>
          <w:rFonts w:ascii="Times New Roman" w:hAnsi="Times New Roman"/>
          <w:noProof/>
          <w:sz w:val="24"/>
        </w:rPr>
        <w:t xml:space="preserve">es États membres publient des informations sur les indicateurs des dangers majeurs. </w:t>
      </w:r>
    </w:p>
    <w:p w14:paraId="502F8A83" w14:textId="77777777" w:rsidR="00036698" w:rsidRPr="00470E6E" w:rsidRDefault="00036698" w:rsidP="00036698">
      <w:pPr>
        <w:jc w:val="both"/>
        <w:rPr>
          <w:rFonts w:ascii="Times New Roman" w:hAnsi="Times New Roman"/>
          <w:noProof/>
          <w:sz w:val="24"/>
          <w:szCs w:val="24"/>
        </w:rPr>
      </w:pPr>
      <w:r>
        <w:rPr>
          <w:rFonts w:ascii="Times New Roman" w:hAnsi="Times New Roman"/>
          <w:noProof/>
          <w:sz w:val="24"/>
        </w:rPr>
        <w:t>Un document d’orientation</w:t>
      </w:r>
      <w:r w:rsidRPr="00470E6E">
        <w:rPr>
          <w:rStyle w:val="FootnoteReference"/>
          <w:rFonts w:ascii="Times New Roman" w:hAnsi="Times New Roman"/>
          <w:noProof/>
          <w:sz w:val="24"/>
          <w:szCs w:val="24"/>
          <w:lang w:val="en-IE"/>
        </w:rPr>
        <w:footnoteReference w:id="3"/>
      </w:r>
      <w:r>
        <w:rPr>
          <w:rFonts w:ascii="Times New Roman" w:hAnsi="Times New Roman"/>
          <w:noProof/>
          <w:sz w:val="24"/>
        </w:rPr>
        <w:t xml:space="preserve"> fournit des informations supplémentaires spécifiques sur le règlement d’exécution et explique comment utiliser les modèles de communication des données.</w:t>
      </w:r>
    </w:p>
    <w:p w14:paraId="4AE19509" w14:textId="77777777" w:rsidR="00036698" w:rsidRPr="00470E6E" w:rsidRDefault="00036698" w:rsidP="00036698">
      <w:pPr>
        <w:pStyle w:val="Heading1"/>
        <w:ind w:left="720" w:hanging="720"/>
        <w:rPr>
          <w:rFonts w:ascii="Times New Roman" w:hAnsi="Times New Roman"/>
          <w:color w:val="auto"/>
        </w:rPr>
      </w:pPr>
      <w:bookmarkStart w:id="4" w:name="_Toc202865913"/>
      <w:r>
        <w:rPr>
          <w:rFonts w:ascii="Times New Roman" w:hAnsi="Times New Roman"/>
          <w:color w:val="auto"/>
        </w:rPr>
        <w:t>3.</w:t>
      </w:r>
      <w:r>
        <w:rPr>
          <w:rFonts w:ascii="Times New Roman" w:hAnsi="Times New Roman"/>
          <w:color w:val="auto"/>
        </w:rPr>
        <w:tab/>
        <w:t>MÉTHODOLOGIE ET INFORMATIONS REÇUES</w:t>
      </w:r>
      <w:bookmarkEnd w:id="4"/>
      <w:r>
        <w:rPr>
          <w:rFonts w:ascii="Times New Roman" w:hAnsi="Times New Roman"/>
          <w:color w:val="auto"/>
        </w:rPr>
        <w:t xml:space="preserve"> </w:t>
      </w:r>
    </w:p>
    <w:p w14:paraId="4B1F651E" w14:textId="49DA257D" w:rsidR="00036698" w:rsidRPr="00470E6E" w:rsidRDefault="00036698" w:rsidP="00036698">
      <w:pPr>
        <w:jc w:val="both"/>
        <w:rPr>
          <w:rFonts w:ascii="Times New Roman" w:hAnsi="Times New Roman"/>
          <w:noProof/>
          <w:sz w:val="24"/>
          <w:szCs w:val="24"/>
        </w:rPr>
      </w:pPr>
      <w:r>
        <w:rPr>
          <w:rFonts w:ascii="Times New Roman" w:hAnsi="Times New Roman"/>
          <w:noProof/>
          <w:sz w:val="24"/>
        </w:rPr>
        <w:t>Les États membres doivent fournir des informations clairement définies sur les incidents de sécurité dans le secteur pétrolier et gazier en mer en utilisant les modèles. Les données doivent inclure des informations sur les installations pétrolières et gazières en mer dans l’UE, telles que le nombre, le type, l’implantation et l’ancienneté. Les rapports des États membres doivent également fournir des informations sur le nombre i) d’inspections en mer, d’enquêtes et de mesures d’exécution prises; ii) d’incidents par catégorie; et iii) de blessures.</w:t>
      </w:r>
    </w:p>
    <w:p w14:paraId="07DA280B" w14:textId="586AC59E" w:rsidR="00036698" w:rsidRPr="00470E6E" w:rsidRDefault="00036698" w:rsidP="00036698">
      <w:pPr>
        <w:jc w:val="both"/>
        <w:rPr>
          <w:rFonts w:ascii="Times New Roman" w:hAnsi="Times New Roman"/>
          <w:noProof/>
          <w:sz w:val="24"/>
          <w:szCs w:val="24"/>
        </w:rPr>
      </w:pPr>
      <w:r>
        <w:rPr>
          <w:rFonts w:ascii="Times New Roman" w:hAnsi="Times New Roman"/>
          <w:noProof/>
          <w:sz w:val="24"/>
        </w:rPr>
        <w:t xml:space="preserve">Pour le présent rapport annuel, la Commission a utilisé les informations fournies par la Bulgarie, la Croatie, Chypre, le Danemark, la France, l’Allemagne, la Grèce, l’Irlande, l’Italie, Malte, les Pays-Bas, la Pologne, la Roumanie, l’Espagne et la Suède. Les autres États membres n’ont pas exercé d’activités dans le secteur des opérations pétrolières et gazières en mer ou n’ont pas soumis d’informations. Tous les États membres ayant effectué des opérations pétrolières et gazières en mer ont déclaré avoir fourni toutes les informations requises sur l’ensemble des installations. </w:t>
      </w:r>
    </w:p>
    <w:p w14:paraId="573EDE2D" w14:textId="77777777" w:rsidR="00036698" w:rsidRPr="00470E6E" w:rsidRDefault="00036698" w:rsidP="00036698">
      <w:pPr>
        <w:pStyle w:val="Heading1"/>
        <w:ind w:left="720" w:hanging="720"/>
        <w:rPr>
          <w:rFonts w:ascii="Times New Roman" w:hAnsi="Times New Roman"/>
          <w:color w:val="auto"/>
        </w:rPr>
      </w:pPr>
      <w:bookmarkStart w:id="5" w:name="_Toc202865914"/>
      <w:r>
        <w:rPr>
          <w:rFonts w:ascii="Times New Roman" w:hAnsi="Times New Roman"/>
          <w:color w:val="auto"/>
        </w:rPr>
        <w:t>4.</w:t>
      </w:r>
      <w:r>
        <w:rPr>
          <w:rFonts w:ascii="Times New Roman" w:hAnsi="Times New Roman"/>
          <w:color w:val="auto"/>
        </w:rPr>
        <w:tab/>
        <w:t>LE SECTEUR PÉTROLIER ET GAZIER EN MER DE L’UE</w:t>
      </w:r>
      <w:bookmarkEnd w:id="5"/>
    </w:p>
    <w:p w14:paraId="21DE3652" w14:textId="77777777" w:rsidR="00036698" w:rsidRPr="00470E6E" w:rsidRDefault="00036698" w:rsidP="00036698">
      <w:pPr>
        <w:pStyle w:val="Heading2"/>
        <w:spacing w:after="120"/>
        <w:rPr>
          <w:rFonts w:ascii="Times New Roman" w:hAnsi="Times New Roman"/>
          <w:noProof/>
          <w:color w:val="auto"/>
        </w:rPr>
      </w:pPr>
      <w:bookmarkStart w:id="6" w:name="_Toc202865915"/>
      <w:r>
        <w:rPr>
          <w:rFonts w:ascii="Times New Roman" w:hAnsi="Times New Roman"/>
          <w:noProof/>
          <w:color w:val="auto"/>
        </w:rPr>
        <w:t>4.1</w:t>
      </w:r>
      <w:r>
        <w:rPr>
          <w:rFonts w:ascii="Times New Roman" w:hAnsi="Times New Roman"/>
          <w:noProof/>
          <w:color w:val="auto"/>
        </w:rPr>
        <w:tab/>
        <w:t>Installations et production</w:t>
      </w:r>
      <w:bookmarkEnd w:id="6"/>
    </w:p>
    <w:p w14:paraId="64D6B6B0" w14:textId="6B9BD5DD" w:rsidR="00036698" w:rsidRPr="00470E6E" w:rsidRDefault="00036698" w:rsidP="00036698">
      <w:pPr>
        <w:jc w:val="both"/>
        <w:rPr>
          <w:rFonts w:ascii="Times New Roman" w:hAnsi="Times New Roman"/>
          <w:noProof/>
          <w:sz w:val="24"/>
          <w:szCs w:val="24"/>
        </w:rPr>
      </w:pPr>
      <w:r>
        <w:rPr>
          <w:rFonts w:ascii="Times New Roman" w:hAnsi="Times New Roman"/>
          <w:noProof/>
          <w:sz w:val="24"/>
        </w:rPr>
        <w:t>Les États membres ont déclaré 313 installations dans les eaux de l’UE en 2023 (voir tableau 1):</w:t>
      </w:r>
    </w:p>
    <w:p w14:paraId="1C2B620B" w14:textId="3DE89F22" w:rsidR="00036698" w:rsidRPr="00470E6E" w:rsidRDefault="00036698" w:rsidP="00036698">
      <w:pPr>
        <w:pStyle w:val="ListParagraph"/>
        <w:numPr>
          <w:ilvl w:val="0"/>
          <w:numId w:val="29"/>
        </w:numPr>
        <w:jc w:val="both"/>
        <w:rPr>
          <w:rFonts w:ascii="Times New Roman" w:hAnsi="Times New Roman"/>
          <w:noProof/>
          <w:sz w:val="24"/>
          <w:szCs w:val="24"/>
        </w:rPr>
      </w:pPr>
      <w:r>
        <w:rPr>
          <w:rFonts w:ascii="Times New Roman" w:hAnsi="Times New Roman"/>
          <w:noProof/>
          <w:sz w:val="24"/>
        </w:rPr>
        <w:t>La plupart des installations en mer</w:t>
      </w:r>
      <w:r w:rsidRPr="00470E6E">
        <w:rPr>
          <w:rStyle w:val="FootnoteReference"/>
          <w:rFonts w:ascii="Times New Roman" w:hAnsi="Times New Roman"/>
          <w:noProof/>
          <w:sz w:val="24"/>
          <w:szCs w:val="24"/>
          <w:lang w:val="en-IE"/>
        </w:rPr>
        <w:footnoteReference w:id="4"/>
      </w:r>
      <w:r>
        <w:rPr>
          <w:rFonts w:ascii="Times New Roman" w:hAnsi="Times New Roman"/>
          <w:noProof/>
          <w:sz w:val="24"/>
        </w:rPr>
        <w:t xml:space="preserve"> se trouvaient en mer Méditerranée. L’Italie est l’État membre le plus actif (45 % de l’ensemble des installations dans les eaux de l’Union), suivi de la Croatie</w:t>
      </w:r>
      <w:bookmarkStart w:id="7" w:name="_Hlk147743046"/>
      <w:bookmarkEnd w:id="7"/>
      <w:r>
        <w:rPr>
          <w:rFonts w:ascii="Times New Roman" w:hAnsi="Times New Roman"/>
          <w:noProof/>
          <w:sz w:val="24"/>
        </w:rPr>
        <w:t xml:space="preserve">. </w:t>
      </w:r>
    </w:p>
    <w:p w14:paraId="475D0D3F" w14:textId="58F3B28F" w:rsidR="00036698" w:rsidRPr="00470E6E" w:rsidRDefault="00036698" w:rsidP="00036698">
      <w:pPr>
        <w:pStyle w:val="ListParagraph"/>
        <w:numPr>
          <w:ilvl w:val="0"/>
          <w:numId w:val="29"/>
        </w:numPr>
        <w:jc w:val="both"/>
        <w:rPr>
          <w:rFonts w:ascii="Times New Roman" w:hAnsi="Times New Roman"/>
          <w:noProof/>
          <w:sz w:val="24"/>
          <w:szCs w:val="24"/>
        </w:rPr>
      </w:pPr>
      <w:r>
        <w:rPr>
          <w:rFonts w:ascii="Times New Roman" w:hAnsi="Times New Roman"/>
          <w:noProof/>
          <w:sz w:val="24"/>
        </w:rPr>
        <w:t>En mer du Nord et dans l’Atlantique, la plupart des installations (environ 37 % de l’ensemble des installations situées dans les eaux de l’UE) se trouvaient dans la partie néerlandaise de la mer du Nord (connue sous le nom de zone économique exclusive des Pays-Bas).</w:t>
      </w:r>
    </w:p>
    <w:p w14:paraId="57D20E24" w14:textId="556EEFFE" w:rsidR="00036698" w:rsidRPr="00470E6E" w:rsidRDefault="00036698" w:rsidP="00036698">
      <w:pPr>
        <w:pStyle w:val="ListParagraph"/>
        <w:numPr>
          <w:ilvl w:val="0"/>
          <w:numId w:val="29"/>
        </w:numPr>
        <w:jc w:val="both"/>
        <w:rPr>
          <w:rFonts w:ascii="Times New Roman" w:hAnsi="Times New Roman"/>
          <w:noProof/>
          <w:sz w:val="24"/>
          <w:szCs w:val="24"/>
        </w:rPr>
      </w:pPr>
      <w:r>
        <w:rPr>
          <w:rFonts w:ascii="Times New Roman" w:hAnsi="Times New Roman"/>
          <w:noProof/>
          <w:sz w:val="24"/>
        </w:rPr>
        <w:t xml:space="preserve">En mer Noire, la Roumanie possède une industrie pétrolière et gazière en mer bien établie. La Bulgarie a poursuivi l’exploration des hydrocarbures en mer, mais ne dispose que d’une seule installation et produit donc très peu de pétrole et de gaz. </w:t>
      </w:r>
    </w:p>
    <w:p w14:paraId="30755644" w14:textId="52A4F45A" w:rsidR="00036698" w:rsidRPr="00470E6E" w:rsidRDefault="00036698" w:rsidP="00036698">
      <w:pPr>
        <w:pStyle w:val="ListParagraph"/>
        <w:numPr>
          <w:ilvl w:val="0"/>
          <w:numId w:val="29"/>
        </w:numPr>
        <w:jc w:val="both"/>
        <w:rPr>
          <w:noProof/>
        </w:rPr>
      </w:pPr>
      <w:r>
        <w:rPr>
          <w:rFonts w:ascii="Times New Roman" w:hAnsi="Times New Roman"/>
          <w:noProof/>
          <w:sz w:val="24"/>
        </w:rPr>
        <w:t xml:space="preserve">En mer Baltique, seule la Pologne possède des installations en mer. </w:t>
      </w:r>
    </w:p>
    <w:p w14:paraId="34EE2A6B" w14:textId="77777777" w:rsidR="00036698" w:rsidRPr="00470E6E" w:rsidRDefault="00036698" w:rsidP="00036698">
      <w:pPr>
        <w:pStyle w:val="Caption"/>
        <w:rPr>
          <w:noProof/>
        </w:rPr>
      </w:pPr>
      <w:r>
        <w:rPr>
          <w:noProof/>
        </w:rPr>
        <w:t>Tableau 1: Installations au 1</w:t>
      </w:r>
      <w:r>
        <w:rPr>
          <w:noProof/>
          <w:vertAlign w:val="superscript"/>
        </w:rPr>
        <w:t>er</w:t>
      </w:r>
      <w:r>
        <w:rPr>
          <w:noProof/>
        </w:rPr>
        <w:t xml:space="preserve"> janvier 2023: type d’installation, par région et par État membre</w:t>
      </w:r>
    </w:p>
    <w:tbl>
      <w:tblPr>
        <w:tblStyle w:val="TableGrid"/>
        <w:tblW w:w="10031" w:type="dxa"/>
        <w:tblLook w:val="04A0" w:firstRow="1" w:lastRow="0" w:firstColumn="1" w:lastColumn="0" w:noHBand="0" w:noVBand="1"/>
      </w:tblPr>
      <w:tblGrid>
        <w:gridCol w:w="2336"/>
        <w:gridCol w:w="1356"/>
        <w:gridCol w:w="923"/>
        <w:gridCol w:w="923"/>
        <w:gridCol w:w="923"/>
        <w:gridCol w:w="923"/>
        <w:gridCol w:w="1562"/>
        <w:gridCol w:w="1085"/>
      </w:tblGrid>
      <w:tr w:rsidR="00036698" w:rsidRPr="00470E6E" w14:paraId="685ED24C" w14:textId="77777777" w:rsidTr="00FC5D04">
        <w:trPr>
          <w:trHeight w:val="292"/>
        </w:trPr>
        <w:tc>
          <w:tcPr>
            <w:tcW w:w="2336" w:type="dxa"/>
            <w:noWrap/>
            <w:hideMark/>
          </w:tcPr>
          <w:p w14:paraId="2FDE1FD7" w14:textId="77777777" w:rsidR="00036698" w:rsidRPr="00470E6E" w:rsidRDefault="00036698" w:rsidP="00370D52">
            <w:pPr>
              <w:rPr>
                <w:b/>
                <w:bCs/>
                <w:noProof/>
              </w:rPr>
            </w:pPr>
            <w:r>
              <w:rPr>
                <w:b/>
                <w:noProof/>
              </w:rPr>
              <w:t>Région</w:t>
            </w:r>
          </w:p>
        </w:tc>
        <w:tc>
          <w:tcPr>
            <w:tcW w:w="1356" w:type="dxa"/>
            <w:noWrap/>
          </w:tcPr>
          <w:p w14:paraId="77785431" w14:textId="77777777" w:rsidR="00036698" w:rsidRPr="00470E6E" w:rsidRDefault="00036698" w:rsidP="00370D52">
            <w:pPr>
              <w:rPr>
                <w:b/>
                <w:bCs/>
                <w:noProof/>
              </w:rPr>
            </w:pPr>
            <w:r>
              <w:rPr>
                <w:b/>
                <w:noProof/>
              </w:rPr>
              <w:t>Pays</w:t>
            </w:r>
          </w:p>
        </w:tc>
        <w:tc>
          <w:tcPr>
            <w:tcW w:w="5254" w:type="dxa"/>
            <w:gridSpan w:val="5"/>
            <w:noWrap/>
          </w:tcPr>
          <w:p w14:paraId="5E42DAE1" w14:textId="30CB940A" w:rsidR="00036698" w:rsidRPr="00470E6E" w:rsidRDefault="00036698" w:rsidP="00370D52">
            <w:pPr>
              <w:rPr>
                <w:b/>
                <w:noProof/>
              </w:rPr>
            </w:pPr>
            <w:r>
              <w:rPr>
                <w:b/>
                <w:noProof/>
              </w:rPr>
              <w:t>Type d’installation</w:t>
            </w:r>
          </w:p>
        </w:tc>
        <w:tc>
          <w:tcPr>
            <w:tcW w:w="1085" w:type="dxa"/>
          </w:tcPr>
          <w:p w14:paraId="45D3C5FA" w14:textId="77777777" w:rsidR="00036698" w:rsidRPr="00470E6E" w:rsidRDefault="00036698" w:rsidP="00370D52">
            <w:pPr>
              <w:rPr>
                <w:b/>
                <w:noProof/>
                <w:lang w:val="en-IE"/>
              </w:rPr>
            </w:pPr>
          </w:p>
        </w:tc>
      </w:tr>
      <w:tr w:rsidR="00036698" w:rsidRPr="00470E6E" w14:paraId="556F1EE3" w14:textId="77777777" w:rsidTr="00FC5D04">
        <w:trPr>
          <w:trHeight w:val="292"/>
        </w:trPr>
        <w:tc>
          <w:tcPr>
            <w:tcW w:w="2336" w:type="dxa"/>
            <w:noWrap/>
          </w:tcPr>
          <w:p w14:paraId="18B69C95" w14:textId="77777777" w:rsidR="00036698" w:rsidRPr="00470E6E" w:rsidRDefault="00036698" w:rsidP="00370D52">
            <w:pPr>
              <w:rPr>
                <w:b/>
                <w:noProof/>
                <w:lang w:val="en-IE"/>
              </w:rPr>
            </w:pPr>
          </w:p>
        </w:tc>
        <w:tc>
          <w:tcPr>
            <w:tcW w:w="1356" w:type="dxa"/>
            <w:noWrap/>
          </w:tcPr>
          <w:p w14:paraId="30A1B3FB" w14:textId="77777777" w:rsidR="00036698" w:rsidRPr="00470E6E" w:rsidRDefault="00036698" w:rsidP="00370D52">
            <w:pPr>
              <w:rPr>
                <w:noProof/>
                <w:lang w:val="en-IE"/>
              </w:rPr>
            </w:pPr>
          </w:p>
        </w:tc>
        <w:tc>
          <w:tcPr>
            <w:tcW w:w="923" w:type="dxa"/>
            <w:noWrap/>
          </w:tcPr>
          <w:p w14:paraId="46827255" w14:textId="77777777" w:rsidR="00036698" w:rsidRPr="00470E6E" w:rsidRDefault="00036698" w:rsidP="00370D52">
            <w:pPr>
              <w:rPr>
                <w:noProof/>
              </w:rPr>
            </w:pPr>
            <w:r>
              <w:rPr>
                <w:noProof/>
              </w:rPr>
              <w:t>FMI</w:t>
            </w:r>
          </w:p>
        </w:tc>
        <w:tc>
          <w:tcPr>
            <w:tcW w:w="923" w:type="dxa"/>
            <w:noWrap/>
          </w:tcPr>
          <w:p w14:paraId="15691207" w14:textId="77777777" w:rsidR="00036698" w:rsidRPr="00470E6E" w:rsidRDefault="00036698" w:rsidP="00370D52">
            <w:pPr>
              <w:rPr>
                <w:noProof/>
              </w:rPr>
            </w:pPr>
            <w:r>
              <w:rPr>
                <w:noProof/>
              </w:rPr>
              <w:t>NUI</w:t>
            </w:r>
          </w:p>
        </w:tc>
        <w:tc>
          <w:tcPr>
            <w:tcW w:w="923" w:type="dxa"/>
            <w:noWrap/>
          </w:tcPr>
          <w:p w14:paraId="7AE566A3" w14:textId="77777777" w:rsidR="00036698" w:rsidRPr="00470E6E" w:rsidRDefault="00036698" w:rsidP="00370D52">
            <w:pPr>
              <w:rPr>
                <w:noProof/>
              </w:rPr>
            </w:pPr>
            <w:r>
              <w:rPr>
                <w:noProof/>
              </w:rPr>
              <w:t>FNP</w:t>
            </w:r>
          </w:p>
        </w:tc>
        <w:tc>
          <w:tcPr>
            <w:tcW w:w="923" w:type="dxa"/>
            <w:noWrap/>
          </w:tcPr>
          <w:p w14:paraId="4D9F8216" w14:textId="77777777" w:rsidR="00036698" w:rsidRPr="00470E6E" w:rsidRDefault="00036698" w:rsidP="00370D52">
            <w:pPr>
              <w:rPr>
                <w:noProof/>
              </w:rPr>
            </w:pPr>
            <w:r>
              <w:rPr>
                <w:noProof/>
              </w:rPr>
              <w:t>IPE</w:t>
            </w:r>
          </w:p>
        </w:tc>
        <w:tc>
          <w:tcPr>
            <w:tcW w:w="1562" w:type="dxa"/>
            <w:noWrap/>
          </w:tcPr>
          <w:p w14:paraId="7B4E5E08" w14:textId="77777777" w:rsidR="00036698" w:rsidRPr="00470E6E" w:rsidRDefault="00036698" w:rsidP="00370D52">
            <w:pPr>
              <w:rPr>
                <w:noProof/>
              </w:rPr>
            </w:pPr>
            <w:r>
              <w:rPr>
                <w:noProof/>
              </w:rPr>
              <w:t>Total (région/pays)</w:t>
            </w:r>
          </w:p>
        </w:tc>
        <w:tc>
          <w:tcPr>
            <w:tcW w:w="1085" w:type="dxa"/>
          </w:tcPr>
          <w:p w14:paraId="087A4329" w14:textId="49C477F0" w:rsidR="00036698" w:rsidRPr="00470E6E" w:rsidRDefault="00036698" w:rsidP="00370D52">
            <w:pPr>
              <w:rPr>
                <w:noProof/>
              </w:rPr>
            </w:pPr>
            <w:r>
              <w:rPr>
                <w:noProof/>
              </w:rPr>
              <w:t>Variation par rapport à 2022</w:t>
            </w:r>
          </w:p>
        </w:tc>
      </w:tr>
      <w:tr w:rsidR="00036698" w:rsidRPr="00470E6E" w14:paraId="57BE1730" w14:textId="77777777" w:rsidTr="00FC5D04">
        <w:trPr>
          <w:trHeight w:val="292"/>
        </w:trPr>
        <w:tc>
          <w:tcPr>
            <w:tcW w:w="2336" w:type="dxa"/>
            <w:vMerge w:val="restart"/>
            <w:noWrap/>
            <w:hideMark/>
          </w:tcPr>
          <w:p w14:paraId="2300BDA3" w14:textId="77777777" w:rsidR="00036698" w:rsidRPr="00470E6E" w:rsidRDefault="00036698" w:rsidP="00370D52">
            <w:pPr>
              <w:rPr>
                <w:b/>
                <w:noProof/>
              </w:rPr>
            </w:pPr>
            <w:r>
              <w:rPr>
                <w:b/>
                <w:noProof/>
              </w:rPr>
              <w:t>Mer Baltique</w:t>
            </w:r>
          </w:p>
          <w:p w14:paraId="6E77E184" w14:textId="77777777" w:rsidR="00036698" w:rsidRPr="00470E6E" w:rsidRDefault="00036698" w:rsidP="00370D52">
            <w:pPr>
              <w:rPr>
                <w:b/>
                <w:noProof/>
                <w:lang w:val="en-IE"/>
              </w:rPr>
            </w:pPr>
          </w:p>
        </w:tc>
        <w:tc>
          <w:tcPr>
            <w:tcW w:w="1356" w:type="dxa"/>
            <w:noWrap/>
            <w:hideMark/>
          </w:tcPr>
          <w:p w14:paraId="081373DA" w14:textId="77777777" w:rsidR="00036698" w:rsidRPr="00470E6E" w:rsidRDefault="00036698" w:rsidP="00370D52">
            <w:pPr>
              <w:rPr>
                <w:noProof/>
                <w:lang w:val="en-IE"/>
              </w:rPr>
            </w:pPr>
          </w:p>
        </w:tc>
        <w:tc>
          <w:tcPr>
            <w:tcW w:w="923" w:type="dxa"/>
            <w:noWrap/>
            <w:hideMark/>
          </w:tcPr>
          <w:p w14:paraId="6D501F13" w14:textId="77777777" w:rsidR="00036698" w:rsidRPr="00470E6E" w:rsidRDefault="00036698" w:rsidP="00370D52">
            <w:pPr>
              <w:rPr>
                <w:b/>
                <w:bCs/>
                <w:noProof/>
              </w:rPr>
            </w:pPr>
            <w:r>
              <w:rPr>
                <w:b/>
                <w:noProof/>
              </w:rPr>
              <w:t>3</w:t>
            </w:r>
          </w:p>
        </w:tc>
        <w:tc>
          <w:tcPr>
            <w:tcW w:w="923" w:type="dxa"/>
            <w:noWrap/>
            <w:hideMark/>
          </w:tcPr>
          <w:p w14:paraId="35C5148A" w14:textId="77777777" w:rsidR="00036698" w:rsidRPr="00470E6E" w:rsidRDefault="00036698" w:rsidP="00370D52">
            <w:pPr>
              <w:rPr>
                <w:b/>
                <w:bCs/>
                <w:noProof/>
              </w:rPr>
            </w:pPr>
            <w:r>
              <w:rPr>
                <w:b/>
                <w:noProof/>
              </w:rPr>
              <w:t>1</w:t>
            </w:r>
          </w:p>
        </w:tc>
        <w:tc>
          <w:tcPr>
            <w:tcW w:w="923" w:type="dxa"/>
            <w:noWrap/>
            <w:hideMark/>
          </w:tcPr>
          <w:p w14:paraId="64B1B6B1" w14:textId="77777777" w:rsidR="00036698" w:rsidRPr="00470E6E" w:rsidRDefault="00036698" w:rsidP="00370D52">
            <w:pPr>
              <w:rPr>
                <w:b/>
                <w:bCs/>
                <w:noProof/>
              </w:rPr>
            </w:pPr>
            <w:r>
              <w:rPr>
                <w:b/>
                <w:noProof/>
              </w:rPr>
              <w:t>0</w:t>
            </w:r>
          </w:p>
        </w:tc>
        <w:tc>
          <w:tcPr>
            <w:tcW w:w="923" w:type="dxa"/>
            <w:noWrap/>
            <w:hideMark/>
          </w:tcPr>
          <w:p w14:paraId="10BA85DC" w14:textId="77777777" w:rsidR="00036698" w:rsidRPr="00470E6E" w:rsidRDefault="00036698" w:rsidP="00370D52">
            <w:pPr>
              <w:rPr>
                <w:b/>
                <w:bCs/>
                <w:noProof/>
              </w:rPr>
            </w:pPr>
            <w:r>
              <w:rPr>
                <w:b/>
                <w:noProof/>
              </w:rPr>
              <w:t>0</w:t>
            </w:r>
          </w:p>
        </w:tc>
        <w:tc>
          <w:tcPr>
            <w:tcW w:w="1562" w:type="dxa"/>
            <w:noWrap/>
            <w:hideMark/>
          </w:tcPr>
          <w:p w14:paraId="5EAE0F6E" w14:textId="77777777" w:rsidR="00036698" w:rsidRPr="00470E6E" w:rsidRDefault="00036698" w:rsidP="00370D52">
            <w:pPr>
              <w:rPr>
                <w:b/>
                <w:bCs/>
                <w:noProof/>
              </w:rPr>
            </w:pPr>
            <w:r>
              <w:rPr>
                <w:b/>
                <w:noProof/>
              </w:rPr>
              <w:t>4</w:t>
            </w:r>
          </w:p>
        </w:tc>
        <w:tc>
          <w:tcPr>
            <w:tcW w:w="1085" w:type="dxa"/>
          </w:tcPr>
          <w:p w14:paraId="5692C5E0" w14:textId="77777777" w:rsidR="00036698" w:rsidRPr="00470E6E" w:rsidRDefault="00036698" w:rsidP="00370D52">
            <w:pPr>
              <w:rPr>
                <w:b/>
                <w:bCs/>
                <w:noProof/>
              </w:rPr>
            </w:pPr>
            <w:r>
              <w:rPr>
                <w:b/>
                <w:noProof/>
              </w:rPr>
              <w:t>--</w:t>
            </w:r>
          </w:p>
        </w:tc>
      </w:tr>
      <w:tr w:rsidR="00036698" w:rsidRPr="00470E6E" w14:paraId="7F57AEAD" w14:textId="77777777" w:rsidTr="00FC5D04">
        <w:trPr>
          <w:trHeight w:val="292"/>
        </w:trPr>
        <w:tc>
          <w:tcPr>
            <w:tcW w:w="2336" w:type="dxa"/>
            <w:vMerge/>
            <w:noWrap/>
            <w:hideMark/>
          </w:tcPr>
          <w:p w14:paraId="328C6D19" w14:textId="77777777" w:rsidR="00036698" w:rsidRPr="00470E6E" w:rsidRDefault="00036698" w:rsidP="00370D52">
            <w:pPr>
              <w:rPr>
                <w:b/>
                <w:noProof/>
                <w:lang w:val="en-IE"/>
              </w:rPr>
            </w:pPr>
          </w:p>
        </w:tc>
        <w:tc>
          <w:tcPr>
            <w:tcW w:w="1356" w:type="dxa"/>
            <w:noWrap/>
            <w:hideMark/>
          </w:tcPr>
          <w:p w14:paraId="504217B2" w14:textId="77777777" w:rsidR="00036698" w:rsidRPr="00470E6E" w:rsidRDefault="00036698" w:rsidP="00370D52">
            <w:pPr>
              <w:rPr>
                <w:noProof/>
              </w:rPr>
            </w:pPr>
            <w:r>
              <w:rPr>
                <w:noProof/>
              </w:rPr>
              <w:t>Pologne</w:t>
            </w:r>
          </w:p>
        </w:tc>
        <w:tc>
          <w:tcPr>
            <w:tcW w:w="923" w:type="dxa"/>
            <w:noWrap/>
            <w:hideMark/>
          </w:tcPr>
          <w:p w14:paraId="1293E9AC" w14:textId="77777777" w:rsidR="00036698" w:rsidRPr="00470E6E" w:rsidRDefault="00036698" w:rsidP="00370D52">
            <w:pPr>
              <w:rPr>
                <w:noProof/>
              </w:rPr>
            </w:pPr>
            <w:r>
              <w:rPr>
                <w:noProof/>
              </w:rPr>
              <w:t>3</w:t>
            </w:r>
          </w:p>
        </w:tc>
        <w:tc>
          <w:tcPr>
            <w:tcW w:w="923" w:type="dxa"/>
            <w:noWrap/>
            <w:hideMark/>
          </w:tcPr>
          <w:p w14:paraId="4F783570" w14:textId="77777777" w:rsidR="00036698" w:rsidRPr="00470E6E" w:rsidRDefault="00036698" w:rsidP="00370D52">
            <w:pPr>
              <w:rPr>
                <w:noProof/>
              </w:rPr>
            </w:pPr>
            <w:r>
              <w:rPr>
                <w:noProof/>
              </w:rPr>
              <w:t>1</w:t>
            </w:r>
          </w:p>
        </w:tc>
        <w:tc>
          <w:tcPr>
            <w:tcW w:w="923" w:type="dxa"/>
            <w:noWrap/>
            <w:hideMark/>
          </w:tcPr>
          <w:p w14:paraId="51A6EE3E" w14:textId="77777777" w:rsidR="00036698" w:rsidRPr="00470E6E" w:rsidRDefault="00036698" w:rsidP="00370D52">
            <w:pPr>
              <w:rPr>
                <w:noProof/>
              </w:rPr>
            </w:pPr>
            <w:r>
              <w:rPr>
                <w:noProof/>
              </w:rPr>
              <w:t>0</w:t>
            </w:r>
          </w:p>
        </w:tc>
        <w:tc>
          <w:tcPr>
            <w:tcW w:w="923" w:type="dxa"/>
            <w:noWrap/>
            <w:hideMark/>
          </w:tcPr>
          <w:p w14:paraId="0C0E913A" w14:textId="77777777" w:rsidR="00036698" w:rsidRPr="00470E6E" w:rsidRDefault="00036698" w:rsidP="00370D52">
            <w:pPr>
              <w:rPr>
                <w:noProof/>
              </w:rPr>
            </w:pPr>
            <w:r>
              <w:rPr>
                <w:noProof/>
              </w:rPr>
              <w:t>0</w:t>
            </w:r>
          </w:p>
        </w:tc>
        <w:tc>
          <w:tcPr>
            <w:tcW w:w="1562" w:type="dxa"/>
            <w:noWrap/>
            <w:hideMark/>
          </w:tcPr>
          <w:p w14:paraId="25E6033D" w14:textId="77777777" w:rsidR="00036698" w:rsidRPr="00470E6E" w:rsidRDefault="00036698" w:rsidP="00370D52">
            <w:pPr>
              <w:rPr>
                <w:noProof/>
              </w:rPr>
            </w:pPr>
            <w:r>
              <w:rPr>
                <w:noProof/>
              </w:rPr>
              <w:t>4</w:t>
            </w:r>
          </w:p>
        </w:tc>
        <w:tc>
          <w:tcPr>
            <w:tcW w:w="1085" w:type="dxa"/>
          </w:tcPr>
          <w:p w14:paraId="0416F23D" w14:textId="77777777" w:rsidR="00036698" w:rsidRPr="00470E6E" w:rsidRDefault="00036698" w:rsidP="00370D52">
            <w:pPr>
              <w:rPr>
                <w:noProof/>
              </w:rPr>
            </w:pPr>
            <w:r>
              <w:rPr>
                <w:noProof/>
              </w:rPr>
              <w:t>--</w:t>
            </w:r>
          </w:p>
        </w:tc>
      </w:tr>
      <w:tr w:rsidR="00036698" w:rsidRPr="00470E6E" w14:paraId="60A7E81D" w14:textId="77777777" w:rsidTr="00FC5D04">
        <w:trPr>
          <w:trHeight w:val="292"/>
        </w:trPr>
        <w:tc>
          <w:tcPr>
            <w:tcW w:w="2336" w:type="dxa"/>
            <w:vMerge w:val="restart"/>
            <w:noWrap/>
            <w:hideMark/>
          </w:tcPr>
          <w:p w14:paraId="61D51C9B" w14:textId="77777777" w:rsidR="00036698" w:rsidRPr="00470E6E" w:rsidRDefault="00036698" w:rsidP="00370D52">
            <w:pPr>
              <w:rPr>
                <w:b/>
                <w:noProof/>
              </w:rPr>
            </w:pPr>
            <w:r>
              <w:rPr>
                <w:b/>
                <w:noProof/>
              </w:rPr>
              <w:t>Mer Noire</w:t>
            </w:r>
          </w:p>
          <w:p w14:paraId="47B74697" w14:textId="77777777" w:rsidR="00036698" w:rsidRPr="00470E6E" w:rsidRDefault="00036698" w:rsidP="00370D52">
            <w:pPr>
              <w:rPr>
                <w:b/>
                <w:noProof/>
                <w:highlight w:val="yellow"/>
                <w:lang w:val="en-IE"/>
              </w:rPr>
            </w:pPr>
          </w:p>
          <w:p w14:paraId="5D1BF85A" w14:textId="77777777" w:rsidR="00036698" w:rsidRPr="00470E6E" w:rsidRDefault="00036698" w:rsidP="00370D52">
            <w:pPr>
              <w:rPr>
                <w:b/>
                <w:noProof/>
                <w:highlight w:val="yellow"/>
                <w:lang w:val="en-IE"/>
              </w:rPr>
            </w:pPr>
          </w:p>
        </w:tc>
        <w:tc>
          <w:tcPr>
            <w:tcW w:w="1356" w:type="dxa"/>
            <w:noWrap/>
            <w:hideMark/>
          </w:tcPr>
          <w:p w14:paraId="15138B4F" w14:textId="77777777" w:rsidR="00036698" w:rsidRPr="00470E6E" w:rsidRDefault="00036698" w:rsidP="00370D52">
            <w:pPr>
              <w:rPr>
                <w:noProof/>
                <w:lang w:val="en-IE"/>
              </w:rPr>
            </w:pPr>
          </w:p>
        </w:tc>
        <w:tc>
          <w:tcPr>
            <w:tcW w:w="923" w:type="dxa"/>
            <w:noWrap/>
            <w:hideMark/>
          </w:tcPr>
          <w:p w14:paraId="29D41DC8" w14:textId="77777777" w:rsidR="00036698" w:rsidRPr="00470E6E" w:rsidRDefault="00036698" w:rsidP="00370D52">
            <w:pPr>
              <w:rPr>
                <w:b/>
                <w:bCs/>
                <w:noProof/>
              </w:rPr>
            </w:pPr>
            <w:r>
              <w:rPr>
                <w:b/>
                <w:noProof/>
              </w:rPr>
              <w:t>5</w:t>
            </w:r>
          </w:p>
        </w:tc>
        <w:tc>
          <w:tcPr>
            <w:tcW w:w="923" w:type="dxa"/>
            <w:noWrap/>
            <w:hideMark/>
          </w:tcPr>
          <w:p w14:paraId="49875174" w14:textId="71DB4D01" w:rsidR="00036698" w:rsidRPr="00470E6E" w:rsidRDefault="00E84DB2" w:rsidP="00370D52">
            <w:pPr>
              <w:rPr>
                <w:b/>
                <w:bCs/>
                <w:noProof/>
              </w:rPr>
            </w:pPr>
            <w:r>
              <w:rPr>
                <w:b/>
                <w:noProof/>
              </w:rPr>
              <w:t>4</w:t>
            </w:r>
          </w:p>
        </w:tc>
        <w:tc>
          <w:tcPr>
            <w:tcW w:w="923" w:type="dxa"/>
            <w:noWrap/>
            <w:hideMark/>
          </w:tcPr>
          <w:p w14:paraId="674CBA23" w14:textId="77777777" w:rsidR="00036698" w:rsidRPr="00470E6E" w:rsidRDefault="00036698" w:rsidP="00370D52">
            <w:pPr>
              <w:rPr>
                <w:b/>
                <w:bCs/>
                <w:noProof/>
              </w:rPr>
            </w:pPr>
            <w:r>
              <w:rPr>
                <w:b/>
                <w:noProof/>
              </w:rPr>
              <w:t>0</w:t>
            </w:r>
          </w:p>
        </w:tc>
        <w:tc>
          <w:tcPr>
            <w:tcW w:w="923" w:type="dxa"/>
            <w:noWrap/>
            <w:hideMark/>
          </w:tcPr>
          <w:p w14:paraId="058DB93E" w14:textId="77777777" w:rsidR="00036698" w:rsidRPr="00470E6E" w:rsidRDefault="00036698" w:rsidP="00370D52">
            <w:pPr>
              <w:rPr>
                <w:b/>
                <w:bCs/>
                <w:noProof/>
              </w:rPr>
            </w:pPr>
            <w:r>
              <w:rPr>
                <w:b/>
                <w:noProof/>
              </w:rPr>
              <w:t>0</w:t>
            </w:r>
          </w:p>
        </w:tc>
        <w:tc>
          <w:tcPr>
            <w:tcW w:w="1562" w:type="dxa"/>
            <w:noWrap/>
            <w:hideMark/>
          </w:tcPr>
          <w:p w14:paraId="290841E9" w14:textId="454CE17C" w:rsidR="00036698" w:rsidRPr="00470E6E" w:rsidRDefault="00FC5D04" w:rsidP="00370D52">
            <w:pPr>
              <w:rPr>
                <w:b/>
                <w:bCs/>
                <w:noProof/>
              </w:rPr>
            </w:pPr>
            <w:r>
              <w:rPr>
                <w:b/>
                <w:noProof/>
              </w:rPr>
              <w:t>9</w:t>
            </w:r>
          </w:p>
        </w:tc>
        <w:tc>
          <w:tcPr>
            <w:tcW w:w="1085" w:type="dxa"/>
          </w:tcPr>
          <w:p w14:paraId="3CD55EF0" w14:textId="5635EE8E" w:rsidR="00036698" w:rsidRPr="00470E6E" w:rsidRDefault="00E84DB2" w:rsidP="00370D52">
            <w:pPr>
              <w:rPr>
                <w:b/>
                <w:bCs/>
                <w:noProof/>
              </w:rPr>
            </w:pPr>
            <w:r>
              <w:rPr>
                <w:b/>
                <w:noProof/>
              </w:rPr>
              <w:t>+1</w:t>
            </w:r>
          </w:p>
        </w:tc>
      </w:tr>
      <w:tr w:rsidR="00036698" w:rsidRPr="00470E6E" w14:paraId="335667D4" w14:textId="77777777" w:rsidTr="00FC5D04">
        <w:trPr>
          <w:trHeight w:val="292"/>
        </w:trPr>
        <w:tc>
          <w:tcPr>
            <w:tcW w:w="2336" w:type="dxa"/>
            <w:vMerge/>
            <w:noWrap/>
            <w:hideMark/>
          </w:tcPr>
          <w:p w14:paraId="248092F4" w14:textId="77777777" w:rsidR="00036698" w:rsidRPr="00470E6E" w:rsidRDefault="00036698" w:rsidP="00370D52">
            <w:pPr>
              <w:rPr>
                <w:b/>
                <w:noProof/>
                <w:highlight w:val="yellow"/>
                <w:lang w:val="en-IE"/>
              </w:rPr>
            </w:pPr>
          </w:p>
        </w:tc>
        <w:tc>
          <w:tcPr>
            <w:tcW w:w="1356" w:type="dxa"/>
            <w:noWrap/>
            <w:hideMark/>
          </w:tcPr>
          <w:p w14:paraId="73925C20" w14:textId="77777777" w:rsidR="00036698" w:rsidRPr="00470E6E" w:rsidRDefault="00036698" w:rsidP="00370D52">
            <w:pPr>
              <w:rPr>
                <w:noProof/>
              </w:rPr>
            </w:pPr>
            <w:r>
              <w:rPr>
                <w:noProof/>
              </w:rPr>
              <w:t>Bulgarie</w:t>
            </w:r>
          </w:p>
        </w:tc>
        <w:tc>
          <w:tcPr>
            <w:tcW w:w="923" w:type="dxa"/>
            <w:noWrap/>
            <w:hideMark/>
          </w:tcPr>
          <w:p w14:paraId="50E52E63" w14:textId="77777777" w:rsidR="00036698" w:rsidRPr="00470E6E" w:rsidRDefault="00036698" w:rsidP="00370D52">
            <w:pPr>
              <w:rPr>
                <w:noProof/>
              </w:rPr>
            </w:pPr>
            <w:r>
              <w:rPr>
                <w:noProof/>
              </w:rPr>
              <w:t>0</w:t>
            </w:r>
          </w:p>
        </w:tc>
        <w:tc>
          <w:tcPr>
            <w:tcW w:w="923" w:type="dxa"/>
            <w:noWrap/>
            <w:hideMark/>
          </w:tcPr>
          <w:p w14:paraId="03316210" w14:textId="77777777" w:rsidR="00036698" w:rsidRPr="00470E6E" w:rsidRDefault="00036698" w:rsidP="00370D52">
            <w:pPr>
              <w:rPr>
                <w:noProof/>
              </w:rPr>
            </w:pPr>
            <w:r>
              <w:rPr>
                <w:noProof/>
              </w:rPr>
              <w:t>1</w:t>
            </w:r>
          </w:p>
        </w:tc>
        <w:tc>
          <w:tcPr>
            <w:tcW w:w="923" w:type="dxa"/>
            <w:noWrap/>
            <w:hideMark/>
          </w:tcPr>
          <w:p w14:paraId="188BA7FA" w14:textId="77777777" w:rsidR="00036698" w:rsidRPr="00470E6E" w:rsidRDefault="00036698" w:rsidP="00370D52">
            <w:pPr>
              <w:rPr>
                <w:noProof/>
              </w:rPr>
            </w:pPr>
            <w:r>
              <w:rPr>
                <w:noProof/>
              </w:rPr>
              <w:t>0</w:t>
            </w:r>
          </w:p>
        </w:tc>
        <w:tc>
          <w:tcPr>
            <w:tcW w:w="923" w:type="dxa"/>
            <w:noWrap/>
            <w:hideMark/>
          </w:tcPr>
          <w:p w14:paraId="40B7E316" w14:textId="77777777" w:rsidR="00036698" w:rsidRPr="00470E6E" w:rsidRDefault="00036698" w:rsidP="00370D52">
            <w:pPr>
              <w:rPr>
                <w:noProof/>
              </w:rPr>
            </w:pPr>
            <w:r>
              <w:rPr>
                <w:noProof/>
              </w:rPr>
              <w:t>0</w:t>
            </w:r>
          </w:p>
        </w:tc>
        <w:tc>
          <w:tcPr>
            <w:tcW w:w="1562" w:type="dxa"/>
            <w:noWrap/>
            <w:hideMark/>
          </w:tcPr>
          <w:p w14:paraId="698F957C" w14:textId="77777777" w:rsidR="00036698" w:rsidRPr="00470E6E" w:rsidRDefault="00036698" w:rsidP="00370D52">
            <w:pPr>
              <w:rPr>
                <w:noProof/>
              </w:rPr>
            </w:pPr>
            <w:r>
              <w:rPr>
                <w:noProof/>
              </w:rPr>
              <w:t>1</w:t>
            </w:r>
          </w:p>
        </w:tc>
        <w:tc>
          <w:tcPr>
            <w:tcW w:w="1085" w:type="dxa"/>
          </w:tcPr>
          <w:p w14:paraId="4466B5BA" w14:textId="77777777" w:rsidR="00036698" w:rsidRPr="00470E6E" w:rsidRDefault="00036698" w:rsidP="00370D52">
            <w:pPr>
              <w:rPr>
                <w:noProof/>
              </w:rPr>
            </w:pPr>
            <w:r>
              <w:rPr>
                <w:noProof/>
              </w:rPr>
              <w:t>--</w:t>
            </w:r>
          </w:p>
        </w:tc>
      </w:tr>
      <w:tr w:rsidR="00FC5D04" w:rsidRPr="00470E6E" w14:paraId="4D5B5C0B" w14:textId="77777777" w:rsidTr="00FC5D04">
        <w:trPr>
          <w:trHeight w:val="292"/>
        </w:trPr>
        <w:tc>
          <w:tcPr>
            <w:tcW w:w="2336" w:type="dxa"/>
            <w:vMerge/>
            <w:noWrap/>
            <w:hideMark/>
          </w:tcPr>
          <w:p w14:paraId="14D9FFE4" w14:textId="77777777" w:rsidR="00FC5D04" w:rsidRPr="00470E6E" w:rsidRDefault="00FC5D04" w:rsidP="00FC5D04">
            <w:pPr>
              <w:rPr>
                <w:b/>
                <w:noProof/>
                <w:highlight w:val="yellow"/>
                <w:lang w:val="en-IE"/>
              </w:rPr>
            </w:pPr>
          </w:p>
        </w:tc>
        <w:tc>
          <w:tcPr>
            <w:tcW w:w="1356" w:type="dxa"/>
            <w:noWrap/>
            <w:hideMark/>
          </w:tcPr>
          <w:p w14:paraId="0A3A996F" w14:textId="77777777" w:rsidR="00FC5D04" w:rsidRPr="00470E6E" w:rsidRDefault="00FC5D04" w:rsidP="00FC5D04">
            <w:pPr>
              <w:rPr>
                <w:noProof/>
              </w:rPr>
            </w:pPr>
            <w:r>
              <w:rPr>
                <w:noProof/>
              </w:rPr>
              <w:t>Roumanie</w:t>
            </w:r>
          </w:p>
        </w:tc>
        <w:tc>
          <w:tcPr>
            <w:tcW w:w="923" w:type="dxa"/>
            <w:noWrap/>
            <w:hideMark/>
          </w:tcPr>
          <w:p w14:paraId="051CF55E" w14:textId="31733B9F" w:rsidR="00FC5D04" w:rsidRPr="00470E6E" w:rsidRDefault="00FC5D04" w:rsidP="00FC5D04">
            <w:pPr>
              <w:rPr>
                <w:noProof/>
              </w:rPr>
            </w:pPr>
            <w:r>
              <w:rPr>
                <w:noProof/>
              </w:rPr>
              <w:t>5</w:t>
            </w:r>
          </w:p>
        </w:tc>
        <w:tc>
          <w:tcPr>
            <w:tcW w:w="923" w:type="dxa"/>
            <w:noWrap/>
            <w:hideMark/>
          </w:tcPr>
          <w:p w14:paraId="42FDD9E9" w14:textId="2CC319FB" w:rsidR="00FC5D04" w:rsidRPr="00470E6E" w:rsidRDefault="00FC5D04" w:rsidP="00FC5D04">
            <w:pPr>
              <w:rPr>
                <w:noProof/>
              </w:rPr>
            </w:pPr>
            <w:r>
              <w:rPr>
                <w:noProof/>
              </w:rPr>
              <w:t>3</w:t>
            </w:r>
          </w:p>
        </w:tc>
        <w:tc>
          <w:tcPr>
            <w:tcW w:w="923" w:type="dxa"/>
            <w:noWrap/>
            <w:hideMark/>
          </w:tcPr>
          <w:p w14:paraId="1F9D936B" w14:textId="53C87625" w:rsidR="00FC5D04" w:rsidRPr="00470E6E" w:rsidRDefault="00FC5D04" w:rsidP="00FC5D04">
            <w:pPr>
              <w:rPr>
                <w:noProof/>
              </w:rPr>
            </w:pPr>
            <w:r>
              <w:rPr>
                <w:noProof/>
              </w:rPr>
              <w:t>0</w:t>
            </w:r>
          </w:p>
        </w:tc>
        <w:tc>
          <w:tcPr>
            <w:tcW w:w="923" w:type="dxa"/>
            <w:noWrap/>
            <w:hideMark/>
          </w:tcPr>
          <w:p w14:paraId="7B2D2631" w14:textId="4C69399D" w:rsidR="00FC5D04" w:rsidRPr="00470E6E" w:rsidRDefault="00FC5D04" w:rsidP="00FC5D04">
            <w:pPr>
              <w:rPr>
                <w:noProof/>
              </w:rPr>
            </w:pPr>
            <w:r>
              <w:rPr>
                <w:noProof/>
              </w:rPr>
              <w:t>0</w:t>
            </w:r>
          </w:p>
        </w:tc>
        <w:tc>
          <w:tcPr>
            <w:tcW w:w="1562" w:type="dxa"/>
            <w:noWrap/>
            <w:hideMark/>
          </w:tcPr>
          <w:p w14:paraId="0E1F1A18" w14:textId="7BD42382" w:rsidR="00FC5D04" w:rsidRPr="00470E6E" w:rsidRDefault="00FC5D04" w:rsidP="00FC5D04">
            <w:pPr>
              <w:rPr>
                <w:noProof/>
              </w:rPr>
            </w:pPr>
            <w:r>
              <w:rPr>
                <w:noProof/>
              </w:rPr>
              <w:t>8</w:t>
            </w:r>
          </w:p>
        </w:tc>
        <w:tc>
          <w:tcPr>
            <w:tcW w:w="1085" w:type="dxa"/>
          </w:tcPr>
          <w:p w14:paraId="5A38BA99" w14:textId="6C9B981E" w:rsidR="00FC5D04" w:rsidRPr="00470E6E" w:rsidRDefault="00E84DB2" w:rsidP="00FC5D04">
            <w:pPr>
              <w:rPr>
                <w:noProof/>
              </w:rPr>
            </w:pPr>
            <w:r>
              <w:rPr>
                <w:noProof/>
              </w:rPr>
              <w:t>+1</w:t>
            </w:r>
          </w:p>
        </w:tc>
      </w:tr>
      <w:tr w:rsidR="00AA2D20" w:rsidRPr="00470E6E" w14:paraId="5ED57D87" w14:textId="77777777" w:rsidTr="00FC5D04">
        <w:trPr>
          <w:trHeight w:val="292"/>
        </w:trPr>
        <w:tc>
          <w:tcPr>
            <w:tcW w:w="2336" w:type="dxa"/>
            <w:vMerge w:val="restart"/>
            <w:noWrap/>
            <w:hideMark/>
          </w:tcPr>
          <w:p w14:paraId="44E6F161" w14:textId="77777777" w:rsidR="00AA2D20" w:rsidRPr="00470E6E" w:rsidRDefault="00AA2D20" w:rsidP="00AA2D20">
            <w:pPr>
              <w:rPr>
                <w:b/>
                <w:noProof/>
              </w:rPr>
            </w:pPr>
            <w:r>
              <w:rPr>
                <w:b/>
                <w:noProof/>
              </w:rPr>
              <w:t>Mer Méditerranée</w:t>
            </w:r>
          </w:p>
        </w:tc>
        <w:tc>
          <w:tcPr>
            <w:tcW w:w="1356" w:type="dxa"/>
            <w:noWrap/>
            <w:hideMark/>
          </w:tcPr>
          <w:p w14:paraId="6AC6F8D7" w14:textId="77777777" w:rsidR="00AA2D20" w:rsidRPr="00470E6E" w:rsidRDefault="00AA2D20" w:rsidP="00AA2D20">
            <w:pPr>
              <w:rPr>
                <w:noProof/>
                <w:lang w:val="en-IE"/>
              </w:rPr>
            </w:pPr>
          </w:p>
        </w:tc>
        <w:tc>
          <w:tcPr>
            <w:tcW w:w="923" w:type="dxa"/>
            <w:noWrap/>
            <w:hideMark/>
          </w:tcPr>
          <w:p w14:paraId="6E4551CE" w14:textId="12906623" w:rsidR="00AA2D20" w:rsidRPr="00470E6E" w:rsidRDefault="00AA2D20" w:rsidP="00AA2D20">
            <w:pPr>
              <w:rPr>
                <w:b/>
                <w:bCs/>
                <w:noProof/>
              </w:rPr>
            </w:pPr>
            <w:r>
              <w:rPr>
                <w:b/>
                <w:noProof/>
              </w:rPr>
              <w:t>15</w:t>
            </w:r>
          </w:p>
        </w:tc>
        <w:tc>
          <w:tcPr>
            <w:tcW w:w="923" w:type="dxa"/>
            <w:noWrap/>
            <w:hideMark/>
          </w:tcPr>
          <w:p w14:paraId="746035DB" w14:textId="64443D2F" w:rsidR="00AA2D20" w:rsidRPr="00470E6E" w:rsidRDefault="00AA2D20" w:rsidP="00AA2D20">
            <w:pPr>
              <w:rPr>
                <w:b/>
                <w:bCs/>
                <w:noProof/>
              </w:rPr>
            </w:pPr>
            <w:r>
              <w:rPr>
                <w:b/>
                <w:noProof/>
              </w:rPr>
              <w:t>147</w:t>
            </w:r>
          </w:p>
        </w:tc>
        <w:tc>
          <w:tcPr>
            <w:tcW w:w="923" w:type="dxa"/>
            <w:noWrap/>
            <w:hideMark/>
          </w:tcPr>
          <w:p w14:paraId="29FF13A9" w14:textId="6FA067BA" w:rsidR="00AA2D20" w:rsidRPr="00470E6E" w:rsidRDefault="00AA2D20" w:rsidP="00AA2D20">
            <w:pPr>
              <w:rPr>
                <w:b/>
                <w:bCs/>
                <w:noProof/>
              </w:rPr>
            </w:pPr>
            <w:r>
              <w:rPr>
                <w:b/>
                <w:noProof/>
              </w:rPr>
              <w:t>0</w:t>
            </w:r>
          </w:p>
        </w:tc>
        <w:tc>
          <w:tcPr>
            <w:tcW w:w="923" w:type="dxa"/>
            <w:noWrap/>
            <w:hideMark/>
          </w:tcPr>
          <w:p w14:paraId="39A21309" w14:textId="77B84659" w:rsidR="00AA2D20" w:rsidRPr="00470E6E" w:rsidRDefault="00AA2D20" w:rsidP="00AA2D20">
            <w:pPr>
              <w:rPr>
                <w:b/>
                <w:bCs/>
                <w:noProof/>
              </w:rPr>
            </w:pPr>
            <w:r>
              <w:rPr>
                <w:b/>
                <w:noProof/>
              </w:rPr>
              <w:t>2</w:t>
            </w:r>
          </w:p>
        </w:tc>
        <w:tc>
          <w:tcPr>
            <w:tcW w:w="1562" w:type="dxa"/>
            <w:noWrap/>
            <w:hideMark/>
          </w:tcPr>
          <w:p w14:paraId="19C1158A" w14:textId="1C105E65" w:rsidR="00AA2D20" w:rsidRPr="00470E6E" w:rsidRDefault="00AA2D20" w:rsidP="00CB6E60">
            <w:pPr>
              <w:rPr>
                <w:b/>
                <w:bCs/>
                <w:noProof/>
              </w:rPr>
            </w:pPr>
            <w:r>
              <w:rPr>
                <w:b/>
                <w:noProof/>
              </w:rPr>
              <w:t>164</w:t>
            </w:r>
          </w:p>
        </w:tc>
        <w:tc>
          <w:tcPr>
            <w:tcW w:w="1085" w:type="dxa"/>
          </w:tcPr>
          <w:p w14:paraId="1F641DBC" w14:textId="22F7CC6F" w:rsidR="00AA2D20" w:rsidRPr="00470E6E" w:rsidRDefault="0089218B" w:rsidP="00AA2D20">
            <w:pPr>
              <w:rPr>
                <w:b/>
                <w:bCs/>
                <w:noProof/>
              </w:rPr>
            </w:pPr>
            <w:r>
              <w:rPr>
                <w:b/>
                <w:noProof/>
              </w:rPr>
              <w:t>0</w:t>
            </w:r>
          </w:p>
        </w:tc>
      </w:tr>
      <w:tr w:rsidR="00AA2D20" w:rsidRPr="00470E6E" w14:paraId="2A5E4D0C" w14:textId="77777777" w:rsidTr="00FC5D04">
        <w:trPr>
          <w:trHeight w:val="292"/>
        </w:trPr>
        <w:tc>
          <w:tcPr>
            <w:tcW w:w="2336" w:type="dxa"/>
            <w:vMerge/>
            <w:noWrap/>
            <w:hideMark/>
          </w:tcPr>
          <w:p w14:paraId="3F3D81C7" w14:textId="77777777" w:rsidR="00AA2D20" w:rsidRPr="00470E6E" w:rsidRDefault="00AA2D20" w:rsidP="00AA2D20">
            <w:pPr>
              <w:rPr>
                <w:b/>
                <w:noProof/>
                <w:highlight w:val="yellow"/>
                <w:lang w:val="en-IE"/>
              </w:rPr>
            </w:pPr>
          </w:p>
        </w:tc>
        <w:tc>
          <w:tcPr>
            <w:tcW w:w="1356" w:type="dxa"/>
            <w:noWrap/>
            <w:hideMark/>
          </w:tcPr>
          <w:p w14:paraId="35A8920D" w14:textId="77777777" w:rsidR="00AA2D20" w:rsidRPr="00470E6E" w:rsidRDefault="00AA2D20" w:rsidP="00AA2D20">
            <w:pPr>
              <w:rPr>
                <w:noProof/>
              </w:rPr>
            </w:pPr>
            <w:r>
              <w:rPr>
                <w:noProof/>
              </w:rPr>
              <w:t>Croatie</w:t>
            </w:r>
          </w:p>
        </w:tc>
        <w:tc>
          <w:tcPr>
            <w:tcW w:w="923" w:type="dxa"/>
            <w:noWrap/>
            <w:hideMark/>
          </w:tcPr>
          <w:p w14:paraId="1EF7BFA3" w14:textId="4DCFC573" w:rsidR="00AA2D20" w:rsidRPr="00470E6E" w:rsidRDefault="00AA2D20" w:rsidP="00AA2D20">
            <w:pPr>
              <w:rPr>
                <w:noProof/>
              </w:rPr>
            </w:pPr>
            <w:r>
              <w:rPr>
                <w:noProof/>
              </w:rPr>
              <w:t>2</w:t>
            </w:r>
          </w:p>
        </w:tc>
        <w:tc>
          <w:tcPr>
            <w:tcW w:w="923" w:type="dxa"/>
            <w:noWrap/>
            <w:hideMark/>
          </w:tcPr>
          <w:p w14:paraId="217F8B8F" w14:textId="36D6AB56" w:rsidR="00AA2D20" w:rsidRPr="00470E6E" w:rsidRDefault="00AA2D20" w:rsidP="00AA2D20">
            <w:pPr>
              <w:rPr>
                <w:noProof/>
              </w:rPr>
            </w:pPr>
            <w:r>
              <w:rPr>
                <w:noProof/>
              </w:rPr>
              <w:t>17</w:t>
            </w:r>
          </w:p>
        </w:tc>
        <w:tc>
          <w:tcPr>
            <w:tcW w:w="923" w:type="dxa"/>
            <w:noWrap/>
            <w:hideMark/>
          </w:tcPr>
          <w:p w14:paraId="3519C165" w14:textId="6477E4EC" w:rsidR="00AA2D20" w:rsidRPr="00470E6E" w:rsidRDefault="00AA2D20" w:rsidP="00AA2D20">
            <w:pPr>
              <w:rPr>
                <w:noProof/>
              </w:rPr>
            </w:pPr>
            <w:r>
              <w:rPr>
                <w:noProof/>
              </w:rPr>
              <w:t>0</w:t>
            </w:r>
          </w:p>
        </w:tc>
        <w:tc>
          <w:tcPr>
            <w:tcW w:w="923" w:type="dxa"/>
            <w:noWrap/>
            <w:hideMark/>
          </w:tcPr>
          <w:p w14:paraId="381D0E5E" w14:textId="6696140A" w:rsidR="00AA2D20" w:rsidRPr="00470E6E" w:rsidRDefault="00AA2D20" w:rsidP="00AA2D20">
            <w:pPr>
              <w:rPr>
                <w:noProof/>
              </w:rPr>
            </w:pPr>
            <w:r>
              <w:rPr>
                <w:noProof/>
              </w:rPr>
              <w:t>0</w:t>
            </w:r>
          </w:p>
        </w:tc>
        <w:tc>
          <w:tcPr>
            <w:tcW w:w="1562" w:type="dxa"/>
            <w:noWrap/>
            <w:hideMark/>
          </w:tcPr>
          <w:p w14:paraId="4DBCFB59" w14:textId="268BA976" w:rsidR="00AA2D20" w:rsidRPr="00470E6E" w:rsidRDefault="00AA2D20" w:rsidP="00AA2D20">
            <w:pPr>
              <w:rPr>
                <w:noProof/>
              </w:rPr>
            </w:pPr>
            <w:r>
              <w:rPr>
                <w:noProof/>
              </w:rPr>
              <w:t>19</w:t>
            </w:r>
          </w:p>
        </w:tc>
        <w:tc>
          <w:tcPr>
            <w:tcW w:w="1085" w:type="dxa"/>
          </w:tcPr>
          <w:p w14:paraId="66035EF2" w14:textId="56F0E7F0" w:rsidR="00AA2D20" w:rsidRPr="00470E6E" w:rsidRDefault="00AA2D20" w:rsidP="00AA2D20">
            <w:pPr>
              <w:rPr>
                <w:noProof/>
              </w:rPr>
            </w:pPr>
            <w:r>
              <w:rPr>
                <w:noProof/>
              </w:rPr>
              <w:t>--</w:t>
            </w:r>
          </w:p>
        </w:tc>
      </w:tr>
      <w:tr w:rsidR="00AA2D20" w:rsidRPr="00470E6E" w14:paraId="2B62CFAB" w14:textId="77777777" w:rsidTr="00FC5D04">
        <w:trPr>
          <w:trHeight w:val="292"/>
        </w:trPr>
        <w:tc>
          <w:tcPr>
            <w:tcW w:w="2336" w:type="dxa"/>
            <w:vMerge/>
            <w:noWrap/>
            <w:hideMark/>
          </w:tcPr>
          <w:p w14:paraId="7EBE84BF" w14:textId="77777777" w:rsidR="00AA2D20" w:rsidRPr="00470E6E" w:rsidRDefault="00AA2D20" w:rsidP="00AA2D20">
            <w:pPr>
              <w:rPr>
                <w:b/>
                <w:noProof/>
                <w:highlight w:val="yellow"/>
                <w:lang w:val="en-IE"/>
              </w:rPr>
            </w:pPr>
          </w:p>
        </w:tc>
        <w:tc>
          <w:tcPr>
            <w:tcW w:w="1356" w:type="dxa"/>
            <w:noWrap/>
            <w:hideMark/>
          </w:tcPr>
          <w:p w14:paraId="6DF786D9" w14:textId="77777777" w:rsidR="00AA2D20" w:rsidRPr="00470E6E" w:rsidRDefault="00AA2D20" w:rsidP="00AA2D20">
            <w:pPr>
              <w:rPr>
                <w:noProof/>
              </w:rPr>
            </w:pPr>
            <w:r>
              <w:rPr>
                <w:noProof/>
              </w:rPr>
              <w:t>Grèce</w:t>
            </w:r>
          </w:p>
        </w:tc>
        <w:tc>
          <w:tcPr>
            <w:tcW w:w="923" w:type="dxa"/>
            <w:noWrap/>
            <w:hideMark/>
          </w:tcPr>
          <w:p w14:paraId="4BFD2F96" w14:textId="72FEB462" w:rsidR="00AA2D20" w:rsidRPr="00470E6E" w:rsidRDefault="00AA2D20" w:rsidP="00AA2D20">
            <w:pPr>
              <w:rPr>
                <w:noProof/>
              </w:rPr>
            </w:pPr>
            <w:r>
              <w:rPr>
                <w:noProof/>
              </w:rPr>
              <w:t>1</w:t>
            </w:r>
          </w:p>
        </w:tc>
        <w:tc>
          <w:tcPr>
            <w:tcW w:w="923" w:type="dxa"/>
            <w:noWrap/>
            <w:hideMark/>
          </w:tcPr>
          <w:p w14:paraId="4B1777F7" w14:textId="305AF768" w:rsidR="00AA2D20" w:rsidRPr="00470E6E" w:rsidRDefault="00AA2D20" w:rsidP="00AA2D20">
            <w:pPr>
              <w:rPr>
                <w:noProof/>
              </w:rPr>
            </w:pPr>
            <w:r>
              <w:rPr>
                <w:noProof/>
              </w:rPr>
              <w:t>1</w:t>
            </w:r>
          </w:p>
        </w:tc>
        <w:tc>
          <w:tcPr>
            <w:tcW w:w="923" w:type="dxa"/>
            <w:noWrap/>
            <w:hideMark/>
          </w:tcPr>
          <w:p w14:paraId="5E621CD7" w14:textId="2CD22886" w:rsidR="00AA2D20" w:rsidRPr="00470E6E" w:rsidRDefault="00AA2D20" w:rsidP="00AA2D20">
            <w:pPr>
              <w:rPr>
                <w:noProof/>
              </w:rPr>
            </w:pPr>
            <w:r>
              <w:rPr>
                <w:noProof/>
              </w:rPr>
              <w:t>0</w:t>
            </w:r>
          </w:p>
        </w:tc>
        <w:tc>
          <w:tcPr>
            <w:tcW w:w="923" w:type="dxa"/>
            <w:noWrap/>
            <w:hideMark/>
          </w:tcPr>
          <w:p w14:paraId="74F94356" w14:textId="15696B0F" w:rsidR="00AA2D20" w:rsidRPr="00470E6E" w:rsidRDefault="00AA2D20" w:rsidP="00AA2D20">
            <w:pPr>
              <w:rPr>
                <w:noProof/>
              </w:rPr>
            </w:pPr>
            <w:r>
              <w:rPr>
                <w:noProof/>
              </w:rPr>
              <w:t>0</w:t>
            </w:r>
          </w:p>
        </w:tc>
        <w:tc>
          <w:tcPr>
            <w:tcW w:w="1562" w:type="dxa"/>
            <w:noWrap/>
            <w:hideMark/>
          </w:tcPr>
          <w:p w14:paraId="19993547" w14:textId="083CD1C7" w:rsidR="00AA2D20" w:rsidRPr="00470E6E" w:rsidRDefault="00AA2D20" w:rsidP="00AA2D20">
            <w:pPr>
              <w:rPr>
                <w:noProof/>
              </w:rPr>
            </w:pPr>
            <w:r>
              <w:rPr>
                <w:noProof/>
              </w:rPr>
              <w:t>2</w:t>
            </w:r>
          </w:p>
        </w:tc>
        <w:tc>
          <w:tcPr>
            <w:tcW w:w="1085" w:type="dxa"/>
          </w:tcPr>
          <w:p w14:paraId="259DA229" w14:textId="20488308" w:rsidR="00AA2D20" w:rsidRPr="00470E6E" w:rsidRDefault="00AA2D20" w:rsidP="00AA2D20">
            <w:pPr>
              <w:rPr>
                <w:noProof/>
              </w:rPr>
            </w:pPr>
            <w:r>
              <w:rPr>
                <w:noProof/>
              </w:rPr>
              <w:t>--</w:t>
            </w:r>
          </w:p>
        </w:tc>
      </w:tr>
      <w:tr w:rsidR="00AA2D20" w:rsidRPr="00470E6E" w14:paraId="544502D1" w14:textId="77777777" w:rsidTr="00FC5D04">
        <w:trPr>
          <w:trHeight w:val="292"/>
        </w:trPr>
        <w:tc>
          <w:tcPr>
            <w:tcW w:w="2336" w:type="dxa"/>
            <w:vMerge/>
            <w:noWrap/>
            <w:hideMark/>
          </w:tcPr>
          <w:p w14:paraId="08C5A59F" w14:textId="77777777" w:rsidR="00AA2D20" w:rsidRPr="00470E6E" w:rsidRDefault="00AA2D20" w:rsidP="00AA2D20">
            <w:pPr>
              <w:rPr>
                <w:b/>
                <w:noProof/>
                <w:highlight w:val="yellow"/>
                <w:lang w:val="en-IE"/>
              </w:rPr>
            </w:pPr>
          </w:p>
        </w:tc>
        <w:tc>
          <w:tcPr>
            <w:tcW w:w="1356" w:type="dxa"/>
            <w:noWrap/>
            <w:hideMark/>
          </w:tcPr>
          <w:p w14:paraId="216F77B7" w14:textId="77777777" w:rsidR="00AA2D20" w:rsidRPr="00470E6E" w:rsidRDefault="00AA2D20" w:rsidP="00AA2D20">
            <w:pPr>
              <w:rPr>
                <w:noProof/>
              </w:rPr>
            </w:pPr>
            <w:r>
              <w:rPr>
                <w:noProof/>
              </w:rPr>
              <w:t>Italie</w:t>
            </w:r>
          </w:p>
        </w:tc>
        <w:tc>
          <w:tcPr>
            <w:tcW w:w="923" w:type="dxa"/>
            <w:noWrap/>
            <w:hideMark/>
          </w:tcPr>
          <w:p w14:paraId="4C506EBD" w14:textId="18D7852D" w:rsidR="00AA2D20" w:rsidRPr="00470E6E" w:rsidRDefault="00AA2D20" w:rsidP="00AA2D20">
            <w:pPr>
              <w:rPr>
                <w:noProof/>
              </w:rPr>
            </w:pPr>
            <w:r>
              <w:rPr>
                <w:noProof/>
              </w:rPr>
              <w:t>11</w:t>
            </w:r>
          </w:p>
        </w:tc>
        <w:tc>
          <w:tcPr>
            <w:tcW w:w="923" w:type="dxa"/>
            <w:noWrap/>
            <w:hideMark/>
          </w:tcPr>
          <w:p w14:paraId="44B51889" w14:textId="1F1CDCD3" w:rsidR="00AA2D20" w:rsidRPr="00470E6E" w:rsidRDefault="00AA2D20" w:rsidP="00AA2D20">
            <w:pPr>
              <w:rPr>
                <w:noProof/>
              </w:rPr>
            </w:pPr>
            <w:r>
              <w:rPr>
                <w:noProof/>
              </w:rPr>
              <w:t>127</w:t>
            </w:r>
          </w:p>
        </w:tc>
        <w:tc>
          <w:tcPr>
            <w:tcW w:w="923" w:type="dxa"/>
            <w:noWrap/>
            <w:hideMark/>
          </w:tcPr>
          <w:p w14:paraId="727B0B5F" w14:textId="31505D73" w:rsidR="00AA2D20" w:rsidRPr="00470E6E" w:rsidRDefault="00AA2D20" w:rsidP="00AA2D20">
            <w:pPr>
              <w:rPr>
                <w:noProof/>
              </w:rPr>
            </w:pPr>
            <w:r>
              <w:rPr>
                <w:noProof/>
              </w:rPr>
              <w:t>0</w:t>
            </w:r>
          </w:p>
        </w:tc>
        <w:tc>
          <w:tcPr>
            <w:tcW w:w="923" w:type="dxa"/>
            <w:noWrap/>
            <w:hideMark/>
          </w:tcPr>
          <w:p w14:paraId="75701FEA" w14:textId="731DD399" w:rsidR="00AA2D20" w:rsidRPr="00470E6E" w:rsidRDefault="00AA2D20" w:rsidP="00AA2D20">
            <w:pPr>
              <w:rPr>
                <w:noProof/>
              </w:rPr>
            </w:pPr>
            <w:r>
              <w:rPr>
                <w:noProof/>
              </w:rPr>
              <w:t>2</w:t>
            </w:r>
          </w:p>
        </w:tc>
        <w:tc>
          <w:tcPr>
            <w:tcW w:w="1562" w:type="dxa"/>
            <w:noWrap/>
            <w:hideMark/>
          </w:tcPr>
          <w:p w14:paraId="69853D21" w14:textId="5A4B9814" w:rsidR="00AA2D20" w:rsidRPr="00470E6E" w:rsidRDefault="00AA2D20" w:rsidP="00AA2D20">
            <w:pPr>
              <w:rPr>
                <w:noProof/>
              </w:rPr>
            </w:pPr>
            <w:r>
              <w:rPr>
                <w:noProof/>
              </w:rPr>
              <w:t>140</w:t>
            </w:r>
          </w:p>
        </w:tc>
        <w:tc>
          <w:tcPr>
            <w:tcW w:w="1085" w:type="dxa"/>
          </w:tcPr>
          <w:p w14:paraId="37871532" w14:textId="21162F14" w:rsidR="00AA2D20" w:rsidRPr="00470E6E" w:rsidRDefault="00AA2D20" w:rsidP="00AA2D20">
            <w:pPr>
              <w:rPr>
                <w:noProof/>
              </w:rPr>
            </w:pPr>
            <w:r>
              <w:rPr>
                <w:noProof/>
              </w:rPr>
              <w:t>--</w:t>
            </w:r>
          </w:p>
        </w:tc>
      </w:tr>
      <w:tr w:rsidR="00AA2D20" w:rsidRPr="00470E6E" w14:paraId="4DE92471" w14:textId="77777777" w:rsidTr="00FC5D04">
        <w:trPr>
          <w:trHeight w:val="292"/>
        </w:trPr>
        <w:tc>
          <w:tcPr>
            <w:tcW w:w="2336" w:type="dxa"/>
            <w:vMerge/>
            <w:tcBorders>
              <w:bottom w:val="single" w:sz="4" w:space="0" w:color="auto"/>
            </w:tcBorders>
            <w:noWrap/>
            <w:hideMark/>
          </w:tcPr>
          <w:p w14:paraId="7689FC17" w14:textId="77777777" w:rsidR="00AA2D20" w:rsidRPr="00470E6E" w:rsidRDefault="00AA2D20" w:rsidP="00AA2D20">
            <w:pPr>
              <w:rPr>
                <w:b/>
                <w:noProof/>
                <w:highlight w:val="yellow"/>
                <w:lang w:val="en-IE"/>
              </w:rPr>
            </w:pPr>
          </w:p>
        </w:tc>
        <w:tc>
          <w:tcPr>
            <w:tcW w:w="1356" w:type="dxa"/>
            <w:tcBorders>
              <w:bottom w:val="single" w:sz="4" w:space="0" w:color="auto"/>
            </w:tcBorders>
            <w:noWrap/>
            <w:hideMark/>
          </w:tcPr>
          <w:p w14:paraId="2698FB56" w14:textId="77777777" w:rsidR="00AA2D20" w:rsidRPr="00470E6E" w:rsidRDefault="00AA2D20" w:rsidP="00AA2D20">
            <w:pPr>
              <w:rPr>
                <w:noProof/>
              </w:rPr>
            </w:pPr>
            <w:r>
              <w:rPr>
                <w:noProof/>
              </w:rPr>
              <w:t>Espagne</w:t>
            </w:r>
          </w:p>
        </w:tc>
        <w:tc>
          <w:tcPr>
            <w:tcW w:w="923" w:type="dxa"/>
            <w:tcBorders>
              <w:bottom w:val="single" w:sz="4" w:space="0" w:color="auto"/>
            </w:tcBorders>
            <w:noWrap/>
            <w:hideMark/>
          </w:tcPr>
          <w:p w14:paraId="55EEEB2E" w14:textId="01918741" w:rsidR="00AA2D20" w:rsidRPr="00470E6E" w:rsidRDefault="0089218B" w:rsidP="00AA2D20">
            <w:pPr>
              <w:rPr>
                <w:noProof/>
              </w:rPr>
            </w:pPr>
            <w:r>
              <w:rPr>
                <w:noProof/>
              </w:rPr>
              <w:t>1</w:t>
            </w:r>
          </w:p>
        </w:tc>
        <w:tc>
          <w:tcPr>
            <w:tcW w:w="923" w:type="dxa"/>
            <w:tcBorders>
              <w:bottom w:val="single" w:sz="4" w:space="0" w:color="auto"/>
            </w:tcBorders>
            <w:noWrap/>
            <w:hideMark/>
          </w:tcPr>
          <w:p w14:paraId="49C134DA" w14:textId="2B10D9DC" w:rsidR="00AA2D20" w:rsidRPr="00470E6E" w:rsidRDefault="0089218B" w:rsidP="00AA2D20">
            <w:pPr>
              <w:rPr>
                <w:noProof/>
              </w:rPr>
            </w:pPr>
            <w:r>
              <w:rPr>
                <w:noProof/>
              </w:rPr>
              <w:t>2</w:t>
            </w:r>
          </w:p>
        </w:tc>
        <w:tc>
          <w:tcPr>
            <w:tcW w:w="923" w:type="dxa"/>
            <w:tcBorders>
              <w:bottom w:val="single" w:sz="4" w:space="0" w:color="auto"/>
            </w:tcBorders>
            <w:noWrap/>
            <w:hideMark/>
          </w:tcPr>
          <w:p w14:paraId="141573AD" w14:textId="3D76FA4F" w:rsidR="00AA2D20" w:rsidRPr="00470E6E" w:rsidRDefault="00AA2D20" w:rsidP="00AA2D20">
            <w:pPr>
              <w:rPr>
                <w:noProof/>
              </w:rPr>
            </w:pPr>
            <w:r>
              <w:rPr>
                <w:noProof/>
              </w:rPr>
              <w:t>0</w:t>
            </w:r>
          </w:p>
        </w:tc>
        <w:tc>
          <w:tcPr>
            <w:tcW w:w="923" w:type="dxa"/>
            <w:tcBorders>
              <w:bottom w:val="single" w:sz="4" w:space="0" w:color="auto"/>
            </w:tcBorders>
            <w:noWrap/>
            <w:hideMark/>
          </w:tcPr>
          <w:p w14:paraId="16037D94" w14:textId="186D8636" w:rsidR="00AA2D20" w:rsidRPr="00470E6E" w:rsidRDefault="00AA2D20" w:rsidP="00AA2D20">
            <w:pPr>
              <w:rPr>
                <w:noProof/>
              </w:rPr>
            </w:pPr>
            <w:r>
              <w:rPr>
                <w:noProof/>
              </w:rPr>
              <w:t>0</w:t>
            </w:r>
          </w:p>
        </w:tc>
        <w:tc>
          <w:tcPr>
            <w:tcW w:w="1562" w:type="dxa"/>
            <w:tcBorders>
              <w:bottom w:val="single" w:sz="4" w:space="0" w:color="auto"/>
            </w:tcBorders>
            <w:noWrap/>
            <w:hideMark/>
          </w:tcPr>
          <w:p w14:paraId="1EF5666B" w14:textId="3B021532" w:rsidR="00AA2D20" w:rsidRPr="00470E6E" w:rsidRDefault="00CB6E60" w:rsidP="00AA2D20">
            <w:pPr>
              <w:rPr>
                <w:noProof/>
              </w:rPr>
            </w:pPr>
            <w:r>
              <w:rPr>
                <w:noProof/>
              </w:rPr>
              <w:t>3</w:t>
            </w:r>
          </w:p>
        </w:tc>
        <w:tc>
          <w:tcPr>
            <w:tcW w:w="1085" w:type="dxa"/>
            <w:tcBorders>
              <w:bottom w:val="single" w:sz="4" w:space="0" w:color="auto"/>
            </w:tcBorders>
          </w:tcPr>
          <w:p w14:paraId="4766CD92" w14:textId="6C1C9CDA" w:rsidR="00AA2D20" w:rsidRPr="00470E6E" w:rsidRDefault="0089218B" w:rsidP="00AA2D20">
            <w:pPr>
              <w:rPr>
                <w:noProof/>
              </w:rPr>
            </w:pPr>
            <w:r>
              <w:rPr>
                <w:noProof/>
              </w:rPr>
              <w:t>0</w:t>
            </w:r>
          </w:p>
        </w:tc>
      </w:tr>
      <w:tr w:rsidR="001C59ED" w:rsidRPr="00470E6E" w14:paraId="115C7759" w14:textId="77777777" w:rsidTr="00FC5D04">
        <w:trPr>
          <w:trHeight w:val="292"/>
        </w:trPr>
        <w:tc>
          <w:tcPr>
            <w:tcW w:w="2336" w:type="dxa"/>
            <w:vMerge w:val="restart"/>
            <w:noWrap/>
            <w:hideMark/>
          </w:tcPr>
          <w:p w14:paraId="0427EB0E" w14:textId="77777777" w:rsidR="001C59ED" w:rsidRPr="00470E6E" w:rsidRDefault="001C59ED" w:rsidP="001C59ED">
            <w:pPr>
              <w:rPr>
                <w:b/>
                <w:noProof/>
                <w:highlight w:val="yellow"/>
              </w:rPr>
            </w:pPr>
            <w:r>
              <w:rPr>
                <w:b/>
                <w:noProof/>
              </w:rPr>
              <w:t>Mer du Nord et Atlantique</w:t>
            </w:r>
          </w:p>
        </w:tc>
        <w:tc>
          <w:tcPr>
            <w:tcW w:w="1356" w:type="dxa"/>
            <w:noWrap/>
            <w:hideMark/>
          </w:tcPr>
          <w:p w14:paraId="0A713010" w14:textId="77777777" w:rsidR="001C59ED" w:rsidRPr="003D2CCD" w:rsidRDefault="001C59ED" w:rsidP="001C59ED">
            <w:pPr>
              <w:rPr>
                <w:noProof/>
                <w:highlight w:val="yellow"/>
                <w:lang w:val="fr-BE"/>
              </w:rPr>
            </w:pPr>
          </w:p>
        </w:tc>
        <w:tc>
          <w:tcPr>
            <w:tcW w:w="923" w:type="dxa"/>
            <w:noWrap/>
            <w:hideMark/>
          </w:tcPr>
          <w:p w14:paraId="334D7D3A" w14:textId="7B913FB1" w:rsidR="001C59ED" w:rsidRPr="00470E6E" w:rsidRDefault="00A370F3" w:rsidP="001C59ED">
            <w:pPr>
              <w:rPr>
                <w:b/>
                <w:bCs/>
                <w:noProof/>
              </w:rPr>
            </w:pPr>
            <w:r>
              <w:rPr>
                <w:b/>
                <w:noProof/>
              </w:rPr>
              <w:t>39</w:t>
            </w:r>
          </w:p>
        </w:tc>
        <w:tc>
          <w:tcPr>
            <w:tcW w:w="923" w:type="dxa"/>
            <w:noWrap/>
            <w:hideMark/>
          </w:tcPr>
          <w:p w14:paraId="3EC9E260" w14:textId="145E14AF" w:rsidR="001C59ED" w:rsidRPr="00470E6E" w:rsidRDefault="001C59ED" w:rsidP="001C59ED">
            <w:pPr>
              <w:rPr>
                <w:b/>
                <w:bCs/>
                <w:noProof/>
              </w:rPr>
            </w:pPr>
            <w:r>
              <w:rPr>
                <w:b/>
                <w:noProof/>
              </w:rPr>
              <w:t>92</w:t>
            </w:r>
          </w:p>
        </w:tc>
        <w:tc>
          <w:tcPr>
            <w:tcW w:w="923" w:type="dxa"/>
            <w:noWrap/>
            <w:hideMark/>
          </w:tcPr>
          <w:p w14:paraId="61FE6194" w14:textId="05F9F52F" w:rsidR="001C59ED" w:rsidRPr="00470E6E" w:rsidRDefault="001C59ED" w:rsidP="001C59ED">
            <w:pPr>
              <w:rPr>
                <w:b/>
                <w:bCs/>
                <w:noProof/>
              </w:rPr>
            </w:pPr>
            <w:r>
              <w:rPr>
                <w:b/>
                <w:noProof/>
              </w:rPr>
              <w:t>5</w:t>
            </w:r>
          </w:p>
        </w:tc>
        <w:tc>
          <w:tcPr>
            <w:tcW w:w="923" w:type="dxa"/>
            <w:noWrap/>
            <w:hideMark/>
          </w:tcPr>
          <w:p w14:paraId="76F24966" w14:textId="613FAF5D" w:rsidR="001C59ED" w:rsidRPr="00470E6E" w:rsidRDefault="001C59ED" w:rsidP="001C59ED">
            <w:pPr>
              <w:rPr>
                <w:b/>
                <w:bCs/>
                <w:noProof/>
              </w:rPr>
            </w:pPr>
            <w:r>
              <w:rPr>
                <w:b/>
                <w:noProof/>
              </w:rPr>
              <w:t>0</w:t>
            </w:r>
          </w:p>
        </w:tc>
        <w:tc>
          <w:tcPr>
            <w:tcW w:w="1562" w:type="dxa"/>
            <w:noWrap/>
            <w:hideMark/>
          </w:tcPr>
          <w:p w14:paraId="47F6B7B4" w14:textId="633771D4" w:rsidR="001C59ED" w:rsidRPr="00470E6E" w:rsidRDefault="001C59ED" w:rsidP="001C59ED">
            <w:pPr>
              <w:rPr>
                <w:b/>
                <w:bCs/>
                <w:noProof/>
              </w:rPr>
            </w:pPr>
            <w:r>
              <w:rPr>
                <w:b/>
                <w:noProof/>
              </w:rPr>
              <w:t>136</w:t>
            </w:r>
          </w:p>
        </w:tc>
        <w:tc>
          <w:tcPr>
            <w:tcW w:w="1085" w:type="dxa"/>
          </w:tcPr>
          <w:p w14:paraId="5EF252B9" w14:textId="7527BF24" w:rsidR="001C59ED" w:rsidRPr="00470E6E" w:rsidRDefault="00E84DB2" w:rsidP="001C59ED">
            <w:pPr>
              <w:rPr>
                <w:b/>
                <w:bCs/>
                <w:noProof/>
              </w:rPr>
            </w:pPr>
            <w:r>
              <w:rPr>
                <w:b/>
                <w:noProof/>
              </w:rPr>
              <w:t>+1</w:t>
            </w:r>
          </w:p>
        </w:tc>
      </w:tr>
      <w:tr w:rsidR="001C59ED" w:rsidRPr="00470E6E" w14:paraId="113A84B0" w14:textId="77777777" w:rsidTr="00FC5D04">
        <w:trPr>
          <w:trHeight w:val="292"/>
        </w:trPr>
        <w:tc>
          <w:tcPr>
            <w:tcW w:w="2336" w:type="dxa"/>
            <w:vMerge/>
            <w:noWrap/>
            <w:hideMark/>
          </w:tcPr>
          <w:p w14:paraId="235B59A4" w14:textId="77777777" w:rsidR="001C59ED" w:rsidRPr="00470E6E" w:rsidRDefault="001C59ED" w:rsidP="001C59ED">
            <w:pPr>
              <w:rPr>
                <w:b/>
                <w:noProof/>
                <w:highlight w:val="yellow"/>
                <w:lang w:val="en-IE"/>
              </w:rPr>
            </w:pPr>
          </w:p>
        </w:tc>
        <w:tc>
          <w:tcPr>
            <w:tcW w:w="1356" w:type="dxa"/>
            <w:noWrap/>
            <w:hideMark/>
          </w:tcPr>
          <w:p w14:paraId="028AA6EC" w14:textId="77777777" w:rsidR="001C59ED" w:rsidRPr="00470E6E" w:rsidRDefault="001C59ED" w:rsidP="001C59ED">
            <w:pPr>
              <w:rPr>
                <w:noProof/>
              </w:rPr>
            </w:pPr>
            <w:r>
              <w:rPr>
                <w:noProof/>
              </w:rPr>
              <w:t>Danemark</w:t>
            </w:r>
          </w:p>
        </w:tc>
        <w:tc>
          <w:tcPr>
            <w:tcW w:w="923" w:type="dxa"/>
            <w:noWrap/>
            <w:hideMark/>
          </w:tcPr>
          <w:p w14:paraId="1C326402" w14:textId="3EE5758F" w:rsidR="001C59ED" w:rsidRPr="00470E6E" w:rsidRDefault="001C59ED" w:rsidP="001C59ED">
            <w:pPr>
              <w:rPr>
                <w:noProof/>
              </w:rPr>
            </w:pPr>
            <w:r>
              <w:rPr>
                <w:noProof/>
              </w:rPr>
              <w:t>7</w:t>
            </w:r>
          </w:p>
        </w:tc>
        <w:tc>
          <w:tcPr>
            <w:tcW w:w="923" w:type="dxa"/>
            <w:noWrap/>
            <w:hideMark/>
          </w:tcPr>
          <w:p w14:paraId="54336403" w14:textId="03DBB41D" w:rsidR="001C59ED" w:rsidRPr="00470E6E" w:rsidRDefault="001C59ED" w:rsidP="001C59ED">
            <w:pPr>
              <w:rPr>
                <w:noProof/>
              </w:rPr>
            </w:pPr>
            <w:r>
              <w:rPr>
                <w:noProof/>
              </w:rPr>
              <w:t>11</w:t>
            </w:r>
          </w:p>
        </w:tc>
        <w:tc>
          <w:tcPr>
            <w:tcW w:w="923" w:type="dxa"/>
            <w:noWrap/>
            <w:hideMark/>
          </w:tcPr>
          <w:p w14:paraId="5290BC47" w14:textId="1E9962C0" w:rsidR="001C59ED" w:rsidRPr="00470E6E" w:rsidRDefault="001C59ED" w:rsidP="001C59ED">
            <w:pPr>
              <w:rPr>
                <w:noProof/>
              </w:rPr>
            </w:pPr>
            <w:r>
              <w:rPr>
                <w:noProof/>
              </w:rPr>
              <w:t>1</w:t>
            </w:r>
          </w:p>
        </w:tc>
        <w:tc>
          <w:tcPr>
            <w:tcW w:w="923" w:type="dxa"/>
            <w:noWrap/>
            <w:hideMark/>
          </w:tcPr>
          <w:p w14:paraId="1593CCEF" w14:textId="7D6E2BA6" w:rsidR="001C59ED" w:rsidRPr="00470E6E" w:rsidRDefault="001C59ED" w:rsidP="001C59ED">
            <w:pPr>
              <w:rPr>
                <w:noProof/>
              </w:rPr>
            </w:pPr>
            <w:r>
              <w:rPr>
                <w:noProof/>
              </w:rPr>
              <w:t>0</w:t>
            </w:r>
          </w:p>
        </w:tc>
        <w:tc>
          <w:tcPr>
            <w:tcW w:w="1562" w:type="dxa"/>
            <w:noWrap/>
            <w:hideMark/>
          </w:tcPr>
          <w:p w14:paraId="622997D5" w14:textId="068D7F96" w:rsidR="001C59ED" w:rsidRPr="00470E6E" w:rsidRDefault="001C59ED" w:rsidP="001C59ED">
            <w:pPr>
              <w:rPr>
                <w:noProof/>
              </w:rPr>
            </w:pPr>
            <w:r>
              <w:rPr>
                <w:noProof/>
              </w:rPr>
              <w:t>19</w:t>
            </w:r>
          </w:p>
        </w:tc>
        <w:tc>
          <w:tcPr>
            <w:tcW w:w="1085" w:type="dxa"/>
          </w:tcPr>
          <w:p w14:paraId="70B2AA41" w14:textId="7D644FC4" w:rsidR="001C59ED" w:rsidRPr="00470E6E" w:rsidRDefault="001C59ED" w:rsidP="001C59ED">
            <w:pPr>
              <w:rPr>
                <w:noProof/>
              </w:rPr>
            </w:pPr>
            <w:r>
              <w:rPr>
                <w:noProof/>
              </w:rPr>
              <w:t>--</w:t>
            </w:r>
          </w:p>
        </w:tc>
      </w:tr>
      <w:tr w:rsidR="001C59ED" w:rsidRPr="00470E6E" w14:paraId="1A83038A" w14:textId="77777777" w:rsidTr="00FC5D04">
        <w:trPr>
          <w:trHeight w:val="292"/>
        </w:trPr>
        <w:tc>
          <w:tcPr>
            <w:tcW w:w="2336" w:type="dxa"/>
            <w:vMerge/>
            <w:noWrap/>
            <w:hideMark/>
          </w:tcPr>
          <w:p w14:paraId="0D011E32" w14:textId="77777777" w:rsidR="001C59ED" w:rsidRPr="00470E6E" w:rsidRDefault="001C59ED" w:rsidP="001C59ED">
            <w:pPr>
              <w:rPr>
                <w:b/>
                <w:noProof/>
                <w:highlight w:val="yellow"/>
                <w:lang w:val="en-IE"/>
              </w:rPr>
            </w:pPr>
          </w:p>
        </w:tc>
        <w:tc>
          <w:tcPr>
            <w:tcW w:w="1356" w:type="dxa"/>
            <w:noWrap/>
            <w:hideMark/>
          </w:tcPr>
          <w:p w14:paraId="7EF017DC" w14:textId="77777777" w:rsidR="001C59ED" w:rsidRPr="00470E6E" w:rsidRDefault="001C59ED" w:rsidP="001C59ED">
            <w:pPr>
              <w:rPr>
                <w:noProof/>
              </w:rPr>
            </w:pPr>
            <w:r>
              <w:rPr>
                <w:noProof/>
              </w:rPr>
              <w:t>Allemagne</w:t>
            </w:r>
          </w:p>
        </w:tc>
        <w:tc>
          <w:tcPr>
            <w:tcW w:w="923" w:type="dxa"/>
            <w:noWrap/>
            <w:hideMark/>
          </w:tcPr>
          <w:p w14:paraId="5BD05FDC" w14:textId="46C28734" w:rsidR="001C59ED" w:rsidRPr="00470E6E" w:rsidRDefault="00ED13D6" w:rsidP="001C59ED">
            <w:pPr>
              <w:rPr>
                <w:noProof/>
              </w:rPr>
            </w:pPr>
            <w:r>
              <w:rPr>
                <w:noProof/>
              </w:rPr>
              <w:t>1</w:t>
            </w:r>
          </w:p>
        </w:tc>
        <w:tc>
          <w:tcPr>
            <w:tcW w:w="923" w:type="dxa"/>
            <w:noWrap/>
            <w:hideMark/>
          </w:tcPr>
          <w:p w14:paraId="63FA6E62" w14:textId="653403F4" w:rsidR="001C59ED" w:rsidRPr="00470E6E" w:rsidRDefault="00ED13D6" w:rsidP="001C59ED">
            <w:pPr>
              <w:rPr>
                <w:noProof/>
              </w:rPr>
            </w:pPr>
            <w:r>
              <w:rPr>
                <w:noProof/>
              </w:rPr>
              <w:t>1</w:t>
            </w:r>
          </w:p>
        </w:tc>
        <w:tc>
          <w:tcPr>
            <w:tcW w:w="923" w:type="dxa"/>
            <w:noWrap/>
            <w:hideMark/>
          </w:tcPr>
          <w:p w14:paraId="1969A249" w14:textId="500D4CF1" w:rsidR="001C59ED" w:rsidRPr="00470E6E" w:rsidRDefault="001C59ED" w:rsidP="001C59ED">
            <w:pPr>
              <w:rPr>
                <w:noProof/>
              </w:rPr>
            </w:pPr>
            <w:r>
              <w:rPr>
                <w:noProof/>
              </w:rPr>
              <w:t>0</w:t>
            </w:r>
          </w:p>
        </w:tc>
        <w:tc>
          <w:tcPr>
            <w:tcW w:w="923" w:type="dxa"/>
            <w:noWrap/>
            <w:hideMark/>
          </w:tcPr>
          <w:p w14:paraId="04838797" w14:textId="294D8F0C" w:rsidR="001C59ED" w:rsidRPr="00470E6E" w:rsidRDefault="001C59ED" w:rsidP="001C59ED">
            <w:pPr>
              <w:rPr>
                <w:noProof/>
              </w:rPr>
            </w:pPr>
            <w:r>
              <w:rPr>
                <w:noProof/>
              </w:rPr>
              <w:t>0</w:t>
            </w:r>
          </w:p>
        </w:tc>
        <w:tc>
          <w:tcPr>
            <w:tcW w:w="1562" w:type="dxa"/>
            <w:noWrap/>
            <w:hideMark/>
          </w:tcPr>
          <w:p w14:paraId="44F560C1" w14:textId="1F757C81" w:rsidR="001C59ED" w:rsidRPr="00470E6E" w:rsidRDefault="001C59ED" w:rsidP="001C59ED">
            <w:pPr>
              <w:rPr>
                <w:noProof/>
              </w:rPr>
            </w:pPr>
            <w:r>
              <w:rPr>
                <w:noProof/>
              </w:rPr>
              <w:t>2</w:t>
            </w:r>
          </w:p>
        </w:tc>
        <w:tc>
          <w:tcPr>
            <w:tcW w:w="1085" w:type="dxa"/>
          </w:tcPr>
          <w:p w14:paraId="148DAF19" w14:textId="79361CBA" w:rsidR="001C59ED" w:rsidRPr="00470E6E" w:rsidRDefault="001C59ED" w:rsidP="001C59ED">
            <w:pPr>
              <w:rPr>
                <w:noProof/>
              </w:rPr>
            </w:pPr>
            <w:r>
              <w:rPr>
                <w:noProof/>
              </w:rPr>
              <w:t>--</w:t>
            </w:r>
          </w:p>
        </w:tc>
      </w:tr>
      <w:tr w:rsidR="001C59ED" w:rsidRPr="00470E6E" w14:paraId="629B62AA" w14:textId="77777777" w:rsidTr="00FC5D04">
        <w:trPr>
          <w:trHeight w:val="292"/>
        </w:trPr>
        <w:tc>
          <w:tcPr>
            <w:tcW w:w="2336" w:type="dxa"/>
            <w:vMerge/>
            <w:noWrap/>
            <w:hideMark/>
          </w:tcPr>
          <w:p w14:paraId="2F2B741D" w14:textId="77777777" w:rsidR="001C59ED" w:rsidRPr="00470E6E" w:rsidRDefault="001C59ED" w:rsidP="001C59ED">
            <w:pPr>
              <w:rPr>
                <w:b/>
                <w:noProof/>
                <w:highlight w:val="yellow"/>
                <w:lang w:val="en-IE"/>
              </w:rPr>
            </w:pPr>
          </w:p>
        </w:tc>
        <w:tc>
          <w:tcPr>
            <w:tcW w:w="1356" w:type="dxa"/>
            <w:noWrap/>
            <w:hideMark/>
          </w:tcPr>
          <w:p w14:paraId="3112521B" w14:textId="77777777" w:rsidR="001C59ED" w:rsidRPr="00470E6E" w:rsidRDefault="001C59ED" w:rsidP="001C59ED">
            <w:pPr>
              <w:rPr>
                <w:noProof/>
              </w:rPr>
            </w:pPr>
            <w:r>
              <w:rPr>
                <w:noProof/>
              </w:rPr>
              <w:t>Irlande</w:t>
            </w:r>
          </w:p>
        </w:tc>
        <w:tc>
          <w:tcPr>
            <w:tcW w:w="923" w:type="dxa"/>
            <w:noWrap/>
            <w:hideMark/>
          </w:tcPr>
          <w:p w14:paraId="26E499EC" w14:textId="2BF910CB" w:rsidR="001C59ED" w:rsidRPr="00470E6E" w:rsidRDefault="001C59ED" w:rsidP="001C59ED">
            <w:pPr>
              <w:rPr>
                <w:noProof/>
              </w:rPr>
            </w:pPr>
            <w:r>
              <w:rPr>
                <w:noProof/>
              </w:rPr>
              <w:t>0</w:t>
            </w:r>
          </w:p>
        </w:tc>
        <w:tc>
          <w:tcPr>
            <w:tcW w:w="923" w:type="dxa"/>
            <w:noWrap/>
            <w:hideMark/>
          </w:tcPr>
          <w:p w14:paraId="2AF1AA7C" w14:textId="0D061417" w:rsidR="001C59ED" w:rsidRPr="00470E6E" w:rsidRDefault="001C59ED" w:rsidP="001C59ED">
            <w:pPr>
              <w:rPr>
                <w:noProof/>
              </w:rPr>
            </w:pPr>
            <w:r>
              <w:rPr>
                <w:noProof/>
              </w:rPr>
              <w:t>0</w:t>
            </w:r>
          </w:p>
        </w:tc>
        <w:tc>
          <w:tcPr>
            <w:tcW w:w="923" w:type="dxa"/>
            <w:noWrap/>
            <w:hideMark/>
          </w:tcPr>
          <w:p w14:paraId="14260FEC" w14:textId="3D3D6FC0" w:rsidR="001C59ED" w:rsidRPr="00470E6E" w:rsidRDefault="001C59ED" w:rsidP="001C59ED">
            <w:pPr>
              <w:rPr>
                <w:noProof/>
              </w:rPr>
            </w:pPr>
            <w:r>
              <w:rPr>
                <w:noProof/>
              </w:rPr>
              <w:t>0</w:t>
            </w:r>
          </w:p>
        </w:tc>
        <w:tc>
          <w:tcPr>
            <w:tcW w:w="923" w:type="dxa"/>
            <w:noWrap/>
            <w:hideMark/>
          </w:tcPr>
          <w:p w14:paraId="133D7F0B" w14:textId="78F4F7D5" w:rsidR="001C59ED" w:rsidRPr="00470E6E" w:rsidRDefault="001C59ED" w:rsidP="001C59ED">
            <w:pPr>
              <w:rPr>
                <w:noProof/>
              </w:rPr>
            </w:pPr>
            <w:r>
              <w:rPr>
                <w:noProof/>
              </w:rPr>
              <w:t>0</w:t>
            </w:r>
          </w:p>
        </w:tc>
        <w:tc>
          <w:tcPr>
            <w:tcW w:w="1562" w:type="dxa"/>
            <w:noWrap/>
            <w:hideMark/>
          </w:tcPr>
          <w:p w14:paraId="393F8637" w14:textId="68D49379" w:rsidR="001C59ED" w:rsidRPr="00470E6E" w:rsidRDefault="001C59ED" w:rsidP="001C59ED">
            <w:pPr>
              <w:rPr>
                <w:noProof/>
              </w:rPr>
            </w:pPr>
            <w:r>
              <w:rPr>
                <w:noProof/>
              </w:rPr>
              <w:t>0</w:t>
            </w:r>
          </w:p>
        </w:tc>
        <w:tc>
          <w:tcPr>
            <w:tcW w:w="1085" w:type="dxa"/>
          </w:tcPr>
          <w:p w14:paraId="550CAED1" w14:textId="3E2A74C7" w:rsidR="001C59ED" w:rsidRPr="00470E6E" w:rsidRDefault="001C59ED" w:rsidP="001C59ED">
            <w:pPr>
              <w:rPr>
                <w:noProof/>
              </w:rPr>
            </w:pPr>
            <w:r>
              <w:rPr>
                <w:noProof/>
              </w:rPr>
              <w:t>-2</w:t>
            </w:r>
          </w:p>
        </w:tc>
      </w:tr>
      <w:tr w:rsidR="001C59ED" w:rsidRPr="00470E6E" w14:paraId="4838BB92" w14:textId="77777777" w:rsidTr="00FC5D04">
        <w:trPr>
          <w:trHeight w:val="292"/>
        </w:trPr>
        <w:tc>
          <w:tcPr>
            <w:tcW w:w="2336" w:type="dxa"/>
            <w:vMerge/>
            <w:noWrap/>
            <w:hideMark/>
          </w:tcPr>
          <w:p w14:paraId="7E24EC52" w14:textId="77777777" w:rsidR="001C59ED" w:rsidRPr="00470E6E" w:rsidRDefault="001C59ED" w:rsidP="001C59ED">
            <w:pPr>
              <w:rPr>
                <w:b/>
                <w:noProof/>
                <w:highlight w:val="yellow"/>
                <w:lang w:val="en-IE"/>
              </w:rPr>
            </w:pPr>
          </w:p>
        </w:tc>
        <w:tc>
          <w:tcPr>
            <w:tcW w:w="1356" w:type="dxa"/>
            <w:noWrap/>
            <w:hideMark/>
          </w:tcPr>
          <w:p w14:paraId="698AFA73" w14:textId="77777777" w:rsidR="001C59ED" w:rsidRPr="00470E6E" w:rsidRDefault="001C59ED" w:rsidP="001C59ED">
            <w:pPr>
              <w:rPr>
                <w:noProof/>
              </w:rPr>
            </w:pPr>
            <w:r>
              <w:rPr>
                <w:noProof/>
              </w:rPr>
              <w:t>Pays-Bas</w:t>
            </w:r>
          </w:p>
        </w:tc>
        <w:tc>
          <w:tcPr>
            <w:tcW w:w="923" w:type="dxa"/>
            <w:noWrap/>
            <w:hideMark/>
          </w:tcPr>
          <w:p w14:paraId="13B706F0" w14:textId="7DCEDEBD" w:rsidR="001C59ED" w:rsidRPr="00470E6E" w:rsidRDefault="001C59ED" w:rsidP="001C59ED">
            <w:pPr>
              <w:rPr>
                <w:noProof/>
              </w:rPr>
            </w:pPr>
            <w:r>
              <w:rPr>
                <w:noProof/>
              </w:rPr>
              <w:t>31</w:t>
            </w:r>
          </w:p>
        </w:tc>
        <w:tc>
          <w:tcPr>
            <w:tcW w:w="923" w:type="dxa"/>
            <w:noWrap/>
            <w:hideMark/>
          </w:tcPr>
          <w:p w14:paraId="6F91F402" w14:textId="044400CF" w:rsidR="001C59ED" w:rsidRPr="00470E6E" w:rsidRDefault="001C59ED" w:rsidP="001C59ED">
            <w:pPr>
              <w:rPr>
                <w:noProof/>
              </w:rPr>
            </w:pPr>
            <w:r>
              <w:rPr>
                <w:noProof/>
              </w:rPr>
              <w:t>80</w:t>
            </w:r>
          </w:p>
        </w:tc>
        <w:tc>
          <w:tcPr>
            <w:tcW w:w="923" w:type="dxa"/>
            <w:noWrap/>
            <w:hideMark/>
          </w:tcPr>
          <w:p w14:paraId="4F882684" w14:textId="04FBD3AE" w:rsidR="001C59ED" w:rsidRPr="00470E6E" w:rsidRDefault="001C59ED" w:rsidP="001C59ED">
            <w:pPr>
              <w:rPr>
                <w:noProof/>
              </w:rPr>
            </w:pPr>
            <w:r>
              <w:rPr>
                <w:noProof/>
              </w:rPr>
              <w:t>4</w:t>
            </w:r>
          </w:p>
        </w:tc>
        <w:tc>
          <w:tcPr>
            <w:tcW w:w="923" w:type="dxa"/>
            <w:noWrap/>
            <w:hideMark/>
          </w:tcPr>
          <w:p w14:paraId="353A80CD" w14:textId="4BF45F4D" w:rsidR="001C59ED" w:rsidRPr="00470E6E" w:rsidRDefault="001C59ED" w:rsidP="001C59ED">
            <w:pPr>
              <w:rPr>
                <w:noProof/>
              </w:rPr>
            </w:pPr>
            <w:r>
              <w:rPr>
                <w:noProof/>
              </w:rPr>
              <w:t>0</w:t>
            </w:r>
          </w:p>
        </w:tc>
        <w:tc>
          <w:tcPr>
            <w:tcW w:w="1562" w:type="dxa"/>
            <w:noWrap/>
            <w:hideMark/>
          </w:tcPr>
          <w:p w14:paraId="6D241770" w14:textId="7F3A310D" w:rsidR="001C59ED" w:rsidRPr="00470E6E" w:rsidRDefault="001C59ED" w:rsidP="001C59ED">
            <w:pPr>
              <w:rPr>
                <w:noProof/>
              </w:rPr>
            </w:pPr>
            <w:r>
              <w:rPr>
                <w:noProof/>
              </w:rPr>
              <w:t>115</w:t>
            </w:r>
          </w:p>
        </w:tc>
        <w:tc>
          <w:tcPr>
            <w:tcW w:w="1085" w:type="dxa"/>
          </w:tcPr>
          <w:p w14:paraId="5F833943" w14:textId="49022FEA" w:rsidR="001C59ED" w:rsidRPr="00470E6E" w:rsidRDefault="00E84DB2" w:rsidP="001C59ED">
            <w:pPr>
              <w:rPr>
                <w:noProof/>
              </w:rPr>
            </w:pPr>
            <w:r>
              <w:rPr>
                <w:noProof/>
              </w:rPr>
              <w:t xml:space="preserve"> +3</w:t>
            </w:r>
          </w:p>
        </w:tc>
      </w:tr>
      <w:tr w:rsidR="006126F2" w:rsidRPr="00470E6E" w14:paraId="53A15E86" w14:textId="77777777" w:rsidTr="00FC5D04">
        <w:trPr>
          <w:trHeight w:val="292"/>
        </w:trPr>
        <w:tc>
          <w:tcPr>
            <w:tcW w:w="2336" w:type="dxa"/>
            <w:tcBorders>
              <w:bottom w:val="single" w:sz="4" w:space="0" w:color="auto"/>
            </w:tcBorders>
            <w:noWrap/>
            <w:hideMark/>
          </w:tcPr>
          <w:p w14:paraId="4380B006" w14:textId="77777777" w:rsidR="006126F2" w:rsidRPr="00470E6E" w:rsidRDefault="006126F2" w:rsidP="006126F2">
            <w:pPr>
              <w:rPr>
                <w:b/>
                <w:noProof/>
              </w:rPr>
            </w:pPr>
            <w:r>
              <w:rPr>
                <w:b/>
                <w:noProof/>
              </w:rPr>
              <w:t>Total (type d’installation)</w:t>
            </w:r>
          </w:p>
        </w:tc>
        <w:tc>
          <w:tcPr>
            <w:tcW w:w="1356" w:type="dxa"/>
            <w:tcBorders>
              <w:bottom w:val="single" w:sz="4" w:space="0" w:color="auto"/>
            </w:tcBorders>
            <w:noWrap/>
            <w:hideMark/>
          </w:tcPr>
          <w:p w14:paraId="3AEDA3CE" w14:textId="77777777" w:rsidR="006126F2" w:rsidRPr="00470E6E" w:rsidRDefault="006126F2" w:rsidP="006126F2">
            <w:pPr>
              <w:rPr>
                <w:noProof/>
                <w:lang w:val="en-IE"/>
              </w:rPr>
            </w:pPr>
          </w:p>
        </w:tc>
        <w:tc>
          <w:tcPr>
            <w:tcW w:w="923" w:type="dxa"/>
            <w:tcBorders>
              <w:bottom w:val="single" w:sz="4" w:space="0" w:color="auto"/>
            </w:tcBorders>
            <w:noWrap/>
            <w:hideMark/>
          </w:tcPr>
          <w:p w14:paraId="49B1F691" w14:textId="6B1B5A82" w:rsidR="006126F2" w:rsidRPr="00470E6E" w:rsidRDefault="006126F2" w:rsidP="006126F2">
            <w:pPr>
              <w:rPr>
                <w:b/>
                <w:bCs/>
                <w:noProof/>
              </w:rPr>
            </w:pPr>
            <w:r>
              <w:rPr>
                <w:b/>
                <w:noProof/>
              </w:rPr>
              <w:t>62</w:t>
            </w:r>
          </w:p>
        </w:tc>
        <w:tc>
          <w:tcPr>
            <w:tcW w:w="923" w:type="dxa"/>
            <w:tcBorders>
              <w:bottom w:val="single" w:sz="4" w:space="0" w:color="auto"/>
            </w:tcBorders>
            <w:noWrap/>
            <w:hideMark/>
          </w:tcPr>
          <w:p w14:paraId="4B4D059F" w14:textId="35EFBF8A" w:rsidR="006126F2" w:rsidRPr="00470E6E" w:rsidRDefault="006126F2" w:rsidP="006126F2">
            <w:pPr>
              <w:rPr>
                <w:b/>
                <w:bCs/>
                <w:noProof/>
              </w:rPr>
            </w:pPr>
            <w:r>
              <w:rPr>
                <w:b/>
                <w:noProof/>
              </w:rPr>
              <w:t>244</w:t>
            </w:r>
          </w:p>
        </w:tc>
        <w:tc>
          <w:tcPr>
            <w:tcW w:w="923" w:type="dxa"/>
            <w:tcBorders>
              <w:bottom w:val="single" w:sz="4" w:space="0" w:color="auto"/>
            </w:tcBorders>
            <w:noWrap/>
            <w:hideMark/>
          </w:tcPr>
          <w:p w14:paraId="64DD82A5" w14:textId="37485D12" w:rsidR="006126F2" w:rsidRPr="00470E6E" w:rsidRDefault="006126F2" w:rsidP="006126F2">
            <w:pPr>
              <w:rPr>
                <w:b/>
                <w:bCs/>
                <w:noProof/>
              </w:rPr>
            </w:pPr>
            <w:r>
              <w:rPr>
                <w:b/>
                <w:noProof/>
              </w:rPr>
              <w:t>5</w:t>
            </w:r>
          </w:p>
        </w:tc>
        <w:tc>
          <w:tcPr>
            <w:tcW w:w="923" w:type="dxa"/>
            <w:tcBorders>
              <w:bottom w:val="single" w:sz="4" w:space="0" w:color="auto"/>
            </w:tcBorders>
            <w:noWrap/>
            <w:hideMark/>
          </w:tcPr>
          <w:p w14:paraId="20E9E4A3" w14:textId="6E275168" w:rsidR="006126F2" w:rsidRPr="00470E6E" w:rsidRDefault="006126F2" w:rsidP="006126F2">
            <w:pPr>
              <w:rPr>
                <w:b/>
                <w:bCs/>
                <w:noProof/>
              </w:rPr>
            </w:pPr>
            <w:r>
              <w:rPr>
                <w:b/>
                <w:noProof/>
              </w:rPr>
              <w:t>2</w:t>
            </w:r>
          </w:p>
        </w:tc>
        <w:tc>
          <w:tcPr>
            <w:tcW w:w="1562" w:type="dxa"/>
            <w:tcBorders>
              <w:bottom w:val="single" w:sz="4" w:space="0" w:color="auto"/>
            </w:tcBorders>
            <w:noWrap/>
            <w:hideMark/>
          </w:tcPr>
          <w:p w14:paraId="1C6FEF8F" w14:textId="0C4B184E" w:rsidR="006126F2" w:rsidRPr="00470E6E" w:rsidRDefault="006126F2" w:rsidP="006126F2">
            <w:pPr>
              <w:rPr>
                <w:b/>
                <w:bCs/>
                <w:noProof/>
              </w:rPr>
            </w:pPr>
            <w:r>
              <w:rPr>
                <w:b/>
                <w:noProof/>
              </w:rPr>
              <w:t>313</w:t>
            </w:r>
          </w:p>
        </w:tc>
        <w:tc>
          <w:tcPr>
            <w:tcW w:w="1085" w:type="dxa"/>
            <w:tcBorders>
              <w:bottom w:val="single" w:sz="4" w:space="0" w:color="auto"/>
            </w:tcBorders>
          </w:tcPr>
          <w:p w14:paraId="0D460E5B" w14:textId="619EFE78" w:rsidR="006126F2" w:rsidRPr="00470E6E" w:rsidRDefault="00A11A7F" w:rsidP="006126F2">
            <w:pPr>
              <w:rPr>
                <w:b/>
                <w:bCs/>
                <w:noProof/>
              </w:rPr>
            </w:pPr>
            <w:r>
              <w:rPr>
                <w:b/>
                <w:noProof/>
              </w:rPr>
              <w:t>+2</w:t>
            </w:r>
          </w:p>
        </w:tc>
      </w:tr>
    </w:tbl>
    <w:tbl>
      <w:tblPr>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8"/>
        <w:gridCol w:w="1525"/>
      </w:tblGrid>
      <w:tr w:rsidR="00036698" w:rsidRPr="00470E6E" w14:paraId="2FF17749" w14:textId="77777777" w:rsidTr="00370D52">
        <w:trPr>
          <w:trHeight w:val="353"/>
        </w:trPr>
        <w:tc>
          <w:tcPr>
            <w:tcW w:w="4255" w:type="pct"/>
            <w:tcBorders>
              <w:left w:val="nil"/>
              <w:bottom w:val="nil"/>
              <w:right w:val="nil"/>
            </w:tcBorders>
            <w:shd w:val="clear" w:color="auto" w:fill="auto"/>
            <w:noWrap/>
          </w:tcPr>
          <w:p w14:paraId="467B8FE3" w14:textId="77777777" w:rsidR="00036698" w:rsidRPr="00470E6E" w:rsidRDefault="00036698" w:rsidP="00370D52">
            <w:pPr>
              <w:spacing w:before="60" w:after="60" w:line="240" w:lineRule="auto"/>
              <w:rPr>
                <w:rFonts w:ascii="Times New Roman" w:hAnsi="Times New Roman"/>
                <w:bCs/>
                <w:noProof/>
              </w:rPr>
            </w:pPr>
            <w:r>
              <w:rPr>
                <w:noProof/>
              </w:rPr>
              <w:t xml:space="preserve"> </w:t>
            </w:r>
            <w:r>
              <w:rPr>
                <w:rFonts w:ascii="Times New Roman" w:hAnsi="Times New Roman"/>
                <w:noProof/>
              </w:rPr>
              <w:t>(*) FMI: unité fixe avec équipage; FNP: unité fixe non destinée à la production; FPI: unité de production flottante; NUI: unité normalement sans équipage.</w:t>
            </w:r>
          </w:p>
        </w:tc>
        <w:tc>
          <w:tcPr>
            <w:tcW w:w="745" w:type="pct"/>
            <w:tcBorders>
              <w:left w:val="nil"/>
              <w:bottom w:val="nil"/>
              <w:right w:val="nil"/>
            </w:tcBorders>
          </w:tcPr>
          <w:p w14:paraId="0D4BCC83" w14:textId="77777777" w:rsidR="00036698" w:rsidRPr="003D2CCD" w:rsidRDefault="00036698" w:rsidP="00370D52">
            <w:pPr>
              <w:spacing w:before="60" w:after="60" w:line="240" w:lineRule="auto"/>
              <w:rPr>
                <w:rFonts w:ascii="Times New Roman" w:hAnsi="Times New Roman"/>
                <w:b/>
                <w:bCs/>
                <w:noProof/>
                <w:lang w:val="fr-BE"/>
              </w:rPr>
            </w:pPr>
          </w:p>
        </w:tc>
      </w:tr>
    </w:tbl>
    <w:p w14:paraId="5D7A001D" w14:textId="77777777" w:rsidR="00036698" w:rsidRPr="003D2CCD" w:rsidRDefault="00036698" w:rsidP="00036698">
      <w:pPr>
        <w:spacing w:after="0" w:line="240" w:lineRule="auto"/>
        <w:rPr>
          <w:rFonts w:ascii="Times New Roman" w:hAnsi="Times New Roman"/>
          <w:noProof/>
          <w:sz w:val="24"/>
          <w:szCs w:val="24"/>
          <w:lang w:val="fr-BE"/>
        </w:rPr>
      </w:pPr>
    </w:p>
    <w:p w14:paraId="2C633526" w14:textId="10E687F7" w:rsidR="00036698" w:rsidRPr="00470E6E" w:rsidRDefault="00036698" w:rsidP="00036698">
      <w:pPr>
        <w:jc w:val="both"/>
        <w:rPr>
          <w:rFonts w:ascii="Times New Roman" w:hAnsi="Times New Roman"/>
          <w:noProof/>
          <w:sz w:val="24"/>
          <w:szCs w:val="24"/>
        </w:rPr>
      </w:pPr>
      <w:r>
        <w:rPr>
          <w:rFonts w:ascii="Times New Roman" w:hAnsi="Times New Roman"/>
          <w:noProof/>
          <w:sz w:val="24"/>
        </w:rPr>
        <w:t>Plus de la moitié des installations en mer sont entrées en service entre 1980 et 2000. Deux nouvelles installations fixes ont été mises en service en 2023. Depuis 2010, la construction de nouvelles installations de production a sensiblement chuté dans la région «mer du Nord et Atlantique».</w:t>
      </w:r>
    </w:p>
    <w:p w14:paraId="74FAB9C2" w14:textId="43DE1FD1" w:rsidR="00036698" w:rsidRPr="00470E6E" w:rsidRDefault="00036698" w:rsidP="00036698">
      <w:pPr>
        <w:jc w:val="both"/>
        <w:rPr>
          <w:rFonts w:ascii="Times New Roman" w:hAnsi="Times New Roman"/>
          <w:noProof/>
          <w:sz w:val="24"/>
          <w:szCs w:val="24"/>
        </w:rPr>
      </w:pPr>
      <w:r>
        <w:rPr>
          <w:rFonts w:ascii="Times New Roman" w:hAnsi="Times New Roman"/>
          <w:noProof/>
          <w:sz w:val="24"/>
        </w:rPr>
        <w:t>Environ 74 % du pétrole et du gaz domestiques de l’UE (15 518 kilotonnes d’équivalent pétrole (ci-après «ktep») est produit en mer du Nord et dans l’Atlantique (voir tableau 2). Les principaux contributeurs en mer du Nord et dans l’Atlantique sont les Pays-Bas et le Danemark. L’Italie et la Croatie sont des producteurs actifs en Méditerranée. L’Espagne et la Grèce n’ont pas de production. En mer Noire, seule la production de la Roumanie est significative.</w:t>
      </w:r>
    </w:p>
    <w:p w14:paraId="51B54834" w14:textId="2202052F" w:rsidR="00036698" w:rsidRPr="00470E6E" w:rsidRDefault="00036698" w:rsidP="00036698">
      <w:pPr>
        <w:pStyle w:val="Caption"/>
        <w:rPr>
          <w:noProof/>
        </w:rPr>
      </w:pPr>
      <w:r>
        <w:rPr>
          <w:noProof/>
        </w:rPr>
        <w:t>Tableau 2: Production de pétrole et de gaz en mer dans l’UE en ktep en 2023</w:t>
      </w:r>
    </w:p>
    <w:tbl>
      <w:tblPr>
        <w:tblStyle w:val="TableGrid"/>
        <w:tblW w:w="9072" w:type="dxa"/>
        <w:tblInd w:w="250" w:type="dxa"/>
        <w:tblLook w:val="04A0" w:firstRow="1" w:lastRow="0" w:firstColumn="1" w:lastColumn="0" w:noHBand="0" w:noVBand="1"/>
      </w:tblPr>
      <w:tblGrid>
        <w:gridCol w:w="2974"/>
        <w:gridCol w:w="1316"/>
        <w:gridCol w:w="1661"/>
        <w:gridCol w:w="1418"/>
        <w:gridCol w:w="1703"/>
      </w:tblGrid>
      <w:tr w:rsidR="00036698" w:rsidRPr="00470E6E" w14:paraId="44882F22" w14:textId="77777777" w:rsidTr="00370D52">
        <w:trPr>
          <w:trHeight w:val="300"/>
        </w:trPr>
        <w:tc>
          <w:tcPr>
            <w:tcW w:w="2974" w:type="dxa"/>
            <w:tcBorders>
              <w:top w:val="single" w:sz="4" w:space="0" w:color="auto"/>
              <w:left w:val="single" w:sz="4" w:space="0" w:color="auto"/>
              <w:bottom w:val="single" w:sz="4" w:space="0" w:color="auto"/>
              <w:right w:val="single" w:sz="4" w:space="0" w:color="auto"/>
            </w:tcBorders>
            <w:noWrap/>
            <w:hideMark/>
          </w:tcPr>
          <w:p w14:paraId="329FCF21" w14:textId="77777777" w:rsidR="00036698" w:rsidRPr="00470E6E" w:rsidRDefault="00036698" w:rsidP="00370D52">
            <w:pPr>
              <w:rPr>
                <w:b/>
                <w:noProof/>
              </w:rPr>
            </w:pPr>
            <w:r>
              <w:rPr>
                <w:b/>
                <w:noProof/>
              </w:rPr>
              <w:t>Région</w:t>
            </w:r>
          </w:p>
        </w:tc>
        <w:tc>
          <w:tcPr>
            <w:tcW w:w="1316" w:type="dxa"/>
            <w:tcBorders>
              <w:left w:val="single" w:sz="4" w:space="0" w:color="auto"/>
            </w:tcBorders>
            <w:noWrap/>
            <w:hideMark/>
          </w:tcPr>
          <w:p w14:paraId="37D9EF78" w14:textId="77777777" w:rsidR="00036698" w:rsidRPr="00470E6E" w:rsidRDefault="00036698" w:rsidP="00370D52">
            <w:pPr>
              <w:rPr>
                <w:b/>
                <w:noProof/>
              </w:rPr>
            </w:pPr>
            <w:r>
              <w:rPr>
                <w:b/>
                <w:noProof/>
              </w:rPr>
              <w:t>Pays</w:t>
            </w:r>
          </w:p>
        </w:tc>
        <w:tc>
          <w:tcPr>
            <w:tcW w:w="1661" w:type="dxa"/>
            <w:noWrap/>
            <w:hideMark/>
          </w:tcPr>
          <w:p w14:paraId="3EC49733" w14:textId="77777777" w:rsidR="00036698" w:rsidRPr="00470E6E" w:rsidRDefault="00036698" w:rsidP="00370D52">
            <w:pPr>
              <w:rPr>
                <w:b/>
                <w:noProof/>
              </w:rPr>
            </w:pPr>
            <w:r>
              <w:rPr>
                <w:b/>
                <w:noProof/>
              </w:rPr>
              <w:t>ktep</w:t>
            </w:r>
          </w:p>
        </w:tc>
        <w:tc>
          <w:tcPr>
            <w:tcW w:w="1418" w:type="dxa"/>
            <w:noWrap/>
            <w:hideMark/>
          </w:tcPr>
          <w:p w14:paraId="16E959BE" w14:textId="77777777" w:rsidR="00036698" w:rsidRPr="00470E6E" w:rsidRDefault="00036698" w:rsidP="00370D52">
            <w:pPr>
              <w:rPr>
                <w:b/>
                <w:noProof/>
              </w:rPr>
            </w:pPr>
            <w:r>
              <w:rPr>
                <w:b/>
                <w:noProof/>
              </w:rPr>
              <w:t>% du total UE</w:t>
            </w:r>
          </w:p>
        </w:tc>
        <w:tc>
          <w:tcPr>
            <w:tcW w:w="1703" w:type="dxa"/>
          </w:tcPr>
          <w:p w14:paraId="11249C2D" w14:textId="7284C150" w:rsidR="00036698" w:rsidRPr="00470E6E" w:rsidRDefault="00036698" w:rsidP="00370D52">
            <w:pPr>
              <w:rPr>
                <w:b/>
                <w:noProof/>
              </w:rPr>
            </w:pPr>
            <w:r>
              <w:rPr>
                <w:b/>
                <w:noProof/>
              </w:rPr>
              <w:t>Variation (en %) par rapport à 2022</w:t>
            </w:r>
          </w:p>
        </w:tc>
      </w:tr>
      <w:tr w:rsidR="009F5726" w:rsidRPr="00470E6E" w14:paraId="27B78546" w14:textId="77777777" w:rsidTr="00E84DB2">
        <w:trPr>
          <w:trHeight w:val="300"/>
        </w:trPr>
        <w:tc>
          <w:tcPr>
            <w:tcW w:w="2974" w:type="dxa"/>
            <w:tcBorders>
              <w:top w:val="single" w:sz="4" w:space="0" w:color="auto"/>
              <w:left w:val="single" w:sz="4" w:space="0" w:color="auto"/>
              <w:bottom w:val="nil"/>
              <w:right w:val="single" w:sz="4" w:space="0" w:color="auto"/>
            </w:tcBorders>
            <w:noWrap/>
            <w:hideMark/>
          </w:tcPr>
          <w:p w14:paraId="3784FB73" w14:textId="77777777" w:rsidR="009F5726" w:rsidRPr="00470E6E" w:rsidRDefault="009F5726" w:rsidP="009F5726">
            <w:pPr>
              <w:rPr>
                <w:b/>
                <w:noProof/>
              </w:rPr>
            </w:pPr>
            <w:r>
              <w:rPr>
                <w:b/>
                <w:noProof/>
              </w:rPr>
              <w:t>Mer Baltique</w:t>
            </w:r>
          </w:p>
        </w:tc>
        <w:tc>
          <w:tcPr>
            <w:tcW w:w="1316" w:type="dxa"/>
            <w:tcBorders>
              <w:left w:val="single" w:sz="4" w:space="0" w:color="auto"/>
            </w:tcBorders>
            <w:noWrap/>
            <w:hideMark/>
          </w:tcPr>
          <w:p w14:paraId="03AF4B4A" w14:textId="77777777" w:rsidR="009F5726" w:rsidRPr="00470E6E" w:rsidRDefault="009F5726" w:rsidP="009F5726">
            <w:pPr>
              <w:rPr>
                <w:b/>
                <w:noProof/>
                <w:lang w:val="en-IE"/>
              </w:rPr>
            </w:pPr>
          </w:p>
        </w:tc>
        <w:tc>
          <w:tcPr>
            <w:tcW w:w="1661" w:type="dxa"/>
            <w:noWrap/>
            <w:hideMark/>
          </w:tcPr>
          <w:p w14:paraId="76E8078F" w14:textId="611CD51B" w:rsidR="009F5726" w:rsidRPr="00470E6E" w:rsidRDefault="009F5726" w:rsidP="009F5726">
            <w:pPr>
              <w:jc w:val="center"/>
              <w:rPr>
                <w:b/>
                <w:bCs/>
                <w:noProof/>
              </w:rPr>
            </w:pPr>
            <w:r>
              <w:rPr>
                <w:b/>
                <w:noProof/>
              </w:rPr>
              <w:t>284</w:t>
            </w:r>
          </w:p>
        </w:tc>
        <w:tc>
          <w:tcPr>
            <w:tcW w:w="1418" w:type="dxa"/>
            <w:noWrap/>
            <w:hideMark/>
          </w:tcPr>
          <w:p w14:paraId="3E76E333" w14:textId="2A2847B3" w:rsidR="009F5726" w:rsidRPr="00470E6E" w:rsidRDefault="009F5726" w:rsidP="009F5726">
            <w:pPr>
              <w:jc w:val="center"/>
              <w:rPr>
                <w:b/>
                <w:bCs/>
                <w:noProof/>
              </w:rPr>
            </w:pPr>
            <w:r>
              <w:rPr>
                <w:b/>
                <w:noProof/>
              </w:rPr>
              <w:t>1,8 %</w:t>
            </w:r>
          </w:p>
        </w:tc>
        <w:tc>
          <w:tcPr>
            <w:tcW w:w="1703" w:type="dxa"/>
          </w:tcPr>
          <w:p w14:paraId="71F6E4E1" w14:textId="66535E2A" w:rsidR="009F5726" w:rsidRPr="00470E6E" w:rsidRDefault="009F5726" w:rsidP="009F5726">
            <w:pPr>
              <w:jc w:val="center"/>
              <w:rPr>
                <w:b/>
                <w:bCs/>
                <w:noProof/>
              </w:rPr>
            </w:pPr>
            <w:r>
              <w:rPr>
                <w:b/>
                <w:noProof/>
              </w:rPr>
              <w:t xml:space="preserve">+ 4,7 %  </w:t>
            </w:r>
          </w:p>
        </w:tc>
      </w:tr>
      <w:tr w:rsidR="009F5726" w:rsidRPr="00470E6E" w14:paraId="353E3AD9" w14:textId="77777777" w:rsidTr="00E84DB2">
        <w:trPr>
          <w:trHeight w:val="300"/>
        </w:trPr>
        <w:tc>
          <w:tcPr>
            <w:tcW w:w="2974" w:type="dxa"/>
            <w:tcBorders>
              <w:top w:val="nil"/>
              <w:left w:val="single" w:sz="4" w:space="0" w:color="auto"/>
              <w:bottom w:val="single" w:sz="4" w:space="0" w:color="auto"/>
              <w:right w:val="single" w:sz="4" w:space="0" w:color="auto"/>
            </w:tcBorders>
            <w:noWrap/>
          </w:tcPr>
          <w:p w14:paraId="468099E2" w14:textId="77777777" w:rsidR="009F5726" w:rsidRPr="00470E6E" w:rsidRDefault="009F5726" w:rsidP="009F5726">
            <w:pPr>
              <w:rPr>
                <w:b/>
                <w:noProof/>
                <w:lang w:val="en-IE"/>
              </w:rPr>
            </w:pPr>
          </w:p>
        </w:tc>
        <w:tc>
          <w:tcPr>
            <w:tcW w:w="1316" w:type="dxa"/>
            <w:tcBorders>
              <w:left w:val="single" w:sz="4" w:space="0" w:color="auto"/>
            </w:tcBorders>
            <w:noWrap/>
            <w:hideMark/>
          </w:tcPr>
          <w:p w14:paraId="4E9C4991" w14:textId="77777777" w:rsidR="009F5726" w:rsidRPr="00470E6E" w:rsidRDefault="009F5726" w:rsidP="009F5726">
            <w:pPr>
              <w:rPr>
                <w:noProof/>
              </w:rPr>
            </w:pPr>
            <w:r>
              <w:rPr>
                <w:noProof/>
              </w:rPr>
              <w:t>Pologne</w:t>
            </w:r>
          </w:p>
        </w:tc>
        <w:tc>
          <w:tcPr>
            <w:tcW w:w="1661" w:type="dxa"/>
            <w:noWrap/>
            <w:hideMark/>
          </w:tcPr>
          <w:p w14:paraId="5CBF310A" w14:textId="27505DAE" w:rsidR="009F5726" w:rsidRPr="00470E6E" w:rsidRDefault="009F5726" w:rsidP="009F5726">
            <w:pPr>
              <w:jc w:val="center"/>
              <w:rPr>
                <w:noProof/>
              </w:rPr>
            </w:pPr>
            <w:r>
              <w:rPr>
                <w:noProof/>
              </w:rPr>
              <w:t>284</w:t>
            </w:r>
          </w:p>
        </w:tc>
        <w:tc>
          <w:tcPr>
            <w:tcW w:w="1418" w:type="dxa"/>
            <w:noWrap/>
            <w:hideMark/>
          </w:tcPr>
          <w:p w14:paraId="2DC94605" w14:textId="5126AFAE" w:rsidR="009F5726" w:rsidRPr="00470E6E" w:rsidRDefault="009F5726" w:rsidP="009F5726">
            <w:pPr>
              <w:jc w:val="center"/>
              <w:rPr>
                <w:noProof/>
              </w:rPr>
            </w:pPr>
            <w:r>
              <w:rPr>
                <w:noProof/>
              </w:rPr>
              <w:t>1,8 %</w:t>
            </w:r>
          </w:p>
        </w:tc>
        <w:tc>
          <w:tcPr>
            <w:tcW w:w="1703" w:type="dxa"/>
          </w:tcPr>
          <w:p w14:paraId="1D8FEB2F" w14:textId="542E8D63" w:rsidR="009F5726" w:rsidRPr="00470E6E" w:rsidRDefault="009F5726" w:rsidP="009F5726">
            <w:pPr>
              <w:jc w:val="center"/>
              <w:rPr>
                <w:rFonts w:eastAsia="Times New Roman" w:cs="Calibri"/>
                <w:noProof/>
                <w:color w:val="000000"/>
              </w:rPr>
            </w:pPr>
            <w:r>
              <w:rPr>
                <w:noProof/>
              </w:rPr>
              <w:t>+ 4,7 %</w:t>
            </w:r>
          </w:p>
        </w:tc>
      </w:tr>
      <w:tr w:rsidR="00160A4F" w:rsidRPr="00470E6E" w14:paraId="639839E7" w14:textId="77777777" w:rsidTr="00E84DB2">
        <w:trPr>
          <w:trHeight w:val="300"/>
        </w:trPr>
        <w:tc>
          <w:tcPr>
            <w:tcW w:w="2974" w:type="dxa"/>
            <w:tcBorders>
              <w:top w:val="single" w:sz="4" w:space="0" w:color="auto"/>
              <w:left w:val="single" w:sz="4" w:space="0" w:color="auto"/>
              <w:bottom w:val="nil"/>
              <w:right w:val="single" w:sz="4" w:space="0" w:color="auto"/>
            </w:tcBorders>
            <w:noWrap/>
            <w:hideMark/>
          </w:tcPr>
          <w:p w14:paraId="2F646954" w14:textId="77777777" w:rsidR="00160A4F" w:rsidRPr="00470E6E" w:rsidRDefault="00160A4F" w:rsidP="00160A4F">
            <w:pPr>
              <w:rPr>
                <w:b/>
                <w:noProof/>
              </w:rPr>
            </w:pPr>
            <w:r>
              <w:rPr>
                <w:b/>
                <w:noProof/>
              </w:rPr>
              <w:t>Mer Noire</w:t>
            </w:r>
          </w:p>
        </w:tc>
        <w:tc>
          <w:tcPr>
            <w:tcW w:w="1316" w:type="dxa"/>
            <w:tcBorders>
              <w:left w:val="single" w:sz="4" w:space="0" w:color="auto"/>
            </w:tcBorders>
            <w:noWrap/>
            <w:hideMark/>
          </w:tcPr>
          <w:p w14:paraId="3A2994D5" w14:textId="77777777" w:rsidR="00160A4F" w:rsidRPr="00470E6E" w:rsidRDefault="00160A4F" w:rsidP="00160A4F">
            <w:pPr>
              <w:rPr>
                <w:noProof/>
                <w:lang w:val="en-IE"/>
              </w:rPr>
            </w:pPr>
          </w:p>
        </w:tc>
        <w:tc>
          <w:tcPr>
            <w:tcW w:w="1661" w:type="dxa"/>
            <w:noWrap/>
            <w:hideMark/>
          </w:tcPr>
          <w:p w14:paraId="65B71B16" w14:textId="3A89509F" w:rsidR="00160A4F" w:rsidRPr="00470E6E" w:rsidRDefault="00160A4F" w:rsidP="00160A4F">
            <w:pPr>
              <w:jc w:val="center"/>
              <w:rPr>
                <w:b/>
                <w:bCs/>
                <w:noProof/>
              </w:rPr>
            </w:pPr>
            <w:r>
              <w:rPr>
                <w:b/>
                <w:noProof/>
              </w:rPr>
              <w:t>1786</w:t>
            </w:r>
          </w:p>
        </w:tc>
        <w:tc>
          <w:tcPr>
            <w:tcW w:w="1418" w:type="dxa"/>
            <w:noWrap/>
            <w:hideMark/>
          </w:tcPr>
          <w:p w14:paraId="3C970CF5" w14:textId="40E6A7F2" w:rsidR="00160A4F" w:rsidRPr="00470E6E" w:rsidRDefault="00160A4F" w:rsidP="00160A4F">
            <w:pPr>
              <w:jc w:val="center"/>
              <w:rPr>
                <w:b/>
                <w:bCs/>
                <w:noProof/>
              </w:rPr>
            </w:pPr>
            <w:r>
              <w:rPr>
                <w:b/>
                <w:noProof/>
              </w:rPr>
              <w:t>11,5 %</w:t>
            </w:r>
          </w:p>
        </w:tc>
        <w:tc>
          <w:tcPr>
            <w:tcW w:w="1703" w:type="dxa"/>
          </w:tcPr>
          <w:p w14:paraId="09D8F769" w14:textId="235837DA" w:rsidR="00160A4F" w:rsidRPr="00470E6E" w:rsidRDefault="009E1A04" w:rsidP="00160A4F">
            <w:pPr>
              <w:jc w:val="center"/>
              <w:rPr>
                <w:rFonts w:eastAsia="Times New Roman" w:cs="Calibri"/>
                <w:b/>
                <w:bCs/>
                <w:noProof/>
                <w:color w:val="000000"/>
              </w:rPr>
            </w:pPr>
            <w:r>
              <w:rPr>
                <w:b/>
                <w:noProof/>
              </w:rPr>
              <w:t>+93,7 %</w:t>
            </w:r>
          </w:p>
        </w:tc>
      </w:tr>
      <w:tr w:rsidR="00160A4F" w:rsidRPr="00470E6E" w14:paraId="7574816E" w14:textId="77777777" w:rsidTr="00E84DB2">
        <w:trPr>
          <w:trHeight w:val="300"/>
        </w:trPr>
        <w:tc>
          <w:tcPr>
            <w:tcW w:w="2974" w:type="dxa"/>
            <w:tcBorders>
              <w:top w:val="nil"/>
              <w:left w:val="single" w:sz="4" w:space="0" w:color="auto"/>
              <w:bottom w:val="nil"/>
              <w:right w:val="single" w:sz="4" w:space="0" w:color="auto"/>
            </w:tcBorders>
            <w:noWrap/>
          </w:tcPr>
          <w:p w14:paraId="61F24D0D" w14:textId="77777777" w:rsidR="00160A4F" w:rsidRPr="00470E6E" w:rsidRDefault="00160A4F" w:rsidP="00160A4F">
            <w:pPr>
              <w:rPr>
                <w:b/>
                <w:noProof/>
                <w:lang w:val="en-IE"/>
              </w:rPr>
            </w:pPr>
          </w:p>
        </w:tc>
        <w:tc>
          <w:tcPr>
            <w:tcW w:w="1316" w:type="dxa"/>
            <w:tcBorders>
              <w:left w:val="single" w:sz="4" w:space="0" w:color="auto"/>
            </w:tcBorders>
            <w:noWrap/>
            <w:hideMark/>
          </w:tcPr>
          <w:p w14:paraId="2782C869" w14:textId="77777777" w:rsidR="00160A4F" w:rsidRPr="00470E6E" w:rsidRDefault="00160A4F" w:rsidP="00160A4F">
            <w:pPr>
              <w:rPr>
                <w:noProof/>
              </w:rPr>
            </w:pPr>
            <w:r>
              <w:rPr>
                <w:noProof/>
              </w:rPr>
              <w:t>Bulgarie</w:t>
            </w:r>
          </w:p>
        </w:tc>
        <w:tc>
          <w:tcPr>
            <w:tcW w:w="1661" w:type="dxa"/>
            <w:noWrap/>
            <w:hideMark/>
          </w:tcPr>
          <w:p w14:paraId="5F4F3212" w14:textId="1F629263" w:rsidR="00160A4F" w:rsidRPr="00470E6E" w:rsidRDefault="00160A4F" w:rsidP="00160A4F">
            <w:pPr>
              <w:jc w:val="center"/>
              <w:rPr>
                <w:noProof/>
              </w:rPr>
            </w:pPr>
            <w:r>
              <w:rPr>
                <w:noProof/>
              </w:rPr>
              <w:t>7</w:t>
            </w:r>
          </w:p>
        </w:tc>
        <w:tc>
          <w:tcPr>
            <w:tcW w:w="1418" w:type="dxa"/>
            <w:noWrap/>
            <w:hideMark/>
          </w:tcPr>
          <w:p w14:paraId="7C40B2C7" w14:textId="2396B503" w:rsidR="00160A4F" w:rsidRPr="00470E6E" w:rsidRDefault="00160A4F" w:rsidP="00160A4F">
            <w:pPr>
              <w:jc w:val="center"/>
              <w:rPr>
                <w:noProof/>
              </w:rPr>
            </w:pPr>
            <w:r>
              <w:rPr>
                <w:noProof/>
              </w:rPr>
              <w:t>0,0 %</w:t>
            </w:r>
          </w:p>
        </w:tc>
        <w:tc>
          <w:tcPr>
            <w:tcW w:w="1703" w:type="dxa"/>
          </w:tcPr>
          <w:p w14:paraId="59177F1E" w14:textId="67AAEDC8" w:rsidR="00160A4F" w:rsidRPr="00470E6E" w:rsidRDefault="00160A4F" w:rsidP="00160A4F">
            <w:pPr>
              <w:jc w:val="center"/>
              <w:rPr>
                <w:rFonts w:eastAsia="Times New Roman" w:cs="Calibri"/>
                <w:noProof/>
                <w:color w:val="000000"/>
              </w:rPr>
            </w:pPr>
            <w:r>
              <w:rPr>
                <w:noProof/>
              </w:rPr>
              <w:t>-50,3 %</w:t>
            </w:r>
          </w:p>
        </w:tc>
      </w:tr>
      <w:tr w:rsidR="00160A4F" w:rsidRPr="00470E6E" w14:paraId="455B480D" w14:textId="77777777" w:rsidTr="00E84DB2">
        <w:trPr>
          <w:trHeight w:val="300"/>
        </w:trPr>
        <w:tc>
          <w:tcPr>
            <w:tcW w:w="2974" w:type="dxa"/>
            <w:tcBorders>
              <w:top w:val="nil"/>
              <w:left w:val="single" w:sz="4" w:space="0" w:color="auto"/>
              <w:bottom w:val="single" w:sz="4" w:space="0" w:color="auto"/>
              <w:right w:val="single" w:sz="4" w:space="0" w:color="auto"/>
            </w:tcBorders>
            <w:noWrap/>
          </w:tcPr>
          <w:p w14:paraId="11964982" w14:textId="77777777" w:rsidR="00160A4F" w:rsidRPr="00470E6E" w:rsidRDefault="00160A4F" w:rsidP="00160A4F">
            <w:pPr>
              <w:rPr>
                <w:b/>
                <w:noProof/>
                <w:lang w:val="en-IE"/>
              </w:rPr>
            </w:pPr>
          </w:p>
        </w:tc>
        <w:tc>
          <w:tcPr>
            <w:tcW w:w="1316" w:type="dxa"/>
            <w:tcBorders>
              <w:left w:val="single" w:sz="4" w:space="0" w:color="auto"/>
              <w:bottom w:val="single" w:sz="4" w:space="0" w:color="auto"/>
            </w:tcBorders>
            <w:noWrap/>
          </w:tcPr>
          <w:p w14:paraId="4D8EAD1C" w14:textId="77777777" w:rsidR="00160A4F" w:rsidRPr="00470E6E" w:rsidRDefault="00160A4F" w:rsidP="00160A4F">
            <w:pPr>
              <w:rPr>
                <w:noProof/>
              </w:rPr>
            </w:pPr>
            <w:r>
              <w:rPr>
                <w:noProof/>
              </w:rPr>
              <w:t>Roumanie</w:t>
            </w:r>
          </w:p>
        </w:tc>
        <w:tc>
          <w:tcPr>
            <w:tcW w:w="1661" w:type="dxa"/>
            <w:noWrap/>
          </w:tcPr>
          <w:p w14:paraId="7593DD71" w14:textId="23710C9E" w:rsidR="00160A4F" w:rsidRPr="00470E6E" w:rsidRDefault="00160A4F" w:rsidP="00160A4F">
            <w:pPr>
              <w:jc w:val="center"/>
              <w:rPr>
                <w:noProof/>
              </w:rPr>
            </w:pPr>
            <w:r>
              <w:rPr>
                <w:noProof/>
              </w:rPr>
              <w:t>1778</w:t>
            </w:r>
          </w:p>
        </w:tc>
        <w:tc>
          <w:tcPr>
            <w:tcW w:w="1418" w:type="dxa"/>
            <w:noWrap/>
          </w:tcPr>
          <w:p w14:paraId="44A322D3" w14:textId="42FDBFA6" w:rsidR="00160A4F" w:rsidRPr="00470E6E" w:rsidRDefault="00160A4F" w:rsidP="00160A4F">
            <w:pPr>
              <w:jc w:val="center"/>
              <w:rPr>
                <w:rFonts w:eastAsia="Times New Roman" w:cs="Calibri"/>
                <w:noProof/>
                <w:color w:val="000000"/>
              </w:rPr>
            </w:pPr>
            <w:r>
              <w:rPr>
                <w:noProof/>
              </w:rPr>
              <w:t>11,5 %</w:t>
            </w:r>
          </w:p>
        </w:tc>
        <w:tc>
          <w:tcPr>
            <w:tcW w:w="1703" w:type="dxa"/>
          </w:tcPr>
          <w:p w14:paraId="417BCC59" w14:textId="0BF5A7D0" w:rsidR="00160A4F" w:rsidRPr="00470E6E" w:rsidRDefault="009E1A04" w:rsidP="00160A4F">
            <w:pPr>
              <w:jc w:val="center"/>
              <w:rPr>
                <w:rFonts w:eastAsia="Times New Roman" w:cs="Calibri"/>
                <w:noProof/>
                <w:color w:val="000000"/>
              </w:rPr>
            </w:pPr>
            <w:r>
              <w:rPr>
                <w:noProof/>
              </w:rPr>
              <w:t>+96,1 %</w:t>
            </w:r>
          </w:p>
        </w:tc>
      </w:tr>
      <w:tr w:rsidR="006D2D42" w:rsidRPr="00470E6E" w14:paraId="5107F00C" w14:textId="77777777" w:rsidTr="00E84DB2">
        <w:trPr>
          <w:trHeight w:val="300"/>
        </w:trPr>
        <w:tc>
          <w:tcPr>
            <w:tcW w:w="2974" w:type="dxa"/>
            <w:tcBorders>
              <w:top w:val="single" w:sz="4" w:space="0" w:color="auto"/>
              <w:left w:val="single" w:sz="4" w:space="0" w:color="auto"/>
              <w:bottom w:val="nil"/>
              <w:right w:val="single" w:sz="4" w:space="0" w:color="auto"/>
            </w:tcBorders>
            <w:noWrap/>
          </w:tcPr>
          <w:p w14:paraId="59E7ECC5" w14:textId="77777777" w:rsidR="006D2D42" w:rsidRPr="00470E6E" w:rsidRDefault="006D2D42" w:rsidP="006D2D42">
            <w:pPr>
              <w:rPr>
                <w:b/>
                <w:noProof/>
              </w:rPr>
            </w:pPr>
            <w:r>
              <w:rPr>
                <w:b/>
                <w:noProof/>
              </w:rPr>
              <w:t>Mer Méditerranée</w:t>
            </w:r>
          </w:p>
        </w:tc>
        <w:tc>
          <w:tcPr>
            <w:tcW w:w="1316" w:type="dxa"/>
            <w:tcBorders>
              <w:left w:val="single" w:sz="4" w:space="0" w:color="auto"/>
              <w:right w:val="single" w:sz="4" w:space="0" w:color="auto"/>
            </w:tcBorders>
            <w:noWrap/>
          </w:tcPr>
          <w:p w14:paraId="3173176F" w14:textId="77777777" w:rsidR="006D2D42" w:rsidRPr="00470E6E" w:rsidRDefault="006D2D42" w:rsidP="006D2D42">
            <w:pPr>
              <w:rPr>
                <w:noProof/>
                <w:lang w:val="en-IE"/>
              </w:rPr>
            </w:pPr>
          </w:p>
        </w:tc>
        <w:tc>
          <w:tcPr>
            <w:tcW w:w="1661" w:type="dxa"/>
            <w:tcBorders>
              <w:left w:val="single" w:sz="4" w:space="0" w:color="auto"/>
            </w:tcBorders>
            <w:noWrap/>
          </w:tcPr>
          <w:p w14:paraId="2756DD4F" w14:textId="7ECC86B3" w:rsidR="006D2D42" w:rsidRPr="00470E6E" w:rsidRDefault="006D2D42" w:rsidP="006D2D42">
            <w:pPr>
              <w:jc w:val="center"/>
              <w:rPr>
                <w:rFonts w:eastAsia="Times New Roman" w:cs="Calibri"/>
                <w:b/>
                <w:bCs/>
                <w:noProof/>
                <w:color w:val="000000"/>
              </w:rPr>
            </w:pPr>
            <w:r>
              <w:rPr>
                <w:b/>
                <w:noProof/>
              </w:rPr>
              <w:t>1897</w:t>
            </w:r>
          </w:p>
        </w:tc>
        <w:tc>
          <w:tcPr>
            <w:tcW w:w="1418" w:type="dxa"/>
            <w:noWrap/>
          </w:tcPr>
          <w:p w14:paraId="4A74ED53" w14:textId="0758837B" w:rsidR="006D2D42" w:rsidRPr="00470E6E" w:rsidRDefault="006D2D42" w:rsidP="006D2D42">
            <w:pPr>
              <w:jc w:val="center"/>
              <w:rPr>
                <w:rFonts w:eastAsia="Times New Roman" w:cs="Calibri"/>
                <w:b/>
                <w:bCs/>
                <w:noProof/>
                <w:color w:val="000000"/>
              </w:rPr>
            </w:pPr>
            <w:r>
              <w:rPr>
                <w:b/>
                <w:noProof/>
              </w:rPr>
              <w:t>12,2 %</w:t>
            </w:r>
          </w:p>
        </w:tc>
        <w:tc>
          <w:tcPr>
            <w:tcW w:w="1703" w:type="dxa"/>
          </w:tcPr>
          <w:p w14:paraId="02C169E4" w14:textId="69B8C24C" w:rsidR="006D2D42" w:rsidRPr="00470E6E" w:rsidRDefault="006D2D42" w:rsidP="006D2D42">
            <w:pPr>
              <w:jc w:val="center"/>
              <w:rPr>
                <w:rFonts w:eastAsia="Times New Roman" w:cs="Calibri"/>
                <w:b/>
                <w:bCs/>
                <w:noProof/>
                <w:color w:val="000000"/>
              </w:rPr>
            </w:pPr>
            <w:r>
              <w:rPr>
                <w:b/>
                <w:noProof/>
              </w:rPr>
              <w:t>-8,3 %</w:t>
            </w:r>
          </w:p>
        </w:tc>
      </w:tr>
      <w:tr w:rsidR="006D2D42" w:rsidRPr="00470E6E" w14:paraId="5ADE1973" w14:textId="77777777" w:rsidTr="00E84DB2">
        <w:trPr>
          <w:trHeight w:val="300"/>
        </w:trPr>
        <w:tc>
          <w:tcPr>
            <w:tcW w:w="2974" w:type="dxa"/>
            <w:tcBorders>
              <w:top w:val="nil"/>
              <w:left w:val="single" w:sz="4" w:space="0" w:color="auto"/>
              <w:bottom w:val="nil"/>
              <w:right w:val="single" w:sz="4" w:space="0" w:color="auto"/>
            </w:tcBorders>
            <w:noWrap/>
          </w:tcPr>
          <w:p w14:paraId="3890DA3F" w14:textId="77777777" w:rsidR="006D2D42" w:rsidRPr="00470E6E" w:rsidRDefault="006D2D42" w:rsidP="006D2D42">
            <w:pPr>
              <w:rPr>
                <w:b/>
                <w:noProof/>
                <w:lang w:val="en-IE"/>
              </w:rPr>
            </w:pPr>
          </w:p>
        </w:tc>
        <w:tc>
          <w:tcPr>
            <w:tcW w:w="1316" w:type="dxa"/>
            <w:tcBorders>
              <w:left w:val="single" w:sz="4" w:space="0" w:color="auto"/>
            </w:tcBorders>
            <w:noWrap/>
            <w:vAlign w:val="bottom"/>
          </w:tcPr>
          <w:p w14:paraId="28118438" w14:textId="77777777" w:rsidR="006D2D42" w:rsidRPr="00470E6E" w:rsidRDefault="006D2D42" w:rsidP="006D2D42">
            <w:pPr>
              <w:rPr>
                <w:noProof/>
              </w:rPr>
            </w:pPr>
            <w:r>
              <w:rPr>
                <w:noProof/>
                <w:color w:val="000000"/>
              </w:rPr>
              <w:t>Croatie</w:t>
            </w:r>
          </w:p>
        </w:tc>
        <w:tc>
          <w:tcPr>
            <w:tcW w:w="1661" w:type="dxa"/>
            <w:noWrap/>
          </w:tcPr>
          <w:p w14:paraId="430A304F" w14:textId="7002DBC9" w:rsidR="006D2D42" w:rsidRPr="00470E6E" w:rsidRDefault="006D2D42" w:rsidP="006D2D42">
            <w:pPr>
              <w:jc w:val="center"/>
              <w:rPr>
                <w:noProof/>
              </w:rPr>
            </w:pPr>
            <w:r>
              <w:rPr>
                <w:noProof/>
              </w:rPr>
              <w:t>193</w:t>
            </w:r>
          </w:p>
        </w:tc>
        <w:tc>
          <w:tcPr>
            <w:tcW w:w="1418" w:type="dxa"/>
            <w:noWrap/>
          </w:tcPr>
          <w:p w14:paraId="78EC29FA" w14:textId="38B6A9BA" w:rsidR="006D2D42" w:rsidRPr="00470E6E" w:rsidRDefault="006D2D42" w:rsidP="006D2D42">
            <w:pPr>
              <w:jc w:val="center"/>
              <w:rPr>
                <w:noProof/>
              </w:rPr>
            </w:pPr>
            <w:r>
              <w:rPr>
                <w:noProof/>
              </w:rPr>
              <w:t>1,2 %</w:t>
            </w:r>
          </w:p>
        </w:tc>
        <w:tc>
          <w:tcPr>
            <w:tcW w:w="1703" w:type="dxa"/>
          </w:tcPr>
          <w:p w14:paraId="17134F83" w14:textId="529A1A36" w:rsidR="006D2D42" w:rsidRPr="00470E6E" w:rsidRDefault="006D2D42" w:rsidP="006D2D42">
            <w:pPr>
              <w:jc w:val="center"/>
              <w:rPr>
                <w:rFonts w:eastAsia="Times New Roman" w:cs="Calibri"/>
                <w:noProof/>
                <w:color w:val="000000"/>
              </w:rPr>
            </w:pPr>
            <w:r>
              <w:rPr>
                <w:noProof/>
              </w:rPr>
              <w:t>-2,3 %</w:t>
            </w:r>
          </w:p>
        </w:tc>
      </w:tr>
      <w:tr w:rsidR="006D2D42" w:rsidRPr="00470E6E" w14:paraId="39B2DCBE" w14:textId="77777777" w:rsidTr="00E84DB2">
        <w:trPr>
          <w:trHeight w:val="300"/>
        </w:trPr>
        <w:tc>
          <w:tcPr>
            <w:tcW w:w="2974" w:type="dxa"/>
            <w:tcBorders>
              <w:top w:val="nil"/>
              <w:left w:val="single" w:sz="4" w:space="0" w:color="auto"/>
              <w:bottom w:val="nil"/>
              <w:right w:val="single" w:sz="4" w:space="0" w:color="auto"/>
            </w:tcBorders>
            <w:noWrap/>
          </w:tcPr>
          <w:p w14:paraId="158327D9" w14:textId="77777777" w:rsidR="006D2D42" w:rsidRPr="00470E6E" w:rsidRDefault="006D2D42" w:rsidP="006D2D42">
            <w:pPr>
              <w:rPr>
                <w:b/>
                <w:noProof/>
                <w:lang w:val="en-IE"/>
              </w:rPr>
            </w:pPr>
          </w:p>
        </w:tc>
        <w:tc>
          <w:tcPr>
            <w:tcW w:w="1316" w:type="dxa"/>
            <w:tcBorders>
              <w:left w:val="single" w:sz="4" w:space="0" w:color="auto"/>
            </w:tcBorders>
            <w:noWrap/>
            <w:vAlign w:val="bottom"/>
          </w:tcPr>
          <w:p w14:paraId="639C65DA" w14:textId="77777777" w:rsidR="006D2D42" w:rsidRPr="00470E6E" w:rsidRDefault="006D2D42" w:rsidP="006D2D42">
            <w:pPr>
              <w:rPr>
                <w:noProof/>
              </w:rPr>
            </w:pPr>
            <w:r>
              <w:rPr>
                <w:noProof/>
                <w:color w:val="000000"/>
              </w:rPr>
              <w:t>Grèce</w:t>
            </w:r>
          </w:p>
        </w:tc>
        <w:tc>
          <w:tcPr>
            <w:tcW w:w="1661" w:type="dxa"/>
            <w:noWrap/>
          </w:tcPr>
          <w:p w14:paraId="01FC5AFA" w14:textId="7CEC7B0E" w:rsidR="006D2D42" w:rsidRPr="00470E6E" w:rsidRDefault="006D2D42" w:rsidP="006D2D42">
            <w:pPr>
              <w:jc w:val="center"/>
              <w:rPr>
                <w:noProof/>
              </w:rPr>
            </w:pPr>
            <w:r>
              <w:rPr>
                <w:noProof/>
              </w:rPr>
              <w:t>60</w:t>
            </w:r>
          </w:p>
        </w:tc>
        <w:tc>
          <w:tcPr>
            <w:tcW w:w="1418" w:type="dxa"/>
            <w:noWrap/>
          </w:tcPr>
          <w:p w14:paraId="493AE92F" w14:textId="1739C871" w:rsidR="006D2D42" w:rsidRPr="00470E6E" w:rsidRDefault="006D2D42" w:rsidP="006D2D42">
            <w:pPr>
              <w:jc w:val="center"/>
              <w:rPr>
                <w:noProof/>
              </w:rPr>
            </w:pPr>
            <w:r>
              <w:rPr>
                <w:noProof/>
              </w:rPr>
              <w:t>0,4 %</w:t>
            </w:r>
          </w:p>
        </w:tc>
        <w:tc>
          <w:tcPr>
            <w:tcW w:w="1703" w:type="dxa"/>
          </w:tcPr>
          <w:p w14:paraId="74108B09" w14:textId="1ECB5060" w:rsidR="006D2D42" w:rsidRPr="00470E6E" w:rsidRDefault="00EA0DC9" w:rsidP="006D2D42">
            <w:pPr>
              <w:jc w:val="center"/>
              <w:rPr>
                <w:rFonts w:eastAsia="Times New Roman" w:cs="Calibri"/>
                <w:noProof/>
                <w:color w:val="000000"/>
              </w:rPr>
            </w:pPr>
            <w:r>
              <w:rPr>
                <w:noProof/>
              </w:rPr>
              <w:t>--</w:t>
            </w:r>
          </w:p>
        </w:tc>
      </w:tr>
      <w:tr w:rsidR="006D2D42" w:rsidRPr="00470E6E" w14:paraId="68A844DD" w14:textId="77777777" w:rsidTr="00E84DB2">
        <w:trPr>
          <w:trHeight w:val="300"/>
        </w:trPr>
        <w:tc>
          <w:tcPr>
            <w:tcW w:w="2974" w:type="dxa"/>
            <w:tcBorders>
              <w:top w:val="nil"/>
              <w:left w:val="single" w:sz="4" w:space="0" w:color="auto"/>
              <w:bottom w:val="nil"/>
              <w:right w:val="single" w:sz="4" w:space="0" w:color="auto"/>
            </w:tcBorders>
            <w:noWrap/>
          </w:tcPr>
          <w:p w14:paraId="1DCB4442" w14:textId="77777777" w:rsidR="006D2D42" w:rsidRPr="00470E6E" w:rsidRDefault="006D2D42" w:rsidP="006D2D42">
            <w:pPr>
              <w:rPr>
                <w:b/>
                <w:noProof/>
                <w:lang w:val="en-IE"/>
              </w:rPr>
            </w:pPr>
          </w:p>
        </w:tc>
        <w:tc>
          <w:tcPr>
            <w:tcW w:w="1316" w:type="dxa"/>
            <w:tcBorders>
              <w:left w:val="single" w:sz="4" w:space="0" w:color="auto"/>
            </w:tcBorders>
            <w:noWrap/>
            <w:vAlign w:val="bottom"/>
          </w:tcPr>
          <w:p w14:paraId="1A066CA6" w14:textId="77777777" w:rsidR="006D2D42" w:rsidRPr="00470E6E" w:rsidRDefault="006D2D42" w:rsidP="006D2D42">
            <w:pPr>
              <w:rPr>
                <w:rFonts w:eastAsia="Times New Roman" w:cs="Calibri"/>
                <w:noProof/>
                <w:color w:val="000000"/>
              </w:rPr>
            </w:pPr>
            <w:r>
              <w:rPr>
                <w:noProof/>
                <w:color w:val="000000"/>
              </w:rPr>
              <w:t>Italie</w:t>
            </w:r>
          </w:p>
        </w:tc>
        <w:tc>
          <w:tcPr>
            <w:tcW w:w="1661" w:type="dxa"/>
            <w:noWrap/>
          </w:tcPr>
          <w:p w14:paraId="0382D986" w14:textId="78D724A0" w:rsidR="006D2D42" w:rsidRPr="00470E6E" w:rsidRDefault="006D2D42" w:rsidP="006D2D42">
            <w:pPr>
              <w:jc w:val="center"/>
              <w:rPr>
                <w:noProof/>
              </w:rPr>
            </w:pPr>
            <w:r>
              <w:rPr>
                <w:noProof/>
              </w:rPr>
              <w:t>1645</w:t>
            </w:r>
          </w:p>
        </w:tc>
        <w:tc>
          <w:tcPr>
            <w:tcW w:w="1418" w:type="dxa"/>
            <w:noWrap/>
          </w:tcPr>
          <w:p w14:paraId="4DDFAC84" w14:textId="70A4FF57" w:rsidR="006D2D42" w:rsidRPr="00470E6E" w:rsidRDefault="006D2D42" w:rsidP="006D2D42">
            <w:pPr>
              <w:jc w:val="center"/>
              <w:rPr>
                <w:rFonts w:eastAsia="Times New Roman" w:cs="Calibri"/>
                <w:noProof/>
                <w:color w:val="000000"/>
              </w:rPr>
            </w:pPr>
            <w:r>
              <w:rPr>
                <w:noProof/>
              </w:rPr>
              <w:t>10,6 %</w:t>
            </w:r>
          </w:p>
        </w:tc>
        <w:tc>
          <w:tcPr>
            <w:tcW w:w="1703" w:type="dxa"/>
          </w:tcPr>
          <w:p w14:paraId="18EA1EB2" w14:textId="04E49822" w:rsidR="006D2D42" w:rsidRPr="00470E6E" w:rsidRDefault="006D2D42" w:rsidP="006D2D42">
            <w:pPr>
              <w:jc w:val="center"/>
              <w:rPr>
                <w:rFonts w:eastAsia="Times New Roman" w:cs="Calibri"/>
                <w:noProof/>
                <w:color w:val="000000"/>
              </w:rPr>
            </w:pPr>
            <w:r>
              <w:rPr>
                <w:noProof/>
              </w:rPr>
              <w:t>-12,1 %</w:t>
            </w:r>
          </w:p>
        </w:tc>
      </w:tr>
      <w:tr w:rsidR="006D2D42" w:rsidRPr="00470E6E" w14:paraId="7FD8C906" w14:textId="77777777" w:rsidTr="00E84DB2">
        <w:trPr>
          <w:trHeight w:val="300"/>
        </w:trPr>
        <w:tc>
          <w:tcPr>
            <w:tcW w:w="2974" w:type="dxa"/>
            <w:tcBorders>
              <w:top w:val="nil"/>
              <w:left w:val="single" w:sz="4" w:space="0" w:color="auto"/>
              <w:bottom w:val="single" w:sz="4" w:space="0" w:color="auto"/>
              <w:right w:val="single" w:sz="4" w:space="0" w:color="auto"/>
            </w:tcBorders>
            <w:noWrap/>
          </w:tcPr>
          <w:p w14:paraId="1A66C6F3" w14:textId="77777777" w:rsidR="006D2D42" w:rsidRPr="00470E6E" w:rsidRDefault="006D2D42" w:rsidP="006D2D42">
            <w:pPr>
              <w:rPr>
                <w:b/>
                <w:noProof/>
                <w:lang w:val="en-IE"/>
              </w:rPr>
            </w:pPr>
          </w:p>
        </w:tc>
        <w:tc>
          <w:tcPr>
            <w:tcW w:w="1316" w:type="dxa"/>
            <w:tcBorders>
              <w:left w:val="single" w:sz="4" w:space="0" w:color="auto"/>
            </w:tcBorders>
            <w:noWrap/>
            <w:vAlign w:val="bottom"/>
          </w:tcPr>
          <w:p w14:paraId="73EB2AFF" w14:textId="77777777" w:rsidR="006D2D42" w:rsidRPr="00470E6E" w:rsidRDefault="006D2D42" w:rsidP="006D2D42">
            <w:pPr>
              <w:rPr>
                <w:noProof/>
              </w:rPr>
            </w:pPr>
            <w:r>
              <w:rPr>
                <w:noProof/>
                <w:color w:val="000000"/>
              </w:rPr>
              <w:t>Espagne</w:t>
            </w:r>
          </w:p>
        </w:tc>
        <w:tc>
          <w:tcPr>
            <w:tcW w:w="1661" w:type="dxa"/>
            <w:noWrap/>
          </w:tcPr>
          <w:p w14:paraId="1FDD66DC" w14:textId="50ACF6A4" w:rsidR="006D2D42" w:rsidRPr="00470E6E" w:rsidRDefault="006D2D42" w:rsidP="006D2D42">
            <w:pPr>
              <w:jc w:val="center"/>
              <w:rPr>
                <w:noProof/>
              </w:rPr>
            </w:pPr>
            <w:r>
              <w:rPr>
                <w:noProof/>
              </w:rPr>
              <w:t>0</w:t>
            </w:r>
          </w:p>
        </w:tc>
        <w:tc>
          <w:tcPr>
            <w:tcW w:w="1418" w:type="dxa"/>
            <w:noWrap/>
          </w:tcPr>
          <w:p w14:paraId="0BBFC0E5" w14:textId="167EC474" w:rsidR="006D2D42" w:rsidRPr="00470E6E" w:rsidRDefault="006D2D42" w:rsidP="006D2D42">
            <w:pPr>
              <w:jc w:val="center"/>
              <w:rPr>
                <w:noProof/>
              </w:rPr>
            </w:pPr>
            <w:r>
              <w:rPr>
                <w:noProof/>
              </w:rPr>
              <w:t>0,0 %</w:t>
            </w:r>
          </w:p>
        </w:tc>
        <w:tc>
          <w:tcPr>
            <w:tcW w:w="1703" w:type="dxa"/>
          </w:tcPr>
          <w:p w14:paraId="5657C2CB" w14:textId="18434593" w:rsidR="006D2D42" w:rsidRPr="00470E6E" w:rsidRDefault="00FA7943" w:rsidP="006D2D42">
            <w:pPr>
              <w:jc w:val="center"/>
              <w:rPr>
                <w:rFonts w:eastAsia="Times New Roman" w:cs="Calibri"/>
                <w:noProof/>
                <w:color w:val="000000"/>
              </w:rPr>
            </w:pPr>
            <w:r>
              <w:rPr>
                <w:noProof/>
              </w:rPr>
              <w:t>--</w:t>
            </w:r>
          </w:p>
        </w:tc>
      </w:tr>
      <w:tr w:rsidR="00010E10" w:rsidRPr="00470E6E" w14:paraId="68CC315A" w14:textId="77777777" w:rsidTr="00E84DB2">
        <w:trPr>
          <w:trHeight w:val="300"/>
        </w:trPr>
        <w:tc>
          <w:tcPr>
            <w:tcW w:w="2974" w:type="dxa"/>
            <w:tcBorders>
              <w:top w:val="single" w:sz="4" w:space="0" w:color="auto"/>
              <w:left w:val="single" w:sz="4" w:space="0" w:color="auto"/>
              <w:bottom w:val="nil"/>
              <w:right w:val="single" w:sz="4" w:space="0" w:color="auto"/>
            </w:tcBorders>
            <w:noWrap/>
          </w:tcPr>
          <w:p w14:paraId="3AA4DEDF" w14:textId="77777777" w:rsidR="00010E10" w:rsidRPr="00470E6E" w:rsidRDefault="00010E10" w:rsidP="00010E10">
            <w:pPr>
              <w:rPr>
                <w:b/>
                <w:noProof/>
              </w:rPr>
            </w:pPr>
            <w:r>
              <w:rPr>
                <w:b/>
                <w:noProof/>
              </w:rPr>
              <w:t>Mer du Nord et Atlantique</w:t>
            </w:r>
          </w:p>
        </w:tc>
        <w:tc>
          <w:tcPr>
            <w:tcW w:w="1316" w:type="dxa"/>
            <w:tcBorders>
              <w:left w:val="single" w:sz="4" w:space="0" w:color="auto"/>
            </w:tcBorders>
            <w:noWrap/>
          </w:tcPr>
          <w:p w14:paraId="6206D5DE" w14:textId="77777777" w:rsidR="00010E10" w:rsidRPr="003D2CCD" w:rsidRDefault="00010E10" w:rsidP="00010E10">
            <w:pPr>
              <w:rPr>
                <w:noProof/>
                <w:lang w:val="fr-BE"/>
              </w:rPr>
            </w:pPr>
          </w:p>
        </w:tc>
        <w:tc>
          <w:tcPr>
            <w:tcW w:w="1661" w:type="dxa"/>
            <w:noWrap/>
          </w:tcPr>
          <w:p w14:paraId="3B47A314" w14:textId="67D0CB0D" w:rsidR="00010E10" w:rsidRPr="00470E6E" w:rsidRDefault="00010E10" w:rsidP="00010E10">
            <w:pPr>
              <w:jc w:val="center"/>
              <w:rPr>
                <w:rFonts w:eastAsia="Times New Roman" w:cs="Calibri"/>
                <w:b/>
                <w:bCs/>
                <w:noProof/>
                <w:color w:val="000000"/>
              </w:rPr>
            </w:pPr>
            <w:r>
              <w:rPr>
                <w:b/>
                <w:noProof/>
              </w:rPr>
              <w:t>11552</w:t>
            </w:r>
          </w:p>
        </w:tc>
        <w:tc>
          <w:tcPr>
            <w:tcW w:w="1418" w:type="dxa"/>
            <w:noWrap/>
          </w:tcPr>
          <w:p w14:paraId="464812A7" w14:textId="500AA9D5" w:rsidR="00010E10" w:rsidRPr="00470E6E" w:rsidRDefault="00010E10" w:rsidP="00010E10">
            <w:pPr>
              <w:jc w:val="center"/>
              <w:rPr>
                <w:rFonts w:eastAsia="Times New Roman" w:cs="Calibri"/>
                <w:b/>
                <w:bCs/>
                <w:noProof/>
                <w:color w:val="000000"/>
              </w:rPr>
            </w:pPr>
            <w:r>
              <w:rPr>
                <w:b/>
                <w:noProof/>
              </w:rPr>
              <w:t>74,4 %</w:t>
            </w:r>
          </w:p>
        </w:tc>
        <w:tc>
          <w:tcPr>
            <w:tcW w:w="1703" w:type="dxa"/>
          </w:tcPr>
          <w:p w14:paraId="56006915" w14:textId="442230BD" w:rsidR="00010E10" w:rsidRPr="00470E6E" w:rsidRDefault="00010E10" w:rsidP="00010E10">
            <w:pPr>
              <w:jc w:val="center"/>
              <w:rPr>
                <w:rFonts w:eastAsia="Times New Roman" w:cs="Calibri"/>
                <w:b/>
                <w:bCs/>
                <w:noProof/>
                <w:color w:val="000000"/>
              </w:rPr>
            </w:pPr>
            <w:r>
              <w:rPr>
                <w:b/>
                <w:noProof/>
              </w:rPr>
              <w:t>-11,2 %</w:t>
            </w:r>
          </w:p>
        </w:tc>
      </w:tr>
      <w:tr w:rsidR="00010E10" w:rsidRPr="00470E6E" w14:paraId="7B3FEC9F" w14:textId="77777777" w:rsidTr="00E84DB2">
        <w:trPr>
          <w:trHeight w:val="300"/>
        </w:trPr>
        <w:tc>
          <w:tcPr>
            <w:tcW w:w="2974" w:type="dxa"/>
            <w:tcBorders>
              <w:top w:val="nil"/>
              <w:left w:val="single" w:sz="4" w:space="0" w:color="auto"/>
              <w:bottom w:val="nil"/>
              <w:right w:val="single" w:sz="4" w:space="0" w:color="auto"/>
            </w:tcBorders>
            <w:noWrap/>
          </w:tcPr>
          <w:p w14:paraId="7C8E4B05" w14:textId="77777777" w:rsidR="00010E10" w:rsidRPr="00470E6E" w:rsidRDefault="00010E10" w:rsidP="00010E10">
            <w:pPr>
              <w:rPr>
                <w:b/>
                <w:noProof/>
                <w:lang w:val="en-IE"/>
              </w:rPr>
            </w:pPr>
          </w:p>
        </w:tc>
        <w:tc>
          <w:tcPr>
            <w:tcW w:w="1316" w:type="dxa"/>
            <w:tcBorders>
              <w:left w:val="single" w:sz="4" w:space="0" w:color="auto"/>
            </w:tcBorders>
            <w:noWrap/>
            <w:vAlign w:val="bottom"/>
          </w:tcPr>
          <w:p w14:paraId="79E0EC49" w14:textId="77777777" w:rsidR="00010E10" w:rsidRPr="00470E6E" w:rsidRDefault="00010E10" w:rsidP="00010E10">
            <w:pPr>
              <w:rPr>
                <w:noProof/>
              </w:rPr>
            </w:pPr>
            <w:r>
              <w:rPr>
                <w:noProof/>
                <w:color w:val="000000"/>
              </w:rPr>
              <w:t>Danemark</w:t>
            </w:r>
          </w:p>
        </w:tc>
        <w:tc>
          <w:tcPr>
            <w:tcW w:w="1661" w:type="dxa"/>
            <w:noWrap/>
            <w:hideMark/>
          </w:tcPr>
          <w:p w14:paraId="44D594E5" w14:textId="6EB48CC3" w:rsidR="00010E10" w:rsidRPr="00470E6E" w:rsidRDefault="00010E10" w:rsidP="00010E10">
            <w:pPr>
              <w:jc w:val="center"/>
              <w:rPr>
                <w:noProof/>
              </w:rPr>
            </w:pPr>
            <w:r>
              <w:rPr>
                <w:noProof/>
              </w:rPr>
              <w:t>4700</w:t>
            </w:r>
          </w:p>
        </w:tc>
        <w:tc>
          <w:tcPr>
            <w:tcW w:w="1418" w:type="dxa"/>
            <w:noWrap/>
            <w:hideMark/>
          </w:tcPr>
          <w:p w14:paraId="50BDF014" w14:textId="1F890755" w:rsidR="00010E10" w:rsidRPr="00470E6E" w:rsidRDefault="00010E10" w:rsidP="00010E10">
            <w:pPr>
              <w:jc w:val="center"/>
              <w:rPr>
                <w:noProof/>
              </w:rPr>
            </w:pPr>
            <w:r>
              <w:rPr>
                <w:noProof/>
              </w:rPr>
              <w:t>30,3 %</w:t>
            </w:r>
          </w:p>
        </w:tc>
        <w:tc>
          <w:tcPr>
            <w:tcW w:w="1703" w:type="dxa"/>
          </w:tcPr>
          <w:p w14:paraId="21B015C5" w14:textId="071D01C6" w:rsidR="00010E10" w:rsidRPr="00470E6E" w:rsidRDefault="009E1A04" w:rsidP="00010E10">
            <w:pPr>
              <w:jc w:val="center"/>
              <w:rPr>
                <w:rFonts w:eastAsia="Times New Roman" w:cs="Calibri"/>
                <w:noProof/>
                <w:color w:val="000000"/>
              </w:rPr>
            </w:pPr>
            <w:r>
              <w:rPr>
                <w:noProof/>
              </w:rPr>
              <w:t>+6,0 %</w:t>
            </w:r>
          </w:p>
        </w:tc>
      </w:tr>
      <w:tr w:rsidR="00010E10" w:rsidRPr="00470E6E" w14:paraId="47D7EC25" w14:textId="77777777" w:rsidTr="00E84DB2">
        <w:trPr>
          <w:trHeight w:val="300"/>
        </w:trPr>
        <w:tc>
          <w:tcPr>
            <w:tcW w:w="2974" w:type="dxa"/>
            <w:tcBorders>
              <w:top w:val="nil"/>
              <w:left w:val="single" w:sz="4" w:space="0" w:color="auto"/>
              <w:bottom w:val="nil"/>
              <w:right w:val="single" w:sz="4" w:space="0" w:color="auto"/>
            </w:tcBorders>
            <w:noWrap/>
          </w:tcPr>
          <w:p w14:paraId="5E658998" w14:textId="77777777" w:rsidR="00010E10" w:rsidRPr="00470E6E" w:rsidRDefault="00010E10" w:rsidP="00010E10">
            <w:pPr>
              <w:rPr>
                <w:b/>
                <w:noProof/>
                <w:lang w:val="en-IE"/>
              </w:rPr>
            </w:pPr>
          </w:p>
        </w:tc>
        <w:tc>
          <w:tcPr>
            <w:tcW w:w="1316" w:type="dxa"/>
            <w:tcBorders>
              <w:left w:val="single" w:sz="4" w:space="0" w:color="auto"/>
            </w:tcBorders>
            <w:noWrap/>
          </w:tcPr>
          <w:p w14:paraId="785C738B" w14:textId="77777777" w:rsidR="00010E10" w:rsidRPr="00470E6E" w:rsidRDefault="00010E10" w:rsidP="00010E10">
            <w:pPr>
              <w:rPr>
                <w:rFonts w:eastAsia="Times New Roman" w:cs="Calibri"/>
                <w:noProof/>
                <w:color w:val="000000"/>
              </w:rPr>
            </w:pPr>
            <w:r>
              <w:rPr>
                <w:noProof/>
                <w:color w:val="000000"/>
              </w:rPr>
              <w:t>Allemagne</w:t>
            </w:r>
          </w:p>
        </w:tc>
        <w:tc>
          <w:tcPr>
            <w:tcW w:w="1661" w:type="dxa"/>
            <w:noWrap/>
          </w:tcPr>
          <w:p w14:paraId="0DC987D9" w14:textId="62DE7F84" w:rsidR="00010E10" w:rsidRPr="00470E6E" w:rsidRDefault="00010E10" w:rsidP="00010E10">
            <w:pPr>
              <w:jc w:val="center"/>
              <w:rPr>
                <w:noProof/>
              </w:rPr>
            </w:pPr>
            <w:r>
              <w:rPr>
                <w:noProof/>
              </w:rPr>
              <w:t>706</w:t>
            </w:r>
          </w:p>
        </w:tc>
        <w:tc>
          <w:tcPr>
            <w:tcW w:w="1418" w:type="dxa"/>
            <w:noWrap/>
          </w:tcPr>
          <w:p w14:paraId="076D3620" w14:textId="0CCEE7B6" w:rsidR="00010E10" w:rsidRPr="00470E6E" w:rsidRDefault="00010E10" w:rsidP="00010E10">
            <w:pPr>
              <w:jc w:val="center"/>
              <w:rPr>
                <w:rFonts w:eastAsia="Times New Roman" w:cs="Calibri"/>
                <w:noProof/>
                <w:color w:val="000000"/>
              </w:rPr>
            </w:pPr>
            <w:r>
              <w:rPr>
                <w:noProof/>
              </w:rPr>
              <w:t>4,5 %</w:t>
            </w:r>
          </w:p>
        </w:tc>
        <w:tc>
          <w:tcPr>
            <w:tcW w:w="1703" w:type="dxa"/>
          </w:tcPr>
          <w:p w14:paraId="03C21623" w14:textId="789BF526" w:rsidR="00010E10" w:rsidRPr="00470E6E" w:rsidRDefault="00010E10" w:rsidP="00010E10">
            <w:pPr>
              <w:jc w:val="center"/>
              <w:rPr>
                <w:rFonts w:eastAsia="Times New Roman" w:cs="Calibri"/>
                <w:noProof/>
                <w:color w:val="000000"/>
              </w:rPr>
            </w:pPr>
            <w:r>
              <w:rPr>
                <w:noProof/>
              </w:rPr>
              <w:t>-6,5 %</w:t>
            </w:r>
          </w:p>
        </w:tc>
      </w:tr>
      <w:tr w:rsidR="00010E10" w:rsidRPr="00470E6E" w14:paraId="016CDEC0" w14:textId="77777777" w:rsidTr="00E84DB2">
        <w:trPr>
          <w:trHeight w:val="300"/>
        </w:trPr>
        <w:tc>
          <w:tcPr>
            <w:tcW w:w="2974" w:type="dxa"/>
            <w:tcBorders>
              <w:top w:val="nil"/>
              <w:left w:val="single" w:sz="4" w:space="0" w:color="auto"/>
              <w:bottom w:val="single" w:sz="4" w:space="0" w:color="auto"/>
              <w:right w:val="single" w:sz="4" w:space="0" w:color="auto"/>
            </w:tcBorders>
            <w:noWrap/>
          </w:tcPr>
          <w:p w14:paraId="418B2075" w14:textId="77777777" w:rsidR="00010E10" w:rsidRPr="00470E6E" w:rsidRDefault="00010E10" w:rsidP="00010E10">
            <w:pPr>
              <w:rPr>
                <w:b/>
                <w:noProof/>
                <w:lang w:val="en-IE"/>
              </w:rPr>
            </w:pPr>
          </w:p>
        </w:tc>
        <w:tc>
          <w:tcPr>
            <w:tcW w:w="1316" w:type="dxa"/>
            <w:tcBorders>
              <w:left w:val="single" w:sz="4" w:space="0" w:color="auto"/>
            </w:tcBorders>
            <w:noWrap/>
          </w:tcPr>
          <w:p w14:paraId="1168FA41" w14:textId="77777777" w:rsidR="00010E10" w:rsidRPr="00470E6E" w:rsidRDefault="00010E10" w:rsidP="00010E10">
            <w:pPr>
              <w:rPr>
                <w:rFonts w:eastAsia="Times New Roman" w:cs="Calibri"/>
                <w:noProof/>
                <w:color w:val="000000"/>
              </w:rPr>
            </w:pPr>
            <w:r>
              <w:rPr>
                <w:noProof/>
                <w:color w:val="000000"/>
              </w:rPr>
              <w:t>Pays-Bas</w:t>
            </w:r>
          </w:p>
        </w:tc>
        <w:tc>
          <w:tcPr>
            <w:tcW w:w="1661" w:type="dxa"/>
            <w:noWrap/>
          </w:tcPr>
          <w:p w14:paraId="0355499D" w14:textId="1218B050" w:rsidR="00010E10" w:rsidRPr="00470E6E" w:rsidRDefault="00010E10" w:rsidP="00010E10">
            <w:pPr>
              <w:spacing w:line="720" w:lineRule="auto"/>
              <w:jc w:val="center"/>
              <w:rPr>
                <w:rFonts w:eastAsia="Times New Roman" w:cs="Calibri"/>
                <w:noProof/>
                <w:color w:val="000000"/>
              </w:rPr>
            </w:pPr>
            <w:r>
              <w:rPr>
                <w:noProof/>
              </w:rPr>
              <w:t>6146</w:t>
            </w:r>
          </w:p>
        </w:tc>
        <w:tc>
          <w:tcPr>
            <w:tcW w:w="1418" w:type="dxa"/>
            <w:noWrap/>
          </w:tcPr>
          <w:p w14:paraId="6165316C" w14:textId="5DFB8F40" w:rsidR="00010E10" w:rsidRPr="00470E6E" w:rsidRDefault="00010E10" w:rsidP="00010E10">
            <w:pPr>
              <w:jc w:val="center"/>
              <w:rPr>
                <w:noProof/>
              </w:rPr>
            </w:pPr>
            <w:r>
              <w:rPr>
                <w:noProof/>
              </w:rPr>
              <w:t>39,6 %</w:t>
            </w:r>
          </w:p>
        </w:tc>
        <w:tc>
          <w:tcPr>
            <w:tcW w:w="1703" w:type="dxa"/>
          </w:tcPr>
          <w:p w14:paraId="0225DBC6" w14:textId="16B36D3C" w:rsidR="00010E10" w:rsidRPr="00470E6E" w:rsidRDefault="00010E10" w:rsidP="00010E10">
            <w:pPr>
              <w:jc w:val="center"/>
              <w:rPr>
                <w:rFonts w:eastAsia="Times New Roman" w:cs="Calibri"/>
                <w:noProof/>
                <w:color w:val="000000"/>
              </w:rPr>
            </w:pPr>
            <w:r>
              <w:rPr>
                <w:noProof/>
              </w:rPr>
              <w:t>-21,3 %</w:t>
            </w:r>
          </w:p>
        </w:tc>
      </w:tr>
      <w:tr w:rsidR="00036698" w:rsidRPr="00470E6E" w14:paraId="227FEAE2" w14:textId="77777777" w:rsidTr="00E84DB2">
        <w:trPr>
          <w:trHeight w:val="512"/>
        </w:trPr>
        <w:tc>
          <w:tcPr>
            <w:tcW w:w="2974" w:type="dxa"/>
            <w:tcBorders>
              <w:top w:val="single" w:sz="4" w:space="0" w:color="auto"/>
              <w:left w:val="single" w:sz="4" w:space="0" w:color="auto"/>
              <w:bottom w:val="single" w:sz="4" w:space="0" w:color="auto"/>
              <w:right w:val="single" w:sz="4" w:space="0" w:color="auto"/>
            </w:tcBorders>
            <w:noWrap/>
          </w:tcPr>
          <w:p w14:paraId="48AA187C" w14:textId="77777777" w:rsidR="00036698" w:rsidRPr="00470E6E" w:rsidRDefault="00036698" w:rsidP="00370D52">
            <w:pPr>
              <w:rPr>
                <w:b/>
                <w:noProof/>
              </w:rPr>
            </w:pPr>
            <w:r>
              <w:rPr>
                <w:b/>
                <w:noProof/>
              </w:rPr>
              <w:t>Total</w:t>
            </w:r>
          </w:p>
        </w:tc>
        <w:tc>
          <w:tcPr>
            <w:tcW w:w="1316" w:type="dxa"/>
            <w:tcBorders>
              <w:left w:val="single" w:sz="4" w:space="0" w:color="auto"/>
            </w:tcBorders>
            <w:noWrap/>
          </w:tcPr>
          <w:p w14:paraId="407A2861" w14:textId="77777777" w:rsidR="00036698" w:rsidRPr="00470E6E" w:rsidRDefault="00036698" w:rsidP="00370D52">
            <w:pPr>
              <w:rPr>
                <w:noProof/>
                <w:lang w:val="en-IE"/>
              </w:rPr>
            </w:pPr>
          </w:p>
        </w:tc>
        <w:tc>
          <w:tcPr>
            <w:tcW w:w="1661" w:type="dxa"/>
            <w:noWrap/>
          </w:tcPr>
          <w:p w14:paraId="296BE815" w14:textId="7C72483F" w:rsidR="00036698" w:rsidRPr="00470E6E" w:rsidRDefault="00010E10" w:rsidP="00370D52">
            <w:pPr>
              <w:jc w:val="center"/>
              <w:rPr>
                <w:b/>
                <w:bCs/>
                <w:noProof/>
              </w:rPr>
            </w:pPr>
            <w:r>
              <w:rPr>
                <w:b/>
                <w:noProof/>
              </w:rPr>
              <w:t>15 518</w:t>
            </w:r>
          </w:p>
        </w:tc>
        <w:tc>
          <w:tcPr>
            <w:tcW w:w="1418" w:type="dxa"/>
            <w:noWrap/>
          </w:tcPr>
          <w:p w14:paraId="2BB3351D" w14:textId="77777777" w:rsidR="00036698" w:rsidRPr="00470E6E" w:rsidRDefault="00036698" w:rsidP="00370D52">
            <w:pPr>
              <w:jc w:val="center"/>
              <w:rPr>
                <w:b/>
                <w:bCs/>
                <w:noProof/>
              </w:rPr>
            </w:pPr>
            <w:r>
              <w:rPr>
                <w:b/>
                <w:noProof/>
              </w:rPr>
              <w:t>100 %</w:t>
            </w:r>
          </w:p>
        </w:tc>
        <w:tc>
          <w:tcPr>
            <w:tcW w:w="1703" w:type="dxa"/>
          </w:tcPr>
          <w:p w14:paraId="150957F4" w14:textId="474A9498" w:rsidR="00036698" w:rsidRPr="00470E6E" w:rsidRDefault="00036698" w:rsidP="00370D52">
            <w:pPr>
              <w:jc w:val="center"/>
              <w:rPr>
                <w:b/>
                <w:bCs/>
                <w:noProof/>
              </w:rPr>
            </w:pPr>
            <w:r>
              <w:rPr>
                <w:b/>
                <w:noProof/>
              </w:rPr>
              <w:t>-4,6 %</w:t>
            </w:r>
          </w:p>
        </w:tc>
      </w:tr>
    </w:tbl>
    <w:p w14:paraId="20629F45" w14:textId="77777777" w:rsidR="00036698" w:rsidRPr="00470E6E" w:rsidRDefault="00036698" w:rsidP="00036698">
      <w:pPr>
        <w:spacing w:after="0"/>
        <w:jc w:val="both"/>
        <w:rPr>
          <w:rFonts w:ascii="Times New Roman" w:hAnsi="Times New Roman"/>
          <w:noProof/>
          <w:sz w:val="24"/>
          <w:szCs w:val="24"/>
          <w:lang w:val="en-IE"/>
        </w:rPr>
      </w:pPr>
    </w:p>
    <w:p w14:paraId="0284D244" w14:textId="365EDD1B" w:rsidR="00036698" w:rsidRPr="00470E6E" w:rsidRDefault="00A835FD" w:rsidP="00036698">
      <w:pPr>
        <w:spacing w:after="0"/>
        <w:jc w:val="both"/>
        <w:rPr>
          <w:rFonts w:ascii="Times New Roman" w:hAnsi="Times New Roman"/>
          <w:noProof/>
          <w:sz w:val="24"/>
          <w:szCs w:val="24"/>
        </w:rPr>
      </w:pPr>
      <w:r>
        <w:rPr>
          <w:rFonts w:ascii="Times New Roman" w:hAnsi="Times New Roman"/>
          <w:noProof/>
          <w:sz w:val="24"/>
        </w:rPr>
        <w:t xml:space="preserve">La production a augmenté en Roumanie (+ 96 %), avec des valeurs positives également au Danemark (+ 6 %) et en Pologne (+ 4,7 %), mais a diminué dans tous les autres États membres, en particulier aux Pays-Bas (poursuivant la tendance depuis 2022) et en Bulgarie. La Grèce a repris sa production en 2022. L’Espagne n’avait pas de production. Par rapport à la production des États membres en 2021, on a enregistré une perte de production de 4,6 % (environ 746 ktep) en 2023 dans l’UE. </w:t>
      </w:r>
    </w:p>
    <w:p w14:paraId="3C833705" w14:textId="77777777" w:rsidR="00036698" w:rsidRPr="003D2CCD" w:rsidRDefault="00036698" w:rsidP="00036698">
      <w:pPr>
        <w:spacing w:after="0"/>
        <w:jc w:val="both"/>
        <w:rPr>
          <w:rFonts w:ascii="Times New Roman" w:hAnsi="Times New Roman"/>
          <w:noProof/>
          <w:sz w:val="24"/>
          <w:szCs w:val="24"/>
          <w:lang w:val="fr-BE"/>
        </w:rPr>
      </w:pPr>
    </w:p>
    <w:p w14:paraId="10E29D21" w14:textId="712FA61F" w:rsidR="00036698" w:rsidRPr="00470E6E" w:rsidRDefault="00036698" w:rsidP="00036698">
      <w:pPr>
        <w:spacing w:after="0"/>
        <w:jc w:val="both"/>
        <w:rPr>
          <w:rFonts w:ascii="Times New Roman" w:hAnsi="Times New Roman"/>
          <w:noProof/>
          <w:sz w:val="24"/>
          <w:szCs w:val="24"/>
        </w:rPr>
      </w:pPr>
      <w:r>
        <w:rPr>
          <w:rFonts w:ascii="Times New Roman" w:hAnsi="Times New Roman"/>
          <w:noProof/>
          <w:sz w:val="24"/>
        </w:rPr>
        <w:t>Sur la base de la production totale de l’UE mesurée en ktep, 67 % étaient du gaz et seulement 33 % du pétrole. Avec 3410 ktep, le Danemark est le principal producteur de pétrole, suivi de l’Allemagne (698 ktep), de l’Italie (380 ktep), de la Pologne (260 ktep), des Pays-Bas (265 ktep) et de la Grèce (50 ktep).</w:t>
      </w:r>
    </w:p>
    <w:p w14:paraId="60B2AB17" w14:textId="77777777" w:rsidR="00036698" w:rsidRPr="003D2CCD" w:rsidRDefault="00036698" w:rsidP="00036698">
      <w:pPr>
        <w:spacing w:after="0"/>
        <w:jc w:val="both"/>
        <w:rPr>
          <w:rFonts w:ascii="Times New Roman" w:hAnsi="Times New Roman"/>
          <w:noProof/>
          <w:sz w:val="24"/>
          <w:szCs w:val="24"/>
          <w:lang w:val="fr-BE"/>
        </w:rPr>
      </w:pPr>
    </w:p>
    <w:p w14:paraId="415A82B9" w14:textId="77777777" w:rsidR="00036698" w:rsidRPr="00470E6E" w:rsidRDefault="00036698" w:rsidP="00036698">
      <w:pPr>
        <w:pStyle w:val="Heading2"/>
        <w:spacing w:after="120"/>
        <w:rPr>
          <w:rFonts w:ascii="Times New Roman" w:hAnsi="Times New Roman"/>
          <w:noProof/>
          <w:color w:val="auto"/>
        </w:rPr>
      </w:pPr>
      <w:bookmarkStart w:id="8" w:name="_Toc202865916"/>
      <w:r>
        <w:rPr>
          <w:rFonts w:ascii="Times New Roman" w:hAnsi="Times New Roman"/>
          <w:noProof/>
          <w:color w:val="auto"/>
        </w:rPr>
        <w:t>4.2</w:t>
      </w:r>
      <w:r>
        <w:rPr>
          <w:rFonts w:ascii="Times New Roman" w:hAnsi="Times New Roman"/>
          <w:noProof/>
          <w:color w:val="auto"/>
        </w:rPr>
        <w:tab/>
        <w:t>Inspections en mer, enquêtes, mesures d’exécution et cadre réglementaire</w:t>
      </w:r>
      <w:bookmarkEnd w:id="8"/>
    </w:p>
    <w:p w14:paraId="4855C63A" w14:textId="21BE45F2" w:rsidR="00036698" w:rsidRPr="00470E6E" w:rsidRDefault="00036698" w:rsidP="00036698">
      <w:pPr>
        <w:jc w:val="both"/>
        <w:rPr>
          <w:rFonts w:ascii="Times New Roman" w:hAnsi="Times New Roman"/>
          <w:noProof/>
          <w:sz w:val="24"/>
          <w:szCs w:val="24"/>
        </w:rPr>
      </w:pPr>
      <w:r>
        <w:rPr>
          <w:rFonts w:ascii="Times New Roman" w:hAnsi="Times New Roman"/>
          <w:noProof/>
          <w:sz w:val="24"/>
        </w:rPr>
        <w:t>Les autorités compétentes des États membres ont régulièrement inspecté les installations en mer relevant de leur juridiction en 2023 (voir tableau 3). Plus un pays dispose d’installations, plus le nombre d’inspections qu’il effectue habituellement est élevé.</w:t>
      </w:r>
    </w:p>
    <w:p w14:paraId="1DA282CD" w14:textId="200346CA" w:rsidR="00036698" w:rsidRPr="00470E6E" w:rsidRDefault="004A4E9C" w:rsidP="00036698">
      <w:pPr>
        <w:jc w:val="both"/>
        <w:rPr>
          <w:rFonts w:ascii="Times New Roman" w:hAnsi="Times New Roman"/>
          <w:noProof/>
          <w:sz w:val="24"/>
          <w:szCs w:val="24"/>
        </w:rPr>
      </w:pPr>
      <w:r>
        <w:rPr>
          <w:rFonts w:ascii="Times New Roman" w:hAnsi="Times New Roman"/>
          <w:noProof/>
          <w:sz w:val="24"/>
        </w:rPr>
        <w:t xml:space="preserve">Par rapport à 2022, le nombre total d’inspections dans l’UE a diminué (passant de 524 à 435). Si le nombre d’inspections a augmenté dans certaines juridictions (par exemple en Roumanie), il a diminué dans la plupart des pays. </w:t>
      </w:r>
    </w:p>
    <w:p w14:paraId="2033FAFE" w14:textId="7B73172E" w:rsidR="00036698" w:rsidRPr="00470E6E" w:rsidRDefault="00036698" w:rsidP="00036698">
      <w:pPr>
        <w:jc w:val="both"/>
        <w:rPr>
          <w:rFonts w:ascii="Times New Roman" w:hAnsi="Times New Roman"/>
          <w:noProof/>
          <w:sz w:val="24"/>
          <w:szCs w:val="24"/>
        </w:rPr>
      </w:pPr>
      <w:r>
        <w:rPr>
          <w:rFonts w:ascii="Times New Roman" w:hAnsi="Times New Roman"/>
          <w:noProof/>
          <w:sz w:val="24"/>
        </w:rPr>
        <w:t>Aux Pays-Bas, le nombre d’inspections a diminué de 30 par rapport à 2022. Dans le même temps, les Pays-Bas ont déclassé trois installations au cours de la période de référence.</w:t>
      </w:r>
    </w:p>
    <w:p w14:paraId="0530B081" w14:textId="4C857BB6" w:rsidR="00036698" w:rsidRPr="00470E6E" w:rsidRDefault="00036698" w:rsidP="00036698">
      <w:pPr>
        <w:pStyle w:val="Caption"/>
        <w:rPr>
          <w:noProof/>
        </w:rPr>
      </w:pPr>
      <w:r>
        <w:rPr>
          <w:noProof/>
        </w:rPr>
        <w:t>Tableau 3: Inspections en mer par région et par État membre en 2023</w:t>
      </w:r>
    </w:p>
    <w:tbl>
      <w:tblPr>
        <w:tblStyle w:val="TableGrid"/>
        <w:tblW w:w="10065" w:type="dxa"/>
        <w:tblInd w:w="108" w:type="dxa"/>
        <w:tblLook w:val="04A0" w:firstRow="1" w:lastRow="0" w:firstColumn="1" w:lastColumn="0" w:noHBand="0" w:noVBand="1"/>
      </w:tblPr>
      <w:tblGrid>
        <w:gridCol w:w="2391"/>
        <w:gridCol w:w="2673"/>
        <w:gridCol w:w="1451"/>
        <w:gridCol w:w="2274"/>
        <w:gridCol w:w="1390"/>
      </w:tblGrid>
      <w:tr w:rsidR="00036698" w:rsidRPr="00470E6E" w14:paraId="17ED9F24" w14:textId="77777777" w:rsidTr="00370D52">
        <w:trPr>
          <w:trHeight w:val="300"/>
        </w:trPr>
        <w:tc>
          <w:tcPr>
            <w:tcW w:w="2391" w:type="dxa"/>
            <w:noWrap/>
            <w:hideMark/>
          </w:tcPr>
          <w:p w14:paraId="37EFEA41" w14:textId="77777777" w:rsidR="00036698" w:rsidRPr="00470E6E" w:rsidRDefault="00036698" w:rsidP="00370D52">
            <w:pPr>
              <w:rPr>
                <w:b/>
                <w:noProof/>
              </w:rPr>
            </w:pPr>
            <w:r>
              <w:rPr>
                <w:b/>
                <w:noProof/>
              </w:rPr>
              <w:t>Région</w:t>
            </w:r>
          </w:p>
        </w:tc>
        <w:tc>
          <w:tcPr>
            <w:tcW w:w="2673" w:type="dxa"/>
            <w:noWrap/>
            <w:hideMark/>
          </w:tcPr>
          <w:p w14:paraId="09FA8B98" w14:textId="77777777" w:rsidR="00036698" w:rsidRPr="00470E6E" w:rsidRDefault="00036698" w:rsidP="00370D52">
            <w:pPr>
              <w:rPr>
                <w:b/>
                <w:noProof/>
              </w:rPr>
            </w:pPr>
            <w:r>
              <w:rPr>
                <w:b/>
                <w:noProof/>
              </w:rPr>
              <w:t>Pays</w:t>
            </w:r>
          </w:p>
        </w:tc>
        <w:tc>
          <w:tcPr>
            <w:tcW w:w="1451" w:type="dxa"/>
            <w:noWrap/>
            <w:hideMark/>
          </w:tcPr>
          <w:p w14:paraId="6BCA00BC" w14:textId="77777777" w:rsidR="00036698" w:rsidRPr="00470E6E" w:rsidRDefault="00036698" w:rsidP="00370D52">
            <w:pPr>
              <w:rPr>
                <w:b/>
                <w:noProof/>
              </w:rPr>
            </w:pPr>
            <w:r>
              <w:rPr>
                <w:b/>
                <w:noProof/>
              </w:rPr>
              <w:t>Inspections</w:t>
            </w:r>
          </w:p>
        </w:tc>
        <w:tc>
          <w:tcPr>
            <w:tcW w:w="2274" w:type="dxa"/>
            <w:noWrap/>
            <w:hideMark/>
          </w:tcPr>
          <w:p w14:paraId="3F8B272E" w14:textId="77777777" w:rsidR="00036698" w:rsidRPr="00470E6E" w:rsidRDefault="00036698" w:rsidP="00370D52">
            <w:pPr>
              <w:rPr>
                <w:b/>
                <w:noProof/>
              </w:rPr>
            </w:pPr>
            <w:r>
              <w:rPr>
                <w:b/>
                <w:noProof/>
              </w:rPr>
              <w:t>Jours de travail passés sur les installations (temps de déplacement non compris)</w:t>
            </w:r>
          </w:p>
        </w:tc>
        <w:tc>
          <w:tcPr>
            <w:tcW w:w="1276" w:type="dxa"/>
            <w:noWrap/>
            <w:hideMark/>
          </w:tcPr>
          <w:p w14:paraId="586AE55A" w14:textId="77777777" w:rsidR="00036698" w:rsidRPr="00470E6E" w:rsidRDefault="00036698" w:rsidP="00370D52">
            <w:pPr>
              <w:rPr>
                <w:b/>
                <w:noProof/>
              </w:rPr>
            </w:pPr>
            <w:r>
              <w:rPr>
                <w:b/>
                <w:noProof/>
              </w:rPr>
              <w:t>Nombre d’installations inspectées</w:t>
            </w:r>
          </w:p>
        </w:tc>
      </w:tr>
      <w:tr w:rsidR="008C691F" w:rsidRPr="00470E6E" w14:paraId="77206F51" w14:textId="77777777" w:rsidTr="005562DD">
        <w:trPr>
          <w:trHeight w:val="300"/>
        </w:trPr>
        <w:tc>
          <w:tcPr>
            <w:tcW w:w="2391" w:type="dxa"/>
            <w:tcBorders>
              <w:bottom w:val="single" w:sz="4" w:space="0" w:color="FFFFFF" w:themeColor="background1"/>
              <w:right w:val="single" w:sz="4" w:space="0" w:color="FFFFFF" w:themeColor="background1"/>
            </w:tcBorders>
            <w:noWrap/>
            <w:hideMark/>
          </w:tcPr>
          <w:p w14:paraId="11FEDBB5" w14:textId="77777777" w:rsidR="008C691F" w:rsidRPr="00470E6E" w:rsidRDefault="008C691F" w:rsidP="008C691F">
            <w:pPr>
              <w:rPr>
                <w:b/>
                <w:noProof/>
              </w:rPr>
            </w:pPr>
            <w:r>
              <w:rPr>
                <w:b/>
                <w:noProof/>
              </w:rPr>
              <w:t>Mer Baltique</w:t>
            </w:r>
          </w:p>
        </w:tc>
        <w:tc>
          <w:tcPr>
            <w:tcW w:w="2673" w:type="dxa"/>
            <w:tcBorders>
              <w:left w:val="single" w:sz="4" w:space="0" w:color="FFFFFF" w:themeColor="background1"/>
            </w:tcBorders>
            <w:noWrap/>
            <w:hideMark/>
          </w:tcPr>
          <w:p w14:paraId="793F67FF" w14:textId="77777777" w:rsidR="008C691F" w:rsidRPr="00470E6E" w:rsidRDefault="008C691F" w:rsidP="008C691F">
            <w:pPr>
              <w:rPr>
                <w:b/>
                <w:noProof/>
                <w:lang w:val="en-IE"/>
              </w:rPr>
            </w:pPr>
          </w:p>
        </w:tc>
        <w:tc>
          <w:tcPr>
            <w:tcW w:w="1451" w:type="dxa"/>
            <w:noWrap/>
            <w:hideMark/>
          </w:tcPr>
          <w:p w14:paraId="10859927" w14:textId="00D43E54" w:rsidR="008C691F" w:rsidRPr="00470E6E" w:rsidRDefault="008C691F" w:rsidP="008C691F">
            <w:pPr>
              <w:rPr>
                <w:b/>
                <w:bCs/>
                <w:noProof/>
              </w:rPr>
            </w:pPr>
            <w:r>
              <w:rPr>
                <w:b/>
                <w:noProof/>
              </w:rPr>
              <w:t>1</w:t>
            </w:r>
          </w:p>
        </w:tc>
        <w:tc>
          <w:tcPr>
            <w:tcW w:w="2274" w:type="dxa"/>
            <w:noWrap/>
            <w:hideMark/>
          </w:tcPr>
          <w:p w14:paraId="705115DA" w14:textId="6967C952" w:rsidR="008C691F" w:rsidRPr="00470E6E" w:rsidRDefault="008C691F" w:rsidP="008C691F">
            <w:pPr>
              <w:rPr>
                <w:b/>
                <w:bCs/>
                <w:noProof/>
              </w:rPr>
            </w:pPr>
            <w:r>
              <w:rPr>
                <w:b/>
                <w:noProof/>
              </w:rPr>
              <w:t>1</w:t>
            </w:r>
          </w:p>
        </w:tc>
        <w:tc>
          <w:tcPr>
            <w:tcW w:w="1276" w:type="dxa"/>
            <w:noWrap/>
            <w:hideMark/>
          </w:tcPr>
          <w:p w14:paraId="71C03E3C" w14:textId="4DA34075" w:rsidR="008C691F" w:rsidRPr="00470E6E" w:rsidRDefault="008C691F" w:rsidP="008C691F">
            <w:pPr>
              <w:rPr>
                <w:b/>
                <w:bCs/>
                <w:noProof/>
              </w:rPr>
            </w:pPr>
            <w:r>
              <w:rPr>
                <w:b/>
                <w:noProof/>
              </w:rPr>
              <w:t>1</w:t>
            </w:r>
          </w:p>
        </w:tc>
      </w:tr>
      <w:tr w:rsidR="008C691F" w:rsidRPr="00470E6E" w14:paraId="4674AFAC" w14:textId="77777777" w:rsidTr="005562DD">
        <w:trPr>
          <w:trHeight w:val="300"/>
        </w:trPr>
        <w:tc>
          <w:tcPr>
            <w:tcW w:w="2391" w:type="dxa"/>
            <w:tcBorders>
              <w:top w:val="single" w:sz="4" w:space="0" w:color="FFFFFF" w:themeColor="background1"/>
            </w:tcBorders>
            <w:noWrap/>
          </w:tcPr>
          <w:p w14:paraId="325B6971" w14:textId="77777777" w:rsidR="008C691F" w:rsidRPr="00470E6E" w:rsidRDefault="008C691F" w:rsidP="008C691F">
            <w:pPr>
              <w:rPr>
                <w:b/>
                <w:noProof/>
                <w:lang w:val="en-IE"/>
              </w:rPr>
            </w:pPr>
          </w:p>
        </w:tc>
        <w:tc>
          <w:tcPr>
            <w:tcW w:w="2673" w:type="dxa"/>
            <w:noWrap/>
            <w:hideMark/>
          </w:tcPr>
          <w:p w14:paraId="77E8E6FE" w14:textId="77777777" w:rsidR="008C691F" w:rsidRPr="00470E6E" w:rsidRDefault="008C691F" w:rsidP="008C691F">
            <w:pPr>
              <w:rPr>
                <w:noProof/>
              </w:rPr>
            </w:pPr>
            <w:r>
              <w:rPr>
                <w:noProof/>
              </w:rPr>
              <w:t>Pologne</w:t>
            </w:r>
          </w:p>
        </w:tc>
        <w:tc>
          <w:tcPr>
            <w:tcW w:w="1451" w:type="dxa"/>
            <w:noWrap/>
            <w:hideMark/>
          </w:tcPr>
          <w:p w14:paraId="3CF2A166" w14:textId="0AEC9C81" w:rsidR="008C691F" w:rsidRPr="00470E6E" w:rsidRDefault="008C691F" w:rsidP="008C691F">
            <w:pPr>
              <w:rPr>
                <w:noProof/>
              </w:rPr>
            </w:pPr>
            <w:r>
              <w:rPr>
                <w:noProof/>
              </w:rPr>
              <w:t>1</w:t>
            </w:r>
          </w:p>
        </w:tc>
        <w:tc>
          <w:tcPr>
            <w:tcW w:w="2274" w:type="dxa"/>
            <w:noWrap/>
            <w:hideMark/>
          </w:tcPr>
          <w:p w14:paraId="43269B19" w14:textId="323CA5BB" w:rsidR="008C691F" w:rsidRPr="00470E6E" w:rsidRDefault="008C691F" w:rsidP="008C691F">
            <w:pPr>
              <w:rPr>
                <w:noProof/>
              </w:rPr>
            </w:pPr>
            <w:r>
              <w:rPr>
                <w:noProof/>
              </w:rPr>
              <w:t>1</w:t>
            </w:r>
          </w:p>
        </w:tc>
        <w:tc>
          <w:tcPr>
            <w:tcW w:w="1276" w:type="dxa"/>
            <w:noWrap/>
            <w:hideMark/>
          </w:tcPr>
          <w:p w14:paraId="3B18EE24" w14:textId="5BAEB87F" w:rsidR="008C691F" w:rsidRPr="00470E6E" w:rsidRDefault="008C691F" w:rsidP="008C691F">
            <w:pPr>
              <w:rPr>
                <w:noProof/>
              </w:rPr>
            </w:pPr>
            <w:r>
              <w:rPr>
                <w:noProof/>
              </w:rPr>
              <w:t>1</w:t>
            </w:r>
          </w:p>
        </w:tc>
      </w:tr>
      <w:tr w:rsidR="00E730DF" w:rsidRPr="00470E6E" w14:paraId="7AA21861" w14:textId="77777777" w:rsidTr="005562DD">
        <w:trPr>
          <w:trHeight w:val="300"/>
        </w:trPr>
        <w:tc>
          <w:tcPr>
            <w:tcW w:w="2391" w:type="dxa"/>
            <w:tcBorders>
              <w:bottom w:val="single" w:sz="4" w:space="0" w:color="FFFFFF" w:themeColor="background1"/>
              <w:right w:val="single" w:sz="4" w:space="0" w:color="FFFFFF" w:themeColor="background1"/>
            </w:tcBorders>
            <w:noWrap/>
            <w:hideMark/>
          </w:tcPr>
          <w:p w14:paraId="0584361A" w14:textId="77777777" w:rsidR="00E730DF" w:rsidRPr="00470E6E" w:rsidRDefault="00E730DF" w:rsidP="00E730DF">
            <w:pPr>
              <w:rPr>
                <w:b/>
                <w:noProof/>
              </w:rPr>
            </w:pPr>
            <w:r>
              <w:rPr>
                <w:b/>
                <w:noProof/>
              </w:rPr>
              <w:t>Mer Noire</w:t>
            </w:r>
          </w:p>
        </w:tc>
        <w:tc>
          <w:tcPr>
            <w:tcW w:w="2673" w:type="dxa"/>
            <w:tcBorders>
              <w:left w:val="single" w:sz="4" w:space="0" w:color="FFFFFF" w:themeColor="background1"/>
            </w:tcBorders>
            <w:noWrap/>
            <w:hideMark/>
          </w:tcPr>
          <w:p w14:paraId="3C1C240A" w14:textId="77777777" w:rsidR="00E730DF" w:rsidRPr="00470E6E" w:rsidRDefault="00E730DF" w:rsidP="00E730DF">
            <w:pPr>
              <w:rPr>
                <w:b/>
                <w:noProof/>
                <w:lang w:val="en-IE"/>
              </w:rPr>
            </w:pPr>
          </w:p>
        </w:tc>
        <w:tc>
          <w:tcPr>
            <w:tcW w:w="1451" w:type="dxa"/>
            <w:noWrap/>
            <w:hideMark/>
          </w:tcPr>
          <w:p w14:paraId="1E9F6E00" w14:textId="58E8B780" w:rsidR="00E730DF" w:rsidRPr="00470E6E" w:rsidRDefault="00E730DF" w:rsidP="00E730DF">
            <w:pPr>
              <w:rPr>
                <w:b/>
                <w:bCs/>
                <w:noProof/>
              </w:rPr>
            </w:pPr>
            <w:r>
              <w:rPr>
                <w:b/>
                <w:noProof/>
              </w:rPr>
              <w:t>30</w:t>
            </w:r>
          </w:p>
        </w:tc>
        <w:tc>
          <w:tcPr>
            <w:tcW w:w="2274" w:type="dxa"/>
            <w:noWrap/>
            <w:hideMark/>
          </w:tcPr>
          <w:p w14:paraId="654BABB9" w14:textId="72D4A1C2" w:rsidR="00E730DF" w:rsidRPr="00470E6E" w:rsidRDefault="00E730DF" w:rsidP="00E730DF">
            <w:pPr>
              <w:rPr>
                <w:b/>
                <w:bCs/>
                <w:noProof/>
              </w:rPr>
            </w:pPr>
            <w:r>
              <w:rPr>
                <w:b/>
                <w:noProof/>
              </w:rPr>
              <w:t>203</w:t>
            </w:r>
          </w:p>
        </w:tc>
        <w:tc>
          <w:tcPr>
            <w:tcW w:w="1276" w:type="dxa"/>
            <w:noWrap/>
            <w:hideMark/>
          </w:tcPr>
          <w:p w14:paraId="2307BB1D" w14:textId="624E7DC5" w:rsidR="00E730DF" w:rsidRPr="00470E6E" w:rsidRDefault="00E730DF" w:rsidP="00E730DF">
            <w:pPr>
              <w:rPr>
                <w:b/>
                <w:bCs/>
                <w:noProof/>
              </w:rPr>
            </w:pPr>
            <w:r>
              <w:rPr>
                <w:b/>
                <w:noProof/>
              </w:rPr>
              <w:t>9</w:t>
            </w:r>
          </w:p>
        </w:tc>
      </w:tr>
      <w:tr w:rsidR="00E730DF" w:rsidRPr="00470E6E" w14:paraId="132DE6D4" w14:textId="77777777" w:rsidTr="005562DD">
        <w:trPr>
          <w:trHeight w:val="300"/>
        </w:trPr>
        <w:tc>
          <w:tcPr>
            <w:tcW w:w="2391" w:type="dxa"/>
            <w:tcBorders>
              <w:bottom w:val="single" w:sz="4" w:space="0" w:color="FFFFFF" w:themeColor="background1"/>
              <w:right w:val="single" w:sz="4" w:space="0" w:color="FFFFFF" w:themeColor="background1"/>
            </w:tcBorders>
            <w:noWrap/>
          </w:tcPr>
          <w:p w14:paraId="378E4111" w14:textId="77777777" w:rsidR="00E730DF" w:rsidRPr="00470E6E" w:rsidRDefault="00E730DF" w:rsidP="00E730DF">
            <w:pPr>
              <w:rPr>
                <w:b/>
                <w:noProof/>
                <w:lang w:val="en-IE"/>
              </w:rPr>
            </w:pPr>
          </w:p>
        </w:tc>
        <w:tc>
          <w:tcPr>
            <w:tcW w:w="2673" w:type="dxa"/>
            <w:noWrap/>
          </w:tcPr>
          <w:p w14:paraId="6762FE84" w14:textId="77777777" w:rsidR="00E730DF" w:rsidRPr="00470E6E" w:rsidRDefault="00E730DF" w:rsidP="00E730DF">
            <w:pPr>
              <w:rPr>
                <w:b/>
                <w:noProof/>
              </w:rPr>
            </w:pPr>
            <w:r>
              <w:rPr>
                <w:noProof/>
              </w:rPr>
              <w:t>Bulgarie</w:t>
            </w:r>
          </w:p>
        </w:tc>
        <w:tc>
          <w:tcPr>
            <w:tcW w:w="1451" w:type="dxa"/>
            <w:noWrap/>
          </w:tcPr>
          <w:p w14:paraId="5BCB09E2" w14:textId="783BD6CA" w:rsidR="00E730DF" w:rsidRPr="00470E6E" w:rsidRDefault="00E730DF" w:rsidP="00E730DF">
            <w:pPr>
              <w:rPr>
                <w:rFonts w:cs="Calibri"/>
                <w:b/>
                <w:bCs/>
                <w:noProof/>
                <w:color w:val="000000"/>
              </w:rPr>
            </w:pPr>
            <w:r>
              <w:rPr>
                <w:noProof/>
              </w:rPr>
              <w:t>0</w:t>
            </w:r>
          </w:p>
        </w:tc>
        <w:tc>
          <w:tcPr>
            <w:tcW w:w="2274" w:type="dxa"/>
            <w:noWrap/>
          </w:tcPr>
          <w:p w14:paraId="17470D94" w14:textId="2AABF6A0" w:rsidR="00E730DF" w:rsidRPr="00470E6E" w:rsidRDefault="00E730DF" w:rsidP="00E730DF">
            <w:pPr>
              <w:rPr>
                <w:rFonts w:cs="Calibri"/>
                <w:bCs/>
                <w:noProof/>
                <w:color w:val="000000"/>
              </w:rPr>
            </w:pPr>
            <w:r>
              <w:rPr>
                <w:noProof/>
              </w:rPr>
              <w:t>0</w:t>
            </w:r>
          </w:p>
        </w:tc>
        <w:tc>
          <w:tcPr>
            <w:tcW w:w="1276" w:type="dxa"/>
            <w:noWrap/>
          </w:tcPr>
          <w:p w14:paraId="1BE09E84" w14:textId="222119B0" w:rsidR="00E730DF" w:rsidRPr="00470E6E" w:rsidRDefault="00E730DF" w:rsidP="00E730DF">
            <w:pPr>
              <w:rPr>
                <w:rFonts w:cs="Calibri"/>
                <w:bCs/>
                <w:noProof/>
                <w:color w:val="000000"/>
              </w:rPr>
            </w:pPr>
            <w:r>
              <w:rPr>
                <w:noProof/>
              </w:rPr>
              <w:t>0</w:t>
            </w:r>
          </w:p>
        </w:tc>
      </w:tr>
      <w:tr w:rsidR="00E730DF" w:rsidRPr="00470E6E" w14:paraId="367656FB" w14:textId="77777777" w:rsidTr="005562DD">
        <w:trPr>
          <w:trHeight w:val="300"/>
        </w:trPr>
        <w:tc>
          <w:tcPr>
            <w:tcW w:w="2391" w:type="dxa"/>
            <w:tcBorders>
              <w:top w:val="single" w:sz="4" w:space="0" w:color="FFFFFF" w:themeColor="background1"/>
            </w:tcBorders>
            <w:noWrap/>
          </w:tcPr>
          <w:p w14:paraId="62FD0152" w14:textId="77777777" w:rsidR="00E730DF" w:rsidRPr="00470E6E" w:rsidRDefault="00E730DF" w:rsidP="00E730DF">
            <w:pPr>
              <w:rPr>
                <w:b/>
                <w:noProof/>
                <w:lang w:val="en-IE"/>
              </w:rPr>
            </w:pPr>
          </w:p>
        </w:tc>
        <w:tc>
          <w:tcPr>
            <w:tcW w:w="2673" w:type="dxa"/>
            <w:noWrap/>
          </w:tcPr>
          <w:p w14:paraId="1F288A5F" w14:textId="77777777" w:rsidR="00E730DF" w:rsidRPr="00470E6E" w:rsidRDefault="00E730DF" w:rsidP="00E730DF">
            <w:pPr>
              <w:rPr>
                <w:noProof/>
              </w:rPr>
            </w:pPr>
            <w:r>
              <w:rPr>
                <w:noProof/>
              </w:rPr>
              <w:t>Roumanie</w:t>
            </w:r>
          </w:p>
        </w:tc>
        <w:tc>
          <w:tcPr>
            <w:tcW w:w="1451" w:type="dxa"/>
            <w:noWrap/>
          </w:tcPr>
          <w:p w14:paraId="71512158" w14:textId="6AE34C4D" w:rsidR="00E730DF" w:rsidRPr="00470E6E" w:rsidRDefault="00E730DF" w:rsidP="00E730DF">
            <w:pPr>
              <w:rPr>
                <w:rFonts w:cs="Calibri"/>
                <w:noProof/>
                <w:color w:val="000000"/>
              </w:rPr>
            </w:pPr>
            <w:r>
              <w:rPr>
                <w:noProof/>
              </w:rPr>
              <w:t>30</w:t>
            </w:r>
          </w:p>
        </w:tc>
        <w:tc>
          <w:tcPr>
            <w:tcW w:w="2274" w:type="dxa"/>
            <w:noWrap/>
          </w:tcPr>
          <w:p w14:paraId="50792E12" w14:textId="2CF31E3C" w:rsidR="00E730DF" w:rsidRPr="00470E6E" w:rsidRDefault="00E730DF" w:rsidP="00E730DF">
            <w:pPr>
              <w:rPr>
                <w:rFonts w:cs="Calibri"/>
                <w:noProof/>
                <w:color w:val="000000"/>
              </w:rPr>
            </w:pPr>
            <w:r>
              <w:rPr>
                <w:noProof/>
              </w:rPr>
              <w:t>203</w:t>
            </w:r>
          </w:p>
        </w:tc>
        <w:tc>
          <w:tcPr>
            <w:tcW w:w="1276" w:type="dxa"/>
            <w:noWrap/>
          </w:tcPr>
          <w:p w14:paraId="53E9412E" w14:textId="05DBABCF" w:rsidR="00E730DF" w:rsidRPr="00470E6E" w:rsidRDefault="00E730DF" w:rsidP="00E730DF">
            <w:pPr>
              <w:rPr>
                <w:rFonts w:cs="Calibri"/>
                <w:noProof/>
                <w:color w:val="000000"/>
              </w:rPr>
            </w:pPr>
            <w:r>
              <w:rPr>
                <w:noProof/>
              </w:rPr>
              <w:t>9</w:t>
            </w:r>
          </w:p>
        </w:tc>
      </w:tr>
      <w:tr w:rsidR="00F4248B" w:rsidRPr="00470E6E" w14:paraId="4013BF98" w14:textId="77777777" w:rsidTr="005562DD">
        <w:trPr>
          <w:trHeight w:val="300"/>
        </w:trPr>
        <w:tc>
          <w:tcPr>
            <w:tcW w:w="2391" w:type="dxa"/>
            <w:tcBorders>
              <w:bottom w:val="single" w:sz="4" w:space="0" w:color="FFFFFF" w:themeColor="background1"/>
              <w:right w:val="single" w:sz="4" w:space="0" w:color="FFFFFF" w:themeColor="background1"/>
            </w:tcBorders>
            <w:noWrap/>
            <w:hideMark/>
          </w:tcPr>
          <w:p w14:paraId="74F3A9C8" w14:textId="77777777" w:rsidR="00F4248B" w:rsidRPr="00470E6E" w:rsidRDefault="00F4248B" w:rsidP="00F4248B">
            <w:pPr>
              <w:rPr>
                <w:b/>
                <w:noProof/>
              </w:rPr>
            </w:pPr>
            <w:r>
              <w:rPr>
                <w:b/>
                <w:noProof/>
              </w:rPr>
              <w:t>Mer Méditerranée</w:t>
            </w:r>
          </w:p>
        </w:tc>
        <w:tc>
          <w:tcPr>
            <w:tcW w:w="2673" w:type="dxa"/>
            <w:tcBorders>
              <w:left w:val="single" w:sz="4" w:space="0" w:color="FFFFFF" w:themeColor="background1"/>
            </w:tcBorders>
            <w:noWrap/>
            <w:hideMark/>
          </w:tcPr>
          <w:p w14:paraId="42C54C40" w14:textId="77777777" w:rsidR="00F4248B" w:rsidRPr="00470E6E" w:rsidRDefault="00F4248B" w:rsidP="00F4248B">
            <w:pPr>
              <w:rPr>
                <w:b/>
                <w:noProof/>
                <w:lang w:val="en-IE"/>
              </w:rPr>
            </w:pPr>
          </w:p>
        </w:tc>
        <w:tc>
          <w:tcPr>
            <w:tcW w:w="1451" w:type="dxa"/>
            <w:noWrap/>
            <w:hideMark/>
          </w:tcPr>
          <w:p w14:paraId="260B10FD" w14:textId="575AC6AA" w:rsidR="00F4248B" w:rsidRPr="00470E6E" w:rsidRDefault="00F4248B" w:rsidP="00F4248B">
            <w:pPr>
              <w:rPr>
                <w:b/>
                <w:bCs/>
                <w:noProof/>
              </w:rPr>
            </w:pPr>
            <w:r>
              <w:rPr>
                <w:b/>
                <w:noProof/>
              </w:rPr>
              <w:t>269</w:t>
            </w:r>
          </w:p>
        </w:tc>
        <w:tc>
          <w:tcPr>
            <w:tcW w:w="2274" w:type="dxa"/>
            <w:noWrap/>
            <w:hideMark/>
          </w:tcPr>
          <w:p w14:paraId="1197764E" w14:textId="508456E0" w:rsidR="00F4248B" w:rsidRPr="00470E6E" w:rsidRDefault="00F4248B" w:rsidP="00F4248B">
            <w:pPr>
              <w:rPr>
                <w:b/>
                <w:bCs/>
                <w:noProof/>
              </w:rPr>
            </w:pPr>
            <w:r>
              <w:rPr>
                <w:b/>
                <w:noProof/>
              </w:rPr>
              <w:t>295</w:t>
            </w:r>
          </w:p>
        </w:tc>
        <w:tc>
          <w:tcPr>
            <w:tcW w:w="1276" w:type="dxa"/>
            <w:noWrap/>
            <w:hideMark/>
          </w:tcPr>
          <w:p w14:paraId="7AA2513E" w14:textId="0005B788" w:rsidR="00F4248B" w:rsidRPr="00470E6E" w:rsidRDefault="00F4248B" w:rsidP="00F4248B">
            <w:pPr>
              <w:rPr>
                <w:b/>
                <w:bCs/>
                <w:noProof/>
              </w:rPr>
            </w:pPr>
            <w:r>
              <w:rPr>
                <w:b/>
                <w:noProof/>
              </w:rPr>
              <w:t>249</w:t>
            </w:r>
          </w:p>
        </w:tc>
      </w:tr>
      <w:tr w:rsidR="00F4248B" w:rsidRPr="00470E6E" w14:paraId="1A2BE9A1" w14:textId="77777777" w:rsidTr="005562DD">
        <w:trPr>
          <w:trHeight w:val="300"/>
        </w:trPr>
        <w:tc>
          <w:tcPr>
            <w:tcW w:w="2391" w:type="dxa"/>
            <w:tcBorders>
              <w:top w:val="single" w:sz="4" w:space="0" w:color="FFFFFF" w:themeColor="background1"/>
              <w:bottom w:val="single" w:sz="4" w:space="0" w:color="FFFFFF" w:themeColor="background1"/>
            </w:tcBorders>
            <w:noWrap/>
          </w:tcPr>
          <w:p w14:paraId="50A9FEAA" w14:textId="77777777" w:rsidR="00F4248B" w:rsidRPr="00470E6E" w:rsidRDefault="00F4248B" w:rsidP="00F4248B">
            <w:pPr>
              <w:rPr>
                <w:b/>
                <w:noProof/>
                <w:lang w:val="en-IE"/>
              </w:rPr>
            </w:pPr>
          </w:p>
        </w:tc>
        <w:tc>
          <w:tcPr>
            <w:tcW w:w="2673" w:type="dxa"/>
            <w:noWrap/>
          </w:tcPr>
          <w:p w14:paraId="249B8E6F" w14:textId="77777777" w:rsidR="00F4248B" w:rsidRPr="00470E6E" w:rsidRDefault="00F4248B" w:rsidP="00F4248B">
            <w:pPr>
              <w:rPr>
                <w:noProof/>
              </w:rPr>
            </w:pPr>
            <w:r>
              <w:rPr>
                <w:noProof/>
              </w:rPr>
              <w:t>Croatie</w:t>
            </w:r>
          </w:p>
        </w:tc>
        <w:tc>
          <w:tcPr>
            <w:tcW w:w="1451" w:type="dxa"/>
            <w:noWrap/>
          </w:tcPr>
          <w:p w14:paraId="7EB40785" w14:textId="765E7BF3" w:rsidR="00F4248B" w:rsidRPr="00470E6E" w:rsidRDefault="00F4248B" w:rsidP="00F4248B">
            <w:pPr>
              <w:rPr>
                <w:noProof/>
              </w:rPr>
            </w:pPr>
            <w:r>
              <w:rPr>
                <w:noProof/>
              </w:rPr>
              <w:t>28</w:t>
            </w:r>
          </w:p>
        </w:tc>
        <w:tc>
          <w:tcPr>
            <w:tcW w:w="2274" w:type="dxa"/>
            <w:noWrap/>
          </w:tcPr>
          <w:p w14:paraId="5B91794B" w14:textId="21C6052D" w:rsidR="00F4248B" w:rsidRPr="00470E6E" w:rsidRDefault="00F4248B" w:rsidP="00F4248B">
            <w:pPr>
              <w:rPr>
                <w:noProof/>
              </w:rPr>
            </w:pPr>
            <w:r>
              <w:rPr>
                <w:noProof/>
              </w:rPr>
              <w:t>36</w:t>
            </w:r>
          </w:p>
        </w:tc>
        <w:tc>
          <w:tcPr>
            <w:tcW w:w="1276" w:type="dxa"/>
            <w:noWrap/>
          </w:tcPr>
          <w:p w14:paraId="76E71560" w14:textId="44C16657" w:rsidR="00F4248B" w:rsidRPr="00470E6E" w:rsidRDefault="00F4248B" w:rsidP="00F4248B">
            <w:pPr>
              <w:rPr>
                <w:noProof/>
              </w:rPr>
            </w:pPr>
            <w:r>
              <w:rPr>
                <w:noProof/>
              </w:rPr>
              <w:t>8</w:t>
            </w:r>
          </w:p>
        </w:tc>
      </w:tr>
      <w:tr w:rsidR="00F4248B" w:rsidRPr="00470E6E" w14:paraId="65033D7D" w14:textId="77777777" w:rsidTr="005562DD">
        <w:trPr>
          <w:trHeight w:val="300"/>
        </w:trPr>
        <w:tc>
          <w:tcPr>
            <w:tcW w:w="2391" w:type="dxa"/>
            <w:tcBorders>
              <w:top w:val="single" w:sz="4" w:space="0" w:color="FFFFFF" w:themeColor="background1"/>
              <w:bottom w:val="single" w:sz="4" w:space="0" w:color="FFFFFF" w:themeColor="background1"/>
            </w:tcBorders>
            <w:noWrap/>
          </w:tcPr>
          <w:p w14:paraId="21AE92BE" w14:textId="77777777" w:rsidR="00F4248B" w:rsidRPr="00470E6E" w:rsidRDefault="00F4248B" w:rsidP="00F4248B">
            <w:pPr>
              <w:rPr>
                <w:b/>
                <w:noProof/>
                <w:lang w:val="en-IE"/>
              </w:rPr>
            </w:pPr>
          </w:p>
        </w:tc>
        <w:tc>
          <w:tcPr>
            <w:tcW w:w="2673" w:type="dxa"/>
            <w:noWrap/>
          </w:tcPr>
          <w:p w14:paraId="414040EA" w14:textId="77777777" w:rsidR="00F4248B" w:rsidRPr="00470E6E" w:rsidRDefault="00F4248B" w:rsidP="00F4248B">
            <w:pPr>
              <w:rPr>
                <w:noProof/>
              </w:rPr>
            </w:pPr>
            <w:r>
              <w:rPr>
                <w:noProof/>
              </w:rPr>
              <w:t>Chypre</w:t>
            </w:r>
          </w:p>
        </w:tc>
        <w:tc>
          <w:tcPr>
            <w:tcW w:w="1451" w:type="dxa"/>
            <w:noWrap/>
          </w:tcPr>
          <w:p w14:paraId="59072C32" w14:textId="4A7FED06" w:rsidR="00F4248B" w:rsidRPr="00470E6E" w:rsidRDefault="00F4248B" w:rsidP="00F4248B">
            <w:pPr>
              <w:rPr>
                <w:rFonts w:cs="Calibri"/>
                <w:noProof/>
                <w:color w:val="000000"/>
              </w:rPr>
            </w:pPr>
            <w:r>
              <w:rPr>
                <w:noProof/>
              </w:rPr>
              <w:t>2</w:t>
            </w:r>
          </w:p>
        </w:tc>
        <w:tc>
          <w:tcPr>
            <w:tcW w:w="2274" w:type="dxa"/>
            <w:noWrap/>
          </w:tcPr>
          <w:p w14:paraId="0337562E" w14:textId="28B4DBB8" w:rsidR="00F4248B" w:rsidRPr="00470E6E" w:rsidRDefault="00F4248B" w:rsidP="00F4248B">
            <w:pPr>
              <w:rPr>
                <w:rFonts w:cs="Calibri"/>
                <w:noProof/>
                <w:color w:val="000000"/>
              </w:rPr>
            </w:pPr>
            <w:r>
              <w:rPr>
                <w:noProof/>
              </w:rPr>
              <w:t>6</w:t>
            </w:r>
          </w:p>
        </w:tc>
        <w:tc>
          <w:tcPr>
            <w:tcW w:w="1276" w:type="dxa"/>
            <w:noWrap/>
          </w:tcPr>
          <w:p w14:paraId="7CF1D848" w14:textId="3D5DE1D5" w:rsidR="00F4248B" w:rsidRPr="00470E6E" w:rsidRDefault="00F4248B" w:rsidP="00F4248B">
            <w:pPr>
              <w:rPr>
                <w:rFonts w:cs="Calibri"/>
                <w:noProof/>
                <w:color w:val="000000"/>
              </w:rPr>
            </w:pPr>
            <w:r>
              <w:rPr>
                <w:noProof/>
              </w:rPr>
              <w:t>2</w:t>
            </w:r>
          </w:p>
        </w:tc>
      </w:tr>
      <w:tr w:rsidR="00F4248B" w:rsidRPr="00470E6E" w14:paraId="539EF860" w14:textId="77777777" w:rsidTr="005562DD">
        <w:trPr>
          <w:trHeight w:val="300"/>
        </w:trPr>
        <w:tc>
          <w:tcPr>
            <w:tcW w:w="2391" w:type="dxa"/>
            <w:tcBorders>
              <w:top w:val="single" w:sz="4" w:space="0" w:color="FFFFFF" w:themeColor="background1"/>
              <w:bottom w:val="single" w:sz="4" w:space="0" w:color="FFFFFF" w:themeColor="background1"/>
            </w:tcBorders>
            <w:noWrap/>
          </w:tcPr>
          <w:p w14:paraId="485AD494" w14:textId="77777777" w:rsidR="00F4248B" w:rsidRPr="00470E6E" w:rsidRDefault="00F4248B" w:rsidP="00F4248B">
            <w:pPr>
              <w:rPr>
                <w:b/>
                <w:noProof/>
                <w:lang w:val="en-IE"/>
              </w:rPr>
            </w:pPr>
          </w:p>
        </w:tc>
        <w:tc>
          <w:tcPr>
            <w:tcW w:w="2673" w:type="dxa"/>
            <w:noWrap/>
          </w:tcPr>
          <w:p w14:paraId="5F9A0862" w14:textId="77777777" w:rsidR="00F4248B" w:rsidRPr="00470E6E" w:rsidRDefault="00F4248B" w:rsidP="00F4248B">
            <w:pPr>
              <w:rPr>
                <w:noProof/>
              </w:rPr>
            </w:pPr>
            <w:r>
              <w:rPr>
                <w:noProof/>
              </w:rPr>
              <w:t>Grèce</w:t>
            </w:r>
          </w:p>
        </w:tc>
        <w:tc>
          <w:tcPr>
            <w:tcW w:w="1451" w:type="dxa"/>
            <w:noWrap/>
          </w:tcPr>
          <w:p w14:paraId="3340708B" w14:textId="55AD86DD" w:rsidR="00F4248B" w:rsidRPr="00470E6E" w:rsidRDefault="00F4248B" w:rsidP="00F4248B">
            <w:pPr>
              <w:rPr>
                <w:noProof/>
              </w:rPr>
            </w:pPr>
            <w:r>
              <w:rPr>
                <w:noProof/>
              </w:rPr>
              <w:t>1</w:t>
            </w:r>
          </w:p>
        </w:tc>
        <w:tc>
          <w:tcPr>
            <w:tcW w:w="2274" w:type="dxa"/>
            <w:noWrap/>
          </w:tcPr>
          <w:p w14:paraId="4A2A4F46" w14:textId="7D1BA7FE" w:rsidR="00F4248B" w:rsidRPr="00470E6E" w:rsidRDefault="00F4248B" w:rsidP="00F4248B">
            <w:pPr>
              <w:rPr>
                <w:noProof/>
              </w:rPr>
            </w:pPr>
            <w:r>
              <w:rPr>
                <w:noProof/>
              </w:rPr>
              <w:t>12</w:t>
            </w:r>
          </w:p>
        </w:tc>
        <w:tc>
          <w:tcPr>
            <w:tcW w:w="1276" w:type="dxa"/>
            <w:noWrap/>
          </w:tcPr>
          <w:p w14:paraId="543014E8" w14:textId="2908C811" w:rsidR="00F4248B" w:rsidRPr="00470E6E" w:rsidRDefault="00F4248B" w:rsidP="00F4248B">
            <w:pPr>
              <w:rPr>
                <w:noProof/>
              </w:rPr>
            </w:pPr>
            <w:r>
              <w:rPr>
                <w:noProof/>
              </w:rPr>
              <w:t>1</w:t>
            </w:r>
          </w:p>
        </w:tc>
      </w:tr>
      <w:tr w:rsidR="00F4248B" w:rsidRPr="00470E6E" w14:paraId="673E3B25" w14:textId="77777777" w:rsidTr="005562DD">
        <w:trPr>
          <w:trHeight w:val="300"/>
        </w:trPr>
        <w:tc>
          <w:tcPr>
            <w:tcW w:w="2391" w:type="dxa"/>
            <w:tcBorders>
              <w:top w:val="single" w:sz="4" w:space="0" w:color="FFFFFF" w:themeColor="background1"/>
              <w:bottom w:val="single" w:sz="4" w:space="0" w:color="FFFFFF" w:themeColor="background1"/>
            </w:tcBorders>
            <w:noWrap/>
          </w:tcPr>
          <w:p w14:paraId="14AB4A87" w14:textId="77777777" w:rsidR="00F4248B" w:rsidRPr="00470E6E" w:rsidRDefault="00F4248B" w:rsidP="00F4248B">
            <w:pPr>
              <w:rPr>
                <w:b/>
                <w:noProof/>
                <w:lang w:val="en-IE"/>
              </w:rPr>
            </w:pPr>
          </w:p>
        </w:tc>
        <w:tc>
          <w:tcPr>
            <w:tcW w:w="2673" w:type="dxa"/>
            <w:noWrap/>
          </w:tcPr>
          <w:p w14:paraId="0A56D3BF" w14:textId="77777777" w:rsidR="00F4248B" w:rsidRPr="00470E6E" w:rsidRDefault="00F4248B" w:rsidP="00F4248B">
            <w:pPr>
              <w:rPr>
                <w:noProof/>
              </w:rPr>
            </w:pPr>
            <w:r>
              <w:rPr>
                <w:noProof/>
              </w:rPr>
              <w:t>Italie</w:t>
            </w:r>
          </w:p>
        </w:tc>
        <w:tc>
          <w:tcPr>
            <w:tcW w:w="1451" w:type="dxa"/>
            <w:noWrap/>
          </w:tcPr>
          <w:p w14:paraId="4005EA6D" w14:textId="50EFF357" w:rsidR="00F4248B" w:rsidRPr="00470E6E" w:rsidRDefault="00F4248B" w:rsidP="00F4248B">
            <w:pPr>
              <w:rPr>
                <w:noProof/>
              </w:rPr>
            </w:pPr>
            <w:r>
              <w:rPr>
                <w:noProof/>
              </w:rPr>
              <w:t>238</w:t>
            </w:r>
          </w:p>
        </w:tc>
        <w:tc>
          <w:tcPr>
            <w:tcW w:w="2274" w:type="dxa"/>
            <w:noWrap/>
          </w:tcPr>
          <w:p w14:paraId="3DFF3F99" w14:textId="20572F2B" w:rsidR="00F4248B" w:rsidRPr="00470E6E" w:rsidRDefault="00F4248B" w:rsidP="00F4248B">
            <w:pPr>
              <w:rPr>
                <w:noProof/>
              </w:rPr>
            </w:pPr>
            <w:r>
              <w:rPr>
                <w:noProof/>
              </w:rPr>
              <w:t>241</w:t>
            </w:r>
          </w:p>
        </w:tc>
        <w:tc>
          <w:tcPr>
            <w:tcW w:w="1276" w:type="dxa"/>
            <w:noWrap/>
          </w:tcPr>
          <w:p w14:paraId="0437AEEC" w14:textId="4BB940F0" w:rsidR="00F4248B" w:rsidRPr="00470E6E" w:rsidRDefault="00F4248B" w:rsidP="00F4248B">
            <w:pPr>
              <w:rPr>
                <w:noProof/>
              </w:rPr>
            </w:pPr>
            <w:r>
              <w:rPr>
                <w:noProof/>
              </w:rPr>
              <w:t>238</w:t>
            </w:r>
          </w:p>
        </w:tc>
      </w:tr>
      <w:tr w:rsidR="00F4248B" w:rsidRPr="00470E6E" w14:paraId="02687160" w14:textId="77777777" w:rsidTr="005562DD">
        <w:trPr>
          <w:trHeight w:val="300"/>
        </w:trPr>
        <w:tc>
          <w:tcPr>
            <w:tcW w:w="2391" w:type="dxa"/>
            <w:tcBorders>
              <w:top w:val="single" w:sz="4" w:space="0" w:color="FFFFFF" w:themeColor="background1"/>
            </w:tcBorders>
            <w:noWrap/>
          </w:tcPr>
          <w:p w14:paraId="596FE91C" w14:textId="77777777" w:rsidR="00F4248B" w:rsidRPr="00470E6E" w:rsidRDefault="00F4248B" w:rsidP="00F4248B">
            <w:pPr>
              <w:rPr>
                <w:b/>
                <w:noProof/>
                <w:lang w:val="en-IE"/>
              </w:rPr>
            </w:pPr>
          </w:p>
        </w:tc>
        <w:tc>
          <w:tcPr>
            <w:tcW w:w="2673" w:type="dxa"/>
            <w:noWrap/>
          </w:tcPr>
          <w:p w14:paraId="354EBBE0" w14:textId="77777777" w:rsidR="00F4248B" w:rsidRPr="00470E6E" w:rsidRDefault="00F4248B" w:rsidP="00F4248B">
            <w:pPr>
              <w:rPr>
                <w:noProof/>
              </w:rPr>
            </w:pPr>
            <w:r>
              <w:rPr>
                <w:noProof/>
              </w:rPr>
              <w:t>Espagne</w:t>
            </w:r>
          </w:p>
        </w:tc>
        <w:tc>
          <w:tcPr>
            <w:tcW w:w="1451" w:type="dxa"/>
            <w:noWrap/>
          </w:tcPr>
          <w:p w14:paraId="5F6BB960" w14:textId="34C7DC9A" w:rsidR="00F4248B" w:rsidRPr="00470E6E" w:rsidRDefault="00F4248B" w:rsidP="00F4248B">
            <w:pPr>
              <w:rPr>
                <w:noProof/>
              </w:rPr>
            </w:pPr>
            <w:r>
              <w:rPr>
                <w:noProof/>
              </w:rPr>
              <w:t>0</w:t>
            </w:r>
          </w:p>
        </w:tc>
        <w:tc>
          <w:tcPr>
            <w:tcW w:w="2274" w:type="dxa"/>
            <w:noWrap/>
          </w:tcPr>
          <w:p w14:paraId="79C503A6" w14:textId="6DE06FA6" w:rsidR="00F4248B" w:rsidRPr="00470E6E" w:rsidRDefault="00F4248B" w:rsidP="00F4248B">
            <w:pPr>
              <w:rPr>
                <w:noProof/>
              </w:rPr>
            </w:pPr>
            <w:r>
              <w:rPr>
                <w:noProof/>
              </w:rPr>
              <w:t>0</w:t>
            </w:r>
          </w:p>
        </w:tc>
        <w:tc>
          <w:tcPr>
            <w:tcW w:w="1276" w:type="dxa"/>
            <w:noWrap/>
          </w:tcPr>
          <w:p w14:paraId="61A49802" w14:textId="5B0E44DB" w:rsidR="00F4248B" w:rsidRPr="00470E6E" w:rsidRDefault="00F4248B" w:rsidP="00F4248B">
            <w:pPr>
              <w:rPr>
                <w:noProof/>
              </w:rPr>
            </w:pPr>
            <w:r>
              <w:rPr>
                <w:noProof/>
              </w:rPr>
              <w:t>0</w:t>
            </w:r>
          </w:p>
        </w:tc>
      </w:tr>
      <w:tr w:rsidR="000B2805" w:rsidRPr="00470E6E" w14:paraId="0757F9A1" w14:textId="77777777" w:rsidTr="005562DD">
        <w:trPr>
          <w:trHeight w:val="300"/>
        </w:trPr>
        <w:tc>
          <w:tcPr>
            <w:tcW w:w="2391" w:type="dxa"/>
            <w:tcBorders>
              <w:bottom w:val="single" w:sz="4" w:space="0" w:color="FFFFFF" w:themeColor="background1"/>
              <w:right w:val="single" w:sz="4" w:space="0" w:color="FFFFFF" w:themeColor="background1"/>
            </w:tcBorders>
            <w:noWrap/>
            <w:hideMark/>
          </w:tcPr>
          <w:p w14:paraId="7BD231E2" w14:textId="77777777" w:rsidR="000B2805" w:rsidRPr="00470E6E" w:rsidRDefault="000B2805" w:rsidP="000B2805">
            <w:pPr>
              <w:rPr>
                <w:b/>
                <w:noProof/>
              </w:rPr>
            </w:pPr>
            <w:r>
              <w:rPr>
                <w:b/>
                <w:noProof/>
              </w:rPr>
              <w:t>Mer du Nord et Atlantique</w:t>
            </w:r>
          </w:p>
        </w:tc>
        <w:tc>
          <w:tcPr>
            <w:tcW w:w="2673" w:type="dxa"/>
            <w:tcBorders>
              <w:left w:val="single" w:sz="4" w:space="0" w:color="FFFFFF" w:themeColor="background1"/>
            </w:tcBorders>
            <w:noWrap/>
            <w:hideMark/>
          </w:tcPr>
          <w:p w14:paraId="49D0AC48" w14:textId="77777777" w:rsidR="000B2805" w:rsidRPr="003D2CCD" w:rsidRDefault="000B2805" w:rsidP="000B2805">
            <w:pPr>
              <w:rPr>
                <w:b/>
                <w:noProof/>
                <w:lang w:val="fr-BE"/>
              </w:rPr>
            </w:pPr>
          </w:p>
        </w:tc>
        <w:tc>
          <w:tcPr>
            <w:tcW w:w="1451" w:type="dxa"/>
            <w:noWrap/>
            <w:hideMark/>
          </w:tcPr>
          <w:p w14:paraId="656E1667" w14:textId="4D747D25" w:rsidR="000B2805" w:rsidRPr="00470E6E" w:rsidRDefault="000B2805" w:rsidP="000B2805">
            <w:pPr>
              <w:rPr>
                <w:b/>
                <w:bCs/>
                <w:noProof/>
              </w:rPr>
            </w:pPr>
            <w:r>
              <w:rPr>
                <w:noProof/>
              </w:rPr>
              <w:t>135</w:t>
            </w:r>
          </w:p>
        </w:tc>
        <w:tc>
          <w:tcPr>
            <w:tcW w:w="2274" w:type="dxa"/>
            <w:noWrap/>
            <w:hideMark/>
          </w:tcPr>
          <w:p w14:paraId="4B5E5BDD" w14:textId="08F1CA63" w:rsidR="000B2805" w:rsidRPr="00470E6E" w:rsidRDefault="000B2805" w:rsidP="000B2805">
            <w:pPr>
              <w:rPr>
                <w:b/>
                <w:bCs/>
                <w:noProof/>
              </w:rPr>
            </w:pPr>
            <w:r>
              <w:rPr>
                <w:noProof/>
              </w:rPr>
              <w:t>219</w:t>
            </w:r>
          </w:p>
        </w:tc>
        <w:tc>
          <w:tcPr>
            <w:tcW w:w="1276" w:type="dxa"/>
            <w:noWrap/>
            <w:hideMark/>
          </w:tcPr>
          <w:p w14:paraId="7DF6FD15" w14:textId="3EEDF88E" w:rsidR="000B2805" w:rsidRPr="00422C1B" w:rsidRDefault="000B2805" w:rsidP="000B2805">
            <w:pPr>
              <w:rPr>
                <w:b/>
                <w:bCs/>
                <w:noProof/>
              </w:rPr>
            </w:pPr>
            <w:r>
              <w:rPr>
                <w:b/>
                <w:noProof/>
              </w:rPr>
              <w:t>129</w:t>
            </w:r>
          </w:p>
        </w:tc>
      </w:tr>
      <w:tr w:rsidR="000B2805" w:rsidRPr="00470E6E" w14:paraId="3E78893A" w14:textId="77777777" w:rsidTr="005562DD">
        <w:trPr>
          <w:trHeight w:val="300"/>
        </w:trPr>
        <w:tc>
          <w:tcPr>
            <w:tcW w:w="2391" w:type="dxa"/>
            <w:tcBorders>
              <w:top w:val="single" w:sz="4" w:space="0" w:color="FFFFFF" w:themeColor="background1"/>
              <w:bottom w:val="single" w:sz="4" w:space="0" w:color="FFFFFF" w:themeColor="background1"/>
            </w:tcBorders>
            <w:noWrap/>
          </w:tcPr>
          <w:p w14:paraId="551057A6" w14:textId="77777777" w:rsidR="000B2805" w:rsidRPr="00470E6E" w:rsidRDefault="000B2805" w:rsidP="000B2805">
            <w:pPr>
              <w:rPr>
                <w:b/>
                <w:noProof/>
                <w:highlight w:val="yellow"/>
                <w:lang w:val="en-IE"/>
              </w:rPr>
            </w:pPr>
          </w:p>
        </w:tc>
        <w:tc>
          <w:tcPr>
            <w:tcW w:w="2673" w:type="dxa"/>
            <w:noWrap/>
          </w:tcPr>
          <w:p w14:paraId="6EFF640D" w14:textId="77777777" w:rsidR="000B2805" w:rsidRPr="00470E6E" w:rsidRDefault="000B2805" w:rsidP="000B2805">
            <w:pPr>
              <w:rPr>
                <w:noProof/>
              </w:rPr>
            </w:pPr>
            <w:r>
              <w:rPr>
                <w:noProof/>
              </w:rPr>
              <w:t>Danemark</w:t>
            </w:r>
          </w:p>
        </w:tc>
        <w:tc>
          <w:tcPr>
            <w:tcW w:w="1451" w:type="dxa"/>
            <w:noWrap/>
          </w:tcPr>
          <w:p w14:paraId="56AE4460" w14:textId="4A652917" w:rsidR="000B2805" w:rsidRPr="00470E6E" w:rsidRDefault="000B2805" w:rsidP="000B2805">
            <w:pPr>
              <w:rPr>
                <w:noProof/>
              </w:rPr>
            </w:pPr>
            <w:r>
              <w:rPr>
                <w:noProof/>
              </w:rPr>
              <w:t>20</w:t>
            </w:r>
          </w:p>
        </w:tc>
        <w:tc>
          <w:tcPr>
            <w:tcW w:w="2274" w:type="dxa"/>
            <w:noWrap/>
          </w:tcPr>
          <w:p w14:paraId="7682083D" w14:textId="25E63877" w:rsidR="000B2805" w:rsidRPr="00470E6E" w:rsidRDefault="000B2805" w:rsidP="000B2805">
            <w:pPr>
              <w:rPr>
                <w:noProof/>
              </w:rPr>
            </w:pPr>
            <w:r>
              <w:rPr>
                <w:noProof/>
              </w:rPr>
              <w:t>123</w:t>
            </w:r>
          </w:p>
        </w:tc>
        <w:tc>
          <w:tcPr>
            <w:tcW w:w="1276" w:type="dxa"/>
            <w:noWrap/>
          </w:tcPr>
          <w:p w14:paraId="7583058B" w14:textId="0C10F04B" w:rsidR="000B2805" w:rsidRPr="00470E6E" w:rsidRDefault="000B2805" w:rsidP="000B2805">
            <w:pPr>
              <w:rPr>
                <w:noProof/>
              </w:rPr>
            </w:pPr>
            <w:r>
              <w:rPr>
                <w:noProof/>
              </w:rPr>
              <w:t>16</w:t>
            </w:r>
          </w:p>
        </w:tc>
      </w:tr>
      <w:tr w:rsidR="000B2805" w:rsidRPr="00470E6E" w14:paraId="1BD4AEF1" w14:textId="77777777" w:rsidTr="005562DD">
        <w:trPr>
          <w:trHeight w:val="300"/>
        </w:trPr>
        <w:tc>
          <w:tcPr>
            <w:tcW w:w="2391" w:type="dxa"/>
            <w:tcBorders>
              <w:top w:val="single" w:sz="4" w:space="0" w:color="FFFFFF" w:themeColor="background1"/>
              <w:bottom w:val="single" w:sz="4" w:space="0" w:color="FFFFFF" w:themeColor="background1"/>
            </w:tcBorders>
            <w:noWrap/>
          </w:tcPr>
          <w:p w14:paraId="313546EB" w14:textId="77777777" w:rsidR="000B2805" w:rsidRPr="00470E6E" w:rsidRDefault="000B2805" w:rsidP="000B2805">
            <w:pPr>
              <w:rPr>
                <w:b/>
                <w:noProof/>
                <w:highlight w:val="yellow"/>
                <w:lang w:val="en-IE"/>
              </w:rPr>
            </w:pPr>
          </w:p>
        </w:tc>
        <w:tc>
          <w:tcPr>
            <w:tcW w:w="2673" w:type="dxa"/>
            <w:noWrap/>
          </w:tcPr>
          <w:p w14:paraId="63EE7ED5" w14:textId="77777777" w:rsidR="000B2805" w:rsidRPr="00470E6E" w:rsidRDefault="000B2805" w:rsidP="000B2805">
            <w:pPr>
              <w:rPr>
                <w:noProof/>
              </w:rPr>
            </w:pPr>
            <w:r>
              <w:rPr>
                <w:noProof/>
              </w:rPr>
              <w:t>Allemagne</w:t>
            </w:r>
          </w:p>
        </w:tc>
        <w:tc>
          <w:tcPr>
            <w:tcW w:w="1451" w:type="dxa"/>
            <w:noWrap/>
          </w:tcPr>
          <w:p w14:paraId="4F84ACEF" w14:textId="00DF3688" w:rsidR="000B2805" w:rsidRPr="00470E6E" w:rsidRDefault="000B2805" w:rsidP="000B2805">
            <w:pPr>
              <w:rPr>
                <w:noProof/>
              </w:rPr>
            </w:pPr>
            <w:r>
              <w:rPr>
                <w:noProof/>
              </w:rPr>
              <w:t>3</w:t>
            </w:r>
          </w:p>
        </w:tc>
        <w:tc>
          <w:tcPr>
            <w:tcW w:w="2274" w:type="dxa"/>
            <w:noWrap/>
          </w:tcPr>
          <w:p w14:paraId="2FEB3AD2" w14:textId="0E3BA540" w:rsidR="000B2805" w:rsidRPr="00470E6E" w:rsidRDefault="000B2805" w:rsidP="000B2805">
            <w:pPr>
              <w:rPr>
                <w:noProof/>
              </w:rPr>
            </w:pPr>
            <w:r>
              <w:rPr>
                <w:noProof/>
              </w:rPr>
              <w:t>6</w:t>
            </w:r>
          </w:p>
        </w:tc>
        <w:tc>
          <w:tcPr>
            <w:tcW w:w="1276" w:type="dxa"/>
            <w:noWrap/>
          </w:tcPr>
          <w:p w14:paraId="6E3C56A3" w14:textId="213F3150" w:rsidR="000B2805" w:rsidRPr="00470E6E" w:rsidRDefault="000B2805" w:rsidP="000B2805">
            <w:pPr>
              <w:rPr>
                <w:noProof/>
              </w:rPr>
            </w:pPr>
            <w:r>
              <w:rPr>
                <w:noProof/>
              </w:rPr>
              <w:t>1</w:t>
            </w:r>
          </w:p>
        </w:tc>
      </w:tr>
      <w:tr w:rsidR="000B2805" w:rsidRPr="00470E6E" w14:paraId="1957ECA9" w14:textId="77777777" w:rsidTr="005562DD">
        <w:trPr>
          <w:trHeight w:val="300"/>
        </w:trPr>
        <w:tc>
          <w:tcPr>
            <w:tcW w:w="2391" w:type="dxa"/>
            <w:tcBorders>
              <w:top w:val="single" w:sz="4" w:space="0" w:color="FFFFFF" w:themeColor="background1"/>
              <w:bottom w:val="single" w:sz="4" w:space="0" w:color="FFFFFF" w:themeColor="background1"/>
            </w:tcBorders>
            <w:noWrap/>
          </w:tcPr>
          <w:p w14:paraId="4948139D" w14:textId="77777777" w:rsidR="000B2805" w:rsidRPr="00470E6E" w:rsidRDefault="000B2805" w:rsidP="000B2805">
            <w:pPr>
              <w:rPr>
                <w:b/>
                <w:noProof/>
                <w:highlight w:val="yellow"/>
                <w:lang w:val="en-IE"/>
              </w:rPr>
            </w:pPr>
          </w:p>
        </w:tc>
        <w:tc>
          <w:tcPr>
            <w:tcW w:w="2673" w:type="dxa"/>
            <w:noWrap/>
          </w:tcPr>
          <w:p w14:paraId="6D25537C" w14:textId="77777777" w:rsidR="000B2805" w:rsidRPr="00470E6E" w:rsidRDefault="000B2805" w:rsidP="000B2805">
            <w:pPr>
              <w:rPr>
                <w:noProof/>
              </w:rPr>
            </w:pPr>
            <w:r>
              <w:rPr>
                <w:noProof/>
              </w:rPr>
              <w:t>Irlande</w:t>
            </w:r>
          </w:p>
        </w:tc>
        <w:tc>
          <w:tcPr>
            <w:tcW w:w="1451" w:type="dxa"/>
            <w:noWrap/>
          </w:tcPr>
          <w:p w14:paraId="4C00BA00" w14:textId="10539DB9" w:rsidR="000B2805" w:rsidRPr="00470E6E" w:rsidRDefault="000B2805" w:rsidP="000B2805">
            <w:pPr>
              <w:rPr>
                <w:noProof/>
              </w:rPr>
            </w:pPr>
            <w:r>
              <w:rPr>
                <w:noProof/>
              </w:rPr>
              <w:t>0</w:t>
            </w:r>
          </w:p>
        </w:tc>
        <w:tc>
          <w:tcPr>
            <w:tcW w:w="2274" w:type="dxa"/>
            <w:noWrap/>
          </w:tcPr>
          <w:p w14:paraId="52EC78E0" w14:textId="72D68142" w:rsidR="000B2805" w:rsidRPr="00470E6E" w:rsidRDefault="000B2805" w:rsidP="000B2805">
            <w:pPr>
              <w:rPr>
                <w:noProof/>
              </w:rPr>
            </w:pPr>
            <w:r>
              <w:rPr>
                <w:noProof/>
              </w:rPr>
              <w:t>0</w:t>
            </w:r>
          </w:p>
        </w:tc>
        <w:tc>
          <w:tcPr>
            <w:tcW w:w="1276" w:type="dxa"/>
            <w:noWrap/>
          </w:tcPr>
          <w:p w14:paraId="54E61246" w14:textId="2A29A844" w:rsidR="000B2805" w:rsidRPr="00470E6E" w:rsidRDefault="000B2805" w:rsidP="000B2805">
            <w:pPr>
              <w:rPr>
                <w:noProof/>
              </w:rPr>
            </w:pPr>
            <w:r>
              <w:rPr>
                <w:noProof/>
              </w:rPr>
              <w:t>0</w:t>
            </w:r>
          </w:p>
        </w:tc>
      </w:tr>
      <w:tr w:rsidR="000B2805" w:rsidRPr="00470E6E" w14:paraId="290DA7C3" w14:textId="77777777" w:rsidTr="005562DD">
        <w:trPr>
          <w:trHeight w:val="300"/>
        </w:trPr>
        <w:tc>
          <w:tcPr>
            <w:tcW w:w="2391" w:type="dxa"/>
            <w:tcBorders>
              <w:top w:val="single" w:sz="4" w:space="0" w:color="FFFFFF" w:themeColor="background1"/>
              <w:bottom w:val="single" w:sz="4" w:space="0" w:color="FFFFFF" w:themeColor="background1"/>
            </w:tcBorders>
            <w:noWrap/>
          </w:tcPr>
          <w:p w14:paraId="5D1ED214" w14:textId="77777777" w:rsidR="000B2805" w:rsidRPr="00470E6E" w:rsidRDefault="000B2805" w:rsidP="000B2805">
            <w:pPr>
              <w:rPr>
                <w:b/>
                <w:noProof/>
                <w:highlight w:val="yellow"/>
                <w:lang w:val="en-IE"/>
              </w:rPr>
            </w:pPr>
          </w:p>
        </w:tc>
        <w:tc>
          <w:tcPr>
            <w:tcW w:w="2673" w:type="dxa"/>
            <w:noWrap/>
          </w:tcPr>
          <w:p w14:paraId="026E3C6F" w14:textId="77777777" w:rsidR="000B2805" w:rsidRPr="00470E6E" w:rsidRDefault="000B2805" w:rsidP="000B2805">
            <w:pPr>
              <w:rPr>
                <w:noProof/>
              </w:rPr>
            </w:pPr>
            <w:r>
              <w:rPr>
                <w:noProof/>
              </w:rPr>
              <w:t>Pays-Bas</w:t>
            </w:r>
          </w:p>
        </w:tc>
        <w:tc>
          <w:tcPr>
            <w:tcW w:w="1451" w:type="dxa"/>
            <w:noWrap/>
          </w:tcPr>
          <w:p w14:paraId="5A1128C4" w14:textId="1B290E80" w:rsidR="000B2805" w:rsidRPr="00470E6E" w:rsidRDefault="000B2805" w:rsidP="000B2805">
            <w:pPr>
              <w:rPr>
                <w:noProof/>
              </w:rPr>
            </w:pPr>
            <w:r>
              <w:rPr>
                <w:noProof/>
              </w:rPr>
              <w:t>112</w:t>
            </w:r>
          </w:p>
        </w:tc>
        <w:tc>
          <w:tcPr>
            <w:tcW w:w="2274" w:type="dxa"/>
            <w:noWrap/>
          </w:tcPr>
          <w:p w14:paraId="5F55DB1E" w14:textId="111DF728" w:rsidR="000B2805" w:rsidRPr="00470E6E" w:rsidRDefault="000B2805" w:rsidP="000B2805">
            <w:pPr>
              <w:rPr>
                <w:noProof/>
              </w:rPr>
            </w:pPr>
            <w:r>
              <w:rPr>
                <w:noProof/>
              </w:rPr>
              <w:t>90</w:t>
            </w:r>
          </w:p>
        </w:tc>
        <w:tc>
          <w:tcPr>
            <w:tcW w:w="1276" w:type="dxa"/>
            <w:noWrap/>
          </w:tcPr>
          <w:p w14:paraId="7BC3FEAA" w14:textId="459F64EA" w:rsidR="000B2805" w:rsidRPr="00470E6E" w:rsidRDefault="000B2805" w:rsidP="000B2805">
            <w:pPr>
              <w:rPr>
                <w:noProof/>
              </w:rPr>
            </w:pPr>
            <w:r>
              <w:rPr>
                <w:noProof/>
              </w:rPr>
              <w:t>112</w:t>
            </w:r>
          </w:p>
        </w:tc>
      </w:tr>
      <w:tr w:rsidR="00036698" w:rsidRPr="00470E6E" w14:paraId="51C23561" w14:textId="77777777" w:rsidTr="00370D52">
        <w:trPr>
          <w:trHeight w:val="300"/>
        </w:trPr>
        <w:tc>
          <w:tcPr>
            <w:tcW w:w="2391" w:type="dxa"/>
            <w:tcBorders>
              <w:right w:val="single" w:sz="4" w:space="0" w:color="FFFFFF" w:themeColor="background1"/>
            </w:tcBorders>
            <w:noWrap/>
          </w:tcPr>
          <w:p w14:paraId="0BE99BD1" w14:textId="77777777" w:rsidR="00036698" w:rsidRPr="00470E6E" w:rsidRDefault="00036698" w:rsidP="00370D52">
            <w:pPr>
              <w:rPr>
                <w:b/>
                <w:noProof/>
              </w:rPr>
            </w:pPr>
            <w:r>
              <w:rPr>
                <w:b/>
                <w:noProof/>
              </w:rPr>
              <w:t>Total</w:t>
            </w:r>
          </w:p>
        </w:tc>
        <w:tc>
          <w:tcPr>
            <w:tcW w:w="2673" w:type="dxa"/>
            <w:tcBorders>
              <w:left w:val="single" w:sz="4" w:space="0" w:color="FFFFFF" w:themeColor="background1"/>
            </w:tcBorders>
            <w:noWrap/>
          </w:tcPr>
          <w:p w14:paraId="1C0B4857" w14:textId="77777777" w:rsidR="00036698" w:rsidRPr="00470E6E" w:rsidRDefault="00036698" w:rsidP="00370D52">
            <w:pPr>
              <w:rPr>
                <w:b/>
                <w:noProof/>
                <w:lang w:val="en-IE"/>
              </w:rPr>
            </w:pPr>
          </w:p>
        </w:tc>
        <w:tc>
          <w:tcPr>
            <w:tcW w:w="1451" w:type="dxa"/>
            <w:noWrap/>
            <w:vAlign w:val="bottom"/>
          </w:tcPr>
          <w:p w14:paraId="77E2F9E8" w14:textId="0EEF455E" w:rsidR="00036698" w:rsidRPr="00470E6E" w:rsidRDefault="000B2805" w:rsidP="00370D52">
            <w:pPr>
              <w:rPr>
                <w:b/>
                <w:bCs/>
                <w:noProof/>
              </w:rPr>
            </w:pPr>
            <w:r>
              <w:rPr>
                <w:b/>
                <w:noProof/>
              </w:rPr>
              <w:t>435</w:t>
            </w:r>
          </w:p>
        </w:tc>
        <w:tc>
          <w:tcPr>
            <w:tcW w:w="2274" w:type="dxa"/>
            <w:noWrap/>
            <w:vAlign w:val="bottom"/>
          </w:tcPr>
          <w:p w14:paraId="599A4459" w14:textId="0C44F142" w:rsidR="00036698" w:rsidRPr="00470E6E" w:rsidRDefault="000B2805" w:rsidP="00370D52">
            <w:pPr>
              <w:rPr>
                <w:b/>
                <w:bCs/>
                <w:noProof/>
              </w:rPr>
            </w:pPr>
            <w:r>
              <w:rPr>
                <w:b/>
                <w:noProof/>
              </w:rPr>
              <w:t>718</w:t>
            </w:r>
          </w:p>
        </w:tc>
        <w:tc>
          <w:tcPr>
            <w:tcW w:w="1276" w:type="dxa"/>
            <w:noWrap/>
            <w:vAlign w:val="bottom"/>
          </w:tcPr>
          <w:p w14:paraId="0E3CE8F8" w14:textId="4BE816BD" w:rsidR="00036698" w:rsidRPr="00470E6E" w:rsidRDefault="000B2805" w:rsidP="00370D52">
            <w:pPr>
              <w:rPr>
                <w:b/>
                <w:bCs/>
                <w:noProof/>
              </w:rPr>
            </w:pPr>
            <w:r>
              <w:rPr>
                <w:b/>
                <w:noProof/>
              </w:rPr>
              <w:t>388</w:t>
            </w:r>
            <w:r w:rsidR="00327DB1" w:rsidRPr="00470E6E">
              <w:rPr>
                <w:rStyle w:val="FootnoteReference"/>
                <w:b/>
                <w:bCs/>
                <w:noProof/>
                <w:lang w:val="en-IE"/>
              </w:rPr>
              <w:footnoteReference w:id="5"/>
            </w:r>
          </w:p>
        </w:tc>
      </w:tr>
    </w:tbl>
    <w:p w14:paraId="2286A86D" w14:textId="77777777" w:rsidR="00036698" w:rsidRPr="00470E6E" w:rsidRDefault="00036698" w:rsidP="00036698">
      <w:pPr>
        <w:rPr>
          <w:noProof/>
          <w:lang w:val="en-IE"/>
        </w:rPr>
      </w:pPr>
    </w:p>
    <w:p w14:paraId="22F81D70" w14:textId="77777777" w:rsidR="00036698" w:rsidRPr="00470E6E" w:rsidRDefault="00036698" w:rsidP="00036698">
      <w:pPr>
        <w:jc w:val="both"/>
        <w:rPr>
          <w:rFonts w:ascii="Times New Roman" w:hAnsi="Times New Roman"/>
          <w:noProof/>
          <w:sz w:val="24"/>
          <w:szCs w:val="24"/>
        </w:rPr>
      </w:pPr>
      <w:r>
        <w:rPr>
          <w:rFonts w:ascii="Times New Roman" w:hAnsi="Times New Roman"/>
          <w:noProof/>
          <w:sz w:val="24"/>
        </w:rPr>
        <w:t xml:space="preserve">L’article 18 de la directive sur la sécurité des opérations pétrolières et gazières en mer confère certains droits et certains pouvoirs aux autorités nationales compétentes sur les opérations et les installations relevant de leur juridiction. Ces pouvoirs comprennent le droit d’interdire les opérations et d’exiger des mesures garantissant à la fois la conformité de la gestion des risques et la sécurité des opérations. </w:t>
      </w:r>
    </w:p>
    <w:p w14:paraId="238E223D" w14:textId="53288B98" w:rsidR="00036698" w:rsidRPr="00470E6E" w:rsidRDefault="00036698" w:rsidP="00036698">
      <w:pPr>
        <w:jc w:val="both"/>
        <w:rPr>
          <w:rFonts w:ascii="Times New Roman" w:hAnsi="Times New Roman"/>
          <w:noProof/>
          <w:sz w:val="24"/>
          <w:szCs w:val="24"/>
        </w:rPr>
      </w:pPr>
      <w:r>
        <w:rPr>
          <w:rFonts w:ascii="Times New Roman" w:hAnsi="Times New Roman"/>
          <w:noProof/>
          <w:sz w:val="24"/>
        </w:rPr>
        <w:t xml:space="preserve">En 2023, aucune enquête n’a été menée concernant des accidents majeurs (étant donné qu’aucun accident majeur n’a été signalé).  </w:t>
      </w:r>
    </w:p>
    <w:p w14:paraId="1EC43BC1" w14:textId="4F5FC6BB" w:rsidR="00036698" w:rsidRPr="00470E6E" w:rsidRDefault="002F2457" w:rsidP="00036698">
      <w:pPr>
        <w:jc w:val="both"/>
        <w:rPr>
          <w:rFonts w:ascii="Times New Roman" w:hAnsi="Times New Roman"/>
          <w:noProof/>
          <w:sz w:val="24"/>
          <w:szCs w:val="24"/>
        </w:rPr>
      </w:pPr>
      <w:r>
        <w:rPr>
          <w:rFonts w:ascii="Times New Roman" w:hAnsi="Times New Roman"/>
          <w:noProof/>
          <w:sz w:val="24"/>
        </w:rPr>
        <w:t xml:space="preserve">Aucune mesure d’exécution n’a été prise en 2023. </w:t>
      </w:r>
    </w:p>
    <w:p w14:paraId="3543B418" w14:textId="77777777" w:rsidR="00036698" w:rsidRPr="00470E6E" w:rsidRDefault="00036698" w:rsidP="00036698">
      <w:pPr>
        <w:pStyle w:val="Heading1"/>
        <w:ind w:left="720" w:hanging="720"/>
        <w:rPr>
          <w:rFonts w:ascii="Times New Roman" w:hAnsi="Times New Roman"/>
          <w:color w:val="auto"/>
        </w:rPr>
      </w:pPr>
      <w:bookmarkStart w:id="9" w:name="_Toc202865917"/>
      <w:r>
        <w:rPr>
          <w:rFonts w:ascii="Times New Roman" w:hAnsi="Times New Roman"/>
          <w:color w:val="auto"/>
        </w:rPr>
        <w:t>5.</w:t>
      </w:r>
      <w:r>
        <w:rPr>
          <w:rFonts w:ascii="Times New Roman" w:hAnsi="Times New Roman"/>
          <w:color w:val="auto"/>
        </w:rPr>
        <w:tab/>
        <w:t>INCIDENTS ET PERFORMANCES EN MATIÈRE DE SÉCURITÉ</w:t>
      </w:r>
      <w:bookmarkEnd w:id="9"/>
      <w:r>
        <w:rPr>
          <w:rFonts w:ascii="Times New Roman" w:hAnsi="Times New Roman"/>
          <w:color w:val="auto"/>
        </w:rPr>
        <w:t xml:space="preserve"> </w:t>
      </w:r>
    </w:p>
    <w:p w14:paraId="0160D729" w14:textId="0961BE3E" w:rsidR="00036698" w:rsidRPr="00470E6E" w:rsidRDefault="00036698" w:rsidP="00036698">
      <w:pPr>
        <w:jc w:val="both"/>
        <w:rPr>
          <w:rFonts w:ascii="Times New Roman" w:hAnsi="Times New Roman"/>
          <w:noProof/>
          <w:sz w:val="24"/>
          <w:szCs w:val="24"/>
        </w:rPr>
      </w:pPr>
      <w:r>
        <w:rPr>
          <w:rFonts w:ascii="Times New Roman" w:hAnsi="Times New Roman"/>
          <w:noProof/>
          <w:sz w:val="24"/>
        </w:rPr>
        <w:t xml:space="preserve">Les exploitants et propriétaires d’installations ainsi que les autorités nationales doivent signaler un accident ou une situation de danger grave (ci-après dénommé «événement»). Toutefois, un seul événement peut être classé en fonction d’un ou de plusieurs incidents. Par exemple, deux catégories d’incidents doivent être indiquées pour un même événement s’il y a eu a) un rejet involontaire de gaz qui b) a nécessité l’évacuation du personnel. </w:t>
      </w:r>
    </w:p>
    <w:p w14:paraId="7B2AFC95" w14:textId="79E0FC1A" w:rsidR="00036698" w:rsidRPr="00470E6E" w:rsidRDefault="00036698" w:rsidP="00036698">
      <w:pPr>
        <w:jc w:val="both"/>
        <w:rPr>
          <w:rFonts w:ascii="Times New Roman" w:hAnsi="Times New Roman"/>
          <w:noProof/>
          <w:sz w:val="24"/>
          <w:szCs w:val="24"/>
        </w:rPr>
      </w:pPr>
      <w:r>
        <w:rPr>
          <w:rFonts w:ascii="Times New Roman" w:hAnsi="Times New Roman"/>
          <w:noProof/>
          <w:sz w:val="24"/>
        </w:rPr>
        <w:t>Les États membres ont signalé 44 événements</w:t>
      </w:r>
      <w:r w:rsidRPr="00470E6E">
        <w:rPr>
          <w:rStyle w:val="FootnoteReference"/>
          <w:rFonts w:ascii="Times New Roman" w:hAnsi="Times New Roman"/>
          <w:noProof/>
          <w:sz w:val="24"/>
          <w:szCs w:val="24"/>
          <w:lang w:val="en-IE"/>
        </w:rPr>
        <w:footnoteReference w:id="6"/>
      </w:r>
      <w:r>
        <w:rPr>
          <w:rFonts w:ascii="Times New Roman" w:hAnsi="Times New Roman"/>
          <w:noProof/>
          <w:sz w:val="24"/>
        </w:rPr>
        <w:t xml:space="preserve"> en 2023, contre 37 en 2022:</w:t>
      </w:r>
    </w:p>
    <w:p w14:paraId="6529424A" w14:textId="26F87824" w:rsidR="00DF0766" w:rsidRPr="00470E6E" w:rsidRDefault="00036698" w:rsidP="00036698">
      <w:pPr>
        <w:pStyle w:val="ListParagraph"/>
        <w:numPr>
          <w:ilvl w:val="0"/>
          <w:numId w:val="4"/>
        </w:numPr>
        <w:spacing w:after="0"/>
        <w:jc w:val="both"/>
        <w:rPr>
          <w:rFonts w:ascii="Times New Roman" w:hAnsi="Times New Roman"/>
          <w:noProof/>
          <w:sz w:val="24"/>
          <w:szCs w:val="24"/>
        </w:rPr>
      </w:pPr>
      <w:r>
        <w:rPr>
          <w:rFonts w:ascii="Times New Roman" w:hAnsi="Times New Roman"/>
          <w:noProof/>
          <w:sz w:val="24"/>
        </w:rPr>
        <w:t>Danemark — 12 événements mais pas d’accidents majeurs (idem en 2022).</w:t>
      </w:r>
      <w:r w:rsidR="008F7341" w:rsidRPr="00470E6E">
        <w:rPr>
          <w:rStyle w:val="FootnoteReference"/>
          <w:rFonts w:ascii="Times New Roman" w:hAnsi="Times New Roman"/>
          <w:noProof/>
          <w:sz w:val="24"/>
          <w:szCs w:val="24"/>
          <w:lang w:val="en-IE"/>
        </w:rPr>
        <w:footnoteReference w:id="7"/>
      </w:r>
    </w:p>
    <w:p w14:paraId="3B28E547" w14:textId="22416E5F" w:rsidR="00036698" w:rsidRPr="00470E6E" w:rsidRDefault="00036698" w:rsidP="00036698">
      <w:pPr>
        <w:pStyle w:val="ListParagraph"/>
        <w:numPr>
          <w:ilvl w:val="0"/>
          <w:numId w:val="4"/>
        </w:numPr>
        <w:spacing w:after="0"/>
        <w:jc w:val="both"/>
        <w:rPr>
          <w:rFonts w:ascii="Times New Roman" w:hAnsi="Times New Roman"/>
          <w:noProof/>
          <w:sz w:val="24"/>
          <w:szCs w:val="24"/>
        </w:rPr>
      </w:pPr>
      <w:r>
        <w:rPr>
          <w:rFonts w:ascii="Times New Roman" w:hAnsi="Times New Roman"/>
          <w:noProof/>
          <w:sz w:val="24"/>
        </w:rPr>
        <w:t>Croatie— 8 événements mais pas d’accidents majeurs (contre 2 événements en 2022).</w:t>
      </w:r>
      <w:r w:rsidR="009B2C1F" w:rsidRPr="00470E6E">
        <w:rPr>
          <w:rStyle w:val="FootnoteReference"/>
          <w:rFonts w:ascii="Times New Roman" w:hAnsi="Times New Roman"/>
          <w:noProof/>
          <w:sz w:val="24"/>
          <w:szCs w:val="24"/>
          <w:lang w:val="en-IE"/>
        </w:rPr>
        <w:footnoteReference w:id="8"/>
      </w:r>
    </w:p>
    <w:p w14:paraId="2AF0B1A1" w14:textId="1D6C8BBE" w:rsidR="00036698" w:rsidRPr="00470E6E" w:rsidRDefault="00036698" w:rsidP="00036698">
      <w:pPr>
        <w:pStyle w:val="ListParagraph"/>
        <w:numPr>
          <w:ilvl w:val="0"/>
          <w:numId w:val="4"/>
        </w:numPr>
        <w:spacing w:after="0"/>
        <w:jc w:val="both"/>
        <w:rPr>
          <w:rFonts w:ascii="Times New Roman" w:hAnsi="Times New Roman"/>
          <w:noProof/>
          <w:sz w:val="24"/>
          <w:szCs w:val="24"/>
        </w:rPr>
      </w:pPr>
      <w:r>
        <w:rPr>
          <w:rFonts w:ascii="Times New Roman" w:hAnsi="Times New Roman"/>
          <w:noProof/>
          <w:sz w:val="24"/>
        </w:rPr>
        <w:t>Pays-Bas — 24 événements mais pas d’accidents majeurs</w:t>
      </w:r>
      <w:r w:rsidRPr="00470E6E">
        <w:rPr>
          <w:rStyle w:val="FootnoteReference"/>
          <w:rFonts w:ascii="Times New Roman" w:hAnsi="Times New Roman"/>
          <w:noProof/>
          <w:sz w:val="24"/>
          <w:szCs w:val="24"/>
          <w:lang w:val="en-IE"/>
        </w:rPr>
        <w:footnoteReference w:id="9"/>
      </w:r>
      <w:r>
        <w:rPr>
          <w:rFonts w:ascii="Times New Roman" w:hAnsi="Times New Roman"/>
          <w:noProof/>
          <w:sz w:val="24"/>
        </w:rPr>
        <w:t xml:space="preserve"> (11 événements en 2022).</w:t>
      </w:r>
      <w:r w:rsidRPr="00470E6E">
        <w:rPr>
          <w:rStyle w:val="FootnoteReference"/>
          <w:rFonts w:ascii="Times New Roman" w:hAnsi="Times New Roman"/>
          <w:noProof/>
          <w:sz w:val="24"/>
          <w:szCs w:val="24"/>
          <w:lang w:val="en-IE"/>
        </w:rPr>
        <w:footnoteReference w:id="10"/>
      </w:r>
    </w:p>
    <w:p w14:paraId="1B420F77" w14:textId="77777777" w:rsidR="00411C1D" w:rsidRPr="003D2CCD" w:rsidRDefault="00411C1D" w:rsidP="00036698">
      <w:pPr>
        <w:spacing w:after="0"/>
        <w:jc w:val="both"/>
        <w:rPr>
          <w:rFonts w:ascii="Times New Roman" w:hAnsi="Times New Roman"/>
          <w:noProof/>
          <w:sz w:val="24"/>
          <w:szCs w:val="24"/>
          <w:lang w:val="fr-BE"/>
        </w:rPr>
      </w:pPr>
    </w:p>
    <w:p w14:paraId="6D99CFB1" w14:textId="3834EB72" w:rsidR="00036698" w:rsidRPr="00470E6E" w:rsidRDefault="00036698" w:rsidP="00036698">
      <w:pPr>
        <w:spacing w:after="0"/>
        <w:jc w:val="both"/>
        <w:rPr>
          <w:rFonts w:ascii="Times New Roman" w:hAnsi="Times New Roman"/>
          <w:noProof/>
          <w:sz w:val="24"/>
          <w:szCs w:val="24"/>
        </w:rPr>
      </w:pPr>
      <w:r>
        <w:rPr>
          <w:rFonts w:ascii="Times New Roman" w:hAnsi="Times New Roman"/>
          <w:noProof/>
          <w:sz w:val="24"/>
        </w:rPr>
        <w:t>Parmi les incidents survenus en 2023, 86,36 % étaient des rejets involontaires de gaz et/ou de pétrole, 6,82 % relevaient de la catégorie des défaillances d’éléments critiques pour la sécurité et l’environnement et 6,82 % concernaient la perte de contrôle de puits. Aucun de ces incidents n’a entraîné la perte de vies humaines. En outre, aucun accident de bateau ou accident d’hélicoptère n’a été signalé.</w:t>
      </w:r>
    </w:p>
    <w:p w14:paraId="40C1BCF3" w14:textId="77777777" w:rsidR="00036698" w:rsidRPr="003D2CCD" w:rsidRDefault="00036698" w:rsidP="00036698">
      <w:pPr>
        <w:spacing w:after="0"/>
        <w:jc w:val="both"/>
        <w:rPr>
          <w:rFonts w:ascii="Times New Roman" w:hAnsi="Times New Roman"/>
          <w:noProof/>
          <w:sz w:val="24"/>
          <w:szCs w:val="24"/>
          <w:lang w:val="fr-BE"/>
        </w:rPr>
      </w:pPr>
    </w:p>
    <w:p w14:paraId="637A95A9" w14:textId="0056670B" w:rsidR="00036698" w:rsidRPr="00470E6E" w:rsidRDefault="00036698" w:rsidP="00036698">
      <w:pPr>
        <w:pStyle w:val="Caption"/>
        <w:rPr>
          <w:noProof/>
        </w:rPr>
      </w:pPr>
      <w:r>
        <w:rPr>
          <w:noProof/>
        </w:rPr>
        <w:t>Tableau 4: Incidents par catégorie (annexe IX de la directive sur la sécurité en mer) en 2023</w:t>
      </w:r>
    </w:p>
    <w:tbl>
      <w:tblPr>
        <w:tblStyle w:val="TableGrid"/>
        <w:tblW w:w="0" w:type="auto"/>
        <w:tblLook w:val="04A0" w:firstRow="1" w:lastRow="0" w:firstColumn="1" w:lastColumn="0" w:noHBand="0" w:noVBand="1"/>
      </w:tblPr>
      <w:tblGrid>
        <w:gridCol w:w="501"/>
        <w:gridCol w:w="5517"/>
        <w:gridCol w:w="916"/>
        <w:gridCol w:w="1300"/>
        <w:gridCol w:w="1502"/>
      </w:tblGrid>
      <w:tr w:rsidR="00036698" w:rsidRPr="00470E6E" w14:paraId="65E329BE" w14:textId="77777777" w:rsidTr="00370D52">
        <w:trPr>
          <w:trHeight w:val="300"/>
        </w:trPr>
        <w:tc>
          <w:tcPr>
            <w:tcW w:w="6164" w:type="dxa"/>
            <w:gridSpan w:val="2"/>
            <w:noWrap/>
            <w:hideMark/>
          </w:tcPr>
          <w:p w14:paraId="70CC56FF" w14:textId="77777777" w:rsidR="00036698" w:rsidRPr="00470E6E" w:rsidRDefault="00036698" w:rsidP="00370D52">
            <w:pPr>
              <w:rPr>
                <w:b/>
                <w:noProof/>
              </w:rPr>
            </w:pPr>
            <w:r>
              <w:rPr>
                <w:b/>
                <w:noProof/>
              </w:rPr>
              <w:t>Catégorie</w:t>
            </w:r>
          </w:p>
        </w:tc>
        <w:tc>
          <w:tcPr>
            <w:tcW w:w="934" w:type="dxa"/>
            <w:noWrap/>
            <w:hideMark/>
          </w:tcPr>
          <w:p w14:paraId="6A327656" w14:textId="77777777" w:rsidR="00036698" w:rsidRPr="00470E6E" w:rsidRDefault="00036698" w:rsidP="00370D52">
            <w:pPr>
              <w:rPr>
                <w:b/>
                <w:noProof/>
              </w:rPr>
            </w:pPr>
            <w:r>
              <w:rPr>
                <w:b/>
                <w:noProof/>
              </w:rPr>
              <w:t>Total</w:t>
            </w:r>
          </w:p>
        </w:tc>
        <w:tc>
          <w:tcPr>
            <w:tcW w:w="1328" w:type="dxa"/>
            <w:noWrap/>
            <w:hideMark/>
          </w:tcPr>
          <w:p w14:paraId="2CF2AB44" w14:textId="77777777" w:rsidR="00036698" w:rsidRPr="00470E6E" w:rsidRDefault="00036698" w:rsidP="00370D52">
            <w:pPr>
              <w:rPr>
                <w:b/>
                <w:noProof/>
              </w:rPr>
            </w:pPr>
            <w:r>
              <w:rPr>
                <w:b/>
                <w:noProof/>
              </w:rPr>
              <w:t>Pourcentage du total de la catégorie</w:t>
            </w:r>
          </w:p>
        </w:tc>
        <w:tc>
          <w:tcPr>
            <w:tcW w:w="1536" w:type="dxa"/>
            <w:noWrap/>
            <w:hideMark/>
          </w:tcPr>
          <w:p w14:paraId="74A12A5D" w14:textId="77777777" w:rsidR="00036698" w:rsidRPr="00470E6E" w:rsidRDefault="00036698" w:rsidP="00370D52">
            <w:pPr>
              <w:rPr>
                <w:b/>
                <w:noProof/>
              </w:rPr>
            </w:pPr>
            <w:r>
              <w:rPr>
                <w:b/>
                <w:noProof/>
              </w:rPr>
              <w:t>Pourcentage du total des incidents</w:t>
            </w:r>
          </w:p>
        </w:tc>
      </w:tr>
      <w:tr w:rsidR="006C63E5" w:rsidRPr="00470E6E" w14:paraId="1FD395C3" w14:textId="77777777" w:rsidTr="005562DD">
        <w:trPr>
          <w:trHeight w:val="300"/>
        </w:trPr>
        <w:tc>
          <w:tcPr>
            <w:tcW w:w="509" w:type="dxa"/>
            <w:tcBorders>
              <w:right w:val="single" w:sz="4" w:space="0" w:color="FFFFFF" w:themeColor="background1"/>
            </w:tcBorders>
            <w:noWrap/>
            <w:hideMark/>
          </w:tcPr>
          <w:p w14:paraId="56C556E2" w14:textId="77777777" w:rsidR="006C63E5" w:rsidRPr="00470E6E" w:rsidRDefault="006C63E5" w:rsidP="006C63E5">
            <w:pPr>
              <w:rPr>
                <w:b/>
                <w:noProof/>
              </w:rPr>
            </w:pPr>
            <w:r>
              <w:rPr>
                <w:b/>
                <w:noProof/>
              </w:rPr>
              <w:t>a)</w:t>
            </w:r>
          </w:p>
        </w:tc>
        <w:tc>
          <w:tcPr>
            <w:tcW w:w="5655" w:type="dxa"/>
            <w:tcBorders>
              <w:left w:val="single" w:sz="4" w:space="0" w:color="FFFFFF" w:themeColor="background1"/>
            </w:tcBorders>
            <w:noWrap/>
            <w:hideMark/>
          </w:tcPr>
          <w:p w14:paraId="6BA2F56A" w14:textId="77777777" w:rsidR="006C63E5" w:rsidRPr="00470E6E" w:rsidRDefault="006C63E5" w:rsidP="006C63E5">
            <w:pPr>
              <w:rPr>
                <w:b/>
                <w:noProof/>
              </w:rPr>
            </w:pPr>
            <w:r>
              <w:rPr>
                <w:b/>
                <w:noProof/>
              </w:rPr>
              <w:t>Rejets involontaires — Total</w:t>
            </w:r>
          </w:p>
        </w:tc>
        <w:tc>
          <w:tcPr>
            <w:tcW w:w="934" w:type="dxa"/>
            <w:noWrap/>
            <w:hideMark/>
          </w:tcPr>
          <w:p w14:paraId="65ADD120" w14:textId="5BE3B815" w:rsidR="006C63E5" w:rsidRPr="00470E6E" w:rsidRDefault="006C63E5" w:rsidP="006C63E5">
            <w:pPr>
              <w:rPr>
                <w:b/>
                <w:bCs/>
                <w:noProof/>
              </w:rPr>
            </w:pPr>
            <w:r>
              <w:rPr>
                <w:b/>
                <w:noProof/>
              </w:rPr>
              <w:t>38</w:t>
            </w:r>
          </w:p>
        </w:tc>
        <w:tc>
          <w:tcPr>
            <w:tcW w:w="1328" w:type="dxa"/>
            <w:noWrap/>
            <w:hideMark/>
          </w:tcPr>
          <w:p w14:paraId="583CAEF0" w14:textId="4A19DA64" w:rsidR="006C63E5" w:rsidRPr="00470E6E" w:rsidRDefault="006C63E5" w:rsidP="006C63E5">
            <w:pPr>
              <w:rPr>
                <w:b/>
                <w:bCs/>
                <w:noProof/>
              </w:rPr>
            </w:pPr>
            <w:r>
              <w:rPr>
                <w:b/>
                <w:noProof/>
              </w:rPr>
              <w:t>100 %</w:t>
            </w:r>
          </w:p>
        </w:tc>
        <w:tc>
          <w:tcPr>
            <w:tcW w:w="1536" w:type="dxa"/>
            <w:noWrap/>
            <w:hideMark/>
          </w:tcPr>
          <w:p w14:paraId="2B0FFFC3" w14:textId="5CDC0338" w:rsidR="006C63E5" w:rsidRPr="00470E6E" w:rsidRDefault="006C63E5" w:rsidP="006C63E5">
            <w:pPr>
              <w:rPr>
                <w:b/>
                <w:bCs/>
                <w:noProof/>
              </w:rPr>
            </w:pPr>
            <w:r>
              <w:rPr>
                <w:b/>
                <w:noProof/>
              </w:rPr>
              <w:t>86,36 %</w:t>
            </w:r>
          </w:p>
        </w:tc>
      </w:tr>
      <w:tr w:rsidR="006C63E5" w:rsidRPr="00470E6E" w14:paraId="18490584" w14:textId="77777777" w:rsidTr="005562DD">
        <w:trPr>
          <w:trHeight w:val="300"/>
        </w:trPr>
        <w:tc>
          <w:tcPr>
            <w:tcW w:w="509" w:type="dxa"/>
            <w:tcBorders>
              <w:right w:val="single" w:sz="4" w:space="0" w:color="FFFFFF" w:themeColor="background1"/>
            </w:tcBorders>
            <w:noWrap/>
            <w:hideMark/>
          </w:tcPr>
          <w:p w14:paraId="13251CFB" w14:textId="77777777" w:rsidR="006C63E5" w:rsidRPr="00470E6E" w:rsidRDefault="006C63E5" w:rsidP="006C63E5">
            <w:pPr>
              <w:rPr>
                <w:noProof/>
                <w:lang w:val="en-IE"/>
              </w:rPr>
            </w:pPr>
          </w:p>
        </w:tc>
        <w:tc>
          <w:tcPr>
            <w:tcW w:w="5655" w:type="dxa"/>
            <w:tcBorders>
              <w:left w:val="single" w:sz="4" w:space="0" w:color="FFFFFF" w:themeColor="background1"/>
            </w:tcBorders>
            <w:noWrap/>
            <w:hideMark/>
          </w:tcPr>
          <w:p w14:paraId="11D57312" w14:textId="77777777" w:rsidR="006C63E5" w:rsidRPr="00470E6E" w:rsidRDefault="006C63E5" w:rsidP="006C63E5">
            <w:pPr>
              <w:rPr>
                <w:noProof/>
              </w:rPr>
            </w:pPr>
            <w:r>
              <w:rPr>
                <w:noProof/>
              </w:rPr>
              <w:t>Incendies provoqués par du pétrole ou du gaz enflammé</w:t>
            </w:r>
          </w:p>
        </w:tc>
        <w:tc>
          <w:tcPr>
            <w:tcW w:w="934" w:type="dxa"/>
            <w:noWrap/>
            <w:hideMark/>
          </w:tcPr>
          <w:p w14:paraId="1F5E4090" w14:textId="318C68DA" w:rsidR="006C63E5" w:rsidRPr="00470E6E" w:rsidRDefault="006C63E5" w:rsidP="006C63E5">
            <w:pPr>
              <w:rPr>
                <w:noProof/>
              </w:rPr>
            </w:pPr>
            <w:r>
              <w:rPr>
                <w:noProof/>
              </w:rPr>
              <w:t>0</w:t>
            </w:r>
          </w:p>
        </w:tc>
        <w:tc>
          <w:tcPr>
            <w:tcW w:w="1328" w:type="dxa"/>
            <w:noWrap/>
            <w:hideMark/>
          </w:tcPr>
          <w:p w14:paraId="7DDF98F2" w14:textId="729F4F21" w:rsidR="006C63E5" w:rsidRPr="00470E6E" w:rsidRDefault="006C63E5" w:rsidP="006C63E5">
            <w:pPr>
              <w:rPr>
                <w:noProof/>
              </w:rPr>
            </w:pPr>
            <w:r>
              <w:rPr>
                <w:noProof/>
              </w:rPr>
              <w:t>0 %</w:t>
            </w:r>
          </w:p>
        </w:tc>
        <w:tc>
          <w:tcPr>
            <w:tcW w:w="1536" w:type="dxa"/>
            <w:noWrap/>
            <w:hideMark/>
          </w:tcPr>
          <w:p w14:paraId="05FB6471" w14:textId="64ABA051" w:rsidR="006C63E5" w:rsidRPr="00470E6E" w:rsidRDefault="006C63E5" w:rsidP="006C63E5">
            <w:pPr>
              <w:rPr>
                <w:noProof/>
              </w:rPr>
            </w:pPr>
            <w:r>
              <w:rPr>
                <w:noProof/>
              </w:rPr>
              <w:t>0,00 %</w:t>
            </w:r>
          </w:p>
        </w:tc>
      </w:tr>
      <w:tr w:rsidR="006C63E5" w:rsidRPr="00470E6E" w14:paraId="2399EA53" w14:textId="77777777" w:rsidTr="005562DD">
        <w:trPr>
          <w:trHeight w:val="300"/>
        </w:trPr>
        <w:tc>
          <w:tcPr>
            <w:tcW w:w="509" w:type="dxa"/>
            <w:tcBorders>
              <w:right w:val="single" w:sz="4" w:space="0" w:color="FFFFFF" w:themeColor="background1"/>
            </w:tcBorders>
            <w:noWrap/>
            <w:hideMark/>
          </w:tcPr>
          <w:p w14:paraId="446550DA" w14:textId="77777777" w:rsidR="006C63E5" w:rsidRPr="00470E6E" w:rsidRDefault="006C63E5" w:rsidP="006C63E5">
            <w:pPr>
              <w:rPr>
                <w:noProof/>
                <w:lang w:val="en-IE"/>
              </w:rPr>
            </w:pPr>
          </w:p>
        </w:tc>
        <w:tc>
          <w:tcPr>
            <w:tcW w:w="5655" w:type="dxa"/>
            <w:tcBorders>
              <w:left w:val="single" w:sz="4" w:space="0" w:color="FFFFFF" w:themeColor="background1"/>
            </w:tcBorders>
            <w:noWrap/>
            <w:hideMark/>
          </w:tcPr>
          <w:p w14:paraId="7DDB8200" w14:textId="77777777" w:rsidR="006C63E5" w:rsidRPr="00470E6E" w:rsidRDefault="006C63E5" w:rsidP="006C63E5">
            <w:pPr>
              <w:rPr>
                <w:noProof/>
              </w:rPr>
            </w:pPr>
            <w:r>
              <w:rPr>
                <w:noProof/>
              </w:rPr>
              <w:t>Explosions provoquées par du pétrole ou du gaz enflammé</w:t>
            </w:r>
          </w:p>
        </w:tc>
        <w:tc>
          <w:tcPr>
            <w:tcW w:w="934" w:type="dxa"/>
            <w:noWrap/>
            <w:hideMark/>
          </w:tcPr>
          <w:p w14:paraId="69172CCA" w14:textId="27324308" w:rsidR="006C63E5" w:rsidRPr="00470E6E" w:rsidRDefault="006C63E5" w:rsidP="006C63E5">
            <w:pPr>
              <w:rPr>
                <w:noProof/>
              </w:rPr>
            </w:pPr>
            <w:r>
              <w:rPr>
                <w:noProof/>
              </w:rPr>
              <w:t>0</w:t>
            </w:r>
          </w:p>
        </w:tc>
        <w:tc>
          <w:tcPr>
            <w:tcW w:w="1328" w:type="dxa"/>
            <w:noWrap/>
            <w:hideMark/>
          </w:tcPr>
          <w:p w14:paraId="391E25B6" w14:textId="4E424A32" w:rsidR="006C63E5" w:rsidRPr="00470E6E" w:rsidRDefault="006C63E5" w:rsidP="006C63E5">
            <w:pPr>
              <w:rPr>
                <w:noProof/>
              </w:rPr>
            </w:pPr>
            <w:r>
              <w:rPr>
                <w:noProof/>
              </w:rPr>
              <w:t>0 %</w:t>
            </w:r>
          </w:p>
        </w:tc>
        <w:tc>
          <w:tcPr>
            <w:tcW w:w="1536" w:type="dxa"/>
            <w:noWrap/>
            <w:hideMark/>
          </w:tcPr>
          <w:p w14:paraId="54999946" w14:textId="60253428" w:rsidR="006C63E5" w:rsidRPr="00470E6E" w:rsidRDefault="006C63E5" w:rsidP="006C63E5">
            <w:pPr>
              <w:rPr>
                <w:noProof/>
              </w:rPr>
            </w:pPr>
            <w:r>
              <w:rPr>
                <w:noProof/>
              </w:rPr>
              <w:t>0,00 %</w:t>
            </w:r>
          </w:p>
        </w:tc>
      </w:tr>
      <w:tr w:rsidR="006C63E5" w:rsidRPr="00470E6E" w14:paraId="719386D6" w14:textId="77777777" w:rsidTr="005562DD">
        <w:trPr>
          <w:trHeight w:val="300"/>
        </w:trPr>
        <w:tc>
          <w:tcPr>
            <w:tcW w:w="509" w:type="dxa"/>
            <w:tcBorders>
              <w:right w:val="single" w:sz="4" w:space="0" w:color="FFFFFF" w:themeColor="background1"/>
            </w:tcBorders>
            <w:noWrap/>
            <w:hideMark/>
          </w:tcPr>
          <w:p w14:paraId="62BF2819" w14:textId="77777777" w:rsidR="006C63E5" w:rsidRPr="00470E6E" w:rsidRDefault="006C63E5" w:rsidP="006C63E5">
            <w:pPr>
              <w:rPr>
                <w:noProof/>
                <w:lang w:val="en-IE"/>
              </w:rPr>
            </w:pPr>
          </w:p>
        </w:tc>
        <w:tc>
          <w:tcPr>
            <w:tcW w:w="5655" w:type="dxa"/>
            <w:tcBorders>
              <w:left w:val="single" w:sz="4" w:space="0" w:color="FFFFFF" w:themeColor="background1"/>
            </w:tcBorders>
            <w:noWrap/>
            <w:hideMark/>
          </w:tcPr>
          <w:p w14:paraId="5A723EE4" w14:textId="77777777" w:rsidR="006C63E5" w:rsidRPr="00470E6E" w:rsidRDefault="006C63E5" w:rsidP="006C63E5">
            <w:pPr>
              <w:rPr>
                <w:noProof/>
              </w:rPr>
            </w:pPr>
            <w:r>
              <w:rPr>
                <w:noProof/>
              </w:rPr>
              <w:t xml:space="preserve">Gaz non enflammé </w:t>
            </w:r>
          </w:p>
        </w:tc>
        <w:tc>
          <w:tcPr>
            <w:tcW w:w="934" w:type="dxa"/>
            <w:noWrap/>
            <w:hideMark/>
          </w:tcPr>
          <w:p w14:paraId="6BE39BAC" w14:textId="0E4ED420" w:rsidR="006C63E5" w:rsidRPr="00470E6E" w:rsidRDefault="006C63E5" w:rsidP="006C63E5">
            <w:pPr>
              <w:rPr>
                <w:noProof/>
              </w:rPr>
            </w:pPr>
            <w:r>
              <w:rPr>
                <w:noProof/>
              </w:rPr>
              <w:t>14</w:t>
            </w:r>
          </w:p>
        </w:tc>
        <w:tc>
          <w:tcPr>
            <w:tcW w:w="1328" w:type="dxa"/>
            <w:noWrap/>
            <w:hideMark/>
          </w:tcPr>
          <w:p w14:paraId="15D81670" w14:textId="012C9131" w:rsidR="006C63E5" w:rsidRPr="00470E6E" w:rsidRDefault="006C63E5" w:rsidP="006C63E5">
            <w:pPr>
              <w:rPr>
                <w:noProof/>
              </w:rPr>
            </w:pPr>
            <w:r>
              <w:rPr>
                <w:noProof/>
              </w:rPr>
              <w:t>37 %</w:t>
            </w:r>
          </w:p>
        </w:tc>
        <w:tc>
          <w:tcPr>
            <w:tcW w:w="1536" w:type="dxa"/>
            <w:noWrap/>
            <w:hideMark/>
          </w:tcPr>
          <w:p w14:paraId="1DE19165" w14:textId="25CAB5CE" w:rsidR="006C63E5" w:rsidRPr="00470E6E" w:rsidRDefault="006C63E5" w:rsidP="006C63E5">
            <w:pPr>
              <w:rPr>
                <w:noProof/>
              </w:rPr>
            </w:pPr>
            <w:r>
              <w:rPr>
                <w:noProof/>
              </w:rPr>
              <w:t>31,82 %</w:t>
            </w:r>
          </w:p>
        </w:tc>
      </w:tr>
      <w:tr w:rsidR="006C63E5" w:rsidRPr="00470E6E" w14:paraId="1CBE6662" w14:textId="77777777" w:rsidTr="005562DD">
        <w:trPr>
          <w:trHeight w:val="300"/>
        </w:trPr>
        <w:tc>
          <w:tcPr>
            <w:tcW w:w="509" w:type="dxa"/>
            <w:tcBorders>
              <w:right w:val="single" w:sz="4" w:space="0" w:color="FFFFFF" w:themeColor="background1"/>
            </w:tcBorders>
            <w:noWrap/>
            <w:hideMark/>
          </w:tcPr>
          <w:p w14:paraId="43A8B3F5" w14:textId="77777777" w:rsidR="006C63E5" w:rsidRPr="00470E6E" w:rsidRDefault="006C63E5" w:rsidP="006C63E5">
            <w:pPr>
              <w:rPr>
                <w:noProof/>
                <w:lang w:val="en-IE"/>
              </w:rPr>
            </w:pPr>
          </w:p>
        </w:tc>
        <w:tc>
          <w:tcPr>
            <w:tcW w:w="5655" w:type="dxa"/>
            <w:tcBorders>
              <w:left w:val="single" w:sz="4" w:space="0" w:color="FFFFFF" w:themeColor="background1"/>
            </w:tcBorders>
            <w:noWrap/>
            <w:hideMark/>
          </w:tcPr>
          <w:p w14:paraId="3A0C8D5B" w14:textId="77777777" w:rsidR="006C63E5" w:rsidRPr="00470E6E" w:rsidRDefault="006C63E5" w:rsidP="006C63E5">
            <w:pPr>
              <w:rPr>
                <w:noProof/>
              </w:rPr>
            </w:pPr>
            <w:r>
              <w:rPr>
                <w:noProof/>
              </w:rPr>
              <w:t xml:space="preserve">Pétrole non enflammé </w:t>
            </w:r>
          </w:p>
        </w:tc>
        <w:tc>
          <w:tcPr>
            <w:tcW w:w="934" w:type="dxa"/>
            <w:noWrap/>
            <w:hideMark/>
          </w:tcPr>
          <w:p w14:paraId="0E979D40" w14:textId="54F10CBB" w:rsidR="006C63E5" w:rsidRPr="00470E6E" w:rsidRDefault="006C63E5" w:rsidP="006C63E5">
            <w:pPr>
              <w:rPr>
                <w:noProof/>
              </w:rPr>
            </w:pPr>
            <w:r>
              <w:rPr>
                <w:noProof/>
              </w:rPr>
              <w:t>7</w:t>
            </w:r>
          </w:p>
        </w:tc>
        <w:tc>
          <w:tcPr>
            <w:tcW w:w="1328" w:type="dxa"/>
            <w:noWrap/>
            <w:hideMark/>
          </w:tcPr>
          <w:p w14:paraId="697854C6" w14:textId="23D77CA4" w:rsidR="006C63E5" w:rsidRPr="00470E6E" w:rsidRDefault="006C63E5" w:rsidP="006C63E5">
            <w:pPr>
              <w:rPr>
                <w:noProof/>
              </w:rPr>
            </w:pPr>
            <w:r>
              <w:rPr>
                <w:noProof/>
              </w:rPr>
              <w:t>18 %</w:t>
            </w:r>
          </w:p>
        </w:tc>
        <w:tc>
          <w:tcPr>
            <w:tcW w:w="1536" w:type="dxa"/>
            <w:noWrap/>
            <w:hideMark/>
          </w:tcPr>
          <w:p w14:paraId="4859166E" w14:textId="1CD55EE5" w:rsidR="006C63E5" w:rsidRPr="00470E6E" w:rsidRDefault="006C63E5" w:rsidP="006C63E5">
            <w:pPr>
              <w:rPr>
                <w:noProof/>
              </w:rPr>
            </w:pPr>
            <w:r>
              <w:rPr>
                <w:noProof/>
              </w:rPr>
              <w:t>15,91 %</w:t>
            </w:r>
          </w:p>
        </w:tc>
      </w:tr>
      <w:tr w:rsidR="006C63E5" w:rsidRPr="00470E6E" w14:paraId="401DCD71" w14:textId="77777777" w:rsidTr="005562DD">
        <w:trPr>
          <w:trHeight w:val="300"/>
        </w:trPr>
        <w:tc>
          <w:tcPr>
            <w:tcW w:w="509" w:type="dxa"/>
            <w:tcBorders>
              <w:right w:val="single" w:sz="4" w:space="0" w:color="FFFFFF" w:themeColor="background1"/>
            </w:tcBorders>
            <w:noWrap/>
            <w:hideMark/>
          </w:tcPr>
          <w:p w14:paraId="4F6A9112" w14:textId="77777777" w:rsidR="006C63E5" w:rsidRPr="00470E6E" w:rsidRDefault="006C63E5" w:rsidP="006C63E5">
            <w:pPr>
              <w:rPr>
                <w:noProof/>
                <w:lang w:val="en-IE"/>
              </w:rPr>
            </w:pPr>
          </w:p>
        </w:tc>
        <w:tc>
          <w:tcPr>
            <w:tcW w:w="5655" w:type="dxa"/>
            <w:tcBorders>
              <w:left w:val="single" w:sz="4" w:space="0" w:color="FFFFFF" w:themeColor="background1"/>
            </w:tcBorders>
            <w:noWrap/>
            <w:hideMark/>
          </w:tcPr>
          <w:p w14:paraId="464C46B7" w14:textId="77777777" w:rsidR="006C63E5" w:rsidRPr="00470E6E" w:rsidRDefault="006C63E5" w:rsidP="006C63E5">
            <w:pPr>
              <w:rPr>
                <w:noProof/>
              </w:rPr>
            </w:pPr>
            <w:r>
              <w:rPr>
                <w:noProof/>
              </w:rPr>
              <w:t xml:space="preserve">Substances dangereuses </w:t>
            </w:r>
          </w:p>
        </w:tc>
        <w:tc>
          <w:tcPr>
            <w:tcW w:w="934" w:type="dxa"/>
            <w:noWrap/>
            <w:hideMark/>
          </w:tcPr>
          <w:p w14:paraId="7741B8E3" w14:textId="40A63D53" w:rsidR="006C63E5" w:rsidRPr="00470E6E" w:rsidRDefault="006C63E5" w:rsidP="006C63E5">
            <w:pPr>
              <w:rPr>
                <w:noProof/>
              </w:rPr>
            </w:pPr>
            <w:r>
              <w:rPr>
                <w:noProof/>
              </w:rPr>
              <w:t>17</w:t>
            </w:r>
          </w:p>
        </w:tc>
        <w:tc>
          <w:tcPr>
            <w:tcW w:w="1328" w:type="dxa"/>
            <w:noWrap/>
            <w:hideMark/>
          </w:tcPr>
          <w:p w14:paraId="2F5ED793" w14:textId="448B7397" w:rsidR="006C63E5" w:rsidRPr="00470E6E" w:rsidRDefault="006C63E5" w:rsidP="006C63E5">
            <w:pPr>
              <w:rPr>
                <w:noProof/>
              </w:rPr>
            </w:pPr>
            <w:r>
              <w:rPr>
                <w:noProof/>
              </w:rPr>
              <w:t>45 %</w:t>
            </w:r>
          </w:p>
        </w:tc>
        <w:tc>
          <w:tcPr>
            <w:tcW w:w="1536" w:type="dxa"/>
            <w:noWrap/>
            <w:hideMark/>
          </w:tcPr>
          <w:p w14:paraId="6480E6A9" w14:textId="34DE4AE9" w:rsidR="006C63E5" w:rsidRPr="00470E6E" w:rsidRDefault="006C63E5" w:rsidP="006C63E5">
            <w:pPr>
              <w:rPr>
                <w:noProof/>
              </w:rPr>
            </w:pPr>
            <w:r>
              <w:rPr>
                <w:noProof/>
              </w:rPr>
              <w:t>38,64 %</w:t>
            </w:r>
          </w:p>
        </w:tc>
      </w:tr>
      <w:tr w:rsidR="006C63E5" w:rsidRPr="00470E6E" w14:paraId="01B976A4" w14:textId="77777777" w:rsidTr="005562DD">
        <w:trPr>
          <w:trHeight w:val="300"/>
        </w:trPr>
        <w:tc>
          <w:tcPr>
            <w:tcW w:w="509" w:type="dxa"/>
            <w:tcBorders>
              <w:right w:val="single" w:sz="4" w:space="0" w:color="FFFFFF" w:themeColor="background1"/>
            </w:tcBorders>
            <w:noWrap/>
            <w:hideMark/>
          </w:tcPr>
          <w:p w14:paraId="525F3F0B" w14:textId="77777777" w:rsidR="006C63E5" w:rsidRPr="00470E6E" w:rsidRDefault="006C63E5" w:rsidP="006C63E5">
            <w:pPr>
              <w:rPr>
                <w:b/>
                <w:noProof/>
              </w:rPr>
            </w:pPr>
            <w:r>
              <w:rPr>
                <w:b/>
                <w:noProof/>
              </w:rPr>
              <w:t>b)</w:t>
            </w:r>
          </w:p>
        </w:tc>
        <w:tc>
          <w:tcPr>
            <w:tcW w:w="5655" w:type="dxa"/>
            <w:tcBorders>
              <w:left w:val="single" w:sz="4" w:space="0" w:color="FFFFFF" w:themeColor="background1"/>
            </w:tcBorders>
            <w:noWrap/>
            <w:hideMark/>
          </w:tcPr>
          <w:p w14:paraId="2B025E6A" w14:textId="77777777" w:rsidR="006C63E5" w:rsidRPr="00470E6E" w:rsidRDefault="006C63E5" w:rsidP="006C63E5">
            <w:pPr>
              <w:rPr>
                <w:b/>
                <w:noProof/>
              </w:rPr>
            </w:pPr>
            <w:r>
              <w:rPr>
                <w:b/>
                <w:noProof/>
              </w:rPr>
              <w:t>Perte de contrôle de puits — Total</w:t>
            </w:r>
          </w:p>
        </w:tc>
        <w:tc>
          <w:tcPr>
            <w:tcW w:w="934" w:type="dxa"/>
            <w:noWrap/>
            <w:hideMark/>
          </w:tcPr>
          <w:p w14:paraId="14ECE50C" w14:textId="4EECAB6E" w:rsidR="006C63E5" w:rsidRPr="00470E6E" w:rsidRDefault="006C63E5" w:rsidP="006C63E5">
            <w:pPr>
              <w:rPr>
                <w:b/>
                <w:bCs/>
                <w:noProof/>
              </w:rPr>
            </w:pPr>
            <w:r>
              <w:rPr>
                <w:b/>
                <w:noProof/>
              </w:rPr>
              <w:t>3</w:t>
            </w:r>
          </w:p>
        </w:tc>
        <w:tc>
          <w:tcPr>
            <w:tcW w:w="1328" w:type="dxa"/>
            <w:noWrap/>
            <w:hideMark/>
          </w:tcPr>
          <w:p w14:paraId="5F1BBD59" w14:textId="68796C2E" w:rsidR="006C63E5" w:rsidRPr="00470E6E" w:rsidRDefault="006C63E5" w:rsidP="006C63E5">
            <w:pPr>
              <w:rPr>
                <w:b/>
                <w:bCs/>
                <w:noProof/>
              </w:rPr>
            </w:pPr>
            <w:r>
              <w:rPr>
                <w:b/>
                <w:noProof/>
              </w:rPr>
              <w:t>100 %</w:t>
            </w:r>
          </w:p>
        </w:tc>
        <w:tc>
          <w:tcPr>
            <w:tcW w:w="1536" w:type="dxa"/>
            <w:noWrap/>
            <w:hideMark/>
          </w:tcPr>
          <w:p w14:paraId="463BDDD1" w14:textId="15381D05" w:rsidR="006C63E5" w:rsidRPr="00470E6E" w:rsidRDefault="006C63E5" w:rsidP="006C63E5">
            <w:pPr>
              <w:rPr>
                <w:b/>
                <w:bCs/>
                <w:noProof/>
              </w:rPr>
            </w:pPr>
            <w:r>
              <w:rPr>
                <w:b/>
                <w:noProof/>
              </w:rPr>
              <w:t>6,82 %</w:t>
            </w:r>
          </w:p>
        </w:tc>
      </w:tr>
      <w:tr w:rsidR="006C63E5" w:rsidRPr="00470E6E" w14:paraId="592DB880" w14:textId="77777777" w:rsidTr="005562DD">
        <w:trPr>
          <w:trHeight w:val="300"/>
        </w:trPr>
        <w:tc>
          <w:tcPr>
            <w:tcW w:w="509" w:type="dxa"/>
            <w:tcBorders>
              <w:right w:val="single" w:sz="4" w:space="0" w:color="FFFFFF" w:themeColor="background1"/>
            </w:tcBorders>
            <w:noWrap/>
            <w:hideMark/>
          </w:tcPr>
          <w:p w14:paraId="430931A4" w14:textId="77777777" w:rsidR="006C63E5" w:rsidRPr="00470E6E" w:rsidRDefault="006C63E5" w:rsidP="006C63E5">
            <w:pPr>
              <w:rPr>
                <w:noProof/>
                <w:lang w:val="en-IE"/>
              </w:rPr>
            </w:pPr>
          </w:p>
        </w:tc>
        <w:tc>
          <w:tcPr>
            <w:tcW w:w="5655" w:type="dxa"/>
            <w:tcBorders>
              <w:left w:val="single" w:sz="4" w:space="0" w:color="FFFFFF" w:themeColor="background1"/>
            </w:tcBorders>
            <w:noWrap/>
            <w:hideMark/>
          </w:tcPr>
          <w:p w14:paraId="52C24608" w14:textId="77777777" w:rsidR="006C63E5" w:rsidRPr="00470E6E" w:rsidRDefault="006C63E5" w:rsidP="006C63E5">
            <w:pPr>
              <w:rPr>
                <w:noProof/>
              </w:rPr>
            </w:pPr>
            <w:r>
              <w:rPr>
                <w:noProof/>
              </w:rPr>
              <w:t>Éruptions</w:t>
            </w:r>
          </w:p>
        </w:tc>
        <w:tc>
          <w:tcPr>
            <w:tcW w:w="934" w:type="dxa"/>
            <w:noWrap/>
            <w:hideMark/>
          </w:tcPr>
          <w:p w14:paraId="02058F81" w14:textId="24BE0968" w:rsidR="006C63E5" w:rsidRPr="00470E6E" w:rsidRDefault="006C63E5" w:rsidP="006C63E5">
            <w:pPr>
              <w:rPr>
                <w:noProof/>
              </w:rPr>
            </w:pPr>
            <w:r>
              <w:rPr>
                <w:noProof/>
              </w:rPr>
              <w:t>0</w:t>
            </w:r>
          </w:p>
        </w:tc>
        <w:tc>
          <w:tcPr>
            <w:tcW w:w="1328" w:type="dxa"/>
            <w:noWrap/>
            <w:hideMark/>
          </w:tcPr>
          <w:p w14:paraId="2A5EFF3D" w14:textId="297BA44A" w:rsidR="006C63E5" w:rsidRPr="00470E6E" w:rsidRDefault="006C63E5" w:rsidP="006C63E5">
            <w:pPr>
              <w:rPr>
                <w:noProof/>
              </w:rPr>
            </w:pPr>
            <w:r>
              <w:rPr>
                <w:noProof/>
              </w:rPr>
              <w:t>0 %</w:t>
            </w:r>
          </w:p>
        </w:tc>
        <w:tc>
          <w:tcPr>
            <w:tcW w:w="1536" w:type="dxa"/>
            <w:noWrap/>
            <w:hideMark/>
          </w:tcPr>
          <w:p w14:paraId="1972838F" w14:textId="075A65A1" w:rsidR="006C63E5" w:rsidRPr="00470E6E" w:rsidRDefault="006C63E5" w:rsidP="006C63E5">
            <w:pPr>
              <w:rPr>
                <w:noProof/>
              </w:rPr>
            </w:pPr>
            <w:r>
              <w:rPr>
                <w:noProof/>
              </w:rPr>
              <w:t>0,00 %</w:t>
            </w:r>
          </w:p>
        </w:tc>
      </w:tr>
      <w:tr w:rsidR="006C63E5" w:rsidRPr="00470E6E" w14:paraId="2ED85B0C" w14:textId="77777777" w:rsidTr="005562DD">
        <w:trPr>
          <w:trHeight w:val="300"/>
        </w:trPr>
        <w:tc>
          <w:tcPr>
            <w:tcW w:w="509" w:type="dxa"/>
            <w:tcBorders>
              <w:right w:val="single" w:sz="4" w:space="0" w:color="FFFFFF" w:themeColor="background1"/>
            </w:tcBorders>
            <w:noWrap/>
            <w:hideMark/>
          </w:tcPr>
          <w:p w14:paraId="4A0BDF24" w14:textId="77777777" w:rsidR="006C63E5" w:rsidRPr="00470E6E" w:rsidRDefault="006C63E5" w:rsidP="006C63E5">
            <w:pPr>
              <w:rPr>
                <w:noProof/>
                <w:lang w:val="en-IE"/>
              </w:rPr>
            </w:pPr>
          </w:p>
        </w:tc>
        <w:tc>
          <w:tcPr>
            <w:tcW w:w="5655" w:type="dxa"/>
            <w:tcBorders>
              <w:left w:val="single" w:sz="4" w:space="0" w:color="FFFFFF" w:themeColor="background1"/>
            </w:tcBorders>
            <w:noWrap/>
            <w:hideMark/>
          </w:tcPr>
          <w:p w14:paraId="447C3D59" w14:textId="77777777" w:rsidR="006C63E5" w:rsidRPr="00470E6E" w:rsidRDefault="006C63E5" w:rsidP="006C63E5">
            <w:pPr>
              <w:rPr>
                <w:noProof/>
              </w:rPr>
            </w:pPr>
            <w:r>
              <w:rPr>
                <w:noProof/>
              </w:rPr>
              <w:t>Éruption/activation du déflecteur</w:t>
            </w:r>
          </w:p>
        </w:tc>
        <w:tc>
          <w:tcPr>
            <w:tcW w:w="934" w:type="dxa"/>
            <w:noWrap/>
            <w:hideMark/>
          </w:tcPr>
          <w:p w14:paraId="6D4A4DEE" w14:textId="31F9948D" w:rsidR="006C63E5" w:rsidRPr="00470E6E" w:rsidRDefault="006C63E5" w:rsidP="006C63E5">
            <w:pPr>
              <w:rPr>
                <w:noProof/>
              </w:rPr>
            </w:pPr>
            <w:r>
              <w:rPr>
                <w:noProof/>
              </w:rPr>
              <w:t>3</w:t>
            </w:r>
          </w:p>
        </w:tc>
        <w:tc>
          <w:tcPr>
            <w:tcW w:w="1328" w:type="dxa"/>
            <w:noWrap/>
            <w:hideMark/>
          </w:tcPr>
          <w:p w14:paraId="569C920E" w14:textId="4EC4AE80" w:rsidR="006C63E5" w:rsidRPr="00470E6E" w:rsidRDefault="006C63E5" w:rsidP="006C63E5">
            <w:pPr>
              <w:rPr>
                <w:noProof/>
              </w:rPr>
            </w:pPr>
            <w:r>
              <w:rPr>
                <w:noProof/>
              </w:rPr>
              <w:t>100 %</w:t>
            </w:r>
          </w:p>
        </w:tc>
        <w:tc>
          <w:tcPr>
            <w:tcW w:w="1536" w:type="dxa"/>
            <w:noWrap/>
            <w:hideMark/>
          </w:tcPr>
          <w:p w14:paraId="4F9C00D2" w14:textId="6A675710" w:rsidR="006C63E5" w:rsidRPr="00470E6E" w:rsidRDefault="006C63E5" w:rsidP="006C63E5">
            <w:pPr>
              <w:rPr>
                <w:noProof/>
              </w:rPr>
            </w:pPr>
            <w:r>
              <w:rPr>
                <w:noProof/>
              </w:rPr>
              <w:t>6,82 %</w:t>
            </w:r>
          </w:p>
        </w:tc>
      </w:tr>
      <w:tr w:rsidR="006C63E5" w:rsidRPr="00470E6E" w14:paraId="31313E08" w14:textId="77777777" w:rsidTr="005562DD">
        <w:trPr>
          <w:trHeight w:val="300"/>
        </w:trPr>
        <w:tc>
          <w:tcPr>
            <w:tcW w:w="509" w:type="dxa"/>
            <w:tcBorders>
              <w:right w:val="single" w:sz="4" w:space="0" w:color="FFFFFF" w:themeColor="background1"/>
            </w:tcBorders>
            <w:noWrap/>
            <w:hideMark/>
          </w:tcPr>
          <w:p w14:paraId="3D299E45" w14:textId="77777777" w:rsidR="006C63E5" w:rsidRPr="00470E6E" w:rsidRDefault="006C63E5" w:rsidP="006C63E5">
            <w:pPr>
              <w:rPr>
                <w:noProof/>
                <w:lang w:val="en-IE"/>
              </w:rPr>
            </w:pPr>
          </w:p>
        </w:tc>
        <w:tc>
          <w:tcPr>
            <w:tcW w:w="5655" w:type="dxa"/>
            <w:tcBorders>
              <w:left w:val="single" w:sz="4" w:space="0" w:color="FFFFFF" w:themeColor="background1"/>
            </w:tcBorders>
            <w:noWrap/>
            <w:hideMark/>
          </w:tcPr>
          <w:p w14:paraId="00A99EC7" w14:textId="77777777" w:rsidR="006C63E5" w:rsidRPr="00470E6E" w:rsidRDefault="006C63E5" w:rsidP="006C63E5">
            <w:pPr>
              <w:rPr>
                <w:noProof/>
              </w:rPr>
            </w:pPr>
            <w:r>
              <w:rPr>
                <w:noProof/>
              </w:rPr>
              <w:t>Défaillance d’une barrière de puits</w:t>
            </w:r>
          </w:p>
        </w:tc>
        <w:tc>
          <w:tcPr>
            <w:tcW w:w="934" w:type="dxa"/>
            <w:noWrap/>
            <w:hideMark/>
          </w:tcPr>
          <w:p w14:paraId="063CE661" w14:textId="1983F69A" w:rsidR="006C63E5" w:rsidRPr="00470E6E" w:rsidRDefault="006C63E5" w:rsidP="006C63E5">
            <w:pPr>
              <w:rPr>
                <w:noProof/>
              </w:rPr>
            </w:pPr>
            <w:r>
              <w:rPr>
                <w:noProof/>
              </w:rPr>
              <w:t>0</w:t>
            </w:r>
          </w:p>
        </w:tc>
        <w:tc>
          <w:tcPr>
            <w:tcW w:w="1328" w:type="dxa"/>
            <w:noWrap/>
            <w:hideMark/>
          </w:tcPr>
          <w:p w14:paraId="695EBF8C" w14:textId="76983A19" w:rsidR="006C63E5" w:rsidRPr="00470E6E" w:rsidRDefault="006C63E5" w:rsidP="006C63E5">
            <w:pPr>
              <w:rPr>
                <w:noProof/>
              </w:rPr>
            </w:pPr>
            <w:r>
              <w:rPr>
                <w:noProof/>
              </w:rPr>
              <w:t>0 %</w:t>
            </w:r>
          </w:p>
        </w:tc>
        <w:tc>
          <w:tcPr>
            <w:tcW w:w="1536" w:type="dxa"/>
            <w:noWrap/>
            <w:hideMark/>
          </w:tcPr>
          <w:p w14:paraId="72E75EEA" w14:textId="48F9CE36" w:rsidR="006C63E5" w:rsidRPr="00470E6E" w:rsidRDefault="006C63E5" w:rsidP="006C63E5">
            <w:pPr>
              <w:rPr>
                <w:noProof/>
              </w:rPr>
            </w:pPr>
            <w:r>
              <w:rPr>
                <w:noProof/>
              </w:rPr>
              <w:t>0,00 %</w:t>
            </w:r>
          </w:p>
        </w:tc>
      </w:tr>
      <w:tr w:rsidR="006C63E5" w:rsidRPr="00470E6E" w14:paraId="7EB82062" w14:textId="77777777" w:rsidTr="005562DD">
        <w:trPr>
          <w:trHeight w:val="300"/>
        </w:trPr>
        <w:tc>
          <w:tcPr>
            <w:tcW w:w="509" w:type="dxa"/>
            <w:tcBorders>
              <w:right w:val="single" w:sz="4" w:space="0" w:color="FFFFFF" w:themeColor="background1"/>
            </w:tcBorders>
            <w:noWrap/>
            <w:hideMark/>
          </w:tcPr>
          <w:p w14:paraId="492578AC" w14:textId="77777777" w:rsidR="006C63E5" w:rsidRPr="00470E6E" w:rsidRDefault="006C63E5" w:rsidP="006C63E5">
            <w:pPr>
              <w:rPr>
                <w:b/>
                <w:noProof/>
              </w:rPr>
            </w:pPr>
            <w:r>
              <w:rPr>
                <w:b/>
                <w:noProof/>
              </w:rPr>
              <w:t xml:space="preserve">c) </w:t>
            </w:r>
          </w:p>
        </w:tc>
        <w:tc>
          <w:tcPr>
            <w:tcW w:w="5655" w:type="dxa"/>
            <w:tcBorders>
              <w:left w:val="single" w:sz="4" w:space="0" w:color="FFFFFF" w:themeColor="background1"/>
            </w:tcBorders>
            <w:noWrap/>
            <w:hideMark/>
          </w:tcPr>
          <w:p w14:paraId="3D932810" w14:textId="77777777" w:rsidR="006C63E5" w:rsidRPr="00470E6E" w:rsidRDefault="006C63E5" w:rsidP="006C63E5">
            <w:pPr>
              <w:rPr>
                <w:b/>
                <w:noProof/>
              </w:rPr>
            </w:pPr>
            <w:r>
              <w:rPr>
                <w:b/>
                <w:noProof/>
              </w:rPr>
              <w:t>Défaillance d’éléments critiques pour la sécurité et l’environnement</w:t>
            </w:r>
          </w:p>
        </w:tc>
        <w:tc>
          <w:tcPr>
            <w:tcW w:w="934" w:type="dxa"/>
            <w:noWrap/>
            <w:hideMark/>
          </w:tcPr>
          <w:p w14:paraId="5174D5E3" w14:textId="4C4CF979" w:rsidR="006C63E5" w:rsidRPr="00470E6E" w:rsidRDefault="006C63E5" w:rsidP="006C63E5">
            <w:pPr>
              <w:rPr>
                <w:b/>
                <w:bCs/>
                <w:noProof/>
              </w:rPr>
            </w:pPr>
            <w:r>
              <w:rPr>
                <w:b/>
                <w:noProof/>
              </w:rPr>
              <w:t>3</w:t>
            </w:r>
          </w:p>
        </w:tc>
        <w:tc>
          <w:tcPr>
            <w:tcW w:w="1328" w:type="dxa"/>
            <w:noWrap/>
            <w:hideMark/>
          </w:tcPr>
          <w:p w14:paraId="0A3E4AC6" w14:textId="400B7F2F" w:rsidR="006C63E5" w:rsidRPr="00470E6E" w:rsidRDefault="006C63E5" w:rsidP="006C63E5">
            <w:pPr>
              <w:rPr>
                <w:b/>
                <w:bCs/>
                <w:noProof/>
              </w:rPr>
            </w:pPr>
            <w:r>
              <w:rPr>
                <w:b/>
                <w:noProof/>
              </w:rPr>
              <w:t>100 %</w:t>
            </w:r>
          </w:p>
        </w:tc>
        <w:tc>
          <w:tcPr>
            <w:tcW w:w="1536" w:type="dxa"/>
            <w:noWrap/>
            <w:hideMark/>
          </w:tcPr>
          <w:p w14:paraId="12C73139" w14:textId="141AFAF4" w:rsidR="006C63E5" w:rsidRPr="00470E6E" w:rsidRDefault="006C63E5" w:rsidP="006C63E5">
            <w:pPr>
              <w:spacing w:line="360" w:lineRule="auto"/>
              <w:rPr>
                <w:b/>
                <w:bCs/>
                <w:noProof/>
              </w:rPr>
            </w:pPr>
            <w:r>
              <w:rPr>
                <w:b/>
                <w:noProof/>
              </w:rPr>
              <w:t>6,82 %</w:t>
            </w:r>
          </w:p>
        </w:tc>
      </w:tr>
      <w:tr w:rsidR="006C63E5" w:rsidRPr="00470E6E" w14:paraId="722AE31E" w14:textId="77777777" w:rsidTr="005562DD">
        <w:trPr>
          <w:trHeight w:val="300"/>
        </w:trPr>
        <w:tc>
          <w:tcPr>
            <w:tcW w:w="509" w:type="dxa"/>
            <w:tcBorders>
              <w:right w:val="single" w:sz="4" w:space="0" w:color="FFFFFF" w:themeColor="background1"/>
            </w:tcBorders>
            <w:noWrap/>
            <w:hideMark/>
          </w:tcPr>
          <w:p w14:paraId="78BF5725" w14:textId="77777777" w:rsidR="006C63E5" w:rsidRPr="00470E6E" w:rsidRDefault="006C63E5" w:rsidP="006C63E5">
            <w:pPr>
              <w:rPr>
                <w:b/>
                <w:noProof/>
              </w:rPr>
            </w:pPr>
            <w:r>
              <w:rPr>
                <w:b/>
                <w:noProof/>
              </w:rPr>
              <w:t>d)</w:t>
            </w:r>
          </w:p>
        </w:tc>
        <w:tc>
          <w:tcPr>
            <w:tcW w:w="5655" w:type="dxa"/>
            <w:tcBorders>
              <w:left w:val="single" w:sz="4" w:space="0" w:color="FFFFFF" w:themeColor="background1"/>
            </w:tcBorders>
            <w:noWrap/>
            <w:hideMark/>
          </w:tcPr>
          <w:p w14:paraId="5F7F16E8" w14:textId="77777777" w:rsidR="006C63E5" w:rsidRPr="00470E6E" w:rsidRDefault="006C63E5" w:rsidP="006C63E5">
            <w:pPr>
              <w:rPr>
                <w:b/>
                <w:noProof/>
              </w:rPr>
            </w:pPr>
            <w:r>
              <w:rPr>
                <w:b/>
                <w:noProof/>
              </w:rPr>
              <w:t>Perte d’intégrité structurelle — Total</w:t>
            </w:r>
          </w:p>
        </w:tc>
        <w:tc>
          <w:tcPr>
            <w:tcW w:w="934" w:type="dxa"/>
            <w:noWrap/>
            <w:hideMark/>
          </w:tcPr>
          <w:p w14:paraId="299EB4D9" w14:textId="6A1A240D" w:rsidR="006C63E5" w:rsidRPr="00470E6E" w:rsidRDefault="006C63E5" w:rsidP="006C63E5">
            <w:pPr>
              <w:rPr>
                <w:b/>
                <w:bCs/>
                <w:noProof/>
              </w:rPr>
            </w:pPr>
            <w:r>
              <w:rPr>
                <w:b/>
                <w:noProof/>
              </w:rPr>
              <w:t>0</w:t>
            </w:r>
          </w:p>
        </w:tc>
        <w:tc>
          <w:tcPr>
            <w:tcW w:w="1328" w:type="dxa"/>
            <w:noWrap/>
            <w:hideMark/>
          </w:tcPr>
          <w:p w14:paraId="488CB841" w14:textId="07E5F685" w:rsidR="006C63E5" w:rsidRPr="00470E6E" w:rsidRDefault="006C63E5" w:rsidP="006C63E5">
            <w:pPr>
              <w:rPr>
                <w:b/>
                <w:bCs/>
                <w:noProof/>
              </w:rPr>
            </w:pPr>
            <w:r>
              <w:rPr>
                <w:b/>
                <w:noProof/>
              </w:rPr>
              <w:t>0 %</w:t>
            </w:r>
          </w:p>
        </w:tc>
        <w:tc>
          <w:tcPr>
            <w:tcW w:w="1536" w:type="dxa"/>
            <w:noWrap/>
            <w:hideMark/>
          </w:tcPr>
          <w:p w14:paraId="59858422" w14:textId="1C2F0018" w:rsidR="006C63E5" w:rsidRPr="00470E6E" w:rsidRDefault="006C63E5" w:rsidP="006C63E5">
            <w:pPr>
              <w:rPr>
                <w:b/>
                <w:bCs/>
                <w:noProof/>
              </w:rPr>
            </w:pPr>
            <w:r>
              <w:rPr>
                <w:b/>
                <w:noProof/>
              </w:rPr>
              <w:t>0,00 %</w:t>
            </w:r>
          </w:p>
        </w:tc>
      </w:tr>
      <w:tr w:rsidR="006C63E5" w:rsidRPr="00470E6E" w14:paraId="241AB459" w14:textId="77777777" w:rsidTr="005562DD">
        <w:trPr>
          <w:trHeight w:val="300"/>
        </w:trPr>
        <w:tc>
          <w:tcPr>
            <w:tcW w:w="509" w:type="dxa"/>
            <w:tcBorders>
              <w:right w:val="single" w:sz="4" w:space="0" w:color="FFFFFF" w:themeColor="background1"/>
            </w:tcBorders>
            <w:noWrap/>
            <w:hideMark/>
          </w:tcPr>
          <w:p w14:paraId="7257DCC6" w14:textId="77777777" w:rsidR="006C63E5" w:rsidRPr="00470E6E" w:rsidRDefault="006C63E5" w:rsidP="006C63E5">
            <w:pPr>
              <w:rPr>
                <w:noProof/>
                <w:lang w:val="en-IE"/>
              </w:rPr>
            </w:pPr>
          </w:p>
        </w:tc>
        <w:tc>
          <w:tcPr>
            <w:tcW w:w="5655" w:type="dxa"/>
            <w:tcBorders>
              <w:left w:val="single" w:sz="4" w:space="0" w:color="FFFFFF" w:themeColor="background1"/>
            </w:tcBorders>
            <w:noWrap/>
            <w:hideMark/>
          </w:tcPr>
          <w:p w14:paraId="2FBD80E8" w14:textId="77777777" w:rsidR="006C63E5" w:rsidRPr="00470E6E" w:rsidRDefault="006C63E5" w:rsidP="006C63E5">
            <w:pPr>
              <w:rPr>
                <w:noProof/>
              </w:rPr>
            </w:pPr>
            <w:r>
              <w:rPr>
                <w:noProof/>
              </w:rPr>
              <w:t>Perte d’intégrité structurelle</w:t>
            </w:r>
          </w:p>
        </w:tc>
        <w:tc>
          <w:tcPr>
            <w:tcW w:w="934" w:type="dxa"/>
            <w:noWrap/>
            <w:hideMark/>
          </w:tcPr>
          <w:p w14:paraId="14070A31" w14:textId="52235FE6" w:rsidR="006C63E5" w:rsidRPr="00470E6E" w:rsidRDefault="006C63E5" w:rsidP="006C63E5">
            <w:pPr>
              <w:rPr>
                <w:noProof/>
              </w:rPr>
            </w:pPr>
            <w:r>
              <w:rPr>
                <w:noProof/>
              </w:rPr>
              <w:t>0</w:t>
            </w:r>
          </w:p>
        </w:tc>
        <w:tc>
          <w:tcPr>
            <w:tcW w:w="1328" w:type="dxa"/>
            <w:noWrap/>
            <w:hideMark/>
          </w:tcPr>
          <w:p w14:paraId="6D1EBF55" w14:textId="3222E9D3" w:rsidR="006C63E5" w:rsidRPr="00470E6E" w:rsidRDefault="006C63E5" w:rsidP="006C63E5">
            <w:pPr>
              <w:rPr>
                <w:noProof/>
              </w:rPr>
            </w:pPr>
            <w:r>
              <w:rPr>
                <w:noProof/>
              </w:rPr>
              <w:t>--</w:t>
            </w:r>
          </w:p>
        </w:tc>
        <w:tc>
          <w:tcPr>
            <w:tcW w:w="1536" w:type="dxa"/>
            <w:noWrap/>
            <w:hideMark/>
          </w:tcPr>
          <w:p w14:paraId="4F9F0F4C" w14:textId="00711361" w:rsidR="006C63E5" w:rsidRPr="00470E6E" w:rsidRDefault="006C63E5" w:rsidP="006C63E5">
            <w:pPr>
              <w:rPr>
                <w:noProof/>
              </w:rPr>
            </w:pPr>
            <w:r>
              <w:rPr>
                <w:noProof/>
              </w:rPr>
              <w:t>0,00 %</w:t>
            </w:r>
          </w:p>
        </w:tc>
      </w:tr>
      <w:tr w:rsidR="006C63E5" w:rsidRPr="00470E6E" w14:paraId="31C1BB82" w14:textId="77777777" w:rsidTr="005562DD">
        <w:trPr>
          <w:trHeight w:val="300"/>
        </w:trPr>
        <w:tc>
          <w:tcPr>
            <w:tcW w:w="509" w:type="dxa"/>
            <w:tcBorders>
              <w:right w:val="single" w:sz="4" w:space="0" w:color="FFFFFF" w:themeColor="background1"/>
            </w:tcBorders>
            <w:noWrap/>
            <w:hideMark/>
          </w:tcPr>
          <w:p w14:paraId="2F8576BA" w14:textId="77777777" w:rsidR="006C63E5" w:rsidRPr="00470E6E" w:rsidRDefault="006C63E5" w:rsidP="006C63E5">
            <w:pPr>
              <w:rPr>
                <w:noProof/>
                <w:lang w:val="en-IE"/>
              </w:rPr>
            </w:pPr>
          </w:p>
        </w:tc>
        <w:tc>
          <w:tcPr>
            <w:tcW w:w="5655" w:type="dxa"/>
            <w:tcBorders>
              <w:left w:val="single" w:sz="4" w:space="0" w:color="FFFFFF" w:themeColor="background1"/>
            </w:tcBorders>
            <w:noWrap/>
            <w:hideMark/>
          </w:tcPr>
          <w:p w14:paraId="2E28807C" w14:textId="77777777" w:rsidR="006C63E5" w:rsidRPr="00470E6E" w:rsidRDefault="006C63E5" w:rsidP="006C63E5">
            <w:pPr>
              <w:rPr>
                <w:noProof/>
              </w:rPr>
            </w:pPr>
            <w:r>
              <w:rPr>
                <w:noProof/>
              </w:rPr>
              <w:t>Perte de stabilité/flottabilité</w:t>
            </w:r>
          </w:p>
        </w:tc>
        <w:tc>
          <w:tcPr>
            <w:tcW w:w="934" w:type="dxa"/>
            <w:noWrap/>
            <w:hideMark/>
          </w:tcPr>
          <w:p w14:paraId="62D5D063" w14:textId="0D012DE8" w:rsidR="006C63E5" w:rsidRPr="00470E6E" w:rsidRDefault="006C63E5" w:rsidP="006C63E5">
            <w:pPr>
              <w:rPr>
                <w:noProof/>
              </w:rPr>
            </w:pPr>
            <w:r>
              <w:rPr>
                <w:noProof/>
              </w:rPr>
              <w:t>0</w:t>
            </w:r>
          </w:p>
        </w:tc>
        <w:tc>
          <w:tcPr>
            <w:tcW w:w="1328" w:type="dxa"/>
            <w:noWrap/>
            <w:hideMark/>
          </w:tcPr>
          <w:p w14:paraId="3FA860C6" w14:textId="014AE392" w:rsidR="006C63E5" w:rsidRPr="00470E6E" w:rsidRDefault="006C63E5" w:rsidP="006C63E5">
            <w:pPr>
              <w:rPr>
                <w:noProof/>
              </w:rPr>
            </w:pPr>
            <w:r>
              <w:rPr>
                <w:noProof/>
              </w:rPr>
              <w:t>--</w:t>
            </w:r>
          </w:p>
        </w:tc>
        <w:tc>
          <w:tcPr>
            <w:tcW w:w="1536" w:type="dxa"/>
            <w:noWrap/>
            <w:hideMark/>
          </w:tcPr>
          <w:p w14:paraId="39955A9B" w14:textId="3108FF31" w:rsidR="006C63E5" w:rsidRPr="00470E6E" w:rsidRDefault="006C63E5" w:rsidP="006C63E5">
            <w:pPr>
              <w:rPr>
                <w:noProof/>
              </w:rPr>
            </w:pPr>
            <w:r>
              <w:rPr>
                <w:noProof/>
              </w:rPr>
              <w:t>0,00 %</w:t>
            </w:r>
          </w:p>
        </w:tc>
      </w:tr>
      <w:tr w:rsidR="006C63E5" w:rsidRPr="00470E6E" w14:paraId="704BBC0A" w14:textId="77777777" w:rsidTr="005562DD">
        <w:trPr>
          <w:trHeight w:val="300"/>
        </w:trPr>
        <w:tc>
          <w:tcPr>
            <w:tcW w:w="509" w:type="dxa"/>
            <w:tcBorders>
              <w:right w:val="single" w:sz="4" w:space="0" w:color="FFFFFF" w:themeColor="background1"/>
            </w:tcBorders>
            <w:noWrap/>
            <w:hideMark/>
          </w:tcPr>
          <w:p w14:paraId="704343D7" w14:textId="77777777" w:rsidR="006C63E5" w:rsidRPr="00470E6E" w:rsidRDefault="006C63E5" w:rsidP="006C63E5">
            <w:pPr>
              <w:rPr>
                <w:noProof/>
                <w:lang w:val="en-IE"/>
              </w:rPr>
            </w:pPr>
          </w:p>
        </w:tc>
        <w:tc>
          <w:tcPr>
            <w:tcW w:w="5655" w:type="dxa"/>
            <w:tcBorders>
              <w:left w:val="single" w:sz="4" w:space="0" w:color="FFFFFF" w:themeColor="background1"/>
            </w:tcBorders>
            <w:noWrap/>
            <w:hideMark/>
          </w:tcPr>
          <w:p w14:paraId="5F8E723C" w14:textId="77777777" w:rsidR="006C63E5" w:rsidRPr="00470E6E" w:rsidRDefault="006C63E5" w:rsidP="006C63E5">
            <w:pPr>
              <w:rPr>
                <w:noProof/>
              </w:rPr>
            </w:pPr>
            <w:r>
              <w:rPr>
                <w:noProof/>
              </w:rPr>
              <w:t>Déplacement involontaire</w:t>
            </w:r>
          </w:p>
        </w:tc>
        <w:tc>
          <w:tcPr>
            <w:tcW w:w="934" w:type="dxa"/>
            <w:noWrap/>
            <w:hideMark/>
          </w:tcPr>
          <w:p w14:paraId="76C14D9F" w14:textId="4132BDE7" w:rsidR="006C63E5" w:rsidRPr="00470E6E" w:rsidRDefault="006C63E5" w:rsidP="006C63E5">
            <w:pPr>
              <w:rPr>
                <w:noProof/>
              </w:rPr>
            </w:pPr>
            <w:r>
              <w:rPr>
                <w:noProof/>
              </w:rPr>
              <w:t>0</w:t>
            </w:r>
          </w:p>
        </w:tc>
        <w:tc>
          <w:tcPr>
            <w:tcW w:w="1328" w:type="dxa"/>
            <w:noWrap/>
            <w:hideMark/>
          </w:tcPr>
          <w:p w14:paraId="70CBC731" w14:textId="52AC0C00" w:rsidR="006C63E5" w:rsidRPr="00470E6E" w:rsidRDefault="006C63E5" w:rsidP="006C63E5">
            <w:pPr>
              <w:rPr>
                <w:noProof/>
              </w:rPr>
            </w:pPr>
            <w:r>
              <w:rPr>
                <w:noProof/>
              </w:rPr>
              <w:t>--</w:t>
            </w:r>
          </w:p>
        </w:tc>
        <w:tc>
          <w:tcPr>
            <w:tcW w:w="1536" w:type="dxa"/>
            <w:noWrap/>
            <w:hideMark/>
          </w:tcPr>
          <w:p w14:paraId="54A59B82" w14:textId="2D5547F9" w:rsidR="006C63E5" w:rsidRPr="00470E6E" w:rsidRDefault="006C63E5" w:rsidP="006C63E5">
            <w:pPr>
              <w:rPr>
                <w:noProof/>
              </w:rPr>
            </w:pPr>
            <w:r>
              <w:rPr>
                <w:noProof/>
              </w:rPr>
              <w:t>0,00 %</w:t>
            </w:r>
          </w:p>
        </w:tc>
      </w:tr>
      <w:tr w:rsidR="006C63E5" w:rsidRPr="00470E6E" w14:paraId="251791DA" w14:textId="77777777" w:rsidTr="005562DD">
        <w:trPr>
          <w:trHeight w:val="300"/>
        </w:trPr>
        <w:tc>
          <w:tcPr>
            <w:tcW w:w="509" w:type="dxa"/>
            <w:tcBorders>
              <w:right w:val="single" w:sz="4" w:space="0" w:color="FFFFFF" w:themeColor="background1"/>
            </w:tcBorders>
            <w:noWrap/>
            <w:hideMark/>
          </w:tcPr>
          <w:p w14:paraId="2479C877" w14:textId="77777777" w:rsidR="006C63E5" w:rsidRPr="00470E6E" w:rsidRDefault="006C63E5" w:rsidP="006C63E5">
            <w:pPr>
              <w:rPr>
                <w:b/>
                <w:noProof/>
              </w:rPr>
            </w:pPr>
            <w:r>
              <w:rPr>
                <w:b/>
                <w:noProof/>
              </w:rPr>
              <w:t xml:space="preserve">e) </w:t>
            </w:r>
          </w:p>
        </w:tc>
        <w:tc>
          <w:tcPr>
            <w:tcW w:w="5655" w:type="dxa"/>
            <w:tcBorders>
              <w:left w:val="single" w:sz="4" w:space="0" w:color="FFFFFF" w:themeColor="background1"/>
            </w:tcBorders>
            <w:noWrap/>
            <w:hideMark/>
          </w:tcPr>
          <w:p w14:paraId="6F0C4862" w14:textId="77777777" w:rsidR="006C63E5" w:rsidRPr="00470E6E" w:rsidRDefault="006C63E5" w:rsidP="006C63E5">
            <w:pPr>
              <w:rPr>
                <w:b/>
                <w:noProof/>
              </w:rPr>
            </w:pPr>
            <w:r>
              <w:rPr>
                <w:b/>
                <w:noProof/>
              </w:rPr>
              <w:t>Collisions impliquant des navires</w:t>
            </w:r>
          </w:p>
        </w:tc>
        <w:tc>
          <w:tcPr>
            <w:tcW w:w="934" w:type="dxa"/>
            <w:noWrap/>
            <w:hideMark/>
          </w:tcPr>
          <w:p w14:paraId="4541B88F" w14:textId="3BB6EB7B" w:rsidR="006C63E5" w:rsidRPr="00470E6E" w:rsidRDefault="006C63E5" w:rsidP="006C63E5">
            <w:pPr>
              <w:rPr>
                <w:b/>
                <w:bCs/>
                <w:noProof/>
              </w:rPr>
            </w:pPr>
            <w:r>
              <w:rPr>
                <w:b/>
                <w:noProof/>
              </w:rPr>
              <w:t>0</w:t>
            </w:r>
          </w:p>
        </w:tc>
        <w:tc>
          <w:tcPr>
            <w:tcW w:w="1328" w:type="dxa"/>
            <w:noWrap/>
          </w:tcPr>
          <w:p w14:paraId="05522197" w14:textId="3F24381F" w:rsidR="006C63E5" w:rsidRPr="00470E6E" w:rsidRDefault="00E05A88" w:rsidP="006C63E5">
            <w:pPr>
              <w:rPr>
                <w:b/>
                <w:bCs/>
                <w:noProof/>
              </w:rPr>
            </w:pPr>
            <w:r>
              <w:rPr>
                <w:b/>
                <w:noProof/>
              </w:rPr>
              <w:t>--</w:t>
            </w:r>
          </w:p>
        </w:tc>
        <w:tc>
          <w:tcPr>
            <w:tcW w:w="1536" w:type="dxa"/>
            <w:noWrap/>
          </w:tcPr>
          <w:p w14:paraId="3ADF56F4" w14:textId="3DE5DC55" w:rsidR="006C63E5" w:rsidRPr="00470E6E" w:rsidRDefault="006C63E5" w:rsidP="006C63E5">
            <w:pPr>
              <w:rPr>
                <w:b/>
                <w:bCs/>
                <w:noProof/>
                <w:highlight w:val="yellow"/>
              </w:rPr>
            </w:pPr>
            <w:r>
              <w:rPr>
                <w:noProof/>
              </w:rPr>
              <w:t>0,00 %</w:t>
            </w:r>
          </w:p>
        </w:tc>
      </w:tr>
      <w:tr w:rsidR="006C63E5" w:rsidRPr="00470E6E" w14:paraId="39FF918B" w14:textId="77777777" w:rsidTr="005562DD">
        <w:trPr>
          <w:trHeight w:val="300"/>
        </w:trPr>
        <w:tc>
          <w:tcPr>
            <w:tcW w:w="509" w:type="dxa"/>
            <w:tcBorders>
              <w:right w:val="single" w:sz="4" w:space="0" w:color="FFFFFF" w:themeColor="background1"/>
            </w:tcBorders>
            <w:noWrap/>
            <w:hideMark/>
          </w:tcPr>
          <w:p w14:paraId="14432F6A" w14:textId="77777777" w:rsidR="006C63E5" w:rsidRPr="00470E6E" w:rsidRDefault="006C63E5" w:rsidP="006C63E5">
            <w:pPr>
              <w:rPr>
                <w:b/>
                <w:noProof/>
              </w:rPr>
            </w:pPr>
            <w:r>
              <w:rPr>
                <w:b/>
                <w:noProof/>
              </w:rPr>
              <w:t>f)</w:t>
            </w:r>
          </w:p>
        </w:tc>
        <w:tc>
          <w:tcPr>
            <w:tcW w:w="5655" w:type="dxa"/>
            <w:tcBorders>
              <w:left w:val="single" w:sz="4" w:space="0" w:color="FFFFFF" w:themeColor="background1"/>
            </w:tcBorders>
            <w:noWrap/>
            <w:hideMark/>
          </w:tcPr>
          <w:p w14:paraId="707EB977" w14:textId="77777777" w:rsidR="006C63E5" w:rsidRPr="00470E6E" w:rsidRDefault="006C63E5" w:rsidP="006C63E5">
            <w:pPr>
              <w:rPr>
                <w:b/>
                <w:noProof/>
              </w:rPr>
            </w:pPr>
            <w:r>
              <w:rPr>
                <w:b/>
                <w:noProof/>
              </w:rPr>
              <w:t>Accidents d’hélicoptère</w:t>
            </w:r>
          </w:p>
        </w:tc>
        <w:tc>
          <w:tcPr>
            <w:tcW w:w="934" w:type="dxa"/>
            <w:noWrap/>
            <w:hideMark/>
          </w:tcPr>
          <w:p w14:paraId="489E00C4" w14:textId="7374A738" w:rsidR="006C63E5" w:rsidRPr="00470E6E" w:rsidRDefault="006C63E5" w:rsidP="006C63E5">
            <w:pPr>
              <w:rPr>
                <w:b/>
                <w:bCs/>
                <w:noProof/>
              </w:rPr>
            </w:pPr>
            <w:r>
              <w:rPr>
                <w:b/>
                <w:noProof/>
              </w:rPr>
              <w:t>0</w:t>
            </w:r>
          </w:p>
        </w:tc>
        <w:tc>
          <w:tcPr>
            <w:tcW w:w="1328" w:type="dxa"/>
            <w:noWrap/>
          </w:tcPr>
          <w:p w14:paraId="709046D4" w14:textId="7D152C2B" w:rsidR="006C63E5" w:rsidRPr="00470E6E" w:rsidRDefault="00E05A88" w:rsidP="006C63E5">
            <w:pPr>
              <w:rPr>
                <w:b/>
                <w:bCs/>
                <w:noProof/>
              </w:rPr>
            </w:pPr>
            <w:r>
              <w:rPr>
                <w:b/>
                <w:noProof/>
              </w:rPr>
              <w:t>--</w:t>
            </w:r>
          </w:p>
        </w:tc>
        <w:tc>
          <w:tcPr>
            <w:tcW w:w="1536" w:type="dxa"/>
            <w:noWrap/>
          </w:tcPr>
          <w:p w14:paraId="69FA14DF" w14:textId="23C503D5" w:rsidR="006C63E5" w:rsidRPr="00470E6E" w:rsidRDefault="006C63E5" w:rsidP="006C63E5">
            <w:pPr>
              <w:rPr>
                <w:b/>
                <w:bCs/>
                <w:noProof/>
                <w:highlight w:val="yellow"/>
              </w:rPr>
            </w:pPr>
            <w:r>
              <w:rPr>
                <w:noProof/>
              </w:rPr>
              <w:t>0,00 %</w:t>
            </w:r>
          </w:p>
        </w:tc>
      </w:tr>
      <w:tr w:rsidR="006C63E5" w:rsidRPr="00470E6E" w14:paraId="0BA19775" w14:textId="77777777" w:rsidTr="005562DD">
        <w:trPr>
          <w:trHeight w:val="300"/>
        </w:trPr>
        <w:tc>
          <w:tcPr>
            <w:tcW w:w="509" w:type="dxa"/>
            <w:tcBorders>
              <w:right w:val="single" w:sz="4" w:space="0" w:color="FFFFFF" w:themeColor="background1"/>
            </w:tcBorders>
            <w:noWrap/>
            <w:hideMark/>
          </w:tcPr>
          <w:p w14:paraId="1C7F55DE" w14:textId="77777777" w:rsidR="006C63E5" w:rsidRPr="00470E6E" w:rsidRDefault="006C63E5" w:rsidP="006C63E5">
            <w:pPr>
              <w:rPr>
                <w:b/>
                <w:noProof/>
              </w:rPr>
            </w:pPr>
            <w:r>
              <w:rPr>
                <w:b/>
                <w:noProof/>
              </w:rPr>
              <w:t>g)</w:t>
            </w:r>
          </w:p>
        </w:tc>
        <w:tc>
          <w:tcPr>
            <w:tcW w:w="5655" w:type="dxa"/>
            <w:tcBorders>
              <w:left w:val="single" w:sz="4" w:space="0" w:color="FFFFFF" w:themeColor="background1"/>
            </w:tcBorders>
            <w:noWrap/>
            <w:hideMark/>
          </w:tcPr>
          <w:p w14:paraId="5C0DED5A" w14:textId="020C38F0" w:rsidR="006C63E5" w:rsidRPr="00470E6E" w:rsidRDefault="006C63E5" w:rsidP="006C63E5">
            <w:pPr>
              <w:rPr>
                <w:b/>
                <w:noProof/>
              </w:rPr>
            </w:pPr>
            <w:r>
              <w:rPr>
                <w:b/>
                <w:noProof/>
              </w:rPr>
              <w:t>Accidents mortels (*)</w:t>
            </w:r>
          </w:p>
        </w:tc>
        <w:tc>
          <w:tcPr>
            <w:tcW w:w="934" w:type="dxa"/>
            <w:noWrap/>
            <w:hideMark/>
          </w:tcPr>
          <w:p w14:paraId="1D578F62" w14:textId="5D4011DE" w:rsidR="006C63E5" w:rsidRPr="00470E6E" w:rsidRDefault="006C63E5" w:rsidP="006C63E5">
            <w:pPr>
              <w:rPr>
                <w:b/>
                <w:bCs/>
                <w:noProof/>
              </w:rPr>
            </w:pPr>
            <w:r>
              <w:rPr>
                <w:b/>
                <w:noProof/>
              </w:rPr>
              <w:t>0</w:t>
            </w:r>
          </w:p>
        </w:tc>
        <w:tc>
          <w:tcPr>
            <w:tcW w:w="1328" w:type="dxa"/>
            <w:noWrap/>
          </w:tcPr>
          <w:p w14:paraId="4324557A" w14:textId="40ED7EC2" w:rsidR="006C63E5" w:rsidRPr="00470E6E" w:rsidRDefault="00E05A88" w:rsidP="006C63E5">
            <w:pPr>
              <w:rPr>
                <w:b/>
                <w:bCs/>
                <w:noProof/>
              </w:rPr>
            </w:pPr>
            <w:r>
              <w:rPr>
                <w:b/>
                <w:noProof/>
              </w:rPr>
              <w:t>--</w:t>
            </w:r>
          </w:p>
        </w:tc>
        <w:tc>
          <w:tcPr>
            <w:tcW w:w="1536" w:type="dxa"/>
            <w:noWrap/>
          </w:tcPr>
          <w:p w14:paraId="63F00FF8" w14:textId="1CBED636" w:rsidR="006C63E5" w:rsidRPr="00470E6E" w:rsidRDefault="006C63E5" w:rsidP="006C63E5">
            <w:pPr>
              <w:rPr>
                <w:b/>
                <w:bCs/>
                <w:noProof/>
                <w:highlight w:val="yellow"/>
              </w:rPr>
            </w:pPr>
            <w:r>
              <w:rPr>
                <w:noProof/>
              </w:rPr>
              <w:t>0,00 %</w:t>
            </w:r>
          </w:p>
        </w:tc>
      </w:tr>
      <w:tr w:rsidR="006C63E5" w:rsidRPr="00470E6E" w14:paraId="6692989E" w14:textId="77777777" w:rsidTr="005562DD">
        <w:trPr>
          <w:trHeight w:val="300"/>
        </w:trPr>
        <w:tc>
          <w:tcPr>
            <w:tcW w:w="509" w:type="dxa"/>
            <w:tcBorders>
              <w:right w:val="single" w:sz="4" w:space="0" w:color="FFFFFF" w:themeColor="background1"/>
            </w:tcBorders>
            <w:noWrap/>
            <w:hideMark/>
          </w:tcPr>
          <w:p w14:paraId="513C085E" w14:textId="77777777" w:rsidR="006C63E5" w:rsidRPr="00470E6E" w:rsidRDefault="006C63E5" w:rsidP="006C63E5">
            <w:pPr>
              <w:rPr>
                <w:b/>
                <w:noProof/>
              </w:rPr>
            </w:pPr>
            <w:r>
              <w:rPr>
                <w:b/>
                <w:noProof/>
              </w:rPr>
              <w:t>h)</w:t>
            </w:r>
          </w:p>
        </w:tc>
        <w:tc>
          <w:tcPr>
            <w:tcW w:w="5655" w:type="dxa"/>
            <w:tcBorders>
              <w:left w:val="single" w:sz="4" w:space="0" w:color="FFFFFF" w:themeColor="background1"/>
            </w:tcBorders>
            <w:noWrap/>
            <w:hideMark/>
          </w:tcPr>
          <w:p w14:paraId="0719E614" w14:textId="77777777" w:rsidR="006C63E5" w:rsidRPr="00470E6E" w:rsidRDefault="006C63E5" w:rsidP="006C63E5">
            <w:pPr>
              <w:rPr>
                <w:b/>
                <w:noProof/>
              </w:rPr>
            </w:pPr>
            <w:r>
              <w:rPr>
                <w:b/>
                <w:noProof/>
              </w:rPr>
              <w:t>Cinq blessés graves ou plus dans le même accident</w:t>
            </w:r>
          </w:p>
        </w:tc>
        <w:tc>
          <w:tcPr>
            <w:tcW w:w="934" w:type="dxa"/>
            <w:noWrap/>
            <w:hideMark/>
          </w:tcPr>
          <w:p w14:paraId="079C3E46" w14:textId="7DFA5BAB" w:rsidR="006C63E5" w:rsidRPr="00470E6E" w:rsidRDefault="006C63E5" w:rsidP="006C63E5">
            <w:pPr>
              <w:rPr>
                <w:b/>
                <w:bCs/>
                <w:noProof/>
              </w:rPr>
            </w:pPr>
            <w:r>
              <w:rPr>
                <w:b/>
                <w:noProof/>
              </w:rPr>
              <w:t>0</w:t>
            </w:r>
          </w:p>
        </w:tc>
        <w:tc>
          <w:tcPr>
            <w:tcW w:w="1328" w:type="dxa"/>
            <w:noWrap/>
          </w:tcPr>
          <w:p w14:paraId="100DAEF7" w14:textId="78E4137A" w:rsidR="006C63E5" w:rsidRPr="00470E6E" w:rsidRDefault="00E05A88" w:rsidP="006C63E5">
            <w:pPr>
              <w:rPr>
                <w:b/>
                <w:bCs/>
                <w:noProof/>
              </w:rPr>
            </w:pPr>
            <w:r>
              <w:rPr>
                <w:b/>
                <w:noProof/>
              </w:rPr>
              <w:t>--</w:t>
            </w:r>
          </w:p>
        </w:tc>
        <w:tc>
          <w:tcPr>
            <w:tcW w:w="1536" w:type="dxa"/>
            <w:noWrap/>
          </w:tcPr>
          <w:p w14:paraId="77FE01A9" w14:textId="2DB4528E" w:rsidR="006C63E5" w:rsidRPr="00470E6E" w:rsidRDefault="006C63E5" w:rsidP="006C63E5">
            <w:pPr>
              <w:rPr>
                <w:b/>
                <w:bCs/>
                <w:noProof/>
                <w:highlight w:val="yellow"/>
              </w:rPr>
            </w:pPr>
            <w:r>
              <w:rPr>
                <w:noProof/>
              </w:rPr>
              <w:t>0,00 %</w:t>
            </w:r>
          </w:p>
        </w:tc>
      </w:tr>
      <w:tr w:rsidR="006C63E5" w:rsidRPr="00470E6E" w14:paraId="7995A8AA" w14:textId="77777777" w:rsidTr="005562DD">
        <w:trPr>
          <w:trHeight w:val="300"/>
        </w:trPr>
        <w:tc>
          <w:tcPr>
            <w:tcW w:w="509" w:type="dxa"/>
            <w:tcBorders>
              <w:right w:val="single" w:sz="4" w:space="0" w:color="FFFFFF" w:themeColor="background1"/>
            </w:tcBorders>
            <w:noWrap/>
            <w:hideMark/>
          </w:tcPr>
          <w:p w14:paraId="20F5D8B7" w14:textId="77777777" w:rsidR="006C63E5" w:rsidRPr="00470E6E" w:rsidRDefault="006C63E5" w:rsidP="006C63E5">
            <w:pPr>
              <w:rPr>
                <w:b/>
                <w:noProof/>
              </w:rPr>
            </w:pPr>
            <w:r>
              <w:rPr>
                <w:b/>
                <w:noProof/>
              </w:rPr>
              <w:t>i)</w:t>
            </w:r>
          </w:p>
        </w:tc>
        <w:tc>
          <w:tcPr>
            <w:tcW w:w="5655" w:type="dxa"/>
            <w:tcBorders>
              <w:left w:val="single" w:sz="4" w:space="0" w:color="FFFFFF" w:themeColor="background1"/>
            </w:tcBorders>
            <w:noWrap/>
            <w:hideMark/>
          </w:tcPr>
          <w:p w14:paraId="1287ACDD" w14:textId="77777777" w:rsidR="006C63E5" w:rsidRPr="00470E6E" w:rsidRDefault="006C63E5" w:rsidP="006C63E5">
            <w:pPr>
              <w:rPr>
                <w:b/>
                <w:noProof/>
              </w:rPr>
            </w:pPr>
            <w:r>
              <w:rPr>
                <w:b/>
                <w:noProof/>
              </w:rPr>
              <w:t>Évacuations du personnel</w:t>
            </w:r>
          </w:p>
        </w:tc>
        <w:tc>
          <w:tcPr>
            <w:tcW w:w="934" w:type="dxa"/>
            <w:noWrap/>
            <w:hideMark/>
          </w:tcPr>
          <w:p w14:paraId="79FF5F97" w14:textId="089BB027" w:rsidR="006C63E5" w:rsidRPr="00470E6E" w:rsidRDefault="006C63E5" w:rsidP="006C63E5">
            <w:pPr>
              <w:rPr>
                <w:b/>
                <w:bCs/>
                <w:noProof/>
              </w:rPr>
            </w:pPr>
            <w:r>
              <w:rPr>
                <w:b/>
                <w:noProof/>
              </w:rPr>
              <w:t>0</w:t>
            </w:r>
          </w:p>
        </w:tc>
        <w:tc>
          <w:tcPr>
            <w:tcW w:w="1328" w:type="dxa"/>
            <w:noWrap/>
          </w:tcPr>
          <w:p w14:paraId="550324BB" w14:textId="430196EB" w:rsidR="006C63E5" w:rsidRPr="00470E6E" w:rsidRDefault="00E05A88" w:rsidP="006C63E5">
            <w:pPr>
              <w:rPr>
                <w:b/>
                <w:bCs/>
                <w:noProof/>
              </w:rPr>
            </w:pPr>
            <w:r>
              <w:rPr>
                <w:b/>
                <w:noProof/>
              </w:rPr>
              <w:t>--</w:t>
            </w:r>
          </w:p>
        </w:tc>
        <w:tc>
          <w:tcPr>
            <w:tcW w:w="1536" w:type="dxa"/>
            <w:noWrap/>
          </w:tcPr>
          <w:p w14:paraId="74A503F4" w14:textId="61DC428C" w:rsidR="006C63E5" w:rsidRPr="00470E6E" w:rsidRDefault="006C63E5" w:rsidP="006C63E5">
            <w:pPr>
              <w:rPr>
                <w:b/>
                <w:bCs/>
                <w:noProof/>
                <w:highlight w:val="yellow"/>
              </w:rPr>
            </w:pPr>
            <w:r>
              <w:rPr>
                <w:noProof/>
              </w:rPr>
              <w:t>0,00 %</w:t>
            </w:r>
          </w:p>
        </w:tc>
      </w:tr>
      <w:tr w:rsidR="006C63E5" w:rsidRPr="00470E6E" w14:paraId="49EC4577" w14:textId="77777777" w:rsidTr="005562DD">
        <w:trPr>
          <w:trHeight w:val="300"/>
        </w:trPr>
        <w:tc>
          <w:tcPr>
            <w:tcW w:w="509" w:type="dxa"/>
            <w:tcBorders>
              <w:right w:val="single" w:sz="4" w:space="0" w:color="FFFFFF" w:themeColor="background1"/>
            </w:tcBorders>
            <w:noWrap/>
            <w:hideMark/>
          </w:tcPr>
          <w:p w14:paraId="7D7479DD" w14:textId="77777777" w:rsidR="006C63E5" w:rsidRPr="00470E6E" w:rsidRDefault="006C63E5" w:rsidP="006C63E5">
            <w:pPr>
              <w:rPr>
                <w:b/>
                <w:noProof/>
              </w:rPr>
            </w:pPr>
            <w:r>
              <w:rPr>
                <w:b/>
                <w:noProof/>
              </w:rPr>
              <w:t>j)</w:t>
            </w:r>
          </w:p>
        </w:tc>
        <w:tc>
          <w:tcPr>
            <w:tcW w:w="5655" w:type="dxa"/>
            <w:tcBorders>
              <w:left w:val="single" w:sz="4" w:space="0" w:color="FFFFFF" w:themeColor="background1"/>
            </w:tcBorders>
            <w:noWrap/>
            <w:hideMark/>
          </w:tcPr>
          <w:p w14:paraId="78741A14" w14:textId="77777777" w:rsidR="006C63E5" w:rsidRPr="00470E6E" w:rsidRDefault="006C63E5" w:rsidP="006C63E5">
            <w:pPr>
              <w:rPr>
                <w:b/>
                <w:noProof/>
              </w:rPr>
            </w:pPr>
            <w:r>
              <w:rPr>
                <w:b/>
                <w:noProof/>
              </w:rPr>
              <w:t>Accidents environnementaux</w:t>
            </w:r>
          </w:p>
        </w:tc>
        <w:tc>
          <w:tcPr>
            <w:tcW w:w="934" w:type="dxa"/>
            <w:noWrap/>
            <w:hideMark/>
          </w:tcPr>
          <w:p w14:paraId="191968C7" w14:textId="57C1738D" w:rsidR="006C63E5" w:rsidRPr="00470E6E" w:rsidRDefault="006C63E5" w:rsidP="006C63E5">
            <w:pPr>
              <w:rPr>
                <w:b/>
                <w:bCs/>
                <w:noProof/>
              </w:rPr>
            </w:pPr>
            <w:r>
              <w:rPr>
                <w:b/>
                <w:noProof/>
              </w:rPr>
              <w:t>0</w:t>
            </w:r>
          </w:p>
        </w:tc>
        <w:tc>
          <w:tcPr>
            <w:tcW w:w="1328" w:type="dxa"/>
            <w:noWrap/>
          </w:tcPr>
          <w:p w14:paraId="7ED56957" w14:textId="010B4243" w:rsidR="006C63E5" w:rsidRPr="00470E6E" w:rsidRDefault="00E05A88" w:rsidP="006C63E5">
            <w:pPr>
              <w:rPr>
                <w:b/>
                <w:bCs/>
                <w:noProof/>
              </w:rPr>
            </w:pPr>
            <w:r>
              <w:rPr>
                <w:b/>
                <w:noProof/>
              </w:rPr>
              <w:t>--</w:t>
            </w:r>
          </w:p>
        </w:tc>
        <w:tc>
          <w:tcPr>
            <w:tcW w:w="1536" w:type="dxa"/>
            <w:noWrap/>
          </w:tcPr>
          <w:p w14:paraId="5C3720A5" w14:textId="17439DD7" w:rsidR="006C63E5" w:rsidRPr="00470E6E" w:rsidRDefault="006C63E5" w:rsidP="006C63E5">
            <w:pPr>
              <w:rPr>
                <w:b/>
                <w:bCs/>
                <w:noProof/>
                <w:highlight w:val="yellow"/>
              </w:rPr>
            </w:pPr>
            <w:r>
              <w:rPr>
                <w:noProof/>
              </w:rPr>
              <w:t>0,00 %</w:t>
            </w:r>
          </w:p>
        </w:tc>
      </w:tr>
      <w:tr w:rsidR="006C63E5" w:rsidRPr="00470E6E" w14:paraId="7B447314" w14:textId="77777777" w:rsidTr="005562DD">
        <w:trPr>
          <w:trHeight w:val="300"/>
        </w:trPr>
        <w:tc>
          <w:tcPr>
            <w:tcW w:w="6164" w:type="dxa"/>
            <w:gridSpan w:val="2"/>
            <w:noWrap/>
            <w:hideMark/>
          </w:tcPr>
          <w:p w14:paraId="0831B2D0" w14:textId="77777777" w:rsidR="006C63E5" w:rsidRPr="00470E6E" w:rsidRDefault="006C63E5" w:rsidP="006C63E5">
            <w:pPr>
              <w:rPr>
                <w:b/>
                <w:noProof/>
              </w:rPr>
            </w:pPr>
            <w:r>
              <w:rPr>
                <w:b/>
                <w:noProof/>
              </w:rPr>
              <w:t>Total</w:t>
            </w:r>
          </w:p>
        </w:tc>
        <w:tc>
          <w:tcPr>
            <w:tcW w:w="934" w:type="dxa"/>
            <w:noWrap/>
            <w:hideMark/>
          </w:tcPr>
          <w:p w14:paraId="75A57B19" w14:textId="337AC895" w:rsidR="006C63E5" w:rsidRPr="00470E6E" w:rsidRDefault="006C63E5" w:rsidP="006C63E5">
            <w:pPr>
              <w:rPr>
                <w:b/>
                <w:noProof/>
              </w:rPr>
            </w:pPr>
            <w:r>
              <w:rPr>
                <w:b/>
                <w:noProof/>
              </w:rPr>
              <w:t>44</w:t>
            </w:r>
          </w:p>
        </w:tc>
        <w:tc>
          <w:tcPr>
            <w:tcW w:w="1328" w:type="dxa"/>
            <w:noWrap/>
          </w:tcPr>
          <w:p w14:paraId="68706E5B" w14:textId="251E28D5" w:rsidR="006C63E5" w:rsidRPr="00470E6E" w:rsidRDefault="006C63E5" w:rsidP="006C63E5">
            <w:pPr>
              <w:rPr>
                <w:b/>
                <w:noProof/>
                <w:lang w:val="en-IE"/>
              </w:rPr>
            </w:pPr>
          </w:p>
        </w:tc>
        <w:tc>
          <w:tcPr>
            <w:tcW w:w="1536" w:type="dxa"/>
            <w:noWrap/>
            <w:hideMark/>
          </w:tcPr>
          <w:p w14:paraId="3C469810" w14:textId="086DC63D" w:rsidR="006C63E5" w:rsidRPr="00470E6E" w:rsidRDefault="006C63E5" w:rsidP="006C63E5">
            <w:pPr>
              <w:rPr>
                <w:b/>
                <w:noProof/>
              </w:rPr>
            </w:pPr>
            <w:r>
              <w:rPr>
                <w:b/>
                <w:noProof/>
              </w:rPr>
              <w:t>100,00 %</w:t>
            </w:r>
          </w:p>
        </w:tc>
      </w:tr>
      <w:tr w:rsidR="00036698" w:rsidRPr="00470E6E" w14:paraId="6CBE8EBD" w14:textId="77777777" w:rsidTr="00370D52">
        <w:trPr>
          <w:trHeight w:val="300"/>
        </w:trPr>
        <w:tc>
          <w:tcPr>
            <w:tcW w:w="9962" w:type="dxa"/>
            <w:gridSpan w:val="5"/>
            <w:noWrap/>
          </w:tcPr>
          <w:p w14:paraId="0BFFBB3B" w14:textId="77777777" w:rsidR="00036698" w:rsidRPr="00470E6E" w:rsidRDefault="00036698" w:rsidP="00370D52">
            <w:pPr>
              <w:rPr>
                <w:noProof/>
              </w:rPr>
            </w:pPr>
            <w:r>
              <w:rPr>
                <w:noProof/>
              </w:rPr>
              <w:t>Uniquement en lien avec un accident majeur.</w:t>
            </w:r>
          </w:p>
        </w:tc>
      </w:tr>
    </w:tbl>
    <w:p w14:paraId="6576CD5D" w14:textId="77777777" w:rsidR="00036698" w:rsidRPr="003D2CCD" w:rsidRDefault="00036698" w:rsidP="00036698">
      <w:pPr>
        <w:jc w:val="both"/>
        <w:rPr>
          <w:rFonts w:ascii="Times New Roman" w:hAnsi="Times New Roman"/>
          <w:noProof/>
          <w:sz w:val="24"/>
          <w:szCs w:val="24"/>
          <w:lang w:val="fr-BE"/>
        </w:rPr>
      </w:pPr>
    </w:p>
    <w:p w14:paraId="19B1476C" w14:textId="15859731" w:rsidR="00036698" w:rsidRPr="00470E6E" w:rsidRDefault="00036698" w:rsidP="00036698">
      <w:pPr>
        <w:jc w:val="both"/>
        <w:rPr>
          <w:rFonts w:ascii="Times New Roman" w:hAnsi="Times New Roman"/>
          <w:noProof/>
          <w:sz w:val="24"/>
          <w:szCs w:val="24"/>
        </w:rPr>
      </w:pPr>
      <w:r>
        <w:rPr>
          <w:rFonts w:ascii="Times New Roman" w:hAnsi="Times New Roman"/>
          <w:noProof/>
          <w:sz w:val="24"/>
        </w:rPr>
        <w:t>Dans l’UE , le nombre d’incidents a augmenté, passant de 37 en 2022 à 44 en 2023. Cette différence résulte principalement de l’augmentation des rejets involontaires de pétrole et de gaz entre 28 et 38. Les événements liés à des défaillances d’éléments critiques pour la sécurité et l’environnement ont chuté de 7 à 3. Les incidents impliquant des pertes de puits sont restés approximativement les mêmes (de deux en 2022 à trois en 2023), atteignant la même valeur que pour le signalement de plus de 2021. Aucun incident n’a été qualifié d’accident majeur en 2023. Les autorités des États membres évaluent, en collaboration avec les opérateurs, les causes des incidents afin de déterminer si des enquêtes ou des mesures coercitives sont nécessaires.</w:t>
      </w:r>
    </w:p>
    <w:p w14:paraId="410DBD85" w14:textId="77777777" w:rsidR="00036698" w:rsidRPr="00470E6E" w:rsidRDefault="00036698" w:rsidP="00036698">
      <w:pPr>
        <w:pStyle w:val="Heading1"/>
        <w:spacing w:before="0"/>
        <w:rPr>
          <w:rFonts w:ascii="Times New Roman" w:hAnsi="Times New Roman"/>
          <w:color w:val="auto"/>
        </w:rPr>
      </w:pPr>
      <w:bookmarkStart w:id="10" w:name="_Toc202865918"/>
      <w:r>
        <w:rPr>
          <w:rFonts w:ascii="Times New Roman" w:hAnsi="Times New Roman"/>
          <w:color w:val="auto"/>
        </w:rPr>
        <w:t>6.</w:t>
      </w:r>
      <w:r>
        <w:rPr>
          <w:rFonts w:ascii="Times New Roman" w:hAnsi="Times New Roman"/>
          <w:color w:val="auto"/>
        </w:rPr>
        <w:tab/>
        <w:t>CONCLUSION</w:t>
      </w:r>
      <w:bookmarkEnd w:id="10"/>
    </w:p>
    <w:p w14:paraId="472C7580" w14:textId="47FD69F1" w:rsidR="00036698" w:rsidRPr="00470E6E" w:rsidRDefault="00036698" w:rsidP="00036698">
      <w:pPr>
        <w:jc w:val="both"/>
        <w:rPr>
          <w:rFonts w:ascii="Times New Roman" w:hAnsi="Times New Roman"/>
          <w:noProof/>
          <w:sz w:val="24"/>
          <w:szCs w:val="24"/>
        </w:rPr>
      </w:pPr>
      <w:r>
        <w:rPr>
          <w:rFonts w:ascii="Times New Roman" w:hAnsi="Times New Roman"/>
          <w:noProof/>
          <w:sz w:val="24"/>
        </w:rPr>
        <w:t xml:space="preserve">En 2023, l’UE comptait 313 installations pétrolières et gazières en mer. Les Pays-Bas ont déclassé trois installations au cours de la période de référence. </w:t>
      </w:r>
    </w:p>
    <w:p w14:paraId="0FA495B5" w14:textId="1F45530D" w:rsidR="00036698" w:rsidRPr="00470E6E" w:rsidRDefault="00036698" w:rsidP="00036698">
      <w:pPr>
        <w:jc w:val="both"/>
        <w:rPr>
          <w:rFonts w:ascii="Times New Roman" w:hAnsi="Times New Roman"/>
          <w:noProof/>
          <w:sz w:val="24"/>
          <w:szCs w:val="24"/>
        </w:rPr>
      </w:pPr>
      <w:r>
        <w:rPr>
          <w:rFonts w:ascii="Times New Roman" w:hAnsi="Times New Roman"/>
          <w:noProof/>
          <w:sz w:val="24"/>
        </w:rPr>
        <w:t xml:space="preserve">La production totale de pétrole et de gaz a diminué, passant de 16 264 ktep en 2022 à 15 518 ktep en 2023 (perte de production de 4,6 %, contre une diminution de 11% entre 2021 et 2022). Le Danemark et les Pays-Bas ont assuré 70 % de la production de pétrole et de gaz en mer de l’UE. </w:t>
      </w:r>
    </w:p>
    <w:p w14:paraId="380FEAF0" w14:textId="77777777" w:rsidR="00036698" w:rsidRPr="00470E6E" w:rsidRDefault="00036698" w:rsidP="00036698">
      <w:pPr>
        <w:jc w:val="both"/>
        <w:rPr>
          <w:rFonts w:ascii="Times New Roman" w:hAnsi="Times New Roman"/>
          <w:noProof/>
          <w:sz w:val="24"/>
          <w:szCs w:val="24"/>
        </w:rPr>
      </w:pPr>
      <w:r>
        <w:rPr>
          <w:rFonts w:ascii="Times New Roman" w:hAnsi="Times New Roman"/>
          <w:noProof/>
          <w:sz w:val="24"/>
        </w:rPr>
        <w:t>La Commission a évalué la sécurité des opérations pétrolières et gazières en mer dans l’UE sur la base des informations communiquées par les États membres conformément aux dispositions du règlement d’exécution sur la communication des informations. L’exactitude de l’analyse de la Commission dépend donc de l’exactitude de ces informations.</w:t>
      </w:r>
    </w:p>
    <w:p w14:paraId="55B4DD24" w14:textId="2AF4EFE8" w:rsidR="00036698" w:rsidRPr="00470E6E" w:rsidRDefault="00036698" w:rsidP="00036698">
      <w:pPr>
        <w:jc w:val="both"/>
        <w:rPr>
          <w:rFonts w:ascii="Times New Roman" w:hAnsi="Times New Roman"/>
          <w:noProof/>
          <w:sz w:val="24"/>
          <w:szCs w:val="24"/>
        </w:rPr>
      </w:pPr>
      <w:r>
        <w:rPr>
          <w:rFonts w:ascii="Times New Roman" w:hAnsi="Times New Roman"/>
          <w:noProof/>
          <w:sz w:val="24"/>
        </w:rPr>
        <w:t>En 2023, les autorités nationales ont poursuivi leurs efforts pour garantir un niveau élevé de sécurité dans les opérations pétrolières et gazières en mer en inspectant 388 installations (contre 485 en 2022). Aucune mesure d’exécution n’a été signalée au cours de la période de référence.</w:t>
      </w:r>
    </w:p>
    <w:p w14:paraId="169493C2" w14:textId="1DC90E10" w:rsidR="00036698" w:rsidRPr="00470E6E" w:rsidRDefault="00036698" w:rsidP="00036698">
      <w:pPr>
        <w:jc w:val="both"/>
        <w:rPr>
          <w:rFonts w:ascii="Times New Roman" w:hAnsi="Times New Roman"/>
          <w:noProof/>
          <w:sz w:val="24"/>
          <w:szCs w:val="24"/>
        </w:rPr>
      </w:pPr>
      <w:r>
        <w:rPr>
          <w:rFonts w:ascii="Times New Roman" w:hAnsi="Times New Roman"/>
          <w:noProof/>
          <w:sz w:val="24"/>
        </w:rPr>
        <w:t>Il n’y a pas eu d’accident majeur en 2023. Le nombre d’incidents a augmenté, passant de 37 en 2022 à 44 en 2023. Aucun décès n’a été signalé. On décompte 49 blessures</w:t>
      </w:r>
      <w:r w:rsidR="00D34300" w:rsidRPr="00470E6E">
        <w:rPr>
          <w:rStyle w:val="FootnoteReference"/>
          <w:rFonts w:ascii="Times New Roman" w:hAnsi="Times New Roman"/>
          <w:noProof/>
          <w:sz w:val="24"/>
          <w:szCs w:val="24"/>
          <w:lang w:val="en-IE"/>
        </w:rPr>
        <w:footnoteReference w:id="11"/>
      </w:r>
      <w:r>
        <w:rPr>
          <w:rFonts w:ascii="Times New Roman" w:hAnsi="Times New Roman"/>
          <w:noProof/>
          <w:sz w:val="24"/>
        </w:rPr>
        <w:t xml:space="preserve"> et 8 blessures graves</w:t>
      </w:r>
      <w:r w:rsidR="00D34300" w:rsidRPr="00470E6E">
        <w:rPr>
          <w:rStyle w:val="FootnoteReference"/>
          <w:rFonts w:ascii="Times New Roman" w:hAnsi="Times New Roman"/>
          <w:noProof/>
          <w:sz w:val="24"/>
          <w:szCs w:val="24"/>
          <w:lang w:val="en-IE"/>
        </w:rPr>
        <w:footnoteReference w:id="12"/>
      </w:r>
      <w:r>
        <w:rPr>
          <w:rFonts w:ascii="Times New Roman" w:hAnsi="Times New Roman"/>
          <w:noProof/>
          <w:sz w:val="24"/>
        </w:rPr>
        <w:t xml:space="preserve">. </w:t>
      </w:r>
    </w:p>
    <w:p w14:paraId="21ACED82" w14:textId="53E5EFD5" w:rsidR="00D34300" w:rsidRPr="00470E6E" w:rsidRDefault="00036698" w:rsidP="00D34300">
      <w:pPr>
        <w:jc w:val="both"/>
        <w:rPr>
          <w:rFonts w:ascii="Times New Roman" w:hAnsi="Times New Roman"/>
          <w:noProof/>
          <w:sz w:val="24"/>
          <w:szCs w:val="24"/>
        </w:rPr>
      </w:pPr>
      <w:bookmarkStart w:id="11" w:name="_Hlk152523737"/>
      <w:r>
        <w:rPr>
          <w:rFonts w:ascii="Times New Roman" w:hAnsi="Times New Roman"/>
          <w:noProof/>
          <w:sz w:val="24"/>
        </w:rPr>
        <w:t>En conclusion, du fait des inspections obligatoires et des mesures correctives prises prévues par la directive sur la sécurité en mer,</w:t>
      </w:r>
      <w:bookmarkEnd w:id="11"/>
      <w:r>
        <w:rPr>
          <w:rFonts w:ascii="Times New Roman" w:hAnsi="Times New Roman"/>
          <w:noProof/>
          <w:sz w:val="24"/>
        </w:rPr>
        <w:t xml:space="preserve"> les travaux des autorités des États membres ont permis une fois de plus d’assurer la sécurité des opérations pétrolières et gazières en mer.</w:t>
      </w:r>
    </w:p>
    <w:p w14:paraId="650DFB3A" w14:textId="31C37B7F" w:rsidR="00036698" w:rsidRPr="00470E6E" w:rsidRDefault="00036698" w:rsidP="00036698">
      <w:pPr>
        <w:jc w:val="both"/>
        <w:rPr>
          <w:rFonts w:ascii="Times New Roman" w:hAnsi="Times New Roman"/>
          <w:noProof/>
          <w:sz w:val="24"/>
          <w:szCs w:val="24"/>
        </w:rPr>
      </w:pPr>
      <w:r>
        <w:rPr>
          <w:rFonts w:ascii="Times New Roman" w:hAnsi="Times New Roman"/>
          <w:noProof/>
          <w:sz w:val="24"/>
        </w:rPr>
        <w:t xml:space="preserve">Pour maintenir le niveau de sécurité, la Commission continue de travailler en étroite collaboration avec le groupe des autorités pour les opérations en mer de l’Union européenne (EUOAG). L’EUOAG promeut les bonnes pratiques pour l’exécution des opérations en toute sécurité et assiste les autorités nationales représentées au sein du groupe. </w:t>
      </w:r>
    </w:p>
    <w:p w14:paraId="646BBEDA" w14:textId="77777777" w:rsidR="00036698" w:rsidRPr="003D2CCD" w:rsidRDefault="00036698" w:rsidP="00036698">
      <w:pPr>
        <w:jc w:val="both"/>
        <w:rPr>
          <w:rFonts w:ascii="Times New Roman" w:hAnsi="Times New Roman"/>
          <w:noProof/>
          <w:sz w:val="24"/>
          <w:szCs w:val="24"/>
          <w:lang w:val="fr-BE"/>
        </w:rPr>
      </w:pPr>
    </w:p>
    <w:p w14:paraId="1485A8C9" w14:textId="77777777" w:rsidR="00036698" w:rsidRPr="003D2CCD" w:rsidRDefault="00036698" w:rsidP="00036698">
      <w:pPr>
        <w:jc w:val="both"/>
        <w:rPr>
          <w:rFonts w:ascii="Times New Roman" w:hAnsi="Times New Roman"/>
          <w:noProof/>
          <w:sz w:val="24"/>
          <w:szCs w:val="24"/>
          <w:lang w:val="fr-BE"/>
        </w:rPr>
      </w:pPr>
    </w:p>
    <w:p w14:paraId="123940EE" w14:textId="77777777" w:rsidR="002B18BF" w:rsidRPr="003D2CCD" w:rsidRDefault="002B18BF">
      <w:pPr>
        <w:rPr>
          <w:noProof/>
          <w:lang w:val="fr-BE"/>
        </w:rPr>
      </w:pPr>
    </w:p>
    <w:sectPr w:rsidR="002B18BF" w:rsidRPr="003D2CCD">
      <w:headerReference w:type="even" r:id="rId21"/>
      <w:headerReference w:type="default" r:id="rId22"/>
      <w:footerReference w:type="even" r:id="rId23"/>
      <w:footerReference w:type="default" r:id="rId24"/>
      <w:headerReference w:type="first" r:id="rId25"/>
      <w:footerReference w:type="first" r:id="rId26"/>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EC176" w14:textId="77777777" w:rsidR="006B686F" w:rsidRDefault="006B686F" w:rsidP="00036698">
      <w:pPr>
        <w:spacing w:after="0" w:line="240" w:lineRule="auto"/>
      </w:pPr>
      <w:r>
        <w:separator/>
      </w:r>
    </w:p>
  </w:endnote>
  <w:endnote w:type="continuationSeparator" w:id="0">
    <w:p w14:paraId="1A5704C2" w14:textId="77777777" w:rsidR="006B686F" w:rsidRDefault="006B686F" w:rsidP="00036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20C91" w14:textId="0B6FE306" w:rsidR="001D453E" w:rsidRPr="001D453E" w:rsidRDefault="001D453E" w:rsidP="001D453E">
    <w:pPr>
      <w:pStyle w:val="FooterCoverPage"/>
      <w:rPr>
        <w:rFonts w:ascii="Arial" w:hAnsi="Arial" w:cs="Arial"/>
        <w:b/>
        <w:sz w:val="48"/>
      </w:rPr>
    </w:pPr>
    <w:r w:rsidRPr="001D453E">
      <w:rPr>
        <w:rFonts w:ascii="Arial" w:hAnsi="Arial" w:cs="Arial"/>
        <w:b/>
        <w:sz w:val="48"/>
      </w:rPr>
      <w:t>FR</w:t>
    </w:r>
    <w:r w:rsidRPr="001D453E">
      <w:rPr>
        <w:rFonts w:ascii="Arial" w:hAnsi="Arial" w:cs="Arial"/>
        <w:b/>
        <w:sz w:val="48"/>
      </w:rPr>
      <w:tab/>
    </w:r>
    <w:r w:rsidRPr="001D453E">
      <w:rPr>
        <w:rFonts w:ascii="Arial" w:hAnsi="Arial" w:cs="Arial"/>
        <w:b/>
        <w:sz w:val="48"/>
      </w:rPr>
      <w:tab/>
    </w:r>
    <w:r w:rsidRPr="001D453E">
      <w:tab/>
    </w:r>
    <w:r w:rsidRPr="001D453E">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096DF" w14:textId="600B4387" w:rsidR="001D453E" w:rsidRPr="001D453E" w:rsidRDefault="001D453E" w:rsidP="001D453E">
    <w:pPr>
      <w:pStyle w:val="FooterCoverPage"/>
      <w:rPr>
        <w:rFonts w:ascii="Arial" w:hAnsi="Arial" w:cs="Arial"/>
        <w:b/>
        <w:sz w:val="48"/>
      </w:rPr>
    </w:pPr>
    <w:r w:rsidRPr="001D453E">
      <w:rPr>
        <w:rFonts w:ascii="Arial" w:hAnsi="Arial" w:cs="Arial"/>
        <w:b/>
        <w:sz w:val="48"/>
      </w:rPr>
      <w:t>FR</w:t>
    </w:r>
    <w:r w:rsidRPr="001D453E">
      <w:rPr>
        <w:rFonts w:ascii="Arial" w:hAnsi="Arial" w:cs="Arial"/>
        <w:b/>
        <w:sz w:val="48"/>
      </w:rPr>
      <w:tab/>
    </w:r>
    <w:r w:rsidRPr="001D453E">
      <w:rPr>
        <w:rFonts w:ascii="Arial" w:hAnsi="Arial" w:cs="Arial"/>
        <w:b/>
        <w:sz w:val="48"/>
      </w:rPr>
      <w:tab/>
    </w:r>
    <w:r w:rsidRPr="001D453E">
      <w:tab/>
    </w:r>
    <w:r w:rsidRPr="001D453E">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EDAF8" w14:textId="77777777" w:rsidR="001D453E" w:rsidRPr="001D453E" w:rsidRDefault="001D453E" w:rsidP="001D453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65D60" w14:textId="77777777" w:rsidR="00370D52" w:rsidRDefault="00370D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8759" w14:textId="00C7A99B" w:rsidR="00370D52" w:rsidRDefault="00370D52">
    <w:pPr>
      <w:pStyle w:val="Footer"/>
      <w:jc w:val="center"/>
    </w:pPr>
    <w:r>
      <w:fldChar w:fldCharType="begin"/>
    </w:r>
    <w:r>
      <w:instrText xml:space="preserve"> PAGE   \* MERGEFORMAT </w:instrText>
    </w:r>
    <w:r>
      <w:fldChar w:fldCharType="separate"/>
    </w:r>
    <w:r w:rsidR="001D453E">
      <w:rPr>
        <w:noProof/>
      </w:rPr>
      <w:t>1</w:t>
    </w:r>
    <w:r>
      <w:fldChar w:fldCharType="end"/>
    </w:r>
  </w:p>
  <w:p w14:paraId="538F38EC" w14:textId="77777777" w:rsidR="00370D52" w:rsidRDefault="00370D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5DEDA" w14:textId="77777777" w:rsidR="00370D52" w:rsidRDefault="00370D5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42461" w14:textId="77777777" w:rsidR="00370D52" w:rsidRDefault="00370D5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0D3E7" w14:textId="54CDD8C5" w:rsidR="00370D52" w:rsidRDefault="00370D52">
    <w:pPr>
      <w:pStyle w:val="Footer"/>
      <w:jc w:val="center"/>
    </w:pPr>
    <w:r>
      <w:fldChar w:fldCharType="begin"/>
    </w:r>
    <w:r>
      <w:instrText xml:space="preserve"> PAGE   \* MERGEFORMAT </w:instrText>
    </w:r>
    <w:r>
      <w:fldChar w:fldCharType="separate"/>
    </w:r>
    <w:r w:rsidR="001D453E">
      <w:rPr>
        <w:noProof/>
      </w:rPr>
      <w:t>9</w:t>
    </w:r>
    <w:r>
      <w:fldChar w:fldCharType="end"/>
    </w:r>
  </w:p>
  <w:p w14:paraId="425DFF70" w14:textId="77777777" w:rsidR="00370D52" w:rsidRDefault="00370D5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BD0D7" w14:textId="77777777" w:rsidR="00370D52" w:rsidRDefault="00370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ADAA2" w14:textId="77777777" w:rsidR="006B686F" w:rsidRDefault="006B686F" w:rsidP="00036698">
      <w:pPr>
        <w:spacing w:after="0" w:line="240" w:lineRule="auto"/>
      </w:pPr>
      <w:r>
        <w:separator/>
      </w:r>
    </w:p>
  </w:footnote>
  <w:footnote w:type="continuationSeparator" w:id="0">
    <w:p w14:paraId="4430E1B7" w14:textId="77777777" w:rsidR="006B686F" w:rsidRDefault="006B686F" w:rsidP="00036698">
      <w:pPr>
        <w:spacing w:after="0" w:line="240" w:lineRule="auto"/>
      </w:pPr>
      <w:r>
        <w:continuationSeparator/>
      </w:r>
    </w:p>
  </w:footnote>
  <w:footnote w:id="1">
    <w:p w14:paraId="66A8D699" w14:textId="77777777" w:rsidR="00370D52" w:rsidRPr="001F32BC" w:rsidRDefault="00370D52" w:rsidP="00036698">
      <w:pPr>
        <w:pStyle w:val="FootnoteText"/>
        <w:rPr>
          <w:rFonts w:ascii="Times New Roman" w:hAnsi="Times New Roman"/>
        </w:rPr>
      </w:pPr>
      <w:r>
        <w:rPr>
          <w:rFonts w:ascii="Times New Roman" w:hAnsi="Times New Roman"/>
        </w:rPr>
        <w:footnoteRef/>
      </w:r>
      <w:r>
        <w:rPr>
          <w:rFonts w:ascii="Times New Roman" w:hAnsi="Times New Roman"/>
        </w:rPr>
        <w:t xml:space="preserve"> JO L 178 du 28.6.2013, p. 66.</w:t>
      </w:r>
    </w:p>
  </w:footnote>
  <w:footnote w:id="2">
    <w:p w14:paraId="763D9288" w14:textId="77777777" w:rsidR="00370D52" w:rsidRDefault="00370D52" w:rsidP="00036698">
      <w:pPr>
        <w:pStyle w:val="FootnoteText"/>
        <w:rPr>
          <w:rFonts w:ascii="Times New Roman" w:hAnsi="Times New Roman"/>
        </w:rPr>
      </w:pPr>
      <w:r>
        <w:rPr>
          <w:rStyle w:val="FootnoteReference"/>
        </w:rPr>
        <w:footnoteRef/>
      </w:r>
      <w:r>
        <w:rPr>
          <w:rFonts w:ascii="Times New Roman" w:hAnsi="Times New Roman"/>
        </w:rPr>
        <w:t xml:space="preserve"> JO L 302 du 22.10.2014, p. 2.</w:t>
      </w:r>
    </w:p>
  </w:footnote>
  <w:footnote w:id="3">
    <w:p w14:paraId="332B5B46" w14:textId="77777777" w:rsidR="00370D52" w:rsidRPr="008562E6" w:rsidRDefault="00370D52" w:rsidP="00036698">
      <w:pPr>
        <w:pStyle w:val="FootnoteText"/>
        <w:rPr>
          <w:rFonts w:ascii="Times New Roman" w:hAnsi="Times New Roman"/>
          <w:color w:val="0000FF"/>
          <w:sz w:val="22"/>
          <w:szCs w:val="22"/>
          <w:u w:val="single"/>
        </w:rPr>
      </w:pPr>
      <w:r>
        <w:rPr>
          <w:rStyle w:val="FootnoteReference"/>
          <w:rFonts w:ascii="Times New Roman" w:hAnsi="Times New Roman"/>
        </w:rPr>
        <w:footnoteRef/>
      </w:r>
      <w:r>
        <w:rPr>
          <w:rFonts w:ascii="Times New Roman" w:hAnsi="Times New Roman"/>
        </w:rPr>
        <w:t xml:space="preserve"> </w:t>
      </w:r>
      <w:r>
        <w:t xml:space="preserve"> </w:t>
      </w:r>
      <w:r>
        <w:rPr>
          <w:rFonts w:ascii="Times New Roman" w:hAnsi="Times New Roman"/>
        </w:rPr>
        <w:t xml:space="preserve">Document d’orientation sur le règlement d’exécution (UE) nº 1112/2014 de la Commission du 13 octobre 2014. </w:t>
      </w:r>
    </w:p>
  </w:footnote>
  <w:footnote w:id="4">
    <w:p w14:paraId="21596D9D" w14:textId="77777777" w:rsidR="00370D52" w:rsidRDefault="00370D52" w:rsidP="0003669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Les unités mobiles de forage au large ne font pas partie des données présentées au point 4.1.</w:t>
      </w:r>
    </w:p>
  </w:footnote>
  <w:footnote w:id="5">
    <w:p w14:paraId="41547F82" w14:textId="3ED2C11A" w:rsidR="00D93837" w:rsidRDefault="00370D52" w:rsidP="00713425">
      <w:pPr>
        <w:pStyle w:val="FootnoteText"/>
        <w:tabs>
          <w:tab w:val="left" w:pos="6850"/>
        </w:tabs>
        <w:jc w:val="both"/>
        <w:rPr>
          <w:rFonts w:ascii="Arial" w:hAnsi="Arial" w:cs="Arial"/>
        </w:rPr>
      </w:pPr>
      <w:r>
        <w:rPr>
          <w:rStyle w:val="FootnoteReference"/>
        </w:rPr>
        <w:footnoteRef/>
      </w:r>
      <w:r>
        <w:tab/>
        <w:t>Une installation pourrait être inspectée plus d’une fois au cours d’une année de déclaration; par conséquent, le «nombre d’inspections» (435) est différent de celui des «installations totales» (388), en raison du nombre d’installations retirées du service tout au long de l’année et du nombre d’installations qui commencent à fonctionner tout au long de l’année.</w:t>
      </w:r>
    </w:p>
    <w:p w14:paraId="34A0200F" w14:textId="77777777" w:rsidR="00D93837" w:rsidRPr="003D2CCD" w:rsidRDefault="00D93837" w:rsidP="00327DB1">
      <w:pPr>
        <w:pStyle w:val="FootnoteText"/>
        <w:tabs>
          <w:tab w:val="left" w:pos="6850"/>
        </w:tabs>
        <w:rPr>
          <w:lang w:val="fr-BE"/>
        </w:rPr>
      </w:pPr>
    </w:p>
  </w:footnote>
  <w:footnote w:id="6">
    <w:p w14:paraId="7ECEEA10" w14:textId="77777777" w:rsidR="00370D52" w:rsidRPr="007260B8" w:rsidRDefault="00370D52" w:rsidP="00036698">
      <w:pPr>
        <w:pStyle w:val="FootnoteText"/>
        <w:rPr>
          <w:rFonts w:ascii="Times New Roman" w:hAnsi="Times New Roman"/>
        </w:rPr>
      </w:pPr>
      <w:r>
        <w:rPr>
          <w:rFonts w:ascii="Times New Roman" w:hAnsi="Times New Roman"/>
          <w:vertAlign w:val="superscript"/>
        </w:rPr>
        <w:footnoteRef/>
      </w:r>
      <w:r>
        <w:rPr>
          <w:rFonts w:ascii="Times New Roman" w:hAnsi="Times New Roman"/>
        </w:rPr>
        <w:t xml:space="preserve"> L’obligation de déclaration ne couvre pas certains événements (par exemple, ceux qui ne sont pas liés aux opérations).</w:t>
      </w:r>
    </w:p>
  </w:footnote>
  <w:footnote w:id="7">
    <w:p w14:paraId="4DC27812" w14:textId="78B85CDD" w:rsidR="00370D52" w:rsidRPr="007260B8" w:rsidRDefault="00370D52" w:rsidP="008F7341">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Dans le cas du Danemark, les 12 incidents consistaient en des rejets involontaires.</w:t>
      </w:r>
    </w:p>
  </w:footnote>
  <w:footnote w:id="8">
    <w:p w14:paraId="15304011" w14:textId="00F8E671" w:rsidR="00370D52" w:rsidRDefault="00370D52">
      <w:pPr>
        <w:pStyle w:val="FootnoteText"/>
      </w:pPr>
      <w:r>
        <w:rPr>
          <w:rStyle w:val="FootnoteReference"/>
        </w:rPr>
        <w:footnoteRef/>
      </w:r>
      <w:r>
        <w:t xml:space="preserve"> </w:t>
      </w:r>
      <w:r>
        <w:rPr>
          <w:rFonts w:ascii="Times New Roman" w:hAnsi="Times New Roman"/>
        </w:rPr>
        <w:t>Dans le cas de la Croatie, sur les 8 événements, 5 étaient dus à des rejets involontaires et 3 à des défaillances d’éléments critiques pour la sécurité et l’environnement.</w:t>
      </w:r>
    </w:p>
  </w:footnote>
  <w:footnote w:id="9">
    <w:p w14:paraId="1EE7D6E5" w14:textId="77777777" w:rsidR="00370D52" w:rsidRPr="008562E6" w:rsidRDefault="00370D52" w:rsidP="00036698">
      <w:pPr>
        <w:spacing w:after="0"/>
        <w:jc w:val="both"/>
        <w:rPr>
          <w:rFonts w:ascii="Times New Roman" w:hAnsi="Times New Roman"/>
        </w:rPr>
      </w:pPr>
      <w:r>
        <w:rPr>
          <w:rStyle w:val="FootnoteReference"/>
          <w:rFonts w:ascii="Times New Roman" w:hAnsi="Times New Roman"/>
          <w:sz w:val="20"/>
          <w:szCs w:val="20"/>
        </w:rPr>
        <w:footnoteRef/>
      </w:r>
      <w:r>
        <w:rPr>
          <w:rFonts w:ascii="Times New Roman" w:hAnsi="Times New Roman"/>
          <w:sz w:val="20"/>
        </w:rPr>
        <w:t xml:space="preserve"> Les accidents majeurs comprennent les incidents susceptibles de causer des décès ou des blessures graves (même si aucun des deux n’a eu lieu).</w:t>
      </w:r>
    </w:p>
  </w:footnote>
  <w:footnote w:id="10">
    <w:p w14:paraId="3F2BE210" w14:textId="6AF2DF45" w:rsidR="00370D52" w:rsidRPr="008562E6" w:rsidRDefault="00370D52" w:rsidP="0003669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Pour les Pays-Bas, les incidents ont consisté en trois pertes de contrôle de puits et 21 rejets involontaires.</w:t>
      </w:r>
    </w:p>
  </w:footnote>
  <w:footnote w:id="11">
    <w:p w14:paraId="14020012" w14:textId="3476EC4A" w:rsidR="00370D52" w:rsidRPr="004D2D2C" w:rsidRDefault="00370D52">
      <w:pPr>
        <w:pStyle w:val="FootnoteText"/>
      </w:pPr>
      <w:r>
        <w:rPr>
          <w:rStyle w:val="FootnoteReference"/>
        </w:rPr>
        <w:footnoteRef/>
      </w:r>
      <w:r>
        <w:t xml:space="preserve"> Pologne, Grèce et Italie — une chacune, Roumanie 3, Danemark 25 et Pays-Bas 12.</w:t>
      </w:r>
    </w:p>
  </w:footnote>
  <w:footnote w:id="12">
    <w:p w14:paraId="1C39C48B" w14:textId="1121F406" w:rsidR="00370D52" w:rsidRPr="004D2D2C" w:rsidRDefault="00370D52">
      <w:pPr>
        <w:pStyle w:val="FootnoteText"/>
      </w:pPr>
      <w:r>
        <w:rPr>
          <w:rStyle w:val="FootnoteReference"/>
        </w:rPr>
        <w:footnoteRef/>
      </w:r>
      <w:r w:rsidR="00E40AB0">
        <w:t xml:space="preserve"> </w:t>
      </w:r>
      <w:r>
        <w:t>Italie et Pays-Bas — une pour chacun, Danemark 6</w:t>
      </w:r>
      <w:r w:rsidR="00E40AB0">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4952" w14:textId="77777777" w:rsidR="001D453E" w:rsidRPr="001D453E" w:rsidRDefault="001D453E" w:rsidP="001D453E">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5EA0" w14:textId="77777777" w:rsidR="001D453E" w:rsidRPr="001D453E" w:rsidRDefault="001D453E" w:rsidP="001D453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692A9" w14:textId="77777777" w:rsidR="001D453E" w:rsidRPr="001D453E" w:rsidRDefault="001D453E" w:rsidP="001D453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B676" w14:textId="77777777" w:rsidR="00370D52" w:rsidRDefault="00370D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8CD30" w14:textId="77777777" w:rsidR="00370D52" w:rsidRDefault="00370D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2F6E" w14:textId="77777777" w:rsidR="00370D52" w:rsidRDefault="00370D5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2E4DF" w14:textId="77777777" w:rsidR="00370D52" w:rsidRDefault="00370D5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C8CFA" w14:textId="77777777" w:rsidR="00370D52" w:rsidRDefault="00370D5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506E6" w14:textId="77777777" w:rsidR="00370D52" w:rsidRDefault="00370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4812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6A04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B2BA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825A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68D6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AAD4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D03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A62F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FAD4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E6A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6675A"/>
    <w:multiLevelType w:val="hybridMultilevel"/>
    <w:tmpl w:val="0CA473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B282E53"/>
    <w:multiLevelType w:val="hybridMultilevel"/>
    <w:tmpl w:val="D6C4DF50"/>
    <w:lvl w:ilvl="0" w:tplc="ED987C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C96107"/>
    <w:multiLevelType w:val="hybridMultilevel"/>
    <w:tmpl w:val="341A19A4"/>
    <w:lvl w:ilvl="0" w:tplc="82BAB730">
      <w:start w:val="1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9D0E32"/>
    <w:multiLevelType w:val="hybridMultilevel"/>
    <w:tmpl w:val="A8D2EA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3D0569"/>
    <w:multiLevelType w:val="hybridMultilevel"/>
    <w:tmpl w:val="708C29DA"/>
    <w:lvl w:ilvl="0" w:tplc="D08C0E2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3E4B61"/>
    <w:multiLevelType w:val="hybridMultilevel"/>
    <w:tmpl w:val="93546A2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D2062D"/>
    <w:multiLevelType w:val="hybridMultilevel"/>
    <w:tmpl w:val="1F1841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1944CB"/>
    <w:multiLevelType w:val="hybridMultilevel"/>
    <w:tmpl w:val="577C9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DD1944"/>
    <w:multiLevelType w:val="hybridMultilevel"/>
    <w:tmpl w:val="0D304F36"/>
    <w:lvl w:ilvl="0" w:tplc="6124312E">
      <w:start w:val="1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61CA3"/>
    <w:multiLevelType w:val="hybridMultilevel"/>
    <w:tmpl w:val="86E68B9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41B04368"/>
    <w:multiLevelType w:val="hybridMultilevel"/>
    <w:tmpl w:val="DE44938A"/>
    <w:lvl w:ilvl="0" w:tplc="AC0E200C">
      <w:start w:val="8"/>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38179E0"/>
    <w:multiLevelType w:val="hybridMultilevel"/>
    <w:tmpl w:val="B518FD42"/>
    <w:lvl w:ilvl="0" w:tplc="ED987C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C7BB3"/>
    <w:multiLevelType w:val="hybridMultilevel"/>
    <w:tmpl w:val="878EED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592971"/>
    <w:multiLevelType w:val="hybridMultilevel"/>
    <w:tmpl w:val="0C12691A"/>
    <w:lvl w:ilvl="0" w:tplc="EF6E0B48">
      <w:start w:val="3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5264B"/>
    <w:multiLevelType w:val="hybridMultilevel"/>
    <w:tmpl w:val="DE9C802C"/>
    <w:lvl w:ilvl="0" w:tplc="4998C5F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0FD4CA5"/>
    <w:multiLevelType w:val="hybridMultilevel"/>
    <w:tmpl w:val="ADBA36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66F21C5"/>
    <w:multiLevelType w:val="hybridMultilevel"/>
    <w:tmpl w:val="549A0660"/>
    <w:lvl w:ilvl="0" w:tplc="ED987C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E13C6"/>
    <w:multiLevelType w:val="hybridMultilevel"/>
    <w:tmpl w:val="93546A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A1449B"/>
    <w:multiLevelType w:val="hybridMultilevel"/>
    <w:tmpl w:val="77F09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CD34AD6"/>
    <w:multiLevelType w:val="hybridMultilevel"/>
    <w:tmpl w:val="8F4CC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957452"/>
    <w:multiLevelType w:val="hybridMultilevel"/>
    <w:tmpl w:val="346444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8"/>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1"/>
  </w:num>
  <w:num w:numId="5">
    <w:abstractNumId w:val="26"/>
  </w:num>
  <w:num w:numId="6">
    <w:abstractNumId w:val="14"/>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10"/>
  </w:num>
  <w:num w:numId="20">
    <w:abstractNumId w:val="25"/>
  </w:num>
  <w:num w:numId="21">
    <w:abstractNumId w:val="24"/>
  </w:num>
  <w:num w:numId="22">
    <w:abstractNumId w:val="29"/>
  </w:num>
  <w:num w:numId="23">
    <w:abstractNumId w:val="23"/>
  </w:num>
  <w:num w:numId="24">
    <w:abstractNumId w:val="12"/>
  </w:num>
  <w:num w:numId="25">
    <w:abstractNumId w:val="16"/>
  </w:num>
  <w:num w:numId="26">
    <w:abstractNumId w:val="27"/>
  </w:num>
  <w:num w:numId="27">
    <w:abstractNumId w:val="22"/>
  </w:num>
  <w:num w:numId="28">
    <w:abstractNumId w:val="13"/>
  </w:num>
  <w:num w:numId="29">
    <w:abstractNumId w:val="17"/>
  </w:num>
  <w:num w:numId="30">
    <w:abstractNumId w:val="18"/>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E06FAAD8-5523-400A-BA8F-06473C107641"/>
    <w:docVar w:name="LW_COVERPAGE_TYPE" w:val="1"/>
    <w:docVar w:name="LW_CROSSREFERENCE" w:val="&lt;UNUSED&gt;"/>
    <w:docVar w:name="LW_DocType" w:val="NORMAL"/>
    <w:docVar w:name="LW_EMISSION" w:val="18.7.2025"/>
    <w:docVar w:name="LW_EMISSION_ISODATE" w:val="2025-07-18"/>
    <w:docVar w:name="LW_EMISSION_LOCATION" w:val="BRX"/>
    <w:docVar w:name="LW_EMISSION_PREFIX" w:val="Bruxelles, le "/>
    <w:docVar w:name="LW_EMISSION_SUFFIX" w:val=" "/>
    <w:docVar w:name="LW_ID_DOCTYPE_NONLW" w:val="CP-003"/>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5) 40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Rapport annuel de la Commission européenne sur la sécurité des opérations pétrolières et gazières en mer pour l'année 2023&lt;/FMT&gt;"/>
    <w:docVar w:name="LW_TYPE.DOC.CP" w:val="RAPPORT DE LA COMMISSION"/>
    <w:docVar w:name="LwApiVersions" w:val="LW4CoDe 1.24.5.0; LW 9.0, Build 20240221"/>
  </w:docVars>
  <w:rsids>
    <w:rsidRoot w:val="00036698"/>
    <w:rsid w:val="00002CDD"/>
    <w:rsid w:val="00010E10"/>
    <w:rsid w:val="00016A9E"/>
    <w:rsid w:val="0003060A"/>
    <w:rsid w:val="00036698"/>
    <w:rsid w:val="0004134C"/>
    <w:rsid w:val="00060664"/>
    <w:rsid w:val="00084C62"/>
    <w:rsid w:val="0009142D"/>
    <w:rsid w:val="000A06A2"/>
    <w:rsid w:val="000A5564"/>
    <w:rsid w:val="000B2805"/>
    <w:rsid w:val="000B31FB"/>
    <w:rsid w:val="000B5C25"/>
    <w:rsid w:val="000C2150"/>
    <w:rsid w:val="000C53AF"/>
    <w:rsid w:val="000D5B3C"/>
    <w:rsid w:val="000E0A51"/>
    <w:rsid w:val="001058CF"/>
    <w:rsid w:val="00106B13"/>
    <w:rsid w:val="001123C3"/>
    <w:rsid w:val="00136E0B"/>
    <w:rsid w:val="00144A5E"/>
    <w:rsid w:val="00156CB8"/>
    <w:rsid w:val="00160A4F"/>
    <w:rsid w:val="0016455E"/>
    <w:rsid w:val="001869E4"/>
    <w:rsid w:val="00194640"/>
    <w:rsid w:val="00196A69"/>
    <w:rsid w:val="001A70C9"/>
    <w:rsid w:val="001A7AF6"/>
    <w:rsid w:val="001B4C5D"/>
    <w:rsid w:val="001C59ED"/>
    <w:rsid w:val="001D453E"/>
    <w:rsid w:val="0020642B"/>
    <w:rsid w:val="00207EBE"/>
    <w:rsid w:val="002314D4"/>
    <w:rsid w:val="00231F4A"/>
    <w:rsid w:val="0023560F"/>
    <w:rsid w:val="00253AD0"/>
    <w:rsid w:val="00257962"/>
    <w:rsid w:val="00264D5A"/>
    <w:rsid w:val="00265226"/>
    <w:rsid w:val="00266275"/>
    <w:rsid w:val="00293EB3"/>
    <w:rsid w:val="002A3C31"/>
    <w:rsid w:val="002B0153"/>
    <w:rsid w:val="002B18BF"/>
    <w:rsid w:val="002B1E3D"/>
    <w:rsid w:val="002C39AE"/>
    <w:rsid w:val="002F2457"/>
    <w:rsid w:val="002F61EF"/>
    <w:rsid w:val="00302284"/>
    <w:rsid w:val="00312A05"/>
    <w:rsid w:val="00314F09"/>
    <w:rsid w:val="00316B54"/>
    <w:rsid w:val="00327587"/>
    <w:rsid w:val="00327DB1"/>
    <w:rsid w:val="00335A06"/>
    <w:rsid w:val="00335B87"/>
    <w:rsid w:val="003374E8"/>
    <w:rsid w:val="003523D4"/>
    <w:rsid w:val="003635BB"/>
    <w:rsid w:val="00370D52"/>
    <w:rsid w:val="00375724"/>
    <w:rsid w:val="0038194D"/>
    <w:rsid w:val="00385DDA"/>
    <w:rsid w:val="0038613E"/>
    <w:rsid w:val="00392340"/>
    <w:rsid w:val="00393CAA"/>
    <w:rsid w:val="0039471E"/>
    <w:rsid w:val="003A63C3"/>
    <w:rsid w:val="003B70C4"/>
    <w:rsid w:val="003B78BA"/>
    <w:rsid w:val="003D2CCD"/>
    <w:rsid w:val="003D3221"/>
    <w:rsid w:val="003D6EC9"/>
    <w:rsid w:val="003E3131"/>
    <w:rsid w:val="003E4C40"/>
    <w:rsid w:val="00404CE9"/>
    <w:rsid w:val="00411C1D"/>
    <w:rsid w:val="00422C1B"/>
    <w:rsid w:val="00434A44"/>
    <w:rsid w:val="004673F6"/>
    <w:rsid w:val="00470E6E"/>
    <w:rsid w:val="00475CA0"/>
    <w:rsid w:val="004802A3"/>
    <w:rsid w:val="00492C95"/>
    <w:rsid w:val="004A4E9C"/>
    <w:rsid w:val="004B310C"/>
    <w:rsid w:val="004D0D2F"/>
    <w:rsid w:val="004D299A"/>
    <w:rsid w:val="004D2D2C"/>
    <w:rsid w:val="004E28B7"/>
    <w:rsid w:val="0051072D"/>
    <w:rsid w:val="005245FC"/>
    <w:rsid w:val="00526828"/>
    <w:rsid w:val="00542CAB"/>
    <w:rsid w:val="005554BE"/>
    <w:rsid w:val="005562DD"/>
    <w:rsid w:val="00556726"/>
    <w:rsid w:val="00566988"/>
    <w:rsid w:val="00574B4F"/>
    <w:rsid w:val="00577A74"/>
    <w:rsid w:val="00590653"/>
    <w:rsid w:val="005941EF"/>
    <w:rsid w:val="005D1155"/>
    <w:rsid w:val="005F2C52"/>
    <w:rsid w:val="005F411D"/>
    <w:rsid w:val="005F42F8"/>
    <w:rsid w:val="00603A4D"/>
    <w:rsid w:val="006126F2"/>
    <w:rsid w:val="0062038D"/>
    <w:rsid w:val="00626255"/>
    <w:rsid w:val="00633983"/>
    <w:rsid w:val="0063655B"/>
    <w:rsid w:val="00673E03"/>
    <w:rsid w:val="006754D0"/>
    <w:rsid w:val="006A50BD"/>
    <w:rsid w:val="006A7A84"/>
    <w:rsid w:val="006B686F"/>
    <w:rsid w:val="006C4CA5"/>
    <w:rsid w:val="006C63E5"/>
    <w:rsid w:val="006C640B"/>
    <w:rsid w:val="006D0E60"/>
    <w:rsid w:val="006D2D42"/>
    <w:rsid w:val="006D5076"/>
    <w:rsid w:val="006F13C8"/>
    <w:rsid w:val="006F231A"/>
    <w:rsid w:val="00713425"/>
    <w:rsid w:val="00721EE9"/>
    <w:rsid w:val="00727CD3"/>
    <w:rsid w:val="0074212B"/>
    <w:rsid w:val="007423B5"/>
    <w:rsid w:val="00764FDD"/>
    <w:rsid w:val="007A7D83"/>
    <w:rsid w:val="007C0B2E"/>
    <w:rsid w:val="007C2F26"/>
    <w:rsid w:val="007D1155"/>
    <w:rsid w:val="00802F61"/>
    <w:rsid w:val="008118C4"/>
    <w:rsid w:val="008121B1"/>
    <w:rsid w:val="00814672"/>
    <w:rsid w:val="00821D1A"/>
    <w:rsid w:val="008328EB"/>
    <w:rsid w:val="0083295F"/>
    <w:rsid w:val="00832BC9"/>
    <w:rsid w:val="00836572"/>
    <w:rsid w:val="00852F46"/>
    <w:rsid w:val="00862B17"/>
    <w:rsid w:val="0087695F"/>
    <w:rsid w:val="00891D25"/>
    <w:rsid w:val="0089218B"/>
    <w:rsid w:val="008A1C35"/>
    <w:rsid w:val="008A30C1"/>
    <w:rsid w:val="008A359A"/>
    <w:rsid w:val="008A6274"/>
    <w:rsid w:val="008B127E"/>
    <w:rsid w:val="008B3EAA"/>
    <w:rsid w:val="008C132B"/>
    <w:rsid w:val="008C52A8"/>
    <w:rsid w:val="008C691F"/>
    <w:rsid w:val="008D2E22"/>
    <w:rsid w:val="008D628E"/>
    <w:rsid w:val="008F7341"/>
    <w:rsid w:val="009003DB"/>
    <w:rsid w:val="009036A7"/>
    <w:rsid w:val="00934480"/>
    <w:rsid w:val="009358EA"/>
    <w:rsid w:val="009470B5"/>
    <w:rsid w:val="009479C6"/>
    <w:rsid w:val="009639BF"/>
    <w:rsid w:val="0096693A"/>
    <w:rsid w:val="009B2C1F"/>
    <w:rsid w:val="009B72B0"/>
    <w:rsid w:val="009C099C"/>
    <w:rsid w:val="009C4504"/>
    <w:rsid w:val="009E1A04"/>
    <w:rsid w:val="009E6035"/>
    <w:rsid w:val="009F34E6"/>
    <w:rsid w:val="009F5726"/>
    <w:rsid w:val="00A02883"/>
    <w:rsid w:val="00A11A7F"/>
    <w:rsid w:val="00A35B4C"/>
    <w:rsid w:val="00A370F3"/>
    <w:rsid w:val="00A4782A"/>
    <w:rsid w:val="00A63080"/>
    <w:rsid w:val="00A835FD"/>
    <w:rsid w:val="00A94A20"/>
    <w:rsid w:val="00AA2D20"/>
    <w:rsid w:val="00AF127A"/>
    <w:rsid w:val="00AF4568"/>
    <w:rsid w:val="00B05BA9"/>
    <w:rsid w:val="00B07F63"/>
    <w:rsid w:val="00B141E8"/>
    <w:rsid w:val="00B25574"/>
    <w:rsid w:val="00B459BB"/>
    <w:rsid w:val="00B54736"/>
    <w:rsid w:val="00B5734C"/>
    <w:rsid w:val="00B7146D"/>
    <w:rsid w:val="00B722D3"/>
    <w:rsid w:val="00B72E24"/>
    <w:rsid w:val="00B74EED"/>
    <w:rsid w:val="00BA31BE"/>
    <w:rsid w:val="00BA787B"/>
    <w:rsid w:val="00BD1C05"/>
    <w:rsid w:val="00BD5B6F"/>
    <w:rsid w:val="00BD748A"/>
    <w:rsid w:val="00C13098"/>
    <w:rsid w:val="00C13393"/>
    <w:rsid w:val="00C1618F"/>
    <w:rsid w:val="00C22AC2"/>
    <w:rsid w:val="00C25E20"/>
    <w:rsid w:val="00C40C87"/>
    <w:rsid w:val="00C40DBB"/>
    <w:rsid w:val="00C50D7D"/>
    <w:rsid w:val="00C6211D"/>
    <w:rsid w:val="00C66E16"/>
    <w:rsid w:val="00C76BA0"/>
    <w:rsid w:val="00C903E9"/>
    <w:rsid w:val="00C90EE5"/>
    <w:rsid w:val="00CA05A4"/>
    <w:rsid w:val="00CB6E60"/>
    <w:rsid w:val="00CE747D"/>
    <w:rsid w:val="00CE77E8"/>
    <w:rsid w:val="00D047C3"/>
    <w:rsid w:val="00D04D74"/>
    <w:rsid w:val="00D111CE"/>
    <w:rsid w:val="00D34300"/>
    <w:rsid w:val="00D45114"/>
    <w:rsid w:val="00D47F0F"/>
    <w:rsid w:val="00D61B71"/>
    <w:rsid w:val="00D75812"/>
    <w:rsid w:val="00D81B29"/>
    <w:rsid w:val="00D86E2D"/>
    <w:rsid w:val="00D93837"/>
    <w:rsid w:val="00DA5F7F"/>
    <w:rsid w:val="00DB2151"/>
    <w:rsid w:val="00DC3C64"/>
    <w:rsid w:val="00DD27FC"/>
    <w:rsid w:val="00DD3EED"/>
    <w:rsid w:val="00DE2AAD"/>
    <w:rsid w:val="00DE4FCD"/>
    <w:rsid w:val="00DE7214"/>
    <w:rsid w:val="00DE7E4E"/>
    <w:rsid w:val="00DF0766"/>
    <w:rsid w:val="00DF2625"/>
    <w:rsid w:val="00DF3075"/>
    <w:rsid w:val="00DF5442"/>
    <w:rsid w:val="00E05A88"/>
    <w:rsid w:val="00E1650F"/>
    <w:rsid w:val="00E30F34"/>
    <w:rsid w:val="00E40AB0"/>
    <w:rsid w:val="00E46C44"/>
    <w:rsid w:val="00E47217"/>
    <w:rsid w:val="00E47B71"/>
    <w:rsid w:val="00E60E66"/>
    <w:rsid w:val="00E64CAA"/>
    <w:rsid w:val="00E70179"/>
    <w:rsid w:val="00E71010"/>
    <w:rsid w:val="00E730DF"/>
    <w:rsid w:val="00E84DB2"/>
    <w:rsid w:val="00EA0DC9"/>
    <w:rsid w:val="00EB012F"/>
    <w:rsid w:val="00EB5778"/>
    <w:rsid w:val="00EB671B"/>
    <w:rsid w:val="00ED13D6"/>
    <w:rsid w:val="00F0030A"/>
    <w:rsid w:val="00F00738"/>
    <w:rsid w:val="00F01CD9"/>
    <w:rsid w:val="00F4248B"/>
    <w:rsid w:val="00F479C0"/>
    <w:rsid w:val="00F5330A"/>
    <w:rsid w:val="00F60343"/>
    <w:rsid w:val="00F849CD"/>
    <w:rsid w:val="00F8679D"/>
    <w:rsid w:val="00FA2CA6"/>
    <w:rsid w:val="00FA3197"/>
    <w:rsid w:val="00FA7943"/>
    <w:rsid w:val="00FC5D04"/>
    <w:rsid w:val="00FE2526"/>
    <w:rsid w:val="00FE7248"/>
    <w:rsid w:val="00FF4E41"/>
    <w:rsid w:val="00FF5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E7F063"/>
  <w15:chartTrackingRefBased/>
  <w15:docId w15:val="{8B3BEA5C-2529-412C-BBB4-C32EF65F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698"/>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36698"/>
    <w:pPr>
      <w:keepNext/>
      <w:keepLines/>
      <w:spacing w:before="240" w:after="360"/>
      <w:outlineLvl w:val="0"/>
    </w:pPr>
    <w:rPr>
      <w:rFonts w:ascii="Cambria" w:eastAsia="Times New Roman" w:hAnsi="Cambria"/>
      <w:noProof/>
      <w:color w:val="365F91"/>
      <w:sz w:val="32"/>
      <w:szCs w:val="32"/>
    </w:rPr>
  </w:style>
  <w:style w:type="paragraph" w:styleId="Heading2">
    <w:name w:val="heading 2"/>
    <w:basedOn w:val="Normal"/>
    <w:next w:val="Normal"/>
    <w:link w:val="Heading2Char"/>
    <w:uiPriority w:val="9"/>
    <w:unhideWhenUsed/>
    <w:qFormat/>
    <w:rsid w:val="007C2F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2F2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6698"/>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36698"/>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contracts">
    <w:name w:val="Heading 2 contracts"/>
    <w:basedOn w:val="Heading2"/>
    <w:link w:val="Heading2contractsChar"/>
    <w:qFormat/>
    <w:rsid w:val="007C2F26"/>
    <w:pPr>
      <w:keepNext w:val="0"/>
      <w:keepLines w:val="0"/>
      <w:adjustRightInd w:val="0"/>
      <w:spacing w:before="240" w:beforeAutospacing="1" w:after="120" w:afterAutospacing="1" w:line="240" w:lineRule="auto"/>
      <w:ind w:left="1985"/>
      <w:jc w:val="both"/>
    </w:pPr>
    <w:rPr>
      <w:rFonts w:ascii="Times New Roman Bold" w:eastAsia="STZhongsong" w:hAnsi="Times New Roman Bold" w:cs="Times New Roman"/>
      <w:bCs w:val="0"/>
      <w:caps/>
      <w:smallCaps/>
      <w:color w:val="auto"/>
      <w:sz w:val="28"/>
      <w:szCs w:val="20"/>
      <w:u w:val="single"/>
      <w:lang w:eastAsia="zh-CN"/>
    </w:rPr>
  </w:style>
  <w:style w:type="character" w:customStyle="1" w:styleId="Heading2contractsChar">
    <w:name w:val="Heading 2 contracts Char"/>
    <w:link w:val="Heading2contracts"/>
    <w:rsid w:val="007C2F26"/>
    <w:rPr>
      <w:rFonts w:ascii="Times New Roman Bold" w:eastAsia="STZhongsong" w:hAnsi="Times New Roman Bold" w:cs="Times New Roman"/>
      <w:b/>
      <w:caps/>
      <w:smallCaps/>
      <w:sz w:val="28"/>
      <w:szCs w:val="20"/>
      <w:u w:val="single"/>
      <w:lang w:eastAsia="zh-CN"/>
    </w:rPr>
  </w:style>
  <w:style w:type="character" w:customStyle="1" w:styleId="Heading2Char">
    <w:name w:val="Heading 2 Char"/>
    <w:basedOn w:val="DefaultParagraphFont"/>
    <w:link w:val="Heading2"/>
    <w:uiPriority w:val="9"/>
    <w:rsid w:val="007C2F26"/>
    <w:rPr>
      <w:rFonts w:asciiTheme="majorHAnsi" w:eastAsiaTheme="majorEastAsia" w:hAnsiTheme="majorHAnsi" w:cstheme="majorBidi"/>
      <w:b/>
      <w:bCs/>
      <w:color w:val="4F81BD" w:themeColor="accent1"/>
      <w:sz w:val="26"/>
      <w:szCs w:val="26"/>
    </w:rPr>
  </w:style>
  <w:style w:type="paragraph" w:customStyle="1" w:styleId="Heading3contract">
    <w:name w:val="Heading 3 contract"/>
    <w:basedOn w:val="Heading3"/>
    <w:next w:val="Normal"/>
    <w:qFormat/>
    <w:rsid w:val="007C2F26"/>
    <w:pPr>
      <w:keepNext w:val="0"/>
      <w:keepLines w:val="0"/>
      <w:adjustRightInd w:val="0"/>
      <w:spacing w:before="120" w:after="120" w:line="240" w:lineRule="auto"/>
      <w:ind w:left="567"/>
      <w:jc w:val="both"/>
    </w:pPr>
    <w:rPr>
      <w:rFonts w:ascii="Times New Roman" w:eastAsia="STZhongsong" w:hAnsi="Times New Roman" w:cs="Times New Roman"/>
      <w:b w:val="0"/>
      <w:bCs w:val="0"/>
      <w:i/>
      <w:color w:val="auto"/>
      <w:szCs w:val="24"/>
      <w:lang w:eastAsia="zh-CN"/>
    </w:rPr>
  </w:style>
  <w:style w:type="character" w:customStyle="1" w:styleId="Heading3Char">
    <w:name w:val="Heading 3 Char"/>
    <w:basedOn w:val="DefaultParagraphFont"/>
    <w:link w:val="Heading3"/>
    <w:uiPriority w:val="9"/>
    <w:rsid w:val="007C2F2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036698"/>
    <w:rPr>
      <w:rFonts w:ascii="Cambria" w:eastAsia="Times New Roman" w:hAnsi="Cambria" w:cs="Times New Roman"/>
      <w:noProof/>
      <w:color w:val="365F91"/>
      <w:kern w:val="0"/>
      <w:sz w:val="32"/>
      <w:szCs w:val="32"/>
      <w14:ligatures w14:val="none"/>
    </w:rPr>
  </w:style>
  <w:style w:type="character" w:customStyle="1" w:styleId="Heading4Char">
    <w:name w:val="Heading 4 Char"/>
    <w:basedOn w:val="DefaultParagraphFont"/>
    <w:link w:val="Heading4"/>
    <w:uiPriority w:val="9"/>
    <w:semiHidden/>
    <w:rsid w:val="00036698"/>
    <w:rPr>
      <w:rFonts w:ascii="Cambria" w:eastAsia="Times New Roman" w:hAnsi="Cambria" w:cs="Times New Roman"/>
      <w:b/>
      <w:bCs/>
      <w:i/>
      <w:iCs/>
      <w:color w:val="4F81BD"/>
      <w:kern w:val="0"/>
      <w14:ligatures w14:val="none"/>
    </w:rPr>
  </w:style>
  <w:style w:type="character" w:customStyle="1" w:styleId="Heading5Char">
    <w:name w:val="Heading 5 Char"/>
    <w:basedOn w:val="DefaultParagraphFont"/>
    <w:link w:val="Heading5"/>
    <w:uiPriority w:val="9"/>
    <w:semiHidden/>
    <w:rsid w:val="00036698"/>
    <w:rPr>
      <w:rFonts w:ascii="Cambria" w:eastAsia="Times New Roman" w:hAnsi="Cambria" w:cs="Times New Roman"/>
      <w:color w:val="243F60"/>
      <w:kern w:val="0"/>
      <w14:ligatures w14:val="none"/>
    </w:rPr>
  </w:style>
  <w:style w:type="paragraph" w:styleId="FootnoteText">
    <w:name w:val="footnote text"/>
    <w:basedOn w:val="Normal"/>
    <w:link w:val="FootnoteTextChar"/>
    <w:uiPriority w:val="99"/>
    <w:unhideWhenUsed/>
    <w:rsid w:val="00036698"/>
    <w:pPr>
      <w:spacing w:after="0" w:line="240" w:lineRule="auto"/>
    </w:pPr>
    <w:rPr>
      <w:sz w:val="20"/>
      <w:szCs w:val="20"/>
    </w:rPr>
  </w:style>
  <w:style w:type="character" w:customStyle="1" w:styleId="FootnoteTextChar">
    <w:name w:val="Footnote Text Char"/>
    <w:basedOn w:val="DefaultParagraphFont"/>
    <w:link w:val="FootnoteText"/>
    <w:uiPriority w:val="99"/>
    <w:rsid w:val="00036698"/>
    <w:rPr>
      <w:rFonts w:ascii="Calibri" w:eastAsia="Calibri" w:hAnsi="Calibri" w:cs="Times New Roman"/>
      <w:kern w:val="0"/>
      <w:sz w:val="20"/>
      <w:szCs w:val="20"/>
      <w14:ligatures w14:val="none"/>
    </w:rPr>
  </w:style>
  <w:style w:type="paragraph" w:styleId="ListParagraph">
    <w:name w:val="List Paragraph"/>
    <w:basedOn w:val="Normal"/>
    <w:uiPriority w:val="34"/>
    <w:qFormat/>
    <w:rsid w:val="00036698"/>
    <w:pPr>
      <w:ind w:left="720"/>
      <w:contextualSpacing/>
    </w:pPr>
  </w:style>
  <w:style w:type="character" w:styleId="FootnoteReference">
    <w:name w:val="footnote reference"/>
    <w:uiPriority w:val="99"/>
    <w:semiHidden/>
    <w:unhideWhenUsed/>
    <w:rsid w:val="00036698"/>
    <w:rPr>
      <w:vertAlign w:val="superscript"/>
    </w:rPr>
  </w:style>
  <w:style w:type="character" w:customStyle="1" w:styleId="Marker">
    <w:name w:val="Marker"/>
    <w:rsid w:val="00036698"/>
    <w:rPr>
      <w:color w:val="0000FF"/>
      <w:shd w:val="clear" w:color="auto" w:fill="auto"/>
    </w:rPr>
  </w:style>
  <w:style w:type="paragraph" w:customStyle="1" w:styleId="Pagedecouverture">
    <w:name w:val="Page de couverture"/>
    <w:basedOn w:val="Normal"/>
    <w:next w:val="Normal"/>
    <w:rsid w:val="00036698"/>
    <w:pPr>
      <w:spacing w:after="0" w:line="240" w:lineRule="auto"/>
      <w:jc w:val="both"/>
    </w:pPr>
    <w:rPr>
      <w:rFonts w:ascii="Times New Roman" w:hAnsi="Times New Roman"/>
      <w:sz w:val="24"/>
    </w:rPr>
  </w:style>
  <w:style w:type="paragraph" w:styleId="Header">
    <w:name w:val="header"/>
    <w:basedOn w:val="Normal"/>
    <w:link w:val="HeaderChar"/>
    <w:uiPriority w:val="99"/>
    <w:unhideWhenUsed/>
    <w:rsid w:val="00036698"/>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basedOn w:val="DefaultParagraphFont"/>
    <w:link w:val="Header"/>
    <w:uiPriority w:val="99"/>
    <w:rsid w:val="00036698"/>
    <w:rPr>
      <w:rFonts w:ascii="Times New Roman" w:eastAsia="Calibri" w:hAnsi="Times New Roman" w:cs="Times New Roman"/>
      <w:kern w:val="0"/>
      <w:sz w:val="24"/>
      <w14:ligatures w14:val="none"/>
    </w:rPr>
  </w:style>
  <w:style w:type="paragraph" w:styleId="Footer">
    <w:name w:val="footer"/>
    <w:basedOn w:val="Normal"/>
    <w:link w:val="FooterChar"/>
    <w:uiPriority w:val="99"/>
    <w:unhideWhenUsed/>
    <w:rsid w:val="00036698"/>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basedOn w:val="DefaultParagraphFont"/>
    <w:link w:val="Footer"/>
    <w:uiPriority w:val="99"/>
    <w:rsid w:val="00036698"/>
    <w:rPr>
      <w:rFonts w:ascii="Times New Roman" w:eastAsia="Calibri" w:hAnsi="Times New Roman" w:cs="Times New Roman"/>
      <w:kern w:val="0"/>
      <w:sz w:val="24"/>
      <w14:ligatures w14:val="none"/>
    </w:rPr>
  </w:style>
  <w:style w:type="paragraph" w:customStyle="1" w:styleId="FooterCoverPage">
    <w:name w:val="Footer Cover Page"/>
    <w:basedOn w:val="Normal"/>
    <w:link w:val="FooterCoverPageChar"/>
    <w:rsid w:val="00036698"/>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sid w:val="00036698"/>
    <w:rPr>
      <w:rFonts w:ascii="Times New Roman" w:eastAsia="Calibri" w:hAnsi="Times New Roman" w:cs="Times New Roman"/>
      <w:kern w:val="0"/>
      <w:sz w:val="24"/>
      <w14:ligatures w14:val="none"/>
    </w:rPr>
  </w:style>
  <w:style w:type="paragraph" w:customStyle="1" w:styleId="HeaderCoverPage">
    <w:name w:val="Header Cover Page"/>
    <w:basedOn w:val="Normal"/>
    <w:link w:val="HeaderCoverPageChar"/>
    <w:rsid w:val="00036698"/>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sid w:val="00036698"/>
    <w:rPr>
      <w:rFonts w:ascii="Times New Roman" w:eastAsia="Calibri" w:hAnsi="Times New Roman" w:cs="Times New Roman"/>
      <w:kern w:val="0"/>
      <w:sz w:val="24"/>
      <w14:ligatures w14:val="none"/>
    </w:rPr>
  </w:style>
  <w:style w:type="table" w:styleId="TableGrid">
    <w:name w:val="Table Grid"/>
    <w:basedOn w:val="TableNormal"/>
    <w:rsid w:val="0003669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36698"/>
    <w:pPr>
      <w:keepNext/>
      <w:spacing w:line="240" w:lineRule="auto"/>
    </w:pPr>
    <w:rPr>
      <w:rFonts w:ascii="Times New Roman" w:hAnsi="Times New Roman"/>
      <w:i/>
      <w:iCs/>
      <w:sz w:val="24"/>
      <w:szCs w:val="24"/>
    </w:rPr>
  </w:style>
  <w:style w:type="table" w:customStyle="1" w:styleId="TByColumn">
    <w:name w:val="TByColumn"/>
    <w:basedOn w:val="TableNormal"/>
    <w:uiPriority w:val="99"/>
    <w:rsid w:val="00036698"/>
    <w:pPr>
      <w:spacing w:after="0" w:line="240" w:lineRule="auto"/>
    </w:pPr>
    <w:rPr>
      <w:rFonts w:ascii="Calibri" w:eastAsia="Calibri" w:hAnsi="Calibri" w:cs="Times New Roman"/>
      <w:kern w:val="0"/>
      <w:sz w:val="20"/>
      <w:szCs w:val="20"/>
      <w14:ligatures w14:val="none"/>
    </w:rPr>
    <w:tblPr>
      <w:tblBorders>
        <w:left w:val="single" w:sz="18" w:space="0" w:color="auto"/>
        <w:right w:val="single" w:sz="18" w:space="0" w:color="auto"/>
        <w:insideH w:val="single" w:sz="2" w:space="0" w:color="A6A6A6"/>
        <w:insideV w:val="single" w:sz="18" w:space="0" w:color="auto"/>
      </w:tblBorders>
    </w:tblPr>
    <w:tblStylePr w:type="firstRow">
      <w:rPr>
        <w:color w:val="F2F2F2"/>
      </w:rPr>
      <w:tblPr/>
      <w:tcPr>
        <w:shd w:val="clear" w:color="auto" w:fill="365F91"/>
      </w:tcPr>
    </w:tblStylePr>
    <w:tblStylePr w:type="lastRow">
      <w:rPr>
        <w:b/>
      </w:rPr>
      <w:tblPr/>
      <w:tcPr>
        <w:shd w:val="clear" w:color="auto" w:fill="DBE5F1"/>
      </w:tcPr>
    </w:tblStylePr>
    <w:tblStylePr w:type="lastCol">
      <w:rPr>
        <w:b/>
        <w:i w:val="0"/>
      </w:rPr>
      <w:tblPr/>
      <w:tcPr>
        <w:shd w:val="clear" w:color="auto" w:fill="DBE5F1"/>
      </w:tcPr>
    </w:tblStylePr>
  </w:style>
  <w:style w:type="paragraph" w:styleId="BalloonText">
    <w:name w:val="Balloon Text"/>
    <w:basedOn w:val="Normal"/>
    <w:link w:val="BalloonTextChar"/>
    <w:uiPriority w:val="99"/>
    <w:semiHidden/>
    <w:unhideWhenUsed/>
    <w:rsid w:val="00036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698"/>
    <w:rPr>
      <w:rFonts w:ascii="Tahoma" w:eastAsia="Calibri" w:hAnsi="Tahoma" w:cs="Tahoma"/>
      <w:kern w:val="0"/>
      <w:sz w:val="16"/>
      <w:szCs w:val="16"/>
      <w14:ligatures w14:val="none"/>
    </w:rPr>
  </w:style>
  <w:style w:type="paragraph" w:styleId="EndnoteText">
    <w:name w:val="endnote text"/>
    <w:basedOn w:val="Normal"/>
    <w:link w:val="EndnoteTextChar"/>
    <w:uiPriority w:val="99"/>
    <w:semiHidden/>
    <w:unhideWhenUsed/>
    <w:rsid w:val="000366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6698"/>
    <w:rPr>
      <w:rFonts w:ascii="Calibri" w:eastAsia="Calibri" w:hAnsi="Calibri" w:cs="Times New Roman"/>
      <w:kern w:val="0"/>
      <w:sz w:val="20"/>
      <w:szCs w:val="20"/>
      <w14:ligatures w14:val="none"/>
    </w:rPr>
  </w:style>
  <w:style w:type="character" w:styleId="EndnoteReference">
    <w:name w:val="endnote reference"/>
    <w:uiPriority w:val="99"/>
    <w:semiHidden/>
    <w:unhideWhenUsed/>
    <w:rsid w:val="00036698"/>
    <w:rPr>
      <w:vertAlign w:val="superscript"/>
    </w:rPr>
  </w:style>
  <w:style w:type="character" w:styleId="CommentReference">
    <w:name w:val="annotation reference"/>
    <w:semiHidden/>
    <w:unhideWhenUsed/>
    <w:rsid w:val="00036698"/>
    <w:rPr>
      <w:sz w:val="16"/>
      <w:szCs w:val="16"/>
    </w:rPr>
  </w:style>
  <w:style w:type="paragraph" w:styleId="CommentText">
    <w:name w:val="annotation text"/>
    <w:basedOn w:val="Normal"/>
    <w:link w:val="CommentTextChar"/>
    <w:unhideWhenUsed/>
    <w:rsid w:val="00036698"/>
    <w:pPr>
      <w:spacing w:line="240" w:lineRule="auto"/>
    </w:pPr>
    <w:rPr>
      <w:sz w:val="20"/>
      <w:szCs w:val="20"/>
    </w:rPr>
  </w:style>
  <w:style w:type="character" w:customStyle="1" w:styleId="CommentTextChar">
    <w:name w:val="Comment Text Char"/>
    <w:basedOn w:val="DefaultParagraphFont"/>
    <w:link w:val="CommentText"/>
    <w:rsid w:val="00036698"/>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36698"/>
    <w:rPr>
      <w:b/>
      <w:bCs/>
    </w:rPr>
  </w:style>
  <w:style w:type="character" w:customStyle="1" w:styleId="CommentSubjectChar">
    <w:name w:val="Comment Subject Char"/>
    <w:basedOn w:val="CommentTextChar"/>
    <w:link w:val="CommentSubject"/>
    <w:uiPriority w:val="99"/>
    <w:semiHidden/>
    <w:rsid w:val="00036698"/>
    <w:rPr>
      <w:rFonts w:ascii="Calibri" w:eastAsia="Calibri" w:hAnsi="Calibri" w:cs="Times New Roman"/>
      <w:b/>
      <w:bCs/>
      <w:kern w:val="0"/>
      <w:sz w:val="20"/>
      <w:szCs w:val="20"/>
      <w14:ligatures w14:val="none"/>
    </w:rPr>
  </w:style>
  <w:style w:type="paragraph" w:styleId="Revision">
    <w:name w:val="Revision"/>
    <w:hidden/>
    <w:uiPriority w:val="99"/>
    <w:semiHidden/>
    <w:rsid w:val="00036698"/>
    <w:pPr>
      <w:spacing w:after="0" w:line="240" w:lineRule="auto"/>
    </w:pPr>
    <w:rPr>
      <w:rFonts w:ascii="Calibri" w:eastAsia="Calibri" w:hAnsi="Calibri" w:cs="Times New Roman"/>
      <w:kern w:val="0"/>
      <w14:ligatures w14:val="none"/>
    </w:rPr>
  </w:style>
  <w:style w:type="paragraph" w:styleId="TOCHeading">
    <w:name w:val="TOC Heading"/>
    <w:basedOn w:val="Heading1"/>
    <w:next w:val="Normal"/>
    <w:uiPriority w:val="39"/>
    <w:unhideWhenUsed/>
    <w:qFormat/>
    <w:rsid w:val="00036698"/>
    <w:pPr>
      <w:spacing w:line="259" w:lineRule="auto"/>
      <w:outlineLvl w:val="9"/>
    </w:pPr>
  </w:style>
  <w:style w:type="paragraph" w:styleId="TOC2">
    <w:name w:val="toc 2"/>
    <w:basedOn w:val="Normal"/>
    <w:next w:val="Normal"/>
    <w:autoRedefine/>
    <w:uiPriority w:val="39"/>
    <w:unhideWhenUsed/>
    <w:rsid w:val="00036698"/>
    <w:pPr>
      <w:spacing w:after="100" w:line="259" w:lineRule="auto"/>
      <w:ind w:left="220"/>
    </w:pPr>
    <w:rPr>
      <w:rFonts w:eastAsia="Times New Roman"/>
    </w:rPr>
  </w:style>
  <w:style w:type="paragraph" w:styleId="TOC1">
    <w:name w:val="toc 1"/>
    <w:basedOn w:val="Normal"/>
    <w:next w:val="Normal"/>
    <w:autoRedefine/>
    <w:uiPriority w:val="39"/>
    <w:unhideWhenUsed/>
    <w:rsid w:val="00036698"/>
    <w:pPr>
      <w:tabs>
        <w:tab w:val="left" w:pos="440"/>
        <w:tab w:val="right" w:leader="dot" w:pos="9736"/>
      </w:tabs>
      <w:spacing w:after="100" w:line="259" w:lineRule="auto"/>
    </w:pPr>
    <w:rPr>
      <w:rFonts w:eastAsia="Times New Roman"/>
    </w:rPr>
  </w:style>
  <w:style w:type="paragraph" w:styleId="TOC3">
    <w:name w:val="toc 3"/>
    <w:basedOn w:val="Normal"/>
    <w:next w:val="Normal"/>
    <w:autoRedefine/>
    <w:uiPriority w:val="39"/>
    <w:unhideWhenUsed/>
    <w:rsid w:val="00036698"/>
    <w:pPr>
      <w:spacing w:after="100" w:line="259" w:lineRule="auto"/>
      <w:ind w:left="440"/>
    </w:pPr>
    <w:rPr>
      <w:rFonts w:eastAsia="Times New Roman"/>
    </w:rPr>
  </w:style>
  <w:style w:type="character" w:styleId="Hyperlink">
    <w:name w:val="Hyperlink"/>
    <w:uiPriority w:val="99"/>
    <w:unhideWhenUsed/>
    <w:rsid w:val="00036698"/>
    <w:rPr>
      <w:color w:val="0000FF"/>
      <w:u w:val="single"/>
    </w:rPr>
  </w:style>
  <w:style w:type="paragraph" w:customStyle="1" w:styleId="Declassification">
    <w:name w:val="Declassification"/>
    <w:basedOn w:val="Normal"/>
    <w:next w:val="Normal"/>
    <w:rsid w:val="00036698"/>
    <w:pPr>
      <w:spacing w:after="0" w:line="240" w:lineRule="auto"/>
      <w:jc w:val="both"/>
    </w:pPr>
    <w:rPr>
      <w:rFonts w:ascii="Times New Roman" w:hAnsi="Times New Roman"/>
      <w:sz w:val="24"/>
    </w:rPr>
  </w:style>
  <w:style w:type="paragraph" w:customStyle="1" w:styleId="HeaderLandscape">
    <w:name w:val="HeaderLandscape"/>
    <w:basedOn w:val="Normal"/>
    <w:rsid w:val="00036698"/>
    <w:pPr>
      <w:tabs>
        <w:tab w:val="center" w:pos="7285"/>
        <w:tab w:val="right" w:pos="14003"/>
      </w:tabs>
      <w:spacing w:after="120" w:line="240" w:lineRule="auto"/>
      <w:jc w:val="both"/>
    </w:pPr>
    <w:rPr>
      <w:rFonts w:ascii="Times New Roman" w:hAnsi="Times New Roman"/>
      <w:sz w:val="24"/>
    </w:rPr>
  </w:style>
  <w:style w:type="paragraph" w:customStyle="1" w:styleId="HeaderSensitivity">
    <w:name w:val="Header Sensitivity"/>
    <w:basedOn w:val="Normal"/>
    <w:rsid w:val="0003669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rsid w:val="00036698"/>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FooterSensitivity">
    <w:name w:val="Footer Sensitivity"/>
    <w:basedOn w:val="Normal"/>
    <w:rsid w:val="0003669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styleId="NoSpacing">
    <w:name w:val="No Spacing"/>
    <w:uiPriority w:val="1"/>
    <w:qFormat/>
    <w:rsid w:val="00036698"/>
    <w:pPr>
      <w:spacing w:after="0" w:line="240" w:lineRule="auto"/>
    </w:pPr>
    <w:rPr>
      <w:rFonts w:ascii="Calibri" w:eastAsia="Calibri" w:hAnsi="Calibri" w:cs="Times New Roman"/>
      <w:kern w:val="0"/>
      <w14:ligatures w14:val="none"/>
    </w:rPr>
  </w:style>
  <w:style w:type="table" w:customStyle="1" w:styleId="COMREP-TBL-STYLE-1">
    <w:name w:val="COMREP-TBL-STYLE-1"/>
    <w:basedOn w:val="TableGrid"/>
    <w:uiPriority w:val="99"/>
    <w:rsid w:val="00036698"/>
    <w:rPr>
      <w:sz w:val="22"/>
      <w:szCs w:val="22"/>
    </w:rPr>
    <w:tblPr/>
    <w:tblStylePr w:type="firstRow">
      <w:rPr>
        <w:b/>
      </w:rPr>
    </w:tblStylePr>
    <w:tblStylePr w:type="firstCol">
      <w:rPr>
        <w:b/>
      </w:rPr>
    </w:tblStylePr>
  </w:style>
  <w:style w:type="table" w:customStyle="1" w:styleId="COMREP-TBL-STYLE-11">
    <w:name w:val="COMREP-TBL-STYLE-11"/>
    <w:basedOn w:val="TableGrid"/>
    <w:uiPriority w:val="99"/>
    <w:rsid w:val="00036698"/>
    <w:rPr>
      <w:sz w:val="22"/>
      <w:szCs w:val="22"/>
    </w:rPr>
    <w:tblPr/>
    <w:tblStylePr w:type="firstRow">
      <w:rPr>
        <w:b/>
      </w:rPr>
    </w:tblStylePr>
    <w:tblStylePr w:type="firstCol">
      <w:rPr>
        <w:b/>
      </w:rPr>
    </w:tblStylePr>
  </w:style>
  <w:style w:type="table" w:customStyle="1" w:styleId="TableGrid1">
    <w:name w:val="Table Grid1"/>
    <w:basedOn w:val="TableNormal"/>
    <w:next w:val="TableGrid"/>
    <w:uiPriority w:val="39"/>
    <w:rsid w:val="0003669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StylePr>
  </w:style>
  <w:style w:type="table" w:customStyle="1" w:styleId="TableGrid2">
    <w:name w:val="Table Grid2"/>
    <w:basedOn w:val="TableNormal"/>
    <w:next w:val="TableGrid"/>
    <w:uiPriority w:val="39"/>
    <w:rsid w:val="0003669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StylePr>
  </w:style>
  <w:style w:type="paragraph" w:styleId="Title">
    <w:name w:val="Title"/>
    <w:basedOn w:val="Normal"/>
    <w:next w:val="Normal"/>
    <w:link w:val="TitleChar"/>
    <w:uiPriority w:val="10"/>
    <w:qFormat/>
    <w:rsid w:val="00036698"/>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uiPriority w:val="10"/>
    <w:rsid w:val="00036698"/>
    <w:rPr>
      <w:rFonts w:ascii="Calibri Light" w:eastAsia="Times New Roman" w:hAnsi="Calibri Light" w:cs="Times New Roman"/>
      <w:b/>
      <w:bCs/>
      <w:kern w:val="28"/>
      <w:sz w:val="32"/>
      <w:szCs w:val="32"/>
      <w14:ligatures w14:val="none"/>
    </w:rPr>
  </w:style>
  <w:style w:type="paragraph" w:customStyle="1" w:styleId="SecurityMarking">
    <w:name w:val="SecurityMarking"/>
    <w:basedOn w:val="Normal"/>
    <w:rsid w:val="00036698"/>
    <w:pPr>
      <w:spacing w:after="0"/>
      <w:ind w:left="5103"/>
    </w:pPr>
    <w:rPr>
      <w:rFonts w:ascii="Times New Roman" w:eastAsiaTheme="minorHAnsi" w:hAnsi="Times New Roman"/>
      <w:sz w:val="28"/>
    </w:rPr>
  </w:style>
  <w:style w:type="paragraph" w:customStyle="1" w:styleId="DateMarking">
    <w:name w:val="DateMarking"/>
    <w:basedOn w:val="Normal"/>
    <w:rsid w:val="00036698"/>
    <w:pPr>
      <w:spacing w:after="0"/>
      <w:ind w:left="5103"/>
    </w:pPr>
    <w:rPr>
      <w:rFonts w:ascii="Times New Roman" w:eastAsiaTheme="minorHAnsi" w:hAnsi="Times New Roman"/>
      <w:i/>
      <w:sz w:val="28"/>
    </w:rPr>
  </w:style>
  <w:style w:type="paragraph" w:customStyle="1" w:styleId="ReleasableTo">
    <w:name w:val="ReleasableTo"/>
    <w:basedOn w:val="Normal"/>
    <w:rsid w:val="00036698"/>
    <w:pPr>
      <w:spacing w:after="0"/>
      <w:ind w:left="5103"/>
    </w:pPr>
    <w:rPr>
      <w:rFonts w:ascii="Times New Roman" w:eastAsiaTheme="minorHAnsi" w:hAnsi="Times New Roman"/>
      <w:i/>
      <w:sz w:val="28"/>
    </w:rPr>
  </w:style>
  <w:style w:type="paragraph" w:customStyle="1" w:styleId="HeaderSensitivityRight">
    <w:name w:val="Header Sensitivity Right"/>
    <w:basedOn w:val="Normal"/>
    <w:rsid w:val="00036698"/>
    <w:pPr>
      <w:spacing w:after="120" w:line="240" w:lineRule="auto"/>
      <w:jc w:val="right"/>
    </w:pPr>
    <w:rPr>
      <w:rFonts w:ascii="Times New Roman" w:hAnsi="Times New Roman"/>
      <w:sz w:val="28"/>
    </w:rPr>
  </w:style>
  <w:style w:type="table" w:customStyle="1" w:styleId="comrep">
    <w:name w:val="comrep"/>
    <w:basedOn w:val="TableNormal"/>
    <w:uiPriority w:val="99"/>
    <w:rsid w:val="00036698"/>
    <w:pPr>
      <w:spacing w:after="0" w:line="240" w:lineRule="auto"/>
    </w:pPr>
    <w:rPr>
      <w:rFonts w:ascii="Calibri" w:eastAsia="Calibri" w:hAnsi="Calibri" w:cs="Times New Roman"/>
      <w:kern w:val="0"/>
      <w:sz w:val="20"/>
      <w:szCs w:val="20"/>
      <w14:ligatures w14:val="none"/>
    </w:rPr>
    <w:tblPr/>
  </w:style>
  <w:style w:type="paragraph" w:customStyle="1" w:styleId="pf0">
    <w:name w:val="pf0"/>
    <w:basedOn w:val="Normal"/>
    <w:rsid w:val="00D93837"/>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cf01">
    <w:name w:val="cf01"/>
    <w:basedOn w:val="DefaultParagraphFont"/>
    <w:rsid w:val="00D9383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0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6D2D4-F7E3-40F3-BB30-D7A3916D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Pages>
  <Words>2511</Words>
  <Characters>14318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dcterms:created xsi:type="dcterms:W3CDTF">2025-06-10T12:57:00Z</dcterms:created>
  <dcterms:modified xsi:type="dcterms:W3CDTF">2025-07-11T10:27:00Z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2024-03-19T13:52:51Z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051d959c-fae0-43ec-b61f-5cb68881756d</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CP-003</vt:lpwstr>
  </property>
  <property fmtid="{D5CDD505-2E9C-101B-9397-08002B2CF9AE}" pid="14" name="Last edited using">
    <vt:lpwstr>LW 9.1, Build 20240808</vt:lpwstr>
  </property>
  <property fmtid="{D5CDD505-2E9C-101B-9397-08002B2CF9AE}" pid="15" name="Created using">
    <vt:lpwstr>LW 9.0, Build 20230317</vt:lpwstr>
  </property>
</Properties>
</file>