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DD8F5" w14:textId="3EB73D06" w:rsidR="00F84713" w:rsidRDefault="00D0230B" w:rsidP="00D0230B">
      <w:pPr>
        <w:pStyle w:val="Pagedecouverture"/>
        <w:rPr>
          <w:noProof/>
        </w:rPr>
      </w:pPr>
      <w:bookmarkStart w:id="0" w:name="LW_BM_COVERPAGE"/>
      <w:r>
        <w:rPr>
          <w:noProof/>
        </w:rPr>
        <w:pict w14:anchorId="3C7DC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804DADD-6D6F-4398-AA69-AFA71D0B2D24" style="width:455.25pt;height:324pt">
            <v:imagedata r:id="rId15" o:title=""/>
          </v:shape>
        </w:pict>
      </w:r>
    </w:p>
    <w:bookmarkEnd w:id="0"/>
    <w:p w14:paraId="06109B4E" w14:textId="77777777" w:rsidR="00F84713" w:rsidRDefault="00F84713" w:rsidP="00F84713">
      <w:pPr>
        <w:rPr>
          <w:noProof/>
          <w:lang w:val="en-IE"/>
        </w:rPr>
        <w:sectPr w:rsidR="00F84713" w:rsidSect="00D0230B">
          <w:headerReference w:type="even" r:id="rId16"/>
          <w:headerReference w:type="default" r:id="rId17"/>
          <w:footerReference w:type="even" r:id="rId18"/>
          <w:footerReference w:type="default" r:id="rId19"/>
          <w:headerReference w:type="first" r:id="rId20"/>
          <w:footerReference w:type="first" r:id="rId21"/>
          <w:endnotePr>
            <w:numFmt w:val="lowerLetter"/>
          </w:endnotePr>
          <w:pgSz w:w="11906" w:h="16838"/>
          <w:pgMar w:top="1134" w:right="1417" w:bottom="1134" w:left="1417" w:header="709" w:footer="709" w:gutter="0"/>
          <w:pgNumType w:start="0"/>
          <w:cols w:space="720"/>
          <w:docGrid w:linePitch="326"/>
        </w:sectPr>
      </w:pPr>
    </w:p>
    <w:p w14:paraId="5320A9E0" w14:textId="2721EB7E" w:rsidR="005109C5" w:rsidRPr="005109C5" w:rsidRDefault="005109C5" w:rsidP="005109C5">
      <w:pPr>
        <w:pStyle w:val="Typedudocument"/>
        <w:rPr>
          <w:noProof/>
        </w:rPr>
      </w:pPr>
      <w:bookmarkStart w:id="1" w:name="_GoBack"/>
      <w:bookmarkEnd w:id="1"/>
      <w:r w:rsidRPr="005109C5">
        <w:rPr>
          <w:noProof/>
        </w:rPr>
        <w:lastRenderedPageBreak/>
        <w:t>COMMUNICATION DE LA COMMISSION AU PARLEMENT EUROPÉEN, AU CONSEIL, AU COMITÉ ÉCONOMIQUE ET SOCIAL EUROPÉEN ET AU COMITÉ DES RÉGIONS</w:t>
      </w:r>
    </w:p>
    <w:p w14:paraId="5D6395F0" w14:textId="507BF553" w:rsidR="005109C5" w:rsidRPr="005109C5" w:rsidRDefault="005109C5" w:rsidP="005109C5">
      <w:pPr>
        <w:pStyle w:val="Titreobjet"/>
        <w:rPr>
          <w:noProof/>
        </w:rPr>
      </w:pPr>
      <w:bookmarkStart w:id="2" w:name="_Hlk195109573"/>
      <w:r w:rsidRPr="005109C5">
        <w:rPr>
          <w:noProof/>
        </w:rPr>
        <w:t>Un plan d’action européen pour l’acier et les métaux</w:t>
      </w:r>
      <w:bookmarkEnd w:id="2"/>
    </w:p>
    <w:p w14:paraId="598CC65A" w14:textId="4E6D97C1" w:rsidR="00083F3A" w:rsidRDefault="3EB83510" w:rsidP="06746406">
      <w:pPr>
        <w:spacing w:line="259" w:lineRule="auto"/>
        <w:rPr>
          <w:noProof/>
        </w:rPr>
      </w:pPr>
      <w:r>
        <w:rPr>
          <w:b/>
          <w:noProof/>
        </w:rPr>
        <w:t xml:space="preserve">Ce n’est pas un hasard si l’Union européenne a été bâtie sur l’acier. </w:t>
      </w:r>
      <w:r>
        <w:rPr>
          <w:noProof/>
        </w:rPr>
        <w:t>L’Europe a une longue et prestigieuse histoire dans le domaine de la production d’acier et de métaux de base</w:t>
      </w:r>
      <w:r w:rsidR="00750B29" w:rsidRPr="00083F3A">
        <w:rPr>
          <w:rStyle w:val="FootnoteReference"/>
          <w:noProof/>
          <w:lang w:val="en-IE"/>
        </w:rPr>
        <w:footnoteReference w:id="2"/>
      </w:r>
      <w:r>
        <w:rPr>
          <w:noProof/>
        </w:rPr>
        <w:t>. L’avance que possède l’Europe pour les produits en acier et en métaux de base de grande valeur et autres est un atout essentiel pour de nombreuses industries et produits en aval. Ces secteurs sont essentiels pour la sécurité économique et la stabilité sociale de l’Union. Reconnaissant l’importance stratégique des secteurs de l’acier et des métaux, la boussole pour la compétitivité</w:t>
      </w:r>
      <w:r w:rsidR="26F264C4" w:rsidRPr="06746406">
        <w:rPr>
          <w:rStyle w:val="FootnoteReference"/>
          <w:noProof/>
          <w:lang w:val="en-IE"/>
        </w:rPr>
        <w:footnoteReference w:id="3"/>
      </w:r>
      <w:r>
        <w:rPr>
          <w:noProof/>
        </w:rPr>
        <w:t xml:space="preserve"> constate qu’il s’agit d’un domaine d’action clé.</w:t>
      </w:r>
    </w:p>
    <w:p w14:paraId="490B4F21" w14:textId="50CC83A1" w:rsidR="008F1576" w:rsidRDefault="60F9E594" w:rsidP="06746406">
      <w:pPr>
        <w:rPr>
          <w:noProof/>
        </w:rPr>
      </w:pPr>
      <w:r>
        <w:rPr>
          <w:b/>
          <w:noProof/>
        </w:rPr>
        <w:t xml:space="preserve">Ces secteurs doivent tous faire face aux mêmes grandes difficultés sur le plan de la compétitivité: </w:t>
      </w:r>
      <w:r>
        <w:rPr>
          <w:noProof/>
        </w:rPr>
        <w:t>des coûts élevés de l’énergie, l’exposition à des conditions de concurrence inégales à l’échelle internationale, des besoins d’investissements dans la décarbonation et une charge réglementaire pesante. Au cours de la dernière décennie, la part de l’Union dans la production mondiale d’acier a baissé à 7-8 %, tandis que la production d’aluminium primaire représente 3,8 %</w:t>
      </w:r>
      <w:r w:rsidR="003A3D0C" w:rsidRPr="326B3537">
        <w:rPr>
          <w:rStyle w:val="FootnoteReference"/>
          <w:noProof/>
        </w:rPr>
        <w:footnoteReference w:id="4"/>
      </w:r>
      <w:r>
        <w:rPr>
          <w:noProof/>
        </w:rPr>
        <w:t>. Parallèlement, d’autres pays, notamment la Chine et, ces dernières années, l’Inde, ainsi que plusieurs autres pays d’Asie et du Moyen-Orient, ont considérablement augmenté leurs capacités de production, leur accordant souvent des subventions à l’origine de distorsions. En conséquence, rien que pour l’acier, la surcapacité mondiale a été estimée en 2024 à plus de quatre fois et demie la consommation annuelle de l’Union</w:t>
      </w:r>
      <w:r w:rsidR="7FD0351B" w:rsidRPr="204CAC2F">
        <w:rPr>
          <w:rStyle w:val="FootnoteReference"/>
          <w:noProof/>
        </w:rPr>
        <w:footnoteReference w:id="5"/>
      </w:r>
      <w:r>
        <w:rPr>
          <w:noProof/>
        </w:rPr>
        <w:t xml:space="preserve">. </w:t>
      </w:r>
    </w:p>
    <w:p w14:paraId="28A1E5FC" w14:textId="1F2D5258" w:rsidR="008F1576" w:rsidRDefault="07DEB0F9" w:rsidP="06746406">
      <w:pPr>
        <w:rPr>
          <w:noProof/>
        </w:rPr>
      </w:pPr>
      <w:r>
        <w:rPr>
          <w:b/>
          <w:noProof/>
        </w:rPr>
        <w:t>Si la production de l’Union est toujours suffisante pour couvrir la majeure partie de la demande intérieure d’acier (90 %)</w:t>
      </w:r>
      <w:r w:rsidR="0096765E" w:rsidRPr="06746406">
        <w:rPr>
          <w:rStyle w:val="FootnoteReference"/>
          <w:b/>
          <w:bCs/>
          <w:noProof/>
          <w:lang w:val="en-IE"/>
        </w:rPr>
        <w:footnoteReference w:id="6"/>
      </w:r>
      <w:r>
        <w:rPr>
          <w:b/>
          <w:noProof/>
        </w:rPr>
        <w:t xml:space="preserve"> et de cuivre (83 %)</w:t>
      </w:r>
      <w:r w:rsidR="0096765E" w:rsidRPr="06746406">
        <w:rPr>
          <w:rStyle w:val="FootnoteReference"/>
          <w:b/>
          <w:bCs/>
          <w:noProof/>
          <w:lang w:val="en-IE"/>
        </w:rPr>
        <w:footnoteReference w:id="7"/>
      </w:r>
      <w:r>
        <w:rPr>
          <w:b/>
          <w:noProof/>
        </w:rPr>
        <w:t>, la situation est déjà plus préoccupante pour l’aluminium (46 %)</w:t>
      </w:r>
      <w:r w:rsidR="0096765E" w:rsidRPr="06746406">
        <w:rPr>
          <w:rStyle w:val="FootnoteReference"/>
          <w:b/>
          <w:bCs/>
          <w:noProof/>
          <w:lang w:val="en-IE"/>
        </w:rPr>
        <w:footnoteReference w:id="8"/>
      </w:r>
      <w:r>
        <w:rPr>
          <w:b/>
          <w:noProof/>
        </w:rPr>
        <w:t xml:space="preserve"> et le nickel (25 %)</w:t>
      </w:r>
      <w:r w:rsidR="0096765E" w:rsidRPr="06746406">
        <w:rPr>
          <w:rStyle w:val="FootnoteReference"/>
          <w:b/>
          <w:bCs/>
          <w:noProof/>
          <w:lang w:val="en-IE"/>
        </w:rPr>
        <w:footnoteReference w:id="9"/>
      </w:r>
      <w:r>
        <w:rPr>
          <w:noProof/>
        </w:rPr>
        <w:t>, compte tenu notamment de la forte croissance attendue de la demande d’aluminium, de cuivre et de nickel à l’horizon 2030. En outre, tous ces métaux sont essentiels pour l’industrie de la défense. Par exemple, un char de combat contient de 50 à 60 tonnes d’acier fin, un système d’artillerie autopropulsé jusqu’à 100 tonnes et un aéronef de combat 3 tonnes d’aluminium</w:t>
      </w:r>
      <w:r w:rsidR="0004104D">
        <w:rPr>
          <w:rStyle w:val="FootnoteReference"/>
          <w:noProof/>
        </w:rPr>
        <w:footnoteReference w:id="10"/>
      </w:r>
      <w:r>
        <w:rPr>
          <w:noProof/>
        </w:rPr>
        <w:t xml:space="preserve">. Il est essentiel d’assurer la stabilité et la résilience de la chaîne d’approvisionnement en ces matériaux pour renforcer la base industrielle et technologique de défense européenne, pour garantir la préparation et la sécurité intérieure de l’Union, pour répondre aux besoins de l’Union en matière de défense et d’aérospatiale et pour garantir sa souveraineté technologique. </w:t>
      </w:r>
    </w:p>
    <w:p w14:paraId="3FA35C8E" w14:textId="21DC9B7E" w:rsidR="008F1576" w:rsidRDefault="768E15CE" w:rsidP="06746406">
      <w:pPr>
        <w:spacing w:line="259" w:lineRule="auto"/>
        <w:rPr>
          <w:noProof/>
        </w:rPr>
      </w:pPr>
      <w:r>
        <w:rPr>
          <w:b/>
          <w:noProof/>
        </w:rPr>
        <w:t>Les industries métallurgiques européennes se sont engagées à investir dans les technologies de décarbonation et de dépollution</w:t>
      </w:r>
      <w:r>
        <w:rPr>
          <w:noProof/>
        </w:rPr>
        <w:t xml:space="preserve"> et à contribuer à réaliser l’ambition climatique et environnementale de l’Union: les industries métallurgiques</w:t>
      </w:r>
      <w:r w:rsidR="00AB4E9D">
        <w:rPr>
          <w:rStyle w:val="FootnoteReference"/>
          <w:noProof/>
        </w:rPr>
        <w:footnoteReference w:id="11"/>
      </w:r>
      <w:r>
        <w:rPr>
          <w:noProof/>
        </w:rPr>
        <w:t xml:space="preserve"> représentaient 8,1 % du total des émissions de gaz à effet de serre de l’Union en 2022</w:t>
      </w:r>
      <w:r w:rsidR="008062F2">
        <w:rPr>
          <w:rStyle w:val="FootnoteReference"/>
          <w:noProof/>
        </w:rPr>
        <w:footnoteReference w:id="12"/>
      </w:r>
      <w:r>
        <w:rPr>
          <w:noProof/>
        </w:rPr>
        <w:t xml:space="preserve"> et étaient une source importante de polluants atmosphériques</w:t>
      </w:r>
      <w:r w:rsidR="00CE36F9">
        <w:rPr>
          <w:rStyle w:val="FootnoteReference"/>
          <w:noProof/>
          <w:lang w:val="en-US"/>
        </w:rPr>
        <w:footnoteReference w:id="13"/>
      </w:r>
      <w:r>
        <w:rPr>
          <w:noProof/>
        </w:rPr>
        <w:t xml:space="preserve">. Toutefois, en raison du contexte économique actuel — caractérisé par de faibles rendements du capital, une récente compression des marges due à une surcapacité mondiale, un manque de volonté des clients de payer un supplément «propreté» et des incitations réglementaires insuffisantes —, il est plus difficile pour les industries métallurgiques de l’Union d’investir dans la décarbonation. Par conséquent, </w:t>
      </w:r>
      <w:r>
        <w:rPr>
          <w:b/>
          <w:noProof/>
        </w:rPr>
        <w:t>les arguments commerciaux et financiers</w:t>
      </w:r>
      <w:r>
        <w:rPr>
          <w:noProof/>
        </w:rPr>
        <w:t xml:space="preserve"> </w:t>
      </w:r>
      <w:r>
        <w:rPr>
          <w:b/>
          <w:noProof/>
        </w:rPr>
        <w:t>ne sont pas assez convaincants</w:t>
      </w:r>
      <w:r>
        <w:rPr>
          <w:noProof/>
        </w:rPr>
        <w:t xml:space="preserve"> pour attirer les investisseurs et les clients. En l’absence d’actions énergiques et d’investissements substantiels, le risque de fermeture d’usines et de déclin industriel demeure réel, ce qui a de graves conséquences pour les régions économiques clés de toute l’Europe, ainsi que pour nos secteurs stratégiques, tels que les industries de la défense et de l’espace, et limite leur possibilité de fournir des capacités et des équipements critiques avec la flexibilité et la rapidité requises dans un contexte géopolitique en mutation rapide.</w:t>
      </w:r>
    </w:p>
    <w:p w14:paraId="4F394E44" w14:textId="27D613CC" w:rsidR="00C759C8" w:rsidRDefault="00F16627" w:rsidP="06746406">
      <w:pPr>
        <w:pStyle w:val="Text1"/>
        <w:keepNext/>
        <w:ind w:left="0"/>
        <w:jc w:val="center"/>
        <w:rPr>
          <w:noProof/>
        </w:rPr>
      </w:pPr>
      <w:r>
        <w:rPr>
          <w:noProof/>
          <w:lang w:val="en-GB" w:eastAsia="en-GB"/>
        </w:rPr>
        <w:drawing>
          <wp:inline distT="0" distB="0" distL="0" distR="0" wp14:anchorId="5AC2313B" wp14:editId="66E78025">
            <wp:extent cx="5057775" cy="5105400"/>
            <wp:effectExtent l="0" t="0" r="9525" b="0"/>
            <wp:docPr id="1244364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64019" name=""/>
                    <pic:cNvPicPr/>
                  </pic:nvPicPr>
                  <pic:blipFill>
                    <a:blip r:embed="rId22"/>
                    <a:stretch>
                      <a:fillRect/>
                    </a:stretch>
                  </pic:blipFill>
                  <pic:spPr>
                    <a:xfrm>
                      <a:off x="0" y="0"/>
                      <a:ext cx="5057775" cy="5105400"/>
                    </a:xfrm>
                    <a:prstGeom prst="rect">
                      <a:avLst/>
                    </a:prstGeom>
                  </pic:spPr>
                </pic:pic>
              </a:graphicData>
            </a:graphic>
          </wp:inline>
        </w:drawing>
      </w:r>
    </w:p>
    <w:p w14:paraId="3A4F00EC" w14:textId="2A3E264A" w:rsidR="7D2D179E" w:rsidRDefault="7D2D179E" w:rsidP="06746406">
      <w:pPr>
        <w:pStyle w:val="Caption"/>
        <w:spacing w:before="0"/>
        <w:jc w:val="center"/>
        <w:rPr>
          <w:noProof/>
        </w:rPr>
      </w:pPr>
      <w:r>
        <w:rPr>
          <w:noProof/>
        </w:rPr>
        <w:t>Localisation des sites d’acier et de métaux non ferreux figurant parmi les cent plus grands sites émetteurs de gaz à effet de serre de l’Union. Source: JRC, Energy and Industry Geography Lab (laboratoire de géographie de l’énergie et de l’industrie)</w:t>
      </w:r>
    </w:p>
    <w:p w14:paraId="62321E20" w14:textId="1125872B" w:rsidR="7363A42C" w:rsidRDefault="1260C8AD">
      <w:pPr>
        <w:rPr>
          <w:noProof/>
        </w:rPr>
      </w:pPr>
      <w:r>
        <w:rPr>
          <w:noProof/>
        </w:rPr>
        <w:t>Par exemple, ThyssenKrupp a annoncé des plans de suppression de 11 000 emplois en Allemagne en décembre 2024. En novembre 2024, ArcelorMittal a reporté ses investissements dans la décarbonation dans toute l’Europe. En outre, Liberty Ostrava a été déclarée en faillite en Tchéquie en juin 2024. Le secteur de l’aluminium est un révélateur du risque de désindustrialisation, car il a définitivement perdu une partie significative de ses capacités de production européennes. En outre, plus de 50 % des capacités de production primaire sont inexploitées depuis 2021. Parallèlement, la production d’acier de l’Union diminue depuis 2017, étant passée de 160 millions de tonnes cette année-là à 126 millions de tonnes en 2023. Le taux actuel d’utilisation des capacités des aciéries, qui est d’environ 65 %, n’est pas viable à long terme, étant donné que ces industries à forte intensité de capital doivent fonctionner à plus de 85 % de leurs capacités pour être compétitives dans les conditions du marché.</w:t>
      </w:r>
    </w:p>
    <w:p w14:paraId="609CB54C" w14:textId="1A20D336" w:rsidR="003F5D57" w:rsidRPr="00AD7603" w:rsidRDefault="40001D3E" w:rsidP="006D6F84">
      <w:pPr>
        <w:rPr>
          <w:noProof/>
        </w:rPr>
      </w:pPr>
      <w:r>
        <w:rPr>
          <w:b/>
          <w:noProof/>
        </w:rPr>
        <w:t>Le pacte pour une industrie propre</w:t>
      </w:r>
      <w:r w:rsidR="12ECD839" w:rsidRPr="5B7F4486">
        <w:rPr>
          <w:rStyle w:val="FootnoteReference"/>
          <w:b/>
          <w:bCs/>
          <w:noProof/>
          <w:lang w:val="en-IE"/>
        </w:rPr>
        <w:footnoteReference w:id="14"/>
      </w:r>
      <w:r>
        <w:rPr>
          <w:b/>
          <w:noProof/>
        </w:rPr>
        <w:t xml:space="preserve"> et le plan d’action pour une énergie abordable</w:t>
      </w:r>
      <w:r w:rsidR="12ECD839" w:rsidRPr="5B7F4486">
        <w:rPr>
          <w:rStyle w:val="FootnoteReference"/>
          <w:b/>
          <w:bCs/>
          <w:noProof/>
          <w:lang w:val="en-IE"/>
        </w:rPr>
        <w:footnoteReference w:id="15"/>
      </w:r>
      <w:r>
        <w:rPr>
          <w:noProof/>
        </w:rPr>
        <w:t xml:space="preserve"> ont annoncé une série de mesures et la nécessité d’un plan d’action concret pour les secteurs des métaux. La priorité est accordée aux principaux défis à relever en matière de compétitivité, à savoir la réduction des coûts de l’énergie, la création de marchés pilotes pour les produits à faible intensité de carbone, l’augmentation de la circularité, l’uniformisation des conditions de concurrence internationales, la création d’emplois de qualité et la mobilisation d’investissements. L’Union continuera de s’appuyer sur des partenariats mondiaux solides pour atteindre ses objectifs en matière d’industrie propre.</w:t>
      </w:r>
    </w:p>
    <w:p w14:paraId="00559389" w14:textId="28BCC56C" w:rsidR="00E60F7F" w:rsidRPr="00B00CB3" w:rsidRDefault="5E0018E1" w:rsidP="00B00CB3">
      <w:pPr>
        <w:rPr>
          <w:noProof/>
        </w:rPr>
      </w:pPr>
      <w:r>
        <w:rPr>
          <w:b/>
          <w:noProof/>
        </w:rPr>
        <w:t xml:space="preserve">Le présent plan d’action complète ces initiatives plus larges et établit un programme de travail global à court et moyen terme. </w:t>
      </w:r>
      <w:r>
        <w:rPr>
          <w:noProof/>
        </w:rPr>
        <w:t>Il s’appuie sur le dialogue sur l’acier organisé par la présidente de la Commission le 4 mars et sur une série plus large de consultations.</w:t>
      </w:r>
      <w:r>
        <w:rPr>
          <w:b/>
          <w:noProof/>
        </w:rPr>
        <w:t xml:space="preserve"> </w:t>
      </w:r>
      <w:r>
        <w:rPr>
          <w:noProof/>
        </w:rPr>
        <w:t>Il aborde certaines des questions sectorielles cruciales qui empêchent les industries métallurgiques d’Europe de prospérer et de se décarboner. Il énonce des mesures concrètes qui, combinées, peuvent apporter une aide immédiate aux industries métallurgiques tout en les confortant dans leurs trajectoires de décarbonation et leurs décisions d’investissement. La trajectoire de transition pour les secteurs métallurgiques</w:t>
      </w:r>
      <w:r w:rsidR="568BCC6E" w:rsidRPr="204CAC2F">
        <w:rPr>
          <w:rStyle w:val="FootnoteReference"/>
          <w:noProof/>
          <w:lang w:val="en-IE"/>
        </w:rPr>
        <w:footnoteReference w:id="16"/>
      </w:r>
      <w:r>
        <w:rPr>
          <w:noProof/>
        </w:rPr>
        <w:t xml:space="preserve">, publiée en même temps que le présent plan d’action, fournit un contexte supplémentaire et une analyse ascendante des besoins et des défis des industries métallurgiques, ainsi que les points de vue exprimés par les différents acteurs. Le présent plan d’action prendra en considération </w:t>
      </w:r>
      <w:r>
        <w:rPr>
          <w:b/>
          <w:noProof/>
        </w:rPr>
        <w:t>les partenariats actuels de l’Union avec les pays tiers, en particulier avec les pays candidats,</w:t>
      </w:r>
      <w:r>
        <w:rPr>
          <w:noProof/>
        </w:rPr>
        <w:t xml:space="preserve"> à mesure qu’ils s’intègrent dans le marché unique et progressent sur la voie de l’adhésion à l’Union. Une approche stratégique visant à renforcer la résilience de la chaîne d’approvisionnement pourrait impliquer d’investir dans les pays partenaires et de redéfinir les collaborations industrielles afin de créer un écosystème de production d’acier plus durable et plus résilient.</w:t>
      </w:r>
    </w:p>
    <w:p w14:paraId="7EAAFC39" w14:textId="076F5F3D" w:rsidR="000D0764" w:rsidRDefault="6266CE38" w:rsidP="00404719">
      <w:pPr>
        <w:rPr>
          <w:noProof/>
        </w:rPr>
      </w:pPr>
      <w:r>
        <w:rPr>
          <w:noProof/>
        </w:rPr>
        <w:t xml:space="preserve">Le présent plan d’action s’articule autour de six grands piliers: garantir une </w:t>
      </w:r>
      <w:r>
        <w:rPr>
          <w:b/>
          <w:noProof/>
        </w:rPr>
        <w:t>énergie</w:t>
      </w:r>
      <w:r>
        <w:rPr>
          <w:noProof/>
        </w:rPr>
        <w:t xml:space="preserve"> propre abondante et abordable; prévenir la </w:t>
      </w:r>
      <w:r>
        <w:rPr>
          <w:b/>
          <w:noProof/>
        </w:rPr>
        <w:t>fuite de carbone</w:t>
      </w:r>
      <w:r>
        <w:rPr>
          <w:noProof/>
        </w:rPr>
        <w:t xml:space="preserve">; promouvoir et protéger les </w:t>
      </w:r>
      <w:r>
        <w:rPr>
          <w:b/>
          <w:noProof/>
        </w:rPr>
        <w:t>capacités</w:t>
      </w:r>
      <w:r>
        <w:rPr>
          <w:noProof/>
        </w:rPr>
        <w:t xml:space="preserve"> industrielles européennes; promouvoir la </w:t>
      </w:r>
      <w:r>
        <w:rPr>
          <w:b/>
          <w:noProof/>
        </w:rPr>
        <w:t>circularité</w:t>
      </w:r>
      <w:r>
        <w:rPr>
          <w:noProof/>
        </w:rPr>
        <w:t xml:space="preserve"> des métaux; défendre des </w:t>
      </w:r>
      <w:r>
        <w:rPr>
          <w:b/>
          <w:noProof/>
        </w:rPr>
        <w:t>emplois</w:t>
      </w:r>
      <w:r>
        <w:rPr>
          <w:noProof/>
        </w:rPr>
        <w:t xml:space="preserve"> de qualité </w:t>
      </w:r>
      <w:r>
        <w:rPr>
          <w:b/>
          <w:noProof/>
        </w:rPr>
        <w:t>dans l’industrie</w:t>
      </w:r>
      <w:r>
        <w:rPr>
          <w:noProof/>
        </w:rPr>
        <w:t>;</w:t>
      </w:r>
      <w:r>
        <w:rPr>
          <w:b/>
          <w:noProof/>
        </w:rPr>
        <w:t xml:space="preserve"> </w:t>
      </w:r>
      <w:r>
        <w:rPr>
          <w:noProof/>
        </w:rPr>
        <w:t xml:space="preserve">réduire les risques grâce aux </w:t>
      </w:r>
      <w:r>
        <w:rPr>
          <w:b/>
          <w:noProof/>
        </w:rPr>
        <w:t>marchés pilotes</w:t>
      </w:r>
      <w:r>
        <w:rPr>
          <w:noProof/>
        </w:rPr>
        <w:t xml:space="preserve"> et au soutien des </w:t>
      </w:r>
      <w:r>
        <w:rPr>
          <w:b/>
          <w:noProof/>
        </w:rPr>
        <w:t>investissements</w:t>
      </w:r>
      <w:r>
        <w:rPr>
          <w:noProof/>
        </w:rPr>
        <w:t>.</w:t>
      </w:r>
      <w:r>
        <w:rPr>
          <w:b/>
          <w:noProof/>
        </w:rPr>
        <w:t xml:space="preserve"> </w:t>
      </w:r>
    </w:p>
    <w:p w14:paraId="5F2F9472" w14:textId="442904A5" w:rsidR="003D0CCE" w:rsidRPr="005A6CD5" w:rsidRDefault="003D0CCE" w:rsidP="006D6F84">
      <w:pPr>
        <w:pStyle w:val="Heading1"/>
        <w:spacing w:before="0"/>
        <w:rPr>
          <w:noProof/>
        </w:rPr>
      </w:pPr>
      <w:r>
        <w:rPr>
          <w:noProof/>
        </w:rPr>
        <w:t>Garantir l’accès des industries métallurgiques à une énergie propre et abordable</w:t>
      </w:r>
    </w:p>
    <w:p w14:paraId="54821D8A" w14:textId="2588B902" w:rsidR="00EE5976" w:rsidRPr="005A6CD5" w:rsidRDefault="6E0A174E" w:rsidP="006D6F84">
      <w:pPr>
        <w:pStyle w:val="Text1"/>
        <w:ind w:left="0"/>
        <w:rPr>
          <w:noProof/>
        </w:rPr>
      </w:pPr>
      <w:r>
        <w:rPr>
          <w:b/>
          <w:noProof/>
        </w:rPr>
        <w:t>Les coûts de l’énergie restent le principal facteur déterminant la compétitivité des industries métallurgiques</w:t>
      </w:r>
      <w:r>
        <w:rPr>
          <w:noProof/>
        </w:rPr>
        <w:t>. Les coûts de l’énergie dans les secteurs des métaux et de l’acier représentent une part plus importante des coûts de production que dans d’autres secteurs. Déjà avant la crise énergétique, cette part s’élevait à environ 17 % pour le secteur de l’acier</w:t>
      </w:r>
      <w:r w:rsidR="00341966">
        <w:rPr>
          <w:rStyle w:val="FootnoteReference"/>
          <w:noProof/>
          <w:lang w:val="en-IE"/>
        </w:rPr>
        <w:footnoteReference w:id="17"/>
      </w:r>
      <w:r>
        <w:rPr>
          <w:noProof/>
        </w:rPr>
        <w:t xml:space="preserve"> et à 40 % pour celui de l’aluminium</w:t>
      </w:r>
      <w:r w:rsidR="00341966">
        <w:rPr>
          <w:rStyle w:val="FootnoteReference"/>
          <w:noProof/>
          <w:lang w:val="en-IE"/>
        </w:rPr>
        <w:footnoteReference w:id="18"/>
      </w:r>
      <w:r>
        <w:rPr>
          <w:noProof/>
        </w:rPr>
        <w:t>. Au cours de la crise énergétique de 2022, cette part a atteint 80 %</w:t>
      </w:r>
      <w:r w:rsidR="00B35335">
        <w:rPr>
          <w:rStyle w:val="FootnoteReference"/>
          <w:noProof/>
          <w:lang w:val="en-IE"/>
        </w:rPr>
        <w:footnoteReference w:id="19"/>
      </w:r>
      <w:r>
        <w:rPr>
          <w:noProof/>
        </w:rPr>
        <w:t>. En 2025, alors qu’ils ont diminué depuis le pic de 2022, les prix de l’énergie restent supérieurs à leurs niveaux historiques et aux prix que doivent payer des producteurs se trouvant ailleurs dans le monde. Les prix de l’électricité sont deux à trois fois plus élevés dans l’Union qu’aux États-Unis</w:t>
      </w:r>
      <w:r w:rsidR="00E92217" w:rsidRPr="005A6CD5">
        <w:rPr>
          <w:rStyle w:val="FootnoteReference"/>
          <w:noProof/>
          <w:lang w:val="en-IE"/>
        </w:rPr>
        <w:footnoteReference w:id="20"/>
      </w:r>
      <w:r>
        <w:rPr>
          <w:noProof/>
        </w:rPr>
        <w:t>, tandis que les prix du gaz naturel sont près de cinq fois plus élevés qu’aux États-Unis</w:t>
      </w:r>
      <w:r w:rsidR="00222778" w:rsidRPr="1760AB9B">
        <w:rPr>
          <w:rStyle w:val="FootnoteReference"/>
          <w:noProof/>
          <w:lang w:val="en-IE"/>
        </w:rPr>
        <w:footnoteReference w:id="21"/>
      </w:r>
      <w:r>
        <w:rPr>
          <w:noProof/>
        </w:rPr>
        <w:t>. L’électrification directe reste la voie la plus efficace pour décarboner plusieurs formes de production d’acier et de métaux, tandis que d’autres dépendront des méthodes d’électrification indirecte, telles que l’hydrogène produit par électrolyse, ce qui fera augmenter la part des coûts énergétiques dans les coûts de production totaux par rapport aux technologies à base de combustibles fossiles. Il est en soi essentiel de garantir l’accès à des prix de l’électricité plus bas pour soutenir cette transition. En outre, les technologies telles que le captage et le stockage du carbone et l’utilisation circulaire des matières premières sont également importantes.</w:t>
      </w:r>
    </w:p>
    <w:p w14:paraId="022E6371" w14:textId="01DBED39" w:rsidR="0035380E" w:rsidRPr="0035380E" w:rsidRDefault="00D87202" w:rsidP="00404719">
      <w:pPr>
        <w:pStyle w:val="Text1"/>
        <w:ind w:left="0" w:firstLine="720"/>
        <w:rPr>
          <w:i/>
          <w:iCs/>
          <w:noProof/>
        </w:rPr>
      </w:pPr>
      <w:r>
        <w:rPr>
          <w:i/>
          <w:noProof/>
        </w:rPr>
        <w:t>Faire baisser les prix de l’énergie pour les industries à forte intensité énergétique</w:t>
      </w:r>
    </w:p>
    <w:p w14:paraId="3F7300EE" w14:textId="184F8D4B" w:rsidR="005F7E6C" w:rsidRDefault="00AB4FE8" w:rsidP="00404719">
      <w:pPr>
        <w:pStyle w:val="Text1"/>
        <w:ind w:left="0"/>
        <w:rPr>
          <w:noProof/>
        </w:rPr>
      </w:pPr>
      <w:r>
        <w:rPr>
          <w:noProof/>
        </w:rPr>
        <w:t xml:space="preserve">Pour surmonter cette situation difficile, l’énergie doit être plus abordable. Le </w:t>
      </w:r>
      <w:r>
        <w:rPr>
          <w:b/>
          <w:noProof/>
        </w:rPr>
        <w:t>plan d’action pour une énergie abordable</w:t>
      </w:r>
      <w:r>
        <w:rPr>
          <w:noProof/>
        </w:rPr>
        <w:t xml:space="preserve"> donne des éléments importants de solution, notamment en annonçant des mesures visant à rendre les redevances de réseau plus efficaces, à réduire les taxes et prélèvements sur l’énergie, à faciliter les accords d’achat d’électricité (AAE), à accélérer l’octroi de permis, à étendre et à moderniser les réseaux et à encourager la flexibilité du système électrique. En outre, les industries à forte intensité énergétique figureront parmi les principaux bénéficiaires du programme pilote de la BEI sur les AAE conclus par les entreprises. </w:t>
      </w:r>
    </w:p>
    <w:p w14:paraId="324A38BF" w14:textId="4B5EC627" w:rsidR="00B542D8" w:rsidRDefault="3AABFE1A" w:rsidP="06746406">
      <w:pPr>
        <w:pStyle w:val="Text1"/>
        <w:ind w:left="0"/>
        <w:rPr>
          <w:noProof/>
        </w:rPr>
      </w:pPr>
      <w:r>
        <w:rPr>
          <w:noProof/>
        </w:rPr>
        <w:t xml:space="preserve">Les autres solutions </w:t>
      </w:r>
      <w:r>
        <w:rPr>
          <w:b/>
          <w:noProof/>
        </w:rPr>
        <w:t>orientées spécifiquement vers les industries à forte intensité énergétique</w:t>
      </w:r>
      <w:r>
        <w:rPr>
          <w:noProof/>
        </w:rPr>
        <w:t xml:space="preserve"> devraient être à la mesure de l’incidence prépondérante des coûts de l’énergie sur la compétitivité et la décarbonation de ces industries. La Commission consulte actuellement les États membres sur la mise en place d’un instrument d’aide d’État pour une flexibilité propre qui serait fondé sur les AAE et sur l’engagement de l’industrie à consommer de l’électricité propre. En outre, la Commission fournira des orientations aux États membres sur la conception de régimes d’aide publique en faveur de l’énergie propre s’appuyant sur des contrats d’écart compensatoire bidirectionnels, y compris leur combinaison avec des AAE, visant à accorder une diminution temporaire des prix aux industries à forte intensité énergétique et à permettre les investissements dans la décarbonation dans l’Union. Le soutien accordé par les pouvoirs publics en matière d’énergie devrait concerner en particulier </w:t>
      </w:r>
      <w:r>
        <w:rPr>
          <w:b/>
          <w:noProof/>
        </w:rPr>
        <w:t>les industries à forte intensité énergétique et le secteur des métaux</w:t>
      </w:r>
      <w:r>
        <w:rPr>
          <w:noProof/>
        </w:rPr>
        <w:t>, notamment lorsque des technologies d’électrification sont disponibles et que les entreprises peuvent bénéficier de ces accords contractuels à long terme pour atténuer les effets des fluctuations des prix de l’électricité.</w:t>
      </w:r>
      <w:r>
        <w:rPr>
          <w:b/>
          <w:noProof/>
        </w:rPr>
        <w:t xml:space="preserve"> </w:t>
      </w:r>
      <w:r>
        <w:rPr>
          <w:noProof/>
        </w:rPr>
        <w:t>Ce faisant, tous les obstacles éventuels à l’utilisation des AAE devront être pris en considération, y compris leurs incidences possibles sur le bilan des entreprises</w:t>
      </w:r>
      <w:r w:rsidR="001C0C0E">
        <w:rPr>
          <w:rStyle w:val="FootnoteReference"/>
          <w:noProof/>
        </w:rPr>
        <w:footnoteReference w:id="22"/>
      </w:r>
      <w:r>
        <w:rPr>
          <w:noProof/>
        </w:rPr>
        <w:t xml:space="preserve">. La Commission analysera les défaillances du marché ou de la réglementation qui empêchent le recours optimal à ces contrats par les industries à forte intensité énergétique et, le cas échéant, y remédiera. </w:t>
      </w:r>
      <w:bookmarkStart w:id="3" w:name="_Hlk192151590"/>
      <w:bookmarkStart w:id="4" w:name="_Hlk192151565"/>
      <w:bookmarkEnd w:id="3"/>
      <w:bookmarkEnd w:id="4"/>
    </w:p>
    <w:p w14:paraId="48B53AEB" w14:textId="14D015F0" w:rsidR="00F77F73" w:rsidRDefault="7A29C4D8" w:rsidP="06746406">
      <w:pPr>
        <w:spacing w:line="259" w:lineRule="auto"/>
        <w:rPr>
          <w:noProof/>
        </w:rPr>
      </w:pPr>
      <w:r>
        <w:rPr>
          <w:noProof/>
        </w:rPr>
        <w:t xml:space="preserve">À court terme, </w:t>
      </w:r>
      <w:r>
        <w:rPr>
          <w:b/>
          <w:noProof/>
        </w:rPr>
        <w:t>les États membres sont aussi invités à se hâter d’appliquer et d’utiliser toutes les flexibilités</w:t>
      </w:r>
      <w:r>
        <w:rPr>
          <w:noProof/>
        </w:rPr>
        <w:t xml:space="preserve"> prévues par la législation européenne en matière d’énergie et les règles en matière d’aides d’État afin de réduire les coûts des industries à forte intensité énergétique. La section 4.7.1 des lignes directrices concernant les aides d’État au climat, à la protection de l’environnement et à l’énergie permet de réduire le niveau des taxes et prélèvements parafiscaux en matière environnementale pour les secteurs qui ne seraient pas en mesure d’exercer leur activité économique de manière durable sans la réduction, et la section 4.11 desdites lignes directrices autorise la réduction des taxes sur l’électricité pour les gros consommateurs d’énergie</w:t>
      </w:r>
      <w:r w:rsidR="0046734F">
        <w:rPr>
          <w:rStyle w:val="FootnoteReference"/>
          <w:noProof/>
        </w:rPr>
        <w:footnoteReference w:id="23"/>
      </w:r>
      <w:r>
        <w:rPr>
          <w:noProof/>
        </w:rPr>
        <w:t>. Les industries de l’acier et des métaux remplissent généralement ces conditions. En outre, la directive sur la taxation de l’énergie permet de ramener la taxation de l’électricité à zéro pour les industries à forte intensité énergétique sous certaines conditions, ce qui incite le secteur à se décarboner par l’électrification et peut soutenir sa compétitivité au sens large. Les États membres sont encouragés à conclure au plus tôt les négociations qu’ils ont engagées sur la directive sur la taxation de l’énergie</w:t>
      </w:r>
      <w:r w:rsidR="00071965" w:rsidRPr="24E70124">
        <w:rPr>
          <w:rStyle w:val="FootnoteReference"/>
          <w:noProof/>
        </w:rPr>
        <w:footnoteReference w:id="24"/>
      </w:r>
      <w:r>
        <w:rPr>
          <w:noProof/>
        </w:rPr>
        <w:t xml:space="preserve"> pour rendre le cadre fiscal plus favorable à l’électrification et faciliter l’abandon des combustibles fossiles.</w:t>
      </w:r>
    </w:p>
    <w:p w14:paraId="6A77AA8B" w14:textId="0DE66059" w:rsidR="00EE3C76" w:rsidRDefault="038C8CDE" w:rsidP="006D6F84">
      <w:pPr>
        <w:rPr>
          <w:noProof/>
        </w:rPr>
      </w:pPr>
      <w:r>
        <w:rPr>
          <w:noProof/>
        </w:rPr>
        <w:t>L’</w:t>
      </w:r>
      <w:r>
        <w:rPr>
          <w:b/>
          <w:noProof/>
        </w:rPr>
        <w:t>encadrement des aides d’État dans le cadre du pacte pour une industrie propre</w:t>
      </w:r>
      <w:r>
        <w:rPr>
          <w:noProof/>
        </w:rPr>
        <w:t>, qui doit être adopté au deuxième trimestre de 2025 après une période de consultation</w:t>
      </w:r>
      <w:r w:rsidR="00381BFA" w:rsidRPr="0143D47A">
        <w:rPr>
          <w:rStyle w:val="FootnoteReference"/>
          <w:noProof/>
        </w:rPr>
        <w:footnoteReference w:id="25"/>
      </w:r>
      <w:r>
        <w:rPr>
          <w:noProof/>
        </w:rPr>
        <w:t>, prévoira de nouvelles flexibilités et simplifications qui permettront aux États membres d’accélérer le soutien à la décarbonation de l’industrie. Il y est tenu compte du fait que les signaux venant du marché et de la réglementation, tels que le prix actuel et anticipé du système d’échange de quotas d’émission de l’Union (SEQE), sont souvent insuffisants à eux seuls pour neutraliser les différences de coûts entre les méthodes de production traditionnelles et décarbonées à ce stade. Selon le projet qui fait actuellement l’objet d’une consultation publique</w:t>
      </w:r>
      <w:r w:rsidR="06A57FCD" w:rsidRPr="204CAC2F">
        <w:rPr>
          <w:rStyle w:val="FootnoteReference"/>
          <w:noProof/>
        </w:rPr>
        <w:footnoteReference w:id="26"/>
      </w:r>
      <w:r>
        <w:rPr>
          <w:noProof/>
        </w:rPr>
        <w:t>, des conditions de compatibilité simplifiées s’appliqueront aux soutiens publics en faveur de toutes les technologies de décarbonation, y compris les mesures d’efficacité énergétique. Cela devrait faire baisser les coûts et augmenter la compétitivité tout en réduisant les émissions de gaz à effet de serre. Les régimes simplifiés fondés sur les intensités d’aide autorisées s’ajouteront aux régimes fondés sur le calcul du déficit de financement ou la mise en concurrence. Si ces régimes prévoient des plafonds d’aide, les grands projets pourront également être approuvés dans le cadre d’une procédure simplifiée. Les investissements dans la décarbonation seront envisagés de manière technologiquement neutre, car il s’agira avant tout de réduire les émissions, même si celles-ci ne diminuent que graduellement au fil du temps. Non seulement le nouvel encadrement permettra de soutenir l’investissement direct dans la décarbonation, mais il facilitera l’amortissement accéléré des actifs relevant de technologies propres, tels que les électrolyseurs ou les équipements de piégeage, d’utilisation et de stockage du dioxyde de carbone.</w:t>
      </w:r>
    </w:p>
    <w:p w14:paraId="1BA48A59" w14:textId="6A2DFDE2" w:rsidR="00611844" w:rsidRDefault="1F7DF415" w:rsidP="06746406">
      <w:pPr>
        <w:rPr>
          <w:noProof/>
        </w:rPr>
      </w:pPr>
      <w:r>
        <w:rPr>
          <w:noProof/>
        </w:rPr>
        <w:t xml:space="preserve">Les </w:t>
      </w:r>
      <w:r>
        <w:rPr>
          <w:b/>
          <w:noProof/>
        </w:rPr>
        <w:t>lignes directrices concernant certaines aides d’État destinées à compenser les coûts indirects du système d’échange de quotas d’émission (SEQE)</w:t>
      </w:r>
      <w:r>
        <w:rPr>
          <w:noProof/>
        </w:rPr>
        <w:t xml:space="preserve"> prévoient la possibilité pour les États membres de compenser les coûts du carbone répercutés sur les factures d’électricité, en faveur de certains secteurs exposés à la concurrence et à forte intensité de carbone, dont les industries de l’acier et d’autres métaux. Les États membres sont encouragés à continuer d’utiliser cette possibilité ou à envisager de l’utiliser lorsqu’elle est intéressante pour leur industrie (actuellement, seuls quatorze États membres font usage de cette possibilité). Dans le cadre des réexamens du SEQE et du mécanisme d’ajustement carbone aux frontières (MACF) en 2026, la Commission s’emploiera à prévoir des mesures adéquates (sous forme de lignes directrices ou sous une autre forme) pour la compensation indirecte des coûts du SEQE après 2030, tout en veillant à ce que cela soit cohérent avec les autres moyens de lutter contre la fuite de carbone. </w:t>
      </w:r>
    </w:p>
    <w:p w14:paraId="1FB873A4" w14:textId="00ECFB92" w:rsidR="006E12D1" w:rsidRDefault="4D4B5C05" w:rsidP="00404719">
      <w:pPr>
        <w:rPr>
          <w:noProof/>
        </w:rPr>
      </w:pPr>
      <w:r>
        <w:rPr>
          <w:noProof/>
        </w:rPr>
        <w:t xml:space="preserve">En outre, la réglementation de l’Union dans le domaine de l’énergie encadre la conception des </w:t>
      </w:r>
      <w:r>
        <w:rPr>
          <w:b/>
          <w:noProof/>
        </w:rPr>
        <w:t>tarifs de réseau</w:t>
      </w:r>
      <w:r>
        <w:rPr>
          <w:noProof/>
        </w:rPr>
        <w:t>, en fondant ceux-ci sur les principes de l’adéquation avec les coûts, de la transparence et de la non-discrimination, tout en tenant compte de la nécessité de garantir la sécurité et la flexibilité des réseaux. Les États membres peuvent concevoir leurs tarifs de réseau d’une manière qui profite aux industries à forte intensité énergétique. À cette fin, les orientations sur la conception des tarifs de réseau annoncées pour le deuxième trimestre de 2025 dans le plan d’action pour une énergie abordable fourniront des précisions supplémentaires sur les solutions permettant de réduire les coûts du système dans l’intérêt de tous les utilisateurs, y compris les secteurs à forte intensité énergétique.</w:t>
      </w:r>
    </w:p>
    <w:p w14:paraId="6A582649" w14:textId="07C0407E" w:rsidR="00125ACB" w:rsidRDefault="767FD081" w:rsidP="1620BDFC">
      <w:pPr>
        <w:pStyle w:val="Text1"/>
        <w:ind w:left="720"/>
        <w:rPr>
          <w:i/>
          <w:iCs/>
          <w:noProof/>
        </w:rPr>
      </w:pPr>
      <w:r>
        <w:rPr>
          <w:i/>
          <w:noProof/>
        </w:rPr>
        <w:t xml:space="preserve">Accélérer les raccordements au réseau et l’utilisation de l’hydrogène renouvelable et bas carbone </w:t>
      </w:r>
    </w:p>
    <w:p w14:paraId="1E0842CA" w14:textId="5C698E3D" w:rsidR="00125ACB" w:rsidRDefault="62E53AC8" w:rsidP="00404719">
      <w:pPr>
        <w:pStyle w:val="Text1"/>
        <w:ind w:left="0"/>
        <w:rPr>
          <w:noProof/>
        </w:rPr>
      </w:pPr>
      <w:r>
        <w:rPr>
          <w:noProof/>
        </w:rPr>
        <w:t>Alors que de plus en plus de secteurs optent pour l’électrification et que de nombreux projets d’extension du réseau ont du retard, les industries métallurgiques doivent fréquemment attendre longtemps, souvent plusieurs années, avant d’être raccordées au réseau ou d’obtenir une extension de raccordement. Ces retards risquent de faire échouer l’ensemble des investissements en matière d’électrification.</w:t>
      </w:r>
    </w:p>
    <w:p w14:paraId="1D5824BE" w14:textId="530AAFD1" w:rsidR="00B46BFD" w:rsidRDefault="5078DB6D" w:rsidP="06746406">
      <w:pPr>
        <w:pStyle w:val="Text1"/>
        <w:ind w:left="0"/>
        <w:rPr>
          <w:noProof/>
        </w:rPr>
      </w:pPr>
      <w:r>
        <w:rPr>
          <w:b/>
          <w:noProof/>
        </w:rPr>
        <w:t>La Commission collaborera avec les États membres pour résoudre les problèmes qui sont à l’origine des longs délais de raccordement au réseau</w:t>
      </w:r>
      <w:r>
        <w:rPr>
          <w:noProof/>
        </w:rPr>
        <w:t>. La Commission publiera des orientations et des recommandations à l’intention des États membres sur le raccourcissement des délais de raccordement au réseau. Ces documents énonceront les mesures qu’il est possible de prendre dans le cadre juridique existant et ils aideront les États membres à supprimer les demandes spéculatives ou prématurées de la liste d’attente et à s’écarter, si nécessaire, du principe du «premier arrivé, premier servi» sur la base de critères objectifs pour soutenir des investissements favorables à la transition vers une énergie propre et à l’efficacité du système électrique. Ils s’inspireront d’exemples positifs trouvés dans certains États membres et leur élaboration donnera lieu à un dialogue avec les autorités des États membres.</w:t>
      </w:r>
      <w:r>
        <w:rPr>
          <w:b/>
          <w:noProof/>
        </w:rPr>
        <w:t xml:space="preserve"> </w:t>
      </w:r>
      <w:r>
        <w:rPr>
          <w:noProof/>
        </w:rPr>
        <w:t>La Commission publiera aussi, au cours du deuxième trimestre de 2025, des principes directeurs exposant les conditions dans lesquelles des investissements anticipatifs</w:t>
      </w:r>
      <w:r w:rsidRPr="0143D47A">
        <w:rPr>
          <w:rStyle w:val="FootnoteReference"/>
          <w:noProof/>
        </w:rPr>
        <w:footnoteReference w:id="27"/>
      </w:r>
      <w:r>
        <w:rPr>
          <w:noProof/>
        </w:rPr>
        <w:t xml:space="preserve"> dans des projets de réseau devraient être réalisés. Les conventions de raccordement flexibles peuvent également fournir aux industries à forte intensité énergétique un moyen d’accéder au réseau pendant que ces investissements dans le réseau sont réalisés. En outre, la Commission proposera des mesures supplémentaires visant à faciliter et à accélérer l’accès aux infrastructures de réseau pour les projets d’électrification des industries à forte intensité énergétique. </w:t>
      </w:r>
    </w:p>
    <w:p w14:paraId="5DD27B1D" w14:textId="52B72962" w:rsidR="00B46BFD" w:rsidRDefault="27987914" w:rsidP="00404719">
      <w:pPr>
        <w:pStyle w:val="Text1"/>
        <w:ind w:left="0"/>
        <w:rPr>
          <w:noProof/>
        </w:rPr>
      </w:pPr>
      <w:r>
        <w:rPr>
          <w:b/>
          <w:noProof/>
        </w:rPr>
        <w:t>Étant donné que l’électrification directe n’est pas toujours possible ou rentable, l’hydrogène est un facteur essentiel de décarbonation dans les secteurs de l’acier et des métaux.</w:t>
      </w:r>
      <w:r>
        <w:rPr>
          <w:noProof/>
        </w:rPr>
        <w:t xml:space="preserve"> Par exemple, l’utilisation de l’hydrogène est l’option la plus prometteuse pour décarboner la production d’acier primaire, et l’hydrogène est le mieux placé pour remplacer le gaz naturel comme source de chaleur de haute température, y compris dans d’autres industries métallurgiques. Pour réaliser une transition compétitive, il est nécessaire de garantir un approvisionnement abondant et abordable en hydrogène renouvelable et bas carbone. La Commission a également annoncé, dans le pacte pour une industrie propre, qu’elle adopterait, dans les semaines à venir, l’acte délégué sur l’</w:t>
      </w:r>
      <w:r>
        <w:rPr>
          <w:b/>
          <w:noProof/>
        </w:rPr>
        <w:t>hydrogène bas carbone</w:t>
      </w:r>
      <w:r>
        <w:rPr>
          <w:noProof/>
        </w:rPr>
        <w:t xml:space="preserve"> afin de clarifier la situation aux yeux des fournisseurs, des acheteurs et des investisseurs. Cet acte délégué prévoira des règles aussi flexibles que possible et neutres sur le plan technologique, dont l’observation devra permettre d’atteindre les objectifs souhaités de réduction des émissions de gaz à effet de serre dans le contexte de la production de carburants bas carbone.</w:t>
      </w:r>
    </w:p>
    <w:p w14:paraId="56040A89" w14:textId="5C07C1F3" w:rsidR="002F055F" w:rsidRDefault="3E0FF328" w:rsidP="7F7C3B5C">
      <w:pPr>
        <w:spacing w:line="259" w:lineRule="auto"/>
        <w:rPr>
          <w:i/>
          <w:iCs/>
          <w:noProof/>
        </w:rPr>
      </w:pPr>
      <w:r>
        <w:rPr>
          <w:noProof/>
        </w:rPr>
        <w:t xml:space="preserve">De plus, le </w:t>
      </w:r>
      <w:r>
        <w:rPr>
          <w:b/>
          <w:noProof/>
        </w:rPr>
        <w:t>troisième appel à propositions qui sera lancé dans le cadre de la Banque européenne de l’hydrogène</w:t>
      </w:r>
      <w:r>
        <w:rPr>
          <w:noProof/>
        </w:rPr>
        <w:t xml:space="preserve">, annoncé pour le troisième trimestre de 2025 dans le pacte pour une industrie propre, continuera de soutenir la production et, partant, de faciliter l’accès des différents acheteurs industriels, y compris les aciéries. </w:t>
      </w:r>
    </w:p>
    <w:p w14:paraId="41DDF155" w14:textId="5B74457A" w:rsidR="002F055F" w:rsidRDefault="3E0FF328" w:rsidP="1620BDFC">
      <w:pPr>
        <w:spacing w:line="259" w:lineRule="auto"/>
        <w:rPr>
          <w:i/>
          <w:iCs/>
          <w:noProof/>
        </w:rPr>
      </w:pPr>
      <w:r>
        <w:rPr>
          <w:noProof/>
        </w:rPr>
        <w:t>En outre, la Commission modifiera la mission de l’</w:t>
      </w:r>
      <w:r>
        <w:rPr>
          <w:b/>
          <w:noProof/>
        </w:rPr>
        <w:t>alliance européenne pour un hydrogène propre</w:t>
      </w:r>
      <w:r>
        <w:rPr>
          <w:noProof/>
        </w:rPr>
        <w:t xml:space="preserve"> pour la réorienter en priorité vers les secteurs où l’hydrogène sert au mieux les efforts de décarbonation. La Commission européenne surveillera l’avancement et actualisera annuellement l’inventaire des projets de l’alliance, afin de suivre l’expansion du marché de l’hydrogène et de donner aux acheteurs industriels, entre autres, la sécurité dont ils ont besoin pour réaliser leurs plans de décarbonation. </w:t>
      </w:r>
    </w:p>
    <w:p w14:paraId="33E39013" w14:textId="135E4A8F" w:rsidR="002F055F" w:rsidRDefault="4D8E3ECA" w:rsidP="06746406">
      <w:pPr>
        <w:spacing w:line="259" w:lineRule="auto"/>
        <w:rPr>
          <w:i/>
          <w:iCs/>
          <w:noProof/>
        </w:rPr>
      </w:pPr>
      <w:r>
        <w:rPr>
          <w:i/>
          <w:noProof/>
        </w:rPr>
        <w:t>Accélérer la récupération de la chaleur excédentaire et l’utilisation d’énergie propre</w:t>
      </w:r>
    </w:p>
    <w:p w14:paraId="3F6DA03C" w14:textId="1D41B80C" w:rsidR="002F055F" w:rsidRDefault="4D8E3ECA" w:rsidP="006D6F84">
      <w:pPr>
        <w:rPr>
          <w:noProof/>
        </w:rPr>
      </w:pPr>
      <w:r>
        <w:rPr>
          <w:noProof/>
        </w:rPr>
        <w:t xml:space="preserve">Augmenter l’efficacité énergétique et promouvoir l’électrification et l’utilisation d’énergies propres dans le secteur de l’acier et des métaux peuvent bénéficier au système énergétique de l’Union tout en faisant baisser les coûts du secteur. L’aciérie et la métallurgie sont les secteurs industriels qui présentent le plus fort potentiel de récupération de la chaleur fatale dans l’Union, en particulier en ce qui concerne les ressources de chaleur de haute température qui peuvent être des gaz de combustion, des liquides de haute température et des déchets récupérés. Les pompes à chaleur à haute température deviennent une possibilité de plus en plus polyvalente d’utiliser la chaleur industrielle excédentaire, réduisant ainsi les besoins énergétiques globaux du secteur. La chaleur fatale peut également être récupérée et utilisée dans les réseaux de chauffage urbain. </w:t>
      </w:r>
      <w:r>
        <w:rPr>
          <w:b/>
          <w:noProof/>
        </w:rPr>
        <w:t>La Commission élaborera et promouvra des approches standard en matière de récupération de la chaleur fatale</w:t>
      </w:r>
      <w:r>
        <w:rPr>
          <w:noProof/>
        </w:rPr>
        <w:t>, notamment pour permettre l’utilisation de modèles tels que des accords types d’achat de chaleur et le développement des bonnes pratiques en matière de planification intégrée des infrastructures de chauffage, dans le cadre de la stratégie en matière de chauffage et de refroidissement annoncée dans le plan d’action pour une énergie abordable.</w:t>
      </w:r>
    </w:p>
    <w:tbl>
      <w:tblPr>
        <w:tblStyle w:val="TableGrid"/>
        <w:tblW w:w="0" w:type="auto"/>
        <w:tblLook w:val="04A0" w:firstRow="1" w:lastRow="0" w:firstColumn="1" w:lastColumn="0" w:noHBand="0" w:noVBand="1"/>
      </w:tblPr>
      <w:tblGrid>
        <w:gridCol w:w="8602"/>
      </w:tblGrid>
      <w:tr w:rsidR="00E36DC6" w:rsidRPr="002C14F2" w14:paraId="38D565AD" w14:textId="77777777" w:rsidTr="7F7C3B5C">
        <w:tc>
          <w:tcPr>
            <w:tcW w:w="8602" w:type="dxa"/>
          </w:tcPr>
          <w:p w14:paraId="529853D8" w14:textId="0B4A7669" w:rsidR="00E36DC6" w:rsidRPr="002C14F2" w:rsidRDefault="52034058" w:rsidP="1620BDFC">
            <w:pPr>
              <w:pStyle w:val="Text1"/>
              <w:spacing w:after="0" w:afterAutospacing="1"/>
              <w:ind w:left="0"/>
              <w:rPr>
                <w:b/>
                <w:bCs/>
                <w:noProof/>
              </w:rPr>
            </w:pPr>
            <w:r>
              <w:rPr>
                <w:b/>
                <w:noProof/>
              </w:rPr>
              <w:t>Actions:</w:t>
            </w:r>
          </w:p>
        </w:tc>
      </w:tr>
      <w:tr w:rsidR="00E36DC6" w:rsidRPr="002C14F2" w14:paraId="410BDD9C" w14:textId="77777777" w:rsidTr="7F7C3B5C">
        <w:trPr>
          <w:trHeight w:val="300"/>
        </w:trPr>
        <w:tc>
          <w:tcPr>
            <w:tcW w:w="8602" w:type="dxa"/>
          </w:tcPr>
          <w:p w14:paraId="6DAA8060" w14:textId="15E68136" w:rsidR="00E36DC6" w:rsidRPr="002C14F2" w:rsidRDefault="45139F2C" w:rsidP="06746406">
            <w:pPr>
              <w:pStyle w:val="Text1"/>
              <w:spacing w:after="0" w:afterAutospacing="1"/>
              <w:ind w:left="360"/>
              <w:rPr>
                <w:noProof/>
              </w:rPr>
            </w:pPr>
            <w:r>
              <w:rPr>
                <w:noProof/>
              </w:rPr>
              <w:t>Dans les prochaines semaines, la Commission adoptera l’acte délégué sur l’</w:t>
            </w:r>
            <w:r>
              <w:rPr>
                <w:b/>
                <w:noProof/>
              </w:rPr>
              <w:t>hydrogène bas carbone</w:t>
            </w:r>
            <w:r>
              <w:rPr>
                <w:noProof/>
              </w:rPr>
              <w:t xml:space="preserve">. </w:t>
            </w:r>
          </w:p>
        </w:tc>
      </w:tr>
      <w:tr w:rsidR="1CFBB703" w14:paraId="0D982F1C" w14:textId="77777777" w:rsidTr="00AD7603">
        <w:trPr>
          <w:trHeight w:val="1185"/>
        </w:trPr>
        <w:tc>
          <w:tcPr>
            <w:tcW w:w="8602" w:type="dxa"/>
          </w:tcPr>
          <w:p w14:paraId="3FE031B4" w14:textId="33D74137" w:rsidR="1CFBB703" w:rsidRDefault="1CFBB703" w:rsidP="1CFBB703">
            <w:pPr>
              <w:pStyle w:val="Text1"/>
              <w:spacing w:afterAutospacing="1"/>
              <w:ind w:left="360"/>
              <w:rPr>
                <w:b/>
                <w:bCs/>
                <w:noProof/>
              </w:rPr>
            </w:pPr>
            <w:r>
              <w:rPr>
                <w:noProof/>
              </w:rPr>
              <w:t xml:space="preserve">D’ici au deuxième trimestre de 2025, la Commission publiera des orientations sur la conception des tarifs de réseau, qui permettront, entre autres, de réduire </w:t>
            </w:r>
            <w:r>
              <w:rPr>
                <w:b/>
                <w:noProof/>
              </w:rPr>
              <w:t>les tarifs de réseau pour le secteur des métaux et d’autres industries à forte intensité énergétique</w:t>
            </w:r>
            <w:r>
              <w:rPr>
                <w:noProof/>
              </w:rPr>
              <w:t xml:space="preserve">. </w:t>
            </w:r>
          </w:p>
        </w:tc>
      </w:tr>
      <w:tr w:rsidR="1CFBB703" w14:paraId="7619A642" w14:textId="77777777" w:rsidTr="7F7C3B5C">
        <w:trPr>
          <w:trHeight w:val="300"/>
        </w:trPr>
        <w:tc>
          <w:tcPr>
            <w:tcW w:w="8602" w:type="dxa"/>
          </w:tcPr>
          <w:p w14:paraId="07AB42C8" w14:textId="77777777" w:rsidR="1CFBB703" w:rsidRDefault="178B9961" w:rsidP="7F7C3B5C">
            <w:pPr>
              <w:pStyle w:val="Text1"/>
              <w:spacing w:afterAutospacing="1"/>
              <w:ind w:left="360"/>
              <w:rPr>
                <w:noProof/>
              </w:rPr>
            </w:pPr>
            <w:r>
              <w:rPr>
                <w:noProof/>
              </w:rPr>
              <w:t xml:space="preserve">D’ici au deuxième trimestre de 2025, la Commission publiera des principes directeurs exposant les conditions dans lesquelles des </w:t>
            </w:r>
            <w:r>
              <w:rPr>
                <w:b/>
                <w:noProof/>
              </w:rPr>
              <w:t>investissements anticipatifs</w:t>
            </w:r>
            <w:r>
              <w:rPr>
                <w:noProof/>
              </w:rPr>
              <w:t xml:space="preserve"> dans les projets de réseau devraient être réalisés.</w:t>
            </w:r>
          </w:p>
        </w:tc>
      </w:tr>
      <w:tr w:rsidR="00831978" w:rsidRPr="002C14F2" w14:paraId="7E2EAB6E" w14:textId="77777777" w:rsidTr="7F7C3B5C">
        <w:tc>
          <w:tcPr>
            <w:tcW w:w="8602" w:type="dxa"/>
          </w:tcPr>
          <w:p w14:paraId="753B4764" w14:textId="50C7EE17" w:rsidR="00831978" w:rsidRPr="002A4A3E" w:rsidRDefault="430E06D4" w:rsidP="06746406">
            <w:pPr>
              <w:pStyle w:val="Text1"/>
              <w:spacing w:after="0" w:afterAutospacing="1"/>
              <w:ind w:left="360"/>
              <w:rPr>
                <w:noProof/>
                <w:szCs w:val="24"/>
              </w:rPr>
            </w:pPr>
            <w:r>
              <w:rPr>
                <w:noProof/>
              </w:rPr>
              <w:t xml:space="preserve">D’ici au troisième trimestre de 2025, la Commission lancera le </w:t>
            </w:r>
            <w:r>
              <w:rPr>
                <w:b/>
                <w:noProof/>
              </w:rPr>
              <w:t>troisième appel à propositions dans le cadre de la Banque de l’hydrogène</w:t>
            </w:r>
            <w:r>
              <w:rPr>
                <w:noProof/>
              </w:rPr>
              <w:t xml:space="preserve">, dans le but de soutenir la production et, partant, de faciliter l’accès des acheteurs industriels, y compris les aciéries. </w:t>
            </w:r>
          </w:p>
        </w:tc>
      </w:tr>
      <w:tr w:rsidR="00831978" w:rsidRPr="002C14F2" w14:paraId="11CA17B3" w14:textId="77777777" w:rsidTr="7F7C3B5C">
        <w:tc>
          <w:tcPr>
            <w:tcW w:w="8602" w:type="dxa"/>
          </w:tcPr>
          <w:p w14:paraId="73835E6B" w14:textId="61C88F4B" w:rsidR="00831978" w:rsidRPr="002A4A3E" w:rsidRDefault="430E06D4" w:rsidP="06746406">
            <w:pPr>
              <w:pStyle w:val="Text1"/>
              <w:spacing w:after="0" w:afterAutospacing="1"/>
              <w:ind w:left="360"/>
              <w:rPr>
                <w:noProof/>
              </w:rPr>
            </w:pPr>
            <w:r>
              <w:rPr>
                <w:noProof/>
              </w:rPr>
              <w:t xml:space="preserve">D’ici au quatrième trimestre de 2025, la Commission proposera de </w:t>
            </w:r>
            <w:r>
              <w:rPr>
                <w:b/>
                <w:noProof/>
              </w:rPr>
              <w:t>faciliter l’accès au réseau</w:t>
            </w:r>
            <w:r>
              <w:rPr>
                <w:noProof/>
              </w:rPr>
              <w:t xml:space="preserve"> aux projets d’électrification des industries à forte intensité énergétique.</w:t>
            </w:r>
          </w:p>
        </w:tc>
      </w:tr>
      <w:tr w:rsidR="00A060B4" w:rsidRPr="002C14F2" w14:paraId="2310358F" w14:textId="77777777" w:rsidTr="7F7C3B5C">
        <w:tc>
          <w:tcPr>
            <w:tcW w:w="8602" w:type="dxa"/>
          </w:tcPr>
          <w:p w14:paraId="2ECA5449" w14:textId="521F8BC4" w:rsidR="00A060B4" w:rsidRPr="558D42DC" w:rsidRDefault="00A060B4" w:rsidP="06746406">
            <w:pPr>
              <w:pStyle w:val="Text1"/>
              <w:spacing w:after="0" w:afterAutospacing="1"/>
              <w:ind w:left="360"/>
              <w:rPr>
                <w:noProof/>
              </w:rPr>
            </w:pPr>
            <w:r>
              <w:rPr>
                <w:noProof/>
              </w:rPr>
              <w:t>D’ici au quatrième trimestre de 2025, la Commission fournira des orientations aux États membres sur la conception de contrats d’écart compensatoire, y compris sur leur combinaison avec des AAE.</w:t>
            </w:r>
          </w:p>
        </w:tc>
      </w:tr>
      <w:tr w:rsidR="00831978" w:rsidRPr="002C14F2" w14:paraId="0A3C8315" w14:textId="77777777" w:rsidTr="7F7C3B5C">
        <w:tc>
          <w:tcPr>
            <w:tcW w:w="8602" w:type="dxa"/>
          </w:tcPr>
          <w:p w14:paraId="416CE93C" w14:textId="5D4D35C6" w:rsidR="00831978" w:rsidRPr="002A4A3E" w:rsidRDefault="00BB7D05" w:rsidP="06746406">
            <w:pPr>
              <w:pStyle w:val="Text1"/>
              <w:spacing w:after="0" w:afterAutospacing="1"/>
              <w:ind w:left="360"/>
              <w:rPr>
                <w:noProof/>
              </w:rPr>
            </w:pPr>
            <w:r>
              <w:rPr>
                <w:noProof/>
              </w:rPr>
              <w:t xml:space="preserve">Dans le cadre des réexamens du SEQE et du MACF en 2026, la Commission s’emploiera à élaborer des mesures adéquates (sous forme de lignes directrices ou sous une autre forme) pour la compensation indirecte des coûts du SEQE après 2030. </w:t>
            </w:r>
          </w:p>
        </w:tc>
      </w:tr>
    </w:tbl>
    <w:p w14:paraId="2BF670C5" w14:textId="63F9BD38" w:rsidR="1DA8B235" w:rsidRDefault="0DB8FE44" w:rsidP="06746406">
      <w:pPr>
        <w:pStyle w:val="Heading1"/>
        <w:spacing w:line="259" w:lineRule="auto"/>
        <w:rPr>
          <w:noProof/>
        </w:rPr>
      </w:pPr>
      <w:r>
        <w:rPr>
          <w:noProof/>
        </w:rPr>
        <w:t>Prévenir la fuite de carbone</w:t>
      </w:r>
    </w:p>
    <w:p w14:paraId="16EF6329" w14:textId="30A86158" w:rsidR="2BF50EF3" w:rsidRDefault="2BF50EF3" w:rsidP="06746406">
      <w:pPr>
        <w:pStyle w:val="Text1"/>
        <w:ind w:left="0"/>
        <w:rPr>
          <w:noProof/>
        </w:rPr>
      </w:pPr>
      <w:r>
        <w:rPr>
          <w:noProof/>
        </w:rPr>
        <w:t xml:space="preserve">Afin de réaliser pleinement leur potentiel de prévention des fuites de carbone, </w:t>
      </w:r>
      <w:r>
        <w:rPr>
          <w:b/>
          <w:noProof/>
        </w:rPr>
        <w:t>les obligations financières du mécanisme d’ajustement carbone aux frontières (MACF) entreront en application en 2026, parallèlement à la suppression progressive des quotas gratuits dans le cadre du SEQE de l’UE d’ici à 2034</w:t>
      </w:r>
      <w:r>
        <w:rPr>
          <w:noProof/>
        </w:rPr>
        <w:t>. Bien que le MACF s’applique aux marchandises importées, il ne concerne pas les risques éventuels de fuite de carbone pour les métaux produits dans l’Union qui sont soumis au prix du SEQE de l’UE et qui sont exportés vers des pays tiers, entrant en concurrence avec les métaux des producteurs établis dans des pays dont les ambitions climatiques sont plus modestes. Par conséquent, pour remédier à ce désavantage, la Commission proposera une solution pour faire face au risque de fuite de carbone dans le cas de marchandises d’exportation produites dans l’Union par des secteurs relevant du MACF.</w:t>
      </w:r>
      <w:r>
        <w:rPr>
          <w:b/>
          <w:noProof/>
        </w:rPr>
        <w:t xml:space="preserve">  </w:t>
      </w:r>
    </w:p>
    <w:p w14:paraId="6E29CF0B" w14:textId="0D6430AC" w:rsidR="2BF50EF3" w:rsidRDefault="2BF50EF3" w:rsidP="06746406">
      <w:pPr>
        <w:pStyle w:val="Text1"/>
        <w:ind w:left="0"/>
        <w:rPr>
          <w:noProof/>
          <w:highlight w:val="yellow"/>
        </w:rPr>
      </w:pPr>
      <w:r>
        <w:rPr>
          <w:b/>
          <w:noProof/>
        </w:rPr>
        <w:t>Deuxièmement, le risque existe que la fuite de carbone concernant des marchandises relevant du MACF puisse avoir lieu plus loin en aval dans la chaîne de valeur.</w:t>
      </w:r>
      <w:r>
        <w:rPr>
          <w:noProof/>
        </w:rPr>
        <w:t xml:space="preserve"> La fuite peut se produire par contournement — pratique consistant à se soustraire aux obligations du MACF en apportant de légères modifications aux marchandises de base relevant du MACF — ou lorsque les consommateurs de l’Union se mettent à favoriser des marchandises d’aval importées de producteurs se trouvant dans des pays tiers dont les politiques en matière de climat sont moins ambitieuses. En outre, les entreprises qui fabriquent ou transforment des biens concernés par le MACF dans l’Union pourraient délocaliser leurs activités dans ces pays. La Commission évalue actuellement ces risques et présentera une proposition visant à étendre le MACF à certains </w:t>
      </w:r>
      <w:r>
        <w:rPr>
          <w:b/>
          <w:noProof/>
        </w:rPr>
        <w:t>produits en aval</w:t>
      </w:r>
      <w:r>
        <w:rPr>
          <w:noProof/>
        </w:rPr>
        <w:t>, tout en tenant compte de la nécessité de réduire au minimum la charge administrative.</w:t>
      </w:r>
    </w:p>
    <w:p w14:paraId="38C2D988" w14:textId="2B51D007" w:rsidR="7825720E" w:rsidRDefault="2BF50EF3" w:rsidP="06746406">
      <w:pPr>
        <w:pStyle w:val="Text1"/>
        <w:spacing w:line="259" w:lineRule="auto"/>
        <w:ind w:left="0"/>
        <w:rPr>
          <w:noProof/>
        </w:rPr>
      </w:pPr>
      <w:r>
        <w:rPr>
          <w:noProof/>
        </w:rPr>
        <w:t xml:space="preserve">Troisièmement, </w:t>
      </w:r>
      <w:r>
        <w:rPr>
          <w:b/>
          <w:noProof/>
        </w:rPr>
        <w:t>il existe un risque de contournement des objectifs du MACF</w:t>
      </w:r>
      <w:r>
        <w:rPr>
          <w:noProof/>
        </w:rPr>
        <w:t xml:space="preserve"> lorsque les marchandises produites dans des installations de production à faible intensité de carbone dans des pays tiers sont destinées aux clients européens, tandis que la production à forte intensité de carbone est maintenue pour d’autres marchés. De même, l’écoblanchiment est rendu possible par certaines pratiques de comptabilisation du carbone, comme lorsque la production de métaux à forte intensité énergétique bénéficie d’instruments fondés sur le marché pour sembler émettre peu de carbone tout en continuant à dépendre de sources d’énergie à forte émission de carbone ou de pratiques de comptabilisation trompeuses de la teneur en ferraille</w:t>
      </w:r>
      <w:r w:rsidR="00D5098D">
        <w:rPr>
          <w:rStyle w:val="FootnoteReference"/>
          <w:noProof/>
        </w:rPr>
        <w:footnoteReference w:id="28"/>
      </w:r>
      <w:r>
        <w:rPr>
          <w:noProof/>
        </w:rPr>
        <w:t xml:space="preserve">. La Commission présentera une stratégie anticontournement pour écarter ces deux risques et garantir l’intégrité du MACF. Cela lui permettra d’évaluer soigneusement ces risques et de proposer des solutions, dont des modifications législatives, pour les écarter. </w:t>
      </w:r>
    </w:p>
    <w:p w14:paraId="4EFBF334" w14:textId="4122E34E" w:rsidR="2BF50EF3" w:rsidRDefault="2BF50EF3" w:rsidP="06746406">
      <w:pPr>
        <w:pStyle w:val="Text1"/>
        <w:ind w:left="0"/>
        <w:rPr>
          <w:noProof/>
        </w:rPr>
      </w:pPr>
      <w:r>
        <w:rPr>
          <w:noProof/>
        </w:rPr>
        <w:t xml:space="preserve">Compte tenu de l’urgence d’apporter de la clarté dans ce domaine, la Commission accélérera les travaux sur l’extension et le renforcement du MACF, se concentrant tout d’abord sur les éléments clés de la réforme. </w:t>
      </w:r>
    </w:p>
    <w:tbl>
      <w:tblPr>
        <w:tblStyle w:val="TableGrid"/>
        <w:tblW w:w="0" w:type="auto"/>
        <w:tblLook w:val="04A0" w:firstRow="1" w:lastRow="0" w:firstColumn="1" w:lastColumn="0" w:noHBand="0" w:noVBand="1"/>
      </w:tblPr>
      <w:tblGrid>
        <w:gridCol w:w="8602"/>
      </w:tblGrid>
      <w:tr w:rsidR="06746406" w14:paraId="0EFF37F0" w14:textId="77777777" w:rsidTr="7F7C3B5C">
        <w:trPr>
          <w:trHeight w:val="300"/>
        </w:trPr>
        <w:tc>
          <w:tcPr>
            <w:tcW w:w="8602" w:type="dxa"/>
          </w:tcPr>
          <w:p w14:paraId="355FD595" w14:textId="4DB3F96E" w:rsidR="06746406" w:rsidRDefault="06746406" w:rsidP="06746406">
            <w:pPr>
              <w:spacing w:after="0"/>
              <w:rPr>
                <w:b/>
                <w:noProof/>
              </w:rPr>
            </w:pPr>
            <w:r>
              <w:rPr>
                <w:b/>
                <w:noProof/>
              </w:rPr>
              <w:t xml:space="preserve">Actions: </w:t>
            </w:r>
          </w:p>
        </w:tc>
      </w:tr>
      <w:tr w:rsidR="06746406" w14:paraId="08A84997" w14:textId="77777777" w:rsidTr="7F7C3B5C">
        <w:trPr>
          <w:trHeight w:val="300"/>
        </w:trPr>
        <w:tc>
          <w:tcPr>
            <w:tcW w:w="8602" w:type="dxa"/>
          </w:tcPr>
          <w:p w14:paraId="27B69EF0" w14:textId="374CA529" w:rsidR="06746406" w:rsidRDefault="00A060B4" w:rsidP="06746406">
            <w:pPr>
              <w:pStyle w:val="Text1"/>
              <w:spacing w:after="0"/>
              <w:ind w:left="360"/>
              <w:rPr>
                <w:b/>
                <w:bCs/>
                <w:noProof/>
                <w:color w:val="008080"/>
                <w:u w:val="single"/>
              </w:rPr>
            </w:pPr>
            <w:r>
              <w:rPr>
                <w:noProof/>
              </w:rPr>
              <w:t xml:space="preserve">D’ici au deuxième trimestre de 2025, la Commission publiera une </w:t>
            </w:r>
            <w:r>
              <w:rPr>
                <w:b/>
                <w:noProof/>
              </w:rPr>
              <w:t>communication</w:t>
            </w:r>
            <w:r>
              <w:rPr>
                <w:noProof/>
              </w:rPr>
              <w:t xml:space="preserve"> comportant une analyse de la manière de résoudre le problème de la fuite de carbone pour les </w:t>
            </w:r>
            <w:r>
              <w:rPr>
                <w:b/>
                <w:noProof/>
              </w:rPr>
              <w:t>marchandises relevant du MACF exportées de l’Union vers des pays tiers</w:t>
            </w:r>
            <w:r>
              <w:rPr>
                <w:noProof/>
              </w:rPr>
              <w:t xml:space="preserve"> et exposant les solutions possibles.</w:t>
            </w:r>
            <w:r>
              <w:rPr>
                <w:b/>
                <w:noProof/>
              </w:rPr>
              <w:t xml:space="preserve"> </w:t>
            </w:r>
          </w:p>
        </w:tc>
      </w:tr>
      <w:tr w:rsidR="06746406" w14:paraId="7BCE34E3" w14:textId="77777777" w:rsidTr="7F7C3B5C">
        <w:trPr>
          <w:trHeight w:val="300"/>
        </w:trPr>
        <w:tc>
          <w:tcPr>
            <w:tcW w:w="8602" w:type="dxa"/>
          </w:tcPr>
          <w:p w14:paraId="12DD6ADA" w14:textId="1268EAA4" w:rsidR="00583068" w:rsidRDefault="00A060B4" w:rsidP="06746406">
            <w:pPr>
              <w:pStyle w:val="Text1"/>
              <w:spacing w:after="0"/>
              <w:ind w:left="360"/>
              <w:rPr>
                <w:noProof/>
              </w:rPr>
            </w:pPr>
            <w:r>
              <w:rPr>
                <w:noProof/>
              </w:rPr>
              <w:t xml:space="preserve">D’ici au quatrième trimestre de 2025, la Commission procédera à un réexamen complet du MACF et assortira le mécanisme d’une </w:t>
            </w:r>
            <w:r>
              <w:rPr>
                <w:b/>
                <w:noProof/>
              </w:rPr>
              <w:t>stratégie anticontournement</w:t>
            </w:r>
            <w:r>
              <w:rPr>
                <w:noProof/>
              </w:rPr>
              <w:t xml:space="preserve"> et d’une </w:t>
            </w:r>
            <w:r>
              <w:rPr>
                <w:b/>
                <w:noProof/>
              </w:rPr>
              <w:t>première proposition législative</w:t>
            </w:r>
            <w:r>
              <w:rPr>
                <w:noProof/>
              </w:rPr>
              <w:t xml:space="preserve">: </w:t>
            </w:r>
          </w:p>
          <w:p w14:paraId="79E01ED5" w14:textId="29408504" w:rsidR="00583068" w:rsidRDefault="00641761" w:rsidP="00583068">
            <w:pPr>
              <w:pStyle w:val="Text1"/>
              <w:numPr>
                <w:ilvl w:val="0"/>
                <w:numId w:val="58"/>
              </w:numPr>
              <w:spacing w:after="0"/>
              <w:rPr>
                <w:noProof/>
              </w:rPr>
            </w:pPr>
            <w:r>
              <w:rPr>
                <w:b/>
                <w:noProof/>
              </w:rPr>
              <w:t>étendant le champ d’application du MACF à certains produits d’aval à forte teneur en acier et en aluminium</w:t>
            </w:r>
            <w:r>
              <w:rPr>
                <w:noProof/>
              </w:rPr>
              <w:t xml:space="preserve">, et </w:t>
            </w:r>
          </w:p>
          <w:p w14:paraId="5DA1958F" w14:textId="01C672EC" w:rsidR="06746406" w:rsidRDefault="00641761" w:rsidP="00583068">
            <w:pPr>
              <w:pStyle w:val="Text1"/>
              <w:numPr>
                <w:ilvl w:val="0"/>
                <w:numId w:val="58"/>
              </w:numPr>
              <w:spacing w:after="0"/>
              <w:rPr>
                <w:noProof/>
              </w:rPr>
            </w:pPr>
            <w:r>
              <w:rPr>
                <w:noProof/>
              </w:rPr>
              <w:t xml:space="preserve">prévoyant des </w:t>
            </w:r>
            <w:r>
              <w:rPr>
                <w:b/>
                <w:noProof/>
              </w:rPr>
              <w:t>mesures anticontournement</w:t>
            </w:r>
            <w:r>
              <w:rPr>
                <w:noProof/>
              </w:rPr>
              <w:t xml:space="preserve"> supplémentaires. </w:t>
            </w:r>
          </w:p>
        </w:tc>
      </w:tr>
    </w:tbl>
    <w:p w14:paraId="00E5C5CA" w14:textId="77777777" w:rsidR="006337E4" w:rsidRPr="00034E1E" w:rsidRDefault="006337E4" w:rsidP="00AD7603">
      <w:pPr>
        <w:rPr>
          <w:noProof/>
          <w:lang w:val="fr-BE"/>
        </w:rPr>
      </w:pPr>
    </w:p>
    <w:p w14:paraId="0663D057" w14:textId="32584F45" w:rsidR="00846E24" w:rsidRPr="001068B5" w:rsidRDefault="3BDD50E4" w:rsidP="006D6F84">
      <w:pPr>
        <w:pStyle w:val="Heading1"/>
        <w:spacing w:before="0"/>
        <w:rPr>
          <w:noProof/>
        </w:rPr>
      </w:pPr>
      <w:r>
        <w:rPr>
          <w:noProof/>
        </w:rPr>
        <w:t xml:space="preserve">Promouvoir et protéger les capacités industrielles européennes  </w:t>
      </w:r>
    </w:p>
    <w:p w14:paraId="03711641" w14:textId="245E1752" w:rsidR="00323364" w:rsidRDefault="00323364" w:rsidP="00AD7603">
      <w:pPr>
        <w:rPr>
          <w:noProof/>
        </w:rPr>
      </w:pPr>
      <w:r>
        <w:rPr>
          <w:b/>
          <w:noProof/>
        </w:rPr>
        <w:t>Les surcapacités mondiales menacent gravement la rentabilité et la compétitivité des industries européennes. L’Union a déjà adopté plusieurs mesures de défense commerciale dans les secteurs métallurgiques contre la concurrence mondiale déloyale.</w:t>
      </w:r>
      <w:r>
        <w:rPr>
          <w:noProof/>
        </w:rPr>
        <w:t xml:space="preserve"> À l’heure actuelle, le secteur du fer et de l’acier est celui auquel s’appliquent le plus de mesures de défense commerciale, suivi par le secteur des minéraux et des métaux et non ferreux. Néanmoins, l’industrie reste menacée par les surcapacités et distorsions mondiales dues à la Chine et à d’autres pays qui soutiennent artificiellement leurs industries nationales ou contournent les mesures de défense commerciale et les sanctions de l’Union. L’Union est la seule grande région sidérurgique dont les capacités de production diminuent. </w:t>
      </w:r>
    </w:p>
    <w:p w14:paraId="6424F594" w14:textId="6ED55DE6" w:rsidR="00323364" w:rsidRDefault="00323364" w:rsidP="00AD7603">
      <w:pPr>
        <w:rPr>
          <w:noProof/>
        </w:rPr>
      </w:pPr>
      <w:r>
        <w:rPr>
          <w:b/>
          <w:noProof/>
        </w:rPr>
        <w:t>En outre, non seulement l’instauration par les États-Unis de droits de douane de 25 % sur les importations d’acier et d’aluminium</w:t>
      </w:r>
      <w:r>
        <w:rPr>
          <w:noProof/>
        </w:rPr>
        <w:t xml:space="preserve">, le 12 mars 2025, aura une incidence négative sur les producteurs de l’Union en limitant l’accès de leurs produits au marché des États-Unis, y compris en ce qui concerne les métaux communs transformés en aval, mais encore elle entraînera une augmentation de la pression exercée par les exportations qui étaient précédemment destinées aux États-Unis et pourraient être réorientées vers l’Union.  </w:t>
      </w:r>
    </w:p>
    <w:p w14:paraId="78EE0A96" w14:textId="77777777" w:rsidR="00323364" w:rsidRDefault="00323364" w:rsidP="00AD7603">
      <w:pPr>
        <w:rPr>
          <w:noProof/>
        </w:rPr>
      </w:pPr>
      <w:r>
        <w:rPr>
          <w:i/>
          <w:noProof/>
        </w:rPr>
        <w:t>Instruments de défense commerciale et autres mesures commerciales</w:t>
      </w:r>
      <w:r>
        <w:rPr>
          <w:noProof/>
        </w:rPr>
        <w:t xml:space="preserve"> </w:t>
      </w:r>
    </w:p>
    <w:p w14:paraId="620143E3" w14:textId="36065FD8" w:rsidR="00323364" w:rsidRDefault="00323364" w:rsidP="00AD7603">
      <w:pPr>
        <w:rPr>
          <w:noProof/>
        </w:rPr>
      </w:pPr>
      <w:r>
        <w:rPr>
          <w:b/>
          <w:noProof/>
        </w:rPr>
        <w:t>L’Union a réexaminé la mesure de sauvegarde appliquée à l’acier</w:t>
      </w:r>
      <w:r>
        <w:rPr>
          <w:noProof/>
        </w:rPr>
        <w:t xml:space="preserve"> pour tenir compte des dernières évolutions du marché et garantir l’efficacité de la mesure. La Commission a procédé à une évaluation approfondie de l’actuelle mesure de sauvegarde sur l’acier et a présenté des propositions aux États membres afin qu’ils l’adaptent à la situation difficile à laquelle le secteur sidérurgique de l’Union doit faire face. Les ajustements proposés soulageront considérablement les producteurs d’acier de l’Union à court terme en garantissant l’efficacité de la mesure, en particulier dans les catégories où la pression à l’importation est la plus forte. La Commission a notamment tenu compte de l’augmentation considérable des importations, combinée à une baisse de la demande dans certaines catégories. </w:t>
      </w:r>
    </w:p>
    <w:p w14:paraId="538CA933" w14:textId="2D97B910" w:rsidR="00323364" w:rsidRDefault="00323364" w:rsidP="00AD7603">
      <w:pPr>
        <w:rPr>
          <w:noProof/>
        </w:rPr>
      </w:pPr>
      <w:r>
        <w:rPr>
          <w:noProof/>
        </w:rPr>
        <w:t>La mesure de sauvegarde expirera légalement le 30 juin 2026, mais il est raisonnable de supposer que les surcapacités structurelles mondiales et leur incidence commerciale négative sur l’industrie de l’acier de l’Union, qui ont motivé le recours à la mesure de sauvegarde, auront disparu le 1</w:t>
      </w:r>
      <w:r>
        <w:rPr>
          <w:noProof/>
          <w:vertAlign w:val="superscript"/>
        </w:rPr>
        <w:t>er</w:t>
      </w:r>
      <w:r>
        <w:rPr>
          <w:noProof/>
        </w:rPr>
        <w:t xml:space="preserve"> juillet 2026. Au contraire, les effets commerciaux négatifs risquent d’empirer, car un nombre croissant de pays tiers adoptent des mesures visant à limiter les importations sur leurs marchés, ce qui fait du marché de l’Union le principal débouché pour les surcapacités mondiales.  </w:t>
      </w:r>
    </w:p>
    <w:p w14:paraId="054B40C4" w14:textId="24834DA8" w:rsidR="00323364" w:rsidRDefault="00323364" w:rsidP="00AD7603">
      <w:pPr>
        <w:rPr>
          <w:noProof/>
        </w:rPr>
      </w:pPr>
      <w:r>
        <w:rPr>
          <w:b/>
          <w:noProof/>
        </w:rPr>
        <w:t>Eu égard à cette situation exceptionnelle, il est donc nécessaire d’instaurer une mesure de protection appropriée et efficace</w:t>
      </w:r>
      <w:r>
        <w:rPr>
          <w:noProof/>
        </w:rPr>
        <w:t xml:space="preserve"> qui contribuera à préserver la compétitivité et la durabilité de l’industrie de l’acier de l’Union </w:t>
      </w:r>
      <w:r>
        <w:rPr>
          <w:b/>
          <w:noProof/>
        </w:rPr>
        <w:t>après le 30 juin 2026</w:t>
      </w:r>
      <w:r>
        <w:rPr>
          <w:noProof/>
        </w:rPr>
        <w:t>. C’est pourquoi, au plus tard au troisième trimestre de 2025, la Commission proposera une mesure de longue durée visant à offrir un niveau de protection très efficace au secteur de l’acier de l’Union. La Commission fera le nécessaire pour que la nouvelle mesure entre en vigueur à temps pour remplacer la mesure de sauvegarde actuelle et permette de remédier efficacement aux effets commerciaux négatifs causés par les surcapacités mondiales. Elle tiendra compte de l’évolution de la demande dans l’Union ainsi que des questions de sécurité et de résilience, tout en préservant un certain niveau d’ouverture sur le marché de l’Union. Cette approche équilibrée protégera l’intérêt de l’Union, qui embrasse l’intérêt des producteurs et celui des utilisateurs, ainsi que les importateurs et les consommateurs. Dans le même temps, l’Union, conformément à ses obligations internationales, continuera de dialoguer avec ses partenaires, qu’il s’agisse de pays tiers ou d’acteurs multilatéraux, dans le but de parvenir à remédier aux surcapacités à l’échelle mondiale</w:t>
      </w:r>
      <w:r w:rsidR="00AD7603">
        <w:rPr>
          <w:rStyle w:val="FootnoteReference"/>
          <w:noProof/>
        </w:rPr>
        <w:footnoteReference w:id="29"/>
      </w:r>
      <w:r>
        <w:rPr>
          <w:noProof/>
        </w:rPr>
        <w:t xml:space="preserve">. </w:t>
      </w:r>
    </w:p>
    <w:p w14:paraId="1F54DFBB" w14:textId="77777777" w:rsidR="00B86144" w:rsidRDefault="00B86144" w:rsidP="00B86144">
      <w:pPr>
        <w:rPr>
          <w:noProof/>
        </w:rPr>
      </w:pPr>
      <w:r>
        <w:rPr>
          <w:noProof/>
        </w:rPr>
        <w:t xml:space="preserve">De plus, en décembre 2024, la Commission a ouvert une </w:t>
      </w:r>
      <w:r>
        <w:rPr>
          <w:b/>
          <w:noProof/>
        </w:rPr>
        <w:t>enquête de sauvegarde concernant les importations de certains éléments d’alliage</w:t>
      </w:r>
      <w:r>
        <w:rPr>
          <w:noProof/>
        </w:rPr>
        <w:t xml:space="preserve"> — un secteur essentiel pour l’économie européenne étant donné que les alliages sont utilisés pour améliorer la solidité, la durabilité et la qualité de l’acier ou de l’aluminium — qui sera clôturée d’ici le 18 novembre 2025. La Commission n’hésitera pas à prendre des mesures de protection supplémentaires si elle devait estimer, au terme de cette enquête, que de telles mesures sont nécessaires.</w:t>
      </w:r>
    </w:p>
    <w:p w14:paraId="1617C4BB" w14:textId="77777777" w:rsidR="00B86144" w:rsidRPr="00DE5231" w:rsidRDefault="00B86144" w:rsidP="00B86144">
      <w:pPr>
        <w:rPr>
          <w:noProof/>
        </w:rPr>
      </w:pPr>
      <w:r>
        <w:rPr>
          <w:b/>
          <w:noProof/>
        </w:rPr>
        <w:t>La situation se détériore également dans le secteur de l’aluminium</w:t>
      </w:r>
      <w:r>
        <w:rPr>
          <w:noProof/>
        </w:rPr>
        <w:t xml:space="preserve">. Les producteurs de l’Union ont perdu des parts de marché considérables au cours de la dernière décennie et, qui plus est, environ 50 % de la capacité de production primaire est hors service depuis 2021. Les droits de douane sur l’aluminium récemment annoncés par les États-Unis devraient encore aggraver la situation puisqu’il existe un risque important de réorientation des flux commerciaux à partir de plusieurs pays d’origine. </w:t>
      </w:r>
      <w:r>
        <w:rPr>
          <w:b/>
          <w:noProof/>
        </w:rPr>
        <w:t>C’est la raison pour laquelle la Commission a commencé à recueillir les éléments de preuve pertinents pour pouvoir recourir aux instruments de défense commerciale et ouvrir une enquête en vue d’appliquer une mesure de sauvegarde dès qu’une demande dûment motivée aura été introduite.</w:t>
      </w:r>
    </w:p>
    <w:p w14:paraId="28E2EB77" w14:textId="77777777" w:rsidR="00B86144" w:rsidRPr="00DE5231" w:rsidRDefault="00B86144" w:rsidP="00B86144">
      <w:pPr>
        <w:rPr>
          <w:noProof/>
        </w:rPr>
      </w:pPr>
      <w:r>
        <w:rPr>
          <w:b/>
          <w:bCs/>
          <w:noProof/>
        </w:rPr>
        <w:t>La Commission a observé que les producteurs-exportateurs avaient de plus en plus tendance à essayer de contourner les mesures de défense commerciale</w:t>
      </w:r>
      <w:r>
        <w:rPr>
          <w:noProof/>
        </w:rPr>
        <w:t xml:space="preserve">. Ce comportement risque de compromettre l’efficacité de nos mesures de défense commerciale. Ainsi, si une mesure antidumping ou antisubventions spécifique produit les effets escomptés sur les importations directes, celles-ci peuvent toutefois être remplacées par des importations indirectes, dont l’étape finale du processus de production, avant l’expédition vers l’Union, a lieu dans un pays tiers non soumis à ces mesures, ce qui permet d’éviter le paiement de droits. Afin de garantir l’efficacité de ses mesures de défense commerciale, qui constitue l’une de ses priorités, </w:t>
      </w:r>
      <w:r>
        <w:rPr>
          <w:b/>
          <w:bCs/>
          <w:noProof/>
        </w:rPr>
        <w:t>la Commission évaluera si elle doit adapter sa pratique en instaurant une règle «fondu et coulé»</w:t>
      </w:r>
      <w:r>
        <w:rPr>
          <w:noProof/>
        </w:rPr>
        <w:t>, qui lui permettrait de prendre des mesures contre le pays dans lequel le métal a été initialement fondu, indépendamment du lieu de transformation ultérieure et de l’origine du produit telle que déterminée par les règles d’origine non préférentielle traditionnelles. En appliquant cette règle, il ne serait plus possible de modifier l’origine du produit métallique en le transformant de manière minimale, et l’origine du produit pourrait être déterminée avec plus de certitude. En tout état de cause, la Commission restera vigilante, étant donné que les surcapacités générées dans des conditions non conformes au marché pourraient également avoir pour effet d’inciter des producteurs indépendants présents sur le marché d’autres pays tiers à exporter vers l’Union des quantités de produits écartés de leurs marchés nationaux ou d’autres marchés traditionnels non européens.</w:t>
      </w:r>
    </w:p>
    <w:p w14:paraId="246FEA2E" w14:textId="77777777" w:rsidR="00B86144" w:rsidRDefault="00B86144" w:rsidP="00B86144">
      <w:pPr>
        <w:rPr>
          <w:noProof/>
        </w:rPr>
      </w:pPr>
      <w:r>
        <w:rPr>
          <w:b/>
          <w:bCs/>
          <w:noProof/>
        </w:rPr>
        <w:t>Pour faire face à l’évolution rapide des marchés mondiaux et protéger l’industrie, la Commission renforcera la surveillance des flux commerciaux</w:t>
      </w:r>
      <w:r>
        <w:rPr>
          <w:noProof/>
        </w:rPr>
        <w:t xml:space="preserve"> et ouvrira de manière proactive des enquêtes au titre d’une «menace de préjudice», sans attendre la survenance d’un préjudice important. En ce qui concerne les métaux relevant du champ d’application du présent plan d’action autres que l’acier et l’aluminium, la Commission rendra compte, d’ici au troisième trimestre de 2025, de sa surveillance renforcée de la situation du marché pour ces secteurs et sera prête à proposer une action commerciale si nécessaire. Comme annoncé dans le pacte pour une industrie propre, la Commission va s’employer à renforcer les instruments de défense commerciale existants. </w:t>
      </w:r>
      <w:r>
        <w:rPr>
          <w:b/>
          <w:bCs/>
          <w:noProof/>
        </w:rPr>
        <w:t>Dans ce cadre, elle évaluera également si le système actuel de la règle du droit moindre doit être modifié</w:t>
      </w:r>
      <w:r>
        <w:rPr>
          <w:noProof/>
        </w:rPr>
        <w:t>. L’Union poursuivra et intensifiera ses efforts dans le contexte multilatéral pour relever les défis mondiaux auxquels ces secteurs doivent faire face. La situation dans le secteur du cuivre sera suivie de près étant donné qu’en février 2025, les États-Unis ont ouvert une enquête, au titre de la section 232 du «Trade Expansion Act» de 1962, sur les importations de cuivre, ce qui pourrait les amener à prendre de nouvelles mesures tarifaires et perturber les marchés mondiaux. Cela pourrait avoir des répercussions indirectes sur les États membres de l’Union même s’ils ne sont pas des fournisseurs importants du marché américain.</w:t>
      </w:r>
    </w:p>
    <w:p w14:paraId="7477B828" w14:textId="77777777" w:rsidR="00B86144" w:rsidRDefault="00B86144" w:rsidP="00B86144">
      <w:pPr>
        <w:rPr>
          <w:noProof/>
        </w:rPr>
      </w:pPr>
      <w:r>
        <w:rPr>
          <w:noProof/>
        </w:rPr>
        <w:t xml:space="preserve">Depuis mars 2022, </w:t>
      </w:r>
      <w:r>
        <w:rPr>
          <w:b/>
          <w:bCs/>
          <w:noProof/>
        </w:rPr>
        <w:t>l’Union a adopté un large éventail de sanctions envers la Russie en réaction contre la guerre d’agression que ce pays mène contre l’Ukraine</w:t>
      </w:r>
      <w:r>
        <w:rPr>
          <w:noProof/>
        </w:rPr>
        <w:t>, dans le but d’affaiblir la base économique de la Russie, de la priver de technologies et de marchés critiques et de réduire considérablement sa capacité à faire la guerre. Parmi ces sanctions figurent des restrictions à l’importation de fer et d’acier, qui constituent l’un des ensembles de sanctions sectorielles les plus sévères imposés à la Russie. Outre l’interdiction, déjà en vigueur, d’importer des produits transformés en aluminium en provenance de Russie, le 16</w:t>
      </w:r>
      <w:r>
        <w:rPr>
          <w:noProof/>
          <w:vertAlign w:val="superscript"/>
        </w:rPr>
        <w:t>e</w:t>
      </w:r>
      <w:r>
        <w:rPr>
          <w:noProof/>
        </w:rPr>
        <w:t xml:space="preserve"> train de sanctions contre la Russie (adopté le 24 février 2025) comprend une interdiction d’importer dans l’Union de l’aluminium primaire en provenance de Russie, qui est assortie d’un mécanisme de contingents visant à garantir une transition sans heurts pour les entreprises. La Commission veillera à ce que ces sanctions soient effectivement appliquées et, s’il le faut, l’Union imposera de nouvelles mesures pour lutter contre leur contournement. </w:t>
      </w:r>
    </w:p>
    <w:p w14:paraId="2FE0C161" w14:textId="77777777" w:rsidR="00B86144" w:rsidRDefault="00B86144" w:rsidP="00B86144">
      <w:pPr>
        <w:rPr>
          <w:noProof/>
        </w:rPr>
      </w:pPr>
      <w:r>
        <w:rPr>
          <w:noProof/>
        </w:rPr>
        <w:t xml:space="preserve">La révision ciblée des règles de l’Union relatives aux substances chimiques (REACH) qui aura lieu dans le courant du quatrième trimestre de 2025 contribuera à simplifier les règles applicables à l’industrie chimique sans compromettre la sécurité et la protection de l’environnement. Cette révision permettra de la sorte de garantir un environnement réglementaire stable et prévisible pour les métaux destinés à être produits et mis sur le marché dans l’Union.  </w:t>
      </w:r>
    </w:p>
    <w:tbl>
      <w:tblPr>
        <w:tblW w:w="8637" w:type="dxa"/>
        <w:tblCellMar>
          <w:left w:w="0" w:type="dxa"/>
          <w:right w:w="0" w:type="dxa"/>
        </w:tblCellMar>
        <w:tblLook w:val="04A0" w:firstRow="1" w:lastRow="0" w:firstColumn="1" w:lastColumn="0" w:noHBand="0" w:noVBand="1"/>
      </w:tblPr>
      <w:tblGrid>
        <w:gridCol w:w="8637"/>
      </w:tblGrid>
      <w:tr w:rsidR="00B86144" w14:paraId="09CBCF64" w14:textId="77777777" w:rsidTr="00FA42D9">
        <w:tc>
          <w:tcPr>
            <w:tcW w:w="86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6780FA" w14:textId="77777777" w:rsidR="00B86144" w:rsidRDefault="00B86144" w:rsidP="00FA42D9">
            <w:pPr>
              <w:rPr>
                <w:b/>
                <w:bCs/>
                <w:noProof/>
              </w:rPr>
            </w:pPr>
            <w:r>
              <w:rPr>
                <w:b/>
                <w:noProof/>
              </w:rPr>
              <w:t>Actions:</w:t>
            </w:r>
          </w:p>
        </w:tc>
      </w:tr>
      <w:tr w:rsidR="00B86144" w14:paraId="28521E6D" w14:textId="77777777" w:rsidTr="00FA42D9">
        <w:tc>
          <w:tcPr>
            <w:tcW w:w="863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DFD743" w14:textId="77777777" w:rsidR="00B86144" w:rsidRDefault="00B86144" w:rsidP="00FA42D9">
            <w:pPr>
              <w:rPr>
                <w:noProof/>
              </w:rPr>
            </w:pPr>
            <w:r>
              <w:rPr>
                <w:b/>
                <w:noProof/>
              </w:rPr>
              <w:t>La Commission a proposé des adaptations de la mesure de sauvegarde sur l’acier qui entreront en vigueur le 1</w:t>
            </w:r>
            <w:r>
              <w:rPr>
                <w:b/>
                <w:noProof/>
                <w:vertAlign w:val="superscript"/>
              </w:rPr>
              <w:t>er</w:t>
            </w:r>
            <w:r>
              <w:rPr>
                <w:b/>
                <w:noProof/>
              </w:rPr>
              <w:t> avril 2025</w:t>
            </w:r>
            <w:r>
              <w:rPr>
                <w:noProof/>
              </w:rPr>
              <w:t>. La mesure sera renforcée afin de garantir son efficacité et de l’adapter aux dernières évolutions du marché.</w:t>
            </w:r>
          </w:p>
        </w:tc>
      </w:tr>
      <w:tr w:rsidR="00B86144" w14:paraId="719F5A65" w14:textId="77777777" w:rsidTr="00FA42D9">
        <w:tc>
          <w:tcPr>
            <w:tcW w:w="86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660374" w14:textId="77777777" w:rsidR="00B86144" w:rsidRDefault="00B86144" w:rsidP="00FA42D9">
            <w:pPr>
              <w:rPr>
                <w:noProof/>
              </w:rPr>
            </w:pPr>
            <w:r>
              <w:rPr>
                <w:noProof/>
              </w:rPr>
              <w:t xml:space="preserve">La Commission est prête à utiliser ses instruments de défense commerciale et à ouvrir une </w:t>
            </w:r>
            <w:r>
              <w:rPr>
                <w:b/>
                <w:noProof/>
              </w:rPr>
              <w:t>enquête en vue d’appliquer des mesures de sauvegarde dans le secteur de l’aluminium</w:t>
            </w:r>
            <w:r>
              <w:rPr>
                <w:noProof/>
              </w:rPr>
              <w:t xml:space="preserve"> immédiatement après l’introduction de la demande dûment motivée.</w:t>
            </w:r>
            <w:r>
              <w:rPr>
                <w:noProof/>
                <w:color w:val="000000" w:themeColor="text1"/>
              </w:rPr>
              <w:t xml:space="preserve"> </w:t>
            </w:r>
            <w:r>
              <w:rPr>
                <w:noProof/>
              </w:rPr>
              <w:t xml:space="preserve">  </w:t>
            </w:r>
          </w:p>
        </w:tc>
      </w:tr>
      <w:tr w:rsidR="00B86144" w14:paraId="21B5B5F1" w14:textId="77777777" w:rsidTr="00FA42D9">
        <w:tc>
          <w:tcPr>
            <w:tcW w:w="86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5BCC35" w14:textId="77777777" w:rsidR="00B86144" w:rsidRDefault="00B86144" w:rsidP="00FA42D9">
            <w:pPr>
              <w:rPr>
                <w:i/>
                <w:iCs/>
                <w:noProof/>
              </w:rPr>
            </w:pPr>
          </w:p>
        </w:tc>
      </w:tr>
      <w:tr w:rsidR="00B86144" w14:paraId="67BC5E71" w14:textId="77777777" w:rsidTr="00FA42D9">
        <w:tc>
          <w:tcPr>
            <w:tcW w:w="86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11AA3A" w14:textId="77777777" w:rsidR="00B86144" w:rsidRDefault="00B86144" w:rsidP="00FA42D9">
            <w:pPr>
              <w:rPr>
                <w:noProof/>
              </w:rPr>
            </w:pPr>
            <w:r>
              <w:rPr>
                <w:noProof/>
              </w:rPr>
              <w:t xml:space="preserve">Au plus tard au troisième trimestre de 2025, la Commission proposera une mesure commerciale qui </w:t>
            </w:r>
            <w:r>
              <w:rPr>
                <w:b/>
                <w:bCs/>
                <w:noProof/>
              </w:rPr>
              <w:t>remplacera les mesures de sauvegarde sur l’acier à partir du 1</w:t>
            </w:r>
            <w:r>
              <w:rPr>
                <w:b/>
                <w:bCs/>
                <w:noProof/>
                <w:vertAlign w:val="superscript"/>
              </w:rPr>
              <w:t>er</w:t>
            </w:r>
            <w:r>
              <w:rPr>
                <w:b/>
                <w:bCs/>
                <w:noProof/>
              </w:rPr>
              <w:t> juillet 2026</w:t>
            </w:r>
            <w:r>
              <w:rPr>
                <w:noProof/>
              </w:rPr>
              <w:t xml:space="preserve"> et offrira un niveau de protection très efficace contre les effets commerciaux négatifs causés par les surcapacités mondiales. </w:t>
            </w:r>
          </w:p>
        </w:tc>
      </w:tr>
      <w:tr w:rsidR="00B86144" w14:paraId="08A8BF3C" w14:textId="77777777" w:rsidTr="00FA42D9">
        <w:tc>
          <w:tcPr>
            <w:tcW w:w="8637"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407FFA0E" w14:textId="77777777" w:rsidR="00B86144" w:rsidRDefault="00B86144" w:rsidP="00FA42D9">
            <w:pPr>
              <w:rPr>
                <w:b/>
                <w:bCs/>
                <w:noProof/>
              </w:rPr>
            </w:pPr>
            <w:r>
              <w:rPr>
                <w:noProof/>
              </w:rPr>
              <w:t>La Commission mènera avec promptitude l’</w:t>
            </w:r>
            <w:r>
              <w:rPr>
                <w:b/>
                <w:bCs/>
                <w:noProof/>
              </w:rPr>
              <w:t>enquête de sauvegarde sur les ferro-alliages</w:t>
            </w:r>
            <w:r>
              <w:rPr>
                <w:noProof/>
              </w:rPr>
              <w:t>, qu’elle clôturera au plus tard le 18 novembre 2025.</w:t>
            </w:r>
          </w:p>
        </w:tc>
      </w:tr>
      <w:tr w:rsidR="00B86144" w14:paraId="0CA5B445" w14:textId="77777777" w:rsidTr="00FA42D9">
        <w:tc>
          <w:tcPr>
            <w:tcW w:w="863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CBD1399" w14:textId="77777777" w:rsidR="00B86144" w:rsidRDefault="00B86144" w:rsidP="00FA42D9">
            <w:pPr>
              <w:rPr>
                <w:noProof/>
              </w:rPr>
            </w:pPr>
            <w:r>
              <w:rPr>
                <w:noProof/>
              </w:rPr>
              <w:t>La Commission évaluera la mise en place de la règle «</w:t>
            </w:r>
            <w:r>
              <w:rPr>
                <w:b/>
                <w:bCs/>
                <w:noProof/>
              </w:rPr>
              <w:t>fondu et coulé</w:t>
            </w:r>
            <w:r>
              <w:rPr>
                <w:noProof/>
              </w:rPr>
              <w:t>» destinée à permettre de remonter jusqu’au pays dans lequel le produit métallique a été initialement fondu et coulé.</w:t>
            </w:r>
          </w:p>
        </w:tc>
      </w:tr>
    </w:tbl>
    <w:p w14:paraId="4C016CD2" w14:textId="77777777" w:rsidR="00B86144" w:rsidRPr="00C419AD" w:rsidRDefault="00B86144" w:rsidP="00B86144">
      <w:pPr>
        <w:pStyle w:val="Heading1"/>
        <w:numPr>
          <w:ilvl w:val="0"/>
          <w:numId w:val="0"/>
        </w:numPr>
        <w:spacing w:before="0"/>
        <w:ind w:left="482"/>
        <w:rPr>
          <w:noProof/>
          <w:lang w:val="fr-BE"/>
        </w:rPr>
      </w:pPr>
    </w:p>
    <w:p w14:paraId="6DB87F24" w14:textId="77777777" w:rsidR="00B86144" w:rsidRPr="005A6CD5" w:rsidRDefault="00B86144" w:rsidP="00B86144">
      <w:pPr>
        <w:pStyle w:val="Heading1"/>
        <w:spacing w:before="0"/>
        <w:rPr>
          <w:noProof/>
        </w:rPr>
      </w:pPr>
      <w:r>
        <w:rPr>
          <w:noProof/>
        </w:rPr>
        <w:t>Promouvoir la circularité des métaux</w:t>
      </w:r>
    </w:p>
    <w:p w14:paraId="59F27386" w14:textId="77777777" w:rsidR="00B86144" w:rsidRDefault="00B86144" w:rsidP="00B86144">
      <w:pPr>
        <w:pStyle w:val="Text1"/>
        <w:ind w:left="0"/>
        <w:rPr>
          <w:noProof/>
        </w:rPr>
      </w:pPr>
      <w:r>
        <w:rPr>
          <w:b/>
          <w:noProof/>
        </w:rPr>
        <w:t>L’amélioration de la circularité des métaux contribue de manière décisive à la décarbonation des industries métallurgiques</w:t>
      </w:r>
      <w:r>
        <w:rPr>
          <w:noProof/>
        </w:rPr>
        <w:t xml:space="preserve">. Le recyclage peut par exemple permettre d’économiser jusqu’à 95 % de l’énergie nécessaire à la production d’aluminium primaire et jusqu’à 80 % de l’énergie nécessaire à la production d’acier. Le recyclage de la ferraille produite dans l’Union permet également de réduire la dépendance de l’industrie européenne à l’égard des importations de matières premières primaires, comme la bauxite/l’alumine/l’aluminium qui est considérée comme une matière première stratégique pour l’Union, pour lesquelles la demande devrait augmenter de manière significative.  </w:t>
      </w:r>
    </w:p>
    <w:p w14:paraId="4546C7CD" w14:textId="77777777" w:rsidR="00B86144" w:rsidRDefault="00B86144" w:rsidP="00B86144">
      <w:pPr>
        <w:pStyle w:val="Text1"/>
        <w:ind w:left="0"/>
        <w:rPr>
          <w:noProof/>
        </w:rPr>
      </w:pPr>
      <w:r>
        <w:rPr>
          <w:b/>
          <w:noProof/>
        </w:rPr>
        <w:t xml:space="preserve">Toutefois, le volume de ferraille utilisée à des fins de recyclage dans l’Union diminue. </w:t>
      </w:r>
      <w:r>
        <w:rPr>
          <w:noProof/>
        </w:rPr>
        <w:t xml:space="preserve">Cette diminution s’explique, primo par l’absence de demande de la part de l’industrie européenne (en particulier pour l’acier), secundo par le fait que les producteurs d’acier et d’aluminium des pays tiers achètent la ferraille à des prix plus élevés, souvent en raison de distorsions commerciales, telles que des subventions, ou de conditions de marché déloyales. En conséquence, les exportations de débris de fer ont plus que doublé ces dernières années pour atteindre leur plus haut niveau en 2021 avec 19,43 millions de tonnes (environ 20 % de la ferraille totale produite dans l’Union). Un nouveau record devrait être atteint en 2024 pour les débris d’aluminium européens, puisque l’on s’attend à ce que les exportations de ces débris d’aluminium dépassent le 1,3 million de tonnes.  </w:t>
      </w:r>
    </w:p>
    <w:p w14:paraId="476BE16F" w14:textId="77777777" w:rsidR="00B86144" w:rsidRDefault="00B86144" w:rsidP="00B86144">
      <w:pPr>
        <w:pStyle w:val="Text1"/>
        <w:ind w:left="0"/>
        <w:rPr>
          <w:noProof/>
        </w:rPr>
      </w:pPr>
      <w:r>
        <w:rPr>
          <w:noProof/>
        </w:rPr>
        <w:t xml:space="preserve">Pour inverser cette tendance, </w:t>
      </w:r>
      <w:r>
        <w:rPr>
          <w:b/>
          <w:bCs/>
          <w:noProof/>
        </w:rPr>
        <w:t>il faut se fixer comme premier objectif de stimuler la demande en augmentant l’utilisation de ce type de ressources dans l’Union</w:t>
      </w:r>
      <w:r>
        <w:rPr>
          <w:noProof/>
        </w:rPr>
        <w:t>. Pour ce faire, il convient de mieux trier et traiter la ferraille afin qu’elle puisse être utilisée dans des applications de haute qualité telles que l’automobile. Ce changement nécessite des investissements de la part des recycleurs et des acheteurs, des incitations à l’échelon européen et national</w:t>
      </w:r>
      <w:r>
        <w:rPr>
          <w:rStyle w:val="FootnoteReference"/>
          <w:noProof/>
        </w:rPr>
        <w:footnoteReference w:id="30"/>
      </w:r>
      <w:r>
        <w:rPr>
          <w:noProof/>
        </w:rPr>
        <w:t xml:space="preserve">, ainsi que des exigences en matière de conception pour les groupes de produits concernés. Afin de faciliter l’utilisation de métaux provenant de la production secondaire dans les secteurs traditionnellement dépendants des métaux primaires, la Commission va préparer la fixation d’objectifs pour une utilisation économiquement rentable d’acier et d’aluminium recyclés dans les secteurs clés, en tenant compte dans son analyse des différences en matière de capacité à répercuter les coûts sur les clients et de la concurrence mondiale. L’étude de faisabilité d’une telle utilisation dans le secteur automobile sera achevée d’ici la fin de 2026 dans le contexte du règlement sur les véhicules hors d’usage actuellement examiné dans le cadre de la procédure de codécision. </w:t>
      </w:r>
    </w:p>
    <w:p w14:paraId="10B430A0" w14:textId="77777777" w:rsidR="00B86144" w:rsidRDefault="00B86144" w:rsidP="00B86144">
      <w:pPr>
        <w:pStyle w:val="Text1"/>
        <w:ind w:left="0"/>
        <w:rPr>
          <w:noProof/>
        </w:rPr>
      </w:pPr>
      <w:r>
        <w:rPr>
          <w:noProof/>
        </w:rPr>
        <w:t xml:space="preserve">La Commission évaluera également la nécessité d’établir des </w:t>
      </w:r>
      <w:r>
        <w:rPr>
          <w:b/>
          <w:noProof/>
        </w:rPr>
        <w:t>exigences en matière de recyclabilité et/ou de contenu recyclé</w:t>
      </w:r>
      <w:r>
        <w:rPr>
          <w:noProof/>
        </w:rPr>
        <w:t xml:space="preserve"> pour d’autres groupes de produits, ainsi que de donner la priorité à des éléments liés à la conception des produits et au traitement des déchets qui facilitent la séparation des composants en cuivre des fractions d’acier et d’aluminium. Elle réglera cette question en établissant des exigences dans des actes délégués relatifs aux groupes de produits concernés adoptés en vertu du règlement sur l’écoconception pour des produits durables et d’autres actes législatifs pertinents (règlement sur les produits de construction, règlement sur les véhicules hors d’usage, acte législatif sur l’économie circulaire). </w:t>
      </w:r>
    </w:p>
    <w:p w14:paraId="6BBA20AC" w14:textId="77777777" w:rsidR="00B86144" w:rsidRDefault="00B86144" w:rsidP="00B86144">
      <w:pPr>
        <w:pStyle w:val="Text1"/>
        <w:spacing w:line="259" w:lineRule="auto"/>
        <w:ind w:left="0"/>
        <w:rPr>
          <w:noProof/>
        </w:rPr>
      </w:pPr>
      <w:r>
        <w:rPr>
          <w:b/>
          <w:noProof/>
        </w:rPr>
        <w:t>L’augmentation de la part de la production de métaux secondaires implique un changement de paradigme dans certains modèles de production et certains modèles commerciaux.</w:t>
      </w:r>
      <w:r>
        <w:rPr>
          <w:noProof/>
        </w:rPr>
        <w:t xml:space="preserve"> Dans le respect des règles en matière de pratiques anticoncurrentielles, les acteurs de l’ensemble de la chaîne de valeur devraient mieux collaborer afin de faire de ce changement une réalité et de ne pas rester enlisés dans des modèles commerciaux bien établis. La Commission associera donc tous les acteurs concernés à la discussion sur les obligations en matière de recyclabilité et de contenu recyclé et d’autres questions connexes. Ce dialogue l’aidera à élaborer l’acte législatif sur l’économie circulaire prévu pour le quatrième trimestre de 2026, ainsi que, éventuellement, à mettre en œuvre le règlement sur l’écoconception pour des produits durables</w:t>
      </w:r>
      <w:r w:rsidRPr="06746406">
        <w:rPr>
          <w:rStyle w:val="FootnoteReference"/>
          <w:noProof/>
          <w:lang w:val="en-IE"/>
        </w:rPr>
        <w:footnoteReference w:id="31"/>
      </w:r>
      <w:r>
        <w:rPr>
          <w:noProof/>
        </w:rPr>
        <w:t xml:space="preserve"> et à instaurer d’autres cadres appropriés.</w:t>
      </w:r>
    </w:p>
    <w:p w14:paraId="5E844950" w14:textId="77777777" w:rsidR="00B86144" w:rsidRPr="00D6375D" w:rsidRDefault="00B86144" w:rsidP="00B86144">
      <w:pPr>
        <w:pStyle w:val="Text1"/>
        <w:spacing w:line="259" w:lineRule="auto"/>
        <w:ind w:left="0"/>
        <w:rPr>
          <w:noProof/>
        </w:rPr>
      </w:pPr>
      <w:r>
        <w:rPr>
          <w:noProof/>
        </w:rPr>
        <w:t xml:space="preserve">Deuxièmement, on ne peut travailler efficacement à l’augmentation de la demande intérieure de débris métalliques que si les conditions de concurrence internationales restent équitables. </w:t>
      </w:r>
      <w:r>
        <w:rPr>
          <w:b/>
          <w:noProof/>
        </w:rPr>
        <w:t xml:space="preserve">Il est également nécessaire d’agir sur l’offre afin de garantir l’accès des producteurs de l’Union à la ferraille, tout en maintenant le modèle économique des recycleurs. </w:t>
      </w:r>
      <w:r>
        <w:rPr>
          <w:noProof/>
        </w:rPr>
        <w:t>Le règlement révisé sur les transferts de déchets</w:t>
      </w:r>
      <w:r>
        <w:rPr>
          <w:rStyle w:val="FootnoteReference"/>
          <w:noProof/>
          <w:lang w:val="en-IE"/>
        </w:rPr>
        <w:footnoteReference w:id="32"/>
      </w:r>
      <w:r>
        <w:rPr>
          <w:noProof/>
        </w:rPr>
        <w:t xml:space="preserve"> prévoit de nouveaux outils permettant de veiller à ce que l’exportation de déchets, y compris les débris métalliques, ne cause pas de dommages à l’environnement et à la santé humaine dans les pays tiers, et la Commission utilisera ces outils pour les débris et déchets métalliques.  </w:t>
      </w:r>
    </w:p>
    <w:p w14:paraId="13FD7262" w14:textId="77777777" w:rsidR="00B86144" w:rsidRPr="00D6375D" w:rsidRDefault="00B86144" w:rsidP="00B86144">
      <w:pPr>
        <w:pStyle w:val="Text1"/>
        <w:spacing w:line="259" w:lineRule="auto"/>
        <w:ind w:left="0"/>
        <w:rPr>
          <w:noProof/>
        </w:rPr>
      </w:pPr>
      <w:r>
        <w:rPr>
          <w:noProof/>
        </w:rPr>
        <w:t xml:space="preserve">Un grand nombre de pays tiers n’autorisent pas l’exportation de débris métalliques vers l’Union, ce qui réduit l’accès à cette matière première secondaire stratégique. Certains pays appliquent également des subventions déloyales pour soutenir leurs industries de recyclage et de production de métaux. C’est pourquoi la Commission suit l’évolution de la situation et envisagera, si nécessaire, de proposer d’ici au troisième trimestre de 2025 au plus tard une mesure commerciale visant à garantir une disponibilité suffisante de ferraille dans l’Union; dans le cadre de ce processus, elle évaluera également s’il est justifié et possible d’instaurer une règle de réciprocité qui serait conforme aux obligations internationales de l’Union.  </w:t>
      </w:r>
    </w:p>
    <w:p w14:paraId="7D19D7CA" w14:textId="77777777" w:rsidR="00B86144" w:rsidRPr="00D6375D" w:rsidRDefault="00B86144" w:rsidP="00B86144">
      <w:pPr>
        <w:pStyle w:val="Text1"/>
        <w:spacing w:line="259" w:lineRule="auto"/>
        <w:ind w:left="0"/>
        <w:rPr>
          <w:noProof/>
        </w:rPr>
      </w:pPr>
      <w:r>
        <w:rPr>
          <w:noProof/>
        </w:rPr>
        <w:t xml:space="preserve">Les </w:t>
      </w:r>
      <w:r>
        <w:rPr>
          <w:b/>
          <w:bCs/>
          <w:noProof/>
        </w:rPr>
        <w:t>débris métalliques devraient circuler librement au sein du marché unique</w:t>
      </w:r>
      <w:r>
        <w:rPr>
          <w:noProof/>
        </w:rPr>
        <w:t xml:space="preserve"> afin qu’ils puissent être recyclés dans les installations les plus performantes et que l’on puisse tirer parti des économies d’échelle. Toutefois, pour certains types de ferrailles, des obstacles subsistent en raison de systèmes de classification des déchets non harmonisés. L’acte législatif sur l’économie circulaire, annoncé pour le quatrième trimestre de 2026, améliorera encore le fonctionnement des marchés des matières premières de récupération et créera un marché unique des déchets. Dans ce contexte, la Commission examinera aussi s’il y a lieu d’adopter des mesures supplémentaires, telles que des redevances ou des droits à l’exportation, pour favoriser la disponibilité dans l’Union de ferraille produite dans le respect de normes environnementales et sociales élevées et pour prévenir les éventuelles «fuites de ferraille» vers des pays tiers appliquant des normes moins strictes. </w:t>
      </w:r>
    </w:p>
    <w:p w14:paraId="63785771" w14:textId="77777777" w:rsidR="00B86144" w:rsidRDefault="00B86144" w:rsidP="00B86144">
      <w:pPr>
        <w:pStyle w:val="Text1"/>
        <w:spacing w:line="259" w:lineRule="auto"/>
        <w:ind w:left="0"/>
        <w:rPr>
          <w:noProof/>
        </w:rPr>
      </w:pPr>
      <w:r>
        <w:rPr>
          <w:noProof/>
        </w:rPr>
        <w:t xml:space="preserve">L’amélioration du fonctionnement du marché unique pour le secteur des métaux nécessite également d’améliorer </w:t>
      </w:r>
      <w:r>
        <w:rPr>
          <w:b/>
          <w:noProof/>
        </w:rPr>
        <w:t>le rôle de la normalisation</w:t>
      </w:r>
      <w:r>
        <w:rPr>
          <w:noProof/>
        </w:rPr>
        <w:t>. Celle-ci pourrait par exemple faciliter la promotion de l’acier à haute résistance, la réutilisation de l’acier de construction ou la valorisation des sous-produits de l’acier. Les classifications des qualités de ferrailles devraient également être affinées afin de faciliter une meilleure adéquation entre l’offre de matières premières de récupération et la demande dans l’Union.</w:t>
      </w:r>
    </w:p>
    <w:tbl>
      <w:tblPr>
        <w:tblStyle w:val="TableGrid"/>
        <w:tblW w:w="0" w:type="auto"/>
        <w:tblLook w:val="04A0" w:firstRow="1" w:lastRow="0" w:firstColumn="1" w:lastColumn="0" w:noHBand="0" w:noVBand="1"/>
      </w:tblPr>
      <w:tblGrid>
        <w:gridCol w:w="8602"/>
      </w:tblGrid>
      <w:tr w:rsidR="00B86144" w:rsidRPr="00F67C27" w14:paraId="3F0589DB" w14:textId="77777777" w:rsidTr="00FA42D9">
        <w:tc>
          <w:tcPr>
            <w:tcW w:w="8602" w:type="dxa"/>
          </w:tcPr>
          <w:p w14:paraId="1ABF7C05" w14:textId="77777777" w:rsidR="00B86144" w:rsidRPr="00F67C27" w:rsidRDefault="00B86144" w:rsidP="00FA42D9">
            <w:pPr>
              <w:pStyle w:val="Text1"/>
              <w:spacing w:afterAutospacing="1"/>
              <w:ind w:left="0"/>
              <w:rPr>
                <w:noProof/>
              </w:rPr>
            </w:pPr>
            <w:r>
              <w:rPr>
                <w:b/>
                <w:noProof/>
              </w:rPr>
              <w:t>Actions</w:t>
            </w:r>
            <w:r>
              <w:rPr>
                <w:noProof/>
              </w:rPr>
              <w:t>:</w:t>
            </w:r>
          </w:p>
        </w:tc>
      </w:tr>
      <w:tr w:rsidR="00B86144" w:rsidRPr="00F67C27" w14:paraId="0CDD3059" w14:textId="77777777" w:rsidTr="00FA42D9">
        <w:tc>
          <w:tcPr>
            <w:tcW w:w="8602" w:type="dxa"/>
          </w:tcPr>
          <w:p w14:paraId="52867FAF" w14:textId="77777777" w:rsidR="00B86144" w:rsidRPr="00F67C27" w:rsidRDefault="00B86144" w:rsidP="00FA42D9">
            <w:pPr>
              <w:pStyle w:val="Text1"/>
              <w:spacing w:afterAutospacing="1"/>
              <w:ind w:left="720"/>
              <w:rPr>
                <w:noProof/>
              </w:rPr>
            </w:pPr>
            <w:r>
              <w:rPr>
                <w:noProof/>
              </w:rPr>
              <w:t xml:space="preserve">D’ici au troisième trimestre de 2025 au plus tard, la Commission envisagera des mesures commerciales visant à garantir une disponibilité suffisante de ferraille. </w:t>
            </w:r>
          </w:p>
        </w:tc>
      </w:tr>
      <w:tr w:rsidR="00B86144" w:rsidRPr="00F67C27" w14:paraId="077F06F6" w14:textId="77777777" w:rsidTr="00FA42D9">
        <w:tc>
          <w:tcPr>
            <w:tcW w:w="8602" w:type="dxa"/>
          </w:tcPr>
          <w:p w14:paraId="1C947CA8" w14:textId="77777777" w:rsidR="00B86144" w:rsidRPr="00F67C27" w:rsidRDefault="00B86144" w:rsidP="00FA42D9">
            <w:pPr>
              <w:pStyle w:val="Text1"/>
              <w:spacing w:afterAutospacing="1"/>
              <w:ind w:left="720"/>
              <w:rPr>
                <w:noProof/>
              </w:rPr>
            </w:pPr>
            <w:r>
              <w:rPr>
                <w:noProof/>
              </w:rPr>
              <w:t xml:space="preserve">D’ici au quatrième trimestre de 2026, la Commission présentera l’étude de faisabilité sur les obligations en matière de </w:t>
            </w:r>
            <w:r>
              <w:rPr>
                <w:b/>
                <w:noProof/>
              </w:rPr>
              <w:t>contenu recyclé</w:t>
            </w:r>
            <w:r>
              <w:rPr>
                <w:noProof/>
              </w:rPr>
              <w:t xml:space="preserve"> pour l’acier et l’aluminium dans le cadre du </w:t>
            </w:r>
            <w:r>
              <w:rPr>
                <w:b/>
                <w:noProof/>
              </w:rPr>
              <w:t>règlement sur les véhicules hors d’usage</w:t>
            </w:r>
            <w:r>
              <w:rPr>
                <w:noProof/>
              </w:rPr>
              <w:t>.</w:t>
            </w:r>
          </w:p>
        </w:tc>
      </w:tr>
      <w:tr w:rsidR="00B86144" w:rsidRPr="00F67C27" w14:paraId="7B2E3C58" w14:textId="77777777" w:rsidTr="00FA42D9">
        <w:tc>
          <w:tcPr>
            <w:tcW w:w="8602" w:type="dxa"/>
          </w:tcPr>
          <w:p w14:paraId="2F3ABB3F" w14:textId="77777777" w:rsidR="00B86144" w:rsidRPr="00F67C27" w:rsidRDefault="00B86144" w:rsidP="00FA42D9">
            <w:pPr>
              <w:pStyle w:val="Text1"/>
              <w:spacing w:afterAutospacing="1"/>
              <w:ind w:left="720"/>
              <w:rPr>
                <w:noProof/>
              </w:rPr>
            </w:pPr>
            <w:r>
              <w:rPr>
                <w:noProof/>
              </w:rPr>
              <w:t xml:space="preserve">D’ici au quatrième trimestre de 2026, la Commission préparera l’instauration d’obligations en matière de </w:t>
            </w:r>
            <w:r>
              <w:rPr>
                <w:b/>
                <w:noProof/>
              </w:rPr>
              <w:t>contenu recyclé</w:t>
            </w:r>
            <w:r>
              <w:rPr>
                <w:noProof/>
              </w:rPr>
              <w:t xml:space="preserve"> pour l’aluminium dans les </w:t>
            </w:r>
            <w:r>
              <w:rPr>
                <w:b/>
                <w:noProof/>
              </w:rPr>
              <w:t>produits de construction</w:t>
            </w:r>
            <w:r>
              <w:rPr>
                <w:noProof/>
              </w:rPr>
              <w:t xml:space="preserve"> concernés et améliorera le marché des matières premières de récupération dans l’Union dans le cadre de l’acte législatif sur l’économie circulaire.</w:t>
            </w:r>
          </w:p>
        </w:tc>
      </w:tr>
      <w:tr w:rsidR="00B86144" w:rsidRPr="00F67C27" w14:paraId="7524AC28" w14:textId="77777777" w:rsidTr="00FA42D9">
        <w:tc>
          <w:tcPr>
            <w:tcW w:w="8602" w:type="dxa"/>
          </w:tcPr>
          <w:p w14:paraId="37CE01B7" w14:textId="77777777" w:rsidR="00B86144" w:rsidRPr="06746406" w:rsidRDefault="00B86144" w:rsidP="00FA42D9">
            <w:pPr>
              <w:pStyle w:val="Text1"/>
              <w:spacing w:afterAutospacing="1"/>
              <w:ind w:left="720"/>
              <w:rPr>
                <w:noProof/>
              </w:rPr>
            </w:pPr>
            <w:r>
              <w:rPr>
                <w:noProof/>
              </w:rPr>
              <w:t xml:space="preserve">D’ici au quatrième trimestre de 2026, la Commission proposera un </w:t>
            </w:r>
            <w:r>
              <w:rPr>
                <w:b/>
                <w:noProof/>
              </w:rPr>
              <w:t>acte législatif sur l’économie circulaire</w:t>
            </w:r>
            <w:r>
              <w:rPr>
                <w:noProof/>
              </w:rPr>
              <w:t xml:space="preserve"> pour améliorer encore le fonctionnement des marchés des matières premières de récupération et créer un marché unique des déchets.</w:t>
            </w:r>
          </w:p>
        </w:tc>
      </w:tr>
      <w:tr w:rsidR="00B86144" w:rsidRPr="00F67C27" w14:paraId="24CF215B" w14:textId="77777777" w:rsidTr="00FA42D9">
        <w:tc>
          <w:tcPr>
            <w:tcW w:w="8602" w:type="dxa"/>
          </w:tcPr>
          <w:p w14:paraId="1AED8334" w14:textId="77777777" w:rsidR="00B86144" w:rsidRPr="00F67C27" w:rsidRDefault="00B86144" w:rsidP="00FA42D9">
            <w:pPr>
              <w:pStyle w:val="Text1"/>
              <w:spacing w:afterAutospacing="1"/>
              <w:ind w:left="720"/>
              <w:rPr>
                <w:noProof/>
              </w:rPr>
            </w:pPr>
            <w:r>
              <w:rPr>
                <w:noProof/>
              </w:rPr>
              <w:t xml:space="preserve">La Commission évaluera dans quelle mesure il est envisageable de prévoir des </w:t>
            </w:r>
            <w:r>
              <w:rPr>
                <w:b/>
                <w:noProof/>
              </w:rPr>
              <w:t>exigences en matière de recyclabilité et/ou de contenu recyclé</w:t>
            </w:r>
            <w:r>
              <w:rPr>
                <w:noProof/>
              </w:rPr>
              <w:t xml:space="preserve"> pour l’acier, l’aluminium et le cuivre dans des produits spécifiques dans le cadre du règlement sur l’écoconception pour des produits durables.</w:t>
            </w:r>
          </w:p>
        </w:tc>
      </w:tr>
    </w:tbl>
    <w:p w14:paraId="393F7421" w14:textId="77777777" w:rsidR="00B86144" w:rsidRDefault="00B86144" w:rsidP="00B86144">
      <w:pPr>
        <w:pStyle w:val="Heading1"/>
        <w:spacing w:before="0"/>
        <w:rPr>
          <w:noProof/>
        </w:rPr>
      </w:pPr>
      <w:r>
        <w:rPr>
          <w:noProof/>
        </w:rPr>
        <w:t xml:space="preserve">Défendre des emplois de qualité dans l’industrie </w:t>
      </w:r>
    </w:p>
    <w:p w14:paraId="5256E82F" w14:textId="77777777" w:rsidR="00B86144" w:rsidRDefault="00B86144" w:rsidP="00B86144">
      <w:pPr>
        <w:rPr>
          <w:noProof/>
        </w:rPr>
      </w:pPr>
      <w:r>
        <w:rPr>
          <w:noProof/>
        </w:rPr>
        <w:t xml:space="preserve">Avec le présent plan d’action, la Commission européenne mobilise tous ses outils au service d’un secteur de l’acier et des métaux fort, prospère et résilient, garantissant la viabilité à long terme de ce secteur et la prospérité de sa main-d’œuvre. Cette mobilisation vise à promouvoir et à préserver des emplois de qualité dans l’industrie, avec une rémunération décente, des conditions de travail transparentes et prévisibles et des normes de santé et de sécurité élevées. </w:t>
      </w:r>
    </w:p>
    <w:p w14:paraId="6B1636E0" w14:textId="77777777" w:rsidR="00B86144" w:rsidRDefault="00B86144" w:rsidP="00B86144">
      <w:pPr>
        <w:rPr>
          <w:noProof/>
        </w:rPr>
      </w:pPr>
      <w:r>
        <w:rPr>
          <w:noProof/>
        </w:rPr>
        <w:t xml:space="preserve">L’Europe jouit d’une longue tradition de production sidérurgique, et les travailleurs du secteur sidérurgique ont joué un rôle clé dans la création de l’industrie manufacturière européenne. Pour préserver la compétitivité et la haute valeur sociale du secteur, il est essentiel de préserver ces emplois de qualité hautement qualifiés qui offrent une rémunération décente, de solides protections pour les travailleurs et des normes de santé et de sécurité élevées.  </w:t>
      </w:r>
    </w:p>
    <w:p w14:paraId="4E442D7B" w14:textId="77777777" w:rsidR="00B86144" w:rsidRDefault="00B86144" w:rsidP="00B86144">
      <w:pPr>
        <w:rPr>
          <w:noProof/>
        </w:rPr>
      </w:pPr>
      <w:r>
        <w:rPr>
          <w:noProof/>
        </w:rPr>
        <w:t xml:space="preserve">Il est primordial de faire respecter la législation de l’Union relative aux droits des travailleurs, en particulier en ce qui concerne l’information et la consultation des travailleurs, d’autant plus que le secteur de l’acier connaît une profonde mutation du fait des transitions écologique et numérique. Il est essentiel de soutenir et de renforcer en permanence le </w:t>
      </w:r>
      <w:r>
        <w:rPr>
          <w:b/>
          <w:noProof/>
        </w:rPr>
        <w:t>dialogue social</w:t>
      </w:r>
      <w:r>
        <w:rPr>
          <w:noProof/>
        </w:rPr>
        <w:t xml:space="preserve"> pour gérer efficacement la transition, en veillant à ce que les syndicats et les organisations patronales jouent un rôle central, en favorisant une prise de décision inclusive et en garantissant un avenir équitable et durable tant pour les travailleurs que pour l’industrie. </w:t>
      </w:r>
    </w:p>
    <w:p w14:paraId="28919623" w14:textId="77777777" w:rsidR="00B86144" w:rsidRDefault="00B86144" w:rsidP="00B86144">
      <w:pPr>
        <w:rPr>
          <w:noProof/>
        </w:rPr>
      </w:pPr>
      <w:r>
        <w:rPr>
          <w:noProof/>
        </w:rPr>
        <w:t xml:space="preserve">De plus, </w:t>
      </w:r>
      <w:r>
        <w:rPr>
          <w:b/>
          <w:bCs/>
          <w:noProof/>
        </w:rPr>
        <w:t>les politiques actives du marché du travail devraient elles aussi jouer un rôle crucial pour assurer une transition juste</w:t>
      </w:r>
      <w:r>
        <w:rPr>
          <w:noProof/>
        </w:rPr>
        <w:t>, en dotant les travailleurs des compétences recherchées par les industries émergentes, en facilitant les transitions d’un emploi à l’autre grâce à des services ciblés de reconversion et de placement et en encourageant l’entrepreneuriat, en particulier auprès des jeunes travailleurs, des femmes, des travailleurs âgés et des travailleurs provenant des régions sous-représentées. La Commission a récemment présenté l’</w:t>
      </w:r>
      <w:r>
        <w:rPr>
          <w:b/>
          <w:noProof/>
        </w:rPr>
        <w:t>union des compétences</w:t>
      </w:r>
      <w:r>
        <w:rPr>
          <w:noProof/>
        </w:rPr>
        <w:t>, qui a pour objectif de développer des compétences pour des emplois de qualité, d’encourager le perfectionnement et la reconversion professionnels de la main-d’œuvre à mesure que les exigences en matière d’emploi évoluent et de faire circuler les compétences dans l’ensemble de l’Union. Le pacte pour les compétences, en particulier le partenariat à grande échelle pour les industries à forte intensité énergétique (dont la sidérurgie et la métallurgie)</w:t>
      </w:r>
      <w:r w:rsidRPr="00AD7603">
        <w:rPr>
          <w:rStyle w:val="FootnoteReference"/>
          <w:noProof/>
        </w:rPr>
        <w:footnoteReference w:id="33"/>
      </w:r>
      <w:r>
        <w:rPr>
          <w:noProof/>
        </w:rPr>
        <w:t>, présentera aussi un intérêt dans ce contexte.</w:t>
      </w:r>
    </w:p>
    <w:p w14:paraId="74397702" w14:textId="77777777" w:rsidR="00B86144" w:rsidRDefault="00B86144" w:rsidP="00B86144">
      <w:pPr>
        <w:rPr>
          <w:noProof/>
        </w:rPr>
      </w:pPr>
      <w:r>
        <w:rPr>
          <w:noProof/>
        </w:rPr>
        <w:t xml:space="preserve">En outre, afin d’apporter un meilleur soutien aux travailleurs touchés par les transitions, et comme déjà annoncé dans le plan d’action en faveur du secteur automobile, la Commission proposera, au printemps 2025, une </w:t>
      </w:r>
      <w:r>
        <w:rPr>
          <w:b/>
          <w:noProof/>
        </w:rPr>
        <w:t>modification ciblée du règlement relatif au Fonds européen d’ajustement à la mondialisation</w:t>
      </w:r>
      <w:r>
        <w:rPr>
          <w:noProof/>
        </w:rPr>
        <w:t xml:space="preserve"> afin que le soutien offert par le Fonds puisse être étendu aux entreprises en phase de restructuration dans le but de protéger les travailleurs contre le risque de chômage. Par ailleurs, afin d’aider les États membres et les partenaires sectoriels à exploiter encore mieux les possibilités offertes par le Fonds social européen plus, la Commission dialoguera activement avec eux pour attirer leur attention sur les possibilités offertes par ce Fonds et mettre les acteurs en relation. </w:t>
      </w:r>
    </w:p>
    <w:p w14:paraId="5B976DB4" w14:textId="77777777" w:rsidR="00B86144" w:rsidRDefault="00B86144" w:rsidP="00B86144">
      <w:pPr>
        <w:rPr>
          <w:noProof/>
        </w:rPr>
      </w:pPr>
      <w:bookmarkStart w:id="5" w:name="_Hlk192923062"/>
      <w:r>
        <w:rPr>
          <w:noProof/>
        </w:rPr>
        <w:t xml:space="preserve">Plus généralement, la Commission européenne continuera à soutenir les partenaires sociaux afin d’assurer </w:t>
      </w:r>
      <w:r>
        <w:rPr>
          <w:b/>
          <w:noProof/>
        </w:rPr>
        <w:t>une transition juste et équitable</w:t>
      </w:r>
      <w:r>
        <w:rPr>
          <w:noProof/>
        </w:rPr>
        <w:t xml:space="preserve"> des secteurs de l’acier et des métaux, en particulier dans les régions les plus touchées, en s’appuyant sur les enseignements déjà tirés et sur le succès du Fonds pour une transition juste. Elle doit à cet effet adopter une approche globale, souple et intégrée pour aider les travailleurs, leurs familles et leurs communautés et veiller à ce qu’aucun travailleur ni aucune région de l’Union ne soient laissés pour compte, ce qui est une condition indispensable pour que le grand public soutienne la transition propre. </w:t>
      </w:r>
    </w:p>
    <w:bookmarkEnd w:id="5"/>
    <w:p w14:paraId="5B587478" w14:textId="77777777" w:rsidR="00B86144" w:rsidRDefault="00B86144" w:rsidP="00B86144">
      <w:pPr>
        <w:rPr>
          <w:noProof/>
        </w:rPr>
      </w:pPr>
      <w:r>
        <w:rPr>
          <w:b/>
          <w:noProof/>
        </w:rPr>
        <w:t>L’Observatoire européen de la transition équitable et la feuille de route pour des emplois de qualité</w:t>
      </w:r>
      <w:r>
        <w:rPr>
          <w:noProof/>
        </w:rPr>
        <w:t xml:space="preserve"> annoncés dans le pacte pour une industrie propre joueront un rôle déterminant dans le suivi des incidences de la transition sur l’emploi. Pour garantir un processus équitable et inclusif, les employeurs doivent intégrer les principes de la transition juste dans tous les projets de transformation industrielle, en préservant les droits des travailleurs et en veillant à maintenir des emplois de qualité pour l’avenir. </w:t>
      </w:r>
    </w:p>
    <w:tbl>
      <w:tblPr>
        <w:tblStyle w:val="TableGrid"/>
        <w:tblW w:w="0" w:type="auto"/>
        <w:tblLook w:val="04A0" w:firstRow="1" w:lastRow="0" w:firstColumn="1" w:lastColumn="0" w:noHBand="0" w:noVBand="1"/>
      </w:tblPr>
      <w:tblGrid>
        <w:gridCol w:w="8602"/>
      </w:tblGrid>
      <w:tr w:rsidR="00B86144" w14:paraId="1F6F962C" w14:textId="77777777" w:rsidTr="00FA42D9">
        <w:trPr>
          <w:trHeight w:val="300"/>
        </w:trPr>
        <w:tc>
          <w:tcPr>
            <w:tcW w:w="8602" w:type="dxa"/>
          </w:tcPr>
          <w:p w14:paraId="6B7916E1" w14:textId="77777777" w:rsidR="00B86144" w:rsidRDefault="00B86144" w:rsidP="00FA42D9">
            <w:pPr>
              <w:spacing w:afterAutospacing="1"/>
              <w:rPr>
                <w:b/>
                <w:bCs/>
                <w:noProof/>
              </w:rPr>
            </w:pPr>
            <w:r>
              <w:rPr>
                <w:b/>
                <w:noProof/>
              </w:rPr>
              <w:t xml:space="preserve">Actions: </w:t>
            </w:r>
          </w:p>
        </w:tc>
      </w:tr>
      <w:tr w:rsidR="00B86144" w14:paraId="4D0FD253" w14:textId="77777777" w:rsidTr="00FA42D9">
        <w:trPr>
          <w:trHeight w:val="300"/>
        </w:trPr>
        <w:tc>
          <w:tcPr>
            <w:tcW w:w="8602" w:type="dxa"/>
          </w:tcPr>
          <w:p w14:paraId="16E0E722" w14:textId="77777777" w:rsidR="00B86144" w:rsidRDefault="00B86144" w:rsidP="00FA42D9">
            <w:pPr>
              <w:pStyle w:val="Text1"/>
              <w:spacing w:afterAutospacing="1"/>
              <w:ind w:left="360"/>
              <w:rPr>
                <w:noProof/>
              </w:rPr>
            </w:pPr>
            <w:r>
              <w:rPr>
                <w:noProof/>
              </w:rPr>
              <w:t xml:space="preserve">Au printemps 2025, modification du </w:t>
            </w:r>
            <w:r>
              <w:rPr>
                <w:b/>
                <w:noProof/>
              </w:rPr>
              <w:t>règlement relatif au Fonds européen d’ajustement à la mondialisation</w:t>
            </w:r>
            <w:r>
              <w:rPr>
                <w:noProof/>
              </w:rPr>
              <w:t>.</w:t>
            </w:r>
          </w:p>
        </w:tc>
      </w:tr>
      <w:tr w:rsidR="00B86144" w14:paraId="14436B34" w14:textId="77777777" w:rsidTr="00FA42D9">
        <w:trPr>
          <w:trHeight w:val="300"/>
        </w:trPr>
        <w:tc>
          <w:tcPr>
            <w:tcW w:w="8602" w:type="dxa"/>
          </w:tcPr>
          <w:p w14:paraId="7304A539" w14:textId="77777777" w:rsidR="00B86144" w:rsidRDefault="00B86144" w:rsidP="00FA42D9">
            <w:pPr>
              <w:pStyle w:val="Text1"/>
              <w:spacing w:afterAutospacing="1"/>
              <w:ind w:left="360"/>
              <w:rPr>
                <w:noProof/>
              </w:rPr>
            </w:pPr>
            <w:r>
              <w:rPr>
                <w:noProof/>
              </w:rPr>
              <w:t>L’</w:t>
            </w:r>
            <w:r>
              <w:rPr>
                <w:b/>
                <w:bCs/>
                <w:noProof/>
              </w:rPr>
              <w:t>Observatoire européen de la transition équitable</w:t>
            </w:r>
            <w:r>
              <w:rPr>
                <w:noProof/>
              </w:rPr>
              <w:t xml:space="preserve"> assurera le suivi des incidences de la transition sur l’emploi. </w:t>
            </w:r>
          </w:p>
        </w:tc>
      </w:tr>
    </w:tbl>
    <w:p w14:paraId="79746827" w14:textId="77777777" w:rsidR="00B86144" w:rsidRPr="00C419AD" w:rsidRDefault="00B86144" w:rsidP="00B86144">
      <w:pPr>
        <w:pStyle w:val="Heading1"/>
        <w:numPr>
          <w:ilvl w:val="0"/>
          <w:numId w:val="0"/>
        </w:numPr>
        <w:spacing w:before="0"/>
        <w:ind w:left="482"/>
        <w:rPr>
          <w:noProof/>
          <w:lang w:val="fr-BE"/>
        </w:rPr>
      </w:pPr>
    </w:p>
    <w:p w14:paraId="01CC9E34" w14:textId="77777777" w:rsidR="00B86144" w:rsidRPr="00DC53F2" w:rsidRDefault="00B86144" w:rsidP="00B86144">
      <w:pPr>
        <w:pStyle w:val="Heading1"/>
        <w:spacing w:before="0"/>
        <w:rPr>
          <w:noProof/>
        </w:rPr>
      </w:pPr>
      <w:r>
        <w:rPr>
          <w:noProof/>
        </w:rPr>
        <w:t xml:space="preserve">Réduction des risques liés aux projets de décarbonation grâce aux marchés pilotes et au soutien des pouvoirs publics  </w:t>
      </w:r>
    </w:p>
    <w:p w14:paraId="21DDD216" w14:textId="77777777" w:rsidR="00B86144" w:rsidRDefault="00B86144" w:rsidP="00B86144">
      <w:pPr>
        <w:pStyle w:val="Text1"/>
        <w:ind w:left="0"/>
        <w:rPr>
          <w:noProof/>
        </w:rPr>
      </w:pPr>
      <w:r>
        <w:rPr>
          <w:noProof/>
        </w:rPr>
        <w:t xml:space="preserve">De nombreux investissements dans la décarbonation de l’industrie métallurgique ne sont actuellement pas rentables sur le plan économique. Les économies réalisées à court terme sur les coûts du carbone ne contrebalancent généralement pas les dépenses en capital et les dépenses opérationnelles plus élevées, à cause du coût élevé des technologies et des coûts plus élevés des vecteurs énergétiques tels que l’hydrogène renouvelable et bas carbone. Dans un avenir proche, les métaux à faibles émissions de carbone resteront plus chers que les métaux produits de manière conventionnelle. Afin de réduire au minimum les besoins en matière de soutien des pouvoirs publics, il est essentiel que les producteurs de métaux obtiennent une «prime verte». </w:t>
      </w:r>
    </w:p>
    <w:p w14:paraId="55D15B61" w14:textId="77777777" w:rsidR="00B86144" w:rsidRDefault="00B86144" w:rsidP="00B86144">
      <w:pPr>
        <w:pStyle w:val="Text1"/>
        <w:ind w:left="0"/>
        <w:rPr>
          <w:i/>
          <w:iCs/>
          <w:noProof/>
        </w:rPr>
      </w:pPr>
      <w:r>
        <w:rPr>
          <w:i/>
          <w:noProof/>
        </w:rPr>
        <w:t>Travailler sur des marchés pilotes</w:t>
      </w:r>
    </w:p>
    <w:p w14:paraId="5BAB6A5C" w14:textId="77777777" w:rsidR="00B86144" w:rsidRDefault="00B86144" w:rsidP="00B86144">
      <w:pPr>
        <w:pStyle w:val="Text1"/>
        <w:ind w:left="0"/>
        <w:rPr>
          <w:noProof/>
        </w:rPr>
      </w:pPr>
      <w:r>
        <w:rPr>
          <w:b/>
          <w:noProof/>
        </w:rPr>
        <w:t>Les marchés pilotes, tant publics que privés, ouvriront la voie à une adoption plus large des métaux à faibles émissions de carbone appelés à devenir la norme sur les marchés</w:t>
      </w:r>
      <w:r>
        <w:rPr>
          <w:noProof/>
        </w:rPr>
        <w:t xml:space="preserve"> Dans ces segments de marché, notamment ceux où la passation de marchés publics, les subventions ou les incitations réglementaires jouent un rôle dans la configuration du marché, des exigences ou des incitations ciblées créeraient une demande fiable à laquelle des métaux à faibles émissions de carbone produits en Europe permettraient de répondre. </w:t>
      </w:r>
    </w:p>
    <w:p w14:paraId="5A1C2842" w14:textId="77777777" w:rsidR="00B86144" w:rsidRDefault="00B86144" w:rsidP="00B86144">
      <w:pPr>
        <w:pStyle w:val="Text1"/>
        <w:ind w:left="0"/>
        <w:rPr>
          <w:noProof/>
        </w:rPr>
      </w:pPr>
      <w:r>
        <w:rPr>
          <w:noProof/>
        </w:rPr>
        <w:t xml:space="preserve">Comme annoncé dans le pacte pour une industrie propre, </w:t>
      </w:r>
      <w:r>
        <w:rPr>
          <w:b/>
          <w:noProof/>
        </w:rPr>
        <w:t>la Commission proposera, dans le cadre de l’acte législatif visant à accélérer la décarbonation de l’industrie, d’établir des critères de résilience et de durabilité afin de favoriser un approvisionnement européen propre pour les secteurs à forte intensité énergétique</w:t>
      </w:r>
      <w:r>
        <w:rPr>
          <w:noProof/>
        </w:rPr>
        <w:t xml:space="preserve">. Ces critères (par exemple, les critères de produits propres, résilients, circulaires, cybersécurisés) feront croître la demande de produits propres fabriqués dans l’Union, en profitant de l’expérience tirée du règlement pour une industrie «zéro net» pour les technologies propres et en promouvant l’innovation ainsi que les normes environnementales et sociales de l’Union, et garantiront des conditions de concurrence équitables. Cela permettrait d’élargir l’application de critères autres que le prix au budget de l’Union, aux programmes d’aide nationaux ainsi qu’aux marchés publics (et, dans certaines circonstances, privés), ce qui profiterait aux industries à forte intensité énergétique. Les industries de l’acier et des métaux, ainsi que leurs industries en aval (automobile, construction, machines), feront partie des secteurs d’application envisagés; de plus, la compétitivité de l’ensemble des chaînes d’approvisionnement sera évaluée lors de la conception des programmes de soutien de l’Union et des États membres. </w:t>
      </w:r>
    </w:p>
    <w:p w14:paraId="054147D8" w14:textId="77777777" w:rsidR="00B86144" w:rsidRDefault="00B86144" w:rsidP="00B86144">
      <w:pPr>
        <w:pStyle w:val="Text1"/>
        <w:ind w:left="0"/>
        <w:rPr>
          <w:noProof/>
          <w:color w:val="000000" w:themeColor="text1"/>
        </w:rPr>
      </w:pPr>
      <w:r>
        <w:rPr>
          <w:noProof/>
        </w:rPr>
        <w:t xml:space="preserve">Afin de permettre aux industries investissant dans la décarbonation de profiter des avantages de la «prime verte», l’acte législatif visant à accélérer la décarbonation de l’industrie </w:t>
      </w:r>
      <w:r>
        <w:rPr>
          <w:b/>
          <w:noProof/>
        </w:rPr>
        <w:t>créera un étiquetage facultatif indiquant l’intensité de carbone des produits industriels</w:t>
      </w:r>
      <w:r>
        <w:rPr>
          <w:noProof/>
        </w:rPr>
        <w:t>, tout en évitant les doubles emplois, sur la base d’une méthode simple utilisant les données du SEQE et reposant sur la méthode du MACF.</w:t>
      </w:r>
      <w:r>
        <w:rPr>
          <w:noProof/>
          <w:color w:val="000000"/>
        </w:rPr>
        <w:t xml:space="preserve"> Cela devrait servir de base à une participation renforcée aux travaux internationaux sur la mesure de l’intensité de carbone. Pour accélérer les choses, la Commission commencera par l’acier en 2025. </w:t>
      </w:r>
      <w:r>
        <w:rPr>
          <w:noProof/>
        </w:rPr>
        <w:t>Elle se fondera sur les rapports existants de l’industrie ou, le cas échéant, sur une méthode commune.</w:t>
      </w:r>
    </w:p>
    <w:p w14:paraId="346DD11B" w14:textId="77777777" w:rsidR="00B86144" w:rsidRDefault="00B86144" w:rsidP="00B86144">
      <w:pPr>
        <w:pStyle w:val="Text1"/>
        <w:ind w:left="0"/>
        <w:rPr>
          <w:bCs/>
          <w:noProof/>
          <w:color w:val="000000"/>
          <w:kern w:val="2"/>
          <w:szCs w:val="24"/>
          <w14:ligatures w14:val="standardContextual"/>
        </w:rPr>
      </w:pPr>
      <w:r>
        <w:rPr>
          <w:noProof/>
          <w:color w:val="000000" w:themeColor="text1"/>
        </w:rPr>
        <w:t>En parallèle, la Commission continuera à travailler à l’élaboration d’</w:t>
      </w:r>
      <w:r>
        <w:rPr>
          <w:b/>
          <w:bCs/>
          <w:noProof/>
          <w:color w:val="000000" w:themeColor="text1"/>
        </w:rPr>
        <w:t>analyses complètes du cycle de vie afin d’améliorer la durabilité des produits</w:t>
      </w:r>
      <w:r>
        <w:rPr>
          <w:noProof/>
          <w:color w:val="000000" w:themeColor="text1"/>
        </w:rPr>
        <w:t xml:space="preserve">. </w:t>
      </w:r>
      <w:r>
        <w:rPr>
          <w:noProof/>
        </w:rPr>
        <w:t>En ce qui concerne l’acier, le règlement sur l’écoconception pour des produits durables complétera l’étiquetage qui sera mis en place par l’acte législatif visant à accélérer la décarbonation de l’industrie en instaurant des exigences applicables aux produits à forte teneur en acier et en ajoutant au critère de l’empreinte carbone d’autres critères environnementaux pertinents.</w:t>
      </w:r>
      <w:r>
        <w:rPr>
          <w:noProof/>
          <w:color w:val="000000" w:themeColor="text1"/>
        </w:rPr>
        <w:t xml:space="preserve"> </w:t>
      </w:r>
      <w:r>
        <w:rPr>
          <w:noProof/>
        </w:rPr>
        <w:t>Les consommateurs pourraient ainsi connaître l’empreinte environnementale des produits concernés.</w:t>
      </w:r>
    </w:p>
    <w:p w14:paraId="73FBD604" w14:textId="77777777" w:rsidR="00B86144" w:rsidRPr="006D6F84" w:rsidRDefault="00B86144" w:rsidP="00B86144">
      <w:pPr>
        <w:pStyle w:val="Text1"/>
        <w:ind w:left="0" w:firstLine="720"/>
        <w:rPr>
          <w:i/>
          <w:iCs/>
          <w:noProof/>
        </w:rPr>
      </w:pPr>
      <w:r>
        <w:rPr>
          <w:i/>
          <w:noProof/>
        </w:rPr>
        <w:t>Réduction des risques liés à des projets aux coûts d’investissement élevés</w:t>
      </w:r>
    </w:p>
    <w:p w14:paraId="1F4E5629" w14:textId="77777777" w:rsidR="00B86144" w:rsidRPr="00661AD2" w:rsidRDefault="00B86144" w:rsidP="00B86144">
      <w:pPr>
        <w:pStyle w:val="Text1"/>
        <w:spacing w:line="259" w:lineRule="auto"/>
        <w:ind w:left="0"/>
        <w:rPr>
          <w:noProof/>
        </w:rPr>
      </w:pPr>
      <w:r>
        <w:rPr>
          <w:noProof/>
        </w:rPr>
        <w:t xml:space="preserve">Agir sur tous les obstacles évoqués ci-dessus contribuera déjà à rendre les arguments en faveur de ce modèle économique plus convaincants. Toutefois, un soutien tant public que privé aux investissements est nécessaire pour assurer la transition, stimuler la compétitivité et garantir la résilience de la chaîne de valeur. Ce soutien est nécessaire pour remédier à l’effet ciseaux lié à la surcapacité mondiale souvent provoquée par des pratiques commerciales déloyales et à des coûts de l’énergie plus élevés que chez la plupart des concurrents internationaux. Dans certains cas, comme pour le nickel, les fluctuations de prix induites par l’influence de concurrents géopolitiques constituent une menace pour la sécurité des investissements. Afin d’empêcher cela et de faire en sorte que l’industrie européenne bénéficie de matières premières critiques produites de manière durable, nous poursuivrons la mise en œuvre des dispositions pertinentes du règlement sur les matières premières critiques et travaillerons en étroite collaboration avec les pays tiers partenaires pour mettre en œuvre le pilier relatif aux critères environnementaux, sociaux et de gouvernance (ESG) prévu dans nos partenariats stratégiques sur les chaînes de valeur des matières premières. Nous continuerons à participer, dans les enceintes internationales telles que le G7, aux travaux communs sur la promotion des normes de sécurité économique pour les matières premières critiques, et le nickel en particulier. </w:t>
      </w:r>
    </w:p>
    <w:p w14:paraId="1B4C1C5E" w14:textId="77777777" w:rsidR="00B86144" w:rsidRDefault="00B86144" w:rsidP="00B86144">
      <w:pPr>
        <w:pStyle w:val="Text1"/>
        <w:ind w:left="0"/>
        <w:rPr>
          <w:noProof/>
        </w:rPr>
      </w:pPr>
      <w:r>
        <w:rPr>
          <w:b/>
          <w:noProof/>
        </w:rPr>
        <w:t>Les coûts d’investissement élevés s’accompagnent souvent de coûts d’exploitation nettement plus élevés dans le cas des processus de production à faibles émissions de carbone et les énergies propres</w:t>
      </w:r>
      <w:r>
        <w:rPr>
          <w:noProof/>
        </w:rPr>
        <w:t>. Selon les estimations du secteur, les besoins financiers annuels pour décarboner l’industrie de l’acier sont estimés à 5,2 milliards d’EUR pour les dépenses en capital et à 9 milliards d’EUR pour les dépenses opérationnelles jusqu’en 2030</w:t>
      </w:r>
      <w:r w:rsidRPr="005A6CD5">
        <w:rPr>
          <w:rStyle w:val="FootnoteReference"/>
          <w:noProof/>
          <w:lang w:val="en-IE"/>
        </w:rPr>
        <w:footnoteReference w:id="34"/>
      </w:r>
      <w:r>
        <w:rPr>
          <w:noProof/>
        </w:rPr>
        <w:t>. Pour les métaux non ferreux, l’industrie de l’aluminium estime les besoins d’investissement annuels pour décarboner le secteur à environ 1,3 milliard d’EUR jusqu’en 2050, tandis que pour le cuivre, l’estimation s’élève à environ 211,5 millions d’EUR jusqu’en 2050. La plupart de ces projets ne sont probablement pas faisables économiquement dans l’environnement actuel et nécessiteraient un financement public pour surmonter les externalités technologiques et environnementales.</w:t>
      </w:r>
    </w:p>
    <w:p w14:paraId="51E901D6" w14:textId="77777777" w:rsidR="00B86144" w:rsidRPr="00DD4BD5" w:rsidRDefault="00B86144" w:rsidP="00B86144">
      <w:pPr>
        <w:rPr>
          <w:noProof/>
        </w:rPr>
      </w:pPr>
      <w:r>
        <w:rPr>
          <w:b/>
          <w:noProof/>
        </w:rPr>
        <w:t>L’Union a déjà apporté un soutien assez actif à de tels projets.</w:t>
      </w:r>
      <w:r>
        <w:rPr>
          <w:noProof/>
        </w:rPr>
        <w:t xml:space="preserve"> D’octobre 2022 à février 2025, la Commission a autorisé des aides d’État d’un montant de près de 9 milliards d’EUR en faveur de dix projets de décarbonation de l’acier. Plusieurs projets de décarbonation de l’acier ont également bénéficié d’un soutien du Fonds pour l’innovation de l’Union. D’autres projets ont reçu un soutien au titre de régimes d’aide à la décarbonation s’adressant à tous les secteurs à forte intensité énergétique. La Commission a autorisé un certain nombre de ces régimes d’aide à la décarbonation de l’industrie, y compris sous forme de contrats d’écart compensatoire appliqués au carbone</w:t>
      </w:r>
      <w:r>
        <w:rPr>
          <w:rStyle w:val="FootnoteReference"/>
          <w:noProof/>
        </w:rPr>
        <w:footnoteReference w:id="35"/>
      </w:r>
      <w:r>
        <w:rPr>
          <w:noProof/>
        </w:rPr>
        <w:t>, pour plusieurs États membres, et elle fournira des orientations sur la meilleure manière de structurer ce type de régimes d’aide dans le respect des règles en matière d’aides d’État. Elle a par exemple récemment autorisé deux régimes slovaques dotés d’un budget total de 1,1 milliard d’EUR, un régime italien de 550 millions d’EUR, un régime allemand de 4 milliards d’EUR, un régime français de 3 milliards d’EUR, un régime autrichien de 2,7 milliards d’EUR et un régime tchèque de 2,5 milliards d’EUR, qui profiteront ou pourront profiter aussi à l’industrie de l’acier. L’Union a aussi financé d’autres projets</w:t>
      </w:r>
      <w:r>
        <w:rPr>
          <w:rStyle w:val="FootnoteReference"/>
          <w:noProof/>
        </w:rPr>
        <w:footnoteReference w:id="36"/>
      </w:r>
      <w:r>
        <w:rPr>
          <w:noProof/>
        </w:rPr>
        <w:t>, notamment en vue d’une utilisation plus efficiente des matières premières et de l’énergie.</w:t>
      </w:r>
    </w:p>
    <w:p w14:paraId="72F857B7" w14:textId="77777777" w:rsidR="00B86144" w:rsidRDefault="00B86144" w:rsidP="00B86144">
      <w:pPr>
        <w:pStyle w:val="Text1"/>
        <w:ind w:left="0"/>
        <w:rPr>
          <w:noProof/>
        </w:rPr>
      </w:pPr>
      <w:r>
        <w:rPr>
          <w:noProof/>
        </w:rPr>
        <w:t xml:space="preserve">Pour attirer davantage de financements privés, il sera nécessaire d’accorder des soutiens publics supplémentaires, du stade de l’innovation aux stades de l’expansion et du déploiement, tout en maintenant des conditions de concurrence équitables dans l’ensemble du marché unique. </w:t>
      </w:r>
    </w:p>
    <w:p w14:paraId="3C49F3AD" w14:textId="77777777" w:rsidR="00B86144" w:rsidRDefault="00B86144" w:rsidP="00B86144">
      <w:pPr>
        <w:pStyle w:val="Text1"/>
        <w:ind w:left="0"/>
        <w:rPr>
          <w:noProof/>
        </w:rPr>
      </w:pPr>
      <w:r>
        <w:rPr>
          <w:b/>
          <w:noProof/>
        </w:rPr>
        <w:t>Au stade de l’innovation</w:t>
      </w:r>
      <w:r>
        <w:rPr>
          <w:noProof/>
        </w:rPr>
        <w:t xml:space="preserve">, le Fonds de recherche du charbon et de l’acier (FRCA) fournit un financement considérable au secteur de l’acier, en soutenant la transition vers un acier propre et la décarbonation industrielle globale du secteur. La Commission lancera des initiatives phares qui devraient mobiliser 150 millions d’EUR en 2026 et 2027 et pourraient aussi contribuer à renforcer l’apport du secteur à la recherche en faveur de la défense européenne. La Commission proposera en outre une </w:t>
      </w:r>
      <w:r>
        <w:rPr>
          <w:b/>
          <w:bCs/>
          <w:noProof/>
        </w:rPr>
        <w:t>réforme</w:t>
      </w:r>
      <w:r>
        <w:rPr>
          <w:noProof/>
        </w:rPr>
        <w:t xml:space="preserve"> globale du </w:t>
      </w:r>
      <w:r>
        <w:rPr>
          <w:b/>
          <w:bCs/>
          <w:noProof/>
        </w:rPr>
        <w:t>Fonds de recherche du charbon et de l’acier</w:t>
      </w:r>
      <w:r>
        <w:rPr>
          <w:noProof/>
        </w:rPr>
        <w:t xml:space="preserve"> afin de simplifier et d’accélérer encore les investissements dans la recherche dans le domaine de l’acier, y compris la recherche relative à des applications de défense.</w:t>
      </w:r>
    </w:p>
    <w:p w14:paraId="7C1618C6" w14:textId="77777777" w:rsidR="00B86144" w:rsidRDefault="00B86144" w:rsidP="00B86144">
      <w:pPr>
        <w:pStyle w:val="Text1"/>
        <w:ind w:left="0"/>
        <w:rPr>
          <w:noProof/>
        </w:rPr>
      </w:pPr>
      <w:r>
        <w:rPr>
          <w:noProof/>
        </w:rPr>
        <w:t xml:space="preserve">De plus, comme annoncé dans le pacte pour une industrie propre, un appel phare sera lancé au titre d’Horizon Europe et sera doté d’un montant d’environ 600 millions d’EUR, dans le cadre du programme de travail 2026-2027, qui servira à financer des projets prêts à être exécutés, y compris dans l’industrie sidérurgique et métallurgique. </w:t>
      </w:r>
    </w:p>
    <w:p w14:paraId="76C15777" w14:textId="77777777" w:rsidR="00B86144" w:rsidRDefault="00B86144" w:rsidP="00B86144">
      <w:pPr>
        <w:pStyle w:val="Text1"/>
        <w:ind w:left="0"/>
        <w:rPr>
          <w:noProof/>
        </w:rPr>
      </w:pPr>
      <w:r>
        <w:rPr>
          <w:noProof/>
        </w:rPr>
        <w:t xml:space="preserve">Cet appel permettra de compléter les travaux de recherche en cours sur la décarbonation financés au titre d’Horizon Europe, y compris sur les technologies de recyclage destinées à améliorer la circularité des métaux au sein de l’Union. </w:t>
      </w:r>
    </w:p>
    <w:p w14:paraId="72457407" w14:textId="77777777" w:rsidR="00B86144" w:rsidRPr="00BB4F68" w:rsidRDefault="00B86144" w:rsidP="00B86144">
      <w:pPr>
        <w:pStyle w:val="Text1"/>
        <w:ind w:left="0"/>
        <w:rPr>
          <w:noProof/>
        </w:rPr>
      </w:pPr>
      <w:r>
        <w:rPr>
          <w:noProof/>
        </w:rPr>
        <w:t xml:space="preserve">Le </w:t>
      </w:r>
      <w:r>
        <w:rPr>
          <w:b/>
          <w:noProof/>
        </w:rPr>
        <w:t>centre européen d’innovation pour la transformation et les émissions industrielles</w:t>
      </w:r>
      <w:r>
        <w:rPr>
          <w:noProof/>
        </w:rPr>
        <w:t xml:space="preserve"> (Incite), établi en vertu de la directive de l’Union relative aux émissions industrielles, accélérera l’adoption de technologies vertes pour la transformation industrielle. Les conclusions du centre Incite serviront à optimiser le soutien financier et les décisions d’investissement des pouvoirs publics, du secteur financier et des investisseurs privés.</w:t>
      </w:r>
    </w:p>
    <w:p w14:paraId="6D811DDC" w14:textId="77777777" w:rsidR="00B86144" w:rsidRDefault="00B86144" w:rsidP="00B86144">
      <w:pPr>
        <w:pStyle w:val="Text1"/>
        <w:ind w:left="0"/>
        <w:rPr>
          <w:noProof/>
        </w:rPr>
      </w:pPr>
      <w:r>
        <w:rPr>
          <w:b/>
          <w:noProof/>
        </w:rPr>
        <w:t>Pour le stade de l’expansion, la Commission a annoncé la création, au titre du pacte pour une industrie propre, d’une Banque pour la décarbonation de l’industrie</w:t>
      </w:r>
      <w:r>
        <w:rPr>
          <w:noProof/>
        </w:rPr>
        <w:t xml:space="preserve">, qui vise à mobiliser 100 milliards d’EUR de financement, sur la base des fonds disponibles dans le Fonds pour l’innovation, de recettes supplémentaires provenant de certains volets du SEQE ainsi que de la révision du programme InvestEU. La Commission lancera en 2025 une enchère pilote de 1 milliard d’EUR portant sur la décarbonation des principaux processus industriels dans différents secteurs, dont ceux de l’acier et des métaux, afin de soutenir la décarbonation et l’électrification de l’industrie au moyen des ressources existantes au titre du Fonds pour l’innovation. Les États membres sont encouragés à combiner le soutien au titre du Fonds pour l’innovation avec le mécanisme des enchères en tant que service. </w:t>
      </w:r>
    </w:p>
    <w:p w14:paraId="0D6381BA" w14:textId="77777777" w:rsidR="00B86144" w:rsidRDefault="00B86144" w:rsidP="00B86144">
      <w:pPr>
        <w:pStyle w:val="Text1"/>
        <w:ind w:left="0"/>
        <w:rPr>
          <w:noProof/>
        </w:rPr>
      </w:pPr>
      <w:r>
        <w:rPr>
          <w:noProof/>
        </w:rPr>
        <w:t xml:space="preserve">Dans tous les programmes de financement, une attention particulière sera accordée à la simplification des conditions de financement, afin de réduire les efforts et l’expertise nécessaires pour demander un soutien public. Cela permettra aux petites et moyennes entreprises (PME) du secteur d’avoir également accès à ces programmes de financement. </w:t>
      </w:r>
    </w:p>
    <w:p w14:paraId="3D747956" w14:textId="77777777" w:rsidR="00B86144" w:rsidRPr="006D6F84" w:rsidRDefault="00B86144" w:rsidP="00B86144">
      <w:pPr>
        <w:pStyle w:val="Text1"/>
        <w:ind w:left="0"/>
        <w:rPr>
          <w:i/>
          <w:iCs/>
          <w:noProof/>
        </w:rPr>
      </w:pPr>
      <w:r>
        <w:rPr>
          <w:i/>
          <w:noProof/>
        </w:rPr>
        <w:t>Soutenir des projets concrets grâce au règlement sur les matières premières critiques</w:t>
      </w:r>
    </w:p>
    <w:p w14:paraId="385FBDFF" w14:textId="77777777" w:rsidR="00B86144" w:rsidRDefault="00B86144" w:rsidP="00B86144">
      <w:pPr>
        <w:pStyle w:val="Text1"/>
        <w:ind w:left="0"/>
        <w:rPr>
          <w:noProof/>
        </w:rPr>
      </w:pPr>
      <w:r>
        <w:rPr>
          <w:noProof/>
        </w:rPr>
        <w:t xml:space="preserve">L’aluminium, le cuivre et le nickel, ainsi que de nombreux éléments d’alliage de l’acier, sont en même temps des matières premières critiques. Ils bénéficient donc des dispositions du règlement sur les matières premières critiques, qui vise à libérer le potentiel des matières premières de l’Union tout au long des différentes étapes de la chaîne de valeur, à savoir l’exploration, l’extraction, la transformation et le recyclage. En mars 2025, la Commission annoncera </w:t>
      </w:r>
      <w:r>
        <w:rPr>
          <w:b/>
          <w:noProof/>
        </w:rPr>
        <w:t>quelle est la première série de projets stratégiques, y compris pour l’aluminium, le cuivre et le nickel, qui auront été sélectionnés dans les États membres de l’Union et les pays tiers partenaires</w:t>
      </w:r>
      <w:r>
        <w:rPr>
          <w:noProof/>
        </w:rPr>
        <w:t xml:space="preserve">. Ces projets bénéficieront de procédures d’autorisation simplifiées, et la Commission travaillera conjointement avec les États membres et les institutions financières publiques et privées pour veiller à ce que ces projets puissent bénéficier de financements et pour trouver, le cas échéant, des acheteurs. </w:t>
      </w:r>
    </w:p>
    <w:p w14:paraId="4C08ACBD" w14:textId="77777777" w:rsidR="00B86144" w:rsidRDefault="00B86144" w:rsidP="00B86144">
      <w:pPr>
        <w:pStyle w:val="Text1"/>
        <w:ind w:left="0"/>
        <w:rPr>
          <w:noProof/>
        </w:rPr>
      </w:pPr>
      <w:r>
        <w:rPr>
          <w:noProof/>
        </w:rPr>
        <w:t xml:space="preserve">En outre, la Commission s’emploie à accroître la stabilité des marchés des matières premières afin d’éviter les fluctuations excessives des prix qui pourraient mettre en péril les projets européens. La </w:t>
      </w:r>
      <w:r>
        <w:rPr>
          <w:b/>
          <w:noProof/>
        </w:rPr>
        <w:t>plateforme d’agrégation et d’équilibrage de l’offre et de la demande</w:t>
      </w:r>
      <w:r>
        <w:rPr>
          <w:noProof/>
        </w:rPr>
        <w:t xml:space="preserve">, qui sera lancée cette année, pourrait également être bénéfique aux secteurs des métaux de base, en augmentant les débouchés commerciaux et en offrant une sécurité supplémentaire à long terme pour les transactions. </w:t>
      </w:r>
    </w:p>
    <w:p w14:paraId="03D7A4FB" w14:textId="77777777" w:rsidR="00B86144" w:rsidRPr="006D6F84" w:rsidRDefault="00B86144" w:rsidP="00B86144">
      <w:pPr>
        <w:pStyle w:val="Text1"/>
        <w:ind w:left="0"/>
        <w:rPr>
          <w:i/>
          <w:iCs/>
          <w:noProof/>
        </w:rPr>
      </w:pPr>
      <w:r>
        <w:rPr>
          <w:i/>
          <w:noProof/>
        </w:rPr>
        <w:t>Travailler à la simplification de la réglementation</w:t>
      </w:r>
    </w:p>
    <w:p w14:paraId="02E0EE41" w14:textId="77777777" w:rsidR="00B86144" w:rsidRDefault="00B86144" w:rsidP="00B86144">
      <w:pPr>
        <w:pStyle w:val="Text1"/>
        <w:ind w:left="0"/>
        <w:rPr>
          <w:noProof/>
        </w:rPr>
      </w:pPr>
      <w:r>
        <w:rPr>
          <w:noProof/>
        </w:rPr>
        <w:t xml:space="preserve">Par ailleurs, les secteurs de l’acier et des métaux comptent parmi les secteurs industriels les plus réglementés dans l’Union. La charge réglementaire qui pèse sur les entreprises de ces secteurs exerce une forte pression sur leurs ressources, réduisant le temps dont elles disposent pour se consacrer aux objectifs liés à leur activité principale, ceci étant tout particulièrement vrai pour les PME. S’attaquer à cette contrainte est important pour la compétitivité des secteurs de l’acier et des métaux de l’Union. Le 26 février 2025, la Commission a adopté les deux premières nouvelles propositions relevant desdits «trains de mesures omnibus», relatives à des mesures de simplification destinées à alléger les formalités administratives et à simplifier les règles de l’Union. D’autres propositions seront adoptées cette année.   </w:t>
      </w:r>
    </w:p>
    <w:tbl>
      <w:tblPr>
        <w:tblStyle w:val="TableGrid"/>
        <w:tblW w:w="0" w:type="auto"/>
        <w:tblLook w:val="04A0" w:firstRow="1" w:lastRow="0" w:firstColumn="1" w:lastColumn="0" w:noHBand="0" w:noVBand="1"/>
      </w:tblPr>
      <w:tblGrid>
        <w:gridCol w:w="8602"/>
      </w:tblGrid>
      <w:tr w:rsidR="00B86144" w:rsidRPr="00526704" w14:paraId="2B84CC93" w14:textId="77777777" w:rsidTr="00FA42D9">
        <w:tc>
          <w:tcPr>
            <w:tcW w:w="8602" w:type="dxa"/>
          </w:tcPr>
          <w:p w14:paraId="0A20E884" w14:textId="77777777" w:rsidR="00B86144" w:rsidRPr="00526704" w:rsidRDefault="00B86144" w:rsidP="00FA42D9">
            <w:pPr>
              <w:pStyle w:val="Text1"/>
              <w:spacing w:afterAutospacing="1"/>
              <w:ind w:left="0"/>
              <w:rPr>
                <w:noProof/>
              </w:rPr>
            </w:pPr>
            <w:r>
              <w:rPr>
                <w:b/>
                <w:noProof/>
              </w:rPr>
              <w:t>Actions</w:t>
            </w:r>
            <w:r>
              <w:rPr>
                <w:noProof/>
              </w:rPr>
              <w:t>:</w:t>
            </w:r>
          </w:p>
        </w:tc>
      </w:tr>
      <w:tr w:rsidR="00B86144" w:rsidRPr="00526704" w14:paraId="0B6CC73A" w14:textId="77777777" w:rsidTr="00FA42D9">
        <w:tc>
          <w:tcPr>
            <w:tcW w:w="8602" w:type="dxa"/>
          </w:tcPr>
          <w:p w14:paraId="20A8EBDA" w14:textId="77777777" w:rsidR="00B86144" w:rsidRPr="06746406" w:rsidRDefault="00B86144" w:rsidP="00FA42D9">
            <w:pPr>
              <w:pStyle w:val="Text1"/>
              <w:spacing w:afterAutospacing="1" w:line="259" w:lineRule="auto"/>
              <w:ind w:left="720"/>
              <w:rPr>
                <w:noProof/>
              </w:rPr>
            </w:pPr>
            <w:r>
              <w:rPr>
                <w:noProof/>
              </w:rPr>
              <w:t xml:space="preserve">Au quatrième trimestre de 2025, la Commission proposera, au titre de l’acte législatif visant à accélérer la décarbonation de l’industrie, d’établir des critères de </w:t>
            </w:r>
            <w:r>
              <w:rPr>
                <w:b/>
                <w:noProof/>
              </w:rPr>
              <w:t>résilience et de durabilité</w:t>
            </w:r>
            <w:r>
              <w:rPr>
                <w:noProof/>
              </w:rPr>
              <w:t xml:space="preserve"> afin d’accroître la production de produits propres fabriqués dans l’Union.</w:t>
            </w:r>
          </w:p>
        </w:tc>
      </w:tr>
      <w:tr w:rsidR="00B86144" w:rsidRPr="00526704" w14:paraId="61A331FB" w14:textId="77777777" w:rsidTr="00FA42D9">
        <w:trPr>
          <w:trHeight w:val="300"/>
        </w:trPr>
        <w:tc>
          <w:tcPr>
            <w:tcW w:w="8602" w:type="dxa"/>
          </w:tcPr>
          <w:p w14:paraId="6723C0AA" w14:textId="77777777" w:rsidR="00B86144" w:rsidRPr="00890B66" w:rsidRDefault="00B86144" w:rsidP="00FA42D9">
            <w:pPr>
              <w:pStyle w:val="Text1"/>
              <w:spacing w:afterAutospacing="1"/>
              <w:ind w:left="720"/>
              <w:rPr>
                <w:noProof/>
              </w:rPr>
            </w:pPr>
            <w:r>
              <w:rPr>
                <w:noProof/>
              </w:rPr>
              <w:t xml:space="preserve">Au quatrième trimestre de 2025, la Commission proposera une </w:t>
            </w:r>
            <w:r>
              <w:rPr>
                <w:b/>
                <w:noProof/>
              </w:rPr>
              <w:t>réforme du Fonds de recherche du charbon et de l’acier</w:t>
            </w:r>
            <w:r>
              <w:rPr>
                <w:noProof/>
              </w:rPr>
              <w:t>.</w:t>
            </w:r>
          </w:p>
        </w:tc>
      </w:tr>
      <w:tr w:rsidR="00B86144" w:rsidRPr="00526704" w14:paraId="2D080F9A" w14:textId="77777777" w:rsidTr="00FA42D9">
        <w:tc>
          <w:tcPr>
            <w:tcW w:w="8602" w:type="dxa"/>
          </w:tcPr>
          <w:p w14:paraId="4CC141D9" w14:textId="77777777" w:rsidR="00B86144" w:rsidRPr="00526704" w:rsidRDefault="00B86144" w:rsidP="00FA42D9">
            <w:pPr>
              <w:pStyle w:val="Text1"/>
              <w:spacing w:afterAutospacing="1"/>
              <w:ind w:left="720"/>
              <w:rPr>
                <w:noProof/>
              </w:rPr>
            </w:pPr>
            <w:r>
              <w:rPr>
                <w:noProof/>
              </w:rPr>
              <w:t xml:space="preserve">En 2025, dans la perspective de la création de la future Banque pour la décarbonation de l’industrie, la Commission lancera une </w:t>
            </w:r>
            <w:r>
              <w:rPr>
                <w:b/>
                <w:noProof/>
              </w:rPr>
              <w:t>enchère pilote</w:t>
            </w:r>
            <w:r>
              <w:rPr>
                <w:noProof/>
              </w:rPr>
              <w:t xml:space="preserve"> de 1 milliard d’EUR afin de soutenir la décarbonation de l’industrie et l’électrification des principaux processus industriels dans différents secteurs, utilisant à cet effet une combinaison de ressources existantes au titre du Fonds pour l’innovation, ce qui facilitera aussi l’électrification des procédés industriels dans les secteurs de l’acier et des métaux. Les États membres sont encouragés à combiner le soutien au titre du Fonds pour l’innovation avec le mécanisme des enchères en tant que service.</w:t>
            </w:r>
          </w:p>
        </w:tc>
      </w:tr>
      <w:tr w:rsidR="00B86144" w14:paraId="4C6529D6" w14:textId="77777777" w:rsidTr="00FA42D9">
        <w:trPr>
          <w:trHeight w:val="300"/>
        </w:trPr>
        <w:tc>
          <w:tcPr>
            <w:tcW w:w="8602" w:type="dxa"/>
          </w:tcPr>
          <w:p w14:paraId="294B64C2" w14:textId="77777777" w:rsidR="00B86144" w:rsidRDefault="00B86144" w:rsidP="00FA42D9">
            <w:pPr>
              <w:pStyle w:val="Text1"/>
              <w:spacing w:afterAutospacing="1"/>
              <w:ind w:left="720"/>
              <w:rPr>
                <w:noProof/>
              </w:rPr>
            </w:pPr>
            <w:r>
              <w:rPr>
                <w:noProof/>
              </w:rPr>
              <w:t xml:space="preserve">En 2026 et 2027, la Commission lancera des appels à propositions pour des projets phares au titre du </w:t>
            </w:r>
            <w:r>
              <w:rPr>
                <w:b/>
                <w:noProof/>
              </w:rPr>
              <w:t>Fonds de recherche du charbon et de l’acier</w:t>
            </w:r>
            <w:r>
              <w:rPr>
                <w:noProof/>
              </w:rPr>
              <w:t>.</w:t>
            </w:r>
          </w:p>
        </w:tc>
      </w:tr>
    </w:tbl>
    <w:p w14:paraId="6002DBE5" w14:textId="77777777" w:rsidR="00B86144" w:rsidRPr="00F427EC" w:rsidRDefault="00B86144" w:rsidP="00B86144">
      <w:pPr>
        <w:pStyle w:val="Heading1"/>
        <w:numPr>
          <w:ilvl w:val="0"/>
          <w:numId w:val="0"/>
        </w:numPr>
        <w:spacing w:before="0"/>
        <w:ind w:left="482" w:hanging="482"/>
        <w:rPr>
          <w:noProof/>
        </w:rPr>
      </w:pPr>
    </w:p>
    <w:p w14:paraId="68BAC245" w14:textId="77777777" w:rsidR="00B86144" w:rsidRDefault="00B86144" w:rsidP="00B86144">
      <w:pPr>
        <w:pStyle w:val="Heading1"/>
        <w:spacing w:before="0"/>
        <w:rPr>
          <w:noProof/>
        </w:rPr>
      </w:pPr>
      <w:r>
        <w:rPr>
          <w:noProof/>
        </w:rPr>
        <w:t xml:space="preserve">Travailler ensemble à la mise en œuvre d’une transition équitable  </w:t>
      </w:r>
    </w:p>
    <w:p w14:paraId="5FBBC85A" w14:textId="77777777" w:rsidR="00B86144" w:rsidRDefault="00B86144" w:rsidP="00B86144">
      <w:pPr>
        <w:rPr>
          <w:noProof/>
        </w:rPr>
      </w:pPr>
      <w:r>
        <w:rPr>
          <w:noProof/>
        </w:rPr>
        <w:t xml:space="preserve">Relever les défis sociaux ainsi que les défis en matière de compétitivité et de décarbonation auxquels doit faire face l’industrie métallurgique nécessitera une interaction étroite et plus intense de toutes les parties prenantes. La Commission </w:t>
      </w:r>
      <w:r>
        <w:rPr>
          <w:b/>
          <w:noProof/>
        </w:rPr>
        <w:t>suivra</w:t>
      </w:r>
      <w:r>
        <w:rPr>
          <w:noProof/>
        </w:rPr>
        <w:t xml:space="preserve"> en permanence l’évolution de la situation dans ce secteur, surveillera sa résilience et l’avancée de sa décarbonation et verra si d’éventuels ajustements stratégiques sont nécessaires, grâce à des discussions constantes avec les acteurs du secteur, les partenaires sociaux et les colégislateurs. </w:t>
      </w:r>
    </w:p>
    <w:p w14:paraId="42020521" w14:textId="77777777" w:rsidR="00B86144" w:rsidRDefault="00B86144" w:rsidP="00B86144">
      <w:pPr>
        <w:rPr>
          <w:strike/>
          <w:noProof/>
        </w:rPr>
      </w:pPr>
      <w:r>
        <w:rPr>
          <w:b/>
          <w:noProof/>
        </w:rPr>
        <w:t>La mise en œuvre de la trajectoire de transition pour les secteurs métallurgiques</w:t>
      </w:r>
      <w:r>
        <w:rPr>
          <w:noProof/>
        </w:rPr>
        <w:t xml:space="preserve"> sera l’occasion d’un dialogue constant entre l’industrie, les syndicats et les autres parties prenantes. Le mandat du groupe de haut niveau sur les industries à forte intensité énergétique sera renouvelé pour une nouvelle période de quatre ans afin de permettre cette mise en œuvre. Une plateforme de suivi des dernières évolutions relatives à certains aspects liés à la compétitivité et à la décarbonation de l’industrie métallurgique, tels que les coûts de l’énergie, les besoins de compétences et les surcapacités mondiales, sera mise en place.</w:t>
      </w:r>
    </w:p>
    <w:p w14:paraId="22EF81E0" w14:textId="1F7D0F99" w:rsidR="00FB0706" w:rsidRPr="00B86144" w:rsidRDefault="00B86144" w:rsidP="00B86144">
      <w:pPr>
        <w:rPr>
          <w:noProof/>
          <w:highlight w:val="yellow"/>
        </w:rPr>
      </w:pPr>
      <w:r>
        <w:rPr>
          <w:noProof/>
        </w:rPr>
        <w:t xml:space="preserve">Les secteurs de l’acier et des métaux sont indispensables au tissu industriel européen, à notre résilience, à notre sécurité économique, à notre défense et à notre stabilité sociale. La Commission invite le Parlement européen, le Conseil et toutes les parties prenantes à collaborer à la mise en œuvre du présent plan d’action afin de maintenir et de renforcer les capacités de production en Europe et faire en sorte que nos industries clés, y compris l’industrie de la défense, bénéficient d’un approvisionnement stable et fiable. </w:t>
      </w:r>
    </w:p>
    <w:sectPr w:rsidR="00FB0706" w:rsidRPr="00B86144" w:rsidSect="00F84713">
      <w:headerReference w:type="even" r:id="rId23"/>
      <w:headerReference w:type="default" r:id="rId24"/>
      <w:footerReference w:type="even" r:id="rId25"/>
      <w:footerReference w:type="default" r:id="rId26"/>
      <w:headerReference w:type="first" r:id="rId27"/>
      <w:footerReference w:type="first" r:id="rId28"/>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E85D2" w14:textId="77777777" w:rsidR="00F240B3" w:rsidRDefault="00F240B3">
      <w:pPr>
        <w:spacing w:after="0"/>
      </w:pPr>
      <w:r>
        <w:separator/>
      </w:r>
    </w:p>
  </w:endnote>
  <w:endnote w:type="continuationSeparator" w:id="0">
    <w:p w14:paraId="0E9CFEBF" w14:textId="77777777" w:rsidR="00F240B3" w:rsidRDefault="00F240B3">
      <w:pPr>
        <w:spacing w:after="0"/>
      </w:pPr>
      <w:r>
        <w:continuationSeparator/>
      </w:r>
    </w:p>
  </w:endnote>
  <w:endnote w:type="continuationNotice" w:id="1">
    <w:p w14:paraId="7DECAA8A" w14:textId="77777777" w:rsidR="00F240B3" w:rsidRDefault="00F240B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84B0C" w14:textId="3A3967A7" w:rsidR="00D0230B" w:rsidRPr="00D0230B" w:rsidRDefault="00D0230B" w:rsidP="00D0230B">
    <w:pPr>
      <w:pStyle w:val="FooterCoverPage"/>
      <w:rPr>
        <w:rFonts w:ascii="Arial" w:hAnsi="Arial" w:cs="Arial"/>
        <w:b/>
        <w:sz w:val="48"/>
      </w:rPr>
    </w:pPr>
    <w:r w:rsidRPr="00D0230B">
      <w:rPr>
        <w:rFonts w:ascii="Arial" w:hAnsi="Arial" w:cs="Arial"/>
        <w:b/>
        <w:sz w:val="48"/>
      </w:rPr>
      <w:t>FR</w:t>
    </w:r>
    <w:r w:rsidRPr="00D0230B">
      <w:rPr>
        <w:rFonts w:ascii="Arial" w:hAnsi="Arial" w:cs="Arial"/>
        <w:b/>
        <w:sz w:val="48"/>
      </w:rPr>
      <w:tab/>
    </w:r>
    <w:r w:rsidRPr="00D0230B">
      <w:rPr>
        <w:rFonts w:ascii="Arial" w:hAnsi="Arial" w:cs="Arial"/>
        <w:b/>
        <w:sz w:val="48"/>
      </w:rPr>
      <w:tab/>
    </w:r>
    <w:r w:rsidRPr="00D0230B">
      <w:tab/>
    </w:r>
    <w:r w:rsidRPr="00D0230B">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344BE" w14:textId="62CC845D" w:rsidR="00D0230B" w:rsidRPr="00D0230B" w:rsidRDefault="00D0230B" w:rsidP="00D0230B">
    <w:pPr>
      <w:pStyle w:val="FooterCoverPage"/>
      <w:rPr>
        <w:rFonts w:ascii="Arial" w:hAnsi="Arial" w:cs="Arial"/>
        <w:b/>
        <w:sz w:val="48"/>
      </w:rPr>
    </w:pPr>
    <w:r w:rsidRPr="00D0230B">
      <w:rPr>
        <w:rFonts w:ascii="Arial" w:hAnsi="Arial" w:cs="Arial"/>
        <w:b/>
        <w:sz w:val="48"/>
      </w:rPr>
      <w:t>FR</w:t>
    </w:r>
    <w:r w:rsidRPr="00D0230B">
      <w:rPr>
        <w:rFonts w:ascii="Arial" w:hAnsi="Arial" w:cs="Arial"/>
        <w:b/>
        <w:sz w:val="48"/>
      </w:rPr>
      <w:tab/>
    </w:r>
    <w:r w:rsidRPr="00D0230B">
      <w:rPr>
        <w:rFonts w:ascii="Arial" w:hAnsi="Arial" w:cs="Arial"/>
        <w:b/>
        <w:sz w:val="48"/>
      </w:rPr>
      <w:tab/>
    </w:r>
    <w:r w:rsidRPr="00D0230B">
      <w:tab/>
    </w:r>
    <w:r w:rsidRPr="00D0230B">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9071" w14:textId="77777777" w:rsidR="00D0230B" w:rsidRPr="00D0230B" w:rsidRDefault="00D0230B" w:rsidP="00D0230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1D59C" w14:textId="77777777" w:rsidR="00F84713" w:rsidRPr="00F84713" w:rsidRDefault="00F84713" w:rsidP="00F84713">
    <w:pPr>
      <w:pStyle w:val="FooterCoverPage"/>
      <w:rPr>
        <w:rFonts w:ascii="Arial" w:hAnsi="Arial" w:cs="Arial"/>
        <w:b/>
        <w:sz w:val="48"/>
      </w:rPr>
    </w:pPr>
    <w:r>
      <w:rPr>
        <w:rFonts w:ascii="Arial" w:hAnsi="Arial"/>
        <w:b/>
        <w:sz w:val="48"/>
      </w:rPr>
      <w:t>FR</w:t>
    </w:r>
    <w:r>
      <w:rPr>
        <w:rFonts w:ascii="Arial" w:hAnsi="Arial"/>
        <w:b/>
        <w:sz w:val="48"/>
      </w:rPr>
      <w:tab/>
    </w:r>
    <w:r>
      <w:rPr>
        <w:rFonts w:ascii="Arial" w:hAnsi="Arial"/>
        <w:b/>
        <w:sz w:val="48"/>
      </w:rPr>
      <w:tab/>
    </w:r>
    <w:r>
      <w:tab/>
    </w:r>
    <w:r>
      <w:rPr>
        <w:rFonts w:ascii="Arial" w:hAnsi="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FAFE" w14:textId="3C0114BA" w:rsidR="00F84713" w:rsidRDefault="00F84713">
    <w:pPr>
      <w:pStyle w:val="FooterLine"/>
      <w:jc w:val="center"/>
    </w:pPr>
    <w:r>
      <w:fldChar w:fldCharType="begin"/>
    </w:r>
    <w:r>
      <w:instrText>PAGE   \* MERGEFORMAT</w:instrText>
    </w:r>
    <w:r>
      <w:fldChar w:fldCharType="separate"/>
    </w:r>
    <w:r w:rsidR="00D0230B">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608195"/>
      <w:docPartObj>
        <w:docPartGallery w:val="Page Numbers (Bottom of Page)"/>
        <w:docPartUnique/>
      </w:docPartObj>
    </w:sdtPr>
    <w:sdtEndPr>
      <w:rPr>
        <w:noProof/>
      </w:rPr>
    </w:sdtEndPr>
    <w:sdtContent>
      <w:p w14:paraId="4CDE9F6B" w14:textId="74FCB39C" w:rsidR="00D518D5" w:rsidRDefault="00D518D5">
        <w:pPr>
          <w:pStyle w:val="Footer"/>
          <w:jc w:val="center"/>
        </w:pPr>
        <w:r>
          <w:fldChar w:fldCharType="begin"/>
        </w:r>
        <w:r>
          <w:instrText xml:space="preserve"> PAGE   \* MERGEFORMAT </w:instrText>
        </w:r>
        <w:r>
          <w:fldChar w:fldCharType="separate"/>
        </w:r>
        <w:r w:rsidR="00D0230B">
          <w:rPr>
            <w:noProof/>
          </w:rPr>
          <w:t>1</w:t>
        </w:r>
        <w:r>
          <w:fldChar w:fldCharType="end"/>
        </w:r>
      </w:p>
    </w:sdtContent>
  </w:sdt>
  <w:p w14:paraId="183CDB22" w14:textId="77777777" w:rsidR="00F84713" w:rsidRDefault="00F84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EA79A" w14:textId="77777777" w:rsidR="00F240B3" w:rsidRDefault="00F240B3">
      <w:pPr>
        <w:spacing w:after="0"/>
      </w:pPr>
      <w:r>
        <w:separator/>
      </w:r>
    </w:p>
  </w:footnote>
  <w:footnote w:type="continuationSeparator" w:id="0">
    <w:p w14:paraId="3092C007" w14:textId="77777777" w:rsidR="00F240B3" w:rsidRDefault="00F240B3">
      <w:pPr>
        <w:spacing w:after="0"/>
      </w:pPr>
      <w:r>
        <w:continuationSeparator/>
      </w:r>
    </w:p>
  </w:footnote>
  <w:footnote w:type="continuationNotice" w:id="1">
    <w:p w14:paraId="39113D1D" w14:textId="77777777" w:rsidR="00F240B3" w:rsidRDefault="00F240B3">
      <w:pPr>
        <w:spacing w:after="0"/>
      </w:pPr>
    </w:p>
  </w:footnote>
  <w:footnote w:id="2">
    <w:p w14:paraId="76DE665C" w14:textId="77777777" w:rsidR="00750B29" w:rsidRPr="00D478DB" w:rsidRDefault="00750B29" w:rsidP="00896AAF">
      <w:pPr>
        <w:pStyle w:val="FootnoteText"/>
        <w:spacing w:after="0"/>
      </w:pPr>
      <w:r>
        <w:t>(</w:t>
      </w:r>
      <w:r>
        <w:rPr>
          <w:rStyle w:val="FootnoteReference"/>
        </w:rPr>
        <w:footnoteRef/>
      </w:r>
      <w:r>
        <w:t>)</w:t>
      </w:r>
      <w:r>
        <w:tab/>
        <w:t xml:space="preserve">Outre le fer et l’acier, les métaux communs (ou métaux de base) comprennent les ferro-alliages, étroitement liés à la chaîne de valeur de l’acier, ainsi que les métaux non ferreux comme l’aluminium, le cuivre et le nickel. Le présent plan d’action porte sur les métaux communs qui sont produits et échangés en grandes quantités, non sur les «métaux technologiques» ou les métaux précieux produits et échangés dans des quantités moindres, qui sont souvent des matières premières critiques et bénéficient donc des dispositions du règlement sur les matières premières critiques. </w:t>
      </w:r>
    </w:p>
  </w:footnote>
  <w:footnote w:id="3">
    <w:p w14:paraId="1ED4DD1D" w14:textId="1AB6152B" w:rsidR="06746406" w:rsidRDefault="00AB4E9D" w:rsidP="00896AAF">
      <w:pPr>
        <w:pStyle w:val="FootnoteText"/>
        <w:spacing w:after="0"/>
      </w:pPr>
      <w:r>
        <w:t>(</w:t>
      </w:r>
      <w:r>
        <w:rPr>
          <w:rStyle w:val="FootnoteReference"/>
        </w:rPr>
        <w:footnoteRef/>
      </w:r>
      <w:r>
        <w:t xml:space="preserve">) </w:t>
      </w:r>
      <w:r>
        <w:tab/>
        <w:t xml:space="preserve">COM(2025) 30 final — </w:t>
      </w:r>
      <w:hyperlink r:id="rId1">
        <w:r>
          <w:rPr>
            <w:rStyle w:val="Hyperlink"/>
          </w:rPr>
          <w:t>Une boussole pour la compétitivité de l’UE</w:t>
        </w:r>
      </w:hyperlink>
      <w:r>
        <w:t>.</w:t>
      </w:r>
    </w:p>
  </w:footnote>
  <w:footnote w:id="4">
    <w:p w14:paraId="3F218C38" w14:textId="77777777" w:rsidR="003A3D0C" w:rsidRPr="00DE0D6D" w:rsidRDefault="003A3D0C" w:rsidP="00896AAF">
      <w:pPr>
        <w:pStyle w:val="FootnoteText"/>
        <w:spacing w:after="0"/>
      </w:pPr>
      <w:r>
        <w:t>(</w:t>
      </w:r>
      <w:r>
        <w:rPr>
          <w:rStyle w:val="FootnoteReference"/>
        </w:rPr>
        <w:footnoteRef/>
      </w:r>
      <w:r>
        <w:t>)</w:t>
      </w:r>
      <w:r>
        <w:tab/>
      </w:r>
      <w:hyperlink r:id="rId2" w:history="1">
        <w:r>
          <w:rPr>
            <w:rStyle w:val="Hyperlink"/>
          </w:rPr>
          <w:t>https://international-aluminium.org/statistics/primary-aluminium-production/</w:t>
        </w:r>
      </w:hyperlink>
      <w:r>
        <w:t xml:space="preserve">.  </w:t>
      </w:r>
    </w:p>
  </w:footnote>
  <w:footnote w:id="5">
    <w:p w14:paraId="3CC02803" w14:textId="297E7954" w:rsidR="204CAC2F" w:rsidRDefault="00AB4E9D" w:rsidP="00896AAF">
      <w:pPr>
        <w:pStyle w:val="FootnoteText"/>
        <w:spacing w:after="0"/>
      </w:pPr>
      <w:r>
        <w:t>(</w:t>
      </w:r>
      <w:r>
        <w:rPr>
          <w:rStyle w:val="FootnoteReference"/>
        </w:rPr>
        <w:footnoteRef/>
      </w:r>
      <w:r>
        <w:t xml:space="preserve">) </w:t>
      </w:r>
      <w:r>
        <w:tab/>
        <w:t>Source: comité de l’acier de l’OCDE, 96</w:t>
      </w:r>
      <w:r>
        <w:rPr>
          <w:vertAlign w:val="superscript"/>
        </w:rPr>
        <w:t>e</w:t>
      </w:r>
      <w:r>
        <w:t xml:space="preserve"> session du comité de l’acier, déclaration de la présidence, OCDE, </w:t>
      </w:r>
      <w:hyperlink r:id="rId3" w:history="1">
        <w:r>
          <w:rPr>
            <w:rStyle w:val="Hyperlink"/>
          </w:rPr>
          <w:t>https://www.oecd.org/en/about/news/speech-statements/2024/11/96th-session-of-the-steel-committee-statement-by-the-chair.html</w:t>
        </w:r>
      </w:hyperlink>
      <w:r>
        <w:t xml:space="preserve">. </w:t>
      </w:r>
    </w:p>
  </w:footnote>
  <w:footnote w:id="6">
    <w:p w14:paraId="40B391DF" w14:textId="77777777" w:rsidR="06746406" w:rsidRDefault="06746406" w:rsidP="00896AAF">
      <w:pPr>
        <w:pStyle w:val="FootnoteText"/>
        <w:spacing w:after="0"/>
      </w:pPr>
      <w:r>
        <w:t>(</w:t>
      </w:r>
      <w:r>
        <w:rPr>
          <w:rStyle w:val="FootnoteReference"/>
        </w:rPr>
        <w:footnoteRef/>
      </w:r>
      <w:r>
        <w:t>)</w:t>
      </w:r>
      <w:r>
        <w:tab/>
        <w:t>Source: Eurofer, 126 millions de tonnes produites pour 138 millions de tonnes réellement consommées en 2023.</w:t>
      </w:r>
    </w:p>
  </w:footnote>
  <w:footnote w:id="7">
    <w:p w14:paraId="79DFE43B" w14:textId="77777777" w:rsidR="06746406" w:rsidRDefault="06746406" w:rsidP="00896AAF">
      <w:pPr>
        <w:pStyle w:val="FootnoteText"/>
        <w:spacing w:after="0"/>
      </w:pPr>
      <w:r>
        <w:t>(</w:t>
      </w:r>
      <w:r>
        <w:rPr>
          <w:rStyle w:val="FootnoteReference"/>
        </w:rPr>
        <w:footnoteRef/>
      </w:r>
      <w:r>
        <w:t>)</w:t>
      </w:r>
      <w:r>
        <w:tab/>
        <w:t>Source: fiche d’information SCRREEN 2023 sur le cuivre.</w:t>
      </w:r>
    </w:p>
  </w:footnote>
  <w:footnote w:id="8">
    <w:p w14:paraId="7517EB58" w14:textId="77777777" w:rsidR="06746406" w:rsidRDefault="06746406" w:rsidP="00896AAF">
      <w:pPr>
        <w:pStyle w:val="FootnoteText"/>
        <w:spacing w:after="0"/>
      </w:pPr>
      <w:r>
        <w:t>(</w:t>
      </w:r>
      <w:r>
        <w:rPr>
          <w:rStyle w:val="FootnoteReference"/>
        </w:rPr>
        <w:footnoteRef/>
      </w:r>
      <w:r>
        <w:t>)</w:t>
      </w:r>
      <w:r>
        <w:tab/>
        <w:t xml:space="preserve">Source: European Aluminium, 7 % de la production primaire intérieure + 39 % du recyclage intérieur en 2023. </w:t>
      </w:r>
    </w:p>
  </w:footnote>
  <w:footnote w:id="9">
    <w:p w14:paraId="757EB0A4" w14:textId="77777777" w:rsidR="06746406" w:rsidRDefault="06746406" w:rsidP="00896AAF">
      <w:pPr>
        <w:pStyle w:val="FootnoteText"/>
        <w:spacing w:after="0"/>
      </w:pPr>
      <w:r>
        <w:t>(</w:t>
      </w:r>
      <w:r>
        <w:rPr>
          <w:rStyle w:val="FootnoteReference"/>
        </w:rPr>
        <w:footnoteRef/>
      </w:r>
      <w:r>
        <w:t>)</w:t>
      </w:r>
      <w:r>
        <w:tab/>
        <w:t>Source: fiche d’information SCRREEN 2023 sur le nickel.</w:t>
      </w:r>
    </w:p>
  </w:footnote>
  <w:footnote w:id="10">
    <w:p w14:paraId="4566A460" w14:textId="747EA574" w:rsidR="0004104D" w:rsidRPr="00AD7603" w:rsidRDefault="0004104D" w:rsidP="001068B5">
      <w:pPr>
        <w:pStyle w:val="FootnoteText"/>
        <w:spacing w:after="0"/>
      </w:pPr>
      <w:r>
        <w:t>(</w:t>
      </w:r>
      <w:r>
        <w:rPr>
          <w:rStyle w:val="FootnoteReference"/>
        </w:rPr>
        <w:footnoteRef/>
      </w:r>
      <w:r>
        <w:t>)</w:t>
      </w:r>
      <w:r>
        <w:tab/>
      </w:r>
      <w:hyperlink r:id="rId4" w:history="1">
        <w:r>
          <w:rPr>
            <w:rStyle w:val="Hyperlink"/>
          </w:rPr>
          <w:t>Répertoire des publications du JRC, «Raw materials in the European defence industry»</w:t>
        </w:r>
      </w:hyperlink>
      <w:r>
        <w:t xml:space="preserve"> (Les matières premières dans l’industrie européenne de la défense).</w:t>
      </w:r>
    </w:p>
  </w:footnote>
  <w:footnote w:id="11">
    <w:p w14:paraId="2E0557B2" w14:textId="2AE18EEB" w:rsidR="00AB4E9D" w:rsidRPr="00E47795" w:rsidRDefault="00AB4E9D" w:rsidP="00896AAF">
      <w:pPr>
        <w:pStyle w:val="FootnoteText"/>
        <w:spacing w:after="0"/>
      </w:pPr>
      <w:r>
        <w:t>(</w:t>
      </w:r>
      <w:r>
        <w:rPr>
          <w:rStyle w:val="FootnoteReference"/>
        </w:rPr>
        <w:footnoteRef/>
      </w:r>
      <w:r>
        <w:t>)</w:t>
      </w:r>
      <w:r>
        <w:tab/>
        <w:t>Ici, le terme «métaux» recouvre aussi d’importantes utilisations des métaux sous la forme de leurs composés inorganiques, dont (par exemple) les matériaux pour batteries, les matériaux destinés aux équipements photovoltaïques et les semi-conducteurs.</w:t>
      </w:r>
    </w:p>
  </w:footnote>
  <w:footnote w:id="12">
    <w:p w14:paraId="47116661" w14:textId="42D9F898" w:rsidR="008062F2" w:rsidRPr="00E47795" w:rsidRDefault="008062F2" w:rsidP="00896AAF">
      <w:pPr>
        <w:pStyle w:val="FootnoteText"/>
        <w:spacing w:after="0"/>
      </w:pPr>
      <w:r>
        <w:t>(</w:t>
      </w:r>
      <w:r>
        <w:rPr>
          <w:rStyle w:val="FootnoteReference"/>
        </w:rPr>
        <w:footnoteRef/>
      </w:r>
      <w:r>
        <w:t>)</w:t>
      </w:r>
      <w:r>
        <w:tab/>
        <w:t>Source: Eurostat — comprend l’extraction minière, la fabrication de métaux communs et la transformation des métaux.</w:t>
      </w:r>
    </w:p>
  </w:footnote>
  <w:footnote w:id="13">
    <w:p w14:paraId="27BFF7B0" w14:textId="7FC7B403" w:rsidR="00CE36F9" w:rsidRPr="00C6199D" w:rsidRDefault="204CAC2F" w:rsidP="00896AAF">
      <w:pPr>
        <w:pStyle w:val="FootnoteText"/>
        <w:spacing w:after="0"/>
      </w:pPr>
      <w:r>
        <w:t>(</w:t>
      </w:r>
      <w:r>
        <w:rPr>
          <w:rStyle w:val="FootnoteReference"/>
        </w:rPr>
        <w:footnoteRef/>
      </w:r>
      <w:r>
        <w:t>)</w:t>
      </w:r>
      <w:r w:rsidR="00034E1E">
        <w:tab/>
      </w:r>
      <w:r>
        <w:t>Source: portail sur les émissions industrielles, 2022.</w:t>
      </w:r>
    </w:p>
  </w:footnote>
  <w:footnote w:id="14">
    <w:p w14:paraId="5AD7481D" w14:textId="67055530" w:rsidR="5B7F4486" w:rsidRPr="00CE36F9" w:rsidRDefault="00AB4E9D" w:rsidP="00896AAF">
      <w:pPr>
        <w:pStyle w:val="FootnoteText"/>
        <w:spacing w:after="0"/>
      </w:pPr>
      <w:r>
        <w:t>(</w:t>
      </w:r>
      <w:r>
        <w:rPr>
          <w:rStyle w:val="FootnoteReference"/>
        </w:rPr>
        <w:footnoteRef/>
      </w:r>
      <w:r>
        <w:t>)</w:t>
      </w:r>
      <w:r>
        <w:tab/>
        <w:t>https://commission.europa.eu/topics/eu-competitiveness/clean-industrial-deal_fr.</w:t>
      </w:r>
    </w:p>
  </w:footnote>
  <w:footnote w:id="15">
    <w:p w14:paraId="614CA253" w14:textId="1B1DF840" w:rsidR="5B7F4486" w:rsidRPr="00E0295C" w:rsidRDefault="00AB4E9D" w:rsidP="00896AAF">
      <w:pPr>
        <w:pStyle w:val="FootnoteText"/>
        <w:spacing w:after="0"/>
      </w:pPr>
      <w:r>
        <w:t>(</w:t>
      </w:r>
      <w:r>
        <w:rPr>
          <w:rStyle w:val="FootnoteReference"/>
        </w:rPr>
        <w:footnoteRef/>
      </w:r>
      <w:r>
        <w:t>)</w:t>
      </w:r>
      <w:r>
        <w:tab/>
        <w:t>https://energy.ec.europa.eu/strategy/affordable-energy_en?prefLang=fr.</w:t>
      </w:r>
    </w:p>
  </w:footnote>
  <w:footnote w:id="16">
    <w:p w14:paraId="24A83E5E" w14:textId="728E047F" w:rsidR="204CAC2F" w:rsidRPr="00F427EC" w:rsidRDefault="00AB4E9D" w:rsidP="00896AAF">
      <w:pPr>
        <w:pStyle w:val="FootnoteText"/>
        <w:spacing w:after="0"/>
      </w:pPr>
      <w:r>
        <w:t>(</w:t>
      </w:r>
      <w:r>
        <w:rPr>
          <w:rStyle w:val="FootnoteReference"/>
        </w:rPr>
        <w:footnoteRef/>
      </w:r>
      <w:r>
        <w:t>)</w:t>
      </w:r>
      <w:r>
        <w:tab/>
      </w:r>
      <w:hyperlink r:id="rId5" w:history="1">
        <w:r>
          <w:rPr>
            <w:rStyle w:val="Hyperlink"/>
          </w:rPr>
          <w:t>https://op.europa.eu/fr/publication-detail/-/publication/78d8acde-0486-11f0-9503-01aa75ed71a1</w:t>
        </w:r>
      </w:hyperlink>
      <w:r>
        <w:t>.</w:t>
      </w:r>
    </w:p>
  </w:footnote>
  <w:footnote w:id="17">
    <w:p w14:paraId="3BFF4BDD" w14:textId="3718DA6C" w:rsidR="00341966" w:rsidRPr="00F427EC" w:rsidRDefault="06746406" w:rsidP="00896AAF">
      <w:pPr>
        <w:pStyle w:val="FootnoteText"/>
        <w:spacing w:after="0"/>
      </w:pPr>
      <w:r>
        <w:t>(</w:t>
      </w:r>
      <w:r>
        <w:rPr>
          <w:rStyle w:val="FootnoteReference"/>
        </w:rPr>
        <w:footnoteRef/>
      </w:r>
      <w:r>
        <w:t>)</w:t>
      </w:r>
      <w:r>
        <w:tab/>
      </w:r>
      <w:hyperlink r:id="rId6" w:history="1">
        <w:r>
          <w:rPr>
            <w:rStyle w:val="Hyperlink"/>
          </w:rPr>
          <w:t>https://publications.jrc.ec.europa.eu/repository/handle/JRC121276</w:t>
        </w:r>
      </w:hyperlink>
      <w:r>
        <w:t xml:space="preserve">. </w:t>
      </w:r>
    </w:p>
  </w:footnote>
  <w:footnote w:id="18">
    <w:p w14:paraId="227FC243" w14:textId="750B0BB1" w:rsidR="00341966" w:rsidRPr="00F427EC" w:rsidRDefault="06746406" w:rsidP="00896AAF">
      <w:pPr>
        <w:pStyle w:val="FootnoteText"/>
        <w:spacing w:after="0"/>
      </w:pPr>
      <w:r>
        <w:t>(</w:t>
      </w:r>
      <w:r>
        <w:rPr>
          <w:rStyle w:val="FootnoteReference"/>
        </w:rPr>
        <w:footnoteRef/>
      </w:r>
      <w:r>
        <w:t>)</w:t>
      </w:r>
      <w:r>
        <w:tab/>
      </w:r>
      <w:hyperlink r:id="rId7" w:history="1">
        <w:r>
          <w:rPr>
            <w:rStyle w:val="Hyperlink"/>
          </w:rPr>
          <w:t>https://www.reuters.com/markets/commodities/sky-high-energy-costs-fan-fire-under-aluminium-zinc-prices-2022-08-12/</w:t>
        </w:r>
      </w:hyperlink>
      <w:r>
        <w:t xml:space="preserve">. </w:t>
      </w:r>
    </w:p>
  </w:footnote>
  <w:footnote w:id="19">
    <w:p w14:paraId="356D82E7" w14:textId="3D54F0D4" w:rsidR="00B35335" w:rsidRPr="00F427EC" w:rsidRDefault="06746406" w:rsidP="00896AAF">
      <w:pPr>
        <w:pStyle w:val="FootnoteText"/>
        <w:spacing w:after="0"/>
      </w:pPr>
      <w:r>
        <w:t>(</w:t>
      </w:r>
      <w:r>
        <w:rPr>
          <w:rStyle w:val="FootnoteReference"/>
        </w:rPr>
        <w:footnoteRef/>
      </w:r>
      <w:r>
        <w:t>)</w:t>
      </w:r>
      <w:r>
        <w:tab/>
      </w:r>
      <w:hyperlink r:id="rId8" w:history="1">
        <w:r>
          <w:rPr>
            <w:rStyle w:val="Hyperlink"/>
          </w:rPr>
          <w:t>https://www.reuters.com/markets/commodities/sky-high-energy-costs-fan-fire-under-aluminium-zinc-prices-2022-08-12/</w:t>
        </w:r>
      </w:hyperlink>
      <w:r>
        <w:t>.</w:t>
      </w:r>
    </w:p>
  </w:footnote>
  <w:footnote w:id="20">
    <w:p w14:paraId="63940C90" w14:textId="4EEFBD80" w:rsidR="00E92217" w:rsidRPr="00DE0D6D" w:rsidRDefault="00E92217" w:rsidP="00896AAF">
      <w:pPr>
        <w:pStyle w:val="FootnoteText"/>
        <w:spacing w:after="0"/>
      </w:pPr>
      <w:r>
        <w:t>(</w:t>
      </w:r>
      <w:r>
        <w:rPr>
          <w:rStyle w:val="FootnoteReference"/>
        </w:rPr>
        <w:footnoteRef/>
      </w:r>
      <w:r>
        <w:t>)</w:t>
      </w:r>
      <w:r>
        <w:tab/>
        <w:t>Les prix de l’électricité sont deux à trois fois plus élevés qu’aux États-Unis: ils atteignaient 0,16 EUR par KWh dans l’Union contre 0,07 EUR aux États-Unis au premier semestre de 2024, bien qu’ils aient diminué dans l’Union (de 0,04 EUR) et qu’ils aient stagné aux États-Unis (+ 0,01 EUR) par rapport au premier semestre de 2023 et malgré une baisse des besoins énergétiques   (</w:t>
      </w:r>
      <w:hyperlink r:id="rId9">
        <w:r>
          <w:rPr>
            <w:rStyle w:val="Hyperlink"/>
          </w:rPr>
          <w:t>https://www.bruegel.org/policy-brief/decarbonising-competitiveness-four-ways-reduce-european-energy-prices</w:t>
        </w:r>
      </w:hyperlink>
      <w:r>
        <w:t xml:space="preserve">).  </w:t>
      </w:r>
    </w:p>
  </w:footnote>
  <w:footnote w:id="21">
    <w:p w14:paraId="69079C82" w14:textId="40A4AD61" w:rsidR="00222778" w:rsidRDefault="00AB4E9D" w:rsidP="00896AAF">
      <w:pPr>
        <w:pStyle w:val="FootnoteText"/>
        <w:spacing w:after="0"/>
      </w:pPr>
      <w:r>
        <w:t>(</w:t>
      </w:r>
      <w:r>
        <w:rPr>
          <w:rStyle w:val="FootnoteReference"/>
        </w:rPr>
        <w:footnoteRef/>
      </w:r>
      <w:r>
        <w:t>)</w:t>
      </w:r>
      <w:r>
        <w:tab/>
        <w:t>Plan d’action pour une énergie abordable.</w:t>
      </w:r>
    </w:p>
  </w:footnote>
  <w:footnote w:id="22">
    <w:p w14:paraId="310DDFA7" w14:textId="1DF84830" w:rsidR="001C0C0E" w:rsidRPr="00AD7603" w:rsidRDefault="001C0C0E" w:rsidP="001068B5">
      <w:pPr>
        <w:pStyle w:val="FootnoteText"/>
        <w:spacing w:after="0"/>
      </w:pPr>
      <w:r>
        <w:t>(</w:t>
      </w:r>
      <w:r>
        <w:rPr>
          <w:rStyle w:val="FootnoteReference"/>
        </w:rPr>
        <w:footnoteRef/>
      </w:r>
      <w:r>
        <w:t>)</w:t>
      </w:r>
      <w:r>
        <w:tab/>
        <w:t xml:space="preserve">Les initiatives suivantes ont pour but de lever certains de ces obstacles: </w:t>
      </w:r>
      <w:hyperlink r:id="rId10" w:history="1">
        <w:r>
          <w:rPr>
            <w:rStyle w:val="Hyperlink"/>
          </w:rPr>
          <w:t>https://www.ifrs.org/projects/completed-projects/2024/power-purchase-agreements/</w:t>
        </w:r>
      </w:hyperlink>
      <w:r>
        <w:t xml:space="preserve">; </w:t>
      </w:r>
      <w:hyperlink r:id="rId11" w:history="1">
        <w:r>
          <w:rPr>
            <w:rStyle w:val="Hyperlink"/>
          </w:rPr>
          <w:t>Power Purchase Agreements, Endorsement consultation|</w:t>
        </w:r>
      </w:hyperlink>
      <w:hyperlink r:id="rId12" w:history="1">
        <w:r>
          <w:rPr>
            <w:rStyle w:val="Hyperlink"/>
          </w:rPr>
          <w:t xml:space="preserve"> EFRAG</w:t>
        </w:r>
      </w:hyperlink>
      <w:r>
        <w:t>.</w:t>
      </w:r>
    </w:p>
  </w:footnote>
  <w:footnote w:id="23">
    <w:p w14:paraId="78172D16" w14:textId="434C44A1" w:rsidR="0046734F" w:rsidRPr="00AD7603" w:rsidRDefault="0046734F" w:rsidP="001068B5">
      <w:pPr>
        <w:pStyle w:val="FootnoteText"/>
        <w:spacing w:after="0"/>
      </w:pPr>
      <w:r>
        <w:t>(</w:t>
      </w:r>
      <w:r>
        <w:rPr>
          <w:rStyle w:val="FootnoteReference"/>
        </w:rPr>
        <w:footnoteRef/>
      </w:r>
      <w:r>
        <w:t>)</w:t>
      </w:r>
      <w:r>
        <w:tab/>
        <w:t>Il s’agit des industries qui risquent de quitter l’Union pour s’installer dans des régions où les règles environnementales sont inexistantes ou moins ambitieuses.</w:t>
      </w:r>
    </w:p>
  </w:footnote>
  <w:footnote w:id="24">
    <w:p w14:paraId="7D7682E2" w14:textId="04BCC385" w:rsidR="00071965" w:rsidRDefault="00AB4E9D" w:rsidP="00896AAF">
      <w:pPr>
        <w:pStyle w:val="FootnoteText"/>
        <w:spacing w:after="0"/>
      </w:pPr>
      <w:r>
        <w:t>(</w:t>
      </w:r>
      <w:r>
        <w:rPr>
          <w:rStyle w:val="FootnoteReference"/>
        </w:rPr>
        <w:footnoteRef/>
      </w:r>
      <w:r>
        <w:t>)</w:t>
      </w:r>
      <w:r>
        <w:tab/>
        <w:t>COM(2021) 563 final.</w:t>
      </w:r>
    </w:p>
  </w:footnote>
  <w:footnote w:id="25">
    <w:p w14:paraId="12722A60" w14:textId="77777777" w:rsidR="00381BFA" w:rsidRDefault="00381BFA" w:rsidP="00896AAF">
      <w:pPr>
        <w:pStyle w:val="FootnoteText"/>
        <w:spacing w:after="0"/>
        <w:rPr>
          <w:rStyle w:val="Hyperlink"/>
        </w:rPr>
      </w:pPr>
      <w:r>
        <w:t>(</w:t>
      </w:r>
      <w:r>
        <w:rPr>
          <w:rStyle w:val="FootnoteReference"/>
        </w:rPr>
        <w:footnoteRef/>
      </w:r>
      <w:r>
        <w:t>)</w:t>
      </w:r>
      <w:r>
        <w:tab/>
        <w:t>https://competition-policy.ec.europa.eu/public-consultations/2025-cisaf_en.</w:t>
      </w:r>
    </w:p>
  </w:footnote>
  <w:footnote w:id="26">
    <w:p w14:paraId="290C74E4" w14:textId="4EF5B023" w:rsidR="204CAC2F" w:rsidRDefault="00AB4E9D" w:rsidP="00896AAF">
      <w:pPr>
        <w:pStyle w:val="FootnoteText"/>
        <w:spacing w:after="0"/>
      </w:pPr>
      <w:r>
        <w:t>(</w:t>
      </w:r>
      <w:r>
        <w:rPr>
          <w:rStyle w:val="FootnoteReference"/>
        </w:rPr>
        <w:footnoteRef/>
      </w:r>
      <w:r>
        <w:t>)</w:t>
      </w:r>
      <w:r>
        <w:tab/>
      </w:r>
      <w:hyperlink r:id="rId13" w:history="1">
        <w:r>
          <w:rPr>
            <w:rStyle w:val="Hyperlink"/>
          </w:rPr>
          <w:t>https://competition-policy.ec.europa.eu/document/download/45b532ce-53fb-4907-975c-79edaa31a166_en?filename=2025_CISAF_draft_EC_communication.pdf</w:t>
        </w:r>
      </w:hyperlink>
      <w:r>
        <w:t>.</w:t>
      </w:r>
    </w:p>
  </w:footnote>
  <w:footnote w:id="27">
    <w:p w14:paraId="5337D29C" w14:textId="4273009D" w:rsidR="0143D47A" w:rsidRDefault="0046734F" w:rsidP="00896AAF">
      <w:pPr>
        <w:pStyle w:val="FootnoteText"/>
        <w:spacing w:after="0"/>
      </w:pPr>
      <w:r>
        <w:t>(</w:t>
      </w:r>
      <w:r>
        <w:rPr>
          <w:rStyle w:val="FootnoteReference"/>
        </w:rPr>
        <w:footnoteRef/>
      </w:r>
      <w:r>
        <w:t>)</w:t>
      </w:r>
      <w:r>
        <w:tab/>
        <w:t>Il s’agit d’investissements qui anticipent la croissance incertaine de la demande d’électricité due à l’électrification. Pour ces investissements, le fait de facturer l’intégralité des coûts aux utilisateurs actuels risque de faire peser une charge injuste sur les «pionniers», ce qui ralentirait l’électrification. Par conséquent, le plan d’action pour une énergie abordable annonce des orientations qui expliqueront comment, s’il y a lieu dans des cas ciblés, les États membres pourraient utiliser leur budget public pour réduire les redevances de réseau et ainsi couvrir les coûts supplémentaires résultant des mesures visant à accélérer la décarbonation et l’intégration du marché.</w:t>
      </w:r>
    </w:p>
  </w:footnote>
  <w:footnote w:id="28">
    <w:p w14:paraId="7ADC608F" w14:textId="3DA34914" w:rsidR="00D5098D" w:rsidRPr="00AD7603" w:rsidRDefault="00D5098D" w:rsidP="001068B5">
      <w:pPr>
        <w:pStyle w:val="FootnoteText"/>
        <w:spacing w:after="0"/>
      </w:pPr>
      <w:r>
        <w:t>(</w:t>
      </w:r>
      <w:r>
        <w:rPr>
          <w:rStyle w:val="FootnoteReference"/>
        </w:rPr>
        <w:footnoteRef/>
      </w:r>
      <w:r>
        <w:t>)</w:t>
      </w:r>
      <w:r>
        <w:tab/>
        <w:t>Pendant l’actuelle période transitoire du MACF, les émissions indirectes sont comptabilisées dans tous les secteurs relevant du MACF. Au cours de la phase définitive, elles ne seront prises en compte que pour les engrais et le ciment.</w:t>
      </w:r>
    </w:p>
  </w:footnote>
  <w:footnote w:id="29">
    <w:p w14:paraId="581D1FED" w14:textId="40553420" w:rsidR="00AD7603" w:rsidRPr="00AA3888" w:rsidRDefault="00AD7603" w:rsidP="001068B5">
      <w:pPr>
        <w:pStyle w:val="FootnoteText"/>
        <w:spacing w:after="0"/>
      </w:pPr>
      <w:r>
        <w:t>(</w:t>
      </w:r>
      <w:r>
        <w:rPr>
          <w:rStyle w:val="FootnoteReference"/>
        </w:rPr>
        <w:footnoteRef/>
      </w:r>
      <w:r>
        <w:t>)</w:t>
      </w:r>
      <w:r>
        <w:tab/>
        <w:t xml:space="preserve">Cela pourrait se faire, par exemple, dans le cadre du forum mondial sur la surcapacité sidérurgique. Il s’agit d’un lieu de dialogue essentiel rassemblant vingt-huit membres qui se sont engagés à élaborer et à mettre en œuvre des solutions collectives pour résoudre le problème de la surcapacité et améliorer le fonctionnement du marché dans le secteur de l’acier. </w:t>
      </w:r>
    </w:p>
  </w:footnote>
  <w:footnote w:id="30">
    <w:p w14:paraId="1FBBF1D2" w14:textId="77777777" w:rsidR="00B86144" w:rsidRPr="00F427EC" w:rsidRDefault="00B86144" w:rsidP="00B86144">
      <w:pPr>
        <w:pStyle w:val="FootnoteText"/>
      </w:pPr>
      <w:r>
        <w:t>(</w:t>
      </w:r>
      <w:r>
        <w:rPr>
          <w:rStyle w:val="FootnoteReference"/>
        </w:rPr>
        <w:footnoteRef/>
      </w:r>
      <w:r>
        <w:t>)</w:t>
      </w:r>
      <w:r>
        <w:tab/>
        <w:t xml:space="preserve">La section 4.4 des lignes directrices concernant les aides d’État au climat, à la protection de l’environnement et à l’énergie autorise les aides d’État en faveur de l’utilisation efficace des ressources et du développement d’une économie circulaire: EUR-Lex - 52022XC0218(03) - FR - EUR-Lex. </w:t>
      </w:r>
    </w:p>
  </w:footnote>
  <w:footnote w:id="31">
    <w:p w14:paraId="0838CE20" w14:textId="77777777" w:rsidR="00B86144" w:rsidRDefault="00B86144" w:rsidP="00B86144">
      <w:pPr>
        <w:pStyle w:val="FootnoteText"/>
        <w:spacing w:after="0"/>
      </w:pPr>
      <w:r>
        <w:t>(</w:t>
      </w:r>
      <w:r>
        <w:rPr>
          <w:rStyle w:val="FootnoteReference"/>
        </w:rPr>
        <w:footnoteRef/>
      </w:r>
      <w:r>
        <w:t>)</w:t>
      </w:r>
      <w:r>
        <w:tab/>
        <w:t xml:space="preserve">Le premier programme de travail sur l’écoconception pour des produits durables devrait être adopté dans les semaines à venir. </w:t>
      </w:r>
    </w:p>
  </w:footnote>
  <w:footnote w:id="32">
    <w:p w14:paraId="06484405" w14:textId="77777777" w:rsidR="00B86144" w:rsidRPr="00F427EC" w:rsidRDefault="00B86144" w:rsidP="00B86144">
      <w:pPr>
        <w:pStyle w:val="FootnoteText"/>
      </w:pPr>
      <w:r>
        <w:t>(</w:t>
      </w:r>
      <w:r>
        <w:rPr>
          <w:rStyle w:val="FootnoteReference"/>
        </w:rPr>
        <w:footnoteRef/>
      </w:r>
      <w:r>
        <w:t>)</w:t>
      </w:r>
      <w:r>
        <w:tab/>
        <w:t xml:space="preserve">Règlement (UE) 2024/1157, disponible à l’adresse suivante: </w:t>
      </w:r>
      <w:hyperlink r:id="rId14" w:history="1">
        <w:r>
          <w:rPr>
            <w:rStyle w:val="Hyperlink"/>
          </w:rPr>
          <w:t>Règlement - UE - 2024/1157 - FR - EUR-Lex</w:t>
        </w:r>
      </w:hyperlink>
      <w:r>
        <w:t>.</w:t>
      </w:r>
    </w:p>
  </w:footnote>
  <w:footnote w:id="33">
    <w:p w14:paraId="1D66359B" w14:textId="77777777" w:rsidR="00B86144" w:rsidRPr="00BB6ECC" w:rsidRDefault="00B86144" w:rsidP="00B86144">
      <w:pPr>
        <w:pStyle w:val="FootnoteText"/>
        <w:spacing w:after="0"/>
      </w:pPr>
      <w:r>
        <w:t>(</w:t>
      </w:r>
      <w:r>
        <w:rPr>
          <w:rStyle w:val="FootnoteReference"/>
        </w:rPr>
        <w:footnoteRef/>
      </w:r>
      <w:r>
        <w:t>)</w:t>
      </w:r>
      <w:r>
        <w:tab/>
      </w:r>
      <w:hyperlink r:id="rId15" w:history="1">
        <w:r>
          <w:rPr>
            <w:rStyle w:val="Hyperlink"/>
          </w:rPr>
          <w:t>https://pact-for-skills.ec.europa.eu/about/industrial-ecosystems-and-partnerships/energy-intensive-industries-large-scale-partnerships_en</w:t>
        </w:r>
      </w:hyperlink>
      <w:r>
        <w:t>.</w:t>
      </w:r>
    </w:p>
  </w:footnote>
  <w:footnote w:id="34">
    <w:p w14:paraId="75234137" w14:textId="77777777" w:rsidR="00B86144" w:rsidRPr="00BB6ECC" w:rsidRDefault="00B86144" w:rsidP="00B86144">
      <w:pPr>
        <w:pStyle w:val="FootnoteText"/>
        <w:spacing w:after="0"/>
      </w:pPr>
      <w:r>
        <w:t>(</w:t>
      </w:r>
      <w:r>
        <w:rPr>
          <w:rStyle w:val="FootnoteReference"/>
        </w:rPr>
        <w:footnoteRef/>
      </w:r>
      <w:r>
        <w:t>)</w:t>
      </w:r>
      <w:r>
        <w:tab/>
      </w:r>
      <w:hyperlink r:id="rId16" w:history="1">
        <w:r>
          <w:rPr>
            <w:rStyle w:val="Hyperlink"/>
          </w:rPr>
          <w:t>https://www.eurofer.eu/issues/climate-and-energy/maps-of-key-low-carbon-steel-projects</w:t>
        </w:r>
      </w:hyperlink>
      <w:r>
        <w:t xml:space="preserve">. </w:t>
      </w:r>
    </w:p>
  </w:footnote>
  <w:footnote w:id="35">
    <w:p w14:paraId="6489C6E0" w14:textId="77777777" w:rsidR="00B86144" w:rsidRPr="006D6F84" w:rsidRDefault="00B86144" w:rsidP="00B86144">
      <w:pPr>
        <w:pStyle w:val="FootnoteText"/>
        <w:spacing w:after="0"/>
      </w:pPr>
      <w:r>
        <w:t>(</w:t>
      </w:r>
      <w:r>
        <w:rPr>
          <w:rStyle w:val="FootnoteReference"/>
        </w:rPr>
        <w:footnoteRef/>
      </w:r>
      <w:r>
        <w:t>)</w:t>
      </w:r>
      <w:r>
        <w:tab/>
        <w:t>Dans le cadre desquels l’aide est versée par tonne de gaz à effet de serre évitée au cours de l’exploitation d’une installation à faibles émissions de carbone, après déduction du prix du carbone.</w:t>
      </w:r>
    </w:p>
  </w:footnote>
  <w:footnote w:id="36">
    <w:p w14:paraId="149F6ECC" w14:textId="77777777" w:rsidR="00B86144" w:rsidRPr="00C419AD" w:rsidRDefault="00B86144" w:rsidP="00B86144">
      <w:pPr>
        <w:pStyle w:val="FootnoteText"/>
        <w:spacing w:after="0"/>
        <w:rPr>
          <w:lang w:val="en-IE"/>
        </w:rPr>
      </w:pPr>
      <w:r w:rsidRPr="00C419AD">
        <w:rPr>
          <w:lang w:val="en-IE"/>
        </w:rPr>
        <w:t>(</w:t>
      </w:r>
      <w:r>
        <w:rPr>
          <w:rStyle w:val="FootnoteReference"/>
        </w:rPr>
        <w:footnoteRef/>
      </w:r>
      <w:r w:rsidRPr="00C419AD">
        <w:rPr>
          <w:lang w:val="en-IE"/>
        </w:rPr>
        <w:t>)</w:t>
      </w:r>
      <w:r>
        <w:rPr>
          <w:lang w:val="en-IE"/>
        </w:rPr>
        <w:tab/>
      </w:r>
      <w:r w:rsidRPr="00C419AD">
        <w:rPr>
          <w:lang w:val="en-IE"/>
        </w:rPr>
        <w:t>Par exemple, LIFE16 ENV/ES/000242 LIFE-2-ACID, LIFE16 ENV/IT/000231 LIFE 4GreenSteel, LIFE19 CCM/IT/001334 LIFE HEATLEAP.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AFB6" w14:textId="77777777" w:rsidR="00D0230B" w:rsidRPr="00D0230B" w:rsidRDefault="00D0230B" w:rsidP="00D0230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79929" w14:textId="77777777" w:rsidR="00D0230B" w:rsidRPr="00D0230B" w:rsidRDefault="00D0230B" w:rsidP="00D0230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8173" w14:textId="77777777" w:rsidR="00D0230B" w:rsidRPr="00D0230B" w:rsidRDefault="00D0230B" w:rsidP="00D0230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C0AAD" w14:textId="77777777" w:rsidR="00F84713" w:rsidRPr="00F84713" w:rsidRDefault="00F84713" w:rsidP="00F84713">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E36E7" w14:textId="77777777" w:rsidR="00F84713" w:rsidRDefault="00F847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AFDFB" w14:textId="77777777" w:rsidR="00F84713" w:rsidRDefault="00F84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FD6"/>
    <w:multiLevelType w:val="hybridMultilevel"/>
    <w:tmpl w:val="2F6C9B76"/>
    <w:lvl w:ilvl="0" w:tplc="7A6E37F8">
      <w:numFmt w:val="bullet"/>
      <w:lvlText w:val="-"/>
      <w:lvlJc w:val="left"/>
      <w:pPr>
        <w:ind w:left="720" w:hanging="360"/>
      </w:pPr>
      <w:rPr>
        <w:rFonts w:ascii="Times New Roman" w:hAnsi="Times New Roman" w:hint="default"/>
      </w:rPr>
    </w:lvl>
    <w:lvl w:ilvl="1" w:tplc="96CA33BC" w:tentative="1">
      <w:start w:val="1"/>
      <w:numFmt w:val="bullet"/>
      <w:lvlText w:val="o"/>
      <w:lvlJc w:val="left"/>
      <w:pPr>
        <w:ind w:left="1440" w:hanging="360"/>
      </w:pPr>
      <w:rPr>
        <w:rFonts w:ascii="Courier New" w:hAnsi="Courier New" w:hint="default"/>
      </w:rPr>
    </w:lvl>
    <w:lvl w:ilvl="2" w:tplc="38D0E442" w:tentative="1">
      <w:start w:val="1"/>
      <w:numFmt w:val="bullet"/>
      <w:lvlText w:val=""/>
      <w:lvlJc w:val="left"/>
      <w:pPr>
        <w:ind w:left="2160" w:hanging="360"/>
      </w:pPr>
      <w:rPr>
        <w:rFonts w:ascii="Wingdings" w:hAnsi="Wingdings" w:hint="default"/>
      </w:rPr>
    </w:lvl>
    <w:lvl w:ilvl="3" w:tplc="50D445CC" w:tentative="1">
      <w:start w:val="1"/>
      <w:numFmt w:val="bullet"/>
      <w:lvlText w:val=""/>
      <w:lvlJc w:val="left"/>
      <w:pPr>
        <w:ind w:left="2880" w:hanging="360"/>
      </w:pPr>
      <w:rPr>
        <w:rFonts w:ascii="Symbol" w:hAnsi="Symbol" w:hint="default"/>
      </w:rPr>
    </w:lvl>
    <w:lvl w:ilvl="4" w:tplc="1978574E" w:tentative="1">
      <w:start w:val="1"/>
      <w:numFmt w:val="bullet"/>
      <w:lvlText w:val="o"/>
      <w:lvlJc w:val="left"/>
      <w:pPr>
        <w:ind w:left="3600" w:hanging="360"/>
      </w:pPr>
      <w:rPr>
        <w:rFonts w:ascii="Courier New" w:hAnsi="Courier New" w:hint="default"/>
      </w:rPr>
    </w:lvl>
    <w:lvl w:ilvl="5" w:tplc="ABD6AF2E" w:tentative="1">
      <w:start w:val="1"/>
      <w:numFmt w:val="bullet"/>
      <w:lvlText w:val=""/>
      <w:lvlJc w:val="left"/>
      <w:pPr>
        <w:ind w:left="4320" w:hanging="360"/>
      </w:pPr>
      <w:rPr>
        <w:rFonts w:ascii="Wingdings" w:hAnsi="Wingdings" w:hint="default"/>
      </w:rPr>
    </w:lvl>
    <w:lvl w:ilvl="6" w:tplc="17FC8CF0" w:tentative="1">
      <w:start w:val="1"/>
      <w:numFmt w:val="bullet"/>
      <w:lvlText w:val=""/>
      <w:lvlJc w:val="left"/>
      <w:pPr>
        <w:ind w:left="5040" w:hanging="360"/>
      </w:pPr>
      <w:rPr>
        <w:rFonts w:ascii="Symbol" w:hAnsi="Symbol" w:hint="default"/>
      </w:rPr>
    </w:lvl>
    <w:lvl w:ilvl="7" w:tplc="64FA4DF2" w:tentative="1">
      <w:start w:val="1"/>
      <w:numFmt w:val="bullet"/>
      <w:lvlText w:val="o"/>
      <w:lvlJc w:val="left"/>
      <w:pPr>
        <w:ind w:left="5760" w:hanging="360"/>
      </w:pPr>
      <w:rPr>
        <w:rFonts w:ascii="Courier New" w:hAnsi="Courier New" w:hint="default"/>
      </w:rPr>
    </w:lvl>
    <w:lvl w:ilvl="8" w:tplc="97621D4A"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2DFA4414"/>
    <w:name w:val="ListDash4Numbering"/>
    <w:lvl w:ilvl="0">
      <w:start w:val="1"/>
      <w:numFmt w:val="bullet"/>
      <w:pStyle w:val="ListDash4"/>
      <w:lvlText w:val="–"/>
      <w:lvlJc w:val="left"/>
      <w:pPr>
        <w:tabs>
          <w:tab w:val="num" w:pos="1485"/>
        </w:tabs>
        <w:ind w:left="1485" w:hanging="283"/>
      </w:pPr>
      <w:rPr>
        <w:rFonts w:ascii="Times New Roman" w:hAnsi="Times New Roman" w:hint="default"/>
      </w:rPr>
    </w:lvl>
    <w:lvl w:ilvl="1">
      <w:start w:val="1"/>
      <w:numFmt w:val="bullet"/>
      <w:pStyle w:val="ListDash4Level2"/>
      <w:lvlText w:val="–"/>
      <w:lvlJc w:val="left"/>
      <w:pPr>
        <w:tabs>
          <w:tab w:val="num" w:pos="1769"/>
        </w:tabs>
        <w:ind w:left="1769" w:hanging="284"/>
      </w:pPr>
      <w:rPr>
        <w:rFonts w:ascii="Times New Roman" w:hAnsi="Times New Roman" w:hint="default"/>
      </w:rPr>
    </w:lvl>
    <w:lvl w:ilvl="2">
      <w:start w:val="1"/>
      <w:numFmt w:val="bullet"/>
      <w:pStyle w:val="ListDash4Level3"/>
      <w:lvlText w:val="–"/>
      <w:lvlJc w:val="left"/>
      <w:pPr>
        <w:tabs>
          <w:tab w:val="num" w:pos="2052"/>
        </w:tabs>
        <w:ind w:left="2052" w:hanging="283"/>
      </w:pPr>
      <w:rPr>
        <w:rFonts w:ascii="Times New Roman" w:hAnsi="Times New Roman" w:hint="default"/>
      </w:rPr>
    </w:lvl>
    <w:lvl w:ilvl="3">
      <w:start w:val="1"/>
      <w:numFmt w:val="bullet"/>
      <w:pStyle w:val="ListDash4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B7115"/>
    <w:multiLevelType w:val="multilevel"/>
    <w:tmpl w:val="84202F3E"/>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hint="default"/>
      </w:rPr>
    </w:lvl>
    <w:lvl w:ilvl="3">
      <w:start w:val="1"/>
      <w:numFmt w:val="bullet"/>
      <w:pStyle w:val="ListNumber3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0B7201"/>
    <w:multiLevelType w:val="multilevel"/>
    <w:tmpl w:val="443895B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B8345"/>
    <w:multiLevelType w:val="multilevel"/>
    <w:tmpl w:val="6AD295E8"/>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hint="default"/>
      </w:rPr>
    </w:lvl>
    <w:lvl w:ilvl="3">
      <w:start w:val="1"/>
      <w:numFmt w:val="bullet"/>
      <w:pStyle w:val="TableListNumberLevel4"/>
      <w:lvlText w:val=""/>
      <w:lvlJc w:val="left"/>
      <w:pPr>
        <w:tabs>
          <w:tab w:val="num" w:pos="1814"/>
        </w:tabs>
        <w:ind w:left="1814" w:hanging="45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47CDC"/>
    <w:multiLevelType w:val="hybridMultilevel"/>
    <w:tmpl w:val="17D6F5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2685D"/>
    <w:multiLevelType w:val="multilevel"/>
    <w:tmpl w:val="55528622"/>
    <w:name w:val="ListBullet4Numbering"/>
    <w:lvl w:ilvl="0">
      <w:start w:val="1"/>
      <w:numFmt w:val="bullet"/>
      <w:pStyle w:val="ListBullet4"/>
      <w:lvlText w:val=""/>
      <w:lvlJc w:val="left"/>
      <w:pPr>
        <w:tabs>
          <w:tab w:val="num" w:pos="1485"/>
        </w:tabs>
        <w:ind w:left="1485" w:hanging="283"/>
      </w:pPr>
      <w:rPr>
        <w:rFonts w:ascii="Symbol" w:hAnsi="Symbol" w:hint="default"/>
      </w:rPr>
    </w:lvl>
    <w:lvl w:ilvl="1">
      <w:start w:val="1"/>
      <w:numFmt w:val="bullet"/>
      <w:pStyle w:val="ListBullet4Level2"/>
      <w:lvlText w:val=""/>
      <w:lvlJc w:val="left"/>
      <w:pPr>
        <w:tabs>
          <w:tab w:val="num" w:pos="1769"/>
        </w:tabs>
        <w:ind w:left="1769" w:hanging="284"/>
      </w:pPr>
      <w:rPr>
        <w:rFonts w:ascii="Symbol" w:hAnsi="Symbol" w:hint="default"/>
      </w:rPr>
    </w:lvl>
    <w:lvl w:ilvl="2">
      <w:start w:val="1"/>
      <w:numFmt w:val="bullet"/>
      <w:pStyle w:val="ListBullet4Level3"/>
      <w:lvlText w:val=""/>
      <w:lvlJc w:val="left"/>
      <w:pPr>
        <w:tabs>
          <w:tab w:val="num" w:pos="2052"/>
        </w:tabs>
        <w:ind w:left="2052" w:hanging="283"/>
      </w:pPr>
      <w:rPr>
        <w:rFonts w:ascii="Symbol" w:hAnsi="Symbol" w:hint="default"/>
      </w:rPr>
    </w:lvl>
    <w:lvl w:ilvl="3">
      <w:start w:val="1"/>
      <w:numFmt w:val="bullet"/>
      <w:pStyle w:val="ListBullet4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3D0A16"/>
    <w:multiLevelType w:val="multilevel"/>
    <w:tmpl w:val="1DEE9B72"/>
    <w:name w:val="ListBullet3Numbering"/>
    <w:lvl w:ilvl="0">
      <w:start w:val="1"/>
      <w:numFmt w:val="bullet"/>
      <w:pStyle w:val="ListBullet3"/>
      <w:lvlText w:val=""/>
      <w:lvlJc w:val="left"/>
      <w:pPr>
        <w:tabs>
          <w:tab w:val="num" w:pos="1485"/>
        </w:tabs>
        <w:ind w:left="1485" w:hanging="283"/>
      </w:pPr>
      <w:rPr>
        <w:rFonts w:ascii="Symbol" w:hAnsi="Symbol" w:hint="default"/>
      </w:rPr>
    </w:lvl>
    <w:lvl w:ilvl="1">
      <w:start w:val="1"/>
      <w:numFmt w:val="bullet"/>
      <w:pStyle w:val="ListBullet3Level2"/>
      <w:lvlText w:val=""/>
      <w:lvlJc w:val="left"/>
      <w:pPr>
        <w:tabs>
          <w:tab w:val="num" w:pos="1769"/>
        </w:tabs>
        <w:ind w:left="1769" w:hanging="284"/>
      </w:pPr>
      <w:rPr>
        <w:rFonts w:ascii="Symbol" w:hAnsi="Symbol" w:hint="default"/>
      </w:rPr>
    </w:lvl>
    <w:lvl w:ilvl="2">
      <w:start w:val="1"/>
      <w:numFmt w:val="bullet"/>
      <w:pStyle w:val="ListBullet3Level3"/>
      <w:lvlText w:val=""/>
      <w:lvlJc w:val="left"/>
      <w:pPr>
        <w:tabs>
          <w:tab w:val="num" w:pos="2052"/>
        </w:tabs>
        <w:ind w:left="2052" w:hanging="283"/>
      </w:pPr>
      <w:rPr>
        <w:rFonts w:ascii="Symbol" w:hAnsi="Symbol" w:hint="default"/>
      </w:rPr>
    </w:lvl>
    <w:lvl w:ilvl="3">
      <w:start w:val="1"/>
      <w:numFmt w:val="bullet"/>
      <w:pStyle w:val="ListBullet3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BDA91D"/>
    <w:multiLevelType w:val="hybridMultilevel"/>
    <w:tmpl w:val="FFFFFFFF"/>
    <w:lvl w:ilvl="0" w:tplc="0526E9DA">
      <w:start w:val="1"/>
      <w:numFmt w:val="decimal"/>
      <w:lvlText w:val="%1)"/>
      <w:lvlJc w:val="left"/>
      <w:pPr>
        <w:ind w:left="720" w:hanging="360"/>
      </w:pPr>
    </w:lvl>
    <w:lvl w:ilvl="1" w:tplc="DDB4BE5E">
      <w:start w:val="1"/>
      <w:numFmt w:val="lowerLetter"/>
      <w:lvlText w:val="%2."/>
      <w:lvlJc w:val="left"/>
      <w:pPr>
        <w:ind w:left="1440" w:hanging="360"/>
      </w:pPr>
    </w:lvl>
    <w:lvl w:ilvl="2" w:tplc="C11E10AE">
      <w:start w:val="1"/>
      <w:numFmt w:val="lowerRoman"/>
      <w:lvlText w:val="%3."/>
      <w:lvlJc w:val="right"/>
      <w:pPr>
        <w:ind w:left="2160" w:hanging="180"/>
      </w:pPr>
    </w:lvl>
    <w:lvl w:ilvl="3" w:tplc="213C75E0">
      <w:start w:val="1"/>
      <w:numFmt w:val="decimal"/>
      <w:lvlText w:val="%4."/>
      <w:lvlJc w:val="left"/>
      <w:pPr>
        <w:ind w:left="2880" w:hanging="360"/>
      </w:pPr>
    </w:lvl>
    <w:lvl w:ilvl="4" w:tplc="A0D8E94A">
      <w:start w:val="1"/>
      <w:numFmt w:val="lowerLetter"/>
      <w:lvlText w:val="%5."/>
      <w:lvlJc w:val="left"/>
      <w:pPr>
        <w:ind w:left="3600" w:hanging="360"/>
      </w:pPr>
    </w:lvl>
    <w:lvl w:ilvl="5" w:tplc="73ECBE70">
      <w:start w:val="1"/>
      <w:numFmt w:val="lowerRoman"/>
      <w:lvlText w:val="%6."/>
      <w:lvlJc w:val="right"/>
      <w:pPr>
        <w:ind w:left="4320" w:hanging="180"/>
      </w:pPr>
    </w:lvl>
    <w:lvl w:ilvl="6" w:tplc="6DC46AAE">
      <w:start w:val="1"/>
      <w:numFmt w:val="decimal"/>
      <w:lvlText w:val="%7."/>
      <w:lvlJc w:val="left"/>
      <w:pPr>
        <w:ind w:left="5040" w:hanging="360"/>
      </w:pPr>
    </w:lvl>
    <w:lvl w:ilvl="7" w:tplc="12B4E100">
      <w:start w:val="1"/>
      <w:numFmt w:val="lowerLetter"/>
      <w:lvlText w:val="%8."/>
      <w:lvlJc w:val="left"/>
      <w:pPr>
        <w:ind w:left="5760" w:hanging="360"/>
      </w:pPr>
    </w:lvl>
    <w:lvl w:ilvl="8" w:tplc="4F74925A">
      <w:start w:val="1"/>
      <w:numFmt w:val="lowerRoman"/>
      <w:lvlText w:val="%9."/>
      <w:lvlJc w:val="right"/>
      <w:pPr>
        <w:ind w:left="6480" w:hanging="180"/>
      </w:pPr>
    </w:lvl>
  </w:abstractNum>
  <w:abstractNum w:abstractNumId="9" w15:restartNumberingAfterBreak="0">
    <w:nsid w:val="172F0AC5"/>
    <w:multiLevelType w:val="multilevel"/>
    <w:tmpl w:val="BF444EA2"/>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hint="default"/>
      </w:rPr>
    </w:lvl>
    <w:lvl w:ilvl="3">
      <w:start w:val="1"/>
      <w:numFmt w:val="bullet"/>
      <w:pStyle w:val="ListNumber2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7B624F"/>
    <w:multiLevelType w:val="multilevel"/>
    <w:tmpl w:val="BBF0912E"/>
    <w:name w:val="ListDash2Numbering"/>
    <w:lvl w:ilvl="0">
      <w:start w:val="1"/>
      <w:numFmt w:val="bullet"/>
      <w:pStyle w:val="ListDash2"/>
      <w:lvlText w:val="–"/>
      <w:lvlJc w:val="left"/>
      <w:pPr>
        <w:tabs>
          <w:tab w:val="num" w:pos="1485"/>
        </w:tabs>
        <w:ind w:left="1485" w:hanging="283"/>
      </w:pPr>
      <w:rPr>
        <w:rFonts w:ascii="Times New Roman" w:hAnsi="Times New Roman" w:hint="default"/>
      </w:rPr>
    </w:lvl>
    <w:lvl w:ilvl="1">
      <w:start w:val="1"/>
      <w:numFmt w:val="bullet"/>
      <w:pStyle w:val="ListDash2Level2"/>
      <w:lvlText w:val="–"/>
      <w:lvlJc w:val="left"/>
      <w:pPr>
        <w:tabs>
          <w:tab w:val="num" w:pos="1769"/>
        </w:tabs>
        <w:ind w:left="1769" w:hanging="284"/>
      </w:pPr>
      <w:rPr>
        <w:rFonts w:ascii="Times New Roman" w:hAnsi="Times New Roman" w:hint="default"/>
      </w:rPr>
    </w:lvl>
    <w:lvl w:ilvl="2">
      <w:start w:val="1"/>
      <w:numFmt w:val="bullet"/>
      <w:pStyle w:val="ListDash2Level3"/>
      <w:lvlText w:val="–"/>
      <w:lvlJc w:val="left"/>
      <w:pPr>
        <w:tabs>
          <w:tab w:val="num" w:pos="2052"/>
        </w:tabs>
        <w:ind w:left="2052" w:hanging="283"/>
      </w:pPr>
      <w:rPr>
        <w:rFonts w:ascii="Times New Roman" w:hAnsi="Times New Roman" w:hint="default"/>
      </w:rPr>
    </w:lvl>
    <w:lvl w:ilvl="3">
      <w:start w:val="1"/>
      <w:numFmt w:val="bullet"/>
      <w:pStyle w:val="ListDash2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025813"/>
    <w:multiLevelType w:val="hybridMultilevel"/>
    <w:tmpl w:val="2EB2E6E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05446E"/>
    <w:multiLevelType w:val="hybridMultilevel"/>
    <w:tmpl w:val="C7BAE740"/>
    <w:lvl w:ilvl="0" w:tplc="18090011">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24E763CA"/>
    <w:multiLevelType w:val="hybridMultilevel"/>
    <w:tmpl w:val="9DE02484"/>
    <w:lvl w:ilvl="0" w:tplc="15466786">
      <w:start w:val="1"/>
      <w:numFmt w:val="bullet"/>
      <w:lvlText w:val=""/>
      <w:lvlJc w:val="left"/>
      <w:pPr>
        <w:ind w:left="1363" w:hanging="360"/>
      </w:pPr>
      <w:rPr>
        <w:rFonts w:ascii="Symbol" w:hAnsi="Symbol" w:hint="default"/>
      </w:rPr>
    </w:lvl>
    <w:lvl w:ilvl="1" w:tplc="FE1C1528">
      <w:start w:val="1"/>
      <w:numFmt w:val="decimal"/>
      <w:lvlText w:val="%2."/>
      <w:lvlJc w:val="left"/>
      <w:pPr>
        <w:ind w:left="2083" w:hanging="360"/>
      </w:pPr>
    </w:lvl>
    <w:lvl w:ilvl="2" w:tplc="1B5AA16E">
      <w:start w:val="1"/>
      <w:numFmt w:val="bullet"/>
      <w:lvlText w:val=""/>
      <w:lvlJc w:val="left"/>
      <w:pPr>
        <w:ind w:left="2803" w:hanging="360"/>
      </w:pPr>
      <w:rPr>
        <w:rFonts w:ascii="Wingdings" w:hAnsi="Wingdings" w:hint="default"/>
      </w:rPr>
    </w:lvl>
    <w:lvl w:ilvl="3" w:tplc="AB42A3A0">
      <w:start w:val="1"/>
      <w:numFmt w:val="bullet"/>
      <w:lvlText w:val=""/>
      <w:lvlJc w:val="left"/>
      <w:pPr>
        <w:ind w:left="3523" w:hanging="360"/>
      </w:pPr>
      <w:rPr>
        <w:rFonts w:ascii="Symbol" w:hAnsi="Symbol" w:hint="default"/>
      </w:rPr>
    </w:lvl>
    <w:lvl w:ilvl="4" w:tplc="CC5EBBC0">
      <w:start w:val="1"/>
      <w:numFmt w:val="bullet"/>
      <w:lvlText w:val="o"/>
      <w:lvlJc w:val="left"/>
      <w:pPr>
        <w:ind w:left="4243" w:hanging="360"/>
      </w:pPr>
      <w:rPr>
        <w:rFonts w:ascii="Courier New" w:hAnsi="Courier New" w:hint="default"/>
      </w:rPr>
    </w:lvl>
    <w:lvl w:ilvl="5" w:tplc="377E6568">
      <w:start w:val="1"/>
      <w:numFmt w:val="bullet"/>
      <w:lvlText w:val=""/>
      <w:lvlJc w:val="left"/>
      <w:pPr>
        <w:ind w:left="4963" w:hanging="360"/>
      </w:pPr>
      <w:rPr>
        <w:rFonts w:ascii="Wingdings" w:hAnsi="Wingdings" w:hint="default"/>
      </w:rPr>
    </w:lvl>
    <w:lvl w:ilvl="6" w:tplc="A2A4DB36">
      <w:start w:val="1"/>
      <w:numFmt w:val="bullet"/>
      <w:lvlText w:val=""/>
      <w:lvlJc w:val="left"/>
      <w:pPr>
        <w:ind w:left="5683" w:hanging="360"/>
      </w:pPr>
      <w:rPr>
        <w:rFonts w:ascii="Symbol" w:hAnsi="Symbol" w:hint="default"/>
      </w:rPr>
    </w:lvl>
    <w:lvl w:ilvl="7" w:tplc="33465A72">
      <w:start w:val="1"/>
      <w:numFmt w:val="bullet"/>
      <w:lvlText w:val="o"/>
      <w:lvlJc w:val="left"/>
      <w:pPr>
        <w:ind w:left="6403" w:hanging="360"/>
      </w:pPr>
      <w:rPr>
        <w:rFonts w:ascii="Courier New" w:hAnsi="Courier New" w:hint="default"/>
      </w:rPr>
    </w:lvl>
    <w:lvl w:ilvl="8" w:tplc="3E304AE8">
      <w:start w:val="1"/>
      <w:numFmt w:val="bullet"/>
      <w:lvlText w:val=""/>
      <w:lvlJc w:val="left"/>
      <w:pPr>
        <w:ind w:left="7123" w:hanging="360"/>
      </w:pPr>
      <w:rPr>
        <w:rFonts w:ascii="Wingdings" w:hAnsi="Wingdings" w:hint="default"/>
      </w:rPr>
    </w:lvl>
  </w:abstractNum>
  <w:abstractNum w:abstractNumId="14" w15:restartNumberingAfterBreak="0">
    <w:nsid w:val="2A024407"/>
    <w:multiLevelType w:val="hybridMultilevel"/>
    <w:tmpl w:val="F1921F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4D6C7D"/>
    <w:multiLevelType w:val="hybridMultilevel"/>
    <w:tmpl w:val="2EB2E6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8DFDF8"/>
    <w:multiLevelType w:val="multilevel"/>
    <w:tmpl w:val="2E0E5B60"/>
    <w:name w:val="ListBullet2Numbering"/>
    <w:lvl w:ilvl="0">
      <w:start w:val="1"/>
      <w:numFmt w:val="bullet"/>
      <w:pStyle w:val="ListBullet2"/>
      <w:lvlText w:val=""/>
      <w:lvlJc w:val="left"/>
      <w:pPr>
        <w:tabs>
          <w:tab w:val="num" w:pos="1485"/>
        </w:tabs>
        <w:ind w:left="1485" w:hanging="283"/>
      </w:pPr>
      <w:rPr>
        <w:rFonts w:ascii="Symbol" w:hAnsi="Symbol" w:hint="default"/>
      </w:rPr>
    </w:lvl>
    <w:lvl w:ilvl="1">
      <w:start w:val="1"/>
      <w:numFmt w:val="bullet"/>
      <w:pStyle w:val="ListBullet2Level2"/>
      <w:lvlText w:val=""/>
      <w:lvlJc w:val="left"/>
      <w:pPr>
        <w:tabs>
          <w:tab w:val="num" w:pos="1769"/>
        </w:tabs>
        <w:ind w:left="1769" w:hanging="284"/>
      </w:pPr>
      <w:rPr>
        <w:rFonts w:ascii="Symbol" w:hAnsi="Symbol" w:hint="default"/>
      </w:rPr>
    </w:lvl>
    <w:lvl w:ilvl="2">
      <w:start w:val="1"/>
      <w:numFmt w:val="bullet"/>
      <w:pStyle w:val="ListBullet2Level3"/>
      <w:lvlText w:val=""/>
      <w:lvlJc w:val="left"/>
      <w:pPr>
        <w:tabs>
          <w:tab w:val="num" w:pos="2052"/>
        </w:tabs>
        <w:ind w:left="2052" w:hanging="283"/>
      </w:pPr>
      <w:rPr>
        <w:rFonts w:ascii="Symbol" w:hAnsi="Symbol" w:hint="default"/>
      </w:rPr>
    </w:lvl>
    <w:lvl w:ilvl="3">
      <w:start w:val="1"/>
      <w:numFmt w:val="bullet"/>
      <w:pStyle w:val="ListBullet2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293CE3"/>
    <w:multiLevelType w:val="multilevel"/>
    <w:tmpl w:val="9A38D11E"/>
    <w:name w:val="LegalNumParNumbering"/>
    <w:lvl w:ilvl="0">
      <w:start w:val="1"/>
      <w:numFmt w:val="decimal"/>
      <w:pStyle w:val="LegalNumPar"/>
      <w:lvlText w:val="%1."/>
      <w:lvlJc w:val="left"/>
      <w:pPr>
        <w:tabs>
          <w:tab w:val="num" w:pos="476"/>
        </w:tabs>
        <w:ind w:left="476" w:hanging="476"/>
      </w:pPr>
    </w:lvl>
    <w:lvl w:ilvl="1">
      <w:start w:val="1"/>
      <w:numFmt w:val="lowerLetter"/>
      <w:pStyle w:val="LegalNumPar2"/>
      <w:lvlText w:val="%2."/>
      <w:lvlJc w:val="left"/>
      <w:pPr>
        <w:tabs>
          <w:tab w:val="num" w:pos="952"/>
        </w:tabs>
        <w:ind w:left="952" w:hanging="476"/>
      </w:pPr>
    </w:lvl>
    <w:lvl w:ilvl="2">
      <w:start w:val="1"/>
      <w:numFmt w:val="lowerRoman"/>
      <w:pStyle w:val="LegalNumPar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293CF4"/>
    <w:multiLevelType w:val="multilevel"/>
    <w:tmpl w:val="C3E23C5C"/>
    <w:name w:val="ContNumNumbering"/>
    <w:lvl w:ilvl="0">
      <w:start w:val="1"/>
      <w:numFmt w:val="decimal"/>
      <w:pStyle w:val="ContNum"/>
      <w:lvlText w:val="%1."/>
      <w:lvlJc w:val="left"/>
      <w:pPr>
        <w:tabs>
          <w:tab w:val="num" w:pos="476"/>
        </w:tabs>
        <w:ind w:left="476" w:hanging="476"/>
      </w:pPr>
    </w:lvl>
    <w:lvl w:ilvl="1">
      <w:start w:val="1"/>
      <w:numFmt w:val="lowerLetter"/>
      <w:pStyle w:val="ContNumLevel2"/>
      <w:lvlText w:val="%2."/>
      <w:lvlJc w:val="left"/>
      <w:pPr>
        <w:tabs>
          <w:tab w:val="num" w:pos="952"/>
        </w:tabs>
        <w:ind w:left="952" w:hanging="476"/>
      </w:pPr>
    </w:lvl>
    <w:lvl w:ilvl="2">
      <w:start w:val="1"/>
      <w:numFmt w:val="lowerRoman"/>
      <w:pStyle w:val="ContNumLevel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56B3"/>
    <w:multiLevelType w:val="hybridMultilevel"/>
    <w:tmpl w:val="AA588A10"/>
    <w:lvl w:ilvl="0" w:tplc="B3844216">
      <w:start w:val="1"/>
      <w:numFmt w:val="bullet"/>
      <w:lvlText w:val=""/>
      <w:lvlJc w:val="left"/>
      <w:pPr>
        <w:ind w:left="1080" w:hanging="360"/>
      </w:pPr>
      <w:rPr>
        <w:rFonts w:ascii="Symbol" w:hAnsi="Symbol" w:hint="default"/>
      </w:rPr>
    </w:lvl>
    <w:lvl w:ilvl="1" w:tplc="C3E0ECEC" w:tentative="1">
      <w:start w:val="1"/>
      <w:numFmt w:val="bullet"/>
      <w:lvlText w:val="o"/>
      <w:lvlJc w:val="left"/>
      <w:pPr>
        <w:ind w:left="1800" w:hanging="360"/>
      </w:pPr>
      <w:rPr>
        <w:rFonts w:ascii="Courier New" w:hAnsi="Courier New" w:hint="default"/>
      </w:rPr>
    </w:lvl>
    <w:lvl w:ilvl="2" w:tplc="C510A080" w:tentative="1">
      <w:start w:val="1"/>
      <w:numFmt w:val="bullet"/>
      <w:lvlText w:val=""/>
      <w:lvlJc w:val="left"/>
      <w:pPr>
        <w:ind w:left="2520" w:hanging="360"/>
      </w:pPr>
      <w:rPr>
        <w:rFonts w:ascii="Wingdings" w:hAnsi="Wingdings" w:hint="default"/>
      </w:rPr>
    </w:lvl>
    <w:lvl w:ilvl="3" w:tplc="EA789154" w:tentative="1">
      <w:start w:val="1"/>
      <w:numFmt w:val="bullet"/>
      <w:lvlText w:val=""/>
      <w:lvlJc w:val="left"/>
      <w:pPr>
        <w:ind w:left="3240" w:hanging="360"/>
      </w:pPr>
      <w:rPr>
        <w:rFonts w:ascii="Symbol" w:hAnsi="Symbol" w:hint="default"/>
      </w:rPr>
    </w:lvl>
    <w:lvl w:ilvl="4" w:tplc="BD04B564" w:tentative="1">
      <w:start w:val="1"/>
      <w:numFmt w:val="bullet"/>
      <w:lvlText w:val="o"/>
      <w:lvlJc w:val="left"/>
      <w:pPr>
        <w:ind w:left="3960" w:hanging="360"/>
      </w:pPr>
      <w:rPr>
        <w:rFonts w:ascii="Courier New" w:hAnsi="Courier New" w:hint="default"/>
      </w:rPr>
    </w:lvl>
    <w:lvl w:ilvl="5" w:tplc="59AA4706" w:tentative="1">
      <w:start w:val="1"/>
      <w:numFmt w:val="bullet"/>
      <w:lvlText w:val=""/>
      <w:lvlJc w:val="left"/>
      <w:pPr>
        <w:ind w:left="4680" w:hanging="360"/>
      </w:pPr>
      <w:rPr>
        <w:rFonts w:ascii="Wingdings" w:hAnsi="Wingdings" w:hint="default"/>
      </w:rPr>
    </w:lvl>
    <w:lvl w:ilvl="6" w:tplc="20CC8DC6" w:tentative="1">
      <w:start w:val="1"/>
      <w:numFmt w:val="bullet"/>
      <w:lvlText w:val=""/>
      <w:lvlJc w:val="left"/>
      <w:pPr>
        <w:ind w:left="5400" w:hanging="360"/>
      </w:pPr>
      <w:rPr>
        <w:rFonts w:ascii="Symbol" w:hAnsi="Symbol" w:hint="default"/>
      </w:rPr>
    </w:lvl>
    <w:lvl w:ilvl="7" w:tplc="53D22BAE" w:tentative="1">
      <w:start w:val="1"/>
      <w:numFmt w:val="bullet"/>
      <w:lvlText w:val="o"/>
      <w:lvlJc w:val="left"/>
      <w:pPr>
        <w:ind w:left="6120" w:hanging="360"/>
      </w:pPr>
      <w:rPr>
        <w:rFonts w:ascii="Courier New" w:hAnsi="Courier New" w:hint="default"/>
      </w:rPr>
    </w:lvl>
    <w:lvl w:ilvl="8" w:tplc="2E42F9F8" w:tentative="1">
      <w:start w:val="1"/>
      <w:numFmt w:val="bullet"/>
      <w:lvlText w:val=""/>
      <w:lvlJc w:val="left"/>
      <w:pPr>
        <w:ind w:left="6840" w:hanging="360"/>
      </w:pPr>
      <w:rPr>
        <w:rFonts w:ascii="Wingdings" w:hAnsi="Wingdings" w:hint="default"/>
      </w:rPr>
    </w:lvl>
  </w:abstractNum>
  <w:abstractNum w:abstractNumId="20" w15:restartNumberingAfterBreak="0">
    <w:nsid w:val="328268D1"/>
    <w:multiLevelType w:val="hybridMultilevel"/>
    <w:tmpl w:val="ADD43B08"/>
    <w:lvl w:ilvl="0" w:tplc="BE82393A">
      <w:start w:val="1"/>
      <w:numFmt w:val="decimal"/>
      <w:lvlText w:val="%1)"/>
      <w:lvlJc w:val="left"/>
      <w:pPr>
        <w:ind w:left="842" w:hanging="360"/>
      </w:pPr>
      <w:rPr>
        <w:rFonts w:hint="default"/>
      </w:rPr>
    </w:lvl>
    <w:lvl w:ilvl="1" w:tplc="18090019" w:tentative="1">
      <w:start w:val="1"/>
      <w:numFmt w:val="lowerLetter"/>
      <w:lvlText w:val="%2."/>
      <w:lvlJc w:val="left"/>
      <w:pPr>
        <w:ind w:left="1562" w:hanging="360"/>
      </w:pPr>
    </w:lvl>
    <w:lvl w:ilvl="2" w:tplc="1809001B" w:tentative="1">
      <w:start w:val="1"/>
      <w:numFmt w:val="lowerRoman"/>
      <w:lvlText w:val="%3."/>
      <w:lvlJc w:val="right"/>
      <w:pPr>
        <w:ind w:left="2282" w:hanging="180"/>
      </w:pPr>
    </w:lvl>
    <w:lvl w:ilvl="3" w:tplc="1809000F" w:tentative="1">
      <w:start w:val="1"/>
      <w:numFmt w:val="decimal"/>
      <w:lvlText w:val="%4."/>
      <w:lvlJc w:val="left"/>
      <w:pPr>
        <w:ind w:left="3002" w:hanging="360"/>
      </w:pPr>
    </w:lvl>
    <w:lvl w:ilvl="4" w:tplc="18090019" w:tentative="1">
      <w:start w:val="1"/>
      <w:numFmt w:val="lowerLetter"/>
      <w:lvlText w:val="%5."/>
      <w:lvlJc w:val="left"/>
      <w:pPr>
        <w:ind w:left="3722" w:hanging="360"/>
      </w:pPr>
    </w:lvl>
    <w:lvl w:ilvl="5" w:tplc="1809001B" w:tentative="1">
      <w:start w:val="1"/>
      <w:numFmt w:val="lowerRoman"/>
      <w:lvlText w:val="%6."/>
      <w:lvlJc w:val="right"/>
      <w:pPr>
        <w:ind w:left="4442" w:hanging="180"/>
      </w:pPr>
    </w:lvl>
    <w:lvl w:ilvl="6" w:tplc="1809000F" w:tentative="1">
      <w:start w:val="1"/>
      <w:numFmt w:val="decimal"/>
      <w:lvlText w:val="%7."/>
      <w:lvlJc w:val="left"/>
      <w:pPr>
        <w:ind w:left="5162" w:hanging="360"/>
      </w:pPr>
    </w:lvl>
    <w:lvl w:ilvl="7" w:tplc="18090019" w:tentative="1">
      <w:start w:val="1"/>
      <w:numFmt w:val="lowerLetter"/>
      <w:lvlText w:val="%8."/>
      <w:lvlJc w:val="left"/>
      <w:pPr>
        <w:ind w:left="5882" w:hanging="360"/>
      </w:pPr>
    </w:lvl>
    <w:lvl w:ilvl="8" w:tplc="1809001B" w:tentative="1">
      <w:start w:val="1"/>
      <w:numFmt w:val="lowerRoman"/>
      <w:lvlText w:val="%9."/>
      <w:lvlJc w:val="right"/>
      <w:pPr>
        <w:ind w:left="6602" w:hanging="180"/>
      </w:pPr>
    </w:lvl>
  </w:abstractNum>
  <w:abstractNum w:abstractNumId="21" w15:restartNumberingAfterBreak="0">
    <w:nsid w:val="329F2EAE"/>
    <w:multiLevelType w:val="hybridMultilevel"/>
    <w:tmpl w:val="1AB02FC2"/>
    <w:lvl w:ilvl="0" w:tplc="7C4E1BFA">
      <w:start w:val="1"/>
      <w:numFmt w:val="bullet"/>
      <w:lvlText w:val="•"/>
      <w:lvlJc w:val="left"/>
      <w:pPr>
        <w:tabs>
          <w:tab w:val="num" w:pos="720"/>
        </w:tabs>
        <w:ind w:left="720" w:hanging="360"/>
      </w:pPr>
      <w:rPr>
        <w:rFonts w:ascii="Arial" w:hAnsi="Arial" w:hint="default"/>
      </w:rPr>
    </w:lvl>
    <w:lvl w:ilvl="1" w:tplc="8DDE244A" w:tentative="1">
      <w:start w:val="1"/>
      <w:numFmt w:val="bullet"/>
      <w:lvlText w:val="•"/>
      <w:lvlJc w:val="left"/>
      <w:pPr>
        <w:tabs>
          <w:tab w:val="num" w:pos="1440"/>
        </w:tabs>
        <w:ind w:left="1440" w:hanging="360"/>
      </w:pPr>
      <w:rPr>
        <w:rFonts w:ascii="Arial" w:hAnsi="Arial" w:hint="default"/>
      </w:rPr>
    </w:lvl>
    <w:lvl w:ilvl="2" w:tplc="AB64A5EC" w:tentative="1">
      <w:start w:val="1"/>
      <w:numFmt w:val="bullet"/>
      <w:lvlText w:val="•"/>
      <w:lvlJc w:val="left"/>
      <w:pPr>
        <w:tabs>
          <w:tab w:val="num" w:pos="2160"/>
        </w:tabs>
        <w:ind w:left="2160" w:hanging="360"/>
      </w:pPr>
      <w:rPr>
        <w:rFonts w:ascii="Arial" w:hAnsi="Arial" w:hint="default"/>
      </w:rPr>
    </w:lvl>
    <w:lvl w:ilvl="3" w:tplc="FE40690E" w:tentative="1">
      <w:start w:val="1"/>
      <w:numFmt w:val="bullet"/>
      <w:lvlText w:val="•"/>
      <w:lvlJc w:val="left"/>
      <w:pPr>
        <w:tabs>
          <w:tab w:val="num" w:pos="2880"/>
        </w:tabs>
        <w:ind w:left="2880" w:hanging="360"/>
      </w:pPr>
      <w:rPr>
        <w:rFonts w:ascii="Arial" w:hAnsi="Arial" w:hint="default"/>
      </w:rPr>
    </w:lvl>
    <w:lvl w:ilvl="4" w:tplc="C042424C" w:tentative="1">
      <w:start w:val="1"/>
      <w:numFmt w:val="bullet"/>
      <w:lvlText w:val="•"/>
      <w:lvlJc w:val="left"/>
      <w:pPr>
        <w:tabs>
          <w:tab w:val="num" w:pos="3600"/>
        </w:tabs>
        <w:ind w:left="3600" w:hanging="360"/>
      </w:pPr>
      <w:rPr>
        <w:rFonts w:ascii="Arial" w:hAnsi="Arial" w:hint="default"/>
      </w:rPr>
    </w:lvl>
    <w:lvl w:ilvl="5" w:tplc="CD642AFC" w:tentative="1">
      <w:start w:val="1"/>
      <w:numFmt w:val="bullet"/>
      <w:lvlText w:val="•"/>
      <w:lvlJc w:val="left"/>
      <w:pPr>
        <w:tabs>
          <w:tab w:val="num" w:pos="4320"/>
        </w:tabs>
        <w:ind w:left="4320" w:hanging="360"/>
      </w:pPr>
      <w:rPr>
        <w:rFonts w:ascii="Arial" w:hAnsi="Arial" w:hint="default"/>
      </w:rPr>
    </w:lvl>
    <w:lvl w:ilvl="6" w:tplc="860E6F60" w:tentative="1">
      <w:start w:val="1"/>
      <w:numFmt w:val="bullet"/>
      <w:lvlText w:val="•"/>
      <w:lvlJc w:val="left"/>
      <w:pPr>
        <w:tabs>
          <w:tab w:val="num" w:pos="5040"/>
        </w:tabs>
        <w:ind w:left="5040" w:hanging="360"/>
      </w:pPr>
      <w:rPr>
        <w:rFonts w:ascii="Arial" w:hAnsi="Arial" w:hint="default"/>
      </w:rPr>
    </w:lvl>
    <w:lvl w:ilvl="7" w:tplc="1EF88E8C" w:tentative="1">
      <w:start w:val="1"/>
      <w:numFmt w:val="bullet"/>
      <w:lvlText w:val="•"/>
      <w:lvlJc w:val="left"/>
      <w:pPr>
        <w:tabs>
          <w:tab w:val="num" w:pos="5760"/>
        </w:tabs>
        <w:ind w:left="5760" w:hanging="360"/>
      </w:pPr>
      <w:rPr>
        <w:rFonts w:ascii="Arial" w:hAnsi="Arial" w:hint="default"/>
      </w:rPr>
    </w:lvl>
    <w:lvl w:ilvl="8" w:tplc="203E49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2E40F71"/>
    <w:multiLevelType w:val="hybridMultilevel"/>
    <w:tmpl w:val="DDDC0304"/>
    <w:lvl w:ilvl="0" w:tplc="0C7EB658">
      <w:start w:val="16"/>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3D157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4C3BCF2"/>
    <w:multiLevelType w:val="hybridMultilevel"/>
    <w:tmpl w:val="FFFFFFFF"/>
    <w:lvl w:ilvl="0" w:tplc="C3985130">
      <w:start w:val="1"/>
      <w:numFmt w:val="bullet"/>
      <w:lvlText w:val="-"/>
      <w:lvlJc w:val="left"/>
      <w:pPr>
        <w:ind w:left="720" w:hanging="360"/>
      </w:pPr>
      <w:rPr>
        <w:rFonts w:ascii="Aptos" w:hAnsi="Aptos" w:hint="default"/>
      </w:rPr>
    </w:lvl>
    <w:lvl w:ilvl="1" w:tplc="24BCAE10">
      <w:start w:val="1"/>
      <w:numFmt w:val="bullet"/>
      <w:lvlText w:val="o"/>
      <w:lvlJc w:val="left"/>
      <w:pPr>
        <w:ind w:left="1440" w:hanging="360"/>
      </w:pPr>
      <w:rPr>
        <w:rFonts w:ascii="Courier New" w:hAnsi="Courier New" w:hint="default"/>
      </w:rPr>
    </w:lvl>
    <w:lvl w:ilvl="2" w:tplc="29A8555C">
      <w:start w:val="1"/>
      <w:numFmt w:val="bullet"/>
      <w:lvlText w:val=""/>
      <w:lvlJc w:val="left"/>
      <w:pPr>
        <w:ind w:left="2160" w:hanging="360"/>
      </w:pPr>
      <w:rPr>
        <w:rFonts w:ascii="Wingdings" w:hAnsi="Wingdings" w:hint="default"/>
      </w:rPr>
    </w:lvl>
    <w:lvl w:ilvl="3" w:tplc="09B6ED6A">
      <w:start w:val="1"/>
      <w:numFmt w:val="bullet"/>
      <w:lvlText w:val=""/>
      <w:lvlJc w:val="left"/>
      <w:pPr>
        <w:ind w:left="2880" w:hanging="360"/>
      </w:pPr>
      <w:rPr>
        <w:rFonts w:ascii="Symbol" w:hAnsi="Symbol" w:hint="default"/>
      </w:rPr>
    </w:lvl>
    <w:lvl w:ilvl="4" w:tplc="BB681F30">
      <w:start w:val="1"/>
      <w:numFmt w:val="bullet"/>
      <w:lvlText w:val="o"/>
      <w:lvlJc w:val="left"/>
      <w:pPr>
        <w:ind w:left="3600" w:hanging="360"/>
      </w:pPr>
      <w:rPr>
        <w:rFonts w:ascii="Courier New" w:hAnsi="Courier New" w:hint="default"/>
      </w:rPr>
    </w:lvl>
    <w:lvl w:ilvl="5" w:tplc="DA90477E">
      <w:start w:val="1"/>
      <w:numFmt w:val="bullet"/>
      <w:lvlText w:val=""/>
      <w:lvlJc w:val="left"/>
      <w:pPr>
        <w:ind w:left="4320" w:hanging="360"/>
      </w:pPr>
      <w:rPr>
        <w:rFonts w:ascii="Wingdings" w:hAnsi="Wingdings" w:hint="default"/>
      </w:rPr>
    </w:lvl>
    <w:lvl w:ilvl="6" w:tplc="FE28E8AA">
      <w:start w:val="1"/>
      <w:numFmt w:val="bullet"/>
      <w:lvlText w:val=""/>
      <w:lvlJc w:val="left"/>
      <w:pPr>
        <w:ind w:left="5040" w:hanging="360"/>
      </w:pPr>
      <w:rPr>
        <w:rFonts w:ascii="Symbol" w:hAnsi="Symbol" w:hint="default"/>
      </w:rPr>
    </w:lvl>
    <w:lvl w:ilvl="7" w:tplc="7B306C1C">
      <w:start w:val="1"/>
      <w:numFmt w:val="bullet"/>
      <w:lvlText w:val="o"/>
      <w:lvlJc w:val="left"/>
      <w:pPr>
        <w:ind w:left="5760" w:hanging="360"/>
      </w:pPr>
      <w:rPr>
        <w:rFonts w:ascii="Courier New" w:hAnsi="Courier New" w:hint="default"/>
      </w:rPr>
    </w:lvl>
    <w:lvl w:ilvl="8" w:tplc="00DC63FA">
      <w:start w:val="1"/>
      <w:numFmt w:val="bullet"/>
      <w:lvlText w:val=""/>
      <w:lvlJc w:val="left"/>
      <w:pPr>
        <w:ind w:left="6480" w:hanging="360"/>
      </w:pPr>
      <w:rPr>
        <w:rFonts w:ascii="Wingdings" w:hAnsi="Wingdings" w:hint="default"/>
      </w:rPr>
    </w:lvl>
  </w:abstractNum>
  <w:abstractNum w:abstractNumId="25" w15:restartNumberingAfterBreak="0">
    <w:nsid w:val="35A267AD"/>
    <w:multiLevelType w:val="hybridMultilevel"/>
    <w:tmpl w:val="FFFFFFFF"/>
    <w:lvl w:ilvl="0" w:tplc="FA30BFE2">
      <w:start w:val="1"/>
      <w:numFmt w:val="decimal"/>
      <w:lvlText w:val="%1)"/>
      <w:lvlJc w:val="left"/>
      <w:pPr>
        <w:ind w:left="1723" w:hanging="360"/>
      </w:pPr>
    </w:lvl>
    <w:lvl w:ilvl="1" w:tplc="E7EE2A6C">
      <w:start w:val="1"/>
      <w:numFmt w:val="lowerLetter"/>
      <w:lvlText w:val="%2."/>
      <w:lvlJc w:val="left"/>
      <w:pPr>
        <w:ind w:left="2443" w:hanging="360"/>
      </w:pPr>
    </w:lvl>
    <w:lvl w:ilvl="2" w:tplc="D4C8B3B4">
      <w:start w:val="1"/>
      <w:numFmt w:val="lowerRoman"/>
      <w:lvlText w:val="%3."/>
      <w:lvlJc w:val="right"/>
      <w:pPr>
        <w:ind w:left="3163" w:hanging="180"/>
      </w:pPr>
    </w:lvl>
    <w:lvl w:ilvl="3" w:tplc="B108FD3C">
      <w:start w:val="1"/>
      <w:numFmt w:val="decimal"/>
      <w:lvlText w:val="%4."/>
      <w:lvlJc w:val="left"/>
      <w:pPr>
        <w:ind w:left="3883" w:hanging="360"/>
      </w:pPr>
    </w:lvl>
    <w:lvl w:ilvl="4" w:tplc="91CE31D6">
      <w:start w:val="1"/>
      <w:numFmt w:val="lowerLetter"/>
      <w:lvlText w:val="%5."/>
      <w:lvlJc w:val="left"/>
      <w:pPr>
        <w:ind w:left="4603" w:hanging="360"/>
      </w:pPr>
    </w:lvl>
    <w:lvl w:ilvl="5" w:tplc="525E5376">
      <w:start w:val="1"/>
      <w:numFmt w:val="lowerRoman"/>
      <w:lvlText w:val="%6."/>
      <w:lvlJc w:val="right"/>
      <w:pPr>
        <w:ind w:left="5323" w:hanging="180"/>
      </w:pPr>
    </w:lvl>
    <w:lvl w:ilvl="6" w:tplc="3DA8DE58">
      <w:start w:val="1"/>
      <w:numFmt w:val="decimal"/>
      <w:lvlText w:val="%7."/>
      <w:lvlJc w:val="left"/>
      <w:pPr>
        <w:ind w:left="6043" w:hanging="360"/>
      </w:pPr>
    </w:lvl>
    <w:lvl w:ilvl="7" w:tplc="96C813D8">
      <w:start w:val="1"/>
      <w:numFmt w:val="lowerLetter"/>
      <w:lvlText w:val="%8."/>
      <w:lvlJc w:val="left"/>
      <w:pPr>
        <w:ind w:left="6763" w:hanging="360"/>
      </w:pPr>
    </w:lvl>
    <w:lvl w:ilvl="8" w:tplc="9826900A">
      <w:start w:val="1"/>
      <w:numFmt w:val="lowerRoman"/>
      <w:lvlText w:val="%9."/>
      <w:lvlJc w:val="right"/>
      <w:pPr>
        <w:ind w:left="7483" w:hanging="180"/>
      </w:pPr>
    </w:lvl>
  </w:abstractNum>
  <w:abstractNum w:abstractNumId="26" w15:restartNumberingAfterBreak="0">
    <w:nsid w:val="36324F1E"/>
    <w:multiLevelType w:val="multilevel"/>
    <w:tmpl w:val="3D647660"/>
    <w:name w:val="ListDash3Numbering"/>
    <w:lvl w:ilvl="0">
      <w:start w:val="1"/>
      <w:numFmt w:val="bullet"/>
      <w:pStyle w:val="ListDash3"/>
      <w:lvlText w:val="–"/>
      <w:lvlJc w:val="left"/>
      <w:pPr>
        <w:tabs>
          <w:tab w:val="num" w:pos="1485"/>
        </w:tabs>
        <w:ind w:left="1485" w:hanging="283"/>
      </w:pPr>
      <w:rPr>
        <w:rFonts w:ascii="Times New Roman" w:hAnsi="Times New Roman" w:hint="default"/>
      </w:rPr>
    </w:lvl>
    <w:lvl w:ilvl="1">
      <w:start w:val="1"/>
      <w:numFmt w:val="bullet"/>
      <w:pStyle w:val="ListDash3Level2"/>
      <w:lvlText w:val="–"/>
      <w:lvlJc w:val="left"/>
      <w:pPr>
        <w:tabs>
          <w:tab w:val="num" w:pos="1769"/>
        </w:tabs>
        <w:ind w:left="1769" w:hanging="284"/>
      </w:pPr>
      <w:rPr>
        <w:rFonts w:ascii="Times New Roman" w:hAnsi="Times New Roman" w:hint="default"/>
      </w:rPr>
    </w:lvl>
    <w:lvl w:ilvl="2">
      <w:start w:val="1"/>
      <w:numFmt w:val="bullet"/>
      <w:pStyle w:val="ListDash3Level3"/>
      <w:lvlText w:val="–"/>
      <w:lvlJc w:val="left"/>
      <w:pPr>
        <w:tabs>
          <w:tab w:val="num" w:pos="2052"/>
        </w:tabs>
        <w:ind w:left="2052" w:hanging="283"/>
      </w:pPr>
      <w:rPr>
        <w:rFonts w:ascii="Times New Roman" w:hAnsi="Times New Roman" w:hint="default"/>
      </w:rPr>
    </w:lvl>
    <w:lvl w:ilvl="3">
      <w:start w:val="1"/>
      <w:numFmt w:val="bullet"/>
      <w:pStyle w:val="ListDash3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CB1E1C"/>
    <w:multiLevelType w:val="multilevel"/>
    <w:tmpl w:val="FC5274D8"/>
    <w:name w:val="ListDash1Numbering"/>
    <w:lvl w:ilvl="0">
      <w:start w:val="1"/>
      <w:numFmt w:val="bullet"/>
      <w:pStyle w:val="ListDash1"/>
      <w:lvlText w:val="–"/>
      <w:lvlJc w:val="left"/>
      <w:pPr>
        <w:tabs>
          <w:tab w:val="num" w:pos="765"/>
        </w:tabs>
        <w:ind w:left="765" w:hanging="283"/>
      </w:pPr>
      <w:rPr>
        <w:rFonts w:ascii="Times New Roman" w:hAnsi="Times New Roman" w:hint="default"/>
      </w:rPr>
    </w:lvl>
    <w:lvl w:ilvl="1">
      <w:start w:val="1"/>
      <w:numFmt w:val="bullet"/>
      <w:pStyle w:val="ListDash1Level2"/>
      <w:lvlText w:val="–"/>
      <w:lvlJc w:val="left"/>
      <w:pPr>
        <w:tabs>
          <w:tab w:val="num" w:pos="1049"/>
        </w:tabs>
        <w:ind w:left="1049" w:hanging="284"/>
      </w:pPr>
      <w:rPr>
        <w:rFonts w:ascii="Times New Roman" w:hAnsi="Times New Roman" w:hint="default"/>
      </w:rPr>
    </w:lvl>
    <w:lvl w:ilvl="2">
      <w:start w:val="1"/>
      <w:numFmt w:val="bullet"/>
      <w:pStyle w:val="ListDash1Level3"/>
      <w:lvlText w:val="–"/>
      <w:lvlJc w:val="left"/>
      <w:pPr>
        <w:tabs>
          <w:tab w:val="num" w:pos="1332"/>
        </w:tabs>
        <w:ind w:left="1332" w:hanging="283"/>
      </w:pPr>
      <w:rPr>
        <w:rFonts w:ascii="Times New Roman" w:hAnsi="Times New Roman" w:hint="default"/>
      </w:rPr>
    </w:lvl>
    <w:lvl w:ilvl="3">
      <w:start w:val="1"/>
      <w:numFmt w:val="bullet"/>
      <w:pStyle w:val="ListDash1Level4"/>
      <w:lvlText w:val="–"/>
      <w:lvlJc w:val="left"/>
      <w:pPr>
        <w:tabs>
          <w:tab w:val="num" w:pos="1616"/>
        </w:tabs>
        <w:ind w:left="161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635BAA"/>
    <w:multiLevelType w:val="hybridMultilevel"/>
    <w:tmpl w:val="51E8A2B6"/>
    <w:lvl w:ilvl="0" w:tplc="A9B650FC">
      <w:numFmt w:val="bullet"/>
      <w:lvlText w:val="-"/>
      <w:lvlJc w:val="left"/>
      <w:pPr>
        <w:ind w:left="720" w:hanging="360"/>
      </w:pPr>
      <w:rPr>
        <w:rFonts w:ascii="Times New Roman" w:hAnsi="Times New Roman" w:hint="default"/>
      </w:rPr>
    </w:lvl>
    <w:lvl w:ilvl="1" w:tplc="6E4010E4" w:tentative="1">
      <w:start w:val="1"/>
      <w:numFmt w:val="bullet"/>
      <w:lvlText w:val="o"/>
      <w:lvlJc w:val="left"/>
      <w:pPr>
        <w:ind w:left="1440" w:hanging="360"/>
      </w:pPr>
      <w:rPr>
        <w:rFonts w:ascii="Courier New" w:hAnsi="Courier New" w:hint="default"/>
      </w:rPr>
    </w:lvl>
    <w:lvl w:ilvl="2" w:tplc="5F1ACA52" w:tentative="1">
      <w:start w:val="1"/>
      <w:numFmt w:val="bullet"/>
      <w:lvlText w:val=""/>
      <w:lvlJc w:val="left"/>
      <w:pPr>
        <w:ind w:left="2160" w:hanging="360"/>
      </w:pPr>
      <w:rPr>
        <w:rFonts w:ascii="Wingdings" w:hAnsi="Wingdings" w:hint="default"/>
      </w:rPr>
    </w:lvl>
    <w:lvl w:ilvl="3" w:tplc="37DED00A" w:tentative="1">
      <w:start w:val="1"/>
      <w:numFmt w:val="bullet"/>
      <w:lvlText w:val=""/>
      <w:lvlJc w:val="left"/>
      <w:pPr>
        <w:ind w:left="2880" w:hanging="360"/>
      </w:pPr>
      <w:rPr>
        <w:rFonts w:ascii="Symbol" w:hAnsi="Symbol" w:hint="default"/>
      </w:rPr>
    </w:lvl>
    <w:lvl w:ilvl="4" w:tplc="891C684A" w:tentative="1">
      <w:start w:val="1"/>
      <w:numFmt w:val="bullet"/>
      <w:lvlText w:val="o"/>
      <w:lvlJc w:val="left"/>
      <w:pPr>
        <w:ind w:left="3600" w:hanging="360"/>
      </w:pPr>
      <w:rPr>
        <w:rFonts w:ascii="Courier New" w:hAnsi="Courier New" w:hint="default"/>
      </w:rPr>
    </w:lvl>
    <w:lvl w:ilvl="5" w:tplc="5C12824A" w:tentative="1">
      <w:start w:val="1"/>
      <w:numFmt w:val="bullet"/>
      <w:lvlText w:val=""/>
      <w:lvlJc w:val="left"/>
      <w:pPr>
        <w:ind w:left="4320" w:hanging="360"/>
      </w:pPr>
      <w:rPr>
        <w:rFonts w:ascii="Wingdings" w:hAnsi="Wingdings" w:hint="default"/>
      </w:rPr>
    </w:lvl>
    <w:lvl w:ilvl="6" w:tplc="DDA21FF0" w:tentative="1">
      <w:start w:val="1"/>
      <w:numFmt w:val="bullet"/>
      <w:lvlText w:val=""/>
      <w:lvlJc w:val="left"/>
      <w:pPr>
        <w:ind w:left="5040" w:hanging="360"/>
      </w:pPr>
      <w:rPr>
        <w:rFonts w:ascii="Symbol" w:hAnsi="Symbol" w:hint="default"/>
      </w:rPr>
    </w:lvl>
    <w:lvl w:ilvl="7" w:tplc="A5F2E8FA" w:tentative="1">
      <w:start w:val="1"/>
      <w:numFmt w:val="bullet"/>
      <w:lvlText w:val="o"/>
      <w:lvlJc w:val="left"/>
      <w:pPr>
        <w:ind w:left="5760" w:hanging="360"/>
      </w:pPr>
      <w:rPr>
        <w:rFonts w:ascii="Courier New" w:hAnsi="Courier New" w:hint="default"/>
      </w:rPr>
    </w:lvl>
    <w:lvl w:ilvl="8" w:tplc="5FD04D0E" w:tentative="1">
      <w:start w:val="1"/>
      <w:numFmt w:val="bullet"/>
      <w:lvlText w:val=""/>
      <w:lvlJc w:val="left"/>
      <w:pPr>
        <w:ind w:left="6480" w:hanging="360"/>
      </w:pPr>
      <w:rPr>
        <w:rFonts w:ascii="Wingdings" w:hAnsi="Wingdings" w:hint="default"/>
      </w:rPr>
    </w:lvl>
  </w:abstractNum>
  <w:abstractNum w:abstractNumId="29" w15:restartNumberingAfterBreak="0">
    <w:nsid w:val="3A7730C4"/>
    <w:multiLevelType w:val="multilevel"/>
    <w:tmpl w:val="058C1A66"/>
    <w:name w:val="ListBullet1Numbering"/>
    <w:lvl w:ilvl="0">
      <w:start w:val="1"/>
      <w:numFmt w:val="bullet"/>
      <w:pStyle w:val="ListBullet1"/>
      <w:lvlText w:val=""/>
      <w:lvlJc w:val="left"/>
      <w:pPr>
        <w:tabs>
          <w:tab w:val="num" w:pos="765"/>
        </w:tabs>
        <w:ind w:left="765" w:hanging="283"/>
      </w:pPr>
      <w:rPr>
        <w:rFonts w:ascii="Symbol" w:hAnsi="Symbol" w:hint="default"/>
      </w:rPr>
    </w:lvl>
    <w:lvl w:ilvl="1">
      <w:start w:val="1"/>
      <w:numFmt w:val="bullet"/>
      <w:pStyle w:val="ListBullet1Level2"/>
      <w:lvlText w:val=""/>
      <w:lvlJc w:val="left"/>
      <w:pPr>
        <w:tabs>
          <w:tab w:val="num" w:pos="1049"/>
        </w:tabs>
        <w:ind w:left="1049" w:hanging="284"/>
      </w:pPr>
      <w:rPr>
        <w:rFonts w:ascii="Symbol" w:hAnsi="Symbol" w:hint="default"/>
      </w:rPr>
    </w:lvl>
    <w:lvl w:ilvl="2">
      <w:start w:val="1"/>
      <w:numFmt w:val="bullet"/>
      <w:pStyle w:val="ListBullet1Level3"/>
      <w:lvlText w:val=""/>
      <w:lvlJc w:val="left"/>
      <w:pPr>
        <w:tabs>
          <w:tab w:val="num" w:pos="1332"/>
        </w:tabs>
        <w:ind w:left="1332" w:hanging="283"/>
      </w:pPr>
      <w:rPr>
        <w:rFonts w:ascii="Symbol" w:hAnsi="Symbol" w:hint="default"/>
      </w:rPr>
    </w:lvl>
    <w:lvl w:ilvl="3">
      <w:start w:val="1"/>
      <w:numFmt w:val="bullet"/>
      <w:pStyle w:val="ListBullet1Level4"/>
      <w:lvlText w:val=""/>
      <w:lvlJc w:val="left"/>
      <w:pPr>
        <w:tabs>
          <w:tab w:val="num" w:pos="1616"/>
        </w:tabs>
        <w:ind w:left="161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A7F8352"/>
    <w:multiLevelType w:val="hybridMultilevel"/>
    <w:tmpl w:val="2EA0267C"/>
    <w:lvl w:ilvl="0" w:tplc="E5825BD0">
      <w:start w:val="1"/>
      <w:numFmt w:val="bullet"/>
      <w:lvlText w:val="-"/>
      <w:lvlJc w:val="left"/>
      <w:pPr>
        <w:ind w:left="720" w:hanging="360"/>
      </w:pPr>
      <w:rPr>
        <w:rFonts w:ascii="Aptos" w:hAnsi="Aptos" w:hint="default"/>
      </w:rPr>
    </w:lvl>
    <w:lvl w:ilvl="1" w:tplc="A0BE2004">
      <w:start w:val="1"/>
      <w:numFmt w:val="bullet"/>
      <w:lvlText w:val="o"/>
      <w:lvlJc w:val="left"/>
      <w:pPr>
        <w:ind w:left="1440" w:hanging="360"/>
      </w:pPr>
      <w:rPr>
        <w:rFonts w:ascii="Courier New" w:hAnsi="Courier New" w:hint="default"/>
      </w:rPr>
    </w:lvl>
    <w:lvl w:ilvl="2" w:tplc="841CAE58">
      <w:start w:val="1"/>
      <w:numFmt w:val="bullet"/>
      <w:lvlText w:val=""/>
      <w:lvlJc w:val="left"/>
      <w:pPr>
        <w:ind w:left="2160" w:hanging="360"/>
      </w:pPr>
      <w:rPr>
        <w:rFonts w:ascii="Wingdings" w:hAnsi="Wingdings" w:hint="default"/>
      </w:rPr>
    </w:lvl>
    <w:lvl w:ilvl="3" w:tplc="1C6832F4">
      <w:start w:val="1"/>
      <w:numFmt w:val="bullet"/>
      <w:lvlText w:val=""/>
      <w:lvlJc w:val="left"/>
      <w:pPr>
        <w:ind w:left="2880" w:hanging="360"/>
      </w:pPr>
      <w:rPr>
        <w:rFonts w:ascii="Symbol" w:hAnsi="Symbol" w:hint="default"/>
      </w:rPr>
    </w:lvl>
    <w:lvl w:ilvl="4" w:tplc="45D0B1D6">
      <w:start w:val="1"/>
      <w:numFmt w:val="bullet"/>
      <w:lvlText w:val="o"/>
      <w:lvlJc w:val="left"/>
      <w:pPr>
        <w:ind w:left="3600" w:hanging="360"/>
      </w:pPr>
      <w:rPr>
        <w:rFonts w:ascii="Courier New" w:hAnsi="Courier New" w:hint="default"/>
      </w:rPr>
    </w:lvl>
    <w:lvl w:ilvl="5" w:tplc="FAC60454">
      <w:start w:val="1"/>
      <w:numFmt w:val="bullet"/>
      <w:lvlText w:val=""/>
      <w:lvlJc w:val="left"/>
      <w:pPr>
        <w:ind w:left="4320" w:hanging="360"/>
      </w:pPr>
      <w:rPr>
        <w:rFonts w:ascii="Wingdings" w:hAnsi="Wingdings" w:hint="default"/>
      </w:rPr>
    </w:lvl>
    <w:lvl w:ilvl="6" w:tplc="8CFE6E50">
      <w:start w:val="1"/>
      <w:numFmt w:val="bullet"/>
      <w:lvlText w:val=""/>
      <w:lvlJc w:val="left"/>
      <w:pPr>
        <w:ind w:left="5040" w:hanging="360"/>
      </w:pPr>
      <w:rPr>
        <w:rFonts w:ascii="Symbol" w:hAnsi="Symbol" w:hint="default"/>
      </w:rPr>
    </w:lvl>
    <w:lvl w:ilvl="7" w:tplc="553AFAF4">
      <w:start w:val="1"/>
      <w:numFmt w:val="bullet"/>
      <w:lvlText w:val="o"/>
      <w:lvlJc w:val="left"/>
      <w:pPr>
        <w:ind w:left="5760" w:hanging="360"/>
      </w:pPr>
      <w:rPr>
        <w:rFonts w:ascii="Courier New" w:hAnsi="Courier New" w:hint="default"/>
      </w:rPr>
    </w:lvl>
    <w:lvl w:ilvl="8" w:tplc="F73E89AC">
      <w:start w:val="1"/>
      <w:numFmt w:val="bullet"/>
      <w:lvlText w:val=""/>
      <w:lvlJc w:val="left"/>
      <w:pPr>
        <w:ind w:left="6480" w:hanging="360"/>
      </w:pPr>
      <w:rPr>
        <w:rFonts w:ascii="Wingdings" w:hAnsi="Wingdings" w:hint="default"/>
      </w:rPr>
    </w:lvl>
  </w:abstractNum>
  <w:abstractNum w:abstractNumId="31" w15:restartNumberingAfterBreak="0">
    <w:nsid w:val="3E402914"/>
    <w:multiLevelType w:val="hybridMultilevel"/>
    <w:tmpl w:val="8EEC630E"/>
    <w:lvl w:ilvl="0" w:tplc="8D7AECB0">
      <w:start w:val="1"/>
      <w:numFmt w:val="bullet"/>
      <w:lvlText w:val="-"/>
      <w:lvlJc w:val="left"/>
      <w:pPr>
        <w:ind w:left="720" w:hanging="360"/>
      </w:pPr>
      <w:rPr>
        <w:rFonts w:ascii="Aptos" w:hAnsi="Aptos" w:hint="default"/>
      </w:rPr>
    </w:lvl>
    <w:lvl w:ilvl="1" w:tplc="D502537C">
      <w:start w:val="1"/>
      <w:numFmt w:val="bullet"/>
      <w:lvlText w:val="o"/>
      <w:lvlJc w:val="left"/>
      <w:pPr>
        <w:ind w:left="1440" w:hanging="360"/>
      </w:pPr>
      <w:rPr>
        <w:rFonts w:ascii="Courier New" w:hAnsi="Courier New" w:hint="default"/>
      </w:rPr>
    </w:lvl>
    <w:lvl w:ilvl="2" w:tplc="53427ADC">
      <w:start w:val="1"/>
      <w:numFmt w:val="bullet"/>
      <w:lvlText w:val=""/>
      <w:lvlJc w:val="left"/>
      <w:pPr>
        <w:ind w:left="2160" w:hanging="360"/>
      </w:pPr>
      <w:rPr>
        <w:rFonts w:ascii="Wingdings" w:hAnsi="Wingdings" w:hint="default"/>
      </w:rPr>
    </w:lvl>
    <w:lvl w:ilvl="3" w:tplc="D1D0B346">
      <w:start w:val="1"/>
      <w:numFmt w:val="bullet"/>
      <w:lvlText w:val=""/>
      <w:lvlJc w:val="left"/>
      <w:pPr>
        <w:ind w:left="2880" w:hanging="360"/>
      </w:pPr>
      <w:rPr>
        <w:rFonts w:ascii="Symbol" w:hAnsi="Symbol" w:hint="default"/>
      </w:rPr>
    </w:lvl>
    <w:lvl w:ilvl="4" w:tplc="2FE0F5BC">
      <w:start w:val="1"/>
      <w:numFmt w:val="bullet"/>
      <w:lvlText w:val="o"/>
      <w:lvlJc w:val="left"/>
      <w:pPr>
        <w:ind w:left="3600" w:hanging="360"/>
      </w:pPr>
      <w:rPr>
        <w:rFonts w:ascii="Courier New" w:hAnsi="Courier New" w:hint="default"/>
      </w:rPr>
    </w:lvl>
    <w:lvl w:ilvl="5" w:tplc="F710E07C">
      <w:start w:val="1"/>
      <w:numFmt w:val="bullet"/>
      <w:lvlText w:val=""/>
      <w:lvlJc w:val="left"/>
      <w:pPr>
        <w:ind w:left="4320" w:hanging="360"/>
      </w:pPr>
      <w:rPr>
        <w:rFonts w:ascii="Wingdings" w:hAnsi="Wingdings" w:hint="default"/>
      </w:rPr>
    </w:lvl>
    <w:lvl w:ilvl="6" w:tplc="A65ED6D4">
      <w:start w:val="1"/>
      <w:numFmt w:val="bullet"/>
      <w:lvlText w:val=""/>
      <w:lvlJc w:val="left"/>
      <w:pPr>
        <w:ind w:left="5040" w:hanging="360"/>
      </w:pPr>
      <w:rPr>
        <w:rFonts w:ascii="Symbol" w:hAnsi="Symbol" w:hint="default"/>
      </w:rPr>
    </w:lvl>
    <w:lvl w:ilvl="7" w:tplc="20DAC73A">
      <w:start w:val="1"/>
      <w:numFmt w:val="bullet"/>
      <w:lvlText w:val="o"/>
      <w:lvlJc w:val="left"/>
      <w:pPr>
        <w:ind w:left="5760" w:hanging="360"/>
      </w:pPr>
      <w:rPr>
        <w:rFonts w:ascii="Courier New" w:hAnsi="Courier New" w:hint="default"/>
      </w:rPr>
    </w:lvl>
    <w:lvl w:ilvl="8" w:tplc="772C6358">
      <w:start w:val="1"/>
      <w:numFmt w:val="bullet"/>
      <w:lvlText w:val=""/>
      <w:lvlJc w:val="left"/>
      <w:pPr>
        <w:ind w:left="6480" w:hanging="360"/>
      </w:pPr>
      <w:rPr>
        <w:rFonts w:ascii="Wingdings" w:hAnsi="Wingdings" w:hint="default"/>
      </w:rPr>
    </w:lvl>
  </w:abstractNum>
  <w:abstractNum w:abstractNumId="32" w15:restartNumberingAfterBreak="0">
    <w:nsid w:val="3E9F0C55"/>
    <w:multiLevelType w:val="hybridMultilevel"/>
    <w:tmpl w:val="835CEED8"/>
    <w:lvl w:ilvl="0" w:tplc="870AEBC0">
      <w:start w:val="1"/>
      <w:numFmt w:val="bullet"/>
      <w:lvlText w:val="•"/>
      <w:lvlJc w:val="left"/>
      <w:pPr>
        <w:tabs>
          <w:tab w:val="num" w:pos="720"/>
        </w:tabs>
        <w:ind w:left="720" w:hanging="360"/>
      </w:pPr>
      <w:rPr>
        <w:rFonts w:ascii="Times New Roman" w:hAnsi="Times New Roman" w:hint="default"/>
      </w:rPr>
    </w:lvl>
    <w:lvl w:ilvl="1" w:tplc="C17EB91A" w:tentative="1">
      <w:start w:val="1"/>
      <w:numFmt w:val="bullet"/>
      <w:lvlText w:val="•"/>
      <w:lvlJc w:val="left"/>
      <w:pPr>
        <w:tabs>
          <w:tab w:val="num" w:pos="1440"/>
        </w:tabs>
        <w:ind w:left="1440" w:hanging="360"/>
      </w:pPr>
      <w:rPr>
        <w:rFonts w:ascii="Times New Roman" w:hAnsi="Times New Roman" w:hint="default"/>
      </w:rPr>
    </w:lvl>
    <w:lvl w:ilvl="2" w:tplc="94947D26" w:tentative="1">
      <w:start w:val="1"/>
      <w:numFmt w:val="bullet"/>
      <w:lvlText w:val="•"/>
      <w:lvlJc w:val="left"/>
      <w:pPr>
        <w:tabs>
          <w:tab w:val="num" w:pos="2160"/>
        </w:tabs>
        <w:ind w:left="2160" w:hanging="360"/>
      </w:pPr>
      <w:rPr>
        <w:rFonts w:ascii="Times New Roman" w:hAnsi="Times New Roman" w:hint="default"/>
      </w:rPr>
    </w:lvl>
    <w:lvl w:ilvl="3" w:tplc="92462B0A" w:tentative="1">
      <w:start w:val="1"/>
      <w:numFmt w:val="bullet"/>
      <w:lvlText w:val="•"/>
      <w:lvlJc w:val="left"/>
      <w:pPr>
        <w:tabs>
          <w:tab w:val="num" w:pos="2880"/>
        </w:tabs>
        <w:ind w:left="2880" w:hanging="360"/>
      </w:pPr>
      <w:rPr>
        <w:rFonts w:ascii="Times New Roman" w:hAnsi="Times New Roman" w:hint="default"/>
      </w:rPr>
    </w:lvl>
    <w:lvl w:ilvl="4" w:tplc="846A6D90" w:tentative="1">
      <w:start w:val="1"/>
      <w:numFmt w:val="bullet"/>
      <w:lvlText w:val="•"/>
      <w:lvlJc w:val="left"/>
      <w:pPr>
        <w:tabs>
          <w:tab w:val="num" w:pos="3600"/>
        </w:tabs>
        <w:ind w:left="3600" w:hanging="360"/>
      </w:pPr>
      <w:rPr>
        <w:rFonts w:ascii="Times New Roman" w:hAnsi="Times New Roman" w:hint="default"/>
      </w:rPr>
    </w:lvl>
    <w:lvl w:ilvl="5" w:tplc="C7B4EDEE" w:tentative="1">
      <w:start w:val="1"/>
      <w:numFmt w:val="bullet"/>
      <w:lvlText w:val="•"/>
      <w:lvlJc w:val="left"/>
      <w:pPr>
        <w:tabs>
          <w:tab w:val="num" w:pos="4320"/>
        </w:tabs>
        <w:ind w:left="4320" w:hanging="360"/>
      </w:pPr>
      <w:rPr>
        <w:rFonts w:ascii="Times New Roman" w:hAnsi="Times New Roman" w:hint="default"/>
      </w:rPr>
    </w:lvl>
    <w:lvl w:ilvl="6" w:tplc="82D0D2C8" w:tentative="1">
      <w:start w:val="1"/>
      <w:numFmt w:val="bullet"/>
      <w:lvlText w:val="•"/>
      <w:lvlJc w:val="left"/>
      <w:pPr>
        <w:tabs>
          <w:tab w:val="num" w:pos="5040"/>
        </w:tabs>
        <w:ind w:left="5040" w:hanging="360"/>
      </w:pPr>
      <w:rPr>
        <w:rFonts w:ascii="Times New Roman" w:hAnsi="Times New Roman" w:hint="default"/>
      </w:rPr>
    </w:lvl>
    <w:lvl w:ilvl="7" w:tplc="D5CA58FE" w:tentative="1">
      <w:start w:val="1"/>
      <w:numFmt w:val="bullet"/>
      <w:lvlText w:val="•"/>
      <w:lvlJc w:val="left"/>
      <w:pPr>
        <w:tabs>
          <w:tab w:val="num" w:pos="5760"/>
        </w:tabs>
        <w:ind w:left="5760" w:hanging="360"/>
      </w:pPr>
      <w:rPr>
        <w:rFonts w:ascii="Times New Roman" w:hAnsi="Times New Roman" w:hint="default"/>
      </w:rPr>
    </w:lvl>
    <w:lvl w:ilvl="8" w:tplc="A0EE4A1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29E662A"/>
    <w:multiLevelType w:val="multilevel"/>
    <w:tmpl w:val="51CC775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4634F3"/>
    <w:multiLevelType w:val="hybridMultilevel"/>
    <w:tmpl w:val="FFFFFFFF"/>
    <w:lvl w:ilvl="0" w:tplc="1362196C">
      <w:start w:val="1"/>
      <w:numFmt w:val="decimal"/>
      <w:lvlText w:val="%1)"/>
      <w:lvlJc w:val="left"/>
      <w:pPr>
        <w:ind w:left="720" w:hanging="360"/>
      </w:pPr>
    </w:lvl>
    <w:lvl w:ilvl="1" w:tplc="C40A278E">
      <w:start w:val="1"/>
      <w:numFmt w:val="lowerLetter"/>
      <w:lvlText w:val="%2."/>
      <w:lvlJc w:val="left"/>
      <w:pPr>
        <w:ind w:left="1440" w:hanging="360"/>
      </w:pPr>
    </w:lvl>
    <w:lvl w:ilvl="2" w:tplc="C9DA2E78">
      <w:start w:val="1"/>
      <w:numFmt w:val="lowerRoman"/>
      <w:lvlText w:val="%3."/>
      <w:lvlJc w:val="right"/>
      <w:pPr>
        <w:ind w:left="2160" w:hanging="180"/>
      </w:pPr>
    </w:lvl>
    <w:lvl w:ilvl="3" w:tplc="3F168D88">
      <w:start w:val="1"/>
      <w:numFmt w:val="decimal"/>
      <w:lvlText w:val="%4."/>
      <w:lvlJc w:val="left"/>
      <w:pPr>
        <w:ind w:left="2880" w:hanging="360"/>
      </w:pPr>
    </w:lvl>
    <w:lvl w:ilvl="4" w:tplc="413E5354">
      <w:start w:val="1"/>
      <w:numFmt w:val="lowerLetter"/>
      <w:lvlText w:val="%5."/>
      <w:lvlJc w:val="left"/>
      <w:pPr>
        <w:ind w:left="3600" w:hanging="360"/>
      </w:pPr>
    </w:lvl>
    <w:lvl w:ilvl="5" w:tplc="30663290">
      <w:start w:val="1"/>
      <w:numFmt w:val="lowerRoman"/>
      <w:lvlText w:val="%6."/>
      <w:lvlJc w:val="right"/>
      <w:pPr>
        <w:ind w:left="4320" w:hanging="180"/>
      </w:pPr>
    </w:lvl>
    <w:lvl w:ilvl="6" w:tplc="4906D6BE">
      <w:start w:val="1"/>
      <w:numFmt w:val="decimal"/>
      <w:lvlText w:val="%7."/>
      <w:lvlJc w:val="left"/>
      <w:pPr>
        <w:ind w:left="5040" w:hanging="360"/>
      </w:pPr>
    </w:lvl>
    <w:lvl w:ilvl="7" w:tplc="B0B4579E">
      <w:start w:val="1"/>
      <w:numFmt w:val="lowerLetter"/>
      <w:lvlText w:val="%8."/>
      <w:lvlJc w:val="left"/>
      <w:pPr>
        <w:ind w:left="5760" w:hanging="360"/>
      </w:pPr>
    </w:lvl>
    <w:lvl w:ilvl="8" w:tplc="DDB4D24E">
      <w:start w:val="1"/>
      <w:numFmt w:val="lowerRoman"/>
      <w:lvlText w:val="%9."/>
      <w:lvlJc w:val="right"/>
      <w:pPr>
        <w:ind w:left="6480" w:hanging="180"/>
      </w:pPr>
    </w:lvl>
  </w:abstractNum>
  <w:abstractNum w:abstractNumId="35" w15:restartNumberingAfterBreak="0">
    <w:nsid w:val="4C261496"/>
    <w:multiLevelType w:val="hybridMultilevel"/>
    <w:tmpl w:val="17D6F5B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C6A4088"/>
    <w:multiLevelType w:val="hybridMultilevel"/>
    <w:tmpl w:val="FFFFFFFF"/>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7" w15:restartNumberingAfterBreak="0">
    <w:nsid w:val="4E1A63DF"/>
    <w:multiLevelType w:val="multilevel"/>
    <w:tmpl w:val="308824B8"/>
    <w:name w:val="TableListBulletNumbering"/>
    <w:lvl w:ilvl="0">
      <w:start w:val="1"/>
      <w:numFmt w:val="bullet"/>
      <w:pStyle w:val="TableListBullet"/>
      <w:lvlText w:val=""/>
      <w:lvlJc w:val="left"/>
      <w:pPr>
        <w:tabs>
          <w:tab w:val="num" w:pos="283"/>
        </w:tabs>
        <w:ind w:left="283" w:hanging="283"/>
      </w:pPr>
      <w:rPr>
        <w:rFonts w:ascii="Symbol" w:hAnsi="Symbol" w:hint="default"/>
      </w:rPr>
    </w:lvl>
    <w:lvl w:ilvl="1">
      <w:start w:val="1"/>
      <w:numFmt w:val="bullet"/>
      <w:pStyle w:val="TableListBulletLevel2"/>
      <w:lvlText w:val=""/>
      <w:lvlJc w:val="left"/>
      <w:pPr>
        <w:tabs>
          <w:tab w:val="num" w:pos="567"/>
        </w:tabs>
        <w:ind w:left="567" w:hanging="284"/>
      </w:pPr>
      <w:rPr>
        <w:rFonts w:ascii="Symbol" w:hAnsi="Symbol" w:hint="default"/>
      </w:rPr>
    </w:lvl>
    <w:lvl w:ilvl="2">
      <w:start w:val="1"/>
      <w:numFmt w:val="bullet"/>
      <w:pStyle w:val="TableListBulletLevel3"/>
      <w:lvlText w:val=""/>
      <w:lvlJc w:val="left"/>
      <w:pPr>
        <w:tabs>
          <w:tab w:val="num" w:pos="850"/>
        </w:tabs>
        <w:ind w:left="850" w:hanging="283"/>
      </w:pPr>
      <w:rPr>
        <w:rFonts w:ascii="Symbol" w:hAnsi="Symbol" w:hint="default"/>
      </w:rPr>
    </w:lvl>
    <w:lvl w:ilvl="3">
      <w:start w:val="1"/>
      <w:numFmt w:val="bullet"/>
      <w:pStyle w:val="Table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E1A982C"/>
    <w:multiLevelType w:val="multilevel"/>
    <w:tmpl w:val="1F52D494"/>
    <w:name w:val="ListBulletNumbering"/>
    <w:lvl w:ilvl="0">
      <w:start w:val="1"/>
      <w:numFmt w:val="bullet"/>
      <w:pStyle w:val="ListBullet"/>
      <w:lvlText w:val=""/>
      <w:lvlJc w:val="left"/>
      <w:pPr>
        <w:tabs>
          <w:tab w:val="num" w:pos="283"/>
        </w:tabs>
        <w:ind w:left="283" w:hanging="283"/>
      </w:pPr>
      <w:rPr>
        <w:rFonts w:ascii="Symbol" w:hAnsi="Symbol" w:hint="default"/>
      </w:rPr>
    </w:lvl>
    <w:lvl w:ilvl="1">
      <w:start w:val="1"/>
      <w:numFmt w:val="bullet"/>
      <w:pStyle w:val="ListBulletLevel2"/>
      <w:lvlText w:val=""/>
      <w:lvlJc w:val="left"/>
      <w:pPr>
        <w:tabs>
          <w:tab w:val="num" w:pos="567"/>
        </w:tabs>
        <w:ind w:left="567" w:hanging="284"/>
      </w:pPr>
      <w:rPr>
        <w:rFonts w:ascii="Symbol" w:hAnsi="Symbol" w:hint="default"/>
      </w:rPr>
    </w:lvl>
    <w:lvl w:ilvl="2">
      <w:start w:val="1"/>
      <w:numFmt w:val="bullet"/>
      <w:pStyle w:val="ListBulletLevel3"/>
      <w:lvlText w:val=""/>
      <w:lvlJc w:val="left"/>
      <w:pPr>
        <w:tabs>
          <w:tab w:val="num" w:pos="850"/>
        </w:tabs>
        <w:ind w:left="850" w:hanging="283"/>
      </w:pPr>
      <w:rPr>
        <w:rFonts w:ascii="Symbol" w:hAnsi="Symbol" w:hint="default"/>
      </w:rPr>
    </w:lvl>
    <w:lvl w:ilvl="3">
      <w:start w:val="1"/>
      <w:numFmt w:val="bullet"/>
      <w:pStyle w:val="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EBB22DA"/>
    <w:multiLevelType w:val="hybridMultilevel"/>
    <w:tmpl w:val="673031D6"/>
    <w:lvl w:ilvl="0" w:tplc="BF84C354">
      <w:numFmt w:val="bullet"/>
      <w:lvlText w:val="-"/>
      <w:lvlJc w:val="left"/>
      <w:pPr>
        <w:ind w:left="720" w:hanging="360"/>
      </w:pPr>
      <w:rPr>
        <w:rFonts w:ascii="Calibri" w:hAnsi="Calibri" w:hint="default"/>
      </w:rPr>
    </w:lvl>
    <w:lvl w:ilvl="1" w:tplc="2894181C">
      <w:start w:val="1"/>
      <w:numFmt w:val="bullet"/>
      <w:lvlText w:val="o"/>
      <w:lvlJc w:val="left"/>
      <w:pPr>
        <w:ind w:left="1440" w:hanging="360"/>
      </w:pPr>
      <w:rPr>
        <w:rFonts w:ascii="Courier New" w:hAnsi="Courier New" w:hint="default"/>
      </w:rPr>
    </w:lvl>
    <w:lvl w:ilvl="2" w:tplc="5BFA0570">
      <w:start w:val="1"/>
      <w:numFmt w:val="bullet"/>
      <w:lvlText w:val=""/>
      <w:lvlJc w:val="left"/>
      <w:pPr>
        <w:ind w:left="2160" w:hanging="360"/>
      </w:pPr>
      <w:rPr>
        <w:rFonts w:ascii="Wingdings" w:hAnsi="Wingdings" w:hint="default"/>
      </w:rPr>
    </w:lvl>
    <w:lvl w:ilvl="3" w:tplc="F8465864">
      <w:start w:val="1"/>
      <w:numFmt w:val="bullet"/>
      <w:lvlText w:val=""/>
      <w:lvlJc w:val="left"/>
      <w:pPr>
        <w:ind w:left="2880" w:hanging="360"/>
      </w:pPr>
      <w:rPr>
        <w:rFonts w:ascii="Symbol" w:hAnsi="Symbol" w:hint="default"/>
      </w:rPr>
    </w:lvl>
    <w:lvl w:ilvl="4" w:tplc="6100D542">
      <w:start w:val="1"/>
      <w:numFmt w:val="bullet"/>
      <w:lvlText w:val="o"/>
      <w:lvlJc w:val="left"/>
      <w:pPr>
        <w:ind w:left="3600" w:hanging="360"/>
      </w:pPr>
      <w:rPr>
        <w:rFonts w:ascii="Courier New" w:hAnsi="Courier New" w:hint="default"/>
      </w:rPr>
    </w:lvl>
    <w:lvl w:ilvl="5" w:tplc="CDBA12E2">
      <w:start w:val="1"/>
      <w:numFmt w:val="bullet"/>
      <w:lvlText w:val=""/>
      <w:lvlJc w:val="left"/>
      <w:pPr>
        <w:ind w:left="4320" w:hanging="360"/>
      </w:pPr>
      <w:rPr>
        <w:rFonts w:ascii="Wingdings" w:hAnsi="Wingdings" w:hint="default"/>
      </w:rPr>
    </w:lvl>
    <w:lvl w:ilvl="6" w:tplc="DE32BC6C">
      <w:start w:val="1"/>
      <w:numFmt w:val="bullet"/>
      <w:lvlText w:val=""/>
      <w:lvlJc w:val="left"/>
      <w:pPr>
        <w:ind w:left="5040" w:hanging="360"/>
      </w:pPr>
      <w:rPr>
        <w:rFonts w:ascii="Symbol" w:hAnsi="Symbol" w:hint="default"/>
      </w:rPr>
    </w:lvl>
    <w:lvl w:ilvl="7" w:tplc="0022663E">
      <w:start w:val="1"/>
      <w:numFmt w:val="bullet"/>
      <w:lvlText w:val="o"/>
      <w:lvlJc w:val="left"/>
      <w:pPr>
        <w:ind w:left="5760" w:hanging="360"/>
      </w:pPr>
      <w:rPr>
        <w:rFonts w:ascii="Courier New" w:hAnsi="Courier New" w:hint="default"/>
      </w:rPr>
    </w:lvl>
    <w:lvl w:ilvl="8" w:tplc="C3787394">
      <w:start w:val="1"/>
      <w:numFmt w:val="bullet"/>
      <w:lvlText w:val=""/>
      <w:lvlJc w:val="left"/>
      <w:pPr>
        <w:ind w:left="6480" w:hanging="360"/>
      </w:pPr>
      <w:rPr>
        <w:rFonts w:ascii="Wingdings" w:hAnsi="Wingdings" w:hint="default"/>
      </w:rPr>
    </w:lvl>
  </w:abstractNum>
  <w:abstractNum w:abstractNumId="40" w15:restartNumberingAfterBreak="0">
    <w:nsid w:val="4FC622C1"/>
    <w:multiLevelType w:val="hybridMultilevel"/>
    <w:tmpl w:val="FFFFFFFF"/>
    <w:lvl w:ilvl="0" w:tplc="5C12A4A0">
      <w:start w:val="1"/>
      <w:numFmt w:val="decimal"/>
      <w:lvlText w:val="%1)"/>
      <w:lvlJc w:val="left"/>
      <w:pPr>
        <w:ind w:left="1080" w:hanging="360"/>
      </w:pPr>
    </w:lvl>
    <w:lvl w:ilvl="1" w:tplc="2D489386">
      <w:start w:val="1"/>
      <w:numFmt w:val="lowerLetter"/>
      <w:lvlText w:val="%2."/>
      <w:lvlJc w:val="left"/>
      <w:pPr>
        <w:ind w:left="1800" w:hanging="360"/>
      </w:pPr>
    </w:lvl>
    <w:lvl w:ilvl="2" w:tplc="E8DC07D6">
      <w:start w:val="1"/>
      <w:numFmt w:val="lowerRoman"/>
      <w:lvlText w:val="%3."/>
      <w:lvlJc w:val="right"/>
      <w:pPr>
        <w:ind w:left="2520" w:hanging="180"/>
      </w:pPr>
    </w:lvl>
    <w:lvl w:ilvl="3" w:tplc="07D6E1C2">
      <w:start w:val="1"/>
      <w:numFmt w:val="decimal"/>
      <w:lvlText w:val="%4."/>
      <w:lvlJc w:val="left"/>
      <w:pPr>
        <w:ind w:left="3240" w:hanging="360"/>
      </w:pPr>
    </w:lvl>
    <w:lvl w:ilvl="4" w:tplc="5A0CE74A">
      <w:start w:val="1"/>
      <w:numFmt w:val="lowerLetter"/>
      <w:lvlText w:val="%5."/>
      <w:lvlJc w:val="left"/>
      <w:pPr>
        <w:ind w:left="3960" w:hanging="360"/>
      </w:pPr>
    </w:lvl>
    <w:lvl w:ilvl="5" w:tplc="8556BAAE">
      <w:start w:val="1"/>
      <w:numFmt w:val="lowerRoman"/>
      <w:lvlText w:val="%6."/>
      <w:lvlJc w:val="right"/>
      <w:pPr>
        <w:ind w:left="4680" w:hanging="180"/>
      </w:pPr>
    </w:lvl>
    <w:lvl w:ilvl="6" w:tplc="1CA42DF2">
      <w:start w:val="1"/>
      <w:numFmt w:val="decimal"/>
      <w:lvlText w:val="%7."/>
      <w:lvlJc w:val="left"/>
      <w:pPr>
        <w:ind w:left="5400" w:hanging="360"/>
      </w:pPr>
    </w:lvl>
    <w:lvl w:ilvl="7" w:tplc="E24C1F2C">
      <w:start w:val="1"/>
      <w:numFmt w:val="lowerLetter"/>
      <w:lvlText w:val="%8."/>
      <w:lvlJc w:val="left"/>
      <w:pPr>
        <w:ind w:left="6120" w:hanging="360"/>
      </w:pPr>
    </w:lvl>
    <w:lvl w:ilvl="8" w:tplc="3940DA1C">
      <w:start w:val="1"/>
      <w:numFmt w:val="lowerRoman"/>
      <w:lvlText w:val="%9."/>
      <w:lvlJc w:val="right"/>
      <w:pPr>
        <w:ind w:left="6840" w:hanging="180"/>
      </w:pPr>
    </w:lvl>
  </w:abstractNum>
  <w:abstractNum w:abstractNumId="41" w15:restartNumberingAfterBreak="0">
    <w:nsid w:val="5072619B"/>
    <w:multiLevelType w:val="multilevel"/>
    <w:tmpl w:val="6366DE76"/>
    <w:name w:val="ListDashNumbering"/>
    <w:lvl w:ilvl="0">
      <w:start w:val="1"/>
      <w:numFmt w:val="bullet"/>
      <w:pStyle w:val="ListDash"/>
      <w:lvlText w:val="–"/>
      <w:lvlJc w:val="left"/>
      <w:pPr>
        <w:tabs>
          <w:tab w:val="num" w:pos="283"/>
        </w:tabs>
        <w:ind w:left="283" w:hanging="283"/>
      </w:pPr>
      <w:rPr>
        <w:rFonts w:ascii="Times New Roman" w:hAnsi="Times New Roman" w:hint="default"/>
      </w:rPr>
    </w:lvl>
    <w:lvl w:ilvl="1">
      <w:start w:val="1"/>
      <w:numFmt w:val="bullet"/>
      <w:pStyle w:val="ListDashLevel2"/>
      <w:lvlText w:val="–"/>
      <w:lvlJc w:val="left"/>
      <w:pPr>
        <w:tabs>
          <w:tab w:val="num" w:pos="567"/>
        </w:tabs>
        <w:ind w:left="567" w:hanging="284"/>
      </w:pPr>
      <w:rPr>
        <w:rFonts w:ascii="Times New Roman" w:hAnsi="Times New Roman" w:hint="default"/>
      </w:rPr>
    </w:lvl>
    <w:lvl w:ilvl="2">
      <w:start w:val="1"/>
      <w:numFmt w:val="bullet"/>
      <w:pStyle w:val="ListDashLevel3"/>
      <w:lvlText w:val="–"/>
      <w:lvlJc w:val="left"/>
      <w:pPr>
        <w:tabs>
          <w:tab w:val="num" w:pos="850"/>
        </w:tabs>
        <w:ind w:left="850" w:hanging="283"/>
      </w:pPr>
      <w:rPr>
        <w:rFonts w:ascii="Times New Roman" w:hAnsi="Times New Roman" w:hint="default"/>
      </w:rPr>
    </w:lvl>
    <w:lvl w:ilvl="3">
      <w:start w:val="1"/>
      <w:numFmt w:val="bullet"/>
      <w:pStyle w:val="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0729B52"/>
    <w:multiLevelType w:val="multilevel"/>
    <w:tmpl w:val="2F72A138"/>
    <w:name w:val="TableListDashNumbering"/>
    <w:lvl w:ilvl="0">
      <w:start w:val="1"/>
      <w:numFmt w:val="bullet"/>
      <w:pStyle w:val="TableListDash"/>
      <w:lvlText w:val="–"/>
      <w:lvlJc w:val="left"/>
      <w:pPr>
        <w:tabs>
          <w:tab w:val="num" w:pos="283"/>
        </w:tabs>
        <w:ind w:left="283" w:hanging="283"/>
      </w:pPr>
      <w:rPr>
        <w:rFonts w:ascii="Times New Roman" w:hAnsi="Times New Roman" w:hint="default"/>
      </w:rPr>
    </w:lvl>
    <w:lvl w:ilvl="1">
      <w:start w:val="1"/>
      <w:numFmt w:val="bullet"/>
      <w:pStyle w:val="TableListDashLevel2"/>
      <w:lvlText w:val="–"/>
      <w:lvlJc w:val="left"/>
      <w:pPr>
        <w:tabs>
          <w:tab w:val="num" w:pos="567"/>
        </w:tabs>
        <w:ind w:left="567" w:hanging="284"/>
      </w:pPr>
      <w:rPr>
        <w:rFonts w:ascii="Times New Roman" w:hAnsi="Times New Roman" w:hint="default"/>
      </w:rPr>
    </w:lvl>
    <w:lvl w:ilvl="2">
      <w:start w:val="1"/>
      <w:numFmt w:val="bullet"/>
      <w:pStyle w:val="TableListDashLevel3"/>
      <w:lvlText w:val="–"/>
      <w:lvlJc w:val="left"/>
      <w:pPr>
        <w:tabs>
          <w:tab w:val="num" w:pos="850"/>
        </w:tabs>
        <w:ind w:left="850" w:hanging="283"/>
      </w:pPr>
      <w:rPr>
        <w:rFonts w:ascii="Times New Roman" w:hAnsi="Times New Roman" w:hint="default"/>
      </w:rPr>
    </w:lvl>
    <w:lvl w:ilvl="3">
      <w:start w:val="1"/>
      <w:numFmt w:val="bullet"/>
      <w:pStyle w:val="Table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141601A"/>
    <w:multiLevelType w:val="hybridMultilevel"/>
    <w:tmpl w:val="36C82708"/>
    <w:lvl w:ilvl="0" w:tplc="FFFFFFFF">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37C10A4"/>
    <w:multiLevelType w:val="hybridMultilevel"/>
    <w:tmpl w:val="0180E0E8"/>
    <w:lvl w:ilvl="0" w:tplc="01521802">
      <w:numFmt w:val="bullet"/>
      <w:lvlText w:val="-"/>
      <w:lvlJc w:val="left"/>
      <w:pPr>
        <w:ind w:left="720" w:hanging="360"/>
      </w:pPr>
      <w:rPr>
        <w:rFonts w:ascii="Calibri" w:hAnsi="Calibri" w:hint="default"/>
      </w:rPr>
    </w:lvl>
    <w:lvl w:ilvl="1" w:tplc="7FF68904" w:tentative="1">
      <w:start w:val="1"/>
      <w:numFmt w:val="bullet"/>
      <w:lvlText w:val="o"/>
      <w:lvlJc w:val="left"/>
      <w:pPr>
        <w:ind w:left="1440" w:hanging="360"/>
      </w:pPr>
      <w:rPr>
        <w:rFonts w:ascii="Courier New" w:hAnsi="Courier New" w:hint="default"/>
      </w:rPr>
    </w:lvl>
    <w:lvl w:ilvl="2" w:tplc="F202D2F6" w:tentative="1">
      <w:start w:val="1"/>
      <w:numFmt w:val="bullet"/>
      <w:lvlText w:val=""/>
      <w:lvlJc w:val="left"/>
      <w:pPr>
        <w:ind w:left="2160" w:hanging="360"/>
      </w:pPr>
      <w:rPr>
        <w:rFonts w:ascii="Wingdings" w:hAnsi="Wingdings" w:hint="default"/>
      </w:rPr>
    </w:lvl>
    <w:lvl w:ilvl="3" w:tplc="B0A6575A" w:tentative="1">
      <w:start w:val="1"/>
      <w:numFmt w:val="bullet"/>
      <w:lvlText w:val=""/>
      <w:lvlJc w:val="left"/>
      <w:pPr>
        <w:ind w:left="2880" w:hanging="360"/>
      </w:pPr>
      <w:rPr>
        <w:rFonts w:ascii="Symbol" w:hAnsi="Symbol" w:hint="default"/>
      </w:rPr>
    </w:lvl>
    <w:lvl w:ilvl="4" w:tplc="9084BD3E" w:tentative="1">
      <w:start w:val="1"/>
      <w:numFmt w:val="bullet"/>
      <w:lvlText w:val="o"/>
      <w:lvlJc w:val="left"/>
      <w:pPr>
        <w:ind w:left="3600" w:hanging="360"/>
      </w:pPr>
      <w:rPr>
        <w:rFonts w:ascii="Courier New" w:hAnsi="Courier New" w:hint="default"/>
      </w:rPr>
    </w:lvl>
    <w:lvl w:ilvl="5" w:tplc="A5403870" w:tentative="1">
      <w:start w:val="1"/>
      <w:numFmt w:val="bullet"/>
      <w:lvlText w:val=""/>
      <w:lvlJc w:val="left"/>
      <w:pPr>
        <w:ind w:left="4320" w:hanging="360"/>
      </w:pPr>
      <w:rPr>
        <w:rFonts w:ascii="Wingdings" w:hAnsi="Wingdings" w:hint="default"/>
      </w:rPr>
    </w:lvl>
    <w:lvl w:ilvl="6" w:tplc="A0F0824C" w:tentative="1">
      <w:start w:val="1"/>
      <w:numFmt w:val="bullet"/>
      <w:lvlText w:val=""/>
      <w:lvlJc w:val="left"/>
      <w:pPr>
        <w:ind w:left="5040" w:hanging="360"/>
      </w:pPr>
      <w:rPr>
        <w:rFonts w:ascii="Symbol" w:hAnsi="Symbol" w:hint="default"/>
      </w:rPr>
    </w:lvl>
    <w:lvl w:ilvl="7" w:tplc="2056EA1E" w:tentative="1">
      <w:start w:val="1"/>
      <w:numFmt w:val="bullet"/>
      <w:lvlText w:val="o"/>
      <w:lvlJc w:val="left"/>
      <w:pPr>
        <w:ind w:left="5760" w:hanging="360"/>
      </w:pPr>
      <w:rPr>
        <w:rFonts w:ascii="Courier New" w:hAnsi="Courier New" w:hint="default"/>
      </w:rPr>
    </w:lvl>
    <w:lvl w:ilvl="8" w:tplc="39B07D9C" w:tentative="1">
      <w:start w:val="1"/>
      <w:numFmt w:val="bullet"/>
      <w:lvlText w:val=""/>
      <w:lvlJc w:val="left"/>
      <w:pPr>
        <w:ind w:left="6480" w:hanging="360"/>
      </w:pPr>
      <w:rPr>
        <w:rFonts w:ascii="Wingdings" w:hAnsi="Wingdings" w:hint="default"/>
      </w:rPr>
    </w:lvl>
  </w:abstractNum>
  <w:abstractNum w:abstractNumId="45" w15:restartNumberingAfterBreak="0">
    <w:nsid w:val="62929D93"/>
    <w:multiLevelType w:val="hybridMultilevel"/>
    <w:tmpl w:val="FFFFFFFF"/>
    <w:lvl w:ilvl="0" w:tplc="1E3C55F6">
      <w:start w:val="1"/>
      <w:numFmt w:val="decimal"/>
      <w:lvlText w:val="%1)"/>
      <w:lvlJc w:val="left"/>
      <w:pPr>
        <w:ind w:left="720" w:hanging="360"/>
      </w:pPr>
    </w:lvl>
    <w:lvl w:ilvl="1" w:tplc="518249E4">
      <w:start w:val="1"/>
      <w:numFmt w:val="lowerLetter"/>
      <w:lvlText w:val="%2."/>
      <w:lvlJc w:val="left"/>
      <w:pPr>
        <w:ind w:left="1440" w:hanging="360"/>
      </w:pPr>
    </w:lvl>
    <w:lvl w:ilvl="2" w:tplc="296A0C8E">
      <w:start w:val="1"/>
      <w:numFmt w:val="lowerRoman"/>
      <w:lvlText w:val="%3."/>
      <w:lvlJc w:val="right"/>
      <w:pPr>
        <w:ind w:left="2160" w:hanging="180"/>
      </w:pPr>
    </w:lvl>
    <w:lvl w:ilvl="3" w:tplc="26B69ADA">
      <w:start w:val="1"/>
      <w:numFmt w:val="decimal"/>
      <w:lvlText w:val="%4."/>
      <w:lvlJc w:val="left"/>
      <w:pPr>
        <w:ind w:left="2880" w:hanging="360"/>
      </w:pPr>
    </w:lvl>
    <w:lvl w:ilvl="4" w:tplc="13702C8A">
      <w:start w:val="1"/>
      <w:numFmt w:val="lowerLetter"/>
      <w:lvlText w:val="%5."/>
      <w:lvlJc w:val="left"/>
      <w:pPr>
        <w:ind w:left="3600" w:hanging="360"/>
      </w:pPr>
    </w:lvl>
    <w:lvl w:ilvl="5" w:tplc="2B026084">
      <w:start w:val="1"/>
      <w:numFmt w:val="lowerRoman"/>
      <w:lvlText w:val="%6."/>
      <w:lvlJc w:val="right"/>
      <w:pPr>
        <w:ind w:left="4320" w:hanging="180"/>
      </w:pPr>
    </w:lvl>
    <w:lvl w:ilvl="6" w:tplc="1D7471CE">
      <w:start w:val="1"/>
      <w:numFmt w:val="decimal"/>
      <w:lvlText w:val="%7."/>
      <w:lvlJc w:val="left"/>
      <w:pPr>
        <w:ind w:left="5040" w:hanging="360"/>
      </w:pPr>
    </w:lvl>
    <w:lvl w:ilvl="7" w:tplc="7FCC3AD2">
      <w:start w:val="1"/>
      <w:numFmt w:val="lowerLetter"/>
      <w:lvlText w:val="%8."/>
      <w:lvlJc w:val="left"/>
      <w:pPr>
        <w:ind w:left="5760" w:hanging="360"/>
      </w:pPr>
    </w:lvl>
    <w:lvl w:ilvl="8" w:tplc="DA6A8E82">
      <w:start w:val="1"/>
      <w:numFmt w:val="lowerRoman"/>
      <w:lvlText w:val="%9."/>
      <w:lvlJc w:val="right"/>
      <w:pPr>
        <w:ind w:left="6480" w:hanging="180"/>
      </w:pPr>
    </w:lvl>
  </w:abstractNum>
  <w:abstractNum w:abstractNumId="46" w15:restartNumberingAfterBreak="0">
    <w:nsid w:val="63AE4B6F"/>
    <w:multiLevelType w:val="hybridMultilevel"/>
    <w:tmpl w:val="27240FF4"/>
    <w:lvl w:ilvl="0" w:tplc="1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977472E"/>
    <w:multiLevelType w:val="multilevel"/>
    <w:tmpl w:val="D8026D94"/>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hint="default"/>
      </w:rPr>
    </w:lvl>
    <w:lvl w:ilvl="3">
      <w:start w:val="1"/>
      <w:numFmt w:val="bullet"/>
      <w:pStyle w:val="ListNumber4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B8E105E"/>
    <w:multiLevelType w:val="hybridMultilevel"/>
    <w:tmpl w:val="FFFFFFFF"/>
    <w:lvl w:ilvl="0" w:tplc="EECED50A">
      <w:start w:val="1"/>
      <w:numFmt w:val="decimal"/>
      <w:lvlText w:val="%1)"/>
      <w:lvlJc w:val="left"/>
      <w:pPr>
        <w:ind w:left="1080" w:hanging="360"/>
      </w:pPr>
    </w:lvl>
    <w:lvl w:ilvl="1" w:tplc="928A457A">
      <w:start w:val="1"/>
      <w:numFmt w:val="lowerLetter"/>
      <w:lvlText w:val="%2."/>
      <w:lvlJc w:val="left"/>
      <w:pPr>
        <w:ind w:left="1800" w:hanging="360"/>
      </w:pPr>
    </w:lvl>
    <w:lvl w:ilvl="2" w:tplc="A6A0CCF2">
      <w:start w:val="1"/>
      <w:numFmt w:val="lowerRoman"/>
      <w:lvlText w:val="%3."/>
      <w:lvlJc w:val="right"/>
      <w:pPr>
        <w:ind w:left="2520" w:hanging="180"/>
      </w:pPr>
    </w:lvl>
    <w:lvl w:ilvl="3" w:tplc="D9F8C19A">
      <w:start w:val="1"/>
      <w:numFmt w:val="decimal"/>
      <w:lvlText w:val="%4."/>
      <w:lvlJc w:val="left"/>
      <w:pPr>
        <w:ind w:left="3240" w:hanging="360"/>
      </w:pPr>
    </w:lvl>
    <w:lvl w:ilvl="4" w:tplc="ED103268">
      <w:start w:val="1"/>
      <w:numFmt w:val="lowerLetter"/>
      <w:lvlText w:val="%5."/>
      <w:lvlJc w:val="left"/>
      <w:pPr>
        <w:ind w:left="3960" w:hanging="360"/>
      </w:pPr>
    </w:lvl>
    <w:lvl w:ilvl="5" w:tplc="21508472">
      <w:start w:val="1"/>
      <w:numFmt w:val="lowerRoman"/>
      <w:lvlText w:val="%6."/>
      <w:lvlJc w:val="right"/>
      <w:pPr>
        <w:ind w:left="4680" w:hanging="180"/>
      </w:pPr>
    </w:lvl>
    <w:lvl w:ilvl="6" w:tplc="853E0218">
      <w:start w:val="1"/>
      <w:numFmt w:val="decimal"/>
      <w:lvlText w:val="%7."/>
      <w:lvlJc w:val="left"/>
      <w:pPr>
        <w:ind w:left="5400" w:hanging="360"/>
      </w:pPr>
    </w:lvl>
    <w:lvl w:ilvl="7" w:tplc="C3729CCC">
      <w:start w:val="1"/>
      <w:numFmt w:val="lowerLetter"/>
      <w:lvlText w:val="%8."/>
      <w:lvlJc w:val="left"/>
      <w:pPr>
        <w:ind w:left="6120" w:hanging="360"/>
      </w:pPr>
    </w:lvl>
    <w:lvl w:ilvl="8" w:tplc="E6C21DB4">
      <w:start w:val="1"/>
      <w:numFmt w:val="lowerRoman"/>
      <w:lvlText w:val="%9."/>
      <w:lvlJc w:val="right"/>
      <w:pPr>
        <w:ind w:left="6840" w:hanging="180"/>
      </w:pPr>
    </w:lvl>
  </w:abstractNum>
  <w:abstractNum w:abstractNumId="49" w15:restartNumberingAfterBreak="0">
    <w:nsid w:val="703F7EC6"/>
    <w:multiLevelType w:val="hybridMultilevel"/>
    <w:tmpl w:val="7D6E78B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07BF6A8"/>
    <w:multiLevelType w:val="hybridMultilevel"/>
    <w:tmpl w:val="FFFFFFFF"/>
    <w:lvl w:ilvl="0" w:tplc="C5F4BEEA">
      <w:start w:val="1"/>
      <w:numFmt w:val="decimal"/>
      <w:lvlText w:val="%1)"/>
      <w:lvlJc w:val="left"/>
      <w:pPr>
        <w:ind w:left="720" w:hanging="360"/>
      </w:pPr>
    </w:lvl>
    <w:lvl w:ilvl="1" w:tplc="A75E4126">
      <w:start w:val="1"/>
      <w:numFmt w:val="lowerLetter"/>
      <w:lvlText w:val="%2."/>
      <w:lvlJc w:val="left"/>
      <w:pPr>
        <w:ind w:left="1440" w:hanging="360"/>
      </w:pPr>
    </w:lvl>
    <w:lvl w:ilvl="2" w:tplc="AD4CCA20">
      <w:start w:val="1"/>
      <w:numFmt w:val="lowerRoman"/>
      <w:lvlText w:val="%3."/>
      <w:lvlJc w:val="right"/>
      <w:pPr>
        <w:ind w:left="2160" w:hanging="180"/>
      </w:pPr>
    </w:lvl>
    <w:lvl w:ilvl="3" w:tplc="B07C0F80">
      <w:start w:val="1"/>
      <w:numFmt w:val="decimal"/>
      <w:lvlText w:val="%4."/>
      <w:lvlJc w:val="left"/>
      <w:pPr>
        <w:ind w:left="2880" w:hanging="360"/>
      </w:pPr>
    </w:lvl>
    <w:lvl w:ilvl="4" w:tplc="EF7ACE68">
      <w:start w:val="1"/>
      <w:numFmt w:val="lowerLetter"/>
      <w:lvlText w:val="%5."/>
      <w:lvlJc w:val="left"/>
      <w:pPr>
        <w:ind w:left="3600" w:hanging="360"/>
      </w:pPr>
    </w:lvl>
    <w:lvl w:ilvl="5" w:tplc="0E04123A">
      <w:start w:val="1"/>
      <w:numFmt w:val="lowerRoman"/>
      <w:lvlText w:val="%6."/>
      <w:lvlJc w:val="right"/>
      <w:pPr>
        <w:ind w:left="4320" w:hanging="180"/>
      </w:pPr>
    </w:lvl>
    <w:lvl w:ilvl="6" w:tplc="795C32D8">
      <w:start w:val="1"/>
      <w:numFmt w:val="decimal"/>
      <w:lvlText w:val="%7."/>
      <w:lvlJc w:val="left"/>
      <w:pPr>
        <w:ind w:left="5040" w:hanging="360"/>
      </w:pPr>
    </w:lvl>
    <w:lvl w:ilvl="7" w:tplc="145200D2">
      <w:start w:val="1"/>
      <w:numFmt w:val="lowerLetter"/>
      <w:lvlText w:val="%8."/>
      <w:lvlJc w:val="left"/>
      <w:pPr>
        <w:ind w:left="5760" w:hanging="360"/>
      </w:pPr>
    </w:lvl>
    <w:lvl w:ilvl="8" w:tplc="BF14FE00">
      <w:start w:val="1"/>
      <w:numFmt w:val="lowerRoman"/>
      <w:lvlText w:val="%9."/>
      <w:lvlJc w:val="right"/>
      <w:pPr>
        <w:ind w:left="6480" w:hanging="180"/>
      </w:pPr>
    </w:lvl>
  </w:abstractNum>
  <w:abstractNum w:abstractNumId="51" w15:restartNumberingAfterBreak="0">
    <w:nsid w:val="74BEF8DD"/>
    <w:multiLevelType w:val="hybridMultilevel"/>
    <w:tmpl w:val="6040106A"/>
    <w:lvl w:ilvl="0" w:tplc="1718726E">
      <w:start w:val="1"/>
      <w:numFmt w:val="decimal"/>
      <w:lvlText w:val="%1)"/>
      <w:lvlJc w:val="left"/>
      <w:pPr>
        <w:ind w:left="720" w:hanging="360"/>
      </w:pPr>
    </w:lvl>
    <w:lvl w:ilvl="1" w:tplc="6394C2B4">
      <w:start w:val="1"/>
      <w:numFmt w:val="lowerLetter"/>
      <w:lvlText w:val="%2."/>
      <w:lvlJc w:val="left"/>
      <w:pPr>
        <w:ind w:left="1440" w:hanging="360"/>
      </w:pPr>
    </w:lvl>
    <w:lvl w:ilvl="2" w:tplc="EDD47D5A">
      <w:start w:val="1"/>
      <w:numFmt w:val="lowerRoman"/>
      <w:lvlText w:val="%3."/>
      <w:lvlJc w:val="right"/>
      <w:pPr>
        <w:ind w:left="2160" w:hanging="180"/>
      </w:pPr>
    </w:lvl>
    <w:lvl w:ilvl="3" w:tplc="6F602B5A">
      <w:start w:val="1"/>
      <w:numFmt w:val="decimal"/>
      <w:lvlText w:val="%4."/>
      <w:lvlJc w:val="left"/>
      <w:pPr>
        <w:ind w:left="2880" w:hanging="360"/>
      </w:pPr>
    </w:lvl>
    <w:lvl w:ilvl="4" w:tplc="64269FB4">
      <w:start w:val="1"/>
      <w:numFmt w:val="lowerLetter"/>
      <w:lvlText w:val="%5."/>
      <w:lvlJc w:val="left"/>
      <w:pPr>
        <w:ind w:left="3600" w:hanging="360"/>
      </w:pPr>
    </w:lvl>
    <w:lvl w:ilvl="5" w:tplc="65EEF382">
      <w:start w:val="1"/>
      <w:numFmt w:val="lowerRoman"/>
      <w:lvlText w:val="%6."/>
      <w:lvlJc w:val="right"/>
      <w:pPr>
        <w:ind w:left="4320" w:hanging="180"/>
      </w:pPr>
    </w:lvl>
    <w:lvl w:ilvl="6" w:tplc="60181668">
      <w:start w:val="1"/>
      <w:numFmt w:val="decimal"/>
      <w:lvlText w:val="%7."/>
      <w:lvlJc w:val="left"/>
      <w:pPr>
        <w:ind w:left="5040" w:hanging="360"/>
      </w:pPr>
    </w:lvl>
    <w:lvl w:ilvl="7" w:tplc="F8EAB22E">
      <w:start w:val="1"/>
      <w:numFmt w:val="lowerLetter"/>
      <w:lvlText w:val="%8."/>
      <w:lvlJc w:val="left"/>
      <w:pPr>
        <w:ind w:left="5760" w:hanging="360"/>
      </w:pPr>
    </w:lvl>
    <w:lvl w:ilvl="8" w:tplc="2E7832BC">
      <w:start w:val="1"/>
      <w:numFmt w:val="lowerRoman"/>
      <w:lvlText w:val="%9."/>
      <w:lvlJc w:val="right"/>
      <w:pPr>
        <w:ind w:left="6480" w:hanging="180"/>
      </w:pPr>
    </w:lvl>
  </w:abstractNum>
  <w:abstractNum w:abstractNumId="52" w15:restartNumberingAfterBreak="0">
    <w:nsid w:val="79A45253"/>
    <w:multiLevelType w:val="hybridMultilevel"/>
    <w:tmpl w:val="33E8B79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A9F679B"/>
    <w:multiLevelType w:val="hybridMultilevel"/>
    <w:tmpl w:val="C6681E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C65145E"/>
    <w:multiLevelType w:val="multilevel"/>
    <w:tmpl w:val="C306353E"/>
    <w:name w:val="EurolookHeading"/>
    <w:lvl w:ilvl="0">
      <w:start w:val="1"/>
      <w:numFmt w:val="decimal"/>
      <w:pStyle w:val="Heading1"/>
      <w:lvlText w:val="%1."/>
      <w:lvlJc w:val="left"/>
      <w:pPr>
        <w:tabs>
          <w:tab w:val="num" w:pos="482"/>
        </w:tabs>
        <w:ind w:left="482" w:hanging="482"/>
      </w:pPr>
      <w:rPr>
        <w:lang w:val="en-IE"/>
      </w:r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56" w15:restartNumberingAfterBreak="0">
    <w:nsid w:val="7D8C043A"/>
    <w:multiLevelType w:val="hybridMultilevel"/>
    <w:tmpl w:val="D58AC68C"/>
    <w:lvl w:ilvl="0" w:tplc="79F87CD4">
      <w:start w:val="1"/>
      <w:numFmt w:val="bullet"/>
      <w:lvlText w:val="-"/>
      <w:lvlJc w:val="left"/>
      <w:pPr>
        <w:ind w:left="720" w:hanging="360"/>
      </w:pPr>
      <w:rPr>
        <w:rFonts w:ascii="Aptos" w:hAnsi="Aptos" w:hint="default"/>
      </w:rPr>
    </w:lvl>
    <w:lvl w:ilvl="1" w:tplc="5BA41AD2">
      <w:start w:val="1"/>
      <w:numFmt w:val="bullet"/>
      <w:lvlText w:val="o"/>
      <w:lvlJc w:val="left"/>
      <w:pPr>
        <w:ind w:left="1440" w:hanging="360"/>
      </w:pPr>
      <w:rPr>
        <w:rFonts w:ascii="Courier New" w:hAnsi="Courier New" w:hint="default"/>
      </w:rPr>
    </w:lvl>
    <w:lvl w:ilvl="2" w:tplc="60308318">
      <w:start w:val="1"/>
      <w:numFmt w:val="bullet"/>
      <w:lvlText w:val=""/>
      <w:lvlJc w:val="left"/>
      <w:pPr>
        <w:ind w:left="2160" w:hanging="360"/>
      </w:pPr>
      <w:rPr>
        <w:rFonts w:ascii="Wingdings" w:hAnsi="Wingdings" w:hint="default"/>
      </w:rPr>
    </w:lvl>
    <w:lvl w:ilvl="3" w:tplc="A2D45018">
      <w:start w:val="1"/>
      <w:numFmt w:val="bullet"/>
      <w:lvlText w:val=""/>
      <w:lvlJc w:val="left"/>
      <w:pPr>
        <w:ind w:left="2880" w:hanging="360"/>
      </w:pPr>
      <w:rPr>
        <w:rFonts w:ascii="Symbol" w:hAnsi="Symbol" w:hint="default"/>
      </w:rPr>
    </w:lvl>
    <w:lvl w:ilvl="4" w:tplc="42786D34">
      <w:start w:val="1"/>
      <w:numFmt w:val="bullet"/>
      <w:lvlText w:val="o"/>
      <w:lvlJc w:val="left"/>
      <w:pPr>
        <w:ind w:left="3600" w:hanging="360"/>
      </w:pPr>
      <w:rPr>
        <w:rFonts w:ascii="Courier New" w:hAnsi="Courier New" w:hint="default"/>
      </w:rPr>
    </w:lvl>
    <w:lvl w:ilvl="5" w:tplc="C5A2708E">
      <w:start w:val="1"/>
      <w:numFmt w:val="bullet"/>
      <w:lvlText w:val=""/>
      <w:lvlJc w:val="left"/>
      <w:pPr>
        <w:ind w:left="4320" w:hanging="360"/>
      </w:pPr>
      <w:rPr>
        <w:rFonts w:ascii="Wingdings" w:hAnsi="Wingdings" w:hint="default"/>
      </w:rPr>
    </w:lvl>
    <w:lvl w:ilvl="6" w:tplc="8C6C6D0C">
      <w:start w:val="1"/>
      <w:numFmt w:val="bullet"/>
      <w:lvlText w:val=""/>
      <w:lvlJc w:val="left"/>
      <w:pPr>
        <w:ind w:left="5040" w:hanging="360"/>
      </w:pPr>
      <w:rPr>
        <w:rFonts w:ascii="Symbol" w:hAnsi="Symbol" w:hint="default"/>
      </w:rPr>
    </w:lvl>
    <w:lvl w:ilvl="7" w:tplc="F84E5AEA">
      <w:start w:val="1"/>
      <w:numFmt w:val="bullet"/>
      <w:lvlText w:val="o"/>
      <w:lvlJc w:val="left"/>
      <w:pPr>
        <w:ind w:left="5760" w:hanging="360"/>
      </w:pPr>
      <w:rPr>
        <w:rFonts w:ascii="Courier New" w:hAnsi="Courier New" w:hint="default"/>
      </w:rPr>
    </w:lvl>
    <w:lvl w:ilvl="8" w:tplc="23A007D2">
      <w:start w:val="1"/>
      <w:numFmt w:val="bullet"/>
      <w:lvlText w:val=""/>
      <w:lvlJc w:val="left"/>
      <w:pPr>
        <w:ind w:left="6480" w:hanging="360"/>
      </w:pPr>
      <w:rPr>
        <w:rFonts w:ascii="Wingdings" w:hAnsi="Wingdings" w:hint="default"/>
      </w:rPr>
    </w:lvl>
  </w:abstractNum>
  <w:num w:numId="1">
    <w:abstractNumId w:val="45"/>
  </w:num>
  <w:num w:numId="2">
    <w:abstractNumId w:val="25"/>
  </w:num>
  <w:num w:numId="3">
    <w:abstractNumId w:val="40"/>
  </w:num>
  <w:num w:numId="4">
    <w:abstractNumId w:val="51"/>
  </w:num>
  <w:num w:numId="5">
    <w:abstractNumId w:val="30"/>
  </w:num>
  <w:num w:numId="6">
    <w:abstractNumId w:val="31"/>
  </w:num>
  <w:num w:numId="7">
    <w:abstractNumId w:val="1"/>
  </w:num>
  <w:num w:numId="8">
    <w:abstractNumId w:val="26"/>
  </w:num>
  <w:num w:numId="9">
    <w:abstractNumId w:val="10"/>
  </w:num>
  <w:num w:numId="10">
    <w:abstractNumId w:val="27"/>
  </w:num>
  <w:num w:numId="11">
    <w:abstractNumId w:val="41"/>
  </w:num>
  <w:num w:numId="12">
    <w:abstractNumId w:val="47"/>
  </w:num>
  <w:num w:numId="13">
    <w:abstractNumId w:val="2"/>
  </w:num>
  <w:num w:numId="14">
    <w:abstractNumId w:val="9"/>
  </w:num>
  <w:num w:numId="15">
    <w:abstractNumId w:val="33"/>
  </w:num>
  <w:num w:numId="16">
    <w:abstractNumId w:val="3"/>
  </w:num>
  <w:num w:numId="17">
    <w:abstractNumId w:val="6"/>
  </w:num>
  <w:num w:numId="18">
    <w:abstractNumId w:val="7"/>
  </w:num>
  <w:num w:numId="19">
    <w:abstractNumId w:val="16"/>
  </w:num>
  <w:num w:numId="20">
    <w:abstractNumId w:val="29"/>
  </w:num>
  <w:num w:numId="21">
    <w:abstractNumId w:val="38"/>
  </w:num>
  <w:num w:numId="22">
    <w:abstractNumId w:val="54"/>
  </w:num>
  <w:num w:numId="23">
    <w:abstractNumId w:val="17"/>
  </w:num>
  <w:num w:numId="24">
    <w:abstractNumId w:val="18"/>
  </w:num>
  <w:num w:numId="25">
    <w:abstractNumId w:val="55"/>
  </w:num>
  <w:num w:numId="26">
    <w:abstractNumId w:val="37"/>
  </w:num>
  <w:num w:numId="27">
    <w:abstractNumId w:val="42"/>
  </w:num>
  <w:num w:numId="28">
    <w:abstractNumId w:val="4"/>
  </w:num>
  <w:num w:numId="29">
    <w:abstractNumId w:val="56"/>
  </w:num>
  <w:num w:numId="30">
    <w:abstractNumId w:val="35"/>
  </w:num>
  <w:num w:numId="31">
    <w:abstractNumId w:val="19"/>
  </w:num>
  <w:num w:numId="32">
    <w:abstractNumId w:val="5"/>
  </w:num>
  <w:num w:numId="33">
    <w:abstractNumId w:val="43"/>
  </w:num>
  <w:num w:numId="34">
    <w:abstractNumId w:val="13"/>
    <w:lvlOverride w:ilvl="0"/>
    <w:lvlOverride w:ilvl="1">
      <w:startOverride w:val="1"/>
    </w:lvlOverride>
    <w:lvlOverride w:ilvl="2"/>
    <w:lvlOverride w:ilvl="3"/>
    <w:lvlOverride w:ilvl="4"/>
    <w:lvlOverride w:ilvl="5"/>
    <w:lvlOverride w:ilvl="6"/>
    <w:lvlOverride w:ilvl="7"/>
    <w:lvlOverride w:ilvl="8"/>
  </w:num>
  <w:num w:numId="35">
    <w:abstractNumId w:val="21"/>
  </w:num>
  <w:num w:numId="36">
    <w:abstractNumId w:val="32"/>
  </w:num>
  <w:num w:numId="37">
    <w:abstractNumId w:val="39"/>
  </w:num>
  <w:num w:numId="38">
    <w:abstractNumId w:val="44"/>
  </w:num>
  <w:num w:numId="39">
    <w:abstractNumId w:val="20"/>
  </w:num>
  <w:num w:numId="40">
    <w:abstractNumId w:val="23"/>
  </w:num>
  <w:num w:numId="41">
    <w:abstractNumId w:val="52"/>
  </w:num>
  <w:num w:numId="42">
    <w:abstractNumId w:val="13"/>
  </w:num>
  <w:num w:numId="43">
    <w:abstractNumId w:val="11"/>
  </w:num>
  <w:num w:numId="44">
    <w:abstractNumId w:val="28"/>
  </w:num>
  <w:num w:numId="45">
    <w:abstractNumId w:val="15"/>
  </w:num>
  <w:num w:numId="46">
    <w:abstractNumId w:val="34"/>
  </w:num>
  <w:num w:numId="47">
    <w:abstractNumId w:val="49"/>
  </w:num>
  <w:num w:numId="48">
    <w:abstractNumId w:val="0"/>
  </w:num>
  <w:num w:numId="49">
    <w:abstractNumId w:val="46"/>
  </w:num>
  <w:num w:numId="50">
    <w:abstractNumId w:val="24"/>
  </w:num>
  <w:num w:numId="51">
    <w:abstractNumId w:val="8"/>
  </w:num>
  <w:num w:numId="52">
    <w:abstractNumId w:val="48"/>
  </w:num>
  <w:num w:numId="53">
    <w:abstractNumId w:val="50"/>
  </w:num>
  <w:num w:numId="54">
    <w:abstractNumId w:val="12"/>
  </w:num>
  <w:num w:numId="55">
    <w:abstractNumId w:val="14"/>
  </w:num>
  <w:num w:numId="56">
    <w:abstractNumId w:val="36"/>
  </w:num>
  <w:num w:numId="57">
    <w:abstractNumId w:val="53"/>
  </w:num>
  <w:num w:numId="58">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804DADD-6D6F-4398-AA69-AFA71D0B2D24"/>
    <w:docVar w:name="LW_COVERPAGE_TYPE" w:val="1"/>
    <w:docVar w:name="LW_CROSSREFERENCE" w:val="&lt;UNUSED&gt;"/>
    <w:docVar w:name="LW_DocType" w:val="EUROLOOK"/>
    <w:docVar w:name="LW_EMISSION" w:val="19.3.2025"/>
    <w:docVar w:name="LW_EMISSION_ISODATE" w:val="2025-03-19"/>
    <w:docVar w:name="LW_EMISSION_LOCATION" w:val="BRX"/>
    <w:docVar w:name="LW_EMISSION_PREFIX" w:val="Bruxelles, le "/>
    <w:docVar w:name="LW_EMISSION_SUFFIX" w:val=" "/>
    <w:docVar w:name="LW_ID_DOCTYPE_NONLW" w:val="CP-014"/>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5) 12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n plan d\u8217?action européen pour l\u8217?acier et les métaux"/>
    <w:docVar w:name="LW_TYPE.DOC.CP" w:val="COMMUNICATION DE LA COMMISSION AU PARLEMENT EUROPÉEN, AU CONSEIL, AU COMITÉ ÉCONOMIQUE ET SOCIAL EUROPÉEN ET AU COMITÉ DES RÉGIONS"/>
    <w:docVar w:name="LW_TYPE.DOC.CP.USERTEXT" w:val="&lt;EMPTY&gt;"/>
    <w:docVar w:name="LwApiVersions" w:val="LW4CoDe 1.24.5.0; LW 9.0, Build 20240221"/>
  </w:docVars>
  <w:rsids>
    <w:rsidRoot w:val="00846E24"/>
    <w:rsid w:val="00001205"/>
    <w:rsid w:val="00001A4D"/>
    <w:rsid w:val="00001AEA"/>
    <w:rsid w:val="00002001"/>
    <w:rsid w:val="00002056"/>
    <w:rsid w:val="0000219B"/>
    <w:rsid w:val="00002373"/>
    <w:rsid w:val="00002557"/>
    <w:rsid w:val="000025E8"/>
    <w:rsid w:val="00002FB9"/>
    <w:rsid w:val="0000364B"/>
    <w:rsid w:val="00003B0E"/>
    <w:rsid w:val="00003E95"/>
    <w:rsid w:val="00004627"/>
    <w:rsid w:val="00004BAC"/>
    <w:rsid w:val="000054AC"/>
    <w:rsid w:val="000058EE"/>
    <w:rsid w:val="00005F13"/>
    <w:rsid w:val="00006CDD"/>
    <w:rsid w:val="00006DF0"/>
    <w:rsid w:val="000073E7"/>
    <w:rsid w:val="00007AAC"/>
    <w:rsid w:val="00007B5E"/>
    <w:rsid w:val="00010143"/>
    <w:rsid w:val="0001051C"/>
    <w:rsid w:val="00010824"/>
    <w:rsid w:val="00010B15"/>
    <w:rsid w:val="000112CD"/>
    <w:rsid w:val="000116C5"/>
    <w:rsid w:val="00011881"/>
    <w:rsid w:val="0001194D"/>
    <w:rsid w:val="00011A86"/>
    <w:rsid w:val="0001286A"/>
    <w:rsid w:val="000138E5"/>
    <w:rsid w:val="00013C2D"/>
    <w:rsid w:val="00014C31"/>
    <w:rsid w:val="00015A7C"/>
    <w:rsid w:val="00015DA7"/>
    <w:rsid w:val="00015E31"/>
    <w:rsid w:val="00015E3F"/>
    <w:rsid w:val="00015F58"/>
    <w:rsid w:val="000160AF"/>
    <w:rsid w:val="0001636E"/>
    <w:rsid w:val="00016BF2"/>
    <w:rsid w:val="00017142"/>
    <w:rsid w:val="0001761E"/>
    <w:rsid w:val="0001920A"/>
    <w:rsid w:val="00020402"/>
    <w:rsid w:val="00020E06"/>
    <w:rsid w:val="00020FBF"/>
    <w:rsid w:val="00021812"/>
    <w:rsid w:val="000219E9"/>
    <w:rsid w:val="00021CC6"/>
    <w:rsid w:val="000232E0"/>
    <w:rsid w:val="000236E4"/>
    <w:rsid w:val="00023B88"/>
    <w:rsid w:val="000244EE"/>
    <w:rsid w:val="00024FCA"/>
    <w:rsid w:val="00025D52"/>
    <w:rsid w:val="000260E7"/>
    <w:rsid w:val="0002697E"/>
    <w:rsid w:val="0002737C"/>
    <w:rsid w:val="0002747C"/>
    <w:rsid w:val="0002758E"/>
    <w:rsid w:val="00030452"/>
    <w:rsid w:val="000308DD"/>
    <w:rsid w:val="00030AA0"/>
    <w:rsid w:val="00031932"/>
    <w:rsid w:val="0003218D"/>
    <w:rsid w:val="000321FF"/>
    <w:rsid w:val="00032FA7"/>
    <w:rsid w:val="00032FFB"/>
    <w:rsid w:val="000333BC"/>
    <w:rsid w:val="00033737"/>
    <w:rsid w:val="00033BD1"/>
    <w:rsid w:val="000340C0"/>
    <w:rsid w:val="0003416E"/>
    <w:rsid w:val="00034E1E"/>
    <w:rsid w:val="00035969"/>
    <w:rsid w:val="00035E61"/>
    <w:rsid w:val="00035F2C"/>
    <w:rsid w:val="000360D4"/>
    <w:rsid w:val="00036112"/>
    <w:rsid w:val="00036C68"/>
    <w:rsid w:val="000371B6"/>
    <w:rsid w:val="00037F5E"/>
    <w:rsid w:val="00040020"/>
    <w:rsid w:val="00040033"/>
    <w:rsid w:val="00040CD3"/>
    <w:rsid w:val="00040E0D"/>
    <w:rsid w:val="0004101B"/>
    <w:rsid w:val="0004104D"/>
    <w:rsid w:val="0004120C"/>
    <w:rsid w:val="0004178E"/>
    <w:rsid w:val="00041DF6"/>
    <w:rsid w:val="00041E79"/>
    <w:rsid w:val="00042108"/>
    <w:rsid w:val="00042A9F"/>
    <w:rsid w:val="00042ACF"/>
    <w:rsid w:val="00042DBA"/>
    <w:rsid w:val="0004302E"/>
    <w:rsid w:val="000431F8"/>
    <w:rsid w:val="0004324E"/>
    <w:rsid w:val="00043296"/>
    <w:rsid w:val="0004374B"/>
    <w:rsid w:val="00043C97"/>
    <w:rsid w:val="00043DF8"/>
    <w:rsid w:val="00044307"/>
    <w:rsid w:val="000445BD"/>
    <w:rsid w:val="000451FB"/>
    <w:rsid w:val="0004539C"/>
    <w:rsid w:val="000456DD"/>
    <w:rsid w:val="00045A8D"/>
    <w:rsid w:val="00045D6C"/>
    <w:rsid w:val="00045D78"/>
    <w:rsid w:val="00045E63"/>
    <w:rsid w:val="0004612A"/>
    <w:rsid w:val="00046137"/>
    <w:rsid w:val="000461AA"/>
    <w:rsid w:val="000473F9"/>
    <w:rsid w:val="00051645"/>
    <w:rsid w:val="00051913"/>
    <w:rsid w:val="00051D90"/>
    <w:rsid w:val="00052380"/>
    <w:rsid w:val="00052BC3"/>
    <w:rsid w:val="00052F46"/>
    <w:rsid w:val="00053894"/>
    <w:rsid w:val="00054108"/>
    <w:rsid w:val="000542ED"/>
    <w:rsid w:val="00054388"/>
    <w:rsid w:val="00054838"/>
    <w:rsid w:val="000548A9"/>
    <w:rsid w:val="00054D79"/>
    <w:rsid w:val="00055130"/>
    <w:rsid w:val="00055653"/>
    <w:rsid w:val="00056517"/>
    <w:rsid w:val="00056C84"/>
    <w:rsid w:val="00056C9F"/>
    <w:rsid w:val="0005700F"/>
    <w:rsid w:val="00057190"/>
    <w:rsid w:val="00057860"/>
    <w:rsid w:val="00060419"/>
    <w:rsid w:val="00060540"/>
    <w:rsid w:val="00060977"/>
    <w:rsid w:val="00061861"/>
    <w:rsid w:val="00061DCB"/>
    <w:rsid w:val="00061FBF"/>
    <w:rsid w:val="000621C3"/>
    <w:rsid w:val="00062591"/>
    <w:rsid w:val="00062EC4"/>
    <w:rsid w:val="00063246"/>
    <w:rsid w:val="00063485"/>
    <w:rsid w:val="0006386C"/>
    <w:rsid w:val="00063A68"/>
    <w:rsid w:val="00063EA6"/>
    <w:rsid w:val="00064273"/>
    <w:rsid w:val="0006484B"/>
    <w:rsid w:val="00064CD5"/>
    <w:rsid w:val="00065F8A"/>
    <w:rsid w:val="00066187"/>
    <w:rsid w:val="000666D1"/>
    <w:rsid w:val="000668B1"/>
    <w:rsid w:val="00066A7F"/>
    <w:rsid w:val="00066E25"/>
    <w:rsid w:val="00066FB3"/>
    <w:rsid w:val="00067302"/>
    <w:rsid w:val="00067679"/>
    <w:rsid w:val="000676A2"/>
    <w:rsid w:val="00067ACF"/>
    <w:rsid w:val="00067E28"/>
    <w:rsid w:val="0007047C"/>
    <w:rsid w:val="000704AD"/>
    <w:rsid w:val="00070EBF"/>
    <w:rsid w:val="00071178"/>
    <w:rsid w:val="00071610"/>
    <w:rsid w:val="0007174F"/>
    <w:rsid w:val="00071853"/>
    <w:rsid w:val="00071965"/>
    <w:rsid w:val="00071FEA"/>
    <w:rsid w:val="000720B0"/>
    <w:rsid w:val="000727BB"/>
    <w:rsid w:val="00073327"/>
    <w:rsid w:val="000733DB"/>
    <w:rsid w:val="00075216"/>
    <w:rsid w:val="000755E2"/>
    <w:rsid w:val="000756F2"/>
    <w:rsid w:val="00075974"/>
    <w:rsid w:val="00075B8A"/>
    <w:rsid w:val="00076564"/>
    <w:rsid w:val="00076622"/>
    <w:rsid w:val="00077020"/>
    <w:rsid w:val="00077BE5"/>
    <w:rsid w:val="0008023C"/>
    <w:rsid w:val="00080446"/>
    <w:rsid w:val="00080764"/>
    <w:rsid w:val="00080A69"/>
    <w:rsid w:val="00080B06"/>
    <w:rsid w:val="000814EF"/>
    <w:rsid w:val="0008163E"/>
    <w:rsid w:val="000816EA"/>
    <w:rsid w:val="00082690"/>
    <w:rsid w:val="00083F3A"/>
    <w:rsid w:val="00084315"/>
    <w:rsid w:val="00084412"/>
    <w:rsid w:val="0008463E"/>
    <w:rsid w:val="000846BC"/>
    <w:rsid w:val="0008482C"/>
    <w:rsid w:val="000851FB"/>
    <w:rsid w:val="0008522F"/>
    <w:rsid w:val="00085391"/>
    <w:rsid w:val="00085703"/>
    <w:rsid w:val="00085A65"/>
    <w:rsid w:val="00086797"/>
    <w:rsid w:val="00086FB2"/>
    <w:rsid w:val="00087299"/>
    <w:rsid w:val="00087447"/>
    <w:rsid w:val="000879D6"/>
    <w:rsid w:val="00090DAC"/>
    <w:rsid w:val="00091058"/>
    <w:rsid w:val="000913E0"/>
    <w:rsid w:val="000917E4"/>
    <w:rsid w:val="00091B4A"/>
    <w:rsid w:val="000920B3"/>
    <w:rsid w:val="00092972"/>
    <w:rsid w:val="00092DC5"/>
    <w:rsid w:val="000932E0"/>
    <w:rsid w:val="00093BF4"/>
    <w:rsid w:val="00093E2F"/>
    <w:rsid w:val="000945E1"/>
    <w:rsid w:val="00094848"/>
    <w:rsid w:val="00094878"/>
    <w:rsid w:val="00094C9C"/>
    <w:rsid w:val="00094E9A"/>
    <w:rsid w:val="00095075"/>
    <w:rsid w:val="00095139"/>
    <w:rsid w:val="000953B5"/>
    <w:rsid w:val="00095457"/>
    <w:rsid w:val="000955B2"/>
    <w:rsid w:val="00095A46"/>
    <w:rsid w:val="00095D23"/>
    <w:rsid w:val="00096048"/>
    <w:rsid w:val="00096503"/>
    <w:rsid w:val="00097122"/>
    <w:rsid w:val="000A0560"/>
    <w:rsid w:val="000A07FB"/>
    <w:rsid w:val="000A096A"/>
    <w:rsid w:val="000A16E3"/>
    <w:rsid w:val="000A29A4"/>
    <w:rsid w:val="000A31BF"/>
    <w:rsid w:val="000A349D"/>
    <w:rsid w:val="000A3797"/>
    <w:rsid w:val="000A3E3F"/>
    <w:rsid w:val="000A52B5"/>
    <w:rsid w:val="000A56C9"/>
    <w:rsid w:val="000A582F"/>
    <w:rsid w:val="000A5A52"/>
    <w:rsid w:val="000A642B"/>
    <w:rsid w:val="000A6BE0"/>
    <w:rsid w:val="000A6D47"/>
    <w:rsid w:val="000A707E"/>
    <w:rsid w:val="000A7261"/>
    <w:rsid w:val="000A7B16"/>
    <w:rsid w:val="000B0B6A"/>
    <w:rsid w:val="000B0E57"/>
    <w:rsid w:val="000B143E"/>
    <w:rsid w:val="000B1B8B"/>
    <w:rsid w:val="000B1DB9"/>
    <w:rsid w:val="000B212A"/>
    <w:rsid w:val="000B3072"/>
    <w:rsid w:val="000B3214"/>
    <w:rsid w:val="000B341F"/>
    <w:rsid w:val="000B3507"/>
    <w:rsid w:val="000B3BDC"/>
    <w:rsid w:val="000B4197"/>
    <w:rsid w:val="000B41AC"/>
    <w:rsid w:val="000B4551"/>
    <w:rsid w:val="000B4707"/>
    <w:rsid w:val="000B56FA"/>
    <w:rsid w:val="000B5B5C"/>
    <w:rsid w:val="000B68BC"/>
    <w:rsid w:val="000B6985"/>
    <w:rsid w:val="000B7183"/>
    <w:rsid w:val="000B738D"/>
    <w:rsid w:val="000B769E"/>
    <w:rsid w:val="000B7715"/>
    <w:rsid w:val="000B7B3C"/>
    <w:rsid w:val="000C024A"/>
    <w:rsid w:val="000C058D"/>
    <w:rsid w:val="000C0705"/>
    <w:rsid w:val="000C0C5A"/>
    <w:rsid w:val="000C121D"/>
    <w:rsid w:val="000C1253"/>
    <w:rsid w:val="000C18E0"/>
    <w:rsid w:val="000C20FE"/>
    <w:rsid w:val="000C2C4F"/>
    <w:rsid w:val="000C2DEC"/>
    <w:rsid w:val="000C2DFC"/>
    <w:rsid w:val="000C3194"/>
    <w:rsid w:val="000C34C8"/>
    <w:rsid w:val="000C3F44"/>
    <w:rsid w:val="000C43C4"/>
    <w:rsid w:val="000C4DF0"/>
    <w:rsid w:val="000C5A74"/>
    <w:rsid w:val="000C5CDA"/>
    <w:rsid w:val="000C5DFE"/>
    <w:rsid w:val="000C6988"/>
    <w:rsid w:val="000C6D31"/>
    <w:rsid w:val="000C704E"/>
    <w:rsid w:val="000C7090"/>
    <w:rsid w:val="000C70AD"/>
    <w:rsid w:val="000C7451"/>
    <w:rsid w:val="000C765B"/>
    <w:rsid w:val="000C770F"/>
    <w:rsid w:val="000C7AD7"/>
    <w:rsid w:val="000D02EC"/>
    <w:rsid w:val="000D0493"/>
    <w:rsid w:val="000D06BE"/>
    <w:rsid w:val="000D0764"/>
    <w:rsid w:val="000D0852"/>
    <w:rsid w:val="000D095E"/>
    <w:rsid w:val="000D0CC3"/>
    <w:rsid w:val="000D1C9C"/>
    <w:rsid w:val="000D28E1"/>
    <w:rsid w:val="000D2A31"/>
    <w:rsid w:val="000D34EF"/>
    <w:rsid w:val="000D3794"/>
    <w:rsid w:val="000D403A"/>
    <w:rsid w:val="000D45C6"/>
    <w:rsid w:val="000D4BD7"/>
    <w:rsid w:val="000D54B7"/>
    <w:rsid w:val="000D5980"/>
    <w:rsid w:val="000D5AC3"/>
    <w:rsid w:val="000D5B8C"/>
    <w:rsid w:val="000D5EC6"/>
    <w:rsid w:val="000D5FAB"/>
    <w:rsid w:val="000D648B"/>
    <w:rsid w:val="000D66B4"/>
    <w:rsid w:val="000D6702"/>
    <w:rsid w:val="000D6CCD"/>
    <w:rsid w:val="000D72FA"/>
    <w:rsid w:val="000D7798"/>
    <w:rsid w:val="000D7F71"/>
    <w:rsid w:val="000E0DF1"/>
    <w:rsid w:val="000E116F"/>
    <w:rsid w:val="000E1AD2"/>
    <w:rsid w:val="000E1CDE"/>
    <w:rsid w:val="000E2257"/>
    <w:rsid w:val="000E2BDB"/>
    <w:rsid w:val="000E2CEC"/>
    <w:rsid w:val="000E2D3D"/>
    <w:rsid w:val="000E30C8"/>
    <w:rsid w:val="000E3220"/>
    <w:rsid w:val="000E365C"/>
    <w:rsid w:val="000E3832"/>
    <w:rsid w:val="000E38E5"/>
    <w:rsid w:val="000E3CE7"/>
    <w:rsid w:val="000E40C0"/>
    <w:rsid w:val="000E498B"/>
    <w:rsid w:val="000E4A5D"/>
    <w:rsid w:val="000E4F66"/>
    <w:rsid w:val="000E542B"/>
    <w:rsid w:val="000E5EAE"/>
    <w:rsid w:val="000E5F27"/>
    <w:rsid w:val="000E5FDE"/>
    <w:rsid w:val="000E606A"/>
    <w:rsid w:val="000E6537"/>
    <w:rsid w:val="000E6AC2"/>
    <w:rsid w:val="000E6D85"/>
    <w:rsid w:val="000E6DD6"/>
    <w:rsid w:val="000E6EAD"/>
    <w:rsid w:val="000E73CC"/>
    <w:rsid w:val="000E73D1"/>
    <w:rsid w:val="000E78DD"/>
    <w:rsid w:val="000F09CA"/>
    <w:rsid w:val="000F0B7C"/>
    <w:rsid w:val="000F1B8A"/>
    <w:rsid w:val="000F1BE2"/>
    <w:rsid w:val="000F20B8"/>
    <w:rsid w:val="000F26E6"/>
    <w:rsid w:val="000F2915"/>
    <w:rsid w:val="000F2B28"/>
    <w:rsid w:val="000F3053"/>
    <w:rsid w:val="000F3497"/>
    <w:rsid w:val="000F370A"/>
    <w:rsid w:val="000F3C42"/>
    <w:rsid w:val="000F43F8"/>
    <w:rsid w:val="000F4562"/>
    <w:rsid w:val="000F4BC2"/>
    <w:rsid w:val="000F5518"/>
    <w:rsid w:val="000F61CF"/>
    <w:rsid w:val="000F66F6"/>
    <w:rsid w:val="000F6AD1"/>
    <w:rsid w:val="000F715D"/>
    <w:rsid w:val="000F76EA"/>
    <w:rsid w:val="000F7A81"/>
    <w:rsid w:val="000F7FEA"/>
    <w:rsid w:val="00100B33"/>
    <w:rsid w:val="00100C50"/>
    <w:rsid w:val="0010119D"/>
    <w:rsid w:val="0010177E"/>
    <w:rsid w:val="00101AD9"/>
    <w:rsid w:val="00101CC0"/>
    <w:rsid w:val="00101FF5"/>
    <w:rsid w:val="00102FD1"/>
    <w:rsid w:val="001035AD"/>
    <w:rsid w:val="001038AE"/>
    <w:rsid w:val="00103E29"/>
    <w:rsid w:val="00104B76"/>
    <w:rsid w:val="00105213"/>
    <w:rsid w:val="00105664"/>
    <w:rsid w:val="001056A8"/>
    <w:rsid w:val="00105AB7"/>
    <w:rsid w:val="00105C82"/>
    <w:rsid w:val="00105DDB"/>
    <w:rsid w:val="00106369"/>
    <w:rsid w:val="00106425"/>
    <w:rsid w:val="00106498"/>
    <w:rsid w:val="001068B5"/>
    <w:rsid w:val="00106A20"/>
    <w:rsid w:val="00106E67"/>
    <w:rsid w:val="001072AC"/>
    <w:rsid w:val="0010733C"/>
    <w:rsid w:val="00107602"/>
    <w:rsid w:val="00107743"/>
    <w:rsid w:val="00107A3C"/>
    <w:rsid w:val="00110642"/>
    <w:rsid w:val="00110D9C"/>
    <w:rsid w:val="0011135D"/>
    <w:rsid w:val="0011165C"/>
    <w:rsid w:val="00111685"/>
    <w:rsid w:val="00111B08"/>
    <w:rsid w:val="00111DF5"/>
    <w:rsid w:val="00111FA4"/>
    <w:rsid w:val="00112197"/>
    <w:rsid w:val="00112B37"/>
    <w:rsid w:val="00112F95"/>
    <w:rsid w:val="00113D9B"/>
    <w:rsid w:val="0011523A"/>
    <w:rsid w:val="00115725"/>
    <w:rsid w:val="00115763"/>
    <w:rsid w:val="00115D51"/>
    <w:rsid w:val="00115EF2"/>
    <w:rsid w:val="00116006"/>
    <w:rsid w:val="0011704A"/>
    <w:rsid w:val="0011765D"/>
    <w:rsid w:val="001176A2"/>
    <w:rsid w:val="001178CC"/>
    <w:rsid w:val="00117A64"/>
    <w:rsid w:val="001198D1"/>
    <w:rsid w:val="0012013E"/>
    <w:rsid w:val="0012079F"/>
    <w:rsid w:val="00120A67"/>
    <w:rsid w:val="00120F27"/>
    <w:rsid w:val="00121A2D"/>
    <w:rsid w:val="00121B0D"/>
    <w:rsid w:val="00121EE5"/>
    <w:rsid w:val="0012256F"/>
    <w:rsid w:val="00122596"/>
    <w:rsid w:val="001228B9"/>
    <w:rsid w:val="00122C78"/>
    <w:rsid w:val="00123353"/>
    <w:rsid w:val="001233BD"/>
    <w:rsid w:val="00124A54"/>
    <w:rsid w:val="00124F33"/>
    <w:rsid w:val="00125726"/>
    <w:rsid w:val="00125ACB"/>
    <w:rsid w:val="00125F69"/>
    <w:rsid w:val="00126482"/>
    <w:rsid w:val="00126950"/>
    <w:rsid w:val="001274F1"/>
    <w:rsid w:val="00127A76"/>
    <w:rsid w:val="00127A7C"/>
    <w:rsid w:val="00127BD2"/>
    <w:rsid w:val="00127ECB"/>
    <w:rsid w:val="001301C8"/>
    <w:rsid w:val="00130259"/>
    <w:rsid w:val="001303E3"/>
    <w:rsid w:val="00130A45"/>
    <w:rsid w:val="00130F54"/>
    <w:rsid w:val="0013121E"/>
    <w:rsid w:val="00131892"/>
    <w:rsid w:val="0013367F"/>
    <w:rsid w:val="0013389C"/>
    <w:rsid w:val="00133A05"/>
    <w:rsid w:val="00134CE8"/>
    <w:rsid w:val="0013509A"/>
    <w:rsid w:val="00135139"/>
    <w:rsid w:val="00135245"/>
    <w:rsid w:val="00135B87"/>
    <w:rsid w:val="00135DF3"/>
    <w:rsid w:val="00135E00"/>
    <w:rsid w:val="001360C0"/>
    <w:rsid w:val="001363E0"/>
    <w:rsid w:val="00136903"/>
    <w:rsid w:val="001379DB"/>
    <w:rsid w:val="00137C02"/>
    <w:rsid w:val="00137E5B"/>
    <w:rsid w:val="001405B5"/>
    <w:rsid w:val="001409B0"/>
    <w:rsid w:val="001409E2"/>
    <w:rsid w:val="00140B07"/>
    <w:rsid w:val="001411DB"/>
    <w:rsid w:val="001414BD"/>
    <w:rsid w:val="001415E1"/>
    <w:rsid w:val="00141691"/>
    <w:rsid w:val="00141ED7"/>
    <w:rsid w:val="001427D9"/>
    <w:rsid w:val="00142AE1"/>
    <w:rsid w:val="00142F2F"/>
    <w:rsid w:val="0014333C"/>
    <w:rsid w:val="00143C7C"/>
    <w:rsid w:val="00143E04"/>
    <w:rsid w:val="0014432A"/>
    <w:rsid w:val="0014537D"/>
    <w:rsid w:val="00145705"/>
    <w:rsid w:val="00145A39"/>
    <w:rsid w:val="00145C8B"/>
    <w:rsid w:val="00146025"/>
    <w:rsid w:val="00146ABA"/>
    <w:rsid w:val="001474E8"/>
    <w:rsid w:val="001479BF"/>
    <w:rsid w:val="00147DE8"/>
    <w:rsid w:val="00147EDB"/>
    <w:rsid w:val="0014989F"/>
    <w:rsid w:val="0015063C"/>
    <w:rsid w:val="00150AAF"/>
    <w:rsid w:val="00151142"/>
    <w:rsid w:val="00151A55"/>
    <w:rsid w:val="001522E0"/>
    <w:rsid w:val="00152302"/>
    <w:rsid w:val="00152888"/>
    <w:rsid w:val="00153200"/>
    <w:rsid w:val="0015384E"/>
    <w:rsid w:val="00153D82"/>
    <w:rsid w:val="00153DD8"/>
    <w:rsid w:val="00154237"/>
    <w:rsid w:val="00154385"/>
    <w:rsid w:val="00154479"/>
    <w:rsid w:val="001545FC"/>
    <w:rsid w:val="001549BE"/>
    <w:rsid w:val="00154BCC"/>
    <w:rsid w:val="00154BF8"/>
    <w:rsid w:val="00154FFE"/>
    <w:rsid w:val="00155E1C"/>
    <w:rsid w:val="00155E2B"/>
    <w:rsid w:val="00156CEB"/>
    <w:rsid w:val="00156DAA"/>
    <w:rsid w:val="00156E37"/>
    <w:rsid w:val="00160242"/>
    <w:rsid w:val="00160283"/>
    <w:rsid w:val="00160987"/>
    <w:rsid w:val="00160BF3"/>
    <w:rsid w:val="00160C7C"/>
    <w:rsid w:val="00161722"/>
    <w:rsid w:val="001619A5"/>
    <w:rsid w:val="00161A0B"/>
    <w:rsid w:val="00161C81"/>
    <w:rsid w:val="0016309F"/>
    <w:rsid w:val="001638B0"/>
    <w:rsid w:val="00163B64"/>
    <w:rsid w:val="00164382"/>
    <w:rsid w:val="00164899"/>
    <w:rsid w:val="00164AB0"/>
    <w:rsid w:val="001655DF"/>
    <w:rsid w:val="00166147"/>
    <w:rsid w:val="001665FF"/>
    <w:rsid w:val="0016666D"/>
    <w:rsid w:val="00166D31"/>
    <w:rsid w:val="00166F17"/>
    <w:rsid w:val="0016726D"/>
    <w:rsid w:val="00167DAA"/>
    <w:rsid w:val="00167E07"/>
    <w:rsid w:val="00167F7C"/>
    <w:rsid w:val="00170030"/>
    <w:rsid w:val="001703E2"/>
    <w:rsid w:val="00170711"/>
    <w:rsid w:val="00170877"/>
    <w:rsid w:val="00171099"/>
    <w:rsid w:val="001717A2"/>
    <w:rsid w:val="00171EC8"/>
    <w:rsid w:val="00172C20"/>
    <w:rsid w:val="00172FB6"/>
    <w:rsid w:val="001733F7"/>
    <w:rsid w:val="00173C15"/>
    <w:rsid w:val="001745E0"/>
    <w:rsid w:val="001746A1"/>
    <w:rsid w:val="00174885"/>
    <w:rsid w:val="001749A9"/>
    <w:rsid w:val="00175006"/>
    <w:rsid w:val="00175BB2"/>
    <w:rsid w:val="00175F8B"/>
    <w:rsid w:val="00176F11"/>
    <w:rsid w:val="00177853"/>
    <w:rsid w:val="00177D6B"/>
    <w:rsid w:val="00177E0F"/>
    <w:rsid w:val="00177E5B"/>
    <w:rsid w:val="00180075"/>
    <w:rsid w:val="001801B8"/>
    <w:rsid w:val="001805D7"/>
    <w:rsid w:val="0018061A"/>
    <w:rsid w:val="001809DB"/>
    <w:rsid w:val="00181792"/>
    <w:rsid w:val="001825A6"/>
    <w:rsid w:val="0018355B"/>
    <w:rsid w:val="00183A7A"/>
    <w:rsid w:val="00183E8C"/>
    <w:rsid w:val="00183F31"/>
    <w:rsid w:val="0018419D"/>
    <w:rsid w:val="00184772"/>
    <w:rsid w:val="00184CA0"/>
    <w:rsid w:val="00184FFD"/>
    <w:rsid w:val="001851F1"/>
    <w:rsid w:val="0018568C"/>
    <w:rsid w:val="001856CA"/>
    <w:rsid w:val="00185D19"/>
    <w:rsid w:val="00185F4B"/>
    <w:rsid w:val="0018602E"/>
    <w:rsid w:val="0018669D"/>
    <w:rsid w:val="001870D6"/>
    <w:rsid w:val="001872FA"/>
    <w:rsid w:val="00187415"/>
    <w:rsid w:val="001874D3"/>
    <w:rsid w:val="00187597"/>
    <w:rsid w:val="00187DF8"/>
    <w:rsid w:val="00190166"/>
    <w:rsid w:val="00190259"/>
    <w:rsid w:val="0019065F"/>
    <w:rsid w:val="00190CB9"/>
    <w:rsid w:val="00190D40"/>
    <w:rsid w:val="00190DBC"/>
    <w:rsid w:val="00191384"/>
    <w:rsid w:val="00191899"/>
    <w:rsid w:val="001919EC"/>
    <w:rsid w:val="00191E80"/>
    <w:rsid w:val="00191FAB"/>
    <w:rsid w:val="00192144"/>
    <w:rsid w:val="00192E2C"/>
    <w:rsid w:val="00192EB9"/>
    <w:rsid w:val="001945B1"/>
    <w:rsid w:val="00194793"/>
    <w:rsid w:val="001948A4"/>
    <w:rsid w:val="001951E5"/>
    <w:rsid w:val="00195670"/>
    <w:rsid w:val="0019572D"/>
    <w:rsid w:val="001958DC"/>
    <w:rsid w:val="00195B41"/>
    <w:rsid w:val="00195CC7"/>
    <w:rsid w:val="0019615F"/>
    <w:rsid w:val="00196858"/>
    <w:rsid w:val="00197A73"/>
    <w:rsid w:val="00197CD5"/>
    <w:rsid w:val="001A0080"/>
    <w:rsid w:val="001A080D"/>
    <w:rsid w:val="001A1376"/>
    <w:rsid w:val="001A1455"/>
    <w:rsid w:val="001A1F68"/>
    <w:rsid w:val="001A225F"/>
    <w:rsid w:val="001A2750"/>
    <w:rsid w:val="001A297D"/>
    <w:rsid w:val="001A3418"/>
    <w:rsid w:val="001A34BA"/>
    <w:rsid w:val="001A36C9"/>
    <w:rsid w:val="001A389E"/>
    <w:rsid w:val="001A49B4"/>
    <w:rsid w:val="001A4CBE"/>
    <w:rsid w:val="001A4F78"/>
    <w:rsid w:val="001A5A1E"/>
    <w:rsid w:val="001A5B23"/>
    <w:rsid w:val="001A6C78"/>
    <w:rsid w:val="001A7458"/>
    <w:rsid w:val="001A7B74"/>
    <w:rsid w:val="001A7EDB"/>
    <w:rsid w:val="001B04EE"/>
    <w:rsid w:val="001B0E64"/>
    <w:rsid w:val="001B1587"/>
    <w:rsid w:val="001B18C7"/>
    <w:rsid w:val="001B1C17"/>
    <w:rsid w:val="001B1C8D"/>
    <w:rsid w:val="001B1CAD"/>
    <w:rsid w:val="001B1DE1"/>
    <w:rsid w:val="001B202F"/>
    <w:rsid w:val="001B3176"/>
    <w:rsid w:val="001B36B3"/>
    <w:rsid w:val="001B36C8"/>
    <w:rsid w:val="001B3B07"/>
    <w:rsid w:val="001B4670"/>
    <w:rsid w:val="001B4902"/>
    <w:rsid w:val="001B4976"/>
    <w:rsid w:val="001B5067"/>
    <w:rsid w:val="001B506B"/>
    <w:rsid w:val="001B51AB"/>
    <w:rsid w:val="001B587C"/>
    <w:rsid w:val="001B5DD0"/>
    <w:rsid w:val="001B6666"/>
    <w:rsid w:val="001B7215"/>
    <w:rsid w:val="001B73E9"/>
    <w:rsid w:val="001B7B1A"/>
    <w:rsid w:val="001C0049"/>
    <w:rsid w:val="001C07E1"/>
    <w:rsid w:val="001C0A82"/>
    <w:rsid w:val="001C0C0E"/>
    <w:rsid w:val="001C0CE8"/>
    <w:rsid w:val="001C1114"/>
    <w:rsid w:val="001C13A5"/>
    <w:rsid w:val="001C1941"/>
    <w:rsid w:val="001C1FA9"/>
    <w:rsid w:val="001C2105"/>
    <w:rsid w:val="001C22D7"/>
    <w:rsid w:val="001C2378"/>
    <w:rsid w:val="001C2B9C"/>
    <w:rsid w:val="001C319B"/>
    <w:rsid w:val="001C3258"/>
    <w:rsid w:val="001C38AC"/>
    <w:rsid w:val="001C440D"/>
    <w:rsid w:val="001C4A55"/>
    <w:rsid w:val="001C4ABC"/>
    <w:rsid w:val="001C4F34"/>
    <w:rsid w:val="001C501E"/>
    <w:rsid w:val="001C5194"/>
    <w:rsid w:val="001C58A9"/>
    <w:rsid w:val="001C600F"/>
    <w:rsid w:val="001C6653"/>
    <w:rsid w:val="001C68F5"/>
    <w:rsid w:val="001C6A1C"/>
    <w:rsid w:val="001C6E3D"/>
    <w:rsid w:val="001C6EBA"/>
    <w:rsid w:val="001C79F4"/>
    <w:rsid w:val="001C7B37"/>
    <w:rsid w:val="001C7B90"/>
    <w:rsid w:val="001D0664"/>
    <w:rsid w:val="001D0FF3"/>
    <w:rsid w:val="001D1514"/>
    <w:rsid w:val="001D2F93"/>
    <w:rsid w:val="001D2FB8"/>
    <w:rsid w:val="001D34B4"/>
    <w:rsid w:val="001D3952"/>
    <w:rsid w:val="001D3BEB"/>
    <w:rsid w:val="001D3DCD"/>
    <w:rsid w:val="001D40AA"/>
    <w:rsid w:val="001D40EA"/>
    <w:rsid w:val="001D4909"/>
    <w:rsid w:val="001D591D"/>
    <w:rsid w:val="001D5938"/>
    <w:rsid w:val="001D5C18"/>
    <w:rsid w:val="001D6791"/>
    <w:rsid w:val="001D6ED9"/>
    <w:rsid w:val="001D6F1C"/>
    <w:rsid w:val="001D705D"/>
    <w:rsid w:val="001D72A2"/>
    <w:rsid w:val="001D74F4"/>
    <w:rsid w:val="001D792A"/>
    <w:rsid w:val="001D7C21"/>
    <w:rsid w:val="001D7CFD"/>
    <w:rsid w:val="001D7EC5"/>
    <w:rsid w:val="001E019C"/>
    <w:rsid w:val="001E067C"/>
    <w:rsid w:val="001E0C08"/>
    <w:rsid w:val="001E16DE"/>
    <w:rsid w:val="001E1DBF"/>
    <w:rsid w:val="001E1E5C"/>
    <w:rsid w:val="001E2462"/>
    <w:rsid w:val="001E3658"/>
    <w:rsid w:val="001E3C56"/>
    <w:rsid w:val="001E41AE"/>
    <w:rsid w:val="001E4479"/>
    <w:rsid w:val="001E45C2"/>
    <w:rsid w:val="001E48B5"/>
    <w:rsid w:val="001E4A16"/>
    <w:rsid w:val="001E4EE8"/>
    <w:rsid w:val="001E50F2"/>
    <w:rsid w:val="001E558A"/>
    <w:rsid w:val="001E6FA2"/>
    <w:rsid w:val="001E78EC"/>
    <w:rsid w:val="001F06F9"/>
    <w:rsid w:val="001F0CBE"/>
    <w:rsid w:val="001F147F"/>
    <w:rsid w:val="001F16CC"/>
    <w:rsid w:val="001F1A34"/>
    <w:rsid w:val="001F1DB1"/>
    <w:rsid w:val="001F1DE5"/>
    <w:rsid w:val="001F20F3"/>
    <w:rsid w:val="001F23D1"/>
    <w:rsid w:val="001F23F4"/>
    <w:rsid w:val="001F2F35"/>
    <w:rsid w:val="001F40A2"/>
    <w:rsid w:val="001F4AB9"/>
    <w:rsid w:val="001F564C"/>
    <w:rsid w:val="001F5F5A"/>
    <w:rsid w:val="001F6E79"/>
    <w:rsid w:val="00200677"/>
    <w:rsid w:val="0020105C"/>
    <w:rsid w:val="00201210"/>
    <w:rsid w:val="00201727"/>
    <w:rsid w:val="00201AA1"/>
    <w:rsid w:val="00202DE2"/>
    <w:rsid w:val="00202E77"/>
    <w:rsid w:val="002033FC"/>
    <w:rsid w:val="00203984"/>
    <w:rsid w:val="00203BEA"/>
    <w:rsid w:val="00203DD1"/>
    <w:rsid w:val="00203E07"/>
    <w:rsid w:val="00204A95"/>
    <w:rsid w:val="00204EF7"/>
    <w:rsid w:val="002059B8"/>
    <w:rsid w:val="00205EDB"/>
    <w:rsid w:val="00206131"/>
    <w:rsid w:val="00207041"/>
    <w:rsid w:val="002070A1"/>
    <w:rsid w:val="0020743A"/>
    <w:rsid w:val="00207A55"/>
    <w:rsid w:val="00210027"/>
    <w:rsid w:val="00210129"/>
    <w:rsid w:val="00210329"/>
    <w:rsid w:val="0021080D"/>
    <w:rsid w:val="0021086F"/>
    <w:rsid w:val="00210996"/>
    <w:rsid w:val="002111A9"/>
    <w:rsid w:val="00211531"/>
    <w:rsid w:val="00211B2E"/>
    <w:rsid w:val="00211D88"/>
    <w:rsid w:val="00211F02"/>
    <w:rsid w:val="002129DD"/>
    <w:rsid w:val="00213007"/>
    <w:rsid w:val="00213260"/>
    <w:rsid w:val="002132BC"/>
    <w:rsid w:val="00213304"/>
    <w:rsid w:val="00213839"/>
    <w:rsid w:val="00214662"/>
    <w:rsid w:val="00214899"/>
    <w:rsid w:val="002148BD"/>
    <w:rsid w:val="002150CA"/>
    <w:rsid w:val="00215870"/>
    <w:rsid w:val="00215897"/>
    <w:rsid w:val="00215CE8"/>
    <w:rsid w:val="002162C8"/>
    <w:rsid w:val="0021660A"/>
    <w:rsid w:val="002166FA"/>
    <w:rsid w:val="002179E4"/>
    <w:rsid w:val="00220134"/>
    <w:rsid w:val="00220381"/>
    <w:rsid w:val="00220FF4"/>
    <w:rsid w:val="002213A6"/>
    <w:rsid w:val="00221AE1"/>
    <w:rsid w:val="00222778"/>
    <w:rsid w:val="002230C4"/>
    <w:rsid w:val="0022335D"/>
    <w:rsid w:val="00223D09"/>
    <w:rsid w:val="00223E18"/>
    <w:rsid w:val="00224A80"/>
    <w:rsid w:val="00225175"/>
    <w:rsid w:val="002252F5"/>
    <w:rsid w:val="0022539A"/>
    <w:rsid w:val="00225812"/>
    <w:rsid w:val="002259A9"/>
    <w:rsid w:val="00225B21"/>
    <w:rsid w:val="00225F7B"/>
    <w:rsid w:val="00226098"/>
    <w:rsid w:val="0022626B"/>
    <w:rsid w:val="00226BB2"/>
    <w:rsid w:val="00226C22"/>
    <w:rsid w:val="00226D48"/>
    <w:rsid w:val="00227020"/>
    <w:rsid w:val="002272EB"/>
    <w:rsid w:val="002272FE"/>
    <w:rsid w:val="0022743E"/>
    <w:rsid w:val="0022765F"/>
    <w:rsid w:val="00227669"/>
    <w:rsid w:val="00227BE1"/>
    <w:rsid w:val="00227D24"/>
    <w:rsid w:val="00230070"/>
    <w:rsid w:val="00230A01"/>
    <w:rsid w:val="00230D66"/>
    <w:rsid w:val="00230DBB"/>
    <w:rsid w:val="00230E69"/>
    <w:rsid w:val="00231037"/>
    <w:rsid w:val="00231A83"/>
    <w:rsid w:val="00231AA4"/>
    <w:rsid w:val="00231E8F"/>
    <w:rsid w:val="00232721"/>
    <w:rsid w:val="002328A8"/>
    <w:rsid w:val="00233731"/>
    <w:rsid w:val="00233984"/>
    <w:rsid w:val="002339E1"/>
    <w:rsid w:val="00233D12"/>
    <w:rsid w:val="00234158"/>
    <w:rsid w:val="00234455"/>
    <w:rsid w:val="00234996"/>
    <w:rsid w:val="002349A5"/>
    <w:rsid w:val="00235A67"/>
    <w:rsid w:val="00235D70"/>
    <w:rsid w:val="002363B3"/>
    <w:rsid w:val="002365FF"/>
    <w:rsid w:val="0023734D"/>
    <w:rsid w:val="002374D3"/>
    <w:rsid w:val="00237BCD"/>
    <w:rsid w:val="00240301"/>
    <w:rsid w:val="00240CC4"/>
    <w:rsid w:val="002418ED"/>
    <w:rsid w:val="00242227"/>
    <w:rsid w:val="00242FC6"/>
    <w:rsid w:val="00242FE6"/>
    <w:rsid w:val="0024380F"/>
    <w:rsid w:val="002445B3"/>
    <w:rsid w:val="00244ABD"/>
    <w:rsid w:val="00244B64"/>
    <w:rsid w:val="00245B10"/>
    <w:rsid w:val="00245B89"/>
    <w:rsid w:val="00246358"/>
    <w:rsid w:val="00246BE0"/>
    <w:rsid w:val="0024721B"/>
    <w:rsid w:val="00247743"/>
    <w:rsid w:val="00247AF7"/>
    <w:rsid w:val="00247BC5"/>
    <w:rsid w:val="002500B7"/>
    <w:rsid w:val="002509AB"/>
    <w:rsid w:val="00250DF2"/>
    <w:rsid w:val="002514B9"/>
    <w:rsid w:val="002516B8"/>
    <w:rsid w:val="00251991"/>
    <w:rsid w:val="00252BDE"/>
    <w:rsid w:val="00252C69"/>
    <w:rsid w:val="00252FE0"/>
    <w:rsid w:val="00253053"/>
    <w:rsid w:val="00253212"/>
    <w:rsid w:val="00253548"/>
    <w:rsid w:val="002536A6"/>
    <w:rsid w:val="00253F82"/>
    <w:rsid w:val="00254649"/>
    <w:rsid w:val="00254B42"/>
    <w:rsid w:val="002554D5"/>
    <w:rsid w:val="0025550D"/>
    <w:rsid w:val="0025556A"/>
    <w:rsid w:val="0025584D"/>
    <w:rsid w:val="00256FD9"/>
    <w:rsid w:val="00257199"/>
    <w:rsid w:val="00257356"/>
    <w:rsid w:val="00257E4E"/>
    <w:rsid w:val="00260520"/>
    <w:rsid w:val="0026068A"/>
    <w:rsid w:val="00260A24"/>
    <w:rsid w:val="00260A3A"/>
    <w:rsid w:val="00260A84"/>
    <w:rsid w:val="00260B87"/>
    <w:rsid w:val="002611DF"/>
    <w:rsid w:val="002613C1"/>
    <w:rsid w:val="00262D19"/>
    <w:rsid w:val="002632CB"/>
    <w:rsid w:val="00263D1E"/>
    <w:rsid w:val="00264351"/>
    <w:rsid w:val="00264437"/>
    <w:rsid w:val="002647EA"/>
    <w:rsid w:val="0026489A"/>
    <w:rsid w:val="00264FEA"/>
    <w:rsid w:val="00265A29"/>
    <w:rsid w:val="00265B11"/>
    <w:rsid w:val="00265B80"/>
    <w:rsid w:val="00265BA2"/>
    <w:rsid w:val="00265C31"/>
    <w:rsid w:val="00265EF9"/>
    <w:rsid w:val="00267006"/>
    <w:rsid w:val="002674E6"/>
    <w:rsid w:val="0026767B"/>
    <w:rsid w:val="0026786C"/>
    <w:rsid w:val="00267AD0"/>
    <w:rsid w:val="002700B9"/>
    <w:rsid w:val="00270322"/>
    <w:rsid w:val="0027072A"/>
    <w:rsid w:val="00270CAB"/>
    <w:rsid w:val="00271337"/>
    <w:rsid w:val="002716F1"/>
    <w:rsid w:val="002717D7"/>
    <w:rsid w:val="0027191A"/>
    <w:rsid w:val="00271E55"/>
    <w:rsid w:val="00271F91"/>
    <w:rsid w:val="00272019"/>
    <w:rsid w:val="00272141"/>
    <w:rsid w:val="00272DD5"/>
    <w:rsid w:val="00272EB2"/>
    <w:rsid w:val="002739FE"/>
    <w:rsid w:val="00273E7A"/>
    <w:rsid w:val="00274513"/>
    <w:rsid w:val="002745BB"/>
    <w:rsid w:val="0027510C"/>
    <w:rsid w:val="002755C7"/>
    <w:rsid w:val="00275AC8"/>
    <w:rsid w:val="00275ADF"/>
    <w:rsid w:val="0027680D"/>
    <w:rsid w:val="00276C7A"/>
    <w:rsid w:val="002770AD"/>
    <w:rsid w:val="002776D6"/>
    <w:rsid w:val="0027793C"/>
    <w:rsid w:val="002779C6"/>
    <w:rsid w:val="00277BC8"/>
    <w:rsid w:val="00280281"/>
    <w:rsid w:val="00280438"/>
    <w:rsid w:val="002806AE"/>
    <w:rsid w:val="0028094B"/>
    <w:rsid w:val="00280C9E"/>
    <w:rsid w:val="00281352"/>
    <w:rsid w:val="00281F46"/>
    <w:rsid w:val="00282065"/>
    <w:rsid w:val="00282465"/>
    <w:rsid w:val="00282471"/>
    <w:rsid w:val="00282515"/>
    <w:rsid w:val="002828C1"/>
    <w:rsid w:val="00283038"/>
    <w:rsid w:val="002835E7"/>
    <w:rsid w:val="0028384C"/>
    <w:rsid w:val="00284903"/>
    <w:rsid w:val="002849B6"/>
    <w:rsid w:val="00285C02"/>
    <w:rsid w:val="00286A31"/>
    <w:rsid w:val="00286C5C"/>
    <w:rsid w:val="0028745A"/>
    <w:rsid w:val="00287E64"/>
    <w:rsid w:val="00287F48"/>
    <w:rsid w:val="00290142"/>
    <w:rsid w:val="0029088B"/>
    <w:rsid w:val="0029106E"/>
    <w:rsid w:val="00291BCD"/>
    <w:rsid w:val="00291CBC"/>
    <w:rsid w:val="00292F5B"/>
    <w:rsid w:val="00293C2F"/>
    <w:rsid w:val="00293F9E"/>
    <w:rsid w:val="002941DD"/>
    <w:rsid w:val="002942D4"/>
    <w:rsid w:val="00295438"/>
    <w:rsid w:val="00295AD0"/>
    <w:rsid w:val="00296860"/>
    <w:rsid w:val="00296A61"/>
    <w:rsid w:val="00296B15"/>
    <w:rsid w:val="00296D5B"/>
    <w:rsid w:val="00296DFB"/>
    <w:rsid w:val="00296ED5"/>
    <w:rsid w:val="00297337"/>
    <w:rsid w:val="0029788D"/>
    <w:rsid w:val="002A010E"/>
    <w:rsid w:val="002A084B"/>
    <w:rsid w:val="002A0B0D"/>
    <w:rsid w:val="002A0F0C"/>
    <w:rsid w:val="002A0F94"/>
    <w:rsid w:val="002A1021"/>
    <w:rsid w:val="002A1F24"/>
    <w:rsid w:val="002A2D11"/>
    <w:rsid w:val="002A2FDE"/>
    <w:rsid w:val="002A3B43"/>
    <w:rsid w:val="002A4033"/>
    <w:rsid w:val="002A4A3E"/>
    <w:rsid w:val="002A4ACB"/>
    <w:rsid w:val="002A4C9C"/>
    <w:rsid w:val="002A511F"/>
    <w:rsid w:val="002A56F8"/>
    <w:rsid w:val="002A5950"/>
    <w:rsid w:val="002A5F41"/>
    <w:rsid w:val="002A65BC"/>
    <w:rsid w:val="002A700B"/>
    <w:rsid w:val="002A72AD"/>
    <w:rsid w:val="002A7441"/>
    <w:rsid w:val="002A7552"/>
    <w:rsid w:val="002A7B8B"/>
    <w:rsid w:val="002B02C9"/>
    <w:rsid w:val="002B0394"/>
    <w:rsid w:val="002B03D1"/>
    <w:rsid w:val="002B0BB2"/>
    <w:rsid w:val="002B13EF"/>
    <w:rsid w:val="002B1486"/>
    <w:rsid w:val="002B16AC"/>
    <w:rsid w:val="002B1A0B"/>
    <w:rsid w:val="002B2221"/>
    <w:rsid w:val="002B236F"/>
    <w:rsid w:val="002B28A5"/>
    <w:rsid w:val="002B2D46"/>
    <w:rsid w:val="002B2DC9"/>
    <w:rsid w:val="002B2DE7"/>
    <w:rsid w:val="002B46EE"/>
    <w:rsid w:val="002B52FB"/>
    <w:rsid w:val="002B5571"/>
    <w:rsid w:val="002B5653"/>
    <w:rsid w:val="002B5922"/>
    <w:rsid w:val="002B62E0"/>
    <w:rsid w:val="002B6337"/>
    <w:rsid w:val="002B6394"/>
    <w:rsid w:val="002B6551"/>
    <w:rsid w:val="002B6E34"/>
    <w:rsid w:val="002B74F4"/>
    <w:rsid w:val="002B7832"/>
    <w:rsid w:val="002B7902"/>
    <w:rsid w:val="002C00EF"/>
    <w:rsid w:val="002C1799"/>
    <w:rsid w:val="002C1BCD"/>
    <w:rsid w:val="002C33FC"/>
    <w:rsid w:val="002C371F"/>
    <w:rsid w:val="002C4B39"/>
    <w:rsid w:val="002C5B46"/>
    <w:rsid w:val="002C5C52"/>
    <w:rsid w:val="002C657F"/>
    <w:rsid w:val="002C68BE"/>
    <w:rsid w:val="002C70F8"/>
    <w:rsid w:val="002C7D00"/>
    <w:rsid w:val="002C7FA9"/>
    <w:rsid w:val="002D0788"/>
    <w:rsid w:val="002D0C3A"/>
    <w:rsid w:val="002D1602"/>
    <w:rsid w:val="002D1A2C"/>
    <w:rsid w:val="002D2112"/>
    <w:rsid w:val="002D2F02"/>
    <w:rsid w:val="002D38E0"/>
    <w:rsid w:val="002D41C9"/>
    <w:rsid w:val="002D4213"/>
    <w:rsid w:val="002D46D3"/>
    <w:rsid w:val="002D505D"/>
    <w:rsid w:val="002D59D4"/>
    <w:rsid w:val="002D5CEB"/>
    <w:rsid w:val="002D61E4"/>
    <w:rsid w:val="002D6279"/>
    <w:rsid w:val="002D6579"/>
    <w:rsid w:val="002D6DBD"/>
    <w:rsid w:val="002D70DE"/>
    <w:rsid w:val="002D71ED"/>
    <w:rsid w:val="002D74B6"/>
    <w:rsid w:val="002D757C"/>
    <w:rsid w:val="002D7977"/>
    <w:rsid w:val="002DE8A8"/>
    <w:rsid w:val="002E0677"/>
    <w:rsid w:val="002E06B0"/>
    <w:rsid w:val="002E0BE1"/>
    <w:rsid w:val="002E0DFF"/>
    <w:rsid w:val="002E151B"/>
    <w:rsid w:val="002E207B"/>
    <w:rsid w:val="002E2157"/>
    <w:rsid w:val="002E2421"/>
    <w:rsid w:val="002E25DE"/>
    <w:rsid w:val="002E2752"/>
    <w:rsid w:val="002E3118"/>
    <w:rsid w:val="002E32B9"/>
    <w:rsid w:val="002E3C61"/>
    <w:rsid w:val="002E499B"/>
    <w:rsid w:val="002E4A75"/>
    <w:rsid w:val="002E4B8D"/>
    <w:rsid w:val="002E590B"/>
    <w:rsid w:val="002E5D4C"/>
    <w:rsid w:val="002E6428"/>
    <w:rsid w:val="002E6902"/>
    <w:rsid w:val="002E6931"/>
    <w:rsid w:val="002E700A"/>
    <w:rsid w:val="002E70EF"/>
    <w:rsid w:val="002F0049"/>
    <w:rsid w:val="002F0140"/>
    <w:rsid w:val="002F02EB"/>
    <w:rsid w:val="002F055F"/>
    <w:rsid w:val="002F080C"/>
    <w:rsid w:val="002F083F"/>
    <w:rsid w:val="002F0DA4"/>
    <w:rsid w:val="002F1029"/>
    <w:rsid w:val="002F1038"/>
    <w:rsid w:val="002F1173"/>
    <w:rsid w:val="002F1614"/>
    <w:rsid w:val="002F2217"/>
    <w:rsid w:val="002F22E5"/>
    <w:rsid w:val="002F24B6"/>
    <w:rsid w:val="002F278F"/>
    <w:rsid w:val="002F3DE4"/>
    <w:rsid w:val="002F433D"/>
    <w:rsid w:val="002F43E9"/>
    <w:rsid w:val="002F4B9D"/>
    <w:rsid w:val="002F4CC3"/>
    <w:rsid w:val="002F5C7F"/>
    <w:rsid w:val="002F5E74"/>
    <w:rsid w:val="002F5FFD"/>
    <w:rsid w:val="002F6120"/>
    <w:rsid w:val="002F62D0"/>
    <w:rsid w:val="002F66BB"/>
    <w:rsid w:val="002F7122"/>
    <w:rsid w:val="002F76CC"/>
    <w:rsid w:val="002F7995"/>
    <w:rsid w:val="00300488"/>
    <w:rsid w:val="00300BA5"/>
    <w:rsid w:val="00301B7E"/>
    <w:rsid w:val="0030211B"/>
    <w:rsid w:val="00302632"/>
    <w:rsid w:val="00302790"/>
    <w:rsid w:val="00302CA6"/>
    <w:rsid w:val="00303427"/>
    <w:rsid w:val="00303615"/>
    <w:rsid w:val="00303A5D"/>
    <w:rsid w:val="00303F53"/>
    <w:rsid w:val="003046CD"/>
    <w:rsid w:val="00304968"/>
    <w:rsid w:val="00304A91"/>
    <w:rsid w:val="00304EB2"/>
    <w:rsid w:val="00305A2E"/>
    <w:rsid w:val="00305ABE"/>
    <w:rsid w:val="0030641B"/>
    <w:rsid w:val="00306637"/>
    <w:rsid w:val="003068F1"/>
    <w:rsid w:val="00306A4F"/>
    <w:rsid w:val="00306A8A"/>
    <w:rsid w:val="003075F4"/>
    <w:rsid w:val="0030761B"/>
    <w:rsid w:val="00307C83"/>
    <w:rsid w:val="00310AD3"/>
    <w:rsid w:val="00311291"/>
    <w:rsid w:val="003112C3"/>
    <w:rsid w:val="00311329"/>
    <w:rsid w:val="00311FBF"/>
    <w:rsid w:val="003122AC"/>
    <w:rsid w:val="00312828"/>
    <w:rsid w:val="00312D74"/>
    <w:rsid w:val="00313072"/>
    <w:rsid w:val="00314784"/>
    <w:rsid w:val="00314999"/>
    <w:rsid w:val="00314AC2"/>
    <w:rsid w:val="00314B0A"/>
    <w:rsid w:val="00315701"/>
    <w:rsid w:val="00316040"/>
    <w:rsid w:val="0031616A"/>
    <w:rsid w:val="003163E6"/>
    <w:rsid w:val="0031668C"/>
    <w:rsid w:val="0031687B"/>
    <w:rsid w:val="00316B90"/>
    <w:rsid w:val="003172DC"/>
    <w:rsid w:val="003177D6"/>
    <w:rsid w:val="00317990"/>
    <w:rsid w:val="00317DB2"/>
    <w:rsid w:val="0032029A"/>
    <w:rsid w:val="003206D6"/>
    <w:rsid w:val="0032079D"/>
    <w:rsid w:val="00320813"/>
    <w:rsid w:val="003208D7"/>
    <w:rsid w:val="00320B77"/>
    <w:rsid w:val="00320E07"/>
    <w:rsid w:val="003215BA"/>
    <w:rsid w:val="00321770"/>
    <w:rsid w:val="00322578"/>
    <w:rsid w:val="0032260A"/>
    <w:rsid w:val="00322C24"/>
    <w:rsid w:val="00323364"/>
    <w:rsid w:val="00323632"/>
    <w:rsid w:val="00323BDE"/>
    <w:rsid w:val="00323CD2"/>
    <w:rsid w:val="00324635"/>
    <w:rsid w:val="0032477D"/>
    <w:rsid w:val="0032497D"/>
    <w:rsid w:val="00324C5F"/>
    <w:rsid w:val="0032514B"/>
    <w:rsid w:val="00325593"/>
    <w:rsid w:val="003255DD"/>
    <w:rsid w:val="00325A02"/>
    <w:rsid w:val="00325AC5"/>
    <w:rsid w:val="00325F94"/>
    <w:rsid w:val="003267CB"/>
    <w:rsid w:val="00326B37"/>
    <w:rsid w:val="00326D1F"/>
    <w:rsid w:val="00326DD5"/>
    <w:rsid w:val="00326FCA"/>
    <w:rsid w:val="00327207"/>
    <w:rsid w:val="00327375"/>
    <w:rsid w:val="003276EE"/>
    <w:rsid w:val="003303AF"/>
    <w:rsid w:val="00330FD9"/>
    <w:rsid w:val="00331218"/>
    <w:rsid w:val="00331694"/>
    <w:rsid w:val="00331D95"/>
    <w:rsid w:val="00332191"/>
    <w:rsid w:val="003321D3"/>
    <w:rsid w:val="00332E20"/>
    <w:rsid w:val="00333361"/>
    <w:rsid w:val="003340E6"/>
    <w:rsid w:val="0033465B"/>
    <w:rsid w:val="00334700"/>
    <w:rsid w:val="00334B43"/>
    <w:rsid w:val="00335A67"/>
    <w:rsid w:val="00335C20"/>
    <w:rsid w:val="00335EBD"/>
    <w:rsid w:val="00335ED6"/>
    <w:rsid w:val="003360F7"/>
    <w:rsid w:val="00336119"/>
    <w:rsid w:val="00336122"/>
    <w:rsid w:val="003364C6"/>
    <w:rsid w:val="003364F5"/>
    <w:rsid w:val="003365BA"/>
    <w:rsid w:val="00336DCC"/>
    <w:rsid w:val="0033709E"/>
    <w:rsid w:val="003374DF"/>
    <w:rsid w:val="00337E8F"/>
    <w:rsid w:val="00341966"/>
    <w:rsid w:val="00341BCA"/>
    <w:rsid w:val="00341C12"/>
    <w:rsid w:val="00341E0E"/>
    <w:rsid w:val="00342467"/>
    <w:rsid w:val="0034252D"/>
    <w:rsid w:val="0034257C"/>
    <w:rsid w:val="0034277F"/>
    <w:rsid w:val="00343071"/>
    <w:rsid w:val="00343274"/>
    <w:rsid w:val="00343386"/>
    <w:rsid w:val="00343913"/>
    <w:rsid w:val="00343BA1"/>
    <w:rsid w:val="0034483D"/>
    <w:rsid w:val="00344E4C"/>
    <w:rsid w:val="00344EEE"/>
    <w:rsid w:val="00345380"/>
    <w:rsid w:val="00345667"/>
    <w:rsid w:val="003459AC"/>
    <w:rsid w:val="00345A5E"/>
    <w:rsid w:val="00345BE7"/>
    <w:rsid w:val="00345DC7"/>
    <w:rsid w:val="0034637B"/>
    <w:rsid w:val="00346408"/>
    <w:rsid w:val="0034691D"/>
    <w:rsid w:val="00346BB1"/>
    <w:rsid w:val="00347745"/>
    <w:rsid w:val="003477A8"/>
    <w:rsid w:val="00347918"/>
    <w:rsid w:val="00347957"/>
    <w:rsid w:val="00350D22"/>
    <w:rsid w:val="00350F5B"/>
    <w:rsid w:val="0035212C"/>
    <w:rsid w:val="003526E5"/>
    <w:rsid w:val="00352A58"/>
    <w:rsid w:val="0035380E"/>
    <w:rsid w:val="00353B59"/>
    <w:rsid w:val="00353F39"/>
    <w:rsid w:val="00354464"/>
    <w:rsid w:val="0035447B"/>
    <w:rsid w:val="0035505E"/>
    <w:rsid w:val="00355FC0"/>
    <w:rsid w:val="0035610B"/>
    <w:rsid w:val="00356807"/>
    <w:rsid w:val="00356CC4"/>
    <w:rsid w:val="0035717E"/>
    <w:rsid w:val="00361699"/>
    <w:rsid w:val="00362694"/>
    <w:rsid w:val="00362EBF"/>
    <w:rsid w:val="00362FCF"/>
    <w:rsid w:val="003630A6"/>
    <w:rsid w:val="0036378F"/>
    <w:rsid w:val="00363848"/>
    <w:rsid w:val="003648EA"/>
    <w:rsid w:val="003650EE"/>
    <w:rsid w:val="00365619"/>
    <w:rsid w:val="0036593B"/>
    <w:rsid w:val="0036617D"/>
    <w:rsid w:val="00366526"/>
    <w:rsid w:val="00367E99"/>
    <w:rsid w:val="0036CA22"/>
    <w:rsid w:val="003707D2"/>
    <w:rsid w:val="00370885"/>
    <w:rsid w:val="00370A96"/>
    <w:rsid w:val="003716D7"/>
    <w:rsid w:val="00371797"/>
    <w:rsid w:val="00371E91"/>
    <w:rsid w:val="00371FF8"/>
    <w:rsid w:val="003720B6"/>
    <w:rsid w:val="00372475"/>
    <w:rsid w:val="003725BB"/>
    <w:rsid w:val="003726A6"/>
    <w:rsid w:val="0037298C"/>
    <w:rsid w:val="003738B1"/>
    <w:rsid w:val="00373ADD"/>
    <w:rsid w:val="00373C7E"/>
    <w:rsid w:val="003744EF"/>
    <w:rsid w:val="003747CC"/>
    <w:rsid w:val="00374B64"/>
    <w:rsid w:val="0037531D"/>
    <w:rsid w:val="003757B8"/>
    <w:rsid w:val="00376E70"/>
    <w:rsid w:val="003771A1"/>
    <w:rsid w:val="0037749D"/>
    <w:rsid w:val="00377AB2"/>
    <w:rsid w:val="00377AE7"/>
    <w:rsid w:val="00377D90"/>
    <w:rsid w:val="0037A439"/>
    <w:rsid w:val="00380B8D"/>
    <w:rsid w:val="00380F48"/>
    <w:rsid w:val="00381A8B"/>
    <w:rsid w:val="00381B46"/>
    <w:rsid w:val="00381BFA"/>
    <w:rsid w:val="00381DCD"/>
    <w:rsid w:val="003821F1"/>
    <w:rsid w:val="00382889"/>
    <w:rsid w:val="00382BD0"/>
    <w:rsid w:val="00382CD0"/>
    <w:rsid w:val="003830C2"/>
    <w:rsid w:val="00383535"/>
    <w:rsid w:val="003838EB"/>
    <w:rsid w:val="00383907"/>
    <w:rsid w:val="003839E9"/>
    <w:rsid w:val="00383DE5"/>
    <w:rsid w:val="003851FA"/>
    <w:rsid w:val="00385438"/>
    <w:rsid w:val="00385919"/>
    <w:rsid w:val="00385BC7"/>
    <w:rsid w:val="00386119"/>
    <w:rsid w:val="0038614B"/>
    <w:rsid w:val="003863E3"/>
    <w:rsid w:val="0038668F"/>
    <w:rsid w:val="003867A2"/>
    <w:rsid w:val="003868AA"/>
    <w:rsid w:val="00386C80"/>
    <w:rsid w:val="00387146"/>
    <w:rsid w:val="00387813"/>
    <w:rsid w:val="003878D5"/>
    <w:rsid w:val="00387E33"/>
    <w:rsid w:val="00388343"/>
    <w:rsid w:val="00390278"/>
    <w:rsid w:val="00390440"/>
    <w:rsid w:val="0039061C"/>
    <w:rsid w:val="00392ECF"/>
    <w:rsid w:val="00392F35"/>
    <w:rsid w:val="00393203"/>
    <w:rsid w:val="003936C9"/>
    <w:rsid w:val="00393852"/>
    <w:rsid w:val="00393F4F"/>
    <w:rsid w:val="0039550D"/>
    <w:rsid w:val="003957A2"/>
    <w:rsid w:val="003965BC"/>
    <w:rsid w:val="00396A8C"/>
    <w:rsid w:val="00396B11"/>
    <w:rsid w:val="00396FE6"/>
    <w:rsid w:val="0039740E"/>
    <w:rsid w:val="00397894"/>
    <w:rsid w:val="00397BF7"/>
    <w:rsid w:val="00397E03"/>
    <w:rsid w:val="003A0268"/>
    <w:rsid w:val="003A052B"/>
    <w:rsid w:val="003A056A"/>
    <w:rsid w:val="003A0C94"/>
    <w:rsid w:val="003A0ECB"/>
    <w:rsid w:val="003A257A"/>
    <w:rsid w:val="003A2893"/>
    <w:rsid w:val="003A29F7"/>
    <w:rsid w:val="003A2D5B"/>
    <w:rsid w:val="003A3BEA"/>
    <w:rsid w:val="003A3D0C"/>
    <w:rsid w:val="003A4ABE"/>
    <w:rsid w:val="003A53F7"/>
    <w:rsid w:val="003A5688"/>
    <w:rsid w:val="003A5C33"/>
    <w:rsid w:val="003A6063"/>
    <w:rsid w:val="003A64D0"/>
    <w:rsid w:val="003A661B"/>
    <w:rsid w:val="003A6829"/>
    <w:rsid w:val="003A6864"/>
    <w:rsid w:val="003A69ED"/>
    <w:rsid w:val="003A75BE"/>
    <w:rsid w:val="003A7A11"/>
    <w:rsid w:val="003A7C2D"/>
    <w:rsid w:val="003A7CF0"/>
    <w:rsid w:val="003A7D5B"/>
    <w:rsid w:val="003A7F67"/>
    <w:rsid w:val="003AF084"/>
    <w:rsid w:val="003B03B7"/>
    <w:rsid w:val="003B08FE"/>
    <w:rsid w:val="003B0F98"/>
    <w:rsid w:val="003B1913"/>
    <w:rsid w:val="003B21AD"/>
    <w:rsid w:val="003B25A4"/>
    <w:rsid w:val="003B2854"/>
    <w:rsid w:val="003B2F62"/>
    <w:rsid w:val="003B3015"/>
    <w:rsid w:val="003B30AC"/>
    <w:rsid w:val="003B3BB2"/>
    <w:rsid w:val="003B4B05"/>
    <w:rsid w:val="003B4C86"/>
    <w:rsid w:val="003B53AC"/>
    <w:rsid w:val="003B5434"/>
    <w:rsid w:val="003B5686"/>
    <w:rsid w:val="003B6081"/>
    <w:rsid w:val="003B64B7"/>
    <w:rsid w:val="003B65F7"/>
    <w:rsid w:val="003B6B33"/>
    <w:rsid w:val="003B6F01"/>
    <w:rsid w:val="003B6F1A"/>
    <w:rsid w:val="003B6F89"/>
    <w:rsid w:val="003B7320"/>
    <w:rsid w:val="003C018C"/>
    <w:rsid w:val="003C02F1"/>
    <w:rsid w:val="003C04A3"/>
    <w:rsid w:val="003C0532"/>
    <w:rsid w:val="003C13B7"/>
    <w:rsid w:val="003C1CEB"/>
    <w:rsid w:val="003C1FDD"/>
    <w:rsid w:val="003C2588"/>
    <w:rsid w:val="003C27BB"/>
    <w:rsid w:val="003C294B"/>
    <w:rsid w:val="003C33A8"/>
    <w:rsid w:val="003C3851"/>
    <w:rsid w:val="003C3CE2"/>
    <w:rsid w:val="003C3D22"/>
    <w:rsid w:val="003C4132"/>
    <w:rsid w:val="003C4548"/>
    <w:rsid w:val="003C516F"/>
    <w:rsid w:val="003C51CD"/>
    <w:rsid w:val="003C55BA"/>
    <w:rsid w:val="003C56BD"/>
    <w:rsid w:val="003C5C96"/>
    <w:rsid w:val="003C6202"/>
    <w:rsid w:val="003C6433"/>
    <w:rsid w:val="003D0730"/>
    <w:rsid w:val="003D0C23"/>
    <w:rsid w:val="003D0CCE"/>
    <w:rsid w:val="003D0E4C"/>
    <w:rsid w:val="003D12EE"/>
    <w:rsid w:val="003D16A5"/>
    <w:rsid w:val="003D1C53"/>
    <w:rsid w:val="003D1E0A"/>
    <w:rsid w:val="003D22FA"/>
    <w:rsid w:val="003D2E62"/>
    <w:rsid w:val="003D35A8"/>
    <w:rsid w:val="003D390E"/>
    <w:rsid w:val="003D3A0D"/>
    <w:rsid w:val="003D3D01"/>
    <w:rsid w:val="003D4052"/>
    <w:rsid w:val="003D40C1"/>
    <w:rsid w:val="003D4440"/>
    <w:rsid w:val="003D4610"/>
    <w:rsid w:val="003D5D70"/>
    <w:rsid w:val="003D5EB9"/>
    <w:rsid w:val="003D6543"/>
    <w:rsid w:val="003D65CC"/>
    <w:rsid w:val="003D6E09"/>
    <w:rsid w:val="003D7700"/>
    <w:rsid w:val="003D7A09"/>
    <w:rsid w:val="003D7AF5"/>
    <w:rsid w:val="003E0EBE"/>
    <w:rsid w:val="003E12FD"/>
    <w:rsid w:val="003E1461"/>
    <w:rsid w:val="003E1995"/>
    <w:rsid w:val="003E1ABE"/>
    <w:rsid w:val="003E2F6E"/>
    <w:rsid w:val="003E3F46"/>
    <w:rsid w:val="003E3F69"/>
    <w:rsid w:val="003E42CA"/>
    <w:rsid w:val="003E4D6E"/>
    <w:rsid w:val="003E4F99"/>
    <w:rsid w:val="003E510B"/>
    <w:rsid w:val="003E5FC0"/>
    <w:rsid w:val="003E625B"/>
    <w:rsid w:val="003E68A7"/>
    <w:rsid w:val="003E6D26"/>
    <w:rsid w:val="003E6FCC"/>
    <w:rsid w:val="003E7338"/>
    <w:rsid w:val="003E7380"/>
    <w:rsid w:val="003E76AE"/>
    <w:rsid w:val="003E76C1"/>
    <w:rsid w:val="003E76D9"/>
    <w:rsid w:val="003E7EE0"/>
    <w:rsid w:val="003F00BD"/>
    <w:rsid w:val="003F011F"/>
    <w:rsid w:val="003F0516"/>
    <w:rsid w:val="003F162D"/>
    <w:rsid w:val="003F1C32"/>
    <w:rsid w:val="003F1C74"/>
    <w:rsid w:val="003F2472"/>
    <w:rsid w:val="003F2B06"/>
    <w:rsid w:val="003F2B8F"/>
    <w:rsid w:val="003F2C35"/>
    <w:rsid w:val="003F2EF6"/>
    <w:rsid w:val="003F4518"/>
    <w:rsid w:val="003F562F"/>
    <w:rsid w:val="003F5666"/>
    <w:rsid w:val="003F5D57"/>
    <w:rsid w:val="003F5D68"/>
    <w:rsid w:val="003F5D89"/>
    <w:rsid w:val="003F5DEE"/>
    <w:rsid w:val="003F74A5"/>
    <w:rsid w:val="003F75C2"/>
    <w:rsid w:val="003F779A"/>
    <w:rsid w:val="003F7D41"/>
    <w:rsid w:val="003F7F67"/>
    <w:rsid w:val="004005BC"/>
    <w:rsid w:val="004005D5"/>
    <w:rsid w:val="00400F1A"/>
    <w:rsid w:val="00401ECA"/>
    <w:rsid w:val="00402785"/>
    <w:rsid w:val="0040278D"/>
    <w:rsid w:val="0040286F"/>
    <w:rsid w:val="00402AB2"/>
    <w:rsid w:val="00402C74"/>
    <w:rsid w:val="0040325C"/>
    <w:rsid w:val="0040345C"/>
    <w:rsid w:val="0040396B"/>
    <w:rsid w:val="00404719"/>
    <w:rsid w:val="00405855"/>
    <w:rsid w:val="00405884"/>
    <w:rsid w:val="00405959"/>
    <w:rsid w:val="00405D3D"/>
    <w:rsid w:val="00406996"/>
    <w:rsid w:val="00406E91"/>
    <w:rsid w:val="00407074"/>
    <w:rsid w:val="004079EC"/>
    <w:rsid w:val="00407A30"/>
    <w:rsid w:val="00407C8F"/>
    <w:rsid w:val="00407E1A"/>
    <w:rsid w:val="00410B7C"/>
    <w:rsid w:val="00410D9C"/>
    <w:rsid w:val="00410F72"/>
    <w:rsid w:val="0041119A"/>
    <w:rsid w:val="00411AF0"/>
    <w:rsid w:val="00411E15"/>
    <w:rsid w:val="00411F08"/>
    <w:rsid w:val="004123FF"/>
    <w:rsid w:val="00412855"/>
    <w:rsid w:val="00412C68"/>
    <w:rsid w:val="00412E7D"/>
    <w:rsid w:val="00412F34"/>
    <w:rsid w:val="00413434"/>
    <w:rsid w:val="00413AEE"/>
    <w:rsid w:val="00413EDB"/>
    <w:rsid w:val="0041435A"/>
    <w:rsid w:val="004143EB"/>
    <w:rsid w:val="00414484"/>
    <w:rsid w:val="004145D9"/>
    <w:rsid w:val="0041474B"/>
    <w:rsid w:val="00414C09"/>
    <w:rsid w:val="004150B7"/>
    <w:rsid w:val="0041528F"/>
    <w:rsid w:val="0041592C"/>
    <w:rsid w:val="00415D03"/>
    <w:rsid w:val="0041633C"/>
    <w:rsid w:val="00416B30"/>
    <w:rsid w:val="00416DBA"/>
    <w:rsid w:val="004171C0"/>
    <w:rsid w:val="00417599"/>
    <w:rsid w:val="00417D02"/>
    <w:rsid w:val="0042083E"/>
    <w:rsid w:val="00420A15"/>
    <w:rsid w:val="00420AA3"/>
    <w:rsid w:val="00421162"/>
    <w:rsid w:val="00422D6F"/>
    <w:rsid w:val="00422DB3"/>
    <w:rsid w:val="00423A98"/>
    <w:rsid w:val="00423C14"/>
    <w:rsid w:val="00423F58"/>
    <w:rsid w:val="00423F83"/>
    <w:rsid w:val="00424029"/>
    <w:rsid w:val="004244F0"/>
    <w:rsid w:val="00424E92"/>
    <w:rsid w:val="00424FA4"/>
    <w:rsid w:val="00425007"/>
    <w:rsid w:val="00425352"/>
    <w:rsid w:val="004258A8"/>
    <w:rsid w:val="00426147"/>
    <w:rsid w:val="00426633"/>
    <w:rsid w:val="004269A3"/>
    <w:rsid w:val="00426E26"/>
    <w:rsid w:val="00427305"/>
    <w:rsid w:val="00427702"/>
    <w:rsid w:val="00427969"/>
    <w:rsid w:val="004279F8"/>
    <w:rsid w:val="00427C84"/>
    <w:rsid w:val="004303DE"/>
    <w:rsid w:val="00430807"/>
    <w:rsid w:val="00430A88"/>
    <w:rsid w:val="00430B8C"/>
    <w:rsid w:val="00430B99"/>
    <w:rsid w:val="004310B1"/>
    <w:rsid w:val="004313DC"/>
    <w:rsid w:val="0043145B"/>
    <w:rsid w:val="00432889"/>
    <w:rsid w:val="00432CFC"/>
    <w:rsid w:val="0043345C"/>
    <w:rsid w:val="004336DB"/>
    <w:rsid w:val="00433841"/>
    <w:rsid w:val="00433884"/>
    <w:rsid w:val="00433B84"/>
    <w:rsid w:val="00433F8C"/>
    <w:rsid w:val="0043444F"/>
    <w:rsid w:val="00434ADA"/>
    <w:rsid w:val="00434E56"/>
    <w:rsid w:val="00434F20"/>
    <w:rsid w:val="004352F0"/>
    <w:rsid w:val="0043577D"/>
    <w:rsid w:val="00436381"/>
    <w:rsid w:val="00436405"/>
    <w:rsid w:val="00436656"/>
    <w:rsid w:val="00436B3A"/>
    <w:rsid w:val="00437ABE"/>
    <w:rsid w:val="0044102C"/>
    <w:rsid w:val="00442142"/>
    <w:rsid w:val="00442244"/>
    <w:rsid w:val="0044248F"/>
    <w:rsid w:val="004424BE"/>
    <w:rsid w:val="004425D9"/>
    <w:rsid w:val="004433A0"/>
    <w:rsid w:val="0044361E"/>
    <w:rsid w:val="0044377F"/>
    <w:rsid w:val="0044378F"/>
    <w:rsid w:val="00443AE9"/>
    <w:rsid w:val="00443F01"/>
    <w:rsid w:val="00444742"/>
    <w:rsid w:val="00444754"/>
    <w:rsid w:val="00444EFA"/>
    <w:rsid w:val="00444F6C"/>
    <w:rsid w:val="00444F8A"/>
    <w:rsid w:val="0044529F"/>
    <w:rsid w:val="0044533D"/>
    <w:rsid w:val="0044535E"/>
    <w:rsid w:val="00446A6A"/>
    <w:rsid w:val="00446B74"/>
    <w:rsid w:val="00446EA9"/>
    <w:rsid w:val="004474A1"/>
    <w:rsid w:val="00447C3A"/>
    <w:rsid w:val="00447CBE"/>
    <w:rsid w:val="00447CCB"/>
    <w:rsid w:val="00448ECB"/>
    <w:rsid w:val="004506E0"/>
    <w:rsid w:val="00450DD7"/>
    <w:rsid w:val="0045134E"/>
    <w:rsid w:val="00451504"/>
    <w:rsid w:val="00451A1A"/>
    <w:rsid w:val="00451CB0"/>
    <w:rsid w:val="00451DB5"/>
    <w:rsid w:val="00451E7B"/>
    <w:rsid w:val="004526EF"/>
    <w:rsid w:val="00452774"/>
    <w:rsid w:val="004528D6"/>
    <w:rsid w:val="004536B8"/>
    <w:rsid w:val="00453838"/>
    <w:rsid w:val="00453918"/>
    <w:rsid w:val="0045398F"/>
    <w:rsid w:val="00453A35"/>
    <w:rsid w:val="00454252"/>
    <w:rsid w:val="004549A9"/>
    <w:rsid w:val="00454FD7"/>
    <w:rsid w:val="00455777"/>
    <w:rsid w:val="00455B15"/>
    <w:rsid w:val="00456333"/>
    <w:rsid w:val="004564A7"/>
    <w:rsid w:val="004568CC"/>
    <w:rsid w:val="00456A8D"/>
    <w:rsid w:val="00456F09"/>
    <w:rsid w:val="0045723F"/>
    <w:rsid w:val="00457400"/>
    <w:rsid w:val="00457838"/>
    <w:rsid w:val="0046030E"/>
    <w:rsid w:val="00460371"/>
    <w:rsid w:val="00460EB4"/>
    <w:rsid w:val="00460FB1"/>
    <w:rsid w:val="0046135A"/>
    <w:rsid w:val="00461851"/>
    <w:rsid w:val="00461C74"/>
    <w:rsid w:val="00461EB2"/>
    <w:rsid w:val="00462266"/>
    <w:rsid w:val="004626AD"/>
    <w:rsid w:val="00463034"/>
    <w:rsid w:val="0046329C"/>
    <w:rsid w:val="00463B9A"/>
    <w:rsid w:val="00463C22"/>
    <w:rsid w:val="0046438D"/>
    <w:rsid w:val="00465185"/>
    <w:rsid w:val="004655AE"/>
    <w:rsid w:val="00465B61"/>
    <w:rsid w:val="00465CD7"/>
    <w:rsid w:val="00465E42"/>
    <w:rsid w:val="00466A9F"/>
    <w:rsid w:val="00466B41"/>
    <w:rsid w:val="00466BA4"/>
    <w:rsid w:val="0046734F"/>
    <w:rsid w:val="004673B5"/>
    <w:rsid w:val="00467714"/>
    <w:rsid w:val="0046775C"/>
    <w:rsid w:val="00467918"/>
    <w:rsid w:val="00467E18"/>
    <w:rsid w:val="00470090"/>
    <w:rsid w:val="00470186"/>
    <w:rsid w:val="004703D6"/>
    <w:rsid w:val="004705FA"/>
    <w:rsid w:val="00470D12"/>
    <w:rsid w:val="00470F6A"/>
    <w:rsid w:val="004710A0"/>
    <w:rsid w:val="004717A0"/>
    <w:rsid w:val="00471A0B"/>
    <w:rsid w:val="004724BC"/>
    <w:rsid w:val="00472857"/>
    <w:rsid w:val="004729B0"/>
    <w:rsid w:val="00472DE4"/>
    <w:rsid w:val="00472FAC"/>
    <w:rsid w:val="004733C5"/>
    <w:rsid w:val="004737EC"/>
    <w:rsid w:val="00473B59"/>
    <w:rsid w:val="00473EC5"/>
    <w:rsid w:val="00473FF7"/>
    <w:rsid w:val="004745A1"/>
    <w:rsid w:val="00474646"/>
    <w:rsid w:val="004746BC"/>
    <w:rsid w:val="0047472E"/>
    <w:rsid w:val="00474C79"/>
    <w:rsid w:val="00474DDB"/>
    <w:rsid w:val="0047558D"/>
    <w:rsid w:val="00476368"/>
    <w:rsid w:val="00476839"/>
    <w:rsid w:val="00476AC6"/>
    <w:rsid w:val="00477718"/>
    <w:rsid w:val="00477A37"/>
    <w:rsid w:val="00477FF0"/>
    <w:rsid w:val="0047DE3D"/>
    <w:rsid w:val="00480016"/>
    <w:rsid w:val="00480ECB"/>
    <w:rsid w:val="004817DD"/>
    <w:rsid w:val="00481C34"/>
    <w:rsid w:val="00481DB3"/>
    <w:rsid w:val="0048287D"/>
    <w:rsid w:val="00482C4F"/>
    <w:rsid w:val="004831D8"/>
    <w:rsid w:val="004838F9"/>
    <w:rsid w:val="00483A2E"/>
    <w:rsid w:val="00483DDF"/>
    <w:rsid w:val="00483E42"/>
    <w:rsid w:val="00483EAE"/>
    <w:rsid w:val="004844F9"/>
    <w:rsid w:val="004845E2"/>
    <w:rsid w:val="00484A45"/>
    <w:rsid w:val="00484D94"/>
    <w:rsid w:val="00484DEA"/>
    <w:rsid w:val="00484F75"/>
    <w:rsid w:val="004855B0"/>
    <w:rsid w:val="00486306"/>
    <w:rsid w:val="00486441"/>
    <w:rsid w:val="0048646E"/>
    <w:rsid w:val="004868EF"/>
    <w:rsid w:val="004868F3"/>
    <w:rsid w:val="00486BCA"/>
    <w:rsid w:val="00487116"/>
    <w:rsid w:val="00487537"/>
    <w:rsid w:val="00487A61"/>
    <w:rsid w:val="00487AE2"/>
    <w:rsid w:val="00490168"/>
    <w:rsid w:val="00490A3E"/>
    <w:rsid w:val="004913FF"/>
    <w:rsid w:val="0049189B"/>
    <w:rsid w:val="00491B01"/>
    <w:rsid w:val="0049207B"/>
    <w:rsid w:val="004921AA"/>
    <w:rsid w:val="00492710"/>
    <w:rsid w:val="0049361E"/>
    <w:rsid w:val="00494063"/>
    <w:rsid w:val="00494D87"/>
    <w:rsid w:val="00494DC0"/>
    <w:rsid w:val="00494DC3"/>
    <w:rsid w:val="004951D9"/>
    <w:rsid w:val="00495E43"/>
    <w:rsid w:val="00495F85"/>
    <w:rsid w:val="004966A0"/>
    <w:rsid w:val="0049695B"/>
    <w:rsid w:val="00496A09"/>
    <w:rsid w:val="00496BC8"/>
    <w:rsid w:val="00496F95"/>
    <w:rsid w:val="004976B4"/>
    <w:rsid w:val="004979E3"/>
    <w:rsid w:val="00497C18"/>
    <w:rsid w:val="004A00B5"/>
    <w:rsid w:val="004A021F"/>
    <w:rsid w:val="004A03EE"/>
    <w:rsid w:val="004A0502"/>
    <w:rsid w:val="004A08FF"/>
    <w:rsid w:val="004A0A07"/>
    <w:rsid w:val="004A0DC0"/>
    <w:rsid w:val="004A0EBD"/>
    <w:rsid w:val="004A0F2C"/>
    <w:rsid w:val="004A1396"/>
    <w:rsid w:val="004A1966"/>
    <w:rsid w:val="004A1E38"/>
    <w:rsid w:val="004A2011"/>
    <w:rsid w:val="004A2087"/>
    <w:rsid w:val="004A23EE"/>
    <w:rsid w:val="004A2820"/>
    <w:rsid w:val="004A2A3A"/>
    <w:rsid w:val="004A2D8C"/>
    <w:rsid w:val="004A3130"/>
    <w:rsid w:val="004A3649"/>
    <w:rsid w:val="004A36D7"/>
    <w:rsid w:val="004A36DA"/>
    <w:rsid w:val="004A38B2"/>
    <w:rsid w:val="004A39AF"/>
    <w:rsid w:val="004A3A83"/>
    <w:rsid w:val="004A3C09"/>
    <w:rsid w:val="004A3E0D"/>
    <w:rsid w:val="004A4307"/>
    <w:rsid w:val="004A5024"/>
    <w:rsid w:val="004A565E"/>
    <w:rsid w:val="004A5FE6"/>
    <w:rsid w:val="004A609F"/>
    <w:rsid w:val="004A61DD"/>
    <w:rsid w:val="004A7365"/>
    <w:rsid w:val="004A73FA"/>
    <w:rsid w:val="004A743D"/>
    <w:rsid w:val="004A75E9"/>
    <w:rsid w:val="004A7727"/>
    <w:rsid w:val="004A7783"/>
    <w:rsid w:val="004A7A53"/>
    <w:rsid w:val="004A7AFF"/>
    <w:rsid w:val="004B00ED"/>
    <w:rsid w:val="004B059B"/>
    <w:rsid w:val="004B05EE"/>
    <w:rsid w:val="004B07B9"/>
    <w:rsid w:val="004B0AF6"/>
    <w:rsid w:val="004B0E98"/>
    <w:rsid w:val="004B134B"/>
    <w:rsid w:val="004B1B37"/>
    <w:rsid w:val="004B249F"/>
    <w:rsid w:val="004B2D60"/>
    <w:rsid w:val="004B387A"/>
    <w:rsid w:val="004B39DE"/>
    <w:rsid w:val="004B3B7F"/>
    <w:rsid w:val="004B4896"/>
    <w:rsid w:val="004B48B6"/>
    <w:rsid w:val="004B4F82"/>
    <w:rsid w:val="004B4F9E"/>
    <w:rsid w:val="004B4FE4"/>
    <w:rsid w:val="004B5267"/>
    <w:rsid w:val="004B5370"/>
    <w:rsid w:val="004B548C"/>
    <w:rsid w:val="004B589C"/>
    <w:rsid w:val="004B67B1"/>
    <w:rsid w:val="004B6BA1"/>
    <w:rsid w:val="004B73C6"/>
    <w:rsid w:val="004B74D4"/>
    <w:rsid w:val="004B77C9"/>
    <w:rsid w:val="004B7F3E"/>
    <w:rsid w:val="004C00E5"/>
    <w:rsid w:val="004C0D21"/>
    <w:rsid w:val="004C24EB"/>
    <w:rsid w:val="004C3C8C"/>
    <w:rsid w:val="004C3CF7"/>
    <w:rsid w:val="004C410A"/>
    <w:rsid w:val="004C4347"/>
    <w:rsid w:val="004C49AE"/>
    <w:rsid w:val="004C5163"/>
    <w:rsid w:val="004C5346"/>
    <w:rsid w:val="004C5C1E"/>
    <w:rsid w:val="004C6535"/>
    <w:rsid w:val="004C6582"/>
    <w:rsid w:val="004C6A66"/>
    <w:rsid w:val="004C6DB9"/>
    <w:rsid w:val="004C6F3F"/>
    <w:rsid w:val="004C7182"/>
    <w:rsid w:val="004C72DC"/>
    <w:rsid w:val="004C74EB"/>
    <w:rsid w:val="004C7CEE"/>
    <w:rsid w:val="004D02AF"/>
    <w:rsid w:val="004D03ED"/>
    <w:rsid w:val="004D0498"/>
    <w:rsid w:val="004D092B"/>
    <w:rsid w:val="004D0C8A"/>
    <w:rsid w:val="004D0CF0"/>
    <w:rsid w:val="004D1221"/>
    <w:rsid w:val="004D18B7"/>
    <w:rsid w:val="004D1B92"/>
    <w:rsid w:val="004D1D8F"/>
    <w:rsid w:val="004D1EF9"/>
    <w:rsid w:val="004D2177"/>
    <w:rsid w:val="004D253E"/>
    <w:rsid w:val="004D30B5"/>
    <w:rsid w:val="004D34AD"/>
    <w:rsid w:val="004D3BD5"/>
    <w:rsid w:val="004D3EC0"/>
    <w:rsid w:val="004D3F38"/>
    <w:rsid w:val="004D3FAB"/>
    <w:rsid w:val="004D3FFF"/>
    <w:rsid w:val="004D46AB"/>
    <w:rsid w:val="004D4741"/>
    <w:rsid w:val="004D4A54"/>
    <w:rsid w:val="004D4E08"/>
    <w:rsid w:val="004D50DC"/>
    <w:rsid w:val="004D51FF"/>
    <w:rsid w:val="004D53E4"/>
    <w:rsid w:val="004D55A0"/>
    <w:rsid w:val="004D58F4"/>
    <w:rsid w:val="004D5C8A"/>
    <w:rsid w:val="004D5CFB"/>
    <w:rsid w:val="004D616F"/>
    <w:rsid w:val="004D63B7"/>
    <w:rsid w:val="004D6BDF"/>
    <w:rsid w:val="004D71A0"/>
    <w:rsid w:val="004D798D"/>
    <w:rsid w:val="004D7B9E"/>
    <w:rsid w:val="004E0202"/>
    <w:rsid w:val="004E059C"/>
    <w:rsid w:val="004E0793"/>
    <w:rsid w:val="004E0D27"/>
    <w:rsid w:val="004E0EDC"/>
    <w:rsid w:val="004E0EE6"/>
    <w:rsid w:val="004E10E6"/>
    <w:rsid w:val="004E110F"/>
    <w:rsid w:val="004E1250"/>
    <w:rsid w:val="004E1828"/>
    <w:rsid w:val="004E1A68"/>
    <w:rsid w:val="004E1AD8"/>
    <w:rsid w:val="004E23B1"/>
    <w:rsid w:val="004E23BB"/>
    <w:rsid w:val="004E2DAE"/>
    <w:rsid w:val="004E3645"/>
    <w:rsid w:val="004E3BD8"/>
    <w:rsid w:val="004E404D"/>
    <w:rsid w:val="004E4A7B"/>
    <w:rsid w:val="004E4C11"/>
    <w:rsid w:val="004E5536"/>
    <w:rsid w:val="004E55E4"/>
    <w:rsid w:val="004E5F00"/>
    <w:rsid w:val="004E658E"/>
    <w:rsid w:val="004E65E3"/>
    <w:rsid w:val="004E7076"/>
    <w:rsid w:val="004E7685"/>
    <w:rsid w:val="004E7C9C"/>
    <w:rsid w:val="004F0256"/>
    <w:rsid w:val="004F079F"/>
    <w:rsid w:val="004F0846"/>
    <w:rsid w:val="004F0FE3"/>
    <w:rsid w:val="004F12E6"/>
    <w:rsid w:val="004F1657"/>
    <w:rsid w:val="004F19CE"/>
    <w:rsid w:val="004F1EE5"/>
    <w:rsid w:val="004F27CD"/>
    <w:rsid w:val="004F2D22"/>
    <w:rsid w:val="004F309F"/>
    <w:rsid w:val="004F30BE"/>
    <w:rsid w:val="004F31CE"/>
    <w:rsid w:val="004F31DF"/>
    <w:rsid w:val="004F32D8"/>
    <w:rsid w:val="004F33F0"/>
    <w:rsid w:val="004F3950"/>
    <w:rsid w:val="004F3D2C"/>
    <w:rsid w:val="004F4384"/>
    <w:rsid w:val="004F43A6"/>
    <w:rsid w:val="004F4A30"/>
    <w:rsid w:val="004F4D53"/>
    <w:rsid w:val="004F51FD"/>
    <w:rsid w:val="004F5536"/>
    <w:rsid w:val="004F5E7B"/>
    <w:rsid w:val="004F63E8"/>
    <w:rsid w:val="004F6961"/>
    <w:rsid w:val="004F7112"/>
    <w:rsid w:val="004F773A"/>
    <w:rsid w:val="004F7C4D"/>
    <w:rsid w:val="00500DDF"/>
    <w:rsid w:val="00501003"/>
    <w:rsid w:val="00501493"/>
    <w:rsid w:val="0050163C"/>
    <w:rsid w:val="00501D28"/>
    <w:rsid w:val="0050209F"/>
    <w:rsid w:val="00502D38"/>
    <w:rsid w:val="005031BD"/>
    <w:rsid w:val="005034F3"/>
    <w:rsid w:val="005035CD"/>
    <w:rsid w:val="00503756"/>
    <w:rsid w:val="005038A6"/>
    <w:rsid w:val="005048F2"/>
    <w:rsid w:val="00504BAC"/>
    <w:rsid w:val="00504FE4"/>
    <w:rsid w:val="005051C6"/>
    <w:rsid w:val="00505403"/>
    <w:rsid w:val="00505434"/>
    <w:rsid w:val="0050586F"/>
    <w:rsid w:val="00505F2F"/>
    <w:rsid w:val="0050652C"/>
    <w:rsid w:val="005067A4"/>
    <w:rsid w:val="00506F76"/>
    <w:rsid w:val="00507373"/>
    <w:rsid w:val="00507520"/>
    <w:rsid w:val="00507E53"/>
    <w:rsid w:val="005109B8"/>
    <w:rsid w:val="005109C5"/>
    <w:rsid w:val="00510B59"/>
    <w:rsid w:val="00510DB5"/>
    <w:rsid w:val="00510DBB"/>
    <w:rsid w:val="0051127C"/>
    <w:rsid w:val="00511562"/>
    <w:rsid w:val="005117D9"/>
    <w:rsid w:val="00511B8E"/>
    <w:rsid w:val="00511C2B"/>
    <w:rsid w:val="00512040"/>
    <w:rsid w:val="0051238F"/>
    <w:rsid w:val="00512C57"/>
    <w:rsid w:val="0051395E"/>
    <w:rsid w:val="00513F2F"/>
    <w:rsid w:val="00513FE1"/>
    <w:rsid w:val="00514762"/>
    <w:rsid w:val="00514A3D"/>
    <w:rsid w:val="005153E8"/>
    <w:rsid w:val="005154A9"/>
    <w:rsid w:val="005161D3"/>
    <w:rsid w:val="005164DA"/>
    <w:rsid w:val="00516B16"/>
    <w:rsid w:val="00516C21"/>
    <w:rsid w:val="00516E86"/>
    <w:rsid w:val="005172AC"/>
    <w:rsid w:val="00520429"/>
    <w:rsid w:val="00520504"/>
    <w:rsid w:val="00520700"/>
    <w:rsid w:val="00520D66"/>
    <w:rsid w:val="005211EE"/>
    <w:rsid w:val="00521CFF"/>
    <w:rsid w:val="005220E2"/>
    <w:rsid w:val="00522191"/>
    <w:rsid w:val="005223C1"/>
    <w:rsid w:val="0052405F"/>
    <w:rsid w:val="005241BE"/>
    <w:rsid w:val="00524590"/>
    <w:rsid w:val="00524631"/>
    <w:rsid w:val="005246AE"/>
    <w:rsid w:val="00524B42"/>
    <w:rsid w:val="00524E0E"/>
    <w:rsid w:val="00525DD6"/>
    <w:rsid w:val="0052682A"/>
    <w:rsid w:val="00527449"/>
    <w:rsid w:val="005278B0"/>
    <w:rsid w:val="00527FB4"/>
    <w:rsid w:val="00530896"/>
    <w:rsid w:val="00530D2B"/>
    <w:rsid w:val="005315F4"/>
    <w:rsid w:val="00531960"/>
    <w:rsid w:val="00531A64"/>
    <w:rsid w:val="00531BE7"/>
    <w:rsid w:val="00531E4B"/>
    <w:rsid w:val="0053210D"/>
    <w:rsid w:val="005324CD"/>
    <w:rsid w:val="0053258B"/>
    <w:rsid w:val="005325B9"/>
    <w:rsid w:val="0053275F"/>
    <w:rsid w:val="005332C5"/>
    <w:rsid w:val="00534634"/>
    <w:rsid w:val="00534827"/>
    <w:rsid w:val="00534C27"/>
    <w:rsid w:val="00534F16"/>
    <w:rsid w:val="00534F68"/>
    <w:rsid w:val="00535805"/>
    <w:rsid w:val="00535AE5"/>
    <w:rsid w:val="00536C20"/>
    <w:rsid w:val="00537A1F"/>
    <w:rsid w:val="00537DED"/>
    <w:rsid w:val="00540169"/>
    <w:rsid w:val="00540B6B"/>
    <w:rsid w:val="00540F50"/>
    <w:rsid w:val="005411C5"/>
    <w:rsid w:val="005411EF"/>
    <w:rsid w:val="005412E7"/>
    <w:rsid w:val="00542326"/>
    <w:rsid w:val="005427B1"/>
    <w:rsid w:val="005427B3"/>
    <w:rsid w:val="0054281A"/>
    <w:rsid w:val="0054313A"/>
    <w:rsid w:val="00543748"/>
    <w:rsid w:val="00543842"/>
    <w:rsid w:val="00543C31"/>
    <w:rsid w:val="00543F21"/>
    <w:rsid w:val="00543FDD"/>
    <w:rsid w:val="00544181"/>
    <w:rsid w:val="005442CC"/>
    <w:rsid w:val="00544776"/>
    <w:rsid w:val="00544A07"/>
    <w:rsid w:val="00544E82"/>
    <w:rsid w:val="00545725"/>
    <w:rsid w:val="00545C48"/>
    <w:rsid w:val="00545FCE"/>
    <w:rsid w:val="00546071"/>
    <w:rsid w:val="005461C8"/>
    <w:rsid w:val="005464D0"/>
    <w:rsid w:val="00546828"/>
    <w:rsid w:val="005469DA"/>
    <w:rsid w:val="00546C13"/>
    <w:rsid w:val="005470E2"/>
    <w:rsid w:val="005475B8"/>
    <w:rsid w:val="00547651"/>
    <w:rsid w:val="005476BD"/>
    <w:rsid w:val="00547A0E"/>
    <w:rsid w:val="00547D5C"/>
    <w:rsid w:val="00547F7B"/>
    <w:rsid w:val="00547F7F"/>
    <w:rsid w:val="00550421"/>
    <w:rsid w:val="005512A2"/>
    <w:rsid w:val="0055147A"/>
    <w:rsid w:val="005517C8"/>
    <w:rsid w:val="0055183E"/>
    <w:rsid w:val="00551D54"/>
    <w:rsid w:val="005528AD"/>
    <w:rsid w:val="00552917"/>
    <w:rsid w:val="005529B1"/>
    <w:rsid w:val="00552F3E"/>
    <w:rsid w:val="00553F53"/>
    <w:rsid w:val="00554268"/>
    <w:rsid w:val="005544B8"/>
    <w:rsid w:val="00555276"/>
    <w:rsid w:val="00556189"/>
    <w:rsid w:val="005567D0"/>
    <w:rsid w:val="00557448"/>
    <w:rsid w:val="005578CD"/>
    <w:rsid w:val="00557960"/>
    <w:rsid w:val="005609CD"/>
    <w:rsid w:val="00561EA8"/>
    <w:rsid w:val="0056242A"/>
    <w:rsid w:val="00562918"/>
    <w:rsid w:val="00562DDC"/>
    <w:rsid w:val="005631E7"/>
    <w:rsid w:val="005634F0"/>
    <w:rsid w:val="0056452C"/>
    <w:rsid w:val="00565A60"/>
    <w:rsid w:val="00565B76"/>
    <w:rsid w:val="0056611F"/>
    <w:rsid w:val="00566303"/>
    <w:rsid w:val="005666BE"/>
    <w:rsid w:val="0056686B"/>
    <w:rsid w:val="00566B84"/>
    <w:rsid w:val="00566EE3"/>
    <w:rsid w:val="0056703F"/>
    <w:rsid w:val="00567794"/>
    <w:rsid w:val="00567DEA"/>
    <w:rsid w:val="00567F30"/>
    <w:rsid w:val="005702E5"/>
    <w:rsid w:val="00570C04"/>
    <w:rsid w:val="00571475"/>
    <w:rsid w:val="00571A14"/>
    <w:rsid w:val="00571B1C"/>
    <w:rsid w:val="00572016"/>
    <w:rsid w:val="00572336"/>
    <w:rsid w:val="00572906"/>
    <w:rsid w:val="00572A66"/>
    <w:rsid w:val="00572B43"/>
    <w:rsid w:val="00572B64"/>
    <w:rsid w:val="00572E79"/>
    <w:rsid w:val="00573B32"/>
    <w:rsid w:val="00574580"/>
    <w:rsid w:val="005746C2"/>
    <w:rsid w:val="00574F46"/>
    <w:rsid w:val="00575277"/>
    <w:rsid w:val="00575894"/>
    <w:rsid w:val="00575A08"/>
    <w:rsid w:val="00575A14"/>
    <w:rsid w:val="00576002"/>
    <w:rsid w:val="00576588"/>
    <w:rsid w:val="00576C4E"/>
    <w:rsid w:val="00576E0E"/>
    <w:rsid w:val="00577480"/>
    <w:rsid w:val="00577750"/>
    <w:rsid w:val="00577EAB"/>
    <w:rsid w:val="00580961"/>
    <w:rsid w:val="00581584"/>
    <w:rsid w:val="00581EB1"/>
    <w:rsid w:val="00582494"/>
    <w:rsid w:val="0058257E"/>
    <w:rsid w:val="00582629"/>
    <w:rsid w:val="00582908"/>
    <w:rsid w:val="00582E7D"/>
    <w:rsid w:val="00583068"/>
    <w:rsid w:val="00583363"/>
    <w:rsid w:val="005835A4"/>
    <w:rsid w:val="0058384A"/>
    <w:rsid w:val="00583D25"/>
    <w:rsid w:val="00584691"/>
    <w:rsid w:val="00584B49"/>
    <w:rsid w:val="00584FC2"/>
    <w:rsid w:val="00585747"/>
    <w:rsid w:val="005871D8"/>
    <w:rsid w:val="0058729D"/>
    <w:rsid w:val="005875C2"/>
    <w:rsid w:val="005875CC"/>
    <w:rsid w:val="00587AF6"/>
    <w:rsid w:val="00590371"/>
    <w:rsid w:val="005905FF"/>
    <w:rsid w:val="00592646"/>
    <w:rsid w:val="005931E2"/>
    <w:rsid w:val="00593285"/>
    <w:rsid w:val="00593E09"/>
    <w:rsid w:val="0059440A"/>
    <w:rsid w:val="005947DF"/>
    <w:rsid w:val="00594C38"/>
    <w:rsid w:val="00594F44"/>
    <w:rsid w:val="005951E1"/>
    <w:rsid w:val="00595346"/>
    <w:rsid w:val="0059589A"/>
    <w:rsid w:val="0059608F"/>
    <w:rsid w:val="005961F6"/>
    <w:rsid w:val="0059644D"/>
    <w:rsid w:val="00596685"/>
    <w:rsid w:val="00596991"/>
    <w:rsid w:val="0059764E"/>
    <w:rsid w:val="00597850"/>
    <w:rsid w:val="00597DFB"/>
    <w:rsid w:val="005A0248"/>
    <w:rsid w:val="005A02B9"/>
    <w:rsid w:val="005A0386"/>
    <w:rsid w:val="005A1384"/>
    <w:rsid w:val="005A13B8"/>
    <w:rsid w:val="005A1703"/>
    <w:rsid w:val="005A198A"/>
    <w:rsid w:val="005A1E48"/>
    <w:rsid w:val="005A2A6C"/>
    <w:rsid w:val="005A34F9"/>
    <w:rsid w:val="005A370A"/>
    <w:rsid w:val="005A452F"/>
    <w:rsid w:val="005A4D0E"/>
    <w:rsid w:val="005A4D13"/>
    <w:rsid w:val="005A4F58"/>
    <w:rsid w:val="005A5887"/>
    <w:rsid w:val="005A61DC"/>
    <w:rsid w:val="005A666D"/>
    <w:rsid w:val="005A6677"/>
    <w:rsid w:val="005A69CE"/>
    <w:rsid w:val="005A6CD5"/>
    <w:rsid w:val="005A747D"/>
    <w:rsid w:val="005A7C2A"/>
    <w:rsid w:val="005A7F59"/>
    <w:rsid w:val="005B09F2"/>
    <w:rsid w:val="005B0A03"/>
    <w:rsid w:val="005B0B90"/>
    <w:rsid w:val="005B0C02"/>
    <w:rsid w:val="005B0CE2"/>
    <w:rsid w:val="005B1094"/>
    <w:rsid w:val="005B1FA9"/>
    <w:rsid w:val="005B203E"/>
    <w:rsid w:val="005B20EC"/>
    <w:rsid w:val="005B2479"/>
    <w:rsid w:val="005B2A43"/>
    <w:rsid w:val="005B2D17"/>
    <w:rsid w:val="005B2F15"/>
    <w:rsid w:val="005B3318"/>
    <w:rsid w:val="005B3CD8"/>
    <w:rsid w:val="005B3D39"/>
    <w:rsid w:val="005B3D95"/>
    <w:rsid w:val="005B3FB6"/>
    <w:rsid w:val="005B42A6"/>
    <w:rsid w:val="005B4589"/>
    <w:rsid w:val="005B46BC"/>
    <w:rsid w:val="005B4AC7"/>
    <w:rsid w:val="005B4B0E"/>
    <w:rsid w:val="005B4CDA"/>
    <w:rsid w:val="005B4D6A"/>
    <w:rsid w:val="005B56EA"/>
    <w:rsid w:val="005B6ACA"/>
    <w:rsid w:val="005B6D34"/>
    <w:rsid w:val="005B6F87"/>
    <w:rsid w:val="005B7259"/>
    <w:rsid w:val="005B7629"/>
    <w:rsid w:val="005C07FC"/>
    <w:rsid w:val="005C0C7D"/>
    <w:rsid w:val="005C0D2E"/>
    <w:rsid w:val="005C0DC0"/>
    <w:rsid w:val="005C0E53"/>
    <w:rsid w:val="005C14E9"/>
    <w:rsid w:val="005C2206"/>
    <w:rsid w:val="005C2285"/>
    <w:rsid w:val="005C2795"/>
    <w:rsid w:val="005C2BB2"/>
    <w:rsid w:val="005C2D21"/>
    <w:rsid w:val="005C357A"/>
    <w:rsid w:val="005C3608"/>
    <w:rsid w:val="005C36E0"/>
    <w:rsid w:val="005C3887"/>
    <w:rsid w:val="005C390F"/>
    <w:rsid w:val="005C3B8F"/>
    <w:rsid w:val="005C3BD1"/>
    <w:rsid w:val="005C4654"/>
    <w:rsid w:val="005C4844"/>
    <w:rsid w:val="005C4903"/>
    <w:rsid w:val="005C4D14"/>
    <w:rsid w:val="005C4ED1"/>
    <w:rsid w:val="005C4ED2"/>
    <w:rsid w:val="005C581A"/>
    <w:rsid w:val="005C5980"/>
    <w:rsid w:val="005C5BF0"/>
    <w:rsid w:val="005C5CF9"/>
    <w:rsid w:val="005C624F"/>
    <w:rsid w:val="005C6921"/>
    <w:rsid w:val="005C6FA0"/>
    <w:rsid w:val="005C71FD"/>
    <w:rsid w:val="005C73A6"/>
    <w:rsid w:val="005C7A3F"/>
    <w:rsid w:val="005C7EA6"/>
    <w:rsid w:val="005D02FD"/>
    <w:rsid w:val="005D0987"/>
    <w:rsid w:val="005D0B08"/>
    <w:rsid w:val="005D0F58"/>
    <w:rsid w:val="005D1FED"/>
    <w:rsid w:val="005D296E"/>
    <w:rsid w:val="005D2BCC"/>
    <w:rsid w:val="005D2DB9"/>
    <w:rsid w:val="005D2ED2"/>
    <w:rsid w:val="005D2F85"/>
    <w:rsid w:val="005D380E"/>
    <w:rsid w:val="005D38B6"/>
    <w:rsid w:val="005D3BDB"/>
    <w:rsid w:val="005D3D02"/>
    <w:rsid w:val="005D3D58"/>
    <w:rsid w:val="005D3F3E"/>
    <w:rsid w:val="005D46A4"/>
    <w:rsid w:val="005D50CC"/>
    <w:rsid w:val="005D5109"/>
    <w:rsid w:val="005D57AD"/>
    <w:rsid w:val="005D594D"/>
    <w:rsid w:val="005D6B38"/>
    <w:rsid w:val="005D6D4D"/>
    <w:rsid w:val="005D6D9D"/>
    <w:rsid w:val="005D6F4D"/>
    <w:rsid w:val="005D71AE"/>
    <w:rsid w:val="005D7C31"/>
    <w:rsid w:val="005D7DED"/>
    <w:rsid w:val="005E0580"/>
    <w:rsid w:val="005E16B1"/>
    <w:rsid w:val="005E1890"/>
    <w:rsid w:val="005E1BC6"/>
    <w:rsid w:val="005E205A"/>
    <w:rsid w:val="005E2415"/>
    <w:rsid w:val="005E2B16"/>
    <w:rsid w:val="005E31EB"/>
    <w:rsid w:val="005E3216"/>
    <w:rsid w:val="005E33FD"/>
    <w:rsid w:val="005E340C"/>
    <w:rsid w:val="005E3723"/>
    <w:rsid w:val="005E45D6"/>
    <w:rsid w:val="005E4CD6"/>
    <w:rsid w:val="005E4CF4"/>
    <w:rsid w:val="005E4FE9"/>
    <w:rsid w:val="005E5290"/>
    <w:rsid w:val="005E56D4"/>
    <w:rsid w:val="005E648F"/>
    <w:rsid w:val="005E6E60"/>
    <w:rsid w:val="005E6E8F"/>
    <w:rsid w:val="005E6F94"/>
    <w:rsid w:val="005E6FD2"/>
    <w:rsid w:val="005E7592"/>
    <w:rsid w:val="005E7C73"/>
    <w:rsid w:val="005F01B7"/>
    <w:rsid w:val="005F1102"/>
    <w:rsid w:val="005F1843"/>
    <w:rsid w:val="005F18D4"/>
    <w:rsid w:val="005F241D"/>
    <w:rsid w:val="005F2CB8"/>
    <w:rsid w:val="005F316D"/>
    <w:rsid w:val="005F33F2"/>
    <w:rsid w:val="005F3A0F"/>
    <w:rsid w:val="005F4138"/>
    <w:rsid w:val="005F5092"/>
    <w:rsid w:val="005F50F8"/>
    <w:rsid w:val="005F54F3"/>
    <w:rsid w:val="005F5757"/>
    <w:rsid w:val="005F5C48"/>
    <w:rsid w:val="005F5D30"/>
    <w:rsid w:val="005F5F78"/>
    <w:rsid w:val="005F6A58"/>
    <w:rsid w:val="005F6D29"/>
    <w:rsid w:val="005F7E6C"/>
    <w:rsid w:val="006000D4"/>
    <w:rsid w:val="00600AFB"/>
    <w:rsid w:val="00601472"/>
    <w:rsid w:val="00601474"/>
    <w:rsid w:val="0060199D"/>
    <w:rsid w:val="00601A00"/>
    <w:rsid w:val="00601B32"/>
    <w:rsid w:val="00602104"/>
    <w:rsid w:val="006024FC"/>
    <w:rsid w:val="00602BDB"/>
    <w:rsid w:val="00602DBD"/>
    <w:rsid w:val="006035A1"/>
    <w:rsid w:val="00603773"/>
    <w:rsid w:val="0060380C"/>
    <w:rsid w:val="00603934"/>
    <w:rsid w:val="0060396A"/>
    <w:rsid w:val="00604124"/>
    <w:rsid w:val="00604462"/>
    <w:rsid w:val="00605381"/>
    <w:rsid w:val="00605607"/>
    <w:rsid w:val="00606403"/>
    <w:rsid w:val="0060680B"/>
    <w:rsid w:val="0060690B"/>
    <w:rsid w:val="00606BEF"/>
    <w:rsid w:val="00606F53"/>
    <w:rsid w:val="006070A3"/>
    <w:rsid w:val="00607ACD"/>
    <w:rsid w:val="00607E4D"/>
    <w:rsid w:val="00610078"/>
    <w:rsid w:val="00610106"/>
    <w:rsid w:val="0061054D"/>
    <w:rsid w:val="00610B34"/>
    <w:rsid w:val="006114B8"/>
    <w:rsid w:val="00611838"/>
    <w:rsid w:val="00611844"/>
    <w:rsid w:val="006118BD"/>
    <w:rsid w:val="00612698"/>
    <w:rsid w:val="006127AF"/>
    <w:rsid w:val="00612D45"/>
    <w:rsid w:val="0061309C"/>
    <w:rsid w:val="006130C0"/>
    <w:rsid w:val="00613573"/>
    <w:rsid w:val="00613F71"/>
    <w:rsid w:val="006142AE"/>
    <w:rsid w:val="00614A9D"/>
    <w:rsid w:val="00614A9F"/>
    <w:rsid w:val="00614D6C"/>
    <w:rsid w:val="0061518B"/>
    <w:rsid w:val="0061522E"/>
    <w:rsid w:val="00615555"/>
    <w:rsid w:val="006157E6"/>
    <w:rsid w:val="00615900"/>
    <w:rsid w:val="006160DE"/>
    <w:rsid w:val="0061643C"/>
    <w:rsid w:val="00616AE6"/>
    <w:rsid w:val="00616FE5"/>
    <w:rsid w:val="006170D3"/>
    <w:rsid w:val="00617257"/>
    <w:rsid w:val="00617449"/>
    <w:rsid w:val="006175A8"/>
    <w:rsid w:val="00617720"/>
    <w:rsid w:val="00617953"/>
    <w:rsid w:val="00617A46"/>
    <w:rsid w:val="00617E6F"/>
    <w:rsid w:val="00620785"/>
    <w:rsid w:val="00620905"/>
    <w:rsid w:val="0062125C"/>
    <w:rsid w:val="0062164F"/>
    <w:rsid w:val="00621970"/>
    <w:rsid w:val="00621AA1"/>
    <w:rsid w:val="00621E09"/>
    <w:rsid w:val="0062203A"/>
    <w:rsid w:val="0062250F"/>
    <w:rsid w:val="006225FA"/>
    <w:rsid w:val="006229EF"/>
    <w:rsid w:val="00622F35"/>
    <w:rsid w:val="006231D9"/>
    <w:rsid w:val="0062423E"/>
    <w:rsid w:val="00624E33"/>
    <w:rsid w:val="006250F9"/>
    <w:rsid w:val="00625937"/>
    <w:rsid w:val="006260EE"/>
    <w:rsid w:val="0062616E"/>
    <w:rsid w:val="006263AE"/>
    <w:rsid w:val="006278D9"/>
    <w:rsid w:val="00630A3F"/>
    <w:rsid w:val="00630AF2"/>
    <w:rsid w:val="00631135"/>
    <w:rsid w:val="006318B8"/>
    <w:rsid w:val="0063197C"/>
    <w:rsid w:val="0063222C"/>
    <w:rsid w:val="0063230C"/>
    <w:rsid w:val="00632436"/>
    <w:rsid w:val="0063290B"/>
    <w:rsid w:val="006329CA"/>
    <w:rsid w:val="006332B5"/>
    <w:rsid w:val="006336F3"/>
    <w:rsid w:val="006337E4"/>
    <w:rsid w:val="00633A7E"/>
    <w:rsid w:val="00633D30"/>
    <w:rsid w:val="00633F50"/>
    <w:rsid w:val="00633FFC"/>
    <w:rsid w:val="006345DB"/>
    <w:rsid w:val="0063501E"/>
    <w:rsid w:val="0063513A"/>
    <w:rsid w:val="006353C5"/>
    <w:rsid w:val="006358B1"/>
    <w:rsid w:val="00635933"/>
    <w:rsid w:val="00636180"/>
    <w:rsid w:val="0063630E"/>
    <w:rsid w:val="00636DE9"/>
    <w:rsid w:val="006372E5"/>
    <w:rsid w:val="00637557"/>
    <w:rsid w:val="006375B8"/>
    <w:rsid w:val="00637603"/>
    <w:rsid w:val="006378B2"/>
    <w:rsid w:val="00637A9E"/>
    <w:rsid w:val="00640011"/>
    <w:rsid w:val="00640168"/>
    <w:rsid w:val="00640172"/>
    <w:rsid w:val="00640226"/>
    <w:rsid w:val="00640C54"/>
    <w:rsid w:val="006410E7"/>
    <w:rsid w:val="00641299"/>
    <w:rsid w:val="006414F7"/>
    <w:rsid w:val="00641761"/>
    <w:rsid w:val="00641979"/>
    <w:rsid w:val="00642971"/>
    <w:rsid w:val="00643B61"/>
    <w:rsid w:val="00643B77"/>
    <w:rsid w:val="006443F8"/>
    <w:rsid w:val="0064456B"/>
    <w:rsid w:val="00644676"/>
    <w:rsid w:val="006459AE"/>
    <w:rsid w:val="00645B8E"/>
    <w:rsid w:val="00645EFB"/>
    <w:rsid w:val="00645FCB"/>
    <w:rsid w:val="006463EA"/>
    <w:rsid w:val="006465F8"/>
    <w:rsid w:val="0064720A"/>
    <w:rsid w:val="006478A4"/>
    <w:rsid w:val="006478AB"/>
    <w:rsid w:val="00647EFE"/>
    <w:rsid w:val="00650411"/>
    <w:rsid w:val="006507E0"/>
    <w:rsid w:val="00650901"/>
    <w:rsid w:val="00650940"/>
    <w:rsid w:val="00650E59"/>
    <w:rsid w:val="006511E7"/>
    <w:rsid w:val="006514E3"/>
    <w:rsid w:val="00651708"/>
    <w:rsid w:val="00651B87"/>
    <w:rsid w:val="00651F08"/>
    <w:rsid w:val="006526FC"/>
    <w:rsid w:val="00653169"/>
    <w:rsid w:val="00653327"/>
    <w:rsid w:val="006537B9"/>
    <w:rsid w:val="00653AD0"/>
    <w:rsid w:val="0065402B"/>
    <w:rsid w:val="00654513"/>
    <w:rsid w:val="0065491D"/>
    <w:rsid w:val="00654EB0"/>
    <w:rsid w:val="00654FE8"/>
    <w:rsid w:val="00655215"/>
    <w:rsid w:val="00655528"/>
    <w:rsid w:val="0065567D"/>
    <w:rsid w:val="006558AC"/>
    <w:rsid w:val="00655F08"/>
    <w:rsid w:val="006571DB"/>
    <w:rsid w:val="006602A8"/>
    <w:rsid w:val="00660444"/>
    <w:rsid w:val="006604D0"/>
    <w:rsid w:val="0066065C"/>
    <w:rsid w:val="00660A46"/>
    <w:rsid w:val="00661034"/>
    <w:rsid w:val="00661240"/>
    <w:rsid w:val="0066174A"/>
    <w:rsid w:val="00661AD2"/>
    <w:rsid w:val="0066204E"/>
    <w:rsid w:val="006623E0"/>
    <w:rsid w:val="00662ACD"/>
    <w:rsid w:val="00662FD1"/>
    <w:rsid w:val="00663371"/>
    <w:rsid w:val="006634C6"/>
    <w:rsid w:val="0066360E"/>
    <w:rsid w:val="00663B4A"/>
    <w:rsid w:val="00663E31"/>
    <w:rsid w:val="0066527D"/>
    <w:rsid w:val="0066559D"/>
    <w:rsid w:val="006659FD"/>
    <w:rsid w:val="00666382"/>
    <w:rsid w:val="00666634"/>
    <w:rsid w:val="006666CD"/>
    <w:rsid w:val="00666B77"/>
    <w:rsid w:val="006674AA"/>
    <w:rsid w:val="00670217"/>
    <w:rsid w:val="006706BD"/>
    <w:rsid w:val="0067077D"/>
    <w:rsid w:val="00670781"/>
    <w:rsid w:val="006708B5"/>
    <w:rsid w:val="00670D37"/>
    <w:rsid w:val="00670DE5"/>
    <w:rsid w:val="006717A2"/>
    <w:rsid w:val="00671A6A"/>
    <w:rsid w:val="00671D4E"/>
    <w:rsid w:val="00671FC8"/>
    <w:rsid w:val="00672318"/>
    <w:rsid w:val="006723BA"/>
    <w:rsid w:val="00672416"/>
    <w:rsid w:val="006724FA"/>
    <w:rsid w:val="0067305E"/>
    <w:rsid w:val="00673131"/>
    <w:rsid w:val="00673329"/>
    <w:rsid w:val="0067332F"/>
    <w:rsid w:val="006736FF"/>
    <w:rsid w:val="00673C5E"/>
    <w:rsid w:val="00674838"/>
    <w:rsid w:val="00675508"/>
    <w:rsid w:val="00675667"/>
    <w:rsid w:val="00675E23"/>
    <w:rsid w:val="0067639A"/>
    <w:rsid w:val="006774EF"/>
    <w:rsid w:val="006777AD"/>
    <w:rsid w:val="006778F8"/>
    <w:rsid w:val="006779B4"/>
    <w:rsid w:val="00677A8B"/>
    <w:rsid w:val="00677ABC"/>
    <w:rsid w:val="00680103"/>
    <w:rsid w:val="00680817"/>
    <w:rsid w:val="00680F5F"/>
    <w:rsid w:val="0068178D"/>
    <w:rsid w:val="00681997"/>
    <w:rsid w:val="00681B63"/>
    <w:rsid w:val="00681C00"/>
    <w:rsid w:val="00682469"/>
    <w:rsid w:val="006824CD"/>
    <w:rsid w:val="0068293F"/>
    <w:rsid w:val="00682E7D"/>
    <w:rsid w:val="00684111"/>
    <w:rsid w:val="006841DD"/>
    <w:rsid w:val="006842DA"/>
    <w:rsid w:val="006851BF"/>
    <w:rsid w:val="006852D8"/>
    <w:rsid w:val="00685648"/>
    <w:rsid w:val="0068580B"/>
    <w:rsid w:val="0068641E"/>
    <w:rsid w:val="00686579"/>
    <w:rsid w:val="00686970"/>
    <w:rsid w:val="00686971"/>
    <w:rsid w:val="00687021"/>
    <w:rsid w:val="00687A4F"/>
    <w:rsid w:val="00687EEA"/>
    <w:rsid w:val="00690004"/>
    <w:rsid w:val="006900E6"/>
    <w:rsid w:val="006901B2"/>
    <w:rsid w:val="00690465"/>
    <w:rsid w:val="006905E6"/>
    <w:rsid w:val="00690F18"/>
    <w:rsid w:val="00691090"/>
    <w:rsid w:val="0069189B"/>
    <w:rsid w:val="00691FAB"/>
    <w:rsid w:val="0069297E"/>
    <w:rsid w:val="00692F3D"/>
    <w:rsid w:val="00693214"/>
    <w:rsid w:val="0069334F"/>
    <w:rsid w:val="0069354B"/>
    <w:rsid w:val="006938A1"/>
    <w:rsid w:val="00693EA9"/>
    <w:rsid w:val="00695403"/>
    <w:rsid w:val="00695F7C"/>
    <w:rsid w:val="00696941"/>
    <w:rsid w:val="00696A0D"/>
    <w:rsid w:val="00696D78"/>
    <w:rsid w:val="00696F26"/>
    <w:rsid w:val="0069792A"/>
    <w:rsid w:val="00697FDF"/>
    <w:rsid w:val="006A0601"/>
    <w:rsid w:val="006A1AC7"/>
    <w:rsid w:val="006A256B"/>
    <w:rsid w:val="006A259E"/>
    <w:rsid w:val="006A3458"/>
    <w:rsid w:val="006A3638"/>
    <w:rsid w:val="006A37AC"/>
    <w:rsid w:val="006A394D"/>
    <w:rsid w:val="006A4FD3"/>
    <w:rsid w:val="006A585B"/>
    <w:rsid w:val="006A59DB"/>
    <w:rsid w:val="006A6236"/>
    <w:rsid w:val="006A63A8"/>
    <w:rsid w:val="006A6B59"/>
    <w:rsid w:val="006A6B99"/>
    <w:rsid w:val="006A6F62"/>
    <w:rsid w:val="006A78F2"/>
    <w:rsid w:val="006B0253"/>
    <w:rsid w:val="006B0884"/>
    <w:rsid w:val="006B08F2"/>
    <w:rsid w:val="006B1C0A"/>
    <w:rsid w:val="006B1E15"/>
    <w:rsid w:val="006B20BE"/>
    <w:rsid w:val="006B26A3"/>
    <w:rsid w:val="006B2889"/>
    <w:rsid w:val="006B2A5F"/>
    <w:rsid w:val="006B2D03"/>
    <w:rsid w:val="006B31EF"/>
    <w:rsid w:val="006B3991"/>
    <w:rsid w:val="006B4370"/>
    <w:rsid w:val="006B550C"/>
    <w:rsid w:val="006B5AC1"/>
    <w:rsid w:val="006B5B29"/>
    <w:rsid w:val="006B63A2"/>
    <w:rsid w:val="006B6415"/>
    <w:rsid w:val="006B6492"/>
    <w:rsid w:val="006B6C44"/>
    <w:rsid w:val="006C1910"/>
    <w:rsid w:val="006C1BD0"/>
    <w:rsid w:val="006C1C10"/>
    <w:rsid w:val="006C1CFB"/>
    <w:rsid w:val="006C1E30"/>
    <w:rsid w:val="006C21E3"/>
    <w:rsid w:val="006C32F3"/>
    <w:rsid w:val="006C3494"/>
    <w:rsid w:val="006C34F7"/>
    <w:rsid w:val="006C369B"/>
    <w:rsid w:val="006C3737"/>
    <w:rsid w:val="006C3E9F"/>
    <w:rsid w:val="006C4697"/>
    <w:rsid w:val="006C4803"/>
    <w:rsid w:val="006C4C7A"/>
    <w:rsid w:val="006C4CAC"/>
    <w:rsid w:val="006C4F1A"/>
    <w:rsid w:val="006C4FE9"/>
    <w:rsid w:val="006C56FB"/>
    <w:rsid w:val="006C598B"/>
    <w:rsid w:val="006C6412"/>
    <w:rsid w:val="006C65F9"/>
    <w:rsid w:val="006C6EA5"/>
    <w:rsid w:val="006C6FF5"/>
    <w:rsid w:val="006C70FE"/>
    <w:rsid w:val="006C7718"/>
    <w:rsid w:val="006C7A75"/>
    <w:rsid w:val="006C7AD6"/>
    <w:rsid w:val="006C7E88"/>
    <w:rsid w:val="006C7F7E"/>
    <w:rsid w:val="006D006B"/>
    <w:rsid w:val="006D088F"/>
    <w:rsid w:val="006D0AAF"/>
    <w:rsid w:val="006D0AFE"/>
    <w:rsid w:val="006D0EDA"/>
    <w:rsid w:val="006D1528"/>
    <w:rsid w:val="006D1A00"/>
    <w:rsid w:val="006D2343"/>
    <w:rsid w:val="006D273C"/>
    <w:rsid w:val="006D2838"/>
    <w:rsid w:val="006D31C8"/>
    <w:rsid w:val="006D38DA"/>
    <w:rsid w:val="006D398D"/>
    <w:rsid w:val="006D3BD2"/>
    <w:rsid w:val="006D3E19"/>
    <w:rsid w:val="006D3E60"/>
    <w:rsid w:val="006D3E7B"/>
    <w:rsid w:val="006D47B9"/>
    <w:rsid w:val="006D4E96"/>
    <w:rsid w:val="006D569D"/>
    <w:rsid w:val="006D5E52"/>
    <w:rsid w:val="006D6121"/>
    <w:rsid w:val="006D6D39"/>
    <w:rsid w:val="006D6E7D"/>
    <w:rsid w:val="006D6F84"/>
    <w:rsid w:val="006D7781"/>
    <w:rsid w:val="006D7B2C"/>
    <w:rsid w:val="006E037D"/>
    <w:rsid w:val="006E12D1"/>
    <w:rsid w:val="006E1355"/>
    <w:rsid w:val="006E13D7"/>
    <w:rsid w:val="006E166E"/>
    <w:rsid w:val="006E1851"/>
    <w:rsid w:val="006E1C06"/>
    <w:rsid w:val="006E1D1D"/>
    <w:rsid w:val="006E239D"/>
    <w:rsid w:val="006E249D"/>
    <w:rsid w:val="006E2B66"/>
    <w:rsid w:val="006E357A"/>
    <w:rsid w:val="006E38F5"/>
    <w:rsid w:val="006E3AC4"/>
    <w:rsid w:val="006E3ACF"/>
    <w:rsid w:val="006E3AD0"/>
    <w:rsid w:val="006E3B0D"/>
    <w:rsid w:val="006E4BC6"/>
    <w:rsid w:val="006E55BF"/>
    <w:rsid w:val="006E6385"/>
    <w:rsid w:val="006E6386"/>
    <w:rsid w:val="006E660B"/>
    <w:rsid w:val="006E6A4D"/>
    <w:rsid w:val="006E7599"/>
    <w:rsid w:val="006E75E0"/>
    <w:rsid w:val="006E766D"/>
    <w:rsid w:val="006F04BD"/>
    <w:rsid w:val="006F1847"/>
    <w:rsid w:val="006F2284"/>
    <w:rsid w:val="006F2385"/>
    <w:rsid w:val="006F2A82"/>
    <w:rsid w:val="006F2AB8"/>
    <w:rsid w:val="006F2C8C"/>
    <w:rsid w:val="006F3607"/>
    <w:rsid w:val="006F3B67"/>
    <w:rsid w:val="006F3BCF"/>
    <w:rsid w:val="006F3D52"/>
    <w:rsid w:val="006F437B"/>
    <w:rsid w:val="006F4989"/>
    <w:rsid w:val="006F51ED"/>
    <w:rsid w:val="006F5580"/>
    <w:rsid w:val="006F565F"/>
    <w:rsid w:val="006F5799"/>
    <w:rsid w:val="006F6393"/>
    <w:rsid w:val="006F67FD"/>
    <w:rsid w:val="006F7210"/>
    <w:rsid w:val="007000B5"/>
    <w:rsid w:val="00700177"/>
    <w:rsid w:val="007007AC"/>
    <w:rsid w:val="00701134"/>
    <w:rsid w:val="00701C30"/>
    <w:rsid w:val="007023CB"/>
    <w:rsid w:val="00702585"/>
    <w:rsid w:val="00702DEA"/>
    <w:rsid w:val="00702E28"/>
    <w:rsid w:val="00703029"/>
    <w:rsid w:val="0070377D"/>
    <w:rsid w:val="0070463B"/>
    <w:rsid w:val="0070464A"/>
    <w:rsid w:val="0070488B"/>
    <w:rsid w:val="0070488C"/>
    <w:rsid w:val="007053D2"/>
    <w:rsid w:val="00705A65"/>
    <w:rsid w:val="0071024F"/>
    <w:rsid w:val="0071050E"/>
    <w:rsid w:val="007109C4"/>
    <w:rsid w:val="0071116A"/>
    <w:rsid w:val="007112E6"/>
    <w:rsid w:val="00711A6C"/>
    <w:rsid w:val="00711B1E"/>
    <w:rsid w:val="007124F6"/>
    <w:rsid w:val="007127CE"/>
    <w:rsid w:val="007128CD"/>
    <w:rsid w:val="00712E11"/>
    <w:rsid w:val="00712EB6"/>
    <w:rsid w:val="00712EE7"/>
    <w:rsid w:val="007131A1"/>
    <w:rsid w:val="00713DFD"/>
    <w:rsid w:val="00713F7C"/>
    <w:rsid w:val="00714024"/>
    <w:rsid w:val="0071402D"/>
    <w:rsid w:val="0071476B"/>
    <w:rsid w:val="00714A34"/>
    <w:rsid w:val="00714C65"/>
    <w:rsid w:val="007151A6"/>
    <w:rsid w:val="0071520B"/>
    <w:rsid w:val="00715818"/>
    <w:rsid w:val="0071696B"/>
    <w:rsid w:val="007173AC"/>
    <w:rsid w:val="0071757E"/>
    <w:rsid w:val="007177AC"/>
    <w:rsid w:val="00717A88"/>
    <w:rsid w:val="00717AA3"/>
    <w:rsid w:val="00717C1B"/>
    <w:rsid w:val="00717E54"/>
    <w:rsid w:val="0071F43C"/>
    <w:rsid w:val="00720305"/>
    <w:rsid w:val="0072099A"/>
    <w:rsid w:val="00720B1F"/>
    <w:rsid w:val="00720D1B"/>
    <w:rsid w:val="0072158A"/>
    <w:rsid w:val="00721B85"/>
    <w:rsid w:val="00721D82"/>
    <w:rsid w:val="00721E13"/>
    <w:rsid w:val="00721F89"/>
    <w:rsid w:val="00722475"/>
    <w:rsid w:val="00722B3D"/>
    <w:rsid w:val="00722C46"/>
    <w:rsid w:val="00722C75"/>
    <w:rsid w:val="007237A2"/>
    <w:rsid w:val="00724291"/>
    <w:rsid w:val="00725353"/>
    <w:rsid w:val="0072603B"/>
    <w:rsid w:val="00726425"/>
    <w:rsid w:val="007269AD"/>
    <w:rsid w:val="00726E2B"/>
    <w:rsid w:val="00726F3E"/>
    <w:rsid w:val="0073011C"/>
    <w:rsid w:val="007315DE"/>
    <w:rsid w:val="00731E07"/>
    <w:rsid w:val="00732207"/>
    <w:rsid w:val="0073223E"/>
    <w:rsid w:val="00732558"/>
    <w:rsid w:val="00733A65"/>
    <w:rsid w:val="007340AA"/>
    <w:rsid w:val="00734246"/>
    <w:rsid w:val="00734874"/>
    <w:rsid w:val="00734B68"/>
    <w:rsid w:val="00735B43"/>
    <w:rsid w:val="00735D3B"/>
    <w:rsid w:val="00735EA0"/>
    <w:rsid w:val="00736FA0"/>
    <w:rsid w:val="00737D08"/>
    <w:rsid w:val="007401D7"/>
    <w:rsid w:val="00740E39"/>
    <w:rsid w:val="007411FC"/>
    <w:rsid w:val="0074120D"/>
    <w:rsid w:val="00743312"/>
    <w:rsid w:val="007433F6"/>
    <w:rsid w:val="007434B6"/>
    <w:rsid w:val="007434CF"/>
    <w:rsid w:val="007434DF"/>
    <w:rsid w:val="0074377D"/>
    <w:rsid w:val="00743791"/>
    <w:rsid w:val="0074390A"/>
    <w:rsid w:val="00743B4E"/>
    <w:rsid w:val="00743E5F"/>
    <w:rsid w:val="00743F5E"/>
    <w:rsid w:val="00744896"/>
    <w:rsid w:val="00745057"/>
    <w:rsid w:val="00745A55"/>
    <w:rsid w:val="007462C6"/>
    <w:rsid w:val="00746D50"/>
    <w:rsid w:val="0074745B"/>
    <w:rsid w:val="0074745C"/>
    <w:rsid w:val="00747517"/>
    <w:rsid w:val="00747738"/>
    <w:rsid w:val="007477EA"/>
    <w:rsid w:val="00747986"/>
    <w:rsid w:val="00747C23"/>
    <w:rsid w:val="007503A6"/>
    <w:rsid w:val="00750B29"/>
    <w:rsid w:val="00750E91"/>
    <w:rsid w:val="00751A87"/>
    <w:rsid w:val="007527CE"/>
    <w:rsid w:val="007528DF"/>
    <w:rsid w:val="00752A0B"/>
    <w:rsid w:val="00752B22"/>
    <w:rsid w:val="00752D78"/>
    <w:rsid w:val="007533A1"/>
    <w:rsid w:val="00753534"/>
    <w:rsid w:val="0075389C"/>
    <w:rsid w:val="00754195"/>
    <w:rsid w:val="0075419D"/>
    <w:rsid w:val="007541F6"/>
    <w:rsid w:val="007544E6"/>
    <w:rsid w:val="007544E7"/>
    <w:rsid w:val="007545BF"/>
    <w:rsid w:val="00754621"/>
    <w:rsid w:val="00754B42"/>
    <w:rsid w:val="00754D93"/>
    <w:rsid w:val="00755746"/>
    <w:rsid w:val="0075584E"/>
    <w:rsid w:val="007560D2"/>
    <w:rsid w:val="007561E0"/>
    <w:rsid w:val="00756888"/>
    <w:rsid w:val="00756C33"/>
    <w:rsid w:val="00756D37"/>
    <w:rsid w:val="00757F29"/>
    <w:rsid w:val="007606F0"/>
    <w:rsid w:val="00760962"/>
    <w:rsid w:val="00760B88"/>
    <w:rsid w:val="007617D0"/>
    <w:rsid w:val="00761CF1"/>
    <w:rsid w:val="00761D3D"/>
    <w:rsid w:val="00762082"/>
    <w:rsid w:val="00762C4D"/>
    <w:rsid w:val="00763020"/>
    <w:rsid w:val="007632A9"/>
    <w:rsid w:val="00763585"/>
    <w:rsid w:val="0076386F"/>
    <w:rsid w:val="00763E99"/>
    <w:rsid w:val="00764412"/>
    <w:rsid w:val="00764707"/>
    <w:rsid w:val="00764BE7"/>
    <w:rsid w:val="00765AAB"/>
    <w:rsid w:val="00765BA9"/>
    <w:rsid w:val="00765ECE"/>
    <w:rsid w:val="00766218"/>
    <w:rsid w:val="00766411"/>
    <w:rsid w:val="00767055"/>
    <w:rsid w:val="007675FB"/>
    <w:rsid w:val="00767706"/>
    <w:rsid w:val="00767EC1"/>
    <w:rsid w:val="00770E7C"/>
    <w:rsid w:val="007717E2"/>
    <w:rsid w:val="007719C3"/>
    <w:rsid w:val="007719EF"/>
    <w:rsid w:val="00771CF5"/>
    <w:rsid w:val="00773613"/>
    <w:rsid w:val="007744D0"/>
    <w:rsid w:val="00774CC4"/>
    <w:rsid w:val="0077556F"/>
    <w:rsid w:val="00775B0B"/>
    <w:rsid w:val="0077608F"/>
    <w:rsid w:val="007763E8"/>
    <w:rsid w:val="0077653A"/>
    <w:rsid w:val="007765DE"/>
    <w:rsid w:val="00776983"/>
    <w:rsid w:val="00776D5C"/>
    <w:rsid w:val="007779C6"/>
    <w:rsid w:val="00777BEE"/>
    <w:rsid w:val="00777D10"/>
    <w:rsid w:val="00777EA8"/>
    <w:rsid w:val="0077E30C"/>
    <w:rsid w:val="00780509"/>
    <w:rsid w:val="0078111D"/>
    <w:rsid w:val="00781646"/>
    <w:rsid w:val="007816E4"/>
    <w:rsid w:val="007817C3"/>
    <w:rsid w:val="0078195E"/>
    <w:rsid w:val="00781C9F"/>
    <w:rsid w:val="00781D24"/>
    <w:rsid w:val="00781E04"/>
    <w:rsid w:val="00782656"/>
    <w:rsid w:val="00782D9E"/>
    <w:rsid w:val="00782DF9"/>
    <w:rsid w:val="007832A5"/>
    <w:rsid w:val="0078418E"/>
    <w:rsid w:val="00784E40"/>
    <w:rsid w:val="007858A2"/>
    <w:rsid w:val="00785ABB"/>
    <w:rsid w:val="00785E35"/>
    <w:rsid w:val="00785E71"/>
    <w:rsid w:val="007861C2"/>
    <w:rsid w:val="0078635A"/>
    <w:rsid w:val="00787266"/>
    <w:rsid w:val="007873C7"/>
    <w:rsid w:val="00787538"/>
    <w:rsid w:val="00787D24"/>
    <w:rsid w:val="007902CB"/>
    <w:rsid w:val="007905BE"/>
    <w:rsid w:val="00790738"/>
    <w:rsid w:val="00791420"/>
    <w:rsid w:val="00791A0B"/>
    <w:rsid w:val="00791A7C"/>
    <w:rsid w:val="00791FE3"/>
    <w:rsid w:val="0079235A"/>
    <w:rsid w:val="0079263E"/>
    <w:rsid w:val="007926DA"/>
    <w:rsid w:val="00792932"/>
    <w:rsid w:val="00792B51"/>
    <w:rsid w:val="00792CDF"/>
    <w:rsid w:val="00792DA5"/>
    <w:rsid w:val="00792F8D"/>
    <w:rsid w:val="00793560"/>
    <w:rsid w:val="00793A6E"/>
    <w:rsid w:val="0079571A"/>
    <w:rsid w:val="00795BF7"/>
    <w:rsid w:val="00795C5A"/>
    <w:rsid w:val="00796A3C"/>
    <w:rsid w:val="00796CC1"/>
    <w:rsid w:val="007978A1"/>
    <w:rsid w:val="007A006B"/>
    <w:rsid w:val="007A097B"/>
    <w:rsid w:val="007A0A2D"/>
    <w:rsid w:val="007A0B67"/>
    <w:rsid w:val="007A0BCC"/>
    <w:rsid w:val="007A1238"/>
    <w:rsid w:val="007A1A9F"/>
    <w:rsid w:val="007A2DF2"/>
    <w:rsid w:val="007A32BF"/>
    <w:rsid w:val="007A32E2"/>
    <w:rsid w:val="007A330A"/>
    <w:rsid w:val="007A3429"/>
    <w:rsid w:val="007A3498"/>
    <w:rsid w:val="007A34B3"/>
    <w:rsid w:val="007A3717"/>
    <w:rsid w:val="007A3B92"/>
    <w:rsid w:val="007A42D5"/>
    <w:rsid w:val="007A4DA5"/>
    <w:rsid w:val="007A5897"/>
    <w:rsid w:val="007A5F84"/>
    <w:rsid w:val="007A61A2"/>
    <w:rsid w:val="007A63F6"/>
    <w:rsid w:val="007A65F3"/>
    <w:rsid w:val="007A6BFC"/>
    <w:rsid w:val="007A6FAB"/>
    <w:rsid w:val="007A7A93"/>
    <w:rsid w:val="007A7AED"/>
    <w:rsid w:val="007A7D52"/>
    <w:rsid w:val="007B08A5"/>
    <w:rsid w:val="007B0AAA"/>
    <w:rsid w:val="007B1629"/>
    <w:rsid w:val="007B1D40"/>
    <w:rsid w:val="007B2216"/>
    <w:rsid w:val="007B22DA"/>
    <w:rsid w:val="007B2335"/>
    <w:rsid w:val="007B255F"/>
    <w:rsid w:val="007B3289"/>
    <w:rsid w:val="007B393F"/>
    <w:rsid w:val="007B3B5D"/>
    <w:rsid w:val="007B419B"/>
    <w:rsid w:val="007B455B"/>
    <w:rsid w:val="007B4D59"/>
    <w:rsid w:val="007B50CE"/>
    <w:rsid w:val="007B5572"/>
    <w:rsid w:val="007B5A9A"/>
    <w:rsid w:val="007B5D96"/>
    <w:rsid w:val="007B5DE3"/>
    <w:rsid w:val="007B616B"/>
    <w:rsid w:val="007B637F"/>
    <w:rsid w:val="007B758C"/>
    <w:rsid w:val="007B7D77"/>
    <w:rsid w:val="007C0237"/>
    <w:rsid w:val="007C09CD"/>
    <w:rsid w:val="007C0AD7"/>
    <w:rsid w:val="007C27EB"/>
    <w:rsid w:val="007C2CA5"/>
    <w:rsid w:val="007C2CD9"/>
    <w:rsid w:val="007C330F"/>
    <w:rsid w:val="007C3D33"/>
    <w:rsid w:val="007C44E2"/>
    <w:rsid w:val="007C5395"/>
    <w:rsid w:val="007C5553"/>
    <w:rsid w:val="007C58F8"/>
    <w:rsid w:val="007C5CE0"/>
    <w:rsid w:val="007C5E34"/>
    <w:rsid w:val="007C5E99"/>
    <w:rsid w:val="007C618F"/>
    <w:rsid w:val="007C7083"/>
    <w:rsid w:val="007C755A"/>
    <w:rsid w:val="007C7F4B"/>
    <w:rsid w:val="007D0256"/>
    <w:rsid w:val="007D0FF4"/>
    <w:rsid w:val="007D15BE"/>
    <w:rsid w:val="007D173D"/>
    <w:rsid w:val="007D1C13"/>
    <w:rsid w:val="007D1D97"/>
    <w:rsid w:val="007D29B7"/>
    <w:rsid w:val="007D2AD6"/>
    <w:rsid w:val="007D309E"/>
    <w:rsid w:val="007D35E1"/>
    <w:rsid w:val="007D35ED"/>
    <w:rsid w:val="007D3CA9"/>
    <w:rsid w:val="007D4D84"/>
    <w:rsid w:val="007D5846"/>
    <w:rsid w:val="007D62EE"/>
    <w:rsid w:val="007D635A"/>
    <w:rsid w:val="007D7101"/>
    <w:rsid w:val="007D77B3"/>
    <w:rsid w:val="007D7F3E"/>
    <w:rsid w:val="007E0482"/>
    <w:rsid w:val="007E0523"/>
    <w:rsid w:val="007E06CC"/>
    <w:rsid w:val="007E08C5"/>
    <w:rsid w:val="007E0ACB"/>
    <w:rsid w:val="007E0D11"/>
    <w:rsid w:val="007E1F52"/>
    <w:rsid w:val="007E37FF"/>
    <w:rsid w:val="007E383F"/>
    <w:rsid w:val="007E45DC"/>
    <w:rsid w:val="007E4D41"/>
    <w:rsid w:val="007E5F6D"/>
    <w:rsid w:val="007E650F"/>
    <w:rsid w:val="007E6550"/>
    <w:rsid w:val="007E67F1"/>
    <w:rsid w:val="007E7314"/>
    <w:rsid w:val="007E77F5"/>
    <w:rsid w:val="007E78CB"/>
    <w:rsid w:val="007E7958"/>
    <w:rsid w:val="007EB22F"/>
    <w:rsid w:val="007F0102"/>
    <w:rsid w:val="007F038F"/>
    <w:rsid w:val="007F06AE"/>
    <w:rsid w:val="007F0AE3"/>
    <w:rsid w:val="007F0D6F"/>
    <w:rsid w:val="007F0FE3"/>
    <w:rsid w:val="007F1272"/>
    <w:rsid w:val="007F1401"/>
    <w:rsid w:val="007F170C"/>
    <w:rsid w:val="007F26B2"/>
    <w:rsid w:val="007F2926"/>
    <w:rsid w:val="007F2C62"/>
    <w:rsid w:val="007F35BE"/>
    <w:rsid w:val="007F3834"/>
    <w:rsid w:val="007F3E7E"/>
    <w:rsid w:val="007F4172"/>
    <w:rsid w:val="007F4BD1"/>
    <w:rsid w:val="007F5152"/>
    <w:rsid w:val="007F53B0"/>
    <w:rsid w:val="007F58E6"/>
    <w:rsid w:val="007F5BC1"/>
    <w:rsid w:val="007F5D0E"/>
    <w:rsid w:val="007F64EB"/>
    <w:rsid w:val="007F691B"/>
    <w:rsid w:val="007F69E3"/>
    <w:rsid w:val="007F6C56"/>
    <w:rsid w:val="007F6CA4"/>
    <w:rsid w:val="007F7087"/>
    <w:rsid w:val="007F7482"/>
    <w:rsid w:val="008000D7"/>
    <w:rsid w:val="00800112"/>
    <w:rsid w:val="00801303"/>
    <w:rsid w:val="008014BE"/>
    <w:rsid w:val="00801BFE"/>
    <w:rsid w:val="00801CB6"/>
    <w:rsid w:val="0080206E"/>
    <w:rsid w:val="00802686"/>
    <w:rsid w:val="00802777"/>
    <w:rsid w:val="008029F6"/>
    <w:rsid w:val="00802DA7"/>
    <w:rsid w:val="008030BF"/>
    <w:rsid w:val="00803491"/>
    <w:rsid w:val="00803863"/>
    <w:rsid w:val="008038CA"/>
    <w:rsid w:val="00803C60"/>
    <w:rsid w:val="00803FB4"/>
    <w:rsid w:val="0080544B"/>
    <w:rsid w:val="008062F2"/>
    <w:rsid w:val="00806F66"/>
    <w:rsid w:val="0080732F"/>
    <w:rsid w:val="00807B6E"/>
    <w:rsid w:val="00807C42"/>
    <w:rsid w:val="00807D72"/>
    <w:rsid w:val="0081131D"/>
    <w:rsid w:val="008113CF"/>
    <w:rsid w:val="00811440"/>
    <w:rsid w:val="008116EE"/>
    <w:rsid w:val="008116EF"/>
    <w:rsid w:val="008122AA"/>
    <w:rsid w:val="00813624"/>
    <w:rsid w:val="00813A29"/>
    <w:rsid w:val="00813BB3"/>
    <w:rsid w:val="00813C2F"/>
    <w:rsid w:val="00813DD2"/>
    <w:rsid w:val="0081403F"/>
    <w:rsid w:val="00814220"/>
    <w:rsid w:val="008143B5"/>
    <w:rsid w:val="0081469D"/>
    <w:rsid w:val="008147CE"/>
    <w:rsid w:val="00814C40"/>
    <w:rsid w:val="00814E9D"/>
    <w:rsid w:val="008160C2"/>
    <w:rsid w:val="00816931"/>
    <w:rsid w:val="00817183"/>
    <w:rsid w:val="00817193"/>
    <w:rsid w:val="008172D1"/>
    <w:rsid w:val="00817663"/>
    <w:rsid w:val="00817A38"/>
    <w:rsid w:val="00817E89"/>
    <w:rsid w:val="0082062F"/>
    <w:rsid w:val="0082122A"/>
    <w:rsid w:val="008213AB"/>
    <w:rsid w:val="00821BA6"/>
    <w:rsid w:val="00821DDC"/>
    <w:rsid w:val="00822202"/>
    <w:rsid w:val="00822203"/>
    <w:rsid w:val="008228E8"/>
    <w:rsid w:val="00822BBA"/>
    <w:rsid w:val="008230C1"/>
    <w:rsid w:val="00823705"/>
    <w:rsid w:val="008237F3"/>
    <w:rsid w:val="00824424"/>
    <w:rsid w:val="00824430"/>
    <w:rsid w:val="008244CC"/>
    <w:rsid w:val="00824659"/>
    <w:rsid w:val="0082481A"/>
    <w:rsid w:val="00825781"/>
    <w:rsid w:val="00825FCA"/>
    <w:rsid w:val="00827A0C"/>
    <w:rsid w:val="00827A6E"/>
    <w:rsid w:val="00827F9A"/>
    <w:rsid w:val="00831592"/>
    <w:rsid w:val="00831636"/>
    <w:rsid w:val="008317CB"/>
    <w:rsid w:val="00831978"/>
    <w:rsid w:val="00831AD6"/>
    <w:rsid w:val="00831B51"/>
    <w:rsid w:val="008324D7"/>
    <w:rsid w:val="00832EC0"/>
    <w:rsid w:val="008339A1"/>
    <w:rsid w:val="00833BAD"/>
    <w:rsid w:val="0083402C"/>
    <w:rsid w:val="0083479D"/>
    <w:rsid w:val="008348F9"/>
    <w:rsid w:val="00835200"/>
    <w:rsid w:val="0083588D"/>
    <w:rsid w:val="00835E4A"/>
    <w:rsid w:val="0083621D"/>
    <w:rsid w:val="00836301"/>
    <w:rsid w:val="0083630B"/>
    <w:rsid w:val="008364B0"/>
    <w:rsid w:val="00836684"/>
    <w:rsid w:val="0083740B"/>
    <w:rsid w:val="008377D5"/>
    <w:rsid w:val="008377FD"/>
    <w:rsid w:val="008400EB"/>
    <w:rsid w:val="008401D8"/>
    <w:rsid w:val="00840765"/>
    <w:rsid w:val="0084098D"/>
    <w:rsid w:val="00840CC1"/>
    <w:rsid w:val="008411E3"/>
    <w:rsid w:val="00841493"/>
    <w:rsid w:val="0084197A"/>
    <w:rsid w:val="0084296A"/>
    <w:rsid w:val="008433B1"/>
    <w:rsid w:val="0084343C"/>
    <w:rsid w:val="00843445"/>
    <w:rsid w:val="008439D9"/>
    <w:rsid w:val="0084480F"/>
    <w:rsid w:val="00844880"/>
    <w:rsid w:val="00844918"/>
    <w:rsid w:val="00844A3A"/>
    <w:rsid w:val="008452B3"/>
    <w:rsid w:val="0084565E"/>
    <w:rsid w:val="00845921"/>
    <w:rsid w:val="00845AAE"/>
    <w:rsid w:val="00845C47"/>
    <w:rsid w:val="00845D30"/>
    <w:rsid w:val="008469FC"/>
    <w:rsid w:val="00846BD4"/>
    <w:rsid w:val="00846E24"/>
    <w:rsid w:val="00847D72"/>
    <w:rsid w:val="00847FA6"/>
    <w:rsid w:val="0084A4FC"/>
    <w:rsid w:val="008503B2"/>
    <w:rsid w:val="008503D6"/>
    <w:rsid w:val="008505D1"/>
    <w:rsid w:val="00850DCD"/>
    <w:rsid w:val="008511BE"/>
    <w:rsid w:val="0085228E"/>
    <w:rsid w:val="008527F4"/>
    <w:rsid w:val="0085327B"/>
    <w:rsid w:val="008532DB"/>
    <w:rsid w:val="0085354C"/>
    <w:rsid w:val="008538D7"/>
    <w:rsid w:val="00853986"/>
    <w:rsid w:val="00853E32"/>
    <w:rsid w:val="00853E77"/>
    <w:rsid w:val="008542BB"/>
    <w:rsid w:val="008546C5"/>
    <w:rsid w:val="00854D11"/>
    <w:rsid w:val="00855C8E"/>
    <w:rsid w:val="00855CC8"/>
    <w:rsid w:val="00855DA6"/>
    <w:rsid w:val="00855FB4"/>
    <w:rsid w:val="008561EE"/>
    <w:rsid w:val="00856887"/>
    <w:rsid w:val="00856BF5"/>
    <w:rsid w:val="00856D62"/>
    <w:rsid w:val="00856E0A"/>
    <w:rsid w:val="00857DEF"/>
    <w:rsid w:val="0086023C"/>
    <w:rsid w:val="0086074C"/>
    <w:rsid w:val="00860BB1"/>
    <w:rsid w:val="00860ECC"/>
    <w:rsid w:val="008613C5"/>
    <w:rsid w:val="00861C4D"/>
    <w:rsid w:val="0086290D"/>
    <w:rsid w:val="00862D86"/>
    <w:rsid w:val="00862F4B"/>
    <w:rsid w:val="00862F5E"/>
    <w:rsid w:val="00864155"/>
    <w:rsid w:val="00864290"/>
    <w:rsid w:val="00864939"/>
    <w:rsid w:val="00864C2F"/>
    <w:rsid w:val="00865611"/>
    <w:rsid w:val="00865805"/>
    <w:rsid w:val="008659AD"/>
    <w:rsid w:val="00865DDD"/>
    <w:rsid w:val="00866316"/>
    <w:rsid w:val="00866520"/>
    <w:rsid w:val="00866CB9"/>
    <w:rsid w:val="0086750D"/>
    <w:rsid w:val="00867D54"/>
    <w:rsid w:val="008702EA"/>
    <w:rsid w:val="008717D9"/>
    <w:rsid w:val="00871BCB"/>
    <w:rsid w:val="00871BEB"/>
    <w:rsid w:val="00872069"/>
    <w:rsid w:val="00872134"/>
    <w:rsid w:val="00872A5F"/>
    <w:rsid w:val="00873164"/>
    <w:rsid w:val="00873311"/>
    <w:rsid w:val="00873460"/>
    <w:rsid w:val="008734F1"/>
    <w:rsid w:val="00873865"/>
    <w:rsid w:val="0087499C"/>
    <w:rsid w:val="00874B33"/>
    <w:rsid w:val="00874FFC"/>
    <w:rsid w:val="00875BFA"/>
    <w:rsid w:val="00875FAB"/>
    <w:rsid w:val="00876149"/>
    <w:rsid w:val="00876667"/>
    <w:rsid w:val="00877125"/>
    <w:rsid w:val="00877A4D"/>
    <w:rsid w:val="00880EC0"/>
    <w:rsid w:val="008812F7"/>
    <w:rsid w:val="0088139D"/>
    <w:rsid w:val="00881898"/>
    <w:rsid w:val="008818FB"/>
    <w:rsid w:val="00881F5D"/>
    <w:rsid w:val="00882612"/>
    <w:rsid w:val="00882A70"/>
    <w:rsid w:val="00882B58"/>
    <w:rsid w:val="00883D04"/>
    <w:rsid w:val="00883F77"/>
    <w:rsid w:val="008840C8"/>
    <w:rsid w:val="00884488"/>
    <w:rsid w:val="00884E91"/>
    <w:rsid w:val="0088558E"/>
    <w:rsid w:val="008855AF"/>
    <w:rsid w:val="008856E0"/>
    <w:rsid w:val="00886638"/>
    <w:rsid w:val="00886DB2"/>
    <w:rsid w:val="0088700F"/>
    <w:rsid w:val="00887356"/>
    <w:rsid w:val="00887609"/>
    <w:rsid w:val="00887792"/>
    <w:rsid w:val="00887AB7"/>
    <w:rsid w:val="00887C10"/>
    <w:rsid w:val="00887E57"/>
    <w:rsid w:val="0089004C"/>
    <w:rsid w:val="008901E7"/>
    <w:rsid w:val="0089027E"/>
    <w:rsid w:val="00890B66"/>
    <w:rsid w:val="00890BDD"/>
    <w:rsid w:val="00891970"/>
    <w:rsid w:val="00891B48"/>
    <w:rsid w:val="00891DDB"/>
    <w:rsid w:val="00891E8B"/>
    <w:rsid w:val="00892626"/>
    <w:rsid w:val="00892BA2"/>
    <w:rsid w:val="0089343F"/>
    <w:rsid w:val="00893672"/>
    <w:rsid w:val="0089381D"/>
    <w:rsid w:val="00893AC8"/>
    <w:rsid w:val="00895152"/>
    <w:rsid w:val="0089540E"/>
    <w:rsid w:val="00895851"/>
    <w:rsid w:val="00895952"/>
    <w:rsid w:val="0089632D"/>
    <w:rsid w:val="00896799"/>
    <w:rsid w:val="00896AAF"/>
    <w:rsid w:val="00896BD6"/>
    <w:rsid w:val="00896E6E"/>
    <w:rsid w:val="00897981"/>
    <w:rsid w:val="00897BBD"/>
    <w:rsid w:val="008A0137"/>
    <w:rsid w:val="008A0BC2"/>
    <w:rsid w:val="008A0F6C"/>
    <w:rsid w:val="008A152E"/>
    <w:rsid w:val="008A153D"/>
    <w:rsid w:val="008A27D3"/>
    <w:rsid w:val="008A27F2"/>
    <w:rsid w:val="008A2ED6"/>
    <w:rsid w:val="008A31FA"/>
    <w:rsid w:val="008A35C8"/>
    <w:rsid w:val="008A37BA"/>
    <w:rsid w:val="008A439D"/>
    <w:rsid w:val="008A462D"/>
    <w:rsid w:val="008A4DAF"/>
    <w:rsid w:val="008A4E77"/>
    <w:rsid w:val="008A53FD"/>
    <w:rsid w:val="008A5B46"/>
    <w:rsid w:val="008A6354"/>
    <w:rsid w:val="008A66B1"/>
    <w:rsid w:val="008A6B2D"/>
    <w:rsid w:val="008A6BD0"/>
    <w:rsid w:val="008A7147"/>
    <w:rsid w:val="008A78B8"/>
    <w:rsid w:val="008B0325"/>
    <w:rsid w:val="008B099B"/>
    <w:rsid w:val="008B0B3E"/>
    <w:rsid w:val="008B0BA8"/>
    <w:rsid w:val="008B14AA"/>
    <w:rsid w:val="008B22FA"/>
    <w:rsid w:val="008B265F"/>
    <w:rsid w:val="008B2750"/>
    <w:rsid w:val="008B32BA"/>
    <w:rsid w:val="008B3478"/>
    <w:rsid w:val="008B37F1"/>
    <w:rsid w:val="008B3BA5"/>
    <w:rsid w:val="008B47DD"/>
    <w:rsid w:val="008B4CE2"/>
    <w:rsid w:val="008B542C"/>
    <w:rsid w:val="008B54CB"/>
    <w:rsid w:val="008B59D5"/>
    <w:rsid w:val="008B62B2"/>
    <w:rsid w:val="008B63B8"/>
    <w:rsid w:val="008B720F"/>
    <w:rsid w:val="008B7323"/>
    <w:rsid w:val="008C0743"/>
    <w:rsid w:val="008C0A72"/>
    <w:rsid w:val="008C119D"/>
    <w:rsid w:val="008C12BF"/>
    <w:rsid w:val="008C140E"/>
    <w:rsid w:val="008C1ACF"/>
    <w:rsid w:val="008C1AEB"/>
    <w:rsid w:val="008C1AED"/>
    <w:rsid w:val="008C1B03"/>
    <w:rsid w:val="008C1B76"/>
    <w:rsid w:val="008C2C73"/>
    <w:rsid w:val="008C2CB8"/>
    <w:rsid w:val="008C37FB"/>
    <w:rsid w:val="008C3A39"/>
    <w:rsid w:val="008C4DD1"/>
    <w:rsid w:val="008C57EE"/>
    <w:rsid w:val="008C59B3"/>
    <w:rsid w:val="008C5B18"/>
    <w:rsid w:val="008C65B7"/>
    <w:rsid w:val="008C673E"/>
    <w:rsid w:val="008C6B9B"/>
    <w:rsid w:val="008C6C44"/>
    <w:rsid w:val="008C76C1"/>
    <w:rsid w:val="008C7F28"/>
    <w:rsid w:val="008D0667"/>
    <w:rsid w:val="008D067C"/>
    <w:rsid w:val="008D0CB1"/>
    <w:rsid w:val="008D1B18"/>
    <w:rsid w:val="008D1B43"/>
    <w:rsid w:val="008D248D"/>
    <w:rsid w:val="008D2954"/>
    <w:rsid w:val="008D2CF4"/>
    <w:rsid w:val="008D318E"/>
    <w:rsid w:val="008D31EC"/>
    <w:rsid w:val="008D43DF"/>
    <w:rsid w:val="008D6022"/>
    <w:rsid w:val="008D6DE1"/>
    <w:rsid w:val="008D6F37"/>
    <w:rsid w:val="008D7030"/>
    <w:rsid w:val="008D727D"/>
    <w:rsid w:val="008D79EC"/>
    <w:rsid w:val="008D7ABA"/>
    <w:rsid w:val="008D7BAB"/>
    <w:rsid w:val="008DD731"/>
    <w:rsid w:val="008E097C"/>
    <w:rsid w:val="008E0DE8"/>
    <w:rsid w:val="008E1C63"/>
    <w:rsid w:val="008E206D"/>
    <w:rsid w:val="008E27E8"/>
    <w:rsid w:val="008E27EC"/>
    <w:rsid w:val="008E29BF"/>
    <w:rsid w:val="008E350D"/>
    <w:rsid w:val="008E44B0"/>
    <w:rsid w:val="008E46CB"/>
    <w:rsid w:val="008E5455"/>
    <w:rsid w:val="008E6E7A"/>
    <w:rsid w:val="008E7381"/>
    <w:rsid w:val="008E7610"/>
    <w:rsid w:val="008F0FC6"/>
    <w:rsid w:val="008F1129"/>
    <w:rsid w:val="008F155E"/>
    <w:rsid w:val="008F1576"/>
    <w:rsid w:val="008F1C0C"/>
    <w:rsid w:val="008F1F8F"/>
    <w:rsid w:val="008F2B56"/>
    <w:rsid w:val="008F2D46"/>
    <w:rsid w:val="008F2F1A"/>
    <w:rsid w:val="008F333D"/>
    <w:rsid w:val="008F36E3"/>
    <w:rsid w:val="008F38F7"/>
    <w:rsid w:val="008F3FCA"/>
    <w:rsid w:val="008F4106"/>
    <w:rsid w:val="008F428F"/>
    <w:rsid w:val="008F43B5"/>
    <w:rsid w:val="008F4D8C"/>
    <w:rsid w:val="008F5200"/>
    <w:rsid w:val="008F5E34"/>
    <w:rsid w:val="008F70DE"/>
    <w:rsid w:val="008F750B"/>
    <w:rsid w:val="008F765D"/>
    <w:rsid w:val="008F7700"/>
    <w:rsid w:val="008F7C55"/>
    <w:rsid w:val="008F7D60"/>
    <w:rsid w:val="009002C4"/>
    <w:rsid w:val="0090053A"/>
    <w:rsid w:val="00901079"/>
    <w:rsid w:val="0090118C"/>
    <w:rsid w:val="009011B1"/>
    <w:rsid w:val="0090163D"/>
    <w:rsid w:val="00901935"/>
    <w:rsid w:val="009029E7"/>
    <w:rsid w:val="00902DFE"/>
    <w:rsid w:val="00904219"/>
    <w:rsid w:val="009042C0"/>
    <w:rsid w:val="009046EA"/>
    <w:rsid w:val="009057CE"/>
    <w:rsid w:val="00905A03"/>
    <w:rsid w:val="00905B05"/>
    <w:rsid w:val="00905B7B"/>
    <w:rsid w:val="00905E84"/>
    <w:rsid w:val="00906034"/>
    <w:rsid w:val="0090682F"/>
    <w:rsid w:val="00906BA6"/>
    <w:rsid w:val="00906F36"/>
    <w:rsid w:val="009074C7"/>
    <w:rsid w:val="00907C59"/>
    <w:rsid w:val="00907CF1"/>
    <w:rsid w:val="00907D06"/>
    <w:rsid w:val="00907FCD"/>
    <w:rsid w:val="00910481"/>
    <w:rsid w:val="00910AE9"/>
    <w:rsid w:val="009110DE"/>
    <w:rsid w:val="00911C69"/>
    <w:rsid w:val="0091289E"/>
    <w:rsid w:val="00913A19"/>
    <w:rsid w:val="00913CA7"/>
    <w:rsid w:val="00913FF1"/>
    <w:rsid w:val="00915F33"/>
    <w:rsid w:val="009160A5"/>
    <w:rsid w:val="0091615D"/>
    <w:rsid w:val="00916DD0"/>
    <w:rsid w:val="0091780C"/>
    <w:rsid w:val="009178C5"/>
    <w:rsid w:val="00917E8C"/>
    <w:rsid w:val="009204BF"/>
    <w:rsid w:val="00920A23"/>
    <w:rsid w:val="00920DC6"/>
    <w:rsid w:val="00920E1F"/>
    <w:rsid w:val="00920E72"/>
    <w:rsid w:val="00921C51"/>
    <w:rsid w:val="00921F5B"/>
    <w:rsid w:val="00921F68"/>
    <w:rsid w:val="00921F6F"/>
    <w:rsid w:val="009237A4"/>
    <w:rsid w:val="00923C30"/>
    <w:rsid w:val="00923EAE"/>
    <w:rsid w:val="00923EB7"/>
    <w:rsid w:val="00923F20"/>
    <w:rsid w:val="00924ECC"/>
    <w:rsid w:val="00924F34"/>
    <w:rsid w:val="00925201"/>
    <w:rsid w:val="00925CDF"/>
    <w:rsid w:val="00926787"/>
    <w:rsid w:val="0092714E"/>
    <w:rsid w:val="009275D4"/>
    <w:rsid w:val="00927602"/>
    <w:rsid w:val="00927752"/>
    <w:rsid w:val="00927D7D"/>
    <w:rsid w:val="00927E4E"/>
    <w:rsid w:val="00927EFA"/>
    <w:rsid w:val="009308AC"/>
    <w:rsid w:val="00931585"/>
    <w:rsid w:val="0093181C"/>
    <w:rsid w:val="00931BB5"/>
    <w:rsid w:val="00931C51"/>
    <w:rsid w:val="00932087"/>
    <w:rsid w:val="00932AD4"/>
    <w:rsid w:val="00932C1D"/>
    <w:rsid w:val="00932DDB"/>
    <w:rsid w:val="00933106"/>
    <w:rsid w:val="00934455"/>
    <w:rsid w:val="00934902"/>
    <w:rsid w:val="00935ECC"/>
    <w:rsid w:val="00936552"/>
    <w:rsid w:val="00936B2F"/>
    <w:rsid w:val="00937215"/>
    <w:rsid w:val="0093721A"/>
    <w:rsid w:val="00937495"/>
    <w:rsid w:val="00937A1D"/>
    <w:rsid w:val="00937A99"/>
    <w:rsid w:val="00937CCB"/>
    <w:rsid w:val="00937DF0"/>
    <w:rsid w:val="009402C0"/>
    <w:rsid w:val="009402EA"/>
    <w:rsid w:val="009402FC"/>
    <w:rsid w:val="00940DE6"/>
    <w:rsid w:val="009416D9"/>
    <w:rsid w:val="00942655"/>
    <w:rsid w:val="00942A6A"/>
    <w:rsid w:val="00942D6A"/>
    <w:rsid w:val="00943289"/>
    <w:rsid w:val="009433B4"/>
    <w:rsid w:val="009433D9"/>
    <w:rsid w:val="009437D8"/>
    <w:rsid w:val="00943A55"/>
    <w:rsid w:val="00943D5A"/>
    <w:rsid w:val="00943D7C"/>
    <w:rsid w:val="009447E2"/>
    <w:rsid w:val="00944F70"/>
    <w:rsid w:val="00945264"/>
    <w:rsid w:val="0094534B"/>
    <w:rsid w:val="0094576D"/>
    <w:rsid w:val="009459AC"/>
    <w:rsid w:val="00945A15"/>
    <w:rsid w:val="00945ADB"/>
    <w:rsid w:val="00946664"/>
    <w:rsid w:val="00946745"/>
    <w:rsid w:val="00946897"/>
    <w:rsid w:val="00947C4B"/>
    <w:rsid w:val="00947DA7"/>
    <w:rsid w:val="00947E70"/>
    <w:rsid w:val="00950725"/>
    <w:rsid w:val="009507A9"/>
    <w:rsid w:val="00950FD0"/>
    <w:rsid w:val="00951882"/>
    <w:rsid w:val="009518AB"/>
    <w:rsid w:val="00951A3C"/>
    <w:rsid w:val="00951A98"/>
    <w:rsid w:val="00952039"/>
    <w:rsid w:val="00952095"/>
    <w:rsid w:val="0095239E"/>
    <w:rsid w:val="00952768"/>
    <w:rsid w:val="00952793"/>
    <w:rsid w:val="009530B1"/>
    <w:rsid w:val="00953A0B"/>
    <w:rsid w:val="00953D55"/>
    <w:rsid w:val="009545FC"/>
    <w:rsid w:val="0095461A"/>
    <w:rsid w:val="009555E2"/>
    <w:rsid w:val="00955723"/>
    <w:rsid w:val="00955797"/>
    <w:rsid w:val="00955A35"/>
    <w:rsid w:val="0095632B"/>
    <w:rsid w:val="00956F1E"/>
    <w:rsid w:val="009570CA"/>
    <w:rsid w:val="00957C46"/>
    <w:rsid w:val="00960FAE"/>
    <w:rsid w:val="009613AE"/>
    <w:rsid w:val="009613FD"/>
    <w:rsid w:val="009614DE"/>
    <w:rsid w:val="00962B29"/>
    <w:rsid w:val="009638BB"/>
    <w:rsid w:val="00963BC3"/>
    <w:rsid w:val="00964570"/>
    <w:rsid w:val="00964989"/>
    <w:rsid w:val="009649D2"/>
    <w:rsid w:val="00964BD5"/>
    <w:rsid w:val="00965098"/>
    <w:rsid w:val="009650B2"/>
    <w:rsid w:val="009652A9"/>
    <w:rsid w:val="00965672"/>
    <w:rsid w:val="00965732"/>
    <w:rsid w:val="00965A43"/>
    <w:rsid w:val="00965E5D"/>
    <w:rsid w:val="009662F3"/>
    <w:rsid w:val="009664B8"/>
    <w:rsid w:val="0096678A"/>
    <w:rsid w:val="0096751D"/>
    <w:rsid w:val="0096765E"/>
    <w:rsid w:val="00967A52"/>
    <w:rsid w:val="0097036F"/>
    <w:rsid w:val="0097052A"/>
    <w:rsid w:val="009705A4"/>
    <w:rsid w:val="00970AC2"/>
    <w:rsid w:val="00970EB6"/>
    <w:rsid w:val="009710D2"/>
    <w:rsid w:val="00971241"/>
    <w:rsid w:val="00971A71"/>
    <w:rsid w:val="00972256"/>
    <w:rsid w:val="0097282B"/>
    <w:rsid w:val="00972A00"/>
    <w:rsid w:val="0097327F"/>
    <w:rsid w:val="0097393F"/>
    <w:rsid w:val="00973E6C"/>
    <w:rsid w:val="009740A9"/>
    <w:rsid w:val="0097444D"/>
    <w:rsid w:val="009748F4"/>
    <w:rsid w:val="009749E5"/>
    <w:rsid w:val="00974A09"/>
    <w:rsid w:val="00975953"/>
    <w:rsid w:val="00975D4C"/>
    <w:rsid w:val="00975FC6"/>
    <w:rsid w:val="009768BB"/>
    <w:rsid w:val="00976D4F"/>
    <w:rsid w:val="00976D63"/>
    <w:rsid w:val="009773A1"/>
    <w:rsid w:val="009775C4"/>
    <w:rsid w:val="00980451"/>
    <w:rsid w:val="00981B54"/>
    <w:rsid w:val="00981C2F"/>
    <w:rsid w:val="00981F1E"/>
    <w:rsid w:val="009827CA"/>
    <w:rsid w:val="00983723"/>
    <w:rsid w:val="00983CC5"/>
    <w:rsid w:val="00983F07"/>
    <w:rsid w:val="00984225"/>
    <w:rsid w:val="00984429"/>
    <w:rsid w:val="0098467F"/>
    <w:rsid w:val="009846FA"/>
    <w:rsid w:val="00984C16"/>
    <w:rsid w:val="00984E96"/>
    <w:rsid w:val="00985B83"/>
    <w:rsid w:val="009866B1"/>
    <w:rsid w:val="0098676A"/>
    <w:rsid w:val="009870C7"/>
    <w:rsid w:val="009878AE"/>
    <w:rsid w:val="009878F9"/>
    <w:rsid w:val="0098795C"/>
    <w:rsid w:val="00987EE8"/>
    <w:rsid w:val="00990F8B"/>
    <w:rsid w:val="00991181"/>
    <w:rsid w:val="009913CF"/>
    <w:rsid w:val="00991A22"/>
    <w:rsid w:val="00991A80"/>
    <w:rsid w:val="00992417"/>
    <w:rsid w:val="0099285D"/>
    <w:rsid w:val="0099313B"/>
    <w:rsid w:val="00993355"/>
    <w:rsid w:val="009945FB"/>
    <w:rsid w:val="00995152"/>
    <w:rsid w:val="00995374"/>
    <w:rsid w:val="009954A4"/>
    <w:rsid w:val="009960BA"/>
    <w:rsid w:val="009960EB"/>
    <w:rsid w:val="0099705E"/>
    <w:rsid w:val="009970D3"/>
    <w:rsid w:val="0099756E"/>
    <w:rsid w:val="009978E0"/>
    <w:rsid w:val="00997CD4"/>
    <w:rsid w:val="009A027D"/>
    <w:rsid w:val="009A06A0"/>
    <w:rsid w:val="009A0BCB"/>
    <w:rsid w:val="009A1DAE"/>
    <w:rsid w:val="009A1F6E"/>
    <w:rsid w:val="009A2583"/>
    <w:rsid w:val="009A2B06"/>
    <w:rsid w:val="009A2B7D"/>
    <w:rsid w:val="009A2F5E"/>
    <w:rsid w:val="009A2FCD"/>
    <w:rsid w:val="009A340A"/>
    <w:rsid w:val="009A344E"/>
    <w:rsid w:val="009A3D31"/>
    <w:rsid w:val="009A3D3F"/>
    <w:rsid w:val="009A408A"/>
    <w:rsid w:val="009A40DE"/>
    <w:rsid w:val="009A435B"/>
    <w:rsid w:val="009A4699"/>
    <w:rsid w:val="009A4D67"/>
    <w:rsid w:val="009A5340"/>
    <w:rsid w:val="009A571E"/>
    <w:rsid w:val="009A57FA"/>
    <w:rsid w:val="009A591D"/>
    <w:rsid w:val="009A5B71"/>
    <w:rsid w:val="009A5C95"/>
    <w:rsid w:val="009A6452"/>
    <w:rsid w:val="009A7023"/>
    <w:rsid w:val="009A70F2"/>
    <w:rsid w:val="009A724F"/>
    <w:rsid w:val="009A7B80"/>
    <w:rsid w:val="009A7BE1"/>
    <w:rsid w:val="009B0359"/>
    <w:rsid w:val="009B0F31"/>
    <w:rsid w:val="009B1319"/>
    <w:rsid w:val="009B158F"/>
    <w:rsid w:val="009B1592"/>
    <w:rsid w:val="009B1A0F"/>
    <w:rsid w:val="009B20F8"/>
    <w:rsid w:val="009B24D9"/>
    <w:rsid w:val="009B2F2F"/>
    <w:rsid w:val="009B4351"/>
    <w:rsid w:val="009B4EAF"/>
    <w:rsid w:val="009B5129"/>
    <w:rsid w:val="009B539B"/>
    <w:rsid w:val="009B544E"/>
    <w:rsid w:val="009B54D2"/>
    <w:rsid w:val="009B5B4B"/>
    <w:rsid w:val="009B606D"/>
    <w:rsid w:val="009B61C4"/>
    <w:rsid w:val="009B639B"/>
    <w:rsid w:val="009B6833"/>
    <w:rsid w:val="009B6953"/>
    <w:rsid w:val="009B6C27"/>
    <w:rsid w:val="009B7B92"/>
    <w:rsid w:val="009C083F"/>
    <w:rsid w:val="009C0A37"/>
    <w:rsid w:val="009C13E3"/>
    <w:rsid w:val="009C1C93"/>
    <w:rsid w:val="009C22F5"/>
    <w:rsid w:val="009C2386"/>
    <w:rsid w:val="009C257A"/>
    <w:rsid w:val="009C2646"/>
    <w:rsid w:val="009C2665"/>
    <w:rsid w:val="009C3B8C"/>
    <w:rsid w:val="009C4BC8"/>
    <w:rsid w:val="009C5008"/>
    <w:rsid w:val="009C5442"/>
    <w:rsid w:val="009C5831"/>
    <w:rsid w:val="009C5E8D"/>
    <w:rsid w:val="009C6E1F"/>
    <w:rsid w:val="009C719C"/>
    <w:rsid w:val="009C7C17"/>
    <w:rsid w:val="009D0134"/>
    <w:rsid w:val="009D0529"/>
    <w:rsid w:val="009D0711"/>
    <w:rsid w:val="009D0A7D"/>
    <w:rsid w:val="009D1620"/>
    <w:rsid w:val="009D1F3C"/>
    <w:rsid w:val="009D1FE0"/>
    <w:rsid w:val="009D22D4"/>
    <w:rsid w:val="009D2303"/>
    <w:rsid w:val="009D2370"/>
    <w:rsid w:val="009D25C5"/>
    <w:rsid w:val="009D2D29"/>
    <w:rsid w:val="009D2D59"/>
    <w:rsid w:val="009D44FB"/>
    <w:rsid w:val="009D5456"/>
    <w:rsid w:val="009D5EC5"/>
    <w:rsid w:val="009D67CA"/>
    <w:rsid w:val="009D6820"/>
    <w:rsid w:val="009D7533"/>
    <w:rsid w:val="009D77A3"/>
    <w:rsid w:val="009D7884"/>
    <w:rsid w:val="009E0CB2"/>
    <w:rsid w:val="009E170E"/>
    <w:rsid w:val="009E1887"/>
    <w:rsid w:val="009E1A71"/>
    <w:rsid w:val="009E1DF2"/>
    <w:rsid w:val="009E21F2"/>
    <w:rsid w:val="009E2652"/>
    <w:rsid w:val="009E2EA9"/>
    <w:rsid w:val="009E3F92"/>
    <w:rsid w:val="009E42FB"/>
    <w:rsid w:val="009E4E7A"/>
    <w:rsid w:val="009E4EE3"/>
    <w:rsid w:val="009E515B"/>
    <w:rsid w:val="009E5410"/>
    <w:rsid w:val="009E5938"/>
    <w:rsid w:val="009E5DB3"/>
    <w:rsid w:val="009E5FAC"/>
    <w:rsid w:val="009E61F4"/>
    <w:rsid w:val="009E629B"/>
    <w:rsid w:val="009E6F89"/>
    <w:rsid w:val="009E7064"/>
    <w:rsid w:val="009F0220"/>
    <w:rsid w:val="009F0256"/>
    <w:rsid w:val="009F04DF"/>
    <w:rsid w:val="009F09F2"/>
    <w:rsid w:val="009F13B0"/>
    <w:rsid w:val="009F18C8"/>
    <w:rsid w:val="009F2039"/>
    <w:rsid w:val="009F22AE"/>
    <w:rsid w:val="009F2BA2"/>
    <w:rsid w:val="009F3E22"/>
    <w:rsid w:val="009F432C"/>
    <w:rsid w:val="009F494E"/>
    <w:rsid w:val="009F4C56"/>
    <w:rsid w:val="009F51AF"/>
    <w:rsid w:val="009F54D2"/>
    <w:rsid w:val="009F5DD3"/>
    <w:rsid w:val="009F5E84"/>
    <w:rsid w:val="009F6259"/>
    <w:rsid w:val="009F64D4"/>
    <w:rsid w:val="009F678D"/>
    <w:rsid w:val="009F6EA8"/>
    <w:rsid w:val="009F71EE"/>
    <w:rsid w:val="009F71FD"/>
    <w:rsid w:val="009F78EC"/>
    <w:rsid w:val="009F7B61"/>
    <w:rsid w:val="009F7B77"/>
    <w:rsid w:val="009F7B79"/>
    <w:rsid w:val="009FC4DA"/>
    <w:rsid w:val="00A003BC"/>
    <w:rsid w:val="00A00E4D"/>
    <w:rsid w:val="00A00E5A"/>
    <w:rsid w:val="00A016AC"/>
    <w:rsid w:val="00A01B18"/>
    <w:rsid w:val="00A02558"/>
    <w:rsid w:val="00A02A2E"/>
    <w:rsid w:val="00A02FAE"/>
    <w:rsid w:val="00A031F2"/>
    <w:rsid w:val="00A034C0"/>
    <w:rsid w:val="00A03928"/>
    <w:rsid w:val="00A03C81"/>
    <w:rsid w:val="00A04720"/>
    <w:rsid w:val="00A04FF0"/>
    <w:rsid w:val="00A05186"/>
    <w:rsid w:val="00A05656"/>
    <w:rsid w:val="00A05AF5"/>
    <w:rsid w:val="00A05D92"/>
    <w:rsid w:val="00A05DB2"/>
    <w:rsid w:val="00A05DF2"/>
    <w:rsid w:val="00A060B4"/>
    <w:rsid w:val="00A0685A"/>
    <w:rsid w:val="00A07808"/>
    <w:rsid w:val="00A0786A"/>
    <w:rsid w:val="00A07FD5"/>
    <w:rsid w:val="00A101D3"/>
    <w:rsid w:val="00A1025A"/>
    <w:rsid w:val="00A102B6"/>
    <w:rsid w:val="00A10A22"/>
    <w:rsid w:val="00A10ED3"/>
    <w:rsid w:val="00A10EE1"/>
    <w:rsid w:val="00A11457"/>
    <w:rsid w:val="00A116EA"/>
    <w:rsid w:val="00A11DEA"/>
    <w:rsid w:val="00A1217D"/>
    <w:rsid w:val="00A1246E"/>
    <w:rsid w:val="00A13191"/>
    <w:rsid w:val="00A13234"/>
    <w:rsid w:val="00A1385C"/>
    <w:rsid w:val="00A13886"/>
    <w:rsid w:val="00A13969"/>
    <w:rsid w:val="00A13B22"/>
    <w:rsid w:val="00A13C70"/>
    <w:rsid w:val="00A14224"/>
    <w:rsid w:val="00A1425B"/>
    <w:rsid w:val="00A1460E"/>
    <w:rsid w:val="00A15117"/>
    <w:rsid w:val="00A15465"/>
    <w:rsid w:val="00A155F6"/>
    <w:rsid w:val="00A15600"/>
    <w:rsid w:val="00A15986"/>
    <w:rsid w:val="00A16A90"/>
    <w:rsid w:val="00A170C7"/>
    <w:rsid w:val="00A204A9"/>
    <w:rsid w:val="00A2079A"/>
    <w:rsid w:val="00A20A5F"/>
    <w:rsid w:val="00A2103A"/>
    <w:rsid w:val="00A219A9"/>
    <w:rsid w:val="00A21A44"/>
    <w:rsid w:val="00A21E57"/>
    <w:rsid w:val="00A230DE"/>
    <w:rsid w:val="00A23541"/>
    <w:rsid w:val="00A2369E"/>
    <w:rsid w:val="00A244C8"/>
    <w:rsid w:val="00A24752"/>
    <w:rsid w:val="00A24A60"/>
    <w:rsid w:val="00A24C9B"/>
    <w:rsid w:val="00A24DE9"/>
    <w:rsid w:val="00A25509"/>
    <w:rsid w:val="00A259A0"/>
    <w:rsid w:val="00A267C9"/>
    <w:rsid w:val="00A26FE4"/>
    <w:rsid w:val="00A273D4"/>
    <w:rsid w:val="00A27755"/>
    <w:rsid w:val="00A27ACB"/>
    <w:rsid w:val="00A31089"/>
    <w:rsid w:val="00A31B8B"/>
    <w:rsid w:val="00A31CB7"/>
    <w:rsid w:val="00A31E68"/>
    <w:rsid w:val="00A32895"/>
    <w:rsid w:val="00A3314F"/>
    <w:rsid w:val="00A3362E"/>
    <w:rsid w:val="00A339D9"/>
    <w:rsid w:val="00A33AD8"/>
    <w:rsid w:val="00A33B2D"/>
    <w:rsid w:val="00A33C46"/>
    <w:rsid w:val="00A33EFD"/>
    <w:rsid w:val="00A341E4"/>
    <w:rsid w:val="00A351EE"/>
    <w:rsid w:val="00A35366"/>
    <w:rsid w:val="00A36439"/>
    <w:rsid w:val="00A37536"/>
    <w:rsid w:val="00A37726"/>
    <w:rsid w:val="00A37916"/>
    <w:rsid w:val="00A37A6B"/>
    <w:rsid w:val="00A407D6"/>
    <w:rsid w:val="00A40C94"/>
    <w:rsid w:val="00A40E5B"/>
    <w:rsid w:val="00A41389"/>
    <w:rsid w:val="00A413DE"/>
    <w:rsid w:val="00A41633"/>
    <w:rsid w:val="00A41A5D"/>
    <w:rsid w:val="00A41AAA"/>
    <w:rsid w:val="00A4202D"/>
    <w:rsid w:val="00A4233A"/>
    <w:rsid w:val="00A42B96"/>
    <w:rsid w:val="00A42F81"/>
    <w:rsid w:val="00A4320D"/>
    <w:rsid w:val="00A43696"/>
    <w:rsid w:val="00A43832"/>
    <w:rsid w:val="00A43B64"/>
    <w:rsid w:val="00A4493B"/>
    <w:rsid w:val="00A455CF"/>
    <w:rsid w:val="00A46127"/>
    <w:rsid w:val="00A4620D"/>
    <w:rsid w:val="00A46581"/>
    <w:rsid w:val="00A46BD3"/>
    <w:rsid w:val="00A46DB0"/>
    <w:rsid w:val="00A47C7D"/>
    <w:rsid w:val="00A47DE7"/>
    <w:rsid w:val="00A47E59"/>
    <w:rsid w:val="00A502A7"/>
    <w:rsid w:val="00A5098C"/>
    <w:rsid w:val="00A5123A"/>
    <w:rsid w:val="00A51340"/>
    <w:rsid w:val="00A5253C"/>
    <w:rsid w:val="00A52AE6"/>
    <w:rsid w:val="00A53B94"/>
    <w:rsid w:val="00A54E15"/>
    <w:rsid w:val="00A55017"/>
    <w:rsid w:val="00A55308"/>
    <w:rsid w:val="00A55D6D"/>
    <w:rsid w:val="00A55F13"/>
    <w:rsid w:val="00A560C8"/>
    <w:rsid w:val="00A56218"/>
    <w:rsid w:val="00A56237"/>
    <w:rsid w:val="00A56A49"/>
    <w:rsid w:val="00A56E5B"/>
    <w:rsid w:val="00A57597"/>
    <w:rsid w:val="00A5792A"/>
    <w:rsid w:val="00A6077D"/>
    <w:rsid w:val="00A60B1B"/>
    <w:rsid w:val="00A60C6C"/>
    <w:rsid w:val="00A614E6"/>
    <w:rsid w:val="00A61654"/>
    <w:rsid w:val="00A61748"/>
    <w:rsid w:val="00A61911"/>
    <w:rsid w:val="00A62452"/>
    <w:rsid w:val="00A627C5"/>
    <w:rsid w:val="00A62C57"/>
    <w:rsid w:val="00A63773"/>
    <w:rsid w:val="00A637EE"/>
    <w:rsid w:val="00A63D1C"/>
    <w:rsid w:val="00A63FCB"/>
    <w:rsid w:val="00A64C5A"/>
    <w:rsid w:val="00A654E6"/>
    <w:rsid w:val="00A65D4F"/>
    <w:rsid w:val="00A674D5"/>
    <w:rsid w:val="00A677C6"/>
    <w:rsid w:val="00A679CB"/>
    <w:rsid w:val="00A701FC"/>
    <w:rsid w:val="00A70515"/>
    <w:rsid w:val="00A70868"/>
    <w:rsid w:val="00A708F8"/>
    <w:rsid w:val="00A70D2B"/>
    <w:rsid w:val="00A70DD7"/>
    <w:rsid w:val="00A71247"/>
    <w:rsid w:val="00A715B1"/>
    <w:rsid w:val="00A722A2"/>
    <w:rsid w:val="00A72DF3"/>
    <w:rsid w:val="00A73246"/>
    <w:rsid w:val="00A7388C"/>
    <w:rsid w:val="00A73975"/>
    <w:rsid w:val="00A739DC"/>
    <w:rsid w:val="00A74002"/>
    <w:rsid w:val="00A74416"/>
    <w:rsid w:val="00A74421"/>
    <w:rsid w:val="00A74EB2"/>
    <w:rsid w:val="00A756E9"/>
    <w:rsid w:val="00A7635B"/>
    <w:rsid w:val="00A766FD"/>
    <w:rsid w:val="00A77175"/>
    <w:rsid w:val="00A77389"/>
    <w:rsid w:val="00A77819"/>
    <w:rsid w:val="00A77F02"/>
    <w:rsid w:val="00A77FEB"/>
    <w:rsid w:val="00A80155"/>
    <w:rsid w:val="00A80B36"/>
    <w:rsid w:val="00A8116F"/>
    <w:rsid w:val="00A81477"/>
    <w:rsid w:val="00A8171C"/>
    <w:rsid w:val="00A817DE"/>
    <w:rsid w:val="00A81C41"/>
    <w:rsid w:val="00A81D8D"/>
    <w:rsid w:val="00A82073"/>
    <w:rsid w:val="00A8293A"/>
    <w:rsid w:val="00A83C25"/>
    <w:rsid w:val="00A83CA1"/>
    <w:rsid w:val="00A83E96"/>
    <w:rsid w:val="00A840AF"/>
    <w:rsid w:val="00A841DA"/>
    <w:rsid w:val="00A842BF"/>
    <w:rsid w:val="00A84558"/>
    <w:rsid w:val="00A84913"/>
    <w:rsid w:val="00A849B6"/>
    <w:rsid w:val="00A84AF6"/>
    <w:rsid w:val="00A84BBC"/>
    <w:rsid w:val="00A851F7"/>
    <w:rsid w:val="00A85475"/>
    <w:rsid w:val="00A85F07"/>
    <w:rsid w:val="00A86279"/>
    <w:rsid w:val="00A867EF"/>
    <w:rsid w:val="00A87141"/>
    <w:rsid w:val="00A87533"/>
    <w:rsid w:val="00A875E6"/>
    <w:rsid w:val="00A876A3"/>
    <w:rsid w:val="00A87A58"/>
    <w:rsid w:val="00A87D1E"/>
    <w:rsid w:val="00A90553"/>
    <w:rsid w:val="00A90675"/>
    <w:rsid w:val="00A90820"/>
    <w:rsid w:val="00A909DC"/>
    <w:rsid w:val="00A90E25"/>
    <w:rsid w:val="00A90F16"/>
    <w:rsid w:val="00A91321"/>
    <w:rsid w:val="00A916AC"/>
    <w:rsid w:val="00A92758"/>
    <w:rsid w:val="00A92DE8"/>
    <w:rsid w:val="00A9351F"/>
    <w:rsid w:val="00A93901"/>
    <w:rsid w:val="00A93B94"/>
    <w:rsid w:val="00A948F9"/>
    <w:rsid w:val="00A95021"/>
    <w:rsid w:val="00A956B4"/>
    <w:rsid w:val="00A95CB2"/>
    <w:rsid w:val="00A970FB"/>
    <w:rsid w:val="00A975FC"/>
    <w:rsid w:val="00A97F09"/>
    <w:rsid w:val="00AA019B"/>
    <w:rsid w:val="00AA0B64"/>
    <w:rsid w:val="00AA10DE"/>
    <w:rsid w:val="00AA1225"/>
    <w:rsid w:val="00AA1AEF"/>
    <w:rsid w:val="00AA1CF5"/>
    <w:rsid w:val="00AA2673"/>
    <w:rsid w:val="00AA27EA"/>
    <w:rsid w:val="00AA3571"/>
    <w:rsid w:val="00AA3888"/>
    <w:rsid w:val="00AA44EC"/>
    <w:rsid w:val="00AA4966"/>
    <w:rsid w:val="00AA4AF3"/>
    <w:rsid w:val="00AA4B81"/>
    <w:rsid w:val="00AA50DE"/>
    <w:rsid w:val="00AA5215"/>
    <w:rsid w:val="00AA53FA"/>
    <w:rsid w:val="00AA5D90"/>
    <w:rsid w:val="00AA6038"/>
    <w:rsid w:val="00AA62E7"/>
    <w:rsid w:val="00AA6568"/>
    <w:rsid w:val="00AA7503"/>
    <w:rsid w:val="00AA7C41"/>
    <w:rsid w:val="00AB0BB6"/>
    <w:rsid w:val="00AB1052"/>
    <w:rsid w:val="00AB1946"/>
    <w:rsid w:val="00AB19FA"/>
    <w:rsid w:val="00AB20C9"/>
    <w:rsid w:val="00AB2106"/>
    <w:rsid w:val="00AB21E4"/>
    <w:rsid w:val="00AB2288"/>
    <w:rsid w:val="00AB309E"/>
    <w:rsid w:val="00AB3803"/>
    <w:rsid w:val="00AB3D91"/>
    <w:rsid w:val="00AB417B"/>
    <w:rsid w:val="00AB46E4"/>
    <w:rsid w:val="00AB485B"/>
    <w:rsid w:val="00AB4E9D"/>
    <w:rsid w:val="00AB4FE8"/>
    <w:rsid w:val="00AB62BB"/>
    <w:rsid w:val="00AB64D6"/>
    <w:rsid w:val="00AB6D23"/>
    <w:rsid w:val="00AB752A"/>
    <w:rsid w:val="00AB7F80"/>
    <w:rsid w:val="00AC0D23"/>
    <w:rsid w:val="00AC0D9D"/>
    <w:rsid w:val="00AC0E77"/>
    <w:rsid w:val="00AC18E5"/>
    <w:rsid w:val="00AC194C"/>
    <w:rsid w:val="00AC1AB7"/>
    <w:rsid w:val="00AC1B30"/>
    <w:rsid w:val="00AC1C8E"/>
    <w:rsid w:val="00AC21B6"/>
    <w:rsid w:val="00AC220A"/>
    <w:rsid w:val="00AC336A"/>
    <w:rsid w:val="00AC33A6"/>
    <w:rsid w:val="00AC39CF"/>
    <w:rsid w:val="00AC3E86"/>
    <w:rsid w:val="00AC4788"/>
    <w:rsid w:val="00AC50CF"/>
    <w:rsid w:val="00AC626E"/>
    <w:rsid w:val="00AC6AF5"/>
    <w:rsid w:val="00AC7347"/>
    <w:rsid w:val="00AC7BB3"/>
    <w:rsid w:val="00AC7BFD"/>
    <w:rsid w:val="00AC7C76"/>
    <w:rsid w:val="00AC7DFC"/>
    <w:rsid w:val="00AD0410"/>
    <w:rsid w:val="00AD0493"/>
    <w:rsid w:val="00AD091A"/>
    <w:rsid w:val="00AD0AB3"/>
    <w:rsid w:val="00AD0E71"/>
    <w:rsid w:val="00AD16AD"/>
    <w:rsid w:val="00AD1800"/>
    <w:rsid w:val="00AD1E4F"/>
    <w:rsid w:val="00AD22B2"/>
    <w:rsid w:val="00AD2728"/>
    <w:rsid w:val="00AD2C65"/>
    <w:rsid w:val="00AD3456"/>
    <w:rsid w:val="00AD3D25"/>
    <w:rsid w:val="00AD3FAE"/>
    <w:rsid w:val="00AD43F2"/>
    <w:rsid w:val="00AD55C0"/>
    <w:rsid w:val="00AD5673"/>
    <w:rsid w:val="00AD5B52"/>
    <w:rsid w:val="00AD643B"/>
    <w:rsid w:val="00AD652E"/>
    <w:rsid w:val="00AD6B6B"/>
    <w:rsid w:val="00AD6C7D"/>
    <w:rsid w:val="00AD6E90"/>
    <w:rsid w:val="00AD7217"/>
    <w:rsid w:val="00AD72CA"/>
    <w:rsid w:val="00AD7603"/>
    <w:rsid w:val="00AE021C"/>
    <w:rsid w:val="00AE1AC0"/>
    <w:rsid w:val="00AE1DA0"/>
    <w:rsid w:val="00AE2761"/>
    <w:rsid w:val="00AE2763"/>
    <w:rsid w:val="00AE2BA7"/>
    <w:rsid w:val="00AE2DB0"/>
    <w:rsid w:val="00AE316F"/>
    <w:rsid w:val="00AE31AF"/>
    <w:rsid w:val="00AE3296"/>
    <w:rsid w:val="00AE44CD"/>
    <w:rsid w:val="00AE460B"/>
    <w:rsid w:val="00AE4EFF"/>
    <w:rsid w:val="00AE50B2"/>
    <w:rsid w:val="00AE533A"/>
    <w:rsid w:val="00AE5937"/>
    <w:rsid w:val="00AE5CA1"/>
    <w:rsid w:val="00AE5E88"/>
    <w:rsid w:val="00AE64D2"/>
    <w:rsid w:val="00AE6798"/>
    <w:rsid w:val="00AE6D0F"/>
    <w:rsid w:val="00AE6D4A"/>
    <w:rsid w:val="00AE73B9"/>
    <w:rsid w:val="00AE74F0"/>
    <w:rsid w:val="00AE78B9"/>
    <w:rsid w:val="00AE7C21"/>
    <w:rsid w:val="00AF022F"/>
    <w:rsid w:val="00AF03EB"/>
    <w:rsid w:val="00AF0A14"/>
    <w:rsid w:val="00AF17A6"/>
    <w:rsid w:val="00AF1834"/>
    <w:rsid w:val="00AF1A81"/>
    <w:rsid w:val="00AF2951"/>
    <w:rsid w:val="00AF298D"/>
    <w:rsid w:val="00AF299A"/>
    <w:rsid w:val="00AF2AC2"/>
    <w:rsid w:val="00AF309D"/>
    <w:rsid w:val="00AF34B2"/>
    <w:rsid w:val="00AF34CF"/>
    <w:rsid w:val="00AF3D7D"/>
    <w:rsid w:val="00AF4B54"/>
    <w:rsid w:val="00AF4C9B"/>
    <w:rsid w:val="00AF5084"/>
    <w:rsid w:val="00AF52DA"/>
    <w:rsid w:val="00AF5348"/>
    <w:rsid w:val="00AF62FC"/>
    <w:rsid w:val="00AF6A8D"/>
    <w:rsid w:val="00AF77FB"/>
    <w:rsid w:val="00AF7E24"/>
    <w:rsid w:val="00B00953"/>
    <w:rsid w:val="00B00CB3"/>
    <w:rsid w:val="00B00ED2"/>
    <w:rsid w:val="00B01B78"/>
    <w:rsid w:val="00B01C0B"/>
    <w:rsid w:val="00B01C7D"/>
    <w:rsid w:val="00B01F36"/>
    <w:rsid w:val="00B023B3"/>
    <w:rsid w:val="00B02522"/>
    <w:rsid w:val="00B02ACB"/>
    <w:rsid w:val="00B03845"/>
    <w:rsid w:val="00B03999"/>
    <w:rsid w:val="00B03B0B"/>
    <w:rsid w:val="00B03CCB"/>
    <w:rsid w:val="00B03FCA"/>
    <w:rsid w:val="00B03FFC"/>
    <w:rsid w:val="00B04159"/>
    <w:rsid w:val="00B041F9"/>
    <w:rsid w:val="00B04567"/>
    <w:rsid w:val="00B04A87"/>
    <w:rsid w:val="00B04B53"/>
    <w:rsid w:val="00B04FCD"/>
    <w:rsid w:val="00B0529A"/>
    <w:rsid w:val="00B0540A"/>
    <w:rsid w:val="00B0590A"/>
    <w:rsid w:val="00B05970"/>
    <w:rsid w:val="00B065C7"/>
    <w:rsid w:val="00B066C7"/>
    <w:rsid w:val="00B06C78"/>
    <w:rsid w:val="00B06E93"/>
    <w:rsid w:val="00B075EB"/>
    <w:rsid w:val="00B076C2"/>
    <w:rsid w:val="00B07E16"/>
    <w:rsid w:val="00B10473"/>
    <w:rsid w:val="00B11160"/>
    <w:rsid w:val="00B11919"/>
    <w:rsid w:val="00B11D9B"/>
    <w:rsid w:val="00B12388"/>
    <w:rsid w:val="00B124C5"/>
    <w:rsid w:val="00B125A0"/>
    <w:rsid w:val="00B12951"/>
    <w:rsid w:val="00B12C46"/>
    <w:rsid w:val="00B1308A"/>
    <w:rsid w:val="00B13618"/>
    <w:rsid w:val="00B14197"/>
    <w:rsid w:val="00B144B7"/>
    <w:rsid w:val="00B145BB"/>
    <w:rsid w:val="00B15371"/>
    <w:rsid w:val="00B1548E"/>
    <w:rsid w:val="00B155CD"/>
    <w:rsid w:val="00B15CF2"/>
    <w:rsid w:val="00B15F83"/>
    <w:rsid w:val="00B16198"/>
    <w:rsid w:val="00B161E8"/>
    <w:rsid w:val="00B164BE"/>
    <w:rsid w:val="00B16BC2"/>
    <w:rsid w:val="00B16DC6"/>
    <w:rsid w:val="00B172F9"/>
    <w:rsid w:val="00B17480"/>
    <w:rsid w:val="00B17EBE"/>
    <w:rsid w:val="00B17F85"/>
    <w:rsid w:val="00B2084E"/>
    <w:rsid w:val="00B20A51"/>
    <w:rsid w:val="00B20FA0"/>
    <w:rsid w:val="00B210C5"/>
    <w:rsid w:val="00B213A9"/>
    <w:rsid w:val="00B21590"/>
    <w:rsid w:val="00B225D5"/>
    <w:rsid w:val="00B22D25"/>
    <w:rsid w:val="00B22E75"/>
    <w:rsid w:val="00B22EDA"/>
    <w:rsid w:val="00B2327B"/>
    <w:rsid w:val="00B23793"/>
    <w:rsid w:val="00B239F8"/>
    <w:rsid w:val="00B23AA6"/>
    <w:rsid w:val="00B23DB1"/>
    <w:rsid w:val="00B23E6F"/>
    <w:rsid w:val="00B2430A"/>
    <w:rsid w:val="00B247A4"/>
    <w:rsid w:val="00B24DAE"/>
    <w:rsid w:val="00B24E67"/>
    <w:rsid w:val="00B25A23"/>
    <w:rsid w:val="00B261C4"/>
    <w:rsid w:val="00B268CC"/>
    <w:rsid w:val="00B26B65"/>
    <w:rsid w:val="00B26F84"/>
    <w:rsid w:val="00B27146"/>
    <w:rsid w:val="00B2716F"/>
    <w:rsid w:val="00B27534"/>
    <w:rsid w:val="00B303C4"/>
    <w:rsid w:val="00B30BBD"/>
    <w:rsid w:val="00B313C7"/>
    <w:rsid w:val="00B31D33"/>
    <w:rsid w:val="00B322E2"/>
    <w:rsid w:val="00B32454"/>
    <w:rsid w:val="00B326D2"/>
    <w:rsid w:val="00B3339A"/>
    <w:rsid w:val="00B333F7"/>
    <w:rsid w:val="00B33C3B"/>
    <w:rsid w:val="00B34253"/>
    <w:rsid w:val="00B34638"/>
    <w:rsid w:val="00B34D4D"/>
    <w:rsid w:val="00B34E46"/>
    <w:rsid w:val="00B35335"/>
    <w:rsid w:val="00B35972"/>
    <w:rsid w:val="00B35A92"/>
    <w:rsid w:val="00B3623F"/>
    <w:rsid w:val="00B36B01"/>
    <w:rsid w:val="00B37210"/>
    <w:rsid w:val="00B373BA"/>
    <w:rsid w:val="00B37FF2"/>
    <w:rsid w:val="00B40108"/>
    <w:rsid w:val="00B4066B"/>
    <w:rsid w:val="00B409D4"/>
    <w:rsid w:val="00B40B2F"/>
    <w:rsid w:val="00B41C9E"/>
    <w:rsid w:val="00B424FD"/>
    <w:rsid w:val="00B4299E"/>
    <w:rsid w:val="00B43565"/>
    <w:rsid w:val="00B43B0A"/>
    <w:rsid w:val="00B43B1F"/>
    <w:rsid w:val="00B44509"/>
    <w:rsid w:val="00B44784"/>
    <w:rsid w:val="00B44BB2"/>
    <w:rsid w:val="00B453FE"/>
    <w:rsid w:val="00B45431"/>
    <w:rsid w:val="00B4544A"/>
    <w:rsid w:val="00B45580"/>
    <w:rsid w:val="00B4579D"/>
    <w:rsid w:val="00B46BFD"/>
    <w:rsid w:val="00B46C5F"/>
    <w:rsid w:val="00B471F7"/>
    <w:rsid w:val="00B4731D"/>
    <w:rsid w:val="00B47355"/>
    <w:rsid w:val="00B47A1B"/>
    <w:rsid w:val="00B47A84"/>
    <w:rsid w:val="00B50360"/>
    <w:rsid w:val="00B5089A"/>
    <w:rsid w:val="00B50ACE"/>
    <w:rsid w:val="00B510D4"/>
    <w:rsid w:val="00B51260"/>
    <w:rsid w:val="00B513CF"/>
    <w:rsid w:val="00B51991"/>
    <w:rsid w:val="00B52107"/>
    <w:rsid w:val="00B5227B"/>
    <w:rsid w:val="00B522F5"/>
    <w:rsid w:val="00B52639"/>
    <w:rsid w:val="00B52D70"/>
    <w:rsid w:val="00B52FA0"/>
    <w:rsid w:val="00B53387"/>
    <w:rsid w:val="00B535AD"/>
    <w:rsid w:val="00B535D2"/>
    <w:rsid w:val="00B536EA"/>
    <w:rsid w:val="00B5376B"/>
    <w:rsid w:val="00B53D30"/>
    <w:rsid w:val="00B53D55"/>
    <w:rsid w:val="00B542D8"/>
    <w:rsid w:val="00B54C41"/>
    <w:rsid w:val="00B55045"/>
    <w:rsid w:val="00B55183"/>
    <w:rsid w:val="00B553C0"/>
    <w:rsid w:val="00B55420"/>
    <w:rsid w:val="00B55A61"/>
    <w:rsid w:val="00B5612E"/>
    <w:rsid w:val="00B56527"/>
    <w:rsid w:val="00B56F91"/>
    <w:rsid w:val="00B57148"/>
    <w:rsid w:val="00B57819"/>
    <w:rsid w:val="00B606B7"/>
    <w:rsid w:val="00B608C3"/>
    <w:rsid w:val="00B60E4A"/>
    <w:rsid w:val="00B616B0"/>
    <w:rsid w:val="00B61AAF"/>
    <w:rsid w:val="00B61CA2"/>
    <w:rsid w:val="00B62A85"/>
    <w:rsid w:val="00B62F68"/>
    <w:rsid w:val="00B63C54"/>
    <w:rsid w:val="00B6424A"/>
    <w:rsid w:val="00B65502"/>
    <w:rsid w:val="00B6577C"/>
    <w:rsid w:val="00B65FCD"/>
    <w:rsid w:val="00B66867"/>
    <w:rsid w:val="00B66AAF"/>
    <w:rsid w:val="00B66EBC"/>
    <w:rsid w:val="00B6715E"/>
    <w:rsid w:val="00B675B7"/>
    <w:rsid w:val="00B67769"/>
    <w:rsid w:val="00B678BF"/>
    <w:rsid w:val="00B67A00"/>
    <w:rsid w:val="00B6E0DA"/>
    <w:rsid w:val="00B7071A"/>
    <w:rsid w:val="00B716E8"/>
    <w:rsid w:val="00B717C8"/>
    <w:rsid w:val="00B71D18"/>
    <w:rsid w:val="00B71F22"/>
    <w:rsid w:val="00B72236"/>
    <w:rsid w:val="00B72533"/>
    <w:rsid w:val="00B72D28"/>
    <w:rsid w:val="00B73163"/>
    <w:rsid w:val="00B74997"/>
    <w:rsid w:val="00B74E1A"/>
    <w:rsid w:val="00B74F8D"/>
    <w:rsid w:val="00B7522A"/>
    <w:rsid w:val="00B75654"/>
    <w:rsid w:val="00B758E4"/>
    <w:rsid w:val="00B75C56"/>
    <w:rsid w:val="00B75C8D"/>
    <w:rsid w:val="00B75DDE"/>
    <w:rsid w:val="00B75EA9"/>
    <w:rsid w:val="00B75EAD"/>
    <w:rsid w:val="00B76199"/>
    <w:rsid w:val="00B7623A"/>
    <w:rsid w:val="00B76811"/>
    <w:rsid w:val="00B7689D"/>
    <w:rsid w:val="00B8059A"/>
    <w:rsid w:val="00B805A4"/>
    <w:rsid w:val="00B80A12"/>
    <w:rsid w:val="00B80CDF"/>
    <w:rsid w:val="00B81180"/>
    <w:rsid w:val="00B81307"/>
    <w:rsid w:val="00B813B0"/>
    <w:rsid w:val="00B81E9D"/>
    <w:rsid w:val="00B8242D"/>
    <w:rsid w:val="00B8244B"/>
    <w:rsid w:val="00B82644"/>
    <w:rsid w:val="00B82DD3"/>
    <w:rsid w:val="00B82E66"/>
    <w:rsid w:val="00B832BB"/>
    <w:rsid w:val="00B8331A"/>
    <w:rsid w:val="00B8397D"/>
    <w:rsid w:val="00B84C14"/>
    <w:rsid w:val="00B84C34"/>
    <w:rsid w:val="00B85409"/>
    <w:rsid w:val="00B85861"/>
    <w:rsid w:val="00B85E41"/>
    <w:rsid w:val="00B86144"/>
    <w:rsid w:val="00B86787"/>
    <w:rsid w:val="00B869B9"/>
    <w:rsid w:val="00B86ECC"/>
    <w:rsid w:val="00B90699"/>
    <w:rsid w:val="00B90C1B"/>
    <w:rsid w:val="00B90FD6"/>
    <w:rsid w:val="00B910CF"/>
    <w:rsid w:val="00B91735"/>
    <w:rsid w:val="00B923CD"/>
    <w:rsid w:val="00B9292C"/>
    <w:rsid w:val="00B92B40"/>
    <w:rsid w:val="00B93132"/>
    <w:rsid w:val="00B9395A"/>
    <w:rsid w:val="00B9405E"/>
    <w:rsid w:val="00B940A8"/>
    <w:rsid w:val="00B9564C"/>
    <w:rsid w:val="00B95805"/>
    <w:rsid w:val="00B95D47"/>
    <w:rsid w:val="00B95D93"/>
    <w:rsid w:val="00B95ED9"/>
    <w:rsid w:val="00B95FCF"/>
    <w:rsid w:val="00B966D9"/>
    <w:rsid w:val="00BA0056"/>
    <w:rsid w:val="00BA0E27"/>
    <w:rsid w:val="00BA0ED8"/>
    <w:rsid w:val="00BA1106"/>
    <w:rsid w:val="00BA1A87"/>
    <w:rsid w:val="00BA1D2A"/>
    <w:rsid w:val="00BA2022"/>
    <w:rsid w:val="00BA20E7"/>
    <w:rsid w:val="00BA274C"/>
    <w:rsid w:val="00BA275A"/>
    <w:rsid w:val="00BA2A3A"/>
    <w:rsid w:val="00BA2EE5"/>
    <w:rsid w:val="00BA3655"/>
    <w:rsid w:val="00BA4C45"/>
    <w:rsid w:val="00BA508B"/>
    <w:rsid w:val="00BA57A5"/>
    <w:rsid w:val="00BA639E"/>
    <w:rsid w:val="00BA6488"/>
    <w:rsid w:val="00BA6B1E"/>
    <w:rsid w:val="00BA6BB4"/>
    <w:rsid w:val="00BA7382"/>
    <w:rsid w:val="00BA73C0"/>
    <w:rsid w:val="00BA7F8F"/>
    <w:rsid w:val="00BA7FF2"/>
    <w:rsid w:val="00BB0142"/>
    <w:rsid w:val="00BB07E9"/>
    <w:rsid w:val="00BB0D03"/>
    <w:rsid w:val="00BB0E65"/>
    <w:rsid w:val="00BB1361"/>
    <w:rsid w:val="00BB1589"/>
    <w:rsid w:val="00BB1797"/>
    <w:rsid w:val="00BB1AFE"/>
    <w:rsid w:val="00BB1B69"/>
    <w:rsid w:val="00BB1BDA"/>
    <w:rsid w:val="00BB1BE0"/>
    <w:rsid w:val="00BB1BF0"/>
    <w:rsid w:val="00BB1C97"/>
    <w:rsid w:val="00BB2635"/>
    <w:rsid w:val="00BB2AF8"/>
    <w:rsid w:val="00BB3CFC"/>
    <w:rsid w:val="00BB43BD"/>
    <w:rsid w:val="00BB458B"/>
    <w:rsid w:val="00BB480F"/>
    <w:rsid w:val="00BB4F68"/>
    <w:rsid w:val="00BB519D"/>
    <w:rsid w:val="00BB55AD"/>
    <w:rsid w:val="00BB59BD"/>
    <w:rsid w:val="00BB5A30"/>
    <w:rsid w:val="00BB66B7"/>
    <w:rsid w:val="00BB6E60"/>
    <w:rsid w:val="00BB6ECC"/>
    <w:rsid w:val="00BB766B"/>
    <w:rsid w:val="00BB7D05"/>
    <w:rsid w:val="00BB7E60"/>
    <w:rsid w:val="00BB7EF7"/>
    <w:rsid w:val="00BB8524"/>
    <w:rsid w:val="00BC06D2"/>
    <w:rsid w:val="00BC072D"/>
    <w:rsid w:val="00BC0878"/>
    <w:rsid w:val="00BC0986"/>
    <w:rsid w:val="00BC160D"/>
    <w:rsid w:val="00BC2073"/>
    <w:rsid w:val="00BC242A"/>
    <w:rsid w:val="00BC2900"/>
    <w:rsid w:val="00BC2CB1"/>
    <w:rsid w:val="00BC2E58"/>
    <w:rsid w:val="00BC34AB"/>
    <w:rsid w:val="00BC3A9C"/>
    <w:rsid w:val="00BC3BFD"/>
    <w:rsid w:val="00BC3F89"/>
    <w:rsid w:val="00BC44AC"/>
    <w:rsid w:val="00BC4A59"/>
    <w:rsid w:val="00BC4D86"/>
    <w:rsid w:val="00BC53B2"/>
    <w:rsid w:val="00BC5A43"/>
    <w:rsid w:val="00BC5D51"/>
    <w:rsid w:val="00BC6A63"/>
    <w:rsid w:val="00BC6BD3"/>
    <w:rsid w:val="00BC71FD"/>
    <w:rsid w:val="00BC7B64"/>
    <w:rsid w:val="00BC7DFE"/>
    <w:rsid w:val="00BCE415"/>
    <w:rsid w:val="00BD0105"/>
    <w:rsid w:val="00BD0475"/>
    <w:rsid w:val="00BD0B67"/>
    <w:rsid w:val="00BD0C7D"/>
    <w:rsid w:val="00BD0DA8"/>
    <w:rsid w:val="00BD1A7F"/>
    <w:rsid w:val="00BD1EB5"/>
    <w:rsid w:val="00BD2453"/>
    <w:rsid w:val="00BD2BBD"/>
    <w:rsid w:val="00BD2C22"/>
    <w:rsid w:val="00BD37CA"/>
    <w:rsid w:val="00BD388B"/>
    <w:rsid w:val="00BD434E"/>
    <w:rsid w:val="00BD4F74"/>
    <w:rsid w:val="00BD514B"/>
    <w:rsid w:val="00BD5F39"/>
    <w:rsid w:val="00BD660B"/>
    <w:rsid w:val="00BD6CB4"/>
    <w:rsid w:val="00BD7EB4"/>
    <w:rsid w:val="00BE00B2"/>
    <w:rsid w:val="00BE07A0"/>
    <w:rsid w:val="00BE1392"/>
    <w:rsid w:val="00BE18A2"/>
    <w:rsid w:val="00BE2157"/>
    <w:rsid w:val="00BE26FB"/>
    <w:rsid w:val="00BE2CDA"/>
    <w:rsid w:val="00BE3100"/>
    <w:rsid w:val="00BE3320"/>
    <w:rsid w:val="00BE3333"/>
    <w:rsid w:val="00BE3893"/>
    <w:rsid w:val="00BE3D2E"/>
    <w:rsid w:val="00BE3FAA"/>
    <w:rsid w:val="00BE4097"/>
    <w:rsid w:val="00BE4292"/>
    <w:rsid w:val="00BE4B66"/>
    <w:rsid w:val="00BE4E29"/>
    <w:rsid w:val="00BE5128"/>
    <w:rsid w:val="00BE51B8"/>
    <w:rsid w:val="00BE524A"/>
    <w:rsid w:val="00BE53D1"/>
    <w:rsid w:val="00BE56F7"/>
    <w:rsid w:val="00BE5721"/>
    <w:rsid w:val="00BE6040"/>
    <w:rsid w:val="00BE6150"/>
    <w:rsid w:val="00BE66D8"/>
    <w:rsid w:val="00BE683B"/>
    <w:rsid w:val="00BE6C12"/>
    <w:rsid w:val="00BE6C8E"/>
    <w:rsid w:val="00BE7342"/>
    <w:rsid w:val="00BE7E53"/>
    <w:rsid w:val="00BF095C"/>
    <w:rsid w:val="00BF0AA0"/>
    <w:rsid w:val="00BF0F78"/>
    <w:rsid w:val="00BF0FBB"/>
    <w:rsid w:val="00BF1DCF"/>
    <w:rsid w:val="00BF229C"/>
    <w:rsid w:val="00BF296D"/>
    <w:rsid w:val="00BF2DB6"/>
    <w:rsid w:val="00BF34BF"/>
    <w:rsid w:val="00BF3A1D"/>
    <w:rsid w:val="00BF3D20"/>
    <w:rsid w:val="00BF3E41"/>
    <w:rsid w:val="00BF437B"/>
    <w:rsid w:val="00BF45C9"/>
    <w:rsid w:val="00BF4DAA"/>
    <w:rsid w:val="00BF5018"/>
    <w:rsid w:val="00BF538B"/>
    <w:rsid w:val="00BF5A06"/>
    <w:rsid w:val="00BF6213"/>
    <w:rsid w:val="00BF6A93"/>
    <w:rsid w:val="00BF6B73"/>
    <w:rsid w:val="00BF6C46"/>
    <w:rsid w:val="00BF6E5F"/>
    <w:rsid w:val="00BF710C"/>
    <w:rsid w:val="00BF7140"/>
    <w:rsid w:val="00C0026F"/>
    <w:rsid w:val="00C00540"/>
    <w:rsid w:val="00C005D0"/>
    <w:rsid w:val="00C005E6"/>
    <w:rsid w:val="00C009D4"/>
    <w:rsid w:val="00C00C91"/>
    <w:rsid w:val="00C01114"/>
    <w:rsid w:val="00C01622"/>
    <w:rsid w:val="00C01D44"/>
    <w:rsid w:val="00C028F5"/>
    <w:rsid w:val="00C02B2D"/>
    <w:rsid w:val="00C03308"/>
    <w:rsid w:val="00C03688"/>
    <w:rsid w:val="00C03DDF"/>
    <w:rsid w:val="00C0423B"/>
    <w:rsid w:val="00C045F6"/>
    <w:rsid w:val="00C04FA1"/>
    <w:rsid w:val="00C05574"/>
    <w:rsid w:val="00C05AF1"/>
    <w:rsid w:val="00C060C4"/>
    <w:rsid w:val="00C06EA8"/>
    <w:rsid w:val="00C06EE8"/>
    <w:rsid w:val="00C07501"/>
    <w:rsid w:val="00C07564"/>
    <w:rsid w:val="00C079E9"/>
    <w:rsid w:val="00C07CB0"/>
    <w:rsid w:val="00C07DE3"/>
    <w:rsid w:val="00C10482"/>
    <w:rsid w:val="00C10E1B"/>
    <w:rsid w:val="00C113C4"/>
    <w:rsid w:val="00C12196"/>
    <w:rsid w:val="00C12945"/>
    <w:rsid w:val="00C13ED4"/>
    <w:rsid w:val="00C13F32"/>
    <w:rsid w:val="00C14045"/>
    <w:rsid w:val="00C14A7C"/>
    <w:rsid w:val="00C151F9"/>
    <w:rsid w:val="00C15DE9"/>
    <w:rsid w:val="00C161B3"/>
    <w:rsid w:val="00C162F6"/>
    <w:rsid w:val="00C16AA2"/>
    <w:rsid w:val="00C175E5"/>
    <w:rsid w:val="00C20242"/>
    <w:rsid w:val="00C20367"/>
    <w:rsid w:val="00C204A8"/>
    <w:rsid w:val="00C2135B"/>
    <w:rsid w:val="00C21523"/>
    <w:rsid w:val="00C21668"/>
    <w:rsid w:val="00C2184B"/>
    <w:rsid w:val="00C21C60"/>
    <w:rsid w:val="00C22723"/>
    <w:rsid w:val="00C22E50"/>
    <w:rsid w:val="00C2304F"/>
    <w:rsid w:val="00C233ED"/>
    <w:rsid w:val="00C2399D"/>
    <w:rsid w:val="00C24205"/>
    <w:rsid w:val="00C2432C"/>
    <w:rsid w:val="00C24410"/>
    <w:rsid w:val="00C24565"/>
    <w:rsid w:val="00C24DAA"/>
    <w:rsid w:val="00C250D1"/>
    <w:rsid w:val="00C254C4"/>
    <w:rsid w:val="00C2601D"/>
    <w:rsid w:val="00C27258"/>
    <w:rsid w:val="00C273A7"/>
    <w:rsid w:val="00C274D2"/>
    <w:rsid w:val="00C27523"/>
    <w:rsid w:val="00C279F5"/>
    <w:rsid w:val="00C304F5"/>
    <w:rsid w:val="00C30642"/>
    <w:rsid w:val="00C30706"/>
    <w:rsid w:val="00C30FC1"/>
    <w:rsid w:val="00C312D5"/>
    <w:rsid w:val="00C31401"/>
    <w:rsid w:val="00C31406"/>
    <w:rsid w:val="00C31C7F"/>
    <w:rsid w:val="00C323B5"/>
    <w:rsid w:val="00C3244F"/>
    <w:rsid w:val="00C324BB"/>
    <w:rsid w:val="00C325E5"/>
    <w:rsid w:val="00C3264C"/>
    <w:rsid w:val="00C329CE"/>
    <w:rsid w:val="00C32C41"/>
    <w:rsid w:val="00C33C29"/>
    <w:rsid w:val="00C33DFA"/>
    <w:rsid w:val="00C345B2"/>
    <w:rsid w:val="00C34930"/>
    <w:rsid w:val="00C3524C"/>
    <w:rsid w:val="00C3645C"/>
    <w:rsid w:val="00C36833"/>
    <w:rsid w:val="00C36D03"/>
    <w:rsid w:val="00C37A1D"/>
    <w:rsid w:val="00C402BF"/>
    <w:rsid w:val="00C402EF"/>
    <w:rsid w:val="00C40D9F"/>
    <w:rsid w:val="00C412C0"/>
    <w:rsid w:val="00C41DC8"/>
    <w:rsid w:val="00C421BE"/>
    <w:rsid w:val="00C425A0"/>
    <w:rsid w:val="00C425E3"/>
    <w:rsid w:val="00C42CD0"/>
    <w:rsid w:val="00C43178"/>
    <w:rsid w:val="00C432C7"/>
    <w:rsid w:val="00C43368"/>
    <w:rsid w:val="00C433BD"/>
    <w:rsid w:val="00C43D91"/>
    <w:rsid w:val="00C442B9"/>
    <w:rsid w:val="00C44851"/>
    <w:rsid w:val="00C44F11"/>
    <w:rsid w:val="00C4502B"/>
    <w:rsid w:val="00C45AE8"/>
    <w:rsid w:val="00C45C48"/>
    <w:rsid w:val="00C45DD6"/>
    <w:rsid w:val="00C45E48"/>
    <w:rsid w:val="00C464AA"/>
    <w:rsid w:val="00C46813"/>
    <w:rsid w:val="00C46CA5"/>
    <w:rsid w:val="00C4721C"/>
    <w:rsid w:val="00C477F4"/>
    <w:rsid w:val="00C501E5"/>
    <w:rsid w:val="00C50D0A"/>
    <w:rsid w:val="00C50EF3"/>
    <w:rsid w:val="00C520BF"/>
    <w:rsid w:val="00C52DFC"/>
    <w:rsid w:val="00C52EE7"/>
    <w:rsid w:val="00C5313E"/>
    <w:rsid w:val="00C534C1"/>
    <w:rsid w:val="00C53848"/>
    <w:rsid w:val="00C53FA7"/>
    <w:rsid w:val="00C54DB0"/>
    <w:rsid w:val="00C54F5D"/>
    <w:rsid w:val="00C54FF7"/>
    <w:rsid w:val="00C55275"/>
    <w:rsid w:val="00C55337"/>
    <w:rsid w:val="00C55FD2"/>
    <w:rsid w:val="00C55FDC"/>
    <w:rsid w:val="00C561ED"/>
    <w:rsid w:val="00C56574"/>
    <w:rsid w:val="00C56577"/>
    <w:rsid w:val="00C56AFB"/>
    <w:rsid w:val="00C56D9C"/>
    <w:rsid w:val="00C570F0"/>
    <w:rsid w:val="00C577A1"/>
    <w:rsid w:val="00C57BFD"/>
    <w:rsid w:val="00C60C85"/>
    <w:rsid w:val="00C61DAA"/>
    <w:rsid w:val="00C61FDB"/>
    <w:rsid w:val="00C620BE"/>
    <w:rsid w:val="00C6220A"/>
    <w:rsid w:val="00C62C15"/>
    <w:rsid w:val="00C63EE5"/>
    <w:rsid w:val="00C6481C"/>
    <w:rsid w:val="00C65BE5"/>
    <w:rsid w:val="00C65E2C"/>
    <w:rsid w:val="00C6635D"/>
    <w:rsid w:val="00C66689"/>
    <w:rsid w:val="00C669C4"/>
    <w:rsid w:val="00C677B8"/>
    <w:rsid w:val="00C678AE"/>
    <w:rsid w:val="00C67BC1"/>
    <w:rsid w:val="00C67C20"/>
    <w:rsid w:val="00C70FEC"/>
    <w:rsid w:val="00C71210"/>
    <w:rsid w:val="00C71517"/>
    <w:rsid w:val="00C71851"/>
    <w:rsid w:val="00C719B4"/>
    <w:rsid w:val="00C71ADE"/>
    <w:rsid w:val="00C71BCB"/>
    <w:rsid w:val="00C7233E"/>
    <w:rsid w:val="00C723E9"/>
    <w:rsid w:val="00C727B4"/>
    <w:rsid w:val="00C72876"/>
    <w:rsid w:val="00C72B7E"/>
    <w:rsid w:val="00C72CD2"/>
    <w:rsid w:val="00C7386B"/>
    <w:rsid w:val="00C74998"/>
    <w:rsid w:val="00C75420"/>
    <w:rsid w:val="00C75475"/>
    <w:rsid w:val="00C759C8"/>
    <w:rsid w:val="00C75D42"/>
    <w:rsid w:val="00C76863"/>
    <w:rsid w:val="00C76964"/>
    <w:rsid w:val="00C77D29"/>
    <w:rsid w:val="00C80097"/>
    <w:rsid w:val="00C80309"/>
    <w:rsid w:val="00C803B8"/>
    <w:rsid w:val="00C80494"/>
    <w:rsid w:val="00C80A41"/>
    <w:rsid w:val="00C80D19"/>
    <w:rsid w:val="00C80EC9"/>
    <w:rsid w:val="00C812A0"/>
    <w:rsid w:val="00C812BF"/>
    <w:rsid w:val="00C814B5"/>
    <w:rsid w:val="00C81A88"/>
    <w:rsid w:val="00C81D14"/>
    <w:rsid w:val="00C81F70"/>
    <w:rsid w:val="00C826A5"/>
    <w:rsid w:val="00C8300B"/>
    <w:rsid w:val="00C83D80"/>
    <w:rsid w:val="00C841D2"/>
    <w:rsid w:val="00C8434A"/>
    <w:rsid w:val="00C84637"/>
    <w:rsid w:val="00C851BC"/>
    <w:rsid w:val="00C86083"/>
    <w:rsid w:val="00C8615E"/>
    <w:rsid w:val="00C8627D"/>
    <w:rsid w:val="00C863F7"/>
    <w:rsid w:val="00C863FD"/>
    <w:rsid w:val="00C8665A"/>
    <w:rsid w:val="00C8733F"/>
    <w:rsid w:val="00C874DA"/>
    <w:rsid w:val="00C87F08"/>
    <w:rsid w:val="00C8BAFC"/>
    <w:rsid w:val="00C9021A"/>
    <w:rsid w:val="00C90666"/>
    <w:rsid w:val="00C90AFD"/>
    <w:rsid w:val="00C90F06"/>
    <w:rsid w:val="00C91299"/>
    <w:rsid w:val="00C91351"/>
    <w:rsid w:val="00C9205D"/>
    <w:rsid w:val="00C920D1"/>
    <w:rsid w:val="00C92569"/>
    <w:rsid w:val="00C92814"/>
    <w:rsid w:val="00C92C39"/>
    <w:rsid w:val="00C92CBF"/>
    <w:rsid w:val="00C92D80"/>
    <w:rsid w:val="00C9300B"/>
    <w:rsid w:val="00C9307E"/>
    <w:rsid w:val="00C934B1"/>
    <w:rsid w:val="00C93502"/>
    <w:rsid w:val="00C93503"/>
    <w:rsid w:val="00C935E4"/>
    <w:rsid w:val="00C9396A"/>
    <w:rsid w:val="00C93E66"/>
    <w:rsid w:val="00C94094"/>
    <w:rsid w:val="00C94586"/>
    <w:rsid w:val="00C9486C"/>
    <w:rsid w:val="00C9489E"/>
    <w:rsid w:val="00C94939"/>
    <w:rsid w:val="00C94BF9"/>
    <w:rsid w:val="00C94E43"/>
    <w:rsid w:val="00C9508B"/>
    <w:rsid w:val="00C9535F"/>
    <w:rsid w:val="00C95635"/>
    <w:rsid w:val="00C9576E"/>
    <w:rsid w:val="00C95C28"/>
    <w:rsid w:val="00C95C8B"/>
    <w:rsid w:val="00C95C8C"/>
    <w:rsid w:val="00C96BE2"/>
    <w:rsid w:val="00C96C08"/>
    <w:rsid w:val="00C97CEB"/>
    <w:rsid w:val="00C97EBC"/>
    <w:rsid w:val="00C97F5F"/>
    <w:rsid w:val="00CA0156"/>
    <w:rsid w:val="00CA02A0"/>
    <w:rsid w:val="00CA02D8"/>
    <w:rsid w:val="00CA0692"/>
    <w:rsid w:val="00CA07D9"/>
    <w:rsid w:val="00CA0869"/>
    <w:rsid w:val="00CA0C6A"/>
    <w:rsid w:val="00CA0F4C"/>
    <w:rsid w:val="00CA1024"/>
    <w:rsid w:val="00CA1785"/>
    <w:rsid w:val="00CA1884"/>
    <w:rsid w:val="00CA2752"/>
    <w:rsid w:val="00CA31EF"/>
    <w:rsid w:val="00CA34BB"/>
    <w:rsid w:val="00CA35D2"/>
    <w:rsid w:val="00CA3B5A"/>
    <w:rsid w:val="00CA3E1B"/>
    <w:rsid w:val="00CA4170"/>
    <w:rsid w:val="00CA4341"/>
    <w:rsid w:val="00CA45E7"/>
    <w:rsid w:val="00CA494E"/>
    <w:rsid w:val="00CA49F1"/>
    <w:rsid w:val="00CA54CE"/>
    <w:rsid w:val="00CA5FCE"/>
    <w:rsid w:val="00CA61D5"/>
    <w:rsid w:val="00CA61F9"/>
    <w:rsid w:val="00CA62E9"/>
    <w:rsid w:val="00CA6753"/>
    <w:rsid w:val="00CA7127"/>
    <w:rsid w:val="00CA7507"/>
    <w:rsid w:val="00CA7B37"/>
    <w:rsid w:val="00CA7B9A"/>
    <w:rsid w:val="00CA7EF2"/>
    <w:rsid w:val="00CB026B"/>
    <w:rsid w:val="00CB1344"/>
    <w:rsid w:val="00CB1482"/>
    <w:rsid w:val="00CB1DE7"/>
    <w:rsid w:val="00CB2814"/>
    <w:rsid w:val="00CB30B0"/>
    <w:rsid w:val="00CB3766"/>
    <w:rsid w:val="00CB3995"/>
    <w:rsid w:val="00CB5054"/>
    <w:rsid w:val="00CB5133"/>
    <w:rsid w:val="00CB577A"/>
    <w:rsid w:val="00CB6190"/>
    <w:rsid w:val="00CB62B5"/>
    <w:rsid w:val="00CB66B9"/>
    <w:rsid w:val="00CB6D3E"/>
    <w:rsid w:val="00CB71D1"/>
    <w:rsid w:val="00CB74AC"/>
    <w:rsid w:val="00CB7525"/>
    <w:rsid w:val="00CBD23C"/>
    <w:rsid w:val="00CC018C"/>
    <w:rsid w:val="00CC0246"/>
    <w:rsid w:val="00CC06FB"/>
    <w:rsid w:val="00CC0FAD"/>
    <w:rsid w:val="00CC1237"/>
    <w:rsid w:val="00CC124F"/>
    <w:rsid w:val="00CC18E0"/>
    <w:rsid w:val="00CC1A2C"/>
    <w:rsid w:val="00CC2006"/>
    <w:rsid w:val="00CC20C9"/>
    <w:rsid w:val="00CC2463"/>
    <w:rsid w:val="00CC354D"/>
    <w:rsid w:val="00CC371B"/>
    <w:rsid w:val="00CC37A2"/>
    <w:rsid w:val="00CC417F"/>
    <w:rsid w:val="00CC42AB"/>
    <w:rsid w:val="00CC4CEC"/>
    <w:rsid w:val="00CC4F2D"/>
    <w:rsid w:val="00CC5262"/>
    <w:rsid w:val="00CC52BE"/>
    <w:rsid w:val="00CC546D"/>
    <w:rsid w:val="00CC5E1F"/>
    <w:rsid w:val="00CC5EFA"/>
    <w:rsid w:val="00CC6008"/>
    <w:rsid w:val="00CC6303"/>
    <w:rsid w:val="00CC6965"/>
    <w:rsid w:val="00CC70B1"/>
    <w:rsid w:val="00CC7493"/>
    <w:rsid w:val="00CC7EEF"/>
    <w:rsid w:val="00CD11BB"/>
    <w:rsid w:val="00CD238F"/>
    <w:rsid w:val="00CD25FF"/>
    <w:rsid w:val="00CD349D"/>
    <w:rsid w:val="00CD405A"/>
    <w:rsid w:val="00CD4070"/>
    <w:rsid w:val="00CD46B6"/>
    <w:rsid w:val="00CD5E3C"/>
    <w:rsid w:val="00CD60BE"/>
    <w:rsid w:val="00CD62C5"/>
    <w:rsid w:val="00CD6303"/>
    <w:rsid w:val="00CD641C"/>
    <w:rsid w:val="00CD65D6"/>
    <w:rsid w:val="00CD7271"/>
    <w:rsid w:val="00CD72E8"/>
    <w:rsid w:val="00CD7D23"/>
    <w:rsid w:val="00CDF909"/>
    <w:rsid w:val="00CE043F"/>
    <w:rsid w:val="00CE0C9A"/>
    <w:rsid w:val="00CE148A"/>
    <w:rsid w:val="00CE1B61"/>
    <w:rsid w:val="00CE2B26"/>
    <w:rsid w:val="00CE36F9"/>
    <w:rsid w:val="00CE3BA5"/>
    <w:rsid w:val="00CE3E10"/>
    <w:rsid w:val="00CE462A"/>
    <w:rsid w:val="00CE4AE5"/>
    <w:rsid w:val="00CE4B04"/>
    <w:rsid w:val="00CE4CBE"/>
    <w:rsid w:val="00CE4F75"/>
    <w:rsid w:val="00CE59C4"/>
    <w:rsid w:val="00CE5A1B"/>
    <w:rsid w:val="00CE5A50"/>
    <w:rsid w:val="00CE5BD4"/>
    <w:rsid w:val="00CE698A"/>
    <w:rsid w:val="00CE71F6"/>
    <w:rsid w:val="00CE74CD"/>
    <w:rsid w:val="00CE77E6"/>
    <w:rsid w:val="00CE7DC2"/>
    <w:rsid w:val="00CE7FA4"/>
    <w:rsid w:val="00CF0267"/>
    <w:rsid w:val="00CF02A6"/>
    <w:rsid w:val="00CF0B9B"/>
    <w:rsid w:val="00CF190D"/>
    <w:rsid w:val="00CF20D0"/>
    <w:rsid w:val="00CF2434"/>
    <w:rsid w:val="00CF2735"/>
    <w:rsid w:val="00CF2C7C"/>
    <w:rsid w:val="00CF3280"/>
    <w:rsid w:val="00CF3411"/>
    <w:rsid w:val="00CF3747"/>
    <w:rsid w:val="00CF37AA"/>
    <w:rsid w:val="00CF385F"/>
    <w:rsid w:val="00CF38EB"/>
    <w:rsid w:val="00CF3F51"/>
    <w:rsid w:val="00CF48FB"/>
    <w:rsid w:val="00CF4DBD"/>
    <w:rsid w:val="00CF50E3"/>
    <w:rsid w:val="00CF5394"/>
    <w:rsid w:val="00CF62B6"/>
    <w:rsid w:val="00CF645D"/>
    <w:rsid w:val="00CF6949"/>
    <w:rsid w:val="00CF7238"/>
    <w:rsid w:val="00CF7356"/>
    <w:rsid w:val="00D003E4"/>
    <w:rsid w:val="00D00EC0"/>
    <w:rsid w:val="00D01203"/>
    <w:rsid w:val="00D0138C"/>
    <w:rsid w:val="00D0150E"/>
    <w:rsid w:val="00D015ED"/>
    <w:rsid w:val="00D01EE2"/>
    <w:rsid w:val="00D02206"/>
    <w:rsid w:val="00D0230B"/>
    <w:rsid w:val="00D02682"/>
    <w:rsid w:val="00D026A5"/>
    <w:rsid w:val="00D02A84"/>
    <w:rsid w:val="00D02EC5"/>
    <w:rsid w:val="00D03AE3"/>
    <w:rsid w:val="00D03DCF"/>
    <w:rsid w:val="00D0453E"/>
    <w:rsid w:val="00D04716"/>
    <w:rsid w:val="00D05812"/>
    <w:rsid w:val="00D05972"/>
    <w:rsid w:val="00D05E00"/>
    <w:rsid w:val="00D06425"/>
    <w:rsid w:val="00D0667D"/>
    <w:rsid w:val="00D06831"/>
    <w:rsid w:val="00D06AFB"/>
    <w:rsid w:val="00D06C97"/>
    <w:rsid w:val="00D07A99"/>
    <w:rsid w:val="00D07DB5"/>
    <w:rsid w:val="00D10491"/>
    <w:rsid w:val="00D11174"/>
    <w:rsid w:val="00D116F3"/>
    <w:rsid w:val="00D11EEA"/>
    <w:rsid w:val="00D12344"/>
    <w:rsid w:val="00D125AD"/>
    <w:rsid w:val="00D12CFA"/>
    <w:rsid w:val="00D12EEC"/>
    <w:rsid w:val="00D133EC"/>
    <w:rsid w:val="00D14539"/>
    <w:rsid w:val="00D14B2B"/>
    <w:rsid w:val="00D14DD3"/>
    <w:rsid w:val="00D15512"/>
    <w:rsid w:val="00D15564"/>
    <w:rsid w:val="00D162EE"/>
    <w:rsid w:val="00D16FD7"/>
    <w:rsid w:val="00D17049"/>
    <w:rsid w:val="00D2069A"/>
    <w:rsid w:val="00D2092F"/>
    <w:rsid w:val="00D21737"/>
    <w:rsid w:val="00D217E7"/>
    <w:rsid w:val="00D22C2A"/>
    <w:rsid w:val="00D22F92"/>
    <w:rsid w:val="00D23565"/>
    <w:rsid w:val="00D239A9"/>
    <w:rsid w:val="00D239BD"/>
    <w:rsid w:val="00D23D1B"/>
    <w:rsid w:val="00D24A1C"/>
    <w:rsid w:val="00D24D77"/>
    <w:rsid w:val="00D25536"/>
    <w:rsid w:val="00D2604F"/>
    <w:rsid w:val="00D267D9"/>
    <w:rsid w:val="00D2680C"/>
    <w:rsid w:val="00D26BD4"/>
    <w:rsid w:val="00D2741A"/>
    <w:rsid w:val="00D27483"/>
    <w:rsid w:val="00D27AE9"/>
    <w:rsid w:val="00D2ADE8"/>
    <w:rsid w:val="00D30127"/>
    <w:rsid w:val="00D302FD"/>
    <w:rsid w:val="00D30308"/>
    <w:rsid w:val="00D30DB4"/>
    <w:rsid w:val="00D31763"/>
    <w:rsid w:val="00D31769"/>
    <w:rsid w:val="00D319EB"/>
    <w:rsid w:val="00D31AEB"/>
    <w:rsid w:val="00D31F78"/>
    <w:rsid w:val="00D31FED"/>
    <w:rsid w:val="00D322CE"/>
    <w:rsid w:val="00D3248D"/>
    <w:rsid w:val="00D32667"/>
    <w:rsid w:val="00D329A2"/>
    <w:rsid w:val="00D32D5F"/>
    <w:rsid w:val="00D32DEE"/>
    <w:rsid w:val="00D3317F"/>
    <w:rsid w:val="00D33DAA"/>
    <w:rsid w:val="00D344C5"/>
    <w:rsid w:val="00D34B50"/>
    <w:rsid w:val="00D34ED6"/>
    <w:rsid w:val="00D34EDB"/>
    <w:rsid w:val="00D35E20"/>
    <w:rsid w:val="00D35FF2"/>
    <w:rsid w:val="00D36508"/>
    <w:rsid w:val="00D3696D"/>
    <w:rsid w:val="00D36C90"/>
    <w:rsid w:val="00D36CCA"/>
    <w:rsid w:val="00D36DF9"/>
    <w:rsid w:val="00D37375"/>
    <w:rsid w:val="00D376F4"/>
    <w:rsid w:val="00D37934"/>
    <w:rsid w:val="00D37ED2"/>
    <w:rsid w:val="00D40EA2"/>
    <w:rsid w:val="00D42398"/>
    <w:rsid w:val="00D42F31"/>
    <w:rsid w:val="00D431E9"/>
    <w:rsid w:val="00D43EF9"/>
    <w:rsid w:val="00D4459E"/>
    <w:rsid w:val="00D44664"/>
    <w:rsid w:val="00D446F8"/>
    <w:rsid w:val="00D44F09"/>
    <w:rsid w:val="00D4541C"/>
    <w:rsid w:val="00D45B27"/>
    <w:rsid w:val="00D45BCC"/>
    <w:rsid w:val="00D45C40"/>
    <w:rsid w:val="00D46126"/>
    <w:rsid w:val="00D468DA"/>
    <w:rsid w:val="00D46D1A"/>
    <w:rsid w:val="00D471DC"/>
    <w:rsid w:val="00D47219"/>
    <w:rsid w:val="00D47728"/>
    <w:rsid w:val="00D50267"/>
    <w:rsid w:val="00D50628"/>
    <w:rsid w:val="00D5098D"/>
    <w:rsid w:val="00D50B08"/>
    <w:rsid w:val="00D5178F"/>
    <w:rsid w:val="00D51841"/>
    <w:rsid w:val="00D518D5"/>
    <w:rsid w:val="00D51D24"/>
    <w:rsid w:val="00D51D42"/>
    <w:rsid w:val="00D5216F"/>
    <w:rsid w:val="00D52A21"/>
    <w:rsid w:val="00D52CFE"/>
    <w:rsid w:val="00D52FD5"/>
    <w:rsid w:val="00D533AC"/>
    <w:rsid w:val="00D53535"/>
    <w:rsid w:val="00D535C0"/>
    <w:rsid w:val="00D53AD3"/>
    <w:rsid w:val="00D53D8C"/>
    <w:rsid w:val="00D54D09"/>
    <w:rsid w:val="00D54D95"/>
    <w:rsid w:val="00D55291"/>
    <w:rsid w:val="00D5552A"/>
    <w:rsid w:val="00D5556C"/>
    <w:rsid w:val="00D555D8"/>
    <w:rsid w:val="00D55AD3"/>
    <w:rsid w:val="00D55BDF"/>
    <w:rsid w:val="00D55C74"/>
    <w:rsid w:val="00D56233"/>
    <w:rsid w:val="00D56759"/>
    <w:rsid w:val="00D56D26"/>
    <w:rsid w:val="00D56D59"/>
    <w:rsid w:val="00D5731D"/>
    <w:rsid w:val="00D57336"/>
    <w:rsid w:val="00D57603"/>
    <w:rsid w:val="00D5760B"/>
    <w:rsid w:val="00D60425"/>
    <w:rsid w:val="00D607E6"/>
    <w:rsid w:val="00D60BCC"/>
    <w:rsid w:val="00D612E9"/>
    <w:rsid w:val="00D61340"/>
    <w:rsid w:val="00D61381"/>
    <w:rsid w:val="00D615EF"/>
    <w:rsid w:val="00D61696"/>
    <w:rsid w:val="00D628A1"/>
    <w:rsid w:val="00D630EC"/>
    <w:rsid w:val="00D63382"/>
    <w:rsid w:val="00D6352A"/>
    <w:rsid w:val="00D6375D"/>
    <w:rsid w:val="00D63ABC"/>
    <w:rsid w:val="00D63DFA"/>
    <w:rsid w:val="00D646AE"/>
    <w:rsid w:val="00D6506D"/>
    <w:rsid w:val="00D653A9"/>
    <w:rsid w:val="00D65611"/>
    <w:rsid w:val="00D65727"/>
    <w:rsid w:val="00D6700C"/>
    <w:rsid w:val="00D670D9"/>
    <w:rsid w:val="00D672C8"/>
    <w:rsid w:val="00D6FC9F"/>
    <w:rsid w:val="00D7015B"/>
    <w:rsid w:val="00D7033A"/>
    <w:rsid w:val="00D706FF"/>
    <w:rsid w:val="00D7093D"/>
    <w:rsid w:val="00D70A0D"/>
    <w:rsid w:val="00D70C6B"/>
    <w:rsid w:val="00D716D2"/>
    <w:rsid w:val="00D721DE"/>
    <w:rsid w:val="00D72281"/>
    <w:rsid w:val="00D72754"/>
    <w:rsid w:val="00D7290B"/>
    <w:rsid w:val="00D73652"/>
    <w:rsid w:val="00D741AD"/>
    <w:rsid w:val="00D74202"/>
    <w:rsid w:val="00D743D8"/>
    <w:rsid w:val="00D74B7F"/>
    <w:rsid w:val="00D74D7B"/>
    <w:rsid w:val="00D7515C"/>
    <w:rsid w:val="00D759BF"/>
    <w:rsid w:val="00D76049"/>
    <w:rsid w:val="00D76596"/>
    <w:rsid w:val="00D765E2"/>
    <w:rsid w:val="00D7694C"/>
    <w:rsid w:val="00D77DFE"/>
    <w:rsid w:val="00D8117C"/>
    <w:rsid w:val="00D820AA"/>
    <w:rsid w:val="00D8290E"/>
    <w:rsid w:val="00D82A2B"/>
    <w:rsid w:val="00D8308E"/>
    <w:rsid w:val="00D83888"/>
    <w:rsid w:val="00D84388"/>
    <w:rsid w:val="00D847D3"/>
    <w:rsid w:val="00D84F6A"/>
    <w:rsid w:val="00D85078"/>
    <w:rsid w:val="00D85122"/>
    <w:rsid w:val="00D85161"/>
    <w:rsid w:val="00D853CE"/>
    <w:rsid w:val="00D85479"/>
    <w:rsid w:val="00D854D6"/>
    <w:rsid w:val="00D85EED"/>
    <w:rsid w:val="00D860DB"/>
    <w:rsid w:val="00D86471"/>
    <w:rsid w:val="00D865C9"/>
    <w:rsid w:val="00D8660C"/>
    <w:rsid w:val="00D86902"/>
    <w:rsid w:val="00D86CEB"/>
    <w:rsid w:val="00D86EAF"/>
    <w:rsid w:val="00D87202"/>
    <w:rsid w:val="00D87F6D"/>
    <w:rsid w:val="00D90543"/>
    <w:rsid w:val="00D9098F"/>
    <w:rsid w:val="00D90B01"/>
    <w:rsid w:val="00D90D24"/>
    <w:rsid w:val="00D90E26"/>
    <w:rsid w:val="00D90E39"/>
    <w:rsid w:val="00D91435"/>
    <w:rsid w:val="00D91C39"/>
    <w:rsid w:val="00D91E22"/>
    <w:rsid w:val="00D91FF5"/>
    <w:rsid w:val="00D92398"/>
    <w:rsid w:val="00D926E6"/>
    <w:rsid w:val="00D92732"/>
    <w:rsid w:val="00D92B74"/>
    <w:rsid w:val="00D92CA7"/>
    <w:rsid w:val="00D9302E"/>
    <w:rsid w:val="00D93B85"/>
    <w:rsid w:val="00D93C62"/>
    <w:rsid w:val="00D93D4C"/>
    <w:rsid w:val="00D94565"/>
    <w:rsid w:val="00D94D95"/>
    <w:rsid w:val="00D94E13"/>
    <w:rsid w:val="00D951BD"/>
    <w:rsid w:val="00D955D4"/>
    <w:rsid w:val="00D95822"/>
    <w:rsid w:val="00D958F2"/>
    <w:rsid w:val="00D964C0"/>
    <w:rsid w:val="00D966F6"/>
    <w:rsid w:val="00D9694F"/>
    <w:rsid w:val="00D96F75"/>
    <w:rsid w:val="00D977E3"/>
    <w:rsid w:val="00D9784B"/>
    <w:rsid w:val="00DA0216"/>
    <w:rsid w:val="00DA051F"/>
    <w:rsid w:val="00DA1171"/>
    <w:rsid w:val="00DA14C2"/>
    <w:rsid w:val="00DA177D"/>
    <w:rsid w:val="00DA1E63"/>
    <w:rsid w:val="00DA225A"/>
    <w:rsid w:val="00DA2433"/>
    <w:rsid w:val="00DA248F"/>
    <w:rsid w:val="00DA32E3"/>
    <w:rsid w:val="00DA3960"/>
    <w:rsid w:val="00DA3EBF"/>
    <w:rsid w:val="00DA410C"/>
    <w:rsid w:val="00DA4475"/>
    <w:rsid w:val="00DA450F"/>
    <w:rsid w:val="00DA482C"/>
    <w:rsid w:val="00DA4ADF"/>
    <w:rsid w:val="00DA4E29"/>
    <w:rsid w:val="00DA5F3D"/>
    <w:rsid w:val="00DA5F70"/>
    <w:rsid w:val="00DA6768"/>
    <w:rsid w:val="00DA69AB"/>
    <w:rsid w:val="00DA7037"/>
    <w:rsid w:val="00DA7BF0"/>
    <w:rsid w:val="00DB0055"/>
    <w:rsid w:val="00DB1C42"/>
    <w:rsid w:val="00DB1F26"/>
    <w:rsid w:val="00DB258D"/>
    <w:rsid w:val="00DB26F6"/>
    <w:rsid w:val="00DB292B"/>
    <w:rsid w:val="00DB2C2B"/>
    <w:rsid w:val="00DB2D6A"/>
    <w:rsid w:val="00DB2E06"/>
    <w:rsid w:val="00DB33F4"/>
    <w:rsid w:val="00DB34A9"/>
    <w:rsid w:val="00DB35AE"/>
    <w:rsid w:val="00DB39D5"/>
    <w:rsid w:val="00DB3CA8"/>
    <w:rsid w:val="00DB4371"/>
    <w:rsid w:val="00DB43CF"/>
    <w:rsid w:val="00DB49DD"/>
    <w:rsid w:val="00DB51AC"/>
    <w:rsid w:val="00DB5864"/>
    <w:rsid w:val="00DB5EC0"/>
    <w:rsid w:val="00DB612B"/>
    <w:rsid w:val="00DB664F"/>
    <w:rsid w:val="00DB6CB0"/>
    <w:rsid w:val="00DB70C4"/>
    <w:rsid w:val="00DB7D15"/>
    <w:rsid w:val="00DC0184"/>
    <w:rsid w:val="00DC0227"/>
    <w:rsid w:val="00DC06E1"/>
    <w:rsid w:val="00DC0A4D"/>
    <w:rsid w:val="00DC1EAE"/>
    <w:rsid w:val="00DC2C1D"/>
    <w:rsid w:val="00DC3264"/>
    <w:rsid w:val="00DC39B3"/>
    <w:rsid w:val="00DC3C53"/>
    <w:rsid w:val="00DC4260"/>
    <w:rsid w:val="00DC4370"/>
    <w:rsid w:val="00DC45A1"/>
    <w:rsid w:val="00DC475B"/>
    <w:rsid w:val="00DC4BF1"/>
    <w:rsid w:val="00DC4C27"/>
    <w:rsid w:val="00DC4DA8"/>
    <w:rsid w:val="00DC533E"/>
    <w:rsid w:val="00DC53F2"/>
    <w:rsid w:val="00DC54CF"/>
    <w:rsid w:val="00DC5CEA"/>
    <w:rsid w:val="00DC5E23"/>
    <w:rsid w:val="00DC619D"/>
    <w:rsid w:val="00DC62CB"/>
    <w:rsid w:val="00DC6EFE"/>
    <w:rsid w:val="00DC7584"/>
    <w:rsid w:val="00DC7C97"/>
    <w:rsid w:val="00DD00F3"/>
    <w:rsid w:val="00DD086F"/>
    <w:rsid w:val="00DD0B86"/>
    <w:rsid w:val="00DD0CEC"/>
    <w:rsid w:val="00DD0F25"/>
    <w:rsid w:val="00DD0FAD"/>
    <w:rsid w:val="00DD16B8"/>
    <w:rsid w:val="00DD1A02"/>
    <w:rsid w:val="00DD1CD5"/>
    <w:rsid w:val="00DD1D55"/>
    <w:rsid w:val="00DD223D"/>
    <w:rsid w:val="00DD2477"/>
    <w:rsid w:val="00DD2818"/>
    <w:rsid w:val="00DD29C0"/>
    <w:rsid w:val="00DD2C7B"/>
    <w:rsid w:val="00DD2DD7"/>
    <w:rsid w:val="00DD31EF"/>
    <w:rsid w:val="00DD3797"/>
    <w:rsid w:val="00DD3C48"/>
    <w:rsid w:val="00DD3D5D"/>
    <w:rsid w:val="00DD410D"/>
    <w:rsid w:val="00DD4810"/>
    <w:rsid w:val="00DD4843"/>
    <w:rsid w:val="00DD4BD5"/>
    <w:rsid w:val="00DD4D9C"/>
    <w:rsid w:val="00DD513F"/>
    <w:rsid w:val="00DD541B"/>
    <w:rsid w:val="00DD55BF"/>
    <w:rsid w:val="00DD563C"/>
    <w:rsid w:val="00DD5665"/>
    <w:rsid w:val="00DD58E9"/>
    <w:rsid w:val="00DD5B72"/>
    <w:rsid w:val="00DD6EBA"/>
    <w:rsid w:val="00DD6EE2"/>
    <w:rsid w:val="00DD7A6A"/>
    <w:rsid w:val="00DD7D99"/>
    <w:rsid w:val="00DD7F98"/>
    <w:rsid w:val="00DD816F"/>
    <w:rsid w:val="00DE0555"/>
    <w:rsid w:val="00DE0A5D"/>
    <w:rsid w:val="00DE0D6D"/>
    <w:rsid w:val="00DE0DEC"/>
    <w:rsid w:val="00DE13D1"/>
    <w:rsid w:val="00DE1A44"/>
    <w:rsid w:val="00DE1BBC"/>
    <w:rsid w:val="00DE1E2F"/>
    <w:rsid w:val="00DE212F"/>
    <w:rsid w:val="00DE2686"/>
    <w:rsid w:val="00DE2BBD"/>
    <w:rsid w:val="00DE33FB"/>
    <w:rsid w:val="00DE37C9"/>
    <w:rsid w:val="00DE3A61"/>
    <w:rsid w:val="00DE3E64"/>
    <w:rsid w:val="00DE4519"/>
    <w:rsid w:val="00DE472E"/>
    <w:rsid w:val="00DE483C"/>
    <w:rsid w:val="00DE4E27"/>
    <w:rsid w:val="00DE6152"/>
    <w:rsid w:val="00DE6850"/>
    <w:rsid w:val="00DE79F4"/>
    <w:rsid w:val="00DE7F86"/>
    <w:rsid w:val="00DEF8A3"/>
    <w:rsid w:val="00DF04F4"/>
    <w:rsid w:val="00DF0669"/>
    <w:rsid w:val="00DF0CED"/>
    <w:rsid w:val="00DF0E39"/>
    <w:rsid w:val="00DF12C3"/>
    <w:rsid w:val="00DF144E"/>
    <w:rsid w:val="00DF2016"/>
    <w:rsid w:val="00DF35A1"/>
    <w:rsid w:val="00DF3D67"/>
    <w:rsid w:val="00DF47D6"/>
    <w:rsid w:val="00DF4A15"/>
    <w:rsid w:val="00DF4B4F"/>
    <w:rsid w:val="00DF50C8"/>
    <w:rsid w:val="00DF52D4"/>
    <w:rsid w:val="00DF5767"/>
    <w:rsid w:val="00DF5A7C"/>
    <w:rsid w:val="00DF5CC1"/>
    <w:rsid w:val="00DF69F9"/>
    <w:rsid w:val="00DF6A33"/>
    <w:rsid w:val="00DF6A37"/>
    <w:rsid w:val="00DF6EFA"/>
    <w:rsid w:val="00DF7362"/>
    <w:rsid w:val="00DF750C"/>
    <w:rsid w:val="00DF7683"/>
    <w:rsid w:val="00DF796C"/>
    <w:rsid w:val="00DF7ED6"/>
    <w:rsid w:val="00E0027E"/>
    <w:rsid w:val="00E00431"/>
    <w:rsid w:val="00E004D6"/>
    <w:rsid w:val="00E00684"/>
    <w:rsid w:val="00E007A3"/>
    <w:rsid w:val="00E00B0E"/>
    <w:rsid w:val="00E01308"/>
    <w:rsid w:val="00E01763"/>
    <w:rsid w:val="00E01825"/>
    <w:rsid w:val="00E01871"/>
    <w:rsid w:val="00E01DE8"/>
    <w:rsid w:val="00E025EF"/>
    <w:rsid w:val="00E0295C"/>
    <w:rsid w:val="00E0358A"/>
    <w:rsid w:val="00E03AE3"/>
    <w:rsid w:val="00E03F55"/>
    <w:rsid w:val="00E040BC"/>
    <w:rsid w:val="00E0470A"/>
    <w:rsid w:val="00E04948"/>
    <w:rsid w:val="00E04C29"/>
    <w:rsid w:val="00E04C59"/>
    <w:rsid w:val="00E04CDC"/>
    <w:rsid w:val="00E04E5B"/>
    <w:rsid w:val="00E04EB1"/>
    <w:rsid w:val="00E05C71"/>
    <w:rsid w:val="00E05EB4"/>
    <w:rsid w:val="00E05ECE"/>
    <w:rsid w:val="00E05F06"/>
    <w:rsid w:val="00E05F09"/>
    <w:rsid w:val="00E064EF"/>
    <w:rsid w:val="00E06ACD"/>
    <w:rsid w:val="00E06B1A"/>
    <w:rsid w:val="00E06BB2"/>
    <w:rsid w:val="00E06C48"/>
    <w:rsid w:val="00E06F27"/>
    <w:rsid w:val="00E10519"/>
    <w:rsid w:val="00E10857"/>
    <w:rsid w:val="00E10A47"/>
    <w:rsid w:val="00E10C6B"/>
    <w:rsid w:val="00E114A3"/>
    <w:rsid w:val="00E119F7"/>
    <w:rsid w:val="00E1245C"/>
    <w:rsid w:val="00E1338B"/>
    <w:rsid w:val="00E13CBD"/>
    <w:rsid w:val="00E13F2E"/>
    <w:rsid w:val="00E14190"/>
    <w:rsid w:val="00E14661"/>
    <w:rsid w:val="00E14689"/>
    <w:rsid w:val="00E14699"/>
    <w:rsid w:val="00E14988"/>
    <w:rsid w:val="00E14EF7"/>
    <w:rsid w:val="00E15310"/>
    <w:rsid w:val="00E15318"/>
    <w:rsid w:val="00E15552"/>
    <w:rsid w:val="00E15577"/>
    <w:rsid w:val="00E15E79"/>
    <w:rsid w:val="00E16769"/>
    <w:rsid w:val="00E168C3"/>
    <w:rsid w:val="00E17183"/>
    <w:rsid w:val="00E1741B"/>
    <w:rsid w:val="00E17839"/>
    <w:rsid w:val="00E17D04"/>
    <w:rsid w:val="00E17F03"/>
    <w:rsid w:val="00E2020A"/>
    <w:rsid w:val="00E20940"/>
    <w:rsid w:val="00E218AC"/>
    <w:rsid w:val="00E21D9A"/>
    <w:rsid w:val="00E2202F"/>
    <w:rsid w:val="00E224A2"/>
    <w:rsid w:val="00E228E6"/>
    <w:rsid w:val="00E22A0B"/>
    <w:rsid w:val="00E22A30"/>
    <w:rsid w:val="00E22BAE"/>
    <w:rsid w:val="00E2356B"/>
    <w:rsid w:val="00E239AD"/>
    <w:rsid w:val="00E23A7E"/>
    <w:rsid w:val="00E245D4"/>
    <w:rsid w:val="00E24D3C"/>
    <w:rsid w:val="00E24E92"/>
    <w:rsid w:val="00E25194"/>
    <w:rsid w:val="00E257FC"/>
    <w:rsid w:val="00E2594E"/>
    <w:rsid w:val="00E259EA"/>
    <w:rsid w:val="00E25D51"/>
    <w:rsid w:val="00E263DB"/>
    <w:rsid w:val="00E26640"/>
    <w:rsid w:val="00E26DDD"/>
    <w:rsid w:val="00E271AB"/>
    <w:rsid w:val="00E27487"/>
    <w:rsid w:val="00E2770E"/>
    <w:rsid w:val="00E27A17"/>
    <w:rsid w:val="00E27C63"/>
    <w:rsid w:val="00E27F5F"/>
    <w:rsid w:val="00E2F564"/>
    <w:rsid w:val="00E30020"/>
    <w:rsid w:val="00E30908"/>
    <w:rsid w:val="00E30D71"/>
    <w:rsid w:val="00E311E4"/>
    <w:rsid w:val="00E3188B"/>
    <w:rsid w:val="00E31C21"/>
    <w:rsid w:val="00E31EB7"/>
    <w:rsid w:val="00E3201D"/>
    <w:rsid w:val="00E32200"/>
    <w:rsid w:val="00E32B5A"/>
    <w:rsid w:val="00E32CA1"/>
    <w:rsid w:val="00E32D53"/>
    <w:rsid w:val="00E330FF"/>
    <w:rsid w:val="00E33813"/>
    <w:rsid w:val="00E33B8D"/>
    <w:rsid w:val="00E33C1C"/>
    <w:rsid w:val="00E33D91"/>
    <w:rsid w:val="00E343CC"/>
    <w:rsid w:val="00E34535"/>
    <w:rsid w:val="00E348A0"/>
    <w:rsid w:val="00E34A25"/>
    <w:rsid w:val="00E35015"/>
    <w:rsid w:val="00E35281"/>
    <w:rsid w:val="00E35464"/>
    <w:rsid w:val="00E3560C"/>
    <w:rsid w:val="00E359E3"/>
    <w:rsid w:val="00E35DBA"/>
    <w:rsid w:val="00E36057"/>
    <w:rsid w:val="00E36172"/>
    <w:rsid w:val="00E36815"/>
    <w:rsid w:val="00E36DC6"/>
    <w:rsid w:val="00E373B5"/>
    <w:rsid w:val="00E37610"/>
    <w:rsid w:val="00E377B4"/>
    <w:rsid w:val="00E37E58"/>
    <w:rsid w:val="00E402F2"/>
    <w:rsid w:val="00E40A0B"/>
    <w:rsid w:val="00E40C56"/>
    <w:rsid w:val="00E410B9"/>
    <w:rsid w:val="00E412A3"/>
    <w:rsid w:val="00E41AD2"/>
    <w:rsid w:val="00E4218A"/>
    <w:rsid w:val="00E4291E"/>
    <w:rsid w:val="00E42AF1"/>
    <w:rsid w:val="00E42EA7"/>
    <w:rsid w:val="00E42F48"/>
    <w:rsid w:val="00E43325"/>
    <w:rsid w:val="00E4352D"/>
    <w:rsid w:val="00E4402E"/>
    <w:rsid w:val="00E44653"/>
    <w:rsid w:val="00E447AB"/>
    <w:rsid w:val="00E44D28"/>
    <w:rsid w:val="00E455A6"/>
    <w:rsid w:val="00E45C70"/>
    <w:rsid w:val="00E45ED8"/>
    <w:rsid w:val="00E47795"/>
    <w:rsid w:val="00E4796A"/>
    <w:rsid w:val="00E47BA1"/>
    <w:rsid w:val="00E47E0B"/>
    <w:rsid w:val="00E506E7"/>
    <w:rsid w:val="00E50DD3"/>
    <w:rsid w:val="00E50DFD"/>
    <w:rsid w:val="00E50FD2"/>
    <w:rsid w:val="00E51D57"/>
    <w:rsid w:val="00E520A4"/>
    <w:rsid w:val="00E523C6"/>
    <w:rsid w:val="00E52A4B"/>
    <w:rsid w:val="00E53241"/>
    <w:rsid w:val="00E533E7"/>
    <w:rsid w:val="00E534B4"/>
    <w:rsid w:val="00E5373E"/>
    <w:rsid w:val="00E53889"/>
    <w:rsid w:val="00E54397"/>
    <w:rsid w:val="00E54469"/>
    <w:rsid w:val="00E5472F"/>
    <w:rsid w:val="00E547AC"/>
    <w:rsid w:val="00E54ADE"/>
    <w:rsid w:val="00E54EAB"/>
    <w:rsid w:val="00E553DD"/>
    <w:rsid w:val="00E554F8"/>
    <w:rsid w:val="00E558BF"/>
    <w:rsid w:val="00E55903"/>
    <w:rsid w:val="00E560C3"/>
    <w:rsid w:val="00E5647B"/>
    <w:rsid w:val="00E56A8F"/>
    <w:rsid w:val="00E56AA6"/>
    <w:rsid w:val="00E5742A"/>
    <w:rsid w:val="00E5779B"/>
    <w:rsid w:val="00E57FEF"/>
    <w:rsid w:val="00E60720"/>
    <w:rsid w:val="00E60F7F"/>
    <w:rsid w:val="00E61CD3"/>
    <w:rsid w:val="00E6282F"/>
    <w:rsid w:val="00E62D50"/>
    <w:rsid w:val="00E6338B"/>
    <w:rsid w:val="00E63C6F"/>
    <w:rsid w:val="00E641A7"/>
    <w:rsid w:val="00E643FF"/>
    <w:rsid w:val="00E6517E"/>
    <w:rsid w:val="00E65586"/>
    <w:rsid w:val="00E6561D"/>
    <w:rsid w:val="00E65C73"/>
    <w:rsid w:val="00E66A8E"/>
    <w:rsid w:val="00E673DB"/>
    <w:rsid w:val="00E676EB"/>
    <w:rsid w:val="00E67CA6"/>
    <w:rsid w:val="00E702F2"/>
    <w:rsid w:val="00E70797"/>
    <w:rsid w:val="00E710F4"/>
    <w:rsid w:val="00E71997"/>
    <w:rsid w:val="00E71A8E"/>
    <w:rsid w:val="00E71C2E"/>
    <w:rsid w:val="00E721B3"/>
    <w:rsid w:val="00E72682"/>
    <w:rsid w:val="00E72E7A"/>
    <w:rsid w:val="00E734F9"/>
    <w:rsid w:val="00E73AB7"/>
    <w:rsid w:val="00E73BD7"/>
    <w:rsid w:val="00E73F56"/>
    <w:rsid w:val="00E74106"/>
    <w:rsid w:val="00E7422B"/>
    <w:rsid w:val="00E74260"/>
    <w:rsid w:val="00E74519"/>
    <w:rsid w:val="00E74C73"/>
    <w:rsid w:val="00E75B33"/>
    <w:rsid w:val="00E761AE"/>
    <w:rsid w:val="00E766C5"/>
    <w:rsid w:val="00E769B8"/>
    <w:rsid w:val="00E7BF93"/>
    <w:rsid w:val="00E800C3"/>
    <w:rsid w:val="00E8044D"/>
    <w:rsid w:val="00E804E2"/>
    <w:rsid w:val="00E80859"/>
    <w:rsid w:val="00E81BC9"/>
    <w:rsid w:val="00E81E57"/>
    <w:rsid w:val="00E823C2"/>
    <w:rsid w:val="00E83941"/>
    <w:rsid w:val="00E848FF"/>
    <w:rsid w:val="00E84AD2"/>
    <w:rsid w:val="00E84CA8"/>
    <w:rsid w:val="00E85026"/>
    <w:rsid w:val="00E85F5F"/>
    <w:rsid w:val="00E8608F"/>
    <w:rsid w:val="00E86409"/>
    <w:rsid w:val="00E8645D"/>
    <w:rsid w:val="00E86D2A"/>
    <w:rsid w:val="00E87A8E"/>
    <w:rsid w:val="00E87CE2"/>
    <w:rsid w:val="00E9086B"/>
    <w:rsid w:val="00E90D9C"/>
    <w:rsid w:val="00E913F5"/>
    <w:rsid w:val="00E91893"/>
    <w:rsid w:val="00E919AF"/>
    <w:rsid w:val="00E91F31"/>
    <w:rsid w:val="00E921B6"/>
    <w:rsid w:val="00E92217"/>
    <w:rsid w:val="00E92303"/>
    <w:rsid w:val="00E931BD"/>
    <w:rsid w:val="00E936EF"/>
    <w:rsid w:val="00E93E25"/>
    <w:rsid w:val="00E9404A"/>
    <w:rsid w:val="00E94412"/>
    <w:rsid w:val="00E94678"/>
    <w:rsid w:val="00E950BB"/>
    <w:rsid w:val="00E95110"/>
    <w:rsid w:val="00E957AE"/>
    <w:rsid w:val="00E957D4"/>
    <w:rsid w:val="00E95DC6"/>
    <w:rsid w:val="00E961D6"/>
    <w:rsid w:val="00E96C69"/>
    <w:rsid w:val="00E97DB1"/>
    <w:rsid w:val="00EA0485"/>
    <w:rsid w:val="00EA1675"/>
    <w:rsid w:val="00EA1969"/>
    <w:rsid w:val="00EA1ADA"/>
    <w:rsid w:val="00EA29F1"/>
    <w:rsid w:val="00EA33E2"/>
    <w:rsid w:val="00EA35D6"/>
    <w:rsid w:val="00EA3ADD"/>
    <w:rsid w:val="00EA3C36"/>
    <w:rsid w:val="00EA4155"/>
    <w:rsid w:val="00EA4593"/>
    <w:rsid w:val="00EA46CD"/>
    <w:rsid w:val="00EA4793"/>
    <w:rsid w:val="00EA5197"/>
    <w:rsid w:val="00EA51FA"/>
    <w:rsid w:val="00EA5210"/>
    <w:rsid w:val="00EA5691"/>
    <w:rsid w:val="00EA57CE"/>
    <w:rsid w:val="00EA58CF"/>
    <w:rsid w:val="00EA6F1D"/>
    <w:rsid w:val="00EA6FCB"/>
    <w:rsid w:val="00EA762B"/>
    <w:rsid w:val="00EA7791"/>
    <w:rsid w:val="00EB0107"/>
    <w:rsid w:val="00EB056C"/>
    <w:rsid w:val="00EB05AA"/>
    <w:rsid w:val="00EB099A"/>
    <w:rsid w:val="00EB0E29"/>
    <w:rsid w:val="00EB0E75"/>
    <w:rsid w:val="00EB181A"/>
    <w:rsid w:val="00EB1A64"/>
    <w:rsid w:val="00EB222B"/>
    <w:rsid w:val="00EB2242"/>
    <w:rsid w:val="00EB246C"/>
    <w:rsid w:val="00EB24C3"/>
    <w:rsid w:val="00EB27E5"/>
    <w:rsid w:val="00EB32DE"/>
    <w:rsid w:val="00EB45DB"/>
    <w:rsid w:val="00EB4A62"/>
    <w:rsid w:val="00EB4BCE"/>
    <w:rsid w:val="00EB4ECD"/>
    <w:rsid w:val="00EB50AB"/>
    <w:rsid w:val="00EB5172"/>
    <w:rsid w:val="00EB6FF3"/>
    <w:rsid w:val="00EB70C7"/>
    <w:rsid w:val="00EB72A8"/>
    <w:rsid w:val="00EB74EC"/>
    <w:rsid w:val="00EB7774"/>
    <w:rsid w:val="00EB7A39"/>
    <w:rsid w:val="00EB7D3F"/>
    <w:rsid w:val="00EC0115"/>
    <w:rsid w:val="00EC0428"/>
    <w:rsid w:val="00EC1A09"/>
    <w:rsid w:val="00EC241C"/>
    <w:rsid w:val="00EC3302"/>
    <w:rsid w:val="00EC3D03"/>
    <w:rsid w:val="00EC4867"/>
    <w:rsid w:val="00EC4B2C"/>
    <w:rsid w:val="00EC4E3C"/>
    <w:rsid w:val="00EC4E88"/>
    <w:rsid w:val="00EC511D"/>
    <w:rsid w:val="00EC52EB"/>
    <w:rsid w:val="00EC5DF4"/>
    <w:rsid w:val="00EC6539"/>
    <w:rsid w:val="00EC700D"/>
    <w:rsid w:val="00EC75C8"/>
    <w:rsid w:val="00EC7E73"/>
    <w:rsid w:val="00ED0EEE"/>
    <w:rsid w:val="00ED1241"/>
    <w:rsid w:val="00ED124F"/>
    <w:rsid w:val="00ED1436"/>
    <w:rsid w:val="00ED2748"/>
    <w:rsid w:val="00ED2F47"/>
    <w:rsid w:val="00ED3A53"/>
    <w:rsid w:val="00ED3BE1"/>
    <w:rsid w:val="00ED4448"/>
    <w:rsid w:val="00ED44CC"/>
    <w:rsid w:val="00ED4D04"/>
    <w:rsid w:val="00ED4F21"/>
    <w:rsid w:val="00ED511E"/>
    <w:rsid w:val="00ED56B6"/>
    <w:rsid w:val="00ED5882"/>
    <w:rsid w:val="00ED5A89"/>
    <w:rsid w:val="00ED5C6C"/>
    <w:rsid w:val="00ED6A92"/>
    <w:rsid w:val="00ED726C"/>
    <w:rsid w:val="00ED7AD4"/>
    <w:rsid w:val="00ED7B66"/>
    <w:rsid w:val="00ED7CED"/>
    <w:rsid w:val="00EE0A94"/>
    <w:rsid w:val="00EE0C36"/>
    <w:rsid w:val="00EE1557"/>
    <w:rsid w:val="00EE1E7E"/>
    <w:rsid w:val="00EE1FEE"/>
    <w:rsid w:val="00EE2CBA"/>
    <w:rsid w:val="00EE31B3"/>
    <w:rsid w:val="00EE33F8"/>
    <w:rsid w:val="00EE3C76"/>
    <w:rsid w:val="00EE3C8B"/>
    <w:rsid w:val="00EE3F70"/>
    <w:rsid w:val="00EE40E0"/>
    <w:rsid w:val="00EE40F9"/>
    <w:rsid w:val="00EE4299"/>
    <w:rsid w:val="00EE50F4"/>
    <w:rsid w:val="00EE5197"/>
    <w:rsid w:val="00EE5385"/>
    <w:rsid w:val="00EE5976"/>
    <w:rsid w:val="00EE5B40"/>
    <w:rsid w:val="00EE60D4"/>
    <w:rsid w:val="00EE649F"/>
    <w:rsid w:val="00EE6997"/>
    <w:rsid w:val="00EE71B1"/>
    <w:rsid w:val="00EE72A4"/>
    <w:rsid w:val="00EE7CCA"/>
    <w:rsid w:val="00EE7E93"/>
    <w:rsid w:val="00EF0CD4"/>
    <w:rsid w:val="00EF3301"/>
    <w:rsid w:val="00EF3BDA"/>
    <w:rsid w:val="00EF5161"/>
    <w:rsid w:val="00EF5485"/>
    <w:rsid w:val="00EF5779"/>
    <w:rsid w:val="00EF5B40"/>
    <w:rsid w:val="00EF652E"/>
    <w:rsid w:val="00EF6612"/>
    <w:rsid w:val="00EF6861"/>
    <w:rsid w:val="00EF6D5D"/>
    <w:rsid w:val="00EF722F"/>
    <w:rsid w:val="00EF75BE"/>
    <w:rsid w:val="00EF77B2"/>
    <w:rsid w:val="00EF7A48"/>
    <w:rsid w:val="00EF7CD6"/>
    <w:rsid w:val="00EF7F88"/>
    <w:rsid w:val="00F0012D"/>
    <w:rsid w:val="00F005B5"/>
    <w:rsid w:val="00F00A18"/>
    <w:rsid w:val="00F0148A"/>
    <w:rsid w:val="00F0176C"/>
    <w:rsid w:val="00F0245E"/>
    <w:rsid w:val="00F028E0"/>
    <w:rsid w:val="00F02A87"/>
    <w:rsid w:val="00F03384"/>
    <w:rsid w:val="00F03B2B"/>
    <w:rsid w:val="00F04162"/>
    <w:rsid w:val="00F044F4"/>
    <w:rsid w:val="00F04646"/>
    <w:rsid w:val="00F04A57"/>
    <w:rsid w:val="00F04EDE"/>
    <w:rsid w:val="00F0534D"/>
    <w:rsid w:val="00F056C0"/>
    <w:rsid w:val="00F056CC"/>
    <w:rsid w:val="00F05E31"/>
    <w:rsid w:val="00F06585"/>
    <w:rsid w:val="00F06A39"/>
    <w:rsid w:val="00F06DBC"/>
    <w:rsid w:val="00F0721C"/>
    <w:rsid w:val="00F078D8"/>
    <w:rsid w:val="00F104DC"/>
    <w:rsid w:val="00F112C0"/>
    <w:rsid w:val="00F11703"/>
    <w:rsid w:val="00F11DB0"/>
    <w:rsid w:val="00F12139"/>
    <w:rsid w:val="00F12679"/>
    <w:rsid w:val="00F12EC5"/>
    <w:rsid w:val="00F135AF"/>
    <w:rsid w:val="00F147AD"/>
    <w:rsid w:val="00F14F4B"/>
    <w:rsid w:val="00F15600"/>
    <w:rsid w:val="00F1598C"/>
    <w:rsid w:val="00F159CB"/>
    <w:rsid w:val="00F16189"/>
    <w:rsid w:val="00F16627"/>
    <w:rsid w:val="00F16B53"/>
    <w:rsid w:val="00F16D3D"/>
    <w:rsid w:val="00F2068A"/>
    <w:rsid w:val="00F20B46"/>
    <w:rsid w:val="00F20B6F"/>
    <w:rsid w:val="00F20DCB"/>
    <w:rsid w:val="00F2115B"/>
    <w:rsid w:val="00F21176"/>
    <w:rsid w:val="00F21354"/>
    <w:rsid w:val="00F2235C"/>
    <w:rsid w:val="00F2262D"/>
    <w:rsid w:val="00F228AB"/>
    <w:rsid w:val="00F22F06"/>
    <w:rsid w:val="00F2340C"/>
    <w:rsid w:val="00F23437"/>
    <w:rsid w:val="00F23A07"/>
    <w:rsid w:val="00F23A72"/>
    <w:rsid w:val="00F23A97"/>
    <w:rsid w:val="00F23C9F"/>
    <w:rsid w:val="00F240B3"/>
    <w:rsid w:val="00F2453D"/>
    <w:rsid w:val="00F24FFA"/>
    <w:rsid w:val="00F25641"/>
    <w:rsid w:val="00F26888"/>
    <w:rsid w:val="00F26AA6"/>
    <w:rsid w:val="00F26D49"/>
    <w:rsid w:val="00F27412"/>
    <w:rsid w:val="00F275FC"/>
    <w:rsid w:val="00F30017"/>
    <w:rsid w:val="00F311C7"/>
    <w:rsid w:val="00F314B0"/>
    <w:rsid w:val="00F3220F"/>
    <w:rsid w:val="00F32215"/>
    <w:rsid w:val="00F3269B"/>
    <w:rsid w:val="00F33606"/>
    <w:rsid w:val="00F339DC"/>
    <w:rsid w:val="00F34118"/>
    <w:rsid w:val="00F34FFD"/>
    <w:rsid w:val="00F35717"/>
    <w:rsid w:val="00F35A19"/>
    <w:rsid w:val="00F35AF2"/>
    <w:rsid w:val="00F35C90"/>
    <w:rsid w:val="00F35D3F"/>
    <w:rsid w:val="00F361B5"/>
    <w:rsid w:val="00F361BF"/>
    <w:rsid w:val="00F36B78"/>
    <w:rsid w:val="00F36BE5"/>
    <w:rsid w:val="00F36CD6"/>
    <w:rsid w:val="00F36D00"/>
    <w:rsid w:val="00F373F8"/>
    <w:rsid w:val="00F3760D"/>
    <w:rsid w:val="00F378FD"/>
    <w:rsid w:val="00F37960"/>
    <w:rsid w:val="00F37D82"/>
    <w:rsid w:val="00F40982"/>
    <w:rsid w:val="00F41118"/>
    <w:rsid w:val="00F412C0"/>
    <w:rsid w:val="00F416F0"/>
    <w:rsid w:val="00F41BAB"/>
    <w:rsid w:val="00F41BCE"/>
    <w:rsid w:val="00F41E92"/>
    <w:rsid w:val="00F427EC"/>
    <w:rsid w:val="00F42807"/>
    <w:rsid w:val="00F42AEB"/>
    <w:rsid w:val="00F42CC9"/>
    <w:rsid w:val="00F42EB0"/>
    <w:rsid w:val="00F430C9"/>
    <w:rsid w:val="00F43272"/>
    <w:rsid w:val="00F436E4"/>
    <w:rsid w:val="00F43A8F"/>
    <w:rsid w:val="00F43CF6"/>
    <w:rsid w:val="00F44179"/>
    <w:rsid w:val="00F444E5"/>
    <w:rsid w:val="00F444E8"/>
    <w:rsid w:val="00F44B61"/>
    <w:rsid w:val="00F44E6D"/>
    <w:rsid w:val="00F45119"/>
    <w:rsid w:val="00F4522B"/>
    <w:rsid w:val="00F45ADC"/>
    <w:rsid w:val="00F45CAF"/>
    <w:rsid w:val="00F45E90"/>
    <w:rsid w:val="00F45F46"/>
    <w:rsid w:val="00F46197"/>
    <w:rsid w:val="00F4695B"/>
    <w:rsid w:val="00F4726E"/>
    <w:rsid w:val="00F47E8C"/>
    <w:rsid w:val="00F50A72"/>
    <w:rsid w:val="00F521DA"/>
    <w:rsid w:val="00F52260"/>
    <w:rsid w:val="00F52463"/>
    <w:rsid w:val="00F527BF"/>
    <w:rsid w:val="00F52804"/>
    <w:rsid w:val="00F530AB"/>
    <w:rsid w:val="00F535FE"/>
    <w:rsid w:val="00F536F0"/>
    <w:rsid w:val="00F5467C"/>
    <w:rsid w:val="00F54A1F"/>
    <w:rsid w:val="00F54C79"/>
    <w:rsid w:val="00F55572"/>
    <w:rsid w:val="00F55F2F"/>
    <w:rsid w:val="00F56670"/>
    <w:rsid w:val="00F56A36"/>
    <w:rsid w:val="00F570D4"/>
    <w:rsid w:val="00F5781F"/>
    <w:rsid w:val="00F57B4E"/>
    <w:rsid w:val="00F6019F"/>
    <w:rsid w:val="00F6036D"/>
    <w:rsid w:val="00F60A36"/>
    <w:rsid w:val="00F60CC1"/>
    <w:rsid w:val="00F60DF5"/>
    <w:rsid w:val="00F60EF4"/>
    <w:rsid w:val="00F61124"/>
    <w:rsid w:val="00F61354"/>
    <w:rsid w:val="00F616C7"/>
    <w:rsid w:val="00F6176C"/>
    <w:rsid w:val="00F61B0D"/>
    <w:rsid w:val="00F61CE2"/>
    <w:rsid w:val="00F61F28"/>
    <w:rsid w:val="00F62331"/>
    <w:rsid w:val="00F62699"/>
    <w:rsid w:val="00F63089"/>
    <w:rsid w:val="00F63B9C"/>
    <w:rsid w:val="00F64039"/>
    <w:rsid w:val="00F6473C"/>
    <w:rsid w:val="00F6473E"/>
    <w:rsid w:val="00F64BF3"/>
    <w:rsid w:val="00F65051"/>
    <w:rsid w:val="00F6607D"/>
    <w:rsid w:val="00F66093"/>
    <w:rsid w:val="00F66319"/>
    <w:rsid w:val="00F6725D"/>
    <w:rsid w:val="00F67BE7"/>
    <w:rsid w:val="00F67F95"/>
    <w:rsid w:val="00F68D7C"/>
    <w:rsid w:val="00F707A9"/>
    <w:rsid w:val="00F7092B"/>
    <w:rsid w:val="00F70939"/>
    <w:rsid w:val="00F70947"/>
    <w:rsid w:val="00F70FFE"/>
    <w:rsid w:val="00F7134F"/>
    <w:rsid w:val="00F719F5"/>
    <w:rsid w:val="00F72233"/>
    <w:rsid w:val="00F7233A"/>
    <w:rsid w:val="00F7251D"/>
    <w:rsid w:val="00F725A7"/>
    <w:rsid w:val="00F72BAD"/>
    <w:rsid w:val="00F730FC"/>
    <w:rsid w:val="00F7326F"/>
    <w:rsid w:val="00F73F17"/>
    <w:rsid w:val="00F74006"/>
    <w:rsid w:val="00F74122"/>
    <w:rsid w:val="00F7451F"/>
    <w:rsid w:val="00F749CE"/>
    <w:rsid w:val="00F74B0C"/>
    <w:rsid w:val="00F74ED2"/>
    <w:rsid w:val="00F7525F"/>
    <w:rsid w:val="00F7570F"/>
    <w:rsid w:val="00F75C05"/>
    <w:rsid w:val="00F76087"/>
    <w:rsid w:val="00F764FF"/>
    <w:rsid w:val="00F765AE"/>
    <w:rsid w:val="00F76765"/>
    <w:rsid w:val="00F76A2C"/>
    <w:rsid w:val="00F76A61"/>
    <w:rsid w:val="00F76C2B"/>
    <w:rsid w:val="00F77131"/>
    <w:rsid w:val="00F77C41"/>
    <w:rsid w:val="00F77C54"/>
    <w:rsid w:val="00F77F73"/>
    <w:rsid w:val="00F7CB4B"/>
    <w:rsid w:val="00F7DC2F"/>
    <w:rsid w:val="00F801EB"/>
    <w:rsid w:val="00F80AE0"/>
    <w:rsid w:val="00F810D3"/>
    <w:rsid w:val="00F82251"/>
    <w:rsid w:val="00F822DC"/>
    <w:rsid w:val="00F82988"/>
    <w:rsid w:val="00F82B18"/>
    <w:rsid w:val="00F82E41"/>
    <w:rsid w:val="00F83034"/>
    <w:rsid w:val="00F8327E"/>
    <w:rsid w:val="00F83952"/>
    <w:rsid w:val="00F8462E"/>
    <w:rsid w:val="00F846C2"/>
    <w:rsid w:val="00F84713"/>
    <w:rsid w:val="00F84894"/>
    <w:rsid w:val="00F84C24"/>
    <w:rsid w:val="00F856F6"/>
    <w:rsid w:val="00F85A21"/>
    <w:rsid w:val="00F8601C"/>
    <w:rsid w:val="00F861F1"/>
    <w:rsid w:val="00F862A1"/>
    <w:rsid w:val="00F8651C"/>
    <w:rsid w:val="00F86F8D"/>
    <w:rsid w:val="00F876AA"/>
    <w:rsid w:val="00F87757"/>
    <w:rsid w:val="00F87A2F"/>
    <w:rsid w:val="00F87B2A"/>
    <w:rsid w:val="00F900D4"/>
    <w:rsid w:val="00F90101"/>
    <w:rsid w:val="00F90178"/>
    <w:rsid w:val="00F90481"/>
    <w:rsid w:val="00F904A7"/>
    <w:rsid w:val="00F90672"/>
    <w:rsid w:val="00F90975"/>
    <w:rsid w:val="00F90EB6"/>
    <w:rsid w:val="00F90FF6"/>
    <w:rsid w:val="00F911AF"/>
    <w:rsid w:val="00F916BC"/>
    <w:rsid w:val="00F91B02"/>
    <w:rsid w:val="00F92429"/>
    <w:rsid w:val="00F92B2D"/>
    <w:rsid w:val="00F92C05"/>
    <w:rsid w:val="00F92F18"/>
    <w:rsid w:val="00F92FD5"/>
    <w:rsid w:val="00F935F4"/>
    <w:rsid w:val="00F936E4"/>
    <w:rsid w:val="00F936F9"/>
    <w:rsid w:val="00F940AB"/>
    <w:rsid w:val="00F94174"/>
    <w:rsid w:val="00F94696"/>
    <w:rsid w:val="00F94B32"/>
    <w:rsid w:val="00F94E85"/>
    <w:rsid w:val="00F94FFB"/>
    <w:rsid w:val="00F95566"/>
    <w:rsid w:val="00F95D14"/>
    <w:rsid w:val="00F96B66"/>
    <w:rsid w:val="00F96F73"/>
    <w:rsid w:val="00F97391"/>
    <w:rsid w:val="00F97403"/>
    <w:rsid w:val="00F979B0"/>
    <w:rsid w:val="00FA021F"/>
    <w:rsid w:val="00FA09F5"/>
    <w:rsid w:val="00FA0A29"/>
    <w:rsid w:val="00FA0FB1"/>
    <w:rsid w:val="00FA18FE"/>
    <w:rsid w:val="00FA1A38"/>
    <w:rsid w:val="00FA1C52"/>
    <w:rsid w:val="00FA1CB0"/>
    <w:rsid w:val="00FA244C"/>
    <w:rsid w:val="00FA2827"/>
    <w:rsid w:val="00FA284B"/>
    <w:rsid w:val="00FA295A"/>
    <w:rsid w:val="00FA2C38"/>
    <w:rsid w:val="00FA319D"/>
    <w:rsid w:val="00FA3273"/>
    <w:rsid w:val="00FA39AF"/>
    <w:rsid w:val="00FA3DE6"/>
    <w:rsid w:val="00FA3FD3"/>
    <w:rsid w:val="00FA4176"/>
    <w:rsid w:val="00FA4B8D"/>
    <w:rsid w:val="00FA543C"/>
    <w:rsid w:val="00FA572D"/>
    <w:rsid w:val="00FA5F8B"/>
    <w:rsid w:val="00FA60EE"/>
    <w:rsid w:val="00FA62F8"/>
    <w:rsid w:val="00FA657F"/>
    <w:rsid w:val="00FA686B"/>
    <w:rsid w:val="00FA6DC5"/>
    <w:rsid w:val="00FA7274"/>
    <w:rsid w:val="00FA72C0"/>
    <w:rsid w:val="00FA743F"/>
    <w:rsid w:val="00FA785D"/>
    <w:rsid w:val="00FA7A7C"/>
    <w:rsid w:val="00FA7DF5"/>
    <w:rsid w:val="00FAD64F"/>
    <w:rsid w:val="00FB0706"/>
    <w:rsid w:val="00FB0D32"/>
    <w:rsid w:val="00FB106A"/>
    <w:rsid w:val="00FB130A"/>
    <w:rsid w:val="00FB1AE5"/>
    <w:rsid w:val="00FB1F59"/>
    <w:rsid w:val="00FB1FBD"/>
    <w:rsid w:val="00FB201D"/>
    <w:rsid w:val="00FB242A"/>
    <w:rsid w:val="00FB26FF"/>
    <w:rsid w:val="00FB2AAA"/>
    <w:rsid w:val="00FB2E4A"/>
    <w:rsid w:val="00FB30A4"/>
    <w:rsid w:val="00FB38A1"/>
    <w:rsid w:val="00FB3A31"/>
    <w:rsid w:val="00FB3DFA"/>
    <w:rsid w:val="00FB4A81"/>
    <w:rsid w:val="00FB4D6E"/>
    <w:rsid w:val="00FB5604"/>
    <w:rsid w:val="00FB593B"/>
    <w:rsid w:val="00FB616E"/>
    <w:rsid w:val="00FB6D78"/>
    <w:rsid w:val="00FB7121"/>
    <w:rsid w:val="00FB72B1"/>
    <w:rsid w:val="00FB78F1"/>
    <w:rsid w:val="00FB7AE9"/>
    <w:rsid w:val="00FB7C63"/>
    <w:rsid w:val="00FB9C99"/>
    <w:rsid w:val="00FBFB5D"/>
    <w:rsid w:val="00FC02F4"/>
    <w:rsid w:val="00FC0A52"/>
    <w:rsid w:val="00FC0CF9"/>
    <w:rsid w:val="00FC0DA6"/>
    <w:rsid w:val="00FC0EEE"/>
    <w:rsid w:val="00FC10D6"/>
    <w:rsid w:val="00FC186F"/>
    <w:rsid w:val="00FC18A1"/>
    <w:rsid w:val="00FC1BA9"/>
    <w:rsid w:val="00FC1CEA"/>
    <w:rsid w:val="00FC21FA"/>
    <w:rsid w:val="00FC2E73"/>
    <w:rsid w:val="00FC322F"/>
    <w:rsid w:val="00FC3706"/>
    <w:rsid w:val="00FC38B5"/>
    <w:rsid w:val="00FC393C"/>
    <w:rsid w:val="00FC39AB"/>
    <w:rsid w:val="00FC3A2E"/>
    <w:rsid w:val="00FC3C9D"/>
    <w:rsid w:val="00FC440C"/>
    <w:rsid w:val="00FC5533"/>
    <w:rsid w:val="00FC5569"/>
    <w:rsid w:val="00FC592F"/>
    <w:rsid w:val="00FC5A7F"/>
    <w:rsid w:val="00FC5E09"/>
    <w:rsid w:val="00FC5F48"/>
    <w:rsid w:val="00FC78A9"/>
    <w:rsid w:val="00FD0376"/>
    <w:rsid w:val="00FD03E7"/>
    <w:rsid w:val="00FD044E"/>
    <w:rsid w:val="00FD11BA"/>
    <w:rsid w:val="00FD15D4"/>
    <w:rsid w:val="00FD1A9B"/>
    <w:rsid w:val="00FD2A66"/>
    <w:rsid w:val="00FD311B"/>
    <w:rsid w:val="00FD379F"/>
    <w:rsid w:val="00FD39D3"/>
    <w:rsid w:val="00FD4014"/>
    <w:rsid w:val="00FD44DD"/>
    <w:rsid w:val="00FD45F0"/>
    <w:rsid w:val="00FD544C"/>
    <w:rsid w:val="00FD55D2"/>
    <w:rsid w:val="00FE036A"/>
    <w:rsid w:val="00FE0663"/>
    <w:rsid w:val="00FE08E8"/>
    <w:rsid w:val="00FE101D"/>
    <w:rsid w:val="00FE1395"/>
    <w:rsid w:val="00FE14A0"/>
    <w:rsid w:val="00FE180A"/>
    <w:rsid w:val="00FE19AF"/>
    <w:rsid w:val="00FE1DF8"/>
    <w:rsid w:val="00FE22C5"/>
    <w:rsid w:val="00FE2342"/>
    <w:rsid w:val="00FE23DF"/>
    <w:rsid w:val="00FE2996"/>
    <w:rsid w:val="00FE3093"/>
    <w:rsid w:val="00FE3270"/>
    <w:rsid w:val="00FE3362"/>
    <w:rsid w:val="00FE348D"/>
    <w:rsid w:val="00FE3620"/>
    <w:rsid w:val="00FE3892"/>
    <w:rsid w:val="00FE38D8"/>
    <w:rsid w:val="00FE3A02"/>
    <w:rsid w:val="00FE3BE6"/>
    <w:rsid w:val="00FE40C1"/>
    <w:rsid w:val="00FE473B"/>
    <w:rsid w:val="00FE51A9"/>
    <w:rsid w:val="00FE54F2"/>
    <w:rsid w:val="00FE58CD"/>
    <w:rsid w:val="00FE5AFC"/>
    <w:rsid w:val="00FE62DB"/>
    <w:rsid w:val="00FE6529"/>
    <w:rsid w:val="00FE6965"/>
    <w:rsid w:val="00FE6F10"/>
    <w:rsid w:val="00FE70D0"/>
    <w:rsid w:val="00FE7596"/>
    <w:rsid w:val="00FE773B"/>
    <w:rsid w:val="00FE7F6F"/>
    <w:rsid w:val="00FF19B0"/>
    <w:rsid w:val="00FF1E92"/>
    <w:rsid w:val="00FF1F78"/>
    <w:rsid w:val="00FF239E"/>
    <w:rsid w:val="00FF3E3E"/>
    <w:rsid w:val="00FF555C"/>
    <w:rsid w:val="00FF57E6"/>
    <w:rsid w:val="00FF588E"/>
    <w:rsid w:val="00FF5AD8"/>
    <w:rsid w:val="00FF62BC"/>
    <w:rsid w:val="00FF6B5E"/>
    <w:rsid w:val="00FF79B4"/>
    <w:rsid w:val="00FF7F23"/>
    <w:rsid w:val="0110303F"/>
    <w:rsid w:val="01137B7D"/>
    <w:rsid w:val="011968D8"/>
    <w:rsid w:val="011DA094"/>
    <w:rsid w:val="0124B535"/>
    <w:rsid w:val="012A786C"/>
    <w:rsid w:val="012BDF0B"/>
    <w:rsid w:val="013B7B20"/>
    <w:rsid w:val="014318A2"/>
    <w:rsid w:val="0143D47A"/>
    <w:rsid w:val="0148871E"/>
    <w:rsid w:val="01544137"/>
    <w:rsid w:val="015635FF"/>
    <w:rsid w:val="0156F8A0"/>
    <w:rsid w:val="015877BC"/>
    <w:rsid w:val="015AFD02"/>
    <w:rsid w:val="015F8A90"/>
    <w:rsid w:val="01639FE5"/>
    <w:rsid w:val="016E269A"/>
    <w:rsid w:val="01719470"/>
    <w:rsid w:val="01785BB9"/>
    <w:rsid w:val="018AE5E4"/>
    <w:rsid w:val="01973A1E"/>
    <w:rsid w:val="0199D8A1"/>
    <w:rsid w:val="019AF1CD"/>
    <w:rsid w:val="019EFD6A"/>
    <w:rsid w:val="01A6DB5B"/>
    <w:rsid w:val="01A7ECDF"/>
    <w:rsid w:val="01AF35F8"/>
    <w:rsid w:val="01B107A6"/>
    <w:rsid w:val="01B9D12F"/>
    <w:rsid w:val="01D031B0"/>
    <w:rsid w:val="01DEE684"/>
    <w:rsid w:val="01E42D38"/>
    <w:rsid w:val="01E64D19"/>
    <w:rsid w:val="01E8C807"/>
    <w:rsid w:val="01F303CC"/>
    <w:rsid w:val="01F6CF9D"/>
    <w:rsid w:val="01F97644"/>
    <w:rsid w:val="0205D9EF"/>
    <w:rsid w:val="0207972E"/>
    <w:rsid w:val="020FAE5E"/>
    <w:rsid w:val="02191410"/>
    <w:rsid w:val="021B2CEA"/>
    <w:rsid w:val="021BAC7C"/>
    <w:rsid w:val="021ED73D"/>
    <w:rsid w:val="021EE1C6"/>
    <w:rsid w:val="021F901E"/>
    <w:rsid w:val="022542B6"/>
    <w:rsid w:val="022C36A8"/>
    <w:rsid w:val="022DDEF3"/>
    <w:rsid w:val="0235B261"/>
    <w:rsid w:val="0237EA91"/>
    <w:rsid w:val="023838DF"/>
    <w:rsid w:val="023DED6F"/>
    <w:rsid w:val="023E87B5"/>
    <w:rsid w:val="02452DC9"/>
    <w:rsid w:val="0252D8E1"/>
    <w:rsid w:val="0256BE23"/>
    <w:rsid w:val="0258D3B1"/>
    <w:rsid w:val="025F9D35"/>
    <w:rsid w:val="0260A0CB"/>
    <w:rsid w:val="02666ED6"/>
    <w:rsid w:val="0268FB8E"/>
    <w:rsid w:val="0269AE64"/>
    <w:rsid w:val="0269B70B"/>
    <w:rsid w:val="026F8A00"/>
    <w:rsid w:val="026FD6A2"/>
    <w:rsid w:val="02721FC0"/>
    <w:rsid w:val="02723734"/>
    <w:rsid w:val="02732E7F"/>
    <w:rsid w:val="027D7D27"/>
    <w:rsid w:val="028A1A76"/>
    <w:rsid w:val="028B00AE"/>
    <w:rsid w:val="029188BD"/>
    <w:rsid w:val="0291E4AB"/>
    <w:rsid w:val="0295519F"/>
    <w:rsid w:val="029717A1"/>
    <w:rsid w:val="029B4266"/>
    <w:rsid w:val="029F506D"/>
    <w:rsid w:val="02A0BC2B"/>
    <w:rsid w:val="02A2471C"/>
    <w:rsid w:val="02A4ED9E"/>
    <w:rsid w:val="02A7D71D"/>
    <w:rsid w:val="02AD2319"/>
    <w:rsid w:val="02B15911"/>
    <w:rsid w:val="02B318CA"/>
    <w:rsid w:val="02B60356"/>
    <w:rsid w:val="02BB4ABF"/>
    <w:rsid w:val="02C39FB9"/>
    <w:rsid w:val="02C7464D"/>
    <w:rsid w:val="02C9FDB0"/>
    <w:rsid w:val="02CAE3B8"/>
    <w:rsid w:val="02D54E15"/>
    <w:rsid w:val="02D61478"/>
    <w:rsid w:val="02DDE15D"/>
    <w:rsid w:val="02E2F9B6"/>
    <w:rsid w:val="02E3C16A"/>
    <w:rsid w:val="02E5BC3B"/>
    <w:rsid w:val="02EB91C9"/>
    <w:rsid w:val="02F1C577"/>
    <w:rsid w:val="02F20E20"/>
    <w:rsid w:val="02FB8C95"/>
    <w:rsid w:val="02FF7185"/>
    <w:rsid w:val="0300945C"/>
    <w:rsid w:val="0304498D"/>
    <w:rsid w:val="0306F924"/>
    <w:rsid w:val="030A205A"/>
    <w:rsid w:val="030E8929"/>
    <w:rsid w:val="030EC1DB"/>
    <w:rsid w:val="0310B64D"/>
    <w:rsid w:val="0313C47A"/>
    <w:rsid w:val="031A9AE9"/>
    <w:rsid w:val="031E17D2"/>
    <w:rsid w:val="0328156F"/>
    <w:rsid w:val="03281B12"/>
    <w:rsid w:val="032A515E"/>
    <w:rsid w:val="032ACA93"/>
    <w:rsid w:val="033AFED3"/>
    <w:rsid w:val="033D2606"/>
    <w:rsid w:val="0347C0EE"/>
    <w:rsid w:val="0348AB48"/>
    <w:rsid w:val="034D1900"/>
    <w:rsid w:val="034F0D6A"/>
    <w:rsid w:val="035356AE"/>
    <w:rsid w:val="0353D930"/>
    <w:rsid w:val="0358579F"/>
    <w:rsid w:val="03586D82"/>
    <w:rsid w:val="035AFCF2"/>
    <w:rsid w:val="035BA6AB"/>
    <w:rsid w:val="035E31F5"/>
    <w:rsid w:val="036057EC"/>
    <w:rsid w:val="0360FB5A"/>
    <w:rsid w:val="0362D3C7"/>
    <w:rsid w:val="0364B241"/>
    <w:rsid w:val="0366060A"/>
    <w:rsid w:val="0367236D"/>
    <w:rsid w:val="03684628"/>
    <w:rsid w:val="036A4278"/>
    <w:rsid w:val="036EF469"/>
    <w:rsid w:val="03712917"/>
    <w:rsid w:val="0373C630"/>
    <w:rsid w:val="0375B1DC"/>
    <w:rsid w:val="0377E458"/>
    <w:rsid w:val="038202B5"/>
    <w:rsid w:val="0383D608"/>
    <w:rsid w:val="03882A0D"/>
    <w:rsid w:val="038C8CDE"/>
    <w:rsid w:val="038E653D"/>
    <w:rsid w:val="038F21E1"/>
    <w:rsid w:val="039A41B5"/>
    <w:rsid w:val="039F6221"/>
    <w:rsid w:val="03A020B5"/>
    <w:rsid w:val="03A8B0DF"/>
    <w:rsid w:val="03ABC45C"/>
    <w:rsid w:val="03ACBD5E"/>
    <w:rsid w:val="03C41D5E"/>
    <w:rsid w:val="03C4A1F5"/>
    <w:rsid w:val="03CCB5F7"/>
    <w:rsid w:val="03D6028F"/>
    <w:rsid w:val="03D7419C"/>
    <w:rsid w:val="03D8FD8E"/>
    <w:rsid w:val="03E09BDB"/>
    <w:rsid w:val="03E0C44F"/>
    <w:rsid w:val="03E1027B"/>
    <w:rsid w:val="03E62FC6"/>
    <w:rsid w:val="03F0F7B6"/>
    <w:rsid w:val="03F25FC5"/>
    <w:rsid w:val="03F95A34"/>
    <w:rsid w:val="03FD1D4F"/>
    <w:rsid w:val="04006E11"/>
    <w:rsid w:val="0400C338"/>
    <w:rsid w:val="04020711"/>
    <w:rsid w:val="04036627"/>
    <w:rsid w:val="0403A176"/>
    <w:rsid w:val="04059698"/>
    <w:rsid w:val="04060329"/>
    <w:rsid w:val="040C7A16"/>
    <w:rsid w:val="04192F5E"/>
    <w:rsid w:val="04199901"/>
    <w:rsid w:val="041A829D"/>
    <w:rsid w:val="041BF22A"/>
    <w:rsid w:val="041CC220"/>
    <w:rsid w:val="041EC65F"/>
    <w:rsid w:val="042433B6"/>
    <w:rsid w:val="0424358B"/>
    <w:rsid w:val="042930C2"/>
    <w:rsid w:val="042A1164"/>
    <w:rsid w:val="042BB482"/>
    <w:rsid w:val="0430F26C"/>
    <w:rsid w:val="043362B0"/>
    <w:rsid w:val="0435262F"/>
    <w:rsid w:val="043731B3"/>
    <w:rsid w:val="0440D776"/>
    <w:rsid w:val="0443488C"/>
    <w:rsid w:val="04496180"/>
    <w:rsid w:val="0449E89D"/>
    <w:rsid w:val="044B6BF5"/>
    <w:rsid w:val="044C0616"/>
    <w:rsid w:val="044D4EC1"/>
    <w:rsid w:val="044E87D1"/>
    <w:rsid w:val="0450E038"/>
    <w:rsid w:val="0456A3C1"/>
    <w:rsid w:val="0459FFE8"/>
    <w:rsid w:val="045AC758"/>
    <w:rsid w:val="04609153"/>
    <w:rsid w:val="04626747"/>
    <w:rsid w:val="04669640"/>
    <w:rsid w:val="0466C0F1"/>
    <w:rsid w:val="046C6A5B"/>
    <w:rsid w:val="046D6D9F"/>
    <w:rsid w:val="046D70A3"/>
    <w:rsid w:val="04777338"/>
    <w:rsid w:val="047A4347"/>
    <w:rsid w:val="047C30AB"/>
    <w:rsid w:val="047DB15C"/>
    <w:rsid w:val="0485964A"/>
    <w:rsid w:val="049161B9"/>
    <w:rsid w:val="04918E9C"/>
    <w:rsid w:val="0493F3A1"/>
    <w:rsid w:val="049833C2"/>
    <w:rsid w:val="04992F73"/>
    <w:rsid w:val="0499F2FA"/>
    <w:rsid w:val="049B1DFE"/>
    <w:rsid w:val="04A2D933"/>
    <w:rsid w:val="04A36505"/>
    <w:rsid w:val="04A4500F"/>
    <w:rsid w:val="04A515E8"/>
    <w:rsid w:val="04A68D55"/>
    <w:rsid w:val="04AB9320"/>
    <w:rsid w:val="04BE001E"/>
    <w:rsid w:val="04C0A8F2"/>
    <w:rsid w:val="04C19A62"/>
    <w:rsid w:val="04CB666D"/>
    <w:rsid w:val="04CD3364"/>
    <w:rsid w:val="04D01600"/>
    <w:rsid w:val="04D27941"/>
    <w:rsid w:val="04DA1377"/>
    <w:rsid w:val="04E49AA3"/>
    <w:rsid w:val="04E6AB54"/>
    <w:rsid w:val="04EE0710"/>
    <w:rsid w:val="04F0354B"/>
    <w:rsid w:val="04F184A3"/>
    <w:rsid w:val="04F4039B"/>
    <w:rsid w:val="04F5EC1A"/>
    <w:rsid w:val="0501F5E0"/>
    <w:rsid w:val="0504ED75"/>
    <w:rsid w:val="0506489C"/>
    <w:rsid w:val="05096F3D"/>
    <w:rsid w:val="05098575"/>
    <w:rsid w:val="051308EA"/>
    <w:rsid w:val="051EC955"/>
    <w:rsid w:val="051F4C4E"/>
    <w:rsid w:val="051FDB48"/>
    <w:rsid w:val="05202D00"/>
    <w:rsid w:val="05221351"/>
    <w:rsid w:val="05241944"/>
    <w:rsid w:val="0528159F"/>
    <w:rsid w:val="052C949A"/>
    <w:rsid w:val="052D3EDE"/>
    <w:rsid w:val="052ECE29"/>
    <w:rsid w:val="053646EE"/>
    <w:rsid w:val="05425107"/>
    <w:rsid w:val="0542B294"/>
    <w:rsid w:val="0544FDD8"/>
    <w:rsid w:val="054EEF29"/>
    <w:rsid w:val="054F434A"/>
    <w:rsid w:val="05502429"/>
    <w:rsid w:val="05505775"/>
    <w:rsid w:val="055641DE"/>
    <w:rsid w:val="055C4289"/>
    <w:rsid w:val="05630AD7"/>
    <w:rsid w:val="056B9883"/>
    <w:rsid w:val="056F0448"/>
    <w:rsid w:val="056F136D"/>
    <w:rsid w:val="05746340"/>
    <w:rsid w:val="0577A5D2"/>
    <w:rsid w:val="0577B73B"/>
    <w:rsid w:val="057D53C2"/>
    <w:rsid w:val="0585C1F4"/>
    <w:rsid w:val="05865360"/>
    <w:rsid w:val="0586BF4B"/>
    <w:rsid w:val="05875EF9"/>
    <w:rsid w:val="0587BF30"/>
    <w:rsid w:val="05893CFF"/>
    <w:rsid w:val="058B6434"/>
    <w:rsid w:val="059B40F2"/>
    <w:rsid w:val="05A15AC8"/>
    <w:rsid w:val="05A25398"/>
    <w:rsid w:val="05A54190"/>
    <w:rsid w:val="05A5C670"/>
    <w:rsid w:val="05A9FAC1"/>
    <w:rsid w:val="05B06641"/>
    <w:rsid w:val="05B2A267"/>
    <w:rsid w:val="05B2ED55"/>
    <w:rsid w:val="05B30DFC"/>
    <w:rsid w:val="05B3A2EA"/>
    <w:rsid w:val="05B59FEF"/>
    <w:rsid w:val="05B9536B"/>
    <w:rsid w:val="05CD78FB"/>
    <w:rsid w:val="05D8CA0F"/>
    <w:rsid w:val="05E493ED"/>
    <w:rsid w:val="05E6AAB1"/>
    <w:rsid w:val="05ED27A4"/>
    <w:rsid w:val="05F1D2A7"/>
    <w:rsid w:val="05F8CE33"/>
    <w:rsid w:val="05FA1EC6"/>
    <w:rsid w:val="0600B657"/>
    <w:rsid w:val="06077548"/>
    <w:rsid w:val="060A0918"/>
    <w:rsid w:val="060CEC5F"/>
    <w:rsid w:val="0610BF5A"/>
    <w:rsid w:val="0614D737"/>
    <w:rsid w:val="061FDC39"/>
    <w:rsid w:val="0620B84C"/>
    <w:rsid w:val="06296654"/>
    <w:rsid w:val="062DB9C4"/>
    <w:rsid w:val="063DE5AF"/>
    <w:rsid w:val="0649DBD7"/>
    <w:rsid w:val="0650F306"/>
    <w:rsid w:val="065293A3"/>
    <w:rsid w:val="0656BA95"/>
    <w:rsid w:val="06588DEB"/>
    <w:rsid w:val="065AA630"/>
    <w:rsid w:val="065EBCE7"/>
    <w:rsid w:val="0662F8FB"/>
    <w:rsid w:val="0664F0FA"/>
    <w:rsid w:val="0666185F"/>
    <w:rsid w:val="0667D116"/>
    <w:rsid w:val="066D67C0"/>
    <w:rsid w:val="066E4BD8"/>
    <w:rsid w:val="066E93B2"/>
    <w:rsid w:val="066F8FB6"/>
    <w:rsid w:val="06728A4F"/>
    <w:rsid w:val="06746406"/>
    <w:rsid w:val="067D11CB"/>
    <w:rsid w:val="067D6267"/>
    <w:rsid w:val="06805B75"/>
    <w:rsid w:val="068A9D4E"/>
    <w:rsid w:val="069A31EE"/>
    <w:rsid w:val="06A57FCD"/>
    <w:rsid w:val="06ACA9D8"/>
    <w:rsid w:val="06B44F4E"/>
    <w:rsid w:val="06B88F15"/>
    <w:rsid w:val="06C01CD2"/>
    <w:rsid w:val="06C212B3"/>
    <w:rsid w:val="06CD6040"/>
    <w:rsid w:val="06CD89F5"/>
    <w:rsid w:val="06CF49D0"/>
    <w:rsid w:val="06D2B100"/>
    <w:rsid w:val="06D98DF7"/>
    <w:rsid w:val="06DB00FD"/>
    <w:rsid w:val="06E1858C"/>
    <w:rsid w:val="06E4D17E"/>
    <w:rsid w:val="06ED0769"/>
    <w:rsid w:val="06F44BF6"/>
    <w:rsid w:val="06FB5581"/>
    <w:rsid w:val="06FF6F3E"/>
    <w:rsid w:val="06FFB6A1"/>
    <w:rsid w:val="07004EB1"/>
    <w:rsid w:val="0713A6AA"/>
    <w:rsid w:val="0714C6F0"/>
    <w:rsid w:val="07174379"/>
    <w:rsid w:val="0723F20A"/>
    <w:rsid w:val="072ADB91"/>
    <w:rsid w:val="0730BCE2"/>
    <w:rsid w:val="07314099"/>
    <w:rsid w:val="07340AB4"/>
    <w:rsid w:val="0749DA85"/>
    <w:rsid w:val="074C58EF"/>
    <w:rsid w:val="0750D78D"/>
    <w:rsid w:val="075478DF"/>
    <w:rsid w:val="0754D0D7"/>
    <w:rsid w:val="07560FF1"/>
    <w:rsid w:val="0760C64E"/>
    <w:rsid w:val="0763B39C"/>
    <w:rsid w:val="0765F669"/>
    <w:rsid w:val="0766218A"/>
    <w:rsid w:val="076C12CE"/>
    <w:rsid w:val="07725BA1"/>
    <w:rsid w:val="0774DCA0"/>
    <w:rsid w:val="0777B36D"/>
    <w:rsid w:val="077C4430"/>
    <w:rsid w:val="077C641C"/>
    <w:rsid w:val="078472DD"/>
    <w:rsid w:val="0788323E"/>
    <w:rsid w:val="078A49D9"/>
    <w:rsid w:val="078D1BED"/>
    <w:rsid w:val="078DFDEB"/>
    <w:rsid w:val="0790E353"/>
    <w:rsid w:val="07969C2A"/>
    <w:rsid w:val="079ACE56"/>
    <w:rsid w:val="079B0538"/>
    <w:rsid w:val="079B6090"/>
    <w:rsid w:val="079C97F5"/>
    <w:rsid w:val="079E37A3"/>
    <w:rsid w:val="07A13EEB"/>
    <w:rsid w:val="07A1C6B3"/>
    <w:rsid w:val="07A8D121"/>
    <w:rsid w:val="07AD469A"/>
    <w:rsid w:val="07B2B01B"/>
    <w:rsid w:val="07B39826"/>
    <w:rsid w:val="07B53434"/>
    <w:rsid w:val="07B72AE3"/>
    <w:rsid w:val="07B9175B"/>
    <w:rsid w:val="07BFD1DB"/>
    <w:rsid w:val="07CDD4A1"/>
    <w:rsid w:val="07CE3BD5"/>
    <w:rsid w:val="07CE43B0"/>
    <w:rsid w:val="07D001DF"/>
    <w:rsid w:val="07D4C245"/>
    <w:rsid w:val="07DB4DE0"/>
    <w:rsid w:val="07DD4C78"/>
    <w:rsid w:val="07DEB0F9"/>
    <w:rsid w:val="07DFFC09"/>
    <w:rsid w:val="07E0A44B"/>
    <w:rsid w:val="07E3C7E5"/>
    <w:rsid w:val="07E5478B"/>
    <w:rsid w:val="07E8369A"/>
    <w:rsid w:val="07E96ACA"/>
    <w:rsid w:val="07EB4790"/>
    <w:rsid w:val="07EEEFDC"/>
    <w:rsid w:val="07F7EE42"/>
    <w:rsid w:val="07F7F001"/>
    <w:rsid w:val="07FFD696"/>
    <w:rsid w:val="0803F0C5"/>
    <w:rsid w:val="0806A451"/>
    <w:rsid w:val="0808422F"/>
    <w:rsid w:val="080925C7"/>
    <w:rsid w:val="08102B6E"/>
    <w:rsid w:val="0812B899"/>
    <w:rsid w:val="0815511F"/>
    <w:rsid w:val="081932CD"/>
    <w:rsid w:val="0828A7E9"/>
    <w:rsid w:val="082BF381"/>
    <w:rsid w:val="082C9D53"/>
    <w:rsid w:val="0831346A"/>
    <w:rsid w:val="08369929"/>
    <w:rsid w:val="083A233E"/>
    <w:rsid w:val="08405BED"/>
    <w:rsid w:val="084361F0"/>
    <w:rsid w:val="0844A6EE"/>
    <w:rsid w:val="084702B1"/>
    <w:rsid w:val="08495809"/>
    <w:rsid w:val="084997A0"/>
    <w:rsid w:val="084CB558"/>
    <w:rsid w:val="084EECB5"/>
    <w:rsid w:val="084F1308"/>
    <w:rsid w:val="0855982B"/>
    <w:rsid w:val="085B2245"/>
    <w:rsid w:val="085BB3F1"/>
    <w:rsid w:val="085BE7BC"/>
    <w:rsid w:val="085EBE96"/>
    <w:rsid w:val="08603B24"/>
    <w:rsid w:val="08645A02"/>
    <w:rsid w:val="0867C1FF"/>
    <w:rsid w:val="086DB99D"/>
    <w:rsid w:val="086E314A"/>
    <w:rsid w:val="086E5015"/>
    <w:rsid w:val="0870A30F"/>
    <w:rsid w:val="0876FB15"/>
    <w:rsid w:val="087B0018"/>
    <w:rsid w:val="087BE681"/>
    <w:rsid w:val="089CC715"/>
    <w:rsid w:val="08A002D4"/>
    <w:rsid w:val="08A0CD08"/>
    <w:rsid w:val="08A14C4E"/>
    <w:rsid w:val="08A5A56F"/>
    <w:rsid w:val="08B4B777"/>
    <w:rsid w:val="08B4EF45"/>
    <w:rsid w:val="08C28D6C"/>
    <w:rsid w:val="08CF2BF3"/>
    <w:rsid w:val="08CFC19B"/>
    <w:rsid w:val="08D1EE7E"/>
    <w:rsid w:val="08D3019F"/>
    <w:rsid w:val="08D8A370"/>
    <w:rsid w:val="08E4C58D"/>
    <w:rsid w:val="08E737F3"/>
    <w:rsid w:val="08EEB317"/>
    <w:rsid w:val="08F1893C"/>
    <w:rsid w:val="08F1D671"/>
    <w:rsid w:val="08FA9D8D"/>
    <w:rsid w:val="08FD823F"/>
    <w:rsid w:val="08FDFCC3"/>
    <w:rsid w:val="09031578"/>
    <w:rsid w:val="09056806"/>
    <w:rsid w:val="090CDEE4"/>
    <w:rsid w:val="0911F53B"/>
    <w:rsid w:val="09167465"/>
    <w:rsid w:val="091C0963"/>
    <w:rsid w:val="091D2BB3"/>
    <w:rsid w:val="09205667"/>
    <w:rsid w:val="0920D3E9"/>
    <w:rsid w:val="09226C56"/>
    <w:rsid w:val="0925FE76"/>
    <w:rsid w:val="0926B731"/>
    <w:rsid w:val="09289494"/>
    <w:rsid w:val="0934822F"/>
    <w:rsid w:val="093713BE"/>
    <w:rsid w:val="094A8074"/>
    <w:rsid w:val="094CB1E2"/>
    <w:rsid w:val="09570005"/>
    <w:rsid w:val="0959EB71"/>
    <w:rsid w:val="095C2150"/>
    <w:rsid w:val="0960221E"/>
    <w:rsid w:val="0963F948"/>
    <w:rsid w:val="0964FE75"/>
    <w:rsid w:val="09671389"/>
    <w:rsid w:val="096A9F9D"/>
    <w:rsid w:val="096C2A52"/>
    <w:rsid w:val="096E6578"/>
    <w:rsid w:val="096F0C73"/>
    <w:rsid w:val="0971C76E"/>
    <w:rsid w:val="097B3DF1"/>
    <w:rsid w:val="097B43F2"/>
    <w:rsid w:val="097CCEFE"/>
    <w:rsid w:val="097F390E"/>
    <w:rsid w:val="0983FED5"/>
    <w:rsid w:val="0985C766"/>
    <w:rsid w:val="09899E18"/>
    <w:rsid w:val="098F9A17"/>
    <w:rsid w:val="0990A77A"/>
    <w:rsid w:val="0991FA62"/>
    <w:rsid w:val="0997142F"/>
    <w:rsid w:val="099E1432"/>
    <w:rsid w:val="09A154FB"/>
    <w:rsid w:val="09A59DD8"/>
    <w:rsid w:val="09A818B6"/>
    <w:rsid w:val="09A95405"/>
    <w:rsid w:val="09B35C8E"/>
    <w:rsid w:val="09BC0BFF"/>
    <w:rsid w:val="09BC764A"/>
    <w:rsid w:val="09C05FBC"/>
    <w:rsid w:val="09C48BBF"/>
    <w:rsid w:val="09C79094"/>
    <w:rsid w:val="09CBA68F"/>
    <w:rsid w:val="09CF8815"/>
    <w:rsid w:val="09D313DA"/>
    <w:rsid w:val="09D5C044"/>
    <w:rsid w:val="09DD3830"/>
    <w:rsid w:val="09E5B577"/>
    <w:rsid w:val="09E5FB7F"/>
    <w:rsid w:val="09E9C5EE"/>
    <w:rsid w:val="09EC463D"/>
    <w:rsid w:val="09F3DEE2"/>
    <w:rsid w:val="09F7F9DF"/>
    <w:rsid w:val="09F9CEC4"/>
    <w:rsid w:val="09FB59AE"/>
    <w:rsid w:val="09FBD0FA"/>
    <w:rsid w:val="0A00BE5D"/>
    <w:rsid w:val="0A076212"/>
    <w:rsid w:val="0A0BDF62"/>
    <w:rsid w:val="0A11825D"/>
    <w:rsid w:val="0A11CFEB"/>
    <w:rsid w:val="0A13D0B5"/>
    <w:rsid w:val="0A18DC26"/>
    <w:rsid w:val="0A19AE8C"/>
    <w:rsid w:val="0A1F5336"/>
    <w:rsid w:val="0A206FD4"/>
    <w:rsid w:val="0A2ECE38"/>
    <w:rsid w:val="0A35E18F"/>
    <w:rsid w:val="0A376793"/>
    <w:rsid w:val="0A37F4A3"/>
    <w:rsid w:val="0A3B804C"/>
    <w:rsid w:val="0A41A4EB"/>
    <w:rsid w:val="0A43D5E5"/>
    <w:rsid w:val="0A44FDDC"/>
    <w:rsid w:val="0A4D185E"/>
    <w:rsid w:val="0A4ECBCD"/>
    <w:rsid w:val="0A572A92"/>
    <w:rsid w:val="0A57F112"/>
    <w:rsid w:val="0A5981A4"/>
    <w:rsid w:val="0A5C77F7"/>
    <w:rsid w:val="0A5CC722"/>
    <w:rsid w:val="0A5DDBF6"/>
    <w:rsid w:val="0A689755"/>
    <w:rsid w:val="0A6A0E58"/>
    <w:rsid w:val="0A6F09D5"/>
    <w:rsid w:val="0A6FCDD2"/>
    <w:rsid w:val="0A777D36"/>
    <w:rsid w:val="0A7CB8F6"/>
    <w:rsid w:val="0A7EE095"/>
    <w:rsid w:val="0A8072F8"/>
    <w:rsid w:val="0A810197"/>
    <w:rsid w:val="0A8352D4"/>
    <w:rsid w:val="0A8495A4"/>
    <w:rsid w:val="0A88212A"/>
    <w:rsid w:val="0A8C3390"/>
    <w:rsid w:val="0A90950A"/>
    <w:rsid w:val="0A9F98E7"/>
    <w:rsid w:val="0AA15D41"/>
    <w:rsid w:val="0AA52189"/>
    <w:rsid w:val="0AA8B82C"/>
    <w:rsid w:val="0AADB2CD"/>
    <w:rsid w:val="0AB62F62"/>
    <w:rsid w:val="0AC0FDC5"/>
    <w:rsid w:val="0AC5FE47"/>
    <w:rsid w:val="0AC60DF0"/>
    <w:rsid w:val="0ADC404A"/>
    <w:rsid w:val="0ADE4C9D"/>
    <w:rsid w:val="0AE28224"/>
    <w:rsid w:val="0AEA2654"/>
    <w:rsid w:val="0AF2FE75"/>
    <w:rsid w:val="0AFBF1A2"/>
    <w:rsid w:val="0AFF6B50"/>
    <w:rsid w:val="0B01E9CD"/>
    <w:rsid w:val="0B121D73"/>
    <w:rsid w:val="0B175779"/>
    <w:rsid w:val="0B1A0575"/>
    <w:rsid w:val="0B1E0F5D"/>
    <w:rsid w:val="0B23F0A9"/>
    <w:rsid w:val="0B29116A"/>
    <w:rsid w:val="0B30A043"/>
    <w:rsid w:val="0B330C9A"/>
    <w:rsid w:val="0B36B710"/>
    <w:rsid w:val="0B430360"/>
    <w:rsid w:val="0B45E220"/>
    <w:rsid w:val="0B48899A"/>
    <w:rsid w:val="0B49D752"/>
    <w:rsid w:val="0B4B4B0F"/>
    <w:rsid w:val="0B4B65F9"/>
    <w:rsid w:val="0B60F21C"/>
    <w:rsid w:val="0B60F3DB"/>
    <w:rsid w:val="0B620CEB"/>
    <w:rsid w:val="0B6EE089"/>
    <w:rsid w:val="0B748627"/>
    <w:rsid w:val="0B779C1D"/>
    <w:rsid w:val="0B7CC6E8"/>
    <w:rsid w:val="0B829DFC"/>
    <w:rsid w:val="0B82A4A0"/>
    <w:rsid w:val="0B85AB3C"/>
    <w:rsid w:val="0B85AD87"/>
    <w:rsid w:val="0B984925"/>
    <w:rsid w:val="0B988197"/>
    <w:rsid w:val="0B9A3E3C"/>
    <w:rsid w:val="0BA1A1B9"/>
    <w:rsid w:val="0BAE0D0B"/>
    <w:rsid w:val="0BAF87A1"/>
    <w:rsid w:val="0BB620DD"/>
    <w:rsid w:val="0BB96D08"/>
    <w:rsid w:val="0BBCE0D3"/>
    <w:rsid w:val="0BBE365F"/>
    <w:rsid w:val="0BC43B45"/>
    <w:rsid w:val="0BC702AE"/>
    <w:rsid w:val="0BC93EBF"/>
    <w:rsid w:val="0BCAB55C"/>
    <w:rsid w:val="0BCAC442"/>
    <w:rsid w:val="0BCC33BB"/>
    <w:rsid w:val="0BCDF47C"/>
    <w:rsid w:val="0BD50F19"/>
    <w:rsid w:val="0BD51485"/>
    <w:rsid w:val="0BD67991"/>
    <w:rsid w:val="0BDA77FF"/>
    <w:rsid w:val="0BE2B0B9"/>
    <w:rsid w:val="0BE2DDF0"/>
    <w:rsid w:val="0BE35B2B"/>
    <w:rsid w:val="0BECD74B"/>
    <w:rsid w:val="0BEF4909"/>
    <w:rsid w:val="0C01108F"/>
    <w:rsid w:val="0C011F67"/>
    <w:rsid w:val="0C063A3C"/>
    <w:rsid w:val="0C0C8F4D"/>
    <w:rsid w:val="0C104F96"/>
    <w:rsid w:val="0C1E4C6E"/>
    <w:rsid w:val="0C1ED784"/>
    <w:rsid w:val="0C1F3F30"/>
    <w:rsid w:val="0C20EC6F"/>
    <w:rsid w:val="0C29FB8F"/>
    <w:rsid w:val="0C2AEDA4"/>
    <w:rsid w:val="0C2C2957"/>
    <w:rsid w:val="0C2F420C"/>
    <w:rsid w:val="0C35C73A"/>
    <w:rsid w:val="0C3985D0"/>
    <w:rsid w:val="0C3991D9"/>
    <w:rsid w:val="0C3ADE25"/>
    <w:rsid w:val="0C48B4C0"/>
    <w:rsid w:val="0C4B6052"/>
    <w:rsid w:val="0C5152E0"/>
    <w:rsid w:val="0C52247F"/>
    <w:rsid w:val="0C559B2C"/>
    <w:rsid w:val="0C5B67A3"/>
    <w:rsid w:val="0C688ABF"/>
    <w:rsid w:val="0C6CB557"/>
    <w:rsid w:val="0C6D2C65"/>
    <w:rsid w:val="0C6D8D62"/>
    <w:rsid w:val="0C6E1C35"/>
    <w:rsid w:val="0C70FFBD"/>
    <w:rsid w:val="0C715719"/>
    <w:rsid w:val="0C7A293E"/>
    <w:rsid w:val="0C7D6864"/>
    <w:rsid w:val="0C7F2FAF"/>
    <w:rsid w:val="0C804274"/>
    <w:rsid w:val="0C8AAE6D"/>
    <w:rsid w:val="0C90E201"/>
    <w:rsid w:val="0C910268"/>
    <w:rsid w:val="0C9B3A1A"/>
    <w:rsid w:val="0C9F2920"/>
    <w:rsid w:val="0CA37740"/>
    <w:rsid w:val="0CAE203E"/>
    <w:rsid w:val="0CBA4D17"/>
    <w:rsid w:val="0CC1C2FB"/>
    <w:rsid w:val="0CC48C72"/>
    <w:rsid w:val="0CC8BA7E"/>
    <w:rsid w:val="0CD53DA4"/>
    <w:rsid w:val="0CD798C8"/>
    <w:rsid w:val="0CDED145"/>
    <w:rsid w:val="0CDF7400"/>
    <w:rsid w:val="0CE40FC3"/>
    <w:rsid w:val="0CE489CC"/>
    <w:rsid w:val="0CE75558"/>
    <w:rsid w:val="0CE941A8"/>
    <w:rsid w:val="0CED4F37"/>
    <w:rsid w:val="0CF1018A"/>
    <w:rsid w:val="0CF1298A"/>
    <w:rsid w:val="0CF71295"/>
    <w:rsid w:val="0CF8422B"/>
    <w:rsid w:val="0CFE4F70"/>
    <w:rsid w:val="0D0307EB"/>
    <w:rsid w:val="0D109F3B"/>
    <w:rsid w:val="0D1927A1"/>
    <w:rsid w:val="0D22A1EF"/>
    <w:rsid w:val="0D35FBC2"/>
    <w:rsid w:val="0D381CB8"/>
    <w:rsid w:val="0D3A7276"/>
    <w:rsid w:val="0D42082B"/>
    <w:rsid w:val="0D49E228"/>
    <w:rsid w:val="0D4F480A"/>
    <w:rsid w:val="0D4FDE46"/>
    <w:rsid w:val="0D516C5E"/>
    <w:rsid w:val="0D5604A8"/>
    <w:rsid w:val="0D6E010B"/>
    <w:rsid w:val="0D7A7335"/>
    <w:rsid w:val="0D7A733F"/>
    <w:rsid w:val="0D877A28"/>
    <w:rsid w:val="0D8BB297"/>
    <w:rsid w:val="0D8F99B7"/>
    <w:rsid w:val="0D92FC96"/>
    <w:rsid w:val="0D94147B"/>
    <w:rsid w:val="0D96B137"/>
    <w:rsid w:val="0D98461B"/>
    <w:rsid w:val="0DA33F72"/>
    <w:rsid w:val="0DA778E2"/>
    <w:rsid w:val="0DA7C64D"/>
    <w:rsid w:val="0DB4F081"/>
    <w:rsid w:val="0DB8FE44"/>
    <w:rsid w:val="0DBDC300"/>
    <w:rsid w:val="0DC13EC0"/>
    <w:rsid w:val="0DC1C076"/>
    <w:rsid w:val="0DC415D7"/>
    <w:rsid w:val="0DC4B7B7"/>
    <w:rsid w:val="0DCB4E89"/>
    <w:rsid w:val="0DCDB20D"/>
    <w:rsid w:val="0DCEBBD4"/>
    <w:rsid w:val="0DCEE59B"/>
    <w:rsid w:val="0DD2793B"/>
    <w:rsid w:val="0DD38A43"/>
    <w:rsid w:val="0DD50012"/>
    <w:rsid w:val="0DDAEC5A"/>
    <w:rsid w:val="0DDC0317"/>
    <w:rsid w:val="0DDCF7EA"/>
    <w:rsid w:val="0DE51417"/>
    <w:rsid w:val="0DEA1160"/>
    <w:rsid w:val="0DEE4A65"/>
    <w:rsid w:val="0DEE69A3"/>
    <w:rsid w:val="0DF2A613"/>
    <w:rsid w:val="0DF8E6D8"/>
    <w:rsid w:val="0DFA2F26"/>
    <w:rsid w:val="0DFEF841"/>
    <w:rsid w:val="0E010216"/>
    <w:rsid w:val="0E0266DE"/>
    <w:rsid w:val="0E10C8EB"/>
    <w:rsid w:val="0E11D3DF"/>
    <w:rsid w:val="0E11FABA"/>
    <w:rsid w:val="0E1C481A"/>
    <w:rsid w:val="0E1E3066"/>
    <w:rsid w:val="0E1EF375"/>
    <w:rsid w:val="0E1F8D79"/>
    <w:rsid w:val="0E200C3C"/>
    <w:rsid w:val="0E21E217"/>
    <w:rsid w:val="0E2A543A"/>
    <w:rsid w:val="0E2AE8FF"/>
    <w:rsid w:val="0E2F1235"/>
    <w:rsid w:val="0E3EA7F8"/>
    <w:rsid w:val="0E401AED"/>
    <w:rsid w:val="0E42BFB1"/>
    <w:rsid w:val="0E47A519"/>
    <w:rsid w:val="0E4A8F53"/>
    <w:rsid w:val="0E4AD0B3"/>
    <w:rsid w:val="0E4ED5DC"/>
    <w:rsid w:val="0E59FF91"/>
    <w:rsid w:val="0E5BB643"/>
    <w:rsid w:val="0E639CF7"/>
    <w:rsid w:val="0E662927"/>
    <w:rsid w:val="0E6F12FD"/>
    <w:rsid w:val="0E792718"/>
    <w:rsid w:val="0E79C5FD"/>
    <w:rsid w:val="0E84363D"/>
    <w:rsid w:val="0E8E8CD6"/>
    <w:rsid w:val="0E8FE87B"/>
    <w:rsid w:val="0E919F77"/>
    <w:rsid w:val="0E951F65"/>
    <w:rsid w:val="0E9535E7"/>
    <w:rsid w:val="0E956339"/>
    <w:rsid w:val="0EA3CFB6"/>
    <w:rsid w:val="0EA52789"/>
    <w:rsid w:val="0EA7909B"/>
    <w:rsid w:val="0EB228B3"/>
    <w:rsid w:val="0EB67A30"/>
    <w:rsid w:val="0EBE4B0A"/>
    <w:rsid w:val="0EBF3346"/>
    <w:rsid w:val="0EC25962"/>
    <w:rsid w:val="0EC3F699"/>
    <w:rsid w:val="0EC42EA9"/>
    <w:rsid w:val="0EC84442"/>
    <w:rsid w:val="0ED48D99"/>
    <w:rsid w:val="0ED69392"/>
    <w:rsid w:val="0EDA2F7F"/>
    <w:rsid w:val="0EE3AE60"/>
    <w:rsid w:val="0EE7E081"/>
    <w:rsid w:val="0EEB19AD"/>
    <w:rsid w:val="0EF15295"/>
    <w:rsid w:val="0EF79CB9"/>
    <w:rsid w:val="0F027A7C"/>
    <w:rsid w:val="0F100D1B"/>
    <w:rsid w:val="0F13F710"/>
    <w:rsid w:val="0F1D6750"/>
    <w:rsid w:val="0F1DD3B2"/>
    <w:rsid w:val="0F1FF60C"/>
    <w:rsid w:val="0F2180BD"/>
    <w:rsid w:val="0F219156"/>
    <w:rsid w:val="0F21F5A7"/>
    <w:rsid w:val="0F224981"/>
    <w:rsid w:val="0F24B9F9"/>
    <w:rsid w:val="0F273220"/>
    <w:rsid w:val="0F333BF1"/>
    <w:rsid w:val="0F3442F7"/>
    <w:rsid w:val="0F38E592"/>
    <w:rsid w:val="0F3ADD27"/>
    <w:rsid w:val="0F3E8EE7"/>
    <w:rsid w:val="0F42517B"/>
    <w:rsid w:val="0F42BA5E"/>
    <w:rsid w:val="0F43EEDF"/>
    <w:rsid w:val="0F442404"/>
    <w:rsid w:val="0F4997E7"/>
    <w:rsid w:val="0F4ACE3E"/>
    <w:rsid w:val="0F4F86F5"/>
    <w:rsid w:val="0F4FF9D1"/>
    <w:rsid w:val="0F537A76"/>
    <w:rsid w:val="0F53C83E"/>
    <w:rsid w:val="0F550C0C"/>
    <w:rsid w:val="0F5A1210"/>
    <w:rsid w:val="0F5D47CE"/>
    <w:rsid w:val="0F65DE69"/>
    <w:rsid w:val="0F6E45EA"/>
    <w:rsid w:val="0F7228B1"/>
    <w:rsid w:val="0F745409"/>
    <w:rsid w:val="0F77FDE6"/>
    <w:rsid w:val="0F7D9225"/>
    <w:rsid w:val="0F868626"/>
    <w:rsid w:val="0F954E9E"/>
    <w:rsid w:val="0F9CB90E"/>
    <w:rsid w:val="0FA449B8"/>
    <w:rsid w:val="0FB2954F"/>
    <w:rsid w:val="0FB2AB8A"/>
    <w:rsid w:val="0FBD46FD"/>
    <w:rsid w:val="0FBD6F30"/>
    <w:rsid w:val="0FBEE096"/>
    <w:rsid w:val="0FC46528"/>
    <w:rsid w:val="0FCC6BD0"/>
    <w:rsid w:val="0FD4D2F2"/>
    <w:rsid w:val="0FD71140"/>
    <w:rsid w:val="0FDF4222"/>
    <w:rsid w:val="0FE04808"/>
    <w:rsid w:val="0FE1034D"/>
    <w:rsid w:val="0FE8570A"/>
    <w:rsid w:val="0FE97EA5"/>
    <w:rsid w:val="0FECC163"/>
    <w:rsid w:val="0FED6207"/>
    <w:rsid w:val="0FF61B32"/>
    <w:rsid w:val="0FF7E91D"/>
    <w:rsid w:val="0FFE9706"/>
    <w:rsid w:val="0FFE9768"/>
    <w:rsid w:val="100255F3"/>
    <w:rsid w:val="1002A22C"/>
    <w:rsid w:val="10062E0C"/>
    <w:rsid w:val="100FBACB"/>
    <w:rsid w:val="10122985"/>
    <w:rsid w:val="1014B17D"/>
    <w:rsid w:val="10190955"/>
    <w:rsid w:val="1019D1B3"/>
    <w:rsid w:val="101F6B54"/>
    <w:rsid w:val="10267E65"/>
    <w:rsid w:val="1029AF88"/>
    <w:rsid w:val="1029B744"/>
    <w:rsid w:val="102A3236"/>
    <w:rsid w:val="102CECDC"/>
    <w:rsid w:val="102D09D4"/>
    <w:rsid w:val="102D2F22"/>
    <w:rsid w:val="102FECD8"/>
    <w:rsid w:val="1036E87B"/>
    <w:rsid w:val="103C01AA"/>
    <w:rsid w:val="103E3146"/>
    <w:rsid w:val="1044482B"/>
    <w:rsid w:val="104731FD"/>
    <w:rsid w:val="104FA970"/>
    <w:rsid w:val="1057D3A0"/>
    <w:rsid w:val="1059ACCE"/>
    <w:rsid w:val="105CE758"/>
    <w:rsid w:val="1063410E"/>
    <w:rsid w:val="10636F50"/>
    <w:rsid w:val="107063A4"/>
    <w:rsid w:val="1071B029"/>
    <w:rsid w:val="107C48C5"/>
    <w:rsid w:val="107CEBD5"/>
    <w:rsid w:val="107F25AD"/>
    <w:rsid w:val="107F5B71"/>
    <w:rsid w:val="108104BA"/>
    <w:rsid w:val="10848C7F"/>
    <w:rsid w:val="108F370A"/>
    <w:rsid w:val="10902D5D"/>
    <w:rsid w:val="10929B0C"/>
    <w:rsid w:val="10942A19"/>
    <w:rsid w:val="109B5A7C"/>
    <w:rsid w:val="109E0EC5"/>
    <w:rsid w:val="10A1C999"/>
    <w:rsid w:val="10AA96B3"/>
    <w:rsid w:val="10B05CC3"/>
    <w:rsid w:val="10B875D7"/>
    <w:rsid w:val="10C315F6"/>
    <w:rsid w:val="10C43623"/>
    <w:rsid w:val="10D46C11"/>
    <w:rsid w:val="10D6363F"/>
    <w:rsid w:val="10D793B1"/>
    <w:rsid w:val="10DC7B08"/>
    <w:rsid w:val="10E5527F"/>
    <w:rsid w:val="10E90B19"/>
    <w:rsid w:val="10EB0FA4"/>
    <w:rsid w:val="10EDB0AD"/>
    <w:rsid w:val="10F25C86"/>
    <w:rsid w:val="1108D786"/>
    <w:rsid w:val="110D2752"/>
    <w:rsid w:val="110F1BD5"/>
    <w:rsid w:val="110FB528"/>
    <w:rsid w:val="111447EB"/>
    <w:rsid w:val="111A5728"/>
    <w:rsid w:val="111AD505"/>
    <w:rsid w:val="111E305A"/>
    <w:rsid w:val="1122B923"/>
    <w:rsid w:val="11235816"/>
    <w:rsid w:val="112EB93F"/>
    <w:rsid w:val="112F42F6"/>
    <w:rsid w:val="1133559F"/>
    <w:rsid w:val="1138B999"/>
    <w:rsid w:val="11391251"/>
    <w:rsid w:val="113A15A7"/>
    <w:rsid w:val="113AA516"/>
    <w:rsid w:val="113ECC9D"/>
    <w:rsid w:val="1140D791"/>
    <w:rsid w:val="1144A5B3"/>
    <w:rsid w:val="1149AD90"/>
    <w:rsid w:val="114B47A7"/>
    <w:rsid w:val="114DA968"/>
    <w:rsid w:val="114E84D9"/>
    <w:rsid w:val="11547CFD"/>
    <w:rsid w:val="115545E5"/>
    <w:rsid w:val="115A6FBC"/>
    <w:rsid w:val="115EE10C"/>
    <w:rsid w:val="116E7A00"/>
    <w:rsid w:val="1174DF1A"/>
    <w:rsid w:val="117A9601"/>
    <w:rsid w:val="117B171C"/>
    <w:rsid w:val="117C6BD5"/>
    <w:rsid w:val="117E8512"/>
    <w:rsid w:val="117E9469"/>
    <w:rsid w:val="1180B431"/>
    <w:rsid w:val="1182F7FD"/>
    <w:rsid w:val="1187DA07"/>
    <w:rsid w:val="1189B8C7"/>
    <w:rsid w:val="118C53F0"/>
    <w:rsid w:val="11940C28"/>
    <w:rsid w:val="11A33624"/>
    <w:rsid w:val="11A96616"/>
    <w:rsid w:val="11A998E2"/>
    <w:rsid w:val="11AA6408"/>
    <w:rsid w:val="11AE9088"/>
    <w:rsid w:val="11B40CFB"/>
    <w:rsid w:val="11B442E2"/>
    <w:rsid w:val="11B9E948"/>
    <w:rsid w:val="11BA30C7"/>
    <w:rsid w:val="11C9E6A6"/>
    <w:rsid w:val="11CA931F"/>
    <w:rsid w:val="11CBDAEF"/>
    <w:rsid w:val="11CD3BF4"/>
    <w:rsid w:val="11CD64CC"/>
    <w:rsid w:val="11CE8E1E"/>
    <w:rsid w:val="11E272B6"/>
    <w:rsid w:val="11E2A25B"/>
    <w:rsid w:val="11E67FEF"/>
    <w:rsid w:val="11EA5B77"/>
    <w:rsid w:val="11F2F859"/>
    <w:rsid w:val="11F33468"/>
    <w:rsid w:val="11FBC9C4"/>
    <w:rsid w:val="11FD6634"/>
    <w:rsid w:val="11FE0A1D"/>
    <w:rsid w:val="12065EE7"/>
    <w:rsid w:val="1208E0AA"/>
    <w:rsid w:val="120A4066"/>
    <w:rsid w:val="120B01E9"/>
    <w:rsid w:val="120CB485"/>
    <w:rsid w:val="120E166B"/>
    <w:rsid w:val="120FDBA6"/>
    <w:rsid w:val="121B10A3"/>
    <w:rsid w:val="121B724C"/>
    <w:rsid w:val="12209040"/>
    <w:rsid w:val="1220F7EE"/>
    <w:rsid w:val="122140CE"/>
    <w:rsid w:val="12226DE5"/>
    <w:rsid w:val="122B2C6B"/>
    <w:rsid w:val="122BBA6C"/>
    <w:rsid w:val="122FFF32"/>
    <w:rsid w:val="12320099"/>
    <w:rsid w:val="123B598C"/>
    <w:rsid w:val="1241D017"/>
    <w:rsid w:val="12435D3C"/>
    <w:rsid w:val="12491CEA"/>
    <w:rsid w:val="124CCE9B"/>
    <w:rsid w:val="125587BA"/>
    <w:rsid w:val="1260C8AD"/>
    <w:rsid w:val="1266FFEC"/>
    <w:rsid w:val="12684A64"/>
    <w:rsid w:val="1269FEAC"/>
    <w:rsid w:val="126C8BAA"/>
    <w:rsid w:val="126CB092"/>
    <w:rsid w:val="126EE617"/>
    <w:rsid w:val="128077BF"/>
    <w:rsid w:val="1280DAA3"/>
    <w:rsid w:val="1285DA84"/>
    <w:rsid w:val="128B1812"/>
    <w:rsid w:val="12954B22"/>
    <w:rsid w:val="129A9363"/>
    <w:rsid w:val="12A20CD3"/>
    <w:rsid w:val="12A2DC26"/>
    <w:rsid w:val="12A79FBC"/>
    <w:rsid w:val="12A9887B"/>
    <w:rsid w:val="12A9B93E"/>
    <w:rsid w:val="12A9BB67"/>
    <w:rsid w:val="12AF3797"/>
    <w:rsid w:val="12B6B89A"/>
    <w:rsid w:val="12C5580B"/>
    <w:rsid w:val="12CF0ED2"/>
    <w:rsid w:val="12D44ED8"/>
    <w:rsid w:val="12D6EBCB"/>
    <w:rsid w:val="12D7B097"/>
    <w:rsid w:val="12D965FC"/>
    <w:rsid w:val="12D99B13"/>
    <w:rsid w:val="12E4FC50"/>
    <w:rsid w:val="12E90308"/>
    <w:rsid w:val="12ECCFC3"/>
    <w:rsid w:val="12ECD839"/>
    <w:rsid w:val="12EDAD35"/>
    <w:rsid w:val="12F2A367"/>
    <w:rsid w:val="12F6698E"/>
    <w:rsid w:val="12F83BDB"/>
    <w:rsid w:val="12FB3B58"/>
    <w:rsid w:val="12FC63A9"/>
    <w:rsid w:val="1301CCA0"/>
    <w:rsid w:val="1306FB84"/>
    <w:rsid w:val="130CD114"/>
    <w:rsid w:val="13126F42"/>
    <w:rsid w:val="131A78AB"/>
    <w:rsid w:val="13207740"/>
    <w:rsid w:val="1321530C"/>
    <w:rsid w:val="132681D6"/>
    <w:rsid w:val="132683E3"/>
    <w:rsid w:val="132F37BB"/>
    <w:rsid w:val="133210A2"/>
    <w:rsid w:val="13326BAC"/>
    <w:rsid w:val="1333A7C0"/>
    <w:rsid w:val="133872D4"/>
    <w:rsid w:val="1338B019"/>
    <w:rsid w:val="133FA162"/>
    <w:rsid w:val="13439A54"/>
    <w:rsid w:val="1349AA77"/>
    <w:rsid w:val="134B8B6D"/>
    <w:rsid w:val="134EEB50"/>
    <w:rsid w:val="1350A5C4"/>
    <w:rsid w:val="135D3053"/>
    <w:rsid w:val="135E517D"/>
    <w:rsid w:val="1361CD59"/>
    <w:rsid w:val="13659BD7"/>
    <w:rsid w:val="136A936D"/>
    <w:rsid w:val="137170DA"/>
    <w:rsid w:val="1379A1BA"/>
    <w:rsid w:val="137BC5E6"/>
    <w:rsid w:val="137E0441"/>
    <w:rsid w:val="1386DE29"/>
    <w:rsid w:val="1388D6AF"/>
    <w:rsid w:val="13898C9A"/>
    <w:rsid w:val="138DC17A"/>
    <w:rsid w:val="13911059"/>
    <w:rsid w:val="139168AF"/>
    <w:rsid w:val="139496FF"/>
    <w:rsid w:val="139A6239"/>
    <w:rsid w:val="13ADA637"/>
    <w:rsid w:val="13B1E475"/>
    <w:rsid w:val="13B7572B"/>
    <w:rsid w:val="13BD1CF3"/>
    <w:rsid w:val="13C0BEA7"/>
    <w:rsid w:val="13C5F8C6"/>
    <w:rsid w:val="13CAEFF9"/>
    <w:rsid w:val="13CCAE2D"/>
    <w:rsid w:val="13CF6E6E"/>
    <w:rsid w:val="13D52868"/>
    <w:rsid w:val="13D80517"/>
    <w:rsid w:val="13E164F4"/>
    <w:rsid w:val="13E24257"/>
    <w:rsid w:val="13E577C0"/>
    <w:rsid w:val="13E627FF"/>
    <w:rsid w:val="13EF41CB"/>
    <w:rsid w:val="13F37291"/>
    <w:rsid w:val="13F9299A"/>
    <w:rsid w:val="13FC2E63"/>
    <w:rsid w:val="13FE27DD"/>
    <w:rsid w:val="14029C80"/>
    <w:rsid w:val="140BE004"/>
    <w:rsid w:val="140C8F6A"/>
    <w:rsid w:val="14101123"/>
    <w:rsid w:val="14150BC4"/>
    <w:rsid w:val="1417B2AB"/>
    <w:rsid w:val="142B6440"/>
    <w:rsid w:val="1431AE62"/>
    <w:rsid w:val="14349FB3"/>
    <w:rsid w:val="143644F7"/>
    <w:rsid w:val="143AED98"/>
    <w:rsid w:val="143CFAB5"/>
    <w:rsid w:val="143D8BA6"/>
    <w:rsid w:val="144076B5"/>
    <w:rsid w:val="144092BA"/>
    <w:rsid w:val="1442D6F0"/>
    <w:rsid w:val="144A71E4"/>
    <w:rsid w:val="144C9E92"/>
    <w:rsid w:val="144CB34E"/>
    <w:rsid w:val="144CECC7"/>
    <w:rsid w:val="14529751"/>
    <w:rsid w:val="14540186"/>
    <w:rsid w:val="1464C4E3"/>
    <w:rsid w:val="147389A5"/>
    <w:rsid w:val="1473AA2F"/>
    <w:rsid w:val="14748865"/>
    <w:rsid w:val="14758B07"/>
    <w:rsid w:val="147A0522"/>
    <w:rsid w:val="147BB66B"/>
    <w:rsid w:val="147CE06A"/>
    <w:rsid w:val="14810F41"/>
    <w:rsid w:val="148409D2"/>
    <w:rsid w:val="1495B8D6"/>
    <w:rsid w:val="1499FEC9"/>
    <w:rsid w:val="14A61C03"/>
    <w:rsid w:val="14AC1C07"/>
    <w:rsid w:val="14B21B18"/>
    <w:rsid w:val="14B8C706"/>
    <w:rsid w:val="14BE17EE"/>
    <w:rsid w:val="14C5B6B3"/>
    <w:rsid w:val="14C7F3C4"/>
    <w:rsid w:val="14C9830A"/>
    <w:rsid w:val="14E34368"/>
    <w:rsid w:val="14E491DA"/>
    <w:rsid w:val="14E67261"/>
    <w:rsid w:val="14E76BC8"/>
    <w:rsid w:val="14FABB0A"/>
    <w:rsid w:val="150341B2"/>
    <w:rsid w:val="1503E764"/>
    <w:rsid w:val="150E5F83"/>
    <w:rsid w:val="150E86D6"/>
    <w:rsid w:val="150F0A9B"/>
    <w:rsid w:val="1512AF87"/>
    <w:rsid w:val="151474E6"/>
    <w:rsid w:val="15149126"/>
    <w:rsid w:val="15159174"/>
    <w:rsid w:val="151773A2"/>
    <w:rsid w:val="151966C2"/>
    <w:rsid w:val="15197D43"/>
    <w:rsid w:val="151A8C71"/>
    <w:rsid w:val="151D2C5C"/>
    <w:rsid w:val="152240A4"/>
    <w:rsid w:val="1522A0D3"/>
    <w:rsid w:val="152875BF"/>
    <w:rsid w:val="15301578"/>
    <w:rsid w:val="1533B6CF"/>
    <w:rsid w:val="153744FA"/>
    <w:rsid w:val="153B339A"/>
    <w:rsid w:val="153BBBC9"/>
    <w:rsid w:val="153FCCA2"/>
    <w:rsid w:val="15446966"/>
    <w:rsid w:val="1552DB1F"/>
    <w:rsid w:val="155BAE72"/>
    <w:rsid w:val="1562FA92"/>
    <w:rsid w:val="15631FD9"/>
    <w:rsid w:val="15659AE4"/>
    <w:rsid w:val="1567E9D4"/>
    <w:rsid w:val="15694CEB"/>
    <w:rsid w:val="157BD8A5"/>
    <w:rsid w:val="157ECE60"/>
    <w:rsid w:val="157EF21A"/>
    <w:rsid w:val="1580511C"/>
    <w:rsid w:val="1585242C"/>
    <w:rsid w:val="15879120"/>
    <w:rsid w:val="15894705"/>
    <w:rsid w:val="158C4B5C"/>
    <w:rsid w:val="1593B370"/>
    <w:rsid w:val="15993BAB"/>
    <w:rsid w:val="159DE00F"/>
    <w:rsid w:val="159ED5C1"/>
    <w:rsid w:val="159F434C"/>
    <w:rsid w:val="15AE3574"/>
    <w:rsid w:val="15B79EB2"/>
    <w:rsid w:val="15C02923"/>
    <w:rsid w:val="15C74A72"/>
    <w:rsid w:val="15C7E677"/>
    <w:rsid w:val="15C94EC3"/>
    <w:rsid w:val="15CA690A"/>
    <w:rsid w:val="15CF2D33"/>
    <w:rsid w:val="15D04710"/>
    <w:rsid w:val="15D408F7"/>
    <w:rsid w:val="15D8A776"/>
    <w:rsid w:val="15DDAB18"/>
    <w:rsid w:val="15DDF01F"/>
    <w:rsid w:val="15E195DC"/>
    <w:rsid w:val="15E5DA36"/>
    <w:rsid w:val="15E5E3AC"/>
    <w:rsid w:val="15E780F8"/>
    <w:rsid w:val="15EC5F02"/>
    <w:rsid w:val="15F612ED"/>
    <w:rsid w:val="15FE86A7"/>
    <w:rsid w:val="15FF0D58"/>
    <w:rsid w:val="1606EC9D"/>
    <w:rsid w:val="1613B9B9"/>
    <w:rsid w:val="16168331"/>
    <w:rsid w:val="16181FF2"/>
    <w:rsid w:val="161BAEBF"/>
    <w:rsid w:val="161C6765"/>
    <w:rsid w:val="161D29D1"/>
    <w:rsid w:val="1620BDFC"/>
    <w:rsid w:val="16249E6F"/>
    <w:rsid w:val="162C5655"/>
    <w:rsid w:val="162CEAEE"/>
    <w:rsid w:val="16303559"/>
    <w:rsid w:val="16307781"/>
    <w:rsid w:val="16328997"/>
    <w:rsid w:val="1635FAE5"/>
    <w:rsid w:val="16365B38"/>
    <w:rsid w:val="164630BD"/>
    <w:rsid w:val="164B4B9B"/>
    <w:rsid w:val="164E6C4B"/>
    <w:rsid w:val="1654D99C"/>
    <w:rsid w:val="1657ED66"/>
    <w:rsid w:val="1660A84E"/>
    <w:rsid w:val="166B3FE7"/>
    <w:rsid w:val="166B8D28"/>
    <w:rsid w:val="166FB477"/>
    <w:rsid w:val="1671E162"/>
    <w:rsid w:val="1676788D"/>
    <w:rsid w:val="1678035B"/>
    <w:rsid w:val="167DCCB5"/>
    <w:rsid w:val="16897F9B"/>
    <w:rsid w:val="168BE1DF"/>
    <w:rsid w:val="16A2092E"/>
    <w:rsid w:val="16A37293"/>
    <w:rsid w:val="16A9E646"/>
    <w:rsid w:val="16ACBF59"/>
    <w:rsid w:val="16B10693"/>
    <w:rsid w:val="16B6B433"/>
    <w:rsid w:val="16C24E22"/>
    <w:rsid w:val="16C6C4E0"/>
    <w:rsid w:val="16CBC104"/>
    <w:rsid w:val="16D246A7"/>
    <w:rsid w:val="16D756B4"/>
    <w:rsid w:val="16D75C1C"/>
    <w:rsid w:val="16D7B45E"/>
    <w:rsid w:val="16DBA4FD"/>
    <w:rsid w:val="16DC0FB5"/>
    <w:rsid w:val="16DCE950"/>
    <w:rsid w:val="16DE8E3B"/>
    <w:rsid w:val="16EDD1DF"/>
    <w:rsid w:val="16F24EA1"/>
    <w:rsid w:val="16F2DA9B"/>
    <w:rsid w:val="16F87259"/>
    <w:rsid w:val="16FDA876"/>
    <w:rsid w:val="16FE6A73"/>
    <w:rsid w:val="170BF6C0"/>
    <w:rsid w:val="170D55DF"/>
    <w:rsid w:val="170E7840"/>
    <w:rsid w:val="170EC85E"/>
    <w:rsid w:val="171505D3"/>
    <w:rsid w:val="17154F66"/>
    <w:rsid w:val="17177A90"/>
    <w:rsid w:val="171F3217"/>
    <w:rsid w:val="17213B3A"/>
    <w:rsid w:val="1723514C"/>
    <w:rsid w:val="1723B58F"/>
    <w:rsid w:val="17242B30"/>
    <w:rsid w:val="172FDC91"/>
    <w:rsid w:val="17323540"/>
    <w:rsid w:val="173351D5"/>
    <w:rsid w:val="17402CA0"/>
    <w:rsid w:val="1759ADA7"/>
    <w:rsid w:val="175DEF84"/>
    <w:rsid w:val="1766B755"/>
    <w:rsid w:val="17696279"/>
    <w:rsid w:val="177090B9"/>
    <w:rsid w:val="1777915F"/>
    <w:rsid w:val="1778F129"/>
    <w:rsid w:val="177C5048"/>
    <w:rsid w:val="177C6679"/>
    <w:rsid w:val="177F5E2B"/>
    <w:rsid w:val="1780198E"/>
    <w:rsid w:val="17832A22"/>
    <w:rsid w:val="178589E1"/>
    <w:rsid w:val="178B9961"/>
    <w:rsid w:val="17959F5A"/>
    <w:rsid w:val="179697EE"/>
    <w:rsid w:val="17ACD462"/>
    <w:rsid w:val="17B1B54A"/>
    <w:rsid w:val="17B3DF80"/>
    <w:rsid w:val="17BAAB20"/>
    <w:rsid w:val="17BB24EB"/>
    <w:rsid w:val="17BC5114"/>
    <w:rsid w:val="17C36EEF"/>
    <w:rsid w:val="17CABEBA"/>
    <w:rsid w:val="17CC2718"/>
    <w:rsid w:val="17CF8E32"/>
    <w:rsid w:val="17D05AF6"/>
    <w:rsid w:val="17D3199B"/>
    <w:rsid w:val="17E1C965"/>
    <w:rsid w:val="17E3CA7A"/>
    <w:rsid w:val="17EA166E"/>
    <w:rsid w:val="17EAB5E2"/>
    <w:rsid w:val="17EBA063"/>
    <w:rsid w:val="17F0BDD0"/>
    <w:rsid w:val="17F325B6"/>
    <w:rsid w:val="17F6FA26"/>
    <w:rsid w:val="17F9CD29"/>
    <w:rsid w:val="17FDE44E"/>
    <w:rsid w:val="18005684"/>
    <w:rsid w:val="18048C95"/>
    <w:rsid w:val="18077DA3"/>
    <w:rsid w:val="180C751A"/>
    <w:rsid w:val="18124FCF"/>
    <w:rsid w:val="18128EF5"/>
    <w:rsid w:val="18194E42"/>
    <w:rsid w:val="181ABDB6"/>
    <w:rsid w:val="1821251F"/>
    <w:rsid w:val="18332F11"/>
    <w:rsid w:val="1834DF7E"/>
    <w:rsid w:val="183C5923"/>
    <w:rsid w:val="18433A43"/>
    <w:rsid w:val="1843DD3C"/>
    <w:rsid w:val="184748F8"/>
    <w:rsid w:val="1848A32C"/>
    <w:rsid w:val="184A73CA"/>
    <w:rsid w:val="184FA791"/>
    <w:rsid w:val="1851655F"/>
    <w:rsid w:val="18554BD7"/>
    <w:rsid w:val="1860E6CB"/>
    <w:rsid w:val="1864258F"/>
    <w:rsid w:val="1865D8CB"/>
    <w:rsid w:val="18673AEB"/>
    <w:rsid w:val="186A81C1"/>
    <w:rsid w:val="18707214"/>
    <w:rsid w:val="18758739"/>
    <w:rsid w:val="187C7B2E"/>
    <w:rsid w:val="187DAAD1"/>
    <w:rsid w:val="18802E55"/>
    <w:rsid w:val="1880E388"/>
    <w:rsid w:val="18853E60"/>
    <w:rsid w:val="188A9815"/>
    <w:rsid w:val="188D452B"/>
    <w:rsid w:val="18934FF2"/>
    <w:rsid w:val="18972862"/>
    <w:rsid w:val="1897B039"/>
    <w:rsid w:val="1899C2F3"/>
    <w:rsid w:val="189A0724"/>
    <w:rsid w:val="189B8EAB"/>
    <w:rsid w:val="189CA14B"/>
    <w:rsid w:val="189EB976"/>
    <w:rsid w:val="18A0CEEF"/>
    <w:rsid w:val="18A8508E"/>
    <w:rsid w:val="18ABD7D0"/>
    <w:rsid w:val="18B17326"/>
    <w:rsid w:val="18B83152"/>
    <w:rsid w:val="18B8A7B6"/>
    <w:rsid w:val="18C27C60"/>
    <w:rsid w:val="18C4B713"/>
    <w:rsid w:val="18C662D8"/>
    <w:rsid w:val="18C94073"/>
    <w:rsid w:val="18C9D6FF"/>
    <w:rsid w:val="18CA0532"/>
    <w:rsid w:val="18CDF4D3"/>
    <w:rsid w:val="18D2D518"/>
    <w:rsid w:val="18D74185"/>
    <w:rsid w:val="18DB22DA"/>
    <w:rsid w:val="18E0EFD4"/>
    <w:rsid w:val="18E4A1F1"/>
    <w:rsid w:val="18E8AE54"/>
    <w:rsid w:val="18F62C07"/>
    <w:rsid w:val="18F74F75"/>
    <w:rsid w:val="18F946E1"/>
    <w:rsid w:val="18FC8AF7"/>
    <w:rsid w:val="1904BF25"/>
    <w:rsid w:val="190852AE"/>
    <w:rsid w:val="190A9121"/>
    <w:rsid w:val="1910E376"/>
    <w:rsid w:val="191850A8"/>
    <w:rsid w:val="19224074"/>
    <w:rsid w:val="192CDB92"/>
    <w:rsid w:val="192DCE48"/>
    <w:rsid w:val="192ECDC6"/>
    <w:rsid w:val="19360CED"/>
    <w:rsid w:val="193F5DFB"/>
    <w:rsid w:val="19428122"/>
    <w:rsid w:val="1946F33C"/>
    <w:rsid w:val="194DFE7D"/>
    <w:rsid w:val="194E54B4"/>
    <w:rsid w:val="19536B3F"/>
    <w:rsid w:val="195B92F2"/>
    <w:rsid w:val="195D4F0F"/>
    <w:rsid w:val="1961D192"/>
    <w:rsid w:val="1962D64C"/>
    <w:rsid w:val="19632E55"/>
    <w:rsid w:val="196EE33D"/>
    <w:rsid w:val="19740077"/>
    <w:rsid w:val="197748F1"/>
    <w:rsid w:val="19790AE8"/>
    <w:rsid w:val="1982E107"/>
    <w:rsid w:val="1987C195"/>
    <w:rsid w:val="1989009D"/>
    <w:rsid w:val="198CA42C"/>
    <w:rsid w:val="199059B3"/>
    <w:rsid w:val="19924690"/>
    <w:rsid w:val="1995049F"/>
    <w:rsid w:val="199593CC"/>
    <w:rsid w:val="199646D3"/>
    <w:rsid w:val="19A06036"/>
    <w:rsid w:val="19A2D451"/>
    <w:rsid w:val="19A3BFC4"/>
    <w:rsid w:val="19A5D9D0"/>
    <w:rsid w:val="19A7B7CB"/>
    <w:rsid w:val="19A8DD33"/>
    <w:rsid w:val="19ACA4AA"/>
    <w:rsid w:val="19AF964C"/>
    <w:rsid w:val="19C0DBFB"/>
    <w:rsid w:val="19C2C7B5"/>
    <w:rsid w:val="19C32ADD"/>
    <w:rsid w:val="19C38364"/>
    <w:rsid w:val="19C70B81"/>
    <w:rsid w:val="19CF4B55"/>
    <w:rsid w:val="19D3E803"/>
    <w:rsid w:val="19DC0054"/>
    <w:rsid w:val="19E1085D"/>
    <w:rsid w:val="19E710AC"/>
    <w:rsid w:val="19ECE939"/>
    <w:rsid w:val="19EDCD1E"/>
    <w:rsid w:val="19F71D59"/>
    <w:rsid w:val="19F782F5"/>
    <w:rsid w:val="19F97A1E"/>
    <w:rsid w:val="19FA8BD1"/>
    <w:rsid w:val="19FC0FE7"/>
    <w:rsid w:val="1A00D1F4"/>
    <w:rsid w:val="1A020490"/>
    <w:rsid w:val="1A06E1E8"/>
    <w:rsid w:val="1A1B60A3"/>
    <w:rsid w:val="1A205900"/>
    <w:rsid w:val="1A2189B4"/>
    <w:rsid w:val="1A248841"/>
    <w:rsid w:val="1A259BC1"/>
    <w:rsid w:val="1A2B7797"/>
    <w:rsid w:val="1A2EFAC6"/>
    <w:rsid w:val="1A316AB3"/>
    <w:rsid w:val="1A3C4412"/>
    <w:rsid w:val="1A401154"/>
    <w:rsid w:val="1A4AD532"/>
    <w:rsid w:val="1A4C3D45"/>
    <w:rsid w:val="1A516C58"/>
    <w:rsid w:val="1A534668"/>
    <w:rsid w:val="1A568F1E"/>
    <w:rsid w:val="1A59600B"/>
    <w:rsid w:val="1A5D6A49"/>
    <w:rsid w:val="1A5D8164"/>
    <w:rsid w:val="1A5ECAD3"/>
    <w:rsid w:val="1A5FFDE6"/>
    <w:rsid w:val="1A6425A9"/>
    <w:rsid w:val="1A654D95"/>
    <w:rsid w:val="1A681E4D"/>
    <w:rsid w:val="1A6D834E"/>
    <w:rsid w:val="1A6FA2DF"/>
    <w:rsid w:val="1A6FEE97"/>
    <w:rsid w:val="1A77DA2E"/>
    <w:rsid w:val="1A796C89"/>
    <w:rsid w:val="1A7A0273"/>
    <w:rsid w:val="1A7E208B"/>
    <w:rsid w:val="1A848513"/>
    <w:rsid w:val="1A84ED11"/>
    <w:rsid w:val="1A86756E"/>
    <w:rsid w:val="1A8B0672"/>
    <w:rsid w:val="1A99DD15"/>
    <w:rsid w:val="1A9FBFF4"/>
    <w:rsid w:val="1AA793ED"/>
    <w:rsid w:val="1AA8EEFD"/>
    <w:rsid w:val="1AAE11D1"/>
    <w:rsid w:val="1AB089CF"/>
    <w:rsid w:val="1ABB0F1D"/>
    <w:rsid w:val="1ABF4E81"/>
    <w:rsid w:val="1AC9BA85"/>
    <w:rsid w:val="1ACABB20"/>
    <w:rsid w:val="1ACF914A"/>
    <w:rsid w:val="1AD8FB96"/>
    <w:rsid w:val="1AE2DCB8"/>
    <w:rsid w:val="1AE60A50"/>
    <w:rsid w:val="1AECF61A"/>
    <w:rsid w:val="1AED671E"/>
    <w:rsid w:val="1AEF3718"/>
    <w:rsid w:val="1AFCA983"/>
    <w:rsid w:val="1AFCB183"/>
    <w:rsid w:val="1B020823"/>
    <w:rsid w:val="1B03B5C1"/>
    <w:rsid w:val="1B03D09B"/>
    <w:rsid w:val="1B052D9B"/>
    <w:rsid w:val="1B105201"/>
    <w:rsid w:val="1B12EA2F"/>
    <w:rsid w:val="1B1DC6B8"/>
    <w:rsid w:val="1B2594D3"/>
    <w:rsid w:val="1B2DAD9D"/>
    <w:rsid w:val="1B32C094"/>
    <w:rsid w:val="1B349158"/>
    <w:rsid w:val="1B3878A5"/>
    <w:rsid w:val="1B395A9D"/>
    <w:rsid w:val="1B3ACC9D"/>
    <w:rsid w:val="1B3F2706"/>
    <w:rsid w:val="1B470EB8"/>
    <w:rsid w:val="1B47CD93"/>
    <w:rsid w:val="1B4B7B6B"/>
    <w:rsid w:val="1B4BADBA"/>
    <w:rsid w:val="1B50C4E1"/>
    <w:rsid w:val="1B53D71F"/>
    <w:rsid w:val="1B57759C"/>
    <w:rsid w:val="1B5B24F8"/>
    <w:rsid w:val="1B5CCF7D"/>
    <w:rsid w:val="1B5FE88F"/>
    <w:rsid w:val="1B63210D"/>
    <w:rsid w:val="1B689670"/>
    <w:rsid w:val="1B6C5FB6"/>
    <w:rsid w:val="1B6F1660"/>
    <w:rsid w:val="1B7CE944"/>
    <w:rsid w:val="1B804258"/>
    <w:rsid w:val="1B8CC021"/>
    <w:rsid w:val="1B8FAFA0"/>
    <w:rsid w:val="1B903661"/>
    <w:rsid w:val="1B93B62A"/>
    <w:rsid w:val="1B9F2B29"/>
    <w:rsid w:val="1BA45B42"/>
    <w:rsid w:val="1BA65DAA"/>
    <w:rsid w:val="1BAC3434"/>
    <w:rsid w:val="1BB63655"/>
    <w:rsid w:val="1BB6472A"/>
    <w:rsid w:val="1BBA9B24"/>
    <w:rsid w:val="1BBF658C"/>
    <w:rsid w:val="1BC4D60D"/>
    <w:rsid w:val="1BCD98FB"/>
    <w:rsid w:val="1BD694BF"/>
    <w:rsid w:val="1BDDA53C"/>
    <w:rsid w:val="1BE2D1BB"/>
    <w:rsid w:val="1BEAF33F"/>
    <w:rsid w:val="1BEEB697"/>
    <w:rsid w:val="1BF2788C"/>
    <w:rsid w:val="1BF62C70"/>
    <w:rsid w:val="1BFA35BC"/>
    <w:rsid w:val="1BFEBFD2"/>
    <w:rsid w:val="1BFF4EFD"/>
    <w:rsid w:val="1BFFEAFE"/>
    <w:rsid w:val="1C035B39"/>
    <w:rsid w:val="1C09319C"/>
    <w:rsid w:val="1C095CCA"/>
    <w:rsid w:val="1C0CAF5C"/>
    <w:rsid w:val="1C1210F9"/>
    <w:rsid w:val="1C17A911"/>
    <w:rsid w:val="1C277FD7"/>
    <w:rsid w:val="1C291991"/>
    <w:rsid w:val="1C2C427A"/>
    <w:rsid w:val="1C2CE7EA"/>
    <w:rsid w:val="1C33D755"/>
    <w:rsid w:val="1C3CC59B"/>
    <w:rsid w:val="1C4A4863"/>
    <w:rsid w:val="1C4EE16F"/>
    <w:rsid w:val="1C4FC852"/>
    <w:rsid w:val="1C51EDF4"/>
    <w:rsid w:val="1C55435A"/>
    <w:rsid w:val="1C56E61F"/>
    <w:rsid w:val="1C58FD6B"/>
    <w:rsid w:val="1C59ABDF"/>
    <w:rsid w:val="1C5CFD9D"/>
    <w:rsid w:val="1C6331B5"/>
    <w:rsid w:val="1C64A363"/>
    <w:rsid w:val="1C6C96AA"/>
    <w:rsid w:val="1C6FD26E"/>
    <w:rsid w:val="1C764625"/>
    <w:rsid w:val="1C7BA20C"/>
    <w:rsid w:val="1C7DF48B"/>
    <w:rsid w:val="1C817225"/>
    <w:rsid w:val="1C91B8BA"/>
    <w:rsid w:val="1C946BD8"/>
    <w:rsid w:val="1C952385"/>
    <w:rsid w:val="1C96052D"/>
    <w:rsid w:val="1C99B691"/>
    <w:rsid w:val="1C99CA9A"/>
    <w:rsid w:val="1CA3AE66"/>
    <w:rsid w:val="1CAFE452"/>
    <w:rsid w:val="1CB0A042"/>
    <w:rsid w:val="1CB18D85"/>
    <w:rsid w:val="1CB426F0"/>
    <w:rsid w:val="1CB646A5"/>
    <w:rsid w:val="1CB750B2"/>
    <w:rsid w:val="1CBFAFF5"/>
    <w:rsid w:val="1CC3551D"/>
    <w:rsid w:val="1CC8E301"/>
    <w:rsid w:val="1CCAB278"/>
    <w:rsid w:val="1CCC2B17"/>
    <w:rsid w:val="1CD6EE79"/>
    <w:rsid w:val="1CD9B656"/>
    <w:rsid w:val="1CDEEDA9"/>
    <w:rsid w:val="1CE07E17"/>
    <w:rsid w:val="1CE1B465"/>
    <w:rsid w:val="1CE7C033"/>
    <w:rsid w:val="1CE80D1A"/>
    <w:rsid w:val="1CEBCF76"/>
    <w:rsid w:val="1CEC6BD1"/>
    <w:rsid w:val="1CED52D7"/>
    <w:rsid w:val="1CED7B49"/>
    <w:rsid w:val="1CF8DC60"/>
    <w:rsid w:val="1CFBB703"/>
    <w:rsid w:val="1D02ED8B"/>
    <w:rsid w:val="1D07BA22"/>
    <w:rsid w:val="1D103294"/>
    <w:rsid w:val="1D1280C6"/>
    <w:rsid w:val="1D185E16"/>
    <w:rsid w:val="1D1C3ED2"/>
    <w:rsid w:val="1D1F887C"/>
    <w:rsid w:val="1D3521B7"/>
    <w:rsid w:val="1D363BD7"/>
    <w:rsid w:val="1D395F4D"/>
    <w:rsid w:val="1D3B494A"/>
    <w:rsid w:val="1D3D0C4A"/>
    <w:rsid w:val="1D40DDDB"/>
    <w:rsid w:val="1D49CC9B"/>
    <w:rsid w:val="1D4D6C48"/>
    <w:rsid w:val="1D4E7A36"/>
    <w:rsid w:val="1D529A60"/>
    <w:rsid w:val="1D53868B"/>
    <w:rsid w:val="1D585E8A"/>
    <w:rsid w:val="1D6DA226"/>
    <w:rsid w:val="1D6ED154"/>
    <w:rsid w:val="1D6F7BEE"/>
    <w:rsid w:val="1D71CC0F"/>
    <w:rsid w:val="1D74C703"/>
    <w:rsid w:val="1D7A94A3"/>
    <w:rsid w:val="1D7C18C6"/>
    <w:rsid w:val="1D8CC23B"/>
    <w:rsid w:val="1D8F45C8"/>
    <w:rsid w:val="1D92218A"/>
    <w:rsid w:val="1D93AFFC"/>
    <w:rsid w:val="1D95A887"/>
    <w:rsid w:val="1D9756C1"/>
    <w:rsid w:val="1DA6657A"/>
    <w:rsid w:val="1DA8B235"/>
    <w:rsid w:val="1DA8D8AA"/>
    <w:rsid w:val="1DA90FA3"/>
    <w:rsid w:val="1DAD1407"/>
    <w:rsid w:val="1DB1CD7A"/>
    <w:rsid w:val="1DB47CF2"/>
    <w:rsid w:val="1DB5F8C8"/>
    <w:rsid w:val="1DBFE884"/>
    <w:rsid w:val="1DC7A84C"/>
    <w:rsid w:val="1DC7CD23"/>
    <w:rsid w:val="1DCE3E7E"/>
    <w:rsid w:val="1DD06E0C"/>
    <w:rsid w:val="1DD5D103"/>
    <w:rsid w:val="1DD6A8B3"/>
    <w:rsid w:val="1DD845C5"/>
    <w:rsid w:val="1DDEB757"/>
    <w:rsid w:val="1DE2C7AE"/>
    <w:rsid w:val="1DE37A78"/>
    <w:rsid w:val="1DFB6B19"/>
    <w:rsid w:val="1DFE5CE3"/>
    <w:rsid w:val="1DFEFEED"/>
    <w:rsid w:val="1E00EFB7"/>
    <w:rsid w:val="1E00EFE5"/>
    <w:rsid w:val="1E01796A"/>
    <w:rsid w:val="1E03EB3A"/>
    <w:rsid w:val="1E0436B0"/>
    <w:rsid w:val="1E12AA02"/>
    <w:rsid w:val="1E165E6C"/>
    <w:rsid w:val="1E1AC675"/>
    <w:rsid w:val="1E1C5541"/>
    <w:rsid w:val="1E1E2762"/>
    <w:rsid w:val="1E25B44A"/>
    <w:rsid w:val="1E277CC2"/>
    <w:rsid w:val="1E27FED6"/>
    <w:rsid w:val="1E29AEFF"/>
    <w:rsid w:val="1E2C0C8F"/>
    <w:rsid w:val="1E2FAE6F"/>
    <w:rsid w:val="1E3257FF"/>
    <w:rsid w:val="1E36992A"/>
    <w:rsid w:val="1E3713DE"/>
    <w:rsid w:val="1E3C6C9F"/>
    <w:rsid w:val="1E3EB917"/>
    <w:rsid w:val="1E3EDDA0"/>
    <w:rsid w:val="1E450A4E"/>
    <w:rsid w:val="1E4754F1"/>
    <w:rsid w:val="1E49FAEB"/>
    <w:rsid w:val="1E52F962"/>
    <w:rsid w:val="1E555EF1"/>
    <w:rsid w:val="1E559D27"/>
    <w:rsid w:val="1E5F99E0"/>
    <w:rsid w:val="1E610EE2"/>
    <w:rsid w:val="1E63E64E"/>
    <w:rsid w:val="1E694C0F"/>
    <w:rsid w:val="1E75B5E0"/>
    <w:rsid w:val="1E7E944C"/>
    <w:rsid w:val="1E816E64"/>
    <w:rsid w:val="1E81A38A"/>
    <w:rsid w:val="1E84E17A"/>
    <w:rsid w:val="1E855B9F"/>
    <w:rsid w:val="1E944772"/>
    <w:rsid w:val="1E9647C2"/>
    <w:rsid w:val="1EA07C67"/>
    <w:rsid w:val="1EA42257"/>
    <w:rsid w:val="1EA52B46"/>
    <w:rsid w:val="1EAEE12C"/>
    <w:rsid w:val="1EB11A8F"/>
    <w:rsid w:val="1EB3F0BA"/>
    <w:rsid w:val="1EB47B23"/>
    <w:rsid w:val="1EB5EF4F"/>
    <w:rsid w:val="1EB6EB93"/>
    <w:rsid w:val="1EBC252C"/>
    <w:rsid w:val="1EBF199B"/>
    <w:rsid w:val="1EC025C1"/>
    <w:rsid w:val="1EC2DC52"/>
    <w:rsid w:val="1ECC9426"/>
    <w:rsid w:val="1ECD222B"/>
    <w:rsid w:val="1ED8DACB"/>
    <w:rsid w:val="1EE04692"/>
    <w:rsid w:val="1EE12D40"/>
    <w:rsid w:val="1EEC5349"/>
    <w:rsid w:val="1EF25C99"/>
    <w:rsid w:val="1EF79890"/>
    <w:rsid w:val="1EF9F131"/>
    <w:rsid w:val="1EFD6AB8"/>
    <w:rsid w:val="1F05BA6E"/>
    <w:rsid w:val="1F0CF353"/>
    <w:rsid w:val="1F138F5D"/>
    <w:rsid w:val="1F147B3C"/>
    <w:rsid w:val="1F14C8B5"/>
    <w:rsid w:val="1F168BDB"/>
    <w:rsid w:val="1F17C8FC"/>
    <w:rsid w:val="1F2204B2"/>
    <w:rsid w:val="1F279E90"/>
    <w:rsid w:val="1F27D591"/>
    <w:rsid w:val="1F2B14AA"/>
    <w:rsid w:val="1F33ACC7"/>
    <w:rsid w:val="1F377F0E"/>
    <w:rsid w:val="1F468908"/>
    <w:rsid w:val="1F4797DB"/>
    <w:rsid w:val="1F51202A"/>
    <w:rsid w:val="1F519DCB"/>
    <w:rsid w:val="1F58812C"/>
    <w:rsid w:val="1F59971A"/>
    <w:rsid w:val="1F5B88AE"/>
    <w:rsid w:val="1F5F8D40"/>
    <w:rsid w:val="1F60CF51"/>
    <w:rsid w:val="1F6B6041"/>
    <w:rsid w:val="1F6D7B83"/>
    <w:rsid w:val="1F6EEBF6"/>
    <w:rsid w:val="1F78AE65"/>
    <w:rsid w:val="1F7C1B2B"/>
    <w:rsid w:val="1F7DF415"/>
    <w:rsid w:val="1F82C6C1"/>
    <w:rsid w:val="1F870A5B"/>
    <w:rsid w:val="1F9B1776"/>
    <w:rsid w:val="1F9F6E12"/>
    <w:rsid w:val="1FA07EA4"/>
    <w:rsid w:val="1FA32BD5"/>
    <w:rsid w:val="1FA40275"/>
    <w:rsid w:val="1FAB076A"/>
    <w:rsid w:val="1FAB62AE"/>
    <w:rsid w:val="1FAEDE7F"/>
    <w:rsid w:val="1FB1B453"/>
    <w:rsid w:val="1FB1EDEE"/>
    <w:rsid w:val="1FB267A4"/>
    <w:rsid w:val="1FBA1307"/>
    <w:rsid w:val="1FCB86F7"/>
    <w:rsid w:val="1FE3AF29"/>
    <w:rsid w:val="1FE4BA8F"/>
    <w:rsid w:val="1FE843C4"/>
    <w:rsid w:val="1FEC65D5"/>
    <w:rsid w:val="1FF5633E"/>
    <w:rsid w:val="1FF7139D"/>
    <w:rsid w:val="1FFC2B49"/>
    <w:rsid w:val="1FFDBF36"/>
    <w:rsid w:val="20059C15"/>
    <w:rsid w:val="20070181"/>
    <w:rsid w:val="200CB8D9"/>
    <w:rsid w:val="20100100"/>
    <w:rsid w:val="20174861"/>
    <w:rsid w:val="201AFB98"/>
    <w:rsid w:val="201F02FE"/>
    <w:rsid w:val="201FA4DA"/>
    <w:rsid w:val="20237CBF"/>
    <w:rsid w:val="2027BAC7"/>
    <w:rsid w:val="202DE910"/>
    <w:rsid w:val="202EB4C1"/>
    <w:rsid w:val="2036E054"/>
    <w:rsid w:val="2038E652"/>
    <w:rsid w:val="203FACC8"/>
    <w:rsid w:val="204CAC2F"/>
    <w:rsid w:val="204E8BB1"/>
    <w:rsid w:val="20504EF0"/>
    <w:rsid w:val="2054CEAF"/>
    <w:rsid w:val="205D2B29"/>
    <w:rsid w:val="20608864"/>
    <w:rsid w:val="206B2B16"/>
    <w:rsid w:val="206FCFE6"/>
    <w:rsid w:val="207D425F"/>
    <w:rsid w:val="207F4C13"/>
    <w:rsid w:val="208281AB"/>
    <w:rsid w:val="208330C5"/>
    <w:rsid w:val="208F9B04"/>
    <w:rsid w:val="20946B2D"/>
    <w:rsid w:val="209AACA9"/>
    <w:rsid w:val="209D143B"/>
    <w:rsid w:val="20AB83FA"/>
    <w:rsid w:val="20B11FCE"/>
    <w:rsid w:val="20B3E911"/>
    <w:rsid w:val="20BA4E75"/>
    <w:rsid w:val="20BF66A7"/>
    <w:rsid w:val="20C2529D"/>
    <w:rsid w:val="20C436EC"/>
    <w:rsid w:val="20D0A241"/>
    <w:rsid w:val="20D28E40"/>
    <w:rsid w:val="20D3E557"/>
    <w:rsid w:val="20D4C00B"/>
    <w:rsid w:val="20D8D982"/>
    <w:rsid w:val="20E1F151"/>
    <w:rsid w:val="20E4C2F3"/>
    <w:rsid w:val="20E6178A"/>
    <w:rsid w:val="20E67CD5"/>
    <w:rsid w:val="20E6E749"/>
    <w:rsid w:val="20E8AE72"/>
    <w:rsid w:val="20EA45E4"/>
    <w:rsid w:val="20EB8264"/>
    <w:rsid w:val="20EB8352"/>
    <w:rsid w:val="20EC20D1"/>
    <w:rsid w:val="20EF54A2"/>
    <w:rsid w:val="20F00574"/>
    <w:rsid w:val="20F02159"/>
    <w:rsid w:val="20F1A686"/>
    <w:rsid w:val="2104E68D"/>
    <w:rsid w:val="21052571"/>
    <w:rsid w:val="210F7C45"/>
    <w:rsid w:val="21191985"/>
    <w:rsid w:val="211DA6F1"/>
    <w:rsid w:val="2122993E"/>
    <w:rsid w:val="2122D0CF"/>
    <w:rsid w:val="21286F25"/>
    <w:rsid w:val="212D69CB"/>
    <w:rsid w:val="213064B0"/>
    <w:rsid w:val="21318E72"/>
    <w:rsid w:val="2132BBD4"/>
    <w:rsid w:val="21427C23"/>
    <w:rsid w:val="2142D9E2"/>
    <w:rsid w:val="21463DED"/>
    <w:rsid w:val="214A0B41"/>
    <w:rsid w:val="214B55D4"/>
    <w:rsid w:val="214DBCAE"/>
    <w:rsid w:val="214E03E1"/>
    <w:rsid w:val="21509B0F"/>
    <w:rsid w:val="21512954"/>
    <w:rsid w:val="2153A92E"/>
    <w:rsid w:val="21635BE3"/>
    <w:rsid w:val="2164504C"/>
    <w:rsid w:val="2165FE1E"/>
    <w:rsid w:val="216D82B8"/>
    <w:rsid w:val="2174861D"/>
    <w:rsid w:val="21776247"/>
    <w:rsid w:val="2181DF80"/>
    <w:rsid w:val="2181FB4F"/>
    <w:rsid w:val="2184EFD4"/>
    <w:rsid w:val="218967AC"/>
    <w:rsid w:val="218AD07F"/>
    <w:rsid w:val="219067A3"/>
    <w:rsid w:val="21949B4D"/>
    <w:rsid w:val="219BB18B"/>
    <w:rsid w:val="219EE1D3"/>
    <w:rsid w:val="21BEB7FC"/>
    <w:rsid w:val="21C62FED"/>
    <w:rsid w:val="21C961B8"/>
    <w:rsid w:val="21D21F91"/>
    <w:rsid w:val="21D41AC0"/>
    <w:rsid w:val="21D634F0"/>
    <w:rsid w:val="21E7E248"/>
    <w:rsid w:val="21E852CB"/>
    <w:rsid w:val="21F4974E"/>
    <w:rsid w:val="21F91D90"/>
    <w:rsid w:val="21FA0F25"/>
    <w:rsid w:val="21FC7FA0"/>
    <w:rsid w:val="21FDE9FC"/>
    <w:rsid w:val="21FFEFEB"/>
    <w:rsid w:val="2207005D"/>
    <w:rsid w:val="2209F2A5"/>
    <w:rsid w:val="220BEF01"/>
    <w:rsid w:val="2215B9FB"/>
    <w:rsid w:val="22177EE9"/>
    <w:rsid w:val="22185BE4"/>
    <w:rsid w:val="2224B19A"/>
    <w:rsid w:val="2224FAAD"/>
    <w:rsid w:val="222D8F05"/>
    <w:rsid w:val="222DAF93"/>
    <w:rsid w:val="222F4E1C"/>
    <w:rsid w:val="22329A4B"/>
    <w:rsid w:val="2235B1AE"/>
    <w:rsid w:val="2239348B"/>
    <w:rsid w:val="224596E8"/>
    <w:rsid w:val="224AE7BE"/>
    <w:rsid w:val="224F6F01"/>
    <w:rsid w:val="2257B081"/>
    <w:rsid w:val="225B23E3"/>
    <w:rsid w:val="225B6580"/>
    <w:rsid w:val="225D16BC"/>
    <w:rsid w:val="225D8D62"/>
    <w:rsid w:val="2260D614"/>
    <w:rsid w:val="2266C88C"/>
    <w:rsid w:val="2268676D"/>
    <w:rsid w:val="22695C9F"/>
    <w:rsid w:val="22706062"/>
    <w:rsid w:val="2270A9EF"/>
    <w:rsid w:val="2275E8EE"/>
    <w:rsid w:val="2277E951"/>
    <w:rsid w:val="2286BA35"/>
    <w:rsid w:val="2288A67D"/>
    <w:rsid w:val="22963C49"/>
    <w:rsid w:val="229810E5"/>
    <w:rsid w:val="22A110AB"/>
    <w:rsid w:val="22A2387B"/>
    <w:rsid w:val="22A3A663"/>
    <w:rsid w:val="22AC6194"/>
    <w:rsid w:val="22AEACCB"/>
    <w:rsid w:val="22AFA15D"/>
    <w:rsid w:val="22B0FBB9"/>
    <w:rsid w:val="22B5F589"/>
    <w:rsid w:val="22C56645"/>
    <w:rsid w:val="22D07F8D"/>
    <w:rsid w:val="22D3838D"/>
    <w:rsid w:val="22E56847"/>
    <w:rsid w:val="22E6FA38"/>
    <w:rsid w:val="22EB53E8"/>
    <w:rsid w:val="22EB66B8"/>
    <w:rsid w:val="22EB9C62"/>
    <w:rsid w:val="22EC7BB3"/>
    <w:rsid w:val="22EEAD8D"/>
    <w:rsid w:val="22EF1219"/>
    <w:rsid w:val="22F474D4"/>
    <w:rsid w:val="22F9917B"/>
    <w:rsid w:val="22FF18E4"/>
    <w:rsid w:val="23026975"/>
    <w:rsid w:val="230B5D43"/>
    <w:rsid w:val="230E79B1"/>
    <w:rsid w:val="2327A527"/>
    <w:rsid w:val="232B85F3"/>
    <w:rsid w:val="232C290B"/>
    <w:rsid w:val="23312148"/>
    <w:rsid w:val="2336183D"/>
    <w:rsid w:val="2338316F"/>
    <w:rsid w:val="23396237"/>
    <w:rsid w:val="23396B95"/>
    <w:rsid w:val="2343393B"/>
    <w:rsid w:val="2348FE63"/>
    <w:rsid w:val="23539832"/>
    <w:rsid w:val="23552E90"/>
    <w:rsid w:val="23562E98"/>
    <w:rsid w:val="23589B5E"/>
    <w:rsid w:val="235A96D1"/>
    <w:rsid w:val="235C71B1"/>
    <w:rsid w:val="2366C22A"/>
    <w:rsid w:val="236ECDB0"/>
    <w:rsid w:val="2370C48D"/>
    <w:rsid w:val="2378E637"/>
    <w:rsid w:val="2380060E"/>
    <w:rsid w:val="23807517"/>
    <w:rsid w:val="238289E5"/>
    <w:rsid w:val="2388B226"/>
    <w:rsid w:val="23898A93"/>
    <w:rsid w:val="238996F0"/>
    <w:rsid w:val="238CA777"/>
    <w:rsid w:val="239110D3"/>
    <w:rsid w:val="239247D3"/>
    <w:rsid w:val="2393A0E1"/>
    <w:rsid w:val="239FEA6E"/>
    <w:rsid w:val="23B7C7C4"/>
    <w:rsid w:val="23BF0141"/>
    <w:rsid w:val="23C0FE3A"/>
    <w:rsid w:val="23C9A664"/>
    <w:rsid w:val="23CA0C9C"/>
    <w:rsid w:val="23CE2FA6"/>
    <w:rsid w:val="23D27ED9"/>
    <w:rsid w:val="23D3B180"/>
    <w:rsid w:val="23D6D8F3"/>
    <w:rsid w:val="23DAC07B"/>
    <w:rsid w:val="23DD6DE0"/>
    <w:rsid w:val="23E4EFDE"/>
    <w:rsid w:val="23E7BDE9"/>
    <w:rsid w:val="23E8ED58"/>
    <w:rsid w:val="23F65594"/>
    <w:rsid w:val="23FD7F81"/>
    <w:rsid w:val="2400C6E9"/>
    <w:rsid w:val="240F115D"/>
    <w:rsid w:val="24122EAA"/>
    <w:rsid w:val="2417F2FD"/>
    <w:rsid w:val="2420B987"/>
    <w:rsid w:val="242A44A0"/>
    <w:rsid w:val="242A84E6"/>
    <w:rsid w:val="242A99A0"/>
    <w:rsid w:val="242ADB53"/>
    <w:rsid w:val="24357DB3"/>
    <w:rsid w:val="243944AC"/>
    <w:rsid w:val="24396358"/>
    <w:rsid w:val="243C905C"/>
    <w:rsid w:val="24511AAD"/>
    <w:rsid w:val="2452271E"/>
    <w:rsid w:val="24555993"/>
    <w:rsid w:val="24592563"/>
    <w:rsid w:val="245DA94F"/>
    <w:rsid w:val="2460C29A"/>
    <w:rsid w:val="2460E797"/>
    <w:rsid w:val="24661372"/>
    <w:rsid w:val="24690AFE"/>
    <w:rsid w:val="24697755"/>
    <w:rsid w:val="2469E771"/>
    <w:rsid w:val="246D000D"/>
    <w:rsid w:val="246FED1C"/>
    <w:rsid w:val="2478872D"/>
    <w:rsid w:val="247AC7C0"/>
    <w:rsid w:val="24817EEB"/>
    <w:rsid w:val="2485814E"/>
    <w:rsid w:val="2487B319"/>
    <w:rsid w:val="248F23ED"/>
    <w:rsid w:val="2493BBF0"/>
    <w:rsid w:val="249485F0"/>
    <w:rsid w:val="2497AE8B"/>
    <w:rsid w:val="249D4DC6"/>
    <w:rsid w:val="249DF91D"/>
    <w:rsid w:val="24A86A22"/>
    <w:rsid w:val="24B1777F"/>
    <w:rsid w:val="24B5677D"/>
    <w:rsid w:val="24BA87DD"/>
    <w:rsid w:val="24BD21EA"/>
    <w:rsid w:val="24BD7B6B"/>
    <w:rsid w:val="24BEB68A"/>
    <w:rsid w:val="24BFAC74"/>
    <w:rsid w:val="24C1E915"/>
    <w:rsid w:val="24C25615"/>
    <w:rsid w:val="24C3A8A3"/>
    <w:rsid w:val="24C4A51F"/>
    <w:rsid w:val="24CC1B91"/>
    <w:rsid w:val="24D7BB6C"/>
    <w:rsid w:val="24D91542"/>
    <w:rsid w:val="24DB448B"/>
    <w:rsid w:val="24DC5634"/>
    <w:rsid w:val="24EB4D7E"/>
    <w:rsid w:val="24F1D91E"/>
    <w:rsid w:val="24F34849"/>
    <w:rsid w:val="24F3E685"/>
    <w:rsid w:val="24FC05FD"/>
    <w:rsid w:val="24FCCD84"/>
    <w:rsid w:val="24FD7738"/>
    <w:rsid w:val="25023DF9"/>
    <w:rsid w:val="250405B3"/>
    <w:rsid w:val="2508DC48"/>
    <w:rsid w:val="250B015C"/>
    <w:rsid w:val="251B8807"/>
    <w:rsid w:val="251C39B9"/>
    <w:rsid w:val="25263FF9"/>
    <w:rsid w:val="2528E565"/>
    <w:rsid w:val="2535D6BC"/>
    <w:rsid w:val="253F2EF4"/>
    <w:rsid w:val="254B3917"/>
    <w:rsid w:val="254BB524"/>
    <w:rsid w:val="254D68E5"/>
    <w:rsid w:val="25508A9A"/>
    <w:rsid w:val="25513B03"/>
    <w:rsid w:val="255D3D17"/>
    <w:rsid w:val="256592CB"/>
    <w:rsid w:val="25689A3A"/>
    <w:rsid w:val="2569775F"/>
    <w:rsid w:val="256E7E1F"/>
    <w:rsid w:val="2579E39C"/>
    <w:rsid w:val="2583852A"/>
    <w:rsid w:val="258BEC09"/>
    <w:rsid w:val="258C388B"/>
    <w:rsid w:val="2593B201"/>
    <w:rsid w:val="25A37C19"/>
    <w:rsid w:val="25A64629"/>
    <w:rsid w:val="25A82E5C"/>
    <w:rsid w:val="25A897C2"/>
    <w:rsid w:val="25AA1B1B"/>
    <w:rsid w:val="25B0762A"/>
    <w:rsid w:val="25B3DB78"/>
    <w:rsid w:val="25B69F35"/>
    <w:rsid w:val="25B92A4B"/>
    <w:rsid w:val="25BB25F6"/>
    <w:rsid w:val="25C2168F"/>
    <w:rsid w:val="25D01786"/>
    <w:rsid w:val="25D10D13"/>
    <w:rsid w:val="25D26DF4"/>
    <w:rsid w:val="25D77FD7"/>
    <w:rsid w:val="25E2A30D"/>
    <w:rsid w:val="25E426B0"/>
    <w:rsid w:val="25E55839"/>
    <w:rsid w:val="25E7DA3C"/>
    <w:rsid w:val="25F21C05"/>
    <w:rsid w:val="25F32EC9"/>
    <w:rsid w:val="25FE3035"/>
    <w:rsid w:val="260393A0"/>
    <w:rsid w:val="26057086"/>
    <w:rsid w:val="261AC4E5"/>
    <w:rsid w:val="26240A09"/>
    <w:rsid w:val="2625CED0"/>
    <w:rsid w:val="262B0C44"/>
    <w:rsid w:val="262B1BD2"/>
    <w:rsid w:val="262BB206"/>
    <w:rsid w:val="26331174"/>
    <w:rsid w:val="263A9A24"/>
    <w:rsid w:val="263E7E25"/>
    <w:rsid w:val="264538E7"/>
    <w:rsid w:val="265BEC89"/>
    <w:rsid w:val="2660890C"/>
    <w:rsid w:val="2669E056"/>
    <w:rsid w:val="26705DBD"/>
    <w:rsid w:val="26732582"/>
    <w:rsid w:val="26764705"/>
    <w:rsid w:val="26816146"/>
    <w:rsid w:val="26819522"/>
    <w:rsid w:val="268B2B02"/>
    <w:rsid w:val="2690593B"/>
    <w:rsid w:val="2693B9D6"/>
    <w:rsid w:val="26993C02"/>
    <w:rsid w:val="26A6F95B"/>
    <w:rsid w:val="26AB69DE"/>
    <w:rsid w:val="26AF1F06"/>
    <w:rsid w:val="26B308F3"/>
    <w:rsid w:val="26B56D4D"/>
    <w:rsid w:val="26B6BC1F"/>
    <w:rsid w:val="26B80712"/>
    <w:rsid w:val="26BED90B"/>
    <w:rsid w:val="26C54AF1"/>
    <w:rsid w:val="26C82408"/>
    <w:rsid w:val="26CB252B"/>
    <w:rsid w:val="26D240A1"/>
    <w:rsid w:val="26D3273F"/>
    <w:rsid w:val="26D41805"/>
    <w:rsid w:val="26D58DC9"/>
    <w:rsid w:val="26D6D6A3"/>
    <w:rsid w:val="26DD2CAD"/>
    <w:rsid w:val="26E7EF75"/>
    <w:rsid w:val="26E94205"/>
    <w:rsid w:val="26E9E865"/>
    <w:rsid w:val="26EF0A23"/>
    <w:rsid w:val="26F16E9D"/>
    <w:rsid w:val="26F264C4"/>
    <w:rsid w:val="26F53E2C"/>
    <w:rsid w:val="26F64B2F"/>
    <w:rsid w:val="26FF2A2C"/>
    <w:rsid w:val="2700E673"/>
    <w:rsid w:val="2700EA3F"/>
    <w:rsid w:val="27011893"/>
    <w:rsid w:val="270CEFED"/>
    <w:rsid w:val="270DCF95"/>
    <w:rsid w:val="270F7212"/>
    <w:rsid w:val="27124BA0"/>
    <w:rsid w:val="271378EC"/>
    <w:rsid w:val="2713B893"/>
    <w:rsid w:val="2715D930"/>
    <w:rsid w:val="271B804A"/>
    <w:rsid w:val="271FA0E9"/>
    <w:rsid w:val="27233128"/>
    <w:rsid w:val="272BD596"/>
    <w:rsid w:val="27346B27"/>
    <w:rsid w:val="2747F75B"/>
    <w:rsid w:val="274A0208"/>
    <w:rsid w:val="274BD866"/>
    <w:rsid w:val="27503E11"/>
    <w:rsid w:val="2756060D"/>
    <w:rsid w:val="275A5CC5"/>
    <w:rsid w:val="276197FA"/>
    <w:rsid w:val="276213C3"/>
    <w:rsid w:val="2762BBC4"/>
    <w:rsid w:val="27677425"/>
    <w:rsid w:val="2768A107"/>
    <w:rsid w:val="276BA9A3"/>
    <w:rsid w:val="27740E4E"/>
    <w:rsid w:val="2774B693"/>
    <w:rsid w:val="2778C2EC"/>
    <w:rsid w:val="277F47AB"/>
    <w:rsid w:val="278706B9"/>
    <w:rsid w:val="2793D19C"/>
    <w:rsid w:val="2794CDC4"/>
    <w:rsid w:val="27987914"/>
    <w:rsid w:val="279A3222"/>
    <w:rsid w:val="279BBAAB"/>
    <w:rsid w:val="27A9E53D"/>
    <w:rsid w:val="27AA0C16"/>
    <w:rsid w:val="27ABF6B2"/>
    <w:rsid w:val="27B568C0"/>
    <w:rsid w:val="27BA0BAA"/>
    <w:rsid w:val="27BE728A"/>
    <w:rsid w:val="27C11046"/>
    <w:rsid w:val="27C7F873"/>
    <w:rsid w:val="27D65E3D"/>
    <w:rsid w:val="27D7E932"/>
    <w:rsid w:val="27DC4A0A"/>
    <w:rsid w:val="27DD2899"/>
    <w:rsid w:val="27DE0CBD"/>
    <w:rsid w:val="27E01AA2"/>
    <w:rsid w:val="27E3BF44"/>
    <w:rsid w:val="27E93764"/>
    <w:rsid w:val="27EED3F4"/>
    <w:rsid w:val="2801F396"/>
    <w:rsid w:val="280B5F13"/>
    <w:rsid w:val="281044FA"/>
    <w:rsid w:val="282A0E17"/>
    <w:rsid w:val="282D9CCB"/>
    <w:rsid w:val="2839CE72"/>
    <w:rsid w:val="283A47AD"/>
    <w:rsid w:val="283D7FDD"/>
    <w:rsid w:val="2840B94A"/>
    <w:rsid w:val="28463B3E"/>
    <w:rsid w:val="2849D8DD"/>
    <w:rsid w:val="284A3D6A"/>
    <w:rsid w:val="284EBD4E"/>
    <w:rsid w:val="28535FF1"/>
    <w:rsid w:val="28553B68"/>
    <w:rsid w:val="285D4338"/>
    <w:rsid w:val="28601788"/>
    <w:rsid w:val="2861C8D0"/>
    <w:rsid w:val="2861E947"/>
    <w:rsid w:val="2868DABE"/>
    <w:rsid w:val="286A2BD2"/>
    <w:rsid w:val="286B7C9C"/>
    <w:rsid w:val="286C4873"/>
    <w:rsid w:val="286F6D77"/>
    <w:rsid w:val="28703FC3"/>
    <w:rsid w:val="28745EEF"/>
    <w:rsid w:val="287610A3"/>
    <w:rsid w:val="2879CA1A"/>
    <w:rsid w:val="2882E0A4"/>
    <w:rsid w:val="2887D5FE"/>
    <w:rsid w:val="2889D3AD"/>
    <w:rsid w:val="288D2B4E"/>
    <w:rsid w:val="288DEB46"/>
    <w:rsid w:val="289D9340"/>
    <w:rsid w:val="28A9BA2B"/>
    <w:rsid w:val="28AFEA79"/>
    <w:rsid w:val="28B2150E"/>
    <w:rsid w:val="28B6587D"/>
    <w:rsid w:val="28C130FD"/>
    <w:rsid w:val="28CB2D1E"/>
    <w:rsid w:val="28CB80F7"/>
    <w:rsid w:val="28D7297D"/>
    <w:rsid w:val="28D89789"/>
    <w:rsid w:val="28DA8762"/>
    <w:rsid w:val="28DB76C9"/>
    <w:rsid w:val="28DF8DE6"/>
    <w:rsid w:val="28E0310B"/>
    <w:rsid w:val="28E4D4CC"/>
    <w:rsid w:val="28E6C3CD"/>
    <w:rsid w:val="28ED0E03"/>
    <w:rsid w:val="28FD158F"/>
    <w:rsid w:val="29010212"/>
    <w:rsid w:val="290303F0"/>
    <w:rsid w:val="2904E674"/>
    <w:rsid w:val="2905CB25"/>
    <w:rsid w:val="29084CC0"/>
    <w:rsid w:val="2908F1E6"/>
    <w:rsid w:val="290C8A2C"/>
    <w:rsid w:val="29118007"/>
    <w:rsid w:val="2915C3B9"/>
    <w:rsid w:val="2919889B"/>
    <w:rsid w:val="291FFD7B"/>
    <w:rsid w:val="292660C3"/>
    <w:rsid w:val="292BBF42"/>
    <w:rsid w:val="29372EB7"/>
    <w:rsid w:val="29383FFF"/>
    <w:rsid w:val="2938531A"/>
    <w:rsid w:val="29387A74"/>
    <w:rsid w:val="293A8B90"/>
    <w:rsid w:val="293EC898"/>
    <w:rsid w:val="2941DD31"/>
    <w:rsid w:val="294C898A"/>
    <w:rsid w:val="294D2B8B"/>
    <w:rsid w:val="29519663"/>
    <w:rsid w:val="2954B8A2"/>
    <w:rsid w:val="29566F1C"/>
    <w:rsid w:val="29570747"/>
    <w:rsid w:val="29575C5F"/>
    <w:rsid w:val="29583637"/>
    <w:rsid w:val="295902C7"/>
    <w:rsid w:val="295C13CA"/>
    <w:rsid w:val="29625B86"/>
    <w:rsid w:val="2965E3EC"/>
    <w:rsid w:val="2977ACBE"/>
    <w:rsid w:val="2979480F"/>
    <w:rsid w:val="297C2BFC"/>
    <w:rsid w:val="2982FECC"/>
    <w:rsid w:val="298A2536"/>
    <w:rsid w:val="2990C994"/>
    <w:rsid w:val="29916CC8"/>
    <w:rsid w:val="29918FBC"/>
    <w:rsid w:val="29938330"/>
    <w:rsid w:val="29983EA5"/>
    <w:rsid w:val="299ACEE2"/>
    <w:rsid w:val="29A14C01"/>
    <w:rsid w:val="29A1CE52"/>
    <w:rsid w:val="29A45E5B"/>
    <w:rsid w:val="29AA2988"/>
    <w:rsid w:val="29AA3724"/>
    <w:rsid w:val="29B40004"/>
    <w:rsid w:val="29B9577F"/>
    <w:rsid w:val="29B9BE95"/>
    <w:rsid w:val="29BF454E"/>
    <w:rsid w:val="29C0AE1D"/>
    <w:rsid w:val="29C5395D"/>
    <w:rsid w:val="29CB660C"/>
    <w:rsid w:val="29CDB1AD"/>
    <w:rsid w:val="29CEA906"/>
    <w:rsid w:val="29D184C4"/>
    <w:rsid w:val="29D2B065"/>
    <w:rsid w:val="29D4AA54"/>
    <w:rsid w:val="29DAF4B0"/>
    <w:rsid w:val="29DFD94A"/>
    <w:rsid w:val="29E63952"/>
    <w:rsid w:val="29E6C4F4"/>
    <w:rsid w:val="29E6CCC4"/>
    <w:rsid w:val="29E799DA"/>
    <w:rsid w:val="29EB5B1E"/>
    <w:rsid w:val="29F0B0E8"/>
    <w:rsid w:val="29F44696"/>
    <w:rsid w:val="29FCBC2E"/>
    <w:rsid w:val="29FFC920"/>
    <w:rsid w:val="2A022F77"/>
    <w:rsid w:val="2A04EA86"/>
    <w:rsid w:val="2A0924B7"/>
    <w:rsid w:val="2A0CA311"/>
    <w:rsid w:val="2A10092F"/>
    <w:rsid w:val="2A125430"/>
    <w:rsid w:val="2A12FC10"/>
    <w:rsid w:val="2A156974"/>
    <w:rsid w:val="2A16E11F"/>
    <w:rsid w:val="2A17E8D9"/>
    <w:rsid w:val="2A1DAAAC"/>
    <w:rsid w:val="2A2AE690"/>
    <w:rsid w:val="2A30106E"/>
    <w:rsid w:val="2A312055"/>
    <w:rsid w:val="2A350DFC"/>
    <w:rsid w:val="2A3B2E5F"/>
    <w:rsid w:val="2A3F0D95"/>
    <w:rsid w:val="2A3F1F16"/>
    <w:rsid w:val="2A45CB8E"/>
    <w:rsid w:val="2A49111E"/>
    <w:rsid w:val="2A576716"/>
    <w:rsid w:val="2A5F13B5"/>
    <w:rsid w:val="2A5F98D9"/>
    <w:rsid w:val="2A5FC1CD"/>
    <w:rsid w:val="2A67B1DB"/>
    <w:rsid w:val="2A685B4C"/>
    <w:rsid w:val="2A6E88DA"/>
    <w:rsid w:val="2A700FF4"/>
    <w:rsid w:val="2A7214BF"/>
    <w:rsid w:val="2A72414F"/>
    <w:rsid w:val="2A736693"/>
    <w:rsid w:val="2A795DD2"/>
    <w:rsid w:val="2A7A0741"/>
    <w:rsid w:val="2A7BB5D6"/>
    <w:rsid w:val="2A80419A"/>
    <w:rsid w:val="2A8274DA"/>
    <w:rsid w:val="2A856C5C"/>
    <w:rsid w:val="2A86058E"/>
    <w:rsid w:val="2A8863B7"/>
    <w:rsid w:val="2A8E53B4"/>
    <w:rsid w:val="2A914C2E"/>
    <w:rsid w:val="2A9393EF"/>
    <w:rsid w:val="2A9936D9"/>
    <w:rsid w:val="2A9E83B3"/>
    <w:rsid w:val="2AAC1203"/>
    <w:rsid w:val="2AAE3342"/>
    <w:rsid w:val="2AAE48FE"/>
    <w:rsid w:val="2AB39F0C"/>
    <w:rsid w:val="2AB7AFF9"/>
    <w:rsid w:val="2ABE92F6"/>
    <w:rsid w:val="2AC00AB7"/>
    <w:rsid w:val="2AC4DD78"/>
    <w:rsid w:val="2AC61DED"/>
    <w:rsid w:val="2AC96CDB"/>
    <w:rsid w:val="2AC98126"/>
    <w:rsid w:val="2ACA2549"/>
    <w:rsid w:val="2ACB9C49"/>
    <w:rsid w:val="2ACD7D23"/>
    <w:rsid w:val="2AD6A60D"/>
    <w:rsid w:val="2AD72C6E"/>
    <w:rsid w:val="2AD7D2B4"/>
    <w:rsid w:val="2ADD72D9"/>
    <w:rsid w:val="2AE72D83"/>
    <w:rsid w:val="2AEC7C2A"/>
    <w:rsid w:val="2AEEF804"/>
    <w:rsid w:val="2AF0146D"/>
    <w:rsid w:val="2AF15751"/>
    <w:rsid w:val="2AF1D0C0"/>
    <w:rsid w:val="2AFCBC49"/>
    <w:rsid w:val="2B00B3CE"/>
    <w:rsid w:val="2B074363"/>
    <w:rsid w:val="2B0B2B28"/>
    <w:rsid w:val="2B0C7656"/>
    <w:rsid w:val="2B1565C8"/>
    <w:rsid w:val="2B1ADE47"/>
    <w:rsid w:val="2B1C9AD2"/>
    <w:rsid w:val="2B1DAC78"/>
    <w:rsid w:val="2B24BF87"/>
    <w:rsid w:val="2B25EB9D"/>
    <w:rsid w:val="2B280667"/>
    <w:rsid w:val="2B2CA312"/>
    <w:rsid w:val="2B2FA6C3"/>
    <w:rsid w:val="2B486A98"/>
    <w:rsid w:val="2B4FEB34"/>
    <w:rsid w:val="2B52FCE8"/>
    <w:rsid w:val="2B58A712"/>
    <w:rsid w:val="2B5D7BBE"/>
    <w:rsid w:val="2B69B7A5"/>
    <w:rsid w:val="2B7368C6"/>
    <w:rsid w:val="2B742220"/>
    <w:rsid w:val="2B74BF6F"/>
    <w:rsid w:val="2B758C71"/>
    <w:rsid w:val="2B77704D"/>
    <w:rsid w:val="2B78BED3"/>
    <w:rsid w:val="2B808320"/>
    <w:rsid w:val="2B880027"/>
    <w:rsid w:val="2B8813B5"/>
    <w:rsid w:val="2B891F64"/>
    <w:rsid w:val="2B8A8551"/>
    <w:rsid w:val="2B8ABDDC"/>
    <w:rsid w:val="2B8ABDE8"/>
    <w:rsid w:val="2B8C4E45"/>
    <w:rsid w:val="2B9266E3"/>
    <w:rsid w:val="2B95E737"/>
    <w:rsid w:val="2B9BC755"/>
    <w:rsid w:val="2BA08965"/>
    <w:rsid w:val="2BA7ED9A"/>
    <w:rsid w:val="2BA96DB2"/>
    <w:rsid w:val="2BB75FD3"/>
    <w:rsid w:val="2BB959B7"/>
    <w:rsid w:val="2BBB39FD"/>
    <w:rsid w:val="2BC02FAC"/>
    <w:rsid w:val="2BC24EB3"/>
    <w:rsid w:val="2BC27D3E"/>
    <w:rsid w:val="2BC3923F"/>
    <w:rsid w:val="2BC5938A"/>
    <w:rsid w:val="2BC71879"/>
    <w:rsid w:val="2BC78852"/>
    <w:rsid w:val="2BCAA175"/>
    <w:rsid w:val="2BD13AB3"/>
    <w:rsid w:val="2BD2E519"/>
    <w:rsid w:val="2BD5A043"/>
    <w:rsid w:val="2BD691F0"/>
    <w:rsid w:val="2BDA219A"/>
    <w:rsid w:val="2BDE6856"/>
    <w:rsid w:val="2BE18AF6"/>
    <w:rsid w:val="2BE67D81"/>
    <w:rsid w:val="2BF111C0"/>
    <w:rsid w:val="2BF30588"/>
    <w:rsid w:val="2BF50EF3"/>
    <w:rsid w:val="2BF6C75B"/>
    <w:rsid w:val="2BFBF13C"/>
    <w:rsid w:val="2C036697"/>
    <w:rsid w:val="2C0C0F76"/>
    <w:rsid w:val="2C0F1873"/>
    <w:rsid w:val="2C110008"/>
    <w:rsid w:val="2C17A131"/>
    <w:rsid w:val="2C19F8CD"/>
    <w:rsid w:val="2C1C9BDD"/>
    <w:rsid w:val="2C27CB05"/>
    <w:rsid w:val="2C2B3DF4"/>
    <w:rsid w:val="2C2D3A03"/>
    <w:rsid w:val="2C357863"/>
    <w:rsid w:val="2C37C6D6"/>
    <w:rsid w:val="2C39A3EA"/>
    <w:rsid w:val="2C3BC3CF"/>
    <w:rsid w:val="2C3E52FE"/>
    <w:rsid w:val="2C457DCB"/>
    <w:rsid w:val="2C485D5D"/>
    <w:rsid w:val="2C4DEC22"/>
    <w:rsid w:val="2C53DA7C"/>
    <w:rsid w:val="2C56CE59"/>
    <w:rsid w:val="2C57D245"/>
    <w:rsid w:val="2C5A03C2"/>
    <w:rsid w:val="2C5A5E13"/>
    <w:rsid w:val="2C5B35EA"/>
    <w:rsid w:val="2C64635D"/>
    <w:rsid w:val="2C653733"/>
    <w:rsid w:val="2C67918B"/>
    <w:rsid w:val="2C6A0A2C"/>
    <w:rsid w:val="2C6F54B3"/>
    <w:rsid w:val="2C777E5E"/>
    <w:rsid w:val="2C7D7362"/>
    <w:rsid w:val="2C808948"/>
    <w:rsid w:val="2C90487E"/>
    <w:rsid w:val="2C90F998"/>
    <w:rsid w:val="2C949C4F"/>
    <w:rsid w:val="2CA134D3"/>
    <w:rsid w:val="2CA44B4F"/>
    <w:rsid w:val="2CA7B23B"/>
    <w:rsid w:val="2CAD88E3"/>
    <w:rsid w:val="2CADDF41"/>
    <w:rsid w:val="2CAEE31D"/>
    <w:rsid w:val="2CB066D4"/>
    <w:rsid w:val="2CB2C340"/>
    <w:rsid w:val="2CB92DD4"/>
    <w:rsid w:val="2CBF5652"/>
    <w:rsid w:val="2CC194CF"/>
    <w:rsid w:val="2CC2292C"/>
    <w:rsid w:val="2CC89DF3"/>
    <w:rsid w:val="2CC9E0C0"/>
    <w:rsid w:val="2CCF979B"/>
    <w:rsid w:val="2CD05E02"/>
    <w:rsid w:val="2CD20AF2"/>
    <w:rsid w:val="2CD60C41"/>
    <w:rsid w:val="2CD7C704"/>
    <w:rsid w:val="2CFC82BF"/>
    <w:rsid w:val="2CFE4915"/>
    <w:rsid w:val="2D00038D"/>
    <w:rsid w:val="2D013432"/>
    <w:rsid w:val="2D050E5D"/>
    <w:rsid w:val="2D08507F"/>
    <w:rsid w:val="2D0C828D"/>
    <w:rsid w:val="2D0CC947"/>
    <w:rsid w:val="2D1091E2"/>
    <w:rsid w:val="2D160076"/>
    <w:rsid w:val="2D1F724F"/>
    <w:rsid w:val="2D20C6AA"/>
    <w:rsid w:val="2D22B8E2"/>
    <w:rsid w:val="2D36DCA4"/>
    <w:rsid w:val="2D3E05D9"/>
    <w:rsid w:val="2D3E4ADE"/>
    <w:rsid w:val="2D3F2BE1"/>
    <w:rsid w:val="2D405CA8"/>
    <w:rsid w:val="2D463CAC"/>
    <w:rsid w:val="2D5A0279"/>
    <w:rsid w:val="2D605971"/>
    <w:rsid w:val="2D60DB5B"/>
    <w:rsid w:val="2D61A279"/>
    <w:rsid w:val="2D63AAE9"/>
    <w:rsid w:val="2D6455F5"/>
    <w:rsid w:val="2D6AD7A0"/>
    <w:rsid w:val="2D6C6550"/>
    <w:rsid w:val="2D72D801"/>
    <w:rsid w:val="2D76F037"/>
    <w:rsid w:val="2D780F79"/>
    <w:rsid w:val="2D84ECC5"/>
    <w:rsid w:val="2D873CFB"/>
    <w:rsid w:val="2D8AD43A"/>
    <w:rsid w:val="2D8CF90A"/>
    <w:rsid w:val="2D8EB033"/>
    <w:rsid w:val="2D8EBD18"/>
    <w:rsid w:val="2D91314A"/>
    <w:rsid w:val="2DA3637B"/>
    <w:rsid w:val="2DA6886C"/>
    <w:rsid w:val="2DABA86B"/>
    <w:rsid w:val="2DAFA701"/>
    <w:rsid w:val="2DB029F1"/>
    <w:rsid w:val="2DB8D95E"/>
    <w:rsid w:val="2DBAB998"/>
    <w:rsid w:val="2DBC52B8"/>
    <w:rsid w:val="2DBC88E9"/>
    <w:rsid w:val="2DBDF1AE"/>
    <w:rsid w:val="2DBE08C1"/>
    <w:rsid w:val="2DC4BE3D"/>
    <w:rsid w:val="2DC62B2C"/>
    <w:rsid w:val="2DC7A0AD"/>
    <w:rsid w:val="2DCD007A"/>
    <w:rsid w:val="2DD54F10"/>
    <w:rsid w:val="2DD643DA"/>
    <w:rsid w:val="2DDEFA5E"/>
    <w:rsid w:val="2DE5BF38"/>
    <w:rsid w:val="2DF32AE7"/>
    <w:rsid w:val="2DF52422"/>
    <w:rsid w:val="2DF8D9A0"/>
    <w:rsid w:val="2DFA0B7A"/>
    <w:rsid w:val="2DFC2A3A"/>
    <w:rsid w:val="2E043F77"/>
    <w:rsid w:val="2E166C9B"/>
    <w:rsid w:val="2E239C80"/>
    <w:rsid w:val="2E270394"/>
    <w:rsid w:val="2E30907D"/>
    <w:rsid w:val="2E31CB56"/>
    <w:rsid w:val="2E35812C"/>
    <w:rsid w:val="2E3D1A27"/>
    <w:rsid w:val="2E457B73"/>
    <w:rsid w:val="2E4A2993"/>
    <w:rsid w:val="2E4E551E"/>
    <w:rsid w:val="2E517069"/>
    <w:rsid w:val="2E54E5FE"/>
    <w:rsid w:val="2E5920B1"/>
    <w:rsid w:val="2E59C01D"/>
    <w:rsid w:val="2E609933"/>
    <w:rsid w:val="2E631DBB"/>
    <w:rsid w:val="2E633966"/>
    <w:rsid w:val="2E65624C"/>
    <w:rsid w:val="2E68AE47"/>
    <w:rsid w:val="2E6B9C01"/>
    <w:rsid w:val="2E730D16"/>
    <w:rsid w:val="2E735D4E"/>
    <w:rsid w:val="2E764C54"/>
    <w:rsid w:val="2E7A5B9C"/>
    <w:rsid w:val="2E857CA5"/>
    <w:rsid w:val="2E87267C"/>
    <w:rsid w:val="2E8B0AB3"/>
    <w:rsid w:val="2E91C908"/>
    <w:rsid w:val="2E943098"/>
    <w:rsid w:val="2E94B6E3"/>
    <w:rsid w:val="2E9BB6E7"/>
    <w:rsid w:val="2EA559DC"/>
    <w:rsid w:val="2EA9A569"/>
    <w:rsid w:val="2EA9E044"/>
    <w:rsid w:val="2EAC01A0"/>
    <w:rsid w:val="2EAD793F"/>
    <w:rsid w:val="2EB5DF2B"/>
    <w:rsid w:val="2EB70885"/>
    <w:rsid w:val="2EC1C9B0"/>
    <w:rsid w:val="2ED194CF"/>
    <w:rsid w:val="2ED636EB"/>
    <w:rsid w:val="2EDA5D6B"/>
    <w:rsid w:val="2EDB7D20"/>
    <w:rsid w:val="2EDF3D33"/>
    <w:rsid w:val="2EDF6FE1"/>
    <w:rsid w:val="2EE4611A"/>
    <w:rsid w:val="2EE81457"/>
    <w:rsid w:val="2EECA7CF"/>
    <w:rsid w:val="2EEDAABC"/>
    <w:rsid w:val="2EF61B5E"/>
    <w:rsid w:val="2EFA3B9B"/>
    <w:rsid w:val="2EFBB3C5"/>
    <w:rsid w:val="2EFC1717"/>
    <w:rsid w:val="2F01DD8B"/>
    <w:rsid w:val="2F0712E9"/>
    <w:rsid w:val="2F08B9E7"/>
    <w:rsid w:val="2F18C29E"/>
    <w:rsid w:val="2F1A821B"/>
    <w:rsid w:val="2F1EC7D8"/>
    <w:rsid w:val="2F245490"/>
    <w:rsid w:val="2F25EC44"/>
    <w:rsid w:val="2F26EC11"/>
    <w:rsid w:val="2F2C3AB6"/>
    <w:rsid w:val="2F325536"/>
    <w:rsid w:val="2F428113"/>
    <w:rsid w:val="2F43B6C8"/>
    <w:rsid w:val="2F440813"/>
    <w:rsid w:val="2F4A0E65"/>
    <w:rsid w:val="2F4AAC07"/>
    <w:rsid w:val="2F512012"/>
    <w:rsid w:val="2F531048"/>
    <w:rsid w:val="2F534462"/>
    <w:rsid w:val="2F54752B"/>
    <w:rsid w:val="2F576D90"/>
    <w:rsid w:val="2F5837F1"/>
    <w:rsid w:val="2F58F425"/>
    <w:rsid w:val="2F5BA959"/>
    <w:rsid w:val="2F5FA8C5"/>
    <w:rsid w:val="2F6147EF"/>
    <w:rsid w:val="2F64E214"/>
    <w:rsid w:val="2F651651"/>
    <w:rsid w:val="2F6EAA04"/>
    <w:rsid w:val="2F75C059"/>
    <w:rsid w:val="2F7B25F1"/>
    <w:rsid w:val="2F7F49B5"/>
    <w:rsid w:val="2F86C734"/>
    <w:rsid w:val="2F88B9F9"/>
    <w:rsid w:val="2F8D8DF1"/>
    <w:rsid w:val="2F939A80"/>
    <w:rsid w:val="2F9C7E49"/>
    <w:rsid w:val="2FA11FCB"/>
    <w:rsid w:val="2FA33552"/>
    <w:rsid w:val="2FA4D0A1"/>
    <w:rsid w:val="2FAC38E4"/>
    <w:rsid w:val="2FADC1F0"/>
    <w:rsid w:val="2FAF9837"/>
    <w:rsid w:val="2FB0880C"/>
    <w:rsid w:val="2FB4BCEC"/>
    <w:rsid w:val="2FBDC5B1"/>
    <w:rsid w:val="2FC2F28B"/>
    <w:rsid w:val="2FC6DCB9"/>
    <w:rsid w:val="2FC94465"/>
    <w:rsid w:val="2FD46E64"/>
    <w:rsid w:val="2FD9B21D"/>
    <w:rsid w:val="2FDC45E1"/>
    <w:rsid w:val="2FE19800"/>
    <w:rsid w:val="2FE257BF"/>
    <w:rsid w:val="2FE31B95"/>
    <w:rsid w:val="2FE3B75D"/>
    <w:rsid w:val="2FE70F6B"/>
    <w:rsid w:val="2FEC6D4A"/>
    <w:rsid w:val="2FF639AD"/>
    <w:rsid w:val="2FF9D0C6"/>
    <w:rsid w:val="300342DB"/>
    <w:rsid w:val="3007DF45"/>
    <w:rsid w:val="3010F5AD"/>
    <w:rsid w:val="30125826"/>
    <w:rsid w:val="30133F73"/>
    <w:rsid w:val="30152F9B"/>
    <w:rsid w:val="3016954B"/>
    <w:rsid w:val="301AFBA8"/>
    <w:rsid w:val="301FCD90"/>
    <w:rsid w:val="3021A8D0"/>
    <w:rsid w:val="302347D6"/>
    <w:rsid w:val="3027D977"/>
    <w:rsid w:val="30312080"/>
    <w:rsid w:val="303291BC"/>
    <w:rsid w:val="303426A2"/>
    <w:rsid w:val="303B761C"/>
    <w:rsid w:val="303C07DC"/>
    <w:rsid w:val="303F98DB"/>
    <w:rsid w:val="3041993F"/>
    <w:rsid w:val="30420257"/>
    <w:rsid w:val="3048D6E1"/>
    <w:rsid w:val="304BB0CB"/>
    <w:rsid w:val="305D8BA9"/>
    <w:rsid w:val="306057F6"/>
    <w:rsid w:val="306545DC"/>
    <w:rsid w:val="3066631A"/>
    <w:rsid w:val="3067FB8B"/>
    <w:rsid w:val="30684D50"/>
    <w:rsid w:val="3069FFD4"/>
    <w:rsid w:val="3071F35E"/>
    <w:rsid w:val="3073CC3C"/>
    <w:rsid w:val="30774397"/>
    <w:rsid w:val="3082BB92"/>
    <w:rsid w:val="30847FB9"/>
    <w:rsid w:val="3085BB02"/>
    <w:rsid w:val="308D5101"/>
    <w:rsid w:val="30962F10"/>
    <w:rsid w:val="3097B887"/>
    <w:rsid w:val="30A176A4"/>
    <w:rsid w:val="30A38B5F"/>
    <w:rsid w:val="30A4DD0E"/>
    <w:rsid w:val="30A52B7A"/>
    <w:rsid w:val="30A73BE2"/>
    <w:rsid w:val="30A80E0A"/>
    <w:rsid w:val="30A8DC9C"/>
    <w:rsid w:val="30AEC6EA"/>
    <w:rsid w:val="30C04E17"/>
    <w:rsid w:val="30C44787"/>
    <w:rsid w:val="30CDAB54"/>
    <w:rsid w:val="30CF362D"/>
    <w:rsid w:val="30D36235"/>
    <w:rsid w:val="30D79A92"/>
    <w:rsid w:val="30DC45EC"/>
    <w:rsid w:val="30E4BF36"/>
    <w:rsid w:val="30E66E1E"/>
    <w:rsid w:val="30EC752D"/>
    <w:rsid w:val="30F66657"/>
    <w:rsid w:val="30F9F237"/>
    <w:rsid w:val="31009FC8"/>
    <w:rsid w:val="3101C046"/>
    <w:rsid w:val="31027E60"/>
    <w:rsid w:val="3102FB3F"/>
    <w:rsid w:val="31044E1F"/>
    <w:rsid w:val="31057D2F"/>
    <w:rsid w:val="310B5E73"/>
    <w:rsid w:val="310E042C"/>
    <w:rsid w:val="310F15D3"/>
    <w:rsid w:val="3115A6F1"/>
    <w:rsid w:val="31187CA6"/>
    <w:rsid w:val="3121D8D2"/>
    <w:rsid w:val="312246F0"/>
    <w:rsid w:val="3127A342"/>
    <w:rsid w:val="31293FBC"/>
    <w:rsid w:val="31326C2D"/>
    <w:rsid w:val="3136E92F"/>
    <w:rsid w:val="31379E11"/>
    <w:rsid w:val="3138B2BD"/>
    <w:rsid w:val="3139F0CE"/>
    <w:rsid w:val="313A634D"/>
    <w:rsid w:val="313ACD26"/>
    <w:rsid w:val="313E52B7"/>
    <w:rsid w:val="314533F3"/>
    <w:rsid w:val="3148BD18"/>
    <w:rsid w:val="314CCC0F"/>
    <w:rsid w:val="31518E7A"/>
    <w:rsid w:val="3153EB91"/>
    <w:rsid w:val="3155C766"/>
    <w:rsid w:val="315A8AC1"/>
    <w:rsid w:val="315E27E6"/>
    <w:rsid w:val="31620B1D"/>
    <w:rsid w:val="316981AD"/>
    <w:rsid w:val="316CF0AE"/>
    <w:rsid w:val="316D12EB"/>
    <w:rsid w:val="316EC35A"/>
    <w:rsid w:val="317B4B39"/>
    <w:rsid w:val="317D3AD7"/>
    <w:rsid w:val="31835838"/>
    <w:rsid w:val="3186C904"/>
    <w:rsid w:val="31871C36"/>
    <w:rsid w:val="318B578B"/>
    <w:rsid w:val="3191AA10"/>
    <w:rsid w:val="3193C92D"/>
    <w:rsid w:val="31969BC3"/>
    <w:rsid w:val="319E98E2"/>
    <w:rsid w:val="31A534D4"/>
    <w:rsid w:val="31AC8968"/>
    <w:rsid w:val="31B04C93"/>
    <w:rsid w:val="31B15E89"/>
    <w:rsid w:val="31B2DA2A"/>
    <w:rsid w:val="31B93BC0"/>
    <w:rsid w:val="31C7675D"/>
    <w:rsid w:val="31CA5423"/>
    <w:rsid w:val="31CF5B56"/>
    <w:rsid w:val="31D33876"/>
    <w:rsid w:val="31D364FF"/>
    <w:rsid w:val="31D7D1A4"/>
    <w:rsid w:val="31DBABC7"/>
    <w:rsid w:val="31DDACC3"/>
    <w:rsid w:val="31E91D98"/>
    <w:rsid w:val="31EA2EFE"/>
    <w:rsid w:val="31EF6F21"/>
    <w:rsid w:val="31FC4DBE"/>
    <w:rsid w:val="32030D14"/>
    <w:rsid w:val="32037549"/>
    <w:rsid w:val="3209B75B"/>
    <w:rsid w:val="320EF2DA"/>
    <w:rsid w:val="32131522"/>
    <w:rsid w:val="3213FA06"/>
    <w:rsid w:val="321469D1"/>
    <w:rsid w:val="321C52BC"/>
    <w:rsid w:val="3220C1A8"/>
    <w:rsid w:val="3227EAF2"/>
    <w:rsid w:val="322A7DF5"/>
    <w:rsid w:val="323A1257"/>
    <w:rsid w:val="323F11E9"/>
    <w:rsid w:val="324A01B5"/>
    <w:rsid w:val="324A7D86"/>
    <w:rsid w:val="3251DDE8"/>
    <w:rsid w:val="3257277D"/>
    <w:rsid w:val="325CE0C6"/>
    <w:rsid w:val="32675CF0"/>
    <w:rsid w:val="3268CE60"/>
    <w:rsid w:val="326B3537"/>
    <w:rsid w:val="32718089"/>
    <w:rsid w:val="3279CBC9"/>
    <w:rsid w:val="327BEF07"/>
    <w:rsid w:val="3281129C"/>
    <w:rsid w:val="3284BFCD"/>
    <w:rsid w:val="32868163"/>
    <w:rsid w:val="3287E863"/>
    <w:rsid w:val="329074B7"/>
    <w:rsid w:val="3292300F"/>
    <w:rsid w:val="32938509"/>
    <w:rsid w:val="32A291E8"/>
    <w:rsid w:val="32A38C05"/>
    <w:rsid w:val="32A89F85"/>
    <w:rsid w:val="32B22A24"/>
    <w:rsid w:val="32B7DD89"/>
    <w:rsid w:val="32B9F476"/>
    <w:rsid w:val="32BA1665"/>
    <w:rsid w:val="32BB0C16"/>
    <w:rsid w:val="32BE827D"/>
    <w:rsid w:val="32BEB6C7"/>
    <w:rsid w:val="32C25048"/>
    <w:rsid w:val="32C3FAE5"/>
    <w:rsid w:val="32C831CB"/>
    <w:rsid w:val="32E63312"/>
    <w:rsid w:val="32FCFC56"/>
    <w:rsid w:val="3300AA6A"/>
    <w:rsid w:val="3300E192"/>
    <w:rsid w:val="3301B1C7"/>
    <w:rsid w:val="330E357B"/>
    <w:rsid w:val="330EC050"/>
    <w:rsid w:val="33101E47"/>
    <w:rsid w:val="3311A221"/>
    <w:rsid w:val="33139BD2"/>
    <w:rsid w:val="33175806"/>
    <w:rsid w:val="331EDFE6"/>
    <w:rsid w:val="331F4C21"/>
    <w:rsid w:val="3325F71A"/>
    <w:rsid w:val="33269034"/>
    <w:rsid w:val="33347C1F"/>
    <w:rsid w:val="3334FFE8"/>
    <w:rsid w:val="3335E30E"/>
    <w:rsid w:val="333B5D3A"/>
    <w:rsid w:val="3346E689"/>
    <w:rsid w:val="3348A19A"/>
    <w:rsid w:val="334AC0BB"/>
    <w:rsid w:val="334CA742"/>
    <w:rsid w:val="3353421C"/>
    <w:rsid w:val="335F7E69"/>
    <w:rsid w:val="33618518"/>
    <w:rsid w:val="3363D8DC"/>
    <w:rsid w:val="33747D51"/>
    <w:rsid w:val="3378C634"/>
    <w:rsid w:val="337A3E48"/>
    <w:rsid w:val="337D29E5"/>
    <w:rsid w:val="337D63E3"/>
    <w:rsid w:val="3381AF27"/>
    <w:rsid w:val="33822E7D"/>
    <w:rsid w:val="33825824"/>
    <w:rsid w:val="338307AC"/>
    <w:rsid w:val="338B0673"/>
    <w:rsid w:val="338C2324"/>
    <w:rsid w:val="338D5B4E"/>
    <w:rsid w:val="338D749B"/>
    <w:rsid w:val="339140D9"/>
    <w:rsid w:val="3397CABC"/>
    <w:rsid w:val="33991EF4"/>
    <w:rsid w:val="339D0988"/>
    <w:rsid w:val="33A1C268"/>
    <w:rsid w:val="33A36A8D"/>
    <w:rsid w:val="33A8C9CE"/>
    <w:rsid w:val="33AFE0B2"/>
    <w:rsid w:val="33B06782"/>
    <w:rsid w:val="33B51347"/>
    <w:rsid w:val="33B65272"/>
    <w:rsid w:val="33BAA156"/>
    <w:rsid w:val="33BF9E9E"/>
    <w:rsid w:val="33D195B0"/>
    <w:rsid w:val="33D4E0A4"/>
    <w:rsid w:val="33D6389C"/>
    <w:rsid w:val="33E59D4E"/>
    <w:rsid w:val="33E8F12A"/>
    <w:rsid w:val="33FE03CD"/>
    <w:rsid w:val="34019446"/>
    <w:rsid w:val="34058A2B"/>
    <w:rsid w:val="340CA919"/>
    <w:rsid w:val="340E5344"/>
    <w:rsid w:val="340EF5B3"/>
    <w:rsid w:val="3411F9E4"/>
    <w:rsid w:val="34132C5E"/>
    <w:rsid w:val="3421E9A2"/>
    <w:rsid w:val="34230D3E"/>
    <w:rsid w:val="34245BD7"/>
    <w:rsid w:val="3427D039"/>
    <w:rsid w:val="342BEB67"/>
    <w:rsid w:val="342C46C2"/>
    <w:rsid w:val="3433F9AE"/>
    <w:rsid w:val="343659BB"/>
    <w:rsid w:val="34382CD5"/>
    <w:rsid w:val="3439A6E6"/>
    <w:rsid w:val="343FFE31"/>
    <w:rsid w:val="34481CEA"/>
    <w:rsid w:val="344E48BD"/>
    <w:rsid w:val="34571E67"/>
    <w:rsid w:val="345AAB37"/>
    <w:rsid w:val="346066DE"/>
    <w:rsid w:val="346764CA"/>
    <w:rsid w:val="346C55AA"/>
    <w:rsid w:val="34724689"/>
    <w:rsid w:val="3474CC77"/>
    <w:rsid w:val="347C10F3"/>
    <w:rsid w:val="347D3F87"/>
    <w:rsid w:val="3480C385"/>
    <w:rsid w:val="34825D33"/>
    <w:rsid w:val="348F1F85"/>
    <w:rsid w:val="34936B3F"/>
    <w:rsid w:val="34997524"/>
    <w:rsid w:val="349EAF33"/>
    <w:rsid w:val="349FCD0F"/>
    <w:rsid w:val="34A5DF09"/>
    <w:rsid w:val="34AB9767"/>
    <w:rsid w:val="34ACF808"/>
    <w:rsid w:val="34AFEEAA"/>
    <w:rsid w:val="34B42404"/>
    <w:rsid w:val="34B5594C"/>
    <w:rsid w:val="34BE6E35"/>
    <w:rsid w:val="34C079F4"/>
    <w:rsid w:val="34CD0AD8"/>
    <w:rsid w:val="34D1B79F"/>
    <w:rsid w:val="34D467BC"/>
    <w:rsid w:val="34DA228C"/>
    <w:rsid w:val="34DF6EA0"/>
    <w:rsid w:val="34E07333"/>
    <w:rsid w:val="34E53D0F"/>
    <w:rsid w:val="34E900C8"/>
    <w:rsid w:val="34EBEE7A"/>
    <w:rsid w:val="34F087BF"/>
    <w:rsid w:val="34F75137"/>
    <w:rsid w:val="34F78A22"/>
    <w:rsid w:val="34F80895"/>
    <w:rsid w:val="34FB4872"/>
    <w:rsid w:val="34FB6B1E"/>
    <w:rsid w:val="3509F578"/>
    <w:rsid w:val="350A6869"/>
    <w:rsid w:val="350EB568"/>
    <w:rsid w:val="3511E3B2"/>
    <w:rsid w:val="35139BD4"/>
    <w:rsid w:val="3514D867"/>
    <w:rsid w:val="35153CA3"/>
    <w:rsid w:val="351B81EE"/>
    <w:rsid w:val="35212A6E"/>
    <w:rsid w:val="35222B7D"/>
    <w:rsid w:val="35234890"/>
    <w:rsid w:val="3525386E"/>
    <w:rsid w:val="35261EFC"/>
    <w:rsid w:val="352A39AD"/>
    <w:rsid w:val="352CB8B0"/>
    <w:rsid w:val="352DDE1D"/>
    <w:rsid w:val="352E8F99"/>
    <w:rsid w:val="352F2F7A"/>
    <w:rsid w:val="35329D86"/>
    <w:rsid w:val="35373ACB"/>
    <w:rsid w:val="353CC9F1"/>
    <w:rsid w:val="353DE8BB"/>
    <w:rsid w:val="35428FA1"/>
    <w:rsid w:val="354F9BD1"/>
    <w:rsid w:val="35597BE6"/>
    <w:rsid w:val="355B05D4"/>
    <w:rsid w:val="355FECCC"/>
    <w:rsid w:val="3569A6F3"/>
    <w:rsid w:val="356F18A0"/>
    <w:rsid w:val="3573AFAD"/>
    <w:rsid w:val="3577515B"/>
    <w:rsid w:val="357C8CC0"/>
    <w:rsid w:val="357D1DFE"/>
    <w:rsid w:val="35801856"/>
    <w:rsid w:val="358E6F04"/>
    <w:rsid w:val="359A95CA"/>
    <w:rsid w:val="359BB614"/>
    <w:rsid w:val="359D43D4"/>
    <w:rsid w:val="359D47DE"/>
    <w:rsid w:val="35A82B79"/>
    <w:rsid w:val="35AA847F"/>
    <w:rsid w:val="35ABF5B6"/>
    <w:rsid w:val="35AD8A87"/>
    <w:rsid w:val="35B8927D"/>
    <w:rsid w:val="35BDF14A"/>
    <w:rsid w:val="35C2FD7E"/>
    <w:rsid w:val="35C38D39"/>
    <w:rsid w:val="35CCE10F"/>
    <w:rsid w:val="35CD0D97"/>
    <w:rsid w:val="35D52E47"/>
    <w:rsid w:val="35E35BF4"/>
    <w:rsid w:val="35E5FDB3"/>
    <w:rsid w:val="35ED880D"/>
    <w:rsid w:val="3601EF4D"/>
    <w:rsid w:val="3606A694"/>
    <w:rsid w:val="3608AC4F"/>
    <w:rsid w:val="3610E4C7"/>
    <w:rsid w:val="36280FE8"/>
    <w:rsid w:val="362B8FF2"/>
    <w:rsid w:val="36309F66"/>
    <w:rsid w:val="36321BDA"/>
    <w:rsid w:val="36334052"/>
    <w:rsid w:val="363A9112"/>
    <w:rsid w:val="363EADE5"/>
    <w:rsid w:val="363F64D5"/>
    <w:rsid w:val="36443EC4"/>
    <w:rsid w:val="3647E471"/>
    <w:rsid w:val="3649034D"/>
    <w:rsid w:val="364A0D32"/>
    <w:rsid w:val="364B2DC1"/>
    <w:rsid w:val="364D30CC"/>
    <w:rsid w:val="36565CD4"/>
    <w:rsid w:val="365DEF63"/>
    <w:rsid w:val="3662EC4F"/>
    <w:rsid w:val="36658E5D"/>
    <w:rsid w:val="3666625E"/>
    <w:rsid w:val="367360E0"/>
    <w:rsid w:val="367381FC"/>
    <w:rsid w:val="3677AA1E"/>
    <w:rsid w:val="367AAF0C"/>
    <w:rsid w:val="367BE298"/>
    <w:rsid w:val="368210A7"/>
    <w:rsid w:val="3689E676"/>
    <w:rsid w:val="36902722"/>
    <w:rsid w:val="369460D1"/>
    <w:rsid w:val="3696004E"/>
    <w:rsid w:val="369A0DEF"/>
    <w:rsid w:val="369C4E8E"/>
    <w:rsid w:val="36A5D2DF"/>
    <w:rsid w:val="36AACCD4"/>
    <w:rsid w:val="36B10A31"/>
    <w:rsid w:val="36B1B7E9"/>
    <w:rsid w:val="36B42CF8"/>
    <w:rsid w:val="36B981C7"/>
    <w:rsid w:val="36C13DFA"/>
    <w:rsid w:val="36C786D0"/>
    <w:rsid w:val="36CDCCA7"/>
    <w:rsid w:val="36D053FB"/>
    <w:rsid w:val="36E11B23"/>
    <w:rsid w:val="36E39AAF"/>
    <w:rsid w:val="36E96C6A"/>
    <w:rsid w:val="36EA1F8F"/>
    <w:rsid w:val="36F601F5"/>
    <w:rsid w:val="36FA2A9B"/>
    <w:rsid w:val="370251E2"/>
    <w:rsid w:val="37053225"/>
    <w:rsid w:val="370A9ECE"/>
    <w:rsid w:val="370FB60B"/>
    <w:rsid w:val="3711476F"/>
    <w:rsid w:val="3718B397"/>
    <w:rsid w:val="3721FA85"/>
    <w:rsid w:val="37223F9E"/>
    <w:rsid w:val="372AA808"/>
    <w:rsid w:val="372B08E4"/>
    <w:rsid w:val="372D1A04"/>
    <w:rsid w:val="372D280D"/>
    <w:rsid w:val="372F76FA"/>
    <w:rsid w:val="37389555"/>
    <w:rsid w:val="37397DC9"/>
    <w:rsid w:val="373A0E6C"/>
    <w:rsid w:val="373A8CF3"/>
    <w:rsid w:val="373AAF7D"/>
    <w:rsid w:val="373AFDBA"/>
    <w:rsid w:val="373C3B62"/>
    <w:rsid w:val="373E555C"/>
    <w:rsid w:val="37439533"/>
    <w:rsid w:val="37453491"/>
    <w:rsid w:val="374699FD"/>
    <w:rsid w:val="374E0700"/>
    <w:rsid w:val="374E8D93"/>
    <w:rsid w:val="37506677"/>
    <w:rsid w:val="3757E114"/>
    <w:rsid w:val="3767C882"/>
    <w:rsid w:val="3767DDC3"/>
    <w:rsid w:val="376D926C"/>
    <w:rsid w:val="3770D8BB"/>
    <w:rsid w:val="37774E10"/>
    <w:rsid w:val="377C663C"/>
    <w:rsid w:val="378106D0"/>
    <w:rsid w:val="37862151"/>
    <w:rsid w:val="37866348"/>
    <w:rsid w:val="3792A33F"/>
    <w:rsid w:val="3794AAB5"/>
    <w:rsid w:val="3795363C"/>
    <w:rsid w:val="379ED85E"/>
    <w:rsid w:val="37A2AE3A"/>
    <w:rsid w:val="37AD36FE"/>
    <w:rsid w:val="37AE565E"/>
    <w:rsid w:val="37B3FE1D"/>
    <w:rsid w:val="37BE2C08"/>
    <w:rsid w:val="37C2E106"/>
    <w:rsid w:val="37C6E2C3"/>
    <w:rsid w:val="37C92DE7"/>
    <w:rsid w:val="37C98B66"/>
    <w:rsid w:val="37D1C91C"/>
    <w:rsid w:val="37D5B0EB"/>
    <w:rsid w:val="37D84F9A"/>
    <w:rsid w:val="37DB6944"/>
    <w:rsid w:val="37DB8194"/>
    <w:rsid w:val="37DE2B02"/>
    <w:rsid w:val="37E07B84"/>
    <w:rsid w:val="37E10920"/>
    <w:rsid w:val="37E1AA45"/>
    <w:rsid w:val="37E45D33"/>
    <w:rsid w:val="37E67E11"/>
    <w:rsid w:val="37E8F70D"/>
    <w:rsid w:val="37E9BE32"/>
    <w:rsid w:val="37EAC11F"/>
    <w:rsid w:val="37F25381"/>
    <w:rsid w:val="37FAC528"/>
    <w:rsid w:val="38020FA1"/>
    <w:rsid w:val="3803F442"/>
    <w:rsid w:val="380920B8"/>
    <w:rsid w:val="380AE762"/>
    <w:rsid w:val="3812BF8F"/>
    <w:rsid w:val="381A838C"/>
    <w:rsid w:val="381E3E8E"/>
    <w:rsid w:val="381F74CA"/>
    <w:rsid w:val="38228F59"/>
    <w:rsid w:val="382404B8"/>
    <w:rsid w:val="38245926"/>
    <w:rsid w:val="3824DAD9"/>
    <w:rsid w:val="382836C3"/>
    <w:rsid w:val="382ABB9F"/>
    <w:rsid w:val="38316ED1"/>
    <w:rsid w:val="38343D41"/>
    <w:rsid w:val="383903F0"/>
    <w:rsid w:val="383D285F"/>
    <w:rsid w:val="383F6E44"/>
    <w:rsid w:val="3846A8ED"/>
    <w:rsid w:val="3847E8C8"/>
    <w:rsid w:val="3848E6CA"/>
    <w:rsid w:val="3849EB32"/>
    <w:rsid w:val="385089BD"/>
    <w:rsid w:val="3854E44C"/>
    <w:rsid w:val="3855FD3C"/>
    <w:rsid w:val="3857AA1F"/>
    <w:rsid w:val="385A4A11"/>
    <w:rsid w:val="385D3AD0"/>
    <w:rsid w:val="386256FD"/>
    <w:rsid w:val="3865BD7E"/>
    <w:rsid w:val="3869374A"/>
    <w:rsid w:val="386AA6B0"/>
    <w:rsid w:val="387041F5"/>
    <w:rsid w:val="388B21EF"/>
    <w:rsid w:val="388C8F2F"/>
    <w:rsid w:val="388CDB56"/>
    <w:rsid w:val="3897A7AA"/>
    <w:rsid w:val="389DED51"/>
    <w:rsid w:val="38ABB09F"/>
    <w:rsid w:val="38AE53B9"/>
    <w:rsid w:val="38B09E1F"/>
    <w:rsid w:val="38B47F62"/>
    <w:rsid w:val="38C38FC4"/>
    <w:rsid w:val="38CF43A0"/>
    <w:rsid w:val="38D10527"/>
    <w:rsid w:val="38D25A0F"/>
    <w:rsid w:val="38D7333B"/>
    <w:rsid w:val="38DB0679"/>
    <w:rsid w:val="38E04A57"/>
    <w:rsid w:val="38E2DC4D"/>
    <w:rsid w:val="38E5A760"/>
    <w:rsid w:val="38E5AE48"/>
    <w:rsid w:val="38E712B4"/>
    <w:rsid w:val="38E9FC51"/>
    <w:rsid w:val="38EC2688"/>
    <w:rsid w:val="38F2ED2B"/>
    <w:rsid w:val="38F3E73E"/>
    <w:rsid w:val="38FABA27"/>
    <w:rsid w:val="39026E33"/>
    <w:rsid w:val="3905EABE"/>
    <w:rsid w:val="39082EE5"/>
    <w:rsid w:val="39141AF2"/>
    <w:rsid w:val="3914A16E"/>
    <w:rsid w:val="3915ED33"/>
    <w:rsid w:val="39197F8D"/>
    <w:rsid w:val="391AFFC0"/>
    <w:rsid w:val="391B0B69"/>
    <w:rsid w:val="391E41DF"/>
    <w:rsid w:val="392A6851"/>
    <w:rsid w:val="392B7E24"/>
    <w:rsid w:val="392C8F85"/>
    <w:rsid w:val="392EA9D6"/>
    <w:rsid w:val="392FDA5B"/>
    <w:rsid w:val="392FDC97"/>
    <w:rsid w:val="3938FE77"/>
    <w:rsid w:val="393AD9DE"/>
    <w:rsid w:val="393C7FA8"/>
    <w:rsid w:val="393EE1FF"/>
    <w:rsid w:val="393F6774"/>
    <w:rsid w:val="39413B31"/>
    <w:rsid w:val="39430D04"/>
    <w:rsid w:val="3945515C"/>
    <w:rsid w:val="3945E22A"/>
    <w:rsid w:val="394C28C5"/>
    <w:rsid w:val="3951C8DE"/>
    <w:rsid w:val="3954C1CF"/>
    <w:rsid w:val="39556833"/>
    <w:rsid w:val="3957FA23"/>
    <w:rsid w:val="395D6A36"/>
    <w:rsid w:val="395E9200"/>
    <w:rsid w:val="396072FB"/>
    <w:rsid w:val="39634C1A"/>
    <w:rsid w:val="3963B0FF"/>
    <w:rsid w:val="39644ADF"/>
    <w:rsid w:val="39696596"/>
    <w:rsid w:val="39712668"/>
    <w:rsid w:val="39762A25"/>
    <w:rsid w:val="3976B7FA"/>
    <w:rsid w:val="3978F2FA"/>
    <w:rsid w:val="39794BB2"/>
    <w:rsid w:val="397B590E"/>
    <w:rsid w:val="397C7CF6"/>
    <w:rsid w:val="398548FE"/>
    <w:rsid w:val="398B372A"/>
    <w:rsid w:val="398E7832"/>
    <w:rsid w:val="39937E1F"/>
    <w:rsid w:val="39997EEF"/>
    <w:rsid w:val="39A385DF"/>
    <w:rsid w:val="39A3B6D8"/>
    <w:rsid w:val="39A72FE0"/>
    <w:rsid w:val="39ABE89A"/>
    <w:rsid w:val="39B099EA"/>
    <w:rsid w:val="39B362FE"/>
    <w:rsid w:val="39B4D3E3"/>
    <w:rsid w:val="39BB6D17"/>
    <w:rsid w:val="39C5F023"/>
    <w:rsid w:val="39C95251"/>
    <w:rsid w:val="39CA20B4"/>
    <w:rsid w:val="39CDAF24"/>
    <w:rsid w:val="39D36B32"/>
    <w:rsid w:val="39DA5602"/>
    <w:rsid w:val="39DA630B"/>
    <w:rsid w:val="39E2E882"/>
    <w:rsid w:val="39E3AAD1"/>
    <w:rsid w:val="39E86636"/>
    <w:rsid w:val="39E9E232"/>
    <w:rsid w:val="39EABF00"/>
    <w:rsid w:val="39F78513"/>
    <w:rsid w:val="3A011629"/>
    <w:rsid w:val="3A01AC16"/>
    <w:rsid w:val="3A0A404D"/>
    <w:rsid w:val="3A0C21B2"/>
    <w:rsid w:val="3A0C3254"/>
    <w:rsid w:val="3A0E2D80"/>
    <w:rsid w:val="3A15FCD7"/>
    <w:rsid w:val="3A232468"/>
    <w:rsid w:val="3A26F1B4"/>
    <w:rsid w:val="3A27367B"/>
    <w:rsid w:val="3A2C2725"/>
    <w:rsid w:val="3A35E61B"/>
    <w:rsid w:val="3A38F63E"/>
    <w:rsid w:val="3A3ADCC6"/>
    <w:rsid w:val="3A3D2783"/>
    <w:rsid w:val="3A3D5DC4"/>
    <w:rsid w:val="3A3EDC18"/>
    <w:rsid w:val="3A40C95C"/>
    <w:rsid w:val="3A4609CF"/>
    <w:rsid w:val="3A4CDF8F"/>
    <w:rsid w:val="3A4DC296"/>
    <w:rsid w:val="3A5B756F"/>
    <w:rsid w:val="3A647C3A"/>
    <w:rsid w:val="3A6F28D4"/>
    <w:rsid w:val="3A72987C"/>
    <w:rsid w:val="3A78968B"/>
    <w:rsid w:val="3A7C0C0B"/>
    <w:rsid w:val="3A80ECEA"/>
    <w:rsid w:val="3A826BCA"/>
    <w:rsid w:val="3A83425A"/>
    <w:rsid w:val="3A8AA153"/>
    <w:rsid w:val="3A8B1EAF"/>
    <w:rsid w:val="3A8BF615"/>
    <w:rsid w:val="3A92E737"/>
    <w:rsid w:val="3A9454E0"/>
    <w:rsid w:val="3AA390F3"/>
    <w:rsid w:val="3AABFE1A"/>
    <w:rsid w:val="3AAC1B9D"/>
    <w:rsid w:val="3AB073F7"/>
    <w:rsid w:val="3AB2E5CF"/>
    <w:rsid w:val="3AB68F4A"/>
    <w:rsid w:val="3AB9D7E0"/>
    <w:rsid w:val="3AC28AAE"/>
    <w:rsid w:val="3ACC1B6D"/>
    <w:rsid w:val="3AD7F831"/>
    <w:rsid w:val="3AD894E8"/>
    <w:rsid w:val="3AE2605D"/>
    <w:rsid w:val="3AEE1AF5"/>
    <w:rsid w:val="3AF6CF06"/>
    <w:rsid w:val="3AF8108E"/>
    <w:rsid w:val="3AFF0633"/>
    <w:rsid w:val="3B0C7CA7"/>
    <w:rsid w:val="3B0E47FA"/>
    <w:rsid w:val="3B16AB51"/>
    <w:rsid w:val="3B223779"/>
    <w:rsid w:val="3B2CC6CE"/>
    <w:rsid w:val="3B2FF2D0"/>
    <w:rsid w:val="3B30881B"/>
    <w:rsid w:val="3B3A9076"/>
    <w:rsid w:val="3B3C0649"/>
    <w:rsid w:val="3B3F97BE"/>
    <w:rsid w:val="3B467D9F"/>
    <w:rsid w:val="3B5446B5"/>
    <w:rsid w:val="3B56AA57"/>
    <w:rsid w:val="3B5BCB2A"/>
    <w:rsid w:val="3B5C9A46"/>
    <w:rsid w:val="3B60C5A8"/>
    <w:rsid w:val="3B6B2ABD"/>
    <w:rsid w:val="3B725E70"/>
    <w:rsid w:val="3B75FCBE"/>
    <w:rsid w:val="3B79DCAD"/>
    <w:rsid w:val="3B7A8122"/>
    <w:rsid w:val="3B850592"/>
    <w:rsid w:val="3B9848EB"/>
    <w:rsid w:val="3B98CC42"/>
    <w:rsid w:val="3B9B279D"/>
    <w:rsid w:val="3BA1103E"/>
    <w:rsid w:val="3BA139D8"/>
    <w:rsid w:val="3BA93A35"/>
    <w:rsid w:val="3BA9910D"/>
    <w:rsid w:val="3BABFED0"/>
    <w:rsid w:val="3BB0BE0B"/>
    <w:rsid w:val="3BB1F4C2"/>
    <w:rsid w:val="3BBA64CD"/>
    <w:rsid w:val="3BBD4FAF"/>
    <w:rsid w:val="3BC2C2A4"/>
    <w:rsid w:val="3BC6201F"/>
    <w:rsid w:val="3BC71935"/>
    <w:rsid w:val="3BCE9D88"/>
    <w:rsid w:val="3BCEFDB5"/>
    <w:rsid w:val="3BD4141D"/>
    <w:rsid w:val="3BD4A57F"/>
    <w:rsid w:val="3BDD50E4"/>
    <w:rsid w:val="3BE8001B"/>
    <w:rsid w:val="3BE8CAB8"/>
    <w:rsid w:val="3BF65271"/>
    <w:rsid w:val="3BF7E890"/>
    <w:rsid w:val="3C086C9F"/>
    <w:rsid w:val="3C0C93EE"/>
    <w:rsid w:val="3C142FAB"/>
    <w:rsid w:val="3C209631"/>
    <w:rsid w:val="3C289EC6"/>
    <w:rsid w:val="3C2B490B"/>
    <w:rsid w:val="3C2ED997"/>
    <w:rsid w:val="3C35A3A7"/>
    <w:rsid w:val="3C3E3955"/>
    <w:rsid w:val="3C3EC7CA"/>
    <w:rsid w:val="3C436F37"/>
    <w:rsid w:val="3C4501CF"/>
    <w:rsid w:val="3C45F635"/>
    <w:rsid w:val="3C480BA2"/>
    <w:rsid w:val="3C49521A"/>
    <w:rsid w:val="3C4974A2"/>
    <w:rsid w:val="3C4CE085"/>
    <w:rsid w:val="3C52DBFD"/>
    <w:rsid w:val="3C5313F2"/>
    <w:rsid w:val="3C53F889"/>
    <w:rsid w:val="3C5A65D1"/>
    <w:rsid w:val="3C60F0CC"/>
    <w:rsid w:val="3C6216AC"/>
    <w:rsid w:val="3C6BD7EB"/>
    <w:rsid w:val="3C78F9ED"/>
    <w:rsid w:val="3C7F0D86"/>
    <w:rsid w:val="3C8142F1"/>
    <w:rsid w:val="3C8485C8"/>
    <w:rsid w:val="3C86CC18"/>
    <w:rsid w:val="3C8771D2"/>
    <w:rsid w:val="3C8F7A97"/>
    <w:rsid w:val="3C941E3A"/>
    <w:rsid w:val="3C95A8D3"/>
    <w:rsid w:val="3C999449"/>
    <w:rsid w:val="3CA85A76"/>
    <w:rsid w:val="3CB458CB"/>
    <w:rsid w:val="3CB6495E"/>
    <w:rsid w:val="3CB6CEC2"/>
    <w:rsid w:val="3CB7FE3C"/>
    <w:rsid w:val="3CC11675"/>
    <w:rsid w:val="3CC89F50"/>
    <w:rsid w:val="3CD5A34D"/>
    <w:rsid w:val="3CD7299F"/>
    <w:rsid w:val="3CD98B13"/>
    <w:rsid w:val="3CDEA48C"/>
    <w:rsid w:val="3CE03AA4"/>
    <w:rsid w:val="3CE1250B"/>
    <w:rsid w:val="3CED384A"/>
    <w:rsid w:val="3CF08298"/>
    <w:rsid w:val="3CF4759E"/>
    <w:rsid w:val="3CF4F9C9"/>
    <w:rsid w:val="3CFA55AD"/>
    <w:rsid w:val="3CFB2CAC"/>
    <w:rsid w:val="3CFD5C8F"/>
    <w:rsid w:val="3D01E97C"/>
    <w:rsid w:val="3D047B99"/>
    <w:rsid w:val="3D0ABEEF"/>
    <w:rsid w:val="3D0EC297"/>
    <w:rsid w:val="3D10FA1A"/>
    <w:rsid w:val="3D123147"/>
    <w:rsid w:val="3D128A8D"/>
    <w:rsid w:val="3D1401BF"/>
    <w:rsid w:val="3D15147D"/>
    <w:rsid w:val="3D180868"/>
    <w:rsid w:val="3D201B69"/>
    <w:rsid w:val="3D2A8A85"/>
    <w:rsid w:val="3D2BCA30"/>
    <w:rsid w:val="3D2E05E9"/>
    <w:rsid w:val="3D36FD32"/>
    <w:rsid w:val="3D390F0C"/>
    <w:rsid w:val="3D396A1C"/>
    <w:rsid w:val="3D42A360"/>
    <w:rsid w:val="3D443C95"/>
    <w:rsid w:val="3D461796"/>
    <w:rsid w:val="3D4CB5DA"/>
    <w:rsid w:val="3D4E5C3D"/>
    <w:rsid w:val="3D54FBED"/>
    <w:rsid w:val="3D574CC7"/>
    <w:rsid w:val="3D583D18"/>
    <w:rsid w:val="3D5952F9"/>
    <w:rsid w:val="3D5A5D97"/>
    <w:rsid w:val="3D62CEBD"/>
    <w:rsid w:val="3D64B183"/>
    <w:rsid w:val="3D67F76C"/>
    <w:rsid w:val="3D742505"/>
    <w:rsid w:val="3D75F465"/>
    <w:rsid w:val="3D772CEF"/>
    <w:rsid w:val="3D7A51C1"/>
    <w:rsid w:val="3D7B9CF1"/>
    <w:rsid w:val="3D7D5801"/>
    <w:rsid w:val="3D8235AA"/>
    <w:rsid w:val="3D8BA56C"/>
    <w:rsid w:val="3D8BA779"/>
    <w:rsid w:val="3D8E4460"/>
    <w:rsid w:val="3D916564"/>
    <w:rsid w:val="3D93F034"/>
    <w:rsid w:val="3D942092"/>
    <w:rsid w:val="3D95B132"/>
    <w:rsid w:val="3D97E6CE"/>
    <w:rsid w:val="3D9ABB53"/>
    <w:rsid w:val="3D9C0300"/>
    <w:rsid w:val="3D9E7BBD"/>
    <w:rsid w:val="3DA2432F"/>
    <w:rsid w:val="3DA2992B"/>
    <w:rsid w:val="3DA391CF"/>
    <w:rsid w:val="3DAC7218"/>
    <w:rsid w:val="3DAE215E"/>
    <w:rsid w:val="3DB063A4"/>
    <w:rsid w:val="3DB4848E"/>
    <w:rsid w:val="3DB6A2F0"/>
    <w:rsid w:val="3DB6E72C"/>
    <w:rsid w:val="3DB8A8B9"/>
    <w:rsid w:val="3DC3D071"/>
    <w:rsid w:val="3DC75B1A"/>
    <w:rsid w:val="3DCB128E"/>
    <w:rsid w:val="3DCBD7D9"/>
    <w:rsid w:val="3DCC304B"/>
    <w:rsid w:val="3DCF9035"/>
    <w:rsid w:val="3DDC98D0"/>
    <w:rsid w:val="3DDF0228"/>
    <w:rsid w:val="3DE16CC9"/>
    <w:rsid w:val="3DE2FC16"/>
    <w:rsid w:val="3DE8CC61"/>
    <w:rsid w:val="3DECAA7F"/>
    <w:rsid w:val="3DF79DD7"/>
    <w:rsid w:val="3DF8BC60"/>
    <w:rsid w:val="3DF9F663"/>
    <w:rsid w:val="3DFA4436"/>
    <w:rsid w:val="3DFCABAD"/>
    <w:rsid w:val="3E00F474"/>
    <w:rsid w:val="3E01DD35"/>
    <w:rsid w:val="3E072C2B"/>
    <w:rsid w:val="3E07F423"/>
    <w:rsid w:val="3E0AEC00"/>
    <w:rsid w:val="3E0CB8A0"/>
    <w:rsid w:val="3E0FF328"/>
    <w:rsid w:val="3E144A40"/>
    <w:rsid w:val="3E17039E"/>
    <w:rsid w:val="3E18F4D6"/>
    <w:rsid w:val="3E1A8D93"/>
    <w:rsid w:val="3E1B4280"/>
    <w:rsid w:val="3E281333"/>
    <w:rsid w:val="3E299D11"/>
    <w:rsid w:val="3E30E03B"/>
    <w:rsid w:val="3E31A708"/>
    <w:rsid w:val="3E356F0C"/>
    <w:rsid w:val="3E3A0C12"/>
    <w:rsid w:val="3E3B2A07"/>
    <w:rsid w:val="3E3F9442"/>
    <w:rsid w:val="3E4A61BB"/>
    <w:rsid w:val="3E4C59ED"/>
    <w:rsid w:val="3E4CCE51"/>
    <w:rsid w:val="3E4FF5A9"/>
    <w:rsid w:val="3E526694"/>
    <w:rsid w:val="3E5D7C7C"/>
    <w:rsid w:val="3E6005C3"/>
    <w:rsid w:val="3E60AA1E"/>
    <w:rsid w:val="3E61F514"/>
    <w:rsid w:val="3E6AEED2"/>
    <w:rsid w:val="3E79A669"/>
    <w:rsid w:val="3E8397BA"/>
    <w:rsid w:val="3E911853"/>
    <w:rsid w:val="3E9658AA"/>
    <w:rsid w:val="3E99160C"/>
    <w:rsid w:val="3E9FBDCD"/>
    <w:rsid w:val="3EA1ABEB"/>
    <w:rsid w:val="3EA2753C"/>
    <w:rsid w:val="3EA3140C"/>
    <w:rsid w:val="3EA9EE3D"/>
    <w:rsid w:val="3EAB03D7"/>
    <w:rsid w:val="3EAC2831"/>
    <w:rsid w:val="3EAF5B4E"/>
    <w:rsid w:val="3EB3C740"/>
    <w:rsid w:val="3EB71A08"/>
    <w:rsid w:val="3EB83510"/>
    <w:rsid w:val="3EB872D7"/>
    <w:rsid w:val="3EBAFB95"/>
    <w:rsid w:val="3EBE2CE0"/>
    <w:rsid w:val="3EC5621E"/>
    <w:rsid w:val="3EC77EE1"/>
    <w:rsid w:val="3ED0B17D"/>
    <w:rsid w:val="3ED28103"/>
    <w:rsid w:val="3EDF9865"/>
    <w:rsid w:val="3EE4B01C"/>
    <w:rsid w:val="3EE4DAB5"/>
    <w:rsid w:val="3EE58EE6"/>
    <w:rsid w:val="3EE5D742"/>
    <w:rsid w:val="3EE9E3BF"/>
    <w:rsid w:val="3EED1166"/>
    <w:rsid w:val="3EF7F0EE"/>
    <w:rsid w:val="3F0029E6"/>
    <w:rsid w:val="3F05300F"/>
    <w:rsid w:val="3F0599D8"/>
    <w:rsid w:val="3F05BCCF"/>
    <w:rsid w:val="3F0C5B9D"/>
    <w:rsid w:val="3F12B2F5"/>
    <w:rsid w:val="3F18C2D8"/>
    <w:rsid w:val="3F1CA618"/>
    <w:rsid w:val="3F1CF5AB"/>
    <w:rsid w:val="3F22EAED"/>
    <w:rsid w:val="3F265DDE"/>
    <w:rsid w:val="3F2892F5"/>
    <w:rsid w:val="3F2A1B75"/>
    <w:rsid w:val="3F2C5E66"/>
    <w:rsid w:val="3F2C9BFC"/>
    <w:rsid w:val="3F300C23"/>
    <w:rsid w:val="3F322CBD"/>
    <w:rsid w:val="3F353DCA"/>
    <w:rsid w:val="3F380185"/>
    <w:rsid w:val="3F3979DA"/>
    <w:rsid w:val="3F42F7BB"/>
    <w:rsid w:val="3F46B0F6"/>
    <w:rsid w:val="3F49FE48"/>
    <w:rsid w:val="3F5336AF"/>
    <w:rsid w:val="3F5C0F6C"/>
    <w:rsid w:val="3F5D0B83"/>
    <w:rsid w:val="3F5D20CB"/>
    <w:rsid w:val="3F5E2F95"/>
    <w:rsid w:val="3F627A12"/>
    <w:rsid w:val="3F650F09"/>
    <w:rsid w:val="3F670D80"/>
    <w:rsid w:val="3F6C0403"/>
    <w:rsid w:val="3F6C7474"/>
    <w:rsid w:val="3F6EF1E8"/>
    <w:rsid w:val="3F730858"/>
    <w:rsid w:val="3F76E2E2"/>
    <w:rsid w:val="3F7951B8"/>
    <w:rsid w:val="3F7C20D4"/>
    <w:rsid w:val="3F80C1A1"/>
    <w:rsid w:val="3F86E3FD"/>
    <w:rsid w:val="3F878C8F"/>
    <w:rsid w:val="3F8C8DA8"/>
    <w:rsid w:val="3F8DB1C1"/>
    <w:rsid w:val="3F9046F4"/>
    <w:rsid w:val="3F9E3FBD"/>
    <w:rsid w:val="3FA6D1A2"/>
    <w:rsid w:val="3FA72511"/>
    <w:rsid w:val="3FAC4DC1"/>
    <w:rsid w:val="3FAE0FFD"/>
    <w:rsid w:val="3FAE1A5D"/>
    <w:rsid w:val="3FAF9156"/>
    <w:rsid w:val="3FB1EDF2"/>
    <w:rsid w:val="3FB36F84"/>
    <w:rsid w:val="3FB528A2"/>
    <w:rsid w:val="3FB5F14C"/>
    <w:rsid w:val="3FBEEC92"/>
    <w:rsid w:val="3FC11E97"/>
    <w:rsid w:val="3FC93ECD"/>
    <w:rsid w:val="3FCEFC6E"/>
    <w:rsid w:val="3FD4D27F"/>
    <w:rsid w:val="3FD8A7FB"/>
    <w:rsid w:val="3FDEA8AE"/>
    <w:rsid w:val="3FE191B2"/>
    <w:rsid w:val="3FE32C95"/>
    <w:rsid w:val="3FEBFCA5"/>
    <w:rsid w:val="3FF1D55E"/>
    <w:rsid w:val="3FF6F02B"/>
    <w:rsid w:val="3FF8D69B"/>
    <w:rsid w:val="3FF8EA17"/>
    <w:rsid w:val="3FFCA21B"/>
    <w:rsid w:val="3FFE17BE"/>
    <w:rsid w:val="40001D3E"/>
    <w:rsid w:val="40053F75"/>
    <w:rsid w:val="4005CEA7"/>
    <w:rsid w:val="400F44AB"/>
    <w:rsid w:val="4011B705"/>
    <w:rsid w:val="401A4ED0"/>
    <w:rsid w:val="401C35CE"/>
    <w:rsid w:val="40209485"/>
    <w:rsid w:val="4031EC20"/>
    <w:rsid w:val="403470B8"/>
    <w:rsid w:val="403D6730"/>
    <w:rsid w:val="40437C05"/>
    <w:rsid w:val="4044B8C7"/>
    <w:rsid w:val="4046004A"/>
    <w:rsid w:val="40465FF3"/>
    <w:rsid w:val="40511372"/>
    <w:rsid w:val="4053D827"/>
    <w:rsid w:val="405D724A"/>
    <w:rsid w:val="4061AE8D"/>
    <w:rsid w:val="40698692"/>
    <w:rsid w:val="406E2B99"/>
    <w:rsid w:val="40731F99"/>
    <w:rsid w:val="4073C135"/>
    <w:rsid w:val="40757199"/>
    <w:rsid w:val="407761DD"/>
    <w:rsid w:val="408AA585"/>
    <w:rsid w:val="40983A86"/>
    <w:rsid w:val="409CB172"/>
    <w:rsid w:val="409EACCE"/>
    <w:rsid w:val="409F04B6"/>
    <w:rsid w:val="40A4F334"/>
    <w:rsid w:val="40A6F3ED"/>
    <w:rsid w:val="40AFAE64"/>
    <w:rsid w:val="40B76506"/>
    <w:rsid w:val="40B7D4FC"/>
    <w:rsid w:val="40BAE80C"/>
    <w:rsid w:val="40C105F3"/>
    <w:rsid w:val="40C294B8"/>
    <w:rsid w:val="40C3CC1E"/>
    <w:rsid w:val="40C4F510"/>
    <w:rsid w:val="40CA35EC"/>
    <w:rsid w:val="40CA7862"/>
    <w:rsid w:val="40CAE024"/>
    <w:rsid w:val="40CD3C33"/>
    <w:rsid w:val="40D10495"/>
    <w:rsid w:val="40D5DDEB"/>
    <w:rsid w:val="40D5EDAF"/>
    <w:rsid w:val="40DACCD6"/>
    <w:rsid w:val="40DAD49B"/>
    <w:rsid w:val="40DB2FAD"/>
    <w:rsid w:val="40DBD0F6"/>
    <w:rsid w:val="40E0789D"/>
    <w:rsid w:val="40E826B9"/>
    <w:rsid w:val="40E8A5D5"/>
    <w:rsid w:val="40EA261B"/>
    <w:rsid w:val="40EA3A64"/>
    <w:rsid w:val="40EA43C5"/>
    <w:rsid w:val="40F5231E"/>
    <w:rsid w:val="40FC3D88"/>
    <w:rsid w:val="4101B7D7"/>
    <w:rsid w:val="410637DA"/>
    <w:rsid w:val="41099437"/>
    <w:rsid w:val="410E6277"/>
    <w:rsid w:val="41138B5B"/>
    <w:rsid w:val="4117C362"/>
    <w:rsid w:val="4118AE7D"/>
    <w:rsid w:val="4119EAEC"/>
    <w:rsid w:val="411A4E89"/>
    <w:rsid w:val="411C9E27"/>
    <w:rsid w:val="412308CE"/>
    <w:rsid w:val="4127CB6A"/>
    <w:rsid w:val="412BE110"/>
    <w:rsid w:val="413275DE"/>
    <w:rsid w:val="4135B905"/>
    <w:rsid w:val="4137FBB7"/>
    <w:rsid w:val="41399573"/>
    <w:rsid w:val="4159E156"/>
    <w:rsid w:val="41613378"/>
    <w:rsid w:val="4165B67F"/>
    <w:rsid w:val="41664240"/>
    <w:rsid w:val="417E8666"/>
    <w:rsid w:val="41813030"/>
    <w:rsid w:val="418EAD5D"/>
    <w:rsid w:val="419A3F28"/>
    <w:rsid w:val="419D2319"/>
    <w:rsid w:val="41A98945"/>
    <w:rsid w:val="41ACB289"/>
    <w:rsid w:val="41B1D2DF"/>
    <w:rsid w:val="41B4905B"/>
    <w:rsid w:val="41C2EC2F"/>
    <w:rsid w:val="41C48FA5"/>
    <w:rsid w:val="41C795F4"/>
    <w:rsid w:val="41C8B8CF"/>
    <w:rsid w:val="41D01656"/>
    <w:rsid w:val="41D7A0A9"/>
    <w:rsid w:val="41D7C385"/>
    <w:rsid w:val="41DC0667"/>
    <w:rsid w:val="41DF28D9"/>
    <w:rsid w:val="41E5ABB0"/>
    <w:rsid w:val="41E82587"/>
    <w:rsid w:val="41E8A491"/>
    <w:rsid w:val="41F338D3"/>
    <w:rsid w:val="41FE772B"/>
    <w:rsid w:val="42020584"/>
    <w:rsid w:val="420A0331"/>
    <w:rsid w:val="420B8183"/>
    <w:rsid w:val="420BA4FD"/>
    <w:rsid w:val="420D3850"/>
    <w:rsid w:val="4215E646"/>
    <w:rsid w:val="4216FEF8"/>
    <w:rsid w:val="421D45B3"/>
    <w:rsid w:val="4226797A"/>
    <w:rsid w:val="422B4D84"/>
    <w:rsid w:val="422B8622"/>
    <w:rsid w:val="422CE32F"/>
    <w:rsid w:val="4230EF81"/>
    <w:rsid w:val="42350ED7"/>
    <w:rsid w:val="4236C6B7"/>
    <w:rsid w:val="4238BB4F"/>
    <w:rsid w:val="423A9F27"/>
    <w:rsid w:val="423D7F54"/>
    <w:rsid w:val="423F7ECE"/>
    <w:rsid w:val="423FEBA3"/>
    <w:rsid w:val="42411B64"/>
    <w:rsid w:val="424196F0"/>
    <w:rsid w:val="424428A1"/>
    <w:rsid w:val="424A39A3"/>
    <w:rsid w:val="424C89A2"/>
    <w:rsid w:val="42518F01"/>
    <w:rsid w:val="4255B991"/>
    <w:rsid w:val="42576305"/>
    <w:rsid w:val="425F8233"/>
    <w:rsid w:val="425FE2A8"/>
    <w:rsid w:val="4260E527"/>
    <w:rsid w:val="4262ACFF"/>
    <w:rsid w:val="42670A51"/>
    <w:rsid w:val="42753666"/>
    <w:rsid w:val="4277D5B2"/>
    <w:rsid w:val="427AAB2D"/>
    <w:rsid w:val="427AC659"/>
    <w:rsid w:val="427E6480"/>
    <w:rsid w:val="427FB82C"/>
    <w:rsid w:val="427FE59C"/>
    <w:rsid w:val="428027D5"/>
    <w:rsid w:val="4295B955"/>
    <w:rsid w:val="42984A28"/>
    <w:rsid w:val="429BF522"/>
    <w:rsid w:val="429CA975"/>
    <w:rsid w:val="42A58724"/>
    <w:rsid w:val="42A78C70"/>
    <w:rsid w:val="42B4127D"/>
    <w:rsid w:val="42B8652A"/>
    <w:rsid w:val="42BAF368"/>
    <w:rsid w:val="42C14AFB"/>
    <w:rsid w:val="42C4FC08"/>
    <w:rsid w:val="42CDC720"/>
    <w:rsid w:val="42D022C6"/>
    <w:rsid w:val="42ED87D8"/>
    <w:rsid w:val="43021BB5"/>
    <w:rsid w:val="430AAD0E"/>
    <w:rsid w:val="430E06D4"/>
    <w:rsid w:val="430E18A8"/>
    <w:rsid w:val="430EA319"/>
    <w:rsid w:val="4310B051"/>
    <w:rsid w:val="431CAA45"/>
    <w:rsid w:val="431E02FB"/>
    <w:rsid w:val="431E16DA"/>
    <w:rsid w:val="43204224"/>
    <w:rsid w:val="43243F86"/>
    <w:rsid w:val="43271B8B"/>
    <w:rsid w:val="432C9D71"/>
    <w:rsid w:val="432F5987"/>
    <w:rsid w:val="4330995C"/>
    <w:rsid w:val="43310F8D"/>
    <w:rsid w:val="4331E5BC"/>
    <w:rsid w:val="4337EF1B"/>
    <w:rsid w:val="433878A4"/>
    <w:rsid w:val="43389362"/>
    <w:rsid w:val="433E34A3"/>
    <w:rsid w:val="433FA338"/>
    <w:rsid w:val="4340BEB3"/>
    <w:rsid w:val="4347CC6A"/>
    <w:rsid w:val="4349A1A3"/>
    <w:rsid w:val="4351C32E"/>
    <w:rsid w:val="4355025E"/>
    <w:rsid w:val="43563981"/>
    <w:rsid w:val="435D7197"/>
    <w:rsid w:val="435DD067"/>
    <w:rsid w:val="435EFBE4"/>
    <w:rsid w:val="435FEFF8"/>
    <w:rsid w:val="436819A5"/>
    <w:rsid w:val="43696E7B"/>
    <w:rsid w:val="436A830E"/>
    <w:rsid w:val="437152EF"/>
    <w:rsid w:val="437765DA"/>
    <w:rsid w:val="438BB5AC"/>
    <w:rsid w:val="438C8305"/>
    <w:rsid w:val="438E93DD"/>
    <w:rsid w:val="438F2D76"/>
    <w:rsid w:val="439231F5"/>
    <w:rsid w:val="439483A4"/>
    <w:rsid w:val="43A1A27B"/>
    <w:rsid w:val="43A217A3"/>
    <w:rsid w:val="43A21BB8"/>
    <w:rsid w:val="43A2ED4B"/>
    <w:rsid w:val="43A4B576"/>
    <w:rsid w:val="43AA19D9"/>
    <w:rsid w:val="43AE8785"/>
    <w:rsid w:val="43B534D8"/>
    <w:rsid w:val="43B82759"/>
    <w:rsid w:val="43B8B8E1"/>
    <w:rsid w:val="43BDA31C"/>
    <w:rsid w:val="43C3FF4E"/>
    <w:rsid w:val="43C9BD38"/>
    <w:rsid w:val="43D4A3AB"/>
    <w:rsid w:val="43D7916C"/>
    <w:rsid w:val="43E746CB"/>
    <w:rsid w:val="43F3270D"/>
    <w:rsid w:val="43F5CC30"/>
    <w:rsid w:val="43F9F73E"/>
    <w:rsid w:val="44070137"/>
    <w:rsid w:val="4407AE2A"/>
    <w:rsid w:val="44081115"/>
    <w:rsid w:val="4408C901"/>
    <w:rsid w:val="440C16B1"/>
    <w:rsid w:val="441210F0"/>
    <w:rsid w:val="4414EFA3"/>
    <w:rsid w:val="441565F0"/>
    <w:rsid w:val="4419A8AC"/>
    <w:rsid w:val="441C1946"/>
    <w:rsid w:val="4426F196"/>
    <w:rsid w:val="442EAAF8"/>
    <w:rsid w:val="442EB26F"/>
    <w:rsid w:val="4435ACD1"/>
    <w:rsid w:val="443688F6"/>
    <w:rsid w:val="443A230F"/>
    <w:rsid w:val="443AD1A3"/>
    <w:rsid w:val="4443C1BA"/>
    <w:rsid w:val="44478D43"/>
    <w:rsid w:val="444CD51E"/>
    <w:rsid w:val="44521913"/>
    <w:rsid w:val="4454F3D8"/>
    <w:rsid w:val="445790D1"/>
    <w:rsid w:val="445BB4E2"/>
    <w:rsid w:val="445C0EC9"/>
    <w:rsid w:val="445D8BB8"/>
    <w:rsid w:val="4467EF76"/>
    <w:rsid w:val="446935E7"/>
    <w:rsid w:val="446B52DD"/>
    <w:rsid w:val="446D7A70"/>
    <w:rsid w:val="446F5F22"/>
    <w:rsid w:val="4475228F"/>
    <w:rsid w:val="447D75B2"/>
    <w:rsid w:val="447DE46F"/>
    <w:rsid w:val="448306A5"/>
    <w:rsid w:val="44834440"/>
    <w:rsid w:val="449D04C3"/>
    <w:rsid w:val="449D851A"/>
    <w:rsid w:val="449DDDFD"/>
    <w:rsid w:val="449F4DD4"/>
    <w:rsid w:val="44A0727A"/>
    <w:rsid w:val="44A7CB0B"/>
    <w:rsid w:val="44A8885C"/>
    <w:rsid w:val="44B7A3AE"/>
    <w:rsid w:val="44B8CA4B"/>
    <w:rsid w:val="44B91FCE"/>
    <w:rsid w:val="44BEFC90"/>
    <w:rsid w:val="44C3CCFA"/>
    <w:rsid w:val="44C40FF2"/>
    <w:rsid w:val="44C8966D"/>
    <w:rsid w:val="44D1EEB7"/>
    <w:rsid w:val="44D3506B"/>
    <w:rsid w:val="44D8B2A9"/>
    <w:rsid w:val="44DA9F2C"/>
    <w:rsid w:val="44DD44E8"/>
    <w:rsid w:val="44E03033"/>
    <w:rsid w:val="44F08B1D"/>
    <w:rsid w:val="44F2281D"/>
    <w:rsid w:val="44F448A7"/>
    <w:rsid w:val="44F638B7"/>
    <w:rsid w:val="44F8BF67"/>
    <w:rsid w:val="44FBCD3C"/>
    <w:rsid w:val="44FCE6DC"/>
    <w:rsid w:val="44FDD08A"/>
    <w:rsid w:val="44FE574C"/>
    <w:rsid w:val="4500BEDC"/>
    <w:rsid w:val="450253B4"/>
    <w:rsid w:val="450475A9"/>
    <w:rsid w:val="45073A0B"/>
    <w:rsid w:val="450EB2AF"/>
    <w:rsid w:val="45118D3A"/>
    <w:rsid w:val="45139F2C"/>
    <w:rsid w:val="452D6FAB"/>
    <w:rsid w:val="4534425A"/>
    <w:rsid w:val="453D1ED1"/>
    <w:rsid w:val="4549F316"/>
    <w:rsid w:val="45525E9F"/>
    <w:rsid w:val="4559846B"/>
    <w:rsid w:val="455B279E"/>
    <w:rsid w:val="455DB107"/>
    <w:rsid w:val="45636ED0"/>
    <w:rsid w:val="4563EB19"/>
    <w:rsid w:val="456CA68A"/>
    <w:rsid w:val="4573D0FC"/>
    <w:rsid w:val="45744526"/>
    <w:rsid w:val="457BF97D"/>
    <w:rsid w:val="457E3C66"/>
    <w:rsid w:val="458153E4"/>
    <w:rsid w:val="45835357"/>
    <w:rsid w:val="45908B0D"/>
    <w:rsid w:val="459941CD"/>
    <w:rsid w:val="459A0916"/>
    <w:rsid w:val="459A8A8D"/>
    <w:rsid w:val="459CD9DA"/>
    <w:rsid w:val="459FE71B"/>
    <w:rsid w:val="45A12603"/>
    <w:rsid w:val="45A2C2FF"/>
    <w:rsid w:val="45A3CFAD"/>
    <w:rsid w:val="45A7388C"/>
    <w:rsid w:val="45AA1171"/>
    <w:rsid w:val="45AD9F2B"/>
    <w:rsid w:val="45AE9C33"/>
    <w:rsid w:val="45B2D721"/>
    <w:rsid w:val="45B5CA70"/>
    <w:rsid w:val="45B88113"/>
    <w:rsid w:val="45BB26EC"/>
    <w:rsid w:val="45BF0A85"/>
    <w:rsid w:val="45C576D4"/>
    <w:rsid w:val="45C9FAD1"/>
    <w:rsid w:val="45CF5F15"/>
    <w:rsid w:val="45D47707"/>
    <w:rsid w:val="45DA2EEB"/>
    <w:rsid w:val="45DBD72A"/>
    <w:rsid w:val="45DC860E"/>
    <w:rsid w:val="45DD6DA7"/>
    <w:rsid w:val="45DE4235"/>
    <w:rsid w:val="45E2973B"/>
    <w:rsid w:val="45EB966C"/>
    <w:rsid w:val="45F3B55D"/>
    <w:rsid w:val="45F803F3"/>
    <w:rsid w:val="45F8A63B"/>
    <w:rsid w:val="45F97EA8"/>
    <w:rsid w:val="45FDF5E0"/>
    <w:rsid w:val="4604691D"/>
    <w:rsid w:val="460E579B"/>
    <w:rsid w:val="4618E2FF"/>
    <w:rsid w:val="461B7A6C"/>
    <w:rsid w:val="461E71F6"/>
    <w:rsid w:val="46227A26"/>
    <w:rsid w:val="462F8981"/>
    <w:rsid w:val="46350ADB"/>
    <w:rsid w:val="463F05F0"/>
    <w:rsid w:val="4644E5ED"/>
    <w:rsid w:val="464B0647"/>
    <w:rsid w:val="4653BA42"/>
    <w:rsid w:val="4654C634"/>
    <w:rsid w:val="46574B90"/>
    <w:rsid w:val="46584CCF"/>
    <w:rsid w:val="465C1258"/>
    <w:rsid w:val="465C3897"/>
    <w:rsid w:val="465F7085"/>
    <w:rsid w:val="4666C14E"/>
    <w:rsid w:val="4667524B"/>
    <w:rsid w:val="466FB08F"/>
    <w:rsid w:val="466FBF46"/>
    <w:rsid w:val="46700D7D"/>
    <w:rsid w:val="467C09A5"/>
    <w:rsid w:val="467E0DD6"/>
    <w:rsid w:val="46808736"/>
    <w:rsid w:val="4682BC3B"/>
    <w:rsid w:val="46873D22"/>
    <w:rsid w:val="468C0F12"/>
    <w:rsid w:val="46946516"/>
    <w:rsid w:val="469894CE"/>
    <w:rsid w:val="469C981C"/>
    <w:rsid w:val="46A008AC"/>
    <w:rsid w:val="46B4F273"/>
    <w:rsid w:val="46B59F38"/>
    <w:rsid w:val="46B988D0"/>
    <w:rsid w:val="46BE019B"/>
    <w:rsid w:val="46C3889C"/>
    <w:rsid w:val="46D1F8CF"/>
    <w:rsid w:val="46D3E4B4"/>
    <w:rsid w:val="46DBC4F7"/>
    <w:rsid w:val="46DDA7AA"/>
    <w:rsid w:val="46E06782"/>
    <w:rsid w:val="46E8D47B"/>
    <w:rsid w:val="46EF1F07"/>
    <w:rsid w:val="46F2C52D"/>
    <w:rsid w:val="46F6CE78"/>
    <w:rsid w:val="46F73A4C"/>
    <w:rsid w:val="46FB5B26"/>
    <w:rsid w:val="46FEC83F"/>
    <w:rsid w:val="4700C1E1"/>
    <w:rsid w:val="4706C922"/>
    <w:rsid w:val="47151E37"/>
    <w:rsid w:val="47153BF9"/>
    <w:rsid w:val="47161FE9"/>
    <w:rsid w:val="471F16EB"/>
    <w:rsid w:val="47218730"/>
    <w:rsid w:val="472BDECF"/>
    <w:rsid w:val="472DDC56"/>
    <w:rsid w:val="472EAB00"/>
    <w:rsid w:val="472EDCDE"/>
    <w:rsid w:val="4731C6E0"/>
    <w:rsid w:val="47345B9C"/>
    <w:rsid w:val="47363096"/>
    <w:rsid w:val="4739B50E"/>
    <w:rsid w:val="473E5F45"/>
    <w:rsid w:val="4741C5CF"/>
    <w:rsid w:val="4744261C"/>
    <w:rsid w:val="474829B8"/>
    <w:rsid w:val="4748F00A"/>
    <w:rsid w:val="4749B17B"/>
    <w:rsid w:val="474CC5FA"/>
    <w:rsid w:val="474F1E1E"/>
    <w:rsid w:val="47531D27"/>
    <w:rsid w:val="475423B5"/>
    <w:rsid w:val="4755F02F"/>
    <w:rsid w:val="47601C96"/>
    <w:rsid w:val="47629634"/>
    <w:rsid w:val="47637E4D"/>
    <w:rsid w:val="476D2D6B"/>
    <w:rsid w:val="4772E494"/>
    <w:rsid w:val="47755EDB"/>
    <w:rsid w:val="4777BD38"/>
    <w:rsid w:val="477894EC"/>
    <w:rsid w:val="477997A7"/>
    <w:rsid w:val="477B282C"/>
    <w:rsid w:val="4782DC72"/>
    <w:rsid w:val="478444EA"/>
    <w:rsid w:val="478FD836"/>
    <w:rsid w:val="47955222"/>
    <w:rsid w:val="4797D04B"/>
    <w:rsid w:val="47A83058"/>
    <w:rsid w:val="47AB3C6E"/>
    <w:rsid w:val="47AE3422"/>
    <w:rsid w:val="47B2E82E"/>
    <w:rsid w:val="47B5241E"/>
    <w:rsid w:val="47B614C4"/>
    <w:rsid w:val="47B6225F"/>
    <w:rsid w:val="47B8F01F"/>
    <w:rsid w:val="47C1E7FF"/>
    <w:rsid w:val="47C31872"/>
    <w:rsid w:val="47C6C9B7"/>
    <w:rsid w:val="47CD026D"/>
    <w:rsid w:val="47CE2ED4"/>
    <w:rsid w:val="47D04257"/>
    <w:rsid w:val="47D04ADF"/>
    <w:rsid w:val="47D0C588"/>
    <w:rsid w:val="47D30D5A"/>
    <w:rsid w:val="47DC31C6"/>
    <w:rsid w:val="47DC3DB1"/>
    <w:rsid w:val="47E0400C"/>
    <w:rsid w:val="47E70422"/>
    <w:rsid w:val="47EADCD1"/>
    <w:rsid w:val="47EB933D"/>
    <w:rsid w:val="47F197CF"/>
    <w:rsid w:val="4800020A"/>
    <w:rsid w:val="480912FC"/>
    <w:rsid w:val="480F9F1F"/>
    <w:rsid w:val="481BCC91"/>
    <w:rsid w:val="48212EA1"/>
    <w:rsid w:val="4821E526"/>
    <w:rsid w:val="4827B9AF"/>
    <w:rsid w:val="48282B33"/>
    <w:rsid w:val="48286CB8"/>
    <w:rsid w:val="4829643A"/>
    <w:rsid w:val="482A0953"/>
    <w:rsid w:val="482CD646"/>
    <w:rsid w:val="482F3A14"/>
    <w:rsid w:val="48316F7C"/>
    <w:rsid w:val="483289AA"/>
    <w:rsid w:val="4837F7C8"/>
    <w:rsid w:val="484511FE"/>
    <w:rsid w:val="48488CD9"/>
    <w:rsid w:val="484A384A"/>
    <w:rsid w:val="484ED6E3"/>
    <w:rsid w:val="484FD68B"/>
    <w:rsid w:val="485219A9"/>
    <w:rsid w:val="4854B7D6"/>
    <w:rsid w:val="4859DF1F"/>
    <w:rsid w:val="486385EE"/>
    <w:rsid w:val="486806AA"/>
    <w:rsid w:val="4868C441"/>
    <w:rsid w:val="4869D44E"/>
    <w:rsid w:val="486C3FCC"/>
    <w:rsid w:val="486EE66F"/>
    <w:rsid w:val="487688B7"/>
    <w:rsid w:val="4878F5C7"/>
    <w:rsid w:val="487ECD5E"/>
    <w:rsid w:val="48807426"/>
    <w:rsid w:val="4883703C"/>
    <w:rsid w:val="488419CE"/>
    <w:rsid w:val="48849520"/>
    <w:rsid w:val="4886D9EF"/>
    <w:rsid w:val="4887560D"/>
    <w:rsid w:val="4888583A"/>
    <w:rsid w:val="488A13F1"/>
    <w:rsid w:val="488DC084"/>
    <w:rsid w:val="4895EC5E"/>
    <w:rsid w:val="48967586"/>
    <w:rsid w:val="489B6223"/>
    <w:rsid w:val="489D465D"/>
    <w:rsid w:val="48A5348E"/>
    <w:rsid w:val="48AC4270"/>
    <w:rsid w:val="48ACE46C"/>
    <w:rsid w:val="48AEBEE3"/>
    <w:rsid w:val="48B22A70"/>
    <w:rsid w:val="48B4E95A"/>
    <w:rsid w:val="48B6AB5C"/>
    <w:rsid w:val="48BDF718"/>
    <w:rsid w:val="48C923B7"/>
    <w:rsid w:val="48D2D0B7"/>
    <w:rsid w:val="48D4F3C4"/>
    <w:rsid w:val="48DB16FE"/>
    <w:rsid w:val="48DB319A"/>
    <w:rsid w:val="48DD9B2E"/>
    <w:rsid w:val="48E40546"/>
    <w:rsid w:val="48EA51CE"/>
    <w:rsid w:val="48EC8017"/>
    <w:rsid w:val="48EDF1E5"/>
    <w:rsid w:val="48EF4C4C"/>
    <w:rsid w:val="48F183DE"/>
    <w:rsid w:val="48F30948"/>
    <w:rsid w:val="48F3BE69"/>
    <w:rsid w:val="48F92A3D"/>
    <w:rsid w:val="48FE499F"/>
    <w:rsid w:val="49003EF1"/>
    <w:rsid w:val="4913235E"/>
    <w:rsid w:val="4919700A"/>
    <w:rsid w:val="491E98A1"/>
    <w:rsid w:val="4922193B"/>
    <w:rsid w:val="492548B2"/>
    <w:rsid w:val="4927E2A1"/>
    <w:rsid w:val="4932345B"/>
    <w:rsid w:val="49393ED7"/>
    <w:rsid w:val="493CEF8F"/>
    <w:rsid w:val="493CF316"/>
    <w:rsid w:val="494CFD06"/>
    <w:rsid w:val="49520E46"/>
    <w:rsid w:val="49566E1F"/>
    <w:rsid w:val="4956A482"/>
    <w:rsid w:val="49570794"/>
    <w:rsid w:val="495F4749"/>
    <w:rsid w:val="496464E1"/>
    <w:rsid w:val="4964AEAE"/>
    <w:rsid w:val="496B2124"/>
    <w:rsid w:val="49723C71"/>
    <w:rsid w:val="4972E215"/>
    <w:rsid w:val="4978E219"/>
    <w:rsid w:val="497D2689"/>
    <w:rsid w:val="49823235"/>
    <w:rsid w:val="49832E6E"/>
    <w:rsid w:val="498605AA"/>
    <w:rsid w:val="49888A42"/>
    <w:rsid w:val="4988A802"/>
    <w:rsid w:val="498D3904"/>
    <w:rsid w:val="498EA1F9"/>
    <w:rsid w:val="49903151"/>
    <w:rsid w:val="499F1F68"/>
    <w:rsid w:val="49A3CB62"/>
    <w:rsid w:val="49A5443F"/>
    <w:rsid w:val="49B0BF86"/>
    <w:rsid w:val="49B66B58"/>
    <w:rsid w:val="49B6E693"/>
    <w:rsid w:val="49BD126B"/>
    <w:rsid w:val="49C23760"/>
    <w:rsid w:val="49C8EEDF"/>
    <w:rsid w:val="49C90E47"/>
    <w:rsid w:val="49CBFE44"/>
    <w:rsid w:val="49CD7CB0"/>
    <w:rsid w:val="49D5E0E5"/>
    <w:rsid w:val="49D894DF"/>
    <w:rsid w:val="49E3F175"/>
    <w:rsid w:val="49F0D46E"/>
    <w:rsid w:val="49F325C1"/>
    <w:rsid w:val="49F5960B"/>
    <w:rsid w:val="49F80CA9"/>
    <w:rsid w:val="49F846E2"/>
    <w:rsid w:val="49F91ED0"/>
    <w:rsid w:val="4A0046B0"/>
    <w:rsid w:val="4A0051D2"/>
    <w:rsid w:val="4A028CFE"/>
    <w:rsid w:val="4A09799C"/>
    <w:rsid w:val="4A0A9A26"/>
    <w:rsid w:val="4A0C53C1"/>
    <w:rsid w:val="4A1126E3"/>
    <w:rsid w:val="4A11DF88"/>
    <w:rsid w:val="4A12D500"/>
    <w:rsid w:val="4A134916"/>
    <w:rsid w:val="4A189D77"/>
    <w:rsid w:val="4A1D9990"/>
    <w:rsid w:val="4A2BCDE4"/>
    <w:rsid w:val="4A32FB3E"/>
    <w:rsid w:val="4A35BD4B"/>
    <w:rsid w:val="4A396075"/>
    <w:rsid w:val="4A44C6A0"/>
    <w:rsid w:val="4A471F1F"/>
    <w:rsid w:val="4A4C10B7"/>
    <w:rsid w:val="4A4F470C"/>
    <w:rsid w:val="4A56CFF8"/>
    <w:rsid w:val="4A65AE63"/>
    <w:rsid w:val="4A698643"/>
    <w:rsid w:val="4A6E7269"/>
    <w:rsid w:val="4A71907E"/>
    <w:rsid w:val="4A7577C1"/>
    <w:rsid w:val="4A7CB5F3"/>
    <w:rsid w:val="4A8515BE"/>
    <w:rsid w:val="4A8941DC"/>
    <w:rsid w:val="4A8C7D2C"/>
    <w:rsid w:val="4A8C89AE"/>
    <w:rsid w:val="4A93000F"/>
    <w:rsid w:val="4A978F09"/>
    <w:rsid w:val="4A985F87"/>
    <w:rsid w:val="4A9D03BC"/>
    <w:rsid w:val="4A9E509E"/>
    <w:rsid w:val="4A9FAAEB"/>
    <w:rsid w:val="4AA707DA"/>
    <w:rsid w:val="4AAC468C"/>
    <w:rsid w:val="4AAE9503"/>
    <w:rsid w:val="4AAF7DD8"/>
    <w:rsid w:val="4AAFFD23"/>
    <w:rsid w:val="4AB6D1DF"/>
    <w:rsid w:val="4ABD7E42"/>
    <w:rsid w:val="4AC191EB"/>
    <w:rsid w:val="4ACE0422"/>
    <w:rsid w:val="4AD5DAE3"/>
    <w:rsid w:val="4AD9F8D2"/>
    <w:rsid w:val="4ADA947C"/>
    <w:rsid w:val="4ADF4A20"/>
    <w:rsid w:val="4AE2EB39"/>
    <w:rsid w:val="4AE322B9"/>
    <w:rsid w:val="4AE930F1"/>
    <w:rsid w:val="4AEB2A66"/>
    <w:rsid w:val="4AEEBB68"/>
    <w:rsid w:val="4AF26E02"/>
    <w:rsid w:val="4B0115BA"/>
    <w:rsid w:val="4B05EE4F"/>
    <w:rsid w:val="4B0AECA4"/>
    <w:rsid w:val="4B0AFE6F"/>
    <w:rsid w:val="4B0E54B5"/>
    <w:rsid w:val="4B17A9F0"/>
    <w:rsid w:val="4B198D88"/>
    <w:rsid w:val="4B1B5106"/>
    <w:rsid w:val="4B1D9CBA"/>
    <w:rsid w:val="4B20F28C"/>
    <w:rsid w:val="4B2144C7"/>
    <w:rsid w:val="4B222257"/>
    <w:rsid w:val="4B243BB0"/>
    <w:rsid w:val="4B27718D"/>
    <w:rsid w:val="4B2B55D4"/>
    <w:rsid w:val="4B2CF58F"/>
    <w:rsid w:val="4B2F335D"/>
    <w:rsid w:val="4B2F5EAA"/>
    <w:rsid w:val="4B3437F2"/>
    <w:rsid w:val="4B368127"/>
    <w:rsid w:val="4B380747"/>
    <w:rsid w:val="4B399676"/>
    <w:rsid w:val="4B41DFDA"/>
    <w:rsid w:val="4B47BF2A"/>
    <w:rsid w:val="4B52A107"/>
    <w:rsid w:val="4B54E546"/>
    <w:rsid w:val="4B5722A0"/>
    <w:rsid w:val="4B59CCE5"/>
    <w:rsid w:val="4B5F985D"/>
    <w:rsid w:val="4B60AC3E"/>
    <w:rsid w:val="4B60ED5D"/>
    <w:rsid w:val="4B610E1D"/>
    <w:rsid w:val="4B6A3D9B"/>
    <w:rsid w:val="4B6EB58B"/>
    <w:rsid w:val="4B767528"/>
    <w:rsid w:val="4B7A3929"/>
    <w:rsid w:val="4B7AC819"/>
    <w:rsid w:val="4B7AD924"/>
    <w:rsid w:val="4B7C808C"/>
    <w:rsid w:val="4B7DA212"/>
    <w:rsid w:val="4B843FE9"/>
    <w:rsid w:val="4B85DC7A"/>
    <w:rsid w:val="4B899F51"/>
    <w:rsid w:val="4B8C2B3A"/>
    <w:rsid w:val="4B8C6D84"/>
    <w:rsid w:val="4B93E5E6"/>
    <w:rsid w:val="4B9AF8E0"/>
    <w:rsid w:val="4BA1AA17"/>
    <w:rsid w:val="4BA331B9"/>
    <w:rsid w:val="4BA50BF3"/>
    <w:rsid w:val="4BA73340"/>
    <w:rsid w:val="4BAB934F"/>
    <w:rsid w:val="4BAF4645"/>
    <w:rsid w:val="4BB4B559"/>
    <w:rsid w:val="4BB759CA"/>
    <w:rsid w:val="4BB8AF34"/>
    <w:rsid w:val="4BB9461E"/>
    <w:rsid w:val="4BBBBFCF"/>
    <w:rsid w:val="4BBE6D47"/>
    <w:rsid w:val="4BC03D6B"/>
    <w:rsid w:val="4BC4FF69"/>
    <w:rsid w:val="4BC6CC3D"/>
    <w:rsid w:val="4BC9C3BF"/>
    <w:rsid w:val="4BCE5D11"/>
    <w:rsid w:val="4BCEA2C1"/>
    <w:rsid w:val="4BDF6339"/>
    <w:rsid w:val="4BE1D738"/>
    <w:rsid w:val="4BE41925"/>
    <w:rsid w:val="4BE6684E"/>
    <w:rsid w:val="4BEE951B"/>
    <w:rsid w:val="4BF7BF4B"/>
    <w:rsid w:val="4BFCE96A"/>
    <w:rsid w:val="4C03311C"/>
    <w:rsid w:val="4C103BDF"/>
    <w:rsid w:val="4C147187"/>
    <w:rsid w:val="4C162871"/>
    <w:rsid w:val="4C1C086A"/>
    <w:rsid w:val="4C1DC6FC"/>
    <w:rsid w:val="4C1F1E96"/>
    <w:rsid w:val="4C2097D0"/>
    <w:rsid w:val="4C228F75"/>
    <w:rsid w:val="4C24FB27"/>
    <w:rsid w:val="4C269469"/>
    <w:rsid w:val="4C2D15D3"/>
    <w:rsid w:val="4C2D8076"/>
    <w:rsid w:val="4C2F1AA8"/>
    <w:rsid w:val="4C309E07"/>
    <w:rsid w:val="4C30E45E"/>
    <w:rsid w:val="4C354CC8"/>
    <w:rsid w:val="4C3797E7"/>
    <w:rsid w:val="4C39FE29"/>
    <w:rsid w:val="4C4885F1"/>
    <w:rsid w:val="4C49150F"/>
    <w:rsid w:val="4C4B631D"/>
    <w:rsid w:val="4C4C7B6D"/>
    <w:rsid w:val="4C5161CD"/>
    <w:rsid w:val="4C55B755"/>
    <w:rsid w:val="4C5613FA"/>
    <w:rsid w:val="4C595917"/>
    <w:rsid w:val="4C59CF42"/>
    <w:rsid w:val="4C5B6AF6"/>
    <w:rsid w:val="4C5C7C4A"/>
    <w:rsid w:val="4C5C8584"/>
    <w:rsid w:val="4C5EBECC"/>
    <w:rsid w:val="4C619ED3"/>
    <w:rsid w:val="4C62AF6B"/>
    <w:rsid w:val="4C63B43C"/>
    <w:rsid w:val="4C6502D6"/>
    <w:rsid w:val="4C663D2E"/>
    <w:rsid w:val="4C68326B"/>
    <w:rsid w:val="4C6AABDF"/>
    <w:rsid w:val="4C6CDA4E"/>
    <w:rsid w:val="4C70F540"/>
    <w:rsid w:val="4C738E67"/>
    <w:rsid w:val="4C7694E6"/>
    <w:rsid w:val="4C784722"/>
    <w:rsid w:val="4C78D4D3"/>
    <w:rsid w:val="4C7922C3"/>
    <w:rsid w:val="4C7CFD49"/>
    <w:rsid w:val="4C81C28B"/>
    <w:rsid w:val="4C867112"/>
    <w:rsid w:val="4C93699D"/>
    <w:rsid w:val="4C97017F"/>
    <w:rsid w:val="4C9EFF2F"/>
    <w:rsid w:val="4CA31049"/>
    <w:rsid w:val="4CA3CC97"/>
    <w:rsid w:val="4CA66104"/>
    <w:rsid w:val="4CA70A0C"/>
    <w:rsid w:val="4CA86654"/>
    <w:rsid w:val="4CAB9AD7"/>
    <w:rsid w:val="4CB2AB7A"/>
    <w:rsid w:val="4CB65D97"/>
    <w:rsid w:val="4CBECFD6"/>
    <w:rsid w:val="4CC19CA6"/>
    <w:rsid w:val="4CC28676"/>
    <w:rsid w:val="4CC54EEC"/>
    <w:rsid w:val="4CC5DDD0"/>
    <w:rsid w:val="4CC84B92"/>
    <w:rsid w:val="4CC9A588"/>
    <w:rsid w:val="4CCC4641"/>
    <w:rsid w:val="4CD1B0EC"/>
    <w:rsid w:val="4CDD0CD5"/>
    <w:rsid w:val="4CE20957"/>
    <w:rsid w:val="4CE82F39"/>
    <w:rsid w:val="4CEBE794"/>
    <w:rsid w:val="4CECA35C"/>
    <w:rsid w:val="4CECFAEE"/>
    <w:rsid w:val="4CEEE588"/>
    <w:rsid w:val="4D010512"/>
    <w:rsid w:val="4D02C776"/>
    <w:rsid w:val="4D067F11"/>
    <w:rsid w:val="4D09B851"/>
    <w:rsid w:val="4D0E06EE"/>
    <w:rsid w:val="4D0F9670"/>
    <w:rsid w:val="4D150C5B"/>
    <w:rsid w:val="4D1BB02A"/>
    <w:rsid w:val="4D2C82EC"/>
    <w:rsid w:val="4D2C9FED"/>
    <w:rsid w:val="4D2DEFE4"/>
    <w:rsid w:val="4D36FA47"/>
    <w:rsid w:val="4D3DCEC3"/>
    <w:rsid w:val="4D44CE17"/>
    <w:rsid w:val="4D451116"/>
    <w:rsid w:val="4D4B5C05"/>
    <w:rsid w:val="4D4E268A"/>
    <w:rsid w:val="4D5AECF7"/>
    <w:rsid w:val="4D5E985B"/>
    <w:rsid w:val="4D60A56F"/>
    <w:rsid w:val="4D6124D5"/>
    <w:rsid w:val="4D6196D6"/>
    <w:rsid w:val="4D65B4EA"/>
    <w:rsid w:val="4D6B6FA4"/>
    <w:rsid w:val="4D6B7DA6"/>
    <w:rsid w:val="4D6BA46C"/>
    <w:rsid w:val="4D6BA717"/>
    <w:rsid w:val="4D6BAA58"/>
    <w:rsid w:val="4D728284"/>
    <w:rsid w:val="4D73BF1D"/>
    <w:rsid w:val="4D7B7A26"/>
    <w:rsid w:val="4D7CF7A6"/>
    <w:rsid w:val="4D82F1DA"/>
    <w:rsid w:val="4D890CCA"/>
    <w:rsid w:val="4D8A706E"/>
    <w:rsid w:val="4D8E3ECA"/>
    <w:rsid w:val="4D930B11"/>
    <w:rsid w:val="4D9DB8C8"/>
    <w:rsid w:val="4DA53E98"/>
    <w:rsid w:val="4DAA16F5"/>
    <w:rsid w:val="4DABAC62"/>
    <w:rsid w:val="4DAE68F8"/>
    <w:rsid w:val="4DAEC3B5"/>
    <w:rsid w:val="4DB40947"/>
    <w:rsid w:val="4DBB16E4"/>
    <w:rsid w:val="4DBBCF1F"/>
    <w:rsid w:val="4DBF6B33"/>
    <w:rsid w:val="4DC5133F"/>
    <w:rsid w:val="4DC7759F"/>
    <w:rsid w:val="4DCE73FE"/>
    <w:rsid w:val="4DD000B6"/>
    <w:rsid w:val="4DD19567"/>
    <w:rsid w:val="4DD1BDE5"/>
    <w:rsid w:val="4DD7875A"/>
    <w:rsid w:val="4DDA853A"/>
    <w:rsid w:val="4DDAA28D"/>
    <w:rsid w:val="4DDFC15A"/>
    <w:rsid w:val="4DE068F5"/>
    <w:rsid w:val="4DEB7483"/>
    <w:rsid w:val="4DF15DA0"/>
    <w:rsid w:val="4DF17B97"/>
    <w:rsid w:val="4DF28578"/>
    <w:rsid w:val="4DF330C8"/>
    <w:rsid w:val="4DFB0003"/>
    <w:rsid w:val="4E003ECB"/>
    <w:rsid w:val="4E043975"/>
    <w:rsid w:val="4E08B53E"/>
    <w:rsid w:val="4E0D2F2F"/>
    <w:rsid w:val="4E20FF26"/>
    <w:rsid w:val="4E2B7CDC"/>
    <w:rsid w:val="4E2BC2F2"/>
    <w:rsid w:val="4E2EEB76"/>
    <w:rsid w:val="4E30C73E"/>
    <w:rsid w:val="4E3AF8FE"/>
    <w:rsid w:val="4E3BA9AA"/>
    <w:rsid w:val="4E4433FF"/>
    <w:rsid w:val="4E44D074"/>
    <w:rsid w:val="4E44DB79"/>
    <w:rsid w:val="4E495B75"/>
    <w:rsid w:val="4E49DA59"/>
    <w:rsid w:val="4E4D9C15"/>
    <w:rsid w:val="4E4E5C0D"/>
    <w:rsid w:val="4E4E9C12"/>
    <w:rsid w:val="4E51C926"/>
    <w:rsid w:val="4E603695"/>
    <w:rsid w:val="4E61B707"/>
    <w:rsid w:val="4E664ACF"/>
    <w:rsid w:val="4E691E05"/>
    <w:rsid w:val="4E6AE7C9"/>
    <w:rsid w:val="4E74ECA5"/>
    <w:rsid w:val="4E7890BB"/>
    <w:rsid w:val="4E849EB0"/>
    <w:rsid w:val="4E89A2FE"/>
    <w:rsid w:val="4E8DBA62"/>
    <w:rsid w:val="4E99A191"/>
    <w:rsid w:val="4E9A5F70"/>
    <w:rsid w:val="4E9A932A"/>
    <w:rsid w:val="4EAA0982"/>
    <w:rsid w:val="4EBD62B0"/>
    <w:rsid w:val="4EBE599D"/>
    <w:rsid w:val="4EBFD813"/>
    <w:rsid w:val="4EC9E541"/>
    <w:rsid w:val="4ECCF888"/>
    <w:rsid w:val="4ED0803F"/>
    <w:rsid w:val="4ED2C866"/>
    <w:rsid w:val="4EE2344E"/>
    <w:rsid w:val="4EE9C0BF"/>
    <w:rsid w:val="4EEEE7A2"/>
    <w:rsid w:val="4EF29E9A"/>
    <w:rsid w:val="4EFCECFB"/>
    <w:rsid w:val="4EFCFA79"/>
    <w:rsid w:val="4EFD676B"/>
    <w:rsid w:val="4EFFA4F5"/>
    <w:rsid w:val="4EFFEB33"/>
    <w:rsid w:val="4F027A58"/>
    <w:rsid w:val="4F030510"/>
    <w:rsid w:val="4F04951B"/>
    <w:rsid w:val="4F05A628"/>
    <w:rsid w:val="4F09B54D"/>
    <w:rsid w:val="4F09EF67"/>
    <w:rsid w:val="4F0ED886"/>
    <w:rsid w:val="4F185407"/>
    <w:rsid w:val="4F1C1E71"/>
    <w:rsid w:val="4F22B26C"/>
    <w:rsid w:val="4F2D9335"/>
    <w:rsid w:val="4F2FF38C"/>
    <w:rsid w:val="4F379F8B"/>
    <w:rsid w:val="4F3AF20C"/>
    <w:rsid w:val="4F3C5296"/>
    <w:rsid w:val="4F3CEE28"/>
    <w:rsid w:val="4F3D9E3B"/>
    <w:rsid w:val="4F3F45E2"/>
    <w:rsid w:val="4F4B0A0D"/>
    <w:rsid w:val="4F4B905E"/>
    <w:rsid w:val="4F4F7161"/>
    <w:rsid w:val="4F523813"/>
    <w:rsid w:val="4F5BF93B"/>
    <w:rsid w:val="4F601F19"/>
    <w:rsid w:val="4F61A2C2"/>
    <w:rsid w:val="4F6706A1"/>
    <w:rsid w:val="4F671514"/>
    <w:rsid w:val="4F6E178F"/>
    <w:rsid w:val="4F6FF89D"/>
    <w:rsid w:val="4F73A4F2"/>
    <w:rsid w:val="4F78C545"/>
    <w:rsid w:val="4F7B0F3D"/>
    <w:rsid w:val="4F7C9AB2"/>
    <w:rsid w:val="4F7DEA60"/>
    <w:rsid w:val="4F83FD0C"/>
    <w:rsid w:val="4F8A79E1"/>
    <w:rsid w:val="4F8BAB5C"/>
    <w:rsid w:val="4F8DBD6E"/>
    <w:rsid w:val="4F930AF9"/>
    <w:rsid w:val="4F93CC90"/>
    <w:rsid w:val="4F94EF75"/>
    <w:rsid w:val="4FA02AA7"/>
    <w:rsid w:val="4FA34332"/>
    <w:rsid w:val="4FA54D04"/>
    <w:rsid w:val="4FA7783B"/>
    <w:rsid w:val="4FAB06EB"/>
    <w:rsid w:val="4FB7DF77"/>
    <w:rsid w:val="4FB93B9A"/>
    <w:rsid w:val="4FBBD383"/>
    <w:rsid w:val="4FC4A643"/>
    <w:rsid w:val="4FC86456"/>
    <w:rsid w:val="4FCBBDEB"/>
    <w:rsid w:val="4FCD548E"/>
    <w:rsid w:val="4FCF0BC3"/>
    <w:rsid w:val="4FCF19DC"/>
    <w:rsid w:val="4FCFDC74"/>
    <w:rsid w:val="4FD0F5CB"/>
    <w:rsid w:val="4FD36656"/>
    <w:rsid w:val="4FD4F0ED"/>
    <w:rsid w:val="4FDE7299"/>
    <w:rsid w:val="4FE55730"/>
    <w:rsid w:val="4FEBCDF3"/>
    <w:rsid w:val="4FEC693C"/>
    <w:rsid w:val="4FEE0C4A"/>
    <w:rsid w:val="4FEF0928"/>
    <w:rsid w:val="4FF0879F"/>
    <w:rsid w:val="4FF34A8F"/>
    <w:rsid w:val="4FF40A7D"/>
    <w:rsid w:val="4FF49104"/>
    <w:rsid w:val="4FFAF222"/>
    <w:rsid w:val="50017D5B"/>
    <w:rsid w:val="500689DE"/>
    <w:rsid w:val="5015605A"/>
    <w:rsid w:val="50173572"/>
    <w:rsid w:val="50196296"/>
    <w:rsid w:val="5019774D"/>
    <w:rsid w:val="501AC5E8"/>
    <w:rsid w:val="501C4444"/>
    <w:rsid w:val="5023C3FE"/>
    <w:rsid w:val="50250B5B"/>
    <w:rsid w:val="5029B6AE"/>
    <w:rsid w:val="502F0587"/>
    <w:rsid w:val="502FD017"/>
    <w:rsid w:val="5032BE21"/>
    <w:rsid w:val="50330AF4"/>
    <w:rsid w:val="503C18CF"/>
    <w:rsid w:val="50411BDE"/>
    <w:rsid w:val="50430C3D"/>
    <w:rsid w:val="504463A1"/>
    <w:rsid w:val="50511BE2"/>
    <w:rsid w:val="5051C761"/>
    <w:rsid w:val="50551BD2"/>
    <w:rsid w:val="5056BA30"/>
    <w:rsid w:val="50586F77"/>
    <w:rsid w:val="505A9ACD"/>
    <w:rsid w:val="50608742"/>
    <w:rsid w:val="50637435"/>
    <w:rsid w:val="5068C0C6"/>
    <w:rsid w:val="506DB276"/>
    <w:rsid w:val="5078DB6D"/>
    <w:rsid w:val="507F3D24"/>
    <w:rsid w:val="50830E1E"/>
    <w:rsid w:val="508FF6CE"/>
    <w:rsid w:val="5097951C"/>
    <w:rsid w:val="509AEA07"/>
    <w:rsid w:val="509FB758"/>
    <w:rsid w:val="50A3BD75"/>
    <w:rsid w:val="50A82715"/>
    <w:rsid w:val="50AA0ADB"/>
    <w:rsid w:val="50B21DB7"/>
    <w:rsid w:val="50B40593"/>
    <w:rsid w:val="50B5055E"/>
    <w:rsid w:val="50B6CACE"/>
    <w:rsid w:val="50B7AD68"/>
    <w:rsid w:val="50BB0017"/>
    <w:rsid w:val="50BE67BD"/>
    <w:rsid w:val="50BEE1CF"/>
    <w:rsid w:val="50C1D7EC"/>
    <w:rsid w:val="50C38BC7"/>
    <w:rsid w:val="50C6AFFA"/>
    <w:rsid w:val="50CE8C87"/>
    <w:rsid w:val="50D30076"/>
    <w:rsid w:val="50D9BE68"/>
    <w:rsid w:val="50DC9F92"/>
    <w:rsid w:val="50E1DED9"/>
    <w:rsid w:val="50E3EDB2"/>
    <w:rsid w:val="50E7996C"/>
    <w:rsid w:val="50E8B851"/>
    <w:rsid w:val="50F38CB9"/>
    <w:rsid w:val="50F6F39C"/>
    <w:rsid w:val="51006C6D"/>
    <w:rsid w:val="51007D93"/>
    <w:rsid w:val="51015CAB"/>
    <w:rsid w:val="510B054E"/>
    <w:rsid w:val="510C1D07"/>
    <w:rsid w:val="510DBEB3"/>
    <w:rsid w:val="51100718"/>
    <w:rsid w:val="51117F4C"/>
    <w:rsid w:val="511704FC"/>
    <w:rsid w:val="51197F3C"/>
    <w:rsid w:val="511ADE19"/>
    <w:rsid w:val="511C3F84"/>
    <w:rsid w:val="511D46B0"/>
    <w:rsid w:val="511EE14D"/>
    <w:rsid w:val="5126A0FF"/>
    <w:rsid w:val="512A8837"/>
    <w:rsid w:val="512DB614"/>
    <w:rsid w:val="51326180"/>
    <w:rsid w:val="51347BF8"/>
    <w:rsid w:val="5138F688"/>
    <w:rsid w:val="513AADD4"/>
    <w:rsid w:val="513AB878"/>
    <w:rsid w:val="513BAA75"/>
    <w:rsid w:val="513C9526"/>
    <w:rsid w:val="513EAE1A"/>
    <w:rsid w:val="51455D12"/>
    <w:rsid w:val="514D0498"/>
    <w:rsid w:val="514E95DD"/>
    <w:rsid w:val="5151BCA4"/>
    <w:rsid w:val="5152D50B"/>
    <w:rsid w:val="515444DE"/>
    <w:rsid w:val="51597B62"/>
    <w:rsid w:val="51639DC0"/>
    <w:rsid w:val="51655698"/>
    <w:rsid w:val="51677445"/>
    <w:rsid w:val="51694BF6"/>
    <w:rsid w:val="516E0991"/>
    <w:rsid w:val="5171A1EB"/>
    <w:rsid w:val="5174FF13"/>
    <w:rsid w:val="517669D5"/>
    <w:rsid w:val="518670B7"/>
    <w:rsid w:val="5187E1BF"/>
    <w:rsid w:val="518C8761"/>
    <w:rsid w:val="518D8EAD"/>
    <w:rsid w:val="518F7C67"/>
    <w:rsid w:val="5194F1C0"/>
    <w:rsid w:val="519AB9FF"/>
    <w:rsid w:val="51A90B22"/>
    <w:rsid w:val="51B196BC"/>
    <w:rsid w:val="51B31091"/>
    <w:rsid w:val="51B324F6"/>
    <w:rsid w:val="51B56D22"/>
    <w:rsid w:val="51B98A25"/>
    <w:rsid w:val="51C308CE"/>
    <w:rsid w:val="51C4CFED"/>
    <w:rsid w:val="51C5FFA3"/>
    <w:rsid w:val="51C84441"/>
    <w:rsid w:val="51C8E27F"/>
    <w:rsid w:val="51CD3A14"/>
    <w:rsid w:val="51D53178"/>
    <w:rsid w:val="51E05B78"/>
    <w:rsid w:val="51E26B81"/>
    <w:rsid w:val="51E40ECC"/>
    <w:rsid w:val="51EC7120"/>
    <w:rsid w:val="51ED2B52"/>
    <w:rsid w:val="51ED73E0"/>
    <w:rsid w:val="51EE19A1"/>
    <w:rsid w:val="51F6A671"/>
    <w:rsid w:val="51F8051D"/>
    <w:rsid w:val="51FCC91E"/>
    <w:rsid w:val="52034058"/>
    <w:rsid w:val="5205CB22"/>
    <w:rsid w:val="5207E738"/>
    <w:rsid w:val="52122284"/>
    <w:rsid w:val="5218E219"/>
    <w:rsid w:val="52215BFC"/>
    <w:rsid w:val="5221D74B"/>
    <w:rsid w:val="52223AEB"/>
    <w:rsid w:val="52363CBB"/>
    <w:rsid w:val="5238AAC0"/>
    <w:rsid w:val="5239FD21"/>
    <w:rsid w:val="523CBF6D"/>
    <w:rsid w:val="5242DC26"/>
    <w:rsid w:val="52432AE6"/>
    <w:rsid w:val="525C584F"/>
    <w:rsid w:val="5264B716"/>
    <w:rsid w:val="526ACF97"/>
    <w:rsid w:val="526C635A"/>
    <w:rsid w:val="526C66F0"/>
    <w:rsid w:val="52727555"/>
    <w:rsid w:val="5274E7FB"/>
    <w:rsid w:val="5279F865"/>
    <w:rsid w:val="527C3719"/>
    <w:rsid w:val="527CD36D"/>
    <w:rsid w:val="52810739"/>
    <w:rsid w:val="52831862"/>
    <w:rsid w:val="52843A8F"/>
    <w:rsid w:val="528965E4"/>
    <w:rsid w:val="52978270"/>
    <w:rsid w:val="5299544D"/>
    <w:rsid w:val="529B27C9"/>
    <w:rsid w:val="52A5DB7A"/>
    <w:rsid w:val="52A6B973"/>
    <w:rsid w:val="52B03840"/>
    <w:rsid w:val="52B41735"/>
    <w:rsid w:val="52B8626B"/>
    <w:rsid w:val="52C67EF2"/>
    <w:rsid w:val="52C8E0C2"/>
    <w:rsid w:val="52CC1805"/>
    <w:rsid w:val="52CC1E53"/>
    <w:rsid w:val="52D13825"/>
    <w:rsid w:val="52D2B6FD"/>
    <w:rsid w:val="52D3FEA9"/>
    <w:rsid w:val="52D50F6D"/>
    <w:rsid w:val="52D95681"/>
    <w:rsid w:val="52D9D8B5"/>
    <w:rsid w:val="52DA0BDA"/>
    <w:rsid w:val="52DB4658"/>
    <w:rsid w:val="52E24465"/>
    <w:rsid w:val="52EC69B8"/>
    <w:rsid w:val="52EE4B38"/>
    <w:rsid w:val="52F4C036"/>
    <w:rsid w:val="52FAD4C7"/>
    <w:rsid w:val="5300474C"/>
    <w:rsid w:val="5301D302"/>
    <w:rsid w:val="5302015B"/>
    <w:rsid w:val="530EC1FE"/>
    <w:rsid w:val="531F0D6B"/>
    <w:rsid w:val="53205A7D"/>
    <w:rsid w:val="53220755"/>
    <w:rsid w:val="53221613"/>
    <w:rsid w:val="53227662"/>
    <w:rsid w:val="5324521C"/>
    <w:rsid w:val="53245DD1"/>
    <w:rsid w:val="5327A2E9"/>
    <w:rsid w:val="532884E2"/>
    <w:rsid w:val="532E8BFB"/>
    <w:rsid w:val="53364849"/>
    <w:rsid w:val="53475AA2"/>
    <w:rsid w:val="5347AC8C"/>
    <w:rsid w:val="534B4D61"/>
    <w:rsid w:val="534E7840"/>
    <w:rsid w:val="5352C4FB"/>
    <w:rsid w:val="53583963"/>
    <w:rsid w:val="5359B443"/>
    <w:rsid w:val="535FC483"/>
    <w:rsid w:val="53632B5E"/>
    <w:rsid w:val="53679DEC"/>
    <w:rsid w:val="536F9CA2"/>
    <w:rsid w:val="5379DF2B"/>
    <w:rsid w:val="537AAE0F"/>
    <w:rsid w:val="537AF48B"/>
    <w:rsid w:val="537B8D55"/>
    <w:rsid w:val="537BC908"/>
    <w:rsid w:val="53866313"/>
    <w:rsid w:val="5388BDDE"/>
    <w:rsid w:val="538ADA72"/>
    <w:rsid w:val="538F261C"/>
    <w:rsid w:val="538FE43F"/>
    <w:rsid w:val="53905E3F"/>
    <w:rsid w:val="5393C098"/>
    <w:rsid w:val="5393CACF"/>
    <w:rsid w:val="53952CB0"/>
    <w:rsid w:val="53958E52"/>
    <w:rsid w:val="5398D1B1"/>
    <w:rsid w:val="539A34E9"/>
    <w:rsid w:val="539D9CFA"/>
    <w:rsid w:val="539E9722"/>
    <w:rsid w:val="53A2C206"/>
    <w:rsid w:val="53A31082"/>
    <w:rsid w:val="53AFF842"/>
    <w:rsid w:val="53B4DD63"/>
    <w:rsid w:val="53B8A966"/>
    <w:rsid w:val="53BB35BF"/>
    <w:rsid w:val="53C08BF2"/>
    <w:rsid w:val="53C39260"/>
    <w:rsid w:val="53CEE61F"/>
    <w:rsid w:val="53D7393D"/>
    <w:rsid w:val="53D8117C"/>
    <w:rsid w:val="53DA5C28"/>
    <w:rsid w:val="53DC4439"/>
    <w:rsid w:val="53E2E9B5"/>
    <w:rsid w:val="53E84917"/>
    <w:rsid w:val="53EA8BDF"/>
    <w:rsid w:val="53ED70E1"/>
    <w:rsid w:val="53EDE6ED"/>
    <w:rsid w:val="53F14351"/>
    <w:rsid w:val="53F27346"/>
    <w:rsid w:val="540030B8"/>
    <w:rsid w:val="540E868C"/>
    <w:rsid w:val="54107747"/>
    <w:rsid w:val="5411FD71"/>
    <w:rsid w:val="5415D193"/>
    <w:rsid w:val="54169354"/>
    <w:rsid w:val="541B0A4F"/>
    <w:rsid w:val="54235BE6"/>
    <w:rsid w:val="5426F45E"/>
    <w:rsid w:val="542F1A4D"/>
    <w:rsid w:val="5430A137"/>
    <w:rsid w:val="54367E25"/>
    <w:rsid w:val="544DB436"/>
    <w:rsid w:val="544E8173"/>
    <w:rsid w:val="54532036"/>
    <w:rsid w:val="545D58DC"/>
    <w:rsid w:val="545D6D60"/>
    <w:rsid w:val="545E2FF3"/>
    <w:rsid w:val="545F1713"/>
    <w:rsid w:val="54663FA8"/>
    <w:rsid w:val="546C13FE"/>
    <w:rsid w:val="546E866D"/>
    <w:rsid w:val="546FE99D"/>
    <w:rsid w:val="547568DE"/>
    <w:rsid w:val="547E8C8D"/>
    <w:rsid w:val="54801C6A"/>
    <w:rsid w:val="5480D8CA"/>
    <w:rsid w:val="5481E32F"/>
    <w:rsid w:val="54830401"/>
    <w:rsid w:val="548A5216"/>
    <w:rsid w:val="5492A1BD"/>
    <w:rsid w:val="54933BB5"/>
    <w:rsid w:val="54965472"/>
    <w:rsid w:val="54974272"/>
    <w:rsid w:val="549FA5AB"/>
    <w:rsid w:val="54A690CF"/>
    <w:rsid w:val="54A79EAC"/>
    <w:rsid w:val="54A9E0A8"/>
    <w:rsid w:val="54B219D3"/>
    <w:rsid w:val="54B72C68"/>
    <w:rsid w:val="54BA5A23"/>
    <w:rsid w:val="54C1BC54"/>
    <w:rsid w:val="54C629DD"/>
    <w:rsid w:val="54C6C16C"/>
    <w:rsid w:val="54C703C6"/>
    <w:rsid w:val="54C8D64B"/>
    <w:rsid w:val="54D107EE"/>
    <w:rsid w:val="54DA233E"/>
    <w:rsid w:val="54DA864B"/>
    <w:rsid w:val="54DBC49D"/>
    <w:rsid w:val="54DFCF0A"/>
    <w:rsid w:val="54EEDEC5"/>
    <w:rsid w:val="54FAE2FE"/>
    <w:rsid w:val="54FD7DAC"/>
    <w:rsid w:val="55079041"/>
    <w:rsid w:val="5507A6AD"/>
    <w:rsid w:val="5512875B"/>
    <w:rsid w:val="55144DCB"/>
    <w:rsid w:val="551600C3"/>
    <w:rsid w:val="551B6ED0"/>
    <w:rsid w:val="551E86EE"/>
    <w:rsid w:val="552FE126"/>
    <w:rsid w:val="553429A9"/>
    <w:rsid w:val="553B3425"/>
    <w:rsid w:val="5542D992"/>
    <w:rsid w:val="5546FC56"/>
    <w:rsid w:val="554A5B51"/>
    <w:rsid w:val="554FC731"/>
    <w:rsid w:val="5553ABFC"/>
    <w:rsid w:val="55551879"/>
    <w:rsid w:val="555851E1"/>
    <w:rsid w:val="55600274"/>
    <w:rsid w:val="55630844"/>
    <w:rsid w:val="55680C0A"/>
    <w:rsid w:val="556A84DB"/>
    <w:rsid w:val="556C3D6F"/>
    <w:rsid w:val="55776505"/>
    <w:rsid w:val="55824E2B"/>
    <w:rsid w:val="5584A32A"/>
    <w:rsid w:val="558A7CDD"/>
    <w:rsid w:val="558AE3CB"/>
    <w:rsid w:val="558D0D78"/>
    <w:rsid w:val="558D42DC"/>
    <w:rsid w:val="55917130"/>
    <w:rsid w:val="5593A06C"/>
    <w:rsid w:val="559C5BF4"/>
    <w:rsid w:val="559E70FC"/>
    <w:rsid w:val="55A9826A"/>
    <w:rsid w:val="55A9F12C"/>
    <w:rsid w:val="55B4E04D"/>
    <w:rsid w:val="55B64EA6"/>
    <w:rsid w:val="55B76D1B"/>
    <w:rsid w:val="55CEDA5A"/>
    <w:rsid w:val="55CF3D3E"/>
    <w:rsid w:val="55DA7C23"/>
    <w:rsid w:val="55DDFB04"/>
    <w:rsid w:val="55DEF18B"/>
    <w:rsid w:val="55E12BBF"/>
    <w:rsid w:val="55E48971"/>
    <w:rsid w:val="55F741B2"/>
    <w:rsid w:val="55F7F199"/>
    <w:rsid w:val="55FB475A"/>
    <w:rsid w:val="55FBD5B2"/>
    <w:rsid w:val="560BD814"/>
    <w:rsid w:val="561BB9ED"/>
    <w:rsid w:val="561DCD96"/>
    <w:rsid w:val="5624E114"/>
    <w:rsid w:val="56257AC7"/>
    <w:rsid w:val="562AED9E"/>
    <w:rsid w:val="562C9B19"/>
    <w:rsid w:val="562E22EF"/>
    <w:rsid w:val="563457CE"/>
    <w:rsid w:val="563495ED"/>
    <w:rsid w:val="5635E1F8"/>
    <w:rsid w:val="563FDBBF"/>
    <w:rsid w:val="56409F67"/>
    <w:rsid w:val="564C85DF"/>
    <w:rsid w:val="5654945B"/>
    <w:rsid w:val="565E1AA6"/>
    <w:rsid w:val="566055B1"/>
    <w:rsid w:val="5666DEDD"/>
    <w:rsid w:val="5667D9FB"/>
    <w:rsid w:val="5668A90E"/>
    <w:rsid w:val="566A402B"/>
    <w:rsid w:val="56701ADE"/>
    <w:rsid w:val="567256AA"/>
    <w:rsid w:val="56749B7A"/>
    <w:rsid w:val="56755D27"/>
    <w:rsid w:val="5677E8F4"/>
    <w:rsid w:val="5678733E"/>
    <w:rsid w:val="5678FB85"/>
    <w:rsid w:val="567F2FCC"/>
    <w:rsid w:val="5682AC6D"/>
    <w:rsid w:val="56897C71"/>
    <w:rsid w:val="568BCC6E"/>
    <w:rsid w:val="568D714B"/>
    <w:rsid w:val="568DDAAE"/>
    <w:rsid w:val="5694347B"/>
    <w:rsid w:val="569569BB"/>
    <w:rsid w:val="56A0898D"/>
    <w:rsid w:val="56A3EC79"/>
    <w:rsid w:val="56A4110A"/>
    <w:rsid w:val="56AA1FFC"/>
    <w:rsid w:val="56ACA478"/>
    <w:rsid w:val="56AD122E"/>
    <w:rsid w:val="56B87092"/>
    <w:rsid w:val="56C0963F"/>
    <w:rsid w:val="56C626E5"/>
    <w:rsid w:val="56CF36B0"/>
    <w:rsid w:val="56D16B9D"/>
    <w:rsid w:val="56D231E2"/>
    <w:rsid w:val="56D2FA35"/>
    <w:rsid w:val="56D736B4"/>
    <w:rsid w:val="56D74E6E"/>
    <w:rsid w:val="56D9F737"/>
    <w:rsid w:val="56DAFEDE"/>
    <w:rsid w:val="56E04ACD"/>
    <w:rsid w:val="56E2639C"/>
    <w:rsid w:val="56E3472A"/>
    <w:rsid w:val="56E3F18F"/>
    <w:rsid w:val="56E64629"/>
    <w:rsid w:val="56F0BEE9"/>
    <w:rsid w:val="5705C0AF"/>
    <w:rsid w:val="57079168"/>
    <w:rsid w:val="570AD885"/>
    <w:rsid w:val="570C0B74"/>
    <w:rsid w:val="570C15A8"/>
    <w:rsid w:val="5713315E"/>
    <w:rsid w:val="571B43A2"/>
    <w:rsid w:val="5721BD0E"/>
    <w:rsid w:val="57221CE1"/>
    <w:rsid w:val="5724A00B"/>
    <w:rsid w:val="5725F21F"/>
    <w:rsid w:val="572681CA"/>
    <w:rsid w:val="572A6CF1"/>
    <w:rsid w:val="5736D613"/>
    <w:rsid w:val="573CF2A3"/>
    <w:rsid w:val="57428995"/>
    <w:rsid w:val="57457812"/>
    <w:rsid w:val="574DE3B9"/>
    <w:rsid w:val="574FE1CC"/>
    <w:rsid w:val="575C0B32"/>
    <w:rsid w:val="575D4242"/>
    <w:rsid w:val="57696C33"/>
    <w:rsid w:val="576DDA4B"/>
    <w:rsid w:val="576E9CFE"/>
    <w:rsid w:val="576F3E8F"/>
    <w:rsid w:val="577061EB"/>
    <w:rsid w:val="5771ABB0"/>
    <w:rsid w:val="5771BBF1"/>
    <w:rsid w:val="57772AA0"/>
    <w:rsid w:val="5778DFDF"/>
    <w:rsid w:val="5778E2EF"/>
    <w:rsid w:val="57804BD9"/>
    <w:rsid w:val="578C3386"/>
    <w:rsid w:val="578EC0A4"/>
    <w:rsid w:val="57921D2B"/>
    <w:rsid w:val="57A0E88F"/>
    <w:rsid w:val="57A3F7E9"/>
    <w:rsid w:val="57A60363"/>
    <w:rsid w:val="57A78E88"/>
    <w:rsid w:val="57AAD898"/>
    <w:rsid w:val="57AE257A"/>
    <w:rsid w:val="57B723B8"/>
    <w:rsid w:val="57C10519"/>
    <w:rsid w:val="57C2DBAB"/>
    <w:rsid w:val="57C3858E"/>
    <w:rsid w:val="57CAD0DF"/>
    <w:rsid w:val="57CF3085"/>
    <w:rsid w:val="57DA3AFF"/>
    <w:rsid w:val="57E31CB6"/>
    <w:rsid w:val="57ED5C0B"/>
    <w:rsid w:val="57F85429"/>
    <w:rsid w:val="57FB24C9"/>
    <w:rsid w:val="57FF64BA"/>
    <w:rsid w:val="5803A0CD"/>
    <w:rsid w:val="5804E9A0"/>
    <w:rsid w:val="580A84D3"/>
    <w:rsid w:val="580A8675"/>
    <w:rsid w:val="581D68CB"/>
    <w:rsid w:val="58249376"/>
    <w:rsid w:val="582BA5BC"/>
    <w:rsid w:val="582F5D89"/>
    <w:rsid w:val="58310B88"/>
    <w:rsid w:val="58313EAA"/>
    <w:rsid w:val="58325FB9"/>
    <w:rsid w:val="5835BB39"/>
    <w:rsid w:val="5835E89F"/>
    <w:rsid w:val="58383281"/>
    <w:rsid w:val="5838EF47"/>
    <w:rsid w:val="583BAAAE"/>
    <w:rsid w:val="583C8B6A"/>
    <w:rsid w:val="583DDBB3"/>
    <w:rsid w:val="583E1551"/>
    <w:rsid w:val="58435705"/>
    <w:rsid w:val="5847BB2E"/>
    <w:rsid w:val="5848233E"/>
    <w:rsid w:val="584976E3"/>
    <w:rsid w:val="584A9918"/>
    <w:rsid w:val="5850B988"/>
    <w:rsid w:val="585173A7"/>
    <w:rsid w:val="58537D24"/>
    <w:rsid w:val="5856125F"/>
    <w:rsid w:val="5856618C"/>
    <w:rsid w:val="58573306"/>
    <w:rsid w:val="58580558"/>
    <w:rsid w:val="5859DE90"/>
    <w:rsid w:val="585F0DB6"/>
    <w:rsid w:val="585F6869"/>
    <w:rsid w:val="585FE1D0"/>
    <w:rsid w:val="58614431"/>
    <w:rsid w:val="586F698F"/>
    <w:rsid w:val="586F6AB9"/>
    <w:rsid w:val="58703850"/>
    <w:rsid w:val="587376E9"/>
    <w:rsid w:val="588E3AE7"/>
    <w:rsid w:val="5891BAAE"/>
    <w:rsid w:val="5896676A"/>
    <w:rsid w:val="58986736"/>
    <w:rsid w:val="5899D5A4"/>
    <w:rsid w:val="589B9C57"/>
    <w:rsid w:val="589D6CE2"/>
    <w:rsid w:val="589DBFDD"/>
    <w:rsid w:val="58A19325"/>
    <w:rsid w:val="58A6B893"/>
    <w:rsid w:val="58A83CEB"/>
    <w:rsid w:val="58AD8B00"/>
    <w:rsid w:val="58B28029"/>
    <w:rsid w:val="58BCE8DF"/>
    <w:rsid w:val="58BF26F7"/>
    <w:rsid w:val="58C426DA"/>
    <w:rsid w:val="58C6B989"/>
    <w:rsid w:val="58CB19C0"/>
    <w:rsid w:val="58CB79AB"/>
    <w:rsid w:val="58D250FF"/>
    <w:rsid w:val="58D40AEC"/>
    <w:rsid w:val="58D69528"/>
    <w:rsid w:val="58E06294"/>
    <w:rsid w:val="58E21BB5"/>
    <w:rsid w:val="58F2929B"/>
    <w:rsid w:val="58F2E11C"/>
    <w:rsid w:val="58F75CEE"/>
    <w:rsid w:val="58FDD927"/>
    <w:rsid w:val="59048B77"/>
    <w:rsid w:val="590760E6"/>
    <w:rsid w:val="591268C8"/>
    <w:rsid w:val="591A0074"/>
    <w:rsid w:val="591C6649"/>
    <w:rsid w:val="591EFF1A"/>
    <w:rsid w:val="591F17D1"/>
    <w:rsid w:val="59219975"/>
    <w:rsid w:val="5926B5C8"/>
    <w:rsid w:val="592865C2"/>
    <w:rsid w:val="592AABB2"/>
    <w:rsid w:val="592C35A2"/>
    <w:rsid w:val="592F1CFF"/>
    <w:rsid w:val="5937C217"/>
    <w:rsid w:val="593A48DF"/>
    <w:rsid w:val="594159A0"/>
    <w:rsid w:val="594D10D8"/>
    <w:rsid w:val="595DA398"/>
    <w:rsid w:val="5962E0FC"/>
    <w:rsid w:val="5966979C"/>
    <w:rsid w:val="596754EF"/>
    <w:rsid w:val="5967C574"/>
    <w:rsid w:val="596B1EE7"/>
    <w:rsid w:val="597030C0"/>
    <w:rsid w:val="5970A698"/>
    <w:rsid w:val="597337D3"/>
    <w:rsid w:val="59786384"/>
    <w:rsid w:val="597A06A1"/>
    <w:rsid w:val="59805592"/>
    <w:rsid w:val="598438E7"/>
    <w:rsid w:val="598511C4"/>
    <w:rsid w:val="59896AC5"/>
    <w:rsid w:val="598A2561"/>
    <w:rsid w:val="5997E767"/>
    <w:rsid w:val="599A1B03"/>
    <w:rsid w:val="59A4367A"/>
    <w:rsid w:val="59AA7FAB"/>
    <w:rsid w:val="59AAE2BE"/>
    <w:rsid w:val="59ADA772"/>
    <w:rsid w:val="59B1101A"/>
    <w:rsid w:val="59B28EE6"/>
    <w:rsid w:val="59B3DACA"/>
    <w:rsid w:val="59B5585A"/>
    <w:rsid w:val="59BAFAD0"/>
    <w:rsid w:val="59BD035F"/>
    <w:rsid w:val="59BEB3CC"/>
    <w:rsid w:val="59C00934"/>
    <w:rsid w:val="59C46DD9"/>
    <w:rsid w:val="59C6944F"/>
    <w:rsid w:val="59C6FADF"/>
    <w:rsid w:val="59CAD7C5"/>
    <w:rsid w:val="59D84671"/>
    <w:rsid w:val="59D9A242"/>
    <w:rsid w:val="59DC9112"/>
    <w:rsid w:val="59DE1B27"/>
    <w:rsid w:val="59DE9E48"/>
    <w:rsid w:val="59E25C4D"/>
    <w:rsid w:val="59E4B157"/>
    <w:rsid w:val="59E61DEE"/>
    <w:rsid w:val="59EB22A5"/>
    <w:rsid w:val="59EC54DE"/>
    <w:rsid w:val="59ED3CFC"/>
    <w:rsid w:val="59F53599"/>
    <w:rsid w:val="59FA9852"/>
    <w:rsid w:val="59FAB9FC"/>
    <w:rsid w:val="5A02A1D9"/>
    <w:rsid w:val="5A054535"/>
    <w:rsid w:val="5A057EBD"/>
    <w:rsid w:val="5A0C5A5D"/>
    <w:rsid w:val="5A0F3DA2"/>
    <w:rsid w:val="5A11152D"/>
    <w:rsid w:val="5A1301B9"/>
    <w:rsid w:val="5A146E18"/>
    <w:rsid w:val="5A21BD7F"/>
    <w:rsid w:val="5A2BA486"/>
    <w:rsid w:val="5A2F71F2"/>
    <w:rsid w:val="5A36A7D8"/>
    <w:rsid w:val="5A37A983"/>
    <w:rsid w:val="5A3C5410"/>
    <w:rsid w:val="5A3E9ECD"/>
    <w:rsid w:val="5A428A7E"/>
    <w:rsid w:val="5A44BBB2"/>
    <w:rsid w:val="5A476D54"/>
    <w:rsid w:val="5A488D4B"/>
    <w:rsid w:val="5A4A9998"/>
    <w:rsid w:val="5A527A5E"/>
    <w:rsid w:val="5A56FCC1"/>
    <w:rsid w:val="5A58FB1E"/>
    <w:rsid w:val="5A59DD0E"/>
    <w:rsid w:val="5A5DB73D"/>
    <w:rsid w:val="5A5DF563"/>
    <w:rsid w:val="5A65EA15"/>
    <w:rsid w:val="5A6B7491"/>
    <w:rsid w:val="5A6C232D"/>
    <w:rsid w:val="5A6C4E36"/>
    <w:rsid w:val="5A6E37D5"/>
    <w:rsid w:val="5A749D08"/>
    <w:rsid w:val="5A9068DD"/>
    <w:rsid w:val="5A930891"/>
    <w:rsid w:val="5A957EC0"/>
    <w:rsid w:val="5A97A28E"/>
    <w:rsid w:val="5A9AB884"/>
    <w:rsid w:val="5A9D4D70"/>
    <w:rsid w:val="5A9F0499"/>
    <w:rsid w:val="5AA4CC01"/>
    <w:rsid w:val="5AA82467"/>
    <w:rsid w:val="5AA962EB"/>
    <w:rsid w:val="5AACB15F"/>
    <w:rsid w:val="5AAE5176"/>
    <w:rsid w:val="5AB37E10"/>
    <w:rsid w:val="5AB3DC50"/>
    <w:rsid w:val="5AB4008F"/>
    <w:rsid w:val="5AB87583"/>
    <w:rsid w:val="5AB8DE0E"/>
    <w:rsid w:val="5ABBB8C5"/>
    <w:rsid w:val="5AC02D83"/>
    <w:rsid w:val="5AC09D48"/>
    <w:rsid w:val="5AC52376"/>
    <w:rsid w:val="5ACB398F"/>
    <w:rsid w:val="5ACF4CB4"/>
    <w:rsid w:val="5ACFCF7D"/>
    <w:rsid w:val="5ADB91FB"/>
    <w:rsid w:val="5ADD7E83"/>
    <w:rsid w:val="5AE034EF"/>
    <w:rsid w:val="5AEAA7E4"/>
    <w:rsid w:val="5AF5659E"/>
    <w:rsid w:val="5AFA4CC6"/>
    <w:rsid w:val="5AFE51D6"/>
    <w:rsid w:val="5AFE8656"/>
    <w:rsid w:val="5B0539BB"/>
    <w:rsid w:val="5B05DCED"/>
    <w:rsid w:val="5B0934C4"/>
    <w:rsid w:val="5B16AA39"/>
    <w:rsid w:val="5B17FF58"/>
    <w:rsid w:val="5B22D7BC"/>
    <w:rsid w:val="5B27B996"/>
    <w:rsid w:val="5B2FD473"/>
    <w:rsid w:val="5B3191CA"/>
    <w:rsid w:val="5B31E383"/>
    <w:rsid w:val="5B397DF9"/>
    <w:rsid w:val="5B3FA253"/>
    <w:rsid w:val="5B547E8A"/>
    <w:rsid w:val="5B5D3D4E"/>
    <w:rsid w:val="5B60DA15"/>
    <w:rsid w:val="5B618864"/>
    <w:rsid w:val="5B668EE0"/>
    <w:rsid w:val="5B74B4EF"/>
    <w:rsid w:val="5B7EEA5E"/>
    <w:rsid w:val="5B7F4486"/>
    <w:rsid w:val="5B864879"/>
    <w:rsid w:val="5B8C90EA"/>
    <w:rsid w:val="5B8C970C"/>
    <w:rsid w:val="5B8CFE6A"/>
    <w:rsid w:val="5B8F24C0"/>
    <w:rsid w:val="5B8FF603"/>
    <w:rsid w:val="5B9139B1"/>
    <w:rsid w:val="5B931AA8"/>
    <w:rsid w:val="5B94A704"/>
    <w:rsid w:val="5B975829"/>
    <w:rsid w:val="5B9F3A76"/>
    <w:rsid w:val="5BA29C7D"/>
    <w:rsid w:val="5BA697F2"/>
    <w:rsid w:val="5BAA539B"/>
    <w:rsid w:val="5BB1E15C"/>
    <w:rsid w:val="5BB466FB"/>
    <w:rsid w:val="5BB6FB82"/>
    <w:rsid w:val="5BCA747C"/>
    <w:rsid w:val="5BCE66A9"/>
    <w:rsid w:val="5BE1CE28"/>
    <w:rsid w:val="5BE6444F"/>
    <w:rsid w:val="5BE69730"/>
    <w:rsid w:val="5BE6B598"/>
    <w:rsid w:val="5BECCB54"/>
    <w:rsid w:val="5BF10CD3"/>
    <w:rsid w:val="5BF35574"/>
    <w:rsid w:val="5BF49ACE"/>
    <w:rsid w:val="5BF5C26F"/>
    <w:rsid w:val="5BF707E1"/>
    <w:rsid w:val="5BF8CBC4"/>
    <w:rsid w:val="5C112EAD"/>
    <w:rsid w:val="5C12ED04"/>
    <w:rsid w:val="5C14804C"/>
    <w:rsid w:val="5C149EB5"/>
    <w:rsid w:val="5C15609C"/>
    <w:rsid w:val="5C15D090"/>
    <w:rsid w:val="5C1702D1"/>
    <w:rsid w:val="5C170D24"/>
    <w:rsid w:val="5C1AA30A"/>
    <w:rsid w:val="5C1F2A1E"/>
    <w:rsid w:val="5C26B7BD"/>
    <w:rsid w:val="5C2C8A09"/>
    <w:rsid w:val="5C30A92A"/>
    <w:rsid w:val="5C395B58"/>
    <w:rsid w:val="5C3D5EF8"/>
    <w:rsid w:val="5C41A64C"/>
    <w:rsid w:val="5C4384AC"/>
    <w:rsid w:val="5C4F7111"/>
    <w:rsid w:val="5C51674B"/>
    <w:rsid w:val="5C540BD1"/>
    <w:rsid w:val="5C5A32E9"/>
    <w:rsid w:val="5C5D84BF"/>
    <w:rsid w:val="5C5DE255"/>
    <w:rsid w:val="5C670B4E"/>
    <w:rsid w:val="5C676C9B"/>
    <w:rsid w:val="5C6BE835"/>
    <w:rsid w:val="5C6D63D7"/>
    <w:rsid w:val="5C6E57A7"/>
    <w:rsid w:val="5C6F1D94"/>
    <w:rsid w:val="5C722161"/>
    <w:rsid w:val="5C760EDF"/>
    <w:rsid w:val="5C7AD72C"/>
    <w:rsid w:val="5C80DFC6"/>
    <w:rsid w:val="5C845A4C"/>
    <w:rsid w:val="5C8B4919"/>
    <w:rsid w:val="5C952741"/>
    <w:rsid w:val="5C9A2DD5"/>
    <w:rsid w:val="5CA36C9E"/>
    <w:rsid w:val="5CA48BDD"/>
    <w:rsid w:val="5CA80119"/>
    <w:rsid w:val="5CA867AC"/>
    <w:rsid w:val="5CAA9C57"/>
    <w:rsid w:val="5CBBF076"/>
    <w:rsid w:val="5CBC9DC3"/>
    <w:rsid w:val="5CC0A6D0"/>
    <w:rsid w:val="5CCC06E8"/>
    <w:rsid w:val="5CCDC8AD"/>
    <w:rsid w:val="5CCE4112"/>
    <w:rsid w:val="5CE2D5E5"/>
    <w:rsid w:val="5CE651FC"/>
    <w:rsid w:val="5CE9E94D"/>
    <w:rsid w:val="5CEBBE04"/>
    <w:rsid w:val="5CF5FCD1"/>
    <w:rsid w:val="5CF6E5CC"/>
    <w:rsid w:val="5CF7AAF5"/>
    <w:rsid w:val="5D01598C"/>
    <w:rsid w:val="5D0405E6"/>
    <w:rsid w:val="5D05371F"/>
    <w:rsid w:val="5D07700C"/>
    <w:rsid w:val="5D09EA4F"/>
    <w:rsid w:val="5D0D2ED6"/>
    <w:rsid w:val="5D0E8045"/>
    <w:rsid w:val="5D1B9DA5"/>
    <w:rsid w:val="5D22208F"/>
    <w:rsid w:val="5D2401DA"/>
    <w:rsid w:val="5D28340A"/>
    <w:rsid w:val="5D2C8B31"/>
    <w:rsid w:val="5D2E184F"/>
    <w:rsid w:val="5D2E33E4"/>
    <w:rsid w:val="5D323140"/>
    <w:rsid w:val="5D3B2310"/>
    <w:rsid w:val="5D3D1B4E"/>
    <w:rsid w:val="5D3F1631"/>
    <w:rsid w:val="5D3F713D"/>
    <w:rsid w:val="5D515B57"/>
    <w:rsid w:val="5D53CAB1"/>
    <w:rsid w:val="5D5AA038"/>
    <w:rsid w:val="5D5D2554"/>
    <w:rsid w:val="5D70E9FF"/>
    <w:rsid w:val="5D744127"/>
    <w:rsid w:val="5D794DEB"/>
    <w:rsid w:val="5D7AAB08"/>
    <w:rsid w:val="5D81E033"/>
    <w:rsid w:val="5D827A97"/>
    <w:rsid w:val="5D83734D"/>
    <w:rsid w:val="5D8BAFCF"/>
    <w:rsid w:val="5D8DE15A"/>
    <w:rsid w:val="5D8ECDCD"/>
    <w:rsid w:val="5D92CD58"/>
    <w:rsid w:val="5D92F488"/>
    <w:rsid w:val="5D98A6D1"/>
    <w:rsid w:val="5D9BB3E9"/>
    <w:rsid w:val="5D9D9938"/>
    <w:rsid w:val="5DA10915"/>
    <w:rsid w:val="5DA14A00"/>
    <w:rsid w:val="5DA1F63B"/>
    <w:rsid w:val="5DA44DFA"/>
    <w:rsid w:val="5DA4E4E4"/>
    <w:rsid w:val="5DA55F8C"/>
    <w:rsid w:val="5DA69FDA"/>
    <w:rsid w:val="5DB352AF"/>
    <w:rsid w:val="5DB3C3D4"/>
    <w:rsid w:val="5DB7CD33"/>
    <w:rsid w:val="5DB82043"/>
    <w:rsid w:val="5DBC356A"/>
    <w:rsid w:val="5DBC5555"/>
    <w:rsid w:val="5DBC6FC4"/>
    <w:rsid w:val="5DBC91C8"/>
    <w:rsid w:val="5DBD31E8"/>
    <w:rsid w:val="5DC38970"/>
    <w:rsid w:val="5DC4B657"/>
    <w:rsid w:val="5DC75045"/>
    <w:rsid w:val="5DC85EEE"/>
    <w:rsid w:val="5DCA1730"/>
    <w:rsid w:val="5DCBBBCC"/>
    <w:rsid w:val="5DCF05D0"/>
    <w:rsid w:val="5DDF5D75"/>
    <w:rsid w:val="5DE3E172"/>
    <w:rsid w:val="5DE6EE8E"/>
    <w:rsid w:val="5DE70B20"/>
    <w:rsid w:val="5DED5BFB"/>
    <w:rsid w:val="5DF49510"/>
    <w:rsid w:val="5DF55FA6"/>
    <w:rsid w:val="5DF72A1B"/>
    <w:rsid w:val="5DF996F6"/>
    <w:rsid w:val="5DFAF542"/>
    <w:rsid w:val="5E0018E1"/>
    <w:rsid w:val="5E0D00DA"/>
    <w:rsid w:val="5E0DBE71"/>
    <w:rsid w:val="5E109654"/>
    <w:rsid w:val="5E17AFF3"/>
    <w:rsid w:val="5E17E9C7"/>
    <w:rsid w:val="5E19C2BC"/>
    <w:rsid w:val="5E1A19C9"/>
    <w:rsid w:val="5E1ABF8E"/>
    <w:rsid w:val="5E1AD90D"/>
    <w:rsid w:val="5E1F1573"/>
    <w:rsid w:val="5E20A901"/>
    <w:rsid w:val="5E22A083"/>
    <w:rsid w:val="5E2364B7"/>
    <w:rsid w:val="5E251A84"/>
    <w:rsid w:val="5E2DD6A4"/>
    <w:rsid w:val="5E2FCDC3"/>
    <w:rsid w:val="5E342657"/>
    <w:rsid w:val="5E3486F4"/>
    <w:rsid w:val="5E4185EC"/>
    <w:rsid w:val="5E446BDE"/>
    <w:rsid w:val="5E45BE8C"/>
    <w:rsid w:val="5E478EB6"/>
    <w:rsid w:val="5E4D71E6"/>
    <w:rsid w:val="5E4E9282"/>
    <w:rsid w:val="5E50ADD1"/>
    <w:rsid w:val="5E55C5C2"/>
    <w:rsid w:val="5E5A0C10"/>
    <w:rsid w:val="5E648FBE"/>
    <w:rsid w:val="5E659BC3"/>
    <w:rsid w:val="5E65FABE"/>
    <w:rsid w:val="5E66B7E2"/>
    <w:rsid w:val="5E6D65EE"/>
    <w:rsid w:val="5E792748"/>
    <w:rsid w:val="5E793BC1"/>
    <w:rsid w:val="5E7AC168"/>
    <w:rsid w:val="5E81105C"/>
    <w:rsid w:val="5E8E52DD"/>
    <w:rsid w:val="5E91AC25"/>
    <w:rsid w:val="5E93FD0F"/>
    <w:rsid w:val="5E9547DF"/>
    <w:rsid w:val="5E98D816"/>
    <w:rsid w:val="5E9A3740"/>
    <w:rsid w:val="5E9D397D"/>
    <w:rsid w:val="5E9D558D"/>
    <w:rsid w:val="5EA01BBD"/>
    <w:rsid w:val="5EA4EEEC"/>
    <w:rsid w:val="5EA860A8"/>
    <w:rsid w:val="5EAC1EBE"/>
    <w:rsid w:val="5EAF4666"/>
    <w:rsid w:val="5EB12254"/>
    <w:rsid w:val="5EB14294"/>
    <w:rsid w:val="5EB4FDDC"/>
    <w:rsid w:val="5EBC7D6B"/>
    <w:rsid w:val="5EC64FA9"/>
    <w:rsid w:val="5ECD4D09"/>
    <w:rsid w:val="5ED3C5F0"/>
    <w:rsid w:val="5ED5ED8C"/>
    <w:rsid w:val="5ED83BF6"/>
    <w:rsid w:val="5ED84E8B"/>
    <w:rsid w:val="5ED8672D"/>
    <w:rsid w:val="5EE2B1B2"/>
    <w:rsid w:val="5EEADA70"/>
    <w:rsid w:val="5EEF45C8"/>
    <w:rsid w:val="5EF29248"/>
    <w:rsid w:val="5EF359DF"/>
    <w:rsid w:val="5EF36A47"/>
    <w:rsid w:val="5EF531B3"/>
    <w:rsid w:val="5EF602D8"/>
    <w:rsid w:val="5EF94F62"/>
    <w:rsid w:val="5EFB9807"/>
    <w:rsid w:val="5F02EFC7"/>
    <w:rsid w:val="5F03ECC1"/>
    <w:rsid w:val="5F0ED9D6"/>
    <w:rsid w:val="5F145AD7"/>
    <w:rsid w:val="5F1A8D68"/>
    <w:rsid w:val="5F1EFE3D"/>
    <w:rsid w:val="5F229E86"/>
    <w:rsid w:val="5F23703A"/>
    <w:rsid w:val="5F24830B"/>
    <w:rsid w:val="5F276126"/>
    <w:rsid w:val="5F2DEBCE"/>
    <w:rsid w:val="5F371C2E"/>
    <w:rsid w:val="5F3E7787"/>
    <w:rsid w:val="5F3ED78E"/>
    <w:rsid w:val="5F4185C1"/>
    <w:rsid w:val="5F5315E9"/>
    <w:rsid w:val="5F58B782"/>
    <w:rsid w:val="5F5D1C50"/>
    <w:rsid w:val="5F5EB07B"/>
    <w:rsid w:val="5F622E5E"/>
    <w:rsid w:val="5F62D067"/>
    <w:rsid w:val="5F64CE38"/>
    <w:rsid w:val="5F67001D"/>
    <w:rsid w:val="5F6A69CF"/>
    <w:rsid w:val="5F75B2F2"/>
    <w:rsid w:val="5F766719"/>
    <w:rsid w:val="5F7C5673"/>
    <w:rsid w:val="5F7CF5B4"/>
    <w:rsid w:val="5F836040"/>
    <w:rsid w:val="5F8624A5"/>
    <w:rsid w:val="5F88BB4F"/>
    <w:rsid w:val="5F8D42DA"/>
    <w:rsid w:val="5F952A9D"/>
    <w:rsid w:val="5F9AC2FB"/>
    <w:rsid w:val="5FA0DA2D"/>
    <w:rsid w:val="5FA5200F"/>
    <w:rsid w:val="5FA9811A"/>
    <w:rsid w:val="5FAB5C45"/>
    <w:rsid w:val="5FAEEF8A"/>
    <w:rsid w:val="5FB64640"/>
    <w:rsid w:val="5FB962A2"/>
    <w:rsid w:val="5FC6A505"/>
    <w:rsid w:val="5FDFA5A3"/>
    <w:rsid w:val="5FE0D20D"/>
    <w:rsid w:val="5FE0E174"/>
    <w:rsid w:val="5FE57138"/>
    <w:rsid w:val="5FF18AD2"/>
    <w:rsid w:val="5FF420B1"/>
    <w:rsid w:val="5FF668EF"/>
    <w:rsid w:val="5FF735B3"/>
    <w:rsid w:val="5FF8C6FF"/>
    <w:rsid w:val="5FFFCA77"/>
    <w:rsid w:val="6003BE52"/>
    <w:rsid w:val="6005707E"/>
    <w:rsid w:val="6007F03A"/>
    <w:rsid w:val="600A768C"/>
    <w:rsid w:val="600D5112"/>
    <w:rsid w:val="6014D4C0"/>
    <w:rsid w:val="6025735D"/>
    <w:rsid w:val="6028817C"/>
    <w:rsid w:val="602B48B1"/>
    <w:rsid w:val="60378AE5"/>
    <w:rsid w:val="60388413"/>
    <w:rsid w:val="603A0AC8"/>
    <w:rsid w:val="603BD155"/>
    <w:rsid w:val="603EDDDF"/>
    <w:rsid w:val="60405150"/>
    <w:rsid w:val="60409146"/>
    <w:rsid w:val="60450D9E"/>
    <w:rsid w:val="60495543"/>
    <w:rsid w:val="604F2D4C"/>
    <w:rsid w:val="60508283"/>
    <w:rsid w:val="60570677"/>
    <w:rsid w:val="605CFA8F"/>
    <w:rsid w:val="606431C1"/>
    <w:rsid w:val="6066B3B0"/>
    <w:rsid w:val="606AF83A"/>
    <w:rsid w:val="606DB132"/>
    <w:rsid w:val="6085B083"/>
    <w:rsid w:val="608A6184"/>
    <w:rsid w:val="6098CDA0"/>
    <w:rsid w:val="60A459DA"/>
    <w:rsid w:val="60A58520"/>
    <w:rsid w:val="60A7DC41"/>
    <w:rsid w:val="60A9C474"/>
    <w:rsid w:val="60AE45BC"/>
    <w:rsid w:val="60B5AE85"/>
    <w:rsid w:val="60B626B5"/>
    <w:rsid w:val="60BA2039"/>
    <w:rsid w:val="60BE2D05"/>
    <w:rsid w:val="60C6B309"/>
    <w:rsid w:val="60C9B9A3"/>
    <w:rsid w:val="60CD78C1"/>
    <w:rsid w:val="60CDC3A7"/>
    <w:rsid w:val="60CF17C7"/>
    <w:rsid w:val="60CF3726"/>
    <w:rsid w:val="60CF6950"/>
    <w:rsid w:val="60DA05D8"/>
    <w:rsid w:val="60E1DEA0"/>
    <w:rsid w:val="60E305BD"/>
    <w:rsid w:val="60F2C87D"/>
    <w:rsid w:val="60F2F609"/>
    <w:rsid w:val="60F46380"/>
    <w:rsid w:val="60F768BA"/>
    <w:rsid w:val="60F9E594"/>
    <w:rsid w:val="60FBBD8C"/>
    <w:rsid w:val="60FE7FF8"/>
    <w:rsid w:val="6103E1EF"/>
    <w:rsid w:val="610A6787"/>
    <w:rsid w:val="610CF7C3"/>
    <w:rsid w:val="610DF107"/>
    <w:rsid w:val="61158017"/>
    <w:rsid w:val="611DB713"/>
    <w:rsid w:val="611F23C2"/>
    <w:rsid w:val="611F5F68"/>
    <w:rsid w:val="612009D7"/>
    <w:rsid w:val="6120165C"/>
    <w:rsid w:val="6122A2D1"/>
    <w:rsid w:val="61290BA2"/>
    <w:rsid w:val="612CC21E"/>
    <w:rsid w:val="6130B0D2"/>
    <w:rsid w:val="6134592A"/>
    <w:rsid w:val="613F0BD1"/>
    <w:rsid w:val="6147C6E2"/>
    <w:rsid w:val="614DE56B"/>
    <w:rsid w:val="6153C258"/>
    <w:rsid w:val="61569B17"/>
    <w:rsid w:val="615A6724"/>
    <w:rsid w:val="6171ACE0"/>
    <w:rsid w:val="6178F25E"/>
    <w:rsid w:val="617C7B50"/>
    <w:rsid w:val="617D3219"/>
    <w:rsid w:val="61803D62"/>
    <w:rsid w:val="618598E5"/>
    <w:rsid w:val="618C04D2"/>
    <w:rsid w:val="6191F2F6"/>
    <w:rsid w:val="6196550F"/>
    <w:rsid w:val="6199D007"/>
    <w:rsid w:val="619CB511"/>
    <w:rsid w:val="61A1A758"/>
    <w:rsid w:val="61A52363"/>
    <w:rsid w:val="61A7219A"/>
    <w:rsid w:val="61A7955A"/>
    <w:rsid w:val="61AD0C03"/>
    <w:rsid w:val="61AD4AF0"/>
    <w:rsid w:val="61AF3684"/>
    <w:rsid w:val="61AF96D1"/>
    <w:rsid w:val="61B3AE2C"/>
    <w:rsid w:val="61B3DD6C"/>
    <w:rsid w:val="61B4B52E"/>
    <w:rsid w:val="61BBAB6C"/>
    <w:rsid w:val="61BBF9FB"/>
    <w:rsid w:val="61BC12F3"/>
    <w:rsid w:val="61C06461"/>
    <w:rsid w:val="61C22013"/>
    <w:rsid w:val="61C319F9"/>
    <w:rsid w:val="61C4E8D7"/>
    <w:rsid w:val="61C94D67"/>
    <w:rsid w:val="61C9F6DE"/>
    <w:rsid w:val="61CEDDCE"/>
    <w:rsid w:val="61D1F6B9"/>
    <w:rsid w:val="61D2024D"/>
    <w:rsid w:val="61D20A43"/>
    <w:rsid w:val="61D2CE2F"/>
    <w:rsid w:val="61D7CE43"/>
    <w:rsid w:val="61D8EA8D"/>
    <w:rsid w:val="61E1154C"/>
    <w:rsid w:val="61E421C6"/>
    <w:rsid w:val="61E73DA8"/>
    <w:rsid w:val="61E798C8"/>
    <w:rsid w:val="61F39220"/>
    <w:rsid w:val="61F40E09"/>
    <w:rsid w:val="61F64072"/>
    <w:rsid w:val="61FE2D82"/>
    <w:rsid w:val="6200A699"/>
    <w:rsid w:val="6201BD54"/>
    <w:rsid w:val="621377E4"/>
    <w:rsid w:val="6214B291"/>
    <w:rsid w:val="6216C5FB"/>
    <w:rsid w:val="621A5864"/>
    <w:rsid w:val="6224548E"/>
    <w:rsid w:val="6225E9AC"/>
    <w:rsid w:val="62267B81"/>
    <w:rsid w:val="6233A067"/>
    <w:rsid w:val="6240C15F"/>
    <w:rsid w:val="62441D5F"/>
    <w:rsid w:val="624A691E"/>
    <w:rsid w:val="624A6A8E"/>
    <w:rsid w:val="624ECD85"/>
    <w:rsid w:val="624F36F8"/>
    <w:rsid w:val="624F5F96"/>
    <w:rsid w:val="6252D6B0"/>
    <w:rsid w:val="6254A038"/>
    <w:rsid w:val="625641F1"/>
    <w:rsid w:val="6256EAFC"/>
    <w:rsid w:val="625982C9"/>
    <w:rsid w:val="6259B8A8"/>
    <w:rsid w:val="6261FCF9"/>
    <w:rsid w:val="6265ECDE"/>
    <w:rsid w:val="6266CE38"/>
    <w:rsid w:val="626C56B1"/>
    <w:rsid w:val="626CF49B"/>
    <w:rsid w:val="627B4DA6"/>
    <w:rsid w:val="627BD593"/>
    <w:rsid w:val="627FAA25"/>
    <w:rsid w:val="62874305"/>
    <w:rsid w:val="6287B7DF"/>
    <w:rsid w:val="6288B21B"/>
    <w:rsid w:val="6292AEAD"/>
    <w:rsid w:val="62940FAB"/>
    <w:rsid w:val="62959E0C"/>
    <w:rsid w:val="6296B2D1"/>
    <w:rsid w:val="629CB238"/>
    <w:rsid w:val="62ABD6CF"/>
    <w:rsid w:val="62B43FFB"/>
    <w:rsid w:val="62B8D6C4"/>
    <w:rsid w:val="62BBCF89"/>
    <w:rsid w:val="62C6451A"/>
    <w:rsid w:val="62C7F8E2"/>
    <w:rsid w:val="62C8321E"/>
    <w:rsid w:val="62C894B9"/>
    <w:rsid w:val="62E15204"/>
    <w:rsid w:val="62E2DED1"/>
    <w:rsid w:val="62E53AC8"/>
    <w:rsid w:val="62E6B668"/>
    <w:rsid w:val="62F2AF23"/>
    <w:rsid w:val="62F549D7"/>
    <w:rsid w:val="62FE879F"/>
    <w:rsid w:val="6305961B"/>
    <w:rsid w:val="6310EFE7"/>
    <w:rsid w:val="63138BA1"/>
    <w:rsid w:val="6317D74A"/>
    <w:rsid w:val="631A18D8"/>
    <w:rsid w:val="631EA9F8"/>
    <w:rsid w:val="6322C99C"/>
    <w:rsid w:val="633CD3B7"/>
    <w:rsid w:val="6340D81F"/>
    <w:rsid w:val="63437168"/>
    <w:rsid w:val="634668EA"/>
    <w:rsid w:val="634A02DD"/>
    <w:rsid w:val="634CD032"/>
    <w:rsid w:val="634DF484"/>
    <w:rsid w:val="634E5F3E"/>
    <w:rsid w:val="635D94B5"/>
    <w:rsid w:val="6363C0B8"/>
    <w:rsid w:val="636712BD"/>
    <w:rsid w:val="636D16F8"/>
    <w:rsid w:val="636DBE15"/>
    <w:rsid w:val="636EB42A"/>
    <w:rsid w:val="6376486E"/>
    <w:rsid w:val="63785957"/>
    <w:rsid w:val="6378B701"/>
    <w:rsid w:val="637B488E"/>
    <w:rsid w:val="6382077E"/>
    <w:rsid w:val="63862753"/>
    <w:rsid w:val="6390D3F9"/>
    <w:rsid w:val="63939542"/>
    <w:rsid w:val="639A48DE"/>
    <w:rsid w:val="63A59294"/>
    <w:rsid w:val="63A6A43C"/>
    <w:rsid w:val="63AFD5A0"/>
    <w:rsid w:val="63B694E0"/>
    <w:rsid w:val="63B7F45F"/>
    <w:rsid w:val="63B9AEB9"/>
    <w:rsid w:val="63BA3573"/>
    <w:rsid w:val="63BB06F6"/>
    <w:rsid w:val="63CD104B"/>
    <w:rsid w:val="63D046BA"/>
    <w:rsid w:val="63D78DED"/>
    <w:rsid w:val="63DCB5AC"/>
    <w:rsid w:val="63DE43A5"/>
    <w:rsid w:val="63DE58D1"/>
    <w:rsid w:val="63E8346C"/>
    <w:rsid w:val="63EC4441"/>
    <w:rsid w:val="63ECCC5D"/>
    <w:rsid w:val="63EE3A54"/>
    <w:rsid w:val="63EEBD33"/>
    <w:rsid w:val="63FE560B"/>
    <w:rsid w:val="6402E012"/>
    <w:rsid w:val="6409B8AE"/>
    <w:rsid w:val="640A88D8"/>
    <w:rsid w:val="640BE64D"/>
    <w:rsid w:val="6415D3E8"/>
    <w:rsid w:val="641E6349"/>
    <w:rsid w:val="6424119B"/>
    <w:rsid w:val="64283E1F"/>
    <w:rsid w:val="642AE3F6"/>
    <w:rsid w:val="642F22AD"/>
    <w:rsid w:val="64325689"/>
    <w:rsid w:val="6432639B"/>
    <w:rsid w:val="64339D8B"/>
    <w:rsid w:val="6441A600"/>
    <w:rsid w:val="644318BA"/>
    <w:rsid w:val="6443524A"/>
    <w:rsid w:val="644EC021"/>
    <w:rsid w:val="6454810F"/>
    <w:rsid w:val="645568A5"/>
    <w:rsid w:val="64556FC7"/>
    <w:rsid w:val="6456DAF1"/>
    <w:rsid w:val="645D57BD"/>
    <w:rsid w:val="646050AD"/>
    <w:rsid w:val="64607ADF"/>
    <w:rsid w:val="64633A4E"/>
    <w:rsid w:val="646AF430"/>
    <w:rsid w:val="646B6045"/>
    <w:rsid w:val="64706E9B"/>
    <w:rsid w:val="64753C6A"/>
    <w:rsid w:val="647CF9F6"/>
    <w:rsid w:val="648348D2"/>
    <w:rsid w:val="6487B75F"/>
    <w:rsid w:val="648C3836"/>
    <w:rsid w:val="648E1528"/>
    <w:rsid w:val="649015BF"/>
    <w:rsid w:val="6490F2FA"/>
    <w:rsid w:val="649AD033"/>
    <w:rsid w:val="649C5B53"/>
    <w:rsid w:val="64A4BD73"/>
    <w:rsid w:val="64ACAE16"/>
    <w:rsid w:val="64AE3AC2"/>
    <w:rsid w:val="64B53847"/>
    <w:rsid w:val="64D47E77"/>
    <w:rsid w:val="64D54203"/>
    <w:rsid w:val="64D57D5B"/>
    <w:rsid w:val="64D7F37E"/>
    <w:rsid w:val="64D816FB"/>
    <w:rsid w:val="64D948B8"/>
    <w:rsid w:val="64E2CC60"/>
    <w:rsid w:val="64E4E5FB"/>
    <w:rsid w:val="64E8AEDE"/>
    <w:rsid w:val="64ED2F22"/>
    <w:rsid w:val="64EFE97C"/>
    <w:rsid w:val="64F221E1"/>
    <w:rsid w:val="64F24005"/>
    <w:rsid w:val="64F683DF"/>
    <w:rsid w:val="64F7D719"/>
    <w:rsid w:val="64FA326A"/>
    <w:rsid w:val="64FB9194"/>
    <w:rsid w:val="6500C26F"/>
    <w:rsid w:val="6510E8D7"/>
    <w:rsid w:val="65162ACC"/>
    <w:rsid w:val="651756E8"/>
    <w:rsid w:val="651B4DC9"/>
    <w:rsid w:val="65202D68"/>
    <w:rsid w:val="65212EFC"/>
    <w:rsid w:val="65217971"/>
    <w:rsid w:val="6525EB78"/>
    <w:rsid w:val="652747C8"/>
    <w:rsid w:val="652BA6DB"/>
    <w:rsid w:val="65329500"/>
    <w:rsid w:val="653A95D9"/>
    <w:rsid w:val="6540B268"/>
    <w:rsid w:val="65573F1D"/>
    <w:rsid w:val="6559D35B"/>
    <w:rsid w:val="655AF1A6"/>
    <w:rsid w:val="65611979"/>
    <w:rsid w:val="6562BD11"/>
    <w:rsid w:val="65645F99"/>
    <w:rsid w:val="65697AB4"/>
    <w:rsid w:val="65714131"/>
    <w:rsid w:val="65751D0E"/>
    <w:rsid w:val="657674E4"/>
    <w:rsid w:val="657DE705"/>
    <w:rsid w:val="6584D1DA"/>
    <w:rsid w:val="658815A9"/>
    <w:rsid w:val="658A89F8"/>
    <w:rsid w:val="658D1958"/>
    <w:rsid w:val="658E2A52"/>
    <w:rsid w:val="659B15ED"/>
    <w:rsid w:val="659B8BF5"/>
    <w:rsid w:val="659BC562"/>
    <w:rsid w:val="65A27738"/>
    <w:rsid w:val="65A47D6D"/>
    <w:rsid w:val="65A785CE"/>
    <w:rsid w:val="65B0D963"/>
    <w:rsid w:val="65B5FE7D"/>
    <w:rsid w:val="65B96A5E"/>
    <w:rsid w:val="65CD0165"/>
    <w:rsid w:val="65D5F676"/>
    <w:rsid w:val="65E410F9"/>
    <w:rsid w:val="65E8AB51"/>
    <w:rsid w:val="65ED5667"/>
    <w:rsid w:val="65EEA480"/>
    <w:rsid w:val="65EFC6B6"/>
    <w:rsid w:val="65F3B8D4"/>
    <w:rsid w:val="65F7EF97"/>
    <w:rsid w:val="66018DA4"/>
    <w:rsid w:val="66085DC8"/>
    <w:rsid w:val="6611B080"/>
    <w:rsid w:val="66134AF7"/>
    <w:rsid w:val="6614D76B"/>
    <w:rsid w:val="661A2A11"/>
    <w:rsid w:val="661E22CC"/>
    <w:rsid w:val="661E6A82"/>
    <w:rsid w:val="6628ACCB"/>
    <w:rsid w:val="662D79EC"/>
    <w:rsid w:val="662E67F8"/>
    <w:rsid w:val="6631BDE5"/>
    <w:rsid w:val="6633E3CC"/>
    <w:rsid w:val="66381FFB"/>
    <w:rsid w:val="6638B2F0"/>
    <w:rsid w:val="663B1EAE"/>
    <w:rsid w:val="663DCCA8"/>
    <w:rsid w:val="66409F0B"/>
    <w:rsid w:val="6648102F"/>
    <w:rsid w:val="664C31A4"/>
    <w:rsid w:val="664DDBD1"/>
    <w:rsid w:val="66599375"/>
    <w:rsid w:val="665AF0E9"/>
    <w:rsid w:val="665DCD1E"/>
    <w:rsid w:val="665F25EF"/>
    <w:rsid w:val="665FD849"/>
    <w:rsid w:val="6661AA1A"/>
    <w:rsid w:val="666337A7"/>
    <w:rsid w:val="66663F83"/>
    <w:rsid w:val="66689262"/>
    <w:rsid w:val="666DF198"/>
    <w:rsid w:val="667098D6"/>
    <w:rsid w:val="66761684"/>
    <w:rsid w:val="6684EB12"/>
    <w:rsid w:val="66888536"/>
    <w:rsid w:val="668D11E7"/>
    <w:rsid w:val="6694A37D"/>
    <w:rsid w:val="6694ED6D"/>
    <w:rsid w:val="6696960B"/>
    <w:rsid w:val="669CC276"/>
    <w:rsid w:val="669E6778"/>
    <w:rsid w:val="66A08BCD"/>
    <w:rsid w:val="66A40FA7"/>
    <w:rsid w:val="66B25361"/>
    <w:rsid w:val="66C1BEFD"/>
    <w:rsid w:val="66C277EE"/>
    <w:rsid w:val="66C4B92F"/>
    <w:rsid w:val="66CDFDE1"/>
    <w:rsid w:val="66D0CAAF"/>
    <w:rsid w:val="66D14F09"/>
    <w:rsid w:val="66D63A3C"/>
    <w:rsid w:val="66DD33F0"/>
    <w:rsid w:val="66ECE58A"/>
    <w:rsid w:val="66F26674"/>
    <w:rsid w:val="66F2780F"/>
    <w:rsid w:val="66F797EF"/>
    <w:rsid w:val="66F905E1"/>
    <w:rsid w:val="6700627C"/>
    <w:rsid w:val="67016EF2"/>
    <w:rsid w:val="670CEB20"/>
    <w:rsid w:val="67184C1B"/>
    <w:rsid w:val="671F2B0D"/>
    <w:rsid w:val="6721A000"/>
    <w:rsid w:val="67239207"/>
    <w:rsid w:val="6729CD0E"/>
    <w:rsid w:val="672C756F"/>
    <w:rsid w:val="672E0AD2"/>
    <w:rsid w:val="6732CBE1"/>
    <w:rsid w:val="6734E932"/>
    <w:rsid w:val="673B6074"/>
    <w:rsid w:val="67406651"/>
    <w:rsid w:val="67412713"/>
    <w:rsid w:val="67432987"/>
    <w:rsid w:val="67461837"/>
    <w:rsid w:val="674AAEB7"/>
    <w:rsid w:val="6754A54E"/>
    <w:rsid w:val="675654AE"/>
    <w:rsid w:val="675908D9"/>
    <w:rsid w:val="675A4CD9"/>
    <w:rsid w:val="67674DFD"/>
    <w:rsid w:val="67686B48"/>
    <w:rsid w:val="676913A9"/>
    <w:rsid w:val="6769E824"/>
    <w:rsid w:val="676D6D01"/>
    <w:rsid w:val="67735314"/>
    <w:rsid w:val="6775110B"/>
    <w:rsid w:val="6776E64A"/>
    <w:rsid w:val="677F659C"/>
    <w:rsid w:val="678E1E4D"/>
    <w:rsid w:val="678E8325"/>
    <w:rsid w:val="679BE7CC"/>
    <w:rsid w:val="679D7374"/>
    <w:rsid w:val="679E544D"/>
    <w:rsid w:val="679EE59B"/>
    <w:rsid w:val="67A00198"/>
    <w:rsid w:val="67A48F89"/>
    <w:rsid w:val="67A69DE4"/>
    <w:rsid w:val="67A70195"/>
    <w:rsid w:val="67AAF0DD"/>
    <w:rsid w:val="67AD1656"/>
    <w:rsid w:val="67B1E580"/>
    <w:rsid w:val="67B6ABD4"/>
    <w:rsid w:val="67C2085E"/>
    <w:rsid w:val="67C6E155"/>
    <w:rsid w:val="67C75E59"/>
    <w:rsid w:val="67CAF70E"/>
    <w:rsid w:val="67CCBF8F"/>
    <w:rsid w:val="67E5821B"/>
    <w:rsid w:val="67E75A87"/>
    <w:rsid w:val="67EA4D4F"/>
    <w:rsid w:val="67ECF087"/>
    <w:rsid w:val="67F04980"/>
    <w:rsid w:val="67FC6FE5"/>
    <w:rsid w:val="68082029"/>
    <w:rsid w:val="682310B5"/>
    <w:rsid w:val="68281332"/>
    <w:rsid w:val="682CEE7C"/>
    <w:rsid w:val="683259B0"/>
    <w:rsid w:val="68331005"/>
    <w:rsid w:val="68332F76"/>
    <w:rsid w:val="68340EA3"/>
    <w:rsid w:val="683966FA"/>
    <w:rsid w:val="683CFF64"/>
    <w:rsid w:val="68435A55"/>
    <w:rsid w:val="68485FFC"/>
    <w:rsid w:val="68497CF2"/>
    <w:rsid w:val="684E60C6"/>
    <w:rsid w:val="68535012"/>
    <w:rsid w:val="6854D994"/>
    <w:rsid w:val="6858297F"/>
    <w:rsid w:val="6859CFFA"/>
    <w:rsid w:val="685A5452"/>
    <w:rsid w:val="685C0980"/>
    <w:rsid w:val="685D4015"/>
    <w:rsid w:val="685E1818"/>
    <w:rsid w:val="685E9A9B"/>
    <w:rsid w:val="686608E0"/>
    <w:rsid w:val="6866F44D"/>
    <w:rsid w:val="6868CDFD"/>
    <w:rsid w:val="6869E68B"/>
    <w:rsid w:val="68705F4B"/>
    <w:rsid w:val="6873418A"/>
    <w:rsid w:val="68757201"/>
    <w:rsid w:val="687954A8"/>
    <w:rsid w:val="687ACD89"/>
    <w:rsid w:val="6881D1A1"/>
    <w:rsid w:val="688543EF"/>
    <w:rsid w:val="68887A09"/>
    <w:rsid w:val="688AFC55"/>
    <w:rsid w:val="688DDDCE"/>
    <w:rsid w:val="688EAF5B"/>
    <w:rsid w:val="688FD254"/>
    <w:rsid w:val="6891A575"/>
    <w:rsid w:val="68960B83"/>
    <w:rsid w:val="68972B3B"/>
    <w:rsid w:val="68999402"/>
    <w:rsid w:val="689A3774"/>
    <w:rsid w:val="689B3ABB"/>
    <w:rsid w:val="689FFD7A"/>
    <w:rsid w:val="68A0155A"/>
    <w:rsid w:val="68A7AFEF"/>
    <w:rsid w:val="68A7DA50"/>
    <w:rsid w:val="68AC0A1A"/>
    <w:rsid w:val="68B4AFCC"/>
    <w:rsid w:val="68B9C3A2"/>
    <w:rsid w:val="68C2AC00"/>
    <w:rsid w:val="68C8B8FC"/>
    <w:rsid w:val="68D1DE4D"/>
    <w:rsid w:val="68D2A8C8"/>
    <w:rsid w:val="68D3D78B"/>
    <w:rsid w:val="68D40006"/>
    <w:rsid w:val="68D51E3C"/>
    <w:rsid w:val="68D73F7C"/>
    <w:rsid w:val="68D857C8"/>
    <w:rsid w:val="68D965A3"/>
    <w:rsid w:val="68DCC2B0"/>
    <w:rsid w:val="68DE4732"/>
    <w:rsid w:val="68DF0FE3"/>
    <w:rsid w:val="68E48028"/>
    <w:rsid w:val="68E53AA4"/>
    <w:rsid w:val="68E8B6DD"/>
    <w:rsid w:val="68EB979F"/>
    <w:rsid w:val="68F168F2"/>
    <w:rsid w:val="68F32280"/>
    <w:rsid w:val="68F85A36"/>
    <w:rsid w:val="68F95E7F"/>
    <w:rsid w:val="68FC281D"/>
    <w:rsid w:val="69033515"/>
    <w:rsid w:val="6905E1D9"/>
    <w:rsid w:val="69064072"/>
    <w:rsid w:val="6913F135"/>
    <w:rsid w:val="6920EF97"/>
    <w:rsid w:val="69249906"/>
    <w:rsid w:val="69271F48"/>
    <w:rsid w:val="6927B143"/>
    <w:rsid w:val="692A5B45"/>
    <w:rsid w:val="692FDFA0"/>
    <w:rsid w:val="69314A53"/>
    <w:rsid w:val="6932BB55"/>
    <w:rsid w:val="693B9B31"/>
    <w:rsid w:val="693C12D0"/>
    <w:rsid w:val="693CBBDA"/>
    <w:rsid w:val="693E1A24"/>
    <w:rsid w:val="693FF86E"/>
    <w:rsid w:val="6940CB9D"/>
    <w:rsid w:val="69483B6E"/>
    <w:rsid w:val="694AE790"/>
    <w:rsid w:val="695251CB"/>
    <w:rsid w:val="69591CE3"/>
    <w:rsid w:val="6959226C"/>
    <w:rsid w:val="6959F160"/>
    <w:rsid w:val="696418AB"/>
    <w:rsid w:val="696E1F59"/>
    <w:rsid w:val="69721916"/>
    <w:rsid w:val="6972AEAB"/>
    <w:rsid w:val="6973FA58"/>
    <w:rsid w:val="69772E0C"/>
    <w:rsid w:val="697B4BEB"/>
    <w:rsid w:val="69807A9E"/>
    <w:rsid w:val="69883FA9"/>
    <w:rsid w:val="698DF5F4"/>
    <w:rsid w:val="698EEB89"/>
    <w:rsid w:val="699428BE"/>
    <w:rsid w:val="699DAE86"/>
    <w:rsid w:val="699EC534"/>
    <w:rsid w:val="69A10545"/>
    <w:rsid w:val="69A14F7B"/>
    <w:rsid w:val="69A6F06B"/>
    <w:rsid w:val="69A94817"/>
    <w:rsid w:val="69A9CE24"/>
    <w:rsid w:val="69AF6DDD"/>
    <w:rsid w:val="69B40C3A"/>
    <w:rsid w:val="69B8CE73"/>
    <w:rsid w:val="69C2E03D"/>
    <w:rsid w:val="69C81227"/>
    <w:rsid w:val="69C980C9"/>
    <w:rsid w:val="69CC5363"/>
    <w:rsid w:val="69CD2AED"/>
    <w:rsid w:val="69CE1C99"/>
    <w:rsid w:val="69CF0F54"/>
    <w:rsid w:val="69D571FF"/>
    <w:rsid w:val="69D6622B"/>
    <w:rsid w:val="69DC74E5"/>
    <w:rsid w:val="69E62385"/>
    <w:rsid w:val="69F13E5F"/>
    <w:rsid w:val="69F51B26"/>
    <w:rsid w:val="69F70970"/>
    <w:rsid w:val="69F8DAD6"/>
    <w:rsid w:val="6A0145F8"/>
    <w:rsid w:val="6A05B15A"/>
    <w:rsid w:val="6A073277"/>
    <w:rsid w:val="6A09711D"/>
    <w:rsid w:val="6A12BDD2"/>
    <w:rsid w:val="6A179379"/>
    <w:rsid w:val="6A1F33D2"/>
    <w:rsid w:val="6A22E85C"/>
    <w:rsid w:val="6A271B3A"/>
    <w:rsid w:val="6A2DF34D"/>
    <w:rsid w:val="6A31611F"/>
    <w:rsid w:val="6A32A720"/>
    <w:rsid w:val="6A33BCBA"/>
    <w:rsid w:val="6A3689E2"/>
    <w:rsid w:val="6A395081"/>
    <w:rsid w:val="6A3AB5AE"/>
    <w:rsid w:val="6A4011C1"/>
    <w:rsid w:val="6A455C75"/>
    <w:rsid w:val="6A4649EC"/>
    <w:rsid w:val="6A49AF9C"/>
    <w:rsid w:val="6A4B2C29"/>
    <w:rsid w:val="6A564C7B"/>
    <w:rsid w:val="6A579C88"/>
    <w:rsid w:val="6A5D6D96"/>
    <w:rsid w:val="6A6350B1"/>
    <w:rsid w:val="6A6A7C66"/>
    <w:rsid w:val="6A6AF9E7"/>
    <w:rsid w:val="6A71EC70"/>
    <w:rsid w:val="6A7B3887"/>
    <w:rsid w:val="6A7B5961"/>
    <w:rsid w:val="6A7D916B"/>
    <w:rsid w:val="6A7E0E81"/>
    <w:rsid w:val="6A7F340C"/>
    <w:rsid w:val="6A8130F6"/>
    <w:rsid w:val="6A8337E2"/>
    <w:rsid w:val="6A83D3C5"/>
    <w:rsid w:val="6A8483BB"/>
    <w:rsid w:val="6A84C593"/>
    <w:rsid w:val="6A85429F"/>
    <w:rsid w:val="6A8A8EBC"/>
    <w:rsid w:val="6A990036"/>
    <w:rsid w:val="6A9D3773"/>
    <w:rsid w:val="6AA389A2"/>
    <w:rsid w:val="6AA3F6D5"/>
    <w:rsid w:val="6AA81A8F"/>
    <w:rsid w:val="6AA88284"/>
    <w:rsid w:val="6AABCCA9"/>
    <w:rsid w:val="6AACA1B7"/>
    <w:rsid w:val="6AAE17D2"/>
    <w:rsid w:val="6AB438EB"/>
    <w:rsid w:val="6AB86132"/>
    <w:rsid w:val="6ABE26E9"/>
    <w:rsid w:val="6AC2FE53"/>
    <w:rsid w:val="6AC4AD3A"/>
    <w:rsid w:val="6ACA9FB1"/>
    <w:rsid w:val="6ACC3940"/>
    <w:rsid w:val="6ACD44F7"/>
    <w:rsid w:val="6AE08BBF"/>
    <w:rsid w:val="6AE76C9E"/>
    <w:rsid w:val="6AE927B6"/>
    <w:rsid w:val="6AEA41E0"/>
    <w:rsid w:val="6AEEAC09"/>
    <w:rsid w:val="6AF27F18"/>
    <w:rsid w:val="6AF98F32"/>
    <w:rsid w:val="6AF9B2F9"/>
    <w:rsid w:val="6AFA1EAE"/>
    <w:rsid w:val="6AFAA8FA"/>
    <w:rsid w:val="6AFF414E"/>
    <w:rsid w:val="6B04384F"/>
    <w:rsid w:val="6B174D90"/>
    <w:rsid w:val="6B1CEA2E"/>
    <w:rsid w:val="6B213380"/>
    <w:rsid w:val="6B285272"/>
    <w:rsid w:val="6B294E73"/>
    <w:rsid w:val="6B2AD52B"/>
    <w:rsid w:val="6B31CB1E"/>
    <w:rsid w:val="6B35BDF3"/>
    <w:rsid w:val="6B4655B5"/>
    <w:rsid w:val="6B47C778"/>
    <w:rsid w:val="6B4B941F"/>
    <w:rsid w:val="6B4BB54D"/>
    <w:rsid w:val="6B4E1EBC"/>
    <w:rsid w:val="6B513F2C"/>
    <w:rsid w:val="6B56D41C"/>
    <w:rsid w:val="6B56D656"/>
    <w:rsid w:val="6B60692A"/>
    <w:rsid w:val="6B6B38C1"/>
    <w:rsid w:val="6B6B4A5F"/>
    <w:rsid w:val="6B702145"/>
    <w:rsid w:val="6B712195"/>
    <w:rsid w:val="6B73F195"/>
    <w:rsid w:val="6B743925"/>
    <w:rsid w:val="6B75D264"/>
    <w:rsid w:val="6B7A969B"/>
    <w:rsid w:val="6B7BD0E1"/>
    <w:rsid w:val="6B7C71CB"/>
    <w:rsid w:val="6B7E73A3"/>
    <w:rsid w:val="6B82493A"/>
    <w:rsid w:val="6B84D71C"/>
    <w:rsid w:val="6B859A6A"/>
    <w:rsid w:val="6B8E704F"/>
    <w:rsid w:val="6B8F31EE"/>
    <w:rsid w:val="6B90F0BF"/>
    <w:rsid w:val="6B96DE08"/>
    <w:rsid w:val="6BA552E4"/>
    <w:rsid w:val="6BAFCD6F"/>
    <w:rsid w:val="6BAFE049"/>
    <w:rsid w:val="6BB3B3D2"/>
    <w:rsid w:val="6BB40237"/>
    <w:rsid w:val="6BB53C4A"/>
    <w:rsid w:val="6BB77847"/>
    <w:rsid w:val="6BBDCCB2"/>
    <w:rsid w:val="6BC47138"/>
    <w:rsid w:val="6BC7351F"/>
    <w:rsid w:val="6BC85BA7"/>
    <w:rsid w:val="6BC9EE0A"/>
    <w:rsid w:val="6BCFD6B4"/>
    <w:rsid w:val="6BDD0546"/>
    <w:rsid w:val="6BDF146C"/>
    <w:rsid w:val="6BDF9669"/>
    <w:rsid w:val="6BDFA054"/>
    <w:rsid w:val="6BE3FBED"/>
    <w:rsid w:val="6BE4122A"/>
    <w:rsid w:val="6BEAD034"/>
    <w:rsid w:val="6BEAEA56"/>
    <w:rsid w:val="6BED18FA"/>
    <w:rsid w:val="6BF27706"/>
    <w:rsid w:val="6BF349E7"/>
    <w:rsid w:val="6BFA6468"/>
    <w:rsid w:val="6BFF0049"/>
    <w:rsid w:val="6C00ACC9"/>
    <w:rsid w:val="6C06F2FB"/>
    <w:rsid w:val="6C085620"/>
    <w:rsid w:val="6C0BA6F5"/>
    <w:rsid w:val="6C0DE275"/>
    <w:rsid w:val="6C141969"/>
    <w:rsid w:val="6C14E072"/>
    <w:rsid w:val="6C1D5FEA"/>
    <w:rsid w:val="6C1E1479"/>
    <w:rsid w:val="6C1ED56C"/>
    <w:rsid w:val="6C1F137E"/>
    <w:rsid w:val="6C21F7CB"/>
    <w:rsid w:val="6C23B17A"/>
    <w:rsid w:val="6C25FAC8"/>
    <w:rsid w:val="6C271FBF"/>
    <w:rsid w:val="6C279F90"/>
    <w:rsid w:val="6C2942FF"/>
    <w:rsid w:val="6C35AC3E"/>
    <w:rsid w:val="6C35D2BB"/>
    <w:rsid w:val="6C36054C"/>
    <w:rsid w:val="6C36C35C"/>
    <w:rsid w:val="6C385CE1"/>
    <w:rsid w:val="6C427487"/>
    <w:rsid w:val="6C55C7E4"/>
    <w:rsid w:val="6C5656FD"/>
    <w:rsid w:val="6C5AB9BA"/>
    <w:rsid w:val="6C5D709B"/>
    <w:rsid w:val="6C5F722C"/>
    <w:rsid w:val="6C615027"/>
    <w:rsid w:val="6C6785AF"/>
    <w:rsid w:val="6C6E177F"/>
    <w:rsid w:val="6C742B35"/>
    <w:rsid w:val="6C7BC007"/>
    <w:rsid w:val="6C7BFF2A"/>
    <w:rsid w:val="6C81D422"/>
    <w:rsid w:val="6C833BAF"/>
    <w:rsid w:val="6C87D8F3"/>
    <w:rsid w:val="6C9139A1"/>
    <w:rsid w:val="6C93E7CF"/>
    <w:rsid w:val="6C940527"/>
    <w:rsid w:val="6C995D43"/>
    <w:rsid w:val="6C9E1762"/>
    <w:rsid w:val="6C9EA9B6"/>
    <w:rsid w:val="6C9F645D"/>
    <w:rsid w:val="6CA330CB"/>
    <w:rsid w:val="6CA3503A"/>
    <w:rsid w:val="6CA38EC3"/>
    <w:rsid w:val="6CA4962B"/>
    <w:rsid w:val="6CA74A8D"/>
    <w:rsid w:val="6CAC220C"/>
    <w:rsid w:val="6CACCB69"/>
    <w:rsid w:val="6CAEDEF8"/>
    <w:rsid w:val="6CB69A7A"/>
    <w:rsid w:val="6CBCC66D"/>
    <w:rsid w:val="6CBDC727"/>
    <w:rsid w:val="6CBE8898"/>
    <w:rsid w:val="6CC2BAE1"/>
    <w:rsid w:val="6CCAAEBE"/>
    <w:rsid w:val="6CCB50D9"/>
    <w:rsid w:val="6CCF6F40"/>
    <w:rsid w:val="6CD7438A"/>
    <w:rsid w:val="6CDE559A"/>
    <w:rsid w:val="6CE6C98A"/>
    <w:rsid w:val="6CF60F5E"/>
    <w:rsid w:val="6D02268A"/>
    <w:rsid w:val="6D031988"/>
    <w:rsid w:val="6D1354D7"/>
    <w:rsid w:val="6D1A8A0A"/>
    <w:rsid w:val="6D2A9F76"/>
    <w:rsid w:val="6D31A405"/>
    <w:rsid w:val="6D373485"/>
    <w:rsid w:val="6D3F75A1"/>
    <w:rsid w:val="6D422358"/>
    <w:rsid w:val="6D479597"/>
    <w:rsid w:val="6D49F66E"/>
    <w:rsid w:val="6D4A88A7"/>
    <w:rsid w:val="6D4D8E97"/>
    <w:rsid w:val="6D51FDD0"/>
    <w:rsid w:val="6D5E554E"/>
    <w:rsid w:val="6D5F4E4E"/>
    <w:rsid w:val="6D633603"/>
    <w:rsid w:val="6D6464FF"/>
    <w:rsid w:val="6D68B262"/>
    <w:rsid w:val="6D6BFAFC"/>
    <w:rsid w:val="6D789EBA"/>
    <w:rsid w:val="6D7E5E39"/>
    <w:rsid w:val="6D8593A0"/>
    <w:rsid w:val="6D8782B7"/>
    <w:rsid w:val="6D87D226"/>
    <w:rsid w:val="6D88A2DA"/>
    <w:rsid w:val="6D9F8A7A"/>
    <w:rsid w:val="6DA0475F"/>
    <w:rsid w:val="6DA0F156"/>
    <w:rsid w:val="6DA58082"/>
    <w:rsid w:val="6DA7CB4A"/>
    <w:rsid w:val="6DAC3F67"/>
    <w:rsid w:val="6DAC57F7"/>
    <w:rsid w:val="6DBB70F6"/>
    <w:rsid w:val="6DBC10B9"/>
    <w:rsid w:val="6DBEB5A5"/>
    <w:rsid w:val="6DBEF50D"/>
    <w:rsid w:val="6DBF7496"/>
    <w:rsid w:val="6DBFDD0C"/>
    <w:rsid w:val="6DC46822"/>
    <w:rsid w:val="6DC6DC2F"/>
    <w:rsid w:val="6DC723FD"/>
    <w:rsid w:val="6DC75494"/>
    <w:rsid w:val="6DC7BAD6"/>
    <w:rsid w:val="6DCF3FEB"/>
    <w:rsid w:val="6DD63B45"/>
    <w:rsid w:val="6DD78869"/>
    <w:rsid w:val="6DD9A361"/>
    <w:rsid w:val="6DDBB208"/>
    <w:rsid w:val="6DDE5F94"/>
    <w:rsid w:val="6DE33A10"/>
    <w:rsid w:val="6DE9A60F"/>
    <w:rsid w:val="6DEA68C2"/>
    <w:rsid w:val="6DF0FB4A"/>
    <w:rsid w:val="6DF5CFA2"/>
    <w:rsid w:val="6DF77C99"/>
    <w:rsid w:val="6DF97552"/>
    <w:rsid w:val="6DF9A3A3"/>
    <w:rsid w:val="6E024244"/>
    <w:rsid w:val="6E02BA70"/>
    <w:rsid w:val="6E076AFE"/>
    <w:rsid w:val="6E08DB4A"/>
    <w:rsid w:val="6E0A174E"/>
    <w:rsid w:val="6E0E2AB0"/>
    <w:rsid w:val="6E0FBFCD"/>
    <w:rsid w:val="6E0FD739"/>
    <w:rsid w:val="6E0FE64D"/>
    <w:rsid w:val="6E0FF1D3"/>
    <w:rsid w:val="6E23C7FE"/>
    <w:rsid w:val="6E2424FD"/>
    <w:rsid w:val="6E28736C"/>
    <w:rsid w:val="6E2F7C72"/>
    <w:rsid w:val="6E353E70"/>
    <w:rsid w:val="6E38FF41"/>
    <w:rsid w:val="6E4E4712"/>
    <w:rsid w:val="6E56F27C"/>
    <w:rsid w:val="6E5CAF74"/>
    <w:rsid w:val="6E5F9B38"/>
    <w:rsid w:val="6E6112EA"/>
    <w:rsid w:val="6E66F46D"/>
    <w:rsid w:val="6E680F8B"/>
    <w:rsid w:val="6E699FDA"/>
    <w:rsid w:val="6E6BC00C"/>
    <w:rsid w:val="6E6E91BE"/>
    <w:rsid w:val="6E706368"/>
    <w:rsid w:val="6E78F6A8"/>
    <w:rsid w:val="6E7F97CA"/>
    <w:rsid w:val="6E811EF0"/>
    <w:rsid w:val="6E81D09F"/>
    <w:rsid w:val="6E83DBDA"/>
    <w:rsid w:val="6E841FFB"/>
    <w:rsid w:val="6E8FEE3C"/>
    <w:rsid w:val="6E93C494"/>
    <w:rsid w:val="6E9C404D"/>
    <w:rsid w:val="6E9F7570"/>
    <w:rsid w:val="6E9F8A34"/>
    <w:rsid w:val="6EA2226B"/>
    <w:rsid w:val="6EAB9E0F"/>
    <w:rsid w:val="6EAD0635"/>
    <w:rsid w:val="6EAE5B31"/>
    <w:rsid w:val="6EB55671"/>
    <w:rsid w:val="6EB7B07E"/>
    <w:rsid w:val="6EB9246F"/>
    <w:rsid w:val="6EBBE870"/>
    <w:rsid w:val="6EC2A029"/>
    <w:rsid w:val="6EC5F3D3"/>
    <w:rsid w:val="6ECBD029"/>
    <w:rsid w:val="6ED1E50A"/>
    <w:rsid w:val="6ED8FB27"/>
    <w:rsid w:val="6EDB61BF"/>
    <w:rsid w:val="6EDC21E6"/>
    <w:rsid w:val="6EE07AF5"/>
    <w:rsid w:val="6EE5FF2A"/>
    <w:rsid w:val="6EE9183B"/>
    <w:rsid w:val="6EEA07EE"/>
    <w:rsid w:val="6EED10E5"/>
    <w:rsid w:val="6EF12B62"/>
    <w:rsid w:val="6EFAFA2E"/>
    <w:rsid w:val="6EFF4CD7"/>
    <w:rsid w:val="6F08955B"/>
    <w:rsid w:val="6F1E18A8"/>
    <w:rsid w:val="6F259574"/>
    <w:rsid w:val="6F272CD8"/>
    <w:rsid w:val="6F31AA5E"/>
    <w:rsid w:val="6F37AEE6"/>
    <w:rsid w:val="6F38326A"/>
    <w:rsid w:val="6F3934C3"/>
    <w:rsid w:val="6F3FF415"/>
    <w:rsid w:val="6F47C266"/>
    <w:rsid w:val="6F483A9E"/>
    <w:rsid w:val="6F4BC1D9"/>
    <w:rsid w:val="6F4D756C"/>
    <w:rsid w:val="6F5302A5"/>
    <w:rsid w:val="6F5B5E4E"/>
    <w:rsid w:val="6F63EBDA"/>
    <w:rsid w:val="6F6B9783"/>
    <w:rsid w:val="6F708CD5"/>
    <w:rsid w:val="6F772B11"/>
    <w:rsid w:val="6F7B55F7"/>
    <w:rsid w:val="6F84BF93"/>
    <w:rsid w:val="6F8EB39B"/>
    <w:rsid w:val="6F92F025"/>
    <w:rsid w:val="6F93A02C"/>
    <w:rsid w:val="6F9CB13F"/>
    <w:rsid w:val="6F9CBC5B"/>
    <w:rsid w:val="6FA1C85D"/>
    <w:rsid w:val="6FA50600"/>
    <w:rsid w:val="6FA8B81C"/>
    <w:rsid w:val="6FB362D0"/>
    <w:rsid w:val="6FC49636"/>
    <w:rsid w:val="6FC7C487"/>
    <w:rsid w:val="6FCA872C"/>
    <w:rsid w:val="6FD22EDD"/>
    <w:rsid w:val="6FD2748E"/>
    <w:rsid w:val="6FDAE82E"/>
    <w:rsid w:val="6FDDD994"/>
    <w:rsid w:val="6FE09907"/>
    <w:rsid w:val="6FE25E20"/>
    <w:rsid w:val="6FE4E7E2"/>
    <w:rsid w:val="6FE52039"/>
    <w:rsid w:val="6FE76B7F"/>
    <w:rsid w:val="6FE91384"/>
    <w:rsid w:val="6FEDEFDF"/>
    <w:rsid w:val="6FF4909F"/>
    <w:rsid w:val="6FF6BEBB"/>
    <w:rsid w:val="6FFB90E6"/>
    <w:rsid w:val="6FFECE30"/>
    <w:rsid w:val="6FFFF3C0"/>
    <w:rsid w:val="70044335"/>
    <w:rsid w:val="70091318"/>
    <w:rsid w:val="7012B99E"/>
    <w:rsid w:val="701803A6"/>
    <w:rsid w:val="701D24E3"/>
    <w:rsid w:val="702341E1"/>
    <w:rsid w:val="7027A517"/>
    <w:rsid w:val="703667E8"/>
    <w:rsid w:val="703A8F71"/>
    <w:rsid w:val="703B33E3"/>
    <w:rsid w:val="703C84DC"/>
    <w:rsid w:val="703C9477"/>
    <w:rsid w:val="703F8EF8"/>
    <w:rsid w:val="70423853"/>
    <w:rsid w:val="70427BED"/>
    <w:rsid w:val="7043E9E9"/>
    <w:rsid w:val="70487C48"/>
    <w:rsid w:val="704A0116"/>
    <w:rsid w:val="704B763B"/>
    <w:rsid w:val="704E49FA"/>
    <w:rsid w:val="7050255E"/>
    <w:rsid w:val="70523DDD"/>
    <w:rsid w:val="7054972B"/>
    <w:rsid w:val="7054C277"/>
    <w:rsid w:val="7057C87A"/>
    <w:rsid w:val="70589DF1"/>
    <w:rsid w:val="706427AA"/>
    <w:rsid w:val="70675E73"/>
    <w:rsid w:val="706B9F48"/>
    <w:rsid w:val="706F059A"/>
    <w:rsid w:val="707139F7"/>
    <w:rsid w:val="7071A0E0"/>
    <w:rsid w:val="70734432"/>
    <w:rsid w:val="7076084C"/>
    <w:rsid w:val="7077EBBE"/>
    <w:rsid w:val="707D3D92"/>
    <w:rsid w:val="707EF8F4"/>
    <w:rsid w:val="7095DD05"/>
    <w:rsid w:val="709FA755"/>
    <w:rsid w:val="70A7488A"/>
    <w:rsid w:val="70A95C9C"/>
    <w:rsid w:val="70AE0B7B"/>
    <w:rsid w:val="70AFFEE7"/>
    <w:rsid w:val="70B1FC5B"/>
    <w:rsid w:val="70B49C63"/>
    <w:rsid w:val="70B94CB2"/>
    <w:rsid w:val="70BAE347"/>
    <w:rsid w:val="70CB6289"/>
    <w:rsid w:val="70D42099"/>
    <w:rsid w:val="70DA1ABC"/>
    <w:rsid w:val="70E2F6C0"/>
    <w:rsid w:val="70E7F9DA"/>
    <w:rsid w:val="70F00501"/>
    <w:rsid w:val="70F462E6"/>
    <w:rsid w:val="70F4AA0D"/>
    <w:rsid w:val="70FC8200"/>
    <w:rsid w:val="710461BD"/>
    <w:rsid w:val="71073441"/>
    <w:rsid w:val="71083730"/>
    <w:rsid w:val="7108D2F6"/>
    <w:rsid w:val="710C3719"/>
    <w:rsid w:val="710C949D"/>
    <w:rsid w:val="710E5107"/>
    <w:rsid w:val="71130CFA"/>
    <w:rsid w:val="71131A98"/>
    <w:rsid w:val="711384A1"/>
    <w:rsid w:val="7122D2C3"/>
    <w:rsid w:val="7124E5AC"/>
    <w:rsid w:val="712600F1"/>
    <w:rsid w:val="71279176"/>
    <w:rsid w:val="713EFB8F"/>
    <w:rsid w:val="71493429"/>
    <w:rsid w:val="714F395B"/>
    <w:rsid w:val="714F8DFF"/>
    <w:rsid w:val="7151175F"/>
    <w:rsid w:val="715AC6ED"/>
    <w:rsid w:val="7161F9D0"/>
    <w:rsid w:val="71672866"/>
    <w:rsid w:val="7168AC1F"/>
    <w:rsid w:val="716A1C1A"/>
    <w:rsid w:val="716F1BA3"/>
    <w:rsid w:val="7171B2E5"/>
    <w:rsid w:val="7175831D"/>
    <w:rsid w:val="7183A65D"/>
    <w:rsid w:val="7186C3F4"/>
    <w:rsid w:val="71899E51"/>
    <w:rsid w:val="718EC5AD"/>
    <w:rsid w:val="718F04E0"/>
    <w:rsid w:val="71915296"/>
    <w:rsid w:val="7193E570"/>
    <w:rsid w:val="719992D5"/>
    <w:rsid w:val="719AA347"/>
    <w:rsid w:val="719C10CB"/>
    <w:rsid w:val="71AB0FE4"/>
    <w:rsid w:val="71BB1A80"/>
    <w:rsid w:val="71BC6ADA"/>
    <w:rsid w:val="71C4AD55"/>
    <w:rsid w:val="71C5C011"/>
    <w:rsid w:val="71C8D12E"/>
    <w:rsid w:val="71C9125D"/>
    <w:rsid w:val="71CBC2BD"/>
    <w:rsid w:val="71CC1099"/>
    <w:rsid w:val="71D18930"/>
    <w:rsid w:val="71D28E1A"/>
    <w:rsid w:val="71D82714"/>
    <w:rsid w:val="71DBEFD0"/>
    <w:rsid w:val="71E1328E"/>
    <w:rsid w:val="71E2689D"/>
    <w:rsid w:val="71E30FC8"/>
    <w:rsid w:val="71E8D591"/>
    <w:rsid w:val="71EAA2B7"/>
    <w:rsid w:val="71EEA3C2"/>
    <w:rsid w:val="71EEA9EA"/>
    <w:rsid w:val="71F65844"/>
    <w:rsid w:val="71FE9B02"/>
    <w:rsid w:val="72060CA9"/>
    <w:rsid w:val="72090589"/>
    <w:rsid w:val="720CE519"/>
    <w:rsid w:val="720DC643"/>
    <w:rsid w:val="720DDF12"/>
    <w:rsid w:val="7211A15E"/>
    <w:rsid w:val="72158BDF"/>
    <w:rsid w:val="7218938E"/>
    <w:rsid w:val="721A52EC"/>
    <w:rsid w:val="722A2D44"/>
    <w:rsid w:val="722A92DD"/>
    <w:rsid w:val="72318E45"/>
    <w:rsid w:val="72365AF3"/>
    <w:rsid w:val="72495E7E"/>
    <w:rsid w:val="724EE512"/>
    <w:rsid w:val="724F3CAA"/>
    <w:rsid w:val="72542AEC"/>
    <w:rsid w:val="7258BAEA"/>
    <w:rsid w:val="72625686"/>
    <w:rsid w:val="726496B5"/>
    <w:rsid w:val="7267C932"/>
    <w:rsid w:val="726B6515"/>
    <w:rsid w:val="726C4086"/>
    <w:rsid w:val="726EF91D"/>
    <w:rsid w:val="72733DE7"/>
    <w:rsid w:val="7274C638"/>
    <w:rsid w:val="727C9C8C"/>
    <w:rsid w:val="728308E9"/>
    <w:rsid w:val="72938972"/>
    <w:rsid w:val="72974AC4"/>
    <w:rsid w:val="729DF95B"/>
    <w:rsid w:val="72A37F56"/>
    <w:rsid w:val="72A7224A"/>
    <w:rsid w:val="72AA6E35"/>
    <w:rsid w:val="72B5B783"/>
    <w:rsid w:val="72B6C664"/>
    <w:rsid w:val="72BA54E0"/>
    <w:rsid w:val="72C17AB2"/>
    <w:rsid w:val="72C18108"/>
    <w:rsid w:val="72C1E79D"/>
    <w:rsid w:val="72C2B0E1"/>
    <w:rsid w:val="72C4D504"/>
    <w:rsid w:val="72C52670"/>
    <w:rsid w:val="72C7B914"/>
    <w:rsid w:val="72CCCFF3"/>
    <w:rsid w:val="72CF50E7"/>
    <w:rsid w:val="72D720B7"/>
    <w:rsid w:val="72D971B3"/>
    <w:rsid w:val="72DB4B37"/>
    <w:rsid w:val="72DC7978"/>
    <w:rsid w:val="72DD9558"/>
    <w:rsid w:val="72E2508C"/>
    <w:rsid w:val="72F04AFA"/>
    <w:rsid w:val="72F1B18A"/>
    <w:rsid w:val="72F41370"/>
    <w:rsid w:val="72F583D4"/>
    <w:rsid w:val="72FAEFC6"/>
    <w:rsid w:val="72FCEBCC"/>
    <w:rsid w:val="7304ADF5"/>
    <w:rsid w:val="7308D57F"/>
    <w:rsid w:val="731072DA"/>
    <w:rsid w:val="73128FDF"/>
    <w:rsid w:val="73143673"/>
    <w:rsid w:val="7315BBB6"/>
    <w:rsid w:val="731BB14F"/>
    <w:rsid w:val="731DD442"/>
    <w:rsid w:val="7324739A"/>
    <w:rsid w:val="73277CC4"/>
    <w:rsid w:val="7332D29A"/>
    <w:rsid w:val="7335C584"/>
    <w:rsid w:val="7335CC27"/>
    <w:rsid w:val="73391DBD"/>
    <w:rsid w:val="7347C284"/>
    <w:rsid w:val="735C41AE"/>
    <w:rsid w:val="735FC8A3"/>
    <w:rsid w:val="735FD5AC"/>
    <w:rsid w:val="7363A42C"/>
    <w:rsid w:val="7369AAB7"/>
    <w:rsid w:val="736B2542"/>
    <w:rsid w:val="736BC521"/>
    <w:rsid w:val="736FA2ED"/>
    <w:rsid w:val="7373794E"/>
    <w:rsid w:val="7376DD79"/>
    <w:rsid w:val="73781D0D"/>
    <w:rsid w:val="737EB4EF"/>
    <w:rsid w:val="73848CF9"/>
    <w:rsid w:val="738FFA9B"/>
    <w:rsid w:val="7392BD4F"/>
    <w:rsid w:val="739493F5"/>
    <w:rsid w:val="7394B91C"/>
    <w:rsid w:val="7398461B"/>
    <w:rsid w:val="73988DE9"/>
    <w:rsid w:val="7398C9C1"/>
    <w:rsid w:val="73A74CE6"/>
    <w:rsid w:val="73A890E6"/>
    <w:rsid w:val="73AB6A0F"/>
    <w:rsid w:val="73AF01CC"/>
    <w:rsid w:val="73C5FB94"/>
    <w:rsid w:val="73C81386"/>
    <w:rsid w:val="73C92B43"/>
    <w:rsid w:val="73CB54AA"/>
    <w:rsid w:val="73D4B9E2"/>
    <w:rsid w:val="73EAE485"/>
    <w:rsid w:val="73ECA0DE"/>
    <w:rsid w:val="73F9DBF4"/>
    <w:rsid w:val="73FAABA9"/>
    <w:rsid w:val="73FE2071"/>
    <w:rsid w:val="7408819C"/>
    <w:rsid w:val="7408B805"/>
    <w:rsid w:val="740AE8FC"/>
    <w:rsid w:val="740B7C9A"/>
    <w:rsid w:val="740B9021"/>
    <w:rsid w:val="740D736C"/>
    <w:rsid w:val="7417E26D"/>
    <w:rsid w:val="7419686B"/>
    <w:rsid w:val="741D9000"/>
    <w:rsid w:val="742619DC"/>
    <w:rsid w:val="7428C1B2"/>
    <w:rsid w:val="743071C7"/>
    <w:rsid w:val="74376DF9"/>
    <w:rsid w:val="743808E6"/>
    <w:rsid w:val="7439D8BB"/>
    <w:rsid w:val="743B0806"/>
    <w:rsid w:val="743D232C"/>
    <w:rsid w:val="74427562"/>
    <w:rsid w:val="744542F1"/>
    <w:rsid w:val="74484E77"/>
    <w:rsid w:val="7451DBB6"/>
    <w:rsid w:val="7454CD2B"/>
    <w:rsid w:val="745C9D74"/>
    <w:rsid w:val="74607880"/>
    <w:rsid w:val="7461E586"/>
    <w:rsid w:val="7464290F"/>
    <w:rsid w:val="746ECE3E"/>
    <w:rsid w:val="747076EF"/>
    <w:rsid w:val="74746442"/>
    <w:rsid w:val="74774209"/>
    <w:rsid w:val="747AA3A9"/>
    <w:rsid w:val="747E9689"/>
    <w:rsid w:val="7481C666"/>
    <w:rsid w:val="74835FDD"/>
    <w:rsid w:val="74938774"/>
    <w:rsid w:val="74A09E41"/>
    <w:rsid w:val="74A6E243"/>
    <w:rsid w:val="74AAA308"/>
    <w:rsid w:val="74AD8886"/>
    <w:rsid w:val="74AF5F6C"/>
    <w:rsid w:val="74B034B6"/>
    <w:rsid w:val="74B24998"/>
    <w:rsid w:val="74B3A1C3"/>
    <w:rsid w:val="74B68232"/>
    <w:rsid w:val="74B7CC60"/>
    <w:rsid w:val="74C17704"/>
    <w:rsid w:val="74CA83A3"/>
    <w:rsid w:val="74CB400E"/>
    <w:rsid w:val="74D63D44"/>
    <w:rsid w:val="74D98922"/>
    <w:rsid w:val="74E14367"/>
    <w:rsid w:val="74E2B584"/>
    <w:rsid w:val="74E4B83F"/>
    <w:rsid w:val="74E6D064"/>
    <w:rsid w:val="74EBCA67"/>
    <w:rsid w:val="74ECB0D0"/>
    <w:rsid w:val="74F114C6"/>
    <w:rsid w:val="74F6C51A"/>
    <w:rsid w:val="74FDDE8F"/>
    <w:rsid w:val="750316EB"/>
    <w:rsid w:val="7503D4A8"/>
    <w:rsid w:val="750CAF68"/>
    <w:rsid w:val="7516EFA2"/>
    <w:rsid w:val="75186BEB"/>
    <w:rsid w:val="751A2FE8"/>
    <w:rsid w:val="751EE1CA"/>
    <w:rsid w:val="751F2A25"/>
    <w:rsid w:val="75220928"/>
    <w:rsid w:val="75272001"/>
    <w:rsid w:val="753AE191"/>
    <w:rsid w:val="753C2BE1"/>
    <w:rsid w:val="753CED97"/>
    <w:rsid w:val="753DEF26"/>
    <w:rsid w:val="753F0181"/>
    <w:rsid w:val="754B691B"/>
    <w:rsid w:val="755690E4"/>
    <w:rsid w:val="7559A28F"/>
    <w:rsid w:val="7564BE43"/>
    <w:rsid w:val="756BC717"/>
    <w:rsid w:val="757417AC"/>
    <w:rsid w:val="7575EF1F"/>
    <w:rsid w:val="757819C9"/>
    <w:rsid w:val="757CDAA3"/>
    <w:rsid w:val="7581D455"/>
    <w:rsid w:val="75841794"/>
    <w:rsid w:val="75845624"/>
    <w:rsid w:val="758B89DD"/>
    <w:rsid w:val="758DA156"/>
    <w:rsid w:val="75964B65"/>
    <w:rsid w:val="75A1BAA6"/>
    <w:rsid w:val="75A34343"/>
    <w:rsid w:val="75A5EAC1"/>
    <w:rsid w:val="75A6E031"/>
    <w:rsid w:val="75A9947D"/>
    <w:rsid w:val="75ACE845"/>
    <w:rsid w:val="75ACF59E"/>
    <w:rsid w:val="75B3118F"/>
    <w:rsid w:val="75BB8A5A"/>
    <w:rsid w:val="75BE4A10"/>
    <w:rsid w:val="75CA7458"/>
    <w:rsid w:val="75CC6EF7"/>
    <w:rsid w:val="75CE8F8E"/>
    <w:rsid w:val="75D2378D"/>
    <w:rsid w:val="75D25F18"/>
    <w:rsid w:val="75D498DE"/>
    <w:rsid w:val="75DAE846"/>
    <w:rsid w:val="75DB76FB"/>
    <w:rsid w:val="75DC7FEF"/>
    <w:rsid w:val="75DCDEA4"/>
    <w:rsid w:val="75DEEFC1"/>
    <w:rsid w:val="75E7D69F"/>
    <w:rsid w:val="75EB21A4"/>
    <w:rsid w:val="75F24929"/>
    <w:rsid w:val="75F82402"/>
    <w:rsid w:val="75FEFB19"/>
    <w:rsid w:val="76016A26"/>
    <w:rsid w:val="760464B3"/>
    <w:rsid w:val="7609EAA4"/>
    <w:rsid w:val="760EA6FB"/>
    <w:rsid w:val="7611FD3C"/>
    <w:rsid w:val="76124FCC"/>
    <w:rsid w:val="76134014"/>
    <w:rsid w:val="76142313"/>
    <w:rsid w:val="76228E65"/>
    <w:rsid w:val="7623B5E5"/>
    <w:rsid w:val="76240F7F"/>
    <w:rsid w:val="762E75B9"/>
    <w:rsid w:val="762E9B2B"/>
    <w:rsid w:val="7630DD88"/>
    <w:rsid w:val="7631EDD2"/>
    <w:rsid w:val="7635DD1D"/>
    <w:rsid w:val="763B6969"/>
    <w:rsid w:val="764F0129"/>
    <w:rsid w:val="7650150F"/>
    <w:rsid w:val="7654740A"/>
    <w:rsid w:val="76560177"/>
    <w:rsid w:val="765605B1"/>
    <w:rsid w:val="765BB03B"/>
    <w:rsid w:val="765F0122"/>
    <w:rsid w:val="766DDFDE"/>
    <w:rsid w:val="766E5B6D"/>
    <w:rsid w:val="766F5BED"/>
    <w:rsid w:val="767D5F69"/>
    <w:rsid w:val="767E4BB7"/>
    <w:rsid w:val="767FD081"/>
    <w:rsid w:val="7681FC86"/>
    <w:rsid w:val="768328FA"/>
    <w:rsid w:val="7686AAAC"/>
    <w:rsid w:val="7687022E"/>
    <w:rsid w:val="768AB209"/>
    <w:rsid w:val="768BC638"/>
    <w:rsid w:val="768E15CE"/>
    <w:rsid w:val="7693FF3E"/>
    <w:rsid w:val="769F1173"/>
    <w:rsid w:val="769F76FA"/>
    <w:rsid w:val="76AB1E22"/>
    <w:rsid w:val="76B052CA"/>
    <w:rsid w:val="76B17072"/>
    <w:rsid w:val="76B2B276"/>
    <w:rsid w:val="76BCF570"/>
    <w:rsid w:val="76CB6521"/>
    <w:rsid w:val="76CE6253"/>
    <w:rsid w:val="76D414FF"/>
    <w:rsid w:val="76D480DF"/>
    <w:rsid w:val="76D78016"/>
    <w:rsid w:val="76D84A07"/>
    <w:rsid w:val="76D9E45C"/>
    <w:rsid w:val="76DA098F"/>
    <w:rsid w:val="76DDEDDD"/>
    <w:rsid w:val="76DEB692"/>
    <w:rsid w:val="76E22F8F"/>
    <w:rsid w:val="76E2EFE2"/>
    <w:rsid w:val="76E6A7E8"/>
    <w:rsid w:val="76E771EE"/>
    <w:rsid w:val="76F7CE0C"/>
    <w:rsid w:val="76FE4BFD"/>
    <w:rsid w:val="770B70EB"/>
    <w:rsid w:val="770DE230"/>
    <w:rsid w:val="771080D6"/>
    <w:rsid w:val="7715B5BE"/>
    <w:rsid w:val="771B133D"/>
    <w:rsid w:val="7720C021"/>
    <w:rsid w:val="7722D39C"/>
    <w:rsid w:val="7723FA8A"/>
    <w:rsid w:val="7726F15C"/>
    <w:rsid w:val="772BF6AE"/>
    <w:rsid w:val="772C241C"/>
    <w:rsid w:val="773203C6"/>
    <w:rsid w:val="773A4256"/>
    <w:rsid w:val="77401B1B"/>
    <w:rsid w:val="77465599"/>
    <w:rsid w:val="7748D8EB"/>
    <w:rsid w:val="7752600B"/>
    <w:rsid w:val="7753C381"/>
    <w:rsid w:val="7755E813"/>
    <w:rsid w:val="775AF650"/>
    <w:rsid w:val="775B8B84"/>
    <w:rsid w:val="775EA12D"/>
    <w:rsid w:val="775F25D5"/>
    <w:rsid w:val="776A9D8D"/>
    <w:rsid w:val="776D56C6"/>
    <w:rsid w:val="776F83C7"/>
    <w:rsid w:val="77700CFF"/>
    <w:rsid w:val="77739FCF"/>
    <w:rsid w:val="7776EF90"/>
    <w:rsid w:val="77772025"/>
    <w:rsid w:val="777E63EF"/>
    <w:rsid w:val="7780B832"/>
    <w:rsid w:val="778C597E"/>
    <w:rsid w:val="778CD871"/>
    <w:rsid w:val="778EC0B6"/>
    <w:rsid w:val="77905B4F"/>
    <w:rsid w:val="7794BB81"/>
    <w:rsid w:val="77963E12"/>
    <w:rsid w:val="7799ACBB"/>
    <w:rsid w:val="779BCD38"/>
    <w:rsid w:val="779E0453"/>
    <w:rsid w:val="77A10075"/>
    <w:rsid w:val="77A28FA1"/>
    <w:rsid w:val="77A8AA98"/>
    <w:rsid w:val="77A9C131"/>
    <w:rsid w:val="77AAEAB9"/>
    <w:rsid w:val="77AB8EFA"/>
    <w:rsid w:val="77AF9A0F"/>
    <w:rsid w:val="77B448E9"/>
    <w:rsid w:val="77B7AF8C"/>
    <w:rsid w:val="77B8FA1A"/>
    <w:rsid w:val="77BDF0A5"/>
    <w:rsid w:val="77C0457E"/>
    <w:rsid w:val="77C09834"/>
    <w:rsid w:val="77C0F0F5"/>
    <w:rsid w:val="77C595DF"/>
    <w:rsid w:val="77C72A8C"/>
    <w:rsid w:val="77CEE14C"/>
    <w:rsid w:val="77D2B4D6"/>
    <w:rsid w:val="77D4786E"/>
    <w:rsid w:val="77D80307"/>
    <w:rsid w:val="77E43D7F"/>
    <w:rsid w:val="77EBF420"/>
    <w:rsid w:val="77EE1EF0"/>
    <w:rsid w:val="77FA29A0"/>
    <w:rsid w:val="7801FBE8"/>
    <w:rsid w:val="780E9029"/>
    <w:rsid w:val="780EE293"/>
    <w:rsid w:val="78132492"/>
    <w:rsid w:val="78166677"/>
    <w:rsid w:val="7818BB9A"/>
    <w:rsid w:val="7819155C"/>
    <w:rsid w:val="781D1BCB"/>
    <w:rsid w:val="781DA185"/>
    <w:rsid w:val="7820056F"/>
    <w:rsid w:val="7820611C"/>
    <w:rsid w:val="7825720E"/>
    <w:rsid w:val="782B3AD4"/>
    <w:rsid w:val="782C6112"/>
    <w:rsid w:val="782D7B80"/>
    <w:rsid w:val="782E8405"/>
    <w:rsid w:val="783505F1"/>
    <w:rsid w:val="783937A2"/>
    <w:rsid w:val="783E5929"/>
    <w:rsid w:val="783F7B51"/>
    <w:rsid w:val="78403A9E"/>
    <w:rsid w:val="78479BAC"/>
    <w:rsid w:val="7849A372"/>
    <w:rsid w:val="784C62A2"/>
    <w:rsid w:val="784C94D0"/>
    <w:rsid w:val="784F5E9A"/>
    <w:rsid w:val="78523A95"/>
    <w:rsid w:val="78539A4A"/>
    <w:rsid w:val="78559ABC"/>
    <w:rsid w:val="785ACD93"/>
    <w:rsid w:val="785DED95"/>
    <w:rsid w:val="7865E557"/>
    <w:rsid w:val="78666B33"/>
    <w:rsid w:val="78684AD7"/>
    <w:rsid w:val="786BC307"/>
    <w:rsid w:val="78773098"/>
    <w:rsid w:val="78793AD6"/>
    <w:rsid w:val="787B5F25"/>
    <w:rsid w:val="787BFE67"/>
    <w:rsid w:val="78828B39"/>
    <w:rsid w:val="789F5C5E"/>
    <w:rsid w:val="78A1E39C"/>
    <w:rsid w:val="78A1F74B"/>
    <w:rsid w:val="78A43B52"/>
    <w:rsid w:val="78A6A551"/>
    <w:rsid w:val="78A8A9E6"/>
    <w:rsid w:val="78AF5CE5"/>
    <w:rsid w:val="78B01CDC"/>
    <w:rsid w:val="78BDB8D3"/>
    <w:rsid w:val="78BEA369"/>
    <w:rsid w:val="78C65242"/>
    <w:rsid w:val="78C7BC50"/>
    <w:rsid w:val="78C8C2DB"/>
    <w:rsid w:val="78CA738B"/>
    <w:rsid w:val="78CF89B2"/>
    <w:rsid w:val="78D1C85D"/>
    <w:rsid w:val="78D42FE3"/>
    <w:rsid w:val="78D52A87"/>
    <w:rsid w:val="78DBB229"/>
    <w:rsid w:val="78DDFD80"/>
    <w:rsid w:val="78E2C7C9"/>
    <w:rsid w:val="78E3F1C4"/>
    <w:rsid w:val="78E4A0AF"/>
    <w:rsid w:val="78E71017"/>
    <w:rsid w:val="78EC3FA5"/>
    <w:rsid w:val="78F0F8E2"/>
    <w:rsid w:val="78F6CCF1"/>
    <w:rsid w:val="78FA11EC"/>
    <w:rsid w:val="79001DA8"/>
    <w:rsid w:val="79007F15"/>
    <w:rsid w:val="7904BA9F"/>
    <w:rsid w:val="790EF825"/>
    <w:rsid w:val="791E2178"/>
    <w:rsid w:val="792356A7"/>
    <w:rsid w:val="792BD48D"/>
    <w:rsid w:val="792BF568"/>
    <w:rsid w:val="792EA00F"/>
    <w:rsid w:val="792F8434"/>
    <w:rsid w:val="79307472"/>
    <w:rsid w:val="79347028"/>
    <w:rsid w:val="79403C81"/>
    <w:rsid w:val="79407EEE"/>
    <w:rsid w:val="79467341"/>
    <w:rsid w:val="7955E192"/>
    <w:rsid w:val="795936A4"/>
    <w:rsid w:val="795C966F"/>
    <w:rsid w:val="796227A9"/>
    <w:rsid w:val="796F31C6"/>
    <w:rsid w:val="7973DE2F"/>
    <w:rsid w:val="79753BBB"/>
    <w:rsid w:val="7979C4D7"/>
    <w:rsid w:val="7979FB39"/>
    <w:rsid w:val="797AF3DF"/>
    <w:rsid w:val="7980685C"/>
    <w:rsid w:val="7985B4D4"/>
    <w:rsid w:val="798FF6BA"/>
    <w:rsid w:val="7991FFF7"/>
    <w:rsid w:val="7992B216"/>
    <w:rsid w:val="7995F172"/>
    <w:rsid w:val="7996E66D"/>
    <w:rsid w:val="7997D984"/>
    <w:rsid w:val="799AD1E6"/>
    <w:rsid w:val="799B36D1"/>
    <w:rsid w:val="799B65E2"/>
    <w:rsid w:val="799C77E1"/>
    <w:rsid w:val="79A1052F"/>
    <w:rsid w:val="79A15B27"/>
    <w:rsid w:val="79A16356"/>
    <w:rsid w:val="79B45CAE"/>
    <w:rsid w:val="79B938BE"/>
    <w:rsid w:val="79BD3239"/>
    <w:rsid w:val="79C005EC"/>
    <w:rsid w:val="79C6260C"/>
    <w:rsid w:val="79C6CF45"/>
    <w:rsid w:val="79C916BA"/>
    <w:rsid w:val="79CACD54"/>
    <w:rsid w:val="79D0617A"/>
    <w:rsid w:val="79D5B000"/>
    <w:rsid w:val="79E49366"/>
    <w:rsid w:val="79EA9468"/>
    <w:rsid w:val="79EB0C65"/>
    <w:rsid w:val="79F04D48"/>
    <w:rsid w:val="79F38389"/>
    <w:rsid w:val="79F45420"/>
    <w:rsid w:val="79F75A9D"/>
    <w:rsid w:val="79FA2FBC"/>
    <w:rsid w:val="79FE8A5F"/>
    <w:rsid w:val="79FEB97C"/>
    <w:rsid w:val="79FEBDC0"/>
    <w:rsid w:val="79FEDA56"/>
    <w:rsid w:val="79FF3DC4"/>
    <w:rsid w:val="7A049B0E"/>
    <w:rsid w:val="7A08A46E"/>
    <w:rsid w:val="7A0E7BCC"/>
    <w:rsid w:val="7A0EC3B0"/>
    <w:rsid w:val="7A0F1798"/>
    <w:rsid w:val="7A0F3B58"/>
    <w:rsid w:val="7A15A54E"/>
    <w:rsid w:val="7A177B32"/>
    <w:rsid w:val="7A1A1EF8"/>
    <w:rsid w:val="7A1C82D7"/>
    <w:rsid w:val="7A1D6A5D"/>
    <w:rsid w:val="7A1E2BC0"/>
    <w:rsid w:val="7A1EB41B"/>
    <w:rsid w:val="7A1EFC19"/>
    <w:rsid w:val="7A1FB733"/>
    <w:rsid w:val="7A210416"/>
    <w:rsid w:val="7A228823"/>
    <w:rsid w:val="7A25CF4A"/>
    <w:rsid w:val="7A29C4D8"/>
    <w:rsid w:val="7A2F400C"/>
    <w:rsid w:val="7A3466A4"/>
    <w:rsid w:val="7A34E434"/>
    <w:rsid w:val="7A3A5907"/>
    <w:rsid w:val="7A3F8EB0"/>
    <w:rsid w:val="7A41AE18"/>
    <w:rsid w:val="7A474F5A"/>
    <w:rsid w:val="7A48F689"/>
    <w:rsid w:val="7A4F8725"/>
    <w:rsid w:val="7A4FFAB5"/>
    <w:rsid w:val="7A50864C"/>
    <w:rsid w:val="7A51D9DC"/>
    <w:rsid w:val="7A5A41D9"/>
    <w:rsid w:val="7A5B6E02"/>
    <w:rsid w:val="7A632501"/>
    <w:rsid w:val="7A63535F"/>
    <w:rsid w:val="7A694121"/>
    <w:rsid w:val="7A6F1094"/>
    <w:rsid w:val="7A76B9F6"/>
    <w:rsid w:val="7A7FBD2C"/>
    <w:rsid w:val="7A82A574"/>
    <w:rsid w:val="7A83084C"/>
    <w:rsid w:val="7A854BD7"/>
    <w:rsid w:val="7A875B5E"/>
    <w:rsid w:val="7A911B8E"/>
    <w:rsid w:val="7A94AE34"/>
    <w:rsid w:val="7A9BBB87"/>
    <w:rsid w:val="7A9CD175"/>
    <w:rsid w:val="7AA5CA91"/>
    <w:rsid w:val="7AAB3C65"/>
    <w:rsid w:val="7AB29A49"/>
    <w:rsid w:val="7AB43323"/>
    <w:rsid w:val="7AB5BCEE"/>
    <w:rsid w:val="7AB6D8FF"/>
    <w:rsid w:val="7AB9EBCF"/>
    <w:rsid w:val="7ABCFF1B"/>
    <w:rsid w:val="7ABF91E7"/>
    <w:rsid w:val="7AC2E0A6"/>
    <w:rsid w:val="7AC69185"/>
    <w:rsid w:val="7AC6E3CA"/>
    <w:rsid w:val="7ACD38B6"/>
    <w:rsid w:val="7AD87F2D"/>
    <w:rsid w:val="7ADE0200"/>
    <w:rsid w:val="7AE23BAC"/>
    <w:rsid w:val="7AE394FB"/>
    <w:rsid w:val="7AECA8B2"/>
    <w:rsid w:val="7AEE3D4C"/>
    <w:rsid w:val="7AF2DC8A"/>
    <w:rsid w:val="7AF94054"/>
    <w:rsid w:val="7B0054C1"/>
    <w:rsid w:val="7B00E73D"/>
    <w:rsid w:val="7B02D753"/>
    <w:rsid w:val="7B0BC59F"/>
    <w:rsid w:val="7B0CC8D2"/>
    <w:rsid w:val="7B0DFFAD"/>
    <w:rsid w:val="7B155281"/>
    <w:rsid w:val="7B183934"/>
    <w:rsid w:val="7B18961C"/>
    <w:rsid w:val="7B2137DE"/>
    <w:rsid w:val="7B219EC8"/>
    <w:rsid w:val="7B287682"/>
    <w:rsid w:val="7B2D6924"/>
    <w:rsid w:val="7B2E944D"/>
    <w:rsid w:val="7B30FFA0"/>
    <w:rsid w:val="7B32B2DA"/>
    <w:rsid w:val="7B3805CF"/>
    <w:rsid w:val="7B397742"/>
    <w:rsid w:val="7B3B415A"/>
    <w:rsid w:val="7B3D0F8E"/>
    <w:rsid w:val="7B3E7B1C"/>
    <w:rsid w:val="7B46BFB8"/>
    <w:rsid w:val="7B474D3D"/>
    <w:rsid w:val="7B4C71FE"/>
    <w:rsid w:val="7B582F4F"/>
    <w:rsid w:val="7B5A0512"/>
    <w:rsid w:val="7B5BADBC"/>
    <w:rsid w:val="7B5CC094"/>
    <w:rsid w:val="7B62E4D3"/>
    <w:rsid w:val="7B67E3EF"/>
    <w:rsid w:val="7B6BD18F"/>
    <w:rsid w:val="7B6CC69E"/>
    <w:rsid w:val="7B742102"/>
    <w:rsid w:val="7B758D60"/>
    <w:rsid w:val="7B7AA11C"/>
    <w:rsid w:val="7B7B07D4"/>
    <w:rsid w:val="7B7B7BB4"/>
    <w:rsid w:val="7B83AD68"/>
    <w:rsid w:val="7B83C1B6"/>
    <w:rsid w:val="7B87C974"/>
    <w:rsid w:val="7B882E55"/>
    <w:rsid w:val="7B8A2DEF"/>
    <w:rsid w:val="7B8DCDE0"/>
    <w:rsid w:val="7B95F440"/>
    <w:rsid w:val="7B99668C"/>
    <w:rsid w:val="7B9E6FBC"/>
    <w:rsid w:val="7B9E8196"/>
    <w:rsid w:val="7BA268BA"/>
    <w:rsid w:val="7BA274F1"/>
    <w:rsid w:val="7BA3C777"/>
    <w:rsid w:val="7BA611E9"/>
    <w:rsid w:val="7BA9809B"/>
    <w:rsid w:val="7BAA5AEF"/>
    <w:rsid w:val="7BAD1A92"/>
    <w:rsid w:val="7BB21EDC"/>
    <w:rsid w:val="7BBD419A"/>
    <w:rsid w:val="7BBD53F1"/>
    <w:rsid w:val="7BBE4014"/>
    <w:rsid w:val="7BC27620"/>
    <w:rsid w:val="7BC64025"/>
    <w:rsid w:val="7BC84435"/>
    <w:rsid w:val="7BD25221"/>
    <w:rsid w:val="7BD52CCA"/>
    <w:rsid w:val="7BD5B88D"/>
    <w:rsid w:val="7BDC922F"/>
    <w:rsid w:val="7BDCA065"/>
    <w:rsid w:val="7BE046BA"/>
    <w:rsid w:val="7BE1554E"/>
    <w:rsid w:val="7BE361E6"/>
    <w:rsid w:val="7BEBB244"/>
    <w:rsid w:val="7BED8DC1"/>
    <w:rsid w:val="7BF046EC"/>
    <w:rsid w:val="7BF2C93E"/>
    <w:rsid w:val="7BF58B0F"/>
    <w:rsid w:val="7BF6AC2E"/>
    <w:rsid w:val="7BF80858"/>
    <w:rsid w:val="7BF8A6B7"/>
    <w:rsid w:val="7BF9122A"/>
    <w:rsid w:val="7BF9174E"/>
    <w:rsid w:val="7BFF1ACA"/>
    <w:rsid w:val="7BFF5D38"/>
    <w:rsid w:val="7C04A388"/>
    <w:rsid w:val="7C09BF19"/>
    <w:rsid w:val="7C0ADA7D"/>
    <w:rsid w:val="7C137A69"/>
    <w:rsid w:val="7C13FAD0"/>
    <w:rsid w:val="7C1D9467"/>
    <w:rsid w:val="7C1DFED6"/>
    <w:rsid w:val="7C27BD65"/>
    <w:rsid w:val="7C3360C4"/>
    <w:rsid w:val="7C36660C"/>
    <w:rsid w:val="7C384212"/>
    <w:rsid w:val="7C3D68CF"/>
    <w:rsid w:val="7C486AAB"/>
    <w:rsid w:val="7C4997F1"/>
    <w:rsid w:val="7C4A29A8"/>
    <w:rsid w:val="7C4D6B7E"/>
    <w:rsid w:val="7C5291FA"/>
    <w:rsid w:val="7C5653AB"/>
    <w:rsid w:val="7C5929F7"/>
    <w:rsid w:val="7C64BD0E"/>
    <w:rsid w:val="7C6601C5"/>
    <w:rsid w:val="7C6A4B52"/>
    <w:rsid w:val="7C6EC51B"/>
    <w:rsid w:val="7C7459CF"/>
    <w:rsid w:val="7C75B9AC"/>
    <w:rsid w:val="7C777B0C"/>
    <w:rsid w:val="7C786016"/>
    <w:rsid w:val="7C7D8207"/>
    <w:rsid w:val="7C82B7AF"/>
    <w:rsid w:val="7C861228"/>
    <w:rsid w:val="7C864FA5"/>
    <w:rsid w:val="7C8AA97F"/>
    <w:rsid w:val="7C927274"/>
    <w:rsid w:val="7C931158"/>
    <w:rsid w:val="7C981FB2"/>
    <w:rsid w:val="7C99C815"/>
    <w:rsid w:val="7C9CB672"/>
    <w:rsid w:val="7C9DB5D4"/>
    <w:rsid w:val="7C9E519C"/>
    <w:rsid w:val="7C9F16F5"/>
    <w:rsid w:val="7CA088FF"/>
    <w:rsid w:val="7CB00439"/>
    <w:rsid w:val="7CBD35CC"/>
    <w:rsid w:val="7CC796A9"/>
    <w:rsid w:val="7CD10985"/>
    <w:rsid w:val="7CD5C39F"/>
    <w:rsid w:val="7CDBC0C9"/>
    <w:rsid w:val="7CDE1601"/>
    <w:rsid w:val="7CE18E58"/>
    <w:rsid w:val="7CE5B785"/>
    <w:rsid w:val="7CE7B530"/>
    <w:rsid w:val="7CED61B5"/>
    <w:rsid w:val="7CEF3579"/>
    <w:rsid w:val="7CFFF3B6"/>
    <w:rsid w:val="7D0414F0"/>
    <w:rsid w:val="7D0A2777"/>
    <w:rsid w:val="7D12BE78"/>
    <w:rsid w:val="7D1E4A1B"/>
    <w:rsid w:val="7D1E9867"/>
    <w:rsid w:val="7D23A048"/>
    <w:rsid w:val="7D2749FB"/>
    <w:rsid w:val="7D292368"/>
    <w:rsid w:val="7D2A5B35"/>
    <w:rsid w:val="7D2D179E"/>
    <w:rsid w:val="7D3549B6"/>
    <w:rsid w:val="7D38E775"/>
    <w:rsid w:val="7D3D1B02"/>
    <w:rsid w:val="7D400D06"/>
    <w:rsid w:val="7D43CD17"/>
    <w:rsid w:val="7D49C75D"/>
    <w:rsid w:val="7D4AED99"/>
    <w:rsid w:val="7D4C37C6"/>
    <w:rsid w:val="7D4D207D"/>
    <w:rsid w:val="7D52BC5C"/>
    <w:rsid w:val="7D6074BA"/>
    <w:rsid w:val="7D629C35"/>
    <w:rsid w:val="7D62D508"/>
    <w:rsid w:val="7D650CD3"/>
    <w:rsid w:val="7D692164"/>
    <w:rsid w:val="7D6B9378"/>
    <w:rsid w:val="7D6CD429"/>
    <w:rsid w:val="7D784C46"/>
    <w:rsid w:val="7D7AC97A"/>
    <w:rsid w:val="7D7C0A1F"/>
    <w:rsid w:val="7D869628"/>
    <w:rsid w:val="7D8971EA"/>
    <w:rsid w:val="7D8D3DEE"/>
    <w:rsid w:val="7D8E9406"/>
    <w:rsid w:val="7D914ECB"/>
    <w:rsid w:val="7D98C7E2"/>
    <w:rsid w:val="7D9F0599"/>
    <w:rsid w:val="7DA8C6E5"/>
    <w:rsid w:val="7DAC8FED"/>
    <w:rsid w:val="7DB05C06"/>
    <w:rsid w:val="7DB2B6AE"/>
    <w:rsid w:val="7DB3B446"/>
    <w:rsid w:val="7DB72BDE"/>
    <w:rsid w:val="7DB9AE0B"/>
    <w:rsid w:val="7DC71D27"/>
    <w:rsid w:val="7DCBD9AE"/>
    <w:rsid w:val="7DD60EC4"/>
    <w:rsid w:val="7DD6900F"/>
    <w:rsid w:val="7DD6C33C"/>
    <w:rsid w:val="7DD6E9DF"/>
    <w:rsid w:val="7DD806D8"/>
    <w:rsid w:val="7DD95D76"/>
    <w:rsid w:val="7DDC0768"/>
    <w:rsid w:val="7DDDAD37"/>
    <w:rsid w:val="7DE56B44"/>
    <w:rsid w:val="7DEACF60"/>
    <w:rsid w:val="7DF64CEF"/>
    <w:rsid w:val="7DF82A8A"/>
    <w:rsid w:val="7DFA24DE"/>
    <w:rsid w:val="7DFC3B86"/>
    <w:rsid w:val="7DFF7470"/>
    <w:rsid w:val="7E07BEFE"/>
    <w:rsid w:val="7E096414"/>
    <w:rsid w:val="7E09E5C3"/>
    <w:rsid w:val="7E0B976A"/>
    <w:rsid w:val="7E136E34"/>
    <w:rsid w:val="7E14E9C5"/>
    <w:rsid w:val="7E21B07B"/>
    <w:rsid w:val="7E22C387"/>
    <w:rsid w:val="7E269E39"/>
    <w:rsid w:val="7E2D577F"/>
    <w:rsid w:val="7E3CC991"/>
    <w:rsid w:val="7E493C1E"/>
    <w:rsid w:val="7E4DC780"/>
    <w:rsid w:val="7E4F4D45"/>
    <w:rsid w:val="7E4FC33D"/>
    <w:rsid w:val="7E50D0C2"/>
    <w:rsid w:val="7E513AF4"/>
    <w:rsid w:val="7E53E1E4"/>
    <w:rsid w:val="7E5A9177"/>
    <w:rsid w:val="7E5E01EA"/>
    <w:rsid w:val="7E5F6F0A"/>
    <w:rsid w:val="7E6E9A75"/>
    <w:rsid w:val="7E700399"/>
    <w:rsid w:val="7E704F19"/>
    <w:rsid w:val="7E71DD74"/>
    <w:rsid w:val="7E752D63"/>
    <w:rsid w:val="7E75EEAB"/>
    <w:rsid w:val="7E79B0B3"/>
    <w:rsid w:val="7E7B08C0"/>
    <w:rsid w:val="7E7F1BAB"/>
    <w:rsid w:val="7E817449"/>
    <w:rsid w:val="7E84CB79"/>
    <w:rsid w:val="7E85E90E"/>
    <w:rsid w:val="7E8959B6"/>
    <w:rsid w:val="7E89DA31"/>
    <w:rsid w:val="7E8A693B"/>
    <w:rsid w:val="7E8C09E3"/>
    <w:rsid w:val="7E9B01C3"/>
    <w:rsid w:val="7EA0F7CE"/>
    <w:rsid w:val="7EA6B331"/>
    <w:rsid w:val="7EAB2003"/>
    <w:rsid w:val="7EAB4C37"/>
    <w:rsid w:val="7EAC426C"/>
    <w:rsid w:val="7EAD06E0"/>
    <w:rsid w:val="7EAE9DBD"/>
    <w:rsid w:val="7EAEC996"/>
    <w:rsid w:val="7EB389A7"/>
    <w:rsid w:val="7EBD1494"/>
    <w:rsid w:val="7EBD6DF9"/>
    <w:rsid w:val="7EC11A63"/>
    <w:rsid w:val="7EC16709"/>
    <w:rsid w:val="7EC3DA96"/>
    <w:rsid w:val="7ECE49BA"/>
    <w:rsid w:val="7ED21F14"/>
    <w:rsid w:val="7ED3EF6C"/>
    <w:rsid w:val="7ED9B68F"/>
    <w:rsid w:val="7EE32CE8"/>
    <w:rsid w:val="7EE35881"/>
    <w:rsid w:val="7EE3CF5C"/>
    <w:rsid w:val="7EEBF6D6"/>
    <w:rsid w:val="7EFB7ED2"/>
    <w:rsid w:val="7EFD68D8"/>
    <w:rsid w:val="7F0361B1"/>
    <w:rsid w:val="7F08B057"/>
    <w:rsid w:val="7F0E6129"/>
    <w:rsid w:val="7F1018D2"/>
    <w:rsid w:val="7F1639CE"/>
    <w:rsid w:val="7F1DEF5E"/>
    <w:rsid w:val="7F2C9CAB"/>
    <w:rsid w:val="7F380C50"/>
    <w:rsid w:val="7F3C18E6"/>
    <w:rsid w:val="7F3C5BF0"/>
    <w:rsid w:val="7F3D1C6E"/>
    <w:rsid w:val="7F3D9556"/>
    <w:rsid w:val="7F3EA509"/>
    <w:rsid w:val="7F4084F9"/>
    <w:rsid w:val="7F40FCEA"/>
    <w:rsid w:val="7F49F4DD"/>
    <w:rsid w:val="7F4DAA8C"/>
    <w:rsid w:val="7F50B726"/>
    <w:rsid w:val="7F54B472"/>
    <w:rsid w:val="7F56FE7D"/>
    <w:rsid w:val="7F57B575"/>
    <w:rsid w:val="7F59D8DE"/>
    <w:rsid w:val="7F5A8B80"/>
    <w:rsid w:val="7F5C573C"/>
    <w:rsid w:val="7F5C8D3F"/>
    <w:rsid w:val="7F5CA20D"/>
    <w:rsid w:val="7F5D6AE0"/>
    <w:rsid w:val="7F6056DB"/>
    <w:rsid w:val="7F66F4F2"/>
    <w:rsid w:val="7F6B65B2"/>
    <w:rsid w:val="7F6BA0A1"/>
    <w:rsid w:val="7F6D8B62"/>
    <w:rsid w:val="7F72B1A4"/>
    <w:rsid w:val="7F7374EA"/>
    <w:rsid w:val="7F73C718"/>
    <w:rsid w:val="7F7C3B5C"/>
    <w:rsid w:val="7F7C5B98"/>
    <w:rsid w:val="7F7C62E1"/>
    <w:rsid w:val="7F7CC676"/>
    <w:rsid w:val="7F7E5A9A"/>
    <w:rsid w:val="7F7FC9DF"/>
    <w:rsid w:val="7F806576"/>
    <w:rsid w:val="7F81D986"/>
    <w:rsid w:val="7F81E1B4"/>
    <w:rsid w:val="7F85B64F"/>
    <w:rsid w:val="7F85CC9F"/>
    <w:rsid w:val="7F8C873A"/>
    <w:rsid w:val="7F92FA08"/>
    <w:rsid w:val="7F94E459"/>
    <w:rsid w:val="7FA4A9CB"/>
    <w:rsid w:val="7FA91482"/>
    <w:rsid w:val="7FA9E266"/>
    <w:rsid w:val="7FAC1349"/>
    <w:rsid w:val="7FB735B6"/>
    <w:rsid w:val="7FBC054F"/>
    <w:rsid w:val="7FBC91A3"/>
    <w:rsid w:val="7FBE8F3A"/>
    <w:rsid w:val="7FC0D8AB"/>
    <w:rsid w:val="7FC2336E"/>
    <w:rsid w:val="7FC50252"/>
    <w:rsid w:val="7FD0351B"/>
    <w:rsid w:val="7FD72779"/>
    <w:rsid w:val="7FD9BE84"/>
    <w:rsid w:val="7FDBFB61"/>
    <w:rsid w:val="7FE54911"/>
    <w:rsid w:val="7FE753D1"/>
    <w:rsid w:val="7FE85613"/>
    <w:rsid w:val="7FE89B85"/>
    <w:rsid w:val="7FF2B738"/>
    <w:rsid w:val="7FFF68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AC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r-FR" w:eastAsia="en-IE" w:bidi="ar-SA"/>
      </w:rPr>
    </w:rPrDefault>
    <w:pPrDefault/>
  </w:docDefaults>
  <w:latentStyles w:defLockedState="0" w:defUIPriority="99" w:defSemiHidden="0" w:defUnhideWhenUsed="0" w:defQFormat="0" w:count="371">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22"/>
      </w:numPr>
      <w:spacing w:before="240"/>
      <w:outlineLvl w:val="0"/>
    </w:pPr>
    <w:rPr>
      <w:b/>
      <w:smallCaps/>
    </w:rPr>
  </w:style>
  <w:style w:type="paragraph" w:styleId="Heading2">
    <w:name w:val="heading 2"/>
    <w:basedOn w:val="Normal"/>
    <w:next w:val="Text2"/>
    <w:uiPriority w:val="10"/>
    <w:qFormat/>
    <w:pPr>
      <w:keepNext/>
      <w:numPr>
        <w:ilvl w:val="1"/>
        <w:numId w:val="22"/>
      </w:numPr>
      <w:outlineLvl w:val="1"/>
    </w:pPr>
    <w:rPr>
      <w:b/>
    </w:rPr>
  </w:style>
  <w:style w:type="paragraph" w:styleId="Heading3">
    <w:name w:val="heading 3"/>
    <w:basedOn w:val="Normal"/>
    <w:next w:val="Text3"/>
    <w:uiPriority w:val="10"/>
    <w:qFormat/>
    <w:pPr>
      <w:keepNext/>
      <w:numPr>
        <w:ilvl w:val="2"/>
        <w:numId w:val="22"/>
      </w:numPr>
      <w:outlineLvl w:val="2"/>
    </w:pPr>
    <w:rPr>
      <w:i/>
    </w:rPr>
  </w:style>
  <w:style w:type="paragraph" w:styleId="Heading4">
    <w:name w:val="heading 4"/>
    <w:basedOn w:val="Normal"/>
    <w:next w:val="Text4"/>
    <w:uiPriority w:val="10"/>
    <w:qFormat/>
    <w:pPr>
      <w:keepNext/>
      <w:numPr>
        <w:ilvl w:val="3"/>
        <w:numId w:val="22"/>
      </w:numPr>
      <w:outlineLvl w:val="3"/>
    </w:pPr>
  </w:style>
  <w:style w:type="paragraph" w:styleId="Heading5">
    <w:name w:val="heading 5"/>
    <w:basedOn w:val="Normal"/>
    <w:next w:val="Normal"/>
    <w:semiHidden/>
    <w:pPr>
      <w:keepNext/>
      <w:numPr>
        <w:ilvl w:val="4"/>
        <w:numId w:val="22"/>
      </w:numPr>
      <w:outlineLvl w:val="4"/>
    </w:pPr>
  </w:style>
  <w:style w:type="paragraph" w:styleId="Heading6">
    <w:name w:val="heading 6"/>
    <w:basedOn w:val="Normal"/>
    <w:next w:val="Normal"/>
    <w:semiHidden/>
    <w:pPr>
      <w:keepNext/>
      <w:numPr>
        <w:ilvl w:val="5"/>
        <w:numId w:val="22"/>
      </w:numPr>
      <w:outlineLvl w:val="5"/>
    </w:pPr>
  </w:style>
  <w:style w:type="paragraph" w:styleId="Heading7">
    <w:name w:val="heading 7"/>
    <w:basedOn w:val="Normal"/>
    <w:next w:val="Normal"/>
    <w:semiHidden/>
    <w:pPr>
      <w:keepNext/>
      <w:numPr>
        <w:ilvl w:val="6"/>
        <w:numId w:val="22"/>
      </w:numPr>
      <w:outlineLvl w:val="6"/>
    </w:pPr>
  </w:style>
  <w:style w:type="paragraph" w:styleId="Heading8">
    <w:name w:val="heading 8"/>
    <w:basedOn w:val="Normal"/>
    <w:next w:val="Normal"/>
    <w:semiHidden/>
    <w:pPr>
      <w:keepNext/>
      <w:numPr>
        <w:ilvl w:val="7"/>
        <w:numId w:val="22"/>
      </w:numPr>
      <w:outlineLvl w:val="7"/>
    </w:pPr>
  </w:style>
  <w:style w:type="paragraph" w:styleId="Heading9">
    <w:name w:val="heading 9"/>
    <w:basedOn w:val="Normal"/>
    <w:next w:val="Normal"/>
    <w:semiHidden/>
    <w:pPr>
      <w:keepNext/>
      <w:numPr>
        <w:ilvl w:val="8"/>
        <w:numId w:val="22"/>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uiPriority w:val="99"/>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25"/>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4"/>
      </w:numPr>
    </w:pPr>
  </w:style>
  <w:style w:type="paragraph" w:customStyle="1" w:styleId="ContNumLevel2">
    <w:name w:val="ContNum (Level 2)"/>
    <w:basedOn w:val="Normal"/>
    <w:uiPriority w:val="20"/>
    <w:pPr>
      <w:numPr>
        <w:ilvl w:val="1"/>
        <w:numId w:val="24"/>
      </w:numPr>
    </w:pPr>
  </w:style>
  <w:style w:type="paragraph" w:customStyle="1" w:styleId="ContNumLevel3">
    <w:name w:val="ContNum (Level 3)"/>
    <w:basedOn w:val="Normal"/>
    <w:uiPriority w:val="20"/>
    <w:pPr>
      <w:numPr>
        <w:ilvl w:val="2"/>
        <w:numId w:val="24"/>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link w:val="FootnoteTextChar"/>
    <w:uiPriority w:val="99"/>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23"/>
      </w:numPr>
      <w:spacing w:line="360" w:lineRule="auto"/>
    </w:pPr>
  </w:style>
  <w:style w:type="paragraph" w:customStyle="1" w:styleId="LegalNumPar2">
    <w:name w:val="LegalNumPar2"/>
    <w:basedOn w:val="Normal"/>
    <w:uiPriority w:val="20"/>
    <w:pPr>
      <w:numPr>
        <w:ilvl w:val="1"/>
        <w:numId w:val="23"/>
      </w:numPr>
      <w:spacing w:line="360" w:lineRule="auto"/>
    </w:pPr>
  </w:style>
  <w:style w:type="paragraph" w:customStyle="1" w:styleId="LegalNumPar3">
    <w:name w:val="LegalNumPar3"/>
    <w:basedOn w:val="Normal"/>
    <w:uiPriority w:val="20"/>
    <w:pPr>
      <w:numPr>
        <w:ilvl w:val="2"/>
        <w:numId w:val="23"/>
      </w:numPr>
      <w:spacing w:line="360" w:lineRule="auto"/>
    </w:pPr>
  </w:style>
  <w:style w:type="paragraph" w:styleId="ListBullet">
    <w:name w:val="List Bullet"/>
    <w:basedOn w:val="Normal"/>
    <w:uiPriority w:val="35"/>
    <w:pPr>
      <w:numPr>
        <w:numId w:val="21"/>
      </w:numPr>
    </w:pPr>
  </w:style>
  <w:style w:type="paragraph" w:customStyle="1" w:styleId="ListBulletLevel2">
    <w:name w:val="List Bullet (Level 2)"/>
    <w:basedOn w:val="Normal"/>
    <w:uiPriority w:val="35"/>
    <w:semiHidden/>
    <w:unhideWhenUsed/>
    <w:pPr>
      <w:numPr>
        <w:ilvl w:val="1"/>
        <w:numId w:val="21"/>
      </w:numPr>
    </w:pPr>
  </w:style>
  <w:style w:type="paragraph" w:customStyle="1" w:styleId="ListBulletLevel3">
    <w:name w:val="List Bullet (Level 3)"/>
    <w:basedOn w:val="Normal"/>
    <w:uiPriority w:val="35"/>
    <w:semiHidden/>
    <w:unhideWhenUsed/>
    <w:pPr>
      <w:numPr>
        <w:ilvl w:val="2"/>
        <w:numId w:val="21"/>
      </w:numPr>
    </w:pPr>
  </w:style>
  <w:style w:type="paragraph" w:customStyle="1" w:styleId="ListBulletLevel4">
    <w:name w:val="List Bullet (Level 4)"/>
    <w:basedOn w:val="Normal"/>
    <w:uiPriority w:val="35"/>
    <w:semiHidden/>
    <w:unhideWhenUsed/>
    <w:pPr>
      <w:numPr>
        <w:ilvl w:val="3"/>
        <w:numId w:val="21"/>
      </w:numPr>
    </w:pPr>
  </w:style>
  <w:style w:type="paragraph" w:customStyle="1" w:styleId="ListBullet1">
    <w:name w:val="List Bullet 1"/>
    <w:basedOn w:val="Text1"/>
    <w:uiPriority w:val="35"/>
    <w:pPr>
      <w:numPr>
        <w:numId w:val="20"/>
      </w:numPr>
    </w:pPr>
  </w:style>
  <w:style w:type="paragraph" w:customStyle="1" w:styleId="ListBullet1Level2">
    <w:name w:val="List Bullet 1 (Level 2)"/>
    <w:basedOn w:val="Text1"/>
    <w:uiPriority w:val="35"/>
    <w:semiHidden/>
    <w:unhideWhenUsed/>
    <w:pPr>
      <w:numPr>
        <w:ilvl w:val="1"/>
        <w:numId w:val="20"/>
      </w:numPr>
    </w:pPr>
  </w:style>
  <w:style w:type="paragraph" w:customStyle="1" w:styleId="ListBullet1Level3">
    <w:name w:val="List Bullet 1 (Level 3)"/>
    <w:basedOn w:val="Text1"/>
    <w:uiPriority w:val="35"/>
    <w:semiHidden/>
    <w:unhideWhenUsed/>
    <w:pPr>
      <w:numPr>
        <w:ilvl w:val="2"/>
        <w:numId w:val="20"/>
      </w:numPr>
    </w:pPr>
  </w:style>
  <w:style w:type="paragraph" w:customStyle="1" w:styleId="ListBullet1Level4">
    <w:name w:val="List Bullet 1 (Level 4)"/>
    <w:basedOn w:val="Text1"/>
    <w:uiPriority w:val="35"/>
    <w:semiHidden/>
    <w:unhideWhenUsed/>
    <w:pPr>
      <w:numPr>
        <w:ilvl w:val="3"/>
        <w:numId w:val="20"/>
      </w:numPr>
    </w:pPr>
  </w:style>
  <w:style w:type="paragraph" w:styleId="ListBullet2">
    <w:name w:val="List Bullet 2"/>
    <w:basedOn w:val="Text2"/>
    <w:uiPriority w:val="35"/>
    <w:pPr>
      <w:numPr>
        <w:numId w:val="19"/>
      </w:numPr>
    </w:pPr>
  </w:style>
  <w:style w:type="paragraph" w:customStyle="1" w:styleId="ListBullet2Level2">
    <w:name w:val="List Bullet 2 (Level 2)"/>
    <w:basedOn w:val="Text2"/>
    <w:uiPriority w:val="35"/>
    <w:semiHidden/>
    <w:unhideWhenUsed/>
    <w:pPr>
      <w:numPr>
        <w:ilvl w:val="1"/>
        <w:numId w:val="19"/>
      </w:numPr>
    </w:pPr>
  </w:style>
  <w:style w:type="paragraph" w:customStyle="1" w:styleId="ListBullet2Level3">
    <w:name w:val="List Bullet 2 (Level 3)"/>
    <w:basedOn w:val="Text2"/>
    <w:uiPriority w:val="35"/>
    <w:semiHidden/>
    <w:unhideWhenUsed/>
    <w:pPr>
      <w:numPr>
        <w:ilvl w:val="2"/>
        <w:numId w:val="19"/>
      </w:numPr>
    </w:pPr>
  </w:style>
  <w:style w:type="paragraph" w:customStyle="1" w:styleId="ListBullet2Level4">
    <w:name w:val="List Bullet 2 (Level 4)"/>
    <w:basedOn w:val="Text2"/>
    <w:uiPriority w:val="35"/>
    <w:semiHidden/>
    <w:unhideWhenUsed/>
    <w:pPr>
      <w:numPr>
        <w:ilvl w:val="3"/>
        <w:numId w:val="19"/>
      </w:numPr>
    </w:pPr>
  </w:style>
  <w:style w:type="paragraph" w:styleId="ListBullet3">
    <w:name w:val="List Bullet 3"/>
    <w:basedOn w:val="Text3"/>
    <w:uiPriority w:val="35"/>
    <w:pPr>
      <w:numPr>
        <w:numId w:val="18"/>
      </w:numPr>
    </w:pPr>
  </w:style>
  <w:style w:type="paragraph" w:customStyle="1" w:styleId="ListBullet3Level2">
    <w:name w:val="List Bullet 3 (Level 2)"/>
    <w:basedOn w:val="Text3"/>
    <w:uiPriority w:val="35"/>
    <w:semiHidden/>
    <w:unhideWhenUsed/>
    <w:pPr>
      <w:numPr>
        <w:ilvl w:val="1"/>
        <w:numId w:val="18"/>
      </w:numPr>
    </w:pPr>
  </w:style>
  <w:style w:type="paragraph" w:customStyle="1" w:styleId="ListBullet3Level3">
    <w:name w:val="List Bullet 3 (Level 3)"/>
    <w:basedOn w:val="Text3"/>
    <w:uiPriority w:val="35"/>
    <w:semiHidden/>
    <w:unhideWhenUsed/>
    <w:pPr>
      <w:numPr>
        <w:ilvl w:val="2"/>
        <w:numId w:val="18"/>
      </w:numPr>
    </w:pPr>
  </w:style>
  <w:style w:type="paragraph" w:customStyle="1" w:styleId="ListBullet3Level4">
    <w:name w:val="List Bullet 3 (Level 4)"/>
    <w:basedOn w:val="Text3"/>
    <w:uiPriority w:val="35"/>
    <w:semiHidden/>
    <w:unhideWhenUsed/>
    <w:pPr>
      <w:numPr>
        <w:ilvl w:val="3"/>
        <w:numId w:val="18"/>
      </w:numPr>
    </w:pPr>
  </w:style>
  <w:style w:type="paragraph" w:styleId="ListBullet4">
    <w:name w:val="List Bullet 4"/>
    <w:basedOn w:val="Text4"/>
    <w:uiPriority w:val="35"/>
    <w:pPr>
      <w:numPr>
        <w:numId w:val="17"/>
      </w:numPr>
    </w:pPr>
  </w:style>
  <w:style w:type="paragraph" w:customStyle="1" w:styleId="ListBullet4Level2">
    <w:name w:val="List Bullet 4 (Level 2)"/>
    <w:basedOn w:val="Text4"/>
    <w:uiPriority w:val="35"/>
    <w:semiHidden/>
    <w:unhideWhenUsed/>
    <w:pPr>
      <w:numPr>
        <w:ilvl w:val="1"/>
        <w:numId w:val="17"/>
      </w:numPr>
    </w:pPr>
  </w:style>
  <w:style w:type="paragraph" w:customStyle="1" w:styleId="ListBullet4Level3">
    <w:name w:val="List Bullet 4 (Level 3)"/>
    <w:basedOn w:val="Text4"/>
    <w:uiPriority w:val="35"/>
    <w:semiHidden/>
    <w:unhideWhenUsed/>
    <w:pPr>
      <w:numPr>
        <w:ilvl w:val="2"/>
        <w:numId w:val="17"/>
      </w:numPr>
    </w:pPr>
  </w:style>
  <w:style w:type="paragraph" w:customStyle="1" w:styleId="ListBullet4Level4">
    <w:name w:val="List Bullet 4 (Level 4)"/>
    <w:basedOn w:val="Text4"/>
    <w:uiPriority w:val="35"/>
    <w:semiHidden/>
    <w:unhideWhenUsed/>
    <w:pPr>
      <w:numPr>
        <w:ilvl w:val="3"/>
        <w:numId w:val="17"/>
      </w:numPr>
    </w:pPr>
  </w:style>
  <w:style w:type="paragraph" w:customStyle="1" w:styleId="ListDash">
    <w:name w:val="List Dash"/>
    <w:basedOn w:val="Normal"/>
    <w:uiPriority w:val="35"/>
    <w:pPr>
      <w:numPr>
        <w:numId w:val="11"/>
      </w:numPr>
    </w:pPr>
  </w:style>
  <w:style w:type="paragraph" w:customStyle="1" w:styleId="ListDashLevel2">
    <w:name w:val="List Dash (Level 2)"/>
    <w:basedOn w:val="Normal"/>
    <w:semiHidden/>
    <w:unhideWhenUsed/>
    <w:pPr>
      <w:numPr>
        <w:ilvl w:val="1"/>
        <w:numId w:val="11"/>
      </w:numPr>
    </w:pPr>
  </w:style>
  <w:style w:type="paragraph" w:customStyle="1" w:styleId="ListDashLevel3">
    <w:name w:val="List Dash (Level 3)"/>
    <w:basedOn w:val="Normal"/>
    <w:semiHidden/>
    <w:unhideWhenUsed/>
    <w:pPr>
      <w:numPr>
        <w:ilvl w:val="2"/>
        <w:numId w:val="11"/>
      </w:numPr>
    </w:pPr>
  </w:style>
  <w:style w:type="paragraph" w:customStyle="1" w:styleId="ListDashLevel4">
    <w:name w:val="List Dash (Level 4)"/>
    <w:basedOn w:val="Normal"/>
    <w:semiHidden/>
    <w:unhideWhenUsed/>
    <w:pPr>
      <w:numPr>
        <w:ilvl w:val="3"/>
        <w:numId w:val="11"/>
      </w:numPr>
    </w:pPr>
  </w:style>
  <w:style w:type="paragraph" w:customStyle="1" w:styleId="ListDash1">
    <w:name w:val="List Dash 1"/>
    <w:basedOn w:val="Text1"/>
    <w:uiPriority w:val="35"/>
    <w:pPr>
      <w:numPr>
        <w:numId w:val="10"/>
      </w:numPr>
    </w:pPr>
  </w:style>
  <w:style w:type="paragraph" w:customStyle="1" w:styleId="ListDash1Level2">
    <w:name w:val="List Dash 1 (Level 2)"/>
    <w:basedOn w:val="Text1"/>
    <w:uiPriority w:val="35"/>
    <w:semiHidden/>
    <w:unhideWhenUsed/>
    <w:pPr>
      <w:numPr>
        <w:ilvl w:val="1"/>
        <w:numId w:val="10"/>
      </w:numPr>
    </w:pPr>
  </w:style>
  <w:style w:type="paragraph" w:customStyle="1" w:styleId="ListDash1Level3">
    <w:name w:val="List Dash 1 (Level 3)"/>
    <w:basedOn w:val="Text1"/>
    <w:uiPriority w:val="35"/>
    <w:semiHidden/>
    <w:unhideWhenUsed/>
    <w:pPr>
      <w:numPr>
        <w:ilvl w:val="2"/>
        <w:numId w:val="10"/>
      </w:numPr>
    </w:pPr>
  </w:style>
  <w:style w:type="paragraph" w:customStyle="1" w:styleId="ListDash1Level4">
    <w:name w:val="List Dash 1 (Level 4)"/>
    <w:basedOn w:val="Text1"/>
    <w:uiPriority w:val="35"/>
    <w:semiHidden/>
    <w:unhideWhenUsed/>
    <w:pPr>
      <w:numPr>
        <w:ilvl w:val="3"/>
        <w:numId w:val="10"/>
      </w:numPr>
    </w:pPr>
  </w:style>
  <w:style w:type="paragraph" w:customStyle="1" w:styleId="ListDash2">
    <w:name w:val="List Dash 2"/>
    <w:basedOn w:val="Text2"/>
    <w:uiPriority w:val="35"/>
    <w:pPr>
      <w:numPr>
        <w:numId w:val="9"/>
      </w:numPr>
    </w:pPr>
  </w:style>
  <w:style w:type="paragraph" w:customStyle="1" w:styleId="ListDash2Level2">
    <w:name w:val="List Dash 2 (Level 2)"/>
    <w:basedOn w:val="Text2"/>
    <w:uiPriority w:val="35"/>
    <w:semiHidden/>
    <w:unhideWhenUsed/>
    <w:pPr>
      <w:numPr>
        <w:ilvl w:val="1"/>
        <w:numId w:val="9"/>
      </w:numPr>
    </w:pPr>
  </w:style>
  <w:style w:type="paragraph" w:customStyle="1" w:styleId="ListDash2Level3">
    <w:name w:val="List Dash 2 (Level 3)"/>
    <w:basedOn w:val="Text2"/>
    <w:uiPriority w:val="35"/>
    <w:semiHidden/>
    <w:unhideWhenUsed/>
    <w:pPr>
      <w:numPr>
        <w:ilvl w:val="2"/>
        <w:numId w:val="9"/>
      </w:numPr>
    </w:pPr>
  </w:style>
  <w:style w:type="paragraph" w:customStyle="1" w:styleId="ListDash2Level4">
    <w:name w:val="List Dash 2 (Level 4)"/>
    <w:basedOn w:val="Text2"/>
    <w:uiPriority w:val="35"/>
    <w:semiHidden/>
    <w:unhideWhenUsed/>
    <w:pPr>
      <w:numPr>
        <w:ilvl w:val="3"/>
        <w:numId w:val="9"/>
      </w:numPr>
    </w:pPr>
  </w:style>
  <w:style w:type="paragraph" w:customStyle="1" w:styleId="ListDash3">
    <w:name w:val="List Dash 3"/>
    <w:basedOn w:val="Text3"/>
    <w:uiPriority w:val="35"/>
    <w:pPr>
      <w:numPr>
        <w:numId w:val="8"/>
      </w:numPr>
    </w:pPr>
  </w:style>
  <w:style w:type="paragraph" w:customStyle="1" w:styleId="ListDash3Level2">
    <w:name w:val="List Dash 3 (Level 2)"/>
    <w:basedOn w:val="Text3"/>
    <w:uiPriority w:val="35"/>
    <w:semiHidden/>
    <w:unhideWhenUsed/>
    <w:pPr>
      <w:numPr>
        <w:ilvl w:val="1"/>
        <w:numId w:val="8"/>
      </w:numPr>
    </w:pPr>
  </w:style>
  <w:style w:type="paragraph" w:customStyle="1" w:styleId="ListDash3Level3">
    <w:name w:val="List Dash 3 (Level 3)"/>
    <w:basedOn w:val="Text3"/>
    <w:uiPriority w:val="35"/>
    <w:semiHidden/>
    <w:unhideWhenUsed/>
    <w:pPr>
      <w:numPr>
        <w:ilvl w:val="2"/>
        <w:numId w:val="8"/>
      </w:numPr>
    </w:pPr>
  </w:style>
  <w:style w:type="paragraph" w:customStyle="1" w:styleId="ListDash3Level4">
    <w:name w:val="List Dash 3 (Level 4)"/>
    <w:basedOn w:val="Text3"/>
    <w:uiPriority w:val="35"/>
    <w:semiHidden/>
    <w:unhideWhenUsed/>
    <w:pPr>
      <w:numPr>
        <w:ilvl w:val="3"/>
        <w:numId w:val="8"/>
      </w:numPr>
    </w:pPr>
  </w:style>
  <w:style w:type="paragraph" w:customStyle="1" w:styleId="ListDash4">
    <w:name w:val="List Dash 4"/>
    <w:basedOn w:val="Text4"/>
    <w:uiPriority w:val="35"/>
    <w:pPr>
      <w:numPr>
        <w:numId w:val="7"/>
      </w:numPr>
    </w:pPr>
  </w:style>
  <w:style w:type="paragraph" w:customStyle="1" w:styleId="ListDash4Level2">
    <w:name w:val="List Dash 4 (Level 2)"/>
    <w:basedOn w:val="Text4"/>
    <w:uiPriority w:val="35"/>
    <w:semiHidden/>
    <w:unhideWhenUsed/>
    <w:pPr>
      <w:numPr>
        <w:ilvl w:val="1"/>
        <w:numId w:val="7"/>
      </w:numPr>
    </w:pPr>
  </w:style>
  <w:style w:type="paragraph" w:customStyle="1" w:styleId="ListDash4Level3">
    <w:name w:val="List Dash 4 (Level 3)"/>
    <w:basedOn w:val="Text4"/>
    <w:uiPriority w:val="35"/>
    <w:semiHidden/>
    <w:unhideWhenUsed/>
    <w:pPr>
      <w:numPr>
        <w:ilvl w:val="2"/>
        <w:numId w:val="7"/>
      </w:numPr>
    </w:pPr>
  </w:style>
  <w:style w:type="paragraph" w:customStyle="1" w:styleId="ListDash4Level4">
    <w:name w:val="List Dash 4 (Level 4)"/>
    <w:basedOn w:val="Text4"/>
    <w:uiPriority w:val="35"/>
    <w:semiHidden/>
    <w:unhideWhenUsed/>
    <w:pPr>
      <w:numPr>
        <w:ilvl w:val="3"/>
        <w:numId w:val="7"/>
      </w:numPr>
    </w:pPr>
  </w:style>
  <w:style w:type="paragraph" w:styleId="ListNumber">
    <w:name w:val="List Number"/>
    <w:basedOn w:val="Normal"/>
    <w:uiPriority w:val="30"/>
    <w:pPr>
      <w:numPr>
        <w:numId w:val="16"/>
      </w:numPr>
    </w:pPr>
  </w:style>
  <w:style w:type="paragraph" w:customStyle="1" w:styleId="ListNumberLevel2">
    <w:name w:val="List Number (Level 2)"/>
    <w:basedOn w:val="Normal"/>
    <w:uiPriority w:val="30"/>
    <w:pPr>
      <w:numPr>
        <w:ilvl w:val="1"/>
        <w:numId w:val="16"/>
      </w:numPr>
    </w:pPr>
  </w:style>
  <w:style w:type="paragraph" w:customStyle="1" w:styleId="ListNumberLevel3">
    <w:name w:val="List Number (Level 3)"/>
    <w:basedOn w:val="Normal"/>
    <w:uiPriority w:val="30"/>
    <w:pPr>
      <w:numPr>
        <w:ilvl w:val="2"/>
        <w:numId w:val="16"/>
      </w:numPr>
    </w:pPr>
  </w:style>
  <w:style w:type="paragraph" w:customStyle="1" w:styleId="ListNumberLevel4">
    <w:name w:val="List Number (Level 4)"/>
    <w:basedOn w:val="Normal"/>
    <w:uiPriority w:val="30"/>
    <w:pPr>
      <w:numPr>
        <w:ilvl w:val="3"/>
        <w:numId w:val="16"/>
      </w:numPr>
    </w:pPr>
  </w:style>
  <w:style w:type="paragraph" w:customStyle="1" w:styleId="ListNumber1">
    <w:name w:val="List Number 1"/>
    <w:basedOn w:val="Text1"/>
    <w:uiPriority w:val="30"/>
    <w:pPr>
      <w:numPr>
        <w:numId w:val="15"/>
      </w:numPr>
    </w:pPr>
  </w:style>
  <w:style w:type="paragraph" w:customStyle="1" w:styleId="ListNumber1Level2">
    <w:name w:val="List Number 1 (Level 2)"/>
    <w:basedOn w:val="Text1"/>
    <w:uiPriority w:val="30"/>
    <w:semiHidden/>
    <w:unhideWhenUsed/>
    <w:pPr>
      <w:numPr>
        <w:ilvl w:val="1"/>
        <w:numId w:val="15"/>
      </w:numPr>
    </w:pPr>
  </w:style>
  <w:style w:type="paragraph" w:customStyle="1" w:styleId="ListNumber1Level3">
    <w:name w:val="List Number 1 (Level 3)"/>
    <w:basedOn w:val="Text1"/>
    <w:uiPriority w:val="30"/>
    <w:semiHidden/>
    <w:unhideWhenUsed/>
    <w:pPr>
      <w:numPr>
        <w:ilvl w:val="2"/>
        <w:numId w:val="15"/>
      </w:numPr>
    </w:pPr>
  </w:style>
  <w:style w:type="paragraph" w:customStyle="1" w:styleId="ListNumber1Level4">
    <w:name w:val="List Number 1 (Level 4)"/>
    <w:basedOn w:val="Text1"/>
    <w:uiPriority w:val="30"/>
    <w:semiHidden/>
    <w:unhideWhenUsed/>
    <w:pPr>
      <w:numPr>
        <w:ilvl w:val="3"/>
        <w:numId w:val="15"/>
      </w:numPr>
    </w:pPr>
  </w:style>
  <w:style w:type="paragraph" w:styleId="ListNumber2">
    <w:name w:val="List Number 2"/>
    <w:basedOn w:val="Text2"/>
    <w:uiPriority w:val="30"/>
    <w:pPr>
      <w:numPr>
        <w:numId w:val="14"/>
      </w:numPr>
    </w:pPr>
  </w:style>
  <w:style w:type="paragraph" w:customStyle="1" w:styleId="ListNumber2Level2">
    <w:name w:val="List Number 2 (Level 2)"/>
    <w:basedOn w:val="Text2"/>
    <w:uiPriority w:val="30"/>
    <w:semiHidden/>
    <w:unhideWhenUsed/>
    <w:pPr>
      <w:numPr>
        <w:ilvl w:val="1"/>
        <w:numId w:val="14"/>
      </w:numPr>
    </w:pPr>
  </w:style>
  <w:style w:type="paragraph" w:customStyle="1" w:styleId="ListNumber2Level3">
    <w:name w:val="List Number 2 (Level 3)"/>
    <w:basedOn w:val="Text2"/>
    <w:uiPriority w:val="30"/>
    <w:semiHidden/>
    <w:unhideWhenUsed/>
    <w:pPr>
      <w:numPr>
        <w:ilvl w:val="2"/>
        <w:numId w:val="14"/>
      </w:numPr>
    </w:pPr>
  </w:style>
  <w:style w:type="paragraph" w:customStyle="1" w:styleId="ListNumber2Level4">
    <w:name w:val="List Number 2 (Level 4)"/>
    <w:basedOn w:val="Text2"/>
    <w:uiPriority w:val="30"/>
    <w:semiHidden/>
    <w:unhideWhenUsed/>
    <w:pPr>
      <w:numPr>
        <w:ilvl w:val="3"/>
        <w:numId w:val="14"/>
      </w:numPr>
    </w:pPr>
  </w:style>
  <w:style w:type="paragraph" w:styleId="ListNumber3">
    <w:name w:val="List Number 3"/>
    <w:basedOn w:val="Text3"/>
    <w:uiPriority w:val="30"/>
    <w:pPr>
      <w:numPr>
        <w:numId w:val="13"/>
      </w:numPr>
    </w:pPr>
  </w:style>
  <w:style w:type="paragraph" w:customStyle="1" w:styleId="ListNumber3Level2">
    <w:name w:val="List Number 3 (Level 2)"/>
    <w:basedOn w:val="Text3"/>
    <w:uiPriority w:val="30"/>
    <w:semiHidden/>
    <w:unhideWhenUsed/>
    <w:pPr>
      <w:numPr>
        <w:ilvl w:val="1"/>
        <w:numId w:val="13"/>
      </w:numPr>
    </w:pPr>
  </w:style>
  <w:style w:type="paragraph" w:customStyle="1" w:styleId="ListNumber3Level3">
    <w:name w:val="List Number 3 (Level 3)"/>
    <w:basedOn w:val="Text3"/>
    <w:uiPriority w:val="30"/>
    <w:semiHidden/>
    <w:unhideWhenUsed/>
    <w:pPr>
      <w:numPr>
        <w:ilvl w:val="2"/>
        <w:numId w:val="13"/>
      </w:numPr>
    </w:pPr>
  </w:style>
  <w:style w:type="paragraph" w:customStyle="1" w:styleId="ListNumber3Level4">
    <w:name w:val="List Number 3 (Level 4)"/>
    <w:basedOn w:val="Text3"/>
    <w:uiPriority w:val="30"/>
    <w:semiHidden/>
    <w:unhideWhenUsed/>
    <w:pPr>
      <w:numPr>
        <w:ilvl w:val="3"/>
        <w:numId w:val="13"/>
      </w:numPr>
    </w:pPr>
  </w:style>
  <w:style w:type="paragraph" w:styleId="ListNumber4">
    <w:name w:val="List Number 4"/>
    <w:basedOn w:val="Text4"/>
    <w:uiPriority w:val="30"/>
    <w:pPr>
      <w:numPr>
        <w:numId w:val="12"/>
      </w:numPr>
    </w:pPr>
  </w:style>
  <w:style w:type="paragraph" w:customStyle="1" w:styleId="ListNumber4Level2">
    <w:name w:val="List Number 4 (Level 2)"/>
    <w:basedOn w:val="Text4"/>
    <w:uiPriority w:val="30"/>
    <w:semiHidden/>
    <w:unhideWhenUsed/>
    <w:pPr>
      <w:numPr>
        <w:ilvl w:val="1"/>
        <w:numId w:val="12"/>
      </w:numPr>
    </w:pPr>
  </w:style>
  <w:style w:type="paragraph" w:customStyle="1" w:styleId="ListNumber4Level3">
    <w:name w:val="List Number 4 (Level 3)"/>
    <w:basedOn w:val="Text4"/>
    <w:uiPriority w:val="30"/>
    <w:semiHidden/>
    <w:unhideWhenUsed/>
    <w:pPr>
      <w:numPr>
        <w:ilvl w:val="2"/>
        <w:numId w:val="12"/>
      </w:numPr>
    </w:pPr>
  </w:style>
  <w:style w:type="paragraph" w:customStyle="1" w:styleId="ListNumber4Level4">
    <w:name w:val="List Number 4 (Level 4)"/>
    <w:basedOn w:val="Text4"/>
    <w:uiPriority w:val="30"/>
    <w:semiHidden/>
    <w:unhideWhenUsed/>
    <w:pPr>
      <w:numPr>
        <w:ilvl w:val="3"/>
        <w:numId w:val="12"/>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rsid w:val="05F8CE33"/>
    <w:pPr>
      <w:keepNext w:val="0"/>
      <w:spacing w:before="0"/>
    </w:pPr>
    <w:rPr>
      <w:b w:val="0"/>
      <w:bCs/>
      <w:smallCaps w:val="0"/>
    </w:rPr>
  </w:style>
  <w:style w:type="paragraph" w:customStyle="1" w:styleId="NumPar2">
    <w:name w:val="NumPar 2"/>
    <w:basedOn w:val="Heading2"/>
    <w:uiPriority w:val="20"/>
    <w:qFormat/>
    <w:rsid w:val="05F8CE33"/>
    <w:pPr>
      <w:keepNext w:val="0"/>
    </w:pPr>
    <w:rPr>
      <w:b w:val="0"/>
      <w:bCs/>
    </w:rPr>
  </w:style>
  <w:style w:type="paragraph" w:customStyle="1" w:styleId="NumPar3">
    <w:name w:val="NumPar 3"/>
    <w:basedOn w:val="Heading3"/>
    <w:uiPriority w:val="20"/>
    <w:qFormat/>
    <w:rsid w:val="05F8CE33"/>
    <w:pPr>
      <w:keepNext w:val="0"/>
    </w:pPr>
    <w:rPr>
      <w:i w:val="0"/>
      <w:iCs/>
    </w:rPr>
  </w:style>
  <w:style w:type="paragraph" w:customStyle="1" w:styleId="NumPar4">
    <w:name w:val="NumPar 4"/>
    <w:basedOn w:val="Heading4"/>
    <w:uiPriority w:val="20"/>
    <w:qFormat/>
    <w:rsid w:val="05F8CE33"/>
    <w:pPr>
      <w:keepNext w:val="0"/>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6"/>
      </w:numPr>
    </w:pPr>
  </w:style>
  <w:style w:type="paragraph" w:customStyle="1" w:styleId="TableListBulletLevel2">
    <w:name w:val="Table List Bullet (Level 2)"/>
    <w:basedOn w:val="TableText"/>
    <w:uiPriority w:val="55"/>
    <w:semiHidden/>
    <w:unhideWhenUsed/>
    <w:pPr>
      <w:numPr>
        <w:ilvl w:val="1"/>
        <w:numId w:val="26"/>
      </w:numPr>
    </w:pPr>
  </w:style>
  <w:style w:type="paragraph" w:customStyle="1" w:styleId="TableListBulletLevel3">
    <w:name w:val="Table List Bullet (Level 3)"/>
    <w:basedOn w:val="TableText"/>
    <w:uiPriority w:val="55"/>
    <w:semiHidden/>
    <w:unhideWhenUsed/>
    <w:pPr>
      <w:numPr>
        <w:ilvl w:val="2"/>
        <w:numId w:val="26"/>
      </w:numPr>
    </w:pPr>
  </w:style>
  <w:style w:type="paragraph" w:customStyle="1" w:styleId="TableListBulletLevel4">
    <w:name w:val="Table List Bullet (Level 4)"/>
    <w:basedOn w:val="TableText"/>
    <w:uiPriority w:val="55"/>
    <w:semiHidden/>
    <w:unhideWhenUsed/>
    <w:pPr>
      <w:numPr>
        <w:ilvl w:val="3"/>
        <w:numId w:val="26"/>
      </w:numPr>
    </w:pPr>
  </w:style>
  <w:style w:type="paragraph" w:customStyle="1" w:styleId="TableListDash">
    <w:name w:val="Table List Dash"/>
    <w:basedOn w:val="TableText"/>
    <w:uiPriority w:val="55"/>
    <w:pPr>
      <w:numPr>
        <w:numId w:val="27"/>
      </w:numPr>
    </w:pPr>
  </w:style>
  <w:style w:type="paragraph" w:customStyle="1" w:styleId="TableListDashLevel2">
    <w:name w:val="Table List Dash (Level 2)"/>
    <w:basedOn w:val="TableText"/>
    <w:uiPriority w:val="55"/>
    <w:semiHidden/>
    <w:unhideWhenUsed/>
    <w:pPr>
      <w:numPr>
        <w:ilvl w:val="1"/>
        <w:numId w:val="27"/>
      </w:numPr>
    </w:pPr>
  </w:style>
  <w:style w:type="paragraph" w:customStyle="1" w:styleId="TableListDashLevel3">
    <w:name w:val="Table List Dash (Level 3)"/>
    <w:basedOn w:val="TableText"/>
    <w:uiPriority w:val="55"/>
    <w:semiHidden/>
    <w:unhideWhenUsed/>
    <w:pPr>
      <w:numPr>
        <w:ilvl w:val="2"/>
        <w:numId w:val="27"/>
      </w:numPr>
    </w:pPr>
  </w:style>
  <w:style w:type="paragraph" w:customStyle="1" w:styleId="TableListDashLevel4">
    <w:name w:val="Table List Dash (Level 4)"/>
    <w:basedOn w:val="TableText"/>
    <w:uiPriority w:val="55"/>
    <w:semiHidden/>
    <w:unhideWhenUsed/>
    <w:pPr>
      <w:numPr>
        <w:ilvl w:val="3"/>
        <w:numId w:val="27"/>
      </w:numPr>
    </w:pPr>
  </w:style>
  <w:style w:type="paragraph" w:customStyle="1" w:styleId="TableListNumber">
    <w:name w:val="Table List Number"/>
    <w:basedOn w:val="TableText"/>
    <w:uiPriority w:val="55"/>
    <w:pPr>
      <w:numPr>
        <w:numId w:val="28"/>
      </w:numPr>
    </w:pPr>
  </w:style>
  <w:style w:type="paragraph" w:customStyle="1" w:styleId="TableListNumberLevel2">
    <w:name w:val="Table List Number (Level 2)"/>
    <w:basedOn w:val="TableText"/>
    <w:uiPriority w:val="55"/>
    <w:semiHidden/>
    <w:unhideWhenUsed/>
    <w:pPr>
      <w:numPr>
        <w:ilvl w:val="1"/>
        <w:numId w:val="28"/>
      </w:numPr>
    </w:pPr>
  </w:style>
  <w:style w:type="paragraph" w:customStyle="1" w:styleId="TableListNumberLevel3">
    <w:name w:val="Table List Number (Level 3)"/>
    <w:basedOn w:val="TableText"/>
    <w:uiPriority w:val="55"/>
    <w:semiHidden/>
    <w:unhideWhenUsed/>
    <w:pPr>
      <w:numPr>
        <w:ilvl w:val="2"/>
        <w:numId w:val="28"/>
      </w:numPr>
    </w:pPr>
  </w:style>
  <w:style w:type="paragraph" w:customStyle="1" w:styleId="TableListNumberLevel4">
    <w:name w:val="Table List Number (Level 4)"/>
    <w:basedOn w:val="TableText"/>
    <w:uiPriority w:val="55"/>
    <w:semiHidden/>
    <w:unhideWhenUsed/>
    <w:pPr>
      <w:numPr>
        <w:ilvl w:val="3"/>
        <w:numId w:val="28"/>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aliases w:val="Document Table"/>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aliases w:val="Normal bullet 2,Bullet list,List Paragraph1,Numbered List,1st level - Bullet List Paragraph,Lettre d'introduction,Paragrafo elenco,List Paragraph11,Normal bullet 21,List Paragraph111,Bullet list1,Dot pt,No Spacing1,Indicator Text,Bullet 1"/>
    <w:basedOn w:val="Normal"/>
    <w:link w:val="ListParagraphChar"/>
    <w:uiPriority w:val="34"/>
    <w:qFormat/>
    <w:rsid w:val="00846E24"/>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customStyle="1" w:styleId="FootnoteTextChar">
    <w:name w:val="Footnote Text Char"/>
    <w:basedOn w:val="DefaultParagraphFont"/>
    <w:link w:val="FootnoteText"/>
    <w:uiPriority w:val="99"/>
    <w:rsid w:val="00846E24"/>
    <w:rPr>
      <w:sz w:val="20"/>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locked/>
    <w:rsid w:val="00846E24"/>
    <w:rPr>
      <w:rFonts w:asciiTheme="minorHAnsi" w:eastAsiaTheme="minorHAnsi" w:hAnsiTheme="minorHAnsi" w:cstheme="minorBidi"/>
      <w:kern w:val="2"/>
      <w:sz w:val="22"/>
      <w:szCs w:val="22"/>
      <w:lang w:val="fr-FR" w:eastAsia="en-US"/>
      <w14:ligatures w14:val="standardContextual"/>
    </w:rPr>
  </w:style>
  <w:style w:type="character" w:styleId="CommentReference">
    <w:name w:val="annotation reference"/>
    <w:basedOn w:val="DefaultParagraphFont"/>
    <w:uiPriority w:val="99"/>
    <w:semiHidden/>
    <w:unhideWhenUsed/>
    <w:rsid w:val="00846E24"/>
    <w:rPr>
      <w:sz w:val="16"/>
      <w:szCs w:val="16"/>
    </w:rPr>
  </w:style>
  <w:style w:type="paragraph" w:styleId="CommentText">
    <w:name w:val="annotation text"/>
    <w:basedOn w:val="Normal"/>
    <w:link w:val="CommentTextChar"/>
    <w:uiPriority w:val="99"/>
    <w:unhideWhenUsed/>
    <w:rsid w:val="00846E24"/>
    <w:pPr>
      <w:spacing w:after="160"/>
      <w:jc w:val="left"/>
    </w:pPr>
    <w:rPr>
      <w:rFonts w:asciiTheme="minorHAnsi" w:eastAsiaTheme="minorHAnsi"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846E24"/>
    <w:rPr>
      <w:rFonts w:asciiTheme="minorHAnsi" w:eastAsiaTheme="minorHAnsi" w:hAnsiTheme="minorHAnsi" w:cstheme="minorBidi"/>
      <w:kern w:val="2"/>
      <w:sz w:val="20"/>
      <w:lang w:val="fr-FR" w:eastAsia="en-US"/>
      <w14:ligatures w14:val="standardContextual"/>
    </w:rPr>
  </w:style>
  <w:style w:type="paragraph" w:styleId="CommentSubject">
    <w:name w:val="annotation subject"/>
    <w:basedOn w:val="CommentText"/>
    <w:next w:val="CommentText"/>
    <w:link w:val="CommentSubjectChar"/>
    <w:uiPriority w:val="99"/>
    <w:semiHidden/>
    <w:rsid w:val="00846E24"/>
    <w:pPr>
      <w:spacing w:after="240"/>
      <w:jc w:val="both"/>
    </w:pPr>
    <w:rPr>
      <w:rFonts w:ascii="Times New Roman" w:eastAsia="Times New Roman" w:hAnsi="Times New Roman" w:cs="Times New Roman"/>
      <w:b/>
      <w:bCs/>
      <w:kern w:val="0"/>
      <w:lang w:eastAsia="en-IE"/>
      <w14:ligatures w14:val="none"/>
    </w:rPr>
  </w:style>
  <w:style w:type="character" w:customStyle="1" w:styleId="CommentSubjectChar">
    <w:name w:val="Comment Subject Char"/>
    <w:basedOn w:val="CommentTextChar"/>
    <w:link w:val="CommentSubject"/>
    <w:uiPriority w:val="99"/>
    <w:semiHidden/>
    <w:rsid w:val="00846E24"/>
    <w:rPr>
      <w:rFonts w:asciiTheme="minorHAnsi" w:eastAsiaTheme="minorHAnsi" w:hAnsiTheme="minorHAnsi" w:cstheme="minorBidi"/>
      <w:b/>
      <w:bCs/>
      <w:kern w:val="2"/>
      <w:sz w:val="20"/>
      <w:lang w:val="fr-FR" w:eastAsia="en-US"/>
      <w14:ligatures w14:val="standardContextual"/>
    </w:rPr>
  </w:style>
  <w:style w:type="paragraph" w:styleId="Revision">
    <w:name w:val="Revision"/>
    <w:hidden/>
    <w:uiPriority w:val="99"/>
    <w:semiHidden/>
    <w:rsid w:val="0062250F"/>
  </w:style>
  <w:style w:type="character" w:styleId="Hyperlink">
    <w:name w:val="Hyperlink"/>
    <w:basedOn w:val="DefaultParagraphFont"/>
    <w:uiPriority w:val="99"/>
    <w:semiHidden/>
    <w:rsid w:val="00353B59"/>
    <w:rPr>
      <w:color w:val="0563C1" w:themeColor="hyperlink"/>
      <w:u w:val="single"/>
    </w:rPr>
  </w:style>
  <w:style w:type="character" w:customStyle="1" w:styleId="UnresolvedMention1">
    <w:name w:val="Unresolved Mention1"/>
    <w:basedOn w:val="DefaultParagraphFont"/>
    <w:uiPriority w:val="99"/>
    <w:semiHidden/>
    <w:unhideWhenUsed/>
    <w:rsid w:val="00353B59"/>
    <w:rPr>
      <w:color w:val="605E5C"/>
      <w:shd w:val="clear" w:color="auto" w:fill="E1DFDD"/>
    </w:rPr>
  </w:style>
  <w:style w:type="paragraph" w:customStyle="1" w:styleId="Default">
    <w:name w:val="Default"/>
    <w:rsid w:val="002F7995"/>
    <w:pPr>
      <w:autoSpaceDE w:val="0"/>
      <w:autoSpaceDN w:val="0"/>
      <w:adjustRightInd w:val="0"/>
    </w:pPr>
    <w:rPr>
      <w:rFonts w:ascii="Arial" w:hAnsi="Arial" w:cs="Arial"/>
      <w:color w:val="000000"/>
      <w:szCs w:val="24"/>
    </w:rPr>
  </w:style>
  <w:style w:type="character" w:customStyle="1" w:styleId="CommentTextChar1">
    <w:name w:val="Comment Text Char1"/>
    <w:basedOn w:val="DefaultParagraphFont"/>
    <w:uiPriority w:val="99"/>
    <w:rsid w:val="00C30FC1"/>
    <w:rPr>
      <w:lang w:val="fr-FR" w:eastAsia="en-US"/>
    </w:rPr>
  </w:style>
  <w:style w:type="character" w:customStyle="1" w:styleId="normaltextrun">
    <w:name w:val="normaltextrun"/>
    <w:basedOn w:val="DefaultParagraphFont"/>
    <w:rsid w:val="008A152E"/>
  </w:style>
  <w:style w:type="character" w:styleId="FollowedHyperlink">
    <w:name w:val="FollowedHyperlink"/>
    <w:basedOn w:val="DefaultParagraphFont"/>
    <w:uiPriority w:val="99"/>
    <w:semiHidden/>
    <w:rsid w:val="006774EF"/>
    <w:rPr>
      <w:color w:val="954F72" w:themeColor="followedHyperlink"/>
      <w:u w:val="single"/>
    </w:rPr>
  </w:style>
  <w:style w:type="character" w:customStyle="1" w:styleId="Mention1">
    <w:name w:val="Mention1"/>
    <w:basedOn w:val="DefaultParagraphFont"/>
    <w:uiPriority w:val="99"/>
    <w:unhideWhenUsed/>
    <w:rsid w:val="00487537"/>
    <w:rPr>
      <w:color w:val="2B579A"/>
      <w:shd w:val="clear" w:color="auto" w:fill="E1DFDD"/>
    </w:rPr>
  </w:style>
  <w:style w:type="character" w:customStyle="1" w:styleId="Marker">
    <w:name w:val="Marker"/>
    <w:basedOn w:val="DefaultParagraphFont"/>
    <w:rsid w:val="00F84713"/>
    <w:rPr>
      <w:color w:val="0000FF"/>
      <w:shd w:val="clear" w:color="auto" w:fill="auto"/>
    </w:rPr>
  </w:style>
  <w:style w:type="paragraph" w:customStyle="1" w:styleId="Pagedecouverture">
    <w:name w:val="Page de couverture"/>
    <w:basedOn w:val="Normal"/>
    <w:next w:val="Normal"/>
    <w:link w:val="PagedecouvertureChar"/>
    <w:rsid w:val="00F84713"/>
    <w:pPr>
      <w:spacing w:after="0"/>
    </w:pPr>
    <w:rPr>
      <w:rFonts w:eastAsiaTheme="minorHAnsi"/>
      <w:szCs w:val="22"/>
      <w:lang w:eastAsia="en-US"/>
    </w:rPr>
  </w:style>
  <w:style w:type="paragraph" w:customStyle="1" w:styleId="Typedudocument">
    <w:name w:val="Type du document"/>
    <w:basedOn w:val="Normal"/>
    <w:next w:val="Normal"/>
    <w:rsid w:val="00F84713"/>
    <w:pPr>
      <w:spacing w:before="360" w:after="0"/>
      <w:jc w:val="center"/>
    </w:pPr>
    <w:rPr>
      <w:rFonts w:eastAsiaTheme="minorHAnsi"/>
      <w:b/>
      <w:szCs w:val="22"/>
      <w:lang w:eastAsia="en-US"/>
    </w:rPr>
  </w:style>
  <w:style w:type="paragraph" w:customStyle="1" w:styleId="Titreobjet">
    <w:name w:val="Titre objet"/>
    <w:basedOn w:val="Normal"/>
    <w:next w:val="Normal"/>
    <w:rsid w:val="00F84713"/>
    <w:pPr>
      <w:spacing w:before="360" w:after="360"/>
      <w:jc w:val="center"/>
    </w:pPr>
    <w:rPr>
      <w:rFonts w:eastAsiaTheme="minorHAnsi"/>
      <w:b/>
      <w:szCs w:val="22"/>
      <w:lang w:eastAsia="en-US"/>
    </w:rPr>
  </w:style>
  <w:style w:type="paragraph" w:customStyle="1" w:styleId="FooterCoverPage">
    <w:name w:val="Footer Cover Page"/>
    <w:basedOn w:val="Normal"/>
    <w:link w:val="FooterCoverPageChar"/>
    <w:rsid w:val="00F84713"/>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F84713"/>
    <w:rPr>
      <w:rFonts w:eastAsiaTheme="minorHAnsi"/>
      <w:szCs w:val="22"/>
      <w:lang w:eastAsia="en-US"/>
    </w:rPr>
  </w:style>
  <w:style w:type="character" w:customStyle="1" w:styleId="FooterCoverPageChar">
    <w:name w:val="Footer Cover Page Char"/>
    <w:basedOn w:val="PagedecouvertureChar"/>
    <w:link w:val="FooterCoverPage"/>
    <w:rsid w:val="00F84713"/>
    <w:rPr>
      <w:rFonts w:eastAsiaTheme="minorHAnsi"/>
      <w:szCs w:val="22"/>
      <w:lang w:eastAsia="en-US"/>
    </w:rPr>
  </w:style>
  <w:style w:type="paragraph" w:customStyle="1" w:styleId="FooterSensitivity">
    <w:name w:val="Footer Sensitivity"/>
    <w:basedOn w:val="Normal"/>
    <w:link w:val="FooterSensitivityChar"/>
    <w:rsid w:val="00F8471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F84713"/>
    <w:rPr>
      <w:rFonts w:eastAsiaTheme="minorHAnsi"/>
      <w:b/>
      <w:sz w:val="32"/>
      <w:szCs w:val="22"/>
      <w:lang w:eastAsia="en-US"/>
    </w:rPr>
  </w:style>
  <w:style w:type="paragraph" w:customStyle="1" w:styleId="HeaderCoverPage">
    <w:name w:val="Header Cover Page"/>
    <w:basedOn w:val="Normal"/>
    <w:link w:val="HeaderCoverPageChar"/>
    <w:rsid w:val="00F84713"/>
    <w:pPr>
      <w:tabs>
        <w:tab w:val="center" w:pos="4535"/>
        <w:tab w:val="right" w:pos="9071"/>
      </w:tabs>
      <w:spacing w:after="120"/>
    </w:pPr>
  </w:style>
  <w:style w:type="character" w:customStyle="1" w:styleId="HeaderCoverPageChar">
    <w:name w:val="Header Cover Page Char"/>
    <w:basedOn w:val="PagedecouvertureChar"/>
    <w:link w:val="HeaderCoverPage"/>
    <w:rsid w:val="00F84713"/>
    <w:rPr>
      <w:rFonts w:eastAsiaTheme="minorHAnsi"/>
      <w:szCs w:val="22"/>
      <w:lang w:eastAsia="en-US"/>
    </w:rPr>
  </w:style>
  <w:style w:type="paragraph" w:customStyle="1" w:styleId="HeaderSensitivity">
    <w:name w:val="Header Sensitivity"/>
    <w:basedOn w:val="Normal"/>
    <w:link w:val="HeaderSensitivityChar"/>
    <w:rsid w:val="00F84713"/>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F84713"/>
    <w:rPr>
      <w:rFonts w:eastAsiaTheme="minorHAnsi"/>
      <w:b/>
      <w:sz w:val="32"/>
      <w:szCs w:val="22"/>
      <w:lang w:eastAsia="en-US"/>
    </w:rPr>
  </w:style>
  <w:style w:type="paragraph" w:customStyle="1" w:styleId="HeaderSensitivityRight">
    <w:name w:val="Header Sensitivity Right"/>
    <w:basedOn w:val="Normal"/>
    <w:link w:val="HeaderSensitivityRightChar"/>
    <w:rsid w:val="00F84713"/>
    <w:pPr>
      <w:spacing w:after="120"/>
      <w:jc w:val="right"/>
    </w:pPr>
    <w:rPr>
      <w:sz w:val="28"/>
    </w:rPr>
  </w:style>
  <w:style w:type="character" w:customStyle="1" w:styleId="HeaderSensitivityRightChar">
    <w:name w:val="Header Sensitivity Right Char"/>
    <w:basedOn w:val="PagedecouvertureChar"/>
    <w:link w:val="HeaderSensitivityRight"/>
    <w:rsid w:val="00F84713"/>
    <w:rPr>
      <w:rFonts w:eastAsiaTheme="minorHAnsi"/>
      <w:sz w:val="28"/>
      <w:szCs w:val="22"/>
      <w:lang w:eastAsia="en-US"/>
    </w:rPr>
  </w:style>
  <w:style w:type="character" w:customStyle="1" w:styleId="FooterChar">
    <w:name w:val="Footer Char"/>
    <w:basedOn w:val="DefaultParagraphFont"/>
    <w:link w:val="Footer"/>
    <w:uiPriority w:val="99"/>
    <w:rsid w:val="00D518D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0296">
      <w:bodyDiv w:val="1"/>
      <w:marLeft w:val="0"/>
      <w:marRight w:val="0"/>
      <w:marTop w:val="0"/>
      <w:marBottom w:val="0"/>
      <w:divBdr>
        <w:top w:val="none" w:sz="0" w:space="0" w:color="auto"/>
        <w:left w:val="none" w:sz="0" w:space="0" w:color="auto"/>
        <w:bottom w:val="none" w:sz="0" w:space="0" w:color="auto"/>
        <w:right w:val="none" w:sz="0" w:space="0" w:color="auto"/>
      </w:divBdr>
      <w:divsChild>
        <w:div w:id="442919873">
          <w:marLeft w:val="720"/>
          <w:marRight w:val="0"/>
          <w:marTop w:val="0"/>
          <w:marBottom w:val="120"/>
          <w:divBdr>
            <w:top w:val="none" w:sz="0" w:space="0" w:color="auto"/>
            <w:left w:val="none" w:sz="0" w:space="0" w:color="auto"/>
            <w:bottom w:val="none" w:sz="0" w:space="0" w:color="auto"/>
            <w:right w:val="none" w:sz="0" w:space="0" w:color="auto"/>
          </w:divBdr>
        </w:div>
      </w:divsChild>
    </w:div>
    <w:div w:id="49772170">
      <w:bodyDiv w:val="1"/>
      <w:marLeft w:val="0"/>
      <w:marRight w:val="0"/>
      <w:marTop w:val="0"/>
      <w:marBottom w:val="0"/>
      <w:divBdr>
        <w:top w:val="none" w:sz="0" w:space="0" w:color="auto"/>
        <w:left w:val="none" w:sz="0" w:space="0" w:color="auto"/>
        <w:bottom w:val="none" w:sz="0" w:space="0" w:color="auto"/>
        <w:right w:val="none" w:sz="0" w:space="0" w:color="auto"/>
      </w:divBdr>
    </w:div>
    <w:div w:id="100801257">
      <w:bodyDiv w:val="1"/>
      <w:marLeft w:val="0"/>
      <w:marRight w:val="0"/>
      <w:marTop w:val="0"/>
      <w:marBottom w:val="0"/>
      <w:divBdr>
        <w:top w:val="none" w:sz="0" w:space="0" w:color="auto"/>
        <w:left w:val="none" w:sz="0" w:space="0" w:color="auto"/>
        <w:bottom w:val="none" w:sz="0" w:space="0" w:color="auto"/>
        <w:right w:val="none" w:sz="0" w:space="0" w:color="auto"/>
      </w:divBdr>
    </w:div>
    <w:div w:id="109513383">
      <w:bodyDiv w:val="1"/>
      <w:marLeft w:val="0"/>
      <w:marRight w:val="0"/>
      <w:marTop w:val="0"/>
      <w:marBottom w:val="0"/>
      <w:divBdr>
        <w:top w:val="none" w:sz="0" w:space="0" w:color="auto"/>
        <w:left w:val="none" w:sz="0" w:space="0" w:color="auto"/>
        <w:bottom w:val="none" w:sz="0" w:space="0" w:color="auto"/>
        <w:right w:val="none" w:sz="0" w:space="0" w:color="auto"/>
      </w:divBdr>
    </w:div>
    <w:div w:id="121121833">
      <w:bodyDiv w:val="1"/>
      <w:marLeft w:val="0"/>
      <w:marRight w:val="0"/>
      <w:marTop w:val="0"/>
      <w:marBottom w:val="0"/>
      <w:divBdr>
        <w:top w:val="none" w:sz="0" w:space="0" w:color="auto"/>
        <w:left w:val="none" w:sz="0" w:space="0" w:color="auto"/>
        <w:bottom w:val="none" w:sz="0" w:space="0" w:color="auto"/>
        <w:right w:val="none" w:sz="0" w:space="0" w:color="auto"/>
      </w:divBdr>
    </w:div>
    <w:div w:id="135534250">
      <w:bodyDiv w:val="1"/>
      <w:marLeft w:val="0"/>
      <w:marRight w:val="0"/>
      <w:marTop w:val="0"/>
      <w:marBottom w:val="0"/>
      <w:divBdr>
        <w:top w:val="none" w:sz="0" w:space="0" w:color="auto"/>
        <w:left w:val="none" w:sz="0" w:space="0" w:color="auto"/>
        <w:bottom w:val="none" w:sz="0" w:space="0" w:color="auto"/>
        <w:right w:val="none" w:sz="0" w:space="0" w:color="auto"/>
      </w:divBdr>
    </w:div>
    <w:div w:id="169569858">
      <w:bodyDiv w:val="1"/>
      <w:marLeft w:val="0"/>
      <w:marRight w:val="0"/>
      <w:marTop w:val="0"/>
      <w:marBottom w:val="0"/>
      <w:divBdr>
        <w:top w:val="none" w:sz="0" w:space="0" w:color="auto"/>
        <w:left w:val="none" w:sz="0" w:space="0" w:color="auto"/>
        <w:bottom w:val="none" w:sz="0" w:space="0" w:color="auto"/>
        <w:right w:val="none" w:sz="0" w:space="0" w:color="auto"/>
      </w:divBdr>
    </w:div>
    <w:div w:id="177938180">
      <w:bodyDiv w:val="1"/>
      <w:marLeft w:val="0"/>
      <w:marRight w:val="0"/>
      <w:marTop w:val="0"/>
      <w:marBottom w:val="0"/>
      <w:divBdr>
        <w:top w:val="none" w:sz="0" w:space="0" w:color="auto"/>
        <w:left w:val="none" w:sz="0" w:space="0" w:color="auto"/>
        <w:bottom w:val="none" w:sz="0" w:space="0" w:color="auto"/>
        <w:right w:val="none" w:sz="0" w:space="0" w:color="auto"/>
      </w:divBdr>
    </w:div>
    <w:div w:id="195311999">
      <w:bodyDiv w:val="1"/>
      <w:marLeft w:val="0"/>
      <w:marRight w:val="0"/>
      <w:marTop w:val="0"/>
      <w:marBottom w:val="0"/>
      <w:divBdr>
        <w:top w:val="none" w:sz="0" w:space="0" w:color="auto"/>
        <w:left w:val="none" w:sz="0" w:space="0" w:color="auto"/>
        <w:bottom w:val="none" w:sz="0" w:space="0" w:color="auto"/>
        <w:right w:val="none" w:sz="0" w:space="0" w:color="auto"/>
      </w:divBdr>
    </w:div>
    <w:div w:id="252860962">
      <w:bodyDiv w:val="1"/>
      <w:marLeft w:val="0"/>
      <w:marRight w:val="0"/>
      <w:marTop w:val="0"/>
      <w:marBottom w:val="0"/>
      <w:divBdr>
        <w:top w:val="none" w:sz="0" w:space="0" w:color="auto"/>
        <w:left w:val="none" w:sz="0" w:space="0" w:color="auto"/>
        <w:bottom w:val="none" w:sz="0" w:space="0" w:color="auto"/>
        <w:right w:val="none" w:sz="0" w:space="0" w:color="auto"/>
      </w:divBdr>
      <w:divsChild>
        <w:div w:id="821628372">
          <w:marLeft w:val="547"/>
          <w:marRight w:val="0"/>
          <w:marTop w:val="0"/>
          <w:marBottom w:val="0"/>
          <w:divBdr>
            <w:top w:val="none" w:sz="0" w:space="0" w:color="auto"/>
            <w:left w:val="none" w:sz="0" w:space="0" w:color="auto"/>
            <w:bottom w:val="none" w:sz="0" w:space="0" w:color="auto"/>
            <w:right w:val="none" w:sz="0" w:space="0" w:color="auto"/>
          </w:divBdr>
        </w:div>
      </w:divsChild>
    </w:div>
    <w:div w:id="260996752">
      <w:bodyDiv w:val="1"/>
      <w:marLeft w:val="0"/>
      <w:marRight w:val="0"/>
      <w:marTop w:val="0"/>
      <w:marBottom w:val="0"/>
      <w:divBdr>
        <w:top w:val="none" w:sz="0" w:space="0" w:color="auto"/>
        <w:left w:val="none" w:sz="0" w:space="0" w:color="auto"/>
        <w:bottom w:val="none" w:sz="0" w:space="0" w:color="auto"/>
        <w:right w:val="none" w:sz="0" w:space="0" w:color="auto"/>
      </w:divBdr>
    </w:div>
    <w:div w:id="263921774">
      <w:bodyDiv w:val="1"/>
      <w:marLeft w:val="0"/>
      <w:marRight w:val="0"/>
      <w:marTop w:val="0"/>
      <w:marBottom w:val="0"/>
      <w:divBdr>
        <w:top w:val="none" w:sz="0" w:space="0" w:color="auto"/>
        <w:left w:val="none" w:sz="0" w:space="0" w:color="auto"/>
        <w:bottom w:val="none" w:sz="0" w:space="0" w:color="auto"/>
        <w:right w:val="none" w:sz="0" w:space="0" w:color="auto"/>
      </w:divBdr>
    </w:div>
    <w:div w:id="276641046">
      <w:bodyDiv w:val="1"/>
      <w:marLeft w:val="0"/>
      <w:marRight w:val="0"/>
      <w:marTop w:val="0"/>
      <w:marBottom w:val="0"/>
      <w:divBdr>
        <w:top w:val="none" w:sz="0" w:space="0" w:color="auto"/>
        <w:left w:val="none" w:sz="0" w:space="0" w:color="auto"/>
        <w:bottom w:val="none" w:sz="0" w:space="0" w:color="auto"/>
        <w:right w:val="none" w:sz="0" w:space="0" w:color="auto"/>
      </w:divBdr>
    </w:div>
    <w:div w:id="287129074">
      <w:bodyDiv w:val="1"/>
      <w:marLeft w:val="0"/>
      <w:marRight w:val="0"/>
      <w:marTop w:val="0"/>
      <w:marBottom w:val="0"/>
      <w:divBdr>
        <w:top w:val="none" w:sz="0" w:space="0" w:color="auto"/>
        <w:left w:val="none" w:sz="0" w:space="0" w:color="auto"/>
        <w:bottom w:val="none" w:sz="0" w:space="0" w:color="auto"/>
        <w:right w:val="none" w:sz="0" w:space="0" w:color="auto"/>
      </w:divBdr>
    </w:div>
    <w:div w:id="305356322">
      <w:bodyDiv w:val="1"/>
      <w:marLeft w:val="0"/>
      <w:marRight w:val="0"/>
      <w:marTop w:val="0"/>
      <w:marBottom w:val="0"/>
      <w:divBdr>
        <w:top w:val="none" w:sz="0" w:space="0" w:color="auto"/>
        <w:left w:val="none" w:sz="0" w:space="0" w:color="auto"/>
        <w:bottom w:val="none" w:sz="0" w:space="0" w:color="auto"/>
        <w:right w:val="none" w:sz="0" w:space="0" w:color="auto"/>
      </w:divBdr>
      <w:divsChild>
        <w:div w:id="112794149">
          <w:marLeft w:val="720"/>
          <w:marRight w:val="0"/>
          <w:marTop w:val="0"/>
          <w:marBottom w:val="120"/>
          <w:divBdr>
            <w:top w:val="none" w:sz="0" w:space="0" w:color="auto"/>
            <w:left w:val="none" w:sz="0" w:space="0" w:color="auto"/>
            <w:bottom w:val="none" w:sz="0" w:space="0" w:color="auto"/>
            <w:right w:val="none" w:sz="0" w:space="0" w:color="auto"/>
          </w:divBdr>
        </w:div>
        <w:div w:id="163669597">
          <w:marLeft w:val="720"/>
          <w:marRight w:val="0"/>
          <w:marTop w:val="0"/>
          <w:marBottom w:val="120"/>
          <w:divBdr>
            <w:top w:val="none" w:sz="0" w:space="0" w:color="auto"/>
            <w:left w:val="none" w:sz="0" w:space="0" w:color="auto"/>
            <w:bottom w:val="none" w:sz="0" w:space="0" w:color="auto"/>
            <w:right w:val="none" w:sz="0" w:space="0" w:color="auto"/>
          </w:divBdr>
        </w:div>
        <w:div w:id="1514958504">
          <w:marLeft w:val="720"/>
          <w:marRight w:val="0"/>
          <w:marTop w:val="0"/>
          <w:marBottom w:val="120"/>
          <w:divBdr>
            <w:top w:val="none" w:sz="0" w:space="0" w:color="auto"/>
            <w:left w:val="none" w:sz="0" w:space="0" w:color="auto"/>
            <w:bottom w:val="none" w:sz="0" w:space="0" w:color="auto"/>
            <w:right w:val="none" w:sz="0" w:space="0" w:color="auto"/>
          </w:divBdr>
        </w:div>
      </w:divsChild>
    </w:div>
    <w:div w:id="351541477">
      <w:bodyDiv w:val="1"/>
      <w:marLeft w:val="0"/>
      <w:marRight w:val="0"/>
      <w:marTop w:val="0"/>
      <w:marBottom w:val="0"/>
      <w:divBdr>
        <w:top w:val="none" w:sz="0" w:space="0" w:color="auto"/>
        <w:left w:val="none" w:sz="0" w:space="0" w:color="auto"/>
        <w:bottom w:val="none" w:sz="0" w:space="0" w:color="auto"/>
        <w:right w:val="none" w:sz="0" w:space="0" w:color="auto"/>
      </w:divBdr>
    </w:div>
    <w:div w:id="365571350">
      <w:bodyDiv w:val="1"/>
      <w:marLeft w:val="0"/>
      <w:marRight w:val="0"/>
      <w:marTop w:val="0"/>
      <w:marBottom w:val="0"/>
      <w:divBdr>
        <w:top w:val="none" w:sz="0" w:space="0" w:color="auto"/>
        <w:left w:val="none" w:sz="0" w:space="0" w:color="auto"/>
        <w:bottom w:val="none" w:sz="0" w:space="0" w:color="auto"/>
        <w:right w:val="none" w:sz="0" w:space="0" w:color="auto"/>
      </w:divBdr>
    </w:div>
    <w:div w:id="373509381">
      <w:bodyDiv w:val="1"/>
      <w:marLeft w:val="0"/>
      <w:marRight w:val="0"/>
      <w:marTop w:val="0"/>
      <w:marBottom w:val="0"/>
      <w:divBdr>
        <w:top w:val="none" w:sz="0" w:space="0" w:color="auto"/>
        <w:left w:val="none" w:sz="0" w:space="0" w:color="auto"/>
        <w:bottom w:val="none" w:sz="0" w:space="0" w:color="auto"/>
        <w:right w:val="none" w:sz="0" w:space="0" w:color="auto"/>
      </w:divBdr>
    </w:div>
    <w:div w:id="425806257">
      <w:bodyDiv w:val="1"/>
      <w:marLeft w:val="0"/>
      <w:marRight w:val="0"/>
      <w:marTop w:val="0"/>
      <w:marBottom w:val="0"/>
      <w:divBdr>
        <w:top w:val="none" w:sz="0" w:space="0" w:color="auto"/>
        <w:left w:val="none" w:sz="0" w:space="0" w:color="auto"/>
        <w:bottom w:val="none" w:sz="0" w:space="0" w:color="auto"/>
        <w:right w:val="none" w:sz="0" w:space="0" w:color="auto"/>
      </w:divBdr>
    </w:div>
    <w:div w:id="519858629">
      <w:bodyDiv w:val="1"/>
      <w:marLeft w:val="0"/>
      <w:marRight w:val="0"/>
      <w:marTop w:val="0"/>
      <w:marBottom w:val="0"/>
      <w:divBdr>
        <w:top w:val="none" w:sz="0" w:space="0" w:color="auto"/>
        <w:left w:val="none" w:sz="0" w:space="0" w:color="auto"/>
        <w:bottom w:val="none" w:sz="0" w:space="0" w:color="auto"/>
        <w:right w:val="none" w:sz="0" w:space="0" w:color="auto"/>
      </w:divBdr>
    </w:div>
    <w:div w:id="625041332">
      <w:bodyDiv w:val="1"/>
      <w:marLeft w:val="0"/>
      <w:marRight w:val="0"/>
      <w:marTop w:val="0"/>
      <w:marBottom w:val="0"/>
      <w:divBdr>
        <w:top w:val="none" w:sz="0" w:space="0" w:color="auto"/>
        <w:left w:val="none" w:sz="0" w:space="0" w:color="auto"/>
        <w:bottom w:val="none" w:sz="0" w:space="0" w:color="auto"/>
        <w:right w:val="none" w:sz="0" w:space="0" w:color="auto"/>
      </w:divBdr>
    </w:div>
    <w:div w:id="649091853">
      <w:bodyDiv w:val="1"/>
      <w:marLeft w:val="0"/>
      <w:marRight w:val="0"/>
      <w:marTop w:val="0"/>
      <w:marBottom w:val="0"/>
      <w:divBdr>
        <w:top w:val="none" w:sz="0" w:space="0" w:color="auto"/>
        <w:left w:val="none" w:sz="0" w:space="0" w:color="auto"/>
        <w:bottom w:val="none" w:sz="0" w:space="0" w:color="auto"/>
        <w:right w:val="none" w:sz="0" w:space="0" w:color="auto"/>
      </w:divBdr>
    </w:div>
    <w:div w:id="687026018">
      <w:bodyDiv w:val="1"/>
      <w:marLeft w:val="0"/>
      <w:marRight w:val="0"/>
      <w:marTop w:val="0"/>
      <w:marBottom w:val="0"/>
      <w:divBdr>
        <w:top w:val="none" w:sz="0" w:space="0" w:color="auto"/>
        <w:left w:val="none" w:sz="0" w:space="0" w:color="auto"/>
        <w:bottom w:val="none" w:sz="0" w:space="0" w:color="auto"/>
        <w:right w:val="none" w:sz="0" w:space="0" w:color="auto"/>
      </w:divBdr>
    </w:div>
    <w:div w:id="688799466">
      <w:bodyDiv w:val="1"/>
      <w:marLeft w:val="0"/>
      <w:marRight w:val="0"/>
      <w:marTop w:val="0"/>
      <w:marBottom w:val="0"/>
      <w:divBdr>
        <w:top w:val="none" w:sz="0" w:space="0" w:color="auto"/>
        <w:left w:val="none" w:sz="0" w:space="0" w:color="auto"/>
        <w:bottom w:val="none" w:sz="0" w:space="0" w:color="auto"/>
        <w:right w:val="none" w:sz="0" w:space="0" w:color="auto"/>
      </w:divBdr>
    </w:div>
    <w:div w:id="717242441">
      <w:bodyDiv w:val="1"/>
      <w:marLeft w:val="0"/>
      <w:marRight w:val="0"/>
      <w:marTop w:val="0"/>
      <w:marBottom w:val="0"/>
      <w:divBdr>
        <w:top w:val="none" w:sz="0" w:space="0" w:color="auto"/>
        <w:left w:val="none" w:sz="0" w:space="0" w:color="auto"/>
        <w:bottom w:val="none" w:sz="0" w:space="0" w:color="auto"/>
        <w:right w:val="none" w:sz="0" w:space="0" w:color="auto"/>
      </w:divBdr>
    </w:div>
    <w:div w:id="771516079">
      <w:bodyDiv w:val="1"/>
      <w:marLeft w:val="0"/>
      <w:marRight w:val="0"/>
      <w:marTop w:val="0"/>
      <w:marBottom w:val="0"/>
      <w:divBdr>
        <w:top w:val="none" w:sz="0" w:space="0" w:color="auto"/>
        <w:left w:val="none" w:sz="0" w:space="0" w:color="auto"/>
        <w:bottom w:val="none" w:sz="0" w:space="0" w:color="auto"/>
        <w:right w:val="none" w:sz="0" w:space="0" w:color="auto"/>
      </w:divBdr>
    </w:div>
    <w:div w:id="787356225">
      <w:bodyDiv w:val="1"/>
      <w:marLeft w:val="0"/>
      <w:marRight w:val="0"/>
      <w:marTop w:val="0"/>
      <w:marBottom w:val="0"/>
      <w:divBdr>
        <w:top w:val="none" w:sz="0" w:space="0" w:color="auto"/>
        <w:left w:val="none" w:sz="0" w:space="0" w:color="auto"/>
        <w:bottom w:val="none" w:sz="0" w:space="0" w:color="auto"/>
        <w:right w:val="none" w:sz="0" w:space="0" w:color="auto"/>
      </w:divBdr>
    </w:div>
    <w:div w:id="831140185">
      <w:bodyDiv w:val="1"/>
      <w:marLeft w:val="0"/>
      <w:marRight w:val="0"/>
      <w:marTop w:val="0"/>
      <w:marBottom w:val="0"/>
      <w:divBdr>
        <w:top w:val="none" w:sz="0" w:space="0" w:color="auto"/>
        <w:left w:val="none" w:sz="0" w:space="0" w:color="auto"/>
        <w:bottom w:val="none" w:sz="0" w:space="0" w:color="auto"/>
        <w:right w:val="none" w:sz="0" w:space="0" w:color="auto"/>
      </w:divBdr>
    </w:div>
    <w:div w:id="864751952">
      <w:bodyDiv w:val="1"/>
      <w:marLeft w:val="0"/>
      <w:marRight w:val="0"/>
      <w:marTop w:val="0"/>
      <w:marBottom w:val="0"/>
      <w:divBdr>
        <w:top w:val="none" w:sz="0" w:space="0" w:color="auto"/>
        <w:left w:val="none" w:sz="0" w:space="0" w:color="auto"/>
        <w:bottom w:val="none" w:sz="0" w:space="0" w:color="auto"/>
        <w:right w:val="none" w:sz="0" w:space="0" w:color="auto"/>
      </w:divBdr>
    </w:div>
    <w:div w:id="942567973">
      <w:bodyDiv w:val="1"/>
      <w:marLeft w:val="0"/>
      <w:marRight w:val="0"/>
      <w:marTop w:val="0"/>
      <w:marBottom w:val="0"/>
      <w:divBdr>
        <w:top w:val="none" w:sz="0" w:space="0" w:color="auto"/>
        <w:left w:val="none" w:sz="0" w:space="0" w:color="auto"/>
        <w:bottom w:val="none" w:sz="0" w:space="0" w:color="auto"/>
        <w:right w:val="none" w:sz="0" w:space="0" w:color="auto"/>
      </w:divBdr>
    </w:div>
    <w:div w:id="1064832787">
      <w:bodyDiv w:val="1"/>
      <w:marLeft w:val="0"/>
      <w:marRight w:val="0"/>
      <w:marTop w:val="0"/>
      <w:marBottom w:val="0"/>
      <w:divBdr>
        <w:top w:val="none" w:sz="0" w:space="0" w:color="auto"/>
        <w:left w:val="none" w:sz="0" w:space="0" w:color="auto"/>
        <w:bottom w:val="none" w:sz="0" w:space="0" w:color="auto"/>
        <w:right w:val="none" w:sz="0" w:space="0" w:color="auto"/>
      </w:divBdr>
    </w:div>
    <w:div w:id="1085804888">
      <w:bodyDiv w:val="1"/>
      <w:marLeft w:val="0"/>
      <w:marRight w:val="0"/>
      <w:marTop w:val="0"/>
      <w:marBottom w:val="0"/>
      <w:divBdr>
        <w:top w:val="none" w:sz="0" w:space="0" w:color="auto"/>
        <w:left w:val="none" w:sz="0" w:space="0" w:color="auto"/>
        <w:bottom w:val="none" w:sz="0" w:space="0" w:color="auto"/>
        <w:right w:val="none" w:sz="0" w:space="0" w:color="auto"/>
      </w:divBdr>
    </w:div>
    <w:div w:id="1128546435">
      <w:bodyDiv w:val="1"/>
      <w:marLeft w:val="0"/>
      <w:marRight w:val="0"/>
      <w:marTop w:val="0"/>
      <w:marBottom w:val="0"/>
      <w:divBdr>
        <w:top w:val="none" w:sz="0" w:space="0" w:color="auto"/>
        <w:left w:val="none" w:sz="0" w:space="0" w:color="auto"/>
        <w:bottom w:val="none" w:sz="0" w:space="0" w:color="auto"/>
        <w:right w:val="none" w:sz="0" w:space="0" w:color="auto"/>
      </w:divBdr>
    </w:div>
    <w:div w:id="1147236242">
      <w:bodyDiv w:val="1"/>
      <w:marLeft w:val="0"/>
      <w:marRight w:val="0"/>
      <w:marTop w:val="0"/>
      <w:marBottom w:val="0"/>
      <w:divBdr>
        <w:top w:val="none" w:sz="0" w:space="0" w:color="auto"/>
        <w:left w:val="none" w:sz="0" w:space="0" w:color="auto"/>
        <w:bottom w:val="none" w:sz="0" w:space="0" w:color="auto"/>
        <w:right w:val="none" w:sz="0" w:space="0" w:color="auto"/>
      </w:divBdr>
    </w:div>
    <w:div w:id="1163471647">
      <w:bodyDiv w:val="1"/>
      <w:marLeft w:val="0"/>
      <w:marRight w:val="0"/>
      <w:marTop w:val="0"/>
      <w:marBottom w:val="0"/>
      <w:divBdr>
        <w:top w:val="none" w:sz="0" w:space="0" w:color="auto"/>
        <w:left w:val="none" w:sz="0" w:space="0" w:color="auto"/>
        <w:bottom w:val="none" w:sz="0" w:space="0" w:color="auto"/>
        <w:right w:val="none" w:sz="0" w:space="0" w:color="auto"/>
      </w:divBdr>
    </w:div>
    <w:div w:id="1175878952">
      <w:bodyDiv w:val="1"/>
      <w:marLeft w:val="0"/>
      <w:marRight w:val="0"/>
      <w:marTop w:val="0"/>
      <w:marBottom w:val="0"/>
      <w:divBdr>
        <w:top w:val="none" w:sz="0" w:space="0" w:color="auto"/>
        <w:left w:val="none" w:sz="0" w:space="0" w:color="auto"/>
        <w:bottom w:val="none" w:sz="0" w:space="0" w:color="auto"/>
        <w:right w:val="none" w:sz="0" w:space="0" w:color="auto"/>
      </w:divBdr>
    </w:div>
    <w:div w:id="1184981012">
      <w:bodyDiv w:val="1"/>
      <w:marLeft w:val="0"/>
      <w:marRight w:val="0"/>
      <w:marTop w:val="0"/>
      <w:marBottom w:val="0"/>
      <w:divBdr>
        <w:top w:val="none" w:sz="0" w:space="0" w:color="auto"/>
        <w:left w:val="none" w:sz="0" w:space="0" w:color="auto"/>
        <w:bottom w:val="none" w:sz="0" w:space="0" w:color="auto"/>
        <w:right w:val="none" w:sz="0" w:space="0" w:color="auto"/>
      </w:divBdr>
    </w:div>
    <w:div w:id="1190334053">
      <w:bodyDiv w:val="1"/>
      <w:marLeft w:val="0"/>
      <w:marRight w:val="0"/>
      <w:marTop w:val="0"/>
      <w:marBottom w:val="0"/>
      <w:divBdr>
        <w:top w:val="none" w:sz="0" w:space="0" w:color="auto"/>
        <w:left w:val="none" w:sz="0" w:space="0" w:color="auto"/>
        <w:bottom w:val="none" w:sz="0" w:space="0" w:color="auto"/>
        <w:right w:val="none" w:sz="0" w:space="0" w:color="auto"/>
      </w:divBdr>
    </w:div>
    <w:div w:id="1207795069">
      <w:bodyDiv w:val="1"/>
      <w:marLeft w:val="0"/>
      <w:marRight w:val="0"/>
      <w:marTop w:val="0"/>
      <w:marBottom w:val="0"/>
      <w:divBdr>
        <w:top w:val="none" w:sz="0" w:space="0" w:color="auto"/>
        <w:left w:val="none" w:sz="0" w:space="0" w:color="auto"/>
        <w:bottom w:val="none" w:sz="0" w:space="0" w:color="auto"/>
        <w:right w:val="none" w:sz="0" w:space="0" w:color="auto"/>
      </w:divBdr>
    </w:div>
    <w:div w:id="1240869544">
      <w:bodyDiv w:val="1"/>
      <w:marLeft w:val="0"/>
      <w:marRight w:val="0"/>
      <w:marTop w:val="0"/>
      <w:marBottom w:val="0"/>
      <w:divBdr>
        <w:top w:val="none" w:sz="0" w:space="0" w:color="auto"/>
        <w:left w:val="none" w:sz="0" w:space="0" w:color="auto"/>
        <w:bottom w:val="none" w:sz="0" w:space="0" w:color="auto"/>
        <w:right w:val="none" w:sz="0" w:space="0" w:color="auto"/>
      </w:divBdr>
    </w:div>
    <w:div w:id="1265042520">
      <w:bodyDiv w:val="1"/>
      <w:marLeft w:val="0"/>
      <w:marRight w:val="0"/>
      <w:marTop w:val="0"/>
      <w:marBottom w:val="0"/>
      <w:divBdr>
        <w:top w:val="none" w:sz="0" w:space="0" w:color="auto"/>
        <w:left w:val="none" w:sz="0" w:space="0" w:color="auto"/>
        <w:bottom w:val="none" w:sz="0" w:space="0" w:color="auto"/>
        <w:right w:val="none" w:sz="0" w:space="0" w:color="auto"/>
      </w:divBdr>
    </w:div>
    <w:div w:id="1294218358">
      <w:bodyDiv w:val="1"/>
      <w:marLeft w:val="0"/>
      <w:marRight w:val="0"/>
      <w:marTop w:val="0"/>
      <w:marBottom w:val="0"/>
      <w:divBdr>
        <w:top w:val="none" w:sz="0" w:space="0" w:color="auto"/>
        <w:left w:val="none" w:sz="0" w:space="0" w:color="auto"/>
        <w:bottom w:val="none" w:sz="0" w:space="0" w:color="auto"/>
        <w:right w:val="none" w:sz="0" w:space="0" w:color="auto"/>
      </w:divBdr>
    </w:div>
    <w:div w:id="1440879626">
      <w:bodyDiv w:val="1"/>
      <w:marLeft w:val="0"/>
      <w:marRight w:val="0"/>
      <w:marTop w:val="0"/>
      <w:marBottom w:val="0"/>
      <w:divBdr>
        <w:top w:val="none" w:sz="0" w:space="0" w:color="auto"/>
        <w:left w:val="none" w:sz="0" w:space="0" w:color="auto"/>
        <w:bottom w:val="none" w:sz="0" w:space="0" w:color="auto"/>
        <w:right w:val="none" w:sz="0" w:space="0" w:color="auto"/>
      </w:divBdr>
    </w:div>
    <w:div w:id="1454596901">
      <w:bodyDiv w:val="1"/>
      <w:marLeft w:val="0"/>
      <w:marRight w:val="0"/>
      <w:marTop w:val="0"/>
      <w:marBottom w:val="0"/>
      <w:divBdr>
        <w:top w:val="none" w:sz="0" w:space="0" w:color="auto"/>
        <w:left w:val="none" w:sz="0" w:space="0" w:color="auto"/>
        <w:bottom w:val="none" w:sz="0" w:space="0" w:color="auto"/>
        <w:right w:val="none" w:sz="0" w:space="0" w:color="auto"/>
      </w:divBdr>
    </w:div>
    <w:div w:id="1495800847">
      <w:bodyDiv w:val="1"/>
      <w:marLeft w:val="0"/>
      <w:marRight w:val="0"/>
      <w:marTop w:val="0"/>
      <w:marBottom w:val="0"/>
      <w:divBdr>
        <w:top w:val="none" w:sz="0" w:space="0" w:color="auto"/>
        <w:left w:val="none" w:sz="0" w:space="0" w:color="auto"/>
        <w:bottom w:val="none" w:sz="0" w:space="0" w:color="auto"/>
        <w:right w:val="none" w:sz="0" w:space="0" w:color="auto"/>
      </w:divBdr>
    </w:div>
    <w:div w:id="1500998600">
      <w:bodyDiv w:val="1"/>
      <w:marLeft w:val="0"/>
      <w:marRight w:val="0"/>
      <w:marTop w:val="0"/>
      <w:marBottom w:val="0"/>
      <w:divBdr>
        <w:top w:val="none" w:sz="0" w:space="0" w:color="auto"/>
        <w:left w:val="none" w:sz="0" w:space="0" w:color="auto"/>
        <w:bottom w:val="none" w:sz="0" w:space="0" w:color="auto"/>
        <w:right w:val="none" w:sz="0" w:space="0" w:color="auto"/>
      </w:divBdr>
    </w:div>
    <w:div w:id="1520393500">
      <w:bodyDiv w:val="1"/>
      <w:marLeft w:val="0"/>
      <w:marRight w:val="0"/>
      <w:marTop w:val="0"/>
      <w:marBottom w:val="0"/>
      <w:divBdr>
        <w:top w:val="none" w:sz="0" w:space="0" w:color="auto"/>
        <w:left w:val="none" w:sz="0" w:space="0" w:color="auto"/>
        <w:bottom w:val="none" w:sz="0" w:space="0" w:color="auto"/>
        <w:right w:val="none" w:sz="0" w:space="0" w:color="auto"/>
      </w:divBdr>
    </w:div>
    <w:div w:id="1573202881">
      <w:bodyDiv w:val="1"/>
      <w:marLeft w:val="0"/>
      <w:marRight w:val="0"/>
      <w:marTop w:val="0"/>
      <w:marBottom w:val="0"/>
      <w:divBdr>
        <w:top w:val="none" w:sz="0" w:space="0" w:color="auto"/>
        <w:left w:val="none" w:sz="0" w:space="0" w:color="auto"/>
        <w:bottom w:val="none" w:sz="0" w:space="0" w:color="auto"/>
        <w:right w:val="none" w:sz="0" w:space="0" w:color="auto"/>
      </w:divBdr>
    </w:div>
    <w:div w:id="1597326175">
      <w:bodyDiv w:val="1"/>
      <w:marLeft w:val="0"/>
      <w:marRight w:val="0"/>
      <w:marTop w:val="0"/>
      <w:marBottom w:val="0"/>
      <w:divBdr>
        <w:top w:val="none" w:sz="0" w:space="0" w:color="auto"/>
        <w:left w:val="none" w:sz="0" w:space="0" w:color="auto"/>
        <w:bottom w:val="none" w:sz="0" w:space="0" w:color="auto"/>
        <w:right w:val="none" w:sz="0" w:space="0" w:color="auto"/>
      </w:divBdr>
    </w:div>
    <w:div w:id="1641691639">
      <w:bodyDiv w:val="1"/>
      <w:marLeft w:val="0"/>
      <w:marRight w:val="0"/>
      <w:marTop w:val="0"/>
      <w:marBottom w:val="0"/>
      <w:divBdr>
        <w:top w:val="none" w:sz="0" w:space="0" w:color="auto"/>
        <w:left w:val="none" w:sz="0" w:space="0" w:color="auto"/>
        <w:bottom w:val="none" w:sz="0" w:space="0" w:color="auto"/>
        <w:right w:val="none" w:sz="0" w:space="0" w:color="auto"/>
      </w:divBdr>
    </w:div>
    <w:div w:id="1644501279">
      <w:bodyDiv w:val="1"/>
      <w:marLeft w:val="0"/>
      <w:marRight w:val="0"/>
      <w:marTop w:val="0"/>
      <w:marBottom w:val="0"/>
      <w:divBdr>
        <w:top w:val="none" w:sz="0" w:space="0" w:color="auto"/>
        <w:left w:val="none" w:sz="0" w:space="0" w:color="auto"/>
        <w:bottom w:val="none" w:sz="0" w:space="0" w:color="auto"/>
        <w:right w:val="none" w:sz="0" w:space="0" w:color="auto"/>
      </w:divBdr>
    </w:div>
    <w:div w:id="1645812565">
      <w:bodyDiv w:val="1"/>
      <w:marLeft w:val="0"/>
      <w:marRight w:val="0"/>
      <w:marTop w:val="0"/>
      <w:marBottom w:val="0"/>
      <w:divBdr>
        <w:top w:val="none" w:sz="0" w:space="0" w:color="auto"/>
        <w:left w:val="none" w:sz="0" w:space="0" w:color="auto"/>
        <w:bottom w:val="none" w:sz="0" w:space="0" w:color="auto"/>
        <w:right w:val="none" w:sz="0" w:space="0" w:color="auto"/>
      </w:divBdr>
    </w:div>
    <w:div w:id="1687444857">
      <w:bodyDiv w:val="1"/>
      <w:marLeft w:val="0"/>
      <w:marRight w:val="0"/>
      <w:marTop w:val="0"/>
      <w:marBottom w:val="0"/>
      <w:divBdr>
        <w:top w:val="none" w:sz="0" w:space="0" w:color="auto"/>
        <w:left w:val="none" w:sz="0" w:space="0" w:color="auto"/>
        <w:bottom w:val="none" w:sz="0" w:space="0" w:color="auto"/>
        <w:right w:val="none" w:sz="0" w:space="0" w:color="auto"/>
      </w:divBdr>
    </w:div>
    <w:div w:id="1976836532">
      <w:bodyDiv w:val="1"/>
      <w:marLeft w:val="0"/>
      <w:marRight w:val="0"/>
      <w:marTop w:val="0"/>
      <w:marBottom w:val="0"/>
      <w:divBdr>
        <w:top w:val="none" w:sz="0" w:space="0" w:color="auto"/>
        <w:left w:val="none" w:sz="0" w:space="0" w:color="auto"/>
        <w:bottom w:val="none" w:sz="0" w:space="0" w:color="auto"/>
        <w:right w:val="none" w:sz="0" w:space="0" w:color="auto"/>
      </w:divBdr>
    </w:div>
    <w:div w:id="1977833182">
      <w:bodyDiv w:val="1"/>
      <w:marLeft w:val="0"/>
      <w:marRight w:val="0"/>
      <w:marTop w:val="0"/>
      <w:marBottom w:val="0"/>
      <w:divBdr>
        <w:top w:val="none" w:sz="0" w:space="0" w:color="auto"/>
        <w:left w:val="none" w:sz="0" w:space="0" w:color="auto"/>
        <w:bottom w:val="none" w:sz="0" w:space="0" w:color="auto"/>
        <w:right w:val="none" w:sz="0" w:space="0" w:color="auto"/>
      </w:divBdr>
    </w:div>
    <w:div w:id="1987079902">
      <w:bodyDiv w:val="1"/>
      <w:marLeft w:val="0"/>
      <w:marRight w:val="0"/>
      <w:marTop w:val="0"/>
      <w:marBottom w:val="0"/>
      <w:divBdr>
        <w:top w:val="none" w:sz="0" w:space="0" w:color="auto"/>
        <w:left w:val="none" w:sz="0" w:space="0" w:color="auto"/>
        <w:bottom w:val="none" w:sz="0" w:space="0" w:color="auto"/>
        <w:right w:val="none" w:sz="0" w:space="0" w:color="auto"/>
      </w:divBdr>
    </w:div>
    <w:div w:id="2001959851">
      <w:bodyDiv w:val="1"/>
      <w:marLeft w:val="0"/>
      <w:marRight w:val="0"/>
      <w:marTop w:val="0"/>
      <w:marBottom w:val="0"/>
      <w:divBdr>
        <w:top w:val="none" w:sz="0" w:space="0" w:color="auto"/>
        <w:left w:val="none" w:sz="0" w:space="0" w:color="auto"/>
        <w:bottom w:val="none" w:sz="0" w:space="0" w:color="auto"/>
        <w:right w:val="none" w:sz="0" w:space="0" w:color="auto"/>
      </w:divBdr>
    </w:div>
    <w:div w:id="2035417852">
      <w:bodyDiv w:val="1"/>
      <w:marLeft w:val="0"/>
      <w:marRight w:val="0"/>
      <w:marTop w:val="0"/>
      <w:marBottom w:val="0"/>
      <w:divBdr>
        <w:top w:val="none" w:sz="0" w:space="0" w:color="auto"/>
        <w:left w:val="none" w:sz="0" w:space="0" w:color="auto"/>
        <w:bottom w:val="none" w:sz="0" w:space="0" w:color="auto"/>
        <w:right w:val="none" w:sz="0" w:space="0" w:color="auto"/>
      </w:divBdr>
    </w:div>
    <w:div w:id="2050107699">
      <w:bodyDiv w:val="1"/>
      <w:marLeft w:val="0"/>
      <w:marRight w:val="0"/>
      <w:marTop w:val="0"/>
      <w:marBottom w:val="0"/>
      <w:divBdr>
        <w:top w:val="none" w:sz="0" w:space="0" w:color="auto"/>
        <w:left w:val="none" w:sz="0" w:space="0" w:color="auto"/>
        <w:bottom w:val="none" w:sz="0" w:space="0" w:color="auto"/>
        <w:right w:val="none" w:sz="0" w:space="0" w:color="auto"/>
      </w:divBdr>
    </w:div>
    <w:div w:id="2104521633">
      <w:bodyDiv w:val="1"/>
      <w:marLeft w:val="0"/>
      <w:marRight w:val="0"/>
      <w:marTop w:val="0"/>
      <w:marBottom w:val="0"/>
      <w:divBdr>
        <w:top w:val="none" w:sz="0" w:space="0" w:color="auto"/>
        <w:left w:val="none" w:sz="0" w:space="0" w:color="auto"/>
        <w:bottom w:val="none" w:sz="0" w:space="0" w:color="auto"/>
        <w:right w:val="none" w:sz="0" w:space="0" w:color="auto"/>
      </w:divBdr>
    </w:div>
    <w:div w:id="2118678176">
      <w:bodyDiv w:val="1"/>
      <w:marLeft w:val="0"/>
      <w:marRight w:val="0"/>
      <w:marTop w:val="0"/>
      <w:marBottom w:val="0"/>
      <w:divBdr>
        <w:top w:val="none" w:sz="0" w:space="0" w:color="auto"/>
        <w:left w:val="none" w:sz="0" w:space="0" w:color="auto"/>
        <w:bottom w:val="none" w:sz="0" w:space="0" w:color="auto"/>
        <w:right w:val="none" w:sz="0" w:space="0" w:color="auto"/>
      </w:divBdr>
    </w:div>
    <w:div w:id="2137333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2.png"/><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uters.com/markets/commodities/sky-high-energy-costs-fan-fire-under-aluminium-zinc-prices-2022-08-12/" TargetMode="External"/><Relationship Id="rId13" Type="http://schemas.openxmlformats.org/officeDocument/2006/relationships/hyperlink" Target="https://competition-policy.ec.europa.eu/document/download/45b532ce-53fb-4907-975c-79edaa31a166_en?filename=2025_CISAF_draft_EC_communication.pdf" TargetMode="External"/><Relationship Id="rId3" Type="http://schemas.openxmlformats.org/officeDocument/2006/relationships/hyperlink" Target="https://www.oecd.org/en/about/news/speech-statements/2024/11/96th-session-of-the-steel-committee-statement-by-the-chair.html" TargetMode="External"/><Relationship Id="rId7" Type="http://schemas.openxmlformats.org/officeDocument/2006/relationships/hyperlink" Target="https://www.reuters.com/markets/commodities/sky-high-energy-costs-fan-fire-under-aluminium-zinc-prices-2022-08-12/" TargetMode="External"/><Relationship Id="rId12" Type="http://schemas.openxmlformats.org/officeDocument/2006/relationships/hyperlink" Target="https://www.efrag.org/en/projects/power-purchase-agreements/endorsement-consultation" TargetMode="External"/><Relationship Id="rId2" Type="http://schemas.openxmlformats.org/officeDocument/2006/relationships/hyperlink" Target="https://international-aluminium.org/statistics/primary-aluminium-production/" TargetMode="External"/><Relationship Id="rId16" Type="http://schemas.openxmlformats.org/officeDocument/2006/relationships/hyperlink" Target="https://www.eurofer.eu/issues/climate-and-energy/maps-of-key-low-carbon-steel-projects" TargetMode="External"/><Relationship Id="rId1" Type="http://schemas.openxmlformats.org/officeDocument/2006/relationships/hyperlink" Target="https://eur-lex.europa.eu/legal-content/FR/TXT/PDF/?uri=CELEX:52025DC0030" TargetMode="External"/><Relationship Id="rId6" Type="http://schemas.openxmlformats.org/officeDocument/2006/relationships/hyperlink" Target="https://publications.jrc.ec.europa.eu/repository/handle/JRC121276" TargetMode="External"/><Relationship Id="rId11" Type="http://schemas.openxmlformats.org/officeDocument/2006/relationships/hyperlink" Target="https://www.efrag.org/en/projects/power-purchase-agreements/endorsement-consultation" TargetMode="External"/><Relationship Id="rId5" Type="http://schemas.openxmlformats.org/officeDocument/2006/relationships/hyperlink" Target="https://op.europa.eu/fr/publication-detail/-/publication/78d8acde-0486-11f0-9503-01aa75ed71a1" TargetMode="External"/><Relationship Id="rId15" Type="http://schemas.openxmlformats.org/officeDocument/2006/relationships/hyperlink" Target="https://pact-for-skills.ec.europa.eu/about/industrial-ecosystems-and-partnerships/energy-intensive-industries-large-scale-partnerships_en" TargetMode="External"/><Relationship Id="rId10" Type="http://schemas.openxmlformats.org/officeDocument/2006/relationships/hyperlink" Target="https://www.ifrs.org/projects/completed-projects/2024/power-purchase-agreements/" TargetMode="External"/><Relationship Id="rId4" Type="http://schemas.openxmlformats.org/officeDocument/2006/relationships/hyperlink" Target="https://publications.jrc.ec.europa.eu/repository/handle/JRC98333" TargetMode="External"/><Relationship Id="rId9" Type="http://schemas.openxmlformats.org/officeDocument/2006/relationships/hyperlink" Target="https://www.bruegel.org/policy-brief/decarbonising-competitiveness-four-ways-reduce-european-energy-prices" TargetMode="External"/><Relationship Id="rId14" Type="http://schemas.openxmlformats.org/officeDocument/2006/relationships/hyperlink" Target="https://eur-lex.europa.eu/legal-content/FR/TXT/?uri=CELEX%3A32024R1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Writer" AuthorRoleId="a4fbaff4-b07c-48b4-a21e-e7b9eedf3796">
  <Id>d407c575-06c6-44e7-8f01-20b5590f4546</Id>
  <Names>
    <Latin>
      <FirstName>Joan</FirstName>
      <LastName>Canton</LastName>
    </Latin>
    <Greek>
      <FirstName/>
      <LastName/>
    </Greek>
    <Cyrillic>
      <FirstName/>
      <LastName/>
    </Cyrillic>
    <DocumentScript>
      <FirstName>Joan</FirstName>
      <LastName>Canton</LastName>
      <FullName>Joan Canton</FullName>
    </DocumentScript>
  </Names>
  <Initials>JC</Initials>
  <Gender>m</Gender>
  <Email>Joan.CANTON@ec.europa.eu</Email>
  <Service>GROW.I.1</Service>
  <Function ADCode="4" ShowInSignature="true" ShowInHeader="false" HeaderText="">Head of Unit</Function>
  <WebAddress/>
  <FunctionalMailbox/>
  <InheritedWebAddress>WebAddress</InheritedWebAddress>
  <OrgaEntity1>
    <Id>8e50828d-b980-4366-bc08-2a20f760600e</Id>
    <LogicalLevel>1</LogicalLevel>
    <Name>GROW</Name>
    <HeadLine1>DIRECTORATE-GENERAL FOR INTERNAL MARKET, INDUSTRY, ENTREPRENEURSHIP</HeadLine1>
    <HeadLine2>AND SMES</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Ecosystems IV: Mobility &amp; Energy Intensive Industries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I.1 – Energy Intensive Industries and Raw Materials</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DIRECTORATE-GENERAL FOR INTERNAL MARKET, INDUSTRY, ENTREPRENEURSHIP</HeadLine1>
      <HeadLine2>AND SMES</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Ecosystems IV: Mobility &amp; Energy Intensive Industries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Energy Intensive Industries and Raw Materials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+32 229-52155</Phone>
    <Office>BREY 11/106</Office>
  </MainWorkplace>
  <Workplaces>
    <Workplace IsMain="true">
      <AddressId>f03b5801-04c9-4931-aa17-c6d6c70bc579</AddressId>
      <Fax/>
      <Phone>+32 229-52155</Phone>
      <Office>BREY 11/106</Office>
    </Workplace>
  </Workplaces>
</Author>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875fcb-8c0e-4dac-ace7-103211bf21e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EC_ARES_TRANSFERRED_BY xmlns="ed350a78-f7eb-44a2-bb43-fd61cd942e28" xsi:nil="true"/>
    <date xmlns="c2875fcb-8c0e-4dac-ace7-103211bf21e3" xsi:nil="true"/>
    <Comment xmlns="c2875fcb-8c0e-4dac-ace7-103211bf21e3" xsi:nil="true"/>
    <EC_ARES_NUMBER xmlns="ed350a78-f7eb-44a2-bb43-fd61cd942e28">
      <Url xsi:nil="true"/>
      <Description xsi:nil="true"/>
    </EC_ARES_NUMBER>
    <EC_ARES_DATE_TRANSFERRED xmlns="ed350a78-f7eb-44a2-bb43-fd61cd942e28" xsi:nil="true"/>
    <_Flow_SignoffStatus xmlns="c2875fcb-8c0e-4dac-ace7-103211bf21e3" xsi:nil="true"/>
  </documentManagement>
</p:properties>
</file>

<file path=customXml/item5.xml><?xml version="1.0" encoding="utf-8"?>
<EurolookProperties>
  <ProductCustomizationId>EC</ProductCustomizationId>
  <Created>
    <Version>10.0.46216.0</Version>
    <Date>2024-12-14T11:26:13</Date>
    <Language>EN</Language>
    <Note/>
  </Created>
  <Edited>
    <Version/>
    <Date/>
  </Edited>
  <DocumentModel>
    <Id>6cbda13a-4db2-46c6-876a-ef72275827ef</Id>
    <Name>Report</Name>
  </DocumentModel>
  <CustomTemplate>
    <Id/>
    <Name/>
  </CustomTemplate>
  <DocumentDate>2024-12-14T11:26:13</DocumentDate>
  <DocumentVersion>0.1</DocumentVersion>
  <CompatibilityMode>Eurolook10</CompatibilityMode>
  <DocumentMetadata>
    <EC_SecurityMarking MetadataSerializationType="SimpleValue"/>
    <EC_SecurityDistributionDG MetadataSerializationType="SimpleValue"/>
    <EC_SecurityDateMarkingEvent MetadataSerializationType="SimpleValue"/>
    <EC_SecurityDateMarkingDate MetadataSerializationType="SimpleValue"/>
    <EC_SecurityDistributionWorkingGroup MetadataSerializationType="SimpleValue"/>
    <EC_SecurityReleasability MetadataSerializationType="SimpleValue"/>
    <EC_SecurityDateMarking MetadataSerializationType="SimpleValue"/>
    <EC_SecurityDistributionSensitive MetadataSerializationType="SimpleValue"/>
    <EC_SecurityDistributionSpecialHandling MetadataSerializationType="SimpleValue"/>
  </DocumentMetadata>
</Eurolook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66AEC4BD0A4BF469319B31048749EAB" ma:contentTypeVersion="17" ma:contentTypeDescription="Create a new document." ma:contentTypeScope="" ma:versionID="cd20692e1b34fa66beb2d02f750d3d08">
  <xsd:schema xmlns:xsd="http://www.w3.org/2001/XMLSchema" xmlns:xs="http://www.w3.org/2001/XMLSchema" xmlns:p="http://schemas.microsoft.com/office/2006/metadata/properties" xmlns:ns1="http://schemas.microsoft.com/sharepoint/v3" xmlns:ns2="c2875fcb-8c0e-4dac-ace7-103211bf21e3" xmlns:ns3="ed350a78-f7eb-44a2-bb43-fd61cd942e28" targetNamespace="http://schemas.microsoft.com/office/2006/metadata/properties" ma:root="true" ma:fieldsID="67a7472ae1a4323b0c68a5cf344eb67e" ns1:_="" ns2:_="" ns3:_="">
    <xsd:import namespace="http://schemas.microsoft.com/sharepoint/v3"/>
    <xsd:import namespace="c2875fcb-8c0e-4dac-ace7-103211bf21e3"/>
    <xsd:import namespace="ed350a78-f7eb-44a2-bb43-fd61cd942e28"/>
    <xsd:element name="properties">
      <xsd:complexType>
        <xsd:sequence>
          <xsd:element name="documentManagement">
            <xsd:complexType>
              <xsd:all>
                <xsd:element ref="ns1:_vti_ItemDeclaredRecord" minOccurs="0"/>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date" minOccurs="0"/>
                <xsd:element ref="ns2:Comment"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875fcb-8c0e-4dac-ace7-103211bf21e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_x0024_Resources_x003a_core_x002c_Signoff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format="DateOnly" ma:internalName="date">
      <xsd:simpleType>
        <xsd:restriction base="dms:DateTime"/>
      </xsd:simpleType>
    </xsd:element>
    <xsd:element name="Comment" ma:index="21"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350a78-f7eb-44a2-bb43-fd61cd942e28" elementFormDefault="qualified">
    <xsd:import namespace="http://schemas.microsoft.com/office/2006/documentManagement/types"/>
    <xsd:import namespace="http://schemas.microsoft.com/office/infopath/2007/PartnerControls"/>
    <xsd:element name="EC_ARES_NUMBER" ma:index="2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3" nillable="true" ma:displayName="Transferred to Ares" ma:format="DateTime" ma:hidden="true" ma:internalName="EC_ARES_DATE_TRANSFERRED">
      <xsd:simpleType>
        <xsd:restriction base="dms:DateTime"/>
      </xsd:simpleType>
    </xsd:element>
    <xsd:element name="EC_ARES_TRANSFERRED_BY" ma:index="24"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C66AEC4BD0A4BF469319B31048749EAB" ma:contentTypeVersion="17" ma:contentTypeDescription="Create a new document." ma:contentTypeScope="" ma:versionID="cd20692e1b34fa66beb2d02f750d3d08">
  <xsd:schema xmlns:xsd="http://www.w3.org/2001/XMLSchema" xmlns:xs="http://www.w3.org/2001/XMLSchema" xmlns:p="http://schemas.microsoft.com/office/2006/metadata/properties" xmlns:ns1="http://schemas.microsoft.com/sharepoint/v3" xmlns:ns2="c2875fcb-8c0e-4dac-ace7-103211bf21e3" xmlns:ns3="ed350a78-f7eb-44a2-bb43-fd61cd942e28" targetNamespace="http://schemas.microsoft.com/office/2006/metadata/properties" ma:root="true" ma:fieldsID="67a7472ae1a4323b0c68a5cf344eb67e" ns1:_="" ns2:_="" ns3:_="">
    <xsd:import namespace="http://schemas.microsoft.com/sharepoint/v3"/>
    <xsd:import namespace="c2875fcb-8c0e-4dac-ace7-103211bf21e3"/>
    <xsd:import namespace="ed350a78-f7eb-44a2-bb43-fd61cd942e28"/>
    <xsd:element name="properties">
      <xsd:complexType>
        <xsd:sequence>
          <xsd:element name="documentManagement">
            <xsd:complexType>
              <xsd:all>
                <xsd:element ref="ns1:_vti_ItemDeclaredRecord" minOccurs="0"/>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date" minOccurs="0"/>
                <xsd:element ref="ns2:Comment"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875fcb-8c0e-4dac-ace7-103211bf21e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_x0024_Resources_x003a_core_x002c_Signoff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format="DateOnly" ma:internalName="date">
      <xsd:simpleType>
        <xsd:restriction base="dms:DateTime"/>
      </xsd:simpleType>
    </xsd:element>
    <xsd:element name="Comment" ma:index="21"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350a78-f7eb-44a2-bb43-fd61cd942e28" elementFormDefault="qualified">
    <xsd:import namespace="http://schemas.microsoft.com/office/2006/documentManagement/types"/>
    <xsd:import namespace="http://schemas.microsoft.com/office/infopath/2007/PartnerControls"/>
    <xsd:element name="EC_ARES_NUMBER" ma:index="2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3" nillable="true" ma:displayName="Transferred to Ares" ma:format="DateTime" ma:hidden="true" ma:internalName="EC_ARES_DATE_TRANSFERRED">
      <xsd:simpleType>
        <xsd:restriction base="dms:DateTime"/>
      </xsd:simpleType>
    </xsd:element>
    <xsd:element name="EC_ARES_TRANSFERRED_BY" ma:index="24"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29C2D-B2EB-47A0-B7C3-E42C629DFCDE}">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79358687-B310-45A5-B8CC-0D5A8F8070E2}">
  <ds:schemaRefs>
    <ds:schemaRef ds:uri="http://schemas.microsoft.com/sharepoint/v3/contenttype/forms"/>
  </ds:schemaRefs>
</ds:datastoreItem>
</file>

<file path=customXml/itemProps4.xml><?xml version="1.0" encoding="utf-8"?>
<ds:datastoreItem xmlns:ds="http://schemas.openxmlformats.org/officeDocument/2006/customXml" ds:itemID="{71C87919-279E-49E8-B108-52DEEC5D351E}">
  <ds:schemaRefs>
    <ds:schemaRef ds:uri="http://schemas.microsoft.com/office/2006/metadata/properties"/>
    <ds:schemaRef ds:uri="http://schemas.microsoft.com/office/infopath/2007/PartnerControls"/>
    <ds:schemaRef ds:uri="c2875fcb-8c0e-4dac-ace7-103211bf21e3"/>
    <ds:schemaRef ds:uri="ed350a78-f7eb-44a2-bb43-fd61cd942e28"/>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DA46DBF0-18DB-4B63-AD65-331C91C9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75fcb-8c0e-4dac-ace7-103211bf21e3"/>
    <ds:schemaRef ds:uri="ed350a78-f7eb-44a2-bb43-fd61cd942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44F2918-9F9D-4CA3-882E-D13EE9DC5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75fcb-8c0e-4dac-ace7-103211bf21e3"/>
    <ds:schemaRef ds:uri="ed350a78-f7eb-44a2-bb43-fd61cd942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ABB068C1-0E0E-42C1-8705-CBA016AA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10314</Words>
  <Characters>58793</Characters>
  <Application>Microsoft Office Word</Application>
  <DocSecurity>0</DocSecurity>
  <PresentationFormat>Microsoft Word 14.0</PresentationFormat>
  <Lines>489</Lines>
  <Paragraphs>137</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68970</CharactersWithSpaces>
  <SharedDoc>false</SharedDoc>
  <HLinks>
    <vt:vector size="96" baseType="variant">
      <vt:variant>
        <vt:i4>7995516</vt:i4>
      </vt:variant>
      <vt:variant>
        <vt:i4>54</vt:i4>
      </vt:variant>
      <vt:variant>
        <vt:i4>0</vt:i4>
      </vt:variant>
      <vt:variant>
        <vt:i4>5</vt:i4>
      </vt:variant>
      <vt:variant>
        <vt:lpwstr>https://www.eurofer.eu/issues/climate-and-energy/maps-of-key-low-carbon-steel-projects</vt:lpwstr>
      </vt:variant>
      <vt:variant>
        <vt:lpwstr/>
      </vt:variant>
      <vt:variant>
        <vt:i4>6225972</vt:i4>
      </vt:variant>
      <vt:variant>
        <vt:i4>51</vt:i4>
      </vt:variant>
      <vt:variant>
        <vt:i4>0</vt:i4>
      </vt:variant>
      <vt:variant>
        <vt:i4>5</vt:i4>
      </vt:variant>
      <vt:variant>
        <vt:lpwstr>https://pact-for-skills.ec.europa.eu/about/industrial-ecosystems-and-partnerships/energy-intensive-industries-large-scale-partnerships_en</vt:lpwstr>
      </vt:variant>
      <vt:variant>
        <vt:lpwstr/>
      </vt:variant>
      <vt:variant>
        <vt:i4>7209074</vt:i4>
      </vt:variant>
      <vt:variant>
        <vt:i4>42</vt:i4>
      </vt:variant>
      <vt:variant>
        <vt:i4>0</vt:i4>
      </vt:variant>
      <vt:variant>
        <vt:i4>5</vt:i4>
      </vt:variant>
      <vt:variant>
        <vt:lpwstr>https://eur-lex.europa.eu/legal-content/EN/TXT/?uri=CELEX%3A32024R1157</vt:lpwstr>
      </vt:variant>
      <vt:variant>
        <vt:lpwstr/>
      </vt:variant>
      <vt:variant>
        <vt:i4>6291564</vt:i4>
      </vt:variant>
      <vt:variant>
        <vt:i4>39</vt:i4>
      </vt:variant>
      <vt:variant>
        <vt:i4>0</vt:i4>
      </vt:variant>
      <vt:variant>
        <vt:i4>5</vt:i4>
      </vt:variant>
      <vt:variant>
        <vt:lpwstr>https://www.oecd.org/en/about/news/speech-statements/2024/11/96th-session-of-the-steel-committee-statement-by-the-chair.html</vt:lpwstr>
      </vt:variant>
      <vt:variant>
        <vt:lpwstr>:~:text=China's%20steel%20subsidies%20are%20more,borrowings%20than%20in%20OECD%20countries</vt:lpwstr>
      </vt:variant>
      <vt:variant>
        <vt:i4>7274585</vt:i4>
      </vt:variant>
      <vt:variant>
        <vt:i4>33</vt:i4>
      </vt:variant>
      <vt:variant>
        <vt:i4>0</vt:i4>
      </vt:variant>
      <vt:variant>
        <vt:i4>5</vt:i4>
      </vt:variant>
      <vt:variant>
        <vt:lpwstr>https://competition-policy.ec.europa.eu/document/download/45b532ce-53fb-4907-975c-79edaa31a166_en?filename=2025_CISAF_draft_EC_communication.pdf</vt:lpwstr>
      </vt:variant>
      <vt:variant>
        <vt:lpwstr/>
      </vt:variant>
      <vt:variant>
        <vt:i4>4456537</vt:i4>
      </vt:variant>
      <vt:variant>
        <vt:i4>30</vt:i4>
      </vt:variant>
      <vt:variant>
        <vt:i4>0</vt:i4>
      </vt:variant>
      <vt:variant>
        <vt:i4>5</vt:i4>
      </vt:variant>
      <vt:variant>
        <vt:lpwstr>https://www.efrag.org/en/projects/power-purchase-agreements/endorsement-consultation</vt:lpwstr>
      </vt:variant>
      <vt:variant>
        <vt:lpwstr/>
      </vt:variant>
      <vt:variant>
        <vt:i4>1835076</vt:i4>
      </vt:variant>
      <vt:variant>
        <vt:i4>27</vt:i4>
      </vt:variant>
      <vt:variant>
        <vt:i4>0</vt:i4>
      </vt:variant>
      <vt:variant>
        <vt:i4>5</vt:i4>
      </vt:variant>
      <vt:variant>
        <vt:lpwstr>https://www.ifrs.org/projects/completed-projects/2024/power-purchase-agreements/</vt:lpwstr>
      </vt:variant>
      <vt:variant>
        <vt:lpwstr/>
      </vt:variant>
      <vt:variant>
        <vt:i4>7536678</vt:i4>
      </vt:variant>
      <vt:variant>
        <vt:i4>24</vt:i4>
      </vt:variant>
      <vt:variant>
        <vt:i4>0</vt:i4>
      </vt:variant>
      <vt:variant>
        <vt:i4>5</vt:i4>
      </vt:variant>
      <vt:variant>
        <vt:lpwstr>https://www.bruegel.org/policy-brief/decarbonising-competitiveness-four-ways-reduce-european-energy-prices</vt:lpwstr>
      </vt:variant>
      <vt:variant>
        <vt:lpwstr/>
      </vt:variant>
      <vt:variant>
        <vt:i4>8192060</vt:i4>
      </vt:variant>
      <vt:variant>
        <vt:i4>21</vt:i4>
      </vt:variant>
      <vt:variant>
        <vt:i4>0</vt:i4>
      </vt:variant>
      <vt:variant>
        <vt:i4>5</vt:i4>
      </vt:variant>
      <vt:variant>
        <vt:lpwstr>https://www.reuters.com/markets/commodities/sky-high-energy-costs-fan-fire-under-aluminium-zinc-prices-2022-08-12/</vt:lpwstr>
      </vt:variant>
      <vt:variant>
        <vt:lpwstr/>
      </vt:variant>
      <vt:variant>
        <vt:i4>8192060</vt:i4>
      </vt:variant>
      <vt:variant>
        <vt:i4>18</vt:i4>
      </vt:variant>
      <vt:variant>
        <vt:i4>0</vt:i4>
      </vt:variant>
      <vt:variant>
        <vt:i4>5</vt:i4>
      </vt:variant>
      <vt:variant>
        <vt:lpwstr>https://www.reuters.com/markets/commodities/sky-high-energy-costs-fan-fire-under-aluminium-zinc-prices-2022-08-12/</vt:lpwstr>
      </vt:variant>
      <vt:variant>
        <vt:lpwstr/>
      </vt:variant>
      <vt:variant>
        <vt:i4>327745</vt:i4>
      </vt:variant>
      <vt:variant>
        <vt:i4>15</vt:i4>
      </vt:variant>
      <vt:variant>
        <vt:i4>0</vt:i4>
      </vt:variant>
      <vt:variant>
        <vt:i4>5</vt:i4>
      </vt:variant>
      <vt:variant>
        <vt:lpwstr>https://publications.jrc.ec.europa.eu/repository/handle/JRC121276</vt:lpwstr>
      </vt:variant>
      <vt:variant>
        <vt:lpwstr/>
      </vt:variant>
      <vt:variant>
        <vt:i4>720970</vt:i4>
      </vt:variant>
      <vt:variant>
        <vt:i4>12</vt:i4>
      </vt:variant>
      <vt:variant>
        <vt:i4>0</vt:i4>
      </vt:variant>
      <vt:variant>
        <vt:i4>5</vt:i4>
      </vt:variant>
      <vt:variant>
        <vt:lpwstr>https://publications.jrc.ec.europa.eu/repository/handle/JRC98333</vt:lpwstr>
      </vt:variant>
      <vt:variant>
        <vt:lpwstr/>
      </vt:variant>
      <vt:variant>
        <vt:i4>458844</vt:i4>
      </vt:variant>
      <vt:variant>
        <vt:i4>9</vt:i4>
      </vt:variant>
      <vt:variant>
        <vt:i4>0</vt:i4>
      </vt:variant>
      <vt:variant>
        <vt:i4>5</vt:i4>
      </vt:variant>
      <vt:variant>
        <vt:lpwstr>https://www.oecd.org/en/about/news/speech-statements/2024/11/96th-session-of-the-steel-committee-statement-by-the-chair.html</vt:lpwstr>
      </vt:variant>
      <vt:variant>
        <vt:lpwstr/>
      </vt:variant>
      <vt:variant>
        <vt:i4>327698</vt:i4>
      </vt:variant>
      <vt:variant>
        <vt:i4>6</vt:i4>
      </vt:variant>
      <vt:variant>
        <vt:i4>0</vt:i4>
      </vt:variant>
      <vt:variant>
        <vt:i4>5</vt:i4>
      </vt:variant>
      <vt:variant>
        <vt:lpwstr>https://international-aluminium.org/statistics/primary-aluminium-production/</vt:lpwstr>
      </vt:variant>
      <vt:variant>
        <vt:lpwstr/>
      </vt:variant>
      <vt:variant>
        <vt:i4>6225950</vt:i4>
      </vt:variant>
      <vt:variant>
        <vt:i4>3</vt:i4>
      </vt:variant>
      <vt:variant>
        <vt:i4>0</vt:i4>
      </vt:variant>
      <vt:variant>
        <vt:i4>5</vt:i4>
      </vt:variant>
      <vt:variant>
        <vt:lpwstr>https://www.mckinsey.com/industries/metals-and-mining/our-insights/the-raw-materials-challenge-how-the-metals-and-mining-sector-will-be-at-the-core-of-enabling-the-energy-transition</vt:lpwstr>
      </vt:variant>
      <vt:variant>
        <vt:lpwstr/>
      </vt:variant>
      <vt:variant>
        <vt:i4>5046308</vt:i4>
      </vt:variant>
      <vt:variant>
        <vt:i4>0</vt:i4>
      </vt:variant>
      <vt:variant>
        <vt:i4>0</vt:i4>
      </vt:variant>
      <vt:variant>
        <vt:i4>5</vt:i4>
      </vt:variant>
      <vt:variant>
        <vt:lpwstr>https://commission.europa.eu/document/download/10017eb1-4722-4333-add2-e0ed18105a34_en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2025-04-09T14:46:00Z</dcterms:created>
  <dcterms:modified xsi:type="dcterms:W3CDTF">2025-04-09T15:50:00Z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0x010100C66AEC4BD0A4BF469319B31048749EAB</vt:lpwstr>
  </property>
  <property fmtid="{D5CDD505-2E9C-101B-9397-08002B2CF9AE}" pid="3" name="EC_TX_All_World_Countries">
    <vt:lpwstr/>
  </property>
  <property fmtid="{D5CDD505-2E9C-101B-9397-08002B2CF9AE}" pid="4" name="EC_TX_Corporate_x0020_Body">
    <vt:lpwstr/>
  </property>
  <property fmtid="{D5CDD505-2E9C-101B-9397-08002B2CF9AE}" pid="5" name="MediaServiceImageTags">
    <vt:lpwstr/>
  </property>
  <property fmtid="{D5CDD505-2E9C-101B-9397-08002B2CF9AE}" pid="6" name="i8c8ab8b63424c5d9f8c4a8434abf670">
    <vt:lpwstr/>
  </property>
  <property fmtid="{D5CDD505-2E9C-101B-9397-08002B2CF9AE}" pid="7" name="p26229aee9004b9f888149fd0449ec68">
    <vt:lpwstr/>
  </property>
  <property fmtid="{D5CDD505-2E9C-101B-9397-08002B2CF9AE}" pid="8" name="eff2cf69f10b4279bbb27215ca009b37">
    <vt:lpwstr/>
  </property>
  <property fmtid="{D5CDD505-2E9C-101B-9397-08002B2CF9AE}" pid="9" name="EC_TX_Policy_Area">
    <vt:lpwstr/>
  </property>
  <property fmtid="{D5CDD505-2E9C-101B-9397-08002B2CF9AE}" pid="10" name="EC_TX_EU_Member_State">
    <vt:lpwstr/>
  </property>
  <property fmtid="{D5CDD505-2E9C-101B-9397-08002B2CF9AE}" pid="11" name="EC_TX_Resource_Type">
    <vt:lpwstr/>
  </property>
  <property fmtid="{D5CDD505-2E9C-101B-9397-08002B2CF9AE}" pid="12" name="j8309f8bc3e645d1a2f07391f8e5795a">
    <vt:lpwstr/>
  </property>
  <property fmtid="{D5CDD505-2E9C-101B-9397-08002B2CF9AE}" pid="13" name="g81cb4d17be94922847ce418ea81f55a">
    <vt:lpwstr/>
  </property>
  <property fmtid="{D5CDD505-2E9C-101B-9397-08002B2CF9AE}" pid="14" name="TaxCatchAll">
    <vt:lpwstr/>
  </property>
  <property fmtid="{D5CDD505-2E9C-101B-9397-08002B2CF9AE}" pid="15" name="EC_TX_EU_Political_Leader">
    <vt:lpwstr/>
  </property>
  <property fmtid="{D5CDD505-2E9C-101B-9397-08002B2CF9AE}" pid="16" name="p6ffe5294acd41c38db3fcc8ababb05f">
    <vt:lpwstr/>
  </property>
  <property fmtid="{D5CDD505-2E9C-101B-9397-08002B2CF9AE}" pid="17" name="k2c54712f93b47eb83e1835ba301b6c6">
    <vt:lpwstr/>
  </property>
  <property fmtid="{D5CDD505-2E9C-101B-9397-08002B2CF9AE}" pid="18" name="EC_TX_Strategic_Priority">
    <vt:lpwstr/>
  </property>
  <property fmtid="{D5CDD505-2E9C-101B-9397-08002B2CF9AE}" pid="19" name="EC_TX_Corporate Body">
    <vt:lpwstr/>
  </property>
  <property fmtid="{D5CDD505-2E9C-101B-9397-08002B2CF9AE}" pid="20" name="Level of sensitivity">
    <vt:lpwstr>Standard treatment</vt:lpwstr>
  </property>
  <property fmtid="{D5CDD505-2E9C-101B-9397-08002B2CF9AE}" pid="21" name="Part">
    <vt:lpwstr>1</vt:lpwstr>
  </property>
  <property fmtid="{D5CDD505-2E9C-101B-9397-08002B2CF9AE}" pid="22" name="Total parts">
    <vt:lpwstr>1</vt:lpwstr>
  </property>
  <property fmtid="{D5CDD505-2E9C-101B-9397-08002B2CF9AE}" pid="23" name="DocStatus">
    <vt:lpwstr>Green</vt:lpwstr>
  </property>
  <property fmtid="{D5CDD505-2E9C-101B-9397-08002B2CF9AE}" pid="24" name="CPTemplateID">
    <vt:lpwstr>CP-014</vt:lpwstr>
  </property>
  <property fmtid="{D5CDD505-2E9C-101B-9397-08002B2CF9AE}" pid="25" name="Last edited using">
    <vt:lpwstr>LW 9.1, Build 20240808</vt:lpwstr>
  </property>
  <property fmtid="{D5CDD505-2E9C-101B-9397-08002B2CF9AE}" pid="26" name="Created using">
    <vt:lpwstr>LW 9.1, Build 20240808</vt:lpwstr>
  </property>
  <property fmtid="{D5CDD505-2E9C-101B-9397-08002B2CF9AE}" pid="27" name="MSIP_Label_6bd9ddd1-4d20-43f6-abfa-fc3c07406f94_Enabled">
    <vt:lpwstr>true</vt:lpwstr>
  </property>
  <property fmtid="{D5CDD505-2E9C-101B-9397-08002B2CF9AE}" pid="28" name="MSIP_Label_6bd9ddd1-4d20-43f6-abfa-fc3c07406f94_SetDate">
    <vt:lpwstr>2025-03-18T14:56:07Z</vt:lpwstr>
  </property>
  <property fmtid="{D5CDD505-2E9C-101B-9397-08002B2CF9AE}" pid="29" name="MSIP_Label_6bd9ddd1-4d20-43f6-abfa-fc3c07406f94_Method">
    <vt:lpwstr>Privileged</vt:lpwstr>
  </property>
  <property fmtid="{D5CDD505-2E9C-101B-9397-08002B2CF9AE}" pid="30" name="MSIP_Label_6bd9ddd1-4d20-43f6-abfa-fc3c07406f94_Name">
    <vt:lpwstr>Commission Use</vt:lpwstr>
  </property>
  <property fmtid="{D5CDD505-2E9C-101B-9397-08002B2CF9AE}" pid="31" name="MSIP_Label_6bd9ddd1-4d20-43f6-abfa-fc3c07406f94_SiteId">
    <vt:lpwstr>b24c8b06-522c-46fe-9080-70926f8dddb1</vt:lpwstr>
  </property>
  <property fmtid="{D5CDD505-2E9C-101B-9397-08002B2CF9AE}" pid="32" name="MSIP_Label_6bd9ddd1-4d20-43f6-abfa-fc3c07406f94_ActionId">
    <vt:lpwstr>12ff50be-9521-4b02-8beb-0be9947a86de</vt:lpwstr>
  </property>
  <property fmtid="{D5CDD505-2E9C-101B-9397-08002B2CF9AE}" pid="33" name="MSIP_Label_6bd9ddd1-4d20-43f6-abfa-fc3c07406f94_ContentBits">
    <vt:lpwstr>0</vt:lpwstr>
  </property>
</Properties>
</file>