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AE32E" w14:textId="336810E2" w:rsidR="00C23CB1" w:rsidRDefault="00737AB7" w:rsidP="00737AB7">
      <w:pPr>
        <w:pStyle w:val="Pagedecouverture"/>
        <w:rPr>
          <w:noProof/>
        </w:rPr>
      </w:pPr>
      <w:bookmarkStart w:id="0" w:name="LW_BM_COVERPAGE"/>
      <w:r>
        <w:rPr>
          <w:noProof/>
        </w:rPr>
        <w:pict w14:anchorId="032C81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85DBDD1-1FCC-4B77-9A1C-5969F94790DF" style="width:455.25pt;height:336.75pt">
            <v:imagedata r:id="rId11" o:title=""/>
          </v:shape>
        </w:pict>
      </w:r>
    </w:p>
    <w:bookmarkEnd w:id="0"/>
    <w:p w14:paraId="52E05530" w14:textId="4D61DF79" w:rsidR="00051A99" w:rsidRDefault="00051A99" w:rsidP="00051A99">
      <w:pPr>
        <w:rPr>
          <w:noProof/>
        </w:rPr>
        <w:sectPr w:rsidR="00051A99" w:rsidSect="00737AB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65D9E46" w14:textId="0D73CEBF" w:rsidR="005C38EE" w:rsidRPr="00085D02" w:rsidRDefault="006839EF" w:rsidP="358C4304">
      <w:pPr>
        <w:widowControl w:val="0"/>
        <w:jc w:val="both"/>
        <w:rPr>
          <w:rFonts w:ascii="Times New Roman" w:hAnsi="Times New Roman" w:cs="Times New Roman"/>
          <w:noProof/>
          <w:color w:val="000000"/>
          <w:sz w:val="28"/>
          <w:szCs w:val="28"/>
          <w:shd w:val="clear" w:color="auto" w:fill="FFFFFF"/>
        </w:rPr>
      </w:pPr>
      <w:bookmarkStart w:id="1" w:name="_Hlk158296309"/>
      <w:bookmarkStart w:id="2" w:name="_Hlk151386416"/>
      <w:bookmarkStart w:id="3" w:name="_GoBack"/>
      <w:bookmarkEnd w:id="3"/>
      <w:r>
        <w:rPr>
          <w:rFonts w:ascii="Times New Roman" w:hAnsi="Times New Roman"/>
          <w:b/>
          <w:noProof/>
          <w:color w:val="000000"/>
          <w:sz w:val="28"/>
          <w:shd w:val="clear" w:color="auto" w:fill="FFFFFF"/>
        </w:rPr>
        <w:lastRenderedPageBreak/>
        <w:t>Introduction</w:t>
      </w:r>
    </w:p>
    <w:p w14:paraId="7497F36F" w14:textId="2D3A95F8" w:rsidR="009D359F" w:rsidRDefault="6B0697E2" w:rsidP="095A0FCB">
      <w:pPr>
        <w:jc w:val="both"/>
        <w:rPr>
          <w:rFonts w:ascii="Times New Roman" w:hAnsi="Times New Roman" w:cs="Times New Roman"/>
          <w:noProof/>
          <w:sz w:val="24"/>
          <w:szCs w:val="24"/>
        </w:rPr>
      </w:pPr>
      <w:r>
        <w:rPr>
          <w:rFonts w:ascii="Times New Roman" w:hAnsi="Times New Roman"/>
          <w:b/>
          <w:noProof/>
          <w:sz w:val="24"/>
        </w:rPr>
        <w:t>La capacité de l’Union européenne (UE) à se montrer compétitive et à progresser sur la voie du succès au sein de l’économie mondiale en dépit des défis géopolitiques actuels est essentielle à la prospérité de l’Europe.</w:t>
      </w:r>
      <w:r>
        <w:rPr>
          <w:rFonts w:ascii="Times New Roman" w:hAnsi="Times New Roman"/>
          <w:noProof/>
          <w:sz w:val="24"/>
        </w:rPr>
        <w:t xml:space="preserve"> Il lui faut, dans cette optique, faire toute la clarté sur ses forces et ses faiblesses afin d’étayer une stratégie tournée vers l’avenir lui permettant de remédier à ses lacunes, de renforcer ses atouts et de se créer de nouvelles perspectives.</w:t>
      </w:r>
    </w:p>
    <w:p w14:paraId="5179D5F5" w14:textId="35D8F51D" w:rsidR="3445E00B" w:rsidRDefault="66BF1E79" w:rsidP="00B565C2">
      <w:pPr>
        <w:spacing w:after="240"/>
        <w:jc w:val="both"/>
        <w:rPr>
          <w:rFonts w:ascii="Times New Roman" w:eastAsia="Times New Roman" w:hAnsi="Times New Roman" w:cs="Times New Roman"/>
          <w:noProof/>
          <w:sz w:val="24"/>
          <w:szCs w:val="24"/>
        </w:rPr>
      </w:pPr>
      <w:r>
        <w:rPr>
          <w:rFonts w:ascii="Times New Roman" w:hAnsi="Times New Roman"/>
          <w:b/>
          <w:noProof/>
          <w:sz w:val="24"/>
        </w:rPr>
        <w:t>Le marché unique, qui compte près de 450 millions de personnes et 23 millions d’entreprises pour un PIB s’élevant à 17 000 milliards d’EUR, est au cœur de la compétitivité à long terme de l’UE.</w:t>
      </w:r>
      <w:r w:rsidRPr="009D31C9">
        <w:rPr>
          <w:rFonts w:ascii="Times New Roman" w:hAnsi="Times New Roman"/>
          <w:bCs/>
          <w:noProof/>
          <w:sz w:val="24"/>
        </w:rPr>
        <w:t xml:space="preserve"> </w:t>
      </w:r>
      <w:r>
        <w:rPr>
          <w:rFonts w:ascii="Times New Roman" w:hAnsi="Times New Roman"/>
          <w:noProof/>
          <w:sz w:val="24"/>
        </w:rPr>
        <w:t>Il fait de l’UE</w:t>
      </w:r>
      <w:r>
        <w:rPr>
          <w:rFonts w:ascii="Times New Roman" w:hAnsi="Times New Roman"/>
          <w:noProof/>
          <w:color w:val="000000" w:themeColor="text1"/>
          <w:sz w:val="24"/>
        </w:rPr>
        <w:t xml:space="preserve"> l’une des trois plus grandes puissances économiques mondiales et pèse environ un sixième de l’économie internationale</w:t>
      </w:r>
      <w:r>
        <w:rPr>
          <w:rFonts w:ascii="Times New Roman" w:hAnsi="Times New Roman"/>
          <w:noProof/>
          <w:sz w:val="24"/>
        </w:rPr>
        <w:t>.</w:t>
      </w:r>
      <w:r>
        <w:rPr>
          <w:rFonts w:ascii="Times New Roman" w:hAnsi="Times New Roman"/>
          <w:noProof/>
          <w:color w:val="000000" w:themeColor="text1"/>
          <w:sz w:val="24"/>
        </w:rPr>
        <w:t xml:space="preserve"> Les obstacles qui persistent au sein du marché unique et la charge administrative l’empêchent toutefois de déployer tout son potentiel. L’intégration du marché unique a connu un ralentissement dans sa progression, tandis que des entraves demeurent, en particulier dans le secteur des services. Les entreprises, notamment les PME, font état des difficultés auxquelles elles sont confrontées pour gérer la charge administrative et se conformer à la réglementation édictée par les pouvoirs publics. Ces éléments rendent plus difficile l’exercice d’une activité commerciale et réduisent les possibilités de développement des entreprises.</w:t>
      </w:r>
    </w:p>
    <w:p w14:paraId="2B90D0E2" w14:textId="4C375B63" w:rsidR="002720E4" w:rsidRDefault="00EC6808" w:rsidP="0072002C">
      <w:pPr>
        <w:widowControl w:val="0"/>
        <w:jc w:val="both"/>
        <w:rPr>
          <w:rFonts w:ascii="Times New Roman" w:hAnsi="Times New Roman" w:cs="Times New Roman"/>
          <w:noProof/>
          <w:sz w:val="24"/>
          <w:szCs w:val="24"/>
        </w:rPr>
      </w:pPr>
      <w:r>
        <w:rPr>
          <w:rFonts w:ascii="Times New Roman" w:hAnsi="Times New Roman"/>
          <w:b/>
          <w:noProof/>
          <w:sz w:val="24"/>
        </w:rPr>
        <w:t>La compétitivité de l’économie de l’UE est soumise à une pression croissante à plusieurs égards.</w:t>
      </w:r>
      <w:r w:rsidRPr="009D31C9">
        <w:rPr>
          <w:rFonts w:ascii="Times New Roman" w:hAnsi="Times New Roman"/>
          <w:bCs/>
          <w:noProof/>
          <w:sz w:val="24"/>
        </w:rPr>
        <w:t xml:space="preserve"> </w:t>
      </w:r>
      <w:r>
        <w:rPr>
          <w:rFonts w:ascii="Times New Roman" w:hAnsi="Times New Roman"/>
          <w:noProof/>
          <w:sz w:val="24"/>
        </w:rPr>
        <w:t>Elle pâtit des prix structurellement élevés de l’énergie et de l’électricité. Ceux-ci sont actuellement deux à trois fois supérieurs aux prix pratiqués aux États-Unis</w:t>
      </w:r>
      <w:r w:rsidR="00B1182C">
        <w:rPr>
          <w:rStyle w:val="FootnoteReference"/>
          <w:rFonts w:ascii="Times New Roman" w:hAnsi="Times New Roman" w:cs="Times New Roman"/>
          <w:noProof/>
          <w:sz w:val="24"/>
          <w:szCs w:val="24"/>
        </w:rPr>
        <w:footnoteReference w:id="2"/>
      </w:r>
      <w:r>
        <w:rPr>
          <w:rFonts w:ascii="Times New Roman" w:hAnsi="Times New Roman"/>
          <w:noProof/>
          <w:sz w:val="24"/>
        </w:rPr>
        <w:t>. Sur la voie de l’investissement, les entreprises européennes éprouvent des difficultés à commercialiser leurs résultats de recherche, car elles sont entravées dans cette démarche par un manque d’investissements publics et privés dans les technologies et les secteurs les plus prometteurs. Le développement et l’adoption de technologies numériques et d’autres technologies avancées accusent par conséquent un retard par rapport aux économies concurrentes. Il s’y ajoute un manque de main-d’œuvre qualifiée. La situation géopolitique de plus en plus instable appelle à accorder une attention particulière aux dépendances stratégiques.</w:t>
      </w:r>
    </w:p>
    <w:p w14:paraId="5725FDED" w14:textId="1B4DF361" w:rsidR="008B7B2D" w:rsidRPr="00E95886" w:rsidRDefault="0039090D" w:rsidP="003D4EE0">
      <w:pPr>
        <w:widowControl w:val="0"/>
        <w:jc w:val="both"/>
        <w:rPr>
          <w:rFonts w:ascii="Times New Roman" w:hAnsi="Times New Roman" w:cs="Times New Roman"/>
          <w:noProof/>
          <w:sz w:val="24"/>
          <w:szCs w:val="24"/>
        </w:rPr>
      </w:pPr>
      <w:r>
        <w:rPr>
          <w:rFonts w:ascii="Times New Roman" w:hAnsi="Times New Roman"/>
          <w:b/>
          <w:noProof/>
          <w:sz w:val="24"/>
        </w:rPr>
        <w:t>En matière de productivité, l’Europe reste à la traîne par rapport aux États-Unis, mais dispose d’un fort potentiel de rattrapage.</w:t>
      </w:r>
      <w:r w:rsidRPr="009D31C9">
        <w:rPr>
          <w:rFonts w:ascii="Times New Roman" w:hAnsi="Times New Roman"/>
          <w:bCs/>
          <w:noProof/>
          <w:sz w:val="24"/>
        </w:rPr>
        <w:t xml:space="preserve"> </w:t>
      </w:r>
      <w:r>
        <w:rPr>
          <w:rFonts w:ascii="Times New Roman" w:hAnsi="Times New Roman"/>
          <w:noProof/>
          <w:sz w:val="24"/>
        </w:rPr>
        <w:t>La productivité de la main-d’œuvre de l’UE, mesurée par le PIB en SPA par heure travaillée, correspondait à 77,8 % des niveaux américains en 2023 (voir le graphique 1). Ces dernières années, elle a en revanche été supérieure à celle du Royaume-Uni et du Japon, sur le plan tant des niveaux que de la dynamique. Au sein de l’UE, cette moyenne masque des disparités, puisque les États membres qui ont adhéré à l’Union plus récemment rattrapent les niveaux américains.</w:t>
      </w:r>
    </w:p>
    <w:p w14:paraId="410D4435" w14:textId="53BCE563" w:rsidR="000B486D" w:rsidRDefault="00B21781" w:rsidP="000B486D">
      <w:pPr>
        <w:spacing w:after="120"/>
        <w:jc w:val="both"/>
        <w:rPr>
          <w:rFonts w:ascii="Times New Roman" w:hAnsi="Times New Roman" w:cs="Times New Roman"/>
          <w:noProof/>
          <w:sz w:val="24"/>
          <w:szCs w:val="24"/>
        </w:rPr>
      </w:pPr>
      <w:r>
        <w:rPr>
          <w:rFonts w:ascii="Times New Roman" w:hAnsi="Times New Roman"/>
          <w:b/>
          <w:noProof/>
          <w:sz w:val="24"/>
        </w:rPr>
        <w:t>L’Europe perd de son attractivité en tant que destination propice aux affaires.</w:t>
      </w:r>
      <w:r w:rsidRPr="009D31C9">
        <w:rPr>
          <w:rFonts w:ascii="Times New Roman" w:hAnsi="Times New Roman"/>
          <w:bCs/>
          <w:noProof/>
          <w:sz w:val="24"/>
        </w:rPr>
        <w:t xml:space="preserve"> </w:t>
      </w:r>
      <w:r>
        <w:rPr>
          <w:rFonts w:ascii="Times New Roman" w:hAnsi="Times New Roman"/>
          <w:noProof/>
          <w:sz w:val="24"/>
        </w:rPr>
        <w:t>Depuis 2008, un tiers des sociétés dites «licornes» ont décidé de se réimplanter à l’étranger</w:t>
      </w:r>
      <w:r w:rsidR="0060594E" w:rsidRPr="002E5E51">
        <w:rPr>
          <w:rFonts w:ascii="Times New Roman" w:hAnsi="Times New Roman" w:cs="Times New Roman"/>
          <w:noProof/>
          <w:sz w:val="24"/>
          <w:szCs w:val="24"/>
          <w:vertAlign w:val="superscript"/>
          <w:lang w:val="en-US"/>
        </w:rPr>
        <w:footnoteReference w:id="3"/>
      </w:r>
      <w:r>
        <w:rPr>
          <w:rFonts w:ascii="Times New Roman" w:hAnsi="Times New Roman"/>
          <w:noProof/>
          <w:sz w:val="24"/>
        </w:rPr>
        <w:t>. Seules 4 des 50 plus grandes entreprises technologiques sont établies dans l’UE et, au cours des cinquante dernières années</w:t>
      </w:r>
      <w:r w:rsidR="00450929" w:rsidRPr="002E5E51">
        <w:rPr>
          <w:rFonts w:ascii="Times New Roman" w:hAnsi="Times New Roman" w:cs="Times New Roman"/>
          <w:noProof/>
          <w:sz w:val="24"/>
          <w:szCs w:val="24"/>
          <w:vertAlign w:val="superscript"/>
          <w:lang w:val="en-US"/>
        </w:rPr>
        <w:footnoteReference w:id="4"/>
      </w:r>
      <w:r>
        <w:rPr>
          <w:rFonts w:ascii="Times New Roman" w:hAnsi="Times New Roman"/>
          <w:noProof/>
          <w:sz w:val="24"/>
        </w:rPr>
        <w:t>, aucune des sociétés les plus valorisées de l’Union n’a été créée à partir de zéro</w:t>
      </w:r>
      <w:r w:rsidR="002E5E51" w:rsidRPr="002E5E51">
        <w:rPr>
          <w:rFonts w:ascii="Times New Roman" w:hAnsi="Times New Roman" w:cs="Times New Roman"/>
          <w:noProof/>
          <w:sz w:val="24"/>
          <w:szCs w:val="24"/>
          <w:vertAlign w:val="superscript"/>
          <w:lang w:val="en-US"/>
        </w:rPr>
        <w:footnoteReference w:id="5"/>
      </w:r>
      <w:r>
        <w:rPr>
          <w:rFonts w:ascii="Times New Roman" w:hAnsi="Times New Roman"/>
          <w:noProof/>
          <w:sz w:val="24"/>
        </w:rPr>
        <w:t>, ce qui témoigne d’un manque de dynamisme du marché, d’un climat d’innovation inadéquat et d’obstacles élevés à l’entrée et au développement sur le marché. En conséquence, la confiance dans l’UE en tant que lieu d’activité économique affiche un recul, qui se matérialise par une diminution des investissements directs étrangers et une importante tendance des ménages à investir leurs économies ailleurs. Dans le même temps, les investissements dans des secteurs et des technologies clés pour la compétitivité de l’UE présentent un grand potentiel d’accroissement, qui puise dans les atouts de l’UE, sous réserve de la mise en place des conditions-cadres adéquates.</w:t>
      </w:r>
      <w:bookmarkEnd w:id="1"/>
    </w:p>
    <w:p w14:paraId="3C98129A" w14:textId="4E0BB76A" w:rsidR="000B486D" w:rsidRPr="00F1586B" w:rsidRDefault="000B486D" w:rsidP="000B486D">
      <w:pPr>
        <w:spacing w:after="120"/>
        <w:jc w:val="both"/>
        <w:rPr>
          <w:rFonts w:ascii="Times New Roman" w:hAnsi="Times New Roman" w:cs="Times New Roman"/>
          <w:noProof/>
          <w:sz w:val="24"/>
          <w:szCs w:val="24"/>
        </w:rPr>
      </w:pPr>
      <w:r>
        <w:rPr>
          <w:rFonts w:ascii="Times New Roman" w:hAnsi="Times New Roman"/>
          <w:b/>
          <w:noProof/>
          <w:sz w:val="24"/>
        </w:rPr>
        <w:t>Le rapport annuel sur le marché unique et la compétitivité dépeint le contexte analytique de la boussole pour la compétitivité</w:t>
      </w:r>
      <w:r>
        <w:rPr>
          <w:rFonts w:ascii="Times New Roman" w:hAnsi="Times New Roman"/>
          <w:noProof/>
          <w:sz w:val="24"/>
        </w:rPr>
        <w:t>, présentée simultanément en tant que première initiative majeure de la nouvelle Commission.</w:t>
      </w:r>
      <w:r w:rsidRPr="009D31C9">
        <w:rPr>
          <w:rFonts w:ascii="Times New Roman" w:hAnsi="Times New Roman"/>
          <w:bCs/>
          <w:noProof/>
          <w:sz w:val="24"/>
        </w:rPr>
        <w:t xml:space="preserve"> </w:t>
      </w:r>
      <w:r>
        <w:rPr>
          <w:rFonts w:ascii="Times New Roman" w:hAnsi="Times New Roman"/>
          <w:noProof/>
          <w:sz w:val="24"/>
        </w:rPr>
        <w:t>Ce rapport vise à poser un diagnostic à l’appui du pacte pour une industrie propre et de la stratégie pour le marché unique. Il se fonde sur les rapports de l’ancien Premier ministre Enrico Letta sur le marché unique</w:t>
      </w:r>
      <w:r w:rsidRPr="00FF6640">
        <w:rPr>
          <w:rStyle w:val="FootnoteReference"/>
          <w:rFonts w:ascii="Times New Roman" w:hAnsi="Times New Roman" w:cs="Times New Roman"/>
          <w:noProof/>
          <w:sz w:val="24"/>
          <w:szCs w:val="24"/>
        </w:rPr>
        <w:footnoteReference w:id="6"/>
      </w:r>
      <w:r>
        <w:rPr>
          <w:rFonts w:ascii="Times New Roman" w:hAnsi="Times New Roman"/>
          <w:noProof/>
          <w:sz w:val="24"/>
        </w:rPr>
        <w:t>, de l’ancien Premier ministre Mario Draghi sur la compétitivité</w:t>
      </w:r>
      <w:r w:rsidRPr="00FF6640">
        <w:rPr>
          <w:rStyle w:val="FootnoteReference"/>
          <w:rFonts w:ascii="Times New Roman" w:hAnsi="Times New Roman" w:cs="Times New Roman"/>
          <w:noProof/>
          <w:sz w:val="24"/>
          <w:szCs w:val="24"/>
        </w:rPr>
        <w:footnoteReference w:id="7"/>
      </w:r>
      <w:r>
        <w:rPr>
          <w:rFonts w:ascii="Times New Roman" w:hAnsi="Times New Roman"/>
          <w:noProof/>
          <w:sz w:val="24"/>
        </w:rPr>
        <w:t xml:space="preserve"> et de l’ancien président Sauli Niinistö sur la préparation</w:t>
      </w:r>
      <w:r w:rsidRPr="00FF6640">
        <w:rPr>
          <w:rStyle w:val="FootnoteReference"/>
          <w:rFonts w:ascii="Times New Roman" w:hAnsi="Times New Roman" w:cs="Times New Roman"/>
          <w:noProof/>
          <w:sz w:val="24"/>
          <w:szCs w:val="24"/>
        </w:rPr>
        <w:footnoteReference w:id="8"/>
      </w:r>
      <w:r>
        <w:rPr>
          <w:rFonts w:ascii="Times New Roman" w:hAnsi="Times New Roman"/>
          <w:noProof/>
          <w:sz w:val="24"/>
        </w:rPr>
        <w:t>. Il répond aux demandes des entreprises visant à placer la compétitivité au centre des priorités de l’UE</w:t>
      </w:r>
      <w:r w:rsidRPr="003D38BE">
        <w:rPr>
          <w:rStyle w:val="FootnoteReference"/>
          <w:rFonts w:ascii="Times New Roman" w:hAnsi="Times New Roman" w:cs="Times New Roman"/>
          <w:bCs/>
          <w:noProof/>
          <w:sz w:val="24"/>
          <w:szCs w:val="24"/>
        </w:rPr>
        <w:footnoteReference w:id="9"/>
      </w:r>
      <w:r>
        <w:rPr>
          <w:rFonts w:ascii="Times New Roman" w:hAnsi="Times New Roman"/>
          <w:noProof/>
          <w:sz w:val="24"/>
        </w:rPr>
        <w:t>.</w:t>
      </w:r>
    </w:p>
    <w:p w14:paraId="0A9FED50" w14:textId="45C1DA67" w:rsidR="0014045E" w:rsidRPr="008B7B2D" w:rsidRDefault="0014045E" w:rsidP="00E9199A">
      <w:pPr>
        <w:widowControl w:val="0"/>
        <w:spacing w:after="120" w:line="276" w:lineRule="auto"/>
        <w:jc w:val="both"/>
        <w:rPr>
          <w:rFonts w:ascii="Times New Roman" w:hAnsi="Times New Roman" w:cs="Times New Roman"/>
          <w:noProof/>
          <w:sz w:val="24"/>
          <w:szCs w:val="24"/>
        </w:rPr>
      </w:pPr>
      <w:r>
        <w:rPr>
          <w:rFonts w:ascii="Times New Roman" w:hAnsi="Times New Roman"/>
          <w:b/>
          <w:noProof/>
          <w:color w:val="000000" w:themeColor="text1"/>
          <w:sz w:val="24"/>
        </w:rPr>
        <w:t>Graphique 1:</w:t>
      </w:r>
      <w:r w:rsidRPr="009D31C9">
        <w:rPr>
          <w:rFonts w:ascii="Times New Roman" w:hAnsi="Times New Roman"/>
          <w:bCs/>
          <w:noProof/>
          <w:color w:val="000000" w:themeColor="text1"/>
          <w:sz w:val="24"/>
        </w:rPr>
        <w:t xml:space="preserve"> </w:t>
      </w:r>
      <w:r>
        <w:rPr>
          <w:rFonts w:ascii="Times New Roman" w:hAnsi="Times New Roman"/>
          <w:noProof/>
          <w:color w:val="000000" w:themeColor="text1"/>
          <w:sz w:val="24"/>
        </w:rPr>
        <w:t>Évolution de la productivité de la main-d’œuvre dans l’UE et dans d’autres économies avancées</w:t>
      </w:r>
      <w:r w:rsidR="003A412B">
        <w:rPr>
          <w:rFonts w:ascii="Times New Roman" w:hAnsi="Times New Roman"/>
          <w:noProof/>
          <w:color w:val="000000" w:themeColor="text1"/>
          <w:sz w:val="24"/>
        </w:rPr>
        <w:t>.</w:t>
      </w:r>
    </w:p>
    <w:p w14:paraId="345FCAD0" w14:textId="225E3A91" w:rsidR="0014045E" w:rsidRDefault="0022764F" w:rsidP="0014045E">
      <w:pPr>
        <w:widowControl w:val="0"/>
        <w:spacing w:after="0"/>
        <w:jc w:val="center"/>
        <w:rPr>
          <w:rFonts w:ascii="Times New Roman" w:eastAsia="Times New Roman" w:hAnsi="Times New Roman" w:cs="Times New Roman"/>
          <w:b/>
          <w:bCs/>
          <w:noProof/>
          <w:color w:val="000000" w:themeColor="text1"/>
          <w:sz w:val="24"/>
          <w:szCs w:val="24"/>
        </w:rPr>
      </w:pPr>
      <w:r w:rsidRPr="0022764F">
        <w:rPr>
          <w:rFonts w:ascii="Times New Roman" w:eastAsia="Times New Roman" w:hAnsi="Times New Roman" w:cs="Times New Roman"/>
          <w:b/>
          <w:bCs/>
          <w:noProof/>
          <w:color w:val="000000" w:themeColor="text1"/>
          <w:sz w:val="24"/>
          <w:szCs w:val="24"/>
          <w:lang w:val="en-GB" w:eastAsia="en-GB"/>
        </w:rPr>
        <w:drawing>
          <wp:inline distT="0" distB="0" distL="0" distR="0" wp14:anchorId="6D24FEAE" wp14:editId="26E027E6">
            <wp:extent cx="5024673" cy="3329743"/>
            <wp:effectExtent l="0" t="0" r="5080" b="4445"/>
            <wp:docPr id="20572167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36357" cy="3337486"/>
                    </a:xfrm>
                    <a:prstGeom prst="rect">
                      <a:avLst/>
                    </a:prstGeom>
                    <a:noFill/>
                    <a:ln>
                      <a:noFill/>
                    </a:ln>
                  </pic:spPr>
                </pic:pic>
              </a:graphicData>
            </a:graphic>
          </wp:inline>
        </w:drawing>
      </w:r>
    </w:p>
    <w:p w14:paraId="59F4629B" w14:textId="77777777" w:rsidR="0014045E" w:rsidRDefault="0014045E" w:rsidP="000B37DF">
      <w:pPr>
        <w:widowControl w:val="0"/>
        <w:spacing w:after="0"/>
        <w:rPr>
          <w:rFonts w:ascii="Times New Roman" w:hAnsi="Times New Roman" w:cs="Times New Roman"/>
          <w:noProof/>
          <w:sz w:val="20"/>
          <w:szCs w:val="20"/>
        </w:rPr>
      </w:pPr>
      <w:r>
        <w:rPr>
          <w:rFonts w:ascii="Times New Roman" w:hAnsi="Times New Roman"/>
          <w:b/>
          <w:noProof/>
          <w:sz w:val="20"/>
        </w:rPr>
        <w:t>Source:</w:t>
      </w:r>
      <w:r>
        <w:rPr>
          <w:rFonts w:ascii="Times New Roman" w:hAnsi="Times New Roman"/>
          <w:noProof/>
          <w:sz w:val="20"/>
        </w:rPr>
        <w:t xml:space="preserve"> Base de données AMECO. PIB par habitant en parités de pouvoir d’achat (PPA) par heure travaillée. Valeurs indexées avec l’UE à 100 en 2023.</w:t>
      </w:r>
    </w:p>
    <w:p w14:paraId="7AE7F115" w14:textId="77777777" w:rsidR="0014045E" w:rsidRPr="00F1586B" w:rsidRDefault="0014045E" w:rsidP="0014045E">
      <w:pPr>
        <w:widowControl w:val="0"/>
        <w:spacing w:after="0"/>
        <w:rPr>
          <w:rFonts w:ascii="Times New Roman" w:hAnsi="Times New Roman" w:cs="Times New Roman"/>
          <w:noProof/>
          <w:sz w:val="20"/>
          <w:szCs w:val="20"/>
        </w:rPr>
      </w:pPr>
    </w:p>
    <w:p w14:paraId="1BC86608" w14:textId="37499253" w:rsidR="006B429D" w:rsidRDefault="006B429D" w:rsidP="000B486D">
      <w:pPr>
        <w:jc w:val="both"/>
        <w:rPr>
          <w:rFonts w:ascii="Times New Roman" w:hAnsi="Times New Roman" w:cs="Times New Roman"/>
          <w:b/>
          <w:noProof/>
          <w:sz w:val="24"/>
          <w:szCs w:val="24"/>
        </w:rPr>
      </w:pPr>
      <w:r>
        <w:rPr>
          <w:rFonts w:ascii="Times New Roman" w:hAnsi="Times New Roman"/>
          <w:b/>
          <w:noProof/>
          <w:sz w:val="24"/>
        </w:rPr>
        <w:t>S’appuyant sur 22 indicateurs clés de performance (ICP)</w:t>
      </w:r>
      <w:r w:rsidR="000951FE">
        <w:rPr>
          <w:rStyle w:val="FootnoteReference"/>
          <w:rFonts w:ascii="Times New Roman" w:hAnsi="Times New Roman" w:cs="Times New Roman"/>
          <w:b/>
          <w:noProof/>
          <w:sz w:val="24"/>
          <w:szCs w:val="24"/>
        </w:rPr>
        <w:footnoteReference w:id="10"/>
      </w:r>
      <w:r>
        <w:rPr>
          <w:rFonts w:ascii="Times New Roman" w:hAnsi="Times New Roman"/>
          <w:b/>
          <w:noProof/>
          <w:sz w:val="24"/>
        </w:rPr>
        <w:t>, le rapport fournit une analyse des principaux moteurs de la compétitivité et de la productivité à long terme de l’UE et présente la situation du marché unique.</w:t>
      </w:r>
      <w:r w:rsidRPr="009D31C9">
        <w:rPr>
          <w:rFonts w:ascii="Times New Roman" w:hAnsi="Times New Roman"/>
          <w:bCs/>
          <w:noProof/>
          <w:sz w:val="24"/>
        </w:rPr>
        <w:t xml:space="preserve"> </w:t>
      </w:r>
      <w:r>
        <w:rPr>
          <w:rFonts w:ascii="Times New Roman" w:hAnsi="Times New Roman"/>
          <w:noProof/>
          <w:sz w:val="24"/>
        </w:rPr>
        <w:t>Il offre une base de discussion avec les États membres et le Parlement européen et permet ainsi de faire le point sur le marché unique et la compétitivité de l’UE dans le cadre d’un examen annuel des progrès accomplis</w:t>
      </w:r>
      <w:r w:rsidRPr="005D0DF5">
        <w:rPr>
          <w:rStyle w:val="FootnoteReference"/>
          <w:rFonts w:ascii="Times New Roman" w:hAnsi="Times New Roman" w:cs="Times New Roman"/>
          <w:noProof/>
          <w:sz w:val="24"/>
          <w:szCs w:val="24"/>
        </w:rPr>
        <w:footnoteReference w:id="11"/>
      </w:r>
      <w:r>
        <w:rPr>
          <w:rFonts w:ascii="Times New Roman" w:hAnsi="Times New Roman"/>
          <w:noProof/>
          <w:sz w:val="24"/>
        </w:rPr>
        <w:t>, faisant suite à une demande du Conseil européen</w:t>
      </w:r>
      <w:r w:rsidR="00C039BC">
        <w:rPr>
          <w:rStyle w:val="FootnoteReference"/>
          <w:rFonts w:ascii="Times New Roman" w:hAnsi="Times New Roman" w:cs="Times New Roman"/>
          <w:noProof/>
          <w:sz w:val="24"/>
          <w:szCs w:val="24"/>
        </w:rPr>
        <w:footnoteReference w:id="12"/>
      </w:r>
      <w:r>
        <w:rPr>
          <w:rFonts w:ascii="Times New Roman" w:hAnsi="Times New Roman"/>
          <w:noProof/>
          <w:sz w:val="24"/>
        </w:rPr>
        <w:t xml:space="preserve"> basée sur la communication de 2023 relative à la compétitivité à long terme de l’UE</w:t>
      </w:r>
      <w:r w:rsidR="008068E5">
        <w:rPr>
          <w:rStyle w:val="FootnoteReference"/>
          <w:rFonts w:ascii="Times New Roman" w:hAnsi="Times New Roman" w:cs="Times New Roman"/>
          <w:noProof/>
          <w:sz w:val="24"/>
          <w:szCs w:val="24"/>
        </w:rPr>
        <w:footnoteReference w:id="13"/>
      </w:r>
      <w:r>
        <w:rPr>
          <w:rFonts w:ascii="Times New Roman" w:hAnsi="Times New Roman"/>
          <w:noProof/>
          <w:sz w:val="24"/>
        </w:rPr>
        <w:t>. Il est étayé par deux documents de travail des services de la Commission qui fournissent des données et analyses complémentaires concernant les ICP, un aperçu des mesures de résilience prises par certains acteurs mondiaux et un suivi des écosystèmes industriels. Ces éléments sont complétés par le tableau d’affichage du marché unique et de la compétitivité, qui comporte 150 indicateurs supplémentaires</w:t>
      </w:r>
      <w:r w:rsidR="006E68FC">
        <w:rPr>
          <w:rStyle w:val="FootnoteReference"/>
          <w:rFonts w:ascii="Times New Roman" w:hAnsi="Times New Roman" w:cs="Times New Roman"/>
          <w:bCs/>
          <w:noProof/>
          <w:sz w:val="24"/>
          <w:szCs w:val="24"/>
        </w:rPr>
        <w:footnoteReference w:id="14"/>
      </w:r>
      <w:r>
        <w:rPr>
          <w:rFonts w:ascii="Times New Roman" w:hAnsi="Times New Roman"/>
          <w:noProof/>
          <w:sz w:val="24"/>
        </w:rPr>
        <w:t>.</w:t>
      </w:r>
    </w:p>
    <w:p w14:paraId="541ED4BF" w14:textId="4FB19800" w:rsidR="00787AC8" w:rsidRDefault="000B486D" w:rsidP="000B486D">
      <w:pPr>
        <w:jc w:val="both"/>
        <w:rPr>
          <w:rFonts w:ascii="Times New Roman" w:hAnsi="Times New Roman" w:cs="Times New Roman"/>
          <w:noProof/>
          <w:sz w:val="24"/>
          <w:szCs w:val="24"/>
        </w:rPr>
      </w:pPr>
      <w:r>
        <w:rPr>
          <w:rFonts w:ascii="Times New Roman" w:hAnsi="Times New Roman"/>
          <w:b/>
          <w:noProof/>
          <w:sz w:val="24"/>
        </w:rPr>
        <w:t xml:space="preserve">Le rapport recense les points forts sur lesquels s’appuyer et les faiblesses à </w:t>
      </w:r>
      <w:r w:rsidR="001515EE">
        <w:rPr>
          <w:rFonts w:ascii="Times New Roman" w:hAnsi="Times New Roman"/>
          <w:b/>
          <w:noProof/>
          <w:sz w:val="24"/>
        </w:rPr>
        <w:t>pallier</w:t>
      </w:r>
      <w:r>
        <w:rPr>
          <w:rFonts w:ascii="Times New Roman" w:hAnsi="Times New Roman"/>
          <w:b/>
          <w:noProof/>
          <w:sz w:val="24"/>
        </w:rPr>
        <w:t>.</w:t>
      </w:r>
      <w:r w:rsidRPr="009D31C9">
        <w:rPr>
          <w:rFonts w:ascii="Times New Roman" w:hAnsi="Times New Roman"/>
          <w:bCs/>
          <w:noProof/>
          <w:sz w:val="24"/>
        </w:rPr>
        <w:t xml:space="preserve"> </w:t>
      </w:r>
      <w:r>
        <w:rPr>
          <w:rFonts w:ascii="Times New Roman" w:hAnsi="Times New Roman"/>
          <w:noProof/>
          <w:sz w:val="24"/>
        </w:rPr>
        <w:t>Il évalue tout d’abord le fonctionnement du marché unique, puis fait le point sur la compétitivité de l’UE selon les trois axes de la boussole pour la compétitivité. Il examine les progrès accomplis par l’UE pour combler l’écart en matière d’innovation. Le rapport présente ensuite l’état d’avancement des moteurs de la décarbonation de l’industrie et de l’investissement. Enfin, il s’intéresse aux progrès réalisés en vue du renforcement de la sécurité économique et de la réduction des dépendances.</w:t>
      </w:r>
    </w:p>
    <w:p w14:paraId="76FE401C" w14:textId="24697E5D" w:rsidR="001D7E7C" w:rsidRPr="00BC7791" w:rsidRDefault="004F3C88" w:rsidP="00142C16">
      <w:pPr>
        <w:pStyle w:val="Heading1"/>
        <w:numPr>
          <w:ilvl w:val="0"/>
          <w:numId w:val="0"/>
        </w:numPr>
        <w:ind w:left="360" w:hanging="360"/>
        <w:rPr>
          <w:noProof/>
        </w:rPr>
      </w:pPr>
      <w:r>
        <w:rPr>
          <w:noProof/>
        </w:rPr>
        <w:br w:type="page"/>
      </w:r>
      <w:r>
        <w:rPr>
          <w:noProof/>
          <w:shd w:val="clear" w:color="auto" w:fill="FFFFFF"/>
        </w:rPr>
        <w:t>SECTION </w:t>
      </w:r>
      <w:r>
        <w:rPr>
          <w:noProof/>
        </w:rPr>
        <w:t>1</w:t>
      </w:r>
      <w:r>
        <w:rPr>
          <w:noProof/>
          <w:shd w:val="clear" w:color="auto" w:fill="FFFFFF"/>
        </w:rPr>
        <w:t> </w:t>
      </w:r>
      <w:r>
        <w:rPr>
          <w:noProof/>
        </w:rPr>
        <w:t>—</w:t>
      </w:r>
      <w:r>
        <w:rPr>
          <w:noProof/>
          <w:shd w:val="clear" w:color="auto" w:fill="FFFFFF"/>
        </w:rPr>
        <w:t xml:space="preserve"> Un</w:t>
      </w:r>
      <w:r>
        <w:rPr>
          <w:noProof/>
        </w:rPr>
        <w:t xml:space="preserve"> marché unique performant</w:t>
      </w:r>
    </w:p>
    <w:tbl>
      <w:tblPr>
        <w:tblpPr w:leftFromText="180" w:rightFromText="180" w:vertAnchor="text" w:horzAnchor="margin" w:tblpY="-7"/>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1E0" w:firstRow="1" w:lastRow="1" w:firstColumn="1" w:lastColumn="1" w:noHBand="0" w:noVBand="0"/>
      </w:tblPr>
      <w:tblGrid>
        <w:gridCol w:w="2004"/>
        <w:gridCol w:w="3510"/>
        <w:gridCol w:w="992"/>
        <w:gridCol w:w="2551"/>
      </w:tblGrid>
      <w:tr w:rsidR="001D7E7C" w:rsidRPr="0079654B" w14:paraId="7D1C56D8" w14:textId="77777777" w:rsidTr="00DB78B9">
        <w:trPr>
          <w:trHeight w:hRule="exact" w:val="597"/>
        </w:trPr>
        <w:tc>
          <w:tcPr>
            <w:tcW w:w="2004" w:type="dxa"/>
            <w:shd w:val="clear" w:color="auto" w:fill="B8CCE4"/>
            <w:vAlign w:val="center"/>
          </w:tcPr>
          <w:p w14:paraId="5E19E576" w14:textId="77777777" w:rsidR="001D7E7C" w:rsidRPr="00BA4A02" w:rsidRDefault="001D7E7C" w:rsidP="00750098">
            <w:pPr>
              <w:widowControl w:val="0"/>
              <w:autoSpaceDE w:val="0"/>
              <w:autoSpaceDN w:val="0"/>
              <w:spacing w:after="0" w:line="240" w:lineRule="auto"/>
              <w:ind w:right="136"/>
              <w:jc w:val="both"/>
              <w:rPr>
                <w:rFonts w:ascii="Times New Roman" w:eastAsia="Palatino Linotype" w:hAnsi="Times New Roman" w:cs="Times New Roman"/>
                <w:b/>
                <w:noProof/>
                <w:color w:val="003063"/>
                <w:spacing w:val="26"/>
                <w:w w:val="90"/>
                <w:sz w:val="20"/>
                <w:szCs w:val="20"/>
              </w:rPr>
            </w:pPr>
            <w:r>
              <w:rPr>
                <w:rFonts w:ascii="Times New Roman" w:hAnsi="Times New Roman"/>
                <w:b/>
                <w:noProof/>
                <w:color w:val="003063"/>
                <w:sz w:val="20"/>
              </w:rPr>
              <w:t>ICP</w:t>
            </w:r>
          </w:p>
        </w:tc>
        <w:tc>
          <w:tcPr>
            <w:tcW w:w="3510" w:type="dxa"/>
            <w:shd w:val="clear" w:color="auto" w:fill="B8CCE4"/>
            <w:vAlign w:val="center"/>
          </w:tcPr>
          <w:p w14:paraId="2284D25C" w14:textId="77777777" w:rsidR="001D7E7C" w:rsidRPr="00BA4A02" w:rsidRDefault="001D7E7C" w:rsidP="00750098">
            <w:pPr>
              <w:widowControl w:val="0"/>
              <w:spacing w:after="0" w:line="240" w:lineRule="auto"/>
              <w:ind w:left="108" w:right="136"/>
              <w:jc w:val="both"/>
              <w:rPr>
                <w:rFonts w:ascii="Times New Roman" w:eastAsia="Palatino Linotype" w:hAnsi="Times New Roman" w:cs="Times New Roman"/>
                <w:b/>
                <w:noProof/>
                <w:color w:val="003063"/>
                <w:sz w:val="20"/>
                <w:szCs w:val="20"/>
              </w:rPr>
            </w:pPr>
            <w:r>
              <w:rPr>
                <w:rFonts w:ascii="Times New Roman" w:hAnsi="Times New Roman"/>
                <w:b/>
                <w:noProof/>
                <w:color w:val="003063"/>
                <w:sz w:val="20"/>
              </w:rPr>
              <w:t>Ce que cet indicateur mesure</w:t>
            </w:r>
          </w:p>
        </w:tc>
        <w:tc>
          <w:tcPr>
            <w:tcW w:w="992" w:type="dxa"/>
            <w:shd w:val="clear" w:color="auto" w:fill="B8CCE4"/>
            <w:vAlign w:val="center"/>
          </w:tcPr>
          <w:p w14:paraId="5C86DBE0" w14:textId="77777777" w:rsidR="001D7E7C" w:rsidRPr="00BA4A02" w:rsidRDefault="001D7E7C" w:rsidP="00750098">
            <w:pPr>
              <w:widowControl w:val="0"/>
              <w:autoSpaceDE w:val="0"/>
              <w:autoSpaceDN w:val="0"/>
              <w:spacing w:after="0" w:line="240" w:lineRule="auto"/>
              <w:ind w:left="108" w:right="136"/>
              <w:jc w:val="both"/>
              <w:rPr>
                <w:rFonts w:ascii="Times New Roman" w:eastAsia="Palatino Linotype" w:hAnsi="Times New Roman" w:cs="Times New Roman"/>
                <w:b/>
                <w:noProof/>
                <w:color w:val="003063"/>
                <w:spacing w:val="26"/>
                <w:w w:val="90"/>
                <w:sz w:val="20"/>
                <w:szCs w:val="20"/>
              </w:rPr>
            </w:pPr>
            <w:r>
              <w:rPr>
                <w:rFonts w:ascii="Times New Roman" w:hAnsi="Times New Roman"/>
                <w:b/>
                <w:noProof/>
                <w:color w:val="003063"/>
                <w:sz w:val="20"/>
              </w:rPr>
              <w:t>Objectif</w:t>
            </w:r>
          </w:p>
        </w:tc>
        <w:tc>
          <w:tcPr>
            <w:tcW w:w="2551" w:type="dxa"/>
            <w:shd w:val="clear" w:color="auto" w:fill="B8CCE4"/>
            <w:vAlign w:val="center"/>
          </w:tcPr>
          <w:p w14:paraId="3CAE1304" w14:textId="16342367" w:rsidR="001D7E7C" w:rsidRPr="00BA4A02" w:rsidRDefault="001D7E7C" w:rsidP="00750098">
            <w:pPr>
              <w:widowControl w:val="0"/>
              <w:autoSpaceDE w:val="0"/>
              <w:autoSpaceDN w:val="0"/>
              <w:spacing w:after="0" w:line="240" w:lineRule="auto"/>
              <w:ind w:left="108" w:right="136"/>
              <w:jc w:val="both"/>
              <w:rPr>
                <w:rFonts w:ascii="Times New Roman" w:eastAsia="Palatino Linotype" w:hAnsi="Times New Roman" w:cs="Times New Roman"/>
                <w:b/>
                <w:noProof/>
                <w:color w:val="003063"/>
                <w:spacing w:val="26"/>
                <w:w w:val="90"/>
                <w:sz w:val="20"/>
                <w:szCs w:val="20"/>
                <w:vertAlign w:val="superscript"/>
              </w:rPr>
            </w:pPr>
            <w:r>
              <w:rPr>
                <w:rFonts w:ascii="Times New Roman" w:hAnsi="Times New Roman"/>
                <w:b/>
                <w:noProof/>
                <w:color w:val="003063"/>
                <w:sz w:val="20"/>
              </w:rPr>
              <w:t>Valeurs UE</w:t>
            </w:r>
            <w:r>
              <w:rPr>
                <w:rFonts w:ascii="Times New Roman" w:hAnsi="Times New Roman"/>
                <w:b/>
                <w:noProof/>
                <w:sz w:val="20"/>
              </w:rPr>
              <w:t xml:space="preserve"> </w:t>
            </w:r>
            <w:r>
              <w:rPr>
                <w:rFonts w:ascii="Times New Roman" w:hAnsi="Times New Roman"/>
                <w:b/>
                <w:noProof/>
                <w:color w:val="003063"/>
                <w:sz w:val="20"/>
              </w:rPr>
              <w:t>les plus récentes</w:t>
            </w:r>
          </w:p>
        </w:tc>
      </w:tr>
      <w:tr w:rsidR="00427FF7" w:rsidRPr="0079654B" w:rsidDel="00543597" w14:paraId="249D1C6B" w14:textId="77777777" w:rsidTr="00DB78B9">
        <w:trPr>
          <w:trHeight w:val="405"/>
        </w:trPr>
        <w:tc>
          <w:tcPr>
            <w:tcW w:w="200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6FA84"/>
          </w:tcPr>
          <w:p w14:paraId="690151E1" w14:textId="2B2BCFCF" w:rsidR="001B73E2" w:rsidRPr="00750098"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color w:val="000000" w:themeColor="text1"/>
                <w:sz w:val="20"/>
              </w:rPr>
              <w:t>ICP 1: Productivité de la main-d’œuvre</w:t>
            </w:r>
          </w:p>
        </w:tc>
        <w:tc>
          <w:tcPr>
            <w:tcW w:w="35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6FA84"/>
          </w:tcPr>
          <w:p w14:paraId="72AF1940" w14:textId="4AD014BC" w:rsidR="001B73E2" w:rsidRPr="00750098"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color w:val="000000" w:themeColor="text1"/>
                <w:sz w:val="20"/>
              </w:rPr>
              <w:t>PIB par heure travaillée en PPA</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6FA84"/>
          </w:tcPr>
          <w:p w14:paraId="42689766" w14:textId="6BCE2BCB" w:rsidR="001B73E2" w:rsidRPr="00750098" w:rsidDel="00543597" w:rsidRDefault="001B73E2" w:rsidP="00041592">
            <w:pPr>
              <w:spacing w:after="0" w:line="240" w:lineRule="auto"/>
              <w:rPr>
                <w:rFonts w:ascii="Times New Roman" w:eastAsia="Times New Roman" w:hAnsi="Times New Roman" w:cs="Times New Roman"/>
                <w:noProof/>
                <w:sz w:val="20"/>
                <w:szCs w:val="20"/>
              </w:rPr>
            </w:pPr>
          </w:p>
        </w:tc>
        <w:tc>
          <w:tcPr>
            <w:tcW w:w="255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6FA84"/>
          </w:tcPr>
          <w:p w14:paraId="74B6FDCF" w14:textId="79C127E9" w:rsidR="001B73E2" w:rsidRPr="00EB09C5" w:rsidRDefault="001B73E2" w:rsidP="001B73E2">
            <w:pPr>
              <w:spacing w:after="0" w:line="240" w:lineRule="auto"/>
              <w:rPr>
                <w:rFonts w:ascii="Times New Roman" w:hAnsi="Times New Roman" w:cs="Times New Roman"/>
                <w:noProof/>
                <w:color w:val="000000" w:themeColor="text1"/>
                <w:sz w:val="20"/>
                <w:szCs w:val="20"/>
              </w:rPr>
            </w:pPr>
            <w:r>
              <w:rPr>
                <w:rFonts w:ascii="Times New Roman" w:hAnsi="Times New Roman"/>
                <w:noProof/>
                <w:color w:val="000000" w:themeColor="text1"/>
                <w:sz w:val="20"/>
              </w:rPr>
              <w:t>77,8 % du niveau américain (2023)</w:t>
            </w:r>
          </w:p>
          <w:p w14:paraId="4184F44E" w14:textId="619EF034" w:rsidR="001B73E2" w:rsidRPr="00750098"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color w:val="000000" w:themeColor="text1"/>
                <w:sz w:val="20"/>
              </w:rPr>
              <w:t>74,2 % du niveau américain (2022)</w:t>
            </w:r>
          </w:p>
        </w:tc>
      </w:tr>
      <w:tr w:rsidR="001B73E2" w:rsidRPr="0079654B" w:rsidDel="00543597" w14:paraId="3CCFA265" w14:textId="77777777" w:rsidTr="00DB78B9">
        <w:trPr>
          <w:trHeight w:val="795"/>
        </w:trPr>
        <w:tc>
          <w:tcPr>
            <w:tcW w:w="2004" w:type="dxa"/>
            <w:shd w:val="clear" w:color="auto" w:fill="EB6C6C"/>
          </w:tcPr>
          <w:p w14:paraId="7C314276" w14:textId="6596BC30" w:rsidR="001B73E2" w:rsidRPr="00750098" w:rsidDel="00543597"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ICP 2: Intégration dans le marché unique</w:t>
            </w:r>
          </w:p>
        </w:tc>
        <w:tc>
          <w:tcPr>
            <w:tcW w:w="3510" w:type="dxa"/>
            <w:shd w:val="clear" w:color="auto" w:fill="EB6C6C"/>
          </w:tcPr>
          <w:p w14:paraId="08CFA819" w14:textId="77777777" w:rsidR="001B73E2" w:rsidRPr="00750098" w:rsidDel="00543597"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Part du PIB de l’UE représentée par les échanges entre les États membres de l’UE</w:t>
            </w:r>
          </w:p>
        </w:tc>
        <w:tc>
          <w:tcPr>
            <w:tcW w:w="992" w:type="dxa"/>
            <w:shd w:val="clear" w:color="auto" w:fill="EB6C6C"/>
          </w:tcPr>
          <w:p w14:paraId="21708B0B" w14:textId="77777777" w:rsidR="001B73E2" w:rsidRPr="00202588" w:rsidDel="00543597" w:rsidRDefault="001B73E2" w:rsidP="001B73E2">
            <w:pPr>
              <w:pStyle w:val="NoSpacing"/>
              <w:widowControl w:val="0"/>
              <w:rPr>
                <w:rFonts w:ascii="Times New Roman" w:eastAsia="Times New Roman" w:hAnsi="Times New Roman" w:cs="Times New Roman"/>
                <w:noProof/>
                <w:sz w:val="20"/>
                <w:szCs w:val="20"/>
                <w:lang w:val="fr-BE"/>
              </w:rPr>
            </w:pPr>
          </w:p>
        </w:tc>
        <w:tc>
          <w:tcPr>
            <w:tcW w:w="2551" w:type="dxa"/>
            <w:shd w:val="clear" w:color="auto" w:fill="EB6C6C"/>
          </w:tcPr>
          <w:p w14:paraId="7592F52B" w14:textId="77777777" w:rsidR="001B73E2" w:rsidRPr="00750098"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23,8 % pour les biens (2023)</w:t>
            </w:r>
          </w:p>
          <w:p w14:paraId="21D45A19" w14:textId="77777777" w:rsidR="001B73E2" w:rsidRPr="00750098"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26,0 % pour les biens (2022)</w:t>
            </w:r>
          </w:p>
          <w:p w14:paraId="6A914513" w14:textId="77777777" w:rsidR="001B73E2" w:rsidRPr="00202588" w:rsidRDefault="001B73E2" w:rsidP="001B73E2">
            <w:pPr>
              <w:pStyle w:val="NoSpacing"/>
              <w:widowControl w:val="0"/>
              <w:rPr>
                <w:rFonts w:ascii="Times New Roman" w:eastAsia="Times New Roman" w:hAnsi="Times New Roman" w:cs="Times New Roman"/>
                <w:noProof/>
                <w:sz w:val="20"/>
                <w:szCs w:val="20"/>
                <w:lang w:val="fr-BE"/>
              </w:rPr>
            </w:pPr>
          </w:p>
          <w:p w14:paraId="6213DB7E" w14:textId="77777777" w:rsidR="001B73E2" w:rsidRPr="00750098"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7,6 % pour les services (2023)</w:t>
            </w:r>
          </w:p>
          <w:p w14:paraId="2ED858B3" w14:textId="77777777" w:rsidR="001B73E2" w:rsidRPr="00750098" w:rsidDel="00543597"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7,8 % pour les services (2022)</w:t>
            </w:r>
          </w:p>
        </w:tc>
      </w:tr>
      <w:tr w:rsidR="001B73E2" w:rsidRPr="0079654B" w:rsidDel="00543597" w14:paraId="072A3521" w14:textId="77777777" w:rsidTr="00DB78B9">
        <w:trPr>
          <w:trHeight w:val="886"/>
        </w:trPr>
        <w:tc>
          <w:tcPr>
            <w:tcW w:w="2004" w:type="dxa"/>
            <w:shd w:val="clear" w:color="auto" w:fill="92D050"/>
          </w:tcPr>
          <w:p w14:paraId="0495CE98" w14:textId="5F42A27A" w:rsidR="001B73E2" w:rsidRPr="00750098" w:rsidDel="00543597"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ICP 3: Déficit de conformité</w:t>
            </w:r>
          </w:p>
        </w:tc>
        <w:tc>
          <w:tcPr>
            <w:tcW w:w="3510" w:type="dxa"/>
            <w:shd w:val="clear" w:color="auto" w:fill="92D050"/>
          </w:tcPr>
          <w:p w14:paraId="02233ECA" w14:textId="6C47E74D" w:rsidR="001B73E2" w:rsidRPr="00750098" w:rsidDel="00543597"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Part des directives de l’UE relatives au marché unique transposées par les États membres et pour lesquelles la Commission a engagé des procédures d’infraction pour transposition incorrecte</w:t>
            </w:r>
          </w:p>
        </w:tc>
        <w:tc>
          <w:tcPr>
            <w:tcW w:w="992" w:type="dxa"/>
            <w:shd w:val="clear" w:color="auto" w:fill="92D050"/>
          </w:tcPr>
          <w:p w14:paraId="1D2C8D3F" w14:textId="11E3711E" w:rsidR="001B73E2" w:rsidRPr="00750098" w:rsidDel="00543597" w:rsidRDefault="004578AD"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&lt; 0,5 %</w:t>
            </w:r>
          </w:p>
        </w:tc>
        <w:tc>
          <w:tcPr>
            <w:tcW w:w="2551" w:type="dxa"/>
            <w:shd w:val="clear" w:color="auto" w:fill="92D050"/>
          </w:tcPr>
          <w:p w14:paraId="204AA984" w14:textId="3F3195D1" w:rsidR="001B73E2"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0,9 % (2024)</w:t>
            </w:r>
          </w:p>
          <w:p w14:paraId="513376C4" w14:textId="3400DDD3" w:rsidR="001B73E2" w:rsidRPr="00750098"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1,1 % (2023)</w:t>
            </w:r>
          </w:p>
          <w:p w14:paraId="3E60159E" w14:textId="5D773CAD" w:rsidR="001B73E2" w:rsidRPr="00750098" w:rsidDel="00543597" w:rsidRDefault="001B73E2" w:rsidP="001B73E2">
            <w:pPr>
              <w:pStyle w:val="NoSpacing"/>
              <w:widowControl w:val="0"/>
              <w:rPr>
                <w:rFonts w:ascii="Times New Roman" w:eastAsia="Times New Roman" w:hAnsi="Times New Roman" w:cs="Times New Roman"/>
                <w:noProof/>
                <w:sz w:val="20"/>
                <w:szCs w:val="20"/>
                <w:lang w:val="en-IE"/>
              </w:rPr>
            </w:pPr>
          </w:p>
        </w:tc>
      </w:tr>
      <w:tr w:rsidR="001B73E2" w:rsidRPr="0079654B" w14:paraId="5890F0F9" w14:textId="77777777" w:rsidTr="00DB78B9">
        <w:trPr>
          <w:trHeight w:val="555"/>
        </w:trPr>
        <w:tc>
          <w:tcPr>
            <w:tcW w:w="2004" w:type="dxa"/>
            <w:shd w:val="clear" w:color="auto" w:fill="F6FA84"/>
          </w:tcPr>
          <w:p w14:paraId="7944E796" w14:textId="4A223920" w:rsidR="001B73E2" w:rsidRPr="00750098"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ICP 4: Facilité de la mise en conformité réglementaire</w:t>
            </w:r>
          </w:p>
        </w:tc>
        <w:tc>
          <w:tcPr>
            <w:tcW w:w="3510" w:type="dxa"/>
            <w:shd w:val="clear" w:color="auto" w:fill="F6FA84"/>
          </w:tcPr>
          <w:p w14:paraId="637552F6" w14:textId="009E1683" w:rsidR="001B73E2" w:rsidRPr="00750098" w:rsidRDefault="001B73E2" w:rsidP="001B73E2">
            <w:pPr>
              <w:pStyle w:val="NoSpacing"/>
              <w:widowControl w:val="0"/>
              <w:rPr>
                <w:rFonts w:ascii="Times New Roman" w:hAnsi="Times New Roman" w:cs="Times New Roman"/>
                <w:noProof/>
                <w:sz w:val="20"/>
                <w:szCs w:val="20"/>
              </w:rPr>
            </w:pPr>
            <w:r>
              <w:rPr>
                <w:rFonts w:ascii="Times New Roman" w:hAnsi="Times New Roman"/>
                <w:noProof/>
                <w:sz w:val="20"/>
              </w:rPr>
              <w:t>Facilité de la mise en conformité réglementaire, sur la base de données d’enquêtes réalisées auprès d’entreprises ayant répondu à la question «Dans votre pays, dans quelle mesure est-il facile, pour les entreprises, de se conformer aux exigences réglementaires et administratives des pouvoirs publics (par exemple permis, communication d’informations, législation)? (1 = extrêmement complexe, 7 = extrêmement facile)» figurant dans l’enquête pour l’indice de compétitivité mondiale du Forum économique mondial.</w:t>
            </w:r>
          </w:p>
        </w:tc>
        <w:tc>
          <w:tcPr>
            <w:tcW w:w="992" w:type="dxa"/>
            <w:shd w:val="clear" w:color="auto" w:fill="F6FA84"/>
          </w:tcPr>
          <w:p w14:paraId="26FC8FBF" w14:textId="77777777" w:rsidR="001B73E2" w:rsidRPr="00202588" w:rsidRDefault="001B73E2" w:rsidP="001B73E2">
            <w:pPr>
              <w:pStyle w:val="NoSpacing"/>
              <w:widowControl w:val="0"/>
              <w:rPr>
                <w:rFonts w:ascii="Times New Roman" w:eastAsia="Times New Roman" w:hAnsi="Times New Roman" w:cs="Times New Roman"/>
                <w:noProof/>
                <w:sz w:val="20"/>
                <w:szCs w:val="20"/>
                <w:lang w:val="fr-BE"/>
              </w:rPr>
            </w:pPr>
          </w:p>
        </w:tc>
        <w:tc>
          <w:tcPr>
            <w:tcW w:w="2551" w:type="dxa"/>
            <w:shd w:val="clear" w:color="auto" w:fill="F6FA84"/>
          </w:tcPr>
          <w:p w14:paraId="422346D6" w14:textId="77777777" w:rsidR="001B73E2" w:rsidRPr="00750098" w:rsidRDefault="001B73E2" w:rsidP="001B73E2">
            <w:pPr>
              <w:pStyle w:val="NoSpacing"/>
              <w:widowControl w:val="0"/>
              <w:rPr>
                <w:rFonts w:ascii="Times New Roman" w:eastAsia="Times New Roman" w:hAnsi="Times New Roman" w:cs="Times New Roman"/>
                <w:noProof/>
                <w:color w:val="000000" w:themeColor="text1"/>
                <w:sz w:val="20"/>
                <w:szCs w:val="20"/>
              </w:rPr>
            </w:pPr>
            <w:r>
              <w:rPr>
                <w:rFonts w:ascii="Times New Roman" w:hAnsi="Times New Roman"/>
                <w:noProof/>
                <w:sz w:val="20"/>
              </w:rPr>
              <w:t>3,87 (2023)</w:t>
            </w:r>
          </w:p>
          <w:p w14:paraId="5E615F46" w14:textId="77777777" w:rsidR="001B73E2" w:rsidRPr="00750098" w:rsidRDefault="001B73E2" w:rsidP="001B73E2">
            <w:pPr>
              <w:pStyle w:val="NoSpacing"/>
              <w:widowControl w:val="0"/>
              <w:rPr>
                <w:rFonts w:ascii="Times New Roman" w:eastAsia="Times New Roman" w:hAnsi="Times New Roman" w:cs="Times New Roman"/>
                <w:noProof/>
                <w:sz w:val="20"/>
                <w:szCs w:val="20"/>
              </w:rPr>
            </w:pPr>
            <w:r>
              <w:rPr>
                <w:rFonts w:ascii="Times New Roman" w:hAnsi="Times New Roman"/>
                <w:noProof/>
                <w:sz w:val="20"/>
              </w:rPr>
              <w:t>3,80 (2022)</w:t>
            </w:r>
          </w:p>
        </w:tc>
      </w:tr>
    </w:tbl>
    <w:p w14:paraId="35BB8A10" w14:textId="77777777" w:rsidR="007D78A5" w:rsidRPr="008B315C" w:rsidRDefault="007D78A5" w:rsidP="007D78A5">
      <w:pPr>
        <w:pStyle w:val="Text1"/>
        <w:widowControl w:val="0"/>
        <w:spacing w:after="0"/>
        <w:ind w:left="0"/>
        <w:rPr>
          <w:b/>
          <w:noProof/>
          <w:color w:val="000000"/>
          <w:sz w:val="2"/>
          <w:szCs w:val="2"/>
          <w:shd w:val="clear" w:color="auto" w:fill="FFFFFF"/>
        </w:rPr>
      </w:pPr>
    </w:p>
    <w:tbl>
      <w:tblPr>
        <w:tblStyle w:val="TableGrid"/>
        <w:tblpPr w:leftFromText="180" w:rightFromText="180" w:vertAnchor="text" w:horzAnchor="margin" w:tblpY="245"/>
        <w:tblW w:w="53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61"/>
        <w:gridCol w:w="1418"/>
        <w:gridCol w:w="1275"/>
        <w:gridCol w:w="1418"/>
      </w:tblGrid>
      <w:tr w:rsidR="007D78A5" w:rsidRPr="00D87679" w14:paraId="1C6B1FD1" w14:textId="77777777">
        <w:tc>
          <w:tcPr>
            <w:tcW w:w="1261" w:type="dxa"/>
            <w:shd w:val="clear" w:color="auto" w:fill="B8CCE4"/>
          </w:tcPr>
          <w:p w14:paraId="4665ECBB" w14:textId="77777777" w:rsidR="007D78A5" w:rsidRPr="00D87679" w:rsidRDefault="007D78A5">
            <w:pPr>
              <w:rPr>
                <w:rFonts w:ascii="Times New Roman" w:hAnsi="Times New Roman" w:cs="Times New Roman"/>
                <w:b/>
                <w:bCs/>
                <w:noProof/>
                <w:color w:val="000000" w:themeColor="text1"/>
                <w:sz w:val="20"/>
                <w:szCs w:val="20"/>
              </w:rPr>
            </w:pPr>
            <w:r>
              <w:rPr>
                <w:rFonts w:ascii="Times New Roman" w:hAnsi="Times New Roman"/>
                <w:b/>
                <w:noProof/>
                <w:color w:val="000000" w:themeColor="text1"/>
                <w:sz w:val="20"/>
              </w:rPr>
              <w:t>Légende</w:t>
            </w:r>
          </w:p>
        </w:tc>
        <w:tc>
          <w:tcPr>
            <w:tcW w:w="1418" w:type="dxa"/>
            <w:shd w:val="clear" w:color="auto" w:fill="92D050"/>
          </w:tcPr>
          <w:p w14:paraId="4F37A523" w14:textId="77777777" w:rsidR="007D78A5" w:rsidRPr="00D87679" w:rsidRDefault="007D78A5">
            <w:pPr>
              <w:rPr>
                <w:rFonts w:ascii="Times New Roman" w:hAnsi="Times New Roman" w:cs="Times New Roman"/>
                <w:noProof/>
                <w:color w:val="000000" w:themeColor="text1"/>
                <w:sz w:val="20"/>
                <w:szCs w:val="20"/>
              </w:rPr>
            </w:pPr>
            <w:r>
              <w:rPr>
                <w:rFonts w:ascii="Times New Roman" w:hAnsi="Times New Roman"/>
                <w:noProof/>
                <w:color w:val="000000" w:themeColor="text1"/>
                <w:sz w:val="20"/>
              </w:rPr>
              <w:t>Amélioration</w:t>
            </w:r>
          </w:p>
        </w:tc>
        <w:tc>
          <w:tcPr>
            <w:tcW w:w="1275" w:type="dxa"/>
            <w:shd w:val="clear" w:color="auto" w:fill="F6FA84"/>
          </w:tcPr>
          <w:p w14:paraId="24C71C70" w14:textId="77777777" w:rsidR="007D78A5" w:rsidRPr="00D87679" w:rsidRDefault="007D78A5">
            <w:pPr>
              <w:rPr>
                <w:rFonts w:ascii="Times New Roman" w:hAnsi="Times New Roman" w:cs="Times New Roman"/>
                <w:noProof/>
                <w:color w:val="000000" w:themeColor="text1"/>
                <w:sz w:val="20"/>
                <w:szCs w:val="20"/>
              </w:rPr>
            </w:pPr>
            <w:r>
              <w:rPr>
                <w:rFonts w:ascii="Times New Roman" w:hAnsi="Times New Roman"/>
                <w:noProof/>
                <w:color w:val="000000" w:themeColor="text1"/>
                <w:sz w:val="20"/>
              </w:rPr>
              <w:t>État stable</w:t>
            </w:r>
          </w:p>
        </w:tc>
        <w:tc>
          <w:tcPr>
            <w:tcW w:w="1418" w:type="dxa"/>
            <w:shd w:val="clear" w:color="auto" w:fill="EB6C6C"/>
          </w:tcPr>
          <w:p w14:paraId="059ABDAC" w14:textId="77777777" w:rsidR="007D78A5" w:rsidRPr="00D87679" w:rsidRDefault="007D78A5">
            <w:pPr>
              <w:rPr>
                <w:rFonts w:ascii="Times New Roman" w:hAnsi="Times New Roman" w:cs="Times New Roman"/>
                <w:noProof/>
                <w:color w:val="000000" w:themeColor="text1"/>
                <w:sz w:val="20"/>
                <w:szCs w:val="20"/>
              </w:rPr>
            </w:pPr>
            <w:r>
              <w:rPr>
                <w:rFonts w:ascii="Times New Roman" w:hAnsi="Times New Roman"/>
                <w:noProof/>
                <w:color w:val="000000" w:themeColor="text1"/>
                <w:sz w:val="20"/>
              </w:rPr>
              <w:t>Détérioration</w:t>
            </w:r>
          </w:p>
        </w:tc>
      </w:tr>
    </w:tbl>
    <w:p w14:paraId="4C8E634B" w14:textId="77777777" w:rsidR="007D78A5" w:rsidRDefault="007D78A5" w:rsidP="00996E15">
      <w:pPr>
        <w:pStyle w:val="Text1"/>
        <w:widowControl w:val="0"/>
        <w:spacing w:before="240" w:after="160" w:line="259" w:lineRule="auto"/>
        <w:ind w:left="0"/>
        <w:rPr>
          <w:b/>
          <w:noProof/>
          <w:color w:val="000000"/>
          <w:shd w:val="clear" w:color="auto" w:fill="FFFFFF"/>
        </w:rPr>
      </w:pPr>
    </w:p>
    <w:p w14:paraId="04807C6A" w14:textId="3D16F35C" w:rsidR="007225F2" w:rsidRDefault="00EF3E39" w:rsidP="00996E15">
      <w:pPr>
        <w:pStyle w:val="Text1"/>
        <w:widowControl w:val="0"/>
        <w:spacing w:before="240" w:after="160" w:line="259" w:lineRule="auto"/>
        <w:ind w:left="0"/>
        <w:rPr>
          <w:noProof/>
          <w:color w:val="000000" w:themeColor="text1"/>
        </w:rPr>
      </w:pPr>
      <w:r>
        <w:rPr>
          <w:b/>
          <w:noProof/>
          <w:color w:val="000000"/>
          <w:shd w:val="clear" w:color="auto" w:fill="FFFFFF"/>
        </w:rPr>
        <w:t>Un marché unique performant représente un vaste réservoir de demande et offre des sources d’approvisionnement diversifiées. À ce titre, il constitue un facteur clé de stimulation de la productivité.</w:t>
      </w:r>
      <w:r>
        <w:rPr>
          <w:noProof/>
          <w:color w:val="000000"/>
          <w:shd w:val="clear" w:color="auto" w:fill="FFFFFF"/>
        </w:rPr>
        <w:t xml:space="preserve"> Il </w:t>
      </w:r>
      <w:r>
        <w:rPr>
          <w:noProof/>
          <w:color w:val="000000" w:themeColor="text1"/>
        </w:rPr>
        <w:t>permet aux entreprises d’innover et de se développer</w:t>
      </w:r>
      <w:r>
        <w:rPr>
          <w:noProof/>
          <w:color w:val="000000"/>
          <w:shd w:val="clear" w:color="auto" w:fill="FFFFFF"/>
        </w:rPr>
        <w:t>.</w:t>
      </w:r>
      <w:r>
        <w:rPr>
          <w:noProof/>
          <w:color w:val="000000" w:themeColor="text1"/>
        </w:rPr>
        <w:t xml:space="preserve"> Un environnement stable, fondé sur l’état de droit, compte parmi ses principaux atouts. Le respect de l’état de droit est essentiel au fonctionnement du marché unique, puisqu’il est synonyme d’un environnement opérationnel stable, qui confère à l’UE et à ses États membres un avantage concurrentiel mondial. L’état de droit est garant d’un environnement commercial dans lequel les lois sont appliquées de manière effective et uniforme, qui permet aux entreprises d’opérer dans d’autres États membres sur un pied d’égalité avec les entreprises locales et où les budgets sont utilisés sur une base transparente et objective.</w:t>
      </w:r>
    </w:p>
    <w:p w14:paraId="3DD95C95" w14:textId="3482EDC9" w:rsidR="00510641" w:rsidRDefault="00FE57A3" w:rsidP="00996E15">
      <w:pPr>
        <w:pStyle w:val="Text1"/>
        <w:widowControl w:val="0"/>
        <w:spacing w:before="240" w:after="160" w:line="259" w:lineRule="auto"/>
        <w:ind w:left="0"/>
        <w:rPr>
          <w:noProof/>
          <w:color w:val="000000" w:themeColor="text1"/>
        </w:rPr>
      </w:pPr>
      <w:r>
        <w:rPr>
          <w:b/>
          <w:noProof/>
          <w:color w:val="000000" w:themeColor="text1"/>
        </w:rPr>
        <w:t>Au cours des dernières décennies, l’intégration du marché unique a progressé, portée par une tendance à la hausse des échanges intra-UE.</w:t>
      </w:r>
      <w:r>
        <w:rPr>
          <w:noProof/>
          <w:color w:val="000000" w:themeColor="text1"/>
        </w:rPr>
        <w:t xml:space="preserve"> Le commerce transfrontière de biens au sein de l’UE s’est intensifié et est passé d’un peu plus de 20 % du PIB de l’UE en 2018 à 23,8 % aujourd’hui (ICP 2). La situation en ce qui concerne l’intégration des services est plus contrastée: son intensification est beaucoup plus lente et s’effectue à partir de niveaux nettement inférieurs. Ainsi, elle est passée d’environ 7 % du PIB à 7,8 % durant la même période. En 2023, le marché des biens a connu une baisse significative, tandis que celui des services a affiché un léger recul</w:t>
      </w:r>
      <w:r w:rsidR="00AB0024">
        <w:rPr>
          <w:rStyle w:val="FootnoteReference"/>
          <w:noProof/>
          <w:color w:val="000000" w:themeColor="text1"/>
        </w:rPr>
        <w:footnoteReference w:id="15"/>
      </w:r>
      <w:r>
        <w:rPr>
          <w:noProof/>
          <w:color w:val="000000" w:themeColor="text1"/>
        </w:rPr>
        <w:t>, les niveaux étant cependant restés nettement supérieurs à ceux d’avant la pandémie. La diminution récente de la valeur des échanges de biens est en grande partie imputable à la chute des prix de l’énergie, qui a entraîné une réduction des prix des marchandises échangées, bien qu’une baisse des volumes réels ait également été observée. Il est sans doute trop tôt pour parvenir à une conclusion définitive sur ces tendances, que les données futures viendront affiner.</w:t>
      </w:r>
    </w:p>
    <w:p w14:paraId="1BD157DB" w14:textId="77777777" w:rsidR="00B43558" w:rsidRDefault="00B43558" w:rsidP="00996E15">
      <w:pPr>
        <w:pStyle w:val="Text1"/>
        <w:widowControl w:val="0"/>
        <w:spacing w:before="240" w:after="160" w:line="259" w:lineRule="auto"/>
        <w:ind w:left="0"/>
        <w:rPr>
          <w:noProof/>
          <w:color w:val="000000" w:themeColor="text1"/>
        </w:rPr>
      </w:pPr>
    </w:p>
    <w:p w14:paraId="6966B4FA" w14:textId="44B97FFF" w:rsidR="00864B26" w:rsidRDefault="00682996" w:rsidP="00F1586B">
      <w:pPr>
        <w:pStyle w:val="Heading2"/>
        <w:rPr>
          <w:noProof/>
        </w:rPr>
      </w:pPr>
      <w:r>
        <w:rPr>
          <w:noProof/>
        </w:rPr>
        <w:t>Les obstacles au marché unique</w:t>
      </w:r>
    </w:p>
    <w:p w14:paraId="0C315740" w14:textId="14DE0EBE" w:rsidR="00864B26" w:rsidRDefault="00314D40" w:rsidP="00864B26">
      <w:pPr>
        <w:pStyle w:val="Text1"/>
        <w:widowControl w:val="0"/>
        <w:spacing w:after="160" w:line="259" w:lineRule="auto"/>
        <w:ind w:left="0"/>
        <w:rPr>
          <w:b/>
          <w:bCs/>
          <w:noProof/>
          <w:color w:val="000000" w:themeColor="text1"/>
        </w:rPr>
      </w:pPr>
      <w:r>
        <w:rPr>
          <w:b/>
          <w:noProof/>
        </w:rPr>
        <w:t>Au fil des années, si l’UE a éliminé de nombreux obstacles au commerce au sein du marché unique, de nouvelles entraves et sources de fragmentation continuent cependant d’émerger.</w:t>
      </w:r>
      <w:r>
        <w:rPr>
          <w:noProof/>
        </w:rPr>
        <w:t xml:space="preserve"> L’outil de suivi des obstacles au marché unique</w:t>
      </w:r>
      <w:r w:rsidR="003265BB">
        <w:rPr>
          <w:rStyle w:val="FootnoteReference"/>
          <w:noProof/>
        </w:rPr>
        <w:footnoteReference w:id="16"/>
      </w:r>
      <w:r>
        <w:rPr>
          <w:noProof/>
        </w:rPr>
        <w:t xml:space="preserve"> ainsi que les analyses effectuées par la Table ronde des industriels européens</w:t>
      </w:r>
      <w:r w:rsidR="003265BB">
        <w:rPr>
          <w:rStyle w:val="FootnoteReference"/>
          <w:noProof/>
        </w:rPr>
        <w:footnoteReference w:id="17"/>
      </w:r>
      <w:r>
        <w:rPr>
          <w:noProof/>
        </w:rPr>
        <w:t>, par Euro</w:t>
      </w:r>
      <w:r w:rsidR="00D74625">
        <w:rPr>
          <w:noProof/>
        </w:rPr>
        <w:t>c</w:t>
      </w:r>
      <w:r>
        <w:rPr>
          <w:noProof/>
        </w:rPr>
        <w:t>hambres</w:t>
      </w:r>
      <w:r w:rsidR="003265BB">
        <w:rPr>
          <w:rStyle w:val="FootnoteReference"/>
          <w:noProof/>
        </w:rPr>
        <w:footnoteReference w:id="18"/>
      </w:r>
      <w:r>
        <w:rPr>
          <w:noProof/>
        </w:rPr>
        <w:t xml:space="preserve"> et par d’autres parties prenantes révèlent une tendance à l’augmentation des obstacles. Il est nécessaire d’effectuer un suivi sous différents angles afin de déterminer la réponse adéquate pour réduire ces obstacles.</w:t>
      </w:r>
    </w:p>
    <w:p w14:paraId="48E14F25" w14:textId="4BD245CE" w:rsidR="008D5A65" w:rsidRPr="009D41E4" w:rsidRDefault="0099477C" w:rsidP="00864B26">
      <w:pPr>
        <w:pStyle w:val="Text1"/>
        <w:widowControl w:val="0"/>
        <w:spacing w:after="160" w:line="259" w:lineRule="auto"/>
        <w:ind w:left="0"/>
        <w:rPr>
          <w:noProof/>
        </w:rPr>
      </w:pPr>
      <w:r>
        <w:rPr>
          <w:b/>
          <w:noProof/>
        </w:rPr>
        <w:t>En ce qui concerne les services, le marché unique demeure fragmenté sous l’effet d’une combinaison d’obstacles réglementaires et administratifs.</w:t>
      </w:r>
      <w:r>
        <w:rPr>
          <w:noProof/>
        </w:rPr>
        <w:t xml:space="preserve"> Parmi les principaux obstacles réglementaires recensés figurent les exigences juridiques concernant l’accès aux professions réglementées et celles imposées aux entreprises susceptibles de fournir des services, ainsi que des divergences entre les législations en matière d’emploi et de fiscalité. Les obstacles administratifs comprennent des exigences de déclaration complexes en matière de détachement de travailleurs et d’attestation de couverture sociale. La complexité du droit des sociétés et les divergences entre les règles des différents États membres qui s’appliquent lors de la création d’une nouvelle entreprise ou de l’enregistrement d’une filiale restent un obstacle pour les services dépendants d’une certaine proximité avec leurs clients.</w:t>
      </w:r>
    </w:p>
    <w:p w14:paraId="7A85A0BD" w14:textId="4D4F6138" w:rsidR="00FF4C32" w:rsidRPr="00BD0D55" w:rsidRDefault="00FF4C32" w:rsidP="00BD0D55">
      <w:pPr>
        <w:pStyle w:val="Text1"/>
        <w:keepNext/>
        <w:keepLines/>
        <w:widowControl w:val="0"/>
        <w:spacing w:after="160" w:line="259" w:lineRule="auto"/>
        <w:ind w:left="0"/>
        <w:rPr>
          <w:noProof/>
        </w:rPr>
      </w:pPr>
      <w:r>
        <w:rPr>
          <w:b/>
          <w:noProof/>
        </w:rPr>
        <w:t xml:space="preserve">Graphique 2: </w:t>
      </w:r>
      <w:r>
        <w:rPr>
          <w:noProof/>
        </w:rPr>
        <w:t>Obstacles signalés par catégorie, répartis entre les 15 premières.</w:t>
      </w:r>
    </w:p>
    <w:p w14:paraId="4C0B2CD4" w14:textId="4EB09A94" w:rsidR="00FB5F09" w:rsidRPr="00BD0D55" w:rsidRDefault="0022764F" w:rsidP="00270E53">
      <w:pPr>
        <w:pStyle w:val="Text1"/>
        <w:keepNext/>
        <w:keepLines/>
        <w:widowControl w:val="0"/>
        <w:spacing w:after="0"/>
        <w:ind w:left="0"/>
        <w:rPr>
          <w:noProof/>
        </w:rPr>
      </w:pPr>
      <w:r w:rsidRPr="0022764F">
        <w:rPr>
          <w:noProof/>
          <w:lang w:val="en-GB"/>
        </w:rPr>
        <w:drawing>
          <wp:inline distT="0" distB="0" distL="0" distR="0" wp14:anchorId="4BFF1B93" wp14:editId="72B971E6">
            <wp:extent cx="5732145" cy="2819400"/>
            <wp:effectExtent l="0" t="0" r="1905" b="0"/>
            <wp:docPr id="991946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2145" cy="2819400"/>
                    </a:xfrm>
                    <a:prstGeom prst="rect">
                      <a:avLst/>
                    </a:prstGeom>
                    <a:noFill/>
                    <a:ln>
                      <a:noFill/>
                    </a:ln>
                  </pic:spPr>
                </pic:pic>
              </a:graphicData>
            </a:graphic>
          </wp:inline>
        </w:drawing>
      </w:r>
    </w:p>
    <w:p w14:paraId="43C946C3" w14:textId="21EB811C" w:rsidR="003B047A" w:rsidRDefault="00340757" w:rsidP="003B047A">
      <w:pPr>
        <w:pStyle w:val="Text1"/>
        <w:keepLines/>
        <w:widowControl w:val="0"/>
        <w:spacing w:after="0"/>
        <w:ind w:left="0"/>
        <w:rPr>
          <w:noProof/>
          <w:sz w:val="20"/>
          <w:szCs w:val="20"/>
        </w:rPr>
      </w:pPr>
      <w:r>
        <w:rPr>
          <w:b/>
          <w:noProof/>
          <w:sz w:val="20"/>
        </w:rPr>
        <w:t>Source:</w:t>
      </w:r>
      <w:r>
        <w:rPr>
          <w:noProof/>
          <w:sz w:val="20"/>
        </w:rPr>
        <w:t xml:space="preserve"> tableau d’affichage de l’outil de suivi des obstacles au marché unique, fondé sur les données du portail «L’Europe est à vous», d’une enquête de satisfaction réalisée auprès de PME, du réseau SOLVIT et du portail «L’Europe vous conseille», récoltées entre 2022 et octobre 2024.</w:t>
      </w:r>
    </w:p>
    <w:p w14:paraId="5BCF82C8" w14:textId="77777777" w:rsidR="003B047A" w:rsidRDefault="003B047A" w:rsidP="003B047A">
      <w:pPr>
        <w:pStyle w:val="Text1"/>
        <w:keepLines/>
        <w:widowControl w:val="0"/>
        <w:spacing w:after="0"/>
        <w:ind w:left="0"/>
        <w:rPr>
          <w:noProof/>
          <w:sz w:val="20"/>
          <w:szCs w:val="20"/>
        </w:rPr>
      </w:pPr>
    </w:p>
    <w:p w14:paraId="19C7753F" w14:textId="2EEEE4B1" w:rsidR="005D352D" w:rsidRDefault="00401CF8" w:rsidP="00B20543">
      <w:pPr>
        <w:pStyle w:val="Text1"/>
        <w:widowControl w:val="0"/>
        <w:spacing w:after="160"/>
        <w:ind w:left="0"/>
        <w:rPr>
          <w:noProof/>
        </w:rPr>
      </w:pPr>
      <w:r>
        <w:rPr>
          <w:b/>
          <w:noProof/>
        </w:rPr>
        <w:t>La circulation transfrontière de biens au sein de l’UE se heurte souvent à divers types d’obstacles, comme l’illustrent les données issues de l’outil de suivi des obstacles au marché unique.</w:t>
      </w:r>
      <w:r>
        <w:rPr>
          <w:noProof/>
        </w:rPr>
        <w:t xml:space="preserve"> Par exemple, les exigences nationales en matière d’emballage et d’étiquetage obligent les producteurs à fabriquer des produits adaptés à certains États membres, ce qui les empêche d’approvisionner l’ensemble du marché unique. L’accès au marché des biens est également soumis à des pressions liées à des obstacles juridiques et administratifs à leur entrée, dont l’obtention d’autorisations et de permis. Les parties prenantes font régulièrement état d’obstacles non réglementaires, tels que des contraintes territoriales en matière d’approvisionnement</w:t>
      </w:r>
      <w:r>
        <w:rPr>
          <w:rStyle w:val="FootnoteReference"/>
          <w:noProof/>
        </w:rPr>
        <w:footnoteReference w:id="19"/>
      </w:r>
      <w:r>
        <w:rPr>
          <w:noProof/>
        </w:rPr>
        <w:t xml:space="preserve"> (voir la section 1.4 ci-dessous sur la libre circulation des biens). Les échanges de biens sont notamment entravés par une réduction de l’accès au marché </w:t>
      </w:r>
      <w:r w:rsidR="001515EE">
        <w:rPr>
          <w:noProof/>
        </w:rPr>
        <w:t xml:space="preserve">causée </w:t>
      </w:r>
      <w:r>
        <w:rPr>
          <w:noProof/>
        </w:rPr>
        <w:t xml:space="preserve">par </w:t>
      </w:r>
      <w:r w:rsidR="001515EE">
        <w:rPr>
          <w:noProof/>
        </w:rPr>
        <w:t>l</w:t>
      </w:r>
      <w:r>
        <w:rPr>
          <w:noProof/>
        </w:rPr>
        <w:t>es exigences découlant des régimes de responsabilité élargie des producteurs. Les exigences du marché fixées par les États membres pour la reconnaissance mutuelle des biens non harmonisés, ainsi que pour l’exportation, le transport et l’utilisation des matières secondaires, sont également à l’origine d’une fragmentation accrue du marché unique. Le graphique 2 donne un aperçu des 15 principaux obstacles signalés au moyen de l’outil de suivi des obstacles au marché unique.</w:t>
      </w:r>
    </w:p>
    <w:p w14:paraId="463B0CB0" w14:textId="62C4DD8C" w:rsidR="002D0260" w:rsidRPr="0079654B" w:rsidRDefault="00B14EF7" w:rsidP="00F1586B">
      <w:pPr>
        <w:pStyle w:val="Heading2"/>
        <w:rPr>
          <w:noProof/>
        </w:rPr>
      </w:pPr>
      <w:r>
        <w:rPr>
          <w:noProof/>
        </w:rPr>
        <w:t>Mise en œuvre et contrôle de l’application au sein du marché unique</w:t>
      </w:r>
    </w:p>
    <w:p w14:paraId="198B4430" w14:textId="3A039806" w:rsidR="008F6393" w:rsidRDefault="5570520A" w:rsidP="00E15C12">
      <w:pPr>
        <w:pStyle w:val="Text1"/>
        <w:widowControl w:val="0"/>
        <w:spacing w:after="160" w:line="259" w:lineRule="auto"/>
        <w:ind w:left="0"/>
        <w:rPr>
          <w:b/>
          <w:bCs/>
          <w:noProof/>
          <w:color w:val="000000" w:themeColor="text1"/>
        </w:rPr>
      </w:pPr>
      <w:r>
        <w:rPr>
          <w:b/>
          <w:noProof/>
          <w:color w:val="000000" w:themeColor="text1"/>
        </w:rPr>
        <w:t>Les États membres de l’UE et la Commission ont pour responsabilité commune de faire appliquer le droit de l’Union, notamment en assurant le respect des règles du marché unique et des droits des citoyens.</w:t>
      </w:r>
      <w:r>
        <w:rPr>
          <w:noProof/>
          <w:color w:val="000000" w:themeColor="text1"/>
        </w:rPr>
        <w:t xml:space="preserve"> Les travaux de la Commission visant à garantir le respect des règles associent trois grands aspects: le renforcement de la prévention des obstacles, la collaboration avec les États membres et les mesures correctives de contrôle de l’application.</w:t>
      </w:r>
    </w:p>
    <w:p w14:paraId="75AF311D" w14:textId="7E1A57EE" w:rsidR="00D37344" w:rsidRDefault="00B13387" w:rsidP="001246A5">
      <w:pPr>
        <w:pStyle w:val="Text1"/>
        <w:widowControl w:val="0"/>
        <w:spacing w:after="160" w:line="259" w:lineRule="auto"/>
        <w:ind w:left="0"/>
        <w:rPr>
          <w:noProof/>
          <w:color w:val="000000" w:themeColor="text1"/>
        </w:rPr>
      </w:pPr>
      <w:r>
        <w:rPr>
          <w:b/>
          <w:noProof/>
          <w:color w:val="000000" w:themeColor="text1"/>
        </w:rPr>
        <w:t>En ce qui concerne le volet préventif du contrôle de l’application, la Commission travaille en étroite coopération avec les États membres pour assurer la mise en œuvre effective des mécanismes de notification existants et leur transparence.</w:t>
      </w:r>
      <w:r w:rsidRPr="001F4717">
        <w:rPr>
          <w:bCs/>
          <w:noProof/>
          <w:color w:val="000000" w:themeColor="text1"/>
        </w:rPr>
        <w:t xml:space="preserve"> </w:t>
      </w:r>
      <w:r>
        <w:rPr>
          <w:noProof/>
          <w:color w:val="000000" w:themeColor="text1"/>
        </w:rPr>
        <w:t>Faisant suite à une demande des États membres en ce sens, la Commission a lancé et continue de développer le guichet de notification unique, une plateforme en ligne qui fournit une vue d’ensemble des différentes procédures de notification découlant de la législation sectorielle ayant trait au marché unique et un accès aisé à ces procédures.</w:t>
      </w:r>
    </w:p>
    <w:p w14:paraId="7B2330D1" w14:textId="35741D8D" w:rsidR="005513AA" w:rsidRDefault="00ED1C46" w:rsidP="71F9801A">
      <w:pPr>
        <w:pStyle w:val="Text1"/>
        <w:widowControl w:val="0"/>
        <w:spacing w:after="160" w:line="259" w:lineRule="auto"/>
        <w:ind w:left="0"/>
        <w:rPr>
          <w:noProof/>
          <w:color w:val="000000" w:themeColor="text1"/>
        </w:rPr>
      </w:pPr>
      <w:r>
        <w:rPr>
          <w:b/>
          <w:noProof/>
          <w:color w:val="000000" w:themeColor="text1"/>
        </w:rPr>
        <w:t>Le groupe de travail sur le respect de l’application des règles du marché unique (SMET) favorise un sentiment de responsabilité commune entre la Commission et les États membres, pour une mise en œuvre correcte des règles de l’UE et pour une collaboration visant à lever des obstacles spécifiques au sein du marché unique.</w:t>
      </w:r>
      <w:r>
        <w:rPr>
          <w:noProof/>
          <w:color w:val="000000" w:themeColor="text1"/>
        </w:rPr>
        <w:t xml:space="preserve"> Le rapport du SMET</w:t>
      </w:r>
      <w:r w:rsidR="002C7624">
        <w:rPr>
          <w:rStyle w:val="FootnoteReference"/>
          <w:noProof/>
          <w:color w:val="000000" w:themeColor="text1"/>
        </w:rPr>
        <w:footnoteReference w:id="20"/>
      </w:r>
      <w:r>
        <w:rPr>
          <w:noProof/>
          <w:color w:val="000000" w:themeColor="text1"/>
        </w:rPr>
        <w:t xml:space="preserve"> fournit une vue d’ensemble complète à cet égard. Parmi les résultats obtenus ces deux dernières années figurent, par exemple, la suppression de plus de 90 obstacles administratifs à l’octroi de permis en matière d’énergie éolienne et solaire et le soutien à l’introduction de cinq bonnes pratiques relatives à l’octroi de permis, qui contribuent à accroître les investissements dans les énergies renouvelables. La coopération au sein du SMET a également permis de réduire la discrimination à l’IBAN dans cinq domaines (les impôts, les prestations sociales, les pensions, les paiements de santé et les télécommunications). De nouveaux projets du SMET dans d’autres domaines, tels que les services numériques, les exigences en matière d’emballage et d’étiquetage et la reconnaissance mutuelle, sont actuellement à l’étude</w:t>
      </w:r>
      <w:r w:rsidR="00CB7563">
        <w:rPr>
          <w:rStyle w:val="FootnoteReference"/>
          <w:noProof/>
          <w:color w:val="000000" w:themeColor="text1"/>
        </w:rPr>
        <w:footnoteReference w:id="21"/>
      </w:r>
      <w:r>
        <w:rPr>
          <w:noProof/>
          <w:color w:val="000000" w:themeColor="text1"/>
        </w:rPr>
        <w:t>.</w:t>
      </w:r>
    </w:p>
    <w:p w14:paraId="34E9E8AE" w14:textId="2177B3B2" w:rsidR="00A5079A" w:rsidRPr="002C1711" w:rsidRDefault="00AF7B09" w:rsidP="71F9801A">
      <w:pPr>
        <w:pStyle w:val="Text1"/>
        <w:widowControl w:val="0"/>
        <w:spacing w:after="160" w:line="259" w:lineRule="auto"/>
        <w:ind w:left="0"/>
        <w:rPr>
          <w:noProof/>
          <w:color w:val="000000" w:themeColor="text1"/>
        </w:rPr>
      </w:pPr>
      <w:r>
        <w:rPr>
          <w:b/>
          <w:noProof/>
          <w:color w:val="000000" w:themeColor="text1"/>
        </w:rPr>
        <w:t>En ce qui concerne le volet correctif du contrôle de l’application des règles du marché unique, la situation est en constante amélioration.</w:t>
      </w:r>
      <w:r w:rsidRPr="001F4717">
        <w:rPr>
          <w:bCs/>
          <w:noProof/>
          <w:color w:val="000000" w:themeColor="text1"/>
        </w:rPr>
        <w:t xml:space="preserve"> </w:t>
      </w:r>
      <w:r>
        <w:rPr>
          <w:noProof/>
          <w:color w:val="000000" w:themeColor="text1"/>
        </w:rPr>
        <w:t>Selon le tableau d’affichage du marché unique</w:t>
      </w:r>
      <w:r w:rsidR="003D2C8E">
        <w:rPr>
          <w:rStyle w:val="FootnoteReference"/>
          <w:noProof/>
          <w:color w:val="000000" w:themeColor="text1"/>
        </w:rPr>
        <w:footnoteReference w:id="22"/>
      </w:r>
      <w:r>
        <w:rPr>
          <w:noProof/>
          <w:color w:val="000000" w:themeColor="text1"/>
        </w:rPr>
        <w:t>, le nombre de procédures en manquement aux règles du marché unique engagées par la Commission à l’encontre des États membres de l’UE pour mise en œuvre incorrecte de la législation de l’Union a encore diminué (– 6 % au cours de l’année écoulée)</w:t>
      </w:r>
      <w:r w:rsidR="00B57951">
        <w:rPr>
          <w:rStyle w:val="FootnoteReference"/>
          <w:noProof/>
          <w:color w:val="000000" w:themeColor="text1"/>
        </w:rPr>
        <w:footnoteReference w:id="23"/>
      </w:r>
      <w:r>
        <w:rPr>
          <w:noProof/>
          <w:color w:val="000000" w:themeColor="text1"/>
        </w:rPr>
        <w:t>. Le nombre d’infractions par État membre est très variable, et les secteurs les plus concernés par des procédures en manquement aux règles du marché unique sont l’environnement (35 %), les transports (17 %) et l’énergie (12 %). La Commission continue en outre de faire appliquer la législation de l’Union en matière de concurrence en luttant contre les comportements anticoncurrentiels des entreprises, qui créent des entraves au bon fonctionnement du marché unique. Selon la Cour de justice, les particuliers peuvent prétendre à une compensation financière en cas d’infraction grave au droit de l’Union par un État membre.</w:t>
      </w:r>
    </w:p>
    <w:p w14:paraId="6D919EED" w14:textId="21C632A9" w:rsidR="00CA4E26" w:rsidRDefault="00CA4E26" w:rsidP="71F9801A">
      <w:pPr>
        <w:pStyle w:val="Text1"/>
        <w:widowControl w:val="0"/>
        <w:spacing w:after="160" w:line="259" w:lineRule="auto"/>
        <w:ind w:left="0"/>
        <w:rPr>
          <w:noProof/>
          <w:color w:val="000000" w:themeColor="text1"/>
        </w:rPr>
      </w:pPr>
      <w:r>
        <w:rPr>
          <w:b/>
          <w:noProof/>
          <w:color w:val="000000" w:themeColor="text1"/>
        </w:rPr>
        <w:t xml:space="preserve">Le déficit de conformité </w:t>
      </w:r>
      <w:r w:rsidR="001515EE">
        <w:rPr>
          <w:b/>
          <w:noProof/>
          <w:color w:val="000000" w:themeColor="text1"/>
        </w:rPr>
        <w:t>recule</w:t>
      </w:r>
      <w:r>
        <w:rPr>
          <w:b/>
          <w:noProof/>
          <w:color w:val="000000" w:themeColor="text1"/>
        </w:rPr>
        <w:t xml:space="preserve"> lentement par rapport aux sommets atteints précédemment, mais peine toujours à s’établir à la valeur cible de l’UE</w:t>
      </w:r>
      <w:r w:rsidR="007B2335" w:rsidRPr="000938BD">
        <w:rPr>
          <w:rStyle w:val="FootnoteReference"/>
          <w:b/>
          <w:bCs/>
          <w:noProof/>
          <w:color w:val="000000" w:themeColor="text1"/>
        </w:rPr>
        <w:footnoteReference w:id="24"/>
      </w:r>
      <w:r w:rsidRPr="000938BD">
        <w:rPr>
          <w:b/>
          <w:bCs/>
          <w:noProof/>
          <w:color w:val="000000" w:themeColor="text1"/>
        </w:rPr>
        <w:t>.</w:t>
      </w:r>
      <w:r w:rsidRPr="002D32F5">
        <w:rPr>
          <w:bCs/>
          <w:noProof/>
          <w:color w:val="000000" w:themeColor="text1"/>
        </w:rPr>
        <w:t xml:space="preserve"> </w:t>
      </w:r>
      <w:r>
        <w:rPr>
          <w:noProof/>
          <w:color w:val="000000" w:themeColor="text1"/>
        </w:rPr>
        <w:t>Cet indicateur correspond à la part des directives de l’UE relatives au marché unique transposées par les États membres et pour lesquelles la Commission a engagé des procédures d’infraction pour transposition incorrecte (ICP 3). Après avoir fortement augmenté, de 0,8 % en 2018 à un pic de 1,4 % en 2020, le déficit de conformité connaît actuellement une lente diminution (il s’établissait à 0,9 % en 2023). Il reste toutefois bien supérieur à l’objectif de 0,5 % fixé par l’UE.</w:t>
      </w:r>
    </w:p>
    <w:p w14:paraId="2D4BB809" w14:textId="19A3DF82" w:rsidR="00EB38D9" w:rsidRDefault="00FE74D7" w:rsidP="003B364C">
      <w:pPr>
        <w:pStyle w:val="Text1"/>
        <w:widowControl w:val="0"/>
        <w:spacing w:after="160" w:line="259" w:lineRule="auto"/>
        <w:ind w:left="0"/>
        <w:rPr>
          <w:noProof/>
        </w:rPr>
      </w:pPr>
      <w:r>
        <w:rPr>
          <w:b/>
          <w:noProof/>
        </w:rPr>
        <w:t>Le règlement sur les situations d’urgence dans le marché intérieur et la résilience du marché intérieur</w:t>
      </w:r>
      <w:r w:rsidR="009003CB">
        <w:rPr>
          <w:rStyle w:val="FootnoteReference"/>
          <w:b/>
          <w:noProof/>
          <w:lang w:val="en-GB"/>
        </w:rPr>
        <w:footnoteReference w:id="25"/>
      </w:r>
      <w:r>
        <w:rPr>
          <w:b/>
          <w:noProof/>
        </w:rPr>
        <w:t xml:space="preserve"> renforce la préparation et la réaction aux crises en remédiant aux perturbations des chaînes d’approvisionnement et en améliorant la coordination entre les États membres.</w:t>
      </w:r>
      <w:r>
        <w:rPr>
          <w:noProof/>
        </w:rPr>
        <w:t xml:space="preserve"> La Commission met en œuvre des plans d’urgence, y compris des simulations de crise et des outils de communication renforcés, afin d’assurer le bon fonctionnement du marché unique pour les citoyens, les entreprises et les pouvoirs publics.</w:t>
      </w:r>
    </w:p>
    <w:p w14:paraId="3903B661" w14:textId="17409FAF" w:rsidR="003270A7" w:rsidRPr="001152BE" w:rsidRDefault="00646919" w:rsidP="00F1586B">
      <w:pPr>
        <w:pStyle w:val="Heading2"/>
        <w:rPr>
          <w:noProof/>
        </w:rPr>
      </w:pPr>
      <w:r>
        <w:rPr>
          <w:noProof/>
        </w:rPr>
        <w:t>Prestation transfrontière de services au sein du marché unique</w:t>
      </w:r>
    </w:p>
    <w:p w14:paraId="32F5B2D1" w14:textId="715F87FC" w:rsidR="00C14E0A" w:rsidRDefault="00C14E0A" w:rsidP="00DA6783">
      <w:pPr>
        <w:widowControl w:val="0"/>
        <w:jc w:val="both"/>
        <w:rPr>
          <w:rFonts w:ascii="Times New Roman" w:hAnsi="Times New Roman" w:cs="Times New Roman"/>
          <w:noProof/>
          <w:sz w:val="24"/>
          <w:szCs w:val="24"/>
        </w:rPr>
      </w:pPr>
      <w:r>
        <w:rPr>
          <w:rFonts w:ascii="Times New Roman" w:hAnsi="Times New Roman"/>
          <w:b/>
          <w:noProof/>
          <w:sz w:val="24"/>
        </w:rPr>
        <w:t>Bien que le secteur des services représente environ 70 % du PIB de l’UE et de ses emplois</w:t>
      </w:r>
      <w:r w:rsidR="009971D0">
        <w:rPr>
          <w:rStyle w:val="FootnoteReference"/>
          <w:rFonts w:ascii="Times New Roman" w:hAnsi="Times New Roman" w:cs="Times New Roman"/>
          <w:b/>
          <w:noProof/>
          <w:sz w:val="24"/>
          <w:szCs w:val="24"/>
          <w:lang w:val="en-GB"/>
        </w:rPr>
        <w:footnoteReference w:id="26"/>
      </w:r>
      <w:r>
        <w:rPr>
          <w:rFonts w:ascii="Times New Roman" w:hAnsi="Times New Roman"/>
          <w:b/>
          <w:noProof/>
          <w:sz w:val="24"/>
        </w:rPr>
        <w:t>, le marché unique des services continue d’afficher des résultats inférieurs à son potentiel.</w:t>
      </w:r>
      <w:r w:rsidRPr="002D32F5">
        <w:rPr>
          <w:rFonts w:ascii="Times New Roman" w:hAnsi="Times New Roman"/>
          <w:bCs/>
          <w:noProof/>
          <w:sz w:val="24"/>
        </w:rPr>
        <w:t xml:space="preserve"> </w:t>
      </w:r>
      <w:r>
        <w:rPr>
          <w:rFonts w:ascii="Times New Roman" w:hAnsi="Times New Roman"/>
          <w:noProof/>
          <w:sz w:val="24"/>
        </w:rPr>
        <w:t>Le commerce de services transfrontières correspond à moins d’un tiers des échanges de biens</w:t>
      </w:r>
      <w:r w:rsidR="00AB48A6" w:rsidRPr="00F1586B">
        <w:rPr>
          <w:rStyle w:val="FootnoteReference"/>
          <w:rFonts w:ascii="Times New Roman" w:hAnsi="Times New Roman" w:cs="Times New Roman"/>
          <w:bCs/>
          <w:noProof/>
          <w:sz w:val="24"/>
          <w:szCs w:val="24"/>
          <w:lang w:val="en-GB"/>
        </w:rPr>
        <w:footnoteReference w:id="27"/>
      </w:r>
      <w:r>
        <w:rPr>
          <w:rFonts w:ascii="Times New Roman" w:hAnsi="Times New Roman"/>
          <w:noProof/>
          <w:sz w:val="24"/>
        </w:rPr>
        <w:t xml:space="preserve"> et, contrairement à ceux-ci, ne pèse pas plus que le commerce de services avec les pays tiers. En outre, la croissance de la productivité de la main-d’œuvre dans le secteur des services reste faible</w:t>
      </w:r>
      <w:r w:rsidR="00AD0D46">
        <w:rPr>
          <w:rStyle w:val="FootnoteReference"/>
          <w:rFonts w:ascii="Times New Roman" w:hAnsi="Times New Roman" w:cs="Times New Roman"/>
          <w:noProof/>
          <w:sz w:val="24"/>
          <w:szCs w:val="24"/>
          <w:lang w:val="en-GB"/>
        </w:rPr>
        <w:footnoteReference w:id="28"/>
      </w:r>
      <w:r>
        <w:rPr>
          <w:rFonts w:ascii="Times New Roman" w:hAnsi="Times New Roman"/>
          <w:noProof/>
          <w:sz w:val="24"/>
        </w:rPr>
        <w:t xml:space="preserve"> et a une incidence négative sur la compétitivité tant du secteur des services lui-même que des industries manufacturières de l’UE, étant donné que les services représentent près de 40 % de la valeur ajoutée dans l’activité manufacturière</w:t>
      </w:r>
      <w:r w:rsidR="00615089">
        <w:rPr>
          <w:rStyle w:val="FootnoteReference"/>
          <w:rFonts w:ascii="Times New Roman" w:hAnsi="Times New Roman" w:cs="Times New Roman"/>
          <w:noProof/>
          <w:sz w:val="24"/>
          <w:szCs w:val="24"/>
          <w:lang w:val="en-GB"/>
        </w:rPr>
        <w:footnoteReference w:id="29"/>
      </w:r>
      <w:r>
        <w:rPr>
          <w:rFonts w:ascii="Times New Roman" w:hAnsi="Times New Roman"/>
          <w:noProof/>
          <w:sz w:val="24"/>
        </w:rPr>
        <w:t>.</w:t>
      </w:r>
    </w:p>
    <w:p w14:paraId="16D9C522" w14:textId="70DC6B82" w:rsidR="00C14E0A" w:rsidRPr="0079654B" w:rsidRDefault="00B8474C" w:rsidP="00DA6783">
      <w:pPr>
        <w:widowControl w:val="0"/>
        <w:jc w:val="both"/>
        <w:rPr>
          <w:rFonts w:ascii="Times New Roman" w:hAnsi="Times New Roman" w:cs="Times New Roman"/>
          <w:noProof/>
          <w:sz w:val="24"/>
          <w:szCs w:val="24"/>
        </w:rPr>
      </w:pPr>
      <w:r>
        <w:rPr>
          <w:rFonts w:ascii="Times New Roman" w:hAnsi="Times New Roman"/>
          <w:b/>
          <w:noProof/>
          <w:sz w:val="24"/>
        </w:rPr>
        <w:t>La directive sur les services, qui vise à éliminer les obstacles à l’investissement et au commerce de services transfrontières, confère aux États membres une importante marge de manœuvre pour fixer leurs propres règles.</w:t>
      </w:r>
      <w:r>
        <w:rPr>
          <w:rFonts w:ascii="Times New Roman" w:hAnsi="Times New Roman"/>
          <w:noProof/>
          <w:sz w:val="24"/>
        </w:rPr>
        <w:t xml:space="preserve"> Il en résulte une grande diversité de règles nationales. Bien que des exigences nationales spécifiques puissent être justifiées et proportionnées pour répondre à des objectifs légitimes d’intérêt public, elles imposent des entraves aux professionnels et aux entreprises qui souhaitent proposer des services dans d’autres États membres de l’UE. La Commission estime qu’en dépit d’une première réduction des obstacles réglementaires consécutive à la transposition de la directive sur les services, environ 60 % de ces obstacles sont du même type qu’il y a 20 ans</w:t>
      </w:r>
      <w:r w:rsidR="00653CFF">
        <w:rPr>
          <w:rStyle w:val="FootnoteReference"/>
          <w:rFonts w:ascii="Times New Roman" w:hAnsi="Times New Roman" w:cs="Times New Roman"/>
          <w:noProof/>
          <w:sz w:val="24"/>
          <w:szCs w:val="24"/>
          <w:lang w:val="en-GB"/>
        </w:rPr>
        <w:footnoteReference w:id="30"/>
      </w:r>
      <w:r>
        <w:rPr>
          <w:rFonts w:ascii="Times New Roman" w:hAnsi="Times New Roman"/>
          <w:noProof/>
          <w:sz w:val="24"/>
        </w:rPr>
        <w:t>, la reconnaissance mutuelle étant limitée.</w:t>
      </w:r>
    </w:p>
    <w:p w14:paraId="5FB8A63E" w14:textId="53154500" w:rsidR="00FA1277" w:rsidRDefault="00183337" w:rsidP="00183337">
      <w:pPr>
        <w:jc w:val="both"/>
        <w:rPr>
          <w:noProof/>
        </w:rPr>
      </w:pPr>
      <w:r>
        <w:rPr>
          <w:rFonts w:ascii="Times New Roman" w:hAnsi="Times New Roman"/>
          <w:b/>
          <w:noProof/>
          <w:sz w:val="24"/>
        </w:rPr>
        <w:t>Des secteurs relevant des services tels que la construction et le commerce de détail ont du poids sur le plan économique, mais affichent des résultats inférieurs à leur potentiel</w:t>
      </w:r>
      <w:r w:rsidR="007F3AC9" w:rsidRPr="00FA1277">
        <w:rPr>
          <w:rStyle w:val="FootnoteReference"/>
          <w:rFonts w:ascii="Times New Roman" w:hAnsi="Times New Roman" w:cs="Times New Roman"/>
          <w:b/>
          <w:bCs/>
          <w:noProof/>
          <w:sz w:val="24"/>
          <w:szCs w:val="24"/>
          <w:lang w:val="en-GB"/>
        </w:rPr>
        <w:footnoteReference w:id="31"/>
      </w:r>
      <w:r>
        <w:rPr>
          <w:rFonts w:ascii="Times New Roman" w:hAnsi="Times New Roman"/>
          <w:b/>
          <w:noProof/>
          <w:sz w:val="24"/>
        </w:rPr>
        <w:t>.</w:t>
      </w:r>
      <w:r w:rsidRPr="002D32F5">
        <w:rPr>
          <w:rFonts w:ascii="Times New Roman" w:hAnsi="Times New Roman"/>
          <w:bCs/>
          <w:noProof/>
          <w:sz w:val="24"/>
        </w:rPr>
        <w:t xml:space="preserve"> </w:t>
      </w:r>
      <w:r>
        <w:rPr>
          <w:rFonts w:ascii="Times New Roman" w:hAnsi="Times New Roman"/>
          <w:noProof/>
          <w:sz w:val="24"/>
        </w:rPr>
        <w:t>La mise à disposition de nouveaux logements et la rénovation du parc immobilier européen sont ralenties par un environnement réglementaire et administratif complexe, caractérisé par des divergences importantes non seulement entre les États membres, mais aussi au sein de ceux-ci, ce qui limite la fourniture de services de construction au-delà des frontières. Citons également les restrictions à l’établissement de commerces de détail et aux activités quotidiennes de vente au détail qui constituent des obstacles importants à l’amélioration des résultats dans ce secteur et qui ont des retombées tout au long de la chaîne d’approvisionnement et sur les consommateurs.</w:t>
      </w:r>
    </w:p>
    <w:p w14:paraId="64BBCE33" w14:textId="52D2A506" w:rsidR="00183337" w:rsidRDefault="00183337" w:rsidP="00183337">
      <w:pPr>
        <w:jc w:val="both"/>
        <w:rPr>
          <w:rFonts w:ascii="Times New Roman" w:hAnsi="Times New Roman" w:cs="Times New Roman"/>
          <w:noProof/>
          <w:sz w:val="24"/>
          <w:szCs w:val="24"/>
        </w:rPr>
      </w:pPr>
      <w:r>
        <w:rPr>
          <w:rFonts w:ascii="Times New Roman" w:hAnsi="Times New Roman"/>
          <w:b/>
          <w:noProof/>
          <w:sz w:val="24"/>
        </w:rPr>
        <w:t>Les États membres limitent l’accès à plus de 5 700 professions réglementées dans l’UE</w:t>
      </w:r>
      <w:r w:rsidRPr="0035550E">
        <w:rPr>
          <w:rStyle w:val="FootnoteReference"/>
          <w:rFonts w:ascii="Times New Roman" w:hAnsi="Times New Roman" w:cs="Times New Roman"/>
          <w:b/>
          <w:bCs/>
          <w:noProof/>
          <w:sz w:val="24"/>
          <w:szCs w:val="24"/>
        </w:rPr>
        <w:footnoteReference w:id="32"/>
      </w:r>
      <w:r>
        <w:rPr>
          <w:rFonts w:ascii="Times New Roman" w:hAnsi="Times New Roman"/>
          <w:b/>
          <w:noProof/>
          <w:sz w:val="24"/>
        </w:rPr>
        <w:t>, ce qui représente environ 22 % de la population active</w:t>
      </w:r>
      <w:r w:rsidRPr="0035550E">
        <w:rPr>
          <w:rStyle w:val="FootnoteReference"/>
          <w:rFonts w:ascii="Times New Roman" w:hAnsi="Times New Roman" w:cs="Times New Roman"/>
          <w:b/>
          <w:bCs/>
          <w:noProof/>
          <w:sz w:val="24"/>
          <w:szCs w:val="24"/>
        </w:rPr>
        <w:footnoteReference w:id="33"/>
      </w:r>
      <w:r>
        <w:rPr>
          <w:rFonts w:ascii="Times New Roman" w:hAnsi="Times New Roman"/>
          <w:b/>
          <w:noProof/>
          <w:sz w:val="24"/>
        </w:rPr>
        <w:t>.</w:t>
      </w:r>
      <w:r>
        <w:rPr>
          <w:rFonts w:ascii="Times New Roman" w:hAnsi="Times New Roman"/>
          <w:noProof/>
          <w:sz w:val="24"/>
        </w:rPr>
        <w:t xml:space="preserve"> La part de la main-d’œuvre dans les professions réglementées varie considérablement d’un État membre à l’autre, allant de 14 % au Danemark à 33 % en Allemagne</w:t>
      </w:r>
      <w:r>
        <w:rPr>
          <w:rStyle w:val="FootnoteReference"/>
          <w:rFonts w:ascii="Times New Roman" w:hAnsi="Times New Roman" w:cs="Times New Roman"/>
          <w:noProof/>
          <w:sz w:val="24"/>
          <w:szCs w:val="24"/>
        </w:rPr>
        <w:footnoteReference w:id="34"/>
      </w:r>
      <w:r>
        <w:rPr>
          <w:rFonts w:ascii="Times New Roman" w:hAnsi="Times New Roman"/>
          <w:noProof/>
          <w:sz w:val="24"/>
        </w:rPr>
        <w:t>. Si la réglementation de professions peut protéger des objectifs d’intérêt général, elle a pour effet pernicieux d’empêcher les citoyens du pays concerné et du reste de l’UE d’exercer les professions en question, à moins qu’ils ne répondent aux exigences de la législation nationale. Si l’on considère un ensemble de professions couramment recherchées par les entreprises pour la prestation de services externes (par exemple des comptables, des architectes, des ingénieurs civils et des avocats), le degré de restrictivité varie considérablement, certains États membres n’imposant aucune restriction, tandis que d’autres restreignent fortement la possibilité pour les ressortissants étrangers d’exercer une profession</w:t>
      </w:r>
      <w:r w:rsidR="00A14D42">
        <w:rPr>
          <w:rStyle w:val="FootnoteReference"/>
          <w:rFonts w:ascii="Times New Roman" w:hAnsi="Times New Roman" w:cs="Times New Roman"/>
          <w:noProof/>
          <w:sz w:val="24"/>
          <w:szCs w:val="24"/>
        </w:rPr>
        <w:footnoteReference w:id="35"/>
      </w:r>
      <w:r>
        <w:rPr>
          <w:rFonts w:ascii="Times New Roman" w:hAnsi="Times New Roman"/>
          <w:noProof/>
          <w:sz w:val="24"/>
        </w:rPr>
        <w:t>.</w:t>
      </w:r>
    </w:p>
    <w:p w14:paraId="13E2738A" w14:textId="46F50665" w:rsidR="00183337" w:rsidRDefault="00183337" w:rsidP="00183337">
      <w:pPr>
        <w:jc w:val="both"/>
        <w:rPr>
          <w:rFonts w:ascii="Times New Roman" w:hAnsi="Times New Roman" w:cs="Times New Roman"/>
          <w:noProof/>
          <w:sz w:val="24"/>
          <w:szCs w:val="24"/>
        </w:rPr>
      </w:pPr>
      <w:r>
        <w:rPr>
          <w:rFonts w:ascii="Times New Roman" w:hAnsi="Times New Roman"/>
          <w:b/>
          <w:noProof/>
          <w:sz w:val="24"/>
        </w:rPr>
        <w:t>Lorsqu’une profession est réglementée dans un État membre, les citoyens des autres États membres sont tenus de se soumettre à une procédure de reconnaissance de leurs qualifications professionnelles.</w:t>
      </w:r>
      <w:r>
        <w:rPr>
          <w:rFonts w:ascii="Times New Roman" w:hAnsi="Times New Roman"/>
          <w:noProof/>
          <w:sz w:val="24"/>
        </w:rPr>
        <w:t xml:space="preserve"> Grâce aux procédures mises en place au titre de la directive relative à la reconnaissance des qualifications professionnelles</w:t>
      </w:r>
      <w:r w:rsidR="006A228B">
        <w:rPr>
          <w:rStyle w:val="FootnoteReference"/>
          <w:rFonts w:ascii="Times New Roman" w:hAnsi="Times New Roman" w:cs="Times New Roman"/>
          <w:noProof/>
          <w:sz w:val="24"/>
          <w:szCs w:val="24"/>
        </w:rPr>
        <w:footnoteReference w:id="36"/>
      </w:r>
      <w:r>
        <w:rPr>
          <w:rFonts w:ascii="Times New Roman" w:hAnsi="Times New Roman"/>
          <w:noProof/>
          <w:sz w:val="24"/>
        </w:rPr>
        <w:t>, plus de 90 % des près d’un million de demandes de reconnaissance ont abouti à un résultat positif</w:t>
      </w:r>
      <w:r>
        <w:rPr>
          <w:rStyle w:val="FootnoteReference"/>
          <w:rFonts w:ascii="Times New Roman" w:hAnsi="Times New Roman" w:cs="Times New Roman"/>
          <w:noProof/>
          <w:sz w:val="24"/>
          <w:szCs w:val="24"/>
          <w:lang w:val="en-NZ"/>
        </w:rPr>
        <w:footnoteReference w:id="37"/>
      </w:r>
      <w:r>
        <w:rPr>
          <w:rFonts w:ascii="Times New Roman" w:hAnsi="Times New Roman"/>
          <w:noProof/>
          <w:sz w:val="24"/>
        </w:rPr>
        <w:t>. Pourtant, les citoyens se heurtent à des problèmes pratiques lorsqu’ils tentent de faire reconnaître leurs qualifications professionnelles</w:t>
      </w:r>
      <w:r w:rsidR="00B1775B">
        <w:rPr>
          <w:rStyle w:val="FootnoteReference"/>
          <w:rFonts w:ascii="Times New Roman" w:hAnsi="Times New Roman" w:cs="Times New Roman"/>
          <w:noProof/>
          <w:sz w:val="24"/>
          <w:szCs w:val="24"/>
        </w:rPr>
        <w:footnoteReference w:id="38"/>
      </w:r>
      <w:r>
        <w:rPr>
          <w:rFonts w:ascii="Times New Roman" w:hAnsi="Times New Roman"/>
          <w:noProof/>
          <w:sz w:val="24"/>
        </w:rPr>
        <w:t>. La lenteur et l’inefficacité de la reconnaissance des qualifications des ressortissants de pays tiers constituent également un problème persistant, qui bloque la mobilité, contribue à la surqualification et limite l’intégration sur le marché du travail européen. La Commission s’emploie actuellement à élaborer des solutions possibles pour accélérer et simplifier le système de reconnaissance des qualifications professionnelles.</w:t>
      </w:r>
    </w:p>
    <w:p w14:paraId="64B0B506" w14:textId="1C0B7493" w:rsidR="00150478" w:rsidRDefault="00183337" w:rsidP="00DA6783">
      <w:pPr>
        <w:pStyle w:val="Text1"/>
        <w:widowControl w:val="0"/>
        <w:spacing w:after="160" w:line="259" w:lineRule="auto"/>
        <w:ind w:left="0"/>
        <w:rPr>
          <w:noProof/>
        </w:rPr>
      </w:pPr>
      <w:r>
        <w:rPr>
          <w:b/>
          <w:noProof/>
        </w:rPr>
        <w:t>Si les déclarations de détachement de travailleurs se justifient par la nécessité de protéger les droits de ces travailleurs, elles constituent un obstacle administratif important à la prestation transfrontière de services sur une base temporaire.</w:t>
      </w:r>
      <w:r w:rsidRPr="00DB6138">
        <w:rPr>
          <w:bCs/>
          <w:noProof/>
        </w:rPr>
        <w:t xml:space="preserve"> </w:t>
      </w:r>
      <w:r>
        <w:rPr>
          <w:noProof/>
        </w:rPr>
        <w:t>La Commission collabore avec les autorités des États membres au sein du groupe de travail sur le respect de l’application des règles du marché unique pour faire en sorte que les obligations de déclaration soient justifiées et proportionnées. La Commission a en outre proposé un règlement visant à la création d’un portail numérique volontaire commun afin de simplifier la déclaration de détachement de travailleurs, portail qui serait relié au système d’information du marché intérieur (IMI)</w:t>
      </w:r>
      <w:r w:rsidRPr="004347EB">
        <w:rPr>
          <w:noProof/>
          <w:vertAlign w:val="superscript"/>
        </w:rPr>
        <w:footnoteReference w:id="39"/>
      </w:r>
      <w:r>
        <w:rPr>
          <w:noProof/>
        </w:rPr>
        <w:t>. Cet outil permettrait aux entreprises de faire des déclarations de détachement en un seul endroit pour tous les pays de l’UE utilisant l’interface publique et réduirait les charges administratives qui pèsent sur les entreprises et les autorités nationales, tout en protégeant les droits des travailleurs.</w:t>
      </w:r>
    </w:p>
    <w:p w14:paraId="5A06C361" w14:textId="393524E6" w:rsidR="00320874" w:rsidRDefault="005F1899" w:rsidP="00F1586B">
      <w:pPr>
        <w:pStyle w:val="Text1"/>
        <w:widowControl w:val="0"/>
        <w:spacing w:after="160" w:line="259" w:lineRule="auto"/>
        <w:ind w:left="0"/>
        <w:rPr>
          <w:b/>
          <w:bCs/>
          <w:noProof/>
        </w:rPr>
      </w:pPr>
      <w:r>
        <w:rPr>
          <w:b/>
          <w:noProof/>
          <w:color w:val="000000" w:themeColor="text1"/>
        </w:rPr>
        <w:t>Le secteur des postes est confronté à des difficultés en raison du déclin structurel des activités de courrier postal et d’une hausse des coûts unitaires, qui exercent une pression sur les coûts du service universel.</w:t>
      </w:r>
      <w:r>
        <w:rPr>
          <w:noProof/>
          <w:color w:val="000000" w:themeColor="text1"/>
        </w:rPr>
        <w:t xml:space="preserve"> Le secteur des services postaux revêt un caractère vital pour l’économie et le marché unique, puisqu’il contribue au PIB de l’UE à hauteur de 0,8 % et emploie 1,65 million de personnes. Les nouveaux arrivants sur le marché, en particulier les géants du commerce en ligne, perturbent la concurrence dans la livraison de colis. Selon une étude récente</w:t>
      </w:r>
      <w:r w:rsidR="00CD1D4D" w:rsidRPr="00546F88">
        <w:rPr>
          <w:rStyle w:val="FootnoteReference"/>
          <w:noProof/>
          <w:color w:val="000000" w:themeColor="text1"/>
        </w:rPr>
        <w:footnoteReference w:id="40"/>
      </w:r>
      <w:r w:rsidRPr="00546F88">
        <w:rPr>
          <w:noProof/>
          <w:color w:val="000000" w:themeColor="text1"/>
        </w:rPr>
        <w:t>,</w:t>
      </w:r>
      <w:r>
        <w:rPr>
          <w:noProof/>
          <w:color w:val="000000" w:themeColor="text1"/>
        </w:rPr>
        <w:t xml:space="preserve"> le secteur est en proie à des difficultés telles qu’une fragmentation réglementaire croissante et des niveaux de qualité inégaux.</w:t>
      </w:r>
    </w:p>
    <w:p w14:paraId="2DD57B74" w14:textId="6147D402" w:rsidR="008A3776" w:rsidRPr="007E29C6" w:rsidRDefault="00320874" w:rsidP="00F1586B">
      <w:pPr>
        <w:pStyle w:val="Heading2"/>
        <w:rPr>
          <w:noProof/>
        </w:rPr>
      </w:pPr>
      <w:r>
        <w:rPr>
          <w:noProof/>
        </w:rPr>
        <w:t xml:space="preserve"> Circulation transfrontière des biens au sein du marché unique</w:t>
      </w:r>
    </w:p>
    <w:p w14:paraId="2332B0EE" w14:textId="7389CFE7" w:rsidR="00AF4577" w:rsidRDefault="002D6CCA" w:rsidP="00E569D3">
      <w:pPr>
        <w:pStyle w:val="Text1"/>
        <w:widowControl w:val="0"/>
        <w:spacing w:after="160" w:line="259" w:lineRule="auto"/>
        <w:ind w:left="0"/>
        <w:rPr>
          <w:rFonts w:eastAsiaTheme="minorEastAsia"/>
          <w:noProof/>
          <w:color w:val="000000" w:themeColor="text1"/>
        </w:rPr>
      </w:pPr>
      <w:r>
        <w:rPr>
          <w:b/>
          <w:noProof/>
          <w:color w:val="000000" w:themeColor="text1"/>
        </w:rPr>
        <w:t>Le nouveau cadre législatif, bien qu’il ait amélioré la cohérence de la législation de l’UE sur les produits, est confronté à des défis.</w:t>
      </w:r>
      <w:r w:rsidRPr="00546F88">
        <w:rPr>
          <w:bCs/>
          <w:noProof/>
          <w:color w:val="000000" w:themeColor="text1"/>
        </w:rPr>
        <w:t xml:space="preserve"> </w:t>
      </w:r>
      <w:r>
        <w:rPr>
          <w:noProof/>
          <w:color w:val="000000" w:themeColor="text1"/>
        </w:rPr>
        <w:t>Le nouveau cadre législatif, qui porte sur des produits tels que les batteries, les machines et les équipements de protection individuelle</w:t>
      </w:r>
      <w:r w:rsidR="001F27E0">
        <w:rPr>
          <w:rStyle w:val="FootnoteReference"/>
          <w:noProof/>
          <w:color w:val="000000" w:themeColor="text1"/>
        </w:rPr>
        <w:footnoteReference w:id="41"/>
      </w:r>
      <w:r>
        <w:rPr>
          <w:noProof/>
          <w:color w:val="000000" w:themeColor="text1"/>
        </w:rPr>
        <w:t>, sous-tend environ 80 % de la production industrielle et 74 % du secteur manufacturier intra-UE. Toutefois, son évaluation réalisée en 2022 a révélé des problèmes urgents, notamment une potentielle influence étrangère, des pratiques illégales et des lacunes dans la prise en compte d’aspects liés à la numérisation et à l’économie circulaire. Il est essentiel de relever ces défis pour assurer la cohérence et réduire les coûts pour les opérateurs économiques et les autorités.</w:t>
      </w:r>
    </w:p>
    <w:p w14:paraId="593BC6C9" w14:textId="18EFC1DE" w:rsidR="00C01295" w:rsidRPr="0079654B" w:rsidRDefault="2B6C0EEC" w:rsidP="00E55027">
      <w:pPr>
        <w:pStyle w:val="Text1"/>
        <w:spacing w:after="160" w:line="259" w:lineRule="auto"/>
        <w:ind w:left="0"/>
        <w:rPr>
          <w:noProof/>
          <w:color w:val="000000" w:themeColor="text1"/>
        </w:rPr>
      </w:pPr>
      <w:r>
        <w:rPr>
          <w:b/>
          <w:noProof/>
          <w:color w:val="000000" w:themeColor="text1"/>
        </w:rPr>
        <w:t>La libre circulation des biens est compromise lorsque les produits ne satisfont pas aux exigences en matière de santé, de sécurité et de durabilité.</w:t>
      </w:r>
      <w:r>
        <w:rPr>
          <w:noProof/>
          <w:color w:val="000000" w:themeColor="text1"/>
        </w:rPr>
        <w:t xml:space="preserve"> Le cadre de l’UE pour la surveillance du marché vise à lutter contre ce type de situation et concerne tous les produits non alimentaires relevant de la législation d’harmonisation. Ces produits représentent environ deux tiers des échanges de biens opérés sur le territoire de l’Union. La Commission soutient et coordonne les activités des autorités nationales ayant pour mission de vérifier la conformité des produits mis sur le marché de l’UE et finance 36 mesures d’application conjointes mises en œuvre actuellement dans différents secteurs de produits relevant de la législation d’harmonisation de l’Union. En 2024, les autorités chargées de faire appliquer la législation ont comptabilisé plus de 36 916 enquêtes sur des produits non alimentaires et ont pris des mesures dans plus de 23 389 dossiers pour protéger les consommateurs et assurer des conditions de concurrence équitables aux entreprises.</w:t>
      </w:r>
    </w:p>
    <w:p w14:paraId="718F735C" w14:textId="40ED33B2" w:rsidR="00AF4577" w:rsidRDefault="00AF4577" w:rsidP="00AF4577">
      <w:pPr>
        <w:pStyle w:val="Text1"/>
        <w:widowControl w:val="0"/>
        <w:spacing w:after="160" w:line="259" w:lineRule="auto"/>
        <w:ind w:left="0"/>
        <w:rPr>
          <w:noProof/>
          <w:color w:val="000000" w:themeColor="text1"/>
        </w:rPr>
      </w:pPr>
      <w:r>
        <w:rPr>
          <w:b/>
          <w:noProof/>
          <w:color w:val="000000" w:themeColor="text1"/>
        </w:rPr>
        <w:t>Les nouvelles tendances en matière de commerce en ligne international et la reconfiguration des chaînes d’approvisionnement exercent une pression sur les contrôles douaniers, la surveillance du marché et les autorités de protection des consommateurs.</w:t>
      </w:r>
      <w:r w:rsidRPr="00546F88">
        <w:rPr>
          <w:bCs/>
          <w:noProof/>
          <w:color w:val="000000" w:themeColor="text1"/>
        </w:rPr>
        <w:t xml:space="preserve"> </w:t>
      </w:r>
      <w:r>
        <w:rPr>
          <w:noProof/>
          <w:color w:val="000000" w:themeColor="text1"/>
        </w:rPr>
        <w:t>Le nombre de colis issus du commerce en ligne importés dans l’UE est passé de 1,1 milliard en 2022 à 2,2 milliards en 2023, et devrait atteindre 4 milliards en 2024. En 2023, environ 152 millions d’articles contrefaits ont été saisis aux frontières de l’UE et dans le marché unique, ce qui représente une augmentation significative par rapport au chiffre de 86 millions enregistré en 2022</w:t>
      </w:r>
      <w:r w:rsidR="00CB0D3E">
        <w:rPr>
          <w:rStyle w:val="FootnoteReference"/>
          <w:noProof/>
          <w:color w:val="000000" w:themeColor="text1"/>
        </w:rPr>
        <w:footnoteReference w:id="42"/>
      </w:r>
      <w:r>
        <w:rPr>
          <w:noProof/>
          <w:color w:val="000000" w:themeColor="text1"/>
        </w:rPr>
        <w:t>. Des mesures importantes ont été prises pour relever le défi que représente l’arrivée sur le marché unique de biens non conformes, y compris via la vente en ligne. Parmi ces mesures figurent la mise en œuvre du règlement sur la surveillance du marché</w:t>
      </w:r>
      <w:r>
        <w:rPr>
          <w:rStyle w:val="FootnoteReference"/>
          <w:noProof/>
          <w:color w:val="000000" w:themeColor="text1"/>
        </w:rPr>
        <w:footnoteReference w:id="43"/>
      </w:r>
      <w:r>
        <w:rPr>
          <w:noProof/>
          <w:color w:val="000000" w:themeColor="text1"/>
        </w:rPr>
        <w:t>, soutenue par le réseau de l’Union pour la conformité des produits, l’adoption du règlement sur la sécurité générale des produits</w:t>
      </w:r>
      <w:r>
        <w:rPr>
          <w:rStyle w:val="FootnoteReference"/>
          <w:noProof/>
          <w:color w:val="000000" w:themeColor="text1"/>
        </w:rPr>
        <w:footnoteReference w:id="44"/>
      </w:r>
      <w:r>
        <w:rPr>
          <w:noProof/>
          <w:color w:val="000000" w:themeColor="text1"/>
        </w:rPr>
        <w:t xml:space="preserve"> afin de renforcer les règles relatives à la sécurité des produits et la formulation de propositions de réforme de l’union douanière de l’UE pour un contrôle plus efficace des importations de produits. En outre, la Commission prend des mesures au titre du règlement sur les services numériques.</w:t>
      </w:r>
    </w:p>
    <w:p w14:paraId="0EF5182E" w14:textId="7316A588" w:rsidR="009E5053" w:rsidRDefault="00ED01E2" w:rsidP="00F1586B">
      <w:pPr>
        <w:pStyle w:val="Text1"/>
        <w:widowControl w:val="0"/>
        <w:spacing w:after="160" w:line="259" w:lineRule="auto"/>
        <w:ind w:left="0"/>
        <w:rPr>
          <w:noProof/>
          <w:color w:val="000000" w:themeColor="text1"/>
        </w:rPr>
      </w:pPr>
      <w:r>
        <w:rPr>
          <w:b/>
          <w:noProof/>
        </w:rPr>
        <w:t>Les contraintes territoriales en matière d’approvisionnement dans le commerce de détail et de gros fragmentent le marché unique, limitent le choix des consommateurs et contribuent à d’importantes différences de prix au sein de l’UE.</w:t>
      </w:r>
      <w:r w:rsidR="00A0443F">
        <w:rPr>
          <w:rStyle w:val="FootnoteReference"/>
          <w:b/>
          <w:bCs/>
          <w:noProof/>
        </w:rPr>
        <w:footnoteReference w:id="45"/>
      </w:r>
      <w:r w:rsidRPr="00546F88">
        <w:rPr>
          <w:bCs/>
          <w:noProof/>
        </w:rPr>
        <w:t xml:space="preserve"> </w:t>
      </w:r>
      <w:r>
        <w:rPr>
          <w:noProof/>
        </w:rPr>
        <w:t>Ces contraintes sont imposées par les fabricants de grandes marques pour faire en sorte qu’il soit très difficile, voire impossible, pour les détaillants d’acheter des produits dans un État membre et de les revendre dans un autre. Si le droit de la concurrence constitue un outil efficace pour sanctionner de telles pratiques</w:t>
      </w:r>
      <w:r w:rsidRPr="0079654B">
        <w:rPr>
          <w:rStyle w:val="FootnoteReference"/>
          <w:noProof/>
        </w:rPr>
        <w:footnoteReference w:id="46"/>
      </w:r>
      <w:r>
        <w:rPr>
          <w:noProof/>
        </w:rPr>
        <w:t>, nombre d’entre elles ne relèvent toutefois pas de son champ d’application</w:t>
      </w:r>
      <w:r w:rsidRPr="0079654B">
        <w:rPr>
          <w:rStyle w:val="FootnoteReference"/>
          <w:noProof/>
        </w:rPr>
        <w:footnoteReference w:id="47"/>
      </w:r>
      <w:r>
        <w:rPr>
          <w:noProof/>
        </w:rPr>
        <w:t xml:space="preserve">. </w:t>
      </w:r>
      <w:r>
        <w:rPr>
          <w:noProof/>
          <w:color w:val="000000" w:themeColor="text1"/>
        </w:rPr>
        <w:t>Pour trouver des solutions à ce problème, la Commission a lancé une enquête auprès des États membres dans le cadre du SMET et entend engager un dialogue avec les acteurs concernés du secteur (détaillants et grossistes, fabricants, consommateurs).</w:t>
      </w:r>
    </w:p>
    <w:p w14:paraId="79ED882C" w14:textId="46D55DE7" w:rsidR="006E1004" w:rsidRDefault="006E1004" w:rsidP="00DA6783">
      <w:pPr>
        <w:widowControl w:val="0"/>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Des normes techniques harmonisées favorisent la libre circulation des biens en garantissant que les produits satisfont aux exigences en vigueur en matière de sécurité, de qualité et de performance dans l’ensemble des États membres.</w:t>
      </w:r>
      <w:r>
        <w:rPr>
          <w:rFonts w:ascii="Times New Roman" w:hAnsi="Times New Roman"/>
          <w:noProof/>
          <w:color w:val="000000" w:themeColor="text1"/>
          <w:sz w:val="24"/>
        </w:rPr>
        <w:t xml:space="preserve"> Le marquage «CE» indique que les produits sont conformes à la législation harmonisée de l’UE applicable aux produits, ce qui permet de les vendre dans toute l’Europe. Les normes réduisent les obstacles au commerce, assurent l’interopérabilité des produits et renforcent la compétitivité des entreprises européennes. Le cadre de normalisation manque parfois de rapidité et de souplesse, en particulier pour les nouvelles chaînes de valeur liées aux transitions écologique et numérique. Il est de la plus haute importance d’encourager la mise en œuvre rapide des normes et la participation de l’industrie de l’UE aux travaux relatifs aux demandes de normalisation dans des domaines clés pour la compétitivité de l’UE. Ces domaines prioritaires sont fixés chaque année, dans le cadre du programme de travail annuel de l’Union en matière de normalisation européenne</w:t>
      </w:r>
      <w:r w:rsidR="004D76E5" w:rsidRPr="00546F88">
        <w:rPr>
          <w:rStyle w:val="FootnoteReference"/>
          <w:rFonts w:ascii="Times New Roman" w:hAnsi="Times New Roman" w:cs="Times New Roman"/>
          <w:bCs/>
          <w:noProof/>
          <w:color w:val="000000" w:themeColor="text1"/>
        </w:rPr>
        <w:footnoteReference w:id="48"/>
      </w:r>
      <w:r w:rsidRPr="00546F88">
        <w:rPr>
          <w:rFonts w:ascii="Times New Roman" w:hAnsi="Times New Roman" w:cs="Times New Roman"/>
          <w:noProof/>
          <w:color w:val="000000" w:themeColor="text1"/>
          <w:sz w:val="24"/>
        </w:rPr>
        <w:t>.</w:t>
      </w:r>
      <w:r>
        <w:rPr>
          <w:rFonts w:ascii="Times New Roman" w:hAnsi="Times New Roman"/>
          <w:noProof/>
          <w:color w:val="000000" w:themeColor="text1"/>
          <w:sz w:val="24"/>
        </w:rPr>
        <w:t xml:space="preserve"> La Commission évalue actuellement le cadre juridique en matière de normalisation européenne afin de définir les nouvelles mesures à prendre.</w:t>
      </w:r>
    </w:p>
    <w:p w14:paraId="6311C922" w14:textId="2BFF280D" w:rsidR="00704DAE" w:rsidRPr="00E569D3" w:rsidRDefault="008F157A" w:rsidP="00D6180D">
      <w:pPr>
        <w:pStyle w:val="Text1"/>
        <w:widowControl w:val="0"/>
        <w:spacing w:after="160" w:line="259" w:lineRule="auto"/>
        <w:ind w:left="0"/>
        <w:rPr>
          <w:noProof/>
          <w:color w:val="000000" w:themeColor="text1"/>
        </w:rPr>
      </w:pPr>
      <w:r>
        <w:rPr>
          <w:b/>
          <w:noProof/>
          <w:color w:val="000000" w:themeColor="text1"/>
        </w:rPr>
        <w:t>L’évaluation du règlement sur l’étiquetage des produits textiles montre une multiplication des exigences en matière d’étiquetage.</w:t>
      </w:r>
      <w:r w:rsidRPr="00546F88">
        <w:rPr>
          <w:bCs/>
          <w:noProof/>
          <w:color w:val="000000" w:themeColor="text1"/>
        </w:rPr>
        <w:t xml:space="preserve"> </w:t>
      </w:r>
      <w:r>
        <w:rPr>
          <w:noProof/>
          <w:color w:val="000000" w:themeColor="text1"/>
        </w:rPr>
        <w:t>Cette multiplication a pour effet d’accroître la complexité des informations fournies aux consommateurs et de cloisonner le marché unique. L’évaluation</w:t>
      </w:r>
      <w:r w:rsidR="002D7796" w:rsidRPr="00F1586B">
        <w:rPr>
          <w:rStyle w:val="FootnoteReference"/>
          <w:bCs/>
          <w:noProof/>
          <w:color w:val="000000" w:themeColor="text1"/>
        </w:rPr>
        <w:footnoteReference w:id="49"/>
      </w:r>
      <w:r>
        <w:rPr>
          <w:noProof/>
          <w:color w:val="000000" w:themeColor="text1"/>
        </w:rPr>
        <w:t xml:space="preserve"> permet également de conclure que le cadre réglementaire existant à l’échelle européenne ne comporte pas d’informations liées au recyclage et n’englobe pas les étiquettes non physiques (étiquetage numérique).</w:t>
      </w:r>
    </w:p>
    <w:p w14:paraId="71EDE475" w14:textId="2301E721" w:rsidR="008A3776" w:rsidRPr="0079654B" w:rsidRDefault="008A3776" w:rsidP="00F1586B">
      <w:pPr>
        <w:pStyle w:val="Heading2"/>
        <w:rPr>
          <w:noProof/>
        </w:rPr>
      </w:pPr>
      <w:r>
        <w:rPr>
          <w:noProof/>
        </w:rPr>
        <w:t>La charge réglementaire au sein du marché unique</w:t>
      </w:r>
    </w:p>
    <w:p w14:paraId="3378FA17" w14:textId="73ED7199" w:rsidR="003B5827" w:rsidRDefault="00813ED2" w:rsidP="358C4304">
      <w:pPr>
        <w:pStyle w:val="Text1"/>
        <w:widowControl w:val="0"/>
        <w:spacing w:after="160" w:line="259" w:lineRule="auto"/>
        <w:ind w:left="0"/>
        <w:rPr>
          <w:noProof/>
          <w:color w:val="000000" w:themeColor="text1"/>
        </w:rPr>
      </w:pPr>
      <w:r>
        <w:rPr>
          <w:b/>
          <w:noProof/>
          <w:color w:val="000000" w:themeColor="text1"/>
        </w:rPr>
        <w:t>Les entreprises considèrent la charge réglementaire imposée en Europe comme trop lourde, et 32 % des entreprises de l’UE estiment que la réglementation constitue un «obstacle majeur» à leurs activités d’investissement.</w:t>
      </w:r>
      <w:r>
        <w:rPr>
          <w:noProof/>
          <w:color w:val="000000" w:themeColor="text1"/>
        </w:rPr>
        <w:t xml:space="preserve"> Parmi les autres entreprises de l’UE, 34 % perçoivent la réglementation comme un obstacle mineur, ce qui signifie qu’au total, deux tiers des entreprises se considèrent entravées dans leurs investissements par un excès de réglementation</w:t>
      </w:r>
      <w:r w:rsidR="00B5499B" w:rsidRPr="0079654B">
        <w:rPr>
          <w:rStyle w:val="FootnoteReference"/>
          <w:noProof/>
        </w:rPr>
        <w:footnoteReference w:id="50"/>
      </w:r>
      <w:r>
        <w:rPr>
          <w:noProof/>
          <w:color w:val="000000" w:themeColor="text1"/>
        </w:rPr>
        <w:t>. À titre de comparaison, seules 21 % des entreprises établies aux États-Unis qualifient les «réglementations commerciales» d’obstacle majeur à l’investissement. Par rapport à l’an dernier, la façon dont les entreprises de l’UE perçoivent la charge liée à la réglementation par les pouvoirs publics est restée globalement stable et a montré une légère amélioration en passant de 3,4 en 2019 à 3,9 en 2023</w:t>
      </w:r>
      <w:r w:rsidR="00C86DD5">
        <w:rPr>
          <w:rStyle w:val="FootnoteReference"/>
          <w:noProof/>
          <w:color w:val="000000" w:themeColor="text1"/>
        </w:rPr>
        <w:footnoteReference w:id="51"/>
      </w:r>
      <w:r>
        <w:rPr>
          <w:noProof/>
          <w:color w:val="000000" w:themeColor="text1"/>
        </w:rPr>
        <w:t>, bien que cette charge soit toujours considérée comme trop lourde (voir ICP 4).</w:t>
      </w:r>
    </w:p>
    <w:p w14:paraId="769981C1" w14:textId="2A78271D" w:rsidR="00FA1277" w:rsidRDefault="00270C33" w:rsidP="008C5990">
      <w:pPr>
        <w:pStyle w:val="Text1"/>
        <w:widowControl w:val="0"/>
        <w:spacing w:after="160" w:line="259" w:lineRule="auto"/>
        <w:ind w:left="0"/>
        <w:rPr>
          <w:rStyle w:val="normaltextrun"/>
          <w:noProof/>
        </w:rPr>
      </w:pPr>
      <w:r>
        <w:rPr>
          <w:b/>
          <w:noProof/>
          <w:color w:val="000000" w:themeColor="text1"/>
        </w:rPr>
        <w:t>41 % des entreprises sont d’avis que l’accroissement de la charge réglementaire est le principal facteur de risque d’incidence négative sur l’attractivité de l’UE en tant que destination pour les investissements directs étrangers (IDE)</w:t>
      </w:r>
      <w:r w:rsidR="00D261E8" w:rsidRPr="0079654B">
        <w:rPr>
          <w:rStyle w:val="FootnoteReference"/>
          <w:noProof/>
        </w:rPr>
        <w:footnoteReference w:id="52"/>
      </w:r>
      <w:r>
        <w:rPr>
          <w:b/>
          <w:noProof/>
          <w:color w:val="000000" w:themeColor="text1"/>
        </w:rPr>
        <w:t>.</w:t>
      </w:r>
      <w:r w:rsidRPr="00546F88">
        <w:rPr>
          <w:bCs/>
          <w:noProof/>
          <w:color w:val="000000" w:themeColor="text1"/>
        </w:rPr>
        <w:t xml:space="preserve"> </w:t>
      </w:r>
      <w:r>
        <w:rPr>
          <w:noProof/>
          <w:color w:val="000000" w:themeColor="text1"/>
        </w:rPr>
        <w:t>Cette situation peut en partie expliquer la baisse significative de la part de l’UE dans les flux annuels mondiaux d’IDE, qui est passée de 36 % en 2019 à 4 % en 2023</w:t>
      </w:r>
      <w:r w:rsidR="00D261E8" w:rsidRPr="0079654B">
        <w:rPr>
          <w:rStyle w:val="FootnoteReference"/>
          <w:noProof/>
        </w:rPr>
        <w:footnoteReference w:id="53"/>
      </w:r>
      <w:r>
        <w:rPr>
          <w:noProof/>
          <w:color w:val="000000" w:themeColor="text1"/>
        </w:rPr>
        <w:t>.</w:t>
      </w:r>
      <w:r w:rsidRPr="00546F88">
        <w:rPr>
          <w:bCs/>
          <w:noProof/>
          <w:color w:val="000000" w:themeColor="text1"/>
        </w:rPr>
        <w:t xml:space="preserve"> </w:t>
      </w:r>
      <w:r>
        <w:rPr>
          <w:noProof/>
          <w:color w:val="000000" w:themeColor="text1"/>
        </w:rPr>
        <w:t>La charge réglementaire est particulièrement contraignante pour les PME. 28 % des PME de l’UE déclarent que plus de 10 % de leur personnel est affecté à l’évaluation des exigences et normes réglementaires et à la mise en conformité avec celles-ci</w:t>
      </w:r>
      <w:r w:rsidR="00D261E8" w:rsidRPr="0079654B">
        <w:rPr>
          <w:rStyle w:val="FootnoteReference"/>
          <w:noProof/>
        </w:rPr>
        <w:footnoteReference w:id="54"/>
      </w:r>
      <w:r>
        <w:rPr>
          <w:noProof/>
          <w:color w:val="000000" w:themeColor="text1"/>
        </w:rPr>
        <w:t>. Par exemple, les procédures d’autorisation pour des installations de fabrication nouvelles ou modernisées peuvent être chronophages, coûteuses et nécessiter d’interagir avec une multitude d’administrations publiques. D’autres aspects régulièrement mis en avant par les entreprises comme étant particulièrement contraignants sont le détachement de travailleurs, la communication d’informations sur les mesures prises en matière de durabilité et la législation sur les produits chimiques.</w:t>
      </w:r>
    </w:p>
    <w:p w14:paraId="4E625C1B" w14:textId="7DBFB4ED" w:rsidR="008A3776" w:rsidRPr="0007396F" w:rsidRDefault="008A3776" w:rsidP="00F1586B">
      <w:pPr>
        <w:pStyle w:val="Heading2"/>
        <w:rPr>
          <w:noProof/>
        </w:rPr>
      </w:pPr>
      <w:r>
        <w:rPr>
          <w:noProof/>
        </w:rPr>
        <w:t>Les outils numériques au service du marché unique</w:t>
      </w:r>
    </w:p>
    <w:p w14:paraId="37C4CA34" w14:textId="4042C1ED" w:rsidR="00840745" w:rsidRPr="0027549C" w:rsidRDefault="00FF52C6" w:rsidP="0027549C">
      <w:pPr>
        <w:widowControl w:val="0"/>
        <w:jc w:val="both"/>
        <w:rPr>
          <w:rFonts w:ascii="Times New Roman" w:eastAsia="Calibri" w:hAnsi="Times New Roman" w:cs="Times New Roman"/>
          <w:noProof/>
          <w:sz w:val="24"/>
          <w:szCs w:val="24"/>
        </w:rPr>
      </w:pPr>
      <w:r>
        <w:rPr>
          <w:rFonts w:ascii="Times New Roman" w:hAnsi="Times New Roman"/>
          <w:b/>
          <w:noProof/>
          <w:sz w:val="24"/>
        </w:rPr>
        <w:t>Les opérateurs économiques font état de difficultés concernant l’accès à l’information et l’accomplissement de formalités administratives en ligne.</w:t>
      </w:r>
      <w:r w:rsidRPr="0085256A">
        <w:rPr>
          <w:rFonts w:ascii="Times New Roman" w:hAnsi="Times New Roman"/>
          <w:bCs/>
          <w:noProof/>
          <w:sz w:val="24"/>
        </w:rPr>
        <w:t xml:space="preserve"> </w:t>
      </w:r>
      <w:r>
        <w:rPr>
          <w:rFonts w:ascii="Times New Roman" w:hAnsi="Times New Roman"/>
          <w:noProof/>
          <w:sz w:val="24"/>
        </w:rPr>
        <w:t>D’après des enquêtes récentes</w:t>
      </w:r>
      <w:r w:rsidR="00001E43" w:rsidRPr="00027B12">
        <w:rPr>
          <w:rStyle w:val="FootnoteReference"/>
          <w:rFonts w:ascii="Times New Roman" w:hAnsi="Times New Roman" w:cs="Times New Roman"/>
          <w:noProof/>
          <w:sz w:val="24"/>
          <w:szCs w:val="24"/>
        </w:rPr>
        <w:footnoteReference w:id="55"/>
      </w:r>
      <w:r>
        <w:rPr>
          <w:rFonts w:ascii="Times New Roman" w:hAnsi="Times New Roman"/>
          <w:noProof/>
          <w:sz w:val="24"/>
        </w:rPr>
        <w:t>, parmi les principaux problèmes rencontrés figurent la difficulté d’accéder à des informations sur les règles et les exigences ainsi que la complexité excessive des procédures administratives. Pour remédier à ces difficultés, les outils numériques peuvent faciliter l’accès et réduire la charge administrative. Par exemple, le portail numérique unique est une initiative de l’UE en matière d’administration en ligne qui sert déjà de guichet unique aux citoyens et aux entreprises désirant travailler, étudier ou faire des affaires dans un autre pays de l’UE. Sa portée s’est progressivement élargie pour inclure d’autres domaines et initiatives législatives</w:t>
      </w:r>
      <w:r w:rsidR="00802DBF" w:rsidRPr="00F1586B">
        <w:rPr>
          <w:rStyle w:val="FootnoteReference"/>
          <w:rFonts w:ascii="Times New Roman" w:eastAsia="Calibri" w:hAnsi="Times New Roman" w:cs="Times New Roman"/>
          <w:noProof/>
          <w:sz w:val="24"/>
          <w:szCs w:val="24"/>
        </w:rPr>
        <w:footnoteReference w:id="56"/>
      </w:r>
      <w:r>
        <w:rPr>
          <w:rFonts w:ascii="Times New Roman" w:hAnsi="Times New Roman"/>
          <w:noProof/>
          <w:sz w:val="24"/>
        </w:rPr>
        <w:t>. Toutefois, des progrès significatifs sont encore nécessaires, notamment pour rendre les procédures accessibles aux utilisateurs transfrontières.</w:t>
      </w:r>
    </w:p>
    <w:p w14:paraId="2096D18C" w14:textId="41E9EEE2" w:rsidR="002E7A01" w:rsidRPr="00F1586B" w:rsidRDefault="00B46936" w:rsidP="002E7A01">
      <w:pPr>
        <w:widowControl w:val="0"/>
        <w:jc w:val="both"/>
        <w:rPr>
          <w:rFonts w:ascii="Times New Roman" w:eastAsia="Calibri" w:hAnsi="Times New Roman" w:cs="Times New Roman"/>
          <w:noProof/>
          <w:sz w:val="24"/>
          <w:szCs w:val="24"/>
        </w:rPr>
      </w:pPr>
      <w:r>
        <w:rPr>
          <w:rFonts w:ascii="Times New Roman" w:hAnsi="Times New Roman"/>
          <w:b/>
          <w:noProof/>
          <w:sz w:val="24"/>
        </w:rPr>
        <w:t>Une coopération fragmentée entre les autorités des États membres et la Commission européenne peut compromettre la mise en œuvre effective du droit de l’Union.</w:t>
      </w:r>
      <w:r w:rsidRPr="0085256A">
        <w:rPr>
          <w:rFonts w:ascii="Times New Roman" w:hAnsi="Times New Roman"/>
          <w:bCs/>
          <w:noProof/>
          <w:sz w:val="24"/>
        </w:rPr>
        <w:t xml:space="preserve"> </w:t>
      </w:r>
      <w:r>
        <w:rPr>
          <w:rFonts w:ascii="Times New Roman" w:hAnsi="Times New Roman"/>
          <w:noProof/>
          <w:sz w:val="24"/>
        </w:rPr>
        <w:t>Le système d’information du marché intérieur (IMI) joue un rôle important en ce qu’il facilite la coopération et les échanges rapides entre plus de 12 000 autorités publiques dans toute l’Europe. L’an dernier, la base de données des professions réglementées a été intégrée à l’IMI. D’autres utilisations de ce système, notamment celle découlant de la proposition de créer un portail unique de déclaration numérique pour le détachement de travailleurs, pourraient permettre de réduire encore la charge administrative.</w:t>
      </w:r>
    </w:p>
    <w:p w14:paraId="54F19F01" w14:textId="7C4D3E72" w:rsidR="002E7A01" w:rsidRPr="004C2E24" w:rsidRDefault="00B46936" w:rsidP="002E7A01">
      <w:pPr>
        <w:pStyle w:val="Text1"/>
        <w:widowControl w:val="0"/>
        <w:spacing w:after="160" w:line="259" w:lineRule="auto"/>
        <w:ind w:left="0"/>
        <w:rPr>
          <w:noProof/>
          <w:color w:val="000000" w:themeColor="text1"/>
        </w:rPr>
      </w:pPr>
      <w:r>
        <w:rPr>
          <w:b/>
          <w:noProof/>
          <w:color w:val="000000" w:themeColor="text1"/>
        </w:rPr>
        <w:t>L’adoption non uniforme de la facturation électronique complique encore davantage les procédures administratives pour les entreprises, en particulier dans le cadre des procédures de passation de marchés publics.</w:t>
      </w:r>
      <w:r w:rsidRPr="0085256A">
        <w:rPr>
          <w:bCs/>
          <w:noProof/>
          <w:color w:val="000000" w:themeColor="text1"/>
        </w:rPr>
        <w:t xml:space="preserve"> </w:t>
      </w:r>
      <w:r>
        <w:rPr>
          <w:noProof/>
          <w:color w:val="000000" w:themeColor="text1"/>
        </w:rPr>
        <w:t>La directive relative à la facturation électronique dans le cadre des marchés publics</w:t>
      </w:r>
      <w:r w:rsidR="00D10136">
        <w:rPr>
          <w:rStyle w:val="FootnoteReference"/>
          <w:noProof/>
          <w:color w:val="000000" w:themeColor="text1"/>
        </w:rPr>
        <w:footnoteReference w:id="57"/>
      </w:r>
      <w:r>
        <w:rPr>
          <w:noProof/>
          <w:color w:val="000000" w:themeColor="text1"/>
        </w:rPr>
        <w:t xml:space="preserve"> impose à tous les pouvoirs adjudicateurs en Europe de recevoir et de traiter les factures électroniques conformes à la norme correspondante.</w:t>
      </w:r>
      <w:r>
        <w:rPr>
          <w:noProof/>
        </w:rPr>
        <w:t xml:space="preserve"> </w:t>
      </w:r>
      <w:r>
        <w:rPr>
          <w:noProof/>
          <w:color w:val="000000" w:themeColor="text1"/>
        </w:rPr>
        <w:t>Le pourcentage d’entreprises européennes qui envoient des factures électroniques est passé de 10,3 % en 2013 à 32,2 % en 2020.</w:t>
      </w:r>
    </w:p>
    <w:p w14:paraId="43558228" w14:textId="10A468F7" w:rsidR="002E7A01" w:rsidRDefault="005E3E13" w:rsidP="002E7A01">
      <w:pPr>
        <w:pStyle w:val="Text1"/>
        <w:widowControl w:val="0"/>
        <w:spacing w:after="160" w:line="259" w:lineRule="auto"/>
        <w:ind w:left="0"/>
        <w:rPr>
          <w:rFonts w:eastAsia="Calibri"/>
          <w:noProof/>
          <w:color w:val="000000" w:themeColor="text1"/>
        </w:rPr>
      </w:pPr>
      <w:r>
        <w:rPr>
          <w:b/>
          <w:noProof/>
          <w:color w:val="000000" w:themeColor="text1"/>
        </w:rPr>
        <w:t>Le manque d’exhaustivité et d’accessibilité des informations sur le cycle de vie des produits entrave les efforts déployés en faveur de la transparence et de la durabilité.</w:t>
      </w:r>
      <w:r>
        <w:rPr>
          <w:noProof/>
          <w:color w:val="000000" w:themeColor="text1"/>
        </w:rPr>
        <w:t xml:space="preserve"> Le passeport numérique de produit, établi au titre du règlement sur l’écoconception pour des produits durables en vigueur depuis juillet 2024, fournira, une fois créé et opérationnel, des informations complètes sur le cycle de vie des produits, y compris de la documentation relative à la conformité, des instructions de sécurité et des orientations concernant l’élimination des produits.</w:t>
      </w:r>
    </w:p>
    <w:p w14:paraId="090091B9" w14:textId="5D9614AF" w:rsidR="005F1094" w:rsidRDefault="005E3E13" w:rsidP="002E7A01">
      <w:pPr>
        <w:pStyle w:val="Text1"/>
        <w:widowControl w:val="0"/>
        <w:spacing w:after="160" w:line="259" w:lineRule="auto"/>
        <w:ind w:left="0"/>
        <w:rPr>
          <w:rFonts w:eastAsia="Calibri"/>
          <w:noProof/>
        </w:rPr>
      </w:pPr>
      <w:r>
        <w:rPr>
          <w:b/>
          <w:noProof/>
          <w:color w:val="000000" w:themeColor="text1"/>
        </w:rPr>
        <w:t>Enfin, l’interopérabilité du secteur public permet aux administrations de coopérer et de fournir des services publics par-delà les frontières et les limites sectorielles et organisationnelles.</w:t>
      </w:r>
      <w:r>
        <w:rPr>
          <w:noProof/>
          <w:color w:val="000000" w:themeColor="text1"/>
        </w:rPr>
        <w:t xml:space="preserve"> L’interopérabilité transfrontière peut faire économiser aux entreprises entre 5,7 et 19,2 milliards d’EUR par an</w:t>
      </w:r>
      <w:r w:rsidR="00C50BFE">
        <w:rPr>
          <w:rStyle w:val="FootnoteReference"/>
          <w:noProof/>
          <w:color w:val="000000" w:themeColor="text1"/>
        </w:rPr>
        <w:footnoteReference w:id="58"/>
      </w:r>
      <w:r>
        <w:rPr>
          <w:noProof/>
          <w:color w:val="000000" w:themeColor="text1"/>
        </w:rPr>
        <w:t>.</w:t>
      </w:r>
    </w:p>
    <w:p w14:paraId="2E745E89" w14:textId="1FD391A5" w:rsidR="008A3776" w:rsidRPr="00D22B66" w:rsidRDefault="008A3776" w:rsidP="00F1586B">
      <w:pPr>
        <w:pStyle w:val="Heading2"/>
        <w:rPr>
          <w:noProof/>
        </w:rPr>
      </w:pPr>
      <w:r>
        <w:rPr>
          <w:noProof/>
        </w:rPr>
        <w:t>PME</w:t>
      </w:r>
    </w:p>
    <w:p w14:paraId="262DEFF7" w14:textId="49BBD3A1" w:rsidR="009A440E" w:rsidRDefault="001E7D09" w:rsidP="00FD2AB7">
      <w:pPr>
        <w:pStyle w:val="Text1"/>
        <w:widowControl w:val="0"/>
        <w:spacing w:after="160" w:line="259" w:lineRule="auto"/>
        <w:ind w:left="0"/>
        <w:rPr>
          <w:noProof/>
        </w:rPr>
      </w:pPr>
      <w:r>
        <w:rPr>
          <w:b/>
          <w:noProof/>
        </w:rPr>
        <w:t>Les PME de l’UE (soit 99,8 % des entreprises) constituent l’essence même du tissu économique de l’UE. Pourtant, l’environnement économique demeure une source de difficultés pour ces entreprises.</w:t>
      </w:r>
      <w:r w:rsidRPr="0085256A">
        <w:rPr>
          <w:bCs/>
          <w:noProof/>
        </w:rPr>
        <w:t xml:space="preserve"> </w:t>
      </w:r>
      <w:r>
        <w:rPr>
          <w:noProof/>
        </w:rPr>
        <w:t>Comme le montre l’examen des performances des PME (SME Performance Review) réalisé par la direction générale du marché intérieur, de l’industrie, de l’entrepreneuriat et des PME (GROW) en 2024, la valeur ajoutée des PME en termes réels a diminué de 1,6 % en 2023, et les estimations prévoient une nouvelle baisse de 1,0 % pour 2024. Par rapport aux grandes entreprises, la productivité des PME a évolué dans le mauvais sens: si, en 2008, 68 % d’entre elles étaient aussi productives que les grandes entreprises, en 2024, ce chiffre est tombé à 60 %</w:t>
      </w:r>
      <w:r w:rsidR="00693D8F" w:rsidRPr="0079654B">
        <w:rPr>
          <w:rStyle w:val="FootnoteReference"/>
          <w:noProof/>
        </w:rPr>
        <w:footnoteReference w:id="59"/>
      </w:r>
      <w:r w:rsidR="0085256A">
        <w:rPr>
          <w:noProof/>
        </w:rPr>
        <w:t>.</w:t>
      </w:r>
    </w:p>
    <w:p w14:paraId="41904E30" w14:textId="328F0A09" w:rsidR="000B4777" w:rsidRDefault="004D0C34" w:rsidP="00FD2AB7">
      <w:pPr>
        <w:pStyle w:val="Text1"/>
        <w:widowControl w:val="0"/>
        <w:spacing w:after="160" w:line="259" w:lineRule="auto"/>
        <w:ind w:left="0"/>
        <w:rPr>
          <w:noProof/>
        </w:rPr>
      </w:pPr>
      <w:r>
        <w:rPr>
          <w:b/>
          <w:noProof/>
        </w:rPr>
        <w:t>Les PME restent le moteur de la croissance et de l’innovation en Europe.</w:t>
      </w:r>
      <w:r>
        <w:rPr>
          <w:noProof/>
        </w:rPr>
        <w:t xml:space="preserve"> La plupart des entreprises en expansion de l’UE affichant une croissance rapide et des niveaux de productivité élevés sont des PME</w:t>
      </w:r>
      <w:r w:rsidR="00EC5FE3" w:rsidRPr="0079654B">
        <w:rPr>
          <w:rStyle w:val="FootnoteReference"/>
          <w:noProof/>
        </w:rPr>
        <w:footnoteReference w:id="60"/>
      </w:r>
      <w:r>
        <w:rPr>
          <w:noProof/>
        </w:rPr>
        <w:t>. Les micro-PME de moins de 10 salariés ont généré près de 4 millions d’emplois au cours des trois dernières années, et dans 11 des 14 écosystèmes industriels, la croissance de l’emploi dans les PME a dépassé celle des grandes entreprises en 2023</w:t>
      </w:r>
      <w:r w:rsidR="00EC61F7" w:rsidRPr="0079654B">
        <w:rPr>
          <w:rStyle w:val="FootnoteReference"/>
          <w:noProof/>
        </w:rPr>
        <w:footnoteReference w:id="61"/>
      </w:r>
      <w:r>
        <w:rPr>
          <w:noProof/>
        </w:rPr>
        <w:t>.</w:t>
      </w:r>
    </w:p>
    <w:p w14:paraId="6E4F52B7" w14:textId="3CDE6B67" w:rsidR="00C2612E" w:rsidRPr="00B463BC" w:rsidRDefault="00DA7605" w:rsidP="00B463BC">
      <w:pPr>
        <w:pStyle w:val="Text1"/>
        <w:widowControl w:val="0"/>
        <w:spacing w:after="160" w:line="259" w:lineRule="auto"/>
        <w:ind w:left="0"/>
        <w:rPr>
          <w:noProof/>
        </w:rPr>
      </w:pPr>
      <w:r>
        <w:rPr>
          <w:b/>
          <w:noProof/>
        </w:rPr>
        <w:t xml:space="preserve">Quatre grands défis empêchent les PME de progresser: les obstacles réglementaires ou la charge administrative, les retards de paiement, l’accès au financement et les </w:t>
      </w:r>
      <w:r w:rsidRPr="0085256A">
        <w:rPr>
          <w:b/>
          <w:noProof/>
        </w:rPr>
        <w:t>compétences</w:t>
      </w:r>
      <w:r w:rsidR="00BA049E" w:rsidRPr="0085256A">
        <w:rPr>
          <w:rStyle w:val="FootnoteReference"/>
          <w:b/>
          <w:noProof/>
        </w:rPr>
        <w:footnoteReference w:id="62"/>
      </w:r>
      <w:r w:rsidRPr="0085256A">
        <w:rPr>
          <w:b/>
          <w:bCs/>
          <w:noProof/>
        </w:rPr>
        <w:t>.</w:t>
      </w:r>
      <w:r>
        <w:rPr>
          <w:noProof/>
        </w:rPr>
        <w:t xml:space="preserve"> 35 % des PME considèrent les procédures administratives et juridiques complexes comme un obstacle majeur à la mise en œuvre de mesures visant une utilisation efficace des ressources</w:t>
      </w:r>
      <w:r w:rsidR="00AD25DA">
        <w:rPr>
          <w:rStyle w:val="FootnoteReference"/>
          <w:noProof/>
        </w:rPr>
        <w:footnoteReference w:id="63"/>
      </w:r>
      <w:r>
        <w:rPr>
          <w:noProof/>
        </w:rPr>
        <w:t>, tandis que 29 % d’entre elles perçoivent l’accès aux compétences comme leur principal problème</w:t>
      </w:r>
      <w:r w:rsidR="00AD25DA">
        <w:rPr>
          <w:rStyle w:val="FootnoteReference"/>
          <w:noProof/>
        </w:rPr>
        <w:footnoteReference w:id="64"/>
      </w:r>
      <w:r>
        <w:rPr>
          <w:noProof/>
        </w:rPr>
        <w:t>. En outre, la situation des paiements en Europe continue de se dégrader: les délais effectifs de paiement dans le cadre des transactions B2B sont passés de 52 jours en 2022 à 62 jours en 2024. Si le manque de dynamisme observé dans le segment des PME est le résultat d’une croissance globale plus lente au sein de l’économie, il indique également qu’il est devenu plus difficile de se développer et qu’il est possible d’exploiter davantage les économies d’échelle du marché unique.</w:t>
      </w:r>
    </w:p>
    <w:p w14:paraId="415B88BC" w14:textId="186709CC" w:rsidR="008A3776" w:rsidRPr="00260487" w:rsidRDefault="00792486" w:rsidP="0085256A">
      <w:pPr>
        <w:pStyle w:val="Heading2"/>
        <w:jc w:val="both"/>
        <w:rPr>
          <w:noProof/>
        </w:rPr>
      </w:pPr>
      <w:r>
        <w:rPr>
          <w:noProof/>
        </w:rPr>
        <w:t>Élargissement éventuel et intégration des pays candidats au sein du marché unique</w:t>
      </w:r>
    </w:p>
    <w:p w14:paraId="38065F35" w14:textId="7C8BB669" w:rsidR="005B54A9" w:rsidRPr="0079654B" w:rsidRDefault="005B54A9" w:rsidP="358C4304">
      <w:pPr>
        <w:widowControl w:val="0"/>
        <w:jc w:val="both"/>
        <w:rPr>
          <w:rFonts w:ascii="Times New Roman" w:hAnsi="Times New Roman" w:cs="Times New Roman"/>
          <w:noProof/>
          <w:sz w:val="24"/>
          <w:szCs w:val="24"/>
        </w:rPr>
      </w:pPr>
      <w:r>
        <w:rPr>
          <w:rFonts w:ascii="Times New Roman" w:hAnsi="Times New Roman"/>
          <w:b/>
          <w:noProof/>
          <w:sz w:val="24"/>
        </w:rPr>
        <w:t>L’intégration économique des pays candidats au sein du marché unique de l’UE est une priorité essentielle pour la Commission</w:t>
      </w:r>
      <w:r w:rsidR="005B3241">
        <w:rPr>
          <w:rStyle w:val="FootnoteReference"/>
          <w:rFonts w:ascii="Times New Roman" w:hAnsi="Times New Roman" w:cs="Times New Roman"/>
          <w:b/>
          <w:bCs/>
          <w:noProof/>
          <w:sz w:val="24"/>
          <w:szCs w:val="24"/>
        </w:rPr>
        <w:footnoteReference w:id="65"/>
      </w:r>
      <w:r>
        <w:rPr>
          <w:rFonts w:ascii="Times New Roman" w:hAnsi="Times New Roman"/>
          <w:b/>
          <w:noProof/>
          <w:sz w:val="24"/>
        </w:rPr>
        <w:t>.</w:t>
      </w:r>
      <w:r w:rsidRPr="0085256A">
        <w:rPr>
          <w:rFonts w:ascii="Times New Roman" w:hAnsi="Times New Roman"/>
          <w:bCs/>
          <w:noProof/>
          <w:sz w:val="24"/>
        </w:rPr>
        <w:t xml:space="preserve"> </w:t>
      </w:r>
      <w:r>
        <w:rPr>
          <w:rFonts w:ascii="Times New Roman" w:hAnsi="Times New Roman"/>
          <w:noProof/>
          <w:sz w:val="24"/>
        </w:rPr>
        <w:t>Elle est synonyme de facilitation des flux d’échanges et d’investissement et permettra, in fine, de stimuler la croissance économique tant dans l’UE que dans les pays candidats. La Commission continue de soutenir cette intégration en suivant les progrès réalisés par les pays candidats dans l’alignement de leur législation sur celle de l’Union et en les aidant à mettre en œuvre leurs réformes politiques et économiques. L’intégration de nouvelles économies au sein du marché unique devrait avoir une incidence positive sur des secteurs clés, tels que les matières premières, les machines et le tourisme.</w:t>
      </w:r>
    </w:p>
    <w:p w14:paraId="6F5B82F5" w14:textId="77777777" w:rsidR="00A63885" w:rsidRDefault="00345430" w:rsidP="00A63885">
      <w:pPr>
        <w:widowControl w:val="0"/>
        <w:jc w:val="both"/>
        <w:rPr>
          <w:rFonts w:ascii="Times New Roman" w:hAnsi="Times New Roman"/>
          <w:noProof/>
          <w:sz w:val="24"/>
        </w:rPr>
      </w:pPr>
      <w:r>
        <w:rPr>
          <w:rFonts w:ascii="Times New Roman" w:hAnsi="Times New Roman"/>
          <w:b/>
          <w:noProof/>
          <w:sz w:val="24"/>
        </w:rPr>
        <w:t>Les initiatives visant à renforcer les liens avec l’Ukraine et la Moldavie comprennent l’intégration réglementaire de certains secteurs industriels.</w:t>
      </w:r>
      <w:r>
        <w:rPr>
          <w:rFonts w:ascii="Times New Roman" w:hAnsi="Times New Roman"/>
          <w:noProof/>
          <w:sz w:val="24"/>
        </w:rPr>
        <w:t xml:space="preserve"> Depuis 2022, l’UE n’a cessé de gagner en importance en tant que partenaire commercial clé pour ces deux pays, et aujourd’hui, elle représente plus de 50 % de l’ensemble de leurs échanges. Un dialogue annuel sur la coopération industrielle est organisé avec l’Ukraine; en mars 2024, le gouvernement ukrainien a présenté le plan pour l’Ukraine</w:t>
      </w:r>
      <w:r w:rsidR="00BA049E" w:rsidRPr="0079654B">
        <w:rPr>
          <w:rStyle w:val="FootnoteReference"/>
          <w:rFonts w:ascii="Times New Roman" w:hAnsi="Times New Roman" w:cs="Times New Roman"/>
          <w:noProof/>
          <w:sz w:val="24"/>
          <w:szCs w:val="24"/>
        </w:rPr>
        <w:footnoteReference w:id="66"/>
      </w:r>
      <w:r>
        <w:rPr>
          <w:rFonts w:ascii="Times New Roman" w:hAnsi="Times New Roman"/>
          <w:noProof/>
          <w:sz w:val="24"/>
        </w:rPr>
        <w:t>, soit une liste de réformes et d’investissements susceptibles de rapprocher le pays de l’UE et du marché unique. Dans le cadre d’éventuels accords sur l’évaluation de la conformité et l’acceptation des produits industriels (ACAA), la Commission renforce les capacités administratives des pays candidats afin de les aider à mettre en œuvre la législation de l’UE sur les produits industriels. L’objectif est d’assurer l’intégration progressive des pays candidats au sein du marché unique et des chaînes de valeur économiques de l’UE.</w:t>
      </w:r>
    </w:p>
    <w:p w14:paraId="770B9C48" w14:textId="6832B949" w:rsidR="002B648F" w:rsidRDefault="003F74CC" w:rsidP="00A63885">
      <w:pPr>
        <w:widowControl w:val="0"/>
        <w:jc w:val="both"/>
        <w:rPr>
          <w:rFonts w:ascii="Times New Roman" w:hAnsi="Times New Roman" w:cs="Times New Roman"/>
          <w:b/>
          <w:bCs/>
          <w:noProof/>
          <w:color w:val="000000" w:themeColor="text1"/>
          <w:sz w:val="28"/>
          <w:szCs w:val="28"/>
        </w:rPr>
      </w:pPr>
      <w:r w:rsidRPr="00A63885">
        <w:rPr>
          <w:rFonts w:ascii="Times New Roman" w:eastAsiaTheme="majorEastAsia" w:hAnsi="Times New Roman" w:cs="Times New Roman"/>
          <w:b/>
          <w:noProof/>
          <w:sz w:val="24"/>
          <w:szCs w:val="24"/>
          <w:lang w:val="en-IE"/>
        </w:rPr>
        <w:t>La promotion du développement économique dans les pays voisins de l’UE peut également profiter à l’UE elle-même, en lui ouvrant des possibilités commerciales.</w:t>
      </w:r>
      <w:r w:rsidRPr="00A63885">
        <w:rPr>
          <w:rFonts w:ascii="Times New Roman" w:hAnsi="Times New Roman"/>
          <w:noProof/>
          <w:sz w:val="24"/>
        </w:rPr>
        <w:t xml:space="preserve"> Le plan de croissance pour les Balkans occidentaux</w:t>
      </w:r>
      <w:r w:rsidR="005B60EB" w:rsidRPr="00A63885">
        <w:rPr>
          <w:rFonts w:ascii="Times New Roman" w:hAnsi="Times New Roman"/>
          <w:noProof/>
        </w:rPr>
        <w:footnoteReference w:id="67"/>
      </w:r>
      <w:r w:rsidRPr="00A63885">
        <w:rPr>
          <w:rFonts w:ascii="Times New Roman" w:hAnsi="Times New Roman"/>
          <w:noProof/>
          <w:sz w:val="24"/>
        </w:rPr>
        <w:t xml:space="preserve"> prévoit une intégration progressive des biens et des services dans le marché unique de l’UE et des connexions plus étroites avec les chaînes d’approvisionnement de l’UE. La création d’un marché commun régional pour les Balkans occidentaux, aligné sur les règles de l’UE, pourrait faire doubler les économies de cette région au cours de la prochaine décennie.</w:t>
      </w:r>
      <w:r w:rsidR="002B648F">
        <w:rPr>
          <w:noProof/>
        </w:rPr>
        <w:br w:type="page"/>
      </w:r>
    </w:p>
    <w:bookmarkEnd w:id="2"/>
    <w:p w14:paraId="46832526" w14:textId="77777777" w:rsidR="0075701A" w:rsidRPr="0075701A" w:rsidRDefault="0075701A" w:rsidP="0075701A">
      <w:pPr>
        <w:rPr>
          <w:rFonts w:ascii="Times New Roman" w:hAnsi="Times New Roman" w:cs="Times New Roman"/>
          <w:b/>
          <w:bCs/>
          <w:noProof/>
          <w:color w:val="000000"/>
          <w:sz w:val="28"/>
          <w:szCs w:val="28"/>
          <w:shd w:val="clear" w:color="auto" w:fill="FFFFFF"/>
        </w:rPr>
      </w:pPr>
      <w:r w:rsidRPr="0075701A">
        <w:rPr>
          <w:rFonts w:ascii="Times New Roman" w:hAnsi="Times New Roman"/>
          <w:b/>
          <w:noProof/>
          <w:color w:val="000000" w:themeColor="text1"/>
          <w:sz w:val="28"/>
        </w:rPr>
        <w:t>SECTION </w:t>
      </w:r>
      <w:r w:rsidRPr="0075701A">
        <w:rPr>
          <w:rFonts w:ascii="Times New Roman" w:hAnsi="Times New Roman"/>
          <w:b/>
          <w:noProof/>
          <w:color w:val="000000"/>
          <w:sz w:val="28"/>
          <w:shd w:val="clear" w:color="auto" w:fill="FFFFFF"/>
        </w:rPr>
        <w:t xml:space="preserve">2 — Combler l’écart en matière d’innovation </w:t>
      </w:r>
    </w:p>
    <w:p w14:paraId="3034F527" w14:textId="77777777" w:rsidR="0075701A" w:rsidRPr="0075701A" w:rsidRDefault="0075701A" w:rsidP="0075701A">
      <w:pPr>
        <w:keepNext/>
        <w:keepLines/>
        <w:numPr>
          <w:ilvl w:val="1"/>
          <w:numId w:val="28"/>
        </w:numPr>
        <w:spacing w:before="40" w:after="120"/>
        <w:outlineLvl w:val="2"/>
        <w:rPr>
          <w:rFonts w:ascii="Times New Roman" w:eastAsiaTheme="majorEastAsia" w:hAnsi="Times New Roman" w:cstheme="majorBidi"/>
          <w:b/>
          <w:noProof/>
          <w:sz w:val="24"/>
          <w:szCs w:val="24"/>
        </w:rPr>
      </w:pPr>
      <w:r w:rsidRPr="0075701A">
        <w:rPr>
          <w:rFonts w:ascii="Times New Roman" w:eastAsiaTheme="majorEastAsia" w:hAnsi="Times New Roman" w:cstheme="majorBidi"/>
          <w:b/>
          <w:noProof/>
          <w:sz w:val="24"/>
          <w:szCs w:val="24"/>
        </w:rPr>
        <w:t xml:space="preserve">Recherche et innovation </w:t>
      </w:r>
    </w:p>
    <w:tbl>
      <w:tblPr>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1E0" w:firstRow="1" w:lastRow="1" w:firstColumn="1" w:lastColumn="1" w:noHBand="0" w:noVBand="0"/>
      </w:tblPr>
      <w:tblGrid>
        <w:gridCol w:w="2112"/>
        <w:gridCol w:w="3598"/>
        <w:gridCol w:w="1160"/>
        <w:gridCol w:w="2187"/>
      </w:tblGrid>
      <w:tr w:rsidR="0075701A" w:rsidRPr="0075701A" w14:paraId="2B702CE1" w14:textId="77777777" w:rsidTr="00B17D67">
        <w:trPr>
          <w:trHeight w:val="272"/>
        </w:trPr>
        <w:tc>
          <w:tcPr>
            <w:tcW w:w="2112" w:type="dxa"/>
            <w:shd w:val="clear" w:color="auto" w:fill="B8CCE4"/>
            <w:vAlign w:val="center"/>
          </w:tcPr>
          <w:p w14:paraId="7AADA48B" w14:textId="77777777" w:rsidR="0075701A" w:rsidRPr="0075701A" w:rsidRDefault="0075701A" w:rsidP="0075701A">
            <w:pPr>
              <w:widowControl w:val="0"/>
              <w:spacing w:after="0"/>
              <w:ind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ICP</w:t>
            </w:r>
          </w:p>
        </w:tc>
        <w:tc>
          <w:tcPr>
            <w:tcW w:w="3598" w:type="dxa"/>
            <w:shd w:val="clear" w:color="auto" w:fill="B8CCE4"/>
            <w:vAlign w:val="center"/>
          </w:tcPr>
          <w:p w14:paraId="728E5E5B"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Ce que cet indicateur mesure</w:t>
            </w:r>
          </w:p>
        </w:tc>
        <w:tc>
          <w:tcPr>
            <w:tcW w:w="1160" w:type="dxa"/>
            <w:shd w:val="clear" w:color="auto" w:fill="B8CCE4"/>
            <w:vAlign w:val="center"/>
          </w:tcPr>
          <w:p w14:paraId="5AC6BE9F"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Objectif</w:t>
            </w:r>
          </w:p>
        </w:tc>
        <w:tc>
          <w:tcPr>
            <w:tcW w:w="2187" w:type="dxa"/>
            <w:shd w:val="clear" w:color="auto" w:fill="B8CCE4"/>
            <w:vAlign w:val="center"/>
          </w:tcPr>
          <w:p w14:paraId="158BB374"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vertAlign w:val="superscript"/>
              </w:rPr>
            </w:pPr>
            <w:r w:rsidRPr="0075701A">
              <w:rPr>
                <w:rFonts w:ascii="Times New Roman" w:hAnsi="Times New Roman"/>
                <w:b/>
                <w:noProof/>
                <w:color w:val="003063"/>
                <w:sz w:val="20"/>
              </w:rPr>
              <w:t>Valeurs UE</w:t>
            </w:r>
            <w:r w:rsidRPr="0075701A">
              <w:rPr>
                <w:rFonts w:ascii="Times New Roman" w:hAnsi="Times New Roman"/>
                <w:b/>
                <w:noProof/>
                <w:sz w:val="20"/>
              </w:rPr>
              <w:t xml:space="preserve"> </w:t>
            </w:r>
            <w:r w:rsidRPr="0075701A">
              <w:rPr>
                <w:rFonts w:ascii="Times New Roman" w:hAnsi="Times New Roman"/>
                <w:b/>
                <w:noProof/>
                <w:color w:val="003063"/>
                <w:sz w:val="20"/>
              </w:rPr>
              <w:t>les plus récentes</w:t>
            </w:r>
          </w:p>
        </w:tc>
      </w:tr>
      <w:tr w:rsidR="0075701A" w:rsidRPr="0075701A" w14:paraId="1BB31532" w14:textId="77777777" w:rsidTr="00B17D67">
        <w:trPr>
          <w:trHeight w:val="368"/>
        </w:trPr>
        <w:tc>
          <w:tcPr>
            <w:tcW w:w="2112" w:type="dxa"/>
            <w:shd w:val="clear" w:color="auto" w:fill="FAFF69"/>
          </w:tcPr>
          <w:p w14:paraId="09766F03"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ICP 5: Dépenses de R&amp;D</w:t>
            </w:r>
            <w:r w:rsidRPr="0075701A">
              <w:rPr>
                <w:rFonts w:ascii="Times New Roman" w:hAnsi="Times New Roman"/>
                <w:noProof/>
                <w:sz w:val="20"/>
              </w:rPr>
              <w:t xml:space="preserve"> </w:t>
            </w:r>
          </w:p>
        </w:tc>
        <w:tc>
          <w:tcPr>
            <w:tcW w:w="3598" w:type="dxa"/>
            <w:shd w:val="clear" w:color="auto" w:fill="FAFF69"/>
          </w:tcPr>
          <w:p w14:paraId="1F8D6D34"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Dépenses privées et publiques totales de recherche et développement en pourcentage du PIB.</w:t>
            </w:r>
          </w:p>
        </w:tc>
        <w:tc>
          <w:tcPr>
            <w:tcW w:w="1160" w:type="dxa"/>
            <w:shd w:val="clear" w:color="auto" w:fill="FAFF69"/>
          </w:tcPr>
          <w:p w14:paraId="0FA336B1"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&gt; 3 % d’ici à 2030</w:t>
            </w:r>
            <w:r w:rsidRPr="0075701A">
              <w:rPr>
                <w:rFonts w:ascii="Times New Roman" w:hAnsi="Times New Roman"/>
                <w:noProof/>
                <w:sz w:val="20"/>
              </w:rPr>
              <w:t xml:space="preserve"> </w:t>
            </w:r>
          </w:p>
        </w:tc>
        <w:tc>
          <w:tcPr>
            <w:tcW w:w="2187" w:type="dxa"/>
            <w:shd w:val="clear" w:color="auto" w:fill="FAFF69"/>
          </w:tcPr>
          <w:p w14:paraId="0375CCC4"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2,22 % (2023)</w:t>
            </w:r>
          </w:p>
          <w:p w14:paraId="593D31F9"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2,21 % (2022)</w:t>
            </w:r>
          </w:p>
        </w:tc>
      </w:tr>
      <w:tr w:rsidR="0075701A" w:rsidRPr="0075701A" w14:paraId="290E6C4C" w14:textId="77777777" w:rsidTr="00B17D67">
        <w:trPr>
          <w:trHeight w:val="562"/>
        </w:trPr>
        <w:tc>
          <w:tcPr>
            <w:tcW w:w="2112" w:type="dxa"/>
            <w:shd w:val="clear" w:color="auto" w:fill="FAFF69"/>
          </w:tcPr>
          <w:p w14:paraId="4040DCAE"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ICP 6: Demandes de brevets</w:t>
            </w:r>
            <w:r w:rsidRPr="0075701A">
              <w:rPr>
                <w:rFonts w:ascii="Times New Roman" w:hAnsi="Times New Roman"/>
                <w:noProof/>
                <w:sz w:val="20"/>
              </w:rPr>
              <w:t xml:space="preserve"> </w:t>
            </w:r>
          </w:p>
        </w:tc>
        <w:tc>
          <w:tcPr>
            <w:tcW w:w="3598" w:type="dxa"/>
            <w:shd w:val="clear" w:color="auto" w:fill="FAFF69"/>
          </w:tcPr>
          <w:p w14:paraId="135EDDEC"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 xml:space="preserve">Demandes de brevets par million d’habitants </w:t>
            </w:r>
          </w:p>
        </w:tc>
        <w:tc>
          <w:tcPr>
            <w:tcW w:w="1160" w:type="dxa"/>
            <w:shd w:val="clear" w:color="auto" w:fill="FAFF69"/>
          </w:tcPr>
          <w:p w14:paraId="397470FD" w14:textId="77777777" w:rsidR="0075701A" w:rsidRPr="0075701A" w:rsidRDefault="0075701A" w:rsidP="0075701A">
            <w:pPr>
              <w:widowControl w:val="0"/>
              <w:spacing w:after="0"/>
              <w:rPr>
                <w:rFonts w:ascii="Times New Roman" w:eastAsia="Times New Roman" w:hAnsi="Times New Roman" w:cs="Times New Roman"/>
                <w:noProof/>
                <w:sz w:val="20"/>
                <w:szCs w:val="20"/>
                <w:lang w:val="fr-BE"/>
              </w:rPr>
            </w:pPr>
          </w:p>
        </w:tc>
        <w:tc>
          <w:tcPr>
            <w:tcW w:w="2187" w:type="dxa"/>
            <w:shd w:val="clear" w:color="auto" w:fill="FAFF69"/>
          </w:tcPr>
          <w:p w14:paraId="431F73F9"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152,8 (2023)</w:t>
            </w:r>
          </w:p>
          <w:p w14:paraId="28B0FE09"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151,8 (2022)</w:t>
            </w:r>
          </w:p>
        </w:tc>
      </w:tr>
      <w:tr w:rsidR="0075701A" w:rsidRPr="0075701A" w14:paraId="770B0DC7" w14:textId="77777777" w:rsidTr="00B17D67">
        <w:trPr>
          <w:trHeight w:val="272"/>
        </w:trPr>
        <w:tc>
          <w:tcPr>
            <w:tcW w:w="2112" w:type="dxa"/>
            <w:shd w:val="clear" w:color="auto" w:fill="EB6C6C"/>
          </w:tcPr>
          <w:p w14:paraId="295D6EF6"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highlight w:val="yellow"/>
              </w:rPr>
            </w:pPr>
            <w:r w:rsidRPr="0075701A">
              <w:rPr>
                <w:rFonts w:ascii="Times New Roman" w:hAnsi="Times New Roman"/>
                <w:noProof/>
                <w:sz w:val="20"/>
              </w:rPr>
              <w:t xml:space="preserve">ICP 7: Investissements en capital-risque </w:t>
            </w:r>
          </w:p>
        </w:tc>
        <w:tc>
          <w:tcPr>
            <w:tcW w:w="3598" w:type="dxa"/>
            <w:shd w:val="clear" w:color="auto" w:fill="EB6C6C"/>
          </w:tcPr>
          <w:p w14:paraId="0076948F" w14:textId="77777777" w:rsidR="0075701A" w:rsidRPr="0075701A" w:rsidRDefault="0075701A" w:rsidP="0075701A">
            <w:pPr>
              <w:widowControl w:val="0"/>
              <w:spacing w:after="0"/>
              <w:rPr>
                <w:rFonts w:ascii="Times New Roman" w:eastAsia="Times New Roman" w:hAnsi="Times New Roman" w:cs="Times New Roman"/>
                <w:noProof/>
                <w:sz w:val="20"/>
                <w:szCs w:val="20"/>
                <w:highlight w:val="yellow"/>
              </w:rPr>
            </w:pPr>
            <w:r w:rsidRPr="0075701A">
              <w:rPr>
                <w:rFonts w:ascii="Times New Roman" w:eastAsiaTheme="minorEastAsia" w:hAnsi="Times New Roman"/>
                <w:noProof/>
                <w:sz w:val="20"/>
              </w:rPr>
              <w:t>Investissements en capital-risque (en pourcentage du PIB)</w:t>
            </w:r>
          </w:p>
        </w:tc>
        <w:tc>
          <w:tcPr>
            <w:tcW w:w="1160" w:type="dxa"/>
            <w:shd w:val="clear" w:color="auto" w:fill="EB6C6C"/>
          </w:tcPr>
          <w:p w14:paraId="602DE679" w14:textId="77777777" w:rsidR="0075701A" w:rsidRPr="0075701A" w:rsidRDefault="0075701A" w:rsidP="0075701A">
            <w:pPr>
              <w:widowControl w:val="0"/>
              <w:spacing w:after="0"/>
              <w:rPr>
                <w:rFonts w:ascii="Times New Roman" w:eastAsia="Times New Roman" w:hAnsi="Times New Roman" w:cs="Times New Roman"/>
                <w:noProof/>
                <w:sz w:val="20"/>
                <w:szCs w:val="20"/>
                <w:highlight w:val="yellow"/>
                <w:lang w:val="fr-BE"/>
              </w:rPr>
            </w:pPr>
          </w:p>
        </w:tc>
        <w:tc>
          <w:tcPr>
            <w:tcW w:w="2187" w:type="dxa"/>
            <w:shd w:val="clear" w:color="auto" w:fill="EB6C6C"/>
          </w:tcPr>
          <w:p w14:paraId="5BEF9675"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0,05 % (2023)</w:t>
            </w:r>
          </w:p>
          <w:p w14:paraId="116BFE64"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sz w:val="20"/>
              </w:rPr>
              <w:t>0,09 % (2022)</w:t>
            </w:r>
          </w:p>
        </w:tc>
      </w:tr>
    </w:tbl>
    <w:p w14:paraId="7E1C881F" w14:textId="77777777" w:rsidR="0075701A" w:rsidRPr="0075701A" w:rsidRDefault="0075701A" w:rsidP="0075701A">
      <w:pPr>
        <w:spacing w:after="0" w:line="240" w:lineRule="auto"/>
        <w:ind w:left="357" w:hanging="357"/>
        <w:jc w:val="both"/>
        <w:rPr>
          <w:rFonts w:ascii="Times New Roman" w:eastAsia="Times New Roman" w:hAnsi="Times New Roman" w:cs="Times New Roman"/>
          <w:b/>
          <w:bCs/>
          <w:noProof/>
          <w:color w:val="000000" w:themeColor="text1"/>
          <w:sz w:val="24"/>
          <w:szCs w:val="24"/>
          <w:lang w:val="en-US" w:eastAsia="en-IE"/>
        </w:rPr>
      </w:pPr>
    </w:p>
    <w:p w14:paraId="279EFEC8" w14:textId="77777777" w:rsidR="0075701A" w:rsidRPr="0075701A" w:rsidRDefault="0075701A" w:rsidP="0075701A">
      <w:pPr>
        <w:spacing w:after="0" w:line="240" w:lineRule="auto"/>
        <w:jc w:val="both"/>
        <w:rPr>
          <w:rFonts w:ascii="Times New Roman" w:eastAsia="Times New Roman" w:hAnsi="Times New Roman" w:cs="Times New Roman"/>
          <w:b/>
          <w:bCs/>
          <w:noProof/>
          <w:color w:val="000000" w:themeColor="text1"/>
          <w:sz w:val="24"/>
          <w:szCs w:val="24"/>
          <w:lang w:eastAsia="en-IE"/>
        </w:rPr>
      </w:pPr>
      <w:r w:rsidRPr="0075701A">
        <w:rPr>
          <w:rFonts w:ascii="Times New Roman" w:eastAsia="Times New Roman" w:hAnsi="Times New Roman" w:cs="Times New Roman"/>
          <w:b/>
          <w:noProof/>
          <w:color w:val="000000" w:themeColor="text1"/>
          <w:sz w:val="24"/>
          <w:szCs w:val="20"/>
          <w:lang w:eastAsia="en-IE"/>
        </w:rPr>
        <w:t xml:space="preserve">Les dépenses de recherche et développement (R&amp;D) et la création de propriété intellectuelle sont des indicateurs importants de la capacité d’innovation de l’économie de l’UE. </w:t>
      </w:r>
      <w:r w:rsidRPr="0075701A">
        <w:rPr>
          <w:rFonts w:ascii="Times New Roman" w:eastAsia="Times New Roman" w:hAnsi="Times New Roman" w:cs="Times New Roman"/>
          <w:noProof/>
          <w:color w:val="000000" w:themeColor="text1"/>
          <w:sz w:val="24"/>
          <w:szCs w:val="20"/>
          <w:lang w:eastAsia="en-IE"/>
        </w:rPr>
        <w:t>Dans l’actuelle économie de la connaissance, la propriété intellectuelle est essentielle à la réussite commerciale et constitue une indication de la capacité d’innovation des entreprises.</w:t>
      </w:r>
      <w:r w:rsidRPr="0075701A">
        <w:rPr>
          <w:rFonts w:ascii="Times New Roman" w:eastAsia="Times New Roman" w:hAnsi="Times New Roman" w:cs="Times New Roman"/>
          <w:b/>
          <w:noProof/>
          <w:color w:val="000000" w:themeColor="text1"/>
          <w:sz w:val="24"/>
          <w:szCs w:val="20"/>
          <w:lang w:eastAsia="en-IE"/>
        </w:rPr>
        <w:t xml:space="preserve"> </w:t>
      </w:r>
      <w:r w:rsidRPr="0075701A">
        <w:rPr>
          <w:rFonts w:ascii="Times New Roman" w:eastAsia="Times New Roman" w:hAnsi="Times New Roman" w:cs="Times New Roman"/>
          <w:noProof/>
          <w:color w:val="000000" w:themeColor="text1"/>
          <w:sz w:val="24"/>
          <w:szCs w:val="20"/>
          <w:lang w:eastAsia="en-IE"/>
        </w:rPr>
        <w:t>Les start-up ont dix fois plus de chances d’obtenir un capital-risque de démarrage si elles ont enregistré des brevets ou des marques. En outre, les droits de propriété intellectuelle sont synonymes d’une probabilité de sortie réussie trois fois plus élevée</w:t>
      </w:r>
      <w:r w:rsidRPr="0075701A">
        <w:rPr>
          <w:rFonts w:ascii="Times New Roman" w:eastAsia="Times New Roman" w:hAnsi="Times New Roman" w:cs="Times New Roman"/>
          <w:noProof/>
          <w:sz w:val="24"/>
          <w:szCs w:val="24"/>
          <w:vertAlign w:val="superscript"/>
          <w:lang w:eastAsia="en-IE"/>
        </w:rPr>
        <w:footnoteReference w:id="68"/>
      </w:r>
      <w:r w:rsidRPr="0075701A">
        <w:rPr>
          <w:rFonts w:ascii="Times New Roman" w:eastAsia="Times New Roman" w:hAnsi="Times New Roman" w:cs="Times New Roman"/>
          <w:noProof/>
          <w:color w:val="000000" w:themeColor="text1"/>
          <w:sz w:val="24"/>
          <w:szCs w:val="20"/>
          <w:lang w:eastAsia="en-IE"/>
        </w:rPr>
        <w:t>. Par ailleurs, les actifs incorporels représentent 90 % de la valeur de marché</w:t>
      </w:r>
      <w:r w:rsidRPr="0075701A">
        <w:rPr>
          <w:rFonts w:ascii="Times New Roman" w:eastAsia="Times New Roman" w:hAnsi="Times New Roman" w:cs="Times New Roman"/>
          <w:noProof/>
          <w:sz w:val="24"/>
          <w:szCs w:val="24"/>
          <w:vertAlign w:val="superscript"/>
          <w:lang w:eastAsia="en-IE"/>
        </w:rPr>
        <w:footnoteReference w:id="69"/>
      </w:r>
      <w:r w:rsidRPr="0075701A">
        <w:rPr>
          <w:rFonts w:ascii="Times New Roman" w:eastAsia="Times New Roman" w:hAnsi="Times New Roman" w:cs="Times New Roman"/>
          <w:noProof/>
          <w:color w:val="000000" w:themeColor="text1"/>
          <w:sz w:val="24"/>
          <w:szCs w:val="20"/>
          <w:lang w:eastAsia="en-IE"/>
        </w:rPr>
        <w:t xml:space="preserve"> des entreprises du S&amp;P 500.</w:t>
      </w:r>
    </w:p>
    <w:p w14:paraId="19A0F954" w14:textId="77777777" w:rsidR="0075701A" w:rsidRPr="0075701A" w:rsidRDefault="0075701A" w:rsidP="0075701A">
      <w:pPr>
        <w:spacing w:after="0" w:line="240" w:lineRule="auto"/>
        <w:jc w:val="both"/>
        <w:rPr>
          <w:rFonts w:ascii="Times New Roman" w:eastAsia="Times New Roman" w:hAnsi="Times New Roman" w:cs="Times New Roman"/>
          <w:b/>
          <w:bCs/>
          <w:noProof/>
          <w:color w:val="000000" w:themeColor="text1"/>
          <w:sz w:val="24"/>
          <w:szCs w:val="24"/>
          <w:lang w:val="fr-BE" w:eastAsia="en-IE"/>
        </w:rPr>
      </w:pPr>
    </w:p>
    <w:p w14:paraId="4F89C79C" w14:textId="77777777" w:rsidR="0075701A" w:rsidRPr="0075701A" w:rsidRDefault="0075701A" w:rsidP="0075701A">
      <w:pPr>
        <w:spacing w:after="0" w:line="240" w:lineRule="auto"/>
        <w:jc w:val="both"/>
        <w:rPr>
          <w:rFonts w:ascii="Times New Roman" w:eastAsia="Times New Roman" w:hAnsi="Times New Roman" w:cs="Times New Roman"/>
          <w:noProof/>
          <w:color w:val="000000" w:themeColor="text1"/>
          <w:sz w:val="24"/>
          <w:szCs w:val="24"/>
          <w:lang w:eastAsia="en-IE"/>
        </w:rPr>
      </w:pPr>
      <w:r w:rsidRPr="0075701A">
        <w:rPr>
          <w:rFonts w:ascii="Times New Roman" w:eastAsia="Times New Roman" w:hAnsi="Times New Roman" w:cs="Times New Roman"/>
          <w:b/>
          <w:noProof/>
          <w:color w:val="000000" w:themeColor="text1"/>
          <w:sz w:val="24"/>
          <w:szCs w:val="20"/>
          <w:lang w:eastAsia="en-IE"/>
        </w:rPr>
        <w:t>Les dépenses de R&amp;D n’ont augmenté que très lentement au cours des dernières années</w:t>
      </w:r>
      <w:r w:rsidRPr="0075701A">
        <w:rPr>
          <w:rFonts w:ascii="Times New Roman" w:eastAsia="Times New Roman" w:hAnsi="Times New Roman" w:cs="Times New Roman"/>
          <w:noProof/>
          <w:color w:val="000000" w:themeColor="text1"/>
          <w:sz w:val="24"/>
          <w:szCs w:val="20"/>
          <w:lang w:eastAsia="en-IE"/>
        </w:rPr>
        <w:t xml:space="preserve"> pour atteindre 2,2 % du PIB en 2023, contre 2,1 % en 2015</w:t>
      </w:r>
      <w:r w:rsidRPr="0075701A">
        <w:rPr>
          <w:rFonts w:ascii="Times New Roman" w:eastAsia="Times New Roman" w:hAnsi="Times New Roman" w:cs="Times New Roman"/>
          <w:noProof/>
          <w:color w:val="000000" w:themeColor="text1"/>
          <w:sz w:val="24"/>
          <w:szCs w:val="24"/>
          <w:vertAlign w:val="superscript"/>
          <w:lang w:val="en-US" w:eastAsia="en-IE"/>
        </w:rPr>
        <w:footnoteReference w:id="70"/>
      </w:r>
      <w:r w:rsidRPr="0075701A">
        <w:rPr>
          <w:rFonts w:ascii="Times New Roman" w:eastAsia="Times New Roman" w:hAnsi="Times New Roman" w:cs="Times New Roman"/>
          <w:noProof/>
          <w:color w:val="000000" w:themeColor="text1"/>
          <w:sz w:val="24"/>
          <w:szCs w:val="20"/>
          <w:lang w:eastAsia="en-IE"/>
        </w:rPr>
        <w:t>. Cette valeur reste inférieure à l’objectif de l’UE visant à consacrer 3 % du PIB à la R&amp;D. De plus, les dépenses de R&amp;D demeurent inférieures à celles des économies semblables, la Corée du Sud (5,2 %), les États-Unis (3,6 %), le Japon (3,4 %) et la Chine (2,6 %) conservant une longueur d’avance sur l’UE</w:t>
      </w:r>
      <w:r w:rsidRPr="0075701A">
        <w:rPr>
          <w:rFonts w:ascii="Times New Roman" w:eastAsia="Times New Roman" w:hAnsi="Times New Roman" w:cs="Times New Roman"/>
          <w:noProof/>
          <w:sz w:val="24"/>
          <w:szCs w:val="24"/>
          <w:vertAlign w:val="superscript"/>
          <w:lang w:eastAsia="en-IE"/>
        </w:rPr>
        <w:footnoteReference w:id="71"/>
      </w:r>
      <w:r w:rsidRPr="0075701A">
        <w:rPr>
          <w:rFonts w:ascii="Times New Roman" w:eastAsia="Times New Roman" w:hAnsi="Times New Roman" w:cs="Times New Roman"/>
          <w:noProof/>
          <w:color w:val="000000" w:themeColor="text1"/>
          <w:sz w:val="24"/>
          <w:szCs w:val="20"/>
          <w:lang w:eastAsia="en-IE"/>
        </w:rPr>
        <w:t xml:space="preserve"> (ICP 5). </w:t>
      </w:r>
    </w:p>
    <w:p w14:paraId="73BB7912" w14:textId="77777777" w:rsidR="0075701A" w:rsidRPr="0075701A" w:rsidRDefault="0075701A" w:rsidP="0075701A">
      <w:pPr>
        <w:spacing w:after="0" w:line="240" w:lineRule="auto"/>
        <w:ind w:left="357" w:hanging="357"/>
        <w:jc w:val="both"/>
        <w:rPr>
          <w:rFonts w:ascii="Times New Roman" w:eastAsia="Times New Roman" w:hAnsi="Times New Roman" w:cs="Times New Roman"/>
          <w:noProof/>
          <w:sz w:val="20"/>
          <w:szCs w:val="20"/>
          <w:vertAlign w:val="superscript"/>
          <w:lang w:val="fr-BE" w:eastAsia="en-IE"/>
        </w:rPr>
      </w:pPr>
    </w:p>
    <w:p w14:paraId="7C52A476" w14:textId="77777777" w:rsidR="00A63885" w:rsidRPr="00A63885" w:rsidRDefault="0075701A" w:rsidP="00A63885">
      <w:pPr>
        <w:jc w:val="both"/>
        <w:textAlignment w:val="baseline"/>
        <w:rPr>
          <w:rFonts w:ascii="Times New Roman" w:hAnsi="Times New Roman"/>
          <w:noProof/>
          <w:sz w:val="24"/>
        </w:rPr>
      </w:pPr>
      <w:r w:rsidRPr="0075701A">
        <w:rPr>
          <w:rFonts w:ascii="Times New Roman" w:hAnsi="Times New Roman"/>
          <w:b/>
          <w:noProof/>
          <w:sz w:val="24"/>
        </w:rPr>
        <w:t>La part de l’Europe dans les demandes mondiales de brevets a diminué de 30 à 17 % entre 2000 et 2021</w:t>
      </w:r>
      <w:r w:rsidRPr="0075701A">
        <w:rPr>
          <w:rFonts w:ascii="Times New Roman" w:hAnsi="Times New Roman"/>
          <w:noProof/>
          <w:sz w:val="24"/>
        </w:rPr>
        <w:t>, tout en restant stable en termes absolus</w:t>
      </w:r>
      <w:r w:rsidRPr="0075701A">
        <w:rPr>
          <w:rFonts w:ascii="Times New Roman" w:hAnsi="Times New Roman" w:cs="Times New Roman"/>
          <w:noProof/>
          <w:sz w:val="24"/>
          <w:szCs w:val="24"/>
          <w:vertAlign w:val="superscript"/>
        </w:rPr>
        <w:footnoteReference w:id="72"/>
      </w:r>
      <w:r w:rsidRPr="0075701A">
        <w:rPr>
          <w:rFonts w:ascii="Times New Roman" w:hAnsi="Times New Roman"/>
          <w:noProof/>
          <w:sz w:val="24"/>
        </w:rPr>
        <w:t xml:space="preserve"> (ICP 6). Les entreprises de l’UE, en particulier les PME, n’utilisent pas suffisamment la possibilité de protéger officiellement leurs droits de propriété intellectuelle, tels que les brevets, les marques et les dessins ou modèles. Seules 9 % des PME détiennent des droits de propriété intellectuelle enregistrés, contre plus de 55 % des grandes entreprises.</w:t>
      </w:r>
    </w:p>
    <w:p w14:paraId="4FB66DE1" w14:textId="6366DDAA" w:rsidR="0075701A" w:rsidRPr="0075701A" w:rsidRDefault="0075701A" w:rsidP="00A63885">
      <w:pPr>
        <w:jc w:val="both"/>
        <w:textAlignment w:val="baseline"/>
        <w:rPr>
          <w:rFonts w:ascii="Times New Roman" w:hAnsi="Times New Roman"/>
          <w:noProof/>
          <w:sz w:val="24"/>
        </w:rPr>
      </w:pPr>
      <w:r w:rsidRPr="0075701A">
        <w:rPr>
          <w:rStyle w:val="Hyperlink"/>
          <w:rFonts w:ascii="Times New Roman" w:eastAsia="Times New Roman" w:hAnsi="Times New Roman" w:cs="Times New Roman"/>
          <w:b/>
          <w:bCs/>
          <w:noProof/>
          <w:color w:val="auto"/>
          <w:sz w:val="24"/>
          <w:szCs w:val="24"/>
          <w:u w:val="none"/>
          <w:lang w:val="fr-BE"/>
        </w:rPr>
        <w:t>Si la base technologique de l’UE est plus diversifiée que celle d’autres grandes économies, elle est en revanche, de manière disproportionnée, plus spécialisée dans les technologies moins complexes.</w:t>
      </w:r>
      <w:r w:rsidR="00A63885" w:rsidRPr="00A63885">
        <w:rPr>
          <w:rFonts w:ascii="Times New Roman" w:hAnsi="Times New Roman"/>
          <w:noProof/>
          <w:sz w:val="24"/>
        </w:rPr>
        <w:t xml:space="preserve"> </w:t>
      </w:r>
      <w:r w:rsidRPr="0075701A">
        <w:rPr>
          <w:rFonts w:ascii="Times New Roman" w:hAnsi="Times New Roman"/>
          <w:noProof/>
          <w:sz w:val="24"/>
        </w:rPr>
        <w:t>Cela laisse entrevoir un certain piège de la technologie intermédiaire qui entrave la capacité de l’UE à entrer dans de nouveaux secteurs à forte intensité technologique et à s’y développer, ce qui compromet le potentiel de croissance future. Si l’on examine les 50 premiers investisseurs mondiaux en R&amp;D par secteur en 2023, présentés dans le tableau de bord 2024 de la R&amp;D industrielle, les entreprises de l’UE sont en tête dans le secteur automobile (61 % du total, contre 18 % pour les États-Unis, 5 % pour la Chine et 15 % pour le Japon), tandis que dans d’autres secteurs à forte intensité technologique, les investisseurs de l’UE accusent un certain retard: secteur de la santé (14 % pour l’UE contre 51 % pour les États-Unis, 4 % pour le Japon); matériel TIC (8 % pour l’UE contre 55 % pour les États-Unis, 15 % pour la Chine); logiciels TIC (4 % pour l’UE contre 82 % pour les États-Unis, 10 % pour la Chine et 4 % pour le Japon)</w:t>
      </w:r>
      <w:r w:rsidRPr="0075701A">
        <w:rPr>
          <w:rFonts w:ascii="Times New Roman" w:hAnsi="Times New Roman" w:cs="Times New Roman"/>
          <w:noProof/>
          <w:sz w:val="24"/>
          <w:szCs w:val="24"/>
          <w:vertAlign w:val="superscript"/>
        </w:rPr>
        <w:footnoteReference w:id="73"/>
      </w:r>
      <w:r w:rsidRPr="0075701A">
        <w:rPr>
          <w:rFonts w:ascii="Times New Roman" w:hAnsi="Times New Roman"/>
          <w:noProof/>
          <w:sz w:val="24"/>
        </w:rPr>
        <w:t>. Les performances de l’UE en matière d’innovation ont légèrement progressé (8 %) au cours des dix dernières années, mais restent inférieures à celles des États-Unis, du Royaume-Uni et du Japon, la Chine rattrapant rapidement son retard avec une augmentation de 28 % au cours de la même période</w:t>
      </w:r>
      <w:r w:rsidRPr="0075701A">
        <w:rPr>
          <w:rFonts w:ascii="Times New Roman" w:hAnsi="Times New Roman"/>
          <w:noProof/>
          <w:sz w:val="24"/>
        </w:rPr>
        <w:footnoteReference w:id="74"/>
      </w:r>
      <w:r w:rsidRPr="0075701A">
        <w:rPr>
          <w:rFonts w:ascii="Times New Roman" w:hAnsi="Times New Roman"/>
          <w:noProof/>
          <w:sz w:val="24"/>
        </w:rPr>
        <w:t>.</w:t>
      </w:r>
    </w:p>
    <w:p w14:paraId="24A22D94" w14:textId="77777777" w:rsidR="0075701A" w:rsidRPr="0075701A" w:rsidRDefault="0075701A" w:rsidP="0075701A">
      <w:pPr>
        <w:keepLines/>
        <w:jc w:val="both"/>
        <w:rPr>
          <w:rFonts w:ascii="Times New Roman" w:hAnsi="Times New Roman" w:cs="Times New Roman"/>
          <w:noProof/>
          <w:sz w:val="24"/>
          <w:szCs w:val="24"/>
        </w:rPr>
      </w:pPr>
      <w:r w:rsidRPr="0075701A">
        <w:rPr>
          <w:rFonts w:ascii="Times New Roman" w:hAnsi="Times New Roman"/>
          <w:b/>
          <w:noProof/>
          <w:sz w:val="24"/>
        </w:rPr>
        <w:t xml:space="preserve">Les entreprises et les universités sont confrontées à des difficultés lors de la phase de déploiement initial et de commercialisation de leurs recherches. </w:t>
      </w:r>
      <w:r w:rsidRPr="0075701A">
        <w:rPr>
          <w:rFonts w:ascii="Times New Roman" w:hAnsi="Times New Roman"/>
          <w:noProof/>
          <w:sz w:val="24"/>
        </w:rPr>
        <w:t>Par exemple, seul un tiers environ des inventions brevetées enregistrées par des universités européennes font l’objet d’une exploitation commerciale</w:t>
      </w:r>
      <w:r w:rsidRPr="0075701A">
        <w:rPr>
          <w:rFonts w:ascii="Times New Roman" w:hAnsi="Times New Roman" w:cs="Times New Roman"/>
          <w:noProof/>
          <w:sz w:val="24"/>
          <w:szCs w:val="24"/>
          <w:vertAlign w:val="superscript"/>
        </w:rPr>
        <w:footnoteReference w:id="75"/>
      </w:r>
      <w:r w:rsidRPr="0075701A">
        <w:rPr>
          <w:rFonts w:ascii="Times New Roman" w:hAnsi="Times New Roman"/>
          <w:noProof/>
          <w:sz w:val="24"/>
        </w:rPr>
        <w:t xml:space="preserve">. Cette situation s’explique généralement par la faiblesse des liens de collaboration entre les entreprises et les universités, l’incohérence des règles de gestion de la propriété intellectuelle et le cloisonnement des carrières universitaires, caractérisé par l’absence de mesures d’incitation à la commercialisation et à l’esprit d’entreprise suffisantes. Du côté des entreprises, celles-ci sont confrontées à de nombreux défis lorsqu’elles cherchent à commercialiser leurs innovations protégées par la propriété intellectuelle, tels que la fragmentation du système de gouvernance de la propriété intellectuelle et le manque de capitaux privés. </w:t>
      </w:r>
    </w:p>
    <w:tbl>
      <w:tblPr>
        <w:tblStyle w:val="TableGrid"/>
        <w:tblpPr w:leftFromText="180" w:rightFromText="180" w:vertAnchor="text" w:horzAnchor="margin" w:tblpY="289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tblGrid>
      <w:tr w:rsidR="00760AE3" w:rsidRPr="00410319" w14:paraId="3FEDCF2B" w14:textId="77777777" w:rsidTr="00760AE3">
        <w:trPr>
          <w:cantSplit/>
          <w:trHeight w:val="1134"/>
        </w:trPr>
        <w:tc>
          <w:tcPr>
            <w:tcW w:w="4626" w:type="dxa"/>
          </w:tcPr>
          <w:p w14:paraId="729E1D44" w14:textId="77777777" w:rsidR="00760AE3" w:rsidRDefault="00760AE3" w:rsidP="00760AE3">
            <w:pPr>
              <w:keepNext/>
              <w:keepLines/>
              <w:jc w:val="both"/>
              <w:rPr>
                <w:rFonts w:ascii="Times New Roman" w:hAnsi="Times New Roman" w:cs="Times New Roman"/>
                <w:noProof/>
                <w:sz w:val="24"/>
                <w:szCs w:val="24"/>
                <w:lang w:val="fr-BE"/>
              </w:rPr>
            </w:pPr>
            <w:r w:rsidRPr="0075701A">
              <w:rPr>
                <w:rFonts w:ascii="Times New Roman" w:hAnsi="Times New Roman"/>
                <w:b/>
                <w:noProof/>
                <w:sz w:val="24"/>
              </w:rPr>
              <w:t>Graphique 3:</w:t>
            </w:r>
            <w:r w:rsidRPr="0075701A">
              <w:rPr>
                <w:rFonts w:ascii="Times New Roman" w:hAnsi="Times New Roman"/>
                <w:noProof/>
                <w:sz w:val="24"/>
              </w:rPr>
              <w:t xml:space="preserve"> Investissement en capital-risque en pourcentage du PIB en 2023</w:t>
            </w:r>
            <w:r>
              <w:rPr>
                <w:rFonts w:ascii="Times New Roman" w:hAnsi="Times New Roman"/>
                <w:noProof/>
                <w:sz w:val="24"/>
                <w:lang w:val="en-GB" w:eastAsia="en-GB"/>
              </w:rPr>
              <w:drawing>
                <wp:anchor distT="0" distB="0" distL="114300" distR="114300" simplePos="0" relativeHeight="251659264" behindDoc="1" locked="0" layoutInCell="1" allowOverlap="1" wp14:anchorId="21316F67" wp14:editId="008B808A">
                  <wp:simplePos x="0" y="0"/>
                  <wp:positionH relativeFrom="column">
                    <wp:posOffset>0</wp:posOffset>
                  </wp:positionH>
                  <wp:positionV relativeFrom="paragraph">
                    <wp:posOffset>360680</wp:posOffset>
                  </wp:positionV>
                  <wp:extent cx="2792095" cy="2334895"/>
                  <wp:effectExtent l="0" t="0" r="8255" b="8255"/>
                  <wp:wrapTight wrapText="bothSides">
                    <wp:wrapPolygon edited="0">
                      <wp:start x="0" y="0"/>
                      <wp:lineTo x="0" y="21500"/>
                      <wp:lineTo x="21516" y="21500"/>
                      <wp:lineTo x="21516" y="0"/>
                      <wp:lineTo x="0" y="0"/>
                    </wp:wrapPolygon>
                  </wp:wrapTight>
                  <wp:docPr id="1259187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92095" cy="2334895"/>
                          </a:xfrm>
                          <a:prstGeom prst="rect">
                            <a:avLst/>
                          </a:prstGeom>
                          <a:noFill/>
                        </pic:spPr>
                      </pic:pic>
                    </a:graphicData>
                  </a:graphic>
                </wp:anchor>
              </w:drawing>
            </w:r>
          </w:p>
          <w:p w14:paraId="36D5B782" w14:textId="77777777" w:rsidR="00760AE3" w:rsidRPr="00410319" w:rsidRDefault="00760AE3" w:rsidP="00760AE3">
            <w:pPr>
              <w:keepNext/>
              <w:keepLines/>
              <w:jc w:val="both"/>
              <w:rPr>
                <w:rFonts w:ascii="Times New Roman" w:hAnsi="Times New Roman" w:cs="Times New Roman"/>
                <w:noProof/>
                <w:sz w:val="24"/>
                <w:szCs w:val="24"/>
                <w:lang w:val="fr-BE"/>
              </w:rPr>
            </w:pPr>
            <w:r w:rsidRPr="0075701A">
              <w:rPr>
                <w:rFonts w:ascii="Times New Roman" w:eastAsia="Times New Roman" w:hAnsi="Times New Roman" w:cs="Times New Roman"/>
                <w:b/>
                <w:noProof/>
                <w:sz w:val="20"/>
                <w:szCs w:val="24"/>
                <w:lang w:eastAsia="en-GB"/>
              </w:rPr>
              <w:t xml:space="preserve">Sources: </w:t>
            </w:r>
            <w:r w:rsidRPr="0075701A">
              <w:rPr>
                <w:rFonts w:ascii="Times New Roman" w:eastAsia="Times New Roman" w:hAnsi="Times New Roman" w:cs="Times New Roman"/>
                <w:noProof/>
                <w:sz w:val="20"/>
                <w:szCs w:val="24"/>
                <w:lang w:eastAsia="en-GB"/>
              </w:rPr>
              <w:t>Invest Europe, Eurostat, OCDE, Statista.</w:t>
            </w:r>
          </w:p>
        </w:tc>
      </w:tr>
    </w:tbl>
    <w:p w14:paraId="6EDCB013" w14:textId="1BDC19AD" w:rsidR="00760AE3" w:rsidRPr="0075701A" w:rsidRDefault="0075701A" w:rsidP="00760AE3">
      <w:pPr>
        <w:widowControl w:val="0"/>
        <w:jc w:val="both"/>
        <w:rPr>
          <w:rFonts w:ascii="Times New Roman" w:hAnsi="Times New Roman"/>
          <w:noProof/>
          <w:sz w:val="24"/>
        </w:rPr>
      </w:pPr>
      <w:r w:rsidRPr="0075701A">
        <w:rPr>
          <w:rFonts w:ascii="Times New Roman" w:hAnsi="Times New Roman"/>
          <w:b/>
          <w:noProof/>
          <w:sz w:val="24"/>
        </w:rPr>
        <w:t>Les investissements en capital-risque ont diminué par rapport à des niveaux déjà bas: de 0,09 % du PIB en 2022 à 0,05 % en 2023</w:t>
      </w:r>
      <w:r w:rsidRPr="0075701A">
        <w:rPr>
          <w:rFonts w:ascii="Times New Roman" w:hAnsi="Times New Roman"/>
          <w:noProof/>
          <w:sz w:val="24"/>
        </w:rPr>
        <w:t xml:space="preserve"> (voir l’ICP 7 et le graphique 3).</w:t>
      </w:r>
      <w:r w:rsidRPr="0075701A">
        <w:rPr>
          <w:noProof/>
          <w:sz w:val="24"/>
        </w:rPr>
        <w:t xml:space="preserve"> </w:t>
      </w:r>
      <w:r w:rsidRPr="0075701A">
        <w:rPr>
          <w:rFonts w:ascii="Times New Roman" w:hAnsi="Times New Roman"/>
          <w:noProof/>
          <w:sz w:val="24"/>
        </w:rPr>
        <w:t>De nombreuses entreprises innovantes à croissance rapide dépendent du capital-risque sous la forme d’investissements en capital-risque pour leur expansion. Selon les estimations, le marché du capital-risque de l’UE (mesuré en part des investissements en capital-risque dans le PIB) resterait dix fois inférieur à celui des États-Unis et sept fois inférieur à celui de la Chine. Par conséquent, de nombreuses entreprises européennes hautement innovantes sont limitées par un accès restreint au capital, ce qui les conduit souvent à rechercher des financements à l’étranger, voire à se délocaliser dans des environnements de financement plus favorables comme les États-Unis. Par exemple, dans les industries manufacturières de pointe, entre 2017 et 2023, près de 90 % de la valeur du capital-risque a été investie dans des entreprises américaines ou chinoises (respectivement 47 % et 39 %), alors que seulement 4 % du capital-risque levé dans cette industrie à l’échelle mondiale a été investi dans des entreprises situées dans l’UE</w:t>
      </w:r>
      <w:r w:rsidRPr="0075701A">
        <w:rPr>
          <w:rFonts w:ascii="Times New Roman" w:hAnsi="Times New Roman" w:cs="Times New Roman"/>
          <w:noProof/>
          <w:sz w:val="24"/>
          <w:szCs w:val="24"/>
          <w:vertAlign w:val="superscript"/>
        </w:rPr>
        <w:footnoteReference w:id="76"/>
      </w:r>
      <w:r w:rsidRPr="0075701A">
        <w:rPr>
          <w:noProof/>
        </w:rPr>
        <w:t>.</w:t>
      </w:r>
    </w:p>
    <w:p w14:paraId="4FAFC714" w14:textId="786AB555" w:rsidR="0075701A" w:rsidRPr="0075701A" w:rsidRDefault="0075701A" w:rsidP="00410319">
      <w:pPr>
        <w:pStyle w:val="Text1"/>
        <w:widowControl w:val="0"/>
        <w:spacing w:after="160" w:line="259" w:lineRule="auto"/>
        <w:ind w:left="0"/>
        <w:rPr>
          <w:noProof/>
          <w:lang w:val="en-IE"/>
        </w:rPr>
      </w:pPr>
      <w:r w:rsidRPr="0075701A">
        <w:rPr>
          <w:b/>
          <w:noProof/>
          <w:lang w:val="fr-BE"/>
        </w:rPr>
        <w:t>Le budget de l’UE comporte une série de programmes qui constituent d’importants leviers pour les investissements publics et privés et les efforts de recherche.</w:t>
      </w:r>
      <w:r w:rsidRPr="0075701A">
        <w:rPr>
          <w:noProof/>
          <w:lang w:val="fr-BE"/>
        </w:rPr>
        <w:t xml:space="preserve"> </w:t>
      </w:r>
      <w:r w:rsidRPr="0075701A">
        <w:rPr>
          <w:noProof/>
        </w:rPr>
        <w:t>Par exemple, InvestEU a déjà permis de débloquer 218 milliards d’EUR d’investissements pour une UE plus innovante et plus compétitive. Horizon Europe permet de financer la recherche et l’innovation à hauteur de 93,5 milliards d’EUR pour la période 2021-2027 et le Fonds pour l’innovation soutient les technologies innovantes à faible intensité de carbone (voir section 3.2). Bien que le budget de l’UE offre des possibilités de financement considérables, les dépenses de l’UE sont réparties entre un trop grand nombre de programmes, ajoutant une complexité et une rigidité qui empêchent d’obtenir l’effet de «puissance par la taille» recherché par la mise en commun des ressources en vue de financer des projets importants à l’échelle de l’UE</w:t>
      </w:r>
      <w:r w:rsidRPr="0075701A">
        <w:rPr>
          <w:noProof/>
          <w:vertAlign w:val="superscript"/>
        </w:rPr>
        <w:footnoteReference w:id="77"/>
      </w:r>
      <w:r w:rsidRPr="0075701A">
        <w:rPr>
          <w:noProof/>
        </w:rPr>
        <w:t>.</w:t>
      </w:r>
    </w:p>
    <w:p w14:paraId="257533D7"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La plateforme «Technologies stratégiques pour l’Europe» (STEP) a été créée en 2024 pour orienter les projets, les technologies et les secteurs prioritaires de l’UE en matière de financement</w:t>
      </w:r>
      <w:r w:rsidRPr="0075701A">
        <w:rPr>
          <w:rFonts w:ascii="Times New Roman" w:eastAsia="Times New Roman" w:hAnsi="Times New Roman" w:cs="Times New Roman"/>
          <w:noProof/>
          <w:sz w:val="24"/>
          <w:szCs w:val="24"/>
          <w:lang w:eastAsia="en-GB"/>
        </w:rPr>
        <w:t xml:space="preserve">. Elle stimule les investissements et accroît le soutien au développement et à la production en Europe de technologies innovantes et stratégiques. STEP mobilise et oriente les financements dans le cadre de 11 programmes de l’UE pour les technologies numériques et l’innovation de très haute technologie, les technologies propres et économes en ressources, et les biotechnologies. La Commission a déjà publié une trentaine d’appels à propositions STEP pour un montant total de plus de 8,5 milliards d’EUR et les États membres ont réorienté plus de 6 milliards d’EUR vers des projets STEP. </w:t>
      </w:r>
    </w:p>
    <w:p w14:paraId="1C529653" w14:textId="77777777" w:rsidR="0075701A" w:rsidRPr="0075701A" w:rsidRDefault="0075701A" w:rsidP="0075701A">
      <w:pPr>
        <w:keepNext/>
        <w:keepLines/>
        <w:numPr>
          <w:ilvl w:val="1"/>
          <w:numId w:val="28"/>
        </w:numPr>
        <w:spacing w:before="40" w:after="120"/>
        <w:outlineLvl w:val="2"/>
        <w:rPr>
          <w:rFonts w:ascii="Times New Roman" w:eastAsiaTheme="majorEastAsia" w:hAnsi="Times New Roman" w:cstheme="majorBidi"/>
          <w:b/>
          <w:noProof/>
          <w:color w:val="000000" w:themeColor="text1"/>
          <w:sz w:val="24"/>
          <w:szCs w:val="24"/>
        </w:rPr>
      </w:pPr>
      <w:r w:rsidRPr="0075701A">
        <w:rPr>
          <w:rFonts w:ascii="Times New Roman" w:eastAsiaTheme="majorEastAsia" w:hAnsi="Times New Roman" w:cstheme="majorBidi"/>
          <w:b/>
          <w:noProof/>
          <w:sz w:val="24"/>
          <w:szCs w:val="24"/>
        </w:rPr>
        <w:t xml:space="preserve">Numérisation </w:t>
      </w:r>
    </w:p>
    <w:tbl>
      <w:tblPr>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1E0" w:firstRow="1" w:lastRow="1" w:firstColumn="1" w:lastColumn="1" w:noHBand="0" w:noVBand="0"/>
      </w:tblPr>
      <w:tblGrid>
        <w:gridCol w:w="1828"/>
        <w:gridCol w:w="2410"/>
        <w:gridCol w:w="1276"/>
        <w:gridCol w:w="3543"/>
      </w:tblGrid>
      <w:tr w:rsidR="0075701A" w:rsidRPr="0075701A" w14:paraId="3EA61F52" w14:textId="77777777" w:rsidTr="00B17D67">
        <w:trPr>
          <w:trHeight w:val="272"/>
        </w:trPr>
        <w:tc>
          <w:tcPr>
            <w:tcW w:w="1828" w:type="dxa"/>
            <w:shd w:val="clear" w:color="auto" w:fill="B8CCE4"/>
            <w:vAlign w:val="center"/>
          </w:tcPr>
          <w:p w14:paraId="275DB21D" w14:textId="77777777" w:rsidR="0075701A" w:rsidRPr="0075701A" w:rsidRDefault="0075701A" w:rsidP="0075701A">
            <w:pPr>
              <w:widowControl w:val="0"/>
              <w:spacing w:after="0" w:line="240" w:lineRule="auto"/>
              <w:ind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ICP</w:t>
            </w:r>
          </w:p>
        </w:tc>
        <w:tc>
          <w:tcPr>
            <w:tcW w:w="2410" w:type="dxa"/>
            <w:shd w:val="clear" w:color="auto" w:fill="B8CCE4"/>
            <w:vAlign w:val="center"/>
          </w:tcPr>
          <w:p w14:paraId="5086D2B5" w14:textId="77777777" w:rsidR="0075701A" w:rsidRPr="0075701A" w:rsidRDefault="0075701A" w:rsidP="0075701A">
            <w:pPr>
              <w:widowControl w:val="0"/>
              <w:spacing w:after="0" w:line="240" w:lineRule="auto"/>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Ce que cet indicateur mesure</w:t>
            </w:r>
          </w:p>
        </w:tc>
        <w:tc>
          <w:tcPr>
            <w:tcW w:w="1276" w:type="dxa"/>
            <w:shd w:val="clear" w:color="auto" w:fill="B8CCE4"/>
            <w:vAlign w:val="center"/>
          </w:tcPr>
          <w:p w14:paraId="5F4E513A" w14:textId="77777777" w:rsidR="0075701A" w:rsidRPr="0075701A" w:rsidRDefault="0075701A" w:rsidP="0075701A">
            <w:pPr>
              <w:widowControl w:val="0"/>
              <w:spacing w:after="0" w:line="240" w:lineRule="auto"/>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Objectif</w:t>
            </w:r>
          </w:p>
        </w:tc>
        <w:tc>
          <w:tcPr>
            <w:tcW w:w="3543" w:type="dxa"/>
            <w:shd w:val="clear" w:color="auto" w:fill="B8CCE4"/>
            <w:vAlign w:val="center"/>
          </w:tcPr>
          <w:p w14:paraId="5A8F185A" w14:textId="77777777" w:rsidR="0075701A" w:rsidRPr="0075701A" w:rsidRDefault="0075701A" w:rsidP="0075701A">
            <w:pPr>
              <w:widowControl w:val="0"/>
              <w:spacing w:after="0" w:line="240" w:lineRule="auto"/>
              <w:ind w:left="108" w:right="136"/>
              <w:jc w:val="both"/>
              <w:rPr>
                <w:rFonts w:ascii="Times New Roman" w:eastAsia="Palatino Linotype" w:hAnsi="Times New Roman" w:cs="Times New Roman"/>
                <w:b/>
                <w:noProof/>
                <w:color w:val="003063"/>
                <w:sz w:val="20"/>
                <w:szCs w:val="20"/>
                <w:vertAlign w:val="superscript"/>
              </w:rPr>
            </w:pPr>
            <w:r w:rsidRPr="0075701A">
              <w:rPr>
                <w:rFonts w:ascii="Times New Roman" w:hAnsi="Times New Roman"/>
                <w:b/>
                <w:noProof/>
                <w:color w:val="003063"/>
                <w:sz w:val="20"/>
              </w:rPr>
              <w:t>Valeurs UE</w:t>
            </w:r>
            <w:r w:rsidRPr="0075701A">
              <w:rPr>
                <w:rFonts w:ascii="Times New Roman" w:hAnsi="Times New Roman"/>
                <w:b/>
                <w:noProof/>
                <w:sz w:val="20"/>
              </w:rPr>
              <w:t xml:space="preserve"> </w:t>
            </w:r>
            <w:r w:rsidRPr="0075701A">
              <w:rPr>
                <w:rFonts w:ascii="Times New Roman" w:hAnsi="Times New Roman"/>
                <w:b/>
                <w:noProof/>
                <w:color w:val="003063"/>
                <w:sz w:val="20"/>
              </w:rPr>
              <w:t>les plus récentes</w:t>
            </w:r>
          </w:p>
        </w:tc>
      </w:tr>
      <w:tr w:rsidR="0075701A" w:rsidRPr="0075701A" w14:paraId="212EE63A" w14:textId="77777777" w:rsidTr="00760AE3">
        <w:trPr>
          <w:trHeight w:val="4021"/>
        </w:trPr>
        <w:tc>
          <w:tcPr>
            <w:tcW w:w="1828" w:type="dxa"/>
            <w:shd w:val="clear" w:color="auto" w:fill="F6FA84"/>
          </w:tcPr>
          <w:p w14:paraId="060C527A"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ICP 8: Intensité numérique dans les PME</w:t>
            </w:r>
            <w:r w:rsidRPr="0075701A">
              <w:rPr>
                <w:rFonts w:ascii="Times New Roman" w:hAnsi="Times New Roman" w:cs="Times New Roman"/>
                <w:noProof/>
                <w:sz w:val="20"/>
                <w:szCs w:val="20"/>
                <w:vertAlign w:val="superscript"/>
              </w:rPr>
              <w:footnoteReference w:id="78"/>
            </w:r>
          </w:p>
        </w:tc>
        <w:tc>
          <w:tcPr>
            <w:tcW w:w="2410" w:type="dxa"/>
            <w:shd w:val="clear" w:color="auto" w:fill="F6FA84"/>
          </w:tcPr>
          <w:p w14:paraId="21C4C2F3"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eastAsiaTheme="minorEastAsia" w:hAnsi="Times New Roman"/>
                <w:noProof/>
                <w:sz w:val="20"/>
              </w:rPr>
              <w:t>Pourcentage d’entreprises de l’UE atteignant au moins un niveau élémentaire d’intensité numérique. Cela signifie qu’elles utilisent au moins quatre des douze technologies numériques sélectionnées (comme la technologie de l’IA, des ventes en ligne représentant au moins 1 % du chiffre d’affaires total, etc.) telles que définies dans le programme d’action pour la décennie numérique.</w:t>
            </w:r>
          </w:p>
        </w:tc>
        <w:tc>
          <w:tcPr>
            <w:tcW w:w="1276" w:type="dxa"/>
            <w:shd w:val="clear" w:color="auto" w:fill="F6FA84"/>
          </w:tcPr>
          <w:p w14:paraId="1477B9B3"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 xml:space="preserve">90 % d’ici à 2030 </w:t>
            </w:r>
          </w:p>
        </w:tc>
        <w:tc>
          <w:tcPr>
            <w:tcW w:w="3543" w:type="dxa"/>
            <w:shd w:val="clear" w:color="auto" w:fill="F6FA84"/>
          </w:tcPr>
          <w:p w14:paraId="501BBE33"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57,7 % (2023)</w:t>
            </w:r>
          </w:p>
          <w:p w14:paraId="535C90E1"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54,8 % (2021)</w:t>
            </w:r>
          </w:p>
        </w:tc>
      </w:tr>
      <w:tr w:rsidR="0075701A" w:rsidRPr="0075701A" w14:paraId="306482FC" w14:textId="77777777" w:rsidTr="00760AE3">
        <w:trPr>
          <w:trHeight w:val="2929"/>
        </w:trPr>
        <w:tc>
          <w:tcPr>
            <w:tcW w:w="1828" w:type="dxa"/>
            <w:shd w:val="clear" w:color="auto" w:fill="F6FA84"/>
          </w:tcPr>
          <w:p w14:paraId="1F42F46C"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ICP 9: Adoption des technologies numériques par les entreprises</w:t>
            </w:r>
          </w:p>
        </w:tc>
        <w:tc>
          <w:tcPr>
            <w:tcW w:w="2410" w:type="dxa"/>
            <w:shd w:val="clear" w:color="auto" w:fill="F6FA84"/>
          </w:tcPr>
          <w:p w14:paraId="66A7934C"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eastAsiaTheme="minorEastAsia" w:hAnsi="Times New Roman"/>
                <w:noProof/>
                <w:sz w:val="20"/>
              </w:rPr>
              <w:t>Part des entreprises européennes qui ont recours à des services d’informatique en nuage, à l’analyse des données et/ou à l’intelligence artificielle. Objectif fixé dans le cadre du programme d’action pour la décennie numérique.</w:t>
            </w:r>
          </w:p>
        </w:tc>
        <w:tc>
          <w:tcPr>
            <w:tcW w:w="1276" w:type="dxa"/>
            <w:shd w:val="clear" w:color="auto" w:fill="F6FA84"/>
          </w:tcPr>
          <w:p w14:paraId="45CAB010"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 xml:space="preserve">75 % d’ici à 2030 </w:t>
            </w:r>
          </w:p>
        </w:tc>
        <w:tc>
          <w:tcPr>
            <w:tcW w:w="3543" w:type="dxa"/>
            <w:shd w:val="clear" w:color="auto" w:fill="F6FA84"/>
          </w:tcPr>
          <w:p w14:paraId="0BD12D68"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 xml:space="preserve">Services d’informatique en nuage: 38,9 % (2023) </w:t>
            </w:r>
          </w:p>
          <w:p w14:paraId="72C7AF38" w14:textId="77777777" w:rsidR="0075701A" w:rsidRPr="0075701A" w:rsidRDefault="0075701A" w:rsidP="0075701A">
            <w:pPr>
              <w:widowControl w:val="0"/>
              <w:spacing w:after="120" w:line="240" w:lineRule="auto"/>
              <w:rPr>
                <w:rFonts w:ascii="Times New Roman" w:eastAsia="Times New Roman" w:hAnsi="Times New Roman" w:cs="Times New Roman"/>
                <w:noProof/>
                <w:sz w:val="20"/>
                <w:szCs w:val="20"/>
              </w:rPr>
            </w:pPr>
            <w:r w:rsidRPr="0075701A">
              <w:rPr>
                <w:rFonts w:ascii="Times New Roman" w:hAnsi="Times New Roman"/>
                <w:noProof/>
                <w:sz w:val="20"/>
              </w:rPr>
              <w:t>34,0 % (2021)</w:t>
            </w:r>
          </w:p>
          <w:p w14:paraId="7199D946" w14:textId="77777777" w:rsidR="0075701A" w:rsidRPr="0075701A" w:rsidRDefault="0075701A" w:rsidP="0075701A">
            <w:pPr>
              <w:widowControl w:val="0"/>
              <w:spacing w:after="0" w:line="240" w:lineRule="auto"/>
              <w:rPr>
                <w:rFonts w:ascii="Times New Roman" w:hAnsi="Times New Roman"/>
                <w:noProof/>
                <w:sz w:val="20"/>
              </w:rPr>
            </w:pPr>
            <w:r w:rsidRPr="0075701A">
              <w:rPr>
                <w:rFonts w:ascii="Times New Roman" w:hAnsi="Times New Roman"/>
                <w:noProof/>
                <w:sz w:val="20"/>
              </w:rPr>
              <w:t xml:space="preserve">Analyse des données: 33,2 % (2023) </w:t>
            </w:r>
          </w:p>
          <w:p w14:paraId="36313BDB" w14:textId="77777777" w:rsidR="0075701A" w:rsidRPr="0075701A" w:rsidRDefault="0075701A" w:rsidP="0075701A">
            <w:pPr>
              <w:widowControl w:val="0"/>
              <w:spacing w:after="120" w:line="240" w:lineRule="auto"/>
              <w:rPr>
                <w:rFonts w:ascii="Times New Roman" w:eastAsia="Times New Roman" w:hAnsi="Times New Roman" w:cs="Times New Roman"/>
                <w:noProof/>
                <w:sz w:val="20"/>
                <w:szCs w:val="20"/>
              </w:rPr>
            </w:pPr>
            <w:r w:rsidRPr="0075701A">
              <w:rPr>
                <w:rFonts w:ascii="Times New Roman" w:hAnsi="Times New Roman"/>
                <w:noProof/>
                <w:sz w:val="20"/>
              </w:rPr>
              <w:t>Mégadonnées: 14,2 % (2020)</w:t>
            </w:r>
            <w:r w:rsidRPr="0075701A">
              <w:rPr>
                <w:rFonts w:ascii="Times New Roman" w:eastAsia="Times New Roman" w:hAnsi="Times New Roman" w:cs="Times New Roman"/>
                <w:noProof/>
                <w:sz w:val="20"/>
                <w:szCs w:val="20"/>
                <w:vertAlign w:val="superscript"/>
              </w:rPr>
              <w:footnoteReference w:id="79"/>
            </w:r>
          </w:p>
          <w:p w14:paraId="19D209EB"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 xml:space="preserve">Intelligence artificielle: </w:t>
            </w:r>
          </w:p>
          <w:p w14:paraId="29D3292E"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8,0 % (2023)</w:t>
            </w:r>
          </w:p>
          <w:p w14:paraId="24DF9504"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7,6 % (2021)</w:t>
            </w:r>
          </w:p>
        </w:tc>
      </w:tr>
    </w:tbl>
    <w:p w14:paraId="1B01D0CB"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L’UE est en retard sur ses concurrents dans les domaines numériques</w:t>
      </w:r>
      <w:r w:rsidRPr="0075701A">
        <w:rPr>
          <w:rFonts w:ascii="Times New Roman" w:eastAsia="Times New Roman" w:hAnsi="Times New Roman" w:cs="Times New Roman"/>
          <w:noProof/>
          <w:sz w:val="24"/>
          <w:szCs w:val="24"/>
          <w:lang w:eastAsia="en-GB"/>
        </w:rPr>
        <w:t>. Par exemple, elle ne compte que 263 licornes, contre 1 539 aux États-Unis et 387 en Chine. L’UE reste compétitive dans des domaines tels que la fabrication avancée et les équipements de réseaux mobiles, mais elle n’a pas réussi à suivre le rythme général des concurrents mondiaux dans les segments du matériel et des logiciels du secteur des technologies de l’information et de la communication (TIC). Alors que la part de l’UE sur le marché mondial des TIC a diminué de moitié au cours de la dernière décennie (pour atteindre 10,8 %), celle des États-Unis a augmenté d’un tiers (pour atteindre 38 %)</w:t>
      </w:r>
      <w:r w:rsidRPr="0075701A">
        <w:rPr>
          <w:rFonts w:ascii="Times New Roman" w:eastAsia="Times New Roman" w:hAnsi="Times New Roman" w:cs="Times New Roman"/>
          <w:noProof/>
          <w:sz w:val="24"/>
          <w:szCs w:val="24"/>
          <w:vertAlign w:val="superscript"/>
          <w:lang w:eastAsia="en-GB"/>
        </w:rPr>
        <w:footnoteReference w:id="80"/>
      </w:r>
      <w:r w:rsidRPr="0075701A">
        <w:rPr>
          <w:rFonts w:ascii="Times New Roman" w:eastAsia="Times New Roman" w:hAnsi="Times New Roman" w:cs="Times New Roman"/>
          <w:noProof/>
          <w:sz w:val="24"/>
          <w:szCs w:val="24"/>
          <w:lang w:eastAsia="en-GB"/>
        </w:rPr>
        <w:t>. En outre, la base de connaissances de l’UE pour le développement des technologies numériques est largement située en dehors de l’Union, les citations de brevets extracommunautaires représentant près de 70 % des demandes de brevets numériques</w:t>
      </w:r>
      <w:r w:rsidRPr="0075701A">
        <w:rPr>
          <w:rFonts w:ascii="Times New Roman" w:eastAsia="Times New Roman" w:hAnsi="Times New Roman" w:cs="Times New Roman"/>
          <w:noProof/>
          <w:sz w:val="24"/>
          <w:szCs w:val="24"/>
          <w:vertAlign w:val="superscript"/>
          <w:lang w:val="en-US" w:eastAsia="en-GB"/>
        </w:rPr>
        <w:footnoteReference w:id="81"/>
      </w:r>
      <w:r w:rsidRPr="0075701A">
        <w:rPr>
          <w:rFonts w:ascii="Times New Roman" w:eastAsia="Times New Roman" w:hAnsi="Times New Roman" w:cs="Times New Roman"/>
          <w:noProof/>
          <w:sz w:val="24"/>
          <w:szCs w:val="24"/>
          <w:lang w:eastAsia="en-GB"/>
        </w:rPr>
        <w:t>.</w:t>
      </w:r>
    </w:p>
    <w:p w14:paraId="2FB3CE05"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L’intensité numérique des PME et l’adoption des technologies numériques par les entreprises n’augmentent pas encore assez rapidement.</w:t>
      </w:r>
      <w:r w:rsidRPr="0075701A">
        <w:rPr>
          <w:rFonts w:ascii="Times New Roman" w:eastAsia="Times New Roman" w:hAnsi="Times New Roman" w:cs="Times New Roman"/>
          <w:noProof/>
          <w:sz w:val="24"/>
          <w:szCs w:val="24"/>
          <w:lang w:eastAsia="en-GB"/>
        </w:rPr>
        <w:t xml:space="preserve"> En 2023, 57,7 % des PME de l’UE avaient au moins un niveau élémentaire d’intensité numérique et, si le chiffre est en augmentation par rapport à il y a deux ans, cette hausse n’est cependant pas suffisamment rapide pour rester sur la voie de l’objectif de 90 % de PME présentant au moins un niveau élémentaire d’intensité numérique d’ici à 2030 (ICP 8). La part des entreprises de l’UE comptant plus de dix employés qui ont adopté des technologies numériques clés a également progressé, avec 33,2 % des entreprises utilisant l’analyse de données, 38,9 % utilisant l’informatique en nuage et 8 % ayant introduit l’IA dans leurs activités</w:t>
      </w:r>
      <w:r w:rsidRPr="0075701A">
        <w:rPr>
          <w:rFonts w:ascii="Times New Roman" w:eastAsia="Times New Roman" w:hAnsi="Times New Roman" w:cs="Times New Roman"/>
          <w:noProof/>
          <w:sz w:val="24"/>
          <w:szCs w:val="24"/>
          <w:vertAlign w:val="superscript"/>
          <w:lang w:eastAsia="en-GB"/>
        </w:rPr>
        <w:footnoteReference w:id="82"/>
      </w:r>
      <w:r w:rsidRPr="0075701A">
        <w:rPr>
          <w:rFonts w:ascii="Times New Roman" w:eastAsia="Times New Roman" w:hAnsi="Times New Roman" w:cs="Times New Roman"/>
          <w:noProof/>
          <w:sz w:val="24"/>
          <w:szCs w:val="24"/>
          <w:lang w:eastAsia="en-GB"/>
        </w:rPr>
        <w:t>, mais ces chiffres ne suivent pas non plus la trajectoire nécessaire pour atteindre l’objectif de 75 % d’adoption des technologies numériques en 2030 (ICP 9).</w:t>
      </w:r>
    </w:p>
    <w:p w14:paraId="1FF35A3A"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Le déploiement de la fabrication avancée dans les industries traditionnelles, comme la fabrication additive et la robotique, est encore trop lent.</w:t>
      </w:r>
      <w:r w:rsidRPr="0075701A">
        <w:rPr>
          <w:rFonts w:ascii="Times New Roman" w:eastAsia="Times New Roman" w:hAnsi="Times New Roman" w:cs="Times New Roman"/>
          <w:noProof/>
          <w:sz w:val="24"/>
          <w:szCs w:val="24"/>
          <w:lang w:eastAsia="en-GB"/>
        </w:rPr>
        <w:t xml:space="preserve"> La densité de robots dans l’UE est de 22 unités pour 1 000 employés, soit un niveau inférieur à celui des États-Unis (29) et nettement moins élevé que celui de la Corée du Sud (101), de la Chine (47) et du Japon (42)</w:t>
      </w:r>
      <w:r w:rsidRPr="0075701A">
        <w:rPr>
          <w:rFonts w:ascii="Times New Roman" w:eastAsia="Times New Roman" w:hAnsi="Times New Roman" w:cs="Times New Roman"/>
          <w:noProof/>
          <w:sz w:val="24"/>
          <w:szCs w:val="24"/>
          <w:vertAlign w:val="superscript"/>
          <w:lang w:eastAsia="en-GB"/>
        </w:rPr>
        <w:footnoteReference w:id="83"/>
      </w:r>
      <w:r w:rsidRPr="0075701A">
        <w:rPr>
          <w:rFonts w:ascii="Times New Roman" w:eastAsia="Times New Roman" w:hAnsi="Times New Roman" w:cs="Times New Roman"/>
          <w:noProof/>
          <w:sz w:val="24"/>
          <w:szCs w:val="24"/>
          <w:lang w:eastAsia="en-GB"/>
        </w:rPr>
        <w:t>.</w:t>
      </w:r>
    </w:p>
    <w:p w14:paraId="55D936B0" w14:textId="77777777" w:rsidR="0075701A" w:rsidRPr="0075701A" w:rsidRDefault="0075701A" w:rsidP="0075701A">
      <w:pPr>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 xml:space="preserve">Les avancées technologiques les plus marquantes et les plus prometteuses tourneront autour de l’intelligence artificielle (IA), domaine dans lequel l’Europe accuse actuellement un certain retard. </w:t>
      </w:r>
      <w:r w:rsidRPr="0075701A">
        <w:rPr>
          <w:rFonts w:ascii="Times New Roman" w:eastAsia="Times New Roman" w:hAnsi="Times New Roman" w:cs="Times New Roman"/>
          <w:noProof/>
          <w:color w:val="000000"/>
          <w:sz w:val="24"/>
          <w:szCs w:val="24"/>
          <w:shd w:val="clear" w:color="auto" w:fill="FFFFFF"/>
          <w:lang w:eastAsia="en-GB"/>
        </w:rPr>
        <w:t xml:space="preserve">Jusqu’à présent, l’UE n’a pas réussi à tirer parti de la puissance que le marché unique peut apporter pour permettre un accès à grande échelle à des </w:t>
      </w:r>
      <w:r w:rsidRPr="0075701A">
        <w:rPr>
          <w:rFonts w:ascii="Times New Roman" w:eastAsia="Times New Roman" w:hAnsi="Times New Roman" w:cs="Times New Roman"/>
          <w:noProof/>
          <w:color w:val="000000"/>
          <w:sz w:val="24"/>
          <w:szCs w:val="24"/>
          <w:lang w:eastAsia="en-GB"/>
        </w:rPr>
        <w:t>données</w:t>
      </w:r>
      <w:r w:rsidRPr="0075701A">
        <w:rPr>
          <w:rFonts w:ascii="Times New Roman" w:eastAsia="Times New Roman" w:hAnsi="Times New Roman" w:cs="Times New Roman"/>
          <w:noProof/>
          <w:color w:val="000000"/>
          <w:sz w:val="24"/>
          <w:szCs w:val="24"/>
          <w:shd w:val="clear" w:color="auto" w:fill="FFFFFF"/>
          <w:lang w:eastAsia="en-GB"/>
        </w:rPr>
        <w:t xml:space="preserve"> qui circulent librement et à des perspectives d’expansion considérables, deux conditions préalables au succès de l’industrie technologique.</w:t>
      </w:r>
      <w:r w:rsidRPr="0075701A">
        <w:rPr>
          <w:rFonts w:ascii="Times New Roman" w:eastAsia="Times New Roman" w:hAnsi="Times New Roman" w:cs="Times New Roman"/>
          <w:b/>
          <w:noProof/>
          <w:color w:val="000000"/>
          <w:sz w:val="24"/>
          <w:szCs w:val="24"/>
          <w:shd w:val="clear" w:color="auto" w:fill="FFFFFF"/>
          <w:lang w:eastAsia="en-GB"/>
        </w:rPr>
        <w:t xml:space="preserve"> </w:t>
      </w:r>
      <w:r w:rsidRPr="0075701A">
        <w:rPr>
          <w:rFonts w:ascii="Times New Roman" w:eastAsia="Times New Roman" w:hAnsi="Times New Roman" w:cs="Times New Roman"/>
          <w:noProof/>
          <w:sz w:val="24"/>
          <w:szCs w:val="24"/>
          <w:lang w:eastAsia="en-GB"/>
        </w:rPr>
        <w:t>Les entreprises investissent massivement dans l’IA, la plus grande part revenant aux entreprises américaines. La valeur de ce secteur devrait être multipliée par plus de dix d’ici à 2030</w:t>
      </w:r>
      <w:r w:rsidRPr="0075701A">
        <w:rPr>
          <w:rFonts w:ascii="Times New Roman" w:eastAsia="Times New Roman" w:hAnsi="Times New Roman" w:cs="Times New Roman"/>
          <w:noProof/>
          <w:sz w:val="24"/>
          <w:szCs w:val="24"/>
          <w:vertAlign w:val="superscript"/>
          <w:lang w:eastAsia="en-GB"/>
        </w:rPr>
        <w:footnoteReference w:id="84"/>
      </w:r>
      <w:r w:rsidRPr="0075701A">
        <w:rPr>
          <w:rFonts w:ascii="Times New Roman" w:eastAsia="Times New Roman" w:hAnsi="Times New Roman" w:cs="Times New Roman"/>
          <w:noProof/>
          <w:sz w:val="24"/>
          <w:szCs w:val="24"/>
          <w:lang w:eastAsia="en-GB"/>
        </w:rPr>
        <w:t>. Afin d’améliorer les conditions de développement de la technologie, l’UE développe son infrastructure de calcul à haute performance de premier plan à l’échelle mondiale pour créer des «usines de l’IA» qui serviront de guichet unique aux entreprises pour former et mettre au point des modèles d’IA.</w:t>
      </w:r>
    </w:p>
    <w:p w14:paraId="0913F30E"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Un plus grand déploiement des technologies numériques dans le secteur de la fabrication peut accroître considérablement la productivité dans l’ensemble de l’économie.</w:t>
      </w:r>
      <w:r w:rsidRPr="0075701A">
        <w:rPr>
          <w:rFonts w:ascii="Times New Roman" w:eastAsia="Times New Roman" w:hAnsi="Times New Roman" w:cs="Times New Roman"/>
          <w:noProof/>
          <w:sz w:val="24"/>
          <w:szCs w:val="24"/>
          <w:lang w:eastAsia="en-GB"/>
        </w:rPr>
        <w:t xml:space="preserve"> Le déploiement de la technologie est tout aussi important que son développement et représente une solution à portée de main par rapport à la tâche plus difficile que constitue le fait de rattraper rapidement les États-Unis et la Chine en matière de développement de l’IA, qui sont déjà très en avance. Il sera essentiel d’encourager le déploiement des technologies numériques avancées dans l’industrie, les services et le secteur public pour stimuler l’économie dans son ensemble. </w:t>
      </w:r>
    </w:p>
    <w:p w14:paraId="5D600FE4" w14:textId="77777777" w:rsidR="0075701A" w:rsidRPr="0075701A" w:rsidRDefault="0075701A" w:rsidP="0075701A">
      <w:pPr>
        <w:keepNext/>
        <w:keepLines/>
        <w:numPr>
          <w:ilvl w:val="1"/>
          <w:numId w:val="28"/>
        </w:numPr>
        <w:spacing w:before="40" w:after="120"/>
        <w:outlineLvl w:val="2"/>
        <w:rPr>
          <w:rFonts w:ascii="Times New Roman" w:eastAsiaTheme="majorEastAsia" w:hAnsi="Times New Roman" w:cstheme="majorBidi"/>
          <w:b/>
          <w:noProof/>
          <w:color w:val="000000" w:themeColor="text1"/>
          <w:sz w:val="24"/>
          <w:szCs w:val="24"/>
        </w:rPr>
      </w:pPr>
      <w:r w:rsidRPr="0075701A">
        <w:rPr>
          <w:rFonts w:ascii="Times New Roman" w:eastAsiaTheme="majorEastAsia" w:hAnsi="Times New Roman" w:cstheme="majorBidi"/>
          <w:b/>
          <w:noProof/>
          <w:sz w:val="24"/>
          <w:szCs w:val="24"/>
        </w:rPr>
        <w:t>Compétences</w:t>
      </w:r>
      <w:r w:rsidRPr="0075701A">
        <w:rPr>
          <w:rFonts w:ascii="Times New Roman" w:eastAsiaTheme="majorEastAsia" w:hAnsi="Times New Roman" w:cstheme="majorBidi"/>
          <w:b/>
          <w:noProof/>
          <w:color w:val="000000" w:themeColor="text1"/>
          <w:sz w:val="24"/>
          <w:szCs w:val="24"/>
        </w:rPr>
        <w:t xml:space="preserve"> et éducation</w:t>
      </w:r>
    </w:p>
    <w:tbl>
      <w:tblPr>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1E0" w:firstRow="1" w:lastRow="1" w:firstColumn="1" w:lastColumn="1" w:noHBand="0" w:noVBand="0"/>
      </w:tblPr>
      <w:tblGrid>
        <w:gridCol w:w="2237"/>
        <w:gridCol w:w="3135"/>
        <w:gridCol w:w="1559"/>
        <w:gridCol w:w="2126"/>
      </w:tblGrid>
      <w:tr w:rsidR="0075701A" w:rsidRPr="0075701A" w14:paraId="5DF9030D" w14:textId="77777777" w:rsidTr="00B17D67">
        <w:trPr>
          <w:trHeight w:val="480"/>
        </w:trPr>
        <w:tc>
          <w:tcPr>
            <w:tcW w:w="2237" w:type="dxa"/>
            <w:shd w:val="clear" w:color="auto" w:fill="B8CCE4"/>
            <w:tcMar>
              <w:top w:w="15" w:type="dxa"/>
              <w:left w:w="15" w:type="dxa"/>
              <w:right w:w="15" w:type="dxa"/>
            </w:tcMar>
          </w:tcPr>
          <w:p w14:paraId="494E7352" w14:textId="77777777" w:rsidR="0075701A" w:rsidRPr="0075701A" w:rsidRDefault="0075701A" w:rsidP="0075701A">
            <w:pPr>
              <w:widowControl w:val="0"/>
              <w:spacing w:after="0" w:line="240" w:lineRule="auto"/>
              <w:rPr>
                <w:rFonts w:ascii="Times New Roman" w:eastAsia="Times New Roman" w:hAnsi="Times New Roman" w:cs="Times New Roman"/>
                <w:noProof/>
                <w:color w:val="003063"/>
                <w:sz w:val="20"/>
                <w:szCs w:val="20"/>
              </w:rPr>
            </w:pPr>
            <w:r w:rsidRPr="0075701A">
              <w:rPr>
                <w:rFonts w:ascii="Times New Roman" w:hAnsi="Times New Roman"/>
                <w:b/>
                <w:noProof/>
                <w:color w:val="003063"/>
                <w:sz w:val="20"/>
              </w:rPr>
              <w:t>ICP</w:t>
            </w:r>
            <w:r w:rsidRPr="0075701A">
              <w:rPr>
                <w:rFonts w:ascii="Times New Roman" w:hAnsi="Times New Roman"/>
                <w:noProof/>
                <w:color w:val="003063"/>
                <w:sz w:val="20"/>
              </w:rPr>
              <w:t xml:space="preserve"> </w:t>
            </w:r>
          </w:p>
        </w:tc>
        <w:tc>
          <w:tcPr>
            <w:tcW w:w="3135" w:type="dxa"/>
            <w:shd w:val="clear" w:color="auto" w:fill="B8CCE4"/>
            <w:tcMar>
              <w:top w:w="15" w:type="dxa"/>
              <w:left w:w="15" w:type="dxa"/>
              <w:right w:w="15" w:type="dxa"/>
            </w:tcMar>
          </w:tcPr>
          <w:p w14:paraId="61AAF44B" w14:textId="77777777" w:rsidR="0075701A" w:rsidRPr="0075701A" w:rsidRDefault="0075701A" w:rsidP="0075701A">
            <w:pPr>
              <w:widowControl w:val="0"/>
              <w:spacing w:after="0" w:line="240" w:lineRule="auto"/>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Ce que cet indicateur mesure</w:t>
            </w:r>
          </w:p>
        </w:tc>
        <w:tc>
          <w:tcPr>
            <w:tcW w:w="1559" w:type="dxa"/>
            <w:shd w:val="clear" w:color="auto" w:fill="B8CCE4"/>
            <w:tcMar>
              <w:top w:w="15" w:type="dxa"/>
              <w:left w:w="15" w:type="dxa"/>
              <w:right w:w="15" w:type="dxa"/>
            </w:tcMar>
          </w:tcPr>
          <w:p w14:paraId="766AC379" w14:textId="77777777" w:rsidR="0075701A" w:rsidRPr="0075701A" w:rsidRDefault="0075701A" w:rsidP="0075701A">
            <w:pPr>
              <w:widowControl w:val="0"/>
              <w:spacing w:after="0" w:line="240" w:lineRule="auto"/>
              <w:rPr>
                <w:rFonts w:ascii="Times New Roman" w:eastAsia="Times New Roman" w:hAnsi="Times New Roman" w:cs="Times New Roman"/>
                <w:noProof/>
                <w:color w:val="003063"/>
                <w:sz w:val="20"/>
                <w:szCs w:val="20"/>
              </w:rPr>
            </w:pPr>
            <w:r w:rsidRPr="0075701A">
              <w:rPr>
                <w:rFonts w:ascii="Times New Roman" w:hAnsi="Times New Roman"/>
                <w:b/>
                <w:noProof/>
                <w:color w:val="003063"/>
                <w:sz w:val="20"/>
              </w:rPr>
              <w:t>Objectif</w:t>
            </w:r>
            <w:r w:rsidRPr="0075701A">
              <w:rPr>
                <w:rFonts w:ascii="Times New Roman" w:hAnsi="Times New Roman"/>
                <w:noProof/>
                <w:color w:val="003063"/>
                <w:sz w:val="20"/>
              </w:rPr>
              <w:t xml:space="preserve"> </w:t>
            </w:r>
          </w:p>
        </w:tc>
        <w:tc>
          <w:tcPr>
            <w:tcW w:w="2126" w:type="dxa"/>
            <w:shd w:val="clear" w:color="auto" w:fill="B8CCE4"/>
            <w:tcMar>
              <w:top w:w="15" w:type="dxa"/>
              <w:left w:w="15" w:type="dxa"/>
              <w:right w:w="15" w:type="dxa"/>
            </w:tcMar>
          </w:tcPr>
          <w:p w14:paraId="78D9FE2D" w14:textId="77777777" w:rsidR="0075701A" w:rsidRPr="0075701A" w:rsidRDefault="0075701A" w:rsidP="0075701A">
            <w:pPr>
              <w:widowControl w:val="0"/>
              <w:spacing w:after="0" w:line="240" w:lineRule="auto"/>
              <w:rPr>
                <w:rFonts w:ascii="Times New Roman" w:eastAsia="Times New Roman" w:hAnsi="Times New Roman" w:cs="Times New Roman"/>
                <w:noProof/>
                <w:color w:val="003063"/>
                <w:sz w:val="20"/>
                <w:szCs w:val="20"/>
              </w:rPr>
            </w:pPr>
            <w:r w:rsidRPr="0075701A">
              <w:rPr>
                <w:rFonts w:ascii="Times New Roman" w:hAnsi="Times New Roman"/>
                <w:b/>
                <w:noProof/>
                <w:color w:val="003063"/>
                <w:sz w:val="20"/>
              </w:rPr>
              <w:t>Valeurs UE les plus récentes</w:t>
            </w:r>
            <w:r w:rsidRPr="0075701A">
              <w:rPr>
                <w:rFonts w:ascii="Times New Roman" w:hAnsi="Times New Roman"/>
                <w:noProof/>
                <w:color w:val="003063"/>
                <w:sz w:val="20"/>
              </w:rPr>
              <w:t xml:space="preserve"> </w:t>
            </w:r>
          </w:p>
        </w:tc>
      </w:tr>
      <w:tr w:rsidR="0075701A" w:rsidRPr="0075701A" w14:paraId="7F25B3B8" w14:textId="77777777" w:rsidTr="00B17D67">
        <w:trPr>
          <w:trHeight w:val="780"/>
        </w:trPr>
        <w:tc>
          <w:tcPr>
            <w:tcW w:w="2237" w:type="dxa"/>
            <w:shd w:val="clear" w:color="auto" w:fill="92D050"/>
            <w:tcMar>
              <w:top w:w="15" w:type="dxa"/>
              <w:left w:w="15" w:type="dxa"/>
              <w:right w:w="15" w:type="dxa"/>
            </w:tcMar>
          </w:tcPr>
          <w:p w14:paraId="34F6E98F"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ICP 10: Taux d’emploi </w:t>
            </w:r>
          </w:p>
        </w:tc>
        <w:tc>
          <w:tcPr>
            <w:tcW w:w="3135" w:type="dxa"/>
            <w:shd w:val="clear" w:color="auto" w:fill="92D050"/>
            <w:tcMar>
              <w:top w:w="15" w:type="dxa"/>
              <w:left w:w="15" w:type="dxa"/>
              <w:right w:w="15" w:type="dxa"/>
            </w:tcMar>
          </w:tcPr>
          <w:p w14:paraId="7F6AD2A2"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eastAsiaTheme="minorEastAsia" w:hAnsi="Times New Roman"/>
                <w:noProof/>
                <w:sz w:val="20"/>
              </w:rPr>
              <w:t xml:space="preserve"> Part des personnes en âge de travailler ayant un emploi.</w:t>
            </w:r>
          </w:p>
        </w:tc>
        <w:tc>
          <w:tcPr>
            <w:tcW w:w="1559" w:type="dxa"/>
            <w:shd w:val="clear" w:color="auto" w:fill="92D050"/>
            <w:tcMar>
              <w:top w:w="15" w:type="dxa"/>
              <w:left w:w="15" w:type="dxa"/>
              <w:right w:w="15" w:type="dxa"/>
            </w:tcMar>
          </w:tcPr>
          <w:p w14:paraId="401FA031"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78 % d’ici à 2030 </w:t>
            </w:r>
          </w:p>
        </w:tc>
        <w:tc>
          <w:tcPr>
            <w:tcW w:w="2126" w:type="dxa"/>
            <w:shd w:val="clear" w:color="auto" w:fill="92D050"/>
            <w:tcMar>
              <w:top w:w="15" w:type="dxa"/>
              <w:left w:w="15" w:type="dxa"/>
              <w:right w:w="15" w:type="dxa"/>
            </w:tcMar>
          </w:tcPr>
          <w:p w14:paraId="18513DB6"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75,3 % (2023)</w:t>
            </w:r>
          </w:p>
          <w:p w14:paraId="7FB934A6"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74,6 % (2022)</w:t>
            </w:r>
          </w:p>
        </w:tc>
      </w:tr>
      <w:tr w:rsidR="0075701A" w:rsidRPr="0075701A" w14:paraId="1298B07E" w14:textId="77777777" w:rsidTr="00B17D67">
        <w:trPr>
          <w:trHeight w:val="780"/>
        </w:trPr>
        <w:tc>
          <w:tcPr>
            <w:tcW w:w="2237" w:type="dxa"/>
            <w:shd w:val="clear" w:color="auto" w:fill="F6FA84"/>
            <w:tcMar>
              <w:top w:w="15" w:type="dxa"/>
              <w:left w:w="15" w:type="dxa"/>
              <w:right w:w="15" w:type="dxa"/>
            </w:tcMar>
          </w:tcPr>
          <w:p w14:paraId="646C9DF1"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ICP 11: Participation des adultes à l’éducation et à la formation </w:t>
            </w:r>
          </w:p>
        </w:tc>
        <w:tc>
          <w:tcPr>
            <w:tcW w:w="3135" w:type="dxa"/>
            <w:shd w:val="clear" w:color="auto" w:fill="F6FA84"/>
            <w:tcMar>
              <w:top w:w="15" w:type="dxa"/>
              <w:left w:w="15" w:type="dxa"/>
              <w:right w:w="15" w:type="dxa"/>
            </w:tcMar>
          </w:tcPr>
          <w:p w14:paraId="35F40962"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eastAsiaTheme="minorEastAsia" w:hAnsi="Times New Roman"/>
                <w:noProof/>
                <w:sz w:val="20"/>
              </w:rPr>
              <w:t>Part de la population adulte participant à des activités d’éducation et/ou de formation au moins une fois par an.</w:t>
            </w:r>
          </w:p>
        </w:tc>
        <w:tc>
          <w:tcPr>
            <w:tcW w:w="1559" w:type="dxa"/>
            <w:shd w:val="clear" w:color="auto" w:fill="F6FA84"/>
            <w:tcMar>
              <w:top w:w="15" w:type="dxa"/>
              <w:left w:w="15" w:type="dxa"/>
              <w:right w:w="15" w:type="dxa"/>
            </w:tcMar>
          </w:tcPr>
          <w:p w14:paraId="6E18BE7A"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60 % d’ici à 2030 </w:t>
            </w:r>
          </w:p>
        </w:tc>
        <w:tc>
          <w:tcPr>
            <w:tcW w:w="2126" w:type="dxa"/>
            <w:shd w:val="clear" w:color="auto" w:fill="F6FA84"/>
            <w:tcMar>
              <w:top w:w="15" w:type="dxa"/>
              <w:left w:w="15" w:type="dxa"/>
              <w:right w:w="15" w:type="dxa"/>
            </w:tcMar>
          </w:tcPr>
          <w:p w14:paraId="46505245"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39,5 % (2022)</w:t>
            </w:r>
          </w:p>
          <w:p w14:paraId="1270F5F7"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37,4 % (2016)</w:t>
            </w:r>
          </w:p>
        </w:tc>
      </w:tr>
      <w:tr w:rsidR="0075701A" w:rsidRPr="0075701A" w14:paraId="658111AC" w14:textId="77777777" w:rsidTr="00B17D67">
        <w:trPr>
          <w:trHeight w:val="1221"/>
        </w:trPr>
        <w:tc>
          <w:tcPr>
            <w:tcW w:w="2237" w:type="dxa"/>
            <w:shd w:val="clear" w:color="auto" w:fill="92D050"/>
            <w:tcMar>
              <w:top w:w="15" w:type="dxa"/>
              <w:left w:w="15" w:type="dxa"/>
              <w:right w:w="15" w:type="dxa"/>
            </w:tcMar>
          </w:tcPr>
          <w:p w14:paraId="06B78840"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ICP 12: Spécialistes des TIC </w:t>
            </w:r>
          </w:p>
        </w:tc>
        <w:tc>
          <w:tcPr>
            <w:tcW w:w="3135" w:type="dxa"/>
            <w:shd w:val="clear" w:color="auto" w:fill="92D050"/>
            <w:tcMar>
              <w:top w:w="15" w:type="dxa"/>
              <w:left w:w="15" w:type="dxa"/>
              <w:right w:w="15" w:type="dxa"/>
            </w:tcMar>
          </w:tcPr>
          <w:p w14:paraId="49F2B4C0"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Part des spécialistes des TIC dans l’emploi total</w:t>
            </w:r>
          </w:p>
        </w:tc>
        <w:tc>
          <w:tcPr>
            <w:tcW w:w="1559" w:type="dxa"/>
            <w:shd w:val="clear" w:color="auto" w:fill="92D050"/>
            <w:tcMar>
              <w:top w:w="15" w:type="dxa"/>
              <w:left w:w="15" w:type="dxa"/>
              <w:right w:w="15" w:type="dxa"/>
            </w:tcMar>
          </w:tcPr>
          <w:p w14:paraId="7F0CF7BF"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20 millions de spécialistes des TIC, soit environ 10 % de l’emploi total </w:t>
            </w:r>
          </w:p>
        </w:tc>
        <w:tc>
          <w:tcPr>
            <w:tcW w:w="2126" w:type="dxa"/>
            <w:shd w:val="clear" w:color="auto" w:fill="92D050"/>
            <w:tcMar>
              <w:top w:w="15" w:type="dxa"/>
              <w:left w:w="15" w:type="dxa"/>
              <w:right w:w="15" w:type="dxa"/>
            </w:tcMar>
          </w:tcPr>
          <w:p w14:paraId="2F895DF6"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9,8 millions, 4,8 % de l’emploi total (2023)</w:t>
            </w:r>
          </w:p>
          <w:p w14:paraId="43E67EB5"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p>
          <w:p w14:paraId="7C97C582"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 xml:space="preserve">9,4 millions, 4,6 % de l’emploi total (2022) </w:t>
            </w:r>
          </w:p>
        </w:tc>
      </w:tr>
      <w:tr w:rsidR="0075701A" w:rsidRPr="0075701A" w14:paraId="4ADA5AC0" w14:textId="77777777" w:rsidTr="00B17D67">
        <w:trPr>
          <w:trHeight w:val="467"/>
        </w:trPr>
        <w:tc>
          <w:tcPr>
            <w:tcW w:w="2237" w:type="dxa"/>
            <w:shd w:val="clear" w:color="auto" w:fill="EB6C6C"/>
            <w:tcMar>
              <w:top w:w="15" w:type="dxa"/>
              <w:left w:w="15" w:type="dxa"/>
              <w:right w:w="15" w:type="dxa"/>
            </w:tcMar>
          </w:tcPr>
          <w:p w14:paraId="238FE0A8"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ICP 13: Score PISA </w:t>
            </w:r>
          </w:p>
        </w:tc>
        <w:tc>
          <w:tcPr>
            <w:tcW w:w="3135" w:type="dxa"/>
            <w:shd w:val="clear" w:color="auto" w:fill="EB6C6C"/>
            <w:tcMar>
              <w:top w:w="15" w:type="dxa"/>
              <w:left w:w="15" w:type="dxa"/>
              <w:right w:w="15" w:type="dxa"/>
            </w:tcMar>
          </w:tcPr>
          <w:p w14:paraId="61AA5975"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sz w:val="20"/>
              </w:rPr>
              <w:t>Résultats des élèves de 15 ans aux tests PISA de l’OCDE portant sur les mathématiques, la lecture et les sciences. Des scores élevés indiquent de meilleurs résultats.</w:t>
            </w:r>
          </w:p>
        </w:tc>
        <w:tc>
          <w:tcPr>
            <w:tcW w:w="1559" w:type="dxa"/>
            <w:shd w:val="clear" w:color="auto" w:fill="EB6C6C"/>
            <w:tcMar>
              <w:top w:w="15" w:type="dxa"/>
              <w:left w:w="15" w:type="dxa"/>
              <w:right w:w="15" w:type="dxa"/>
            </w:tcMar>
          </w:tcPr>
          <w:p w14:paraId="5F36C1D5"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p>
        </w:tc>
        <w:tc>
          <w:tcPr>
            <w:tcW w:w="2126" w:type="dxa"/>
            <w:shd w:val="clear" w:color="auto" w:fill="EB6C6C"/>
            <w:tcMar>
              <w:top w:w="15" w:type="dxa"/>
              <w:left w:w="15" w:type="dxa"/>
              <w:right w:w="15" w:type="dxa"/>
            </w:tcMar>
          </w:tcPr>
          <w:p w14:paraId="52B6EA89"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Mathématiques: 474 (2022) </w:t>
            </w:r>
          </w:p>
          <w:p w14:paraId="4E5061A9" w14:textId="77777777" w:rsidR="0075701A" w:rsidRPr="0075701A" w:rsidRDefault="0075701A" w:rsidP="0075701A">
            <w:pPr>
              <w:widowControl w:val="0"/>
              <w:spacing w:after="12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Mathématiques: 492 (2018) </w:t>
            </w:r>
          </w:p>
          <w:p w14:paraId="7CBF6CB4"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Lecture: 475 (2022) </w:t>
            </w:r>
          </w:p>
          <w:p w14:paraId="56BA2D33" w14:textId="77777777" w:rsidR="0075701A" w:rsidRPr="0075701A" w:rsidRDefault="0075701A" w:rsidP="0075701A">
            <w:pPr>
              <w:widowControl w:val="0"/>
              <w:spacing w:after="12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Lecture: 488 (2018) </w:t>
            </w:r>
          </w:p>
          <w:p w14:paraId="3F64E873" w14:textId="77777777" w:rsidR="0075701A" w:rsidRPr="0075701A" w:rsidRDefault="0075701A" w:rsidP="0075701A">
            <w:pPr>
              <w:widowControl w:val="0"/>
              <w:spacing w:after="0" w:line="240" w:lineRule="auto"/>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Sciences: 484 (2022) </w:t>
            </w:r>
          </w:p>
          <w:p w14:paraId="1D366556" w14:textId="77777777" w:rsidR="0075701A" w:rsidRPr="0075701A" w:rsidRDefault="0075701A" w:rsidP="0075701A">
            <w:pPr>
              <w:widowControl w:val="0"/>
              <w:spacing w:after="0" w:line="240" w:lineRule="auto"/>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Sciences: 488 (2018)</w:t>
            </w:r>
          </w:p>
        </w:tc>
      </w:tr>
    </w:tbl>
    <w:p w14:paraId="35D84EAB" w14:textId="77777777" w:rsidR="0075701A" w:rsidRPr="0075701A" w:rsidRDefault="0075701A" w:rsidP="0075701A">
      <w:pPr>
        <w:widowControl w:val="0"/>
        <w:spacing w:before="240"/>
        <w:jc w:val="both"/>
        <w:rPr>
          <w:rFonts w:ascii="Times New Roman" w:eastAsia="Times New Roman" w:hAnsi="Times New Roman" w:cs="Times New Roman"/>
          <w:noProof/>
          <w:color w:val="000000" w:themeColor="text1"/>
          <w:sz w:val="24"/>
          <w:szCs w:val="24"/>
          <w:lang w:eastAsia="en-GB"/>
        </w:rPr>
      </w:pPr>
      <w:r w:rsidRPr="0075701A">
        <w:rPr>
          <w:rFonts w:ascii="Times New Roman" w:eastAsia="Times New Roman" w:hAnsi="Times New Roman" w:cs="Times New Roman"/>
          <w:b/>
          <w:noProof/>
          <w:sz w:val="24"/>
          <w:szCs w:val="24"/>
          <w:lang w:eastAsia="en-GB"/>
        </w:rPr>
        <w:t>Alors que le taux d’emploi dans l’UE ne cesse de se rapprocher de l’objectif de 78 % en 2030</w:t>
      </w:r>
      <w:r w:rsidRPr="0075701A">
        <w:rPr>
          <w:rFonts w:ascii="Times New Roman" w:eastAsia="Times New Roman" w:hAnsi="Times New Roman" w:cs="Times New Roman"/>
          <w:b/>
          <w:bCs/>
          <w:noProof/>
          <w:sz w:val="24"/>
          <w:szCs w:val="24"/>
          <w:vertAlign w:val="superscript"/>
          <w:lang w:eastAsia="en-GB"/>
        </w:rPr>
        <w:footnoteReference w:id="85"/>
      </w:r>
      <w:r w:rsidRPr="0075701A">
        <w:rPr>
          <w:rFonts w:ascii="Times New Roman" w:eastAsia="Times New Roman" w:hAnsi="Times New Roman" w:cs="Times New Roman"/>
          <w:b/>
          <w:noProof/>
          <w:sz w:val="24"/>
          <w:szCs w:val="24"/>
          <w:lang w:eastAsia="en-GB"/>
        </w:rPr>
        <w:t xml:space="preserve"> (ICP 10), les résultats scolaires dans l’enseignement secondaire accusent un certain retard. </w:t>
      </w:r>
      <w:r w:rsidRPr="0075701A">
        <w:rPr>
          <w:rFonts w:ascii="Times New Roman" w:eastAsia="Times New Roman" w:hAnsi="Times New Roman" w:cs="Times New Roman"/>
          <w:noProof/>
          <w:sz w:val="24"/>
          <w:szCs w:val="24"/>
          <w:lang w:eastAsia="en-GB"/>
        </w:rPr>
        <w:t>Le taux d’emploi dans l’UE a dépassé 75 % en 2023, contre 72 % en 2018</w:t>
      </w:r>
      <w:r w:rsidRPr="0075701A">
        <w:rPr>
          <w:rFonts w:ascii="Times New Roman" w:eastAsia="Times New Roman" w:hAnsi="Times New Roman" w:cs="Times New Roman"/>
          <w:noProof/>
          <w:sz w:val="24"/>
          <w:szCs w:val="24"/>
          <w:vertAlign w:val="superscript"/>
          <w:lang w:eastAsia="en-GB"/>
        </w:rPr>
        <w:footnoteReference w:id="86"/>
      </w:r>
      <w:r w:rsidRPr="0075701A">
        <w:rPr>
          <w:rFonts w:ascii="Times New Roman" w:eastAsia="Times New Roman" w:hAnsi="Times New Roman" w:cs="Times New Roman"/>
          <w:noProof/>
          <w:sz w:val="24"/>
          <w:szCs w:val="24"/>
          <w:lang w:eastAsia="en-GB"/>
        </w:rPr>
        <w:t>. Ces résultats sont globalement comparables à ceux des États-Unis, mais inférieurs aux tendances observées au Japon et au Royaume-Uni</w:t>
      </w:r>
      <w:r w:rsidRPr="0075701A">
        <w:rPr>
          <w:rFonts w:ascii="Times New Roman" w:eastAsia="Times New Roman" w:hAnsi="Times New Roman" w:cs="Times New Roman"/>
          <w:noProof/>
          <w:sz w:val="24"/>
          <w:szCs w:val="24"/>
          <w:vertAlign w:val="superscript"/>
          <w:lang w:eastAsia="en-GB"/>
        </w:rPr>
        <w:footnoteReference w:id="87"/>
      </w:r>
      <w:r w:rsidRPr="0075701A">
        <w:rPr>
          <w:rFonts w:ascii="Times New Roman" w:eastAsia="Times New Roman" w:hAnsi="Times New Roman" w:cs="Times New Roman"/>
          <w:noProof/>
          <w:sz w:val="24"/>
          <w:szCs w:val="24"/>
          <w:lang w:eastAsia="en-GB"/>
        </w:rPr>
        <w:t xml:space="preserve">. Dans le même temps, l’Europe est confrontée à un problème lorsqu’il s’agit de doter les jeunes des compétences de base. Les résultats moyens aux tests PISA, qui mesurent les performances des élèves de 15 ans en </w:t>
      </w:r>
      <w:r w:rsidRPr="0075701A">
        <w:rPr>
          <w:rFonts w:ascii="Times New Roman" w:eastAsia="Times New Roman" w:hAnsi="Times New Roman" w:cs="Times New Roman"/>
          <w:noProof/>
          <w:color w:val="000000" w:themeColor="text1"/>
          <w:sz w:val="24"/>
          <w:szCs w:val="24"/>
          <w:lang w:eastAsia="en-GB"/>
        </w:rPr>
        <w:t>mathématiques, en lecture et en sciences</w:t>
      </w:r>
      <w:r w:rsidRPr="0075701A">
        <w:rPr>
          <w:rFonts w:ascii="Times New Roman" w:eastAsia="Times New Roman" w:hAnsi="Times New Roman" w:cs="Times New Roman"/>
          <w:noProof/>
          <w:sz w:val="24"/>
          <w:szCs w:val="24"/>
          <w:lang w:eastAsia="en-GB"/>
        </w:rPr>
        <w:t xml:space="preserve">, ont baissé dans toutes les disciplines, poursuivant la tendance à la baisse observée lors des enquêtes précédentes. </w:t>
      </w:r>
      <w:r w:rsidRPr="0075701A">
        <w:rPr>
          <w:rFonts w:ascii="Times New Roman" w:eastAsia="Times New Roman" w:hAnsi="Times New Roman" w:cs="Times New Roman"/>
          <w:noProof/>
          <w:color w:val="000000" w:themeColor="text1"/>
          <w:sz w:val="24"/>
          <w:szCs w:val="24"/>
          <w:lang w:eastAsia="en-GB"/>
        </w:rPr>
        <w:t>Les élèves de l’UE obtiennent des résultats inférieurs à ceux de leurs pairs au Royaume-Uni, aux États-Unis, au Japon et en Chine</w:t>
      </w:r>
      <w:r w:rsidRPr="0075701A">
        <w:rPr>
          <w:rFonts w:ascii="Times New Roman" w:eastAsia="Times New Roman" w:hAnsi="Times New Roman" w:cs="Times New Roman"/>
          <w:noProof/>
          <w:sz w:val="24"/>
          <w:szCs w:val="24"/>
          <w:vertAlign w:val="superscript"/>
          <w:lang w:eastAsia="en-GB"/>
        </w:rPr>
        <w:footnoteReference w:id="88"/>
      </w:r>
      <w:r w:rsidRPr="0075701A">
        <w:rPr>
          <w:rFonts w:ascii="Times New Roman" w:eastAsia="Times New Roman" w:hAnsi="Times New Roman" w:cs="Times New Roman"/>
          <w:noProof/>
          <w:color w:val="000000" w:themeColor="text1"/>
          <w:sz w:val="24"/>
          <w:szCs w:val="24"/>
          <w:lang w:eastAsia="en-GB"/>
        </w:rPr>
        <w:t xml:space="preserve"> (ICP 13). L’augmentation de la participation des femmes au marché du travail permet de remédier aux pénuries de compétences, mais l’écart entre les hommes et les femmes en matière d’emploi ne s’est réduit que de façon marginale ces dernières années.</w:t>
      </w:r>
    </w:p>
    <w:p w14:paraId="464EC492" w14:textId="77777777" w:rsidR="0075701A" w:rsidRPr="0075701A" w:rsidRDefault="0075701A" w:rsidP="0075701A">
      <w:pPr>
        <w:jc w:val="both"/>
        <w:rPr>
          <w:rFonts w:ascii="Times New Roman" w:eastAsia="Times New Roman" w:hAnsi="Times New Roman" w:cs="Times New Roman"/>
          <w:noProof/>
          <w:color w:val="000000" w:themeColor="text1"/>
          <w:sz w:val="24"/>
          <w:szCs w:val="24"/>
        </w:rPr>
      </w:pPr>
      <w:bookmarkStart w:id="12" w:name="_Hlk185415637"/>
      <w:r w:rsidRPr="0075701A">
        <w:rPr>
          <w:rFonts w:ascii="Times New Roman" w:hAnsi="Times New Roman"/>
          <w:b/>
          <w:noProof/>
          <w:sz w:val="24"/>
        </w:rPr>
        <w:t xml:space="preserve">L’évolution rapide du marché du travail, conjuguée aux changements démographiques, souligne la nécessité de doter les Européens de nouvelles compétences. </w:t>
      </w:r>
      <w:r w:rsidRPr="0075701A">
        <w:rPr>
          <w:rFonts w:ascii="Times New Roman" w:hAnsi="Times New Roman"/>
          <w:noProof/>
          <w:sz w:val="24"/>
        </w:rPr>
        <w:t>Pourtant, plus de 70 % des entreprises déclarent que le manque de compétences adéquates entrave leurs investissements et près de quatre PME sur cinq font état de difficultés à trouver des travailleurs possédant les bonnes compétences</w:t>
      </w:r>
      <w:r w:rsidRPr="0075701A">
        <w:rPr>
          <w:rFonts w:ascii="Times New Roman" w:hAnsi="Times New Roman" w:cs="Times New Roman"/>
          <w:noProof/>
          <w:sz w:val="24"/>
          <w:szCs w:val="24"/>
          <w:vertAlign w:val="superscript"/>
        </w:rPr>
        <w:footnoteReference w:id="89"/>
      </w:r>
      <w:r w:rsidRPr="0075701A">
        <w:rPr>
          <w:rFonts w:ascii="Times New Roman" w:hAnsi="Times New Roman"/>
          <w:noProof/>
          <w:sz w:val="24"/>
        </w:rPr>
        <w:t>. Le problème est accentué par le fait que la population européenne en âge de travailler devrait diminuer en moyenne d’environ un million de personnes par an, d’aujourd’hui à 2050</w:t>
      </w:r>
      <w:r w:rsidRPr="0075701A">
        <w:rPr>
          <w:rFonts w:ascii="Times New Roman" w:hAnsi="Times New Roman" w:cs="Times New Roman"/>
          <w:noProof/>
          <w:sz w:val="24"/>
          <w:szCs w:val="24"/>
          <w:vertAlign w:val="superscript"/>
          <w:lang w:val="en-GB"/>
        </w:rPr>
        <w:footnoteReference w:id="90"/>
      </w:r>
      <w:r w:rsidRPr="0075701A">
        <w:rPr>
          <w:rFonts w:ascii="Times New Roman" w:hAnsi="Times New Roman"/>
          <w:noProof/>
          <w:sz w:val="24"/>
        </w:rPr>
        <w:t>, en l’absence de changements compensatoires. Alors que les compétences en matière de TIC font l’objet d’une demande élevée et croissante, on estime que 56 % seulement de la population possède des compétences numériques élémentaires ou plus avancées</w:t>
      </w:r>
      <w:r w:rsidRPr="0075701A">
        <w:rPr>
          <w:rFonts w:ascii="Times New Roman" w:hAnsi="Times New Roman" w:cs="Times New Roman"/>
          <w:noProof/>
          <w:sz w:val="24"/>
          <w:szCs w:val="24"/>
          <w:vertAlign w:val="superscript"/>
        </w:rPr>
        <w:footnoteReference w:id="91"/>
      </w:r>
      <w:r w:rsidRPr="0075701A">
        <w:rPr>
          <w:rFonts w:ascii="Times New Roman" w:hAnsi="Times New Roman"/>
          <w:noProof/>
          <w:sz w:val="24"/>
        </w:rPr>
        <w:t>, ce qui indique la nécessité d’un perfectionnement et d’une reconversion de la main-d’œuvre. 45 % des PME déclarent que le manque de compétences les empêche d’adopter ou d’utiliser efficacement les technologies numériques</w:t>
      </w:r>
      <w:r w:rsidRPr="0075701A">
        <w:rPr>
          <w:rFonts w:ascii="Times New Roman" w:hAnsi="Times New Roman" w:cs="Times New Roman"/>
          <w:noProof/>
          <w:color w:val="000000" w:themeColor="text1"/>
          <w:sz w:val="24"/>
          <w:szCs w:val="24"/>
          <w:vertAlign w:val="superscript"/>
          <w:lang w:eastAsia="en-GB"/>
        </w:rPr>
        <w:footnoteReference w:id="92"/>
      </w:r>
      <w:r w:rsidRPr="0075701A">
        <w:rPr>
          <w:rFonts w:ascii="Times New Roman" w:hAnsi="Times New Roman"/>
          <w:noProof/>
          <w:sz w:val="24"/>
        </w:rPr>
        <w:t>.</w:t>
      </w:r>
      <w:r w:rsidRPr="0075701A">
        <w:rPr>
          <w:noProof/>
        </w:rPr>
        <w:t xml:space="preserve"> </w:t>
      </w:r>
      <w:r w:rsidRPr="0075701A">
        <w:rPr>
          <w:rFonts w:ascii="Times New Roman" w:hAnsi="Times New Roman"/>
          <w:noProof/>
          <w:sz w:val="24"/>
        </w:rPr>
        <w:t>Le nombre de spécialistes des TIC a atteint 10 millions en 2023, soit 4,8 % de l’emploi total</w:t>
      </w:r>
      <w:r w:rsidRPr="0075701A">
        <w:rPr>
          <w:rFonts w:ascii="Times New Roman" w:hAnsi="Times New Roman" w:cs="Times New Roman"/>
          <w:noProof/>
          <w:sz w:val="24"/>
          <w:szCs w:val="24"/>
          <w:vertAlign w:val="superscript"/>
        </w:rPr>
        <w:footnoteReference w:id="93"/>
      </w:r>
      <w:r w:rsidRPr="0075701A">
        <w:rPr>
          <w:rFonts w:ascii="Times New Roman" w:hAnsi="Times New Roman"/>
          <w:noProof/>
          <w:sz w:val="24"/>
        </w:rPr>
        <w:t xml:space="preserve">, et progresse vers l’objectif de voir les spécialistes des TIC représenter 10 % de la main-d’œuvre d’ici à 2030 (ICP 12). Néanmoins, seulement 39,5 % de la population adulte participe à l’éducation ou à la formation (ICP 11), ce qui montre la nécessité de promouvoir l’apprentissage tout au long de la vie. </w:t>
      </w:r>
      <w:r w:rsidRPr="0075701A">
        <w:rPr>
          <w:rFonts w:ascii="Times New Roman" w:hAnsi="Times New Roman"/>
          <w:noProof/>
          <w:color w:val="000000" w:themeColor="text1"/>
          <w:sz w:val="24"/>
        </w:rPr>
        <w:t xml:space="preserve">Le Fonds social européen contribue à la reconversion et au perfectionnement professionnels de la main-d’œuvre avec un budget de 142,7 milliards d’EUR pour la période 2021-2027. </w:t>
      </w:r>
      <w:r w:rsidRPr="0075701A">
        <w:rPr>
          <w:rFonts w:ascii="Times New Roman" w:hAnsi="Times New Roman"/>
          <w:noProof/>
          <w:sz w:val="24"/>
        </w:rPr>
        <w:t>En réponse aux déficits de compétences dans des secteurs d’importance critique, tels que les technologies «zéro net», la cybersécurité et la construction, des académies sur mesure ont été créées en collaboration avec le monde des entreprises.</w:t>
      </w:r>
    </w:p>
    <w:bookmarkEnd w:id="12"/>
    <w:p w14:paraId="56D7F5B2" w14:textId="77777777" w:rsidR="0075701A" w:rsidRPr="0075701A" w:rsidRDefault="0075701A" w:rsidP="0075701A">
      <w:pPr>
        <w:widowControl w:val="0"/>
        <w:jc w:val="both"/>
        <w:rPr>
          <w:rFonts w:ascii="Times New Roman" w:eastAsia="Times New Roman" w:hAnsi="Times New Roman" w:cs="Times New Roman"/>
          <w:noProof/>
          <w:sz w:val="24"/>
          <w:szCs w:val="24"/>
        </w:rPr>
      </w:pPr>
    </w:p>
    <w:p w14:paraId="35F993A4" w14:textId="77777777" w:rsidR="0075701A" w:rsidRPr="0075701A" w:rsidRDefault="0075701A" w:rsidP="0075701A">
      <w:pPr>
        <w:keepNext/>
        <w:keepLines/>
        <w:spacing w:before="240" w:after="120"/>
        <w:outlineLvl w:val="0"/>
        <w:rPr>
          <w:rFonts w:ascii="Times New Roman" w:eastAsiaTheme="majorEastAsia" w:hAnsi="Times New Roman" w:cstheme="majorBidi"/>
          <w:noProof/>
          <w:sz w:val="28"/>
          <w:szCs w:val="32"/>
          <w:shd w:val="clear" w:color="auto" w:fill="FFFFFF"/>
        </w:rPr>
      </w:pPr>
      <w:r w:rsidRPr="0075701A">
        <w:rPr>
          <w:rFonts w:ascii="Times New Roman" w:eastAsiaTheme="majorEastAsia" w:hAnsi="Times New Roman" w:cstheme="majorBidi"/>
          <w:b/>
          <w:noProof/>
          <w:sz w:val="28"/>
          <w:szCs w:val="32"/>
          <w:shd w:val="clear" w:color="auto" w:fill="FFFFFF"/>
        </w:rPr>
        <w:t>SECTION 3 — Décarbonation de l’industrie et investissements</w:t>
      </w:r>
    </w:p>
    <w:p w14:paraId="42A1DC96" w14:textId="77777777" w:rsidR="0075701A" w:rsidRPr="0075701A" w:rsidRDefault="0075701A" w:rsidP="0075701A">
      <w:pPr>
        <w:keepNext/>
        <w:keepLines/>
        <w:numPr>
          <w:ilvl w:val="1"/>
          <w:numId w:val="30"/>
        </w:numPr>
        <w:spacing w:before="40" w:after="120"/>
        <w:ind w:left="851" w:hanging="425"/>
        <w:outlineLvl w:val="3"/>
        <w:rPr>
          <w:rFonts w:ascii="Times New Roman" w:eastAsiaTheme="majorEastAsia" w:hAnsi="Times New Roman" w:cstheme="majorBidi"/>
          <w:b/>
          <w:iCs/>
          <w:noProof/>
          <w:color w:val="000000" w:themeColor="text1"/>
          <w:sz w:val="24"/>
        </w:rPr>
      </w:pPr>
      <w:r w:rsidRPr="0075701A">
        <w:rPr>
          <w:rFonts w:ascii="Times New Roman" w:eastAsiaTheme="majorEastAsia" w:hAnsi="Times New Roman" w:cstheme="majorBidi"/>
          <w:b/>
          <w:iCs/>
          <w:noProof/>
          <w:sz w:val="24"/>
        </w:rPr>
        <w:t>Accès aux capitaux et investissements privés</w:t>
      </w:r>
    </w:p>
    <w:tbl>
      <w:tblPr>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1E0" w:firstRow="1" w:lastRow="1" w:firstColumn="1" w:lastColumn="1" w:noHBand="0" w:noVBand="0"/>
      </w:tblPr>
      <w:tblGrid>
        <w:gridCol w:w="2404"/>
        <w:gridCol w:w="4811"/>
        <w:gridCol w:w="1842"/>
      </w:tblGrid>
      <w:tr w:rsidR="0075701A" w:rsidRPr="0075701A" w14:paraId="40457A46" w14:textId="77777777" w:rsidTr="00B17D67">
        <w:trPr>
          <w:trHeight w:val="272"/>
        </w:trPr>
        <w:tc>
          <w:tcPr>
            <w:tcW w:w="2404" w:type="dxa"/>
            <w:shd w:val="clear" w:color="auto" w:fill="B8CCE4"/>
            <w:vAlign w:val="center"/>
          </w:tcPr>
          <w:p w14:paraId="56983072" w14:textId="77777777" w:rsidR="0075701A" w:rsidRPr="0075701A" w:rsidRDefault="0075701A" w:rsidP="0075701A">
            <w:pPr>
              <w:widowControl w:val="0"/>
              <w:spacing w:after="0"/>
              <w:ind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ICP</w:t>
            </w:r>
          </w:p>
        </w:tc>
        <w:tc>
          <w:tcPr>
            <w:tcW w:w="4811" w:type="dxa"/>
            <w:shd w:val="clear" w:color="auto" w:fill="B8CCE4"/>
            <w:vAlign w:val="center"/>
          </w:tcPr>
          <w:p w14:paraId="278769F8"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Ce que cet indicateur mesure</w:t>
            </w:r>
          </w:p>
        </w:tc>
        <w:tc>
          <w:tcPr>
            <w:tcW w:w="1842" w:type="dxa"/>
            <w:shd w:val="clear" w:color="auto" w:fill="B8CCE4"/>
            <w:vAlign w:val="center"/>
          </w:tcPr>
          <w:p w14:paraId="10F91FCB"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vertAlign w:val="superscript"/>
              </w:rPr>
            </w:pPr>
            <w:r w:rsidRPr="0075701A">
              <w:rPr>
                <w:rFonts w:ascii="Times New Roman" w:hAnsi="Times New Roman"/>
                <w:b/>
                <w:noProof/>
                <w:color w:val="003063"/>
                <w:sz w:val="20"/>
              </w:rPr>
              <w:t>Valeurs UE</w:t>
            </w:r>
            <w:r w:rsidRPr="0075701A">
              <w:rPr>
                <w:rFonts w:ascii="Times New Roman" w:hAnsi="Times New Roman"/>
                <w:b/>
                <w:noProof/>
                <w:sz w:val="20"/>
              </w:rPr>
              <w:t xml:space="preserve"> </w:t>
            </w:r>
            <w:r w:rsidRPr="0075701A">
              <w:rPr>
                <w:rFonts w:ascii="Times New Roman" w:hAnsi="Times New Roman"/>
                <w:b/>
                <w:noProof/>
                <w:color w:val="003063"/>
                <w:sz w:val="20"/>
              </w:rPr>
              <w:t>les plus récentes</w:t>
            </w:r>
          </w:p>
        </w:tc>
      </w:tr>
      <w:tr w:rsidR="0075701A" w:rsidRPr="0075701A" w14:paraId="55B1A4BE" w14:textId="77777777" w:rsidTr="00B17D67">
        <w:trPr>
          <w:trHeight w:val="300"/>
        </w:trPr>
        <w:tc>
          <w:tcPr>
            <w:tcW w:w="2404" w:type="dxa"/>
            <w:shd w:val="clear" w:color="auto" w:fill="EB6C6C"/>
          </w:tcPr>
          <w:p w14:paraId="4470ACDE"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eastAsiaTheme="minorEastAsia" w:hAnsi="Times New Roman"/>
                <w:noProof/>
                <w:sz w:val="20"/>
              </w:rPr>
              <w:t>ICP 14: Investissements privés</w:t>
            </w:r>
          </w:p>
        </w:tc>
        <w:tc>
          <w:tcPr>
            <w:tcW w:w="4811" w:type="dxa"/>
            <w:shd w:val="clear" w:color="auto" w:fill="EB6C6C"/>
          </w:tcPr>
          <w:p w14:paraId="31A48788"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Investissements privés (en pourcentage du PIB)</w:t>
            </w:r>
          </w:p>
        </w:tc>
        <w:tc>
          <w:tcPr>
            <w:tcW w:w="1842" w:type="dxa"/>
            <w:shd w:val="clear" w:color="auto" w:fill="EB6C6C"/>
          </w:tcPr>
          <w:p w14:paraId="0FF03FCE"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18,5 % (2023)</w:t>
            </w:r>
          </w:p>
          <w:p w14:paraId="0ECC7BAF"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19,3 % (2022)</w:t>
            </w:r>
          </w:p>
        </w:tc>
      </w:tr>
      <w:tr w:rsidR="0075701A" w:rsidRPr="0075701A" w14:paraId="0D20C74E" w14:textId="77777777" w:rsidTr="00B17D67">
        <w:trPr>
          <w:trHeight w:val="1526"/>
        </w:trPr>
        <w:tc>
          <w:tcPr>
            <w:tcW w:w="2404" w:type="dxa"/>
            <w:shd w:val="clear" w:color="auto" w:fill="F6FA84"/>
          </w:tcPr>
          <w:p w14:paraId="1B09E165"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ICP 15: Épargne privée investie en obligations, actions, fonds d’investissement et instruments similaires</w:t>
            </w:r>
          </w:p>
          <w:p w14:paraId="6518A765" w14:textId="77777777" w:rsidR="0075701A" w:rsidRPr="0075701A" w:rsidRDefault="0075701A" w:rsidP="0075701A">
            <w:pPr>
              <w:widowControl w:val="0"/>
              <w:spacing w:after="0"/>
              <w:rPr>
                <w:rFonts w:ascii="Times New Roman" w:eastAsia="Times New Roman" w:hAnsi="Times New Roman" w:cs="Times New Roman"/>
                <w:noProof/>
                <w:sz w:val="20"/>
                <w:szCs w:val="20"/>
                <w:lang w:val="fr-BE"/>
              </w:rPr>
            </w:pPr>
          </w:p>
        </w:tc>
        <w:tc>
          <w:tcPr>
            <w:tcW w:w="4811" w:type="dxa"/>
            <w:shd w:val="clear" w:color="auto" w:fill="F6FA84"/>
          </w:tcPr>
          <w:p w14:paraId="7DDAC75F"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Volumes d’épargne des ménages en obligations, actions cotées, et fonds d’investissement, d’assurance et de pension, par rapport aux volumes des encaisses monétaires et des dépôts bancaires des ménages. Cela donne une idée de la part de l’épargne qui alimente directement les investissements dans l’économie réelle et facilite ainsi l’accès des entreprises au financement.</w:t>
            </w:r>
          </w:p>
        </w:tc>
        <w:tc>
          <w:tcPr>
            <w:tcW w:w="1842" w:type="dxa"/>
            <w:shd w:val="clear" w:color="auto" w:fill="F6FA84"/>
          </w:tcPr>
          <w:p w14:paraId="4D1F871D"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43 % (2023)</w:t>
            </w:r>
          </w:p>
          <w:p w14:paraId="4D8F4A43"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42 % (2022)</w:t>
            </w:r>
          </w:p>
        </w:tc>
      </w:tr>
    </w:tbl>
    <w:p w14:paraId="3D8AC272" w14:textId="77777777" w:rsidR="0075701A" w:rsidRPr="0075701A" w:rsidRDefault="0075701A" w:rsidP="0075701A">
      <w:pPr>
        <w:widowControl w:val="0"/>
        <w:spacing w:before="24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 xml:space="preserve">Les entreprises ont besoin d’investissements considérables pour maîtriser les transitions écologique et numérique. </w:t>
      </w:r>
      <w:r w:rsidRPr="0075701A">
        <w:rPr>
          <w:rFonts w:ascii="Times New Roman" w:eastAsia="Times New Roman" w:hAnsi="Times New Roman" w:cs="Times New Roman"/>
          <w:noProof/>
          <w:sz w:val="24"/>
          <w:szCs w:val="24"/>
          <w:lang w:eastAsia="en-GB"/>
        </w:rPr>
        <w:t>Ces transitions nécessitent des investissements dans la production, la transmission et le stockage de l’électricité, l’électrification des procédés industriels, l’efficacité énergétique, la puissance de calcul, l’automatisation et dans bien d’autres domaines.</w:t>
      </w:r>
      <w:r w:rsidRPr="0075701A">
        <w:rPr>
          <w:rFonts w:ascii="Times New Roman" w:eastAsia="Times New Roman" w:hAnsi="Times New Roman" w:cs="Times New Roman"/>
          <w:b/>
          <w:noProof/>
          <w:sz w:val="24"/>
          <w:szCs w:val="24"/>
          <w:lang w:eastAsia="en-GB"/>
        </w:rPr>
        <w:t xml:space="preserve"> </w:t>
      </w:r>
      <w:r w:rsidRPr="0075701A">
        <w:rPr>
          <w:rFonts w:ascii="Times New Roman" w:eastAsia="Times New Roman" w:hAnsi="Times New Roman" w:cs="Times New Roman"/>
          <w:noProof/>
          <w:sz w:val="24"/>
          <w:szCs w:val="24"/>
          <w:lang w:eastAsia="en-GB"/>
        </w:rPr>
        <w:t xml:space="preserve">De même, des investissements sont nécessaires dans l’industrie des semi-conducteurs et dans l’extraction, la transformation et le recyclage de nombreuses matières premières critiques. </w:t>
      </w:r>
    </w:p>
    <w:p w14:paraId="0F52515B" w14:textId="77777777" w:rsidR="0075701A" w:rsidRPr="0075701A" w:rsidRDefault="0075701A" w:rsidP="0075701A">
      <w:pPr>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 xml:space="preserve">Les investissements privés, qui représentent environ 19 % du PIB, sont restés globalement stables ces dernières années (ICP 14). </w:t>
      </w:r>
      <w:r w:rsidRPr="0075701A">
        <w:rPr>
          <w:rFonts w:ascii="Times New Roman" w:eastAsia="Times New Roman" w:hAnsi="Times New Roman" w:cs="Times New Roman"/>
          <w:noProof/>
          <w:sz w:val="24"/>
          <w:szCs w:val="24"/>
          <w:lang w:eastAsia="en-GB"/>
        </w:rPr>
        <w:t>Les niveaux généraux sont légèrement supérieurs à ceux des États-Unis et bien supérieurs à ceux du Royaume-Uni</w:t>
      </w:r>
      <w:r w:rsidRPr="0075701A">
        <w:rPr>
          <w:rFonts w:ascii="Times New Roman" w:eastAsia="Times New Roman" w:hAnsi="Times New Roman" w:cs="Times New Roman"/>
          <w:noProof/>
          <w:sz w:val="24"/>
          <w:szCs w:val="24"/>
          <w:vertAlign w:val="superscript"/>
          <w:lang w:eastAsia="en-GB"/>
        </w:rPr>
        <w:footnoteReference w:id="94"/>
      </w:r>
      <w:r w:rsidRPr="0075701A">
        <w:rPr>
          <w:rFonts w:ascii="Times New Roman" w:eastAsia="Times New Roman" w:hAnsi="Times New Roman" w:cs="Times New Roman"/>
          <w:noProof/>
          <w:sz w:val="24"/>
          <w:szCs w:val="24"/>
          <w:lang w:eastAsia="en-GB"/>
        </w:rPr>
        <w:t xml:space="preserve">. </w:t>
      </w:r>
      <w:bookmarkStart w:id="13" w:name="_Hlk183769997"/>
      <w:r w:rsidRPr="0075701A">
        <w:rPr>
          <w:rFonts w:ascii="Times New Roman" w:eastAsia="Times New Roman" w:hAnsi="Times New Roman" w:cs="Times New Roman"/>
          <w:noProof/>
          <w:sz w:val="24"/>
          <w:szCs w:val="24"/>
          <w:lang w:eastAsia="en-GB"/>
        </w:rPr>
        <w:t xml:space="preserve">L’analyse spécifique de l’évolution du capital-risque et l’ICP correspondant ont été exposés à la section 2. </w:t>
      </w:r>
    </w:p>
    <w:bookmarkEnd w:id="13"/>
    <w:p w14:paraId="6407BD8A" w14:textId="77777777" w:rsidR="0075701A" w:rsidRPr="0075701A" w:rsidRDefault="0075701A" w:rsidP="0075701A">
      <w:pPr>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Par rapport à d’autres économies avancées, une part beaucoup plus faible de l’épargne privée de l’UE alimente directement les investissements dans les entreprises et des formes d’investissement plus risquées.</w:t>
      </w:r>
      <w:r w:rsidRPr="0075701A">
        <w:rPr>
          <w:rFonts w:ascii="Times New Roman" w:eastAsia="Times New Roman" w:hAnsi="Times New Roman" w:cs="Times New Roman"/>
          <w:noProof/>
          <w:sz w:val="24"/>
          <w:szCs w:val="24"/>
          <w:lang w:eastAsia="en-GB"/>
        </w:rPr>
        <w:t xml:space="preserve"> L’investissement productif est faible et l’épargne privée est élevée</w:t>
      </w:r>
      <w:r w:rsidRPr="0075701A">
        <w:rPr>
          <w:rFonts w:ascii="Times New Roman" w:eastAsia="Times New Roman" w:hAnsi="Times New Roman" w:cs="Times New Roman"/>
          <w:noProof/>
          <w:sz w:val="24"/>
          <w:szCs w:val="24"/>
          <w:vertAlign w:val="superscript"/>
          <w:lang w:eastAsia="en-GB"/>
        </w:rPr>
        <w:footnoteReference w:id="95"/>
      </w:r>
      <w:r w:rsidRPr="0075701A">
        <w:rPr>
          <w:rFonts w:ascii="Times New Roman" w:eastAsia="Times New Roman" w:hAnsi="Times New Roman" w:cs="Times New Roman"/>
          <w:noProof/>
          <w:sz w:val="24"/>
          <w:szCs w:val="24"/>
          <w:lang w:eastAsia="en-GB"/>
        </w:rPr>
        <w:t>. La part de l’épargne des ménages de l’UE consacrée aux obligations d’entreprises, aux actions cotées, aux fonds d’investissement et à d’autres instruments similaires est relativement faible, puisqu’elle correspond à 43 % des niveaux d’épargne sur les comptes bancaires traditionnels (ICP 15)</w:t>
      </w:r>
      <w:r w:rsidRPr="0075701A">
        <w:rPr>
          <w:rFonts w:ascii="Times New Roman" w:eastAsia="Times New Roman" w:hAnsi="Times New Roman" w:cs="Times New Roman"/>
          <w:noProof/>
          <w:sz w:val="24"/>
          <w:szCs w:val="24"/>
          <w:vertAlign w:val="superscript"/>
          <w:lang w:eastAsia="en-GB"/>
        </w:rPr>
        <w:footnoteReference w:id="96"/>
      </w:r>
      <w:r w:rsidRPr="0075701A">
        <w:rPr>
          <w:rFonts w:ascii="Times New Roman" w:eastAsia="Times New Roman" w:hAnsi="Times New Roman" w:cs="Times New Roman"/>
          <w:noProof/>
          <w:sz w:val="24"/>
          <w:szCs w:val="24"/>
          <w:lang w:eastAsia="en-GB"/>
        </w:rPr>
        <w:t>. Ce pourcentage est de 55 % au Royaume-Uni et de 72 % aux États-Unis (voir graphique 4)</w:t>
      </w:r>
      <w:r w:rsidRPr="0075701A">
        <w:rPr>
          <w:rFonts w:ascii="Times New Roman" w:eastAsia="Times New Roman" w:hAnsi="Times New Roman" w:cs="Times New Roman"/>
          <w:noProof/>
          <w:sz w:val="24"/>
          <w:szCs w:val="24"/>
          <w:vertAlign w:val="superscript"/>
          <w:lang w:eastAsia="en-GB"/>
        </w:rPr>
        <w:footnoteReference w:id="97"/>
      </w:r>
      <w:r w:rsidRPr="0075701A">
        <w:rPr>
          <w:rFonts w:ascii="Times New Roman" w:eastAsia="Times New Roman" w:hAnsi="Times New Roman" w:cs="Times New Roman"/>
          <w:noProof/>
          <w:sz w:val="24"/>
          <w:szCs w:val="24"/>
          <w:lang w:eastAsia="en-GB"/>
        </w:rPr>
        <w:t>. Des taux de participation élevés aux marchés financiers aident les entreprises à diversifier leur financement. Des marchés de capitaux solides sont importants pour faciliter l’accès des entreprises au financement et débloquer des fonds pour les entreprises en expansion</w:t>
      </w:r>
      <w:r w:rsidRPr="0075701A">
        <w:rPr>
          <w:rFonts w:ascii="Times New Roman" w:eastAsia="Times New Roman" w:hAnsi="Times New Roman" w:cs="Times New Roman"/>
          <w:noProof/>
          <w:sz w:val="24"/>
          <w:szCs w:val="24"/>
          <w:vertAlign w:val="superscript"/>
          <w:lang w:eastAsia="en-GB"/>
        </w:rPr>
        <w:footnoteReference w:id="98"/>
      </w:r>
      <w:r w:rsidRPr="0075701A">
        <w:rPr>
          <w:rFonts w:ascii="Times New Roman" w:eastAsia="Times New Roman" w:hAnsi="Times New Roman" w:cs="Times New Roman"/>
          <w:noProof/>
          <w:sz w:val="24"/>
          <w:szCs w:val="24"/>
          <w:lang w:eastAsia="en-GB"/>
        </w:rPr>
        <w:t>.</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357"/>
      </w:tblGrid>
      <w:tr w:rsidR="0075701A" w:rsidRPr="0075701A" w14:paraId="6929050D" w14:textId="77777777" w:rsidTr="00B17D67">
        <w:trPr>
          <w:trHeight w:val="304"/>
        </w:trPr>
        <w:tc>
          <w:tcPr>
            <w:tcW w:w="4357" w:type="dxa"/>
          </w:tcPr>
          <w:p w14:paraId="17FF3ACA" w14:textId="77777777" w:rsidR="0075701A" w:rsidRPr="0075701A" w:rsidRDefault="0075701A" w:rsidP="0075701A">
            <w:pPr>
              <w:widowControl w:val="0"/>
              <w:spacing w:after="160" w:line="259" w:lineRule="auto"/>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Graphique 4:</w:t>
            </w:r>
            <w:r w:rsidRPr="0075701A">
              <w:rPr>
                <w:rFonts w:ascii="Times New Roman" w:eastAsia="Times New Roman" w:hAnsi="Times New Roman" w:cs="Times New Roman"/>
                <w:noProof/>
                <w:sz w:val="24"/>
                <w:szCs w:val="24"/>
                <w:lang w:eastAsia="en-GB"/>
              </w:rPr>
              <w:t xml:space="preserve"> Épargne des ménages investie en obligations, actions, fonds d’investissement et instruments similaires.</w:t>
            </w:r>
          </w:p>
          <w:p w14:paraId="357F2130" w14:textId="77777777" w:rsidR="0075701A" w:rsidRPr="0075701A" w:rsidRDefault="0075701A" w:rsidP="0075701A">
            <w:pPr>
              <w:widowControl w:val="0"/>
              <w:spacing w:after="160" w:line="259" w:lineRule="auto"/>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noProof/>
                <w:sz w:val="24"/>
                <w:szCs w:val="24"/>
                <w:lang w:val="en-GB" w:eastAsia="en-GB"/>
              </w:rPr>
              <w:drawing>
                <wp:inline distT="0" distB="0" distL="0" distR="0" wp14:anchorId="4894FA75" wp14:editId="16592FDA">
                  <wp:extent cx="2676525" cy="2257425"/>
                  <wp:effectExtent l="0" t="0" r="0" b="0"/>
                  <wp:docPr id="266628054" name="Chart 1">
                    <a:extLst xmlns:a="http://schemas.openxmlformats.org/drawingml/2006/main">
                      <a:ext uri="{FF2B5EF4-FFF2-40B4-BE49-F238E27FC236}">
                        <a16:creationId xmlns:a16="http://schemas.microsoft.com/office/drawing/2014/main" id="{23CEE18B-EC96-4642-A2D9-3B897D1693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75701A" w:rsidRPr="0075701A" w14:paraId="3C4DAE52" w14:textId="77777777" w:rsidTr="00B17D67">
        <w:trPr>
          <w:trHeight w:val="81"/>
        </w:trPr>
        <w:tc>
          <w:tcPr>
            <w:tcW w:w="4357" w:type="dxa"/>
          </w:tcPr>
          <w:p w14:paraId="65B3C306" w14:textId="77777777" w:rsidR="0075701A" w:rsidRPr="0075701A" w:rsidRDefault="0075701A" w:rsidP="0075701A">
            <w:pPr>
              <w:widowControl w:val="0"/>
              <w:spacing w:after="160"/>
              <w:jc w:val="both"/>
              <w:rPr>
                <w:rFonts w:ascii="Times New Roman" w:hAnsi="Times New Roman" w:cs="Times New Roman"/>
                <w:noProof/>
                <w:sz w:val="20"/>
                <w:szCs w:val="20"/>
                <w:lang w:eastAsia="en-IE"/>
              </w:rPr>
            </w:pPr>
            <w:r w:rsidRPr="0075701A">
              <w:rPr>
                <w:rFonts w:ascii="Times New Roman" w:hAnsi="Times New Roman" w:cs="Calibri"/>
                <w:b/>
                <w:noProof/>
                <w:sz w:val="20"/>
                <w:lang w:eastAsia="en-IE"/>
              </w:rPr>
              <w:t xml:space="preserve">Remarque: </w:t>
            </w:r>
            <w:r w:rsidRPr="0075701A">
              <w:rPr>
                <w:rFonts w:ascii="Times New Roman" w:hAnsi="Times New Roman" w:cs="Calibri"/>
                <w:noProof/>
                <w:sz w:val="20"/>
                <w:lang w:eastAsia="en-IE"/>
              </w:rPr>
              <w:t>volumes d’épargne des ménages en obligations d’entreprises, actions cotées, et fonds d’investissement, d’assurance et de pension, par rapport aux volumes des encaisses monétaires et des dépôts bancaires des ménages.</w:t>
            </w:r>
          </w:p>
        </w:tc>
      </w:tr>
      <w:tr w:rsidR="0075701A" w:rsidRPr="0075701A" w14:paraId="348474CC" w14:textId="77777777" w:rsidTr="00B17D67">
        <w:trPr>
          <w:trHeight w:val="379"/>
        </w:trPr>
        <w:tc>
          <w:tcPr>
            <w:tcW w:w="4357" w:type="dxa"/>
          </w:tcPr>
          <w:p w14:paraId="0B256445" w14:textId="77777777" w:rsidR="0075701A" w:rsidRPr="0075701A" w:rsidRDefault="0075701A" w:rsidP="0075701A">
            <w:pPr>
              <w:widowControl w:val="0"/>
              <w:spacing w:after="160"/>
              <w:jc w:val="both"/>
              <w:rPr>
                <w:rFonts w:ascii="Times New Roman" w:hAnsi="Times New Roman" w:cs="Times New Roman"/>
                <w:noProof/>
                <w:sz w:val="20"/>
                <w:szCs w:val="20"/>
                <w:lang w:eastAsia="en-IE"/>
              </w:rPr>
            </w:pPr>
            <w:r w:rsidRPr="0075701A">
              <w:rPr>
                <w:rFonts w:ascii="Times New Roman" w:hAnsi="Times New Roman" w:cs="Calibri"/>
                <w:b/>
                <w:noProof/>
                <w:sz w:val="20"/>
                <w:lang w:eastAsia="en-IE"/>
              </w:rPr>
              <w:t xml:space="preserve">Source: </w:t>
            </w:r>
            <w:r w:rsidRPr="0075701A">
              <w:rPr>
                <w:rFonts w:ascii="Times New Roman" w:hAnsi="Times New Roman" w:cs="Calibri"/>
                <w:noProof/>
                <w:sz w:val="20"/>
                <w:lang w:eastAsia="en-IE"/>
              </w:rPr>
              <w:t>Commission européenne, DG FISMA.</w:t>
            </w:r>
          </w:p>
        </w:tc>
      </w:tr>
    </w:tbl>
    <w:p w14:paraId="588185C2"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 xml:space="preserve">Une grande partie de l’argent des épargnants de l’UE est soit immobilisée sur des comptes bancaires, soit investie à l’étranger. </w:t>
      </w:r>
      <w:r w:rsidRPr="0075701A">
        <w:rPr>
          <w:rFonts w:ascii="Times New Roman" w:eastAsia="Times New Roman" w:hAnsi="Times New Roman" w:cs="Times New Roman"/>
          <w:noProof/>
          <w:sz w:val="24"/>
          <w:szCs w:val="24"/>
          <w:lang w:eastAsia="en-GB"/>
        </w:rPr>
        <w:t>Bien que le volume de l’épargne privée dans l’UE ait été supérieur de près de 65 % à celui des États-Unis en 2022, la richesse totale des ménages de l’UE est nettement inférieure à celle de leurs homologues américains</w:t>
      </w:r>
      <w:r w:rsidRPr="0075701A">
        <w:rPr>
          <w:rFonts w:ascii="Times New Roman" w:eastAsia="Times New Roman" w:hAnsi="Times New Roman" w:cs="Times New Roman"/>
          <w:noProof/>
          <w:sz w:val="24"/>
          <w:szCs w:val="24"/>
          <w:vertAlign w:val="superscript"/>
          <w:lang w:eastAsia="en-GB"/>
        </w:rPr>
        <w:footnoteReference w:id="99"/>
      </w:r>
      <w:r w:rsidRPr="0075701A">
        <w:rPr>
          <w:rFonts w:ascii="Times New Roman" w:eastAsia="Times New Roman" w:hAnsi="Times New Roman" w:cs="Times New Roman"/>
          <w:noProof/>
          <w:sz w:val="24"/>
          <w:szCs w:val="24"/>
          <w:lang w:eastAsia="en-GB"/>
        </w:rPr>
        <w:t>, principalement en raison des rendements inférieurs qu’ils obtiennent généralement sur les marchés financiers. Alors que la richesse nette des ménages américains a augmenté d’environ 150 % au cours des 15 dernières années, la croissance correspondante n’a été que de 55 % dans la zone euro</w:t>
      </w:r>
      <w:r w:rsidRPr="0075701A">
        <w:rPr>
          <w:rFonts w:ascii="Times New Roman" w:eastAsia="Times New Roman" w:hAnsi="Times New Roman" w:cs="Times New Roman"/>
          <w:noProof/>
          <w:sz w:val="24"/>
          <w:szCs w:val="24"/>
          <w:vertAlign w:val="superscript"/>
          <w:lang w:eastAsia="en-GB"/>
        </w:rPr>
        <w:footnoteReference w:id="100"/>
      </w:r>
      <w:r w:rsidRPr="0075701A">
        <w:rPr>
          <w:rFonts w:ascii="Times New Roman" w:eastAsia="Times New Roman" w:hAnsi="Times New Roman" w:cs="Times New Roman"/>
          <w:noProof/>
          <w:sz w:val="24"/>
          <w:szCs w:val="24"/>
          <w:lang w:eastAsia="en-GB"/>
        </w:rPr>
        <w:t>. Cela s’explique en grande partie par le manque de capacité du système financier de l’UE à stimuler les investissements à haut rendement, qui peut s’expliquer par l’absence d’incitations fiscales et la lourdeur des exigences en matière de déclaration fiscale dans de nombreux États membres, ainsi que par la perception par le public que le climat général des affaires n’est pas suffisamment prometteur, réduisant ainsi la confiance dans les perspectives de retour sur investissement. Sur l’épargne des ménages européens investie dans des obligations d’entreprises, des actions cotées et des fonds d’investissement, une part importante, environ 300 milliards d’EUR par an, est investie non pas dans l’UE, mais à l’étranger</w:t>
      </w:r>
      <w:r w:rsidRPr="0075701A">
        <w:rPr>
          <w:rFonts w:ascii="Times New Roman" w:eastAsia="Times New Roman" w:hAnsi="Times New Roman" w:cs="Times New Roman"/>
          <w:noProof/>
          <w:sz w:val="24"/>
          <w:szCs w:val="24"/>
          <w:vertAlign w:val="superscript"/>
          <w:lang w:eastAsia="en-GB"/>
        </w:rPr>
        <w:footnoteReference w:id="101"/>
      </w:r>
      <w:r w:rsidRPr="0075701A">
        <w:rPr>
          <w:rFonts w:ascii="Times New Roman" w:eastAsia="Times New Roman" w:hAnsi="Times New Roman" w:cs="Times New Roman"/>
          <w:noProof/>
          <w:sz w:val="24"/>
          <w:szCs w:val="24"/>
          <w:lang w:eastAsia="en-GB"/>
        </w:rPr>
        <w:t>, et principalement aux États-Unis. Dans le même temps, les investissements directs étrangers de l’UE aux États-Unis s’élevaient à 3 270 milliards d’EUR en 2023</w:t>
      </w:r>
      <w:r w:rsidRPr="0075701A">
        <w:rPr>
          <w:rFonts w:ascii="Times New Roman" w:eastAsia="Times New Roman" w:hAnsi="Times New Roman" w:cs="Times New Roman"/>
          <w:noProof/>
          <w:sz w:val="24"/>
          <w:szCs w:val="24"/>
          <w:vertAlign w:val="superscript"/>
          <w:lang w:eastAsia="en-GB"/>
        </w:rPr>
        <w:footnoteReference w:id="102"/>
      </w:r>
      <w:r w:rsidRPr="0075701A">
        <w:rPr>
          <w:rFonts w:ascii="Times New Roman" w:eastAsia="Times New Roman" w:hAnsi="Times New Roman" w:cs="Times New Roman"/>
          <w:noProof/>
          <w:sz w:val="24"/>
          <w:szCs w:val="24"/>
          <w:lang w:eastAsia="en-GB"/>
        </w:rPr>
        <w:t>.</w:t>
      </w:r>
    </w:p>
    <w:p w14:paraId="7BF54089"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Le nombre de nouveaux crédits bancaires accordés aux PME a diminué depuis la pandémie de COVID-19, ce qui met en péril les nouveaux investissements.</w:t>
      </w:r>
      <w:r w:rsidRPr="0075701A">
        <w:rPr>
          <w:rFonts w:ascii="Times New Roman" w:eastAsia="Times New Roman" w:hAnsi="Times New Roman" w:cs="Times New Roman"/>
          <w:noProof/>
          <w:sz w:val="24"/>
          <w:szCs w:val="24"/>
          <w:lang w:eastAsia="en-GB"/>
        </w:rPr>
        <w:t xml:space="preserve"> Bien qu’il soit souhaitable d’augmenter la part des financements accordés aux entreprises par l’intermédiaire d’obligations d’entreprises, d’actions cotées, de capital-risque et de fonds d’investissement, le financement bancaire reste essentiel pour favoriser la croissance et la compétitivité de la majorité des PME européennes qui utilisent des prêts bancaires traditionnels pour financer leurs investissements (57 % du total de leurs financements, voir graphique 5). Cependant, les prêts aux PME — qui ont connu un pic après le déclenchement de la pandémie de COVID-19 en raison des programmes d’intervention publique massifs — accusent un net recul, à mesure que l’aide publique est retirée. Les niveaux actuels des nouveaux financements bancaires sont passés en dessous des niveaux d’avant la pandémie (graphique 6), ce qui peut être attribué en partie à la hausse des taux d’intérêt observée jusqu’en 2024.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508"/>
        <w:gridCol w:w="4508"/>
      </w:tblGrid>
      <w:tr w:rsidR="0075701A" w:rsidRPr="0075701A" w14:paraId="3D760EC6" w14:textId="77777777" w:rsidTr="00B17D67">
        <w:trPr>
          <w:trHeight w:val="300"/>
        </w:trPr>
        <w:tc>
          <w:tcPr>
            <w:tcW w:w="4508" w:type="dxa"/>
          </w:tcPr>
          <w:p w14:paraId="0AB9B88A" w14:textId="77777777" w:rsidR="0075701A" w:rsidRPr="0075701A" w:rsidRDefault="0075701A" w:rsidP="0075701A">
            <w:pPr>
              <w:keepNext/>
              <w:keepLines/>
              <w:widowControl w:val="0"/>
              <w:spacing w:after="160" w:line="259" w:lineRule="auto"/>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Graphique 5:</w:t>
            </w:r>
            <w:r w:rsidRPr="0075701A">
              <w:rPr>
                <w:rFonts w:ascii="Times New Roman" w:eastAsia="Times New Roman" w:hAnsi="Times New Roman" w:cs="Times New Roman"/>
                <w:noProof/>
                <w:sz w:val="24"/>
                <w:szCs w:val="24"/>
                <w:lang w:eastAsia="en-GB"/>
              </w:rPr>
              <w:t xml:space="preserve"> Type de financement utilisé en 2023 par les PME (en pourcentage du total) </w:t>
            </w:r>
          </w:p>
        </w:tc>
        <w:tc>
          <w:tcPr>
            <w:tcW w:w="4508" w:type="dxa"/>
          </w:tcPr>
          <w:p w14:paraId="11E947D9" w14:textId="77777777" w:rsidR="0075701A" w:rsidRPr="0075701A" w:rsidRDefault="0075701A" w:rsidP="0075701A">
            <w:pPr>
              <w:keepNext/>
              <w:keepLines/>
              <w:widowControl w:val="0"/>
              <w:spacing w:after="160" w:line="259" w:lineRule="auto"/>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Graphique 6:</w:t>
            </w:r>
            <w:r w:rsidRPr="0075701A">
              <w:rPr>
                <w:rFonts w:ascii="Times New Roman" w:eastAsia="Times New Roman" w:hAnsi="Times New Roman" w:cs="Times New Roman"/>
                <w:noProof/>
                <w:sz w:val="24"/>
                <w:szCs w:val="24"/>
                <w:lang w:eastAsia="en-GB"/>
              </w:rPr>
              <w:t xml:space="preserve"> Nouveaux prêts bancaires accordés à des sociétés non financières </w:t>
            </w:r>
          </w:p>
        </w:tc>
      </w:tr>
      <w:tr w:rsidR="0075701A" w:rsidRPr="0075701A" w14:paraId="22C9F351" w14:textId="77777777" w:rsidTr="00B17D67">
        <w:trPr>
          <w:trHeight w:val="300"/>
        </w:trPr>
        <w:tc>
          <w:tcPr>
            <w:tcW w:w="4508" w:type="dxa"/>
          </w:tcPr>
          <w:p w14:paraId="75218B95" w14:textId="77777777" w:rsidR="0075701A" w:rsidRPr="0075701A" w:rsidRDefault="0075701A" w:rsidP="0075701A">
            <w:pPr>
              <w:keepNext/>
              <w:keepLines/>
              <w:widowControl w:val="0"/>
              <w:spacing w:after="160" w:line="259" w:lineRule="auto"/>
              <w:rPr>
                <w:noProof/>
              </w:rPr>
            </w:pPr>
            <w:r w:rsidRPr="0075701A">
              <w:rPr>
                <w:noProof/>
                <w:lang w:val="en-GB" w:eastAsia="en-GB"/>
              </w:rPr>
              <w:drawing>
                <wp:inline distT="0" distB="0" distL="0" distR="0" wp14:anchorId="768D6D66" wp14:editId="2AAACC88">
                  <wp:extent cx="2933700" cy="2247900"/>
                  <wp:effectExtent l="0" t="0" r="0" b="0"/>
                  <wp:docPr id="851952950" name="Chart 1">
                    <a:extLst xmlns:a="http://schemas.openxmlformats.org/drawingml/2006/main">
                      <a:ext uri="{FF2B5EF4-FFF2-40B4-BE49-F238E27FC236}">
                        <a16:creationId xmlns:a16="http://schemas.microsoft.com/office/drawing/2014/main" id="{2756FD3B-F7C3-47E3-8D2A-4C91144812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4508" w:type="dxa"/>
          </w:tcPr>
          <w:p w14:paraId="22F4C22D" w14:textId="77777777" w:rsidR="0075701A" w:rsidRPr="0075701A" w:rsidRDefault="0075701A" w:rsidP="0075701A">
            <w:pPr>
              <w:keepNext/>
              <w:keepLines/>
              <w:widowControl w:val="0"/>
              <w:spacing w:after="160" w:line="259" w:lineRule="auto"/>
              <w:rPr>
                <w:noProof/>
              </w:rPr>
            </w:pPr>
            <w:r w:rsidRPr="0075701A">
              <w:rPr>
                <w:noProof/>
                <w:lang w:val="en-GB" w:eastAsia="en-GB"/>
              </w:rPr>
              <w:drawing>
                <wp:inline distT="0" distB="0" distL="0" distR="0" wp14:anchorId="7575353A" wp14:editId="2C87D846">
                  <wp:extent cx="3371850" cy="2238375"/>
                  <wp:effectExtent l="0" t="0" r="0" b="0"/>
                  <wp:docPr id="1178051665" name="Chart 1">
                    <a:extLst xmlns:a="http://schemas.openxmlformats.org/drawingml/2006/main">
                      <a:ext uri="{FF2B5EF4-FFF2-40B4-BE49-F238E27FC236}">
                        <a16:creationId xmlns:a16="http://schemas.microsoft.com/office/drawing/2014/main" id="{E83B32C1-6895-4037-8C22-238076BC2F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75701A" w:rsidRPr="0075701A" w14:paraId="511402FF" w14:textId="77777777" w:rsidTr="00B17D67">
        <w:trPr>
          <w:trHeight w:val="575"/>
        </w:trPr>
        <w:tc>
          <w:tcPr>
            <w:tcW w:w="4508" w:type="dxa"/>
          </w:tcPr>
          <w:p w14:paraId="38884264" w14:textId="77777777" w:rsidR="0075701A" w:rsidRPr="0075701A" w:rsidRDefault="0075701A" w:rsidP="0075701A">
            <w:pPr>
              <w:keepNext/>
              <w:keepLines/>
              <w:widowControl w:val="0"/>
              <w:spacing w:after="160" w:line="259" w:lineRule="auto"/>
              <w:jc w:val="both"/>
              <w:rPr>
                <w:rFonts w:ascii="Times New Roman" w:hAnsi="Times New Roman" w:cs="Times New Roman"/>
                <w:noProof/>
                <w:sz w:val="20"/>
                <w:szCs w:val="20"/>
                <w:lang w:eastAsia="en-IE"/>
              </w:rPr>
            </w:pPr>
            <w:r w:rsidRPr="0075701A">
              <w:rPr>
                <w:rFonts w:ascii="Times New Roman" w:hAnsi="Times New Roman" w:cs="Calibri"/>
                <w:b/>
                <w:noProof/>
                <w:sz w:val="20"/>
                <w:lang w:eastAsia="en-IE"/>
              </w:rPr>
              <w:t>Source</w:t>
            </w:r>
            <w:r w:rsidRPr="0075701A">
              <w:rPr>
                <w:rFonts w:ascii="Times New Roman" w:hAnsi="Times New Roman" w:cs="Calibri"/>
                <w:noProof/>
                <w:sz w:val="20"/>
                <w:lang w:eastAsia="en-IE"/>
              </w:rPr>
              <w:t>: Enquête sur l’accès des entreprises au financement (SAFE), décembre 2023</w:t>
            </w:r>
            <w:r w:rsidRPr="0075701A">
              <w:rPr>
                <w:rFonts w:ascii="Times New Roman" w:hAnsi="Times New Roman" w:cs="Calibri"/>
                <w:noProof/>
                <w:sz w:val="20"/>
                <w:vertAlign w:val="superscript"/>
                <w:lang w:eastAsia="en-IE"/>
              </w:rPr>
              <w:t>1</w:t>
            </w:r>
            <w:r w:rsidRPr="0075701A">
              <w:rPr>
                <w:rFonts w:ascii="Times New Roman" w:hAnsi="Times New Roman" w:cs="Calibri"/>
                <w:noProof/>
                <w:sz w:val="20"/>
                <w:lang w:eastAsia="en-IE"/>
              </w:rPr>
              <w:t>. </w:t>
            </w:r>
          </w:p>
        </w:tc>
        <w:tc>
          <w:tcPr>
            <w:tcW w:w="4508" w:type="dxa"/>
          </w:tcPr>
          <w:p w14:paraId="5E67D99B" w14:textId="77777777" w:rsidR="0075701A" w:rsidRPr="0075701A" w:rsidRDefault="0075701A" w:rsidP="0075701A">
            <w:pPr>
              <w:keepNext/>
              <w:keepLines/>
              <w:widowControl w:val="0"/>
              <w:spacing w:after="160" w:line="259" w:lineRule="auto"/>
              <w:rPr>
                <w:rFonts w:ascii="Times New Roman" w:hAnsi="Times New Roman" w:cs="Times New Roman"/>
                <w:noProof/>
                <w:sz w:val="20"/>
                <w:szCs w:val="20"/>
                <w:vertAlign w:val="superscript"/>
                <w:lang w:eastAsia="en-IE"/>
              </w:rPr>
            </w:pPr>
            <w:r w:rsidRPr="0075701A">
              <w:rPr>
                <w:rFonts w:ascii="Times New Roman" w:hAnsi="Times New Roman" w:cs="Calibri"/>
                <w:b/>
                <w:noProof/>
                <w:sz w:val="20"/>
                <w:lang w:eastAsia="en-IE"/>
              </w:rPr>
              <w:t>Source</w:t>
            </w:r>
            <w:r w:rsidRPr="0075701A">
              <w:rPr>
                <w:rFonts w:ascii="Times New Roman" w:hAnsi="Times New Roman" w:cs="Calibri"/>
                <w:noProof/>
                <w:sz w:val="20"/>
                <w:lang w:eastAsia="en-IE"/>
              </w:rPr>
              <w:t>: Banque centrale européenne, statistiques sur les taux d’intérêt des IFM</w:t>
            </w:r>
            <w:r w:rsidRPr="0075701A">
              <w:rPr>
                <w:rFonts w:ascii="Times New Roman" w:hAnsi="Times New Roman" w:cs="Calibri"/>
                <w:noProof/>
                <w:sz w:val="20"/>
                <w:vertAlign w:val="superscript"/>
                <w:lang w:eastAsia="en-IE"/>
              </w:rPr>
              <w:t>2</w:t>
            </w:r>
            <w:r w:rsidRPr="0075701A">
              <w:rPr>
                <w:rFonts w:ascii="Times New Roman" w:hAnsi="Times New Roman" w:cs="Calibri"/>
                <w:noProof/>
                <w:sz w:val="20"/>
                <w:lang w:eastAsia="en-IE"/>
              </w:rPr>
              <w:t>.</w:t>
            </w:r>
          </w:p>
        </w:tc>
      </w:tr>
    </w:tbl>
    <w:p w14:paraId="07C3DBDD" w14:textId="77777777" w:rsidR="0075701A" w:rsidRPr="0075701A" w:rsidRDefault="0075701A" w:rsidP="0075701A">
      <w:pPr>
        <w:keepNext/>
        <w:keepLines/>
        <w:numPr>
          <w:ilvl w:val="1"/>
          <w:numId w:val="30"/>
        </w:numPr>
        <w:spacing w:before="40" w:after="120"/>
        <w:ind w:left="1140" w:hanging="431"/>
        <w:outlineLvl w:val="3"/>
        <w:rPr>
          <w:rFonts w:ascii="Times New Roman" w:eastAsiaTheme="majorEastAsia" w:hAnsi="Times New Roman" w:cstheme="majorBidi"/>
          <w:iCs/>
          <w:noProof/>
          <w:sz w:val="24"/>
        </w:rPr>
      </w:pPr>
      <w:r w:rsidRPr="0075701A">
        <w:rPr>
          <w:rFonts w:ascii="Times New Roman" w:eastAsiaTheme="majorEastAsia" w:hAnsi="Times New Roman" w:cstheme="majorBidi"/>
          <w:b/>
          <w:iCs/>
          <w:noProof/>
          <w:sz w:val="24"/>
        </w:rPr>
        <w:t>Investissements et infrastructures publics</w:t>
      </w:r>
    </w:p>
    <w:tbl>
      <w:tblPr>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1E0" w:firstRow="1" w:lastRow="1" w:firstColumn="1" w:lastColumn="1" w:noHBand="0" w:noVBand="0"/>
      </w:tblPr>
      <w:tblGrid>
        <w:gridCol w:w="2404"/>
        <w:gridCol w:w="4669"/>
        <w:gridCol w:w="1984"/>
      </w:tblGrid>
      <w:tr w:rsidR="0075701A" w:rsidRPr="0075701A" w14:paraId="3BA9BFC7" w14:textId="77777777" w:rsidTr="00B17D67">
        <w:trPr>
          <w:trHeight w:val="272"/>
        </w:trPr>
        <w:tc>
          <w:tcPr>
            <w:tcW w:w="2404" w:type="dxa"/>
            <w:shd w:val="clear" w:color="auto" w:fill="B8CCE4"/>
            <w:vAlign w:val="center"/>
          </w:tcPr>
          <w:p w14:paraId="7FD65DFC" w14:textId="77777777" w:rsidR="0075701A" w:rsidRPr="0075701A" w:rsidRDefault="0075701A" w:rsidP="0075701A">
            <w:pPr>
              <w:widowControl w:val="0"/>
              <w:spacing w:after="0"/>
              <w:ind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ICP</w:t>
            </w:r>
          </w:p>
        </w:tc>
        <w:tc>
          <w:tcPr>
            <w:tcW w:w="4669" w:type="dxa"/>
            <w:shd w:val="clear" w:color="auto" w:fill="B8CCE4"/>
            <w:vAlign w:val="center"/>
          </w:tcPr>
          <w:p w14:paraId="5DE08F4C"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Ce que cet indicateur mesure</w:t>
            </w:r>
          </w:p>
        </w:tc>
        <w:tc>
          <w:tcPr>
            <w:tcW w:w="1984" w:type="dxa"/>
            <w:shd w:val="clear" w:color="auto" w:fill="B8CCE4"/>
            <w:vAlign w:val="center"/>
          </w:tcPr>
          <w:p w14:paraId="0AE62F1A"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vertAlign w:val="superscript"/>
              </w:rPr>
            </w:pPr>
            <w:r w:rsidRPr="0075701A">
              <w:rPr>
                <w:rFonts w:ascii="Times New Roman" w:hAnsi="Times New Roman"/>
                <w:b/>
                <w:noProof/>
                <w:color w:val="003063"/>
                <w:sz w:val="20"/>
              </w:rPr>
              <w:t>Valeurs UE</w:t>
            </w:r>
            <w:r w:rsidRPr="0075701A">
              <w:rPr>
                <w:rFonts w:ascii="Times New Roman" w:hAnsi="Times New Roman"/>
                <w:b/>
                <w:noProof/>
                <w:sz w:val="20"/>
              </w:rPr>
              <w:t xml:space="preserve"> </w:t>
            </w:r>
            <w:r w:rsidRPr="0075701A">
              <w:rPr>
                <w:rFonts w:ascii="Times New Roman" w:hAnsi="Times New Roman"/>
                <w:b/>
                <w:noProof/>
                <w:color w:val="003063"/>
                <w:sz w:val="20"/>
              </w:rPr>
              <w:t>les plus récentes</w:t>
            </w:r>
          </w:p>
        </w:tc>
      </w:tr>
      <w:tr w:rsidR="0075701A" w:rsidRPr="0075701A" w14:paraId="48846459" w14:textId="77777777" w:rsidTr="00B17D67">
        <w:trPr>
          <w:trHeight w:val="300"/>
        </w:trPr>
        <w:tc>
          <w:tcPr>
            <w:tcW w:w="2404" w:type="dxa"/>
            <w:shd w:val="clear" w:color="auto" w:fill="92D050"/>
          </w:tcPr>
          <w:p w14:paraId="7A2F0C22"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eastAsiaTheme="minorEastAsia" w:hAnsi="Times New Roman"/>
                <w:noProof/>
                <w:sz w:val="20"/>
              </w:rPr>
              <w:t>ICP 16: Investissements publics</w:t>
            </w:r>
          </w:p>
        </w:tc>
        <w:tc>
          <w:tcPr>
            <w:tcW w:w="4669" w:type="dxa"/>
            <w:shd w:val="clear" w:color="auto" w:fill="92D050"/>
          </w:tcPr>
          <w:p w14:paraId="79F16231" w14:textId="77777777" w:rsidR="0075701A" w:rsidRPr="0075701A" w:rsidRDefault="0075701A" w:rsidP="0075701A">
            <w:pPr>
              <w:widowControl w:val="0"/>
              <w:spacing w:after="0"/>
              <w:rPr>
                <w:rFonts w:ascii="Times New Roman" w:eastAsiaTheme="minorEastAsia" w:hAnsi="Times New Roman" w:cs="Times New Roman"/>
                <w:noProof/>
                <w:sz w:val="20"/>
                <w:szCs w:val="20"/>
              </w:rPr>
            </w:pPr>
            <w:r w:rsidRPr="0075701A">
              <w:rPr>
                <w:rFonts w:ascii="Times New Roman" w:eastAsiaTheme="minorEastAsia" w:hAnsi="Times New Roman"/>
                <w:noProof/>
                <w:sz w:val="20"/>
              </w:rPr>
              <w:t>Investissements publics (en pourcentage du PIB)</w:t>
            </w:r>
          </w:p>
        </w:tc>
        <w:tc>
          <w:tcPr>
            <w:tcW w:w="1984" w:type="dxa"/>
            <w:shd w:val="clear" w:color="auto" w:fill="92D050"/>
          </w:tcPr>
          <w:p w14:paraId="3C50FD18"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3,49 % (2023)</w:t>
            </w:r>
          </w:p>
          <w:p w14:paraId="0A0A4EF9"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3,24 % (2022)</w:t>
            </w:r>
          </w:p>
        </w:tc>
      </w:tr>
    </w:tbl>
    <w:p w14:paraId="1A0A8586" w14:textId="77777777" w:rsidR="0075701A" w:rsidRPr="0075701A" w:rsidRDefault="0075701A" w:rsidP="0075701A">
      <w:pPr>
        <w:widowControl w:val="0"/>
        <w:spacing w:before="24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Les investissements publics ont connu une lente tendance à la hausse ces dernières années,</w:t>
      </w:r>
      <w:r w:rsidRPr="0075701A">
        <w:rPr>
          <w:rFonts w:ascii="Times New Roman" w:eastAsia="Times New Roman" w:hAnsi="Times New Roman" w:cs="Times New Roman"/>
          <w:noProof/>
          <w:sz w:val="24"/>
          <w:szCs w:val="24"/>
          <w:lang w:eastAsia="en-GB"/>
        </w:rPr>
        <w:t xml:space="preserve"> atteignant 3,5 % du PIB en 2024, contre 3,1 % du PIB en 2018 (ICP 16).</w:t>
      </w:r>
      <w:r w:rsidRPr="0075701A">
        <w:rPr>
          <w:rFonts w:ascii="Times New Roman" w:eastAsia="Times New Roman" w:hAnsi="Times New Roman" w:cs="Times New Roman"/>
          <w:b/>
          <w:noProof/>
          <w:sz w:val="24"/>
          <w:szCs w:val="24"/>
          <w:lang w:eastAsia="en-GB"/>
        </w:rPr>
        <w:t xml:space="preserve"> </w:t>
      </w:r>
      <w:r w:rsidRPr="0075701A">
        <w:rPr>
          <w:rFonts w:ascii="Times New Roman" w:eastAsia="Times New Roman" w:hAnsi="Times New Roman" w:cs="Times New Roman"/>
          <w:noProof/>
          <w:sz w:val="24"/>
          <w:szCs w:val="24"/>
          <w:lang w:eastAsia="en-GB"/>
        </w:rPr>
        <w:t>Alors que le niveau de l’UE est équivalent aux dépenses publiques des États-Unis, qui s’élèvent également à 3,5 % du PIB, le paysage du financement dans l’UE est fragmenté et complexe, la plupart des financements étant effectués à l’échelon national. Par exemple, dans le cas de la R&amp;D, 93 % des fonds publics investis annuellement proviennent de programmes nationaux</w:t>
      </w:r>
      <w:r w:rsidRPr="0075701A">
        <w:rPr>
          <w:rFonts w:ascii="Times New Roman" w:eastAsia="Times New Roman" w:hAnsi="Times New Roman" w:cs="Times New Roman"/>
          <w:noProof/>
          <w:sz w:val="24"/>
          <w:szCs w:val="24"/>
          <w:vertAlign w:val="superscript"/>
          <w:lang w:eastAsia="en-GB"/>
        </w:rPr>
        <w:footnoteReference w:id="103"/>
      </w:r>
      <w:r w:rsidRPr="0075701A">
        <w:rPr>
          <w:rFonts w:ascii="Times New Roman" w:eastAsia="Times New Roman" w:hAnsi="Times New Roman" w:cs="Times New Roman"/>
          <w:noProof/>
          <w:sz w:val="24"/>
          <w:szCs w:val="24"/>
          <w:lang w:eastAsia="en-GB"/>
        </w:rPr>
        <w:t>.</w:t>
      </w:r>
    </w:p>
    <w:p w14:paraId="20B11B55"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À l’échelle de l’UE, les fonds de la politique de cohésion, la facilité pour la reprise et la résilience (FRR) et d’autres instruments contribuent à financer la transition écologique et numérique</w:t>
      </w:r>
      <w:r w:rsidRPr="0075701A">
        <w:rPr>
          <w:rFonts w:ascii="Times New Roman" w:eastAsia="Times New Roman" w:hAnsi="Times New Roman" w:cs="Times New Roman"/>
          <w:b/>
          <w:bCs/>
          <w:noProof/>
          <w:sz w:val="24"/>
          <w:szCs w:val="24"/>
          <w:vertAlign w:val="superscript"/>
          <w:lang w:eastAsia="en-GB"/>
        </w:rPr>
        <w:footnoteReference w:id="104"/>
      </w:r>
      <w:r w:rsidRPr="0075701A">
        <w:rPr>
          <w:rFonts w:ascii="Times New Roman" w:eastAsia="Times New Roman" w:hAnsi="Times New Roman" w:cs="Times New Roman"/>
          <w:b/>
          <w:noProof/>
          <w:sz w:val="24"/>
          <w:szCs w:val="24"/>
          <w:lang w:eastAsia="en-GB"/>
        </w:rPr>
        <w:t>.</w:t>
      </w:r>
      <w:r w:rsidRPr="0075701A">
        <w:rPr>
          <w:rFonts w:ascii="Times New Roman" w:eastAsia="Times New Roman" w:hAnsi="Times New Roman" w:cs="Times New Roman"/>
          <w:noProof/>
          <w:sz w:val="24"/>
          <w:szCs w:val="24"/>
          <w:lang w:eastAsia="en-GB"/>
        </w:rPr>
        <w:t xml:space="preserve"> Depuis 2021, la FRR a versé 306 milliards d’EUR</w:t>
      </w:r>
      <w:r w:rsidRPr="0075701A">
        <w:rPr>
          <w:rFonts w:ascii="Times New Roman" w:eastAsia="Times New Roman" w:hAnsi="Times New Roman" w:cs="Times New Roman"/>
          <w:noProof/>
          <w:sz w:val="24"/>
          <w:szCs w:val="24"/>
          <w:vertAlign w:val="superscript"/>
          <w:lang w:eastAsia="en-GB"/>
        </w:rPr>
        <w:footnoteReference w:id="105"/>
      </w:r>
      <w:r w:rsidRPr="0075701A">
        <w:rPr>
          <w:rFonts w:ascii="Times New Roman" w:eastAsia="Times New Roman" w:hAnsi="Times New Roman" w:cs="Times New Roman"/>
          <w:noProof/>
          <w:sz w:val="24"/>
          <w:szCs w:val="24"/>
          <w:lang w:eastAsia="en-GB"/>
        </w:rPr>
        <w:t xml:space="preserve"> et une mise en œuvre approfondie des plans nationaux est nécessaire pour assurer le décaissement complet et en temps voulu des montants restants. Les fonds de la politique de cohésion ont déboursé 249 milliards d’EUR au cours de la période 2021-2024. Pour cette décennie, le Fonds pour l’innovation devrait fournir environ 40 milliards d’EUR pour le développement et le déploiement de technologies à faible intensité de carbone, notamment dans les industries à forte consommation d’énergie, la production d’électricité et le stockage de l’énergie. </w:t>
      </w:r>
    </w:p>
    <w:p w14:paraId="45724174"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Malgré des sources pertinentes de financement public, telles que InvestEU et STEP, il subsiste un déficit de financement pour le renforcement des capacités de fabrication</w:t>
      </w:r>
      <w:r w:rsidRPr="0075701A">
        <w:rPr>
          <w:rFonts w:ascii="Times New Roman" w:eastAsia="Times New Roman" w:hAnsi="Times New Roman" w:cs="Times New Roman"/>
          <w:noProof/>
          <w:sz w:val="24"/>
          <w:szCs w:val="24"/>
          <w:lang w:eastAsia="en-GB"/>
        </w:rPr>
        <w:t>, car moins de 5 % des fonds européens consacrés aux technologies propres soutiennent la production «zéro net» aux niveaux de maturité technologique les plus élevés (8-9)</w:t>
      </w:r>
      <w:r w:rsidRPr="0075701A">
        <w:rPr>
          <w:rFonts w:ascii="Times New Roman" w:eastAsia="Times New Roman" w:hAnsi="Times New Roman" w:cs="Times New Roman"/>
          <w:noProof/>
          <w:sz w:val="24"/>
          <w:szCs w:val="24"/>
          <w:vertAlign w:val="superscript"/>
          <w:lang w:eastAsia="en-GB"/>
        </w:rPr>
        <w:footnoteReference w:id="106"/>
      </w:r>
      <w:r w:rsidRPr="0075701A">
        <w:rPr>
          <w:rFonts w:ascii="Times New Roman" w:eastAsia="Times New Roman" w:hAnsi="Times New Roman" w:cs="Times New Roman"/>
          <w:noProof/>
          <w:sz w:val="24"/>
          <w:szCs w:val="24"/>
          <w:lang w:eastAsia="en-GB"/>
        </w:rPr>
        <w:t>.</w:t>
      </w:r>
    </w:p>
    <w:p w14:paraId="4B45D41C"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Le cadre de l’UE relatif aux aides d’État a permis aux États membres de réaliser des investissements publics ciblés tout en empêchant les distorsions indues de la concurrence et en maintenant des conditions de concurrence équitables.</w:t>
      </w:r>
      <w:r w:rsidRPr="0075701A">
        <w:rPr>
          <w:rFonts w:ascii="Times New Roman" w:eastAsia="Times New Roman" w:hAnsi="Times New Roman" w:cs="Times New Roman"/>
          <w:noProof/>
          <w:sz w:val="24"/>
          <w:szCs w:val="24"/>
          <w:lang w:eastAsia="en-GB"/>
        </w:rPr>
        <w:t xml:space="preserve"> En 2022, les États membres ont versé près de 228 milliards d’EUR d’aides d’État (y compris les mesures de crise), ce qui correspond à 1,4 % de leur PIB. Le tableau d’affichage du marché unique et de la compétitivité de cette année, publié parallèlement au présent rapport, comprend un nouvel indicateur qui compare la concentration des aides d’État à la concentration du PIB dans l’UE. Il en ressort que les aides d’État sont devenues plus inégalement réparties entre les États membres au cours des dix dernières années</w:t>
      </w:r>
      <w:r w:rsidRPr="0075701A">
        <w:rPr>
          <w:rFonts w:ascii="Times New Roman" w:eastAsia="Times New Roman" w:hAnsi="Times New Roman" w:cs="Times New Roman"/>
          <w:noProof/>
          <w:sz w:val="24"/>
          <w:szCs w:val="24"/>
          <w:vertAlign w:val="superscript"/>
          <w:lang w:eastAsia="en-GB"/>
        </w:rPr>
        <w:footnoteReference w:id="107"/>
      </w:r>
      <w:r w:rsidRPr="0075701A">
        <w:rPr>
          <w:rFonts w:ascii="Times New Roman" w:eastAsia="Times New Roman" w:hAnsi="Times New Roman" w:cs="Times New Roman"/>
          <w:noProof/>
          <w:sz w:val="24"/>
          <w:szCs w:val="24"/>
          <w:lang w:eastAsia="en-GB"/>
        </w:rPr>
        <w:t>.</w:t>
      </w:r>
    </w:p>
    <w:p w14:paraId="50E70F43" w14:textId="77777777" w:rsidR="0075701A" w:rsidRPr="0075701A" w:rsidRDefault="0075701A" w:rsidP="0075701A">
      <w:pPr>
        <w:widowControl w:val="0"/>
        <w:jc w:val="both"/>
        <w:rPr>
          <w:rFonts w:ascii="Times New Roman" w:eastAsia="Times New Roman" w:hAnsi="Times New Roman" w:cs="Times New Roman"/>
          <w:noProof/>
          <w:color w:val="000000" w:themeColor="text1"/>
          <w:sz w:val="24"/>
          <w:szCs w:val="24"/>
        </w:rPr>
      </w:pPr>
      <w:r w:rsidRPr="0075701A">
        <w:rPr>
          <w:rFonts w:ascii="Times New Roman" w:hAnsi="Times New Roman"/>
          <w:b/>
          <w:noProof/>
          <w:color w:val="000000" w:themeColor="text1"/>
          <w:sz w:val="24"/>
        </w:rPr>
        <w:t xml:space="preserve">Les projets importants d’intérêt européen commun (PIIEC) sont un outil essentiel pour coordonner les investissements publics et privés dans l’UE afin de soutenir des projets d’innovation de rupture et d’infrastructure dans les domaines des technologies critiques. </w:t>
      </w:r>
      <w:r w:rsidRPr="0075701A">
        <w:rPr>
          <w:rFonts w:ascii="Times New Roman" w:hAnsi="Times New Roman"/>
          <w:noProof/>
          <w:color w:val="000000" w:themeColor="text1"/>
          <w:sz w:val="24"/>
        </w:rPr>
        <w:t xml:space="preserve">Les PIIEC constituent une étape vers une meilleure coordination transfrontière des politiques industrielles au sein de l’UE, une évolution à poursuivre. À ce jour, dix PIIEC intégrés ont été approuvés, pour un montant de plus de 37 milliards d’EUR d’aide publique nationale, permettant ainsi le déblocage de 66 milliards d’EUR d’investissements privés (voir graphique 7). Il est nécessaire de simplifier et d’accélérer le processus de conception et d’examen des PIIEC afin que les projets stratégiques puissent démarrer rapidement. Le forum européen conjoint pour les PIIEC, lancé en octobre 2023, contribue à résoudre ces problèmes en déterminant les domaines stratégiques pour de futurs PIIEC et en améliorant leur conception et leur mise en œuvre. </w:t>
      </w:r>
    </w:p>
    <w:p w14:paraId="4B41560E" w14:textId="77777777" w:rsidR="0075701A" w:rsidRPr="0075701A" w:rsidRDefault="0075701A" w:rsidP="0075701A">
      <w:pPr>
        <w:keepNext/>
        <w:keepLines/>
        <w:widowControl w:val="0"/>
        <w:spacing w:after="0"/>
        <w:jc w:val="both"/>
        <w:rPr>
          <w:rFonts w:ascii="Times New Roman" w:eastAsia="Times New Roman" w:hAnsi="Times New Roman" w:cs="Times New Roman"/>
          <w:noProof/>
          <w:color w:val="000000" w:themeColor="text1"/>
          <w:sz w:val="24"/>
          <w:szCs w:val="24"/>
        </w:rPr>
      </w:pPr>
      <w:r w:rsidRPr="0075701A">
        <w:rPr>
          <w:rFonts w:ascii="Times New Roman" w:hAnsi="Times New Roman"/>
          <w:b/>
          <w:noProof/>
          <w:color w:val="000000" w:themeColor="text1"/>
          <w:sz w:val="24"/>
        </w:rPr>
        <w:t xml:space="preserve">Graphique 7: </w:t>
      </w:r>
      <w:r w:rsidRPr="0075701A">
        <w:rPr>
          <w:rFonts w:ascii="Times New Roman" w:hAnsi="Times New Roman"/>
          <w:noProof/>
          <w:color w:val="000000" w:themeColor="text1"/>
          <w:sz w:val="24"/>
        </w:rPr>
        <w:t>Aperçu des PIIEC et des volumes d’investissement débloqués (à l’automne 2024)</w:t>
      </w:r>
    </w:p>
    <w:p w14:paraId="248F3353" w14:textId="77777777" w:rsidR="0075701A" w:rsidRPr="0075701A" w:rsidRDefault="0075701A" w:rsidP="0075701A">
      <w:pPr>
        <w:keepNext/>
        <w:keepLines/>
        <w:widowControl w:val="0"/>
        <w:spacing w:after="0"/>
        <w:jc w:val="both"/>
        <w:rPr>
          <w:rFonts w:ascii="Times New Roman" w:eastAsia="Times New Roman" w:hAnsi="Times New Roman" w:cs="Times New Roman"/>
          <w:noProof/>
          <w:color w:val="000000" w:themeColor="text1"/>
          <w:sz w:val="24"/>
          <w:szCs w:val="24"/>
        </w:rPr>
      </w:pPr>
      <w:r w:rsidRPr="0075701A">
        <w:rPr>
          <w:noProof/>
          <w:lang w:val="en-GB" w:eastAsia="en-GB"/>
        </w:rPr>
        <w:drawing>
          <wp:inline distT="0" distB="0" distL="0" distR="0" wp14:anchorId="7280C5FA" wp14:editId="5137EBC6">
            <wp:extent cx="5732145" cy="3552825"/>
            <wp:effectExtent l="0" t="0" r="1905" b="9525"/>
            <wp:docPr id="937170583" name="Chart 1">
              <a:extLst xmlns:a="http://schemas.openxmlformats.org/drawingml/2006/main">
                <a:ext uri="{FF2B5EF4-FFF2-40B4-BE49-F238E27FC236}">
                  <a16:creationId xmlns:a16="http://schemas.microsoft.com/office/drawing/2014/main" id="{2A41C5B4-3723-436C-8324-37BC635A54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4B0C1A2" w14:textId="77777777" w:rsidR="0075701A" w:rsidRPr="0075701A" w:rsidRDefault="0075701A" w:rsidP="0075701A">
      <w:pPr>
        <w:keepNext/>
        <w:keepLines/>
        <w:widowControl w:val="0"/>
        <w:jc w:val="both"/>
        <w:rPr>
          <w:rFonts w:ascii="Times New Roman" w:eastAsia="Times New Roman" w:hAnsi="Times New Roman" w:cs="Times New Roman"/>
          <w:b/>
          <w:bCs/>
          <w:noProof/>
          <w:color w:val="000000" w:themeColor="text1"/>
          <w:sz w:val="20"/>
          <w:szCs w:val="20"/>
        </w:rPr>
      </w:pPr>
      <w:r w:rsidRPr="0075701A">
        <w:rPr>
          <w:rFonts w:ascii="Times New Roman" w:hAnsi="Times New Roman"/>
          <w:b/>
          <w:noProof/>
          <w:color w:val="000000" w:themeColor="text1"/>
          <w:sz w:val="20"/>
        </w:rPr>
        <w:t xml:space="preserve">Source: </w:t>
      </w:r>
      <w:hyperlink r:id="rId25" w:history="1">
        <w:r w:rsidRPr="0075701A">
          <w:rPr>
            <w:rFonts w:ascii="Times New Roman" w:hAnsi="Times New Roman"/>
            <w:noProof/>
            <w:color w:val="0000FF"/>
            <w:sz w:val="20"/>
            <w:u w:val="single"/>
          </w:rPr>
          <w:t>PIIEC approuvés — Commission européenne</w:t>
        </w:r>
      </w:hyperlink>
      <w:r w:rsidRPr="0075701A">
        <w:rPr>
          <w:noProof/>
        </w:rPr>
        <w:t>.</w:t>
      </w:r>
    </w:p>
    <w:p w14:paraId="2C012C75" w14:textId="77777777" w:rsidR="0075701A" w:rsidRPr="0075701A" w:rsidRDefault="0075701A" w:rsidP="0075701A">
      <w:pPr>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 xml:space="preserve">Les marchés publics peuvent servir d’outil stratégique pour canaliser les investissements publics afin de façonner l’avenir de l’économie européenne en soutenant des objectifs tels que la transition écologique et la résilience de l’économie de l’UE, mais leur mise en œuvre peut se révéler difficile. </w:t>
      </w:r>
      <w:r w:rsidRPr="0075701A">
        <w:rPr>
          <w:rFonts w:ascii="Times New Roman" w:eastAsia="Times New Roman" w:hAnsi="Times New Roman" w:cs="Times New Roman"/>
          <w:noProof/>
          <w:sz w:val="24"/>
          <w:szCs w:val="24"/>
          <w:lang w:eastAsia="en-GB"/>
        </w:rPr>
        <w:t>Les directives sur les marchés publics garantissent des règles communes dans l’ensemble du marché unique et, chaque année, plus de 250 000 autorités publiques de l’UE consacrent environ 14 % du PIB (2 000 milliards d’EUR en 2022) à l’achat de services, de travaux et de fournitures. Bien que les règles existantes prévoient des critères sociaux, de durabilité et de résilience, leur adoption a été limitée, notamment en raison des difficultés de mise en œuvre.</w:t>
      </w:r>
    </w:p>
    <w:p w14:paraId="44135EB8" w14:textId="77777777" w:rsidR="0075701A" w:rsidRPr="0075701A" w:rsidRDefault="0075701A" w:rsidP="0075701A">
      <w:pPr>
        <w:jc w:val="both"/>
        <w:rPr>
          <w:rFonts w:ascii="Times New Roman" w:eastAsia="Times New Roman" w:hAnsi="Times New Roman" w:cs="Times New Roman"/>
          <w:noProof/>
          <w:sz w:val="24"/>
          <w:szCs w:val="24"/>
          <w:lang w:eastAsia="en-GB"/>
        </w:rPr>
      </w:pPr>
    </w:p>
    <w:p w14:paraId="362586FF" w14:textId="77777777" w:rsidR="0075701A" w:rsidRPr="0075701A" w:rsidRDefault="0075701A" w:rsidP="0075701A">
      <w:pPr>
        <w:keepNext/>
        <w:keepLines/>
        <w:numPr>
          <w:ilvl w:val="1"/>
          <w:numId w:val="30"/>
        </w:numPr>
        <w:spacing w:before="40" w:after="120"/>
        <w:ind w:left="788" w:hanging="431"/>
        <w:outlineLvl w:val="3"/>
        <w:rPr>
          <w:rFonts w:ascii="Times New Roman" w:eastAsiaTheme="majorEastAsia" w:hAnsi="Times New Roman" w:cstheme="majorBidi"/>
          <w:b/>
          <w:iCs/>
          <w:noProof/>
          <w:color w:val="000000" w:themeColor="text1"/>
          <w:sz w:val="24"/>
        </w:rPr>
      </w:pPr>
      <w:r w:rsidRPr="0075701A">
        <w:rPr>
          <w:rFonts w:ascii="Times New Roman" w:eastAsiaTheme="majorEastAsia" w:hAnsi="Times New Roman" w:cstheme="majorBidi"/>
          <w:b/>
          <w:iCs/>
          <w:noProof/>
          <w:sz w:val="24"/>
        </w:rPr>
        <w:t>Énergie</w:t>
      </w:r>
    </w:p>
    <w:tbl>
      <w:tblPr>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1E0" w:firstRow="1" w:lastRow="1" w:firstColumn="1" w:lastColumn="1" w:noHBand="0" w:noVBand="0"/>
      </w:tblPr>
      <w:tblGrid>
        <w:gridCol w:w="2398"/>
        <w:gridCol w:w="3521"/>
        <w:gridCol w:w="1160"/>
        <w:gridCol w:w="1978"/>
      </w:tblGrid>
      <w:tr w:rsidR="0075701A" w:rsidRPr="0075701A" w14:paraId="197E7F9D" w14:textId="77777777" w:rsidTr="00B17D67">
        <w:trPr>
          <w:trHeight w:val="272"/>
        </w:trPr>
        <w:tc>
          <w:tcPr>
            <w:tcW w:w="2404" w:type="dxa"/>
            <w:shd w:val="clear" w:color="auto" w:fill="B8CCE4"/>
            <w:vAlign w:val="center"/>
          </w:tcPr>
          <w:p w14:paraId="58B8A96B" w14:textId="77777777" w:rsidR="0075701A" w:rsidRPr="0075701A" w:rsidRDefault="0075701A" w:rsidP="0075701A">
            <w:pPr>
              <w:widowControl w:val="0"/>
              <w:spacing w:after="0"/>
              <w:ind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ICP</w:t>
            </w:r>
          </w:p>
        </w:tc>
        <w:tc>
          <w:tcPr>
            <w:tcW w:w="3535" w:type="dxa"/>
            <w:shd w:val="clear" w:color="auto" w:fill="B8CCE4"/>
            <w:vAlign w:val="center"/>
          </w:tcPr>
          <w:p w14:paraId="3F486455"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Ce que cet indicateur mesure</w:t>
            </w:r>
          </w:p>
        </w:tc>
        <w:tc>
          <w:tcPr>
            <w:tcW w:w="1134" w:type="dxa"/>
            <w:shd w:val="clear" w:color="auto" w:fill="B8CCE4"/>
            <w:vAlign w:val="center"/>
          </w:tcPr>
          <w:p w14:paraId="573DF163"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Objectif</w:t>
            </w:r>
          </w:p>
        </w:tc>
        <w:tc>
          <w:tcPr>
            <w:tcW w:w="1984" w:type="dxa"/>
            <w:shd w:val="clear" w:color="auto" w:fill="B8CCE4"/>
            <w:vAlign w:val="center"/>
          </w:tcPr>
          <w:p w14:paraId="7E623B01"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vertAlign w:val="superscript"/>
              </w:rPr>
            </w:pPr>
            <w:r w:rsidRPr="0075701A">
              <w:rPr>
                <w:rFonts w:ascii="Times New Roman" w:hAnsi="Times New Roman"/>
                <w:b/>
                <w:noProof/>
                <w:color w:val="003063"/>
                <w:sz w:val="20"/>
              </w:rPr>
              <w:t>Valeurs UE</w:t>
            </w:r>
            <w:r w:rsidRPr="0075701A">
              <w:rPr>
                <w:rFonts w:ascii="Times New Roman" w:hAnsi="Times New Roman"/>
                <w:b/>
                <w:noProof/>
                <w:sz w:val="20"/>
              </w:rPr>
              <w:t xml:space="preserve"> </w:t>
            </w:r>
            <w:r w:rsidRPr="0075701A">
              <w:rPr>
                <w:rFonts w:ascii="Times New Roman" w:hAnsi="Times New Roman"/>
                <w:b/>
                <w:noProof/>
                <w:color w:val="003063"/>
                <w:sz w:val="20"/>
              </w:rPr>
              <w:t>les plus récentes</w:t>
            </w:r>
          </w:p>
        </w:tc>
      </w:tr>
      <w:tr w:rsidR="0075701A" w:rsidRPr="0075701A" w14:paraId="1032C725" w14:textId="77777777" w:rsidTr="00B17D67">
        <w:trPr>
          <w:trHeight w:val="254"/>
        </w:trPr>
        <w:tc>
          <w:tcPr>
            <w:tcW w:w="2404" w:type="dxa"/>
            <w:shd w:val="clear" w:color="auto" w:fill="FAFF69"/>
          </w:tcPr>
          <w:p w14:paraId="24F27364"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ICP 17: Prix de l’électricité pour les consommateurs non résidentiels</w:t>
            </w:r>
            <w:r w:rsidRPr="0075701A">
              <w:rPr>
                <w:rFonts w:ascii="Times New Roman" w:hAnsi="Times New Roman"/>
                <w:noProof/>
                <w:sz w:val="20"/>
              </w:rPr>
              <w:t xml:space="preserve"> </w:t>
            </w:r>
          </w:p>
          <w:p w14:paraId="04419681"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p>
        </w:tc>
        <w:tc>
          <w:tcPr>
            <w:tcW w:w="3535" w:type="dxa"/>
            <w:shd w:val="clear" w:color="auto" w:fill="FAFF69"/>
          </w:tcPr>
          <w:p w14:paraId="633777CD"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Prix de l’électricité pour les consommateurs non résidentiels (tranche ID de l’UE, grands consommateurs commerciaux), hors impôts et taxes récupérables.</w:t>
            </w:r>
          </w:p>
        </w:tc>
        <w:tc>
          <w:tcPr>
            <w:tcW w:w="1134" w:type="dxa"/>
            <w:shd w:val="clear" w:color="auto" w:fill="FAFF69"/>
          </w:tcPr>
          <w:p w14:paraId="61FBE25D" w14:textId="77777777" w:rsidR="0075701A" w:rsidRPr="0075701A" w:rsidRDefault="0075701A" w:rsidP="0075701A">
            <w:pPr>
              <w:widowControl w:val="0"/>
              <w:spacing w:after="0"/>
              <w:rPr>
                <w:rFonts w:ascii="Times New Roman" w:eastAsia="Times New Roman" w:hAnsi="Times New Roman" w:cs="Times New Roman"/>
                <w:noProof/>
                <w:sz w:val="20"/>
                <w:szCs w:val="20"/>
                <w:lang w:val="fr-BE"/>
              </w:rPr>
            </w:pPr>
          </w:p>
        </w:tc>
        <w:tc>
          <w:tcPr>
            <w:tcW w:w="1984" w:type="dxa"/>
            <w:shd w:val="clear" w:color="auto" w:fill="FAFF69"/>
          </w:tcPr>
          <w:p w14:paraId="17280366" w14:textId="77777777" w:rsidR="0075701A" w:rsidRPr="0075701A" w:rsidRDefault="0075701A" w:rsidP="0075701A">
            <w:pPr>
              <w:widowControl w:val="0"/>
              <w:spacing w:after="0"/>
              <w:rPr>
                <w:rFonts w:ascii="Times New Roman" w:hAnsi="Times New Roman" w:cs="Times New Roman"/>
                <w:noProof/>
                <w:sz w:val="20"/>
                <w:szCs w:val="20"/>
              </w:rPr>
            </w:pPr>
            <w:r w:rsidRPr="0075701A">
              <w:rPr>
                <w:rFonts w:ascii="Times New Roman" w:hAnsi="Times New Roman"/>
                <w:noProof/>
                <w:sz w:val="20"/>
              </w:rPr>
              <w:t>0,16 EUR par kWh (2024)</w:t>
            </w:r>
          </w:p>
          <w:p w14:paraId="75170BF6"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sz w:val="20"/>
              </w:rPr>
              <w:t>0,20 EUR par kWh (2023)</w:t>
            </w:r>
          </w:p>
        </w:tc>
      </w:tr>
      <w:tr w:rsidR="0075701A" w:rsidRPr="0075701A" w14:paraId="4B12C94F" w14:textId="77777777" w:rsidTr="00B17D67">
        <w:trPr>
          <w:trHeight w:val="512"/>
        </w:trPr>
        <w:tc>
          <w:tcPr>
            <w:tcW w:w="2404" w:type="dxa"/>
            <w:shd w:val="clear" w:color="auto" w:fill="FAFF69"/>
          </w:tcPr>
          <w:p w14:paraId="070E83C7"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ICP 18: Électrification</w:t>
            </w:r>
          </w:p>
        </w:tc>
        <w:tc>
          <w:tcPr>
            <w:tcW w:w="3535" w:type="dxa"/>
            <w:shd w:val="clear" w:color="auto" w:fill="FAFF69"/>
          </w:tcPr>
          <w:p w14:paraId="52E218A6"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color w:val="000000" w:themeColor="text1"/>
                <w:sz w:val="20"/>
              </w:rPr>
              <w:t>Part de l’électricité dans la consommation totale d’énergie</w:t>
            </w:r>
            <w:r w:rsidRPr="0075701A">
              <w:rPr>
                <w:rFonts w:ascii="Times New Roman" w:eastAsia="Times New Roman" w:hAnsi="Times New Roman" w:cs="Times New Roman"/>
                <w:noProof/>
                <w:color w:val="000000" w:themeColor="text1"/>
                <w:sz w:val="20"/>
                <w:szCs w:val="20"/>
                <w:vertAlign w:val="superscript"/>
                <w:lang w:val="en-IE"/>
              </w:rPr>
              <w:footnoteReference w:id="108"/>
            </w:r>
            <w:r w:rsidRPr="0075701A">
              <w:rPr>
                <w:rFonts w:ascii="Times New Roman" w:eastAsiaTheme="minorEastAsia" w:hAnsi="Times New Roman"/>
                <w:noProof/>
                <w:color w:val="000000" w:themeColor="text1"/>
                <w:sz w:val="20"/>
              </w:rPr>
              <w:t>.</w:t>
            </w:r>
          </w:p>
        </w:tc>
        <w:tc>
          <w:tcPr>
            <w:tcW w:w="1134" w:type="dxa"/>
            <w:shd w:val="clear" w:color="auto" w:fill="FAFF69"/>
          </w:tcPr>
          <w:p w14:paraId="46D86A5A" w14:textId="77777777" w:rsidR="0075701A" w:rsidRPr="0075701A" w:rsidRDefault="0075701A" w:rsidP="0075701A">
            <w:pPr>
              <w:widowControl w:val="0"/>
              <w:spacing w:after="0"/>
              <w:rPr>
                <w:rFonts w:ascii="Times New Roman" w:eastAsia="Times New Roman" w:hAnsi="Times New Roman" w:cs="Times New Roman"/>
                <w:noProof/>
                <w:sz w:val="20"/>
                <w:szCs w:val="20"/>
                <w:lang w:val="fr-BE"/>
              </w:rPr>
            </w:pPr>
          </w:p>
        </w:tc>
        <w:tc>
          <w:tcPr>
            <w:tcW w:w="1984" w:type="dxa"/>
            <w:shd w:val="clear" w:color="auto" w:fill="FAFF69"/>
          </w:tcPr>
          <w:p w14:paraId="7774D48F"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21,3 % (2022)</w:t>
            </w:r>
          </w:p>
          <w:p w14:paraId="580B784B"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sz w:val="20"/>
              </w:rPr>
              <w:t>20,8 % (2021)</w:t>
            </w:r>
          </w:p>
        </w:tc>
      </w:tr>
      <w:tr w:rsidR="0075701A" w:rsidRPr="0075701A" w14:paraId="73B4B773" w14:textId="77777777" w:rsidTr="00B17D67">
        <w:trPr>
          <w:trHeight w:val="512"/>
        </w:trPr>
        <w:tc>
          <w:tcPr>
            <w:tcW w:w="2404" w:type="dxa"/>
            <w:shd w:val="clear" w:color="auto" w:fill="92D050"/>
          </w:tcPr>
          <w:p w14:paraId="2AC1C367"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ICP 19: Part de l’énergie provenant de sources renouvelables</w:t>
            </w:r>
            <w:r w:rsidRPr="0075701A">
              <w:rPr>
                <w:rFonts w:ascii="Times New Roman" w:hAnsi="Times New Roman"/>
                <w:noProof/>
                <w:sz w:val="20"/>
              </w:rPr>
              <w:t xml:space="preserve"> </w:t>
            </w:r>
          </w:p>
        </w:tc>
        <w:tc>
          <w:tcPr>
            <w:tcW w:w="3535" w:type="dxa"/>
            <w:shd w:val="clear" w:color="auto" w:fill="92D050"/>
          </w:tcPr>
          <w:p w14:paraId="667208E1" w14:textId="77777777" w:rsidR="0075701A" w:rsidRPr="0075701A" w:rsidRDefault="0075701A" w:rsidP="0075701A">
            <w:pPr>
              <w:widowControl w:val="0"/>
              <w:spacing w:after="0"/>
              <w:rPr>
                <w:rFonts w:ascii="Times New Roman" w:eastAsiaTheme="minorEastAsia" w:hAnsi="Times New Roman" w:cs="Times New Roman"/>
                <w:noProof/>
                <w:sz w:val="20"/>
                <w:szCs w:val="20"/>
              </w:rPr>
            </w:pPr>
            <w:r w:rsidRPr="0075701A">
              <w:rPr>
                <w:rFonts w:ascii="Times New Roman" w:eastAsiaTheme="minorEastAsia" w:hAnsi="Times New Roman"/>
                <w:noProof/>
                <w:sz w:val="20"/>
              </w:rPr>
              <w:t>Part de la production d’énergies renouvelables dans la consommation totale d’énergie.</w:t>
            </w:r>
          </w:p>
        </w:tc>
        <w:tc>
          <w:tcPr>
            <w:tcW w:w="1134" w:type="dxa"/>
            <w:shd w:val="clear" w:color="auto" w:fill="92D050"/>
          </w:tcPr>
          <w:p w14:paraId="3FCB7E00" w14:textId="77777777" w:rsidR="0075701A" w:rsidRPr="0075701A" w:rsidRDefault="0075701A" w:rsidP="0075701A">
            <w:pPr>
              <w:widowControl w:val="0"/>
              <w:spacing w:after="0"/>
              <w:rPr>
                <w:rFonts w:ascii="Times New Roman" w:eastAsiaTheme="minorEastAsia" w:hAnsi="Times New Roman" w:cs="Times New Roman"/>
                <w:noProof/>
                <w:sz w:val="20"/>
                <w:szCs w:val="20"/>
              </w:rPr>
            </w:pPr>
            <w:r w:rsidRPr="0075701A">
              <w:rPr>
                <w:rFonts w:ascii="Times New Roman" w:eastAsiaTheme="minorEastAsia" w:hAnsi="Times New Roman"/>
                <w:noProof/>
                <w:sz w:val="20"/>
              </w:rPr>
              <w:t>45 % en 2030</w:t>
            </w:r>
          </w:p>
        </w:tc>
        <w:tc>
          <w:tcPr>
            <w:tcW w:w="1984" w:type="dxa"/>
            <w:shd w:val="clear" w:color="auto" w:fill="92D050"/>
          </w:tcPr>
          <w:p w14:paraId="7CAD8CCE"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24,5 % (2023)</w:t>
            </w:r>
          </w:p>
          <w:p w14:paraId="28FFADA1"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23 % (2022)</w:t>
            </w:r>
          </w:p>
        </w:tc>
      </w:tr>
    </w:tbl>
    <w:p w14:paraId="76EEBF4B" w14:textId="77777777" w:rsidR="0075701A" w:rsidRPr="0075701A" w:rsidRDefault="0075701A" w:rsidP="0075701A">
      <w:pPr>
        <w:widowControl w:val="0"/>
        <w:spacing w:after="0" w:line="240" w:lineRule="auto"/>
        <w:jc w:val="both"/>
        <w:rPr>
          <w:rFonts w:ascii="Times New Roman" w:eastAsia="Times New Roman" w:hAnsi="Times New Roman" w:cs="Times New Roman"/>
          <w:b/>
          <w:bCs/>
          <w:noProof/>
          <w:sz w:val="24"/>
          <w:szCs w:val="24"/>
          <w:lang w:eastAsia="en-GB"/>
        </w:rPr>
      </w:pPr>
    </w:p>
    <w:p w14:paraId="402D9EA7" w14:textId="77777777" w:rsidR="0075701A" w:rsidRPr="0075701A" w:rsidRDefault="0075701A" w:rsidP="0075701A">
      <w:pPr>
        <w:widowControl w:val="0"/>
        <w:jc w:val="both"/>
        <w:rPr>
          <w:rFonts w:ascii="Times New Roman" w:eastAsia="Times New Roman" w:hAnsi="Times New Roman" w:cs="Times New Roman"/>
          <w:noProof/>
          <w:color w:val="000000" w:themeColor="text1"/>
          <w:sz w:val="24"/>
          <w:szCs w:val="24"/>
          <w:lang w:eastAsia="en-GB"/>
        </w:rPr>
      </w:pPr>
      <w:r w:rsidRPr="0075701A">
        <w:rPr>
          <w:rFonts w:ascii="Times New Roman" w:eastAsia="Times New Roman" w:hAnsi="Times New Roman" w:cs="Times New Roman"/>
          <w:b/>
          <w:noProof/>
          <w:sz w:val="24"/>
          <w:szCs w:val="24"/>
          <w:lang w:eastAsia="en-GB"/>
        </w:rPr>
        <w:t>Les flambées des prix de l’énergie de ces dernières années ont eu des répercussions sur les industries européennes à forte intensité énergétique</w:t>
      </w:r>
      <w:r w:rsidRPr="0075701A">
        <w:rPr>
          <w:rFonts w:ascii="Times New Roman" w:eastAsia="Times New Roman" w:hAnsi="Times New Roman" w:cs="Times New Roman"/>
          <w:noProof/>
          <w:sz w:val="24"/>
          <w:szCs w:val="24"/>
          <w:lang w:eastAsia="en-GB"/>
        </w:rPr>
        <w:t>, telles que les fabricants d’acier, de ciment, de verre, de papier et de produits chimiques. Dans certains segments, la production a fortement diminué, reculant de plus de 10 % par rapport à la période précédant 2021</w:t>
      </w:r>
      <w:r w:rsidRPr="0075701A">
        <w:rPr>
          <w:rFonts w:ascii="Times New Roman" w:eastAsia="Times New Roman" w:hAnsi="Times New Roman" w:cs="Times New Roman"/>
          <w:noProof/>
          <w:sz w:val="24"/>
          <w:szCs w:val="24"/>
          <w:vertAlign w:val="superscript"/>
          <w:lang w:eastAsia="en-GB"/>
        </w:rPr>
        <w:footnoteReference w:id="109"/>
      </w:r>
      <w:r w:rsidRPr="0075701A">
        <w:rPr>
          <w:rFonts w:ascii="Times New Roman" w:eastAsia="Times New Roman" w:hAnsi="Times New Roman" w:cs="Times New Roman"/>
          <w:noProof/>
          <w:sz w:val="24"/>
          <w:szCs w:val="24"/>
          <w:lang w:eastAsia="en-GB"/>
        </w:rPr>
        <w:t>.</w:t>
      </w:r>
      <w:r w:rsidRPr="0075701A">
        <w:rPr>
          <w:rFonts w:ascii="Times New Roman" w:eastAsia="Times New Roman" w:hAnsi="Times New Roman" w:cs="Times New Roman"/>
          <w:b/>
          <w:noProof/>
          <w:sz w:val="24"/>
          <w:szCs w:val="24"/>
          <w:lang w:eastAsia="en-GB"/>
        </w:rPr>
        <w:t xml:space="preserve"> </w:t>
      </w:r>
      <w:r w:rsidRPr="0075701A">
        <w:rPr>
          <w:rFonts w:ascii="Times New Roman" w:eastAsia="Times New Roman" w:hAnsi="Times New Roman" w:cs="Times New Roman"/>
          <w:noProof/>
          <w:sz w:val="24"/>
          <w:szCs w:val="24"/>
          <w:lang w:eastAsia="en-GB"/>
        </w:rPr>
        <w:t>Par exemple, dans le domaine de la fabrication de l’aluminium, les coûts énergétiques représentent généralement la moitié des coûts de production totaux</w:t>
      </w:r>
      <w:r w:rsidRPr="0075701A">
        <w:rPr>
          <w:rFonts w:ascii="Times New Roman" w:eastAsia="Times New Roman" w:hAnsi="Times New Roman" w:cs="Times New Roman"/>
          <w:noProof/>
          <w:sz w:val="24"/>
          <w:szCs w:val="24"/>
          <w:vertAlign w:val="superscript"/>
          <w:lang w:eastAsia="en-GB"/>
        </w:rPr>
        <w:footnoteReference w:id="110"/>
      </w:r>
      <w:r w:rsidRPr="0075701A">
        <w:rPr>
          <w:rFonts w:ascii="Times New Roman" w:eastAsia="Times New Roman" w:hAnsi="Times New Roman" w:cs="Times New Roman"/>
          <w:noProof/>
          <w:sz w:val="24"/>
          <w:szCs w:val="24"/>
          <w:lang w:eastAsia="en-GB"/>
        </w:rPr>
        <w:t xml:space="preserve">. Les coûts de l’énergie affectent considérablement la capacité des entreprises de l’UE à être compétitives sur les marchés internationaux. </w:t>
      </w:r>
    </w:p>
    <w:p w14:paraId="312C30A1" w14:textId="77777777" w:rsidR="0075701A" w:rsidRPr="0075701A" w:rsidRDefault="0075701A" w:rsidP="0075701A">
      <w:pPr>
        <w:widowControl w:val="0"/>
        <w:spacing w:before="240" w:after="120"/>
        <w:jc w:val="both"/>
        <w:rPr>
          <w:rFonts w:ascii="Times New Roman" w:hAnsi="Times New Roman" w:cs="Times New Roman"/>
          <w:noProof/>
          <w:color w:val="000000" w:themeColor="text1"/>
          <w:sz w:val="24"/>
          <w:szCs w:val="24"/>
        </w:rPr>
      </w:pPr>
      <w:r w:rsidRPr="0075701A">
        <w:rPr>
          <w:rFonts w:ascii="Times New Roman" w:hAnsi="Times New Roman"/>
          <w:b/>
          <w:noProof/>
          <w:color w:val="000000" w:themeColor="text1"/>
          <w:sz w:val="24"/>
        </w:rPr>
        <w:t>Les prix de l’électricité dans l’UE ont baissé par rapport à leur niveau record, mais ils restent près de deux fois plus élevés que les niveaux historiques et nettement plus élevés que dans les régions concurrentes (voir ICP 17).</w:t>
      </w:r>
      <w:r w:rsidRPr="0075701A">
        <w:rPr>
          <w:rFonts w:ascii="Times New Roman" w:hAnsi="Times New Roman"/>
          <w:noProof/>
          <w:sz w:val="24"/>
        </w:rPr>
        <w:t xml:space="preserve"> Les entreprises de l’UE sont confrontées à des prix de l’électricité qui sont en moyenne trois fois plus élevés qu’aux États-Unis et à des prix du gaz naturel quatre à cinq fois plus élevés</w:t>
      </w:r>
      <w:r w:rsidRPr="0075701A">
        <w:rPr>
          <w:rFonts w:ascii="Times New Roman" w:eastAsia="Times New Roman" w:hAnsi="Times New Roman" w:cs="Times New Roman"/>
          <w:noProof/>
          <w:sz w:val="24"/>
          <w:szCs w:val="24"/>
          <w:vertAlign w:val="superscript"/>
          <w:lang w:eastAsia="en-GB"/>
        </w:rPr>
        <w:footnoteReference w:id="111"/>
      </w:r>
      <w:r w:rsidRPr="0075701A">
        <w:rPr>
          <w:rFonts w:ascii="Times New Roman" w:hAnsi="Times New Roman"/>
          <w:noProof/>
          <w:sz w:val="24"/>
        </w:rPr>
        <w:t>. Il existe également d’importantes différences de prix au sein de l’UE</w:t>
      </w:r>
      <w:r w:rsidRPr="0075701A">
        <w:rPr>
          <w:rFonts w:ascii="Times New Roman" w:eastAsia="Times New Roman" w:hAnsi="Times New Roman" w:cs="Times New Roman"/>
          <w:noProof/>
          <w:sz w:val="24"/>
          <w:szCs w:val="24"/>
          <w:vertAlign w:val="superscript"/>
          <w:lang w:eastAsia="en-GB"/>
        </w:rPr>
        <w:footnoteReference w:id="112"/>
      </w:r>
      <w:r w:rsidRPr="0075701A">
        <w:rPr>
          <w:rFonts w:ascii="Times New Roman" w:hAnsi="Times New Roman"/>
          <w:noProof/>
          <w:sz w:val="24"/>
        </w:rPr>
        <w:t>. Les hausses de prix ont eu une incidence négative directe sur la confiance des investisseurs et ont entraîné le retrait des investissements directs étrangers et l’arrêt des projets d’expansion. Pour 33 % des entreprises, la volatilité et le niveau trop élevé des prix de l’énergie sont les principaux facteurs qui nuisent à l’attractivité de l’UE en tant que lieu d’implantation</w:t>
      </w:r>
      <w:r w:rsidRPr="0075701A">
        <w:rPr>
          <w:rFonts w:ascii="Times New Roman" w:hAnsi="Times New Roman" w:cs="Times New Roman"/>
          <w:noProof/>
          <w:sz w:val="24"/>
          <w:szCs w:val="24"/>
          <w:vertAlign w:val="superscript"/>
        </w:rPr>
        <w:footnoteReference w:id="113"/>
      </w:r>
      <w:r w:rsidRPr="0075701A">
        <w:rPr>
          <w:rFonts w:ascii="Times New Roman" w:hAnsi="Times New Roman"/>
          <w:noProof/>
          <w:sz w:val="24"/>
        </w:rPr>
        <w:t>.</w:t>
      </w:r>
    </w:p>
    <w:p w14:paraId="075260AA" w14:textId="77777777" w:rsidR="0075701A" w:rsidRPr="0075701A" w:rsidRDefault="0075701A" w:rsidP="0075701A">
      <w:pPr>
        <w:keepNext/>
        <w:spacing w:before="240" w:after="0" w:line="240" w:lineRule="auto"/>
        <w:jc w:val="both"/>
        <w:rPr>
          <w:rFonts w:ascii="Times New Roman" w:eastAsia="Times New Roman" w:hAnsi="Times New Roman" w:cs="Times New Roman"/>
          <w:noProof/>
          <w:sz w:val="24"/>
          <w:szCs w:val="24"/>
        </w:rPr>
      </w:pPr>
      <w:r w:rsidRPr="0075701A">
        <w:rPr>
          <w:rFonts w:ascii="Times New Roman" w:hAnsi="Times New Roman"/>
          <w:b/>
          <w:noProof/>
          <w:color w:val="000000" w:themeColor="text1"/>
          <w:sz w:val="24"/>
        </w:rPr>
        <w:t xml:space="preserve">Graphique 8: </w:t>
      </w:r>
      <w:r w:rsidRPr="0075701A">
        <w:rPr>
          <w:rFonts w:ascii="Times New Roman" w:hAnsi="Times New Roman"/>
          <w:noProof/>
          <w:color w:val="000000" w:themeColor="text1"/>
          <w:sz w:val="24"/>
        </w:rPr>
        <w:t>Prix de l’électricité pour les entreprises dans l’UE et dans d’autres économies avancées</w:t>
      </w:r>
    </w:p>
    <w:p w14:paraId="7E531ADE" w14:textId="77777777" w:rsidR="0075701A" w:rsidRPr="0075701A" w:rsidRDefault="0075701A" w:rsidP="0075701A">
      <w:pPr>
        <w:keepNext/>
        <w:keepLines/>
        <w:spacing w:after="0" w:line="240" w:lineRule="auto"/>
        <w:jc w:val="both"/>
        <w:rPr>
          <w:rFonts w:ascii="Times New Roman" w:eastAsia="Times New Roman" w:hAnsi="Times New Roman" w:cs="Times New Roman"/>
          <w:b/>
          <w:bCs/>
          <w:noProof/>
          <w:color w:val="000000" w:themeColor="text1"/>
          <w:sz w:val="24"/>
          <w:szCs w:val="24"/>
        </w:rPr>
      </w:pPr>
      <w:r w:rsidRPr="0075701A">
        <w:rPr>
          <w:noProof/>
          <w:lang w:val="en-GB" w:eastAsia="en-GB"/>
        </w:rPr>
        <w:drawing>
          <wp:inline distT="0" distB="0" distL="0" distR="0" wp14:anchorId="695CF0C1" wp14:editId="2D8D168C">
            <wp:extent cx="5732145" cy="3091815"/>
            <wp:effectExtent l="0" t="0" r="1905" b="13335"/>
            <wp:docPr id="1747001341" name="Chart 1">
              <a:extLst xmlns:a="http://schemas.openxmlformats.org/drawingml/2006/main">
                <a:ext uri="{FF2B5EF4-FFF2-40B4-BE49-F238E27FC236}">
                  <a16:creationId xmlns:a16="http://schemas.microsoft.com/office/drawing/2014/main" id="{EE0431E2-4A8A-4940-9279-68BBA1D9B3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75701A">
        <w:rPr>
          <w:noProof/>
        </w:rPr>
        <w:t xml:space="preserve"> </w:t>
      </w:r>
    </w:p>
    <w:p w14:paraId="553AB0EE" w14:textId="77777777" w:rsidR="0075701A" w:rsidRPr="0075701A" w:rsidRDefault="0075701A" w:rsidP="0075701A">
      <w:pPr>
        <w:widowControl w:val="0"/>
        <w:spacing w:after="0" w:line="240" w:lineRule="auto"/>
        <w:jc w:val="both"/>
        <w:rPr>
          <w:rFonts w:ascii="Times New Roman" w:eastAsia="Times New Roman" w:hAnsi="Times New Roman" w:cs="Times New Roman"/>
          <w:noProof/>
          <w:color w:val="000000" w:themeColor="text1"/>
          <w:sz w:val="20"/>
          <w:szCs w:val="20"/>
        </w:rPr>
      </w:pPr>
      <w:r w:rsidRPr="0075701A">
        <w:rPr>
          <w:rFonts w:ascii="Times New Roman" w:hAnsi="Times New Roman"/>
          <w:b/>
          <w:noProof/>
          <w:color w:val="000000" w:themeColor="text1"/>
          <w:sz w:val="20"/>
        </w:rPr>
        <w:t xml:space="preserve">Source: </w:t>
      </w:r>
      <w:r w:rsidRPr="0075701A">
        <w:rPr>
          <w:rFonts w:ascii="Times New Roman" w:hAnsi="Times New Roman"/>
          <w:noProof/>
          <w:color w:val="000000" w:themeColor="text1"/>
          <w:sz w:val="20"/>
        </w:rPr>
        <w:t>Eurostat, US Energy Information Administration (EIA), UK Department for Energy Security and Net Zero (DESNZ) et Agence internationale de l’énergie (AIE)</w:t>
      </w:r>
      <w:r w:rsidRPr="0075701A">
        <w:rPr>
          <w:rFonts w:ascii="Times New Roman" w:eastAsia="Times New Roman" w:hAnsi="Times New Roman" w:cs="Times New Roman"/>
          <w:noProof/>
          <w:color w:val="000000" w:themeColor="text1"/>
          <w:sz w:val="24"/>
          <w:szCs w:val="24"/>
          <w:vertAlign w:val="superscript"/>
        </w:rPr>
        <w:footnoteReference w:id="114"/>
      </w:r>
      <w:r w:rsidRPr="0075701A">
        <w:rPr>
          <w:rFonts w:ascii="Times New Roman" w:hAnsi="Times New Roman"/>
          <w:noProof/>
          <w:color w:val="000000" w:themeColor="text1"/>
          <w:sz w:val="20"/>
        </w:rPr>
        <w:t>.</w:t>
      </w:r>
    </w:p>
    <w:p w14:paraId="47A28515" w14:textId="77777777" w:rsidR="0075701A" w:rsidRPr="0075701A" w:rsidRDefault="0075701A" w:rsidP="0075701A">
      <w:pPr>
        <w:widowControl w:val="0"/>
        <w:spacing w:after="0" w:line="240" w:lineRule="auto"/>
        <w:jc w:val="both"/>
        <w:rPr>
          <w:rFonts w:ascii="Times New Roman" w:eastAsia="Times New Roman" w:hAnsi="Times New Roman" w:cs="Times New Roman"/>
          <w:b/>
          <w:noProof/>
          <w:color w:val="000000"/>
          <w:sz w:val="24"/>
          <w:szCs w:val="24"/>
          <w:shd w:val="clear" w:color="auto" w:fill="FFFFFF"/>
          <w:lang w:eastAsia="en-GB"/>
        </w:rPr>
      </w:pPr>
    </w:p>
    <w:p w14:paraId="40D862AD"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 xml:space="preserve">Les niveaux de prix actuels entravent également l’électrification de l’économie de l’UE. </w:t>
      </w:r>
      <w:r w:rsidRPr="0075701A">
        <w:rPr>
          <w:rFonts w:ascii="Times New Roman" w:eastAsia="Times New Roman" w:hAnsi="Times New Roman" w:cs="Times New Roman"/>
          <w:noProof/>
          <w:sz w:val="24"/>
          <w:szCs w:val="24"/>
          <w:lang w:eastAsia="en-GB"/>
        </w:rPr>
        <w:t>La part de l’électricité dans le bouquet énergétique est restée stable à environ 20 % depuis 2000 et n’a pas encore pris son essor à grande échelle (ICP 18)</w:t>
      </w:r>
      <w:r w:rsidRPr="0075701A">
        <w:rPr>
          <w:rFonts w:ascii="Times New Roman" w:eastAsia="Times New Roman" w:hAnsi="Times New Roman" w:cs="Times New Roman"/>
          <w:noProof/>
          <w:sz w:val="24"/>
          <w:szCs w:val="24"/>
          <w:vertAlign w:val="superscript"/>
          <w:lang w:eastAsia="en-GB"/>
        </w:rPr>
        <w:footnoteReference w:id="115"/>
      </w:r>
      <w:r w:rsidRPr="0075701A">
        <w:rPr>
          <w:rFonts w:ascii="Times New Roman" w:eastAsia="Times New Roman" w:hAnsi="Times New Roman" w:cs="Times New Roman"/>
          <w:noProof/>
          <w:sz w:val="24"/>
          <w:szCs w:val="24"/>
          <w:lang w:eastAsia="en-GB"/>
        </w:rPr>
        <w:t>. Cela s’explique en partie par la persistance d’un faible écart de prix entre le gaz et l’électricité, qui ne fournit pas d’incitations économiques suffisantes pour passer à l’électricité, malgré l’efficacité énergétique plus élevée des systèmes électriques. Cette situation a freiné la transition de l’industrie et des ménages. Il est toutefois prévu que la part de l’électricité augmente successivement en raison de règles en matière d’émissions de plus en plus strictes, d’une tarification du carbone renforcée</w:t>
      </w:r>
      <w:r w:rsidRPr="0075701A">
        <w:rPr>
          <w:rFonts w:ascii="Times New Roman" w:eastAsia="Times New Roman" w:hAnsi="Times New Roman" w:cs="Times New Roman"/>
          <w:noProof/>
          <w:sz w:val="24"/>
          <w:szCs w:val="24"/>
          <w:vertAlign w:val="superscript"/>
          <w:lang w:eastAsia="en-GB"/>
        </w:rPr>
        <w:footnoteReference w:id="116"/>
      </w:r>
      <w:r w:rsidRPr="0075701A">
        <w:rPr>
          <w:rFonts w:ascii="Times New Roman" w:eastAsia="Times New Roman" w:hAnsi="Times New Roman" w:cs="Times New Roman"/>
          <w:noProof/>
          <w:sz w:val="24"/>
          <w:szCs w:val="24"/>
          <w:lang w:eastAsia="en-GB"/>
        </w:rPr>
        <w:t xml:space="preserve"> et d’une révision des règles de taxation de l’énergie</w:t>
      </w:r>
      <w:r w:rsidRPr="0075701A">
        <w:rPr>
          <w:rFonts w:ascii="Times New Roman" w:eastAsia="Times New Roman" w:hAnsi="Times New Roman" w:cs="Times New Roman"/>
          <w:noProof/>
          <w:sz w:val="24"/>
          <w:szCs w:val="24"/>
          <w:vertAlign w:val="superscript"/>
          <w:lang w:eastAsia="en-GB"/>
        </w:rPr>
        <w:footnoteReference w:id="117"/>
      </w:r>
      <w:r w:rsidRPr="0075701A">
        <w:rPr>
          <w:rFonts w:ascii="Times New Roman" w:eastAsia="Times New Roman" w:hAnsi="Times New Roman" w:cs="Times New Roman"/>
          <w:noProof/>
          <w:sz w:val="24"/>
          <w:szCs w:val="24"/>
          <w:lang w:eastAsia="en-GB"/>
        </w:rPr>
        <w:t>, lesquelles favoriseront l’électrification de l’industrie, encourageront l’utilisation de pompes à chaleur pour le chauffage et accélèreront l’adoption de véhicules électriques.</w:t>
      </w:r>
    </w:p>
    <w:p w14:paraId="484E5DD7"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L’économie de l’UE dépend encore largement des combustibles fossiles, qui constituent environ deux tiers du bouquet énergétique. La part des énergies renouvelables augmente et s’établit à 24,5 % (ICP 19), tandis que l’énergie nucléaire représente 12 % du bouquet énergétique de l’UE</w:t>
      </w:r>
      <w:r w:rsidRPr="0075701A">
        <w:rPr>
          <w:rFonts w:ascii="Times New Roman" w:eastAsia="Times New Roman" w:hAnsi="Times New Roman" w:cs="Times New Roman"/>
          <w:noProof/>
          <w:sz w:val="24"/>
          <w:szCs w:val="24"/>
          <w:vertAlign w:val="superscript"/>
          <w:lang w:eastAsia="en-GB"/>
        </w:rPr>
        <w:footnoteReference w:id="118"/>
      </w:r>
      <w:r w:rsidRPr="0075701A">
        <w:rPr>
          <w:rFonts w:ascii="Times New Roman" w:eastAsia="Times New Roman" w:hAnsi="Times New Roman" w:cs="Times New Roman"/>
          <w:b/>
          <w:noProof/>
          <w:sz w:val="24"/>
          <w:szCs w:val="24"/>
          <w:lang w:eastAsia="en-GB"/>
        </w:rPr>
        <w:t>.</w:t>
      </w:r>
      <w:r w:rsidRPr="0075701A">
        <w:rPr>
          <w:rFonts w:ascii="Times New Roman" w:eastAsia="Times New Roman" w:hAnsi="Times New Roman" w:cs="Times New Roman"/>
          <w:b/>
          <w:noProof/>
          <w:color w:val="000000" w:themeColor="text1"/>
          <w:sz w:val="24"/>
          <w:szCs w:val="24"/>
          <w:lang w:eastAsia="en-GB"/>
        </w:rPr>
        <w:t xml:space="preserve"> </w:t>
      </w:r>
      <w:r w:rsidRPr="0075701A">
        <w:rPr>
          <w:rFonts w:ascii="Times New Roman" w:eastAsia="Times New Roman" w:hAnsi="Times New Roman" w:cs="Times New Roman"/>
          <w:noProof/>
          <w:color w:val="000000" w:themeColor="text1"/>
          <w:sz w:val="24"/>
          <w:szCs w:val="24"/>
          <w:lang w:eastAsia="en-GB"/>
        </w:rPr>
        <w:t>L’analyse d’impact de la communication sur l’objectif climatique de l’Europe à l’horizon 2040 montre que ces sources d’énergie propres pourraient répondre à 75 % des besoins énergétiques de l’UE d’ici à 2040</w:t>
      </w:r>
      <w:r w:rsidRPr="0075701A">
        <w:rPr>
          <w:rFonts w:ascii="Times New Roman" w:eastAsia="Times New Roman" w:hAnsi="Times New Roman" w:cs="Times New Roman"/>
          <w:noProof/>
          <w:sz w:val="24"/>
          <w:szCs w:val="24"/>
          <w:vertAlign w:val="superscript"/>
          <w:lang w:eastAsia="en-GB"/>
        </w:rPr>
        <w:footnoteReference w:id="119"/>
      </w:r>
      <w:r w:rsidRPr="0075701A">
        <w:rPr>
          <w:rFonts w:ascii="Times New Roman" w:eastAsia="Times New Roman" w:hAnsi="Times New Roman" w:cs="Times New Roman"/>
          <w:noProof/>
          <w:color w:val="000000" w:themeColor="text1"/>
          <w:sz w:val="24"/>
          <w:szCs w:val="24"/>
          <w:lang w:eastAsia="en-GB"/>
        </w:rPr>
        <w:t xml:space="preserve">. </w:t>
      </w:r>
      <w:r w:rsidRPr="0075701A">
        <w:rPr>
          <w:rFonts w:ascii="Times New Roman" w:eastAsia="Times New Roman" w:hAnsi="Times New Roman" w:cs="Times New Roman"/>
          <w:noProof/>
          <w:sz w:val="24"/>
          <w:szCs w:val="24"/>
          <w:lang w:eastAsia="en-GB"/>
        </w:rPr>
        <w:t>La dépendance actuelle à l’égard des combustibles fossiles importés expose l’industrie à des risques de rupture d’approvisionnement et de volatilité des prix, tandis qu’une plus grande dépendance à l’égard des sources d’énergie décarbonées peut rendre l’énergie plus abordable et limiter la vulnérabilité de l’industrie.</w:t>
      </w:r>
      <w:r w:rsidRPr="0075701A">
        <w:rPr>
          <w:rFonts w:ascii="Times New Roman" w:eastAsia="Times New Roman" w:hAnsi="Times New Roman" w:cs="Times New Roman"/>
          <w:b/>
          <w:noProof/>
          <w:sz w:val="24"/>
          <w:szCs w:val="24"/>
          <w:lang w:eastAsia="en-GB"/>
        </w:rPr>
        <w:t xml:space="preserve"> </w:t>
      </w:r>
    </w:p>
    <w:p w14:paraId="0172D687"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L’Europe a un bilan solide en matière d’innovation dans les domaines des technologies propres et de l’énergie</w:t>
      </w:r>
      <w:r w:rsidRPr="0075701A">
        <w:rPr>
          <w:rFonts w:ascii="Times New Roman" w:eastAsia="Times New Roman" w:hAnsi="Times New Roman" w:cs="Times New Roman"/>
          <w:b/>
          <w:bCs/>
          <w:noProof/>
          <w:sz w:val="24"/>
          <w:szCs w:val="24"/>
          <w:vertAlign w:val="superscript"/>
          <w:lang w:eastAsia="en-GB"/>
        </w:rPr>
        <w:footnoteReference w:id="120"/>
      </w:r>
      <w:r w:rsidRPr="0075701A">
        <w:rPr>
          <w:rFonts w:ascii="Times New Roman" w:eastAsia="Times New Roman" w:hAnsi="Times New Roman" w:cs="Times New Roman"/>
          <w:b/>
          <w:noProof/>
          <w:sz w:val="24"/>
          <w:szCs w:val="24"/>
          <w:lang w:eastAsia="en-GB"/>
        </w:rPr>
        <w:t>, mais elle n’offre pas encore de conditions-cadres suffisantes pour mettre sur le marché des produits innovants et permettre aux entreprises de se développer</w:t>
      </w:r>
      <w:r w:rsidRPr="0075701A">
        <w:rPr>
          <w:rFonts w:ascii="Times New Roman" w:eastAsia="Times New Roman" w:hAnsi="Times New Roman" w:cs="Times New Roman"/>
          <w:noProof/>
          <w:sz w:val="24"/>
          <w:szCs w:val="24"/>
          <w:lang w:eastAsia="en-GB"/>
        </w:rPr>
        <w:t>, ce qui pourrait contribuer à accroître l’efficacité énergétique et à stimuler l’approvisionnement en électricité. Le marché mondial des technologies propres clés produites à grande échelle devrait tripler d’ici 2035 pour atteindre une valeur annuelle d’environ 1 900 milliards d’EUR</w:t>
      </w:r>
      <w:r w:rsidRPr="0075701A">
        <w:rPr>
          <w:rFonts w:ascii="Times New Roman" w:eastAsia="Times New Roman" w:hAnsi="Times New Roman" w:cs="Times New Roman"/>
          <w:noProof/>
          <w:sz w:val="24"/>
          <w:szCs w:val="24"/>
          <w:vertAlign w:val="superscript"/>
          <w:lang w:eastAsia="en-GB"/>
        </w:rPr>
        <w:footnoteReference w:id="121"/>
      </w:r>
      <w:r w:rsidRPr="0075701A">
        <w:rPr>
          <w:rFonts w:ascii="Times New Roman" w:eastAsia="Times New Roman" w:hAnsi="Times New Roman" w:cs="Times New Roman"/>
          <w:noProof/>
          <w:sz w:val="24"/>
          <w:szCs w:val="24"/>
          <w:lang w:eastAsia="en-GB"/>
        </w:rPr>
        <w:t xml:space="preserve">, offrant ainsi de vastes possibilités aux entreprises de l’UE. La mise en œuvre rapide du règlement pour une industrie «zéro net» aidera l’UE à se doter d’une solide capacité de production intérieure pour ces technologies, qui sont essentielles pour répondre aux besoins de la société en matière d’énergie plus propre et moins coûteuse. </w:t>
      </w:r>
    </w:p>
    <w:p w14:paraId="2D9CAF38" w14:textId="77777777" w:rsidR="0075701A" w:rsidRPr="0075701A" w:rsidRDefault="0075701A" w:rsidP="0075701A">
      <w:pPr>
        <w:keepNext/>
        <w:keepLines/>
        <w:numPr>
          <w:ilvl w:val="1"/>
          <w:numId w:val="30"/>
        </w:numPr>
        <w:spacing w:before="40" w:after="120"/>
        <w:ind w:left="788" w:hanging="431"/>
        <w:outlineLvl w:val="3"/>
        <w:rPr>
          <w:rFonts w:ascii="Times New Roman" w:eastAsiaTheme="majorEastAsia" w:hAnsi="Times New Roman" w:cstheme="majorBidi"/>
          <w:b/>
          <w:iCs/>
          <w:noProof/>
          <w:color w:val="000000" w:themeColor="text1"/>
          <w:sz w:val="24"/>
        </w:rPr>
      </w:pPr>
      <w:r w:rsidRPr="0075701A">
        <w:rPr>
          <w:rFonts w:ascii="Times New Roman" w:eastAsiaTheme="majorEastAsia" w:hAnsi="Times New Roman" w:cstheme="majorBidi"/>
          <w:b/>
          <w:iCs/>
          <w:noProof/>
          <w:sz w:val="24"/>
        </w:rPr>
        <w:t>Économie circulaire</w:t>
      </w:r>
    </w:p>
    <w:tbl>
      <w:tblPr>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1E0" w:firstRow="1" w:lastRow="1" w:firstColumn="1" w:lastColumn="1" w:noHBand="0" w:noVBand="0"/>
      </w:tblPr>
      <w:tblGrid>
        <w:gridCol w:w="2253"/>
        <w:gridCol w:w="3402"/>
        <w:gridCol w:w="1560"/>
        <w:gridCol w:w="1842"/>
      </w:tblGrid>
      <w:tr w:rsidR="0075701A" w:rsidRPr="0075701A" w14:paraId="3B8C76BA" w14:textId="77777777" w:rsidTr="00B17D67">
        <w:trPr>
          <w:trHeight w:val="272"/>
        </w:trPr>
        <w:tc>
          <w:tcPr>
            <w:tcW w:w="2253" w:type="dxa"/>
            <w:shd w:val="clear" w:color="auto" w:fill="B8CCE4"/>
            <w:vAlign w:val="center"/>
          </w:tcPr>
          <w:p w14:paraId="6EFAB755" w14:textId="77777777" w:rsidR="0075701A" w:rsidRPr="0075701A" w:rsidRDefault="0075701A" w:rsidP="0075701A">
            <w:pPr>
              <w:widowControl w:val="0"/>
              <w:spacing w:after="0"/>
              <w:ind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ICP</w:t>
            </w:r>
          </w:p>
        </w:tc>
        <w:tc>
          <w:tcPr>
            <w:tcW w:w="3402" w:type="dxa"/>
            <w:shd w:val="clear" w:color="auto" w:fill="B8CCE4"/>
            <w:vAlign w:val="center"/>
          </w:tcPr>
          <w:p w14:paraId="235821DE"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Ce que cet indicateur mesure</w:t>
            </w:r>
          </w:p>
        </w:tc>
        <w:tc>
          <w:tcPr>
            <w:tcW w:w="1560" w:type="dxa"/>
            <w:shd w:val="clear" w:color="auto" w:fill="B8CCE4"/>
            <w:vAlign w:val="center"/>
          </w:tcPr>
          <w:p w14:paraId="071805C3"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Objectif</w:t>
            </w:r>
          </w:p>
        </w:tc>
        <w:tc>
          <w:tcPr>
            <w:tcW w:w="1842" w:type="dxa"/>
            <w:shd w:val="clear" w:color="auto" w:fill="B8CCE4"/>
            <w:vAlign w:val="center"/>
          </w:tcPr>
          <w:p w14:paraId="3FA1C196"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vertAlign w:val="superscript"/>
              </w:rPr>
            </w:pPr>
            <w:r w:rsidRPr="0075701A">
              <w:rPr>
                <w:rFonts w:ascii="Times New Roman" w:hAnsi="Times New Roman"/>
                <w:b/>
                <w:noProof/>
                <w:color w:val="003063"/>
                <w:sz w:val="20"/>
              </w:rPr>
              <w:t>Valeurs UE</w:t>
            </w:r>
            <w:r w:rsidRPr="0075701A">
              <w:rPr>
                <w:rFonts w:ascii="Times New Roman" w:hAnsi="Times New Roman"/>
                <w:b/>
                <w:noProof/>
                <w:sz w:val="20"/>
              </w:rPr>
              <w:t xml:space="preserve"> </w:t>
            </w:r>
            <w:r w:rsidRPr="0075701A">
              <w:rPr>
                <w:rFonts w:ascii="Times New Roman" w:hAnsi="Times New Roman"/>
                <w:b/>
                <w:noProof/>
                <w:color w:val="003063"/>
                <w:sz w:val="20"/>
              </w:rPr>
              <w:t>les plus récentes</w:t>
            </w:r>
          </w:p>
        </w:tc>
      </w:tr>
      <w:tr w:rsidR="0075701A" w:rsidRPr="0075701A" w14:paraId="571050F4" w14:textId="77777777" w:rsidTr="00B17D67">
        <w:trPr>
          <w:trHeight w:val="396"/>
        </w:trPr>
        <w:tc>
          <w:tcPr>
            <w:tcW w:w="2253" w:type="dxa"/>
            <w:shd w:val="clear" w:color="auto" w:fill="F6FA84"/>
          </w:tcPr>
          <w:p w14:paraId="16B3923E"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ICP 20: Taux d’utilisation circulaire des matières</w:t>
            </w:r>
            <w:r w:rsidRPr="0075701A">
              <w:rPr>
                <w:rFonts w:ascii="Times New Roman" w:hAnsi="Times New Roman"/>
                <w:noProof/>
                <w:sz w:val="20"/>
              </w:rPr>
              <w:t xml:space="preserve"> </w:t>
            </w:r>
          </w:p>
        </w:tc>
        <w:tc>
          <w:tcPr>
            <w:tcW w:w="3402" w:type="dxa"/>
            <w:shd w:val="clear" w:color="auto" w:fill="F6FA84"/>
          </w:tcPr>
          <w:p w14:paraId="01FE11BE"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Matières recyclées et réintroduites dans l’économie, en pourcentage de l’utilisation globale des matières.</w:t>
            </w:r>
          </w:p>
        </w:tc>
        <w:tc>
          <w:tcPr>
            <w:tcW w:w="1560" w:type="dxa"/>
            <w:shd w:val="clear" w:color="auto" w:fill="F6FA84"/>
          </w:tcPr>
          <w:p w14:paraId="0AFB68DD"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 xml:space="preserve">23,4 % d’ici à 2030 </w:t>
            </w:r>
          </w:p>
        </w:tc>
        <w:tc>
          <w:tcPr>
            <w:tcW w:w="1842" w:type="dxa"/>
            <w:shd w:val="clear" w:color="auto" w:fill="F6FA84"/>
          </w:tcPr>
          <w:p w14:paraId="69F29AA9"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11,8 % (2023)</w:t>
            </w:r>
          </w:p>
          <w:p w14:paraId="1B2434F5"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11,5 % (2022)</w:t>
            </w:r>
          </w:p>
        </w:tc>
      </w:tr>
    </w:tbl>
    <w:p w14:paraId="27FE7217" w14:textId="77777777" w:rsidR="0075701A" w:rsidRPr="0075701A" w:rsidRDefault="0075701A" w:rsidP="0075701A">
      <w:pPr>
        <w:spacing w:before="24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L’Europe progresse lentement vers une économie plus circulaire</w:t>
      </w:r>
      <w:r w:rsidRPr="0075701A">
        <w:rPr>
          <w:rFonts w:ascii="Times New Roman" w:eastAsia="Times New Roman" w:hAnsi="Times New Roman" w:cs="Times New Roman"/>
          <w:b/>
          <w:bCs/>
          <w:noProof/>
          <w:sz w:val="24"/>
          <w:szCs w:val="24"/>
          <w:vertAlign w:val="superscript"/>
          <w:lang w:eastAsia="en-GB"/>
        </w:rPr>
        <w:footnoteReference w:id="122"/>
      </w:r>
      <w:r w:rsidRPr="0075701A">
        <w:rPr>
          <w:rFonts w:ascii="Times New Roman" w:eastAsia="Times New Roman" w:hAnsi="Times New Roman" w:cs="Times New Roman"/>
          <w:b/>
          <w:noProof/>
          <w:sz w:val="24"/>
          <w:szCs w:val="24"/>
          <w:lang w:eastAsia="en-GB"/>
        </w:rPr>
        <w:t xml:space="preserve">. </w:t>
      </w:r>
      <w:r w:rsidRPr="0075701A">
        <w:rPr>
          <w:rFonts w:ascii="Times New Roman" w:eastAsia="Times New Roman" w:hAnsi="Times New Roman" w:cs="Times New Roman"/>
          <w:noProof/>
          <w:sz w:val="24"/>
          <w:szCs w:val="24"/>
          <w:lang w:eastAsia="en-GB"/>
        </w:rPr>
        <w:t>Depuis 2000, la circularité de l’économie de l’UE, mesurée par le taux d’utilisation circulaire des matières, est passée de 8,2 % à 11,8 % en 2023</w:t>
      </w:r>
      <w:r w:rsidRPr="0075701A">
        <w:rPr>
          <w:rFonts w:ascii="Times New Roman" w:eastAsia="Times New Roman" w:hAnsi="Times New Roman" w:cs="Times New Roman"/>
          <w:noProof/>
          <w:sz w:val="24"/>
          <w:szCs w:val="24"/>
          <w:vertAlign w:val="superscript"/>
          <w:lang w:eastAsia="en-GB"/>
        </w:rPr>
        <w:footnoteReference w:id="123"/>
      </w:r>
      <w:r w:rsidRPr="0075701A">
        <w:rPr>
          <w:rFonts w:ascii="Times New Roman" w:eastAsia="Times New Roman" w:hAnsi="Times New Roman" w:cs="Times New Roman"/>
          <w:noProof/>
          <w:sz w:val="24"/>
          <w:szCs w:val="24"/>
          <w:lang w:eastAsia="en-GB"/>
        </w:rPr>
        <w:t xml:space="preserve"> (ICP 20), ce qui implique une moindre consommation de matières premières, moins de déchets et une réduction de la dépendance à l’égard de l’étranger. L’empreinte sur les matières premières de l’UE, mesurant l’extraction de matières premières pour la consommation de l’UE, s’élevait à 14,8 tonnes par habitant en 2022</w:t>
      </w:r>
      <w:r w:rsidRPr="0075701A">
        <w:rPr>
          <w:rFonts w:ascii="Times New Roman" w:eastAsia="Times New Roman" w:hAnsi="Times New Roman" w:cs="Times New Roman"/>
          <w:noProof/>
          <w:sz w:val="24"/>
          <w:szCs w:val="24"/>
          <w:vertAlign w:val="superscript"/>
          <w:lang w:eastAsia="en-GB"/>
        </w:rPr>
        <w:footnoteReference w:id="124"/>
      </w:r>
      <w:r w:rsidRPr="0075701A">
        <w:rPr>
          <w:rFonts w:ascii="Times New Roman" w:eastAsia="Times New Roman" w:hAnsi="Times New Roman" w:cs="Times New Roman"/>
          <w:noProof/>
          <w:sz w:val="24"/>
          <w:szCs w:val="24"/>
          <w:lang w:eastAsia="en-GB"/>
        </w:rPr>
        <w:t>.</w:t>
      </w:r>
    </w:p>
    <w:p w14:paraId="676BA0D6"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 xml:space="preserve">Plusieurs facteurs entravent la transition vers une économie circulaire. </w:t>
      </w:r>
      <w:r w:rsidRPr="0075701A">
        <w:rPr>
          <w:rFonts w:ascii="Times New Roman" w:eastAsia="Times New Roman" w:hAnsi="Times New Roman" w:cs="Times New Roman"/>
          <w:noProof/>
          <w:sz w:val="24"/>
          <w:szCs w:val="24"/>
          <w:lang w:eastAsia="en-GB"/>
        </w:rPr>
        <w:t xml:space="preserve">Les contraintes économiques peuvent décourager l’adoption de modèles économiques circulaires, car ils impliquent souvent des coûts initiaux plus élevés et les matières premières secondaires sont généralement plus chères que les matières premières vierges. Si l’on y ajoute les risques liés à l’innovation et à l’incertitude quant au retour sur investissement, ainsi que la difficulté de se développer et de reproduire des solutions au sein d’un marché fragmenté, les arguments économiques en faveur de la circularité ne sont pas évidents. Par exemple, les divergences entre les cadres réglementaires des États membres de l’UE, notamment en ce qui concerne les critères de fin du statut de déchet, font qu’il est difficile de déplacer librement les déchets à l’intérieur du marché unique. Cela empêche le développement de chaînes d’approvisionnement améliorées et freine l’expansion d’installations de recyclage innovantes. Le degré de valorisation des déchets ou des sous-produits industriels (symbiose industrielle) varie d’un État membre à l’autre et d’une industrie à l’autre, la mise en décharge bon marché et le manque de prévisibilité de l’approvisionnement en déchets/sous-produits constituant des obstacles aux modèles circulaires. Il est également possible d’améliorer la réparabilité des biens afin de prolonger leur durée de vie et de limiter la consommation de ressources et d’énergie associée à la production de nouveaux biens. En outre, il existe un potentiel important et encore inexploité pour développer l’utilisation des matériaux biosourcés, notamment les matériaux de construction et les biens de consommation à base de bois, provenant de forêts européennes. Cela réduirait l’utilisation de ressources limitées et permettrait à un plus grand nombre de bâtiments et de biens de servir de puits de carbone. </w:t>
      </w:r>
    </w:p>
    <w:p w14:paraId="270632B2"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r w:rsidRPr="0075701A">
        <w:rPr>
          <w:rFonts w:ascii="Times New Roman" w:eastAsia="Times New Roman" w:hAnsi="Times New Roman" w:cs="Times New Roman"/>
          <w:b/>
          <w:noProof/>
          <w:sz w:val="24"/>
          <w:szCs w:val="24"/>
          <w:lang w:eastAsia="en-GB"/>
        </w:rPr>
        <w:t xml:space="preserve">Le règlement sur les matières premières critiques et le règlement sur l’écoconception pour des produits durables améliorent les conditions de mise en place des modèles économiques circulaires. </w:t>
      </w:r>
      <w:r w:rsidRPr="0075701A">
        <w:rPr>
          <w:rFonts w:ascii="Times New Roman" w:eastAsia="Times New Roman" w:hAnsi="Times New Roman" w:cs="Times New Roman"/>
          <w:noProof/>
          <w:sz w:val="24"/>
          <w:szCs w:val="24"/>
          <w:lang w:eastAsia="en-GB"/>
        </w:rPr>
        <w:t>Le règlement sur les matières premières critiques exige que la capacité de recyclage de l’UE couvre 25 % de la consommation annuelle de matières premières stratégiques de l’UE d’ici à 2030 et encourage les investissements dans les installations de recyclage. En ce qui concerne les produits, le règlement sur l’écoconception pour des produits durables concevra des critères de circularité spécifiques pour des catégories de produits déterminées, contribuant ainsi à remédier à la fragmentation du marché qui résulte des divergences entre les législations nationales en matière de durabilité des produits. Le système d’information sur les matières premières</w:t>
      </w:r>
      <w:r w:rsidRPr="0075701A">
        <w:rPr>
          <w:rFonts w:ascii="Times New Roman" w:eastAsia="Times New Roman" w:hAnsi="Times New Roman" w:cs="Times New Roman"/>
          <w:noProof/>
          <w:sz w:val="24"/>
          <w:szCs w:val="24"/>
          <w:vertAlign w:val="superscript"/>
          <w:lang w:eastAsia="en-GB"/>
        </w:rPr>
        <w:footnoteReference w:id="125"/>
      </w:r>
      <w:r w:rsidRPr="0075701A">
        <w:rPr>
          <w:rFonts w:ascii="Times New Roman" w:eastAsia="Times New Roman" w:hAnsi="Times New Roman" w:cs="Times New Roman"/>
          <w:noProof/>
          <w:sz w:val="24"/>
          <w:szCs w:val="24"/>
          <w:lang w:eastAsia="en-GB"/>
        </w:rPr>
        <w:t xml:space="preserve"> permet d’élaborer des politiques et de prendre des décisions commerciales en connaissance de cause, grâce à des données sur le cycle de vie des matières premières essentielles.</w:t>
      </w:r>
    </w:p>
    <w:p w14:paraId="33D3A14B" w14:textId="77777777" w:rsidR="0075701A" w:rsidRPr="0075701A" w:rsidRDefault="0075701A" w:rsidP="0075701A">
      <w:pPr>
        <w:widowControl w:val="0"/>
        <w:jc w:val="both"/>
        <w:rPr>
          <w:rFonts w:ascii="Times New Roman" w:eastAsia="Times New Roman" w:hAnsi="Times New Roman" w:cs="Times New Roman"/>
          <w:noProof/>
          <w:sz w:val="24"/>
          <w:szCs w:val="24"/>
          <w:lang w:eastAsia="en-GB"/>
        </w:rPr>
      </w:pPr>
    </w:p>
    <w:p w14:paraId="58DF90C9" w14:textId="60C3B5E7" w:rsidR="0075701A" w:rsidRPr="0075701A" w:rsidRDefault="0075701A" w:rsidP="0075701A">
      <w:pPr>
        <w:keepNext/>
        <w:keepLines/>
        <w:spacing w:before="240" w:after="120"/>
        <w:outlineLvl w:val="0"/>
        <w:rPr>
          <w:rFonts w:ascii="Times New Roman" w:eastAsiaTheme="majorEastAsia" w:hAnsi="Times New Roman" w:cstheme="majorBidi"/>
          <w:noProof/>
          <w:sz w:val="28"/>
          <w:szCs w:val="32"/>
          <w:shd w:val="clear" w:color="auto" w:fill="FFFFFF"/>
        </w:rPr>
      </w:pPr>
      <w:bookmarkStart w:id="14" w:name="_Hlk183719644"/>
      <w:r w:rsidRPr="0075701A">
        <w:rPr>
          <w:rFonts w:ascii="Times New Roman" w:eastAsiaTheme="majorEastAsia" w:hAnsi="Times New Roman" w:cstheme="majorBidi"/>
          <w:b/>
          <w:noProof/>
          <w:sz w:val="28"/>
          <w:szCs w:val="32"/>
          <w:shd w:val="clear" w:color="auto" w:fill="FFFFFF"/>
        </w:rPr>
        <w:t>S</w:t>
      </w:r>
      <w:r w:rsidR="00246B6B">
        <w:rPr>
          <w:rFonts w:ascii="Times New Roman" w:eastAsiaTheme="majorEastAsia" w:hAnsi="Times New Roman" w:cstheme="majorBidi"/>
          <w:b/>
          <w:noProof/>
          <w:sz w:val="28"/>
          <w:szCs w:val="32"/>
          <w:shd w:val="clear" w:color="auto" w:fill="FFFFFF"/>
        </w:rPr>
        <w:t>ECTION</w:t>
      </w:r>
      <w:r w:rsidRPr="0075701A">
        <w:rPr>
          <w:rFonts w:ascii="Times New Roman" w:eastAsiaTheme="majorEastAsia" w:hAnsi="Times New Roman" w:cstheme="majorBidi"/>
          <w:b/>
          <w:noProof/>
          <w:sz w:val="28"/>
          <w:szCs w:val="32"/>
          <w:shd w:val="clear" w:color="auto" w:fill="FFFFFF"/>
        </w:rPr>
        <w:t xml:space="preserve"> 4 — Renforcer la sécurité et réduire les dépendances </w:t>
      </w:r>
    </w:p>
    <w:p w14:paraId="13C2675B" w14:textId="77777777" w:rsidR="0075701A" w:rsidRPr="0075701A" w:rsidRDefault="0075701A" w:rsidP="0075701A">
      <w:pPr>
        <w:keepNext/>
        <w:keepLines/>
        <w:numPr>
          <w:ilvl w:val="1"/>
          <w:numId w:val="31"/>
        </w:numPr>
        <w:spacing w:before="40" w:after="120"/>
        <w:ind w:left="998" w:hanging="431"/>
        <w:outlineLvl w:val="4"/>
        <w:rPr>
          <w:rFonts w:ascii="Times New Roman" w:eastAsiaTheme="majorEastAsia" w:hAnsi="Times New Roman" w:cstheme="majorBidi"/>
          <w:b/>
          <w:noProof/>
          <w:color w:val="000000" w:themeColor="text1"/>
          <w:sz w:val="24"/>
        </w:rPr>
      </w:pPr>
      <w:r w:rsidRPr="0075701A">
        <w:rPr>
          <w:rFonts w:ascii="Times New Roman" w:eastAsiaTheme="majorEastAsia" w:hAnsi="Times New Roman" w:cstheme="majorBidi"/>
          <w:b/>
          <w:noProof/>
          <w:sz w:val="24"/>
        </w:rPr>
        <w:t>Dépendances commerciales et stratégiques</w:t>
      </w:r>
    </w:p>
    <w:tbl>
      <w:tblPr>
        <w:tblW w:w="907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1E0" w:firstRow="1" w:lastRow="1" w:firstColumn="1" w:lastColumn="1" w:noHBand="0" w:noVBand="0"/>
      </w:tblPr>
      <w:tblGrid>
        <w:gridCol w:w="2537"/>
        <w:gridCol w:w="3377"/>
        <w:gridCol w:w="3165"/>
      </w:tblGrid>
      <w:tr w:rsidR="0075701A" w:rsidRPr="0075701A" w14:paraId="2078B57E" w14:textId="77777777" w:rsidTr="00B17D67">
        <w:trPr>
          <w:trHeight w:val="272"/>
        </w:trPr>
        <w:tc>
          <w:tcPr>
            <w:tcW w:w="2537" w:type="dxa"/>
            <w:shd w:val="clear" w:color="auto" w:fill="B8CCE4"/>
            <w:vAlign w:val="center"/>
          </w:tcPr>
          <w:bookmarkEnd w:id="14"/>
          <w:p w14:paraId="2403DCF6" w14:textId="77777777" w:rsidR="0075701A" w:rsidRPr="0075701A" w:rsidRDefault="0075701A" w:rsidP="0075701A">
            <w:pPr>
              <w:widowControl w:val="0"/>
              <w:spacing w:after="0"/>
              <w:ind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ICP</w:t>
            </w:r>
          </w:p>
        </w:tc>
        <w:tc>
          <w:tcPr>
            <w:tcW w:w="3377" w:type="dxa"/>
            <w:shd w:val="clear" w:color="auto" w:fill="B8CCE4"/>
            <w:vAlign w:val="center"/>
          </w:tcPr>
          <w:p w14:paraId="4340871C"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rPr>
            </w:pPr>
            <w:r w:rsidRPr="0075701A">
              <w:rPr>
                <w:rFonts w:ascii="Times New Roman" w:hAnsi="Times New Roman"/>
                <w:b/>
                <w:noProof/>
                <w:color w:val="003063"/>
                <w:sz w:val="20"/>
              </w:rPr>
              <w:t>Ce que cet indicateur mesure</w:t>
            </w:r>
          </w:p>
        </w:tc>
        <w:tc>
          <w:tcPr>
            <w:tcW w:w="3165" w:type="dxa"/>
            <w:shd w:val="clear" w:color="auto" w:fill="B8CCE4"/>
            <w:vAlign w:val="center"/>
          </w:tcPr>
          <w:p w14:paraId="1D8C0A6D" w14:textId="77777777" w:rsidR="0075701A" w:rsidRPr="0075701A" w:rsidRDefault="0075701A" w:rsidP="0075701A">
            <w:pPr>
              <w:widowControl w:val="0"/>
              <w:spacing w:after="0"/>
              <w:ind w:left="108" w:right="136"/>
              <w:jc w:val="both"/>
              <w:rPr>
                <w:rFonts w:ascii="Times New Roman" w:eastAsia="Palatino Linotype" w:hAnsi="Times New Roman" w:cs="Times New Roman"/>
                <w:b/>
                <w:noProof/>
                <w:color w:val="003063"/>
                <w:sz w:val="20"/>
                <w:szCs w:val="20"/>
                <w:vertAlign w:val="superscript"/>
              </w:rPr>
            </w:pPr>
            <w:r w:rsidRPr="0075701A">
              <w:rPr>
                <w:rFonts w:ascii="Times New Roman" w:hAnsi="Times New Roman"/>
                <w:b/>
                <w:noProof/>
                <w:color w:val="003063"/>
                <w:sz w:val="20"/>
              </w:rPr>
              <w:t>Valeurs UE</w:t>
            </w:r>
            <w:r w:rsidRPr="0075701A">
              <w:rPr>
                <w:rFonts w:ascii="Times New Roman" w:hAnsi="Times New Roman"/>
                <w:b/>
                <w:noProof/>
                <w:sz w:val="20"/>
              </w:rPr>
              <w:t xml:space="preserve"> </w:t>
            </w:r>
            <w:r w:rsidRPr="0075701A">
              <w:rPr>
                <w:rFonts w:ascii="Times New Roman" w:hAnsi="Times New Roman"/>
                <w:b/>
                <w:noProof/>
                <w:color w:val="003063"/>
                <w:sz w:val="20"/>
              </w:rPr>
              <w:t>les plus récentes</w:t>
            </w:r>
          </w:p>
        </w:tc>
      </w:tr>
      <w:tr w:rsidR="0075701A" w:rsidRPr="0075701A" w14:paraId="20341371" w14:textId="77777777" w:rsidTr="00B17D67">
        <w:trPr>
          <w:trHeight w:val="1482"/>
        </w:trPr>
        <w:tc>
          <w:tcPr>
            <w:tcW w:w="2537" w:type="dxa"/>
            <w:shd w:val="clear" w:color="auto" w:fill="EB6C6C"/>
          </w:tcPr>
          <w:p w14:paraId="51D75799"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ICP 21: Échanges commerciaux avec le reste du monde</w:t>
            </w:r>
            <w:r w:rsidRPr="0075701A">
              <w:rPr>
                <w:rFonts w:ascii="Times New Roman" w:hAnsi="Times New Roman"/>
                <w:noProof/>
                <w:sz w:val="20"/>
              </w:rPr>
              <w:t xml:space="preserve"> en pourcentage du PIB</w:t>
            </w:r>
          </w:p>
          <w:p w14:paraId="4D486498" w14:textId="77777777" w:rsidR="0075701A" w:rsidRPr="0075701A" w:rsidRDefault="0075701A" w:rsidP="0075701A">
            <w:pPr>
              <w:widowControl w:val="0"/>
              <w:spacing w:after="0"/>
              <w:rPr>
                <w:rFonts w:ascii="Times New Roman" w:eastAsia="Times New Roman" w:hAnsi="Times New Roman" w:cs="Times New Roman"/>
                <w:noProof/>
                <w:sz w:val="20"/>
                <w:szCs w:val="20"/>
                <w:lang w:val="fr-BE"/>
              </w:rPr>
            </w:pPr>
          </w:p>
        </w:tc>
        <w:tc>
          <w:tcPr>
            <w:tcW w:w="3377" w:type="dxa"/>
            <w:shd w:val="clear" w:color="auto" w:fill="EB6C6C"/>
          </w:tcPr>
          <w:p w14:paraId="6D47F727"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eastAsiaTheme="minorEastAsia" w:hAnsi="Times New Roman"/>
                <w:noProof/>
                <w:sz w:val="20"/>
              </w:rPr>
              <w:t>Degré d’intégration économique de l’UE avec le reste du monde.</w:t>
            </w:r>
          </w:p>
        </w:tc>
        <w:tc>
          <w:tcPr>
            <w:tcW w:w="3165" w:type="dxa"/>
            <w:shd w:val="clear" w:color="auto" w:fill="EB6C6C"/>
          </w:tcPr>
          <w:p w14:paraId="7CE18E7F"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14,8 % pour les biens (2023)</w:t>
            </w:r>
          </w:p>
          <w:p w14:paraId="74249DBD" w14:textId="77777777" w:rsidR="0075701A" w:rsidRPr="0075701A" w:rsidRDefault="0075701A" w:rsidP="0075701A">
            <w:pPr>
              <w:widowControl w:val="0"/>
              <w:spacing w:after="12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17,4 % pour les biens (2022)</w:t>
            </w:r>
          </w:p>
          <w:p w14:paraId="3BC44263"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7,4 % pour les services (2023)</w:t>
            </w:r>
          </w:p>
          <w:p w14:paraId="7333AB00"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7,8 % pour les services (2022)</w:t>
            </w:r>
          </w:p>
        </w:tc>
      </w:tr>
      <w:tr w:rsidR="0075701A" w:rsidRPr="0075701A" w14:paraId="6F643C0D" w14:textId="77777777" w:rsidTr="00B17D67">
        <w:trPr>
          <w:trHeight w:val="1485"/>
        </w:trPr>
        <w:tc>
          <w:tcPr>
            <w:tcW w:w="2537" w:type="dxa"/>
            <w:shd w:val="clear" w:color="auto" w:fill="F6FA84"/>
          </w:tcPr>
          <w:p w14:paraId="08DA9405" w14:textId="77777777" w:rsidR="0075701A" w:rsidRPr="0075701A" w:rsidRDefault="0075701A" w:rsidP="0075701A">
            <w:pPr>
              <w:widowControl w:val="0"/>
              <w:spacing w:after="0"/>
              <w:rPr>
                <w:rFonts w:ascii="Times New Roman" w:eastAsia="Times New Roman" w:hAnsi="Times New Roman" w:cs="Times New Roman"/>
                <w:noProof/>
                <w:sz w:val="20"/>
                <w:szCs w:val="20"/>
              </w:rPr>
            </w:pPr>
            <w:r w:rsidRPr="0075701A">
              <w:rPr>
                <w:rFonts w:ascii="Times New Roman" w:hAnsi="Times New Roman"/>
                <w:noProof/>
                <w:color w:val="000000" w:themeColor="text1"/>
                <w:sz w:val="20"/>
              </w:rPr>
              <w:t xml:space="preserve">ICP 22: Part des exportations de biens et de services dans les importations mondiales </w:t>
            </w:r>
          </w:p>
        </w:tc>
        <w:tc>
          <w:tcPr>
            <w:tcW w:w="3377" w:type="dxa"/>
            <w:shd w:val="clear" w:color="auto" w:fill="F6FA84"/>
          </w:tcPr>
          <w:p w14:paraId="446D3F9C" w14:textId="77777777" w:rsidR="0075701A" w:rsidRPr="0075701A" w:rsidRDefault="0075701A" w:rsidP="0075701A">
            <w:pPr>
              <w:widowControl w:val="0"/>
              <w:spacing w:after="0"/>
              <w:rPr>
                <w:rFonts w:ascii="Times New Roman" w:eastAsiaTheme="minorEastAsia" w:hAnsi="Times New Roman" w:cs="Times New Roman"/>
                <w:noProof/>
                <w:sz w:val="20"/>
                <w:szCs w:val="20"/>
              </w:rPr>
            </w:pPr>
            <w:r w:rsidRPr="0075701A">
              <w:rPr>
                <w:rFonts w:ascii="Times New Roman" w:eastAsiaTheme="minorEastAsia" w:hAnsi="Times New Roman"/>
                <w:noProof/>
                <w:sz w:val="20"/>
              </w:rPr>
              <w:t>Poids et part de marché de l’économie de l’UE à l’échelle mondiale.</w:t>
            </w:r>
          </w:p>
        </w:tc>
        <w:tc>
          <w:tcPr>
            <w:tcW w:w="3165" w:type="dxa"/>
            <w:shd w:val="clear" w:color="auto" w:fill="F6FA84"/>
          </w:tcPr>
          <w:p w14:paraId="2E2E1B90"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20,4 % pour les biens (2023)</w:t>
            </w:r>
          </w:p>
          <w:p w14:paraId="39E43FA0" w14:textId="77777777" w:rsidR="0075701A" w:rsidRPr="0075701A" w:rsidRDefault="0075701A" w:rsidP="0075701A">
            <w:pPr>
              <w:widowControl w:val="0"/>
              <w:spacing w:after="12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16,1 % pour les biens (2022)</w:t>
            </w:r>
          </w:p>
          <w:p w14:paraId="0469AE93"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 xml:space="preserve">31,9 % pour les services (2023) </w:t>
            </w:r>
          </w:p>
          <w:p w14:paraId="655B01E3" w14:textId="77777777" w:rsidR="0075701A" w:rsidRPr="0075701A" w:rsidRDefault="0075701A" w:rsidP="0075701A">
            <w:pPr>
              <w:widowControl w:val="0"/>
              <w:spacing w:after="0"/>
              <w:rPr>
                <w:rFonts w:ascii="Times New Roman" w:eastAsia="Times New Roman" w:hAnsi="Times New Roman" w:cs="Times New Roman"/>
                <w:noProof/>
                <w:color w:val="000000" w:themeColor="text1"/>
                <w:sz w:val="20"/>
                <w:szCs w:val="20"/>
              </w:rPr>
            </w:pPr>
            <w:r w:rsidRPr="0075701A">
              <w:rPr>
                <w:rFonts w:ascii="Times New Roman" w:hAnsi="Times New Roman"/>
                <w:noProof/>
                <w:color w:val="000000" w:themeColor="text1"/>
                <w:sz w:val="20"/>
              </w:rPr>
              <w:t>33,5 % pour les services (2022)</w:t>
            </w:r>
          </w:p>
        </w:tc>
      </w:tr>
    </w:tbl>
    <w:p w14:paraId="7360AFB6" w14:textId="77777777" w:rsidR="0075701A" w:rsidRPr="0075701A" w:rsidRDefault="0075701A" w:rsidP="0075701A">
      <w:pPr>
        <w:widowControl w:val="0"/>
        <w:spacing w:before="240"/>
        <w:jc w:val="both"/>
        <w:rPr>
          <w:rFonts w:ascii="Times New Roman" w:eastAsia="Times New Roman" w:hAnsi="Times New Roman" w:cs="Times New Roman"/>
          <w:noProof/>
          <w:sz w:val="24"/>
          <w:szCs w:val="24"/>
        </w:rPr>
      </w:pPr>
      <w:r w:rsidRPr="0075701A">
        <w:rPr>
          <w:rFonts w:ascii="Times New Roman" w:hAnsi="Times New Roman"/>
          <w:b/>
          <w:noProof/>
          <w:sz w:val="24"/>
        </w:rPr>
        <w:t>Le commerce international est essentiel à la prospérité de l’UE.</w:t>
      </w:r>
      <w:r w:rsidRPr="0075701A">
        <w:rPr>
          <w:rFonts w:ascii="Times New Roman" w:hAnsi="Times New Roman"/>
          <w:noProof/>
          <w:sz w:val="24"/>
        </w:rPr>
        <w:t xml:space="preserve"> Il permet aux entreprises de développer leurs activités à l’échelle mondiale, de créer des emplois et des revenus, de favoriser l’efficacité et de promouvoir l’innovation. Il contribue également à la sécurité économique de l’Europe en sécurisant et en diversifiant les chaînes d’approvisionnement, notamment pour importer des intrants critiques pour les entreprises européennes. L’ouverture de l’économie de l’UE et l’importance économique du commerce avec le reste du monde ont doublé au cours des 30 dernières années, les échanges extra-UE de biens passant de 8 % du PIB en 1995 à 14,8 % en 2023 et les échanges extra-UE de services passant de 3 % du PIB en 1995 à 7,4 % en 2023 (ICP 21)</w:t>
      </w:r>
      <w:r w:rsidRPr="0075701A">
        <w:rPr>
          <w:noProof/>
          <w:vertAlign w:val="superscript"/>
        </w:rPr>
        <w:footnoteReference w:id="126"/>
      </w:r>
      <w:r w:rsidRPr="0075701A">
        <w:rPr>
          <w:rFonts w:ascii="Times New Roman" w:hAnsi="Times New Roman"/>
          <w:noProof/>
          <w:sz w:val="24"/>
        </w:rPr>
        <w:t xml:space="preserve">. Par rapport à 2022, </w:t>
      </w:r>
      <w:r w:rsidRPr="0075701A">
        <w:rPr>
          <w:rFonts w:ascii="Times New Roman" w:hAnsi="Times New Roman"/>
          <w:noProof/>
          <w:color w:val="000000" w:themeColor="text1"/>
          <w:sz w:val="24"/>
        </w:rPr>
        <w:t xml:space="preserve">les échanges commerciaux en pourcentage du PIB ont diminué, en particulier pour les biens. Reflétant les tendances du commerce intra-UE décrites dans la section 1.1, le commerce extra-UE reste supérieur aux niveaux de 2021 et d’avant la pandémie, une part importante de la hausse de 2022 étant liée aux effets des prix (de l’énergie). Le graphique 9 illustre cette situation. </w:t>
      </w:r>
    </w:p>
    <w:p w14:paraId="5F41D605" w14:textId="77777777" w:rsidR="0075701A" w:rsidRPr="0075701A" w:rsidRDefault="0075701A" w:rsidP="0075701A">
      <w:pPr>
        <w:widowControl w:val="0"/>
        <w:jc w:val="both"/>
        <w:rPr>
          <w:rFonts w:ascii="Times New Roman" w:eastAsia="Times New Roman" w:hAnsi="Times New Roman" w:cs="Times New Roman"/>
          <w:noProof/>
          <w:sz w:val="24"/>
          <w:szCs w:val="24"/>
        </w:rPr>
      </w:pPr>
      <w:r w:rsidRPr="0075701A">
        <w:rPr>
          <w:rFonts w:ascii="Times New Roman" w:hAnsi="Times New Roman"/>
          <w:b/>
          <w:noProof/>
          <w:sz w:val="24"/>
        </w:rPr>
        <w:t>L’UE puise sa force économique et politique de sa position en tant que puissance commerciale mondiale puisqu’elle est la première au monde pour les exportations de services et la deuxième pour les exportations de biens.</w:t>
      </w:r>
      <w:r w:rsidRPr="0075701A">
        <w:rPr>
          <w:rFonts w:ascii="Times New Roman" w:hAnsi="Times New Roman"/>
          <w:noProof/>
          <w:sz w:val="24"/>
        </w:rPr>
        <w:t xml:space="preserve"> Au fil du temps, l’UE a toujours été l’économie caractérisée par le plus grand volume d’exportations de services, celui-ci ayant augmenté régulièrement pour atteindre un pic de 36 % des importations de services du reste du monde en 2021, avant de retomber à un peu moins de 32 % en 2023.</w:t>
      </w:r>
      <w:r w:rsidRPr="0075701A">
        <w:rPr>
          <w:rFonts w:ascii="Times New Roman" w:hAnsi="Times New Roman"/>
          <w:noProof/>
          <w:color w:val="000000" w:themeColor="text1"/>
          <w:sz w:val="24"/>
        </w:rPr>
        <w:t xml:space="preserve"> Les exportations de biens en tant que part des importations du reste du monde ont connu une tendance inverse au cours de la dernière décennie, les chiffres de l’UE diminuant lentement, à l’exception d’un bond de 16 % en 2022 à 20 % en 2023 (voir graphique 10, ICP 22)</w:t>
      </w:r>
      <w:r w:rsidRPr="0075701A">
        <w:rPr>
          <w:rFonts w:ascii="Times New Roman" w:eastAsia="Times New Roman" w:hAnsi="Times New Roman" w:cs="Times New Roman"/>
          <w:noProof/>
          <w:color w:val="000000" w:themeColor="text1"/>
          <w:sz w:val="24"/>
          <w:szCs w:val="24"/>
          <w:vertAlign w:val="superscript"/>
        </w:rPr>
        <w:footnoteReference w:id="127"/>
      </w:r>
      <w:r w:rsidRPr="0075701A">
        <w:rPr>
          <w:rFonts w:ascii="Times New Roman" w:hAnsi="Times New Roman"/>
          <w:noProof/>
          <w:color w:val="000000" w:themeColor="text1"/>
          <w:sz w:val="24"/>
        </w:rPr>
        <w:t xml:space="preserve">. </w:t>
      </w:r>
    </w:p>
    <w:tbl>
      <w:tblPr>
        <w:tblStyle w:val="TableGrid"/>
        <w:tblW w:w="9198" w:type="dxa"/>
        <w:tblInd w:w="-142" w:type="dxa"/>
        <w:tblLook w:val="04A0" w:firstRow="1" w:lastRow="0" w:firstColumn="1" w:lastColumn="0" w:noHBand="0" w:noVBand="1"/>
      </w:tblPr>
      <w:tblGrid>
        <w:gridCol w:w="157"/>
        <w:gridCol w:w="4745"/>
        <w:gridCol w:w="4296"/>
      </w:tblGrid>
      <w:tr w:rsidR="0075701A" w:rsidRPr="0075701A" w14:paraId="62408955" w14:textId="77777777" w:rsidTr="00B17D67">
        <w:trPr>
          <w:trHeight w:val="3494"/>
        </w:trPr>
        <w:tc>
          <w:tcPr>
            <w:tcW w:w="4956" w:type="dxa"/>
            <w:gridSpan w:val="2"/>
            <w:tcBorders>
              <w:top w:val="nil"/>
              <w:left w:val="nil"/>
              <w:bottom w:val="nil"/>
              <w:right w:val="nil"/>
            </w:tcBorders>
          </w:tcPr>
          <w:p w14:paraId="7BBC7639" w14:textId="77777777" w:rsidR="0075701A" w:rsidRPr="0075701A" w:rsidRDefault="0075701A" w:rsidP="0075701A">
            <w:pPr>
              <w:keepNext/>
              <w:keepLines/>
              <w:spacing w:after="160" w:line="259" w:lineRule="auto"/>
              <w:jc w:val="both"/>
              <w:rPr>
                <w:rFonts w:ascii="Times New Roman" w:eastAsia="Times New Roman" w:hAnsi="Times New Roman" w:cs="Times New Roman"/>
                <w:noProof/>
                <w:color w:val="000000" w:themeColor="text1"/>
                <w:sz w:val="24"/>
                <w:szCs w:val="24"/>
              </w:rPr>
            </w:pPr>
            <w:r w:rsidRPr="0075701A">
              <w:rPr>
                <w:rFonts w:ascii="Times New Roman" w:hAnsi="Times New Roman"/>
                <w:b/>
                <w:noProof/>
                <w:color w:val="000000" w:themeColor="text1"/>
                <w:sz w:val="24"/>
              </w:rPr>
              <w:t xml:space="preserve">Graphique 9: </w:t>
            </w:r>
            <w:r w:rsidRPr="0075701A">
              <w:rPr>
                <w:rFonts w:ascii="Times New Roman" w:hAnsi="Times New Roman"/>
                <w:noProof/>
                <w:color w:val="000000" w:themeColor="text1"/>
                <w:sz w:val="24"/>
              </w:rPr>
              <w:t>Échanges commerciaux de l’UE avec le reste du monde en pourcentage du PIB de l’UE.</w:t>
            </w:r>
          </w:p>
          <w:p w14:paraId="081064F1" w14:textId="77777777" w:rsidR="0075701A" w:rsidRPr="0075701A" w:rsidRDefault="0075701A" w:rsidP="0075701A">
            <w:pPr>
              <w:keepNext/>
              <w:keepLines/>
              <w:spacing w:after="160" w:line="259" w:lineRule="auto"/>
              <w:jc w:val="both"/>
              <w:rPr>
                <w:rFonts w:ascii="Times New Roman" w:eastAsia="Times New Roman" w:hAnsi="Times New Roman" w:cs="Times New Roman"/>
                <w:b/>
                <w:noProof/>
                <w:color w:val="000000" w:themeColor="text1"/>
                <w:sz w:val="20"/>
                <w:szCs w:val="20"/>
              </w:rPr>
            </w:pPr>
            <w:r w:rsidRPr="0075701A">
              <w:rPr>
                <w:noProof/>
                <w:lang w:val="en-GB" w:eastAsia="en-GB"/>
              </w:rPr>
              <w:drawing>
                <wp:inline distT="0" distB="0" distL="0" distR="0" wp14:anchorId="18A6CB0F" wp14:editId="30A7DBBE">
                  <wp:extent cx="2943225" cy="2076450"/>
                  <wp:effectExtent l="0" t="0" r="9525" b="0"/>
                  <wp:docPr id="603193772" name="Chart 1">
                    <a:extLst xmlns:a="http://schemas.openxmlformats.org/drawingml/2006/main">
                      <a:ext uri="{FF2B5EF4-FFF2-40B4-BE49-F238E27FC236}">
                        <a16:creationId xmlns:a16="http://schemas.microsoft.com/office/drawing/2014/main" id="{616F7390-1C2B-4E1D-9AB5-A9A4544630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4242" w:type="dxa"/>
            <w:tcBorders>
              <w:top w:val="nil"/>
              <w:left w:val="nil"/>
              <w:bottom w:val="nil"/>
              <w:right w:val="nil"/>
            </w:tcBorders>
          </w:tcPr>
          <w:p w14:paraId="77FD2B51" w14:textId="77777777" w:rsidR="0075701A" w:rsidRPr="0075701A" w:rsidRDefault="0075701A" w:rsidP="0075701A">
            <w:pPr>
              <w:keepNext/>
              <w:keepLines/>
              <w:spacing w:after="160" w:line="259" w:lineRule="auto"/>
              <w:jc w:val="both"/>
              <w:rPr>
                <w:rFonts w:ascii="Times New Roman" w:eastAsia="Times New Roman" w:hAnsi="Times New Roman" w:cs="Times New Roman"/>
                <w:noProof/>
                <w:color w:val="000000" w:themeColor="text1"/>
                <w:sz w:val="24"/>
                <w:szCs w:val="24"/>
              </w:rPr>
            </w:pPr>
            <w:r w:rsidRPr="0075701A">
              <w:rPr>
                <w:rFonts w:ascii="Times New Roman" w:hAnsi="Times New Roman"/>
                <w:b/>
                <w:noProof/>
                <w:color w:val="000000" w:themeColor="text1"/>
                <w:sz w:val="24"/>
              </w:rPr>
              <w:t xml:space="preserve">Graphique 10: </w:t>
            </w:r>
            <w:r w:rsidRPr="0075701A">
              <w:rPr>
                <w:rFonts w:ascii="Times New Roman" w:hAnsi="Times New Roman"/>
                <w:noProof/>
                <w:color w:val="000000" w:themeColor="text1"/>
                <w:sz w:val="24"/>
              </w:rPr>
              <w:t>Part des exportations de biens et de services dans les importations effectuées par le reste du monde.</w:t>
            </w:r>
          </w:p>
          <w:p w14:paraId="4673C45A" w14:textId="77777777" w:rsidR="0075701A" w:rsidRPr="0075701A" w:rsidRDefault="0075701A" w:rsidP="0075701A">
            <w:pPr>
              <w:keepNext/>
              <w:keepLines/>
              <w:spacing w:after="160" w:line="259" w:lineRule="auto"/>
              <w:jc w:val="both"/>
              <w:rPr>
                <w:rFonts w:ascii="Times New Roman" w:eastAsia="Times New Roman" w:hAnsi="Times New Roman" w:cs="Times New Roman"/>
                <w:b/>
                <w:noProof/>
                <w:color w:val="000000" w:themeColor="text1"/>
                <w:sz w:val="20"/>
                <w:szCs w:val="20"/>
              </w:rPr>
            </w:pPr>
            <w:r w:rsidRPr="0075701A">
              <w:rPr>
                <w:noProof/>
                <w:lang w:val="en-GB" w:eastAsia="en-GB"/>
              </w:rPr>
              <w:drawing>
                <wp:inline distT="0" distB="0" distL="0" distR="0" wp14:anchorId="1CDCF192" wp14:editId="1F5813A2">
                  <wp:extent cx="2581275" cy="2066925"/>
                  <wp:effectExtent l="0" t="0" r="9525" b="9525"/>
                  <wp:docPr id="270346807" name="Chart 1">
                    <a:extLst xmlns:a="http://schemas.openxmlformats.org/drawingml/2006/main">
                      <a:ext uri="{FF2B5EF4-FFF2-40B4-BE49-F238E27FC236}">
                        <a16:creationId xmlns:a16="http://schemas.microsoft.com/office/drawing/2014/main" id="{CD9DB78E-8611-45B0-8860-7E38CAEBC2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75701A" w:rsidRPr="0075701A" w14:paraId="4598D931" w14:textId="77777777" w:rsidTr="00B17D67">
        <w:trPr>
          <w:gridBefore w:val="1"/>
          <w:wBefore w:w="157" w:type="dxa"/>
          <w:trHeight w:val="325"/>
        </w:trPr>
        <w:tc>
          <w:tcPr>
            <w:tcW w:w="9041" w:type="dxa"/>
            <w:gridSpan w:val="2"/>
            <w:tcBorders>
              <w:top w:val="nil"/>
              <w:left w:val="nil"/>
              <w:bottom w:val="nil"/>
              <w:right w:val="nil"/>
            </w:tcBorders>
          </w:tcPr>
          <w:p w14:paraId="60E17D82" w14:textId="77777777" w:rsidR="0075701A" w:rsidRPr="0075701A" w:rsidRDefault="0075701A" w:rsidP="0075701A">
            <w:pPr>
              <w:widowControl w:val="0"/>
              <w:spacing w:after="160" w:line="259" w:lineRule="auto"/>
              <w:jc w:val="both"/>
              <w:rPr>
                <w:rFonts w:ascii="Times New Roman" w:eastAsia="Times New Roman" w:hAnsi="Times New Roman" w:cs="Times New Roman"/>
                <w:noProof/>
                <w:color w:val="000000" w:themeColor="text1"/>
                <w:sz w:val="20"/>
                <w:szCs w:val="20"/>
              </w:rPr>
            </w:pPr>
            <w:r w:rsidRPr="0075701A">
              <w:rPr>
                <w:rFonts w:ascii="Times New Roman" w:hAnsi="Times New Roman"/>
                <w:b/>
                <w:noProof/>
                <w:color w:val="000000" w:themeColor="text1"/>
                <w:sz w:val="20"/>
              </w:rPr>
              <w:t xml:space="preserve">Sources: </w:t>
            </w:r>
            <w:r w:rsidRPr="0075701A">
              <w:rPr>
                <w:rFonts w:ascii="Times New Roman" w:hAnsi="Times New Roman"/>
                <w:noProof/>
                <w:color w:val="000000" w:themeColor="text1"/>
                <w:sz w:val="20"/>
              </w:rPr>
              <w:t>Organisation des Nations unies pour le développement industriel, base de données sur les performances compétitives de l’industrie; base de données de la Banque mondiale; Eurostat; estimations de la Commission européenne.</w:t>
            </w:r>
          </w:p>
        </w:tc>
      </w:tr>
    </w:tbl>
    <w:p w14:paraId="13D0F509" w14:textId="77777777" w:rsidR="0075701A" w:rsidRPr="0075701A" w:rsidRDefault="0075701A" w:rsidP="0075701A">
      <w:pPr>
        <w:jc w:val="both"/>
        <w:rPr>
          <w:noProof/>
        </w:rPr>
      </w:pPr>
      <w:r w:rsidRPr="0075701A">
        <w:rPr>
          <w:rFonts w:ascii="Times New Roman" w:hAnsi="Times New Roman"/>
          <w:b/>
          <w:noProof/>
          <w:sz w:val="24"/>
        </w:rPr>
        <w:t xml:space="preserve">Ces tendances s’inscrivent dans le cadre de changements plus larges du paysage commercial mondial. </w:t>
      </w:r>
      <w:r w:rsidRPr="0075701A">
        <w:rPr>
          <w:rFonts w:ascii="Times New Roman" w:hAnsi="Times New Roman"/>
          <w:noProof/>
          <w:sz w:val="24"/>
        </w:rPr>
        <w:t>Bien qu’il n’y ait aucune preuve d’une démondialisation structurelle, l’importance du commerce mondial par rapport au PIB est restée globalement stable depuis 2013. Cette situation a été attribuée en partie à divers chocs tels que la pandémie de COVID-19 et les tensions commerciales entre les États-Unis et la Chine. Ces dernières années, les acteurs économiques du monde entier ont mis en place des politiques visant à améliorer leur sécurité économique et leur résilience (voir l’annexe 2 sur les mesures de résilience prises par certains acteurs mondiaux), ce qui a entraîné une reconfiguration mondiale des chaînes d’approvisionnement. Les chaînes d’approvisionnement de l’UE sont des réseaux dynamiques dotés d’une grande capacité d’adaptation à ce nouveau paysage mondial. Une analyse récente indique qu’il existe des preuves d’une poursuite de la réallocation des importations de l’UE, aux dépens des partenaires non signataires d’un accord</w:t>
      </w:r>
      <w:r w:rsidRPr="0075701A">
        <w:rPr>
          <w:rFonts w:ascii="Times New Roman" w:hAnsi="Times New Roman" w:cs="Times New Roman"/>
          <w:noProof/>
          <w:sz w:val="24"/>
          <w:szCs w:val="24"/>
          <w:vertAlign w:val="superscript"/>
        </w:rPr>
        <w:footnoteReference w:id="128"/>
      </w:r>
      <w:r w:rsidRPr="0075701A">
        <w:rPr>
          <w:rFonts w:ascii="Times New Roman" w:hAnsi="Times New Roman"/>
          <w:noProof/>
          <w:sz w:val="24"/>
        </w:rPr>
        <w:t xml:space="preserve"> et au bénéfice de l’UE («reshoring» ou relocalisation dans l’UE), des partenaires voisins signataires d’un accord («nearshoring» ou relocalisation dans des pays voisins) et des partenaires non voisins signataires d’un accord («partnershoring» ou relocalisation dans des pays partenaires), avec des intensités variables</w:t>
      </w:r>
      <w:r w:rsidRPr="0075701A">
        <w:rPr>
          <w:rFonts w:ascii="Times New Roman" w:hAnsi="Times New Roman" w:cs="Times New Roman"/>
          <w:noProof/>
          <w:sz w:val="24"/>
          <w:szCs w:val="24"/>
          <w:vertAlign w:val="superscript"/>
        </w:rPr>
        <w:footnoteReference w:id="129"/>
      </w:r>
      <w:r w:rsidRPr="0075701A">
        <w:rPr>
          <w:rFonts w:ascii="Times New Roman" w:hAnsi="Times New Roman"/>
          <w:noProof/>
          <w:sz w:val="24"/>
        </w:rPr>
        <w:t>. Cela a globalement conduit à une plus grande diversification des importations de l’UE.</w:t>
      </w:r>
      <w:r w:rsidRPr="0075701A">
        <w:rPr>
          <w:noProof/>
        </w:rPr>
        <w:t xml:space="preserve"> </w:t>
      </w:r>
    </w:p>
    <w:p w14:paraId="525511A4" w14:textId="77777777" w:rsidR="0075701A" w:rsidRPr="0075701A" w:rsidRDefault="0075701A" w:rsidP="0075701A">
      <w:pPr>
        <w:widowControl w:val="0"/>
        <w:jc w:val="both"/>
        <w:rPr>
          <w:rFonts w:ascii="Times New Roman" w:eastAsia="Times New Roman" w:hAnsi="Times New Roman" w:cs="Times New Roman"/>
          <w:noProof/>
          <w:sz w:val="24"/>
          <w:szCs w:val="24"/>
        </w:rPr>
      </w:pPr>
      <w:r w:rsidRPr="0075701A">
        <w:rPr>
          <w:rFonts w:ascii="Times New Roman" w:hAnsi="Times New Roman"/>
          <w:b/>
          <w:noProof/>
          <w:sz w:val="24"/>
        </w:rPr>
        <w:t>Les accords commerciaux et les partenariats stratégiques favorisent l’accès aux marchés étrangers et génèrent de nouvelles possibilités d’investissement.</w:t>
      </w:r>
      <w:r w:rsidRPr="0075701A">
        <w:rPr>
          <w:rFonts w:ascii="Times New Roman" w:hAnsi="Times New Roman"/>
          <w:b/>
          <w:noProof/>
          <w:color w:val="000000" w:themeColor="text1"/>
          <w:sz w:val="24"/>
        </w:rPr>
        <w:t xml:space="preserve"> </w:t>
      </w:r>
      <w:r w:rsidRPr="0075701A">
        <w:rPr>
          <w:rFonts w:ascii="Times New Roman" w:hAnsi="Times New Roman"/>
          <w:noProof/>
          <w:sz w:val="24"/>
        </w:rPr>
        <w:t>Cet aspect est crucial, compte tenu à la fois des limites de la production intérieure de certains biens et du potentiel qu’ont les entreprises de l’UE d’ouvrir de nouvelles perspectives à l’étranger. Au cours des cinq dernières années, la Commission a supprimé 140 obstacles aux exportations de l’UE dans plus de 40 pays, ce qui a permis de débloquer 6,2 milliards d’EUR d’exportations supplémentaires uniquement pour l’année 2023</w:t>
      </w:r>
      <w:r w:rsidRPr="0075701A">
        <w:rPr>
          <w:rFonts w:ascii="Times New Roman" w:eastAsia="Times New Roman" w:hAnsi="Times New Roman" w:cs="Times New Roman"/>
          <w:noProof/>
          <w:sz w:val="24"/>
          <w:szCs w:val="24"/>
          <w:vertAlign w:val="superscript"/>
        </w:rPr>
        <w:footnoteReference w:id="130"/>
      </w:r>
      <w:r w:rsidRPr="0075701A">
        <w:rPr>
          <w:rFonts w:ascii="Times New Roman" w:hAnsi="Times New Roman"/>
          <w:noProof/>
          <w:sz w:val="24"/>
        </w:rPr>
        <w:t>.</w:t>
      </w:r>
    </w:p>
    <w:p w14:paraId="2492A356" w14:textId="77777777" w:rsidR="0075701A" w:rsidRPr="0075701A" w:rsidRDefault="0075701A" w:rsidP="0075701A">
      <w:pPr>
        <w:widowControl w:val="0"/>
        <w:jc w:val="both"/>
        <w:rPr>
          <w:rFonts w:ascii="Times New Roman" w:eastAsia="Times New Roman" w:hAnsi="Times New Roman" w:cs="Times New Roman"/>
          <w:noProof/>
          <w:sz w:val="24"/>
          <w:szCs w:val="24"/>
        </w:rPr>
      </w:pPr>
      <w:r w:rsidRPr="0075701A">
        <w:rPr>
          <w:rFonts w:ascii="Times New Roman" w:hAnsi="Times New Roman"/>
          <w:b/>
          <w:noProof/>
          <w:sz w:val="24"/>
        </w:rPr>
        <w:t>Dans le même temps, les tensions géopolitiques accrues, les pratiques commerciales déloyales et les dépendances stratégiques, auxquelles une économie ouverte comme celle de l’UE est exposée, comportent des risques importants.</w:t>
      </w:r>
      <w:r w:rsidRPr="0075701A">
        <w:rPr>
          <w:rFonts w:ascii="Times New Roman" w:hAnsi="Times New Roman"/>
          <w:noProof/>
          <w:sz w:val="24"/>
        </w:rPr>
        <w:t xml:space="preserve"> La hausse des exportations chinoises à des prix très compétitifs, facilitées dans de nombreux cas par des subventions publiques, pourrait causer de graves dommages à certains segments de l’industrie manufacturière de l’UE. C’est pourquoi l’UE a introduit des droits de douane sur les véhicules électriques en provenance de Chine</w:t>
      </w:r>
      <w:r w:rsidRPr="0075701A">
        <w:rPr>
          <w:rFonts w:ascii="Times New Roman" w:eastAsia="Times New Roman" w:hAnsi="Times New Roman" w:cs="Times New Roman"/>
          <w:noProof/>
          <w:sz w:val="24"/>
          <w:szCs w:val="24"/>
          <w:vertAlign w:val="superscript"/>
        </w:rPr>
        <w:footnoteReference w:id="131"/>
      </w:r>
      <w:r w:rsidRPr="0075701A">
        <w:rPr>
          <w:rFonts w:ascii="Times New Roman" w:hAnsi="Times New Roman"/>
          <w:noProof/>
          <w:sz w:val="24"/>
        </w:rPr>
        <w:t>. En outre, l’UE a mis en place un nouveau règlement relatif aux subventions étrangères et a renforcé le cadre pour le filtrage des investissements directs étrangers dans les domaines stratégiques. L’annexe 2 donne un aperçu des mesures de résilience de certains acteurs mondiaux</w:t>
      </w:r>
      <w:r w:rsidRPr="0075701A">
        <w:rPr>
          <w:rFonts w:ascii="Times New Roman" w:eastAsia="Times New Roman" w:hAnsi="Times New Roman" w:cs="Times New Roman"/>
          <w:noProof/>
          <w:sz w:val="24"/>
          <w:szCs w:val="24"/>
          <w:vertAlign w:val="superscript"/>
        </w:rPr>
        <w:footnoteReference w:id="132"/>
      </w:r>
      <w:r w:rsidRPr="0075701A">
        <w:rPr>
          <w:rFonts w:ascii="Times New Roman" w:hAnsi="Times New Roman"/>
          <w:noProof/>
          <w:sz w:val="24"/>
        </w:rPr>
        <w:t xml:space="preserve">. </w:t>
      </w:r>
    </w:p>
    <w:p w14:paraId="2890DD28" w14:textId="77777777" w:rsidR="0075701A" w:rsidRPr="0075701A" w:rsidRDefault="0075701A" w:rsidP="0075701A">
      <w:pPr>
        <w:widowControl w:val="0"/>
        <w:jc w:val="both"/>
        <w:rPr>
          <w:rFonts w:ascii="Times New Roman" w:hAnsi="Times New Roman" w:cs="Times New Roman"/>
          <w:noProof/>
          <w:sz w:val="24"/>
          <w:szCs w:val="24"/>
        </w:rPr>
      </w:pPr>
      <w:r w:rsidRPr="0075701A">
        <w:rPr>
          <w:rFonts w:ascii="Times New Roman" w:hAnsi="Times New Roman"/>
          <w:b/>
          <w:noProof/>
          <w:sz w:val="24"/>
        </w:rPr>
        <w:t xml:space="preserve">L’analyse de la vulnérabilité extérieure de l’économie de l’UE révèle que l’Union est plus exposée aux vulnérabilités du commerce extérieur que la Chine, mais moins exposée que les États-Unis. </w:t>
      </w:r>
      <w:r w:rsidRPr="0075701A">
        <w:rPr>
          <w:rFonts w:ascii="Times New Roman" w:hAnsi="Times New Roman"/>
          <w:noProof/>
          <w:sz w:val="24"/>
        </w:rPr>
        <w:t>Pour tous les produits industriels, l’indice de vulnérabilité externe</w:t>
      </w:r>
      <w:r w:rsidRPr="0075701A">
        <w:rPr>
          <w:rFonts w:ascii="Times New Roman" w:hAnsi="Times New Roman" w:cs="Times New Roman"/>
          <w:bCs/>
          <w:noProof/>
          <w:sz w:val="24"/>
          <w:szCs w:val="24"/>
          <w:vertAlign w:val="superscript"/>
        </w:rPr>
        <w:footnoteReference w:id="133"/>
      </w:r>
      <w:r w:rsidRPr="0075701A">
        <w:rPr>
          <w:rFonts w:ascii="Times New Roman" w:hAnsi="Times New Roman"/>
          <w:noProof/>
          <w:sz w:val="24"/>
        </w:rPr>
        <w:t xml:space="preserve"> place l’UE à 0,22, la Chine à 0,13 et les États-Unis à 0,28. Dans les chaînes d’approvisionnement stratégiques telles que les semi-conducteurs, les technologies «zéro net» et les matières premières critiques, l’UE est la plus vulnérable pour les matières premières (0,28), par rapport aux semi-conducteurs (0,22) et aux technologies «zéro net» (0,18). En comparaison avec ses principaux partenaires commerciaux, l’UE semble plus vulnérable aux facteurs externes dans les trois chaînes d’approvisionnement spécifiques par rapport à la Chine. Toutefois, comparée aux États-Unis, l’UE est plus vulnérable uniquement dans la chaîne d’approvisionnement des semi-conducteurs. Au cours de la dernière décennie, l’UE a enregistré une légère baisse de la vulnérabilité des matières premières critiques, tandis que les vulnérabilités des chaînes d’approvisionnement en semi-conducteurs et en technologies «zéro net» sont restées relativement stables, comme détaillé dans la partie II de l’annexe 1.</w:t>
      </w:r>
    </w:p>
    <w:p w14:paraId="588102E0" w14:textId="77777777" w:rsidR="0075701A" w:rsidRPr="0075701A" w:rsidRDefault="0075701A" w:rsidP="0075701A">
      <w:pPr>
        <w:widowControl w:val="0"/>
        <w:jc w:val="both"/>
        <w:rPr>
          <w:rFonts w:ascii="Times New Roman" w:hAnsi="Times New Roman" w:cs="Times New Roman"/>
          <w:noProof/>
          <w:sz w:val="24"/>
          <w:szCs w:val="24"/>
        </w:rPr>
      </w:pPr>
      <w:r w:rsidRPr="0075701A">
        <w:rPr>
          <w:rFonts w:ascii="Times New Roman" w:hAnsi="Times New Roman"/>
          <w:b/>
          <w:noProof/>
          <w:sz w:val="24"/>
        </w:rPr>
        <w:t>Les entreprises de l’UE ont signalé des difficultés d’accès à certaines matières premières</w:t>
      </w:r>
      <w:r w:rsidRPr="0075701A">
        <w:rPr>
          <w:rFonts w:ascii="Times New Roman" w:hAnsi="Times New Roman"/>
          <w:noProof/>
          <w:sz w:val="24"/>
        </w:rPr>
        <w:t>, l’accès à l’acier, au cuivre, aux combustibles fossiles, au lithium, etc., étant considéré comme un obstacle majeur par 37 % d’entre elles</w:t>
      </w:r>
      <w:r w:rsidRPr="0075701A">
        <w:rPr>
          <w:rFonts w:ascii="Times New Roman" w:eastAsia="Times New Roman" w:hAnsi="Times New Roman" w:cs="Times New Roman"/>
          <w:noProof/>
          <w:sz w:val="24"/>
          <w:szCs w:val="24"/>
          <w:vertAlign w:val="superscript"/>
        </w:rPr>
        <w:footnoteReference w:id="134"/>
      </w:r>
      <w:r w:rsidRPr="0075701A">
        <w:rPr>
          <w:rFonts w:ascii="Times New Roman" w:hAnsi="Times New Roman"/>
          <w:noProof/>
          <w:sz w:val="24"/>
        </w:rPr>
        <w:t>. L’accès aux semi-conducteurs et aux micropuces (23 %), ainsi qu’aux autres composants, produits semi-finis et équipements (27 %)</w:t>
      </w:r>
      <w:r w:rsidRPr="0075701A">
        <w:rPr>
          <w:rFonts w:ascii="Times New Roman" w:eastAsia="Times New Roman" w:hAnsi="Times New Roman" w:cs="Times New Roman"/>
          <w:noProof/>
          <w:sz w:val="24"/>
          <w:szCs w:val="24"/>
          <w:vertAlign w:val="superscript"/>
        </w:rPr>
        <w:footnoteReference w:id="135"/>
      </w:r>
      <w:r w:rsidRPr="0075701A">
        <w:rPr>
          <w:rFonts w:ascii="Times New Roman" w:hAnsi="Times New Roman"/>
          <w:noProof/>
          <w:sz w:val="24"/>
        </w:rPr>
        <w:t>, constitue également un obstacle majeur. Afin d’améliorer l’accès aux matières premières critiques, l’UE a signé 14 partenariats dans ce domaine, et d’autres sont en préparation</w:t>
      </w:r>
      <w:r w:rsidRPr="0075701A">
        <w:rPr>
          <w:rFonts w:ascii="Times New Roman" w:eastAsia="Times New Roman" w:hAnsi="Times New Roman" w:cs="Times New Roman"/>
          <w:noProof/>
          <w:sz w:val="24"/>
          <w:szCs w:val="24"/>
          <w:vertAlign w:val="superscript"/>
        </w:rPr>
        <w:footnoteReference w:id="136"/>
      </w:r>
      <w:r w:rsidRPr="0075701A">
        <w:rPr>
          <w:rFonts w:ascii="Times New Roman" w:hAnsi="Times New Roman"/>
          <w:noProof/>
          <w:sz w:val="24"/>
        </w:rPr>
        <w:t>. Avec la stratégie «Global Gateway»</w:t>
      </w:r>
      <w:r w:rsidRPr="0075701A">
        <w:rPr>
          <w:rFonts w:ascii="Times New Roman" w:eastAsia="Times New Roman" w:hAnsi="Times New Roman" w:cs="Times New Roman"/>
          <w:noProof/>
          <w:sz w:val="24"/>
          <w:szCs w:val="24"/>
          <w:vertAlign w:val="superscript"/>
        </w:rPr>
        <w:footnoteReference w:id="137"/>
      </w:r>
      <w:r w:rsidRPr="0075701A">
        <w:rPr>
          <w:rFonts w:ascii="Times New Roman" w:hAnsi="Times New Roman"/>
          <w:noProof/>
          <w:sz w:val="24"/>
        </w:rPr>
        <w:t>, l’UE continue de renforcer les liens commerciaux avec les pôles de croissance et de sécuriser les chaînes d’approvisionnement dans les domaines critiques.</w:t>
      </w:r>
    </w:p>
    <w:p w14:paraId="68581FD1" w14:textId="77777777" w:rsidR="0075701A" w:rsidRPr="0075701A" w:rsidRDefault="0075701A" w:rsidP="0075701A">
      <w:pPr>
        <w:widowControl w:val="0"/>
        <w:jc w:val="both"/>
        <w:rPr>
          <w:rFonts w:ascii="Times New Roman" w:hAnsi="Times New Roman" w:cs="Times New Roman"/>
          <w:noProof/>
          <w:sz w:val="24"/>
          <w:szCs w:val="24"/>
        </w:rPr>
      </w:pPr>
    </w:p>
    <w:p w14:paraId="17C989F7" w14:textId="77777777" w:rsidR="0075701A" w:rsidRPr="0075701A" w:rsidRDefault="0075701A" w:rsidP="0075701A">
      <w:pPr>
        <w:widowControl w:val="0"/>
        <w:jc w:val="both"/>
        <w:rPr>
          <w:rFonts w:ascii="Times New Roman" w:hAnsi="Times New Roman" w:cs="Times New Roman"/>
          <w:b/>
          <w:noProof/>
          <w:color w:val="000000"/>
          <w:sz w:val="28"/>
          <w:szCs w:val="28"/>
          <w:shd w:val="clear" w:color="auto" w:fill="FFFFFF"/>
        </w:rPr>
      </w:pPr>
      <w:r w:rsidRPr="0075701A">
        <w:rPr>
          <w:rFonts w:ascii="Times New Roman" w:hAnsi="Times New Roman"/>
          <w:b/>
          <w:noProof/>
          <w:color w:val="000000"/>
          <w:sz w:val="28"/>
          <w:shd w:val="clear" w:color="auto" w:fill="FFFFFF"/>
        </w:rPr>
        <w:t>Conclusion</w:t>
      </w:r>
    </w:p>
    <w:p w14:paraId="29BE97EE" w14:textId="77777777" w:rsidR="0075701A" w:rsidRPr="0075701A" w:rsidRDefault="0075701A" w:rsidP="0075701A">
      <w:pPr>
        <w:spacing w:line="257" w:lineRule="auto"/>
        <w:jc w:val="both"/>
        <w:rPr>
          <w:rFonts w:ascii="Times New Roman" w:eastAsia="Times New Roman" w:hAnsi="Times New Roman" w:cs="Times New Roman"/>
          <w:bCs/>
          <w:noProof/>
          <w:color w:val="000000" w:themeColor="text1"/>
          <w:sz w:val="24"/>
          <w:szCs w:val="24"/>
        </w:rPr>
      </w:pPr>
      <w:r w:rsidRPr="0075701A">
        <w:rPr>
          <w:rFonts w:ascii="Times New Roman" w:hAnsi="Times New Roman"/>
          <w:b/>
          <w:noProof/>
          <w:color w:val="000000" w:themeColor="text1"/>
          <w:sz w:val="24"/>
        </w:rPr>
        <w:t xml:space="preserve">Le présent rapport illustre les forces et les faiblesses de l’économie de l’UE et sa compétitivité. </w:t>
      </w:r>
      <w:r w:rsidRPr="0075701A">
        <w:rPr>
          <w:rFonts w:ascii="Times New Roman" w:hAnsi="Times New Roman"/>
          <w:noProof/>
          <w:color w:val="000000" w:themeColor="text1"/>
          <w:sz w:val="24"/>
        </w:rPr>
        <w:t>Il montre que l’intégration du marché unique se poursuit, mais qu’elle s’est ralentie. Si le déficit de conformité s’est réduit, la fragmentation reste trop importante pour les biens et les services et la charge administrative est trop élevée. L’Europe risque de prendre du retard dans le domaine de l’innovation. Les dépenses privées et publiques en matière de R&amp;D demeurent inférieures à celles des économies semblables. Les entreprises peinent à se développer et le rôle du capital-risque reste bien moindre que dans les économies concurrentes. Les taux d’emploi augmentent, mais le manque de main-d’œuvre qualifiée perdure. La numérisation s’accroît, comme le montre l’adoption des technologies numériques, mais pas encore à un rythme suffisant. De même, la décarbonation de l’industrie et des systèmes énergétiques, ainsi que la circularité, progressent mais devraient s’accélérer. Les prix élevés de l’énergie pèsent sur la compétitivité de l’Europe. Les investissements publics et privés ne sont pas toujours orientés vers les technologies et les secteurs les plus prometteurs. L’Europe a l’avantage d’être une économie très ouverte, mais les dépendances stratégiques nécessitent une étroite surveillance.</w:t>
      </w:r>
    </w:p>
    <w:p w14:paraId="0FD75F14" w14:textId="77777777" w:rsidR="0075701A" w:rsidRPr="0075701A" w:rsidRDefault="0075701A" w:rsidP="0075701A">
      <w:pPr>
        <w:spacing w:line="257" w:lineRule="auto"/>
        <w:jc w:val="both"/>
        <w:rPr>
          <w:rFonts w:ascii="Times New Roman" w:eastAsia="Times New Roman" w:hAnsi="Times New Roman" w:cs="Times New Roman"/>
          <w:noProof/>
          <w:sz w:val="24"/>
          <w:szCs w:val="24"/>
        </w:rPr>
      </w:pPr>
      <w:r w:rsidRPr="0075701A">
        <w:rPr>
          <w:rFonts w:ascii="Times New Roman" w:hAnsi="Times New Roman"/>
          <w:b/>
          <w:noProof/>
          <w:color w:val="000000" w:themeColor="text1"/>
          <w:sz w:val="24"/>
        </w:rPr>
        <w:t xml:space="preserve">Il existe de nombreuses possibilités de renforcer la compétitivité à long terme de l’Europe et d’exploiter pleinement la force et le potentiel du marché unique de l’UE en s’attaquant de manière décisive aux défis et aux obstacles décrits. </w:t>
      </w:r>
      <w:r w:rsidRPr="0075701A">
        <w:rPr>
          <w:rFonts w:ascii="Times New Roman" w:hAnsi="Times New Roman"/>
          <w:noProof/>
          <w:color w:val="000000" w:themeColor="text1"/>
          <w:sz w:val="24"/>
        </w:rPr>
        <w:t>Il faut remédier aux difficultés que rencontrent les entreprises pour se développer, innover et accroître leur productivité. Étant donné que de nombreux facteurs de compétitivité sont étroitement liés, stimuler la compétitivité et la prospérité de l’Europe nécessitera une approche cohérente et stratégique, en particulier dans un contexte géopolitique difficile.</w:t>
      </w:r>
    </w:p>
    <w:p w14:paraId="54673F08" w14:textId="77777777" w:rsidR="0075701A" w:rsidRPr="0075701A" w:rsidRDefault="0075701A" w:rsidP="0075701A">
      <w:pPr>
        <w:spacing w:line="257" w:lineRule="auto"/>
        <w:jc w:val="both"/>
        <w:rPr>
          <w:rFonts w:ascii="Times New Roman" w:eastAsia="Times New Roman" w:hAnsi="Times New Roman" w:cs="Times New Roman"/>
          <w:noProof/>
          <w:sz w:val="24"/>
          <w:szCs w:val="24"/>
        </w:rPr>
      </w:pPr>
      <w:r w:rsidRPr="0075701A">
        <w:rPr>
          <w:rFonts w:ascii="Times New Roman" w:hAnsi="Times New Roman"/>
          <w:b/>
          <w:noProof/>
          <w:color w:val="000000" w:themeColor="text1"/>
          <w:sz w:val="24"/>
        </w:rPr>
        <w:t>Le rapport annuel sur le marché unique et la compétitivité permettra d’éclairer le débat politique sur la compétitivité et la prospérité et de contribuer à la définition de futures mesures.</w:t>
      </w:r>
      <w:r w:rsidRPr="0075701A">
        <w:rPr>
          <w:rFonts w:ascii="Times New Roman" w:hAnsi="Times New Roman"/>
          <w:noProof/>
          <w:color w:val="000000" w:themeColor="text1"/>
          <w:sz w:val="24"/>
        </w:rPr>
        <w:t xml:space="preserve"> Ce rapport fournit un diagnostic partagé et indique les priorités pour les politiques industrielles, en particulier pour le prochain pacte pour une industrie propre, et pour le marché unique, notamment pour la future stratégie pour le marché unique. En parallèle, la boussole pour la compétitivité définit le cadre des interventions à venir pour renforcer la compétitivité et la croissance en Europe. </w:t>
      </w:r>
      <w:r w:rsidRPr="0075701A">
        <w:rPr>
          <w:rFonts w:ascii="Times New Roman" w:hAnsi="Times New Roman"/>
          <w:noProof/>
          <w:sz w:val="24"/>
        </w:rPr>
        <w:t>En outre, le présent rapport éclairera les discussions au sein du Conseil européen, du Conseil «Compétitivité» et du Parlement européen, ainsi qu’avec les États membres.</w:t>
      </w:r>
      <w:r w:rsidRPr="0075701A">
        <w:rPr>
          <w:rFonts w:ascii="Times New Roman" w:hAnsi="Times New Roman"/>
          <w:noProof/>
          <w:color w:val="000000" w:themeColor="text1"/>
          <w:sz w:val="24"/>
        </w:rPr>
        <w:t xml:space="preserve"> De même, il peut servir de base à une collaboration et à un dialogue étroits avec les parties prenantes, notamment les entreprises. Le rapport alimentera les discussions dans le cadre du Semestre européen et de l’outil de coordination de la compétitivité, ainsi que du Fonds pour la compétitivité et du prochain cadre financier pluriannuel. </w:t>
      </w:r>
      <w:r w:rsidRPr="0075701A">
        <w:rPr>
          <w:rFonts w:ascii="Times New Roman" w:hAnsi="Times New Roman"/>
          <w:noProof/>
          <w:sz w:val="24"/>
        </w:rPr>
        <w:t>En résumé, le présent rapport permet de surveiller de près la compétitivité de l’Europe, de sorte que les différents acteurs européens puissent suivre les progrès accomplis et recenser les priorités politiques sur une base annuelle.</w:t>
      </w:r>
    </w:p>
    <w:p w14:paraId="17E9FBA9" w14:textId="77777777" w:rsidR="0075701A" w:rsidRPr="0075701A" w:rsidRDefault="0075701A" w:rsidP="0075701A">
      <w:pPr>
        <w:widowControl w:val="0"/>
        <w:jc w:val="both"/>
        <w:rPr>
          <w:rFonts w:ascii="Times New Roman" w:eastAsia="Times New Roman" w:hAnsi="Times New Roman" w:cs="Times New Roman"/>
          <w:b/>
          <w:noProof/>
          <w:color w:val="000000" w:themeColor="text1"/>
          <w:sz w:val="24"/>
          <w:szCs w:val="24"/>
          <w:u w:val="single"/>
        </w:rPr>
      </w:pPr>
    </w:p>
    <w:p w14:paraId="06684F80" w14:textId="77777777" w:rsidR="0075701A" w:rsidRPr="0075701A" w:rsidRDefault="0075701A" w:rsidP="0075701A">
      <w:pPr>
        <w:widowControl w:val="0"/>
        <w:jc w:val="both"/>
        <w:rPr>
          <w:rFonts w:ascii="Times New Roman" w:hAnsi="Times New Roman" w:cs="Times New Roman"/>
          <w:b/>
          <w:bCs/>
          <w:noProof/>
          <w:color w:val="000000" w:themeColor="text1"/>
          <w:sz w:val="24"/>
          <w:szCs w:val="24"/>
          <w:u w:val="single"/>
        </w:rPr>
      </w:pPr>
    </w:p>
    <w:p w14:paraId="6ABE9174" w14:textId="77777777" w:rsidR="0075701A" w:rsidRPr="0075701A" w:rsidRDefault="0075701A" w:rsidP="0075701A">
      <w:pPr>
        <w:jc w:val="both"/>
        <w:rPr>
          <w:rFonts w:ascii="Times New Roman" w:eastAsia="Calibri" w:hAnsi="Times New Roman" w:cs="Times New Roman"/>
          <w:noProof/>
          <w:sz w:val="24"/>
          <w:szCs w:val="24"/>
        </w:rPr>
      </w:pPr>
    </w:p>
    <w:p w14:paraId="2BDEF292" w14:textId="77777777" w:rsidR="0075701A" w:rsidRPr="0075701A" w:rsidRDefault="0075701A" w:rsidP="0075701A">
      <w:pPr>
        <w:spacing w:line="257" w:lineRule="auto"/>
        <w:jc w:val="both"/>
        <w:rPr>
          <w:rFonts w:ascii="Calibri" w:eastAsia="Calibri" w:hAnsi="Calibri" w:cs="Calibri"/>
          <w:noProof/>
          <w:color w:val="000000" w:themeColor="text1"/>
        </w:rPr>
      </w:pPr>
    </w:p>
    <w:sectPr w:rsidR="0075701A" w:rsidRPr="0075701A" w:rsidSect="00C23CB1">
      <w:headerReference w:type="even" r:id="rId29"/>
      <w:headerReference w:type="default" r:id="rId30"/>
      <w:footerReference w:type="even" r:id="rId31"/>
      <w:footerReference w:type="default" r:id="rId32"/>
      <w:headerReference w:type="first" r:id="rId33"/>
      <w:footerReference w:type="first" r:id="rId34"/>
      <w:pgSz w:w="11907" w:h="16839"/>
      <w:pgMar w:top="1098"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98AB7" w14:textId="77777777" w:rsidR="00381285" w:rsidRDefault="00381285" w:rsidP="00C23CB1">
      <w:pPr>
        <w:spacing w:after="0" w:line="240" w:lineRule="auto"/>
      </w:pPr>
      <w:r>
        <w:separator/>
      </w:r>
    </w:p>
  </w:endnote>
  <w:endnote w:type="continuationSeparator" w:id="0">
    <w:p w14:paraId="27B93149" w14:textId="77777777" w:rsidR="00381285" w:rsidRDefault="00381285" w:rsidP="00C23CB1">
      <w:pPr>
        <w:spacing w:after="0" w:line="240" w:lineRule="auto"/>
      </w:pPr>
      <w:r>
        <w:continuationSeparator/>
      </w:r>
    </w:p>
  </w:endnote>
  <w:endnote w:type="continuationNotice" w:id="1">
    <w:p w14:paraId="6F55E3DF" w14:textId="77777777" w:rsidR="00381285" w:rsidRDefault="003812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D9A01" w14:textId="6454423E" w:rsidR="00737AB7" w:rsidRPr="00737AB7" w:rsidRDefault="00737AB7" w:rsidP="00737AB7">
    <w:pPr>
      <w:pStyle w:val="FooterCoverPage"/>
      <w:rPr>
        <w:rFonts w:ascii="Arial" w:hAnsi="Arial" w:cs="Arial"/>
        <w:b/>
        <w:sz w:val="48"/>
      </w:rPr>
    </w:pPr>
    <w:r w:rsidRPr="00737AB7">
      <w:rPr>
        <w:rFonts w:ascii="Arial" w:hAnsi="Arial" w:cs="Arial"/>
        <w:b/>
        <w:sz w:val="48"/>
      </w:rPr>
      <w:t>FR</w:t>
    </w:r>
    <w:r w:rsidRPr="00737AB7">
      <w:rPr>
        <w:rFonts w:ascii="Arial" w:hAnsi="Arial" w:cs="Arial"/>
        <w:b/>
        <w:sz w:val="48"/>
      </w:rPr>
      <w:tab/>
    </w:r>
    <w:r w:rsidRPr="00737AB7">
      <w:rPr>
        <w:rFonts w:ascii="Arial" w:hAnsi="Arial" w:cs="Arial"/>
        <w:b/>
        <w:sz w:val="48"/>
      </w:rPr>
      <w:tab/>
    </w:r>
    <w:r w:rsidRPr="00737AB7">
      <w:tab/>
    </w:r>
    <w:r w:rsidRPr="00737AB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3E9F2" w14:textId="54A4C873" w:rsidR="00737AB7" w:rsidRPr="00737AB7" w:rsidRDefault="00737AB7" w:rsidP="00737AB7">
    <w:pPr>
      <w:pStyle w:val="FooterCoverPage"/>
      <w:rPr>
        <w:rFonts w:ascii="Arial" w:hAnsi="Arial" w:cs="Arial"/>
        <w:b/>
        <w:sz w:val="48"/>
      </w:rPr>
    </w:pPr>
    <w:r w:rsidRPr="00737AB7">
      <w:rPr>
        <w:rFonts w:ascii="Arial" w:hAnsi="Arial" w:cs="Arial"/>
        <w:b/>
        <w:sz w:val="48"/>
      </w:rPr>
      <w:t>FR</w:t>
    </w:r>
    <w:r w:rsidRPr="00737AB7">
      <w:rPr>
        <w:rFonts w:ascii="Arial" w:hAnsi="Arial" w:cs="Arial"/>
        <w:b/>
        <w:sz w:val="48"/>
      </w:rPr>
      <w:tab/>
    </w:r>
    <w:r w:rsidRPr="00737AB7">
      <w:rPr>
        <w:rFonts w:ascii="Arial" w:hAnsi="Arial" w:cs="Arial"/>
        <w:b/>
        <w:sz w:val="48"/>
      </w:rPr>
      <w:tab/>
    </w:r>
    <w:r w:rsidRPr="00737AB7">
      <w:tab/>
    </w:r>
    <w:r w:rsidRPr="00737AB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934E3" w14:textId="77777777" w:rsidR="00737AB7" w:rsidRPr="00737AB7" w:rsidRDefault="00737AB7" w:rsidP="00737AB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241DF" w14:textId="77777777" w:rsidR="00C23CB1" w:rsidRDefault="00C23C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642260"/>
      <w:docPartObj>
        <w:docPartGallery w:val="Page Numbers (Bottom of Page)"/>
        <w:docPartUnique/>
      </w:docPartObj>
    </w:sdtPr>
    <w:sdtEndPr>
      <w:rPr>
        <w:noProof/>
      </w:rPr>
    </w:sdtEndPr>
    <w:sdtContent>
      <w:p w14:paraId="38BE6381" w14:textId="5D215460" w:rsidR="00051A99" w:rsidRDefault="00051A99">
        <w:pPr>
          <w:pStyle w:val="Footer"/>
          <w:jc w:val="center"/>
        </w:pPr>
        <w:r>
          <w:fldChar w:fldCharType="begin"/>
        </w:r>
        <w:r>
          <w:instrText xml:space="preserve"> PAGE   \* MERGEFORMAT </w:instrText>
        </w:r>
        <w:r>
          <w:fldChar w:fldCharType="separate"/>
        </w:r>
        <w:r w:rsidR="00737AB7">
          <w:rPr>
            <w:noProof/>
          </w:rPr>
          <w:t>1</w:t>
        </w:r>
        <w:r>
          <w:fldChar w:fldCharType="end"/>
        </w:r>
      </w:p>
    </w:sdtContent>
  </w:sdt>
  <w:p w14:paraId="74C0BC71" w14:textId="77777777" w:rsidR="00C23CB1" w:rsidRDefault="00C23C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0A1CA" w14:textId="77777777" w:rsidR="00C23CB1" w:rsidRDefault="00C23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97699" w14:textId="77777777" w:rsidR="00381285" w:rsidRDefault="00381285" w:rsidP="00C23CB1">
      <w:pPr>
        <w:spacing w:after="0" w:line="240" w:lineRule="auto"/>
      </w:pPr>
      <w:r>
        <w:separator/>
      </w:r>
    </w:p>
  </w:footnote>
  <w:footnote w:type="continuationSeparator" w:id="0">
    <w:p w14:paraId="33BB7579" w14:textId="77777777" w:rsidR="00381285" w:rsidRDefault="00381285" w:rsidP="00C23CB1">
      <w:pPr>
        <w:spacing w:after="0" w:line="240" w:lineRule="auto"/>
      </w:pPr>
      <w:r>
        <w:continuationSeparator/>
      </w:r>
    </w:p>
  </w:footnote>
  <w:footnote w:type="continuationNotice" w:id="1">
    <w:p w14:paraId="5A89AEF3" w14:textId="77777777" w:rsidR="00381285" w:rsidRDefault="00381285">
      <w:pPr>
        <w:spacing w:after="0" w:line="240" w:lineRule="auto"/>
      </w:pPr>
    </w:p>
  </w:footnote>
  <w:footnote w:id="2">
    <w:p w14:paraId="52825DC8" w14:textId="4BA009E4" w:rsidR="00B1182C" w:rsidRPr="00F1586B" w:rsidRDefault="00B1182C" w:rsidP="009D31C9">
      <w:pPr>
        <w:pStyle w:val="FootnoteText"/>
        <w:spacing w:after="0"/>
        <w:rPr>
          <w:sz w:val="18"/>
          <w:szCs w:val="18"/>
        </w:rPr>
      </w:pPr>
      <w:r>
        <w:rPr>
          <w:rStyle w:val="FootnoteReference"/>
          <w:sz w:val="18"/>
          <w:szCs w:val="18"/>
        </w:rPr>
        <w:footnoteRef/>
      </w:r>
      <w:r>
        <w:rPr>
          <w:sz w:val="18"/>
        </w:rPr>
        <w:tab/>
      </w:r>
      <w:r>
        <w:rPr>
          <w:color w:val="000000" w:themeColor="text1"/>
          <w:sz w:val="18"/>
        </w:rPr>
        <w:t>Eurostat, US Energy Information Administration (EIA). Voir la section 3.3.</w:t>
      </w:r>
    </w:p>
  </w:footnote>
  <w:footnote w:id="3">
    <w:p w14:paraId="4D2A36CF" w14:textId="3CCD21A4" w:rsidR="0060594E" w:rsidRPr="00202588" w:rsidRDefault="0060594E" w:rsidP="009D31C9">
      <w:pPr>
        <w:pStyle w:val="FootnoteText"/>
        <w:spacing w:after="0"/>
        <w:rPr>
          <w:sz w:val="18"/>
          <w:szCs w:val="18"/>
          <w:lang w:val="en-US"/>
        </w:rPr>
      </w:pPr>
      <w:r>
        <w:rPr>
          <w:rStyle w:val="FootnoteReference"/>
          <w:sz w:val="18"/>
          <w:szCs w:val="18"/>
        </w:rPr>
        <w:footnoteRef/>
      </w:r>
      <w:r w:rsidRPr="00202588">
        <w:rPr>
          <w:sz w:val="18"/>
          <w:lang w:val="en-US"/>
        </w:rPr>
        <w:tab/>
        <w:t xml:space="preserve">Draghi, M., ancien Premier ministre, </w:t>
      </w:r>
      <w:hyperlink r:id="rId1" w:history="1">
        <w:r w:rsidRPr="00202588">
          <w:rPr>
            <w:rStyle w:val="Hyperlink"/>
            <w:sz w:val="18"/>
            <w:lang w:val="en-US"/>
          </w:rPr>
          <w:t>«The future of European competitiveness – A competitiveness strategy for Europe»</w:t>
        </w:r>
      </w:hyperlink>
      <w:r w:rsidRPr="00202588">
        <w:rPr>
          <w:sz w:val="18"/>
          <w:lang w:val="en-US"/>
        </w:rPr>
        <w:t xml:space="preserve">, </w:t>
      </w:r>
      <w:r w:rsidRPr="00202588">
        <w:rPr>
          <w:rStyle w:val="normaltextrun"/>
          <w:color w:val="000000"/>
          <w:sz w:val="18"/>
          <w:bdr w:val="none" w:sz="0" w:space="0" w:color="auto" w:frame="1"/>
          <w:lang w:val="en-US"/>
        </w:rPr>
        <w:t>partie A, p. 2.</w:t>
      </w:r>
    </w:p>
  </w:footnote>
  <w:footnote w:id="4">
    <w:p w14:paraId="0D0686D0" w14:textId="77777777" w:rsidR="00450929" w:rsidRPr="00202588" w:rsidRDefault="00450929" w:rsidP="009D31C9">
      <w:pPr>
        <w:pStyle w:val="FootnoteText"/>
        <w:spacing w:after="0"/>
        <w:rPr>
          <w:sz w:val="18"/>
          <w:szCs w:val="18"/>
          <w:lang w:val="en-US"/>
        </w:rPr>
      </w:pPr>
      <w:r>
        <w:rPr>
          <w:rStyle w:val="FootnoteReference"/>
          <w:sz w:val="18"/>
          <w:szCs w:val="18"/>
        </w:rPr>
        <w:footnoteRef/>
      </w:r>
      <w:r w:rsidRPr="00202588">
        <w:rPr>
          <w:sz w:val="18"/>
          <w:lang w:val="en-US"/>
        </w:rPr>
        <w:tab/>
        <w:t xml:space="preserve">Draghi, M., ancien Premier ministre, </w:t>
      </w:r>
      <w:hyperlink r:id="rId2" w:history="1">
        <w:r w:rsidRPr="00202588">
          <w:rPr>
            <w:rStyle w:val="Hyperlink"/>
            <w:sz w:val="18"/>
            <w:lang w:val="en-US"/>
          </w:rPr>
          <w:t>«The future of European competitiveness – A competitiveness strategy for Europe»</w:t>
        </w:r>
      </w:hyperlink>
      <w:r w:rsidRPr="00202588">
        <w:rPr>
          <w:sz w:val="18"/>
          <w:lang w:val="en-US"/>
        </w:rPr>
        <w:t xml:space="preserve">, </w:t>
      </w:r>
      <w:r w:rsidRPr="00202588">
        <w:rPr>
          <w:rStyle w:val="normaltextrun"/>
          <w:color w:val="000000"/>
          <w:sz w:val="18"/>
          <w:bdr w:val="none" w:sz="0" w:space="0" w:color="auto" w:frame="1"/>
          <w:lang w:val="en-US"/>
        </w:rPr>
        <w:t>partie A, p. 10.</w:t>
      </w:r>
    </w:p>
  </w:footnote>
  <w:footnote w:id="5">
    <w:p w14:paraId="45CCB6EA" w14:textId="40211F25" w:rsidR="002E5E51" w:rsidRPr="00784F5A" w:rsidRDefault="002E5E51" w:rsidP="009D31C9">
      <w:pPr>
        <w:pStyle w:val="FootnoteText"/>
        <w:spacing w:after="0"/>
        <w:rPr>
          <w:sz w:val="18"/>
          <w:szCs w:val="18"/>
        </w:rPr>
      </w:pPr>
      <w:r>
        <w:rPr>
          <w:rStyle w:val="FootnoteReference"/>
          <w:sz w:val="18"/>
          <w:szCs w:val="18"/>
        </w:rPr>
        <w:footnoteRef/>
      </w:r>
      <w:r>
        <w:rPr>
          <w:sz w:val="18"/>
        </w:rPr>
        <w:tab/>
        <w:t>Plutôt que par fusions, acquisitions ou essaimages d’entreprises établies.</w:t>
      </w:r>
    </w:p>
  </w:footnote>
  <w:footnote w:id="6">
    <w:p w14:paraId="048ED78B" w14:textId="5F391C20" w:rsidR="000B486D" w:rsidRPr="00202588" w:rsidRDefault="000B486D" w:rsidP="009D31C9">
      <w:pPr>
        <w:pStyle w:val="FootnoteText"/>
        <w:spacing w:after="0"/>
        <w:rPr>
          <w:sz w:val="18"/>
          <w:szCs w:val="18"/>
          <w:lang w:val="en-US"/>
        </w:rPr>
      </w:pPr>
      <w:r>
        <w:rPr>
          <w:rStyle w:val="FootnoteReference"/>
          <w:sz w:val="18"/>
          <w:szCs w:val="18"/>
        </w:rPr>
        <w:footnoteRef/>
      </w:r>
      <w:r w:rsidRPr="00202588">
        <w:rPr>
          <w:sz w:val="18"/>
          <w:lang w:val="en-US"/>
        </w:rPr>
        <w:tab/>
        <w:t xml:space="preserve">Letta, E., ancien Premier ministre, </w:t>
      </w:r>
      <w:hyperlink r:id="rId3" w:history="1">
        <w:r w:rsidRPr="00202588">
          <w:rPr>
            <w:rStyle w:val="Hyperlink"/>
            <w:sz w:val="18"/>
            <w:lang w:val="en-US"/>
          </w:rPr>
          <w:t>«Much more than a Market»</w:t>
        </w:r>
      </w:hyperlink>
      <w:r w:rsidRPr="00202588">
        <w:rPr>
          <w:rStyle w:val="Hyperlink"/>
          <w:sz w:val="18"/>
          <w:u w:val="none"/>
          <w:lang w:val="en-US"/>
        </w:rPr>
        <w:t>.</w:t>
      </w:r>
    </w:p>
  </w:footnote>
  <w:footnote w:id="7">
    <w:p w14:paraId="76EFB3D4" w14:textId="1EDA38EB" w:rsidR="000B486D" w:rsidRPr="00202588" w:rsidRDefault="000B486D" w:rsidP="009D31C9">
      <w:pPr>
        <w:pStyle w:val="FootnoteText"/>
        <w:spacing w:after="0"/>
        <w:rPr>
          <w:sz w:val="18"/>
          <w:szCs w:val="18"/>
          <w:lang w:val="en-US"/>
        </w:rPr>
      </w:pPr>
      <w:r>
        <w:rPr>
          <w:rStyle w:val="FootnoteReference"/>
          <w:sz w:val="18"/>
          <w:szCs w:val="18"/>
        </w:rPr>
        <w:footnoteRef/>
      </w:r>
      <w:r w:rsidRPr="00202588">
        <w:rPr>
          <w:sz w:val="18"/>
          <w:lang w:val="en-US"/>
        </w:rPr>
        <w:tab/>
        <w:t xml:space="preserve">Draghi, M., ancien Premier ministre, </w:t>
      </w:r>
      <w:hyperlink r:id="rId4" w:history="1">
        <w:r w:rsidRPr="00202588">
          <w:rPr>
            <w:rStyle w:val="Hyperlink"/>
            <w:sz w:val="18"/>
            <w:lang w:val="en-US"/>
          </w:rPr>
          <w:t>«The future of European competitiveness – A competitiveness strategy for Europe»</w:t>
        </w:r>
      </w:hyperlink>
      <w:r w:rsidRPr="00202588">
        <w:rPr>
          <w:sz w:val="18"/>
          <w:lang w:val="en-US"/>
        </w:rPr>
        <w:t>.</w:t>
      </w:r>
    </w:p>
  </w:footnote>
  <w:footnote w:id="8">
    <w:p w14:paraId="64D2BF07" w14:textId="2CF8E7F2" w:rsidR="000B486D" w:rsidRPr="00784F5A" w:rsidRDefault="000B486D" w:rsidP="009D31C9">
      <w:pPr>
        <w:pStyle w:val="FootnoteText"/>
        <w:spacing w:after="0"/>
        <w:rPr>
          <w:sz w:val="18"/>
          <w:szCs w:val="18"/>
        </w:rPr>
      </w:pPr>
      <w:r>
        <w:rPr>
          <w:rStyle w:val="FootnoteReference"/>
          <w:sz w:val="18"/>
          <w:szCs w:val="18"/>
        </w:rPr>
        <w:footnoteRef/>
      </w:r>
      <w:r>
        <w:rPr>
          <w:sz w:val="18"/>
        </w:rPr>
        <w:tab/>
        <w:t xml:space="preserve">Niinistö, S., ancien président, </w:t>
      </w:r>
      <w:hyperlink r:id="rId5" w:history="1">
        <w:r>
          <w:rPr>
            <w:rStyle w:val="Hyperlink"/>
            <w:sz w:val="18"/>
          </w:rPr>
          <w:t>«Enhancing the European Union’s Resilience for Future Uncertainties»</w:t>
        </w:r>
      </w:hyperlink>
      <w:r>
        <w:rPr>
          <w:rStyle w:val="Hyperlink"/>
          <w:sz w:val="18"/>
          <w:u w:val="none"/>
        </w:rPr>
        <w:t>.</w:t>
      </w:r>
    </w:p>
  </w:footnote>
  <w:footnote w:id="9">
    <w:p w14:paraId="03F768DB" w14:textId="77777777" w:rsidR="000B486D" w:rsidRPr="00784F5A" w:rsidRDefault="000B486D" w:rsidP="009D31C9">
      <w:pPr>
        <w:pStyle w:val="FootnoteText"/>
        <w:spacing w:after="0"/>
        <w:rPr>
          <w:sz w:val="18"/>
          <w:szCs w:val="18"/>
        </w:rPr>
      </w:pPr>
      <w:r>
        <w:rPr>
          <w:rStyle w:val="FootnoteReference"/>
          <w:sz w:val="18"/>
          <w:szCs w:val="18"/>
        </w:rPr>
        <w:footnoteRef/>
      </w:r>
      <w:r>
        <w:rPr>
          <w:sz w:val="18"/>
        </w:rPr>
        <w:tab/>
        <w:t xml:space="preserve">Les demandes émanant du monde des entreprises incluent par exemple </w:t>
      </w:r>
      <w:hyperlink r:id="rId6" w:history="1">
        <w:r>
          <w:rPr>
            <w:rStyle w:val="Hyperlink"/>
            <w:sz w:val="18"/>
          </w:rPr>
          <w:t>la déclaration d’Anvers pour un pacte industriel européen</w:t>
        </w:r>
      </w:hyperlink>
      <w:r>
        <w:rPr>
          <w:sz w:val="18"/>
        </w:rPr>
        <w:t>.</w:t>
      </w:r>
    </w:p>
  </w:footnote>
  <w:footnote w:id="10">
    <w:p w14:paraId="1ED9E326" w14:textId="62D9115A" w:rsidR="000951FE" w:rsidRPr="00F1586B" w:rsidRDefault="000951FE" w:rsidP="009D31C9">
      <w:pPr>
        <w:pStyle w:val="FootnoteText"/>
        <w:spacing w:after="0"/>
        <w:rPr>
          <w:sz w:val="18"/>
          <w:szCs w:val="18"/>
        </w:rPr>
      </w:pPr>
      <w:r>
        <w:rPr>
          <w:rStyle w:val="FootnoteReference"/>
          <w:sz w:val="18"/>
          <w:szCs w:val="18"/>
        </w:rPr>
        <w:footnoteRef/>
      </w:r>
      <w:r>
        <w:rPr>
          <w:sz w:val="18"/>
        </w:rPr>
        <w:tab/>
        <w:t>Cette année, le rapport part des 17 + 2 ICP figurant dans son édition de 2024 et les complète par un nombre limité de nouveaux ICP afin d’approfondir l’analyse dans des domaines revêtant un intérêt crucial.</w:t>
      </w:r>
    </w:p>
  </w:footnote>
  <w:footnote w:id="11">
    <w:p w14:paraId="590F002B" w14:textId="34C641B9" w:rsidR="006B429D" w:rsidRPr="00784F5A" w:rsidRDefault="006B429D" w:rsidP="009D31C9">
      <w:pPr>
        <w:pStyle w:val="FootnoteText"/>
        <w:spacing w:after="0"/>
        <w:rPr>
          <w:sz w:val="18"/>
          <w:szCs w:val="18"/>
        </w:rPr>
      </w:pPr>
      <w:r>
        <w:rPr>
          <w:rStyle w:val="FootnoteReference"/>
          <w:sz w:val="18"/>
          <w:szCs w:val="18"/>
        </w:rPr>
        <w:footnoteRef/>
      </w:r>
      <w:r>
        <w:rPr>
          <w:sz w:val="18"/>
        </w:rPr>
        <w:tab/>
      </w:r>
      <w:hyperlink r:id="rId7" w:history="1">
        <w:r>
          <w:rPr>
            <w:rStyle w:val="Hyperlink"/>
            <w:sz w:val="18"/>
          </w:rPr>
          <w:t>Communication intitulée «Le marché unique a 30 ans.», COM(2023) 162</w:t>
        </w:r>
      </w:hyperlink>
      <w:r>
        <w:rPr>
          <w:rStyle w:val="Hyperlink"/>
          <w:sz w:val="18"/>
          <w:u w:val="none"/>
        </w:rPr>
        <w:t>.</w:t>
      </w:r>
    </w:p>
  </w:footnote>
  <w:footnote w:id="12">
    <w:p w14:paraId="35EAEE20" w14:textId="55A85ECC" w:rsidR="00C039BC" w:rsidRPr="00F1586B" w:rsidRDefault="00C039BC" w:rsidP="009D31C9">
      <w:pPr>
        <w:pStyle w:val="FootnoteText"/>
        <w:spacing w:after="0"/>
        <w:rPr>
          <w:sz w:val="18"/>
          <w:szCs w:val="18"/>
        </w:rPr>
      </w:pPr>
      <w:r>
        <w:rPr>
          <w:rStyle w:val="FootnoteReference"/>
          <w:sz w:val="18"/>
          <w:szCs w:val="18"/>
        </w:rPr>
        <w:footnoteRef/>
      </w:r>
      <w:r>
        <w:rPr>
          <w:sz w:val="18"/>
        </w:rPr>
        <w:tab/>
        <w:t xml:space="preserve">Dans ses </w:t>
      </w:r>
      <w:hyperlink r:id="rId8" w:history="1">
        <w:r>
          <w:rPr>
            <w:rStyle w:val="Hyperlink"/>
            <w:sz w:val="18"/>
          </w:rPr>
          <w:t>conclusions de décembre 2022</w:t>
        </w:r>
      </w:hyperlink>
      <w:r>
        <w:rPr>
          <w:sz w:val="18"/>
        </w:rPr>
        <w:t>, le Conseil européen (EUCO) a demandé à la Commission de présenter une stratégie à l’échelle de l’UE visant à stimuler la compétitivité et la productivité.</w:t>
      </w:r>
    </w:p>
  </w:footnote>
  <w:footnote w:id="13">
    <w:p w14:paraId="5526DECC" w14:textId="5A059D1E" w:rsidR="008068E5" w:rsidRPr="00F1586B" w:rsidRDefault="008068E5" w:rsidP="009D31C9">
      <w:pPr>
        <w:pStyle w:val="FootnoteText"/>
        <w:spacing w:after="0"/>
        <w:rPr>
          <w:sz w:val="18"/>
          <w:szCs w:val="18"/>
        </w:rPr>
      </w:pPr>
      <w:r>
        <w:rPr>
          <w:rStyle w:val="FootnoteReference"/>
          <w:sz w:val="18"/>
          <w:szCs w:val="18"/>
        </w:rPr>
        <w:footnoteRef/>
      </w:r>
      <w:r>
        <w:rPr>
          <w:sz w:val="18"/>
        </w:rPr>
        <w:tab/>
      </w:r>
      <w:hyperlink r:id="rId9" w:history="1">
        <w:r>
          <w:rPr>
            <w:rStyle w:val="Hyperlink"/>
            <w:sz w:val="18"/>
          </w:rPr>
          <w:t>Communication intitulée «La compétitivité à long terme de l’UE: se projeter au-delà de 2030», COM(2023) 168</w:t>
        </w:r>
      </w:hyperlink>
      <w:r>
        <w:rPr>
          <w:sz w:val="18"/>
        </w:rPr>
        <w:t>.</w:t>
      </w:r>
    </w:p>
  </w:footnote>
  <w:footnote w:id="14">
    <w:p w14:paraId="18E46048" w14:textId="2D22F582" w:rsidR="006E68FC" w:rsidRPr="00F1586B" w:rsidRDefault="006E68FC" w:rsidP="009D31C9">
      <w:pPr>
        <w:pStyle w:val="FootnoteText"/>
        <w:spacing w:after="0"/>
        <w:rPr>
          <w:sz w:val="18"/>
          <w:szCs w:val="18"/>
        </w:rPr>
      </w:pPr>
      <w:r>
        <w:rPr>
          <w:rStyle w:val="FootnoteReference"/>
          <w:sz w:val="18"/>
          <w:szCs w:val="18"/>
        </w:rPr>
        <w:footnoteRef/>
      </w:r>
      <w:r>
        <w:rPr>
          <w:sz w:val="18"/>
        </w:rPr>
        <w:tab/>
        <w:t>Commission européenne, tableau d’affichage du marché unique.</w:t>
      </w:r>
    </w:p>
  </w:footnote>
  <w:footnote w:id="15">
    <w:p w14:paraId="6B7BB261" w14:textId="1DE8F7F0" w:rsidR="00AB0024" w:rsidRPr="007F0C2C" w:rsidRDefault="00AB0024" w:rsidP="009D31C9">
      <w:pPr>
        <w:pStyle w:val="FootnoteText"/>
        <w:spacing w:after="0"/>
        <w:rPr>
          <w:sz w:val="18"/>
          <w:szCs w:val="18"/>
        </w:rPr>
      </w:pPr>
      <w:r>
        <w:rPr>
          <w:rStyle w:val="FootnoteReference"/>
          <w:sz w:val="18"/>
          <w:szCs w:val="18"/>
          <w:lang w:val="en-IE"/>
        </w:rPr>
        <w:footnoteRef/>
      </w:r>
      <w:r>
        <w:rPr>
          <w:sz w:val="18"/>
        </w:rPr>
        <w:tab/>
        <w:t>Outre l’effet évident des prix, plusieurs facteurs peuvent avoir entravé les échanges intra-UE, notamment l’importance croissante des chaînes de valeur mondiales, les tensions géopolitiques, les changements structurels survenus dans l’économie de l’UE tels que le déclin de l’industrie manufacturière et la montée en puissance du secteur des services, la décision du Royaume-Uni de quitter l’UE et les entraves persistantes au commerce et aux investissements, parmi lesquelles les obstacles non tarifaires et les divergences réglementaires.</w:t>
      </w:r>
    </w:p>
  </w:footnote>
  <w:footnote w:id="16">
    <w:p w14:paraId="52021947" w14:textId="03210B8F" w:rsidR="003265BB" w:rsidRPr="00F1586B" w:rsidRDefault="003265BB" w:rsidP="009D31C9">
      <w:pPr>
        <w:pStyle w:val="FootnoteText"/>
        <w:spacing w:after="0"/>
        <w:rPr>
          <w:sz w:val="18"/>
          <w:szCs w:val="18"/>
        </w:rPr>
      </w:pPr>
      <w:r>
        <w:rPr>
          <w:rStyle w:val="FootnoteReference"/>
          <w:sz w:val="18"/>
          <w:szCs w:val="18"/>
        </w:rPr>
        <w:footnoteRef/>
      </w:r>
      <w:r>
        <w:rPr>
          <w:sz w:val="18"/>
        </w:rPr>
        <w:tab/>
        <w:t xml:space="preserve">L’outil de suivi des obstacles au marché unique est un outil créé au titre du </w:t>
      </w:r>
      <w:hyperlink r:id="rId10" w:history="1">
        <w:r>
          <w:rPr>
            <w:rStyle w:val="Hyperlink"/>
            <w:sz w:val="18"/>
          </w:rPr>
          <w:t>règlement établissant un portail numérique unique</w:t>
        </w:r>
      </w:hyperlink>
      <w:r>
        <w:rPr>
          <w:sz w:val="18"/>
        </w:rPr>
        <w:t xml:space="preserve"> qui vise à recueillir des données sur les obstacles au marché unique auprès des citoyens et des entreprises: </w:t>
      </w:r>
      <w:hyperlink r:id="rId11" w:history="1">
        <w:r>
          <w:rPr>
            <w:rStyle w:val="Hyperlink"/>
            <w:sz w:val="18"/>
          </w:rPr>
          <w:t>outil de suivi des obstacles au marché unique</w:t>
        </w:r>
      </w:hyperlink>
      <w:r>
        <w:rPr>
          <w:sz w:val="18"/>
        </w:rPr>
        <w:t>.</w:t>
      </w:r>
    </w:p>
  </w:footnote>
  <w:footnote w:id="17">
    <w:p w14:paraId="21D42EB9" w14:textId="0D7C6358" w:rsidR="003265BB" w:rsidRPr="00F1586B" w:rsidRDefault="003265BB" w:rsidP="009D31C9">
      <w:pPr>
        <w:pStyle w:val="FootnoteText"/>
        <w:spacing w:after="0"/>
        <w:rPr>
          <w:sz w:val="18"/>
          <w:szCs w:val="18"/>
        </w:rPr>
      </w:pPr>
      <w:r>
        <w:rPr>
          <w:rStyle w:val="FootnoteReference"/>
          <w:sz w:val="18"/>
          <w:szCs w:val="18"/>
        </w:rPr>
        <w:footnoteRef/>
      </w:r>
      <w:r>
        <w:rPr>
          <w:sz w:val="18"/>
        </w:rPr>
        <w:tab/>
      </w:r>
      <w:hyperlink r:id="rId12" w:history="1">
        <w:r>
          <w:rPr>
            <w:rStyle w:val="Hyperlink"/>
            <w:sz w:val="18"/>
          </w:rPr>
          <w:t>Single Market Obstacles — Compendium — 13 février 2024</w:t>
        </w:r>
      </w:hyperlink>
      <w:r w:rsidRPr="001F4717">
        <w:rPr>
          <w:sz w:val="18"/>
          <w:szCs w:val="18"/>
        </w:rPr>
        <w:t>.</w:t>
      </w:r>
    </w:p>
  </w:footnote>
  <w:footnote w:id="18">
    <w:p w14:paraId="5F2FA93A" w14:textId="2741AC1B" w:rsidR="003265BB" w:rsidRPr="00F1586B" w:rsidRDefault="003265BB" w:rsidP="009D31C9">
      <w:pPr>
        <w:pStyle w:val="FootnoteText"/>
        <w:spacing w:after="0"/>
        <w:rPr>
          <w:sz w:val="18"/>
          <w:szCs w:val="18"/>
        </w:rPr>
      </w:pPr>
      <w:r>
        <w:rPr>
          <w:rStyle w:val="FootnoteReference"/>
          <w:sz w:val="18"/>
          <w:szCs w:val="18"/>
        </w:rPr>
        <w:footnoteRef/>
      </w:r>
      <w:r>
        <w:rPr>
          <w:sz w:val="18"/>
        </w:rPr>
        <w:tab/>
        <w:t xml:space="preserve">Enquête d’Eurochambres sur le marché unique intitulée </w:t>
      </w:r>
      <w:hyperlink r:id="rId13" w:history="1">
        <w:r>
          <w:rPr>
            <w:rStyle w:val="Hyperlink"/>
            <w:sz w:val="18"/>
          </w:rPr>
          <w:t>«Overcoming obstacles, developing solutions»</w:t>
        </w:r>
      </w:hyperlink>
      <w:r>
        <w:rPr>
          <w:rStyle w:val="Hyperlink"/>
          <w:sz w:val="18"/>
          <w:u w:val="none"/>
        </w:rPr>
        <w:t>.</w:t>
      </w:r>
    </w:p>
  </w:footnote>
  <w:footnote w:id="19">
    <w:p w14:paraId="46169760" w14:textId="77777777" w:rsidR="00401CF8" w:rsidRPr="00F1586B" w:rsidRDefault="00401CF8" w:rsidP="009D31C9">
      <w:pPr>
        <w:pStyle w:val="FootnoteText"/>
        <w:spacing w:after="0"/>
        <w:rPr>
          <w:sz w:val="18"/>
          <w:szCs w:val="18"/>
        </w:rPr>
      </w:pPr>
      <w:r>
        <w:rPr>
          <w:rStyle w:val="FootnoteReference"/>
          <w:sz w:val="18"/>
          <w:szCs w:val="18"/>
        </w:rPr>
        <w:footnoteRef/>
      </w:r>
      <w:r>
        <w:rPr>
          <w:sz w:val="18"/>
        </w:rPr>
        <w:tab/>
        <w:t>Les contraintes territoriales en matière d’approvisionnement sont des obstacles imposés par les fournisseurs privés au sein de la chaîne d’approvisionnement qui peuvent affecter les détaillants et les grossistes. Ces contraintes peuvent entraver ou limiter la capacité des détaillants ou des grossistes à s’approvisionner en biens dans d’autres pays de l’UE que celui dans lequel ils sont établis et/ou les empêcher de distribuer (revendre) des biens dans ces autres pays.</w:t>
      </w:r>
    </w:p>
  </w:footnote>
  <w:footnote w:id="20">
    <w:p w14:paraId="2CDF0AD4" w14:textId="04639A83" w:rsidR="002C7624" w:rsidRPr="00FA1277" w:rsidRDefault="002C7624" w:rsidP="009D31C9">
      <w:pPr>
        <w:pStyle w:val="FootnoteText"/>
        <w:spacing w:after="0"/>
        <w:rPr>
          <w:sz w:val="18"/>
          <w:szCs w:val="18"/>
        </w:rPr>
      </w:pPr>
      <w:r>
        <w:rPr>
          <w:rStyle w:val="FootnoteReference"/>
          <w:sz w:val="18"/>
          <w:szCs w:val="18"/>
        </w:rPr>
        <w:footnoteRef/>
      </w:r>
      <w:r>
        <w:rPr>
          <w:sz w:val="18"/>
        </w:rPr>
        <w:tab/>
      </w:r>
      <w:hyperlink r:id="rId14" w:history="1">
        <w:r>
          <w:rPr>
            <w:rStyle w:val="Hyperlink"/>
            <w:sz w:val="18"/>
          </w:rPr>
          <w:t>Commission européenne, rapport du SMET</w:t>
        </w:r>
      </w:hyperlink>
      <w:r w:rsidRPr="002D32F5">
        <w:rPr>
          <w:rStyle w:val="Hyperlink"/>
          <w:color w:val="000000" w:themeColor="text1"/>
          <w:sz w:val="18"/>
          <w:u w:val="none"/>
        </w:rPr>
        <w:t>.</w:t>
      </w:r>
    </w:p>
  </w:footnote>
  <w:footnote w:id="21">
    <w:p w14:paraId="70C30EB4" w14:textId="7C2B4603" w:rsidR="00CB7563" w:rsidRPr="00FA1277" w:rsidRDefault="00CB7563" w:rsidP="009D31C9">
      <w:pPr>
        <w:pStyle w:val="FootnoteText"/>
        <w:spacing w:after="0"/>
        <w:rPr>
          <w:sz w:val="18"/>
          <w:szCs w:val="18"/>
        </w:rPr>
      </w:pPr>
      <w:r>
        <w:rPr>
          <w:rStyle w:val="FootnoteReference"/>
          <w:sz w:val="18"/>
          <w:szCs w:val="18"/>
        </w:rPr>
        <w:footnoteRef/>
      </w:r>
      <w:r>
        <w:rPr>
          <w:rStyle w:val="FootnoteReference"/>
          <w:sz w:val="18"/>
        </w:rPr>
        <w:tab/>
      </w:r>
      <w:hyperlink r:id="rId15" w:history="1">
        <w:r>
          <w:rPr>
            <w:rStyle w:val="Hyperlink"/>
            <w:sz w:val="18"/>
          </w:rPr>
          <w:t>Rapport du SMET</w:t>
        </w:r>
        <w:r>
          <w:rPr>
            <w:rStyle w:val="Hyperlink"/>
            <w:sz w:val="18"/>
            <w:u w:val="none"/>
          </w:rPr>
          <w:t>.</w:t>
        </w:r>
      </w:hyperlink>
    </w:p>
  </w:footnote>
  <w:footnote w:id="22">
    <w:p w14:paraId="15A52F61" w14:textId="2329EAA9" w:rsidR="003D2C8E" w:rsidRPr="00FA1277" w:rsidRDefault="003D2C8E" w:rsidP="009D31C9">
      <w:pPr>
        <w:pStyle w:val="FootnoteText"/>
        <w:spacing w:after="0"/>
        <w:rPr>
          <w:sz w:val="18"/>
          <w:szCs w:val="18"/>
        </w:rPr>
      </w:pPr>
      <w:r>
        <w:rPr>
          <w:rStyle w:val="FootnoteReference"/>
          <w:sz w:val="18"/>
          <w:szCs w:val="18"/>
        </w:rPr>
        <w:footnoteRef/>
      </w:r>
      <w:r>
        <w:rPr>
          <w:rStyle w:val="FootnoteReference"/>
          <w:sz w:val="18"/>
        </w:rPr>
        <w:tab/>
      </w:r>
      <w:hyperlink r:id="rId16" w:history="1">
        <w:r>
          <w:rPr>
            <w:rStyle w:val="Hyperlink"/>
            <w:sz w:val="18"/>
          </w:rPr>
          <w:t>Tableau d’affichage du marché unique</w:t>
        </w:r>
      </w:hyperlink>
      <w:r>
        <w:rPr>
          <w:sz w:val="18"/>
        </w:rPr>
        <w:t>.</w:t>
      </w:r>
    </w:p>
  </w:footnote>
  <w:footnote w:id="23">
    <w:p w14:paraId="4869D164" w14:textId="4C945061" w:rsidR="00B57951" w:rsidRPr="00FE3892" w:rsidRDefault="00B57951" w:rsidP="009D31C9">
      <w:pPr>
        <w:pStyle w:val="FootnoteText"/>
        <w:spacing w:after="0"/>
        <w:rPr>
          <w:sz w:val="18"/>
          <w:szCs w:val="18"/>
        </w:rPr>
      </w:pPr>
      <w:r>
        <w:rPr>
          <w:rStyle w:val="FootnoteReference"/>
          <w:sz w:val="18"/>
          <w:szCs w:val="18"/>
        </w:rPr>
        <w:footnoteRef/>
      </w:r>
      <w:r>
        <w:rPr>
          <w:rStyle w:val="FootnoteReference"/>
          <w:sz w:val="18"/>
        </w:rPr>
        <w:tab/>
      </w:r>
      <w:hyperlink r:id="rId17" w:history="1">
        <w:r>
          <w:rPr>
            <w:rStyle w:val="Hyperlink"/>
            <w:sz w:val="18"/>
          </w:rPr>
          <w:t>Tableau d’affichage du marché unique</w:t>
        </w:r>
      </w:hyperlink>
      <w:r>
        <w:rPr>
          <w:sz w:val="18"/>
        </w:rPr>
        <w:t>. Les procédures d’infraction en cours ont diminué, malgré le fait que 25 % de procédures supplémentaires ont été engagées par rapport à la période de référence précédente (hausse de 138 à 172).</w:t>
      </w:r>
    </w:p>
  </w:footnote>
  <w:footnote w:id="24">
    <w:p w14:paraId="6F65CAF3" w14:textId="43618418" w:rsidR="007B2335" w:rsidRPr="00FA1277" w:rsidRDefault="007B2335" w:rsidP="009D31C9">
      <w:pPr>
        <w:pStyle w:val="FootnoteText"/>
        <w:spacing w:after="0"/>
        <w:rPr>
          <w:sz w:val="18"/>
          <w:szCs w:val="18"/>
        </w:rPr>
      </w:pPr>
      <w:r>
        <w:rPr>
          <w:rStyle w:val="FootnoteReference"/>
          <w:sz w:val="18"/>
          <w:szCs w:val="18"/>
        </w:rPr>
        <w:footnoteRef/>
      </w:r>
      <w:r>
        <w:rPr>
          <w:rStyle w:val="FootnoteReference"/>
          <w:sz w:val="18"/>
        </w:rPr>
        <w:tab/>
      </w:r>
      <w:r>
        <w:rPr>
          <w:sz w:val="18"/>
        </w:rPr>
        <w:t xml:space="preserve">Commission européenne — </w:t>
      </w:r>
      <w:hyperlink r:id="rId18" w:history="1">
        <w:r>
          <w:rPr>
            <w:rStyle w:val="Hyperlink"/>
            <w:sz w:val="18"/>
          </w:rPr>
          <w:t>Tableau d’affichage du marché unique</w:t>
        </w:r>
        <w:r>
          <w:rPr>
            <w:rStyle w:val="Hyperlink"/>
            <w:sz w:val="18"/>
            <w:u w:val="none"/>
          </w:rPr>
          <w:t>.</w:t>
        </w:r>
      </w:hyperlink>
    </w:p>
  </w:footnote>
  <w:footnote w:id="25">
    <w:p w14:paraId="5B9C78CF" w14:textId="0F15636A" w:rsidR="009003CB" w:rsidRPr="00FA1277" w:rsidRDefault="009003CB" w:rsidP="009D31C9">
      <w:pPr>
        <w:pStyle w:val="FootnoteText"/>
        <w:spacing w:after="0"/>
        <w:rPr>
          <w:sz w:val="18"/>
          <w:szCs w:val="18"/>
        </w:rPr>
      </w:pPr>
      <w:r>
        <w:rPr>
          <w:rStyle w:val="FootnoteReference"/>
          <w:sz w:val="18"/>
          <w:szCs w:val="18"/>
        </w:rPr>
        <w:footnoteRef/>
      </w:r>
      <w:r>
        <w:rPr>
          <w:sz w:val="18"/>
        </w:rPr>
        <w:tab/>
      </w:r>
      <w:hyperlink r:id="rId19" w:history="1">
        <w:r>
          <w:rPr>
            <w:rStyle w:val="Hyperlink"/>
            <w:sz w:val="18"/>
          </w:rPr>
          <w:t>Règlement sur les situations d’urgence dans le marché intérieur et la résilience du marché intérieur</w:t>
        </w:r>
      </w:hyperlink>
      <w:r>
        <w:rPr>
          <w:rStyle w:val="Hyperlink"/>
          <w:sz w:val="18"/>
          <w:u w:val="none"/>
        </w:rPr>
        <w:t>.</w:t>
      </w:r>
    </w:p>
  </w:footnote>
  <w:footnote w:id="26">
    <w:p w14:paraId="6DCF24D2" w14:textId="68DB95E5" w:rsidR="009971D0" w:rsidRPr="00FA1277" w:rsidRDefault="009971D0" w:rsidP="009D31C9">
      <w:pPr>
        <w:pStyle w:val="FootnoteText"/>
        <w:spacing w:after="0"/>
        <w:rPr>
          <w:sz w:val="18"/>
          <w:szCs w:val="18"/>
        </w:rPr>
      </w:pPr>
      <w:r>
        <w:rPr>
          <w:rStyle w:val="FootnoteReference"/>
          <w:sz w:val="18"/>
          <w:szCs w:val="18"/>
        </w:rPr>
        <w:footnoteRef/>
      </w:r>
      <w:r>
        <w:rPr>
          <w:sz w:val="18"/>
        </w:rPr>
        <w:tab/>
      </w:r>
      <w:hyperlink r:id="rId20" w:history="1">
        <w:r>
          <w:rPr>
            <w:rStyle w:val="Hyperlink"/>
            <w:sz w:val="18"/>
          </w:rPr>
          <w:t>Tableau d’affichage du marché unique, «Access to Services and Services Markets»</w:t>
        </w:r>
      </w:hyperlink>
      <w:r>
        <w:rPr>
          <w:rStyle w:val="Hyperlink"/>
          <w:sz w:val="18"/>
          <w:u w:val="none"/>
        </w:rPr>
        <w:t>.</w:t>
      </w:r>
    </w:p>
  </w:footnote>
  <w:footnote w:id="27">
    <w:p w14:paraId="5D7E3623" w14:textId="47745C32" w:rsidR="00AB48A6" w:rsidRPr="00FA1277" w:rsidRDefault="00AB48A6" w:rsidP="009D31C9">
      <w:pPr>
        <w:pStyle w:val="FootnoteText"/>
        <w:spacing w:after="0"/>
        <w:rPr>
          <w:sz w:val="18"/>
          <w:szCs w:val="18"/>
        </w:rPr>
      </w:pPr>
      <w:r>
        <w:rPr>
          <w:rStyle w:val="FootnoteReference"/>
          <w:sz w:val="18"/>
          <w:szCs w:val="18"/>
        </w:rPr>
        <w:footnoteRef/>
      </w:r>
      <w:r>
        <w:rPr>
          <w:sz w:val="18"/>
        </w:rPr>
        <w:tab/>
        <w:t xml:space="preserve">Cette situation est principalement due aux obstacles mentionnés à la section 1.1 ci-dessus, tels que la réglementation des professions et celle imposée aux entreprises susceptibles de fournir des services, les divergences entre les législations en matière d’emploi et de fiscalité, </w:t>
      </w:r>
      <w:r w:rsidR="00DB6138">
        <w:rPr>
          <w:sz w:val="18"/>
        </w:rPr>
        <w:t xml:space="preserve">et </w:t>
      </w:r>
      <w:r>
        <w:rPr>
          <w:sz w:val="18"/>
        </w:rPr>
        <w:t>des exigences de déclaration complexes en matière de détachement de travailleurs et d’attestation de couverture sociale.</w:t>
      </w:r>
    </w:p>
  </w:footnote>
  <w:footnote w:id="28">
    <w:p w14:paraId="42741339" w14:textId="5601BF0F" w:rsidR="00AD0D46" w:rsidRPr="00F1586B" w:rsidRDefault="00AD0D46" w:rsidP="009D31C9">
      <w:pPr>
        <w:pStyle w:val="FootnoteText"/>
        <w:spacing w:after="0"/>
        <w:rPr>
          <w:sz w:val="18"/>
          <w:szCs w:val="18"/>
        </w:rPr>
      </w:pPr>
      <w:r>
        <w:rPr>
          <w:rStyle w:val="FootnoteReference"/>
          <w:sz w:val="18"/>
          <w:szCs w:val="18"/>
        </w:rPr>
        <w:footnoteRef/>
      </w:r>
      <w:r>
        <w:rPr>
          <w:sz w:val="18"/>
        </w:rPr>
        <w:tab/>
      </w:r>
      <w:hyperlink r:id="rId21" w:history="1">
        <w:r>
          <w:rPr>
            <w:rStyle w:val="Hyperlink"/>
            <w:sz w:val="18"/>
          </w:rPr>
          <w:t>Banque centrale européenne</w:t>
        </w:r>
      </w:hyperlink>
      <w:r>
        <w:rPr>
          <w:sz w:val="18"/>
        </w:rPr>
        <w:t xml:space="preserve">, </w:t>
      </w:r>
      <w:hyperlink r:id="rId22" w:history="1">
        <w:r>
          <w:rPr>
            <w:rStyle w:val="Hyperlink"/>
            <w:sz w:val="18"/>
          </w:rPr>
          <w:t>Eurostat</w:t>
        </w:r>
      </w:hyperlink>
      <w:r>
        <w:rPr>
          <w:sz w:val="18"/>
        </w:rPr>
        <w:t>. La croissance de la productivité de la main-d’œuvre de l’UE dans le secteur des services est inférieure à celle observée dans l’industrie manufacturière (0,96 % contre 1,55 % au cours de la période 2010-2019). La croissance de la productivité horaire de la main-d’œuvre de l’UE dans le secteur des services est également à la traîne par rapport aux États-Unis (croissance de 3,8 % contre 12,4 % au cours de la période 2019-2024).</w:t>
      </w:r>
    </w:p>
  </w:footnote>
  <w:footnote w:id="29">
    <w:p w14:paraId="4616699E" w14:textId="1DCC9D97" w:rsidR="00615089" w:rsidRPr="00202588" w:rsidRDefault="00615089" w:rsidP="009D31C9">
      <w:pPr>
        <w:pStyle w:val="FootnoteText"/>
        <w:spacing w:after="0"/>
        <w:rPr>
          <w:sz w:val="18"/>
          <w:szCs w:val="18"/>
          <w:lang w:val="en-US"/>
        </w:rPr>
      </w:pPr>
      <w:r>
        <w:rPr>
          <w:rStyle w:val="FootnoteReference"/>
          <w:sz w:val="18"/>
          <w:szCs w:val="18"/>
        </w:rPr>
        <w:footnoteRef/>
      </w:r>
      <w:r w:rsidRPr="00202588">
        <w:rPr>
          <w:sz w:val="18"/>
          <w:lang w:val="en-US"/>
        </w:rPr>
        <w:tab/>
        <w:t>Consortium ECSIP, Study on the relation between industry and services in terms of productivity and value creation.</w:t>
      </w:r>
    </w:p>
  </w:footnote>
  <w:footnote w:id="30">
    <w:p w14:paraId="682CC0AB" w14:textId="4DC66A85" w:rsidR="00653CFF" w:rsidRPr="00202588" w:rsidRDefault="00653CFF" w:rsidP="009D31C9">
      <w:pPr>
        <w:pStyle w:val="FootnoteText"/>
        <w:spacing w:after="0"/>
        <w:rPr>
          <w:sz w:val="18"/>
          <w:szCs w:val="18"/>
          <w:lang w:val="en-US"/>
        </w:rPr>
      </w:pPr>
      <w:r>
        <w:rPr>
          <w:rStyle w:val="FootnoteReference"/>
          <w:sz w:val="18"/>
          <w:szCs w:val="18"/>
        </w:rPr>
        <w:footnoteRef/>
      </w:r>
      <w:r w:rsidRPr="00202588">
        <w:rPr>
          <w:sz w:val="18"/>
          <w:lang w:val="en-US"/>
        </w:rPr>
        <w:tab/>
      </w:r>
      <w:hyperlink r:id="rId23" w:history="1">
        <w:r w:rsidRPr="00202588">
          <w:rPr>
            <w:rStyle w:val="Hyperlink"/>
            <w:sz w:val="18"/>
            <w:lang w:val="en-US"/>
          </w:rPr>
          <w:t>30 years of single market – taking stock and looking ahead</w:t>
        </w:r>
      </w:hyperlink>
      <w:r w:rsidRPr="00202588">
        <w:rPr>
          <w:sz w:val="18"/>
          <w:lang w:val="en-US"/>
        </w:rPr>
        <w:t xml:space="preserve">; </w:t>
      </w:r>
      <w:hyperlink r:id="rId24" w:history="1">
        <w:r w:rsidRPr="00202588">
          <w:rPr>
            <w:rStyle w:val="Hyperlink"/>
            <w:sz w:val="18"/>
            <w:lang w:val="en-US"/>
          </w:rPr>
          <w:t>Business Europe, Examples of Single Market barriers for businesses – 2023</w:t>
        </w:r>
      </w:hyperlink>
      <w:r w:rsidRPr="00202588">
        <w:rPr>
          <w:rStyle w:val="Hyperlink"/>
          <w:sz w:val="18"/>
          <w:u w:val="none"/>
          <w:lang w:val="en-US"/>
        </w:rPr>
        <w:t>.</w:t>
      </w:r>
    </w:p>
  </w:footnote>
  <w:footnote w:id="31">
    <w:p w14:paraId="40B2EDDA" w14:textId="5E50880B" w:rsidR="007F3AC9" w:rsidRPr="00FA1277" w:rsidRDefault="007F3AC9" w:rsidP="009D31C9">
      <w:pPr>
        <w:pStyle w:val="FootnoteText"/>
        <w:spacing w:after="0"/>
        <w:rPr>
          <w:sz w:val="18"/>
          <w:szCs w:val="18"/>
        </w:rPr>
      </w:pPr>
      <w:r>
        <w:rPr>
          <w:rStyle w:val="FootnoteReference"/>
          <w:sz w:val="18"/>
          <w:szCs w:val="18"/>
        </w:rPr>
        <w:footnoteRef/>
      </w:r>
      <w:r>
        <w:rPr>
          <w:sz w:val="18"/>
        </w:rPr>
        <w:tab/>
        <w:t>Par exemple, la construction représente 11 % du PIB de l’UE, mais ne compte que pour 1 % des échanges de services intra-UE. La productivité horaire de la main-d’œuvre dans le secteur de la construction s’élève à environ 35 EUR par heure, soit 30 % de moins que dans l’industrie manufacturière.</w:t>
      </w:r>
    </w:p>
  </w:footnote>
  <w:footnote w:id="32">
    <w:p w14:paraId="10A3F280" w14:textId="4FF140CA" w:rsidR="00183337" w:rsidRPr="00FA1277" w:rsidRDefault="00183337" w:rsidP="009D31C9">
      <w:pPr>
        <w:pStyle w:val="FootnoteText"/>
        <w:spacing w:after="0"/>
        <w:rPr>
          <w:sz w:val="18"/>
          <w:szCs w:val="18"/>
        </w:rPr>
      </w:pPr>
      <w:r>
        <w:rPr>
          <w:rStyle w:val="FootnoteReference"/>
          <w:sz w:val="18"/>
          <w:szCs w:val="18"/>
        </w:rPr>
        <w:footnoteRef/>
      </w:r>
      <w:r>
        <w:rPr>
          <w:sz w:val="18"/>
        </w:rPr>
        <w:tab/>
      </w:r>
      <w:hyperlink r:id="rId25" w:history="1">
        <w:r>
          <w:rPr>
            <w:rStyle w:val="Hyperlink"/>
            <w:sz w:val="18"/>
          </w:rPr>
          <w:t>Base de données des professions réglementées</w:t>
        </w:r>
      </w:hyperlink>
      <w:r>
        <w:rPr>
          <w:rStyle w:val="Hyperlink"/>
          <w:sz w:val="18"/>
          <w:u w:val="none"/>
        </w:rPr>
        <w:t>.</w:t>
      </w:r>
    </w:p>
  </w:footnote>
  <w:footnote w:id="33">
    <w:p w14:paraId="7C9AD257" w14:textId="754F625E" w:rsidR="00183337" w:rsidRPr="00202588" w:rsidRDefault="00183337" w:rsidP="009D31C9">
      <w:pPr>
        <w:pStyle w:val="FootnoteText"/>
        <w:spacing w:after="0"/>
        <w:rPr>
          <w:sz w:val="18"/>
          <w:szCs w:val="18"/>
          <w:lang w:val="en-US"/>
        </w:rPr>
      </w:pPr>
      <w:r>
        <w:rPr>
          <w:rStyle w:val="FootnoteReference"/>
          <w:sz w:val="18"/>
          <w:szCs w:val="18"/>
        </w:rPr>
        <w:footnoteRef/>
      </w:r>
      <w:r w:rsidRPr="00202588">
        <w:rPr>
          <w:sz w:val="18"/>
          <w:lang w:val="en-US"/>
        </w:rPr>
        <w:tab/>
      </w:r>
      <w:hyperlink r:id="rId26" w:history="1">
        <w:r w:rsidRPr="00202588">
          <w:rPr>
            <w:rStyle w:val="Hyperlink"/>
            <w:sz w:val="18"/>
            <w:lang w:val="en-US"/>
          </w:rPr>
          <w:t>Measuring Prevalence and Labour Market Impacts of Occupational Regulation in the EU</w:t>
        </w:r>
      </w:hyperlink>
      <w:r w:rsidRPr="00202588">
        <w:rPr>
          <w:rStyle w:val="Hyperlink"/>
          <w:sz w:val="18"/>
          <w:u w:val="none"/>
          <w:lang w:val="en-US"/>
        </w:rPr>
        <w:t>.</w:t>
      </w:r>
    </w:p>
  </w:footnote>
  <w:footnote w:id="34">
    <w:p w14:paraId="5A845C80" w14:textId="14AF0A27" w:rsidR="00183337" w:rsidRPr="005E6777" w:rsidRDefault="00183337" w:rsidP="009D31C9">
      <w:pPr>
        <w:pStyle w:val="FootnoteText"/>
        <w:spacing w:after="0"/>
        <w:rPr>
          <w:sz w:val="18"/>
          <w:szCs w:val="18"/>
        </w:rPr>
      </w:pPr>
      <w:r>
        <w:rPr>
          <w:rStyle w:val="FootnoteReference"/>
          <w:sz w:val="18"/>
          <w:szCs w:val="18"/>
        </w:rPr>
        <w:footnoteRef/>
      </w:r>
      <w:r>
        <w:rPr>
          <w:sz w:val="18"/>
        </w:rPr>
        <w:tab/>
        <w:t>Idem.</w:t>
      </w:r>
    </w:p>
  </w:footnote>
  <w:footnote w:id="35">
    <w:p w14:paraId="3914753A" w14:textId="1A253F08" w:rsidR="00A14D42" w:rsidRPr="00FA1277" w:rsidRDefault="00A14D42" w:rsidP="009D31C9">
      <w:pPr>
        <w:pStyle w:val="FootnoteText"/>
        <w:spacing w:after="0"/>
        <w:rPr>
          <w:sz w:val="18"/>
          <w:szCs w:val="18"/>
        </w:rPr>
      </w:pPr>
      <w:r>
        <w:rPr>
          <w:rStyle w:val="FootnoteReference"/>
          <w:sz w:val="18"/>
          <w:szCs w:val="18"/>
        </w:rPr>
        <w:footnoteRef/>
      </w:r>
      <w:r>
        <w:rPr>
          <w:sz w:val="18"/>
        </w:rPr>
        <w:tab/>
        <w:t xml:space="preserve">Commission européenne, </w:t>
      </w:r>
      <w:hyperlink r:id="rId27" w:history="1">
        <w:r>
          <w:rPr>
            <w:rStyle w:val="Hyperlink"/>
            <w:sz w:val="18"/>
          </w:rPr>
          <w:t>tableau d’affichage du marché unique</w:t>
        </w:r>
      </w:hyperlink>
      <w:r>
        <w:rPr>
          <w:sz w:val="18"/>
        </w:rPr>
        <w:t>, «Barriers to accessing professional services markets», base de données de l’indicateur de restrictivité de l’UE (EURI).</w:t>
      </w:r>
    </w:p>
  </w:footnote>
  <w:footnote w:id="36">
    <w:p w14:paraId="1A9D165C" w14:textId="02B9782F" w:rsidR="006A228B" w:rsidRPr="005E6777" w:rsidRDefault="006A228B" w:rsidP="009D31C9">
      <w:pPr>
        <w:pStyle w:val="FootnoteText"/>
        <w:spacing w:after="0"/>
        <w:rPr>
          <w:sz w:val="18"/>
          <w:szCs w:val="18"/>
        </w:rPr>
      </w:pPr>
      <w:r>
        <w:rPr>
          <w:rStyle w:val="FootnoteReference"/>
          <w:sz w:val="18"/>
          <w:szCs w:val="18"/>
        </w:rPr>
        <w:footnoteRef/>
      </w:r>
      <w:r>
        <w:rPr>
          <w:sz w:val="18"/>
        </w:rPr>
        <w:tab/>
      </w:r>
      <w:hyperlink r:id="rId28" w:history="1">
        <w:r>
          <w:rPr>
            <w:rStyle w:val="Hyperlink"/>
            <w:sz w:val="18"/>
          </w:rPr>
          <w:t>Directive relative à la reconnaissance des qualifications professionnelles</w:t>
        </w:r>
      </w:hyperlink>
      <w:r>
        <w:rPr>
          <w:sz w:val="18"/>
        </w:rPr>
        <w:t>.</w:t>
      </w:r>
    </w:p>
  </w:footnote>
  <w:footnote w:id="37">
    <w:p w14:paraId="22DD6EF2" w14:textId="2044591A" w:rsidR="00183337" w:rsidRPr="005E6777" w:rsidRDefault="00183337" w:rsidP="009D31C9">
      <w:pPr>
        <w:pStyle w:val="FootnoteText"/>
        <w:spacing w:after="0"/>
        <w:rPr>
          <w:sz w:val="18"/>
          <w:szCs w:val="18"/>
        </w:rPr>
      </w:pPr>
      <w:r>
        <w:rPr>
          <w:rStyle w:val="FootnoteReference"/>
          <w:sz w:val="18"/>
          <w:szCs w:val="18"/>
        </w:rPr>
        <w:footnoteRef/>
      </w:r>
      <w:r>
        <w:rPr>
          <w:sz w:val="18"/>
        </w:rPr>
        <w:tab/>
      </w:r>
      <w:hyperlink r:id="rId29" w:history="1">
        <w:r>
          <w:rPr>
            <w:rStyle w:val="Hyperlink"/>
            <w:sz w:val="18"/>
          </w:rPr>
          <w:t>Base de données des professions réglementées</w:t>
        </w:r>
      </w:hyperlink>
      <w:r>
        <w:rPr>
          <w:rStyle w:val="Hyperlink"/>
          <w:sz w:val="18"/>
          <w:u w:val="none"/>
        </w:rPr>
        <w:t>.</w:t>
      </w:r>
    </w:p>
  </w:footnote>
  <w:footnote w:id="38">
    <w:p w14:paraId="42D89E29" w14:textId="21A9BB79" w:rsidR="00B1775B" w:rsidRPr="005E6777" w:rsidRDefault="00B1775B" w:rsidP="009D31C9">
      <w:pPr>
        <w:pStyle w:val="FootnoteText"/>
        <w:spacing w:after="0"/>
        <w:rPr>
          <w:sz w:val="18"/>
          <w:szCs w:val="18"/>
        </w:rPr>
      </w:pPr>
      <w:r>
        <w:rPr>
          <w:rStyle w:val="FootnoteReference"/>
          <w:sz w:val="18"/>
          <w:szCs w:val="18"/>
        </w:rPr>
        <w:footnoteRef/>
      </w:r>
      <w:r>
        <w:rPr>
          <w:sz w:val="18"/>
        </w:rPr>
        <w:tab/>
        <w:t>Bien que des procédures de reconnaissance automatique fondées sur des exigences minimales harmonisées en matière de formation ou sur l’expérience professionnelle s’appliquent pour certaines professions et certains secteurs, leur portée dans la pratique est trop limitée et les procédures restent trop souvent complexes et lentes.</w:t>
      </w:r>
    </w:p>
  </w:footnote>
  <w:footnote w:id="39">
    <w:p w14:paraId="23F60897" w14:textId="77777777" w:rsidR="00183337" w:rsidRPr="006B0FB3" w:rsidRDefault="00183337" w:rsidP="009D31C9">
      <w:pPr>
        <w:pStyle w:val="FootnoteText"/>
        <w:spacing w:after="0"/>
        <w:rPr>
          <w:sz w:val="18"/>
          <w:szCs w:val="18"/>
        </w:rPr>
      </w:pPr>
      <w:r>
        <w:rPr>
          <w:rStyle w:val="FootnoteReference"/>
          <w:sz w:val="18"/>
          <w:szCs w:val="18"/>
        </w:rPr>
        <w:footnoteRef/>
      </w:r>
      <w:r>
        <w:rPr>
          <w:sz w:val="18"/>
        </w:rPr>
        <w:tab/>
      </w:r>
      <w:hyperlink r:id="rId30">
        <w:r>
          <w:rPr>
            <w:rStyle w:val="Hyperlink"/>
            <w:sz w:val="18"/>
          </w:rPr>
          <w:t>Proposition de la Commission</w:t>
        </w:r>
      </w:hyperlink>
      <w:r>
        <w:rPr>
          <w:sz w:val="18"/>
        </w:rPr>
        <w:t xml:space="preserve"> du 13 novembre 2024 établissant un portail numérique de déclaration unique.</w:t>
      </w:r>
    </w:p>
  </w:footnote>
  <w:footnote w:id="40">
    <w:p w14:paraId="5000543C" w14:textId="791AEC7F" w:rsidR="00CD1D4D" w:rsidRPr="00FA1277" w:rsidRDefault="00CD1D4D" w:rsidP="009D31C9">
      <w:pPr>
        <w:pStyle w:val="FootnoteText"/>
        <w:spacing w:after="0"/>
        <w:rPr>
          <w:sz w:val="18"/>
          <w:szCs w:val="18"/>
        </w:rPr>
      </w:pPr>
      <w:r>
        <w:rPr>
          <w:rStyle w:val="FootnoteReference"/>
          <w:sz w:val="18"/>
          <w:szCs w:val="18"/>
        </w:rPr>
        <w:footnoteRef/>
      </w:r>
      <w:r>
        <w:rPr>
          <w:sz w:val="18"/>
        </w:rPr>
        <w:tab/>
      </w:r>
      <w:hyperlink r:id="rId31" w:history="1">
        <w:r>
          <w:rPr>
            <w:rStyle w:val="Hyperlink"/>
            <w:sz w:val="18"/>
          </w:rPr>
          <w:t>Marché intérieur, industrie, entrepreneuriat et PME — Services postaux</w:t>
        </w:r>
      </w:hyperlink>
      <w:r>
        <w:rPr>
          <w:rStyle w:val="Hyperlink"/>
          <w:sz w:val="18"/>
          <w:u w:val="none"/>
        </w:rPr>
        <w:t>.</w:t>
      </w:r>
    </w:p>
  </w:footnote>
  <w:footnote w:id="41">
    <w:p w14:paraId="44945A45" w14:textId="7BAB8663" w:rsidR="001F27E0" w:rsidRPr="00FA1277" w:rsidRDefault="001F27E0" w:rsidP="009D31C9">
      <w:pPr>
        <w:pStyle w:val="FootnoteText"/>
        <w:spacing w:after="0"/>
        <w:rPr>
          <w:sz w:val="18"/>
          <w:szCs w:val="18"/>
        </w:rPr>
      </w:pPr>
      <w:r>
        <w:rPr>
          <w:rStyle w:val="FootnoteReference"/>
          <w:sz w:val="18"/>
          <w:szCs w:val="18"/>
        </w:rPr>
        <w:footnoteRef/>
      </w:r>
      <w:r>
        <w:rPr>
          <w:sz w:val="18"/>
        </w:rPr>
        <w:tab/>
        <w:t xml:space="preserve">Batteries: </w:t>
      </w:r>
      <w:hyperlink r:id="rId32" w:history="1">
        <w:r>
          <w:rPr>
            <w:rStyle w:val="Hyperlink"/>
            <w:sz w:val="18"/>
          </w:rPr>
          <w:t>règlement (UE) 2023/1542</w:t>
        </w:r>
      </w:hyperlink>
      <w:r>
        <w:rPr>
          <w:sz w:val="18"/>
        </w:rPr>
        <w:t xml:space="preserve">, machines: </w:t>
      </w:r>
      <w:hyperlink r:id="rId33" w:history="1">
        <w:r>
          <w:rPr>
            <w:rStyle w:val="Hyperlink"/>
            <w:sz w:val="18"/>
          </w:rPr>
          <w:t>règlement (UE) 2023/1230</w:t>
        </w:r>
      </w:hyperlink>
      <w:r>
        <w:rPr>
          <w:sz w:val="18"/>
        </w:rPr>
        <w:t xml:space="preserve">, équipements de protection individuelle: </w:t>
      </w:r>
      <w:hyperlink r:id="rId34" w:history="1">
        <w:r>
          <w:rPr>
            <w:rStyle w:val="Hyperlink"/>
            <w:sz w:val="18"/>
          </w:rPr>
          <w:t>règlement (UE) 2016/425</w:t>
        </w:r>
      </w:hyperlink>
      <w:r>
        <w:rPr>
          <w:sz w:val="18"/>
        </w:rPr>
        <w:t>.</w:t>
      </w:r>
    </w:p>
  </w:footnote>
  <w:footnote w:id="42">
    <w:p w14:paraId="5A834DDF" w14:textId="3DE3490E" w:rsidR="00CB0D3E" w:rsidRPr="00F1586B" w:rsidRDefault="00CB0D3E" w:rsidP="009D31C9">
      <w:pPr>
        <w:pStyle w:val="FootnoteText"/>
        <w:spacing w:after="0"/>
        <w:rPr>
          <w:sz w:val="18"/>
          <w:szCs w:val="18"/>
        </w:rPr>
      </w:pPr>
      <w:r>
        <w:rPr>
          <w:rStyle w:val="FootnoteReference"/>
          <w:sz w:val="18"/>
          <w:szCs w:val="18"/>
        </w:rPr>
        <w:footnoteRef/>
      </w:r>
      <w:r>
        <w:rPr>
          <w:sz w:val="18"/>
        </w:rPr>
        <w:tab/>
        <w:t>Cela pose des problèmes particuliers pour la sécurité des produits et la surveillance du marché, étant donné qu’environ trois quarts des produits dangereux détectés dans l’UE proviennent de pays tiers et que tous les produits de consommation ne sont pas soumis à l’obligation de disposer d’une personne responsable dans l’UE qui soit joignable pour prendre des mesures correctives. Cette situation a une incidence négative sur l’égalité des conditions de concurrence dans l’UE.</w:t>
      </w:r>
    </w:p>
  </w:footnote>
  <w:footnote w:id="43">
    <w:p w14:paraId="27499725" w14:textId="7E4F77F3" w:rsidR="00AF4577" w:rsidRPr="006B0FB3" w:rsidRDefault="00AF4577" w:rsidP="009D31C9">
      <w:pPr>
        <w:pStyle w:val="FootnoteText"/>
        <w:spacing w:after="0"/>
        <w:rPr>
          <w:sz w:val="18"/>
          <w:szCs w:val="18"/>
        </w:rPr>
      </w:pPr>
      <w:r>
        <w:rPr>
          <w:rStyle w:val="FootnoteReference"/>
          <w:sz w:val="18"/>
          <w:szCs w:val="18"/>
        </w:rPr>
        <w:footnoteRef/>
      </w:r>
      <w:r>
        <w:rPr>
          <w:rStyle w:val="FootnoteReference"/>
          <w:sz w:val="18"/>
        </w:rPr>
        <w:tab/>
      </w:r>
      <w:hyperlink r:id="rId35" w:history="1">
        <w:r>
          <w:rPr>
            <w:rStyle w:val="Hyperlink"/>
            <w:sz w:val="18"/>
          </w:rPr>
          <w:t>Règlement (UE) 2019/1020</w:t>
        </w:r>
      </w:hyperlink>
      <w:r>
        <w:rPr>
          <w:rStyle w:val="Hyperlink"/>
          <w:sz w:val="18"/>
          <w:u w:val="none"/>
        </w:rPr>
        <w:t>.</w:t>
      </w:r>
    </w:p>
  </w:footnote>
  <w:footnote w:id="44">
    <w:p w14:paraId="4D3830B2" w14:textId="49B9AC5F" w:rsidR="00AF4577" w:rsidRPr="006B0FB3" w:rsidRDefault="00AF4577" w:rsidP="009D31C9">
      <w:pPr>
        <w:pStyle w:val="FootnoteText"/>
        <w:spacing w:after="0"/>
        <w:rPr>
          <w:sz w:val="18"/>
          <w:szCs w:val="18"/>
        </w:rPr>
      </w:pPr>
      <w:r>
        <w:rPr>
          <w:rStyle w:val="FootnoteReference"/>
          <w:sz w:val="18"/>
          <w:szCs w:val="18"/>
        </w:rPr>
        <w:footnoteRef/>
      </w:r>
      <w:r>
        <w:rPr>
          <w:rStyle w:val="FootnoteReference"/>
          <w:sz w:val="18"/>
        </w:rPr>
        <w:tab/>
      </w:r>
      <w:hyperlink r:id="rId36" w:history="1">
        <w:r>
          <w:rPr>
            <w:rStyle w:val="Hyperlink"/>
            <w:sz w:val="18"/>
          </w:rPr>
          <w:t>Règlement (UE) 2023/988</w:t>
        </w:r>
      </w:hyperlink>
      <w:r>
        <w:rPr>
          <w:rStyle w:val="Hyperlink"/>
          <w:sz w:val="18"/>
          <w:u w:val="none"/>
        </w:rPr>
        <w:t>.</w:t>
      </w:r>
    </w:p>
  </w:footnote>
  <w:footnote w:id="45">
    <w:p w14:paraId="77E7B15D" w14:textId="5FCA4AD6" w:rsidR="00A0443F" w:rsidRPr="000F6412" w:rsidRDefault="00A0443F" w:rsidP="009D31C9">
      <w:pPr>
        <w:pStyle w:val="FootnoteText"/>
        <w:spacing w:after="0"/>
        <w:rPr>
          <w:sz w:val="18"/>
          <w:szCs w:val="18"/>
        </w:rPr>
      </w:pPr>
      <w:r>
        <w:rPr>
          <w:rStyle w:val="FootnoteReference"/>
          <w:sz w:val="18"/>
          <w:szCs w:val="18"/>
        </w:rPr>
        <w:footnoteRef/>
      </w:r>
      <w:r>
        <w:rPr>
          <w:rStyle w:val="FootnoteReference"/>
          <w:sz w:val="18"/>
        </w:rPr>
        <w:tab/>
      </w:r>
      <w:r>
        <w:rPr>
          <w:sz w:val="18"/>
        </w:rPr>
        <w:t>D’après une étude indépendante réalisée pour le compte de la Commission européenne en 2020, les consommateurs pourraient économiser jusqu’à 14,1 milliards d’EUR par an sur l’achat de certains produits si les contraintes territoriales en matière d’approvisionnement étaient supprimées.</w:t>
      </w:r>
    </w:p>
  </w:footnote>
  <w:footnote w:id="46">
    <w:p w14:paraId="3B2988D5" w14:textId="76B05083" w:rsidR="00ED01E2" w:rsidRPr="00062356" w:rsidRDefault="00ED01E2" w:rsidP="009D31C9">
      <w:pPr>
        <w:pStyle w:val="FootnoteText"/>
        <w:spacing w:after="0"/>
        <w:rPr>
          <w:sz w:val="18"/>
          <w:szCs w:val="18"/>
        </w:rPr>
      </w:pPr>
      <w:r>
        <w:rPr>
          <w:rStyle w:val="FootnoteReference"/>
          <w:sz w:val="18"/>
          <w:szCs w:val="18"/>
        </w:rPr>
        <w:footnoteRef/>
      </w:r>
      <w:r>
        <w:rPr>
          <w:sz w:val="18"/>
        </w:rPr>
        <w:tab/>
        <w:t>Le 23 mai 2024, la Commission a infligé à Mondelez une amende de 337,5 millions d’EUR pour avoir restreint le commerce transfrontière de produits à base de chocolat, de biscuits et de café. Auparavant, en 2019, la Commission avait condamné AB InBev à une amende de 200 millions d’EUR pour restriction des ventes transfrontières de bière.</w:t>
      </w:r>
    </w:p>
  </w:footnote>
  <w:footnote w:id="47">
    <w:p w14:paraId="437321FB" w14:textId="30DCD9E9" w:rsidR="00ED01E2" w:rsidRPr="00062356" w:rsidRDefault="00ED01E2" w:rsidP="009D31C9">
      <w:pPr>
        <w:pStyle w:val="FootnoteText"/>
        <w:spacing w:after="0"/>
        <w:rPr>
          <w:sz w:val="18"/>
          <w:szCs w:val="18"/>
        </w:rPr>
      </w:pPr>
      <w:r>
        <w:rPr>
          <w:rStyle w:val="FootnoteReference"/>
          <w:sz w:val="18"/>
          <w:szCs w:val="18"/>
        </w:rPr>
        <w:footnoteRef/>
      </w:r>
      <w:r>
        <w:rPr>
          <w:sz w:val="18"/>
        </w:rPr>
        <w:tab/>
        <w:t>Le droit de la concurrence de l’Union ne s’applique que lorsque les contraintes territoriales en matière d’approvisionnement sont incluses dans des accords anticoncurrentiels ou si elles sont mises en œuvre de façon unilatérale par un opérateur dominant.</w:t>
      </w:r>
    </w:p>
  </w:footnote>
  <w:footnote w:id="48">
    <w:p w14:paraId="36D1BFD2" w14:textId="650DB0F7" w:rsidR="004D76E5" w:rsidRPr="00CB79FC" w:rsidRDefault="004D76E5" w:rsidP="009D31C9">
      <w:pPr>
        <w:pStyle w:val="FootnoteText"/>
        <w:spacing w:after="0"/>
        <w:rPr>
          <w:sz w:val="18"/>
          <w:szCs w:val="18"/>
        </w:rPr>
      </w:pPr>
      <w:r>
        <w:rPr>
          <w:rStyle w:val="FootnoteReference"/>
          <w:sz w:val="18"/>
          <w:szCs w:val="18"/>
        </w:rPr>
        <w:footnoteRef/>
      </w:r>
      <w:r>
        <w:rPr>
          <w:sz w:val="18"/>
        </w:rPr>
        <w:tab/>
      </w:r>
      <w:hyperlink r:id="rId37" w:history="1">
        <w:r>
          <w:rPr>
            <w:rStyle w:val="Hyperlink"/>
            <w:sz w:val="18"/>
          </w:rPr>
          <w:t>Programme de travail annuel de l’Union en matière de normalisation européenne pour 2024</w:t>
        </w:r>
      </w:hyperlink>
      <w:r>
        <w:rPr>
          <w:rStyle w:val="Hyperlink"/>
          <w:sz w:val="18"/>
          <w:u w:val="none"/>
        </w:rPr>
        <w:t>.</w:t>
      </w:r>
    </w:p>
  </w:footnote>
  <w:footnote w:id="49">
    <w:p w14:paraId="22AB8D0A" w14:textId="6C61DA55" w:rsidR="002D7796" w:rsidRPr="00CB79FC" w:rsidRDefault="002D7796" w:rsidP="009D31C9">
      <w:pPr>
        <w:pStyle w:val="FootnoteText"/>
        <w:spacing w:after="0"/>
        <w:rPr>
          <w:sz w:val="18"/>
          <w:szCs w:val="18"/>
        </w:rPr>
      </w:pPr>
      <w:r>
        <w:rPr>
          <w:rStyle w:val="FootnoteReference"/>
          <w:sz w:val="18"/>
          <w:szCs w:val="18"/>
        </w:rPr>
        <w:footnoteRef/>
      </w:r>
      <w:r>
        <w:rPr>
          <w:sz w:val="18"/>
        </w:rPr>
        <w:tab/>
      </w:r>
      <w:hyperlink r:id="rId38" w:history="1">
        <w:r>
          <w:rPr>
            <w:rStyle w:val="Hyperlink"/>
            <w:sz w:val="18"/>
          </w:rPr>
          <w:t>Examen du règlement (UE) nº 1007/2011</w:t>
        </w:r>
      </w:hyperlink>
      <w:r>
        <w:rPr>
          <w:sz w:val="18"/>
        </w:rPr>
        <w:t>. On peut par exemple lire qu’«[e]n outre, de nouvelles fibres sont en cours de développement, selon des niveaux de complexité et de rapidité croissants, tandis que de nouvelles technologies de recyclage sont mises à disposition rapidement, ce qui nécessite une meilleure identification des fibres» et que «les technologies d’étiquetage numérique sont désormais facilement accessibles et abordables».</w:t>
      </w:r>
    </w:p>
  </w:footnote>
  <w:footnote w:id="50">
    <w:p w14:paraId="68925541" w14:textId="2A467777" w:rsidR="00B5499B" w:rsidRPr="00062356" w:rsidRDefault="00B5499B" w:rsidP="009D31C9">
      <w:pPr>
        <w:pStyle w:val="FootnoteText"/>
        <w:spacing w:after="0"/>
        <w:rPr>
          <w:sz w:val="18"/>
          <w:szCs w:val="18"/>
        </w:rPr>
      </w:pPr>
      <w:r>
        <w:rPr>
          <w:rStyle w:val="FootnoteReference"/>
          <w:sz w:val="18"/>
          <w:szCs w:val="18"/>
        </w:rPr>
        <w:footnoteRef/>
      </w:r>
      <w:r>
        <w:rPr>
          <w:sz w:val="18"/>
        </w:rPr>
        <w:tab/>
        <w:t xml:space="preserve">Banque européenne d’investissement (BEI), </w:t>
      </w:r>
      <w:hyperlink r:id="rId39" w:history="1">
        <w:r>
          <w:rPr>
            <w:rStyle w:val="Hyperlink"/>
            <w:sz w:val="18"/>
          </w:rPr>
          <w:t>Investment Barriers in the EU</w:t>
        </w:r>
      </w:hyperlink>
      <w:r>
        <w:rPr>
          <w:sz w:val="18"/>
        </w:rPr>
        <w:t>.</w:t>
      </w:r>
    </w:p>
  </w:footnote>
  <w:footnote w:id="51">
    <w:p w14:paraId="2B8669B8" w14:textId="3A0139A7" w:rsidR="00C86DD5" w:rsidRPr="00F1586B" w:rsidRDefault="00C86DD5" w:rsidP="009D31C9">
      <w:pPr>
        <w:pStyle w:val="FootnoteText"/>
        <w:spacing w:after="0"/>
        <w:rPr>
          <w:sz w:val="18"/>
          <w:szCs w:val="18"/>
        </w:rPr>
      </w:pPr>
      <w:r>
        <w:rPr>
          <w:rStyle w:val="FootnoteReference"/>
          <w:sz w:val="18"/>
          <w:szCs w:val="18"/>
        </w:rPr>
        <w:footnoteRef/>
      </w:r>
      <w:r>
        <w:rPr>
          <w:sz w:val="18"/>
        </w:rPr>
        <w:tab/>
        <w:t>Sur une échelle de 1 à 7, où 1 = «extrêmement complexe» et 7 = «extrêmement facile».</w:t>
      </w:r>
    </w:p>
  </w:footnote>
  <w:footnote w:id="52">
    <w:p w14:paraId="3D73090A" w14:textId="3EACAE41" w:rsidR="00D261E8" w:rsidRPr="00062356" w:rsidRDefault="00D261E8" w:rsidP="009D31C9">
      <w:pPr>
        <w:pStyle w:val="FootnoteText"/>
        <w:spacing w:after="0"/>
        <w:rPr>
          <w:sz w:val="18"/>
          <w:szCs w:val="18"/>
        </w:rPr>
      </w:pPr>
      <w:r>
        <w:rPr>
          <w:rStyle w:val="FootnoteReference"/>
          <w:sz w:val="18"/>
          <w:szCs w:val="18"/>
        </w:rPr>
        <w:footnoteRef/>
      </w:r>
      <w:r>
        <w:rPr>
          <w:sz w:val="18"/>
        </w:rPr>
        <w:tab/>
        <w:t xml:space="preserve">Ernst &amp; Young, </w:t>
      </w:r>
      <w:hyperlink r:id="rId40" w:history="1">
        <w:r>
          <w:rPr>
            <w:rStyle w:val="Hyperlink"/>
            <w:sz w:val="18"/>
          </w:rPr>
          <w:t>Enquête 2024 sur l’attractivité de l’Europe</w:t>
        </w:r>
      </w:hyperlink>
      <w:r>
        <w:rPr>
          <w:sz w:val="18"/>
        </w:rPr>
        <w:t>.</w:t>
      </w:r>
    </w:p>
  </w:footnote>
  <w:footnote w:id="53">
    <w:p w14:paraId="59278A5A" w14:textId="2CB53485" w:rsidR="00D261E8" w:rsidRPr="00062356" w:rsidRDefault="00D261E8" w:rsidP="009D31C9">
      <w:pPr>
        <w:pStyle w:val="FootnoteText"/>
        <w:spacing w:after="0"/>
        <w:rPr>
          <w:sz w:val="18"/>
          <w:szCs w:val="18"/>
        </w:rPr>
      </w:pPr>
      <w:r>
        <w:rPr>
          <w:rStyle w:val="FootnoteReference"/>
          <w:sz w:val="18"/>
          <w:szCs w:val="18"/>
        </w:rPr>
        <w:footnoteRef/>
      </w:r>
      <w:r>
        <w:rPr>
          <w:sz w:val="18"/>
        </w:rPr>
        <w:tab/>
      </w:r>
      <w:hyperlink r:id="rId41" w:history="1">
        <w:r>
          <w:rPr>
            <w:rStyle w:val="Hyperlink"/>
            <w:sz w:val="18"/>
          </w:rPr>
          <w:t>Commission européenne — Tableau d’affichage du marché unique</w:t>
        </w:r>
      </w:hyperlink>
      <w:r>
        <w:rPr>
          <w:sz w:val="18"/>
        </w:rPr>
        <w:t xml:space="preserve">; </w:t>
      </w:r>
      <w:hyperlink r:id="rId42" w:history="1">
        <w:r>
          <w:rPr>
            <w:rStyle w:val="Hyperlink"/>
            <w:sz w:val="18"/>
          </w:rPr>
          <w:t>Conférence des Nations unies sur le commerce et le développement</w:t>
        </w:r>
      </w:hyperlink>
      <w:r>
        <w:rPr>
          <w:rStyle w:val="Hyperlink"/>
          <w:sz w:val="18"/>
          <w:u w:val="none"/>
        </w:rPr>
        <w:t>.</w:t>
      </w:r>
    </w:p>
  </w:footnote>
  <w:footnote w:id="54">
    <w:p w14:paraId="07B22FFE" w14:textId="01A5C896" w:rsidR="00D261E8" w:rsidRPr="00062356" w:rsidRDefault="00D261E8" w:rsidP="009D31C9">
      <w:pPr>
        <w:pStyle w:val="FootnoteText"/>
        <w:spacing w:after="0"/>
        <w:rPr>
          <w:sz w:val="18"/>
          <w:szCs w:val="18"/>
        </w:rPr>
      </w:pPr>
      <w:r>
        <w:rPr>
          <w:rStyle w:val="FootnoteReference"/>
          <w:sz w:val="18"/>
          <w:szCs w:val="18"/>
        </w:rPr>
        <w:footnoteRef/>
      </w:r>
      <w:r>
        <w:rPr>
          <w:sz w:val="18"/>
        </w:rPr>
        <w:tab/>
        <w:t xml:space="preserve">BEI, </w:t>
      </w:r>
      <w:hyperlink r:id="rId43" w:history="1">
        <w:r>
          <w:rPr>
            <w:rStyle w:val="Hyperlink"/>
            <w:sz w:val="18"/>
          </w:rPr>
          <w:t>Enquête 2024 de la BEI sur l’investissement</w:t>
        </w:r>
      </w:hyperlink>
      <w:r>
        <w:rPr>
          <w:rStyle w:val="Hyperlink"/>
          <w:sz w:val="18"/>
          <w:u w:val="none"/>
        </w:rPr>
        <w:t>.</w:t>
      </w:r>
    </w:p>
  </w:footnote>
  <w:footnote w:id="55">
    <w:p w14:paraId="07F2989F" w14:textId="500CD538" w:rsidR="00001E43" w:rsidRPr="00062356" w:rsidRDefault="00001E43" w:rsidP="009D31C9">
      <w:pPr>
        <w:pStyle w:val="FootnoteText"/>
        <w:spacing w:after="0"/>
        <w:rPr>
          <w:sz w:val="18"/>
          <w:szCs w:val="18"/>
        </w:rPr>
      </w:pPr>
      <w:r>
        <w:rPr>
          <w:rStyle w:val="FootnoteReference"/>
          <w:sz w:val="18"/>
          <w:szCs w:val="18"/>
        </w:rPr>
        <w:footnoteRef/>
      </w:r>
      <w:r>
        <w:rPr>
          <w:sz w:val="18"/>
        </w:rPr>
        <w:tab/>
        <w:t>Voir par exemple l’enquête 2024 d’Eurochambres sur le marché unique intitulée</w:t>
      </w:r>
      <w:r>
        <w:t xml:space="preserve"> </w:t>
      </w:r>
      <w:hyperlink r:id="rId44" w:history="1">
        <w:r>
          <w:rPr>
            <w:rStyle w:val="Hyperlink"/>
            <w:sz w:val="18"/>
          </w:rPr>
          <w:t>«Overcoming obstacles, developing solutions»</w:t>
        </w:r>
      </w:hyperlink>
      <w:r>
        <w:rPr>
          <w:rStyle w:val="Hyperlink"/>
          <w:sz w:val="18"/>
          <w:u w:val="none"/>
        </w:rPr>
        <w:t>.</w:t>
      </w:r>
    </w:p>
  </w:footnote>
  <w:footnote w:id="56">
    <w:p w14:paraId="54217D1A" w14:textId="31B112D8" w:rsidR="00802DBF" w:rsidRPr="003C4C2B" w:rsidRDefault="00802DBF" w:rsidP="009D31C9">
      <w:pPr>
        <w:pStyle w:val="FootnoteText"/>
        <w:spacing w:after="0"/>
        <w:rPr>
          <w:sz w:val="18"/>
          <w:szCs w:val="18"/>
        </w:rPr>
      </w:pPr>
      <w:r>
        <w:rPr>
          <w:rStyle w:val="FootnoteReference"/>
          <w:sz w:val="18"/>
          <w:szCs w:val="18"/>
        </w:rPr>
        <w:footnoteRef/>
      </w:r>
      <w:r>
        <w:rPr>
          <w:sz w:val="18"/>
        </w:rPr>
        <w:tab/>
        <w:t>La portée de cette initiative a récemment été étendue pour inclure le règlement sur la gouvernance européenne des données, le règlement sur la location de logements de courte durée, le règlement pour une industrie «zéro net» et le règlement sur les matières premières critiques. Des propositions sont en cours d’examen pour intégrer la directive relative à un cadre pour les associations transfrontalières européennes, la directive relative au permis de conduire et la directive relative à la justification et à la communication des allégations environnementales explicites.</w:t>
      </w:r>
    </w:p>
  </w:footnote>
  <w:footnote w:id="57">
    <w:p w14:paraId="479D2FBA" w14:textId="45B2A5C0" w:rsidR="00D10136" w:rsidRPr="00F1586B" w:rsidRDefault="00D10136" w:rsidP="009D31C9">
      <w:pPr>
        <w:pStyle w:val="FootnoteText"/>
        <w:spacing w:after="0"/>
        <w:rPr>
          <w:sz w:val="18"/>
          <w:szCs w:val="18"/>
        </w:rPr>
      </w:pPr>
      <w:r>
        <w:rPr>
          <w:rStyle w:val="FootnoteReference"/>
          <w:sz w:val="18"/>
          <w:szCs w:val="18"/>
        </w:rPr>
        <w:footnoteRef/>
      </w:r>
      <w:r>
        <w:rPr>
          <w:sz w:val="18"/>
        </w:rPr>
        <w:tab/>
      </w:r>
      <w:hyperlink r:id="rId45" w:history="1">
        <w:r>
          <w:rPr>
            <w:rStyle w:val="Hyperlink"/>
            <w:sz w:val="18"/>
          </w:rPr>
          <w:t>Directive 2014/55/UE</w:t>
        </w:r>
      </w:hyperlink>
      <w:r>
        <w:rPr>
          <w:rStyle w:val="Hyperlink"/>
          <w:sz w:val="18"/>
          <w:u w:val="none"/>
        </w:rPr>
        <w:t>.</w:t>
      </w:r>
    </w:p>
  </w:footnote>
  <w:footnote w:id="58">
    <w:p w14:paraId="45FE1DFA" w14:textId="718D7D8E" w:rsidR="00C50BFE" w:rsidRPr="00F1586B" w:rsidRDefault="00C50BFE" w:rsidP="009D31C9">
      <w:pPr>
        <w:pStyle w:val="FootnoteText"/>
        <w:spacing w:after="0"/>
        <w:rPr>
          <w:sz w:val="18"/>
          <w:szCs w:val="18"/>
        </w:rPr>
      </w:pPr>
      <w:r>
        <w:rPr>
          <w:rStyle w:val="FootnoteReference"/>
          <w:sz w:val="18"/>
          <w:szCs w:val="18"/>
        </w:rPr>
        <w:footnoteRef/>
      </w:r>
      <w:r>
        <w:rPr>
          <w:sz w:val="18"/>
        </w:rPr>
        <w:tab/>
      </w:r>
      <w:hyperlink r:id="rId46" w:history="1">
        <w:r>
          <w:rPr>
            <w:rStyle w:val="Hyperlink"/>
            <w:sz w:val="18"/>
          </w:rPr>
          <w:t>Analyse d’impact concernant le règlement pour une Europe interopérable</w:t>
        </w:r>
      </w:hyperlink>
      <w:r>
        <w:t>.</w:t>
      </w:r>
    </w:p>
  </w:footnote>
  <w:footnote w:id="59">
    <w:p w14:paraId="311B33E1" w14:textId="5C16A360" w:rsidR="00693D8F" w:rsidRPr="00062356" w:rsidRDefault="00693D8F" w:rsidP="009D31C9">
      <w:pPr>
        <w:pStyle w:val="FootnoteText"/>
        <w:spacing w:after="0"/>
        <w:rPr>
          <w:sz w:val="18"/>
          <w:szCs w:val="18"/>
        </w:rPr>
      </w:pPr>
      <w:r>
        <w:rPr>
          <w:rStyle w:val="FootnoteReference"/>
          <w:sz w:val="18"/>
          <w:szCs w:val="18"/>
        </w:rPr>
        <w:footnoteRef/>
      </w:r>
      <w:r>
        <w:rPr>
          <w:sz w:val="18"/>
        </w:rPr>
        <w:tab/>
      </w:r>
      <w:hyperlink r:id="rId47" w:history="1">
        <w:r>
          <w:rPr>
            <w:rStyle w:val="Hyperlink"/>
            <w:sz w:val="18"/>
          </w:rPr>
          <w:t>SME Performance Review</w:t>
        </w:r>
      </w:hyperlink>
      <w:r>
        <w:rPr>
          <w:rStyle w:val="Hyperlink"/>
          <w:sz w:val="18"/>
          <w:u w:val="none"/>
        </w:rPr>
        <w:t>.</w:t>
      </w:r>
    </w:p>
  </w:footnote>
  <w:footnote w:id="60">
    <w:p w14:paraId="0E190E7B" w14:textId="6B867E34" w:rsidR="00EC5FE3" w:rsidRPr="00062356" w:rsidRDefault="00EC5FE3" w:rsidP="009D31C9">
      <w:pPr>
        <w:pStyle w:val="FootnoteText"/>
        <w:spacing w:after="0"/>
        <w:rPr>
          <w:sz w:val="18"/>
          <w:szCs w:val="18"/>
        </w:rPr>
      </w:pPr>
      <w:r>
        <w:rPr>
          <w:rStyle w:val="FootnoteReference"/>
          <w:sz w:val="18"/>
          <w:szCs w:val="18"/>
        </w:rPr>
        <w:footnoteRef/>
      </w:r>
      <w:r>
        <w:rPr>
          <w:sz w:val="18"/>
        </w:rPr>
        <w:tab/>
      </w:r>
      <w:hyperlink r:id="rId48" w:history="1">
        <w:r>
          <w:rPr>
            <w:rStyle w:val="Hyperlink"/>
            <w:sz w:val="18"/>
          </w:rPr>
          <w:t>O</w:t>
        </w:r>
        <w:bookmarkStart w:id="4" w:name="_Hlt185490436"/>
        <w:bookmarkStart w:id="5" w:name="_Hlt185490437"/>
        <w:r>
          <w:rPr>
            <w:rStyle w:val="Hyperlink"/>
            <w:sz w:val="18"/>
          </w:rPr>
          <w:t>C</w:t>
        </w:r>
        <w:bookmarkEnd w:id="4"/>
        <w:bookmarkEnd w:id="5"/>
        <w:r>
          <w:rPr>
            <w:rStyle w:val="Hyperlink"/>
            <w:sz w:val="18"/>
          </w:rPr>
          <w:t>DE</w:t>
        </w:r>
      </w:hyperlink>
      <w:r>
        <w:rPr>
          <w:sz w:val="18"/>
        </w:rPr>
        <w:t xml:space="preserve">, </w:t>
      </w:r>
      <w:hyperlink r:id="rId49" w:history="1">
        <w:r>
          <w:rPr>
            <w:rStyle w:val="Hyperlink"/>
            <w:sz w:val="18"/>
          </w:rPr>
          <w:t>Aider les PME à se développer</w:t>
        </w:r>
      </w:hyperlink>
      <w:r>
        <w:rPr>
          <w:sz w:val="18"/>
        </w:rPr>
        <w:t>.</w:t>
      </w:r>
    </w:p>
  </w:footnote>
  <w:footnote w:id="61">
    <w:p w14:paraId="5B293C90" w14:textId="21A4730D" w:rsidR="00EC61F7" w:rsidRPr="00062356" w:rsidRDefault="00EC61F7" w:rsidP="009D31C9">
      <w:pPr>
        <w:pStyle w:val="FootnoteText"/>
        <w:spacing w:after="0"/>
        <w:rPr>
          <w:sz w:val="18"/>
          <w:szCs w:val="18"/>
        </w:rPr>
      </w:pPr>
      <w:r>
        <w:rPr>
          <w:rStyle w:val="FootnoteReference"/>
          <w:sz w:val="18"/>
          <w:szCs w:val="18"/>
        </w:rPr>
        <w:footnoteRef/>
      </w:r>
      <w:r>
        <w:rPr>
          <w:sz w:val="18"/>
        </w:rPr>
        <w:tab/>
        <w:t xml:space="preserve">Commission européenne, </w:t>
      </w:r>
      <w:hyperlink r:id="rId50" w:history="1">
        <w:r>
          <w:rPr>
            <w:rStyle w:val="Hyperlink"/>
            <w:sz w:val="18"/>
          </w:rPr>
          <w:t>SME Performance Review 2024</w:t>
        </w:r>
      </w:hyperlink>
      <w:r>
        <w:rPr>
          <w:rStyle w:val="Hyperlink"/>
          <w:sz w:val="18"/>
          <w:u w:val="none"/>
        </w:rPr>
        <w:t>.</w:t>
      </w:r>
    </w:p>
  </w:footnote>
  <w:footnote w:id="62">
    <w:p w14:paraId="6DD80C87" w14:textId="12D6C224" w:rsidR="00BA049E" w:rsidRPr="00062356" w:rsidRDefault="00BA049E" w:rsidP="009D31C9">
      <w:pPr>
        <w:pStyle w:val="FootnoteText"/>
        <w:spacing w:after="0"/>
        <w:rPr>
          <w:sz w:val="18"/>
          <w:szCs w:val="18"/>
        </w:rPr>
      </w:pPr>
      <w:r>
        <w:rPr>
          <w:rStyle w:val="FootnoteReference"/>
          <w:sz w:val="18"/>
          <w:szCs w:val="18"/>
        </w:rPr>
        <w:footnoteRef/>
      </w:r>
      <w:r>
        <w:rPr>
          <w:sz w:val="18"/>
        </w:rPr>
        <w:tab/>
        <w:t>Les PME ont signalé les problèmes suivants comme étant les plus urgents auxquels elles doivent faire face (l’enquête leur permettait d’en mentionner plusieurs): les obstacles réglementaires ou la charge administrative (55 %), les retards de paiement (35 %), le manque de liquidités et d’accès au financement (21 %) et les compétences, y compris managériales (17 %). Source: Eurobaromètre 486, train de mesures de soutien aux PME.</w:t>
      </w:r>
    </w:p>
  </w:footnote>
  <w:footnote w:id="63">
    <w:p w14:paraId="7FC40717" w14:textId="53E29673" w:rsidR="00AD25DA" w:rsidRPr="00F1586B" w:rsidRDefault="00AD25DA" w:rsidP="009D31C9">
      <w:pPr>
        <w:pStyle w:val="FootnoteText"/>
        <w:spacing w:after="0"/>
        <w:rPr>
          <w:sz w:val="18"/>
          <w:szCs w:val="18"/>
        </w:rPr>
      </w:pPr>
      <w:r>
        <w:rPr>
          <w:rStyle w:val="FootnoteReference"/>
          <w:sz w:val="18"/>
          <w:szCs w:val="18"/>
        </w:rPr>
        <w:footnoteRef/>
      </w:r>
      <w:r>
        <w:rPr>
          <w:sz w:val="18"/>
        </w:rPr>
        <w:tab/>
        <w:t>Flash Eurobaromètre 549 sur les PME, l’efficacité dans l’utilisation des ressources et les marchés verts.</w:t>
      </w:r>
    </w:p>
  </w:footnote>
  <w:footnote w:id="64">
    <w:p w14:paraId="1E50F13C" w14:textId="36B29C89" w:rsidR="00AD25DA" w:rsidRPr="00F1586B" w:rsidRDefault="00AD25DA" w:rsidP="009D31C9">
      <w:pPr>
        <w:pStyle w:val="FootnoteText"/>
        <w:spacing w:after="0"/>
        <w:rPr>
          <w:sz w:val="18"/>
          <w:szCs w:val="18"/>
        </w:rPr>
      </w:pPr>
      <w:r>
        <w:rPr>
          <w:rStyle w:val="FootnoteReference"/>
          <w:sz w:val="18"/>
          <w:szCs w:val="18"/>
        </w:rPr>
        <w:footnoteRef/>
      </w:r>
      <w:r>
        <w:rPr>
          <w:sz w:val="18"/>
        </w:rPr>
        <w:tab/>
        <w:t>Enquête 2023 sur l’accès des entreprises au financement (SAFE).</w:t>
      </w:r>
    </w:p>
  </w:footnote>
  <w:footnote w:id="65">
    <w:p w14:paraId="4EA54D66" w14:textId="38A6C97B" w:rsidR="005B3241" w:rsidRPr="00F1586B" w:rsidRDefault="005B3241" w:rsidP="009D31C9">
      <w:pPr>
        <w:pStyle w:val="FootnoteText"/>
        <w:spacing w:after="0"/>
        <w:rPr>
          <w:sz w:val="18"/>
          <w:szCs w:val="18"/>
        </w:rPr>
      </w:pPr>
      <w:r>
        <w:rPr>
          <w:rStyle w:val="FootnoteReference"/>
          <w:sz w:val="18"/>
          <w:szCs w:val="18"/>
        </w:rPr>
        <w:footnoteRef/>
      </w:r>
      <w:r>
        <w:rPr>
          <w:sz w:val="18"/>
        </w:rPr>
        <w:tab/>
        <w:t xml:space="preserve">Commission européenne, </w:t>
      </w:r>
      <w:hyperlink r:id="rId51" w:history="1">
        <w:r>
          <w:rPr>
            <w:rStyle w:val="Hyperlink"/>
            <w:sz w:val="18"/>
          </w:rPr>
          <w:t xml:space="preserve">Réformes et </w:t>
        </w:r>
        <w:bookmarkStart w:id="6" w:name="_Hlt185234788"/>
        <w:bookmarkStart w:id="7" w:name="_Hlt185234789"/>
        <w:bookmarkEnd w:id="6"/>
        <w:bookmarkEnd w:id="7"/>
        <w:r>
          <w:rPr>
            <w:rStyle w:val="Hyperlink"/>
            <w:sz w:val="18"/>
          </w:rPr>
          <w:t>réexamens des politiques avant élargissement</w:t>
        </w:r>
      </w:hyperlink>
      <w:r>
        <w:rPr>
          <w:rStyle w:val="Hyperlink"/>
          <w:u w:val="none"/>
        </w:rPr>
        <w:t>.</w:t>
      </w:r>
    </w:p>
  </w:footnote>
  <w:footnote w:id="66">
    <w:p w14:paraId="300206BB" w14:textId="788A038A" w:rsidR="00BA049E" w:rsidRPr="00062356" w:rsidRDefault="00BA049E" w:rsidP="009D31C9">
      <w:pPr>
        <w:pStyle w:val="FootnoteText"/>
        <w:spacing w:after="0"/>
        <w:rPr>
          <w:sz w:val="18"/>
          <w:szCs w:val="18"/>
        </w:rPr>
      </w:pPr>
      <w:r>
        <w:rPr>
          <w:rStyle w:val="FootnoteReference"/>
          <w:sz w:val="18"/>
          <w:szCs w:val="18"/>
        </w:rPr>
        <w:footnoteRef/>
      </w:r>
      <w:r>
        <w:rPr>
          <w:sz w:val="18"/>
        </w:rPr>
        <w:tab/>
        <w:t xml:space="preserve">Conseil de l’Union européenne, </w:t>
      </w:r>
      <w:hyperlink r:id="rId52" w:history="1">
        <w:r>
          <w:rPr>
            <w:rStyle w:val="Hyperlink"/>
            <w:sz w:val="18"/>
          </w:rPr>
          <w:t>plan pour</w:t>
        </w:r>
        <w:bookmarkStart w:id="8" w:name="_Hlt185234753"/>
        <w:bookmarkStart w:id="9" w:name="_Hlt185234754"/>
        <w:bookmarkEnd w:id="8"/>
        <w:bookmarkEnd w:id="9"/>
        <w:r>
          <w:rPr>
            <w:rStyle w:val="Hyperlink"/>
            <w:sz w:val="18"/>
          </w:rPr>
          <w:t xml:space="preserve"> l’Ukraine</w:t>
        </w:r>
      </w:hyperlink>
      <w:r>
        <w:rPr>
          <w:rStyle w:val="Hyperlink"/>
          <w:sz w:val="18"/>
          <w:u w:val="none"/>
        </w:rPr>
        <w:t>.</w:t>
      </w:r>
    </w:p>
  </w:footnote>
  <w:footnote w:id="67">
    <w:p w14:paraId="5EF9BC85" w14:textId="61B6B0BA" w:rsidR="005B60EB" w:rsidRPr="00062356" w:rsidRDefault="005B60EB" w:rsidP="009D31C9">
      <w:pPr>
        <w:pStyle w:val="FootnoteText"/>
        <w:spacing w:after="0"/>
        <w:rPr>
          <w:sz w:val="18"/>
          <w:szCs w:val="18"/>
        </w:rPr>
      </w:pPr>
      <w:r>
        <w:rPr>
          <w:rStyle w:val="FootnoteReference"/>
          <w:sz w:val="18"/>
          <w:szCs w:val="18"/>
        </w:rPr>
        <w:footnoteRef/>
      </w:r>
      <w:r>
        <w:rPr>
          <w:sz w:val="18"/>
        </w:rPr>
        <w:tab/>
        <w:t xml:space="preserve">Commission européenne, </w:t>
      </w:r>
      <w:hyperlink r:id="rId53" w:history="1">
        <w:r>
          <w:rPr>
            <w:rStyle w:val="Hyperlink"/>
            <w:sz w:val="18"/>
          </w:rPr>
          <w:t>plan de croissance pour les Balkans occidentaux</w:t>
        </w:r>
      </w:hyperlink>
      <w:r>
        <w:rPr>
          <w:sz w:val="18"/>
        </w:rPr>
        <w:t>, adopté le 8 novembre 2023.</w:t>
      </w:r>
    </w:p>
  </w:footnote>
  <w:footnote w:id="68">
    <w:p w14:paraId="33168833" w14:textId="77777777" w:rsidR="0075701A" w:rsidRPr="00062356"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Office de l’Union européenne pour la propriété intellectuelle, </w:t>
      </w:r>
      <w:hyperlink r:id="rId54" w:history="1">
        <w:r>
          <w:rPr>
            <w:rStyle w:val="Hyperlink"/>
            <w:sz w:val="18"/>
          </w:rPr>
          <w:t>«Patents, trade marks and startup finance»</w:t>
        </w:r>
      </w:hyperlink>
      <w:r>
        <w:t>.</w:t>
      </w:r>
    </w:p>
  </w:footnote>
  <w:footnote w:id="69">
    <w:p w14:paraId="0273D044"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sz w:val="18"/>
          <w:lang w:val="en-IE"/>
        </w:rPr>
        <w:tab/>
        <w:t>Sun, Review of the Importance of Technology Company Valuation and Commonly Used Methods, volume 189, p. 30.</w:t>
      </w:r>
    </w:p>
  </w:footnote>
  <w:footnote w:id="70">
    <w:p w14:paraId="30097BF9" w14:textId="77777777" w:rsidR="0075701A" w:rsidRPr="00F1586B" w:rsidRDefault="0075701A" w:rsidP="0075701A">
      <w:pPr>
        <w:pStyle w:val="FootnoteText"/>
        <w:spacing w:after="0"/>
        <w:rPr>
          <w:sz w:val="18"/>
          <w:szCs w:val="18"/>
        </w:rPr>
      </w:pPr>
      <w:r>
        <w:rPr>
          <w:rStyle w:val="FootnoteReference"/>
          <w:sz w:val="18"/>
          <w:szCs w:val="18"/>
          <w:lang w:val="en-IE"/>
        </w:rPr>
        <w:footnoteRef/>
      </w:r>
      <w:r>
        <w:rPr>
          <w:sz w:val="18"/>
        </w:rPr>
        <w:tab/>
        <w:t xml:space="preserve">Eurostat, </w:t>
      </w:r>
      <w:hyperlink r:id="rId55" w:history="1">
        <w:r>
          <w:rPr>
            <w:rStyle w:val="Hyperlink"/>
            <w:sz w:val="18"/>
          </w:rPr>
          <w:t>R&amp;D expenditure</w:t>
        </w:r>
      </w:hyperlink>
      <w:r>
        <w:t>.</w:t>
      </w:r>
    </w:p>
  </w:footnote>
  <w:footnote w:id="71">
    <w:p w14:paraId="76E5CCEF" w14:textId="77777777" w:rsidR="0075701A" w:rsidRPr="00062356"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Remarque: les valeurs concernant les économies semblables à l’échelle internationale datent de 2021: Banque mondiale, </w:t>
      </w:r>
      <w:hyperlink r:id="rId56" w:history="1">
        <w:r>
          <w:rPr>
            <w:rStyle w:val="Hyperlink"/>
            <w:sz w:val="18"/>
          </w:rPr>
          <w:t>Dépenses en recherche et développement (% du PIB) |</w:t>
        </w:r>
      </w:hyperlink>
      <w:hyperlink r:id="rId57" w:history="1">
        <w:r>
          <w:rPr>
            <w:rStyle w:val="Hyperlink"/>
            <w:sz w:val="18"/>
          </w:rPr>
          <w:t xml:space="preserve"> Données</w:t>
        </w:r>
      </w:hyperlink>
      <w:r>
        <w:t>.</w:t>
      </w:r>
    </w:p>
  </w:footnote>
  <w:footnote w:id="72">
    <w:p w14:paraId="68F3D69F"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rStyle w:val="FootnoteReference"/>
          <w:sz w:val="18"/>
          <w:lang w:val="en-IE"/>
        </w:rPr>
        <w:t xml:space="preserve"> </w:t>
      </w:r>
      <w:r w:rsidRPr="00E0159C">
        <w:rPr>
          <w:sz w:val="18"/>
          <w:lang w:val="en-IE"/>
        </w:rPr>
        <w:tab/>
        <w:t xml:space="preserve">Commission européenne — DG RTD, </w:t>
      </w:r>
      <w:hyperlink r:id="rId58" w:history="1">
        <w:r w:rsidRPr="00E0159C">
          <w:rPr>
            <w:rStyle w:val="Hyperlink"/>
            <w:lang w:val="en-IE"/>
          </w:rPr>
          <w:t>«Science, Research and Innovation Performance of the EU 2024»</w:t>
        </w:r>
      </w:hyperlink>
      <w:bookmarkStart w:id="10" w:name="_Hlt183089125"/>
      <w:bookmarkStart w:id="11" w:name="_Hlt183089126"/>
      <w:bookmarkEnd w:id="10"/>
      <w:bookmarkEnd w:id="11"/>
      <w:r w:rsidRPr="00E0159C">
        <w:rPr>
          <w:rStyle w:val="Hyperlink"/>
          <w:color w:val="000000" w:themeColor="text1"/>
          <w:sz w:val="18"/>
          <w:u w:val="none"/>
          <w:lang w:val="en-IE"/>
        </w:rPr>
        <w:t>, p. 83.</w:t>
      </w:r>
    </w:p>
  </w:footnote>
  <w:footnote w:id="73">
    <w:p w14:paraId="6D7D7DE1" w14:textId="77777777" w:rsidR="0075701A" w:rsidRPr="00062356"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Commission européenne — DG RTD et JRC, </w:t>
      </w:r>
      <w:hyperlink r:id="rId59" w:history="1">
        <w:r>
          <w:rPr>
            <w:rStyle w:val="Hyperlink"/>
            <w:sz w:val="18"/>
          </w:rPr>
          <w:t>«The EU Industrial R&amp;D Investment Scoreboard»</w:t>
        </w:r>
      </w:hyperlink>
      <w:r>
        <w:t>.</w:t>
      </w:r>
    </w:p>
  </w:footnote>
  <w:footnote w:id="74">
    <w:p w14:paraId="02532511"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sz w:val="18"/>
          <w:lang w:val="en-IE"/>
        </w:rPr>
        <w:tab/>
        <w:t xml:space="preserve">Commission européenne, «Tracking country innovation performance: </w:t>
      </w:r>
      <w:hyperlink r:id="rId60" w:history="1">
        <w:r w:rsidRPr="00E0159C">
          <w:rPr>
            <w:rStyle w:val="Hyperlink"/>
            <w:sz w:val="18"/>
            <w:lang w:val="en-IE"/>
          </w:rPr>
          <w:t>The Innovation Output Indicator 2023»</w:t>
        </w:r>
      </w:hyperlink>
      <w:r w:rsidRPr="00E0159C">
        <w:rPr>
          <w:lang w:val="en-IE"/>
        </w:rPr>
        <w:t>.</w:t>
      </w:r>
    </w:p>
  </w:footnote>
  <w:footnote w:id="75">
    <w:p w14:paraId="4AC1A842"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rStyle w:val="FootnoteReference"/>
          <w:sz w:val="18"/>
          <w:lang w:val="en-IE"/>
        </w:rPr>
        <w:t xml:space="preserve"> </w:t>
      </w:r>
      <w:r w:rsidRPr="00E0159C">
        <w:rPr>
          <w:sz w:val="18"/>
          <w:lang w:val="en-IE"/>
        </w:rPr>
        <w:tab/>
        <w:t xml:space="preserve">Draghi, M., ancien Premier ministre, </w:t>
      </w:r>
      <w:hyperlink r:id="rId61" w:history="1">
        <w:r w:rsidRPr="00E0159C">
          <w:rPr>
            <w:rStyle w:val="Hyperlink"/>
            <w:sz w:val="18"/>
            <w:lang w:val="en-IE"/>
          </w:rPr>
          <w:t>«The future of European competitiveness – A competitiveness strategy for Europe»</w:t>
        </w:r>
      </w:hyperlink>
      <w:r w:rsidRPr="00E0159C">
        <w:rPr>
          <w:sz w:val="18"/>
          <w:lang w:val="en-IE"/>
        </w:rPr>
        <w:t xml:space="preserve">, </w:t>
      </w:r>
      <w:r w:rsidRPr="00E0159C">
        <w:rPr>
          <w:rStyle w:val="normaltextrun"/>
          <w:color w:val="000000"/>
          <w:sz w:val="18"/>
          <w:bdr w:val="none" w:sz="0" w:space="0" w:color="auto" w:frame="1"/>
          <w:lang w:val="en-IE"/>
        </w:rPr>
        <w:t>partie B, p. 244.</w:t>
      </w:r>
    </w:p>
  </w:footnote>
  <w:footnote w:id="76">
    <w:p w14:paraId="0260D6D5"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rStyle w:val="FootnoteReference"/>
          <w:sz w:val="18"/>
          <w:lang w:val="en-IE"/>
        </w:rPr>
        <w:t xml:space="preserve"> </w:t>
      </w:r>
      <w:r w:rsidRPr="00E0159C">
        <w:rPr>
          <w:sz w:val="18"/>
          <w:lang w:val="en-IE"/>
        </w:rPr>
        <w:tab/>
      </w:r>
      <w:hyperlink r:id="rId62" w:history="1">
        <w:r w:rsidRPr="00E0159C">
          <w:rPr>
            <w:rStyle w:val="Hyperlink"/>
            <w:sz w:val="18"/>
            <w:lang w:val="en-IE"/>
          </w:rPr>
          <w:t>Rapport de la Commission européenne (2024), «Strategic Insights into the EU’s Advanced Manufacturing Industry»</w:t>
        </w:r>
      </w:hyperlink>
      <w:r w:rsidRPr="00E0159C">
        <w:rPr>
          <w:lang w:val="en-IE"/>
        </w:rPr>
        <w:t>.</w:t>
      </w:r>
    </w:p>
  </w:footnote>
  <w:footnote w:id="77">
    <w:p w14:paraId="581E4E3E"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rStyle w:val="FootnoteReference"/>
          <w:sz w:val="18"/>
          <w:lang w:val="en-IE"/>
        </w:rPr>
        <w:t xml:space="preserve"> </w:t>
      </w:r>
      <w:r w:rsidRPr="00E0159C">
        <w:rPr>
          <w:sz w:val="18"/>
          <w:lang w:val="en-IE"/>
        </w:rPr>
        <w:tab/>
        <w:t xml:space="preserve">Draghi, M., ancien Premier ministre, </w:t>
      </w:r>
      <w:hyperlink r:id="rId63" w:history="1">
        <w:r w:rsidRPr="00E0159C">
          <w:rPr>
            <w:rStyle w:val="Hyperlink"/>
            <w:sz w:val="18"/>
            <w:lang w:val="en-IE"/>
          </w:rPr>
          <w:t>«The future of European competitiveness – A competitiveness strategy for Europe»</w:t>
        </w:r>
      </w:hyperlink>
      <w:r w:rsidRPr="00E0159C">
        <w:rPr>
          <w:sz w:val="18"/>
          <w:lang w:val="en-IE"/>
        </w:rPr>
        <w:t>.</w:t>
      </w:r>
    </w:p>
  </w:footnote>
  <w:footnote w:id="78">
    <w:p w14:paraId="1DAC8874" w14:textId="77777777" w:rsidR="0075701A" w:rsidRPr="00062356"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Commission européenne, </w:t>
      </w:r>
      <w:hyperlink r:id="rId64" w:history="1">
        <w:r>
          <w:rPr>
            <w:rStyle w:val="Hyperlink"/>
            <w:sz w:val="18"/>
          </w:rPr>
          <w:t>Rapports sur l’état d’avancement de la décennie numérique</w:t>
        </w:r>
      </w:hyperlink>
      <w:r>
        <w:rPr>
          <w:rStyle w:val="cf01"/>
          <w:rFonts w:ascii="Times New Roman" w:hAnsi="Times New Roman"/>
        </w:rPr>
        <w:t>.</w:t>
      </w:r>
    </w:p>
  </w:footnote>
  <w:footnote w:id="79">
    <w:p w14:paraId="7EFB9225" w14:textId="77777777" w:rsidR="0075701A" w:rsidRPr="00C12F28" w:rsidRDefault="0075701A" w:rsidP="0075701A">
      <w:pPr>
        <w:pStyle w:val="FootnoteText"/>
        <w:spacing w:after="0"/>
        <w:rPr>
          <w:sz w:val="18"/>
          <w:szCs w:val="18"/>
        </w:rPr>
      </w:pPr>
      <w:r>
        <w:rPr>
          <w:rStyle w:val="FootnoteReference"/>
          <w:sz w:val="18"/>
          <w:szCs w:val="18"/>
        </w:rPr>
        <w:footnoteRef/>
      </w:r>
      <w:r>
        <w:rPr>
          <w:sz w:val="18"/>
        </w:rPr>
        <w:tab/>
        <w:t>En raison de la modification de la définition, la partie de l’ICP 16 mesurant l’analyse des données en 2023 et celle mesurant les mégadonnées en 2020 ne sont pas entièrement comparables.</w:t>
      </w:r>
    </w:p>
  </w:footnote>
  <w:footnote w:id="80">
    <w:p w14:paraId="142284A3"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sz w:val="18"/>
          <w:lang w:val="en-IE"/>
        </w:rPr>
        <w:tab/>
        <w:t xml:space="preserve">Statista, </w:t>
      </w:r>
      <w:hyperlink r:id="rId65" w:anchor=":~:text=Ranking%20as%20one%20of%20the,almost%20six%20trillion%20by%202023." w:history="1">
        <w:r w:rsidRPr="00E0159C">
          <w:rPr>
            <w:rStyle w:val="Hyperlink"/>
            <w:sz w:val="18"/>
            <w:lang w:val="en-IE"/>
          </w:rPr>
          <w:t>«ICT global market share worldwide 2023»</w:t>
        </w:r>
      </w:hyperlink>
      <w:r w:rsidRPr="00E0159C">
        <w:rPr>
          <w:sz w:val="18"/>
          <w:lang w:val="en-IE"/>
        </w:rPr>
        <w:t>.</w:t>
      </w:r>
    </w:p>
  </w:footnote>
  <w:footnote w:id="81">
    <w:p w14:paraId="0B4729F9"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sz w:val="18"/>
          <w:lang w:val="en-IE"/>
        </w:rPr>
        <w:tab/>
        <w:t xml:space="preserve">Commission européenne, DG JRC, </w:t>
      </w:r>
      <w:hyperlink r:id="rId66" w:history="1">
        <w:r w:rsidRPr="00E0159C">
          <w:rPr>
            <w:rStyle w:val="Hyperlink"/>
            <w:sz w:val="18"/>
            <w:lang w:val="en-IE"/>
          </w:rPr>
          <w:t>«The geography of EU green and digital inventions and their knowledge sources»</w:t>
        </w:r>
      </w:hyperlink>
      <w:r w:rsidRPr="00E0159C">
        <w:rPr>
          <w:sz w:val="18"/>
          <w:lang w:val="en-IE"/>
        </w:rPr>
        <w:t>, 2023.</w:t>
      </w:r>
    </w:p>
  </w:footnote>
  <w:footnote w:id="82">
    <w:p w14:paraId="4421F73F" w14:textId="77777777" w:rsidR="0075701A" w:rsidRPr="000057AA"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Eurostat, </w:t>
      </w:r>
      <w:hyperlink r:id="rId67">
        <w:r>
          <w:rPr>
            <w:rStyle w:val="Hyperlink"/>
            <w:sz w:val="18"/>
          </w:rPr>
          <w:t>«Digitalisation in Europe – 2024 edition»</w:t>
        </w:r>
      </w:hyperlink>
      <w:r>
        <w:t>.</w:t>
      </w:r>
    </w:p>
  </w:footnote>
  <w:footnote w:id="83">
    <w:p w14:paraId="6616F1CB"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rStyle w:val="FootnoteReference"/>
          <w:sz w:val="18"/>
          <w:lang w:val="en-IE"/>
        </w:rPr>
        <w:t xml:space="preserve"> </w:t>
      </w:r>
      <w:r w:rsidRPr="00E0159C">
        <w:rPr>
          <w:sz w:val="18"/>
          <w:lang w:val="en-IE"/>
        </w:rPr>
        <w:tab/>
        <w:t xml:space="preserve">Fédération internationale de robotique, </w:t>
      </w:r>
      <w:hyperlink r:id="rId68" w:history="1">
        <w:r w:rsidRPr="00E0159C">
          <w:rPr>
            <w:rStyle w:val="Hyperlink"/>
            <w:sz w:val="18"/>
            <w:lang w:val="en-IE"/>
          </w:rPr>
          <w:t>«Global Robot Density in Factories Doubled in Seven Years»</w:t>
        </w:r>
      </w:hyperlink>
      <w:r w:rsidRPr="00E0159C">
        <w:rPr>
          <w:lang w:val="en-IE"/>
        </w:rPr>
        <w:t>.</w:t>
      </w:r>
    </w:p>
  </w:footnote>
  <w:footnote w:id="84">
    <w:p w14:paraId="1946E4A5" w14:textId="77777777" w:rsidR="0075701A" w:rsidRPr="00AD087F"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Service de recherche du Parlement européen, </w:t>
      </w:r>
      <w:hyperlink r:id="rId69" w:history="1">
        <w:r>
          <w:rPr>
            <w:rStyle w:val="Hyperlink"/>
            <w:sz w:val="18"/>
          </w:rPr>
          <w:t>«AI investment:</w:t>
        </w:r>
      </w:hyperlink>
      <w:hyperlink r:id="rId70" w:history="1">
        <w:r>
          <w:rPr>
            <w:rStyle w:val="Hyperlink"/>
            <w:sz w:val="18"/>
          </w:rPr>
          <w:t>EU and global indicators»</w:t>
        </w:r>
      </w:hyperlink>
      <w:r>
        <w:rPr>
          <w:sz w:val="18"/>
        </w:rPr>
        <w:t>.</w:t>
      </w:r>
    </w:p>
  </w:footnote>
  <w:footnote w:id="85">
    <w:p w14:paraId="4FBE56FF" w14:textId="77777777" w:rsidR="0075701A" w:rsidRPr="00FA1277" w:rsidRDefault="0075701A" w:rsidP="0075701A">
      <w:pPr>
        <w:pStyle w:val="FootnoteText"/>
        <w:spacing w:after="0"/>
        <w:rPr>
          <w:sz w:val="18"/>
          <w:szCs w:val="18"/>
        </w:rPr>
      </w:pPr>
      <w:r>
        <w:rPr>
          <w:rStyle w:val="FootnoteReference"/>
          <w:sz w:val="18"/>
          <w:szCs w:val="18"/>
        </w:rPr>
        <w:footnoteRef/>
      </w:r>
      <w:r>
        <w:rPr>
          <w:sz w:val="18"/>
        </w:rPr>
        <w:tab/>
        <w:t>Objectif fixé dans le plan d’action sur le socle européen des droits sociaux</w:t>
      </w:r>
      <w:r>
        <w:t>.</w:t>
      </w:r>
    </w:p>
  </w:footnote>
  <w:footnote w:id="86">
    <w:p w14:paraId="541C524C" w14:textId="77777777" w:rsidR="0075701A" w:rsidRPr="00062356"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Eurostat, </w:t>
      </w:r>
      <w:hyperlink r:id="rId71" w:history="1">
        <w:r>
          <w:rPr>
            <w:rStyle w:val="Hyperlink"/>
            <w:sz w:val="18"/>
          </w:rPr>
          <w:t>Emploi et activité par sexe et âge — données annuelles</w:t>
        </w:r>
      </w:hyperlink>
      <w:r>
        <w:t>.</w:t>
      </w:r>
    </w:p>
  </w:footnote>
  <w:footnote w:id="87">
    <w:p w14:paraId="5D8E0965" w14:textId="77777777" w:rsidR="0075701A" w:rsidRPr="00062356" w:rsidRDefault="0075701A" w:rsidP="0075701A">
      <w:pPr>
        <w:pStyle w:val="FootnoteText"/>
        <w:spacing w:after="0"/>
        <w:rPr>
          <w:sz w:val="18"/>
          <w:szCs w:val="18"/>
        </w:rPr>
      </w:pPr>
      <w:r>
        <w:rPr>
          <w:rStyle w:val="FootnoteReference"/>
          <w:sz w:val="18"/>
          <w:szCs w:val="18"/>
          <w:lang w:val="en-IE"/>
        </w:rPr>
        <w:footnoteRef/>
      </w:r>
      <w:r>
        <w:rPr>
          <w:rStyle w:val="FootnoteReference"/>
          <w:sz w:val="18"/>
        </w:rPr>
        <w:t xml:space="preserve"> </w:t>
      </w:r>
      <w:r>
        <w:rPr>
          <w:sz w:val="18"/>
        </w:rPr>
        <w:tab/>
      </w:r>
      <w:r>
        <w:rPr>
          <w:color w:val="000000" w:themeColor="text1"/>
          <w:sz w:val="18"/>
        </w:rPr>
        <w:t xml:space="preserve">OCDE, </w:t>
      </w:r>
      <w:hyperlink r:id="rId72" w:history="1">
        <w:r>
          <w:rPr>
            <w:rStyle w:val="Hyperlink"/>
            <w:sz w:val="18"/>
          </w:rPr>
          <w:t>Taux d’activité</w:t>
        </w:r>
      </w:hyperlink>
      <w:r>
        <w:t>.</w:t>
      </w:r>
    </w:p>
  </w:footnote>
  <w:footnote w:id="88">
    <w:p w14:paraId="2D0B5517" w14:textId="77777777" w:rsidR="0075701A" w:rsidRPr="00DF07C7"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OCDE, </w:t>
      </w:r>
      <w:hyperlink r:id="rId73" w:history="1">
        <w:r>
          <w:rPr>
            <w:rStyle w:val="Hyperlink"/>
            <w:sz w:val="18"/>
          </w:rPr>
          <w:t>Résultats du PISA 2022</w:t>
        </w:r>
      </w:hyperlink>
      <w:r>
        <w:t>.</w:t>
      </w:r>
    </w:p>
  </w:footnote>
  <w:footnote w:id="89">
    <w:p w14:paraId="26CC0E53" w14:textId="77777777" w:rsidR="0075701A" w:rsidRPr="00062356"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Commission européenne, </w:t>
      </w:r>
      <w:hyperlink r:id="rId74" w:history="1">
        <w:r>
          <w:rPr>
            <w:rStyle w:val="Hyperlink"/>
            <w:sz w:val="18"/>
          </w:rPr>
          <w:t>Compétences et emplois numériques</w:t>
        </w:r>
      </w:hyperlink>
      <w:r>
        <w:t>.</w:t>
      </w:r>
    </w:p>
  </w:footnote>
  <w:footnote w:id="90">
    <w:p w14:paraId="7D4E5E1D"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 xml:space="preserve"> </w:t>
      </w:r>
      <w:r>
        <w:rPr>
          <w:sz w:val="18"/>
        </w:rPr>
        <w:tab/>
      </w:r>
      <w:hyperlink r:id="rId75" w:history="1">
        <w:r>
          <w:rPr>
            <w:rStyle w:val="Hyperlink"/>
            <w:sz w:val="18"/>
          </w:rPr>
          <w:t>«Employment and social developments in Europe 2023» – Office des publications de l’Union européenne</w:t>
        </w:r>
      </w:hyperlink>
      <w:r>
        <w:t>.</w:t>
      </w:r>
    </w:p>
  </w:footnote>
  <w:footnote w:id="91">
    <w:p w14:paraId="427D882E" w14:textId="77777777" w:rsidR="0075701A" w:rsidRPr="00060464"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Eurostat, </w:t>
      </w:r>
      <w:hyperlink r:id="rId76" w:history="1">
        <w:r>
          <w:rPr>
            <w:rStyle w:val="Hyperlink"/>
            <w:sz w:val="18"/>
          </w:rPr>
          <w:t>Digitalisation in Europe 2024 edition</w:t>
        </w:r>
      </w:hyperlink>
      <w:r>
        <w:t>.</w:t>
      </w:r>
    </w:p>
  </w:footnote>
  <w:footnote w:id="92">
    <w:p w14:paraId="64DE1A1C" w14:textId="77777777" w:rsidR="0075701A" w:rsidRPr="00E0159C" w:rsidRDefault="0075701A" w:rsidP="0075701A">
      <w:pPr>
        <w:pStyle w:val="FootnoteText"/>
        <w:spacing w:after="0"/>
        <w:jc w:val="left"/>
        <w:rPr>
          <w:sz w:val="18"/>
          <w:szCs w:val="18"/>
          <w:lang w:val="en-IE"/>
        </w:rPr>
      </w:pPr>
      <w:r>
        <w:rPr>
          <w:rStyle w:val="FootnoteReference"/>
          <w:sz w:val="18"/>
          <w:szCs w:val="18"/>
        </w:rPr>
        <w:footnoteRef/>
      </w:r>
      <w:r w:rsidRPr="00E0159C">
        <w:rPr>
          <w:sz w:val="18"/>
          <w:lang w:val="en-IE"/>
        </w:rPr>
        <w:t xml:space="preserve"> </w:t>
      </w:r>
      <w:r w:rsidRPr="00E0159C">
        <w:rPr>
          <w:sz w:val="18"/>
          <w:lang w:val="en-IE"/>
        </w:rPr>
        <w:tab/>
      </w:r>
      <w:hyperlink r:id="rId77" w:history="1">
        <w:r w:rsidRPr="00E0159C">
          <w:rPr>
            <w:rStyle w:val="Hyperlink"/>
            <w:sz w:val="18"/>
            <w:lang w:val="en-IE"/>
          </w:rPr>
          <w:t>Rapport de la Commission européene (septembre 2023), «European Year of Skills — Skills shortages, recruitment and retention strategies in small and medium-sized enterprises»</w:t>
        </w:r>
      </w:hyperlink>
      <w:r w:rsidRPr="00E0159C">
        <w:rPr>
          <w:lang w:val="en-IE"/>
        </w:rPr>
        <w:t>.</w:t>
      </w:r>
    </w:p>
  </w:footnote>
  <w:footnote w:id="93">
    <w:p w14:paraId="379C965D"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rStyle w:val="FootnoteReference"/>
          <w:sz w:val="18"/>
          <w:lang w:val="en-IE"/>
        </w:rPr>
        <w:t xml:space="preserve"> </w:t>
      </w:r>
      <w:r w:rsidRPr="00E0159C">
        <w:rPr>
          <w:sz w:val="18"/>
          <w:lang w:val="en-IE"/>
        </w:rPr>
        <w:tab/>
        <w:t xml:space="preserve">Eurostat, </w:t>
      </w:r>
      <w:hyperlink r:id="rId78" w:history="1">
        <w:r w:rsidRPr="00E0159C">
          <w:rPr>
            <w:rStyle w:val="Hyperlink"/>
            <w:sz w:val="18"/>
            <w:lang w:val="en-IE"/>
          </w:rPr>
          <w:t>ICT specialists in employment</w:t>
        </w:r>
      </w:hyperlink>
      <w:r w:rsidRPr="00E0159C">
        <w:rPr>
          <w:lang w:val="en-IE"/>
        </w:rPr>
        <w:t>.</w:t>
      </w:r>
    </w:p>
  </w:footnote>
  <w:footnote w:id="94">
    <w:p w14:paraId="0D4140BC"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Commission européenne, base de données AMECO.</w:t>
      </w:r>
    </w:p>
  </w:footnote>
  <w:footnote w:id="95">
    <w:p w14:paraId="1B5D22B3" w14:textId="77777777" w:rsidR="0075701A" w:rsidRPr="00E55283" w:rsidRDefault="0075701A" w:rsidP="0075701A">
      <w:pPr>
        <w:pStyle w:val="FootnoteText"/>
        <w:spacing w:after="0"/>
        <w:rPr>
          <w:sz w:val="18"/>
          <w:szCs w:val="18"/>
        </w:rPr>
      </w:pPr>
      <w:r>
        <w:rPr>
          <w:rStyle w:val="FootnoteReference"/>
          <w:sz w:val="18"/>
          <w:szCs w:val="18"/>
        </w:rPr>
        <w:footnoteRef/>
      </w:r>
      <w:r>
        <w:rPr>
          <w:sz w:val="18"/>
        </w:rPr>
        <w:tab/>
        <w:t xml:space="preserve">L’investissement productif est défini ici comme la différence entre la formation brute de capital fixe et les investissements dans la construction résidentielle. </w:t>
      </w:r>
    </w:p>
  </w:footnote>
  <w:footnote w:id="96">
    <w:p w14:paraId="5F08DB8E" w14:textId="77777777" w:rsidR="0075701A" w:rsidRPr="00FA1277" w:rsidRDefault="0075701A" w:rsidP="0075701A">
      <w:pPr>
        <w:pStyle w:val="FootnoteText"/>
        <w:spacing w:after="0"/>
        <w:rPr>
          <w:sz w:val="18"/>
          <w:szCs w:val="18"/>
        </w:rPr>
      </w:pPr>
      <w:r>
        <w:rPr>
          <w:rStyle w:val="FootnoteReference"/>
          <w:sz w:val="18"/>
          <w:szCs w:val="18"/>
        </w:rPr>
        <w:footnoteRef/>
      </w:r>
      <w:r>
        <w:rPr>
          <w:sz w:val="18"/>
        </w:rPr>
        <w:tab/>
        <w:t>Remarque: une partie de cette épargne contribuera aux investissements des entreprises à travers la répartition des portefeuilles effectuée par les banques et autres intermédiaires financiers.</w:t>
      </w:r>
    </w:p>
  </w:footnote>
  <w:footnote w:id="97">
    <w:p w14:paraId="71DBCF11" w14:textId="77777777" w:rsidR="0075701A" w:rsidRPr="00E0159C" w:rsidRDefault="0075701A" w:rsidP="0075701A">
      <w:pPr>
        <w:pStyle w:val="FootnoteText"/>
        <w:spacing w:after="0"/>
        <w:rPr>
          <w:sz w:val="18"/>
          <w:szCs w:val="18"/>
          <w:lang w:val="en-IE"/>
        </w:rPr>
      </w:pPr>
      <w:r>
        <w:rPr>
          <w:rStyle w:val="FootnoteReference"/>
          <w:sz w:val="18"/>
          <w:szCs w:val="18"/>
        </w:rPr>
        <w:footnoteRef/>
      </w:r>
      <w:r>
        <w:rPr>
          <w:sz w:val="18"/>
        </w:rPr>
        <w:tab/>
        <w:t xml:space="preserve">Remarque: l’ensemble d’indicateurs de la Commission sur l’union des marchés des capitaux fournit des critères détaillés qui permettent de suivre l’évolution des marchés des capitaux. </w:t>
      </w:r>
      <w:hyperlink r:id="rId79" w:history="1">
        <w:r w:rsidRPr="00E0159C">
          <w:rPr>
            <w:rStyle w:val="Hyperlink"/>
            <w:sz w:val="18"/>
            <w:lang w:val="en-IE"/>
          </w:rPr>
          <w:t>«List of indicators to monitor progress towards the CMU objectives»</w:t>
        </w:r>
      </w:hyperlink>
      <w:r w:rsidRPr="00E0159C">
        <w:rPr>
          <w:sz w:val="18"/>
          <w:lang w:val="en-IE"/>
        </w:rPr>
        <w:t>.</w:t>
      </w:r>
    </w:p>
  </w:footnote>
  <w:footnote w:id="98">
    <w:p w14:paraId="18A3C261"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 xml:space="preserve">Banque européenne d’investissement (BEI), </w:t>
      </w:r>
      <w:hyperlink r:id="rId80" w:history="1">
        <w:r>
          <w:rPr>
            <w:rStyle w:val="Hyperlink"/>
            <w:sz w:val="18"/>
          </w:rPr>
          <w:t>«The scale-up gap»</w:t>
        </w:r>
      </w:hyperlink>
      <w:r>
        <w:rPr>
          <w:sz w:val="18"/>
        </w:rPr>
        <w:t>.</w:t>
      </w:r>
    </w:p>
  </w:footnote>
  <w:footnote w:id="99">
    <w:p w14:paraId="5D64B8CF"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rStyle w:val="FootnoteReference"/>
          <w:sz w:val="18"/>
          <w:lang w:val="en-IE"/>
        </w:rPr>
        <w:t xml:space="preserve"> </w:t>
      </w:r>
      <w:r w:rsidRPr="00E0159C">
        <w:rPr>
          <w:sz w:val="18"/>
          <w:lang w:val="en-IE"/>
        </w:rPr>
        <w:tab/>
        <w:t xml:space="preserve">Draghi, M., ancien Premier ministre, </w:t>
      </w:r>
      <w:hyperlink r:id="rId81" w:history="1">
        <w:r w:rsidRPr="00E0159C">
          <w:rPr>
            <w:rStyle w:val="Hyperlink"/>
            <w:sz w:val="18"/>
            <w:lang w:val="en-IE"/>
          </w:rPr>
          <w:t>«The future of European competitiveness – A competitiveness strategy for Europe»</w:t>
        </w:r>
      </w:hyperlink>
      <w:r w:rsidRPr="00E0159C">
        <w:rPr>
          <w:lang w:val="en-IE"/>
        </w:rPr>
        <w:t xml:space="preserve">, </w:t>
      </w:r>
      <w:r w:rsidRPr="00E0159C">
        <w:rPr>
          <w:sz w:val="18"/>
          <w:lang w:val="en-IE"/>
        </w:rPr>
        <w:t>partie B, p. 1.</w:t>
      </w:r>
    </w:p>
  </w:footnote>
  <w:footnote w:id="100">
    <w:p w14:paraId="7C12D887" w14:textId="77777777" w:rsidR="0075701A" w:rsidRPr="00E55283" w:rsidRDefault="0075701A" w:rsidP="0075701A">
      <w:pPr>
        <w:pStyle w:val="FootnoteText"/>
        <w:spacing w:after="0"/>
        <w:rPr>
          <w:sz w:val="18"/>
          <w:szCs w:val="18"/>
        </w:rPr>
      </w:pPr>
      <w:r>
        <w:rPr>
          <w:rStyle w:val="FootnoteReference"/>
          <w:sz w:val="18"/>
          <w:szCs w:val="18"/>
        </w:rPr>
        <w:footnoteRef/>
      </w:r>
      <w:r>
        <w:rPr>
          <w:sz w:val="18"/>
        </w:rPr>
        <w:tab/>
        <w:t>Comptes de distribution de la richesse de la BCE, données économiques de la Réserve fédérale des États-Unis.</w:t>
      </w:r>
    </w:p>
  </w:footnote>
  <w:footnote w:id="101">
    <w:p w14:paraId="7A09B27E"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sz w:val="18"/>
          <w:lang w:val="en-IE"/>
        </w:rPr>
        <w:tab/>
        <w:t xml:space="preserve">Letta, E., ancien Premier ministre, </w:t>
      </w:r>
      <w:hyperlink r:id="rId82" w:history="1">
        <w:r w:rsidRPr="00E0159C">
          <w:rPr>
            <w:rStyle w:val="Hyperlink"/>
            <w:sz w:val="18"/>
            <w:lang w:val="en-IE"/>
          </w:rPr>
          <w:t>«Much more than a Market», page 11</w:t>
        </w:r>
      </w:hyperlink>
      <w:r w:rsidRPr="00E0159C">
        <w:rPr>
          <w:lang w:val="en-IE"/>
        </w:rPr>
        <w:t>.</w:t>
      </w:r>
    </w:p>
  </w:footnote>
  <w:footnote w:id="102">
    <w:p w14:paraId="61118AED"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sz w:val="18"/>
          <w:lang w:val="en-IE"/>
        </w:rPr>
        <w:tab/>
        <w:t xml:space="preserve">Statista, </w:t>
      </w:r>
      <w:hyperlink r:id="rId83" w:history="1">
        <w:r w:rsidRPr="00E0159C">
          <w:rPr>
            <w:rStyle w:val="Hyperlink"/>
            <w:sz w:val="18"/>
            <w:lang w:val="en-IE"/>
          </w:rPr>
          <w:t>«Foreign direct investment from Europe into the United States from 2000 to 2023»</w:t>
        </w:r>
      </w:hyperlink>
      <w:r w:rsidRPr="00E0159C">
        <w:rPr>
          <w:lang w:val="en-IE"/>
        </w:rPr>
        <w:t>.</w:t>
      </w:r>
    </w:p>
  </w:footnote>
  <w:footnote w:id="103">
    <w:p w14:paraId="790B8960" w14:textId="77777777" w:rsidR="0075701A" w:rsidRPr="00E0159C" w:rsidRDefault="0075701A" w:rsidP="0075701A">
      <w:pPr>
        <w:pStyle w:val="FootnoteText"/>
        <w:spacing w:after="0"/>
        <w:rPr>
          <w:sz w:val="18"/>
          <w:szCs w:val="18"/>
          <w:lang w:val="en-IE"/>
        </w:rPr>
      </w:pPr>
      <w:r>
        <w:rPr>
          <w:rStyle w:val="FootnoteReference"/>
          <w:sz w:val="18"/>
          <w:szCs w:val="18"/>
        </w:rPr>
        <w:footnoteRef/>
      </w:r>
      <w:r w:rsidRPr="00E0159C">
        <w:rPr>
          <w:sz w:val="18"/>
          <w:lang w:val="en-IE"/>
        </w:rPr>
        <w:tab/>
        <w:t xml:space="preserve">Draghi, M., ancien Premier ministre, </w:t>
      </w:r>
      <w:hyperlink r:id="rId84" w:history="1">
        <w:r w:rsidRPr="00E0159C">
          <w:rPr>
            <w:rStyle w:val="Hyperlink"/>
            <w:sz w:val="18"/>
            <w:lang w:val="en-IE"/>
          </w:rPr>
          <w:t>«The future of European competitiveness – A competitiveness strategy for Europe»</w:t>
        </w:r>
      </w:hyperlink>
      <w:r w:rsidRPr="00E0159C">
        <w:rPr>
          <w:lang w:val="en-IE"/>
        </w:rPr>
        <w:t xml:space="preserve">, </w:t>
      </w:r>
      <w:r w:rsidRPr="00E0159C">
        <w:rPr>
          <w:rStyle w:val="Hyperlink"/>
          <w:color w:val="000000" w:themeColor="text1"/>
          <w:u w:val="none"/>
          <w:lang w:val="en-IE"/>
        </w:rPr>
        <w:t>partie B, p. 236.</w:t>
      </w:r>
    </w:p>
  </w:footnote>
  <w:footnote w:id="104">
    <w:p w14:paraId="4AA21B90"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De manière générale, en 2023, le budget de l’UE et NextGenerationEU ont consacré 38 % de leurs ressources aux mesures liées au climat et 19 % de leurs ressources aux priorités numériques de l’UE.</w:t>
      </w:r>
    </w:p>
  </w:footnote>
  <w:footnote w:id="105">
    <w:p w14:paraId="48084E89"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 xml:space="preserve">Commission européenne, </w:t>
      </w:r>
      <w:hyperlink r:id="rId85" w:history="1">
        <w:r>
          <w:rPr>
            <w:rStyle w:val="Hyperlink"/>
            <w:sz w:val="18"/>
          </w:rPr>
          <w:t>Tableau de bord de la reprise et de la résilience</w:t>
        </w:r>
      </w:hyperlink>
      <w:r>
        <w:rPr>
          <w:sz w:val="18"/>
        </w:rPr>
        <w:t>.</w:t>
      </w:r>
    </w:p>
  </w:footnote>
  <w:footnote w:id="106">
    <w:p w14:paraId="01B9B4D7" w14:textId="77777777" w:rsidR="0075701A" w:rsidRPr="00E55283" w:rsidRDefault="0075701A" w:rsidP="0075701A">
      <w:pPr>
        <w:pStyle w:val="FootnoteText"/>
        <w:spacing w:after="0"/>
        <w:rPr>
          <w:sz w:val="18"/>
          <w:szCs w:val="18"/>
        </w:rPr>
      </w:pPr>
      <w:r>
        <w:rPr>
          <w:rStyle w:val="FootnoteReference"/>
          <w:sz w:val="18"/>
          <w:szCs w:val="18"/>
        </w:rPr>
        <w:footnoteRef/>
      </w:r>
      <w:r>
        <w:rPr>
          <w:sz w:val="18"/>
        </w:rPr>
        <w:tab/>
        <w:t xml:space="preserve">Les niveaux de maturité technologique sont une mesure du niveau de mise au point d’une technologie, 1 étant le niveau le moins avancé (recherche fondamentale) et 9 le niveau le plus avancé (prête à être lancée/exploitée). </w:t>
      </w:r>
    </w:p>
  </w:footnote>
  <w:footnote w:id="107">
    <w:p w14:paraId="4C5B5221" w14:textId="77777777" w:rsidR="0075701A" w:rsidRPr="00FA1277" w:rsidRDefault="0075701A" w:rsidP="0075701A">
      <w:pPr>
        <w:pStyle w:val="FootnoteText"/>
        <w:spacing w:after="0"/>
        <w:rPr>
          <w:sz w:val="18"/>
          <w:szCs w:val="18"/>
        </w:rPr>
      </w:pPr>
      <w:r>
        <w:rPr>
          <w:rStyle w:val="FootnoteReference"/>
          <w:sz w:val="18"/>
          <w:szCs w:val="18"/>
        </w:rPr>
        <w:footnoteRef/>
      </w:r>
      <w:r>
        <w:rPr>
          <w:sz w:val="18"/>
        </w:rPr>
        <w:t xml:space="preserve">Commission européenne, </w:t>
      </w:r>
      <w:hyperlink r:id="rId86" w:history="1">
        <w:r>
          <w:rPr>
            <w:rStyle w:val="Hyperlink"/>
            <w:sz w:val="18"/>
          </w:rPr>
          <w:t>Tableau d’affichage du marché unique</w:t>
        </w:r>
      </w:hyperlink>
      <w:r>
        <w:t>.</w:t>
      </w:r>
    </w:p>
  </w:footnote>
  <w:footnote w:id="108">
    <w:p w14:paraId="666A9467"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Part de l’électricité dans la consommation finale brute d’énergie.</w:t>
      </w:r>
    </w:p>
  </w:footnote>
  <w:footnote w:id="109">
    <w:p w14:paraId="21CC3126" w14:textId="77777777" w:rsidR="0075701A" w:rsidRPr="00E112F8"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Eurostat, Commission européenne — DG GROW.</w:t>
      </w:r>
    </w:p>
  </w:footnote>
  <w:footnote w:id="110">
    <w:p w14:paraId="318650B4" w14:textId="77777777" w:rsidR="0075701A" w:rsidRPr="00062356" w:rsidRDefault="0075701A" w:rsidP="0075701A">
      <w:pPr>
        <w:pStyle w:val="FootnoteText"/>
        <w:spacing w:after="0"/>
        <w:rPr>
          <w:sz w:val="18"/>
          <w:szCs w:val="18"/>
        </w:rPr>
      </w:pPr>
      <w:r>
        <w:rPr>
          <w:rStyle w:val="FootnoteReference"/>
          <w:sz w:val="18"/>
          <w:szCs w:val="18"/>
        </w:rPr>
        <w:footnoteRef/>
      </w:r>
      <w:r>
        <w:rPr>
          <w:sz w:val="18"/>
        </w:rPr>
        <w:tab/>
        <w:t>Institut international de l’aluminium.</w:t>
      </w:r>
    </w:p>
  </w:footnote>
  <w:footnote w:id="111">
    <w:p w14:paraId="08D2D153" w14:textId="77777777" w:rsidR="0075701A" w:rsidRPr="00B629E6"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Eurostat, US Energy Information Administration (EIA), UK Department for Energy Security and Net Zero (DESNZ) et  Agence internationale de l’énergie (AIE).</w:t>
      </w:r>
    </w:p>
  </w:footnote>
  <w:footnote w:id="112">
    <w:p w14:paraId="1AB51F04"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Voir les chiffres nationaux se rapportant à l’ICP 17 à l’annexe 1 du présent rapport.</w:t>
      </w:r>
    </w:p>
  </w:footnote>
  <w:footnote w:id="113">
    <w:p w14:paraId="3173A955" w14:textId="77777777" w:rsidR="0075701A" w:rsidRPr="00062356"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Ernst &amp; Young, </w:t>
      </w:r>
      <w:hyperlink r:id="rId87" w:history="1">
        <w:r>
          <w:rPr>
            <w:rStyle w:val="Hyperlink"/>
            <w:sz w:val="18"/>
          </w:rPr>
          <w:t>Enquête de juin 2024 sur l’attractivité de l’Europe</w:t>
        </w:r>
      </w:hyperlink>
      <w:r>
        <w:t>.</w:t>
      </w:r>
    </w:p>
  </w:footnote>
  <w:footnote w:id="114">
    <w:p w14:paraId="3D33E34B" w14:textId="77777777" w:rsidR="0075701A" w:rsidRPr="0092464C" w:rsidRDefault="0075701A" w:rsidP="0075701A">
      <w:pPr>
        <w:pStyle w:val="FootnoteText"/>
        <w:spacing w:after="0"/>
        <w:jc w:val="left"/>
        <w:rPr>
          <w:sz w:val="18"/>
          <w:szCs w:val="18"/>
        </w:rPr>
      </w:pPr>
      <w:r>
        <w:rPr>
          <w:rStyle w:val="FootnoteReference"/>
          <w:sz w:val="18"/>
          <w:szCs w:val="18"/>
        </w:rPr>
        <w:footnoteRef/>
      </w:r>
      <w:r>
        <w:rPr>
          <w:sz w:val="18"/>
        </w:rPr>
        <w:tab/>
        <w:t>Tranche IC de l’UE = consommateurs industriels de taille moyenne dont la consommation annuelle est comprise entre 500 MWh et 2 000 MWh.  Tranche ID de l’UE = grands consommateurs industriels dont la consommation annuelle est comprise entre 2 000 MWh et 20 000 MWh.</w:t>
      </w:r>
    </w:p>
  </w:footnote>
  <w:footnote w:id="115">
    <w:p w14:paraId="0AA37DAE" w14:textId="77777777" w:rsidR="0075701A" w:rsidRPr="00334F9C"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rStyle w:val="FootnoteReference"/>
          <w:sz w:val="18"/>
        </w:rPr>
        <w:tab/>
      </w:r>
      <w:hyperlink r:id="rId88" w:history="1">
        <w:r>
          <w:rPr>
            <w:rStyle w:val="Hyperlink"/>
            <w:sz w:val="18"/>
          </w:rPr>
          <w:t>Fiches statistiques sur l’énergie pour les pays de l’UE</w:t>
        </w:r>
      </w:hyperlink>
      <w:r>
        <w:t>.</w:t>
      </w:r>
    </w:p>
  </w:footnote>
  <w:footnote w:id="116">
    <w:p w14:paraId="3D192FFD" w14:textId="77777777" w:rsidR="0075701A" w:rsidRPr="00F1586B" w:rsidRDefault="0075701A" w:rsidP="0075701A">
      <w:pPr>
        <w:pStyle w:val="FootnoteText"/>
        <w:spacing w:after="0"/>
        <w:rPr>
          <w:sz w:val="18"/>
          <w:szCs w:val="18"/>
        </w:rPr>
      </w:pPr>
      <w:r>
        <w:rPr>
          <w:rStyle w:val="FootnoteReference"/>
          <w:sz w:val="18"/>
          <w:szCs w:val="18"/>
          <w:lang w:val="en-IE"/>
        </w:rPr>
        <w:footnoteRef/>
      </w:r>
      <w:r>
        <w:rPr>
          <w:sz w:val="18"/>
        </w:rPr>
        <w:tab/>
        <w:t>Système d’échange de quotas d’émission de l’UE.</w:t>
      </w:r>
    </w:p>
  </w:footnote>
  <w:footnote w:id="117">
    <w:p w14:paraId="0A52C418"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La directive révisée de l’UE sur la taxation de l’énergie fait actuellement l’objet de négociations.</w:t>
      </w:r>
    </w:p>
  </w:footnote>
  <w:footnote w:id="118">
    <w:p w14:paraId="243995A0" w14:textId="77777777" w:rsidR="0075701A" w:rsidRPr="00334F9C"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rStyle w:val="FootnoteReference"/>
          <w:sz w:val="18"/>
        </w:rPr>
        <w:tab/>
      </w:r>
      <w:r>
        <w:rPr>
          <w:sz w:val="18"/>
        </w:rPr>
        <w:t xml:space="preserve">Eurostat, </w:t>
      </w:r>
      <w:hyperlink r:id="rId89" w:history="1">
        <w:r>
          <w:rPr>
            <w:rStyle w:val="Hyperlink"/>
            <w:sz w:val="18"/>
          </w:rPr>
          <w:t>Statistiques de l’énergie</w:t>
        </w:r>
      </w:hyperlink>
      <w:r>
        <w:t>.</w:t>
      </w:r>
    </w:p>
  </w:footnote>
  <w:footnote w:id="119">
    <w:p w14:paraId="502DEAD9" w14:textId="77777777" w:rsidR="0075701A" w:rsidRPr="00334F9C"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rStyle w:val="FootnoteReference"/>
          <w:sz w:val="18"/>
        </w:rPr>
        <w:tab/>
      </w:r>
      <w:r>
        <w:rPr>
          <w:sz w:val="18"/>
        </w:rPr>
        <w:t xml:space="preserve">Commission européenne, </w:t>
      </w:r>
      <w:hyperlink r:id="rId90" w:history="1">
        <w:r>
          <w:rPr>
            <w:rStyle w:val="Hyperlink"/>
            <w:sz w:val="18"/>
          </w:rPr>
          <w:t>document de travail des services de la Commission accompagnant la communication sur l’objectif climatique de l’Europe à l’horizon 2040</w:t>
        </w:r>
      </w:hyperlink>
      <w:r>
        <w:rPr>
          <w:sz w:val="18"/>
        </w:rPr>
        <w:t>.</w:t>
      </w:r>
    </w:p>
  </w:footnote>
  <w:footnote w:id="120">
    <w:p w14:paraId="0C976ADD" w14:textId="77777777" w:rsidR="0075701A" w:rsidRPr="00F90099" w:rsidRDefault="0075701A" w:rsidP="0075701A">
      <w:pPr>
        <w:pStyle w:val="FootnoteText"/>
        <w:spacing w:after="0"/>
        <w:rPr>
          <w:sz w:val="18"/>
          <w:szCs w:val="18"/>
        </w:rPr>
      </w:pPr>
      <w:r>
        <w:rPr>
          <w:rStyle w:val="FootnoteReference"/>
          <w:sz w:val="18"/>
          <w:szCs w:val="18"/>
        </w:rPr>
        <w:footnoteRef/>
      </w:r>
      <w:r>
        <w:rPr>
          <w:rStyle w:val="FootnoteReference"/>
          <w:sz w:val="18"/>
        </w:rPr>
        <w:tab/>
      </w:r>
      <w:r>
        <w:rPr>
          <w:sz w:val="18"/>
        </w:rPr>
        <w:t>Commission européenne — DG RTD, les statistiques sur les brevets montrent que les entreprises de l’UE génèrent 29 % des brevets dans le domaine des énergies propres et 24 % des brevets dans le domaine de l’efficacité énergétique.</w:t>
      </w:r>
    </w:p>
  </w:footnote>
  <w:footnote w:id="121">
    <w:p w14:paraId="27EB6692" w14:textId="77777777" w:rsidR="0075701A" w:rsidRPr="00062356" w:rsidRDefault="0075701A" w:rsidP="0075701A">
      <w:pPr>
        <w:pStyle w:val="FootnoteText"/>
        <w:spacing w:after="0"/>
        <w:rPr>
          <w:sz w:val="18"/>
          <w:szCs w:val="18"/>
        </w:rPr>
      </w:pPr>
      <w:r>
        <w:rPr>
          <w:rStyle w:val="FootnoteReference"/>
          <w:sz w:val="18"/>
          <w:szCs w:val="18"/>
        </w:rPr>
        <w:footnoteRef/>
      </w:r>
      <w:r>
        <w:rPr>
          <w:sz w:val="18"/>
        </w:rPr>
        <w:tab/>
        <w:t xml:space="preserve">Agence internationale de l’énergie, </w:t>
      </w:r>
      <w:hyperlink r:id="rId91" w:history="1">
        <w:r>
          <w:rPr>
            <w:rStyle w:val="Hyperlink"/>
            <w:sz w:val="18"/>
          </w:rPr>
          <w:t>«Energy Technology Perspectives»</w:t>
        </w:r>
      </w:hyperlink>
      <w:r>
        <w:rPr>
          <w:sz w:val="18"/>
        </w:rPr>
        <w:t xml:space="preserve"> (2024). Le rapport mentionne 2 000 milliards de dollars, convertis fin 2024.</w:t>
      </w:r>
    </w:p>
  </w:footnote>
  <w:footnote w:id="122">
    <w:p w14:paraId="0CCAB10E"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 xml:space="preserve">Cour des comptes européenne, </w:t>
      </w:r>
      <w:hyperlink r:id="rId92" w:history="1">
        <w:r>
          <w:rPr>
            <w:rStyle w:val="Hyperlink"/>
            <w:sz w:val="18"/>
          </w:rPr>
          <w:t>Rapport spécial:</w:t>
        </w:r>
      </w:hyperlink>
      <w:hyperlink r:id="rId93" w:history="1">
        <w:r>
          <w:rPr>
            <w:rStyle w:val="Hyperlink"/>
            <w:sz w:val="18"/>
          </w:rPr>
          <w:t>Économie circulaire — Une transition lente dans les États membres malgré l’action de l’Union européenne</w:t>
        </w:r>
      </w:hyperlink>
      <w:r>
        <w:t>.</w:t>
      </w:r>
    </w:p>
  </w:footnote>
  <w:footnote w:id="123">
    <w:p w14:paraId="56F71A89" w14:textId="77777777" w:rsidR="0075701A" w:rsidRPr="00334F9C"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rStyle w:val="FootnoteReference"/>
          <w:sz w:val="18"/>
        </w:rPr>
        <w:tab/>
      </w:r>
      <w:r>
        <w:rPr>
          <w:color w:val="000000" w:themeColor="text1"/>
          <w:sz w:val="18"/>
        </w:rPr>
        <w:t xml:space="preserve">Eurostat, </w:t>
      </w:r>
      <w:hyperlink r:id="rId94" w:history="1">
        <w:r>
          <w:rPr>
            <w:rStyle w:val="Hyperlink"/>
            <w:sz w:val="18"/>
          </w:rPr>
          <w:t>Flux de matières et productivité des ressources</w:t>
        </w:r>
      </w:hyperlink>
      <w:r>
        <w:t>.</w:t>
      </w:r>
    </w:p>
  </w:footnote>
  <w:footnote w:id="124">
    <w:p w14:paraId="60C1D94D" w14:textId="77777777" w:rsidR="0075701A" w:rsidRPr="002E64B5"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rStyle w:val="FootnoteReference"/>
          <w:sz w:val="18"/>
        </w:rPr>
        <w:tab/>
      </w:r>
      <w:r>
        <w:rPr>
          <w:sz w:val="18"/>
        </w:rPr>
        <w:t xml:space="preserve">Agence européenne pour l’environnement, </w:t>
      </w:r>
      <w:hyperlink r:id="rId95" w:history="1">
        <w:r>
          <w:rPr>
            <w:rStyle w:val="Hyperlink"/>
            <w:sz w:val="18"/>
          </w:rPr>
          <w:t>«Europe’s Material Footprint»</w:t>
        </w:r>
      </w:hyperlink>
      <w:r>
        <w:t>.</w:t>
      </w:r>
    </w:p>
  </w:footnote>
  <w:footnote w:id="125">
    <w:p w14:paraId="07BA4F85" w14:textId="77777777" w:rsidR="0075701A" w:rsidRPr="00FA1277" w:rsidRDefault="0075701A" w:rsidP="0075701A">
      <w:pPr>
        <w:pStyle w:val="FootnoteText"/>
        <w:spacing w:after="0"/>
        <w:rPr>
          <w:sz w:val="18"/>
          <w:szCs w:val="18"/>
        </w:rPr>
      </w:pPr>
      <w:r>
        <w:rPr>
          <w:sz w:val="18"/>
          <w:vertAlign w:val="superscript"/>
        </w:rPr>
        <w:t>127</w:t>
      </w:r>
      <w:r>
        <w:rPr>
          <w:sz w:val="18"/>
        </w:rPr>
        <w:tab/>
        <w:t xml:space="preserve">Commission européenne, </w:t>
      </w:r>
      <w:hyperlink r:id="rId96" w:history="1">
        <w:r>
          <w:rPr>
            <w:rStyle w:val="Hyperlink"/>
            <w:sz w:val="18"/>
          </w:rPr>
          <w:t>Raw Materials Information System</w:t>
        </w:r>
      </w:hyperlink>
      <w:r>
        <w:t>.</w:t>
      </w:r>
    </w:p>
  </w:footnote>
  <w:footnote w:id="126">
    <w:p w14:paraId="11894E0D" w14:textId="77777777" w:rsidR="0075701A" w:rsidRPr="00334F9C"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rStyle w:val="FootnoteReference"/>
          <w:sz w:val="18"/>
        </w:rPr>
        <w:tab/>
      </w:r>
      <w:r>
        <w:rPr>
          <w:sz w:val="18"/>
        </w:rPr>
        <w:t>Eurostat, Commerce international de biens (</w:t>
      </w:r>
      <w:hyperlink r:id="rId97" w:history="1">
        <w:r>
          <w:rPr>
            <w:rStyle w:val="Hyperlink"/>
            <w:sz w:val="18"/>
          </w:rPr>
          <w:t>ext_go</w:t>
        </w:r>
      </w:hyperlink>
      <w:r>
        <w:rPr>
          <w:sz w:val="18"/>
        </w:rPr>
        <w:t>), Commerce international de services (</w:t>
      </w:r>
      <w:hyperlink r:id="rId98" w:history="1">
        <w:r>
          <w:rPr>
            <w:rStyle w:val="Hyperlink"/>
            <w:sz w:val="18"/>
          </w:rPr>
          <w:t>ext_ser</w:t>
        </w:r>
      </w:hyperlink>
      <w:r>
        <w:rPr>
          <w:u w:val="single"/>
        </w:rPr>
        <w:t>)</w:t>
      </w:r>
      <w:r>
        <w:t>.</w:t>
      </w:r>
    </w:p>
  </w:footnote>
  <w:footnote w:id="127">
    <w:p w14:paraId="5B840D0E" w14:textId="77777777" w:rsidR="0075701A" w:rsidRPr="00CE477A"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r>
      <w:r>
        <w:rPr>
          <w:color w:val="000000" w:themeColor="text1"/>
          <w:sz w:val="18"/>
        </w:rPr>
        <w:t>Organisation des Nations unies pour le développement industriel, base de données sur les performances compétitives de l’industrie; base de données de la Banque mondiale; Eurostat; estimations de la Commission européenne.</w:t>
      </w:r>
    </w:p>
  </w:footnote>
  <w:footnote w:id="128">
    <w:p w14:paraId="73F5C519" w14:textId="77777777" w:rsidR="0075701A" w:rsidRPr="006D6625" w:rsidRDefault="0075701A" w:rsidP="0075701A">
      <w:pPr>
        <w:pStyle w:val="FootnoteText"/>
        <w:spacing w:after="0"/>
        <w:rPr>
          <w:sz w:val="18"/>
          <w:szCs w:val="18"/>
        </w:rPr>
      </w:pPr>
      <w:r>
        <w:rPr>
          <w:rStyle w:val="FootnoteReference"/>
          <w:sz w:val="18"/>
          <w:szCs w:val="18"/>
        </w:rPr>
        <w:footnoteRef/>
      </w:r>
      <w:r>
        <w:rPr>
          <w:sz w:val="18"/>
        </w:rPr>
        <w:tab/>
        <w:t xml:space="preserve">Les «partenaires signataires d’un accord» incluent les pays tiers avec lesquels l’UE partage des accords commerciaux (en place ou appliqués provisoirement), des partenariats sur les matières premières, ou qui sont signataires de la déclaration conjointe de coopération sur les chaînes d’approvisionnement mondiales (2022). Les autres pays tiers sont considérés comme des «partenaires non signataires d’un accord» (y compris, par exemple, la Russie et la Chine). </w:t>
      </w:r>
    </w:p>
  </w:footnote>
  <w:footnote w:id="129">
    <w:p w14:paraId="36974951" w14:textId="77777777" w:rsidR="0075701A" w:rsidRPr="00E0159C" w:rsidRDefault="0075701A" w:rsidP="0075701A">
      <w:pPr>
        <w:pStyle w:val="FootnoteText"/>
        <w:spacing w:after="0"/>
        <w:rPr>
          <w:sz w:val="18"/>
          <w:szCs w:val="18"/>
          <w:lang w:val="en-IE"/>
        </w:rPr>
      </w:pPr>
      <w:r>
        <w:rPr>
          <w:rStyle w:val="FootnoteReference"/>
          <w:sz w:val="18"/>
          <w:szCs w:val="18"/>
          <w:lang w:val="en-IE"/>
        </w:rPr>
        <w:footnoteRef/>
      </w:r>
      <w:r w:rsidRPr="00E0159C">
        <w:rPr>
          <w:sz w:val="18"/>
          <w:lang w:val="en-IE"/>
        </w:rPr>
        <w:tab/>
        <w:t xml:space="preserve">R. Arjona, W. Connell, C. Herghelegiu (2024): </w:t>
      </w:r>
      <w:hyperlink r:id="rId99" w:history="1">
        <w:r w:rsidRPr="00E0159C">
          <w:rPr>
            <w:rStyle w:val="Hyperlink"/>
            <w:sz w:val="18"/>
            <w:lang w:val="en-IE"/>
          </w:rPr>
          <w:t>“Supply Chain Tectonics:</w:t>
        </w:r>
      </w:hyperlink>
      <w:hyperlink r:id="rId100" w:history="1">
        <w:r w:rsidRPr="00E0159C">
          <w:rPr>
            <w:rStyle w:val="Hyperlink"/>
            <w:sz w:val="18"/>
            <w:lang w:val="en-IE"/>
          </w:rPr>
          <w:t>Empirics on how the EU is plotting its path through global trade fragmentation”</w:t>
        </w:r>
      </w:hyperlink>
      <w:r w:rsidRPr="00E0159C">
        <w:rPr>
          <w:sz w:val="18"/>
          <w:lang w:val="en-IE"/>
        </w:rPr>
        <w:t>, Commission européenne, Single Market Economics Papers 28.</w:t>
      </w:r>
    </w:p>
  </w:footnote>
  <w:footnote w:id="130">
    <w:p w14:paraId="64E47E5E" w14:textId="77777777" w:rsidR="0075701A" w:rsidRPr="00A11CAF"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Commission européenne, </w:t>
      </w:r>
      <w:hyperlink r:id="rId101" w:history="1">
        <w:r>
          <w:rPr>
            <w:rStyle w:val="Hyperlink"/>
            <w:sz w:val="18"/>
          </w:rPr>
          <w:t>Mise en œuvre et application de la politique commerciale de l’UE</w:t>
        </w:r>
      </w:hyperlink>
      <w:r>
        <w:t>.</w:t>
      </w:r>
    </w:p>
  </w:footnote>
  <w:footnote w:id="131">
    <w:p w14:paraId="2CD0C31A"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Droits de douane de l’UE sur les importations de véhicules électriques à batterie en provenance de Chine.</w:t>
      </w:r>
    </w:p>
  </w:footnote>
  <w:footnote w:id="132">
    <w:p w14:paraId="5FD985F3" w14:textId="77777777" w:rsidR="0075701A" w:rsidRPr="001816C7" w:rsidRDefault="0075701A" w:rsidP="0075701A">
      <w:pPr>
        <w:pStyle w:val="FootnoteText"/>
        <w:spacing w:after="0"/>
        <w:rPr>
          <w:sz w:val="18"/>
          <w:szCs w:val="18"/>
        </w:rPr>
      </w:pPr>
      <w:r>
        <w:rPr>
          <w:rStyle w:val="FootnoteReference"/>
          <w:sz w:val="18"/>
          <w:szCs w:val="18"/>
        </w:rPr>
        <w:footnoteRef/>
      </w:r>
      <w:r>
        <w:rPr>
          <w:sz w:val="18"/>
        </w:rPr>
        <w:tab/>
        <w:t>Cette annexe présente un contexte mondial dans les domaines du commerce et des chaînes d’approvisionnement, en décrivant les mesures de résilience prises par l’Australie, le Canada, la Chine, la Corée du Sud, les États-Unis, l’Inde, le Japon, le Royaume-Uni, Singapour et Taïwan.</w:t>
      </w:r>
    </w:p>
  </w:footnote>
  <w:footnote w:id="133">
    <w:p w14:paraId="36F49C63" w14:textId="77777777" w:rsidR="0075701A" w:rsidRPr="003C4C2B" w:rsidRDefault="0075701A" w:rsidP="0075701A">
      <w:pPr>
        <w:pStyle w:val="FootnoteText"/>
        <w:spacing w:after="0"/>
        <w:rPr>
          <w:sz w:val="18"/>
          <w:szCs w:val="18"/>
        </w:rPr>
      </w:pPr>
      <w:r>
        <w:rPr>
          <w:rStyle w:val="FootnoteReference"/>
          <w:sz w:val="18"/>
          <w:szCs w:val="18"/>
        </w:rPr>
        <w:footnoteRef/>
      </w:r>
      <w:r>
        <w:rPr>
          <w:sz w:val="18"/>
        </w:rPr>
        <w:tab/>
        <w:t>Analyse réalisée à l’aide du nouvel indice de vulnérabilité externe de la Commission européenne, un indicateur composite conçu pour évaluer la vulnérabilité externe des produits, des secteurs, des chaînes d’approvisionnement et de l’économie dans son ensemble. Il permet de mesurer la vulnérabilité de l’économie aux chocs extérieurs, avec des scores allant de 0 (faible vulnérabilité) à 1 (forte vulnérabilité). L’indice se compose de deux volets: le premier est axé sur les risques liés aux dépendances étrangères et tient compte de la concentration des flux commerciaux et la dépendance à l’égard des marchés étrangers, tandis que le second prend en considération les risques liés à une vulnérabilité sur le marché mondial et comporte une évaluation des forces et faiblesses concurrentielles basée sur les différences de prix et les avantages comparatifs relatifs.</w:t>
      </w:r>
    </w:p>
  </w:footnote>
  <w:footnote w:id="134">
    <w:p w14:paraId="61204506" w14:textId="77777777" w:rsidR="0075701A" w:rsidRPr="00C62178"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Banque européenne d’investissement (BEI), </w:t>
      </w:r>
      <w:hyperlink r:id="rId102" w:history="1">
        <w:r>
          <w:rPr>
            <w:rStyle w:val="Hyperlink"/>
            <w:sz w:val="18"/>
          </w:rPr>
          <w:t>Enquête de la BEI sur l’investissement</w:t>
        </w:r>
      </w:hyperlink>
      <w:r>
        <w:t>.</w:t>
      </w:r>
    </w:p>
  </w:footnote>
  <w:footnote w:id="135">
    <w:p w14:paraId="2E04E6D3" w14:textId="77777777" w:rsidR="0075701A" w:rsidRPr="00773CDB" w:rsidRDefault="0075701A" w:rsidP="0075701A">
      <w:pPr>
        <w:pStyle w:val="FootnoteText"/>
        <w:spacing w:after="0"/>
        <w:rPr>
          <w:sz w:val="18"/>
          <w:szCs w:val="18"/>
        </w:rPr>
      </w:pPr>
      <w:r>
        <w:rPr>
          <w:rStyle w:val="FootnoteReference"/>
          <w:sz w:val="18"/>
          <w:szCs w:val="18"/>
        </w:rPr>
        <w:footnoteRef/>
      </w:r>
      <w:r>
        <w:rPr>
          <w:rStyle w:val="FootnoteReference"/>
          <w:sz w:val="18"/>
        </w:rPr>
        <w:t xml:space="preserve"> </w:t>
      </w:r>
      <w:r>
        <w:rPr>
          <w:sz w:val="18"/>
        </w:rPr>
        <w:tab/>
        <w:t xml:space="preserve">Banque européenne d’investissement, </w:t>
      </w:r>
      <w:hyperlink r:id="rId103" w:history="1">
        <w:r>
          <w:rPr>
            <w:rStyle w:val="Hyperlink"/>
            <w:sz w:val="18"/>
          </w:rPr>
          <w:t>https://www.eib.org/fr/publications/20240179-navigating-supply-chain-disruptions</w:t>
        </w:r>
      </w:hyperlink>
      <w:r>
        <w:t>.</w:t>
      </w:r>
    </w:p>
  </w:footnote>
  <w:footnote w:id="136">
    <w:p w14:paraId="0D17F8DC" w14:textId="77777777" w:rsidR="0075701A" w:rsidRPr="00A11CAF" w:rsidRDefault="0075701A" w:rsidP="0075701A">
      <w:pPr>
        <w:spacing w:after="0" w:line="240" w:lineRule="auto"/>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lang w:eastAsia="en-IE"/>
        </w:rPr>
        <w:footnoteRef/>
      </w:r>
      <w:r>
        <w:rPr>
          <w:rFonts w:ascii="Times New Roman" w:hAnsi="Times New Roman"/>
          <w:sz w:val="18"/>
        </w:rPr>
        <w:t xml:space="preserve">Commission européenne, </w:t>
      </w:r>
      <w:hyperlink r:id="rId104" w:history="1">
        <w:r>
          <w:rPr>
            <w:rStyle w:val="Hyperlink"/>
            <w:rFonts w:ascii="Times New Roman" w:hAnsi="Times New Roman"/>
            <w:sz w:val="18"/>
          </w:rPr>
          <w:t>Raw materials diplomacy</w:t>
        </w:r>
      </w:hyperlink>
      <w:r>
        <w:t>.</w:t>
      </w:r>
    </w:p>
  </w:footnote>
  <w:footnote w:id="137">
    <w:p w14:paraId="6BB2B8FB" w14:textId="77777777" w:rsidR="0075701A" w:rsidRPr="00F1586B" w:rsidRDefault="0075701A" w:rsidP="0075701A">
      <w:pPr>
        <w:pStyle w:val="FootnoteText"/>
        <w:spacing w:after="0"/>
        <w:rPr>
          <w:sz w:val="18"/>
          <w:szCs w:val="18"/>
        </w:rPr>
      </w:pPr>
      <w:r>
        <w:rPr>
          <w:rStyle w:val="FootnoteReference"/>
          <w:sz w:val="18"/>
          <w:szCs w:val="18"/>
        </w:rPr>
        <w:footnoteRef/>
      </w:r>
      <w:r>
        <w:rPr>
          <w:sz w:val="18"/>
        </w:rPr>
        <w:tab/>
        <w:t xml:space="preserve">Commission européenne, </w:t>
      </w:r>
      <w:hyperlink r:id="rId105" w:history="1">
        <w:r>
          <w:rPr>
            <w:rStyle w:val="Hyperlink"/>
            <w:sz w:val="18"/>
          </w:rPr>
          <w:t>Global Gateway</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AEAA7" w14:textId="77777777" w:rsidR="00737AB7" w:rsidRPr="00737AB7" w:rsidRDefault="00737AB7" w:rsidP="00737AB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7618D" w14:textId="77777777" w:rsidR="00737AB7" w:rsidRPr="00737AB7" w:rsidRDefault="00737AB7" w:rsidP="00737AB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45CF9" w14:textId="77777777" w:rsidR="00737AB7" w:rsidRPr="00737AB7" w:rsidRDefault="00737AB7" w:rsidP="00737AB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836E0" w14:textId="77777777" w:rsidR="00C23CB1" w:rsidRDefault="00C23C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1568" w14:textId="77777777" w:rsidR="00C23CB1" w:rsidRDefault="00C23C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4D7D2" w14:textId="77777777" w:rsidR="00C23CB1" w:rsidRDefault="00C23CB1">
    <w:pPr>
      <w:pStyle w:val="Header"/>
    </w:pPr>
  </w:p>
</w:hdr>
</file>

<file path=word/intelligence2.xml><?xml version="1.0" encoding="utf-8"?>
<int2:intelligence xmlns:int2="http://schemas.microsoft.com/office/intelligence/2020/intelligence" xmlns:oel="http://schemas.microsoft.com/office/2019/extlst">
  <int2:observations>
    <int2:textHash int2:hashCode="W/OkyDNPNgkzyO" int2:id="4FGmDrt2">
      <int2:state int2:value="Rejected" int2:type="AugLoop_Text_Critique"/>
    </int2:textHash>
    <int2:textHash int2:hashCode="ni8UUdXdlt6RIo" int2:id="QEvgiwuc">
      <int2:state int2:value="Rejected" int2:type="AugLoop_Text_Critique"/>
    </int2:textHash>
    <int2:textHash int2:hashCode="ffcmpcJbBplIDx" int2:id="k7fjYNIN">
      <int2:state int2:value="Rejected" int2:type="AugLoop_Text_Critique"/>
    </int2:textHash>
    <int2:textHash int2:hashCode="LOKXXXnn8FfYIs" int2:id="n8a6B5b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324E"/>
    <w:multiLevelType w:val="hybridMultilevel"/>
    <w:tmpl w:val="FFFFFFFF"/>
    <w:lvl w:ilvl="0" w:tplc="0BDA25FA">
      <w:start w:val="1"/>
      <w:numFmt w:val="bullet"/>
      <w:lvlText w:val=""/>
      <w:lvlJc w:val="left"/>
      <w:pPr>
        <w:ind w:left="720" w:hanging="360"/>
      </w:pPr>
      <w:rPr>
        <w:rFonts w:ascii="Symbol" w:hAnsi="Symbol" w:hint="default"/>
      </w:rPr>
    </w:lvl>
    <w:lvl w:ilvl="1" w:tplc="5F6297BA">
      <w:start w:val="1"/>
      <w:numFmt w:val="bullet"/>
      <w:lvlText w:val="o"/>
      <w:lvlJc w:val="left"/>
      <w:pPr>
        <w:ind w:left="1440" w:hanging="360"/>
      </w:pPr>
      <w:rPr>
        <w:rFonts w:ascii="Courier New" w:hAnsi="Courier New" w:hint="default"/>
      </w:rPr>
    </w:lvl>
    <w:lvl w:ilvl="2" w:tplc="4BFA4588">
      <w:start w:val="1"/>
      <w:numFmt w:val="bullet"/>
      <w:lvlText w:val=""/>
      <w:lvlJc w:val="left"/>
      <w:pPr>
        <w:ind w:left="2160" w:hanging="360"/>
      </w:pPr>
      <w:rPr>
        <w:rFonts w:ascii="Wingdings" w:hAnsi="Wingdings" w:hint="default"/>
      </w:rPr>
    </w:lvl>
    <w:lvl w:ilvl="3" w:tplc="C668FED6">
      <w:start w:val="1"/>
      <w:numFmt w:val="bullet"/>
      <w:lvlText w:val=""/>
      <w:lvlJc w:val="left"/>
      <w:pPr>
        <w:ind w:left="2880" w:hanging="360"/>
      </w:pPr>
      <w:rPr>
        <w:rFonts w:ascii="Symbol" w:hAnsi="Symbol" w:hint="default"/>
      </w:rPr>
    </w:lvl>
    <w:lvl w:ilvl="4" w:tplc="21B8EE58">
      <w:start w:val="1"/>
      <w:numFmt w:val="bullet"/>
      <w:lvlText w:val="o"/>
      <w:lvlJc w:val="left"/>
      <w:pPr>
        <w:ind w:left="3600" w:hanging="360"/>
      </w:pPr>
      <w:rPr>
        <w:rFonts w:ascii="Courier New" w:hAnsi="Courier New" w:hint="default"/>
      </w:rPr>
    </w:lvl>
    <w:lvl w:ilvl="5" w:tplc="2DC446C6">
      <w:start w:val="1"/>
      <w:numFmt w:val="bullet"/>
      <w:lvlText w:val=""/>
      <w:lvlJc w:val="left"/>
      <w:pPr>
        <w:ind w:left="4320" w:hanging="360"/>
      </w:pPr>
      <w:rPr>
        <w:rFonts w:ascii="Wingdings" w:hAnsi="Wingdings" w:hint="default"/>
      </w:rPr>
    </w:lvl>
    <w:lvl w:ilvl="6" w:tplc="9DEA8508">
      <w:start w:val="1"/>
      <w:numFmt w:val="bullet"/>
      <w:lvlText w:val=""/>
      <w:lvlJc w:val="left"/>
      <w:pPr>
        <w:ind w:left="5040" w:hanging="360"/>
      </w:pPr>
      <w:rPr>
        <w:rFonts w:ascii="Symbol" w:hAnsi="Symbol" w:hint="default"/>
      </w:rPr>
    </w:lvl>
    <w:lvl w:ilvl="7" w:tplc="E8081F1C">
      <w:start w:val="1"/>
      <w:numFmt w:val="bullet"/>
      <w:lvlText w:val="o"/>
      <w:lvlJc w:val="left"/>
      <w:pPr>
        <w:ind w:left="5760" w:hanging="360"/>
      </w:pPr>
      <w:rPr>
        <w:rFonts w:ascii="Courier New" w:hAnsi="Courier New" w:hint="default"/>
      </w:rPr>
    </w:lvl>
    <w:lvl w:ilvl="8" w:tplc="DEDE93DA">
      <w:start w:val="1"/>
      <w:numFmt w:val="bullet"/>
      <w:lvlText w:val=""/>
      <w:lvlJc w:val="left"/>
      <w:pPr>
        <w:ind w:left="6480" w:hanging="360"/>
      </w:pPr>
      <w:rPr>
        <w:rFonts w:ascii="Wingdings" w:hAnsi="Wingdings" w:hint="default"/>
      </w:rPr>
    </w:lvl>
  </w:abstractNum>
  <w:abstractNum w:abstractNumId="1" w15:restartNumberingAfterBreak="0">
    <w:nsid w:val="0176C522"/>
    <w:multiLevelType w:val="hybridMultilevel"/>
    <w:tmpl w:val="5FCEC988"/>
    <w:lvl w:ilvl="0" w:tplc="E83CFBB4">
      <w:start w:val="1"/>
      <w:numFmt w:val="bullet"/>
      <w:lvlText w:val="-"/>
      <w:lvlJc w:val="left"/>
      <w:pPr>
        <w:ind w:left="720" w:hanging="360"/>
      </w:pPr>
      <w:rPr>
        <w:rFonts w:ascii="Aptos" w:hAnsi="Aptos" w:hint="default"/>
      </w:rPr>
    </w:lvl>
    <w:lvl w:ilvl="1" w:tplc="B7E09C40">
      <w:start w:val="1"/>
      <w:numFmt w:val="bullet"/>
      <w:lvlText w:val="o"/>
      <w:lvlJc w:val="left"/>
      <w:pPr>
        <w:ind w:left="1440" w:hanging="360"/>
      </w:pPr>
      <w:rPr>
        <w:rFonts w:ascii="Courier New" w:hAnsi="Courier New" w:hint="default"/>
      </w:rPr>
    </w:lvl>
    <w:lvl w:ilvl="2" w:tplc="EAFA06BA">
      <w:start w:val="1"/>
      <w:numFmt w:val="bullet"/>
      <w:lvlText w:val=""/>
      <w:lvlJc w:val="left"/>
      <w:pPr>
        <w:ind w:left="2160" w:hanging="360"/>
      </w:pPr>
      <w:rPr>
        <w:rFonts w:ascii="Wingdings" w:hAnsi="Wingdings" w:hint="default"/>
      </w:rPr>
    </w:lvl>
    <w:lvl w:ilvl="3" w:tplc="87B230A0">
      <w:start w:val="1"/>
      <w:numFmt w:val="bullet"/>
      <w:lvlText w:val=""/>
      <w:lvlJc w:val="left"/>
      <w:pPr>
        <w:ind w:left="2880" w:hanging="360"/>
      </w:pPr>
      <w:rPr>
        <w:rFonts w:ascii="Symbol" w:hAnsi="Symbol" w:hint="default"/>
      </w:rPr>
    </w:lvl>
    <w:lvl w:ilvl="4" w:tplc="CF9ABE92">
      <w:start w:val="1"/>
      <w:numFmt w:val="bullet"/>
      <w:lvlText w:val="o"/>
      <w:lvlJc w:val="left"/>
      <w:pPr>
        <w:ind w:left="3600" w:hanging="360"/>
      </w:pPr>
      <w:rPr>
        <w:rFonts w:ascii="Courier New" w:hAnsi="Courier New" w:hint="default"/>
      </w:rPr>
    </w:lvl>
    <w:lvl w:ilvl="5" w:tplc="7972792E">
      <w:start w:val="1"/>
      <w:numFmt w:val="bullet"/>
      <w:lvlText w:val=""/>
      <w:lvlJc w:val="left"/>
      <w:pPr>
        <w:ind w:left="4320" w:hanging="360"/>
      </w:pPr>
      <w:rPr>
        <w:rFonts w:ascii="Wingdings" w:hAnsi="Wingdings" w:hint="default"/>
      </w:rPr>
    </w:lvl>
    <w:lvl w:ilvl="6" w:tplc="58F41AAE">
      <w:start w:val="1"/>
      <w:numFmt w:val="bullet"/>
      <w:lvlText w:val=""/>
      <w:lvlJc w:val="left"/>
      <w:pPr>
        <w:ind w:left="5040" w:hanging="360"/>
      </w:pPr>
      <w:rPr>
        <w:rFonts w:ascii="Symbol" w:hAnsi="Symbol" w:hint="default"/>
      </w:rPr>
    </w:lvl>
    <w:lvl w:ilvl="7" w:tplc="F6E08FBA">
      <w:start w:val="1"/>
      <w:numFmt w:val="bullet"/>
      <w:lvlText w:val="o"/>
      <w:lvlJc w:val="left"/>
      <w:pPr>
        <w:ind w:left="5760" w:hanging="360"/>
      </w:pPr>
      <w:rPr>
        <w:rFonts w:ascii="Courier New" w:hAnsi="Courier New" w:hint="default"/>
      </w:rPr>
    </w:lvl>
    <w:lvl w:ilvl="8" w:tplc="5430254A">
      <w:start w:val="1"/>
      <w:numFmt w:val="bullet"/>
      <w:lvlText w:val=""/>
      <w:lvlJc w:val="left"/>
      <w:pPr>
        <w:ind w:left="6480" w:hanging="360"/>
      </w:pPr>
      <w:rPr>
        <w:rFonts w:ascii="Wingdings" w:hAnsi="Wingdings" w:hint="default"/>
      </w:rPr>
    </w:lvl>
  </w:abstractNum>
  <w:abstractNum w:abstractNumId="2" w15:restartNumberingAfterBreak="0">
    <w:nsid w:val="08F71A06"/>
    <w:multiLevelType w:val="hybridMultilevel"/>
    <w:tmpl w:val="174AB2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D2C2AEB"/>
    <w:multiLevelType w:val="hybridMultilevel"/>
    <w:tmpl w:val="AC2A492E"/>
    <w:lvl w:ilvl="0" w:tplc="CDB6589E">
      <w:start w:val="1"/>
      <w:numFmt w:val="bullet"/>
      <w:lvlText w:val="-"/>
      <w:lvlJc w:val="left"/>
      <w:pPr>
        <w:ind w:left="720" w:hanging="360"/>
      </w:pPr>
      <w:rPr>
        <w:rFonts w:ascii="Aptos" w:hAnsi="Aptos" w:hint="default"/>
      </w:rPr>
    </w:lvl>
    <w:lvl w:ilvl="1" w:tplc="3DA43154">
      <w:start w:val="1"/>
      <w:numFmt w:val="bullet"/>
      <w:lvlText w:val="o"/>
      <w:lvlJc w:val="left"/>
      <w:pPr>
        <w:ind w:left="1440" w:hanging="360"/>
      </w:pPr>
      <w:rPr>
        <w:rFonts w:ascii="Courier New" w:hAnsi="Courier New" w:hint="default"/>
      </w:rPr>
    </w:lvl>
    <w:lvl w:ilvl="2" w:tplc="EFF09328">
      <w:start w:val="1"/>
      <w:numFmt w:val="bullet"/>
      <w:lvlText w:val=""/>
      <w:lvlJc w:val="left"/>
      <w:pPr>
        <w:ind w:left="2160" w:hanging="360"/>
      </w:pPr>
      <w:rPr>
        <w:rFonts w:ascii="Wingdings" w:hAnsi="Wingdings" w:hint="default"/>
      </w:rPr>
    </w:lvl>
    <w:lvl w:ilvl="3" w:tplc="07EEB3BE">
      <w:start w:val="1"/>
      <w:numFmt w:val="bullet"/>
      <w:lvlText w:val=""/>
      <w:lvlJc w:val="left"/>
      <w:pPr>
        <w:ind w:left="2880" w:hanging="360"/>
      </w:pPr>
      <w:rPr>
        <w:rFonts w:ascii="Symbol" w:hAnsi="Symbol" w:hint="default"/>
      </w:rPr>
    </w:lvl>
    <w:lvl w:ilvl="4" w:tplc="28965A84">
      <w:start w:val="1"/>
      <w:numFmt w:val="bullet"/>
      <w:lvlText w:val="o"/>
      <w:lvlJc w:val="left"/>
      <w:pPr>
        <w:ind w:left="3600" w:hanging="360"/>
      </w:pPr>
      <w:rPr>
        <w:rFonts w:ascii="Courier New" w:hAnsi="Courier New" w:hint="default"/>
      </w:rPr>
    </w:lvl>
    <w:lvl w:ilvl="5" w:tplc="1332D3B8">
      <w:start w:val="1"/>
      <w:numFmt w:val="bullet"/>
      <w:lvlText w:val=""/>
      <w:lvlJc w:val="left"/>
      <w:pPr>
        <w:ind w:left="4320" w:hanging="360"/>
      </w:pPr>
      <w:rPr>
        <w:rFonts w:ascii="Wingdings" w:hAnsi="Wingdings" w:hint="default"/>
      </w:rPr>
    </w:lvl>
    <w:lvl w:ilvl="6" w:tplc="CCF2D77E">
      <w:start w:val="1"/>
      <w:numFmt w:val="bullet"/>
      <w:lvlText w:val=""/>
      <w:lvlJc w:val="left"/>
      <w:pPr>
        <w:ind w:left="5040" w:hanging="360"/>
      </w:pPr>
      <w:rPr>
        <w:rFonts w:ascii="Symbol" w:hAnsi="Symbol" w:hint="default"/>
      </w:rPr>
    </w:lvl>
    <w:lvl w:ilvl="7" w:tplc="9DA2C0FC">
      <w:start w:val="1"/>
      <w:numFmt w:val="bullet"/>
      <w:lvlText w:val="o"/>
      <w:lvlJc w:val="left"/>
      <w:pPr>
        <w:ind w:left="5760" w:hanging="360"/>
      </w:pPr>
      <w:rPr>
        <w:rFonts w:ascii="Courier New" w:hAnsi="Courier New" w:hint="default"/>
      </w:rPr>
    </w:lvl>
    <w:lvl w:ilvl="8" w:tplc="F7B8EB30">
      <w:start w:val="1"/>
      <w:numFmt w:val="bullet"/>
      <w:lvlText w:val=""/>
      <w:lvlJc w:val="left"/>
      <w:pPr>
        <w:ind w:left="6480" w:hanging="360"/>
      </w:pPr>
      <w:rPr>
        <w:rFonts w:ascii="Wingdings" w:hAnsi="Wingdings" w:hint="default"/>
      </w:rPr>
    </w:lvl>
  </w:abstractNum>
  <w:abstractNum w:abstractNumId="4" w15:restartNumberingAfterBreak="0">
    <w:nsid w:val="0FAE40BA"/>
    <w:multiLevelType w:val="hybridMultilevel"/>
    <w:tmpl w:val="C2D4F7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3F6BE9"/>
    <w:multiLevelType w:val="hybridMultilevel"/>
    <w:tmpl w:val="22F09A2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19840B56"/>
    <w:multiLevelType w:val="hybridMultilevel"/>
    <w:tmpl w:val="1384F6C6"/>
    <w:lvl w:ilvl="0" w:tplc="BE02DCF2">
      <w:start w:val="1"/>
      <w:numFmt w:val="decimal"/>
      <w:lvlText w:val="%1."/>
      <w:lvlJc w:val="left"/>
      <w:pPr>
        <w:ind w:left="720" w:hanging="360"/>
      </w:pPr>
    </w:lvl>
    <w:lvl w:ilvl="1" w:tplc="B6489286">
      <w:start w:val="1"/>
      <w:numFmt w:val="lowerLetter"/>
      <w:lvlText w:val="%2."/>
      <w:lvlJc w:val="left"/>
      <w:pPr>
        <w:ind w:left="1440" w:hanging="360"/>
      </w:pPr>
    </w:lvl>
    <w:lvl w:ilvl="2" w:tplc="B4720B76">
      <w:start w:val="1"/>
      <w:numFmt w:val="lowerRoman"/>
      <w:lvlText w:val="%3."/>
      <w:lvlJc w:val="right"/>
      <w:pPr>
        <w:ind w:left="2160" w:hanging="180"/>
      </w:pPr>
    </w:lvl>
    <w:lvl w:ilvl="3" w:tplc="FF56300E">
      <w:start w:val="1"/>
      <w:numFmt w:val="decimal"/>
      <w:lvlText w:val="%4."/>
      <w:lvlJc w:val="left"/>
      <w:pPr>
        <w:ind w:left="2880" w:hanging="360"/>
      </w:pPr>
    </w:lvl>
    <w:lvl w:ilvl="4" w:tplc="D05010BE">
      <w:start w:val="1"/>
      <w:numFmt w:val="lowerLetter"/>
      <w:lvlText w:val="%5."/>
      <w:lvlJc w:val="left"/>
      <w:pPr>
        <w:ind w:left="3600" w:hanging="360"/>
      </w:pPr>
    </w:lvl>
    <w:lvl w:ilvl="5" w:tplc="A4667444">
      <w:start w:val="1"/>
      <w:numFmt w:val="lowerRoman"/>
      <w:lvlText w:val="%6."/>
      <w:lvlJc w:val="right"/>
      <w:pPr>
        <w:ind w:left="4320" w:hanging="180"/>
      </w:pPr>
    </w:lvl>
    <w:lvl w:ilvl="6" w:tplc="ADAE7546">
      <w:start w:val="1"/>
      <w:numFmt w:val="decimal"/>
      <w:lvlText w:val="%7."/>
      <w:lvlJc w:val="left"/>
      <w:pPr>
        <w:ind w:left="5040" w:hanging="360"/>
      </w:pPr>
    </w:lvl>
    <w:lvl w:ilvl="7" w:tplc="A0321ECE">
      <w:start w:val="1"/>
      <w:numFmt w:val="lowerLetter"/>
      <w:lvlText w:val="%8."/>
      <w:lvlJc w:val="left"/>
      <w:pPr>
        <w:ind w:left="5760" w:hanging="360"/>
      </w:pPr>
    </w:lvl>
    <w:lvl w:ilvl="8" w:tplc="0DB402EA">
      <w:start w:val="1"/>
      <w:numFmt w:val="lowerRoman"/>
      <w:lvlText w:val="%9."/>
      <w:lvlJc w:val="right"/>
      <w:pPr>
        <w:ind w:left="6480" w:hanging="180"/>
      </w:pPr>
    </w:lvl>
  </w:abstractNum>
  <w:abstractNum w:abstractNumId="7" w15:restartNumberingAfterBreak="0">
    <w:nsid w:val="1D591126"/>
    <w:multiLevelType w:val="hybridMultilevel"/>
    <w:tmpl w:val="B902F9B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F1F46"/>
    <w:multiLevelType w:val="multilevel"/>
    <w:tmpl w:val="FECA1D1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1553E36"/>
    <w:multiLevelType w:val="multilevel"/>
    <w:tmpl w:val="EE26D444"/>
    <w:lvl w:ilvl="0">
      <w:start w:val="1"/>
      <w:numFmt w:val="none"/>
      <w:lvlText w:val="4."/>
      <w:lvlJc w:val="left"/>
      <w:pPr>
        <w:ind w:left="360" w:hanging="360"/>
      </w:pPr>
      <w:rPr>
        <w:rFonts w:hint="default"/>
      </w:rPr>
    </w:lvl>
    <w:lvl w:ilvl="1">
      <w:start w:val="1"/>
      <w:numFmt w:val="decimal"/>
      <w:pStyle w:val="Heading4"/>
      <w:lvlText w:val="%13.%2"/>
      <w:lvlJc w:val="left"/>
      <w:pPr>
        <w:ind w:left="1566"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8B25024"/>
    <w:multiLevelType w:val="hybridMultilevel"/>
    <w:tmpl w:val="F214900C"/>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90F2D17"/>
    <w:multiLevelType w:val="hybridMultilevel"/>
    <w:tmpl w:val="F2ECD7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A272798"/>
    <w:multiLevelType w:val="hybridMultilevel"/>
    <w:tmpl w:val="4D5E7BC4"/>
    <w:lvl w:ilvl="0" w:tplc="44D04310">
      <w:start w:val="1"/>
      <w:numFmt w:val="decimal"/>
      <w:lvlText w:val="%1.  "/>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4F6ECE"/>
    <w:multiLevelType w:val="multilevel"/>
    <w:tmpl w:val="07DAA8C0"/>
    <w:lvl w:ilvl="0">
      <w:start w:val="1"/>
      <w:numFmt w:val="none"/>
      <w:lvlText w:val="3."/>
      <w:lvlJc w:val="left"/>
      <w:pPr>
        <w:ind w:left="360" w:hanging="360"/>
      </w:pPr>
      <w:rPr>
        <w:rFonts w:hint="default"/>
      </w:rPr>
    </w:lvl>
    <w:lvl w:ilvl="1">
      <w:start w:val="1"/>
      <w:numFmt w:val="decimal"/>
      <w:pStyle w:val="Heading3"/>
      <w:lvlText w:val="%12.%2"/>
      <w:lvlJc w:val="left"/>
      <w:pPr>
        <w:ind w:left="79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752344"/>
    <w:multiLevelType w:val="hybridMultilevel"/>
    <w:tmpl w:val="36E4393C"/>
    <w:lvl w:ilvl="0" w:tplc="18090011">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466837B8"/>
    <w:multiLevelType w:val="hybridMultilevel"/>
    <w:tmpl w:val="2102BD52"/>
    <w:lvl w:ilvl="0" w:tplc="4DD67A58">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E7243EB"/>
    <w:multiLevelType w:val="hybridMultilevel"/>
    <w:tmpl w:val="84A63B0E"/>
    <w:lvl w:ilvl="0" w:tplc="6540B8D0">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4416BE"/>
    <w:multiLevelType w:val="hybridMultilevel"/>
    <w:tmpl w:val="CD060E2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5E355E3A"/>
    <w:multiLevelType w:val="multilevel"/>
    <w:tmpl w:val="082A7A14"/>
    <w:lvl w:ilvl="0">
      <w:start w:val="1"/>
      <w:numFmt w:val="none"/>
      <w:pStyle w:val="Heading1"/>
      <w:lvlText w:val="5."/>
      <w:lvlJc w:val="left"/>
      <w:pPr>
        <w:ind w:left="360" w:hanging="360"/>
      </w:pPr>
      <w:rPr>
        <w:rFonts w:hint="default"/>
      </w:rPr>
    </w:lvl>
    <w:lvl w:ilvl="1">
      <w:start w:val="1"/>
      <w:numFmt w:val="decimal"/>
      <w:pStyle w:val="Heading5"/>
      <w:lvlText w:val="%14.%2"/>
      <w:lvlJc w:val="left"/>
      <w:pPr>
        <w:ind w:left="999"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6910724"/>
    <w:multiLevelType w:val="hybridMultilevel"/>
    <w:tmpl w:val="538440C4"/>
    <w:lvl w:ilvl="0" w:tplc="288E2332">
      <w:start w:val="1"/>
      <w:numFmt w:val="decimal"/>
      <w:lvlText w:val="%1)"/>
      <w:lvlJc w:val="left"/>
      <w:pPr>
        <w:ind w:left="1020" w:hanging="360"/>
      </w:pPr>
    </w:lvl>
    <w:lvl w:ilvl="1" w:tplc="C1068D9E">
      <w:start w:val="1"/>
      <w:numFmt w:val="decimal"/>
      <w:lvlText w:val="%2)"/>
      <w:lvlJc w:val="left"/>
      <w:pPr>
        <w:ind w:left="1020" w:hanging="360"/>
      </w:pPr>
    </w:lvl>
    <w:lvl w:ilvl="2" w:tplc="49C451EE">
      <w:start w:val="1"/>
      <w:numFmt w:val="decimal"/>
      <w:lvlText w:val="%3)"/>
      <w:lvlJc w:val="left"/>
      <w:pPr>
        <w:ind w:left="1020" w:hanging="360"/>
      </w:pPr>
    </w:lvl>
    <w:lvl w:ilvl="3" w:tplc="8C703014">
      <w:start w:val="1"/>
      <w:numFmt w:val="decimal"/>
      <w:lvlText w:val="%4)"/>
      <w:lvlJc w:val="left"/>
      <w:pPr>
        <w:ind w:left="1020" w:hanging="360"/>
      </w:pPr>
    </w:lvl>
    <w:lvl w:ilvl="4" w:tplc="CC6624C6">
      <w:start w:val="1"/>
      <w:numFmt w:val="decimal"/>
      <w:lvlText w:val="%5)"/>
      <w:lvlJc w:val="left"/>
      <w:pPr>
        <w:ind w:left="1020" w:hanging="360"/>
      </w:pPr>
    </w:lvl>
    <w:lvl w:ilvl="5" w:tplc="34E6A7FC">
      <w:start w:val="1"/>
      <w:numFmt w:val="decimal"/>
      <w:lvlText w:val="%6)"/>
      <w:lvlJc w:val="left"/>
      <w:pPr>
        <w:ind w:left="1020" w:hanging="360"/>
      </w:pPr>
    </w:lvl>
    <w:lvl w:ilvl="6" w:tplc="FCF4EAC4">
      <w:start w:val="1"/>
      <w:numFmt w:val="decimal"/>
      <w:lvlText w:val="%7)"/>
      <w:lvlJc w:val="left"/>
      <w:pPr>
        <w:ind w:left="1020" w:hanging="360"/>
      </w:pPr>
    </w:lvl>
    <w:lvl w:ilvl="7" w:tplc="EEFA95D6">
      <w:start w:val="1"/>
      <w:numFmt w:val="decimal"/>
      <w:lvlText w:val="%8)"/>
      <w:lvlJc w:val="left"/>
      <w:pPr>
        <w:ind w:left="1020" w:hanging="360"/>
      </w:pPr>
    </w:lvl>
    <w:lvl w:ilvl="8" w:tplc="D4E6260E">
      <w:start w:val="1"/>
      <w:numFmt w:val="decimal"/>
      <w:lvlText w:val="%9)"/>
      <w:lvlJc w:val="left"/>
      <w:pPr>
        <w:ind w:left="1020" w:hanging="360"/>
      </w:pPr>
    </w:lvl>
  </w:abstractNum>
  <w:abstractNum w:abstractNumId="21" w15:restartNumberingAfterBreak="0">
    <w:nsid w:val="6B904F72"/>
    <w:multiLevelType w:val="multilevel"/>
    <w:tmpl w:val="EFB20796"/>
    <w:lvl w:ilvl="0">
      <w:start w:val="1"/>
      <w:numFmt w:val="decimal"/>
      <w:lvlText w:val="%1."/>
      <w:lvlJc w:val="left"/>
      <w:pPr>
        <w:ind w:left="360" w:hanging="360"/>
      </w:pPr>
      <w:rPr>
        <w:rFonts w:hint="default"/>
      </w:rPr>
    </w:lvl>
    <w:lvl w:ilvl="1">
      <w:start w:val="1"/>
      <w:numFmt w:val="decimal"/>
      <w:pStyle w:val="Heading2"/>
      <w:lvlText w:val="%1.%2"/>
      <w:lvlJc w:val="left"/>
      <w:pPr>
        <w:ind w:left="114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C0C2104"/>
    <w:multiLevelType w:val="hybridMultilevel"/>
    <w:tmpl w:val="FFFFFFFF"/>
    <w:lvl w:ilvl="0" w:tplc="4628CFA8">
      <w:start w:val="1"/>
      <w:numFmt w:val="bullet"/>
      <w:lvlText w:val="-"/>
      <w:lvlJc w:val="left"/>
      <w:pPr>
        <w:ind w:left="720" w:hanging="360"/>
      </w:pPr>
      <w:rPr>
        <w:rFonts w:ascii="&quot;Times New Roman&quot;,serif" w:hAnsi="&quot;Times New Roman&quot;,serif" w:hint="default"/>
      </w:rPr>
    </w:lvl>
    <w:lvl w:ilvl="1" w:tplc="0DDE5128">
      <w:start w:val="1"/>
      <w:numFmt w:val="bullet"/>
      <w:lvlText w:val="o"/>
      <w:lvlJc w:val="left"/>
      <w:pPr>
        <w:ind w:left="1440" w:hanging="360"/>
      </w:pPr>
      <w:rPr>
        <w:rFonts w:ascii="Courier New" w:hAnsi="Courier New" w:hint="default"/>
      </w:rPr>
    </w:lvl>
    <w:lvl w:ilvl="2" w:tplc="E29C2DCC">
      <w:start w:val="1"/>
      <w:numFmt w:val="bullet"/>
      <w:lvlText w:val=""/>
      <w:lvlJc w:val="left"/>
      <w:pPr>
        <w:ind w:left="2160" w:hanging="360"/>
      </w:pPr>
      <w:rPr>
        <w:rFonts w:ascii="Wingdings" w:hAnsi="Wingdings" w:hint="default"/>
      </w:rPr>
    </w:lvl>
    <w:lvl w:ilvl="3" w:tplc="69E272BC">
      <w:start w:val="1"/>
      <w:numFmt w:val="bullet"/>
      <w:lvlText w:val=""/>
      <w:lvlJc w:val="left"/>
      <w:pPr>
        <w:ind w:left="2880" w:hanging="360"/>
      </w:pPr>
      <w:rPr>
        <w:rFonts w:ascii="Symbol" w:hAnsi="Symbol" w:hint="default"/>
      </w:rPr>
    </w:lvl>
    <w:lvl w:ilvl="4" w:tplc="21901B3A">
      <w:start w:val="1"/>
      <w:numFmt w:val="bullet"/>
      <w:lvlText w:val="o"/>
      <w:lvlJc w:val="left"/>
      <w:pPr>
        <w:ind w:left="3600" w:hanging="360"/>
      </w:pPr>
      <w:rPr>
        <w:rFonts w:ascii="Courier New" w:hAnsi="Courier New" w:hint="default"/>
      </w:rPr>
    </w:lvl>
    <w:lvl w:ilvl="5" w:tplc="D50AA204">
      <w:start w:val="1"/>
      <w:numFmt w:val="bullet"/>
      <w:lvlText w:val=""/>
      <w:lvlJc w:val="left"/>
      <w:pPr>
        <w:ind w:left="4320" w:hanging="360"/>
      </w:pPr>
      <w:rPr>
        <w:rFonts w:ascii="Wingdings" w:hAnsi="Wingdings" w:hint="default"/>
      </w:rPr>
    </w:lvl>
    <w:lvl w:ilvl="6" w:tplc="2228D9D6">
      <w:start w:val="1"/>
      <w:numFmt w:val="bullet"/>
      <w:lvlText w:val=""/>
      <w:lvlJc w:val="left"/>
      <w:pPr>
        <w:ind w:left="5040" w:hanging="360"/>
      </w:pPr>
      <w:rPr>
        <w:rFonts w:ascii="Symbol" w:hAnsi="Symbol" w:hint="default"/>
      </w:rPr>
    </w:lvl>
    <w:lvl w:ilvl="7" w:tplc="68203252">
      <w:start w:val="1"/>
      <w:numFmt w:val="bullet"/>
      <w:lvlText w:val="o"/>
      <w:lvlJc w:val="left"/>
      <w:pPr>
        <w:ind w:left="5760" w:hanging="360"/>
      </w:pPr>
      <w:rPr>
        <w:rFonts w:ascii="Courier New" w:hAnsi="Courier New" w:hint="default"/>
      </w:rPr>
    </w:lvl>
    <w:lvl w:ilvl="8" w:tplc="D5909EE0">
      <w:start w:val="1"/>
      <w:numFmt w:val="bullet"/>
      <w:lvlText w:val=""/>
      <w:lvlJc w:val="left"/>
      <w:pPr>
        <w:ind w:left="6480" w:hanging="360"/>
      </w:pPr>
      <w:rPr>
        <w:rFonts w:ascii="Wingdings" w:hAnsi="Wingdings" w:hint="default"/>
      </w:rPr>
    </w:lvl>
  </w:abstractNum>
  <w:abstractNum w:abstractNumId="23" w15:restartNumberingAfterBreak="0">
    <w:nsid w:val="6F7B1053"/>
    <w:multiLevelType w:val="hybridMultilevel"/>
    <w:tmpl w:val="B5064452"/>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70C0483A"/>
    <w:multiLevelType w:val="hybridMultilevel"/>
    <w:tmpl w:val="FFFFFFFF"/>
    <w:lvl w:ilvl="0" w:tplc="C9763E00">
      <w:start w:val="1"/>
      <w:numFmt w:val="bullet"/>
      <w:lvlText w:val="-"/>
      <w:lvlJc w:val="left"/>
      <w:pPr>
        <w:ind w:left="720" w:hanging="360"/>
      </w:pPr>
      <w:rPr>
        <w:rFonts w:ascii="&quot;Times New Roman&quot;,serif" w:hAnsi="&quot;Times New Roman&quot;,serif" w:hint="default"/>
      </w:rPr>
    </w:lvl>
    <w:lvl w:ilvl="1" w:tplc="1018C874">
      <w:start w:val="1"/>
      <w:numFmt w:val="bullet"/>
      <w:lvlText w:val="o"/>
      <w:lvlJc w:val="left"/>
      <w:pPr>
        <w:ind w:left="1440" w:hanging="360"/>
      </w:pPr>
      <w:rPr>
        <w:rFonts w:ascii="Courier New" w:hAnsi="Courier New" w:hint="default"/>
      </w:rPr>
    </w:lvl>
    <w:lvl w:ilvl="2" w:tplc="A02E8792">
      <w:start w:val="1"/>
      <w:numFmt w:val="bullet"/>
      <w:lvlText w:val=""/>
      <w:lvlJc w:val="left"/>
      <w:pPr>
        <w:ind w:left="2160" w:hanging="360"/>
      </w:pPr>
      <w:rPr>
        <w:rFonts w:ascii="Wingdings" w:hAnsi="Wingdings" w:hint="default"/>
      </w:rPr>
    </w:lvl>
    <w:lvl w:ilvl="3" w:tplc="7B68BA3A">
      <w:start w:val="1"/>
      <w:numFmt w:val="bullet"/>
      <w:lvlText w:val=""/>
      <w:lvlJc w:val="left"/>
      <w:pPr>
        <w:ind w:left="2880" w:hanging="360"/>
      </w:pPr>
      <w:rPr>
        <w:rFonts w:ascii="Symbol" w:hAnsi="Symbol" w:hint="default"/>
      </w:rPr>
    </w:lvl>
    <w:lvl w:ilvl="4" w:tplc="D668D828">
      <w:start w:val="1"/>
      <w:numFmt w:val="bullet"/>
      <w:lvlText w:val="o"/>
      <w:lvlJc w:val="left"/>
      <w:pPr>
        <w:ind w:left="3600" w:hanging="360"/>
      </w:pPr>
      <w:rPr>
        <w:rFonts w:ascii="Courier New" w:hAnsi="Courier New" w:hint="default"/>
      </w:rPr>
    </w:lvl>
    <w:lvl w:ilvl="5" w:tplc="388EF00E">
      <w:start w:val="1"/>
      <w:numFmt w:val="bullet"/>
      <w:lvlText w:val=""/>
      <w:lvlJc w:val="left"/>
      <w:pPr>
        <w:ind w:left="4320" w:hanging="360"/>
      </w:pPr>
      <w:rPr>
        <w:rFonts w:ascii="Wingdings" w:hAnsi="Wingdings" w:hint="default"/>
      </w:rPr>
    </w:lvl>
    <w:lvl w:ilvl="6" w:tplc="C79681D6">
      <w:start w:val="1"/>
      <w:numFmt w:val="bullet"/>
      <w:lvlText w:val=""/>
      <w:lvlJc w:val="left"/>
      <w:pPr>
        <w:ind w:left="5040" w:hanging="360"/>
      </w:pPr>
      <w:rPr>
        <w:rFonts w:ascii="Symbol" w:hAnsi="Symbol" w:hint="default"/>
      </w:rPr>
    </w:lvl>
    <w:lvl w:ilvl="7" w:tplc="91C6D2E8">
      <w:start w:val="1"/>
      <w:numFmt w:val="bullet"/>
      <w:lvlText w:val="o"/>
      <w:lvlJc w:val="left"/>
      <w:pPr>
        <w:ind w:left="5760" w:hanging="360"/>
      </w:pPr>
      <w:rPr>
        <w:rFonts w:ascii="Courier New" w:hAnsi="Courier New" w:hint="default"/>
      </w:rPr>
    </w:lvl>
    <w:lvl w:ilvl="8" w:tplc="C396FECE">
      <w:start w:val="1"/>
      <w:numFmt w:val="bullet"/>
      <w:lvlText w:val=""/>
      <w:lvlJc w:val="left"/>
      <w:pPr>
        <w:ind w:left="6480" w:hanging="360"/>
      </w:pPr>
      <w:rPr>
        <w:rFonts w:ascii="Wingdings" w:hAnsi="Wingdings" w:hint="default"/>
      </w:rPr>
    </w:lvl>
  </w:abstractNum>
  <w:abstractNum w:abstractNumId="25" w15:restartNumberingAfterBreak="0">
    <w:nsid w:val="763979C5"/>
    <w:multiLevelType w:val="hybridMultilevel"/>
    <w:tmpl w:val="FFFFFFFF"/>
    <w:lvl w:ilvl="0" w:tplc="717E8444">
      <w:start w:val="1"/>
      <w:numFmt w:val="bullet"/>
      <w:lvlText w:val=""/>
      <w:lvlJc w:val="left"/>
      <w:pPr>
        <w:ind w:left="720" w:hanging="360"/>
      </w:pPr>
      <w:rPr>
        <w:rFonts w:ascii="Symbol" w:hAnsi="Symbol" w:hint="default"/>
      </w:rPr>
    </w:lvl>
    <w:lvl w:ilvl="1" w:tplc="981C198E">
      <w:start w:val="1"/>
      <w:numFmt w:val="bullet"/>
      <w:lvlText w:val="o"/>
      <w:lvlJc w:val="left"/>
      <w:pPr>
        <w:ind w:left="1440" w:hanging="360"/>
      </w:pPr>
      <w:rPr>
        <w:rFonts w:ascii="Courier New" w:hAnsi="Courier New" w:hint="default"/>
      </w:rPr>
    </w:lvl>
    <w:lvl w:ilvl="2" w:tplc="AF6667BE">
      <w:start w:val="1"/>
      <w:numFmt w:val="bullet"/>
      <w:lvlText w:val=""/>
      <w:lvlJc w:val="left"/>
      <w:pPr>
        <w:ind w:left="2160" w:hanging="360"/>
      </w:pPr>
      <w:rPr>
        <w:rFonts w:ascii="Wingdings" w:hAnsi="Wingdings" w:hint="default"/>
      </w:rPr>
    </w:lvl>
    <w:lvl w:ilvl="3" w:tplc="55F06D4E">
      <w:start w:val="1"/>
      <w:numFmt w:val="bullet"/>
      <w:lvlText w:val=""/>
      <w:lvlJc w:val="left"/>
      <w:pPr>
        <w:ind w:left="2880" w:hanging="360"/>
      </w:pPr>
      <w:rPr>
        <w:rFonts w:ascii="Symbol" w:hAnsi="Symbol" w:hint="default"/>
      </w:rPr>
    </w:lvl>
    <w:lvl w:ilvl="4" w:tplc="D624AE20">
      <w:start w:val="1"/>
      <w:numFmt w:val="bullet"/>
      <w:lvlText w:val="o"/>
      <w:lvlJc w:val="left"/>
      <w:pPr>
        <w:ind w:left="3600" w:hanging="360"/>
      </w:pPr>
      <w:rPr>
        <w:rFonts w:ascii="Courier New" w:hAnsi="Courier New" w:hint="default"/>
      </w:rPr>
    </w:lvl>
    <w:lvl w:ilvl="5" w:tplc="9626D85C">
      <w:start w:val="1"/>
      <w:numFmt w:val="bullet"/>
      <w:lvlText w:val=""/>
      <w:lvlJc w:val="left"/>
      <w:pPr>
        <w:ind w:left="4320" w:hanging="360"/>
      </w:pPr>
      <w:rPr>
        <w:rFonts w:ascii="Wingdings" w:hAnsi="Wingdings" w:hint="default"/>
      </w:rPr>
    </w:lvl>
    <w:lvl w:ilvl="6" w:tplc="BD3C3062">
      <w:start w:val="1"/>
      <w:numFmt w:val="bullet"/>
      <w:lvlText w:val=""/>
      <w:lvlJc w:val="left"/>
      <w:pPr>
        <w:ind w:left="5040" w:hanging="360"/>
      </w:pPr>
      <w:rPr>
        <w:rFonts w:ascii="Symbol" w:hAnsi="Symbol" w:hint="default"/>
      </w:rPr>
    </w:lvl>
    <w:lvl w:ilvl="7" w:tplc="89C83D0C">
      <w:start w:val="1"/>
      <w:numFmt w:val="bullet"/>
      <w:lvlText w:val="o"/>
      <w:lvlJc w:val="left"/>
      <w:pPr>
        <w:ind w:left="5760" w:hanging="360"/>
      </w:pPr>
      <w:rPr>
        <w:rFonts w:ascii="Courier New" w:hAnsi="Courier New" w:hint="default"/>
      </w:rPr>
    </w:lvl>
    <w:lvl w:ilvl="8" w:tplc="59D263E2">
      <w:start w:val="1"/>
      <w:numFmt w:val="bullet"/>
      <w:lvlText w:val=""/>
      <w:lvlJc w:val="left"/>
      <w:pPr>
        <w:ind w:left="6480" w:hanging="360"/>
      </w:pPr>
      <w:rPr>
        <w:rFonts w:ascii="Wingdings" w:hAnsi="Wingdings" w:hint="default"/>
      </w:rPr>
    </w:lvl>
  </w:abstractNum>
  <w:abstractNum w:abstractNumId="26" w15:restartNumberingAfterBreak="0">
    <w:nsid w:val="7B2F1DF2"/>
    <w:multiLevelType w:val="hybridMultilevel"/>
    <w:tmpl w:val="2D8CC3AE"/>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7" w15:restartNumberingAfterBreak="0">
    <w:nsid w:val="7CB576EA"/>
    <w:multiLevelType w:val="hybridMultilevel"/>
    <w:tmpl w:val="FFFFFFFF"/>
    <w:lvl w:ilvl="0" w:tplc="E35A75B4">
      <w:start w:val="1"/>
      <w:numFmt w:val="bullet"/>
      <w:lvlText w:val="-"/>
      <w:lvlJc w:val="left"/>
      <w:pPr>
        <w:ind w:left="720" w:hanging="360"/>
      </w:pPr>
      <w:rPr>
        <w:rFonts w:ascii="Aptos" w:hAnsi="Aptos" w:hint="default"/>
      </w:rPr>
    </w:lvl>
    <w:lvl w:ilvl="1" w:tplc="018EDC26">
      <w:start w:val="1"/>
      <w:numFmt w:val="bullet"/>
      <w:lvlText w:val="o"/>
      <w:lvlJc w:val="left"/>
      <w:pPr>
        <w:ind w:left="1440" w:hanging="360"/>
      </w:pPr>
      <w:rPr>
        <w:rFonts w:ascii="Courier New" w:hAnsi="Courier New" w:hint="default"/>
      </w:rPr>
    </w:lvl>
    <w:lvl w:ilvl="2" w:tplc="2C52C7AA">
      <w:start w:val="1"/>
      <w:numFmt w:val="bullet"/>
      <w:lvlText w:val=""/>
      <w:lvlJc w:val="left"/>
      <w:pPr>
        <w:ind w:left="2160" w:hanging="360"/>
      </w:pPr>
      <w:rPr>
        <w:rFonts w:ascii="Wingdings" w:hAnsi="Wingdings" w:hint="default"/>
      </w:rPr>
    </w:lvl>
    <w:lvl w:ilvl="3" w:tplc="505E969A">
      <w:start w:val="1"/>
      <w:numFmt w:val="bullet"/>
      <w:lvlText w:val=""/>
      <w:lvlJc w:val="left"/>
      <w:pPr>
        <w:ind w:left="2880" w:hanging="360"/>
      </w:pPr>
      <w:rPr>
        <w:rFonts w:ascii="Symbol" w:hAnsi="Symbol" w:hint="default"/>
      </w:rPr>
    </w:lvl>
    <w:lvl w:ilvl="4" w:tplc="33F0FF36">
      <w:start w:val="1"/>
      <w:numFmt w:val="bullet"/>
      <w:lvlText w:val="o"/>
      <w:lvlJc w:val="left"/>
      <w:pPr>
        <w:ind w:left="3600" w:hanging="360"/>
      </w:pPr>
      <w:rPr>
        <w:rFonts w:ascii="Courier New" w:hAnsi="Courier New" w:hint="default"/>
      </w:rPr>
    </w:lvl>
    <w:lvl w:ilvl="5" w:tplc="7B587112">
      <w:start w:val="1"/>
      <w:numFmt w:val="bullet"/>
      <w:lvlText w:val=""/>
      <w:lvlJc w:val="left"/>
      <w:pPr>
        <w:ind w:left="4320" w:hanging="360"/>
      </w:pPr>
      <w:rPr>
        <w:rFonts w:ascii="Wingdings" w:hAnsi="Wingdings" w:hint="default"/>
      </w:rPr>
    </w:lvl>
    <w:lvl w:ilvl="6" w:tplc="4AA2A276">
      <w:start w:val="1"/>
      <w:numFmt w:val="bullet"/>
      <w:lvlText w:val=""/>
      <w:lvlJc w:val="left"/>
      <w:pPr>
        <w:ind w:left="5040" w:hanging="360"/>
      </w:pPr>
      <w:rPr>
        <w:rFonts w:ascii="Symbol" w:hAnsi="Symbol" w:hint="default"/>
      </w:rPr>
    </w:lvl>
    <w:lvl w:ilvl="7" w:tplc="14987034">
      <w:start w:val="1"/>
      <w:numFmt w:val="bullet"/>
      <w:lvlText w:val="o"/>
      <w:lvlJc w:val="left"/>
      <w:pPr>
        <w:ind w:left="5760" w:hanging="360"/>
      </w:pPr>
      <w:rPr>
        <w:rFonts w:ascii="Courier New" w:hAnsi="Courier New" w:hint="default"/>
      </w:rPr>
    </w:lvl>
    <w:lvl w:ilvl="8" w:tplc="D93A09A4">
      <w:start w:val="1"/>
      <w:numFmt w:val="bullet"/>
      <w:lvlText w:val=""/>
      <w:lvlJc w:val="left"/>
      <w:pPr>
        <w:ind w:left="6480" w:hanging="360"/>
      </w:pPr>
      <w:rPr>
        <w:rFonts w:ascii="Wingdings" w:hAnsi="Wingdings" w:hint="default"/>
      </w:rPr>
    </w:lvl>
  </w:abstractNum>
  <w:abstractNum w:abstractNumId="28" w15:restartNumberingAfterBreak="0">
    <w:nsid w:val="7E7939D6"/>
    <w:multiLevelType w:val="hybridMultilevel"/>
    <w:tmpl w:val="22E406C4"/>
    <w:lvl w:ilvl="0" w:tplc="D5B643CE">
      <w:start w:val="1"/>
      <w:numFmt w:val="decimal"/>
      <w:lvlText w:val="%1."/>
      <w:lvlJc w:val="left"/>
      <w:pPr>
        <w:ind w:left="1020" w:hanging="360"/>
      </w:pPr>
    </w:lvl>
    <w:lvl w:ilvl="1" w:tplc="879027B0">
      <w:start w:val="1"/>
      <w:numFmt w:val="decimal"/>
      <w:lvlText w:val="%2."/>
      <w:lvlJc w:val="left"/>
      <w:pPr>
        <w:ind w:left="1020" w:hanging="360"/>
      </w:pPr>
    </w:lvl>
    <w:lvl w:ilvl="2" w:tplc="F25436E8">
      <w:start w:val="1"/>
      <w:numFmt w:val="decimal"/>
      <w:lvlText w:val="%3."/>
      <w:lvlJc w:val="left"/>
      <w:pPr>
        <w:ind w:left="1020" w:hanging="360"/>
      </w:pPr>
    </w:lvl>
    <w:lvl w:ilvl="3" w:tplc="F252D4F2">
      <w:start w:val="1"/>
      <w:numFmt w:val="decimal"/>
      <w:lvlText w:val="%4."/>
      <w:lvlJc w:val="left"/>
      <w:pPr>
        <w:ind w:left="1020" w:hanging="360"/>
      </w:pPr>
    </w:lvl>
    <w:lvl w:ilvl="4" w:tplc="CE4A9F2A">
      <w:start w:val="1"/>
      <w:numFmt w:val="decimal"/>
      <w:lvlText w:val="%5."/>
      <w:lvlJc w:val="left"/>
      <w:pPr>
        <w:ind w:left="1020" w:hanging="360"/>
      </w:pPr>
    </w:lvl>
    <w:lvl w:ilvl="5" w:tplc="A1C0E76C">
      <w:start w:val="1"/>
      <w:numFmt w:val="decimal"/>
      <w:lvlText w:val="%6."/>
      <w:lvlJc w:val="left"/>
      <w:pPr>
        <w:ind w:left="1020" w:hanging="360"/>
      </w:pPr>
    </w:lvl>
    <w:lvl w:ilvl="6" w:tplc="B62A20A8">
      <w:start w:val="1"/>
      <w:numFmt w:val="decimal"/>
      <w:lvlText w:val="%7."/>
      <w:lvlJc w:val="left"/>
      <w:pPr>
        <w:ind w:left="1020" w:hanging="360"/>
      </w:pPr>
    </w:lvl>
    <w:lvl w:ilvl="7" w:tplc="2FC02C84">
      <w:start w:val="1"/>
      <w:numFmt w:val="decimal"/>
      <w:lvlText w:val="%8."/>
      <w:lvlJc w:val="left"/>
      <w:pPr>
        <w:ind w:left="1020" w:hanging="360"/>
      </w:pPr>
    </w:lvl>
    <w:lvl w:ilvl="8" w:tplc="199AAF82">
      <w:start w:val="1"/>
      <w:numFmt w:val="decimal"/>
      <w:lvlText w:val="%9."/>
      <w:lvlJc w:val="left"/>
      <w:pPr>
        <w:ind w:left="1020" w:hanging="360"/>
      </w:pPr>
    </w:lvl>
  </w:abstractNum>
  <w:num w:numId="1">
    <w:abstractNumId w:val="6"/>
  </w:num>
  <w:num w:numId="2">
    <w:abstractNumId w:val="3"/>
  </w:num>
  <w:num w:numId="3">
    <w:abstractNumId w:val="9"/>
  </w:num>
  <w:num w:numId="4">
    <w:abstractNumId w:val="8"/>
  </w:num>
  <w:num w:numId="5">
    <w:abstractNumId w:val="17"/>
  </w:num>
  <w:num w:numId="6">
    <w:abstractNumId w:val="0"/>
  </w:num>
  <w:num w:numId="7">
    <w:abstractNumId w:val="7"/>
  </w:num>
  <w:num w:numId="8">
    <w:abstractNumId w:val="1"/>
  </w:num>
  <w:num w:numId="9">
    <w:abstractNumId w:val="27"/>
  </w:num>
  <w:num w:numId="10">
    <w:abstractNumId w:val="22"/>
  </w:num>
  <w:num w:numId="11">
    <w:abstractNumId w:val="24"/>
  </w:num>
  <w:num w:numId="12">
    <w:abstractNumId w:val="25"/>
  </w:num>
  <w:num w:numId="13">
    <w:abstractNumId w:val="2"/>
  </w:num>
  <w:num w:numId="14">
    <w:abstractNumId w:val="23"/>
  </w:num>
  <w:num w:numId="15">
    <w:abstractNumId w:val="11"/>
  </w:num>
  <w:num w:numId="16">
    <w:abstractNumId w:val="4"/>
  </w:num>
  <w:num w:numId="17">
    <w:abstractNumId w:val="5"/>
  </w:num>
  <w:num w:numId="18">
    <w:abstractNumId w:val="26"/>
  </w:num>
  <w:num w:numId="19">
    <w:abstractNumId w:val="12"/>
  </w:num>
  <w:num w:numId="20">
    <w:abstractNumId w:val="16"/>
  </w:num>
  <w:num w:numId="21">
    <w:abstractNumId w:val="28"/>
  </w:num>
  <w:num w:numId="22">
    <w:abstractNumId w:val="15"/>
  </w:num>
  <w:num w:numId="23">
    <w:abstractNumId w:val="20"/>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1"/>
  </w:num>
  <w:num w:numId="27">
    <w:abstractNumId w:val="14"/>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21"/>
  </w:num>
  <w:num w:numId="33">
    <w:abstractNumId w:val="2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85DBDD1-1FCC-4B77-9A1C-5969F94790DF"/>
    <w:docVar w:name="LW_COVERPAGE_TYPE" w:val="1"/>
    <w:docVar w:name="LW_CROSSREFERENCE" w:val="{SWD(2025) 11 final} - {SWD(2025) 12 final}"/>
    <w:docVar w:name="LW_DocType" w:val="NORMAL"/>
    <w:docVar w:name="LW_EMISSION" w:val="29.1.2025"/>
    <w:docVar w:name="LW_EMISSION_ISODATE" w:val="2025-01-2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2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Garamond&gt;Rapport annuel 2025 sur le marché unique et la compétitivité&lt;/FMT&gt;"/>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C23CB1"/>
    <w:rsid w:val="0000002E"/>
    <w:rsid w:val="000000D4"/>
    <w:rsid w:val="00000488"/>
    <w:rsid w:val="0000056B"/>
    <w:rsid w:val="000006D3"/>
    <w:rsid w:val="0000080E"/>
    <w:rsid w:val="00000840"/>
    <w:rsid w:val="000008B0"/>
    <w:rsid w:val="0000090C"/>
    <w:rsid w:val="00000AB2"/>
    <w:rsid w:val="00000B09"/>
    <w:rsid w:val="00000B7F"/>
    <w:rsid w:val="00000CF9"/>
    <w:rsid w:val="00000D45"/>
    <w:rsid w:val="00000F8C"/>
    <w:rsid w:val="00000F98"/>
    <w:rsid w:val="00001188"/>
    <w:rsid w:val="00001435"/>
    <w:rsid w:val="00001485"/>
    <w:rsid w:val="00001532"/>
    <w:rsid w:val="000016BD"/>
    <w:rsid w:val="0000170F"/>
    <w:rsid w:val="0000179D"/>
    <w:rsid w:val="00001836"/>
    <w:rsid w:val="00001874"/>
    <w:rsid w:val="00001A3C"/>
    <w:rsid w:val="00001ADD"/>
    <w:rsid w:val="00001B9D"/>
    <w:rsid w:val="00001BAB"/>
    <w:rsid w:val="00001DB0"/>
    <w:rsid w:val="00001DFF"/>
    <w:rsid w:val="00001E43"/>
    <w:rsid w:val="0000202A"/>
    <w:rsid w:val="00002064"/>
    <w:rsid w:val="00002089"/>
    <w:rsid w:val="000020D6"/>
    <w:rsid w:val="00002297"/>
    <w:rsid w:val="000029EC"/>
    <w:rsid w:val="00002BA7"/>
    <w:rsid w:val="00002BE5"/>
    <w:rsid w:val="00002DDD"/>
    <w:rsid w:val="00003141"/>
    <w:rsid w:val="0000326C"/>
    <w:rsid w:val="00003353"/>
    <w:rsid w:val="00003366"/>
    <w:rsid w:val="00003392"/>
    <w:rsid w:val="00003416"/>
    <w:rsid w:val="00003477"/>
    <w:rsid w:val="000034E6"/>
    <w:rsid w:val="000037F6"/>
    <w:rsid w:val="0000385C"/>
    <w:rsid w:val="0000388B"/>
    <w:rsid w:val="00003AAA"/>
    <w:rsid w:val="00003CF3"/>
    <w:rsid w:val="00003F9F"/>
    <w:rsid w:val="00004026"/>
    <w:rsid w:val="000040A0"/>
    <w:rsid w:val="000040D4"/>
    <w:rsid w:val="0000416D"/>
    <w:rsid w:val="00004255"/>
    <w:rsid w:val="0000439B"/>
    <w:rsid w:val="00004631"/>
    <w:rsid w:val="0000486F"/>
    <w:rsid w:val="000048EB"/>
    <w:rsid w:val="00004A8B"/>
    <w:rsid w:val="00004AFE"/>
    <w:rsid w:val="00004B60"/>
    <w:rsid w:val="00004B83"/>
    <w:rsid w:val="00004D84"/>
    <w:rsid w:val="00004EC9"/>
    <w:rsid w:val="0000506A"/>
    <w:rsid w:val="000050AE"/>
    <w:rsid w:val="000050B9"/>
    <w:rsid w:val="000052A6"/>
    <w:rsid w:val="0000531F"/>
    <w:rsid w:val="0000550C"/>
    <w:rsid w:val="00005591"/>
    <w:rsid w:val="00005656"/>
    <w:rsid w:val="00005753"/>
    <w:rsid w:val="000057AA"/>
    <w:rsid w:val="000057DE"/>
    <w:rsid w:val="000057F6"/>
    <w:rsid w:val="000057FC"/>
    <w:rsid w:val="00005898"/>
    <w:rsid w:val="000058C2"/>
    <w:rsid w:val="00005A27"/>
    <w:rsid w:val="00005B0D"/>
    <w:rsid w:val="00005B37"/>
    <w:rsid w:val="00005BEA"/>
    <w:rsid w:val="00005D88"/>
    <w:rsid w:val="00005DDC"/>
    <w:rsid w:val="00005E0B"/>
    <w:rsid w:val="00005E90"/>
    <w:rsid w:val="00005F02"/>
    <w:rsid w:val="00005F40"/>
    <w:rsid w:val="00006069"/>
    <w:rsid w:val="00006206"/>
    <w:rsid w:val="00006207"/>
    <w:rsid w:val="000062A9"/>
    <w:rsid w:val="0000633F"/>
    <w:rsid w:val="00006369"/>
    <w:rsid w:val="000063A6"/>
    <w:rsid w:val="000065C5"/>
    <w:rsid w:val="00006734"/>
    <w:rsid w:val="00006736"/>
    <w:rsid w:val="0000687B"/>
    <w:rsid w:val="000069EC"/>
    <w:rsid w:val="00006AF0"/>
    <w:rsid w:val="00006DA4"/>
    <w:rsid w:val="00006FE1"/>
    <w:rsid w:val="0000703C"/>
    <w:rsid w:val="0000715D"/>
    <w:rsid w:val="00007279"/>
    <w:rsid w:val="000073F9"/>
    <w:rsid w:val="000074C0"/>
    <w:rsid w:val="00007772"/>
    <w:rsid w:val="0000785A"/>
    <w:rsid w:val="00007860"/>
    <w:rsid w:val="0000797D"/>
    <w:rsid w:val="00007A38"/>
    <w:rsid w:val="00007B64"/>
    <w:rsid w:val="00007BF4"/>
    <w:rsid w:val="00007C21"/>
    <w:rsid w:val="00007DED"/>
    <w:rsid w:val="00007EBA"/>
    <w:rsid w:val="00007F44"/>
    <w:rsid w:val="00010089"/>
    <w:rsid w:val="0001024A"/>
    <w:rsid w:val="0001029C"/>
    <w:rsid w:val="000103C8"/>
    <w:rsid w:val="00010402"/>
    <w:rsid w:val="0001058B"/>
    <w:rsid w:val="0001062C"/>
    <w:rsid w:val="00010849"/>
    <w:rsid w:val="00010B5C"/>
    <w:rsid w:val="00010C58"/>
    <w:rsid w:val="00010C9C"/>
    <w:rsid w:val="00010EDE"/>
    <w:rsid w:val="000112FD"/>
    <w:rsid w:val="000113CF"/>
    <w:rsid w:val="00011463"/>
    <w:rsid w:val="00011786"/>
    <w:rsid w:val="000117CC"/>
    <w:rsid w:val="0001192D"/>
    <w:rsid w:val="00011982"/>
    <w:rsid w:val="000119F2"/>
    <w:rsid w:val="00011B07"/>
    <w:rsid w:val="00011B8C"/>
    <w:rsid w:val="00011C0A"/>
    <w:rsid w:val="00011E4F"/>
    <w:rsid w:val="000120CE"/>
    <w:rsid w:val="00012167"/>
    <w:rsid w:val="000122FA"/>
    <w:rsid w:val="000124E3"/>
    <w:rsid w:val="00012688"/>
    <w:rsid w:val="000127AB"/>
    <w:rsid w:val="000129B4"/>
    <w:rsid w:val="00012A48"/>
    <w:rsid w:val="00012A56"/>
    <w:rsid w:val="00012A65"/>
    <w:rsid w:val="00012AC3"/>
    <w:rsid w:val="00012CB8"/>
    <w:rsid w:val="00012D70"/>
    <w:rsid w:val="00012DD0"/>
    <w:rsid w:val="00012FCC"/>
    <w:rsid w:val="00013084"/>
    <w:rsid w:val="000130E7"/>
    <w:rsid w:val="000130EA"/>
    <w:rsid w:val="000130F8"/>
    <w:rsid w:val="000131D0"/>
    <w:rsid w:val="00013239"/>
    <w:rsid w:val="00013367"/>
    <w:rsid w:val="0001339E"/>
    <w:rsid w:val="0001365C"/>
    <w:rsid w:val="0001380E"/>
    <w:rsid w:val="00013817"/>
    <w:rsid w:val="00013897"/>
    <w:rsid w:val="000138D3"/>
    <w:rsid w:val="000138F7"/>
    <w:rsid w:val="00013A7B"/>
    <w:rsid w:val="00013CD4"/>
    <w:rsid w:val="00013D23"/>
    <w:rsid w:val="00013FB4"/>
    <w:rsid w:val="000141FF"/>
    <w:rsid w:val="0001448E"/>
    <w:rsid w:val="000148D1"/>
    <w:rsid w:val="000149B2"/>
    <w:rsid w:val="00014BAC"/>
    <w:rsid w:val="00014BC5"/>
    <w:rsid w:val="00014C2D"/>
    <w:rsid w:val="00014E05"/>
    <w:rsid w:val="00014E99"/>
    <w:rsid w:val="00014F61"/>
    <w:rsid w:val="0001521B"/>
    <w:rsid w:val="00015402"/>
    <w:rsid w:val="0001540F"/>
    <w:rsid w:val="000154A0"/>
    <w:rsid w:val="000154F8"/>
    <w:rsid w:val="0001566A"/>
    <w:rsid w:val="0001573F"/>
    <w:rsid w:val="0001580B"/>
    <w:rsid w:val="0001590F"/>
    <w:rsid w:val="00015A5E"/>
    <w:rsid w:val="00015A67"/>
    <w:rsid w:val="00015AB3"/>
    <w:rsid w:val="00015B84"/>
    <w:rsid w:val="00015BB9"/>
    <w:rsid w:val="00015D58"/>
    <w:rsid w:val="00015DED"/>
    <w:rsid w:val="00015EDA"/>
    <w:rsid w:val="00016040"/>
    <w:rsid w:val="00016043"/>
    <w:rsid w:val="000162CA"/>
    <w:rsid w:val="00016320"/>
    <w:rsid w:val="00016381"/>
    <w:rsid w:val="000163BF"/>
    <w:rsid w:val="00016472"/>
    <w:rsid w:val="000164E6"/>
    <w:rsid w:val="0001650E"/>
    <w:rsid w:val="00016584"/>
    <w:rsid w:val="00016594"/>
    <w:rsid w:val="00016680"/>
    <w:rsid w:val="00016763"/>
    <w:rsid w:val="000168A5"/>
    <w:rsid w:val="000168D6"/>
    <w:rsid w:val="00016AED"/>
    <w:rsid w:val="00016B07"/>
    <w:rsid w:val="00016D8F"/>
    <w:rsid w:val="00016DAA"/>
    <w:rsid w:val="00016E44"/>
    <w:rsid w:val="00016EDD"/>
    <w:rsid w:val="0001704A"/>
    <w:rsid w:val="000172E5"/>
    <w:rsid w:val="000173B3"/>
    <w:rsid w:val="000173C6"/>
    <w:rsid w:val="0001778C"/>
    <w:rsid w:val="000177DF"/>
    <w:rsid w:val="00017814"/>
    <w:rsid w:val="000178C0"/>
    <w:rsid w:val="00017BD2"/>
    <w:rsid w:val="00017D2C"/>
    <w:rsid w:val="00017E9D"/>
    <w:rsid w:val="00017EAE"/>
    <w:rsid w:val="00017F12"/>
    <w:rsid w:val="00017F5B"/>
    <w:rsid w:val="0002003C"/>
    <w:rsid w:val="0002006D"/>
    <w:rsid w:val="00020125"/>
    <w:rsid w:val="000201F2"/>
    <w:rsid w:val="00020240"/>
    <w:rsid w:val="00020258"/>
    <w:rsid w:val="0002026A"/>
    <w:rsid w:val="00020397"/>
    <w:rsid w:val="0002045F"/>
    <w:rsid w:val="0002063B"/>
    <w:rsid w:val="0002069C"/>
    <w:rsid w:val="0002071F"/>
    <w:rsid w:val="000207D7"/>
    <w:rsid w:val="00020878"/>
    <w:rsid w:val="000209FF"/>
    <w:rsid w:val="00020C47"/>
    <w:rsid w:val="00020CF0"/>
    <w:rsid w:val="0002102D"/>
    <w:rsid w:val="00021290"/>
    <w:rsid w:val="0002132A"/>
    <w:rsid w:val="0002138D"/>
    <w:rsid w:val="000213F8"/>
    <w:rsid w:val="0002164D"/>
    <w:rsid w:val="000216AD"/>
    <w:rsid w:val="00021931"/>
    <w:rsid w:val="00021971"/>
    <w:rsid w:val="00021A52"/>
    <w:rsid w:val="00021BA0"/>
    <w:rsid w:val="00021FA2"/>
    <w:rsid w:val="000220FD"/>
    <w:rsid w:val="00022185"/>
    <w:rsid w:val="0002224A"/>
    <w:rsid w:val="0002239F"/>
    <w:rsid w:val="00022457"/>
    <w:rsid w:val="00022462"/>
    <w:rsid w:val="000224F0"/>
    <w:rsid w:val="0002269C"/>
    <w:rsid w:val="000226D3"/>
    <w:rsid w:val="0002275D"/>
    <w:rsid w:val="00022780"/>
    <w:rsid w:val="000229DF"/>
    <w:rsid w:val="00022B17"/>
    <w:rsid w:val="00022BA2"/>
    <w:rsid w:val="00022E3F"/>
    <w:rsid w:val="00022E67"/>
    <w:rsid w:val="00022F75"/>
    <w:rsid w:val="00022FEB"/>
    <w:rsid w:val="0002300A"/>
    <w:rsid w:val="000232DE"/>
    <w:rsid w:val="000237D5"/>
    <w:rsid w:val="00023807"/>
    <w:rsid w:val="0002383E"/>
    <w:rsid w:val="000239F3"/>
    <w:rsid w:val="00023C6E"/>
    <w:rsid w:val="00023D69"/>
    <w:rsid w:val="00023FA0"/>
    <w:rsid w:val="0002401B"/>
    <w:rsid w:val="000241C5"/>
    <w:rsid w:val="00024269"/>
    <w:rsid w:val="00024445"/>
    <w:rsid w:val="0002445E"/>
    <w:rsid w:val="000246D1"/>
    <w:rsid w:val="000246EA"/>
    <w:rsid w:val="0002483A"/>
    <w:rsid w:val="000248B0"/>
    <w:rsid w:val="000248DA"/>
    <w:rsid w:val="00024950"/>
    <w:rsid w:val="00024B0F"/>
    <w:rsid w:val="00024C89"/>
    <w:rsid w:val="00024D1D"/>
    <w:rsid w:val="00024D7E"/>
    <w:rsid w:val="00024D8B"/>
    <w:rsid w:val="00024DFC"/>
    <w:rsid w:val="00024E3D"/>
    <w:rsid w:val="00024FA8"/>
    <w:rsid w:val="00025091"/>
    <w:rsid w:val="0002517A"/>
    <w:rsid w:val="000251D2"/>
    <w:rsid w:val="00025291"/>
    <w:rsid w:val="000252E4"/>
    <w:rsid w:val="000252EC"/>
    <w:rsid w:val="00025320"/>
    <w:rsid w:val="000253FD"/>
    <w:rsid w:val="0002540F"/>
    <w:rsid w:val="000255C6"/>
    <w:rsid w:val="000255E5"/>
    <w:rsid w:val="0002564A"/>
    <w:rsid w:val="00025833"/>
    <w:rsid w:val="0002591B"/>
    <w:rsid w:val="00025AC1"/>
    <w:rsid w:val="00025CB4"/>
    <w:rsid w:val="00025CD6"/>
    <w:rsid w:val="00025D14"/>
    <w:rsid w:val="00026068"/>
    <w:rsid w:val="000260C1"/>
    <w:rsid w:val="000260D0"/>
    <w:rsid w:val="00026355"/>
    <w:rsid w:val="0002638C"/>
    <w:rsid w:val="000263D1"/>
    <w:rsid w:val="0002641E"/>
    <w:rsid w:val="000264AA"/>
    <w:rsid w:val="000264F4"/>
    <w:rsid w:val="000265FC"/>
    <w:rsid w:val="00026823"/>
    <w:rsid w:val="00026A57"/>
    <w:rsid w:val="00026A74"/>
    <w:rsid w:val="00026B19"/>
    <w:rsid w:val="00026DE6"/>
    <w:rsid w:val="00026F9C"/>
    <w:rsid w:val="00027059"/>
    <w:rsid w:val="000270E1"/>
    <w:rsid w:val="00027103"/>
    <w:rsid w:val="0002711C"/>
    <w:rsid w:val="0002739C"/>
    <w:rsid w:val="00027410"/>
    <w:rsid w:val="000276EB"/>
    <w:rsid w:val="00027724"/>
    <w:rsid w:val="000277A4"/>
    <w:rsid w:val="0002794B"/>
    <w:rsid w:val="00027989"/>
    <w:rsid w:val="00027B12"/>
    <w:rsid w:val="000301E2"/>
    <w:rsid w:val="0003035E"/>
    <w:rsid w:val="000303CA"/>
    <w:rsid w:val="0003048D"/>
    <w:rsid w:val="00030675"/>
    <w:rsid w:val="000306C0"/>
    <w:rsid w:val="0003072B"/>
    <w:rsid w:val="00030772"/>
    <w:rsid w:val="00030856"/>
    <w:rsid w:val="000308AB"/>
    <w:rsid w:val="000308F2"/>
    <w:rsid w:val="00030AB9"/>
    <w:rsid w:val="00030C09"/>
    <w:rsid w:val="00030D26"/>
    <w:rsid w:val="00030D49"/>
    <w:rsid w:val="00030D99"/>
    <w:rsid w:val="00030DA4"/>
    <w:rsid w:val="00030E15"/>
    <w:rsid w:val="00031258"/>
    <w:rsid w:val="000312E3"/>
    <w:rsid w:val="000313C5"/>
    <w:rsid w:val="000314BF"/>
    <w:rsid w:val="00031553"/>
    <w:rsid w:val="00031558"/>
    <w:rsid w:val="0003162A"/>
    <w:rsid w:val="00031858"/>
    <w:rsid w:val="0003187D"/>
    <w:rsid w:val="000318DC"/>
    <w:rsid w:val="00031947"/>
    <w:rsid w:val="00031A15"/>
    <w:rsid w:val="00031DDA"/>
    <w:rsid w:val="00031FF5"/>
    <w:rsid w:val="000320B1"/>
    <w:rsid w:val="00032129"/>
    <w:rsid w:val="00032280"/>
    <w:rsid w:val="000322AD"/>
    <w:rsid w:val="000323D2"/>
    <w:rsid w:val="00032480"/>
    <w:rsid w:val="0003248D"/>
    <w:rsid w:val="000324AB"/>
    <w:rsid w:val="00032935"/>
    <w:rsid w:val="00032B2F"/>
    <w:rsid w:val="00032CDE"/>
    <w:rsid w:val="00032EF8"/>
    <w:rsid w:val="00032F2F"/>
    <w:rsid w:val="00033016"/>
    <w:rsid w:val="00033040"/>
    <w:rsid w:val="000330B0"/>
    <w:rsid w:val="0003312F"/>
    <w:rsid w:val="000331C3"/>
    <w:rsid w:val="000331D8"/>
    <w:rsid w:val="000331F9"/>
    <w:rsid w:val="0003326A"/>
    <w:rsid w:val="000333E8"/>
    <w:rsid w:val="00033513"/>
    <w:rsid w:val="000335B0"/>
    <w:rsid w:val="0003382F"/>
    <w:rsid w:val="0003388B"/>
    <w:rsid w:val="000338B1"/>
    <w:rsid w:val="00033BC4"/>
    <w:rsid w:val="00033F09"/>
    <w:rsid w:val="00033F8B"/>
    <w:rsid w:val="00034243"/>
    <w:rsid w:val="000342A2"/>
    <w:rsid w:val="00034431"/>
    <w:rsid w:val="000345FC"/>
    <w:rsid w:val="00034722"/>
    <w:rsid w:val="00034739"/>
    <w:rsid w:val="00034777"/>
    <w:rsid w:val="000347A2"/>
    <w:rsid w:val="00034859"/>
    <w:rsid w:val="0003485E"/>
    <w:rsid w:val="000349CA"/>
    <w:rsid w:val="00034C72"/>
    <w:rsid w:val="00034C9F"/>
    <w:rsid w:val="00034CC3"/>
    <w:rsid w:val="00034CC6"/>
    <w:rsid w:val="00034E14"/>
    <w:rsid w:val="00034E76"/>
    <w:rsid w:val="00034F87"/>
    <w:rsid w:val="00035289"/>
    <w:rsid w:val="000352F8"/>
    <w:rsid w:val="0003533E"/>
    <w:rsid w:val="000353DD"/>
    <w:rsid w:val="0003552B"/>
    <w:rsid w:val="000355E0"/>
    <w:rsid w:val="000355FC"/>
    <w:rsid w:val="00035693"/>
    <w:rsid w:val="0003579E"/>
    <w:rsid w:val="000357EA"/>
    <w:rsid w:val="00035874"/>
    <w:rsid w:val="000358A7"/>
    <w:rsid w:val="000359A7"/>
    <w:rsid w:val="00035A67"/>
    <w:rsid w:val="00035A95"/>
    <w:rsid w:val="00035B31"/>
    <w:rsid w:val="00035B60"/>
    <w:rsid w:val="00035E6D"/>
    <w:rsid w:val="000360A1"/>
    <w:rsid w:val="0003612E"/>
    <w:rsid w:val="00036196"/>
    <w:rsid w:val="00036287"/>
    <w:rsid w:val="0003635A"/>
    <w:rsid w:val="000363D7"/>
    <w:rsid w:val="0003644F"/>
    <w:rsid w:val="00036598"/>
    <w:rsid w:val="000367DA"/>
    <w:rsid w:val="00036834"/>
    <w:rsid w:val="0003686A"/>
    <w:rsid w:val="0003689B"/>
    <w:rsid w:val="00036A54"/>
    <w:rsid w:val="00036A64"/>
    <w:rsid w:val="00036AAB"/>
    <w:rsid w:val="00036AAF"/>
    <w:rsid w:val="00036AE8"/>
    <w:rsid w:val="00036B2A"/>
    <w:rsid w:val="00036B47"/>
    <w:rsid w:val="00036B4A"/>
    <w:rsid w:val="00036CCA"/>
    <w:rsid w:val="00036D73"/>
    <w:rsid w:val="00036E6D"/>
    <w:rsid w:val="00036F85"/>
    <w:rsid w:val="00037056"/>
    <w:rsid w:val="0003706A"/>
    <w:rsid w:val="00037085"/>
    <w:rsid w:val="000370D8"/>
    <w:rsid w:val="000371F1"/>
    <w:rsid w:val="00037316"/>
    <w:rsid w:val="000373EA"/>
    <w:rsid w:val="00037519"/>
    <w:rsid w:val="0003758F"/>
    <w:rsid w:val="000375C2"/>
    <w:rsid w:val="00037657"/>
    <w:rsid w:val="00037721"/>
    <w:rsid w:val="00037775"/>
    <w:rsid w:val="000378A1"/>
    <w:rsid w:val="00037923"/>
    <w:rsid w:val="000379CB"/>
    <w:rsid w:val="00037FA2"/>
    <w:rsid w:val="00040385"/>
    <w:rsid w:val="00040391"/>
    <w:rsid w:val="000405DC"/>
    <w:rsid w:val="00040623"/>
    <w:rsid w:val="00040649"/>
    <w:rsid w:val="000408A6"/>
    <w:rsid w:val="0004091A"/>
    <w:rsid w:val="000409C0"/>
    <w:rsid w:val="00040A25"/>
    <w:rsid w:val="00040B00"/>
    <w:rsid w:val="0004113E"/>
    <w:rsid w:val="00041263"/>
    <w:rsid w:val="00041592"/>
    <w:rsid w:val="000416AB"/>
    <w:rsid w:val="000419A7"/>
    <w:rsid w:val="00041B1A"/>
    <w:rsid w:val="00041B70"/>
    <w:rsid w:val="00041CD3"/>
    <w:rsid w:val="00041CD5"/>
    <w:rsid w:val="00041D4A"/>
    <w:rsid w:val="00041EAA"/>
    <w:rsid w:val="00041F85"/>
    <w:rsid w:val="00041F99"/>
    <w:rsid w:val="00041FD2"/>
    <w:rsid w:val="00041FD8"/>
    <w:rsid w:val="0004202A"/>
    <w:rsid w:val="0004206B"/>
    <w:rsid w:val="000420C0"/>
    <w:rsid w:val="000421E2"/>
    <w:rsid w:val="0004224A"/>
    <w:rsid w:val="000422C4"/>
    <w:rsid w:val="00042327"/>
    <w:rsid w:val="0004238A"/>
    <w:rsid w:val="0004238E"/>
    <w:rsid w:val="000423A1"/>
    <w:rsid w:val="000423F6"/>
    <w:rsid w:val="00042564"/>
    <w:rsid w:val="00042663"/>
    <w:rsid w:val="00042794"/>
    <w:rsid w:val="00042854"/>
    <w:rsid w:val="00042A27"/>
    <w:rsid w:val="00042A57"/>
    <w:rsid w:val="00042C73"/>
    <w:rsid w:val="00042D5C"/>
    <w:rsid w:val="00042DFA"/>
    <w:rsid w:val="00042DFD"/>
    <w:rsid w:val="00042EDC"/>
    <w:rsid w:val="00043098"/>
    <w:rsid w:val="00043493"/>
    <w:rsid w:val="000434D7"/>
    <w:rsid w:val="00043582"/>
    <w:rsid w:val="00043738"/>
    <w:rsid w:val="0004377F"/>
    <w:rsid w:val="0004385D"/>
    <w:rsid w:val="000438A8"/>
    <w:rsid w:val="0004394E"/>
    <w:rsid w:val="00043958"/>
    <w:rsid w:val="00043A51"/>
    <w:rsid w:val="00043BD5"/>
    <w:rsid w:val="00043D3F"/>
    <w:rsid w:val="00043F6D"/>
    <w:rsid w:val="00043FF7"/>
    <w:rsid w:val="00044000"/>
    <w:rsid w:val="0004412E"/>
    <w:rsid w:val="000441AA"/>
    <w:rsid w:val="000441EF"/>
    <w:rsid w:val="00044455"/>
    <w:rsid w:val="000445D8"/>
    <w:rsid w:val="000445E9"/>
    <w:rsid w:val="000446ED"/>
    <w:rsid w:val="000446FE"/>
    <w:rsid w:val="0004477F"/>
    <w:rsid w:val="00044825"/>
    <w:rsid w:val="00044885"/>
    <w:rsid w:val="00044B2A"/>
    <w:rsid w:val="00044B81"/>
    <w:rsid w:val="00044B84"/>
    <w:rsid w:val="00044E0C"/>
    <w:rsid w:val="00044EB7"/>
    <w:rsid w:val="00044EFB"/>
    <w:rsid w:val="00045141"/>
    <w:rsid w:val="0004535B"/>
    <w:rsid w:val="00045904"/>
    <w:rsid w:val="00045A50"/>
    <w:rsid w:val="00045A62"/>
    <w:rsid w:val="00045A94"/>
    <w:rsid w:val="00045B52"/>
    <w:rsid w:val="00045C9C"/>
    <w:rsid w:val="00045D41"/>
    <w:rsid w:val="00045F01"/>
    <w:rsid w:val="00045F24"/>
    <w:rsid w:val="00046038"/>
    <w:rsid w:val="0004634C"/>
    <w:rsid w:val="0004645B"/>
    <w:rsid w:val="000464C4"/>
    <w:rsid w:val="0004680A"/>
    <w:rsid w:val="00046834"/>
    <w:rsid w:val="00046862"/>
    <w:rsid w:val="000468C9"/>
    <w:rsid w:val="000468D7"/>
    <w:rsid w:val="000468FA"/>
    <w:rsid w:val="00046B59"/>
    <w:rsid w:val="00046BA2"/>
    <w:rsid w:val="00046C9C"/>
    <w:rsid w:val="00046E93"/>
    <w:rsid w:val="00046F1E"/>
    <w:rsid w:val="00046F46"/>
    <w:rsid w:val="000470B7"/>
    <w:rsid w:val="0004719C"/>
    <w:rsid w:val="00047454"/>
    <w:rsid w:val="00047536"/>
    <w:rsid w:val="000475ED"/>
    <w:rsid w:val="0004772C"/>
    <w:rsid w:val="0004774D"/>
    <w:rsid w:val="0004783F"/>
    <w:rsid w:val="0004786D"/>
    <w:rsid w:val="00047A04"/>
    <w:rsid w:val="00047A9A"/>
    <w:rsid w:val="00047AD8"/>
    <w:rsid w:val="00047B6D"/>
    <w:rsid w:val="00047B84"/>
    <w:rsid w:val="00047BEE"/>
    <w:rsid w:val="00047C80"/>
    <w:rsid w:val="00047D1D"/>
    <w:rsid w:val="00047E1D"/>
    <w:rsid w:val="00047FB1"/>
    <w:rsid w:val="00047FB7"/>
    <w:rsid w:val="00050013"/>
    <w:rsid w:val="00050181"/>
    <w:rsid w:val="000501C6"/>
    <w:rsid w:val="00050444"/>
    <w:rsid w:val="00050BBB"/>
    <w:rsid w:val="00050E23"/>
    <w:rsid w:val="00050E7F"/>
    <w:rsid w:val="00050F3E"/>
    <w:rsid w:val="00050F46"/>
    <w:rsid w:val="00050FF7"/>
    <w:rsid w:val="00051021"/>
    <w:rsid w:val="000512BA"/>
    <w:rsid w:val="00051355"/>
    <w:rsid w:val="0005159E"/>
    <w:rsid w:val="000515A1"/>
    <w:rsid w:val="000515B3"/>
    <w:rsid w:val="0005184E"/>
    <w:rsid w:val="00051A7F"/>
    <w:rsid w:val="00051A99"/>
    <w:rsid w:val="00051A9E"/>
    <w:rsid w:val="00051BD6"/>
    <w:rsid w:val="00051D82"/>
    <w:rsid w:val="00051D8C"/>
    <w:rsid w:val="00051F74"/>
    <w:rsid w:val="00052201"/>
    <w:rsid w:val="000523ED"/>
    <w:rsid w:val="0005246B"/>
    <w:rsid w:val="0005249F"/>
    <w:rsid w:val="000524A0"/>
    <w:rsid w:val="0005256B"/>
    <w:rsid w:val="000526FB"/>
    <w:rsid w:val="0005276E"/>
    <w:rsid w:val="00052785"/>
    <w:rsid w:val="000528E3"/>
    <w:rsid w:val="00052971"/>
    <w:rsid w:val="00052A97"/>
    <w:rsid w:val="00052B68"/>
    <w:rsid w:val="00052C2C"/>
    <w:rsid w:val="00052CA4"/>
    <w:rsid w:val="00053001"/>
    <w:rsid w:val="00053075"/>
    <w:rsid w:val="00053148"/>
    <w:rsid w:val="00053472"/>
    <w:rsid w:val="000534EB"/>
    <w:rsid w:val="00053600"/>
    <w:rsid w:val="0005387B"/>
    <w:rsid w:val="000538E8"/>
    <w:rsid w:val="00053A4C"/>
    <w:rsid w:val="00053A64"/>
    <w:rsid w:val="00053CCE"/>
    <w:rsid w:val="00053CE3"/>
    <w:rsid w:val="00053E3B"/>
    <w:rsid w:val="00053E60"/>
    <w:rsid w:val="00053EDA"/>
    <w:rsid w:val="00053F29"/>
    <w:rsid w:val="00053FE3"/>
    <w:rsid w:val="00053FFC"/>
    <w:rsid w:val="00054515"/>
    <w:rsid w:val="0005453E"/>
    <w:rsid w:val="0005458E"/>
    <w:rsid w:val="000545A7"/>
    <w:rsid w:val="0005464B"/>
    <w:rsid w:val="00054717"/>
    <w:rsid w:val="00054749"/>
    <w:rsid w:val="00054A4C"/>
    <w:rsid w:val="00054AF1"/>
    <w:rsid w:val="00054CDD"/>
    <w:rsid w:val="00054EE8"/>
    <w:rsid w:val="0005508E"/>
    <w:rsid w:val="00055249"/>
    <w:rsid w:val="00055327"/>
    <w:rsid w:val="00055370"/>
    <w:rsid w:val="000555C9"/>
    <w:rsid w:val="000555EB"/>
    <w:rsid w:val="000558D7"/>
    <w:rsid w:val="00055A4F"/>
    <w:rsid w:val="00055A95"/>
    <w:rsid w:val="00055AC4"/>
    <w:rsid w:val="00055AE9"/>
    <w:rsid w:val="00055C37"/>
    <w:rsid w:val="00055E00"/>
    <w:rsid w:val="00055F1D"/>
    <w:rsid w:val="00055F33"/>
    <w:rsid w:val="00055F68"/>
    <w:rsid w:val="000560D4"/>
    <w:rsid w:val="00056201"/>
    <w:rsid w:val="00056280"/>
    <w:rsid w:val="00056372"/>
    <w:rsid w:val="000563BB"/>
    <w:rsid w:val="0005646B"/>
    <w:rsid w:val="00056476"/>
    <w:rsid w:val="000565EF"/>
    <w:rsid w:val="0005666E"/>
    <w:rsid w:val="00056730"/>
    <w:rsid w:val="000567A1"/>
    <w:rsid w:val="0005688F"/>
    <w:rsid w:val="00056A55"/>
    <w:rsid w:val="00056B29"/>
    <w:rsid w:val="00056B72"/>
    <w:rsid w:val="00056CFF"/>
    <w:rsid w:val="00056D62"/>
    <w:rsid w:val="00056F7B"/>
    <w:rsid w:val="00057036"/>
    <w:rsid w:val="00057230"/>
    <w:rsid w:val="0005744D"/>
    <w:rsid w:val="0005749F"/>
    <w:rsid w:val="000574B6"/>
    <w:rsid w:val="00057514"/>
    <w:rsid w:val="0005770E"/>
    <w:rsid w:val="00057871"/>
    <w:rsid w:val="00057B33"/>
    <w:rsid w:val="00057C8D"/>
    <w:rsid w:val="00057CA3"/>
    <w:rsid w:val="00057E37"/>
    <w:rsid w:val="00057E78"/>
    <w:rsid w:val="00057F15"/>
    <w:rsid w:val="00058DB2"/>
    <w:rsid w:val="00060006"/>
    <w:rsid w:val="0006016F"/>
    <w:rsid w:val="000601EB"/>
    <w:rsid w:val="00060464"/>
    <w:rsid w:val="00060480"/>
    <w:rsid w:val="00060696"/>
    <w:rsid w:val="00060780"/>
    <w:rsid w:val="00060947"/>
    <w:rsid w:val="00060997"/>
    <w:rsid w:val="00060A94"/>
    <w:rsid w:val="00060AD6"/>
    <w:rsid w:val="00060AF4"/>
    <w:rsid w:val="00060C9A"/>
    <w:rsid w:val="00060CD0"/>
    <w:rsid w:val="00060D39"/>
    <w:rsid w:val="00060D60"/>
    <w:rsid w:val="00061105"/>
    <w:rsid w:val="00061211"/>
    <w:rsid w:val="0006121C"/>
    <w:rsid w:val="00061255"/>
    <w:rsid w:val="0006127F"/>
    <w:rsid w:val="000612E9"/>
    <w:rsid w:val="00061653"/>
    <w:rsid w:val="000616A9"/>
    <w:rsid w:val="00061874"/>
    <w:rsid w:val="0006187B"/>
    <w:rsid w:val="000619C0"/>
    <w:rsid w:val="00061A4B"/>
    <w:rsid w:val="00061D05"/>
    <w:rsid w:val="00061D06"/>
    <w:rsid w:val="00061E92"/>
    <w:rsid w:val="00061EA7"/>
    <w:rsid w:val="00061F23"/>
    <w:rsid w:val="00061FAD"/>
    <w:rsid w:val="00061FF3"/>
    <w:rsid w:val="000621E1"/>
    <w:rsid w:val="00062240"/>
    <w:rsid w:val="00062356"/>
    <w:rsid w:val="0006236A"/>
    <w:rsid w:val="000624BB"/>
    <w:rsid w:val="000626A6"/>
    <w:rsid w:val="000627A7"/>
    <w:rsid w:val="000629D2"/>
    <w:rsid w:val="00062A0C"/>
    <w:rsid w:val="00062A5C"/>
    <w:rsid w:val="00062B22"/>
    <w:rsid w:val="00062BE7"/>
    <w:rsid w:val="00062C2B"/>
    <w:rsid w:val="00062CF4"/>
    <w:rsid w:val="00062EB6"/>
    <w:rsid w:val="00062F5E"/>
    <w:rsid w:val="00062F9B"/>
    <w:rsid w:val="00062FC4"/>
    <w:rsid w:val="00062FEA"/>
    <w:rsid w:val="00063182"/>
    <w:rsid w:val="000631C3"/>
    <w:rsid w:val="0006341B"/>
    <w:rsid w:val="0006343F"/>
    <w:rsid w:val="000634B8"/>
    <w:rsid w:val="000634D1"/>
    <w:rsid w:val="000634F9"/>
    <w:rsid w:val="0006350A"/>
    <w:rsid w:val="0006351A"/>
    <w:rsid w:val="0006375F"/>
    <w:rsid w:val="0006398C"/>
    <w:rsid w:val="00063993"/>
    <w:rsid w:val="00063BC9"/>
    <w:rsid w:val="00063C04"/>
    <w:rsid w:val="00063C05"/>
    <w:rsid w:val="00063D9F"/>
    <w:rsid w:val="00063F36"/>
    <w:rsid w:val="00063F8C"/>
    <w:rsid w:val="00063FAB"/>
    <w:rsid w:val="000643CE"/>
    <w:rsid w:val="000645FE"/>
    <w:rsid w:val="00064615"/>
    <w:rsid w:val="000648EA"/>
    <w:rsid w:val="00064B72"/>
    <w:rsid w:val="00064B90"/>
    <w:rsid w:val="00064CF9"/>
    <w:rsid w:val="00064D73"/>
    <w:rsid w:val="00064EA3"/>
    <w:rsid w:val="00064ED7"/>
    <w:rsid w:val="00065240"/>
    <w:rsid w:val="000653CF"/>
    <w:rsid w:val="00065514"/>
    <w:rsid w:val="00065532"/>
    <w:rsid w:val="000656AA"/>
    <w:rsid w:val="0006588B"/>
    <w:rsid w:val="000658E8"/>
    <w:rsid w:val="000659E2"/>
    <w:rsid w:val="000659EC"/>
    <w:rsid w:val="00065A11"/>
    <w:rsid w:val="00065D8D"/>
    <w:rsid w:val="00065E31"/>
    <w:rsid w:val="00065EDF"/>
    <w:rsid w:val="00065F21"/>
    <w:rsid w:val="00065FAE"/>
    <w:rsid w:val="0006660E"/>
    <w:rsid w:val="00066692"/>
    <w:rsid w:val="000666B0"/>
    <w:rsid w:val="000666E8"/>
    <w:rsid w:val="00066765"/>
    <w:rsid w:val="00066955"/>
    <w:rsid w:val="0006697E"/>
    <w:rsid w:val="000669D0"/>
    <w:rsid w:val="000669F9"/>
    <w:rsid w:val="00066C83"/>
    <w:rsid w:val="00066CE4"/>
    <w:rsid w:val="00066E73"/>
    <w:rsid w:val="00066F76"/>
    <w:rsid w:val="00067052"/>
    <w:rsid w:val="0006708A"/>
    <w:rsid w:val="000671CC"/>
    <w:rsid w:val="000672C9"/>
    <w:rsid w:val="000672E8"/>
    <w:rsid w:val="0006736A"/>
    <w:rsid w:val="00067394"/>
    <w:rsid w:val="000673D1"/>
    <w:rsid w:val="000675E9"/>
    <w:rsid w:val="00067A1C"/>
    <w:rsid w:val="00067A82"/>
    <w:rsid w:val="00067C13"/>
    <w:rsid w:val="00067C2A"/>
    <w:rsid w:val="00067CB0"/>
    <w:rsid w:val="00067E22"/>
    <w:rsid w:val="00067E59"/>
    <w:rsid w:val="0007046B"/>
    <w:rsid w:val="000704E3"/>
    <w:rsid w:val="00070625"/>
    <w:rsid w:val="0007078D"/>
    <w:rsid w:val="00070BD3"/>
    <w:rsid w:val="00070C91"/>
    <w:rsid w:val="00070DA4"/>
    <w:rsid w:val="0007115E"/>
    <w:rsid w:val="00071170"/>
    <w:rsid w:val="00071340"/>
    <w:rsid w:val="0007139A"/>
    <w:rsid w:val="000713B3"/>
    <w:rsid w:val="000715CB"/>
    <w:rsid w:val="000717BB"/>
    <w:rsid w:val="00071ACC"/>
    <w:rsid w:val="00071B6B"/>
    <w:rsid w:val="00071BCC"/>
    <w:rsid w:val="00071D8D"/>
    <w:rsid w:val="00071E03"/>
    <w:rsid w:val="00071F96"/>
    <w:rsid w:val="0007202D"/>
    <w:rsid w:val="0007208F"/>
    <w:rsid w:val="000720E1"/>
    <w:rsid w:val="00072149"/>
    <w:rsid w:val="000721D6"/>
    <w:rsid w:val="0007221B"/>
    <w:rsid w:val="00072410"/>
    <w:rsid w:val="00072491"/>
    <w:rsid w:val="000724E2"/>
    <w:rsid w:val="0007254D"/>
    <w:rsid w:val="000725CA"/>
    <w:rsid w:val="00072679"/>
    <w:rsid w:val="0007269B"/>
    <w:rsid w:val="00072854"/>
    <w:rsid w:val="0007296F"/>
    <w:rsid w:val="00072C28"/>
    <w:rsid w:val="00072D61"/>
    <w:rsid w:val="00072DF0"/>
    <w:rsid w:val="00072E1D"/>
    <w:rsid w:val="00072F9E"/>
    <w:rsid w:val="00073161"/>
    <w:rsid w:val="00073188"/>
    <w:rsid w:val="0007319A"/>
    <w:rsid w:val="000731BF"/>
    <w:rsid w:val="000732E4"/>
    <w:rsid w:val="000733ED"/>
    <w:rsid w:val="00073456"/>
    <w:rsid w:val="00073522"/>
    <w:rsid w:val="000737AE"/>
    <w:rsid w:val="0007391F"/>
    <w:rsid w:val="00073945"/>
    <w:rsid w:val="00073957"/>
    <w:rsid w:val="0007396F"/>
    <w:rsid w:val="00073A2A"/>
    <w:rsid w:val="00073AC6"/>
    <w:rsid w:val="00073B23"/>
    <w:rsid w:val="00073B91"/>
    <w:rsid w:val="00073CAE"/>
    <w:rsid w:val="00073D30"/>
    <w:rsid w:val="00073DC0"/>
    <w:rsid w:val="00073E4B"/>
    <w:rsid w:val="00073FB1"/>
    <w:rsid w:val="00074041"/>
    <w:rsid w:val="00074135"/>
    <w:rsid w:val="0007422A"/>
    <w:rsid w:val="00074237"/>
    <w:rsid w:val="000742B9"/>
    <w:rsid w:val="00074429"/>
    <w:rsid w:val="0007455F"/>
    <w:rsid w:val="000746ED"/>
    <w:rsid w:val="00074937"/>
    <w:rsid w:val="00074B4C"/>
    <w:rsid w:val="00074B81"/>
    <w:rsid w:val="00074BE0"/>
    <w:rsid w:val="00074CAF"/>
    <w:rsid w:val="00074CD1"/>
    <w:rsid w:val="00074F59"/>
    <w:rsid w:val="00075138"/>
    <w:rsid w:val="0007556A"/>
    <w:rsid w:val="0007560A"/>
    <w:rsid w:val="00075813"/>
    <w:rsid w:val="00075870"/>
    <w:rsid w:val="000759ED"/>
    <w:rsid w:val="00075B27"/>
    <w:rsid w:val="00075C56"/>
    <w:rsid w:val="00075D0C"/>
    <w:rsid w:val="00075D96"/>
    <w:rsid w:val="00075E3F"/>
    <w:rsid w:val="00075F9A"/>
    <w:rsid w:val="00076122"/>
    <w:rsid w:val="00076208"/>
    <w:rsid w:val="00076374"/>
    <w:rsid w:val="00076514"/>
    <w:rsid w:val="00076531"/>
    <w:rsid w:val="00076612"/>
    <w:rsid w:val="0007670A"/>
    <w:rsid w:val="00076769"/>
    <w:rsid w:val="00076974"/>
    <w:rsid w:val="00076979"/>
    <w:rsid w:val="000769E8"/>
    <w:rsid w:val="00076A76"/>
    <w:rsid w:val="00076AB0"/>
    <w:rsid w:val="00076C58"/>
    <w:rsid w:val="00076EDA"/>
    <w:rsid w:val="00077072"/>
    <w:rsid w:val="000770CB"/>
    <w:rsid w:val="00077160"/>
    <w:rsid w:val="0007727A"/>
    <w:rsid w:val="000772A8"/>
    <w:rsid w:val="000773FE"/>
    <w:rsid w:val="0007761F"/>
    <w:rsid w:val="00077692"/>
    <w:rsid w:val="00077700"/>
    <w:rsid w:val="00077804"/>
    <w:rsid w:val="000778CE"/>
    <w:rsid w:val="000779EE"/>
    <w:rsid w:val="00077A5A"/>
    <w:rsid w:val="00077BF5"/>
    <w:rsid w:val="00077C59"/>
    <w:rsid w:val="00077CC3"/>
    <w:rsid w:val="00077CCF"/>
    <w:rsid w:val="00077CF8"/>
    <w:rsid w:val="00077EBD"/>
    <w:rsid w:val="00077F12"/>
    <w:rsid w:val="0007E2E6"/>
    <w:rsid w:val="0008004F"/>
    <w:rsid w:val="00080292"/>
    <w:rsid w:val="000803C9"/>
    <w:rsid w:val="0008051A"/>
    <w:rsid w:val="00080581"/>
    <w:rsid w:val="000805C0"/>
    <w:rsid w:val="00080679"/>
    <w:rsid w:val="0008079B"/>
    <w:rsid w:val="000807A5"/>
    <w:rsid w:val="000807C0"/>
    <w:rsid w:val="000807E4"/>
    <w:rsid w:val="00080A8D"/>
    <w:rsid w:val="00080B73"/>
    <w:rsid w:val="00080B79"/>
    <w:rsid w:val="00080C45"/>
    <w:rsid w:val="00080C4A"/>
    <w:rsid w:val="00080DBE"/>
    <w:rsid w:val="00080E56"/>
    <w:rsid w:val="00081178"/>
    <w:rsid w:val="00081396"/>
    <w:rsid w:val="00081409"/>
    <w:rsid w:val="00081439"/>
    <w:rsid w:val="000814F6"/>
    <w:rsid w:val="000815F3"/>
    <w:rsid w:val="0008182F"/>
    <w:rsid w:val="00081912"/>
    <w:rsid w:val="0008195D"/>
    <w:rsid w:val="00081A39"/>
    <w:rsid w:val="00081B6B"/>
    <w:rsid w:val="00081C2C"/>
    <w:rsid w:val="00081C9A"/>
    <w:rsid w:val="00081D5F"/>
    <w:rsid w:val="00081E96"/>
    <w:rsid w:val="00081F31"/>
    <w:rsid w:val="00081FF0"/>
    <w:rsid w:val="000820C3"/>
    <w:rsid w:val="000820F6"/>
    <w:rsid w:val="000825E4"/>
    <w:rsid w:val="000825F8"/>
    <w:rsid w:val="0008274E"/>
    <w:rsid w:val="000827B0"/>
    <w:rsid w:val="000827F5"/>
    <w:rsid w:val="000829E7"/>
    <w:rsid w:val="00082C03"/>
    <w:rsid w:val="00082C9D"/>
    <w:rsid w:val="00082CF7"/>
    <w:rsid w:val="00082E57"/>
    <w:rsid w:val="0008309D"/>
    <w:rsid w:val="000831B7"/>
    <w:rsid w:val="0008325A"/>
    <w:rsid w:val="000833A5"/>
    <w:rsid w:val="000834A6"/>
    <w:rsid w:val="000834F5"/>
    <w:rsid w:val="000835E0"/>
    <w:rsid w:val="00083924"/>
    <w:rsid w:val="00083989"/>
    <w:rsid w:val="00083AD6"/>
    <w:rsid w:val="00083CAD"/>
    <w:rsid w:val="00083D72"/>
    <w:rsid w:val="00083F96"/>
    <w:rsid w:val="0008405F"/>
    <w:rsid w:val="000840B1"/>
    <w:rsid w:val="000841A0"/>
    <w:rsid w:val="000842B8"/>
    <w:rsid w:val="000842F5"/>
    <w:rsid w:val="00084387"/>
    <w:rsid w:val="0008438B"/>
    <w:rsid w:val="000843C6"/>
    <w:rsid w:val="000843FF"/>
    <w:rsid w:val="00084579"/>
    <w:rsid w:val="0008471A"/>
    <w:rsid w:val="0008494C"/>
    <w:rsid w:val="00084A95"/>
    <w:rsid w:val="00084AEE"/>
    <w:rsid w:val="00084D00"/>
    <w:rsid w:val="00084EF6"/>
    <w:rsid w:val="00084F27"/>
    <w:rsid w:val="0008501C"/>
    <w:rsid w:val="00085099"/>
    <w:rsid w:val="00085113"/>
    <w:rsid w:val="000851F4"/>
    <w:rsid w:val="000853DE"/>
    <w:rsid w:val="00085408"/>
    <w:rsid w:val="00085472"/>
    <w:rsid w:val="000854C6"/>
    <w:rsid w:val="000854EA"/>
    <w:rsid w:val="00085830"/>
    <w:rsid w:val="0008587E"/>
    <w:rsid w:val="0008589E"/>
    <w:rsid w:val="0008590E"/>
    <w:rsid w:val="00085A56"/>
    <w:rsid w:val="00085C74"/>
    <w:rsid w:val="00085C82"/>
    <w:rsid w:val="00085D02"/>
    <w:rsid w:val="00085D55"/>
    <w:rsid w:val="00085DC1"/>
    <w:rsid w:val="00085E8A"/>
    <w:rsid w:val="00085E9B"/>
    <w:rsid w:val="00086048"/>
    <w:rsid w:val="00086094"/>
    <w:rsid w:val="00086460"/>
    <w:rsid w:val="00086519"/>
    <w:rsid w:val="0008651A"/>
    <w:rsid w:val="00086573"/>
    <w:rsid w:val="000865A5"/>
    <w:rsid w:val="0008664D"/>
    <w:rsid w:val="0008669B"/>
    <w:rsid w:val="00086798"/>
    <w:rsid w:val="000867E7"/>
    <w:rsid w:val="000868B2"/>
    <w:rsid w:val="000869C7"/>
    <w:rsid w:val="00086B36"/>
    <w:rsid w:val="00086B89"/>
    <w:rsid w:val="00086DAB"/>
    <w:rsid w:val="00086E40"/>
    <w:rsid w:val="00086F51"/>
    <w:rsid w:val="00086FE6"/>
    <w:rsid w:val="0008705B"/>
    <w:rsid w:val="000870E3"/>
    <w:rsid w:val="0008715E"/>
    <w:rsid w:val="000871D4"/>
    <w:rsid w:val="00087257"/>
    <w:rsid w:val="0008730B"/>
    <w:rsid w:val="0008747D"/>
    <w:rsid w:val="00087574"/>
    <w:rsid w:val="000876FF"/>
    <w:rsid w:val="00087707"/>
    <w:rsid w:val="00087773"/>
    <w:rsid w:val="00087863"/>
    <w:rsid w:val="000878C8"/>
    <w:rsid w:val="00087A1E"/>
    <w:rsid w:val="00087B04"/>
    <w:rsid w:val="00087BE8"/>
    <w:rsid w:val="00087C60"/>
    <w:rsid w:val="00087DE4"/>
    <w:rsid w:val="00087F21"/>
    <w:rsid w:val="00087F5F"/>
    <w:rsid w:val="00087F65"/>
    <w:rsid w:val="0009000B"/>
    <w:rsid w:val="00090010"/>
    <w:rsid w:val="00090395"/>
    <w:rsid w:val="000903FA"/>
    <w:rsid w:val="000904C3"/>
    <w:rsid w:val="000904EA"/>
    <w:rsid w:val="000905EB"/>
    <w:rsid w:val="00090626"/>
    <w:rsid w:val="00090730"/>
    <w:rsid w:val="00090733"/>
    <w:rsid w:val="00090991"/>
    <w:rsid w:val="00090ADD"/>
    <w:rsid w:val="00090D10"/>
    <w:rsid w:val="00090EB2"/>
    <w:rsid w:val="00090F45"/>
    <w:rsid w:val="00090F94"/>
    <w:rsid w:val="00090FE5"/>
    <w:rsid w:val="00091021"/>
    <w:rsid w:val="00091027"/>
    <w:rsid w:val="0009113E"/>
    <w:rsid w:val="0009114F"/>
    <w:rsid w:val="0009121A"/>
    <w:rsid w:val="000912CD"/>
    <w:rsid w:val="000913E7"/>
    <w:rsid w:val="00091748"/>
    <w:rsid w:val="00091873"/>
    <w:rsid w:val="0009188F"/>
    <w:rsid w:val="000918F9"/>
    <w:rsid w:val="00091A15"/>
    <w:rsid w:val="00091A97"/>
    <w:rsid w:val="00091B3C"/>
    <w:rsid w:val="00091C16"/>
    <w:rsid w:val="00091E2F"/>
    <w:rsid w:val="00092120"/>
    <w:rsid w:val="000922B5"/>
    <w:rsid w:val="000922DB"/>
    <w:rsid w:val="00092332"/>
    <w:rsid w:val="0009255C"/>
    <w:rsid w:val="00092655"/>
    <w:rsid w:val="00092711"/>
    <w:rsid w:val="000928F6"/>
    <w:rsid w:val="0009297B"/>
    <w:rsid w:val="000929DA"/>
    <w:rsid w:val="00092B0B"/>
    <w:rsid w:val="00092B49"/>
    <w:rsid w:val="00092B6A"/>
    <w:rsid w:val="00092B74"/>
    <w:rsid w:val="00092CBA"/>
    <w:rsid w:val="00092F2F"/>
    <w:rsid w:val="00092F37"/>
    <w:rsid w:val="00092F41"/>
    <w:rsid w:val="00092F6B"/>
    <w:rsid w:val="00093007"/>
    <w:rsid w:val="000930E3"/>
    <w:rsid w:val="00093504"/>
    <w:rsid w:val="0009354C"/>
    <w:rsid w:val="0009358D"/>
    <w:rsid w:val="000936A3"/>
    <w:rsid w:val="0009388D"/>
    <w:rsid w:val="000938BD"/>
    <w:rsid w:val="00093A04"/>
    <w:rsid w:val="00093B39"/>
    <w:rsid w:val="00093B8D"/>
    <w:rsid w:val="00093DF0"/>
    <w:rsid w:val="00093F13"/>
    <w:rsid w:val="00093FF7"/>
    <w:rsid w:val="000941BE"/>
    <w:rsid w:val="00094367"/>
    <w:rsid w:val="000943C5"/>
    <w:rsid w:val="00094527"/>
    <w:rsid w:val="0009472E"/>
    <w:rsid w:val="0009479B"/>
    <w:rsid w:val="000947AA"/>
    <w:rsid w:val="0009489D"/>
    <w:rsid w:val="0009491D"/>
    <w:rsid w:val="00094A05"/>
    <w:rsid w:val="00094AFE"/>
    <w:rsid w:val="00094B0A"/>
    <w:rsid w:val="00094CB0"/>
    <w:rsid w:val="00094D36"/>
    <w:rsid w:val="00094D84"/>
    <w:rsid w:val="00094F02"/>
    <w:rsid w:val="0009505B"/>
    <w:rsid w:val="00095069"/>
    <w:rsid w:val="000951FE"/>
    <w:rsid w:val="0009538E"/>
    <w:rsid w:val="000956FC"/>
    <w:rsid w:val="00095873"/>
    <w:rsid w:val="000958BC"/>
    <w:rsid w:val="00095A49"/>
    <w:rsid w:val="00095A62"/>
    <w:rsid w:val="00095AB1"/>
    <w:rsid w:val="00095AD6"/>
    <w:rsid w:val="00095BE6"/>
    <w:rsid w:val="00095CA4"/>
    <w:rsid w:val="00095CEE"/>
    <w:rsid w:val="00095DB1"/>
    <w:rsid w:val="00095DBC"/>
    <w:rsid w:val="00095E0A"/>
    <w:rsid w:val="0009601B"/>
    <w:rsid w:val="00096111"/>
    <w:rsid w:val="0009616D"/>
    <w:rsid w:val="000961BF"/>
    <w:rsid w:val="00096242"/>
    <w:rsid w:val="000962F1"/>
    <w:rsid w:val="00096488"/>
    <w:rsid w:val="0009658C"/>
    <w:rsid w:val="00096591"/>
    <w:rsid w:val="000965AE"/>
    <w:rsid w:val="000967B1"/>
    <w:rsid w:val="00096A75"/>
    <w:rsid w:val="00096B63"/>
    <w:rsid w:val="00096BF8"/>
    <w:rsid w:val="000971F5"/>
    <w:rsid w:val="00097251"/>
    <w:rsid w:val="000972F0"/>
    <w:rsid w:val="00097389"/>
    <w:rsid w:val="0009742E"/>
    <w:rsid w:val="000975FD"/>
    <w:rsid w:val="00097842"/>
    <w:rsid w:val="00097B30"/>
    <w:rsid w:val="00097B37"/>
    <w:rsid w:val="00097D24"/>
    <w:rsid w:val="00097D2C"/>
    <w:rsid w:val="00097D69"/>
    <w:rsid w:val="00097EB1"/>
    <w:rsid w:val="000A0347"/>
    <w:rsid w:val="000A047A"/>
    <w:rsid w:val="000A0485"/>
    <w:rsid w:val="000A0720"/>
    <w:rsid w:val="000A07C7"/>
    <w:rsid w:val="000A07E6"/>
    <w:rsid w:val="000A08AA"/>
    <w:rsid w:val="000A0939"/>
    <w:rsid w:val="000A0B04"/>
    <w:rsid w:val="000A0B1C"/>
    <w:rsid w:val="000A0B2C"/>
    <w:rsid w:val="000A0BF6"/>
    <w:rsid w:val="000A0ED9"/>
    <w:rsid w:val="000A0F51"/>
    <w:rsid w:val="000A1058"/>
    <w:rsid w:val="000A1168"/>
    <w:rsid w:val="000A1245"/>
    <w:rsid w:val="000A12CD"/>
    <w:rsid w:val="000A137F"/>
    <w:rsid w:val="000A14B0"/>
    <w:rsid w:val="000A1525"/>
    <w:rsid w:val="000A1652"/>
    <w:rsid w:val="000A16B7"/>
    <w:rsid w:val="000A1ADF"/>
    <w:rsid w:val="000A1C2B"/>
    <w:rsid w:val="000A1CBF"/>
    <w:rsid w:val="000A1E0E"/>
    <w:rsid w:val="000A1E3C"/>
    <w:rsid w:val="000A1ECE"/>
    <w:rsid w:val="000A1F02"/>
    <w:rsid w:val="000A1F31"/>
    <w:rsid w:val="000A206F"/>
    <w:rsid w:val="000A2078"/>
    <w:rsid w:val="000A2097"/>
    <w:rsid w:val="000A2393"/>
    <w:rsid w:val="000A23A1"/>
    <w:rsid w:val="000A23C7"/>
    <w:rsid w:val="000A23F9"/>
    <w:rsid w:val="000A264F"/>
    <w:rsid w:val="000A2655"/>
    <w:rsid w:val="000A26B9"/>
    <w:rsid w:val="000A2718"/>
    <w:rsid w:val="000A27D0"/>
    <w:rsid w:val="000A2803"/>
    <w:rsid w:val="000A29B6"/>
    <w:rsid w:val="000A2B9E"/>
    <w:rsid w:val="000A2BF0"/>
    <w:rsid w:val="000A2CD0"/>
    <w:rsid w:val="000A2D7D"/>
    <w:rsid w:val="000A2EA3"/>
    <w:rsid w:val="000A2F54"/>
    <w:rsid w:val="000A2FC0"/>
    <w:rsid w:val="000A2FFC"/>
    <w:rsid w:val="000A3241"/>
    <w:rsid w:val="000A32AD"/>
    <w:rsid w:val="000A333E"/>
    <w:rsid w:val="000A3443"/>
    <w:rsid w:val="000A34A5"/>
    <w:rsid w:val="000A3533"/>
    <w:rsid w:val="000A35BA"/>
    <w:rsid w:val="000A364B"/>
    <w:rsid w:val="000A364C"/>
    <w:rsid w:val="000A388A"/>
    <w:rsid w:val="000A39BC"/>
    <w:rsid w:val="000A39E7"/>
    <w:rsid w:val="000A3AC2"/>
    <w:rsid w:val="000A3B77"/>
    <w:rsid w:val="000A3C56"/>
    <w:rsid w:val="000A3EC1"/>
    <w:rsid w:val="000A4061"/>
    <w:rsid w:val="000A4389"/>
    <w:rsid w:val="000A444A"/>
    <w:rsid w:val="000A44CE"/>
    <w:rsid w:val="000A47E9"/>
    <w:rsid w:val="000A4A5B"/>
    <w:rsid w:val="000A4B55"/>
    <w:rsid w:val="000A4B9E"/>
    <w:rsid w:val="000A4C5B"/>
    <w:rsid w:val="000A4EC3"/>
    <w:rsid w:val="000A5133"/>
    <w:rsid w:val="000A529D"/>
    <w:rsid w:val="000A52C2"/>
    <w:rsid w:val="000A52F1"/>
    <w:rsid w:val="000A5358"/>
    <w:rsid w:val="000A540D"/>
    <w:rsid w:val="000A5490"/>
    <w:rsid w:val="000A549B"/>
    <w:rsid w:val="000A55A9"/>
    <w:rsid w:val="000A55B0"/>
    <w:rsid w:val="000A55EF"/>
    <w:rsid w:val="000A56CC"/>
    <w:rsid w:val="000A56DE"/>
    <w:rsid w:val="000A58EA"/>
    <w:rsid w:val="000A5926"/>
    <w:rsid w:val="000A59FA"/>
    <w:rsid w:val="000A5CA1"/>
    <w:rsid w:val="000A5D7F"/>
    <w:rsid w:val="000A5E0B"/>
    <w:rsid w:val="000A6381"/>
    <w:rsid w:val="000A6788"/>
    <w:rsid w:val="000A679B"/>
    <w:rsid w:val="000A68F6"/>
    <w:rsid w:val="000A6987"/>
    <w:rsid w:val="000A69D9"/>
    <w:rsid w:val="000A6A32"/>
    <w:rsid w:val="000A6BA5"/>
    <w:rsid w:val="000A6C17"/>
    <w:rsid w:val="000A6CDB"/>
    <w:rsid w:val="000A6E64"/>
    <w:rsid w:val="000A6F33"/>
    <w:rsid w:val="000A707C"/>
    <w:rsid w:val="000A725D"/>
    <w:rsid w:val="000A727C"/>
    <w:rsid w:val="000A73AF"/>
    <w:rsid w:val="000A748C"/>
    <w:rsid w:val="000A74E3"/>
    <w:rsid w:val="000A7544"/>
    <w:rsid w:val="000A7628"/>
    <w:rsid w:val="000A7687"/>
    <w:rsid w:val="000A774C"/>
    <w:rsid w:val="000A7873"/>
    <w:rsid w:val="000A7A4A"/>
    <w:rsid w:val="000A7A96"/>
    <w:rsid w:val="000A7AE6"/>
    <w:rsid w:val="000A7B45"/>
    <w:rsid w:val="000A7C84"/>
    <w:rsid w:val="000A7CEB"/>
    <w:rsid w:val="000A7D27"/>
    <w:rsid w:val="000A7DC1"/>
    <w:rsid w:val="000B000D"/>
    <w:rsid w:val="000B02AD"/>
    <w:rsid w:val="000B03AF"/>
    <w:rsid w:val="000B0471"/>
    <w:rsid w:val="000B053F"/>
    <w:rsid w:val="000B0639"/>
    <w:rsid w:val="000B068A"/>
    <w:rsid w:val="000B0705"/>
    <w:rsid w:val="000B0730"/>
    <w:rsid w:val="000B095E"/>
    <w:rsid w:val="000B0CA1"/>
    <w:rsid w:val="000B0ED3"/>
    <w:rsid w:val="000B0F94"/>
    <w:rsid w:val="000B109A"/>
    <w:rsid w:val="000B10A5"/>
    <w:rsid w:val="000B11E8"/>
    <w:rsid w:val="000B12C8"/>
    <w:rsid w:val="000B14FC"/>
    <w:rsid w:val="000B1592"/>
    <w:rsid w:val="000B165B"/>
    <w:rsid w:val="000B175A"/>
    <w:rsid w:val="000B18AE"/>
    <w:rsid w:val="000B1AE6"/>
    <w:rsid w:val="000B1BA0"/>
    <w:rsid w:val="000B1BFC"/>
    <w:rsid w:val="000B1DAB"/>
    <w:rsid w:val="000B1E40"/>
    <w:rsid w:val="000B2043"/>
    <w:rsid w:val="000B2097"/>
    <w:rsid w:val="000B20A0"/>
    <w:rsid w:val="000B2190"/>
    <w:rsid w:val="000B21AF"/>
    <w:rsid w:val="000B2267"/>
    <w:rsid w:val="000B23EE"/>
    <w:rsid w:val="000B23FE"/>
    <w:rsid w:val="000B263F"/>
    <w:rsid w:val="000B269B"/>
    <w:rsid w:val="000B2765"/>
    <w:rsid w:val="000B276B"/>
    <w:rsid w:val="000B292E"/>
    <w:rsid w:val="000B2AEB"/>
    <w:rsid w:val="000B2BBA"/>
    <w:rsid w:val="000B2C43"/>
    <w:rsid w:val="000B2CF0"/>
    <w:rsid w:val="000B2D37"/>
    <w:rsid w:val="000B2E5E"/>
    <w:rsid w:val="000B31B8"/>
    <w:rsid w:val="000B32C3"/>
    <w:rsid w:val="000B3348"/>
    <w:rsid w:val="000B339F"/>
    <w:rsid w:val="000B347D"/>
    <w:rsid w:val="000B35EF"/>
    <w:rsid w:val="000B3658"/>
    <w:rsid w:val="000B36F4"/>
    <w:rsid w:val="000B37DF"/>
    <w:rsid w:val="000B3897"/>
    <w:rsid w:val="000B389F"/>
    <w:rsid w:val="000B397E"/>
    <w:rsid w:val="000B39CF"/>
    <w:rsid w:val="000B3B07"/>
    <w:rsid w:val="000B3B66"/>
    <w:rsid w:val="000B3D71"/>
    <w:rsid w:val="000B3E64"/>
    <w:rsid w:val="000B3FB1"/>
    <w:rsid w:val="000B41F7"/>
    <w:rsid w:val="000B4385"/>
    <w:rsid w:val="000B43C4"/>
    <w:rsid w:val="000B45E4"/>
    <w:rsid w:val="000B4649"/>
    <w:rsid w:val="000B4683"/>
    <w:rsid w:val="000B4777"/>
    <w:rsid w:val="000B486D"/>
    <w:rsid w:val="000B4A1B"/>
    <w:rsid w:val="000B4D19"/>
    <w:rsid w:val="000B4E5F"/>
    <w:rsid w:val="000B4EAF"/>
    <w:rsid w:val="000B4FB5"/>
    <w:rsid w:val="000B50B5"/>
    <w:rsid w:val="000B5107"/>
    <w:rsid w:val="000B519E"/>
    <w:rsid w:val="000B51AB"/>
    <w:rsid w:val="000B51C9"/>
    <w:rsid w:val="000B5217"/>
    <w:rsid w:val="000B5266"/>
    <w:rsid w:val="000B52C7"/>
    <w:rsid w:val="000B5347"/>
    <w:rsid w:val="000B556E"/>
    <w:rsid w:val="000B56AB"/>
    <w:rsid w:val="000B58C4"/>
    <w:rsid w:val="000B59D6"/>
    <w:rsid w:val="000B5AF2"/>
    <w:rsid w:val="000B5C46"/>
    <w:rsid w:val="000B5F04"/>
    <w:rsid w:val="000B6120"/>
    <w:rsid w:val="000B617D"/>
    <w:rsid w:val="000B631F"/>
    <w:rsid w:val="000B679F"/>
    <w:rsid w:val="000B68E5"/>
    <w:rsid w:val="000B6923"/>
    <w:rsid w:val="000B6A06"/>
    <w:rsid w:val="000B6AED"/>
    <w:rsid w:val="000B6B0F"/>
    <w:rsid w:val="000B6C1D"/>
    <w:rsid w:val="000B6D3B"/>
    <w:rsid w:val="000B6DDE"/>
    <w:rsid w:val="000B6E5B"/>
    <w:rsid w:val="000B703E"/>
    <w:rsid w:val="000B718B"/>
    <w:rsid w:val="000B7235"/>
    <w:rsid w:val="000B7369"/>
    <w:rsid w:val="000B739A"/>
    <w:rsid w:val="000B739B"/>
    <w:rsid w:val="000B74FF"/>
    <w:rsid w:val="000B7516"/>
    <w:rsid w:val="000B7646"/>
    <w:rsid w:val="000B7662"/>
    <w:rsid w:val="000B76A3"/>
    <w:rsid w:val="000B79F3"/>
    <w:rsid w:val="000B7A06"/>
    <w:rsid w:val="000B7AD8"/>
    <w:rsid w:val="000B7BF1"/>
    <w:rsid w:val="000B7CE8"/>
    <w:rsid w:val="000B7F25"/>
    <w:rsid w:val="000B7FBD"/>
    <w:rsid w:val="000C02DD"/>
    <w:rsid w:val="000C05C0"/>
    <w:rsid w:val="000C0901"/>
    <w:rsid w:val="000C09B2"/>
    <w:rsid w:val="000C09D4"/>
    <w:rsid w:val="000C0B06"/>
    <w:rsid w:val="000C0BA0"/>
    <w:rsid w:val="000C0BCF"/>
    <w:rsid w:val="000C0BD6"/>
    <w:rsid w:val="000C0BE4"/>
    <w:rsid w:val="000C0C49"/>
    <w:rsid w:val="000C0D1B"/>
    <w:rsid w:val="000C0EDC"/>
    <w:rsid w:val="000C104F"/>
    <w:rsid w:val="000C111D"/>
    <w:rsid w:val="000C1685"/>
    <w:rsid w:val="000C16FC"/>
    <w:rsid w:val="000C182D"/>
    <w:rsid w:val="000C1839"/>
    <w:rsid w:val="000C19DE"/>
    <w:rsid w:val="000C1A94"/>
    <w:rsid w:val="000C1B56"/>
    <w:rsid w:val="000C1B8F"/>
    <w:rsid w:val="000C1DBA"/>
    <w:rsid w:val="000C1E0D"/>
    <w:rsid w:val="000C1E85"/>
    <w:rsid w:val="000C2007"/>
    <w:rsid w:val="000C2041"/>
    <w:rsid w:val="000C22C6"/>
    <w:rsid w:val="000C2347"/>
    <w:rsid w:val="000C24FE"/>
    <w:rsid w:val="000C2536"/>
    <w:rsid w:val="000C26DA"/>
    <w:rsid w:val="000C273C"/>
    <w:rsid w:val="000C2926"/>
    <w:rsid w:val="000C296B"/>
    <w:rsid w:val="000C29B8"/>
    <w:rsid w:val="000C2A9A"/>
    <w:rsid w:val="000C2A9F"/>
    <w:rsid w:val="000C2C02"/>
    <w:rsid w:val="000C2C0A"/>
    <w:rsid w:val="000C2CC4"/>
    <w:rsid w:val="000C2CDB"/>
    <w:rsid w:val="000C2D9B"/>
    <w:rsid w:val="000C2DBC"/>
    <w:rsid w:val="000C2E6D"/>
    <w:rsid w:val="000C2EAE"/>
    <w:rsid w:val="000C2ECB"/>
    <w:rsid w:val="000C2ED9"/>
    <w:rsid w:val="000C2EE4"/>
    <w:rsid w:val="000C2EE9"/>
    <w:rsid w:val="000C2EF9"/>
    <w:rsid w:val="000C3070"/>
    <w:rsid w:val="000C3078"/>
    <w:rsid w:val="000C311B"/>
    <w:rsid w:val="000C3170"/>
    <w:rsid w:val="000C3302"/>
    <w:rsid w:val="000C3440"/>
    <w:rsid w:val="000C352E"/>
    <w:rsid w:val="000C3586"/>
    <w:rsid w:val="000C35F1"/>
    <w:rsid w:val="000C36E3"/>
    <w:rsid w:val="000C3710"/>
    <w:rsid w:val="000C383F"/>
    <w:rsid w:val="000C3A7D"/>
    <w:rsid w:val="000C3ACA"/>
    <w:rsid w:val="000C3C3C"/>
    <w:rsid w:val="000C3C88"/>
    <w:rsid w:val="000C3EFB"/>
    <w:rsid w:val="000C3F04"/>
    <w:rsid w:val="000C3F31"/>
    <w:rsid w:val="000C3F94"/>
    <w:rsid w:val="000C42A5"/>
    <w:rsid w:val="000C4475"/>
    <w:rsid w:val="000C44EC"/>
    <w:rsid w:val="000C453E"/>
    <w:rsid w:val="000C4660"/>
    <w:rsid w:val="000C46A4"/>
    <w:rsid w:val="000C4759"/>
    <w:rsid w:val="000C48A3"/>
    <w:rsid w:val="000C4925"/>
    <w:rsid w:val="000C4A60"/>
    <w:rsid w:val="000C4B40"/>
    <w:rsid w:val="000C4BC5"/>
    <w:rsid w:val="000C4D67"/>
    <w:rsid w:val="000C4D89"/>
    <w:rsid w:val="000C4E19"/>
    <w:rsid w:val="000C4FF1"/>
    <w:rsid w:val="000C501E"/>
    <w:rsid w:val="000C507A"/>
    <w:rsid w:val="000C5124"/>
    <w:rsid w:val="000C516F"/>
    <w:rsid w:val="000C51A3"/>
    <w:rsid w:val="000C5577"/>
    <w:rsid w:val="000C5790"/>
    <w:rsid w:val="000C5C3A"/>
    <w:rsid w:val="000C5EFF"/>
    <w:rsid w:val="000C6124"/>
    <w:rsid w:val="000C62D4"/>
    <w:rsid w:val="000C667B"/>
    <w:rsid w:val="000C6A8C"/>
    <w:rsid w:val="000C6AC3"/>
    <w:rsid w:val="000C6BE7"/>
    <w:rsid w:val="000C6C08"/>
    <w:rsid w:val="000C6D34"/>
    <w:rsid w:val="000C71A0"/>
    <w:rsid w:val="000C71B3"/>
    <w:rsid w:val="000C71C6"/>
    <w:rsid w:val="000C7467"/>
    <w:rsid w:val="000C766C"/>
    <w:rsid w:val="000C76CF"/>
    <w:rsid w:val="000C77FA"/>
    <w:rsid w:val="000C78F0"/>
    <w:rsid w:val="000C7AAD"/>
    <w:rsid w:val="000C7B92"/>
    <w:rsid w:val="000C7D3C"/>
    <w:rsid w:val="000C7E8B"/>
    <w:rsid w:val="000CDC59"/>
    <w:rsid w:val="000D0155"/>
    <w:rsid w:val="000D021D"/>
    <w:rsid w:val="000D039A"/>
    <w:rsid w:val="000D048A"/>
    <w:rsid w:val="000D05E8"/>
    <w:rsid w:val="000D063D"/>
    <w:rsid w:val="000D0641"/>
    <w:rsid w:val="000D0720"/>
    <w:rsid w:val="000D0AD3"/>
    <w:rsid w:val="000D0BD0"/>
    <w:rsid w:val="000D0C18"/>
    <w:rsid w:val="000D0C54"/>
    <w:rsid w:val="000D0D3F"/>
    <w:rsid w:val="000D0EB2"/>
    <w:rsid w:val="000D0F11"/>
    <w:rsid w:val="000D0FF6"/>
    <w:rsid w:val="000D11A5"/>
    <w:rsid w:val="000D1217"/>
    <w:rsid w:val="000D12F7"/>
    <w:rsid w:val="000D1542"/>
    <w:rsid w:val="000D15A6"/>
    <w:rsid w:val="000D15F2"/>
    <w:rsid w:val="000D18BA"/>
    <w:rsid w:val="000D19F5"/>
    <w:rsid w:val="000D1B4B"/>
    <w:rsid w:val="000D1BEB"/>
    <w:rsid w:val="000D1D33"/>
    <w:rsid w:val="000D1D74"/>
    <w:rsid w:val="000D1DAD"/>
    <w:rsid w:val="000D1E95"/>
    <w:rsid w:val="000D202B"/>
    <w:rsid w:val="000D2136"/>
    <w:rsid w:val="000D23BB"/>
    <w:rsid w:val="000D2452"/>
    <w:rsid w:val="000D25C5"/>
    <w:rsid w:val="000D2A9E"/>
    <w:rsid w:val="000D2BDA"/>
    <w:rsid w:val="000D2BE9"/>
    <w:rsid w:val="000D2DB6"/>
    <w:rsid w:val="000D2EE1"/>
    <w:rsid w:val="000D2F3F"/>
    <w:rsid w:val="000D30B1"/>
    <w:rsid w:val="000D3137"/>
    <w:rsid w:val="000D3197"/>
    <w:rsid w:val="000D32AC"/>
    <w:rsid w:val="000D32C0"/>
    <w:rsid w:val="000D32FC"/>
    <w:rsid w:val="000D336E"/>
    <w:rsid w:val="000D34AF"/>
    <w:rsid w:val="000D36D4"/>
    <w:rsid w:val="000D380E"/>
    <w:rsid w:val="000D383F"/>
    <w:rsid w:val="000D38AA"/>
    <w:rsid w:val="000D38FC"/>
    <w:rsid w:val="000D3903"/>
    <w:rsid w:val="000D3947"/>
    <w:rsid w:val="000D3A60"/>
    <w:rsid w:val="000D3B10"/>
    <w:rsid w:val="000D3B1A"/>
    <w:rsid w:val="000D3CC7"/>
    <w:rsid w:val="000D3E20"/>
    <w:rsid w:val="000D3E9D"/>
    <w:rsid w:val="000D3EEC"/>
    <w:rsid w:val="000D40A5"/>
    <w:rsid w:val="000D4200"/>
    <w:rsid w:val="000D43B2"/>
    <w:rsid w:val="000D44C8"/>
    <w:rsid w:val="000D46A7"/>
    <w:rsid w:val="000D4791"/>
    <w:rsid w:val="000D4807"/>
    <w:rsid w:val="000D49EF"/>
    <w:rsid w:val="000D4C79"/>
    <w:rsid w:val="000D4DBB"/>
    <w:rsid w:val="000D533C"/>
    <w:rsid w:val="000D53A8"/>
    <w:rsid w:val="000D5432"/>
    <w:rsid w:val="000D5504"/>
    <w:rsid w:val="000D556E"/>
    <w:rsid w:val="000D5603"/>
    <w:rsid w:val="000D5821"/>
    <w:rsid w:val="000D59CE"/>
    <w:rsid w:val="000D5B3A"/>
    <w:rsid w:val="000D5B52"/>
    <w:rsid w:val="000D5B5B"/>
    <w:rsid w:val="000D5C1A"/>
    <w:rsid w:val="000D5C7D"/>
    <w:rsid w:val="000D626B"/>
    <w:rsid w:val="000D6299"/>
    <w:rsid w:val="000D64F9"/>
    <w:rsid w:val="000D666C"/>
    <w:rsid w:val="000D66BC"/>
    <w:rsid w:val="000D66F8"/>
    <w:rsid w:val="000D679B"/>
    <w:rsid w:val="000D6ADC"/>
    <w:rsid w:val="000D6B09"/>
    <w:rsid w:val="000D6D29"/>
    <w:rsid w:val="000D6D49"/>
    <w:rsid w:val="000D6DF7"/>
    <w:rsid w:val="000D6E4E"/>
    <w:rsid w:val="000D6E80"/>
    <w:rsid w:val="000D7040"/>
    <w:rsid w:val="000D706D"/>
    <w:rsid w:val="000D710D"/>
    <w:rsid w:val="000D715F"/>
    <w:rsid w:val="000D719C"/>
    <w:rsid w:val="000D7237"/>
    <w:rsid w:val="000D74AC"/>
    <w:rsid w:val="000D76FE"/>
    <w:rsid w:val="000D77E0"/>
    <w:rsid w:val="000D7963"/>
    <w:rsid w:val="000D7A2A"/>
    <w:rsid w:val="000D7A34"/>
    <w:rsid w:val="000D7A3F"/>
    <w:rsid w:val="000D7A52"/>
    <w:rsid w:val="000D7A54"/>
    <w:rsid w:val="000D7A8C"/>
    <w:rsid w:val="000D7B22"/>
    <w:rsid w:val="000D7B48"/>
    <w:rsid w:val="000D7C72"/>
    <w:rsid w:val="000D7C7D"/>
    <w:rsid w:val="000D7C96"/>
    <w:rsid w:val="000D7D28"/>
    <w:rsid w:val="000D7D2D"/>
    <w:rsid w:val="000D7E17"/>
    <w:rsid w:val="000D7E6D"/>
    <w:rsid w:val="000D7E7B"/>
    <w:rsid w:val="000D7F00"/>
    <w:rsid w:val="000D7FB5"/>
    <w:rsid w:val="000E018F"/>
    <w:rsid w:val="000E028C"/>
    <w:rsid w:val="000E0304"/>
    <w:rsid w:val="000E036D"/>
    <w:rsid w:val="000E04B4"/>
    <w:rsid w:val="000E04C6"/>
    <w:rsid w:val="000E04DF"/>
    <w:rsid w:val="000E0561"/>
    <w:rsid w:val="000E0635"/>
    <w:rsid w:val="000E06F4"/>
    <w:rsid w:val="000E091E"/>
    <w:rsid w:val="000E0929"/>
    <w:rsid w:val="000E09D9"/>
    <w:rsid w:val="000E0AC2"/>
    <w:rsid w:val="000E0B9C"/>
    <w:rsid w:val="000E0F1F"/>
    <w:rsid w:val="000E0FC7"/>
    <w:rsid w:val="000E1261"/>
    <w:rsid w:val="000E12D7"/>
    <w:rsid w:val="000E133A"/>
    <w:rsid w:val="000E13BC"/>
    <w:rsid w:val="000E1555"/>
    <w:rsid w:val="000E168B"/>
    <w:rsid w:val="000E1697"/>
    <w:rsid w:val="000E1777"/>
    <w:rsid w:val="000E1A38"/>
    <w:rsid w:val="000E1A65"/>
    <w:rsid w:val="000E1ABE"/>
    <w:rsid w:val="000E1AD3"/>
    <w:rsid w:val="000E1B1B"/>
    <w:rsid w:val="000E1DD7"/>
    <w:rsid w:val="000E1EAA"/>
    <w:rsid w:val="000E21A0"/>
    <w:rsid w:val="000E226A"/>
    <w:rsid w:val="000E230E"/>
    <w:rsid w:val="000E24A7"/>
    <w:rsid w:val="000E24BF"/>
    <w:rsid w:val="000E2583"/>
    <w:rsid w:val="000E2586"/>
    <w:rsid w:val="000E25F1"/>
    <w:rsid w:val="000E26CD"/>
    <w:rsid w:val="000E2783"/>
    <w:rsid w:val="000E28CE"/>
    <w:rsid w:val="000E28E5"/>
    <w:rsid w:val="000E295D"/>
    <w:rsid w:val="000E29AF"/>
    <w:rsid w:val="000E2BD1"/>
    <w:rsid w:val="000E2C3E"/>
    <w:rsid w:val="000E2C3F"/>
    <w:rsid w:val="000E2DA7"/>
    <w:rsid w:val="000E2DD8"/>
    <w:rsid w:val="000E2F9E"/>
    <w:rsid w:val="000E2FD8"/>
    <w:rsid w:val="000E310D"/>
    <w:rsid w:val="000E334C"/>
    <w:rsid w:val="000E3360"/>
    <w:rsid w:val="000E3373"/>
    <w:rsid w:val="000E33B7"/>
    <w:rsid w:val="000E3523"/>
    <w:rsid w:val="000E3562"/>
    <w:rsid w:val="000E367D"/>
    <w:rsid w:val="000E3717"/>
    <w:rsid w:val="000E37DD"/>
    <w:rsid w:val="000E39AF"/>
    <w:rsid w:val="000E3BCC"/>
    <w:rsid w:val="000E3E3E"/>
    <w:rsid w:val="000E3E56"/>
    <w:rsid w:val="000E3EDF"/>
    <w:rsid w:val="000E4074"/>
    <w:rsid w:val="000E40DC"/>
    <w:rsid w:val="000E4494"/>
    <w:rsid w:val="000E45FB"/>
    <w:rsid w:val="000E4655"/>
    <w:rsid w:val="000E475A"/>
    <w:rsid w:val="000E48ED"/>
    <w:rsid w:val="000E493E"/>
    <w:rsid w:val="000E4950"/>
    <w:rsid w:val="000E4A49"/>
    <w:rsid w:val="000E4B7F"/>
    <w:rsid w:val="000E4CFE"/>
    <w:rsid w:val="000E4D13"/>
    <w:rsid w:val="000E4F77"/>
    <w:rsid w:val="000E4FF4"/>
    <w:rsid w:val="000E5154"/>
    <w:rsid w:val="000E52DC"/>
    <w:rsid w:val="000E5360"/>
    <w:rsid w:val="000E555A"/>
    <w:rsid w:val="000E55E0"/>
    <w:rsid w:val="000E55F0"/>
    <w:rsid w:val="000E5627"/>
    <w:rsid w:val="000E587D"/>
    <w:rsid w:val="000E5C3B"/>
    <w:rsid w:val="000E5CB7"/>
    <w:rsid w:val="000E6080"/>
    <w:rsid w:val="000E60FA"/>
    <w:rsid w:val="000E6136"/>
    <w:rsid w:val="000E62DE"/>
    <w:rsid w:val="000E6583"/>
    <w:rsid w:val="000E65F9"/>
    <w:rsid w:val="000E6724"/>
    <w:rsid w:val="000E6C32"/>
    <w:rsid w:val="000E6C84"/>
    <w:rsid w:val="000E6D80"/>
    <w:rsid w:val="000E6E8A"/>
    <w:rsid w:val="000E6EA2"/>
    <w:rsid w:val="000E6F3F"/>
    <w:rsid w:val="000E705F"/>
    <w:rsid w:val="000E71FA"/>
    <w:rsid w:val="000E7410"/>
    <w:rsid w:val="000E74E0"/>
    <w:rsid w:val="000E74F0"/>
    <w:rsid w:val="000E75F0"/>
    <w:rsid w:val="000E77CD"/>
    <w:rsid w:val="000E7AB6"/>
    <w:rsid w:val="000E7B99"/>
    <w:rsid w:val="000E7C01"/>
    <w:rsid w:val="000E7C45"/>
    <w:rsid w:val="000E7D32"/>
    <w:rsid w:val="000E7D84"/>
    <w:rsid w:val="000F012E"/>
    <w:rsid w:val="000F01D1"/>
    <w:rsid w:val="000F026F"/>
    <w:rsid w:val="000F02C3"/>
    <w:rsid w:val="000F038C"/>
    <w:rsid w:val="000F041B"/>
    <w:rsid w:val="000F04BF"/>
    <w:rsid w:val="000F0534"/>
    <w:rsid w:val="000F0595"/>
    <w:rsid w:val="000F0895"/>
    <w:rsid w:val="000F0ADB"/>
    <w:rsid w:val="000F0AF6"/>
    <w:rsid w:val="000F0B5C"/>
    <w:rsid w:val="000F0BB5"/>
    <w:rsid w:val="000F0CF4"/>
    <w:rsid w:val="000F0EAF"/>
    <w:rsid w:val="000F105F"/>
    <w:rsid w:val="000F11FD"/>
    <w:rsid w:val="000F1203"/>
    <w:rsid w:val="000F1289"/>
    <w:rsid w:val="000F1348"/>
    <w:rsid w:val="000F146B"/>
    <w:rsid w:val="000F14AA"/>
    <w:rsid w:val="000F1684"/>
    <w:rsid w:val="000F1728"/>
    <w:rsid w:val="000F1797"/>
    <w:rsid w:val="000F17BA"/>
    <w:rsid w:val="000F181D"/>
    <w:rsid w:val="000F192D"/>
    <w:rsid w:val="000F1988"/>
    <w:rsid w:val="000F1A7B"/>
    <w:rsid w:val="000F1C7E"/>
    <w:rsid w:val="000F1D5F"/>
    <w:rsid w:val="000F1FAF"/>
    <w:rsid w:val="000F20E8"/>
    <w:rsid w:val="000F2119"/>
    <w:rsid w:val="000F2154"/>
    <w:rsid w:val="000F2231"/>
    <w:rsid w:val="000F22AF"/>
    <w:rsid w:val="000F27FA"/>
    <w:rsid w:val="000F2995"/>
    <w:rsid w:val="000F29A2"/>
    <w:rsid w:val="000F2BA4"/>
    <w:rsid w:val="000F2DD1"/>
    <w:rsid w:val="000F2F7D"/>
    <w:rsid w:val="000F30FC"/>
    <w:rsid w:val="000F32D0"/>
    <w:rsid w:val="000F337A"/>
    <w:rsid w:val="000F34D5"/>
    <w:rsid w:val="000F35DA"/>
    <w:rsid w:val="000F37A7"/>
    <w:rsid w:val="000F3B6A"/>
    <w:rsid w:val="000F3BD8"/>
    <w:rsid w:val="000F3CA9"/>
    <w:rsid w:val="000F3D61"/>
    <w:rsid w:val="000F3DD6"/>
    <w:rsid w:val="000F3E31"/>
    <w:rsid w:val="000F41F2"/>
    <w:rsid w:val="000F4207"/>
    <w:rsid w:val="000F45B3"/>
    <w:rsid w:val="000F4692"/>
    <w:rsid w:val="000F47EA"/>
    <w:rsid w:val="000F4841"/>
    <w:rsid w:val="000F4ABB"/>
    <w:rsid w:val="000F4C65"/>
    <w:rsid w:val="000F4C88"/>
    <w:rsid w:val="000F4D9F"/>
    <w:rsid w:val="000F4F7D"/>
    <w:rsid w:val="000F5015"/>
    <w:rsid w:val="000F5128"/>
    <w:rsid w:val="000F540C"/>
    <w:rsid w:val="000F55AB"/>
    <w:rsid w:val="000F57A3"/>
    <w:rsid w:val="000F581C"/>
    <w:rsid w:val="000F5933"/>
    <w:rsid w:val="000F5944"/>
    <w:rsid w:val="000F5961"/>
    <w:rsid w:val="000F5AC9"/>
    <w:rsid w:val="000F5AD7"/>
    <w:rsid w:val="000F5B19"/>
    <w:rsid w:val="000F5BA4"/>
    <w:rsid w:val="000F5CF8"/>
    <w:rsid w:val="000F5D97"/>
    <w:rsid w:val="000F5F0F"/>
    <w:rsid w:val="000F5FC2"/>
    <w:rsid w:val="000F60EE"/>
    <w:rsid w:val="000F6159"/>
    <w:rsid w:val="000F62EF"/>
    <w:rsid w:val="000F63D8"/>
    <w:rsid w:val="000F6412"/>
    <w:rsid w:val="000F64D0"/>
    <w:rsid w:val="000F6626"/>
    <w:rsid w:val="000F664D"/>
    <w:rsid w:val="000F6691"/>
    <w:rsid w:val="000F6711"/>
    <w:rsid w:val="000F6752"/>
    <w:rsid w:val="000F6854"/>
    <w:rsid w:val="000F6C8C"/>
    <w:rsid w:val="000F6EB4"/>
    <w:rsid w:val="000F6ECB"/>
    <w:rsid w:val="000F6F11"/>
    <w:rsid w:val="000F6F86"/>
    <w:rsid w:val="000F6FB6"/>
    <w:rsid w:val="000F7048"/>
    <w:rsid w:val="000F715C"/>
    <w:rsid w:val="000F7589"/>
    <w:rsid w:val="000F75F3"/>
    <w:rsid w:val="000F7604"/>
    <w:rsid w:val="000F7697"/>
    <w:rsid w:val="000F771E"/>
    <w:rsid w:val="000F78E0"/>
    <w:rsid w:val="000F7A87"/>
    <w:rsid w:val="000F7BB2"/>
    <w:rsid w:val="000F7DE3"/>
    <w:rsid w:val="000F7EB7"/>
    <w:rsid w:val="000F7EF8"/>
    <w:rsid w:val="000F7F46"/>
    <w:rsid w:val="000F7FC5"/>
    <w:rsid w:val="000F7FE4"/>
    <w:rsid w:val="00100058"/>
    <w:rsid w:val="0010011E"/>
    <w:rsid w:val="001002ED"/>
    <w:rsid w:val="00100318"/>
    <w:rsid w:val="001005C6"/>
    <w:rsid w:val="001006FA"/>
    <w:rsid w:val="001009E9"/>
    <w:rsid w:val="00100D19"/>
    <w:rsid w:val="00100D51"/>
    <w:rsid w:val="00100DDF"/>
    <w:rsid w:val="00100F1D"/>
    <w:rsid w:val="0010115D"/>
    <w:rsid w:val="00101202"/>
    <w:rsid w:val="00101347"/>
    <w:rsid w:val="0010140D"/>
    <w:rsid w:val="001014DC"/>
    <w:rsid w:val="0010155D"/>
    <w:rsid w:val="001015F0"/>
    <w:rsid w:val="001017CA"/>
    <w:rsid w:val="00101811"/>
    <w:rsid w:val="00101885"/>
    <w:rsid w:val="0010188B"/>
    <w:rsid w:val="00101BB6"/>
    <w:rsid w:val="00101E4A"/>
    <w:rsid w:val="00101E5E"/>
    <w:rsid w:val="00101E82"/>
    <w:rsid w:val="00101F4E"/>
    <w:rsid w:val="00102014"/>
    <w:rsid w:val="001020C7"/>
    <w:rsid w:val="001020EF"/>
    <w:rsid w:val="00102108"/>
    <w:rsid w:val="00102118"/>
    <w:rsid w:val="00102149"/>
    <w:rsid w:val="0010227E"/>
    <w:rsid w:val="001023AA"/>
    <w:rsid w:val="00102649"/>
    <w:rsid w:val="0010280E"/>
    <w:rsid w:val="00102992"/>
    <w:rsid w:val="00102D12"/>
    <w:rsid w:val="00102E6D"/>
    <w:rsid w:val="00102F67"/>
    <w:rsid w:val="0010301C"/>
    <w:rsid w:val="00103078"/>
    <w:rsid w:val="001031DA"/>
    <w:rsid w:val="001032B2"/>
    <w:rsid w:val="001033E8"/>
    <w:rsid w:val="00103429"/>
    <w:rsid w:val="0010342A"/>
    <w:rsid w:val="00103453"/>
    <w:rsid w:val="001036DA"/>
    <w:rsid w:val="001036DC"/>
    <w:rsid w:val="0010371E"/>
    <w:rsid w:val="00103884"/>
    <w:rsid w:val="00103968"/>
    <w:rsid w:val="00103AC0"/>
    <w:rsid w:val="00103D14"/>
    <w:rsid w:val="00103D6B"/>
    <w:rsid w:val="00103EC0"/>
    <w:rsid w:val="00103ED7"/>
    <w:rsid w:val="00103EFE"/>
    <w:rsid w:val="0010403A"/>
    <w:rsid w:val="001040E5"/>
    <w:rsid w:val="001040FB"/>
    <w:rsid w:val="001041FF"/>
    <w:rsid w:val="0010429E"/>
    <w:rsid w:val="001042DE"/>
    <w:rsid w:val="001042FB"/>
    <w:rsid w:val="001043BB"/>
    <w:rsid w:val="001043C4"/>
    <w:rsid w:val="00104461"/>
    <w:rsid w:val="00104607"/>
    <w:rsid w:val="00104620"/>
    <w:rsid w:val="00104698"/>
    <w:rsid w:val="00104823"/>
    <w:rsid w:val="001048D2"/>
    <w:rsid w:val="001049CB"/>
    <w:rsid w:val="00104A23"/>
    <w:rsid w:val="00104B73"/>
    <w:rsid w:val="00104D73"/>
    <w:rsid w:val="00104E4B"/>
    <w:rsid w:val="00104F1F"/>
    <w:rsid w:val="00105257"/>
    <w:rsid w:val="0010529A"/>
    <w:rsid w:val="001052E7"/>
    <w:rsid w:val="001053D7"/>
    <w:rsid w:val="001054F6"/>
    <w:rsid w:val="00105540"/>
    <w:rsid w:val="001055FC"/>
    <w:rsid w:val="00105D07"/>
    <w:rsid w:val="00105D0D"/>
    <w:rsid w:val="00105E50"/>
    <w:rsid w:val="00105EC2"/>
    <w:rsid w:val="00105F70"/>
    <w:rsid w:val="00105F76"/>
    <w:rsid w:val="001060EE"/>
    <w:rsid w:val="001061A9"/>
    <w:rsid w:val="00106239"/>
    <w:rsid w:val="001062A5"/>
    <w:rsid w:val="00106466"/>
    <w:rsid w:val="00106554"/>
    <w:rsid w:val="001065E8"/>
    <w:rsid w:val="001066E7"/>
    <w:rsid w:val="0010683C"/>
    <w:rsid w:val="00106881"/>
    <w:rsid w:val="00106903"/>
    <w:rsid w:val="00106927"/>
    <w:rsid w:val="00106A13"/>
    <w:rsid w:val="00106A27"/>
    <w:rsid w:val="00106B1C"/>
    <w:rsid w:val="00106D3E"/>
    <w:rsid w:val="00106D5B"/>
    <w:rsid w:val="00106D9C"/>
    <w:rsid w:val="00106DB4"/>
    <w:rsid w:val="00106E82"/>
    <w:rsid w:val="00106EC8"/>
    <w:rsid w:val="00106EF2"/>
    <w:rsid w:val="00106F57"/>
    <w:rsid w:val="001070BE"/>
    <w:rsid w:val="001071A2"/>
    <w:rsid w:val="00107265"/>
    <w:rsid w:val="00107304"/>
    <w:rsid w:val="00107323"/>
    <w:rsid w:val="00107326"/>
    <w:rsid w:val="001073AD"/>
    <w:rsid w:val="0010753C"/>
    <w:rsid w:val="001077D0"/>
    <w:rsid w:val="001077FA"/>
    <w:rsid w:val="00107890"/>
    <w:rsid w:val="001078B6"/>
    <w:rsid w:val="00107B4A"/>
    <w:rsid w:val="00107CE3"/>
    <w:rsid w:val="00107FE6"/>
    <w:rsid w:val="0011007D"/>
    <w:rsid w:val="001100AA"/>
    <w:rsid w:val="001100D1"/>
    <w:rsid w:val="00110146"/>
    <w:rsid w:val="0011018C"/>
    <w:rsid w:val="001101C4"/>
    <w:rsid w:val="001101EE"/>
    <w:rsid w:val="001104F4"/>
    <w:rsid w:val="001105F1"/>
    <w:rsid w:val="0011060C"/>
    <w:rsid w:val="00110778"/>
    <w:rsid w:val="00110793"/>
    <w:rsid w:val="00110864"/>
    <w:rsid w:val="001108A0"/>
    <w:rsid w:val="001109E4"/>
    <w:rsid w:val="00110B58"/>
    <w:rsid w:val="00110C38"/>
    <w:rsid w:val="00110C4C"/>
    <w:rsid w:val="00110D96"/>
    <w:rsid w:val="00110DEE"/>
    <w:rsid w:val="00110F3A"/>
    <w:rsid w:val="00111041"/>
    <w:rsid w:val="001110DD"/>
    <w:rsid w:val="00111214"/>
    <w:rsid w:val="001113C7"/>
    <w:rsid w:val="0011151F"/>
    <w:rsid w:val="00111615"/>
    <w:rsid w:val="001117DE"/>
    <w:rsid w:val="0011182E"/>
    <w:rsid w:val="001119FA"/>
    <w:rsid w:val="00111A33"/>
    <w:rsid w:val="00111A45"/>
    <w:rsid w:val="00111C1B"/>
    <w:rsid w:val="00111D3D"/>
    <w:rsid w:val="00111D90"/>
    <w:rsid w:val="00111E86"/>
    <w:rsid w:val="00111ED1"/>
    <w:rsid w:val="00111F7C"/>
    <w:rsid w:val="001120E8"/>
    <w:rsid w:val="0011212F"/>
    <w:rsid w:val="00112220"/>
    <w:rsid w:val="00112385"/>
    <w:rsid w:val="001123B3"/>
    <w:rsid w:val="00112535"/>
    <w:rsid w:val="0011255E"/>
    <w:rsid w:val="00112605"/>
    <w:rsid w:val="00112749"/>
    <w:rsid w:val="00112868"/>
    <w:rsid w:val="0011286B"/>
    <w:rsid w:val="00112A05"/>
    <w:rsid w:val="00112AC9"/>
    <w:rsid w:val="00112AF5"/>
    <w:rsid w:val="00112B2A"/>
    <w:rsid w:val="00112BE7"/>
    <w:rsid w:val="00112E16"/>
    <w:rsid w:val="00112EF0"/>
    <w:rsid w:val="0011305C"/>
    <w:rsid w:val="00113067"/>
    <w:rsid w:val="001130B4"/>
    <w:rsid w:val="00113119"/>
    <w:rsid w:val="0011312B"/>
    <w:rsid w:val="0011314B"/>
    <w:rsid w:val="001131AD"/>
    <w:rsid w:val="001131B4"/>
    <w:rsid w:val="0011339B"/>
    <w:rsid w:val="00113472"/>
    <w:rsid w:val="001134FC"/>
    <w:rsid w:val="00113530"/>
    <w:rsid w:val="00113574"/>
    <w:rsid w:val="001135B3"/>
    <w:rsid w:val="00113600"/>
    <w:rsid w:val="00113800"/>
    <w:rsid w:val="00113859"/>
    <w:rsid w:val="00113893"/>
    <w:rsid w:val="00113924"/>
    <w:rsid w:val="00113949"/>
    <w:rsid w:val="001139C2"/>
    <w:rsid w:val="00113A2D"/>
    <w:rsid w:val="00113DF4"/>
    <w:rsid w:val="00113E40"/>
    <w:rsid w:val="00114060"/>
    <w:rsid w:val="001142C1"/>
    <w:rsid w:val="00114359"/>
    <w:rsid w:val="001143C3"/>
    <w:rsid w:val="001143F8"/>
    <w:rsid w:val="00114407"/>
    <w:rsid w:val="0011440D"/>
    <w:rsid w:val="00114604"/>
    <w:rsid w:val="0011460B"/>
    <w:rsid w:val="00114614"/>
    <w:rsid w:val="0011467E"/>
    <w:rsid w:val="00114692"/>
    <w:rsid w:val="001146F4"/>
    <w:rsid w:val="001146FC"/>
    <w:rsid w:val="0011471A"/>
    <w:rsid w:val="00114722"/>
    <w:rsid w:val="00114872"/>
    <w:rsid w:val="00114883"/>
    <w:rsid w:val="00114AB8"/>
    <w:rsid w:val="00114B43"/>
    <w:rsid w:val="00114B4A"/>
    <w:rsid w:val="00114B75"/>
    <w:rsid w:val="00114B84"/>
    <w:rsid w:val="00114BE8"/>
    <w:rsid w:val="00114CA7"/>
    <w:rsid w:val="00114CB3"/>
    <w:rsid w:val="00114F1C"/>
    <w:rsid w:val="00115007"/>
    <w:rsid w:val="0011509F"/>
    <w:rsid w:val="001150D9"/>
    <w:rsid w:val="001150F2"/>
    <w:rsid w:val="0011520B"/>
    <w:rsid w:val="00115316"/>
    <w:rsid w:val="001153B7"/>
    <w:rsid w:val="001154AB"/>
    <w:rsid w:val="001155AA"/>
    <w:rsid w:val="001157BB"/>
    <w:rsid w:val="00115B3D"/>
    <w:rsid w:val="00115BA9"/>
    <w:rsid w:val="00115C36"/>
    <w:rsid w:val="00115C66"/>
    <w:rsid w:val="00115C79"/>
    <w:rsid w:val="00115D01"/>
    <w:rsid w:val="00115DDA"/>
    <w:rsid w:val="00115FC4"/>
    <w:rsid w:val="001161D1"/>
    <w:rsid w:val="00116240"/>
    <w:rsid w:val="0011624F"/>
    <w:rsid w:val="0011633C"/>
    <w:rsid w:val="001165D8"/>
    <w:rsid w:val="00116786"/>
    <w:rsid w:val="0011680C"/>
    <w:rsid w:val="001168F6"/>
    <w:rsid w:val="00116989"/>
    <w:rsid w:val="00116A98"/>
    <w:rsid w:val="00116BAF"/>
    <w:rsid w:val="00116CBD"/>
    <w:rsid w:val="00116D02"/>
    <w:rsid w:val="001170CE"/>
    <w:rsid w:val="00117145"/>
    <w:rsid w:val="00117169"/>
    <w:rsid w:val="001172EE"/>
    <w:rsid w:val="0011734B"/>
    <w:rsid w:val="001174D7"/>
    <w:rsid w:val="0011756E"/>
    <w:rsid w:val="00117626"/>
    <w:rsid w:val="001177BC"/>
    <w:rsid w:val="001179B4"/>
    <w:rsid w:val="00117A61"/>
    <w:rsid w:val="00117AC7"/>
    <w:rsid w:val="00117B0D"/>
    <w:rsid w:val="00117BFC"/>
    <w:rsid w:val="00117C2B"/>
    <w:rsid w:val="00117C6D"/>
    <w:rsid w:val="00117D4B"/>
    <w:rsid w:val="00117E77"/>
    <w:rsid w:val="00117F45"/>
    <w:rsid w:val="00117FF7"/>
    <w:rsid w:val="001201A5"/>
    <w:rsid w:val="0012030D"/>
    <w:rsid w:val="00120356"/>
    <w:rsid w:val="0012041C"/>
    <w:rsid w:val="00120623"/>
    <w:rsid w:val="0012065E"/>
    <w:rsid w:val="00120796"/>
    <w:rsid w:val="00120B36"/>
    <w:rsid w:val="00120B5C"/>
    <w:rsid w:val="00120BE1"/>
    <w:rsid w:val="00120C14"/>
    <w:rsid w:val="00120E6C"/>
    <w:rsid w:val="00120F1E"/>
    <w:rsid w:val="00121010"/>
    <w:rsid w:val="0012103B"/>
    <w:rsid w:val="0012130B"/>
    <w:rsid w:val="00121412"/>
    <w:rsid w:val="0012147F"/>
    <w:rsid w:val="0012150D"/>
    <w:rsid w:val="00121578"/>
    <w:rsid w:val="001215BD"/>
    <w:rsid w:val="00121956"/>
    <w:rsid w:val="00121A23"/>
    <w:rsid w:val="00121DA5"/>
    <w:rsid w:val="00121ED2"/>
    <w:rsid w:val="00122239"/>
    <w:rsid w:val="00122240"/>
    <w:rsid w:val="001222AA"/>
    <w:rsid w:val="001223AD"/>
    <w:rsid w:val="001224F1"/>
    <w:rsid w:val="0012253F"/>
    <w:rsid w:val="00122715"/>
    <w:rsid w:val="001227B3"/>
    <w:rsid w:val="0012283C"/>
    <w:rsid w:val="00122934"/>
    <w:rsid w:val="00122A18"/>
    <w:rsid w:val="00122AC4"/>
    <w:rsid w:val="00122DA5"/>
    <w:rsid w:val="00122E34"/>
    <w:rsid w:val="00123478"/>
    <w:rsid w:val="001234A3"/>
    <w:rsid w:val="001234F0"/>
    <w:rsid w:val="00123588"/>
    <w:rsid w:val="001237C9"/>
    <w:rsid w:val="00123A28"/>
    <w:rsid w:val="00123A3B"/>
    <w:rsid w:val="00123B50"/>
    <w:rsid w:val="00123B85"/>
    <w:rsid w:val="00123BCB"/>
    <w:rsid w:val="00123C58"/>
    <w:rsid w:val="00123DB2"/>
    <w:rsid w:val="00123E90"/>
    <w:rsid w:val="00123E94"/>
    <w:rsid w:val="00124080"/>
    <w:rsid w:val="001242D0"/>
    <w:rsid w:val="00124306"/>
    <w:rsid w:val="00124421"/>
    <w:rsid w:val="001244A9"/>
    <w:rsid w:val="001244D3"/>
    <w:rsid w:val="00124594"/>
    <w:rsid w:val="001245F8"/>
    <w:rsid w:val="001246A5"/>
    <w:rsid w:val="0012475C"/>
    <w:rsid w:val="00124778"/>
    <w:rsid w:val="00124A4E"/>
    <w:rsid w:val="00124B75"/>
    <w:rsid w:val="00124B95"/>
    <w:rsid w:val="00124BF7"/>
    <w:rsid w:val="00124BFA"/>
    <w:rsid w:val="00124BFD"/>
    <w:rsid w:val="00124C74"/>
    <w:rsid w:val="00124ECC"/>
    <w:rsid w:val="00124F20"/>
    <w:rsid w:val="00124F8F"/>
    <w:rsid w:val="00124FF5"/>
    <w:rsid w:val="00125082"/>
    <w:rsid w:val="001251FC"/>
    <w:rsid w:val="001253DC"/>
    <w:rsid w:val="0012551C"/>
    <w:rsid w:val="00125564"/>
    <w:rsid w:val="001256A7"/>
    <w:rsid w:val="00125798"/>
    <w:rsid w:val="001257E3"/>
    <w:rsid w:val="0012597F"/>
    <w:rsid w:val="00125B2E"/>
    <w:rsid w:val="00125BD3"/>
    <w:rsid w:val="00125D56"/>
    <w:rsid w:val="00125E96"/>
    <w:rsid w:val="00125F6D"/>
    <w:rsid w:val="00125F7A"/>
    <w:rsid w:val="0012607E"/>
    <w:rsid w:val="001260A8"/>
    <w:rsid w:val="001260BA"/>
    <w:rsid w:val="001261F5"/>
    <w:rsid w:val="00126211"/>
    <w:rsid w:val="00126503"/>
    <w:rsid w:val="0012650A"/>
    <w:rsid w:val="00126542"/>
    <w:rsid w:val="001265A3"/>
    <w:rsid w:val="00126678"/>
    <w:rsid w:val="001268D5"/>
    <w:rsid w:val="00126A0A"/>
    <w:rsid w:val="00126ABB"/>
    <w:rsid w:val="00126BBF"/>
    <w:rsid w:val="00126BCC"/>
    <w:rsid w:val="00126D62"/>
    <w:rsid w:val="00126D73"/>
    <w:rsid w:val="00126D7D"/>
    <w:rsid w:val="00126DB3"/>
    <w:rsid w:val="00126DBD"/>
    <w:rsid w:val="00126E5F"/>
    <w:rsid w:val="00126FAE"/>
    <w:rsid w:val="00126FFA"/>
    <w:rsid w:val="0012741E"/>
    <w:rsid w:val="001274C9"/>
    <w:rsid w:val="001274DE"/>
    <w:rsid w:val="0012750C"/>
    <w:rsid w:val="0012760F"/>
    <w:rsid w:val="00127659"/>
    <w:rsid w:val="0012776B"/>
    <w:rsid w:val="0012783D"/>
    <w:rsid w:val="00127885"/>
    <w:rsid w:val="001279A8"/>
    <w:rsid w:val="00127C5E"/>
    <w:rsid w:val="00127C90"/>
    <w:rsid w:val="00127EFE"/>
    <w:rsid w:val="00127F18"/>
    <w:rsid w:val="00127F1D"/>
    <w:rsid w:val="0013001F"/>
    <w:rsid w:val="0013007B"/>
    <w:rsid w:val="001302C8"/>
    <w:rsid w:val="0013031C"/>
    <w:rsid w:val="00130323"/>
    <w:rsid w:val="001303C8"/>
    <w:rsid w:val="00130505"/>
    <w:rsid w:val="001306E6"/>
    <w:rsid w:val="001309E6"/>
    <w:rsid w:val="00130A56"/>
    <w:rsid w:val="00130D1D"/>
    <w:rsid w:val="00130D2A"/>
    <w:rsid w:val="00130D2C"/>
    <w:rsid w:val="00130FB6"/>
    <w:rsid w:val="00131009"/>
    <w:rsid w:val="0013113D"/>
    <w:rsid w:val="001311BA"/>
    <w:rsid w:val="00131358"/>
    <w:rsid w:val="00131466"/>
    <w:rsid w:val="0013148B"/>
    <w:rsid w:val="001314E3"/>
    <w:rsid w:val="00131664"/>
    <w:rsid w:val="00131757"/>
    <w:rsid w:val="001317AC"/>
    <w:rsid w:val="001318C0"/>
    <w:rsid w:val="00131B79"/>
    <w:rsid w:val="00131C30"/>
    <w:rsid w:val="00131C3F"/>
    <w:rsid w:val="00131D92"/>
    <w:rsid w:val="00132267"/>
    <w:rsid w:val="001322AD"/>
    <w:rsid w:val="001322D8"/>
    <w:rsid w:val="00132334"/>
    <w:rsid w:val="0013238E"/>
    <w:rsid w:val="00132392"/>
    <w:rsid w:val="001323DA"/>
    <w:rsid w:val="001324B1"/>
    <w:rsid w:val="001324D4"/>
    <w:rsid w:val="0013250C"/>
    <w:rsid w:val="0013257B"/>
    <w:rsid w:val="001325AD"/>
    <w:rsid w:val="001327D6"/>
    <w:rsid w:val="0013287A"/>
    <w:rsid w:val="00132CA0"/>
    <w:rsid w:val="00132CDE"/>
    <w:rsid w:val="00132D6A"/>
    <w:rsid w:val="00132EA7"/>
    <w:rsid w:val="0013302F"/>
    <w:rsid w:val="00133204"/>
    <w:rsid w:val="001332ED"/>
    <w:rsid w:val="0013331D"/>
    <w:rsid w:val="0013341B"/>
    <w:rsid w:val="001334BE"/>
    <w:rsid w:val="0013351F"/>
    <w:rsid w:val="00133882"/>
    <w:rsid w:val="0013389E"/>
    <w:rsid w:val="00133993"/>
    <w:rsid w:val="00133A04"/>
    <w:rsid w:val="00133BD2"/>
    <w:rsid w:val="00133C39"/>
    <w:rsid w:val="00133DF6"/>
    <w:rsid w:val="00133F04"/>
    <w:rsid w:val="00133F43"/>
    <w:rsid w:val="00134077"/>
    <w:rsid w:val="001341ED"/>
    <w:rsid w:val="0013422B"/>
    <w:rsid w:val="00134407"/>
    <w:rsid w:val="0013473D"/>
    <w:rsid w:val="00134765"/>
    <w:rsid w:val="00134767"/>
    <w:rsid w:val="00134774"/>
    <w:rsid w:val="001347CD"/>
    <w:rsid w:val="00134829"/>
    <w:rsid w:val="0013491C"/>
    <w:rsid w:val="00134AB9"/>
    <w:rsid w:val="00134DCC"/>
    <w:rsid w:val="00134FD9"/>
    <w:rsid w:val="00135032"/>
    <w:rsid w:val="00135038"/>
    <w:rsid w:val="0013520C"/>
    <w:rsid w:val="00135226"/>
    <w:rsid w:val="00135260"/>
    <w:rsid w:val="0013536C"/>
    <w:rsid w:val="001353E7"/>
    <w:rsid w:val="0013552B"/>
    <w:rsid w:val="00135595"/>
    <w:rsid w:val="001355D0"/>
    <w:rsid w:val="0013562B"/>
    <w:rsid w:val="00135687"/>
    <w:rsid w:val="001357CA"/>
    <w:rsid w:val="00135A0D"/>
    <w:rsid w:val="00135BC5"/>
    <w:rsid w:val="00135BFC"/>
    <w:rsid w:val="00135C09"/>
    <w:rsid w:val="00135C60"/>
    <w:rsid w:val="00135D30"/>
    <w:rsid w:val="00135E33"/>
    <w:rsid w:val="00135EAC"/>
    <w:rsid w:val="00135EDF"/>
    <w:rsid w:val="00135FCB"/>
    <w:rsid w:val="00136126"/>
    <w:rsid w:val="00136188"/>
    <w:rsid w:val="00136298"/>
    <w:rsid w:val="001362B9"/>
    <w:rsid w:val="00136316"/>
    <w:rsid w:val="00136333"/>
    <w:rsid w:val="001364D9"/>
    <w:rsid w:val="00136679"/>
    <w:rsid w:val="001366CD"/>
    <w:rsid w:val="00136842"/>
    <w:rsid w:val="00136A6B"/>
    <w:rsid w:val="00136A75"/>
    <w:rsid w:val="00136C6F"/>
    <w:rsid w:val="00136C86"/>
    <w:rsid w:val="00136F3A"/>
    <w:rsid w:val="00137098"/>
    <w:rsid w:val="001371B8"/>
    <w:rsid w:val="0013732E"/>
    <w:rsid w:val="00137445"/>
    <w:rsid w:val="00137647"/>
    <w:rsid w:val="001376CF"/>
    <w:rsid w:val="0013776C"/>
    <w:rsid w:val="0013791E"/>
    <w:rsid w:val="00137A0C"/>
    <w:rsid w:val="00137B62"/>
    <w:rsid w:val="00137DC3"/>
    <w:rsid w:val="00137EDB"/>
    <w:rsid w:val="001401EC"/>
    <w:rsid w:val="0014045E"/>
    <w:rsid w:val="001404CB"/>
    <w:rsid w:val="0014050A"/>
    <w:rsid w:val="00140685"/>
    <w:rsid w:val="00140737"/>
    <w:rsid w:val="00140808"/>
    <w:rsid w:val="00140AC7"/>
    <w:rsid w:val="00140C57"/>
    <w:rsid w:val="00140E5C"/>
    <w:rsid w:val="00140EEC"/>
    <w:rsid w:val="00140F58"/>
    <w:rsid w:val="00140FCD"/>
    <w:rsid w:val="00141160"/>
    <w:rsid w:val="00141327"/>
    <w:rsid w:val="0014144E"/>
    <w:rsid w:val="00141474"/>
    <w:rsid w:val="00141693"/>
    <w:rsid w:val="0014193D"/>
    <w:rsid w:val="001419B8"/>
    <w:rsid w:val="00141A59"/>
    <w:rsid w:val="00141AAF"/>
    <w:rsid w:val="00141BEC"/>
    <w:rsid w:val="00141C7D"/>
    <w:rsid w:val="00141F4D"/>
    <w:rsid w:val="00142070"/>
    <w:rsid w:val="001421E0"/>
    <w:rsid w:val="001422F5"/>
    <w:rsid w:val="00142340"/>
    <w:rsid w:val="001424D1"/>
    <w:rsid w:val="00142721"/>
    <w:rsid w:val="00142741"/>
    <w:rsid w:val="001427E9"/>
    <w:rsid w:val="0014280E"/>
    <w:rsid w:val="001428B8"/>
    <w:rsid w:val="00142959"/>
    <w:rsid w:val="00142A1F"/>
    <w:rsid w:val="00142A30"/>
    <w:rsid w:val="00142A36"/>
    <w:rsid w:val="00142A50"/>
    <w:rsid w:val="00142C16"/>
    <w:rsid w:val="00142C99"/>
    <w:rsid w:val="0014302C"/>
    <w:rsid w:val="00143050"/>
    <w:rsid w:val="001430F9"/>
    <w:rsid w:val="001431CC"/>
    <w:rsid w:val="001432C3"/>
    <w:rsid w:val="0014347B"/>
    <w:rsid w:val="00143691"/>
    <w:rsid w:val="001436CD"/>
    <w:rsid w:val="00143890"/>
    <w:rsid w:val="00143956"/>
    <w:rsid w:val="00143A4B"/>
    <w:rsid w:val="00143CD6"/>
    <w:rsid w:val="00143E18"/>
    <w:rsid w:val="00143F26"/>
    <w:rsid w:val="00143F47"/>
    <w:rsid w:val="0014404F"/>
    <w:rsid w:val="0014407E"/>
    <w:rsid w:val="001440E9"/>
    <w:rsid w:val="001447D2"/>
    <w:rsid w:val="001448D1"/>
    <w:rsid w:val="00144979"/>
    <w:rsid w:val="001449CE"/>
    <w:rsid w:val="00144BC4"/>
    <w:rsid w:val="00144EC9"/>
    <w:rsid w:val="00145019"/>
    <w:rsid w:val="00145088"/>
    <w:rsid w:val="001450A9"/>
    <w:rsid w:val="00145165"/>
    <w:rsid w:val="00145171"/>
    <w:rsid w:val="001451A4"/>
    <w:rsid w:val="00145376"/>
    <w:rsid w:val="001453E7"/>
    <w:rsid w:val="0014546B"/>
    <w:rsid w:val="00145553"/>
    <w:rsid w:val="0014556A"/>
    <w:rsid w:val="0014565F"/>
    <w:rsid w:val="001456AC"/>
    <w:rsid w:val="0014581D"/>
    <w:rsid w:val="001458C2"/>
    <w:rsid w:val="001458DE"/>
    <w:rsid w:val="00145A64"/>
    <w:rsid w:val="00145A89"/>
    <w:rsid w:val="00145BB0"/>
    <w:rsid w:val="00145C8E"/>
    <w:rsid w:val="00145E77"/>
    <w:rsid w:val="00145EAF"/>
    <w:rsid w:val="00145F07"/>
    <w:rsid w:val="00145F2E"/>
    <w:rsid w:val="00145FC9"/>
    <w:rsid w:val="00146021"/>
    <w:rsid w:val="001461CE"/>
    <w:rsid w:val="001461D9"/>
    <w:rsid w:val="0014625A"/>
    <w:rsid w:val="001462D8"/>
    <w:rsid w:val="001463B5"/>
    <w:rsid w:val="00146564"/>
    <w:rsid w:val="001465A3"/>
    <w:rsid w:val="00146753"/>
    <w:rsid w:val="001467CA"/>
    <w:rsid w:val="001467DF"/>
    <w:rsid w:val="00146999"/>
    <w:rsid w:val="00146BE0"/>
    <w:rsid w:val="00146C30"/>
    <w:rsid w:val="00146CC6"/>
    <w:rsid w:val="00146D6E"/>
    <w:rsid w:val="00146DBB"/>
    <w:rsid w:val="00147143"/>
    <w:rsid w:val="00147323"/>
    <w:rsid w:val="001473FF"/>
    <w:rsid w:val="00147441"/>
    <w:rsid w:val="00147478"/>
    <w:rsid w:val="001474F4"/>
    <w:rsid w:val="00147590"/>
    <w:rsid w:val="001476B3"/>
    <w:rsid w:val="001476EA"/>
    <w:rsid w:val="00147768"/>
    <w:rsid w:val="001479AE"/>
    <w:rsid w:val="00147A26"/>
    <w:rsid w:val="00147A30"/>
    <w:rsid w:val="00147BF4"/>
    <w:rsid w:val="00147D98"/>
    <w:rsid w:val="00147E1C"/>
    <w:rsid w:val="00147E3B"/>
    <w:rsid w:val="00147F84"/>
    <w:rsid w:val="00147F8B"/>
    <w:rsid w:val="00150027"/>
    <w:rsid w:val="00150033"/>
    <w:rsid w:val="00150234"/>
    <w:rsid w:val="00150236"/>
    <w:rsid w:val="00150240"/>
    <w:rsid w:val="00150478"/>
    <w:rsid w:val="00150554"/>
    <w:rsid w:val="001505F0"/>
    <w:rsid w:val="0015061B"/>
    <w:rsid w:val="001506C5"/>
    <w:rsid w:val="0015089E"/>
    <w:rsid w:val="00150996"/>
    <w:rsid w:val="001509FE"/>
    <w:rsid w:val="00150B01"/>
    <w:rsid w:val="00150BDA"/>
    <w:rsid w:val="00150D03"/>
    <w:rsid w:val="00150D80"/>
    <w:rsid w:val="00150E37"/>
    <w:rsid w:val="00150E95"/>
    <w:rsid w:val="00151015"/>
    <w:rsid w:val="0015106C"/>
    <w:rsid w:val="00151101"/>
    <w:rsid w:val="00151106"/>
    <w:rsid w:val="0015116A"/>
    <w:rsid w:val="001511B0"/>
    <w:rsid w:val="00151333"/>
    <w:rsid w:val="001513C2"/>
    <w:rsid w:val="001513CC"/>
    <w:rsid w:val="00151480"/>
    <w:rsid w:val="00151540"/>
    <w:rsid w:val="001515EE"/>
    <w:rsid w:val="00151633"/>
    <w:rsid w:val="0015164D"/>
    <w:rsid w:val="00151AD9"/>
    <w:rsid w:val="00151B39"/>
    <w:rsid w:val="00151D48"/>
    <w:rsid w:val="00151E0F"/>
    <w:rsid w:val="0015208A"/>
    <w:rsid w:val="00152140"/>
    <w:rsid w:val="001522A4"/>
    <w:rsid w:val="001522DF"/>
    <w:rsid w:val="0015234F"/>
    <w:rsid w:val="0015239D"/>
    <w:rsid w:val="00152771"/>
    <w:rsid w:val="001527A3"/>
    <w:rsid w:val="001527AE"/>
    <w:rsid w:val="00152960"/>
    <w:rsid w:val="00152C51"/>
    <w:rsid w:val="00152FD0"/>
    <w:rsid w:val="00153271"/>
    <w:rsid w:val="0015328F"/>
    <w:rsid w:val="001532A7"/>
    <w:rsid w:val="001533EA"/>
    <w:rsid w:val="001534CD"/>
    <w:rsid w:val="001537F3"/>
    <w:rsid w:val="001538C0"/>
    <w:rsid w:val="001539CD"/>
    <w:rsid w:val="00153A76"/>
    <w:rsid w:val="00153AD6"/>
    <w:rsid w:val="00153C23"/>
    <w:rsid w:val="00153CC5"/>
    <w:rsid w:val="00154089"/>
    <w:rsid w:val="00154152"/>
    <w:rsid w:val="00154391"/>
    <w:rsid w:val="00154409"/>
    <w:rsid w:val="0015445F"/>
    <w:rsid w:val="001544B7"/>
    <w:rsid w:val="001544BA"/>
    <w:rsid w:val="00154536"/>
    <w:rsid w:val="0015459A"/>
    <w:rsid w:val="00154611"/>
    <w:rsid w:val="001548C5"/>
    <w:rsid w:val="00154914"/>
    <w:rsid w:val="0015491F"/>
    <w:rsid w:val="001549AD"/>
    <w:rsid w:val="00154ADD"/>
    <w:rsid w:val="00154BE4"/>
    <w:rsid w:val="00154D48"/>
    <w:rsid w:val="00154E11"/>
    <w:rsid w:val="00154EE6"/>
    <w:rsid w:val="0015507B"/>
    <w:rsid w:val="00155165"/>
    <w:rsid w:val="001551AD"/>
    <w:rsid w:val="0015523A"/>
    <w:rsid w:val="001553DA"/>
    <w:rsid w:val="0015544A"/>
    <w:rsid w:val="00155729"/>
    <w:rsid w:val="00155877"/>
    <w:rsid w:val="0015588D"/>
    <w:rsid w:val="00155A1D"/>
    <w:rsid w:val="00155A69"/>
    <w:rsid w:val="00155B3D"/>
    <w:rsid w:val="00155B53"/>
    <w:rsid w:val="00155B5F"/>
    <w:rsid w:val="00155ECE"/>
    <w:rsid w:val="00155F23"/>
    <w:rsid w:val="00156268"/>
    <w:rsid w:val="0015635B"/>
    <w:rsid w:val="0015656D"/>
    <w:rsid w:val="001565DC"/>
    <w:rsid w:val="00156796"/>
    <w:rsid w:val="0015679E"/>
    <w:rsid w:val="00156966"/>
    <w:rsid w:val="00156A06"/>
    <w:rsid w:val="00156B8B"/>
    <w:rsid w:val="00156BA2"/>
    <w:rsid w:val="00156CF0"/>
    <w:rsid w:val="00156EC0"/>
    <w:rsid w:val="00157108"/>
    <w:rsid w:val="0015718B"/>
    <w:rsid w:val="001572E3"/>
    <w:rsid w:val="0015764C"/>
    <w:rsid w:val="0015770A"/>
    <w:rsid w:val="0015775B"/>
    <w:rsid w:val="00157887"/>
    <w:rsid w:val="0015792C"/>
    <w:rsid w:val="00157975"/>
    <w:rsid w:val="00157A1E"/>
    <w:rsid w:val="00157A57"/>
    <w:rsid w:val="00157B94"/>
    <w:rsid w:val="00157C0F"/>
    <w:rsid w:val="00157CC5"/>
    <w:rsid w:val="00157EE1"/>
    <w:rsid w:val="00157F0B"/>
    <w:rsid w:val="00157F15"/>
    <w:rsid w:val="00160058"/>
    <w:rsid w:val="00160111"/>
    <w:rsid w:val="0016016D"/>
    <w:rsid w:val="001601A2"/>
    <w:rsid w:val="0016045D"/>
    <w:rsid w:val="00160488"/>
    <w:rsid w:val="00160559"/>
    <w:rsid w:val="001607A0"/>
    <w:rsid w:val="00160D1C"/>
    <w:rsid w:val="00160D24"/>
    <w:rsid w:val="00160D85"/>
    <w:rsid w:val="00160F31"/>
    <w:rsid w:val="00161045"/>
    <w:rsid w:val="00161496"/>
    <w:rsid w:val="0016152D"/>
    <w:rsid w:val="001615CC"/>
    <w:rsid w:val="0016172E"/>
    <w:rsid w:val="00161A1C"/>
    <w:rsid w:val="00161DC8"/>
    <w:rsid w:val="00161F51"/>
    <w:rsid w:val="00161FB8"/>
    <w:rsid w:val="00161FBE"/>
    <w:rsid w:val="001620E2"/>
    <w:rsid w:val="001622E3"/>
    <w:rsid w:val="00162596"/>
    <w:rsid w:val="00162715"/>
    <w:rsid w:val="0016288D"/>
    <w:rsid w:val="001628B5"/>
    <w:rsid w:val="00162924"/>
    <w:rsid w:val="00162927"/>
    <w:rsid w:val="001629A0"/>
    <w:rsid w:val="00162A15"/>
    <w:rsid w:val="00162A31"/>
    <w:rsid w:val="00162A72"/>
    <w:rsid w:val="00162BB3"/>
    <w:rsid w:val="00162CB3"/>
    <w:rsid w:val="00162FF3"/>
    <w:rsid w:val="00163011"/>
    <w:rsid w:val="00163099"/>
    <w:rsid w:val="001630C0"/>
    <w:rsid w:val="0016349E"/>
    <w:rsid w:val="001635D2"/>
    <w:rsid w:val="0016387A"/>
    <w:rsid w:val="00163990"/>
    <w:rsid w:val="00163BCB"/>
    <w:rsid w:val="00163C0B"/>
    <w:rsid w:val="00163C47"/>
    <w:rsid w:val="00163C70"/>
    <w:rsid w:val="00163D58"/>
    <w:rsid w:val="00163E6B"/>
    <w:rsid w:val="00163FF7"/>
    <w:rsid w:val="00164093"/>
    <w:rsid w:val="00164193"/>
    <w:rsid w:val="00164231"/>
    <w:rsid w:val="00164290"/>
    <w:rsid w:val="001642E4"/>
    <w:rsid w:val="00164360"/>
    <w:rsid w:val="001643E9"/>
    <w:rsid w:val="0016447D"/>
    <w:rsid w:val="001645FF"/>
    <w:rsid w:val="00164827"/>
    <w:rsid w:val="001649CA"/>
    <w:rsid w:val="00164A42"/>
    <w:rsid w:val="00164B18"/>
    <w:rsid w:val="00164C2B"/>
    <w:rsid w:val="00164F34"/>
    <w:rsid w:val="00164F63"/>
    <w:rsid w:val="00164F94"/>
    <w:rsid w:val="00164FE2"/>
    <w:rsid w:val="00164FFE"/>
    <w:rsid w:val="00165224"/>
    <w:rsid w:val="0016522A"/>
    <w:rsid w:val="001653DD"/>
    <w:rsid w:val="0016553E"/>
    <w:rsid w:val="001655BE"/>
    <w:rsid w:val="001656B0"/>
    <w:rsid w:val="00165729"/>
    <w:rsid w:val="001657EE"/>
    <w:rsid w:val="001657FE"/>
    <w:rsid w:val="00165818"/>
    <w:rsid w:val="001658C6"/>
    <w:rsid w:val="00165994"/>
    <w:rsid w:val="001659F9"/>
    <w:rsid w:val="00165AF5"/>
    <w:rsid w:val="00165C93"/>
    <w:rsid w:val="00165DB0"/>
    <w:rsid w:val="00165E2E"/>
    <w:rsid w:val="00165E63"/>
    <w:rsid w:val="00165E87"/>
    <w:rsid w:val="00165F1B"/>
    <w:rsid w:val="00165FC2"/>
    <w:rsid w:val="0016602D"/>
    <w:rsid w:val="0016607A"/>
    <w:rsid w:val="001660A1"/>
    <w:rsid w:val="00166304"/>
    <w:rsid w:val="00166318"/>
    <w:rsid w:val="0016642A"/>
    <w:rsid w:val="001665B4"/>
    <w:rsid w:val="001665E2"/>
    <w:rsid w:val="00166619"/>
    <w:rsid w:val="001667A4"/>
    <w:rsid w:val="00166848"/>
    <w:rsid w:val="001668B4"/>
    <w:rsid w:val="0016696B"/>
    <w:rsid w:val="001669FD"/>
    <w:rsid w:val="00166A15"/>
    <w:rsid w:val="00166AA8"/>
    <w:rsid w:val="00166CF9"/>
    <w:rsid w:val="00166F16"/>
    <w:rsid w:val="0016700F"/>
    <w:rsid w:val="001670F6"/>
    <w:rsid w:val="001671E3"/>
    <w:rsid w:val="0016720D"/>
    <w:rsid w:val="0016725E"/>
    <w:rsid w:val="00167491"/>
    <w:rsid w:val="00167831"/>
    <w:rsid w:val="0016788D"/>
    <w:rsid w:val="001678E2"/>
    <w:rsid w:val="001679BE"/>
    <w:rsid w:val="001679E3"/>
    <w:rsid w:val="00167C44"/>
    <w:rsid w:val="00167C6A"/>
    <w:rsid w:val="00167CB4"/>
    <w:rsid w:val="00167E11"/>
    <w:rsid w:val="00167E91"/>
    <w:rsid w:val="00167EA9"/>
    <w:rsid w:val="00167EB3"/>
    <w:rsid w:val="00167EC3"/>
    <w:rsid w:val="00170081"/>
    <w:rsid w:val="00170093"/>
    <w:rsid w:val="001700D1"/>
    <w:rsid w:val="001701F2"/>
    <w:rsid w:val="00170318"/>
    <w:rsid w:val="00170350"/>
    <w:rsid w:val="00170381"/>
    <w:rsid w:val="00170667"/>
    <w:rsid w:val="001707DA"/>
    <w:rsid w:val="001707E6"/>
    <w:rsid w:val="00170830"/>
    <w:rsid w:val="00170A6B"/>
    <w:rsid w:val="00170A79"/>
    <w:rsid w:val="00170DF2"/>
    <w:rsid w:val="00170E5B"/>
    <w:rsid w:val="00170FE5"/>
    <w:rsid w:val="00171076"/>
    <w:rsid w:val="00171090"/>
    <w:rsid w:val="001711EE"/>
    <w:rsid w:val="001712DA"/>
    <w:rsid w:val="001712FD"/>
    <w:rsid w:val="001715AF"/>
    <w:rsid w:val="00171601"/>
    <w:rsid w:val="0017170F"/>
    <w:rsid w:val="001717D6"/>
    <w:rsid w:val="0017194D"/>
    <w:rsid w:val="0017205A"/>
    <w:rsid w:val="001720AE"/>
    <w:rsid w:val="00172348"/>
    <w:rsid w:val="001725F9"/>
    <w:rsid w:val="001726E0"/>
    <w:rsid w:val="0017280B"/>
    <w:rsid w:val="00172820"/>
    <w:rsid w:val="00172882"/>
    <w:rsid w:val="001728B4"/>
    <w:rsid w:val="001728ED"/>
    <w:rsid w:val="00172ADD"/>
    <w:rsid w:val="00172E35"/>
    <w:rsid w:val="00172EB8"/>
    <w:rsid w:val="00172F66"/>
    <w:rsid w:val="00172F7B"/>
    <w:rsid w:val="0017302D"/>
    <w:rsid w:val="00173249"/>
    <w:rsid w:val="001732D9"/>
    <w:rsid w:val="00173499"/>
    <w:rsid w:val="001735AE"/>
    <w:rsid w:val="00173629"/>
    <w:rsid w:val="00173742"/>
    <w:rsid w:val="0017376F"/>
    <w:rsid w:val="001738C5"/>
    <w:rsid w:val="00173A0E"/>
    <w:rsid w:val="00173AAD"/>
    <w:rsid w:val="00173C0B"/>
    <w:rsid w:val="00173D4A"/>
    <w:rsid w:val="00173F30"/>
    <w:rsid w:val="00174007"/>
    <w:rsid w:val="0017427C"/>
    <w:rsid w:val="0017433B"/>
    <w:rsid w:val="001743C3"/>
    <w:rsid w:val="0017454F"/>
    <w:rsid w:val="001745D6"/>
    <w:rsid w:val="0017470C"/>
    <w:rsid w:val="0017473A"/>
    <w:rsid w:val="0017485E"/>
    <w:rsid w:val="0017490E"/>
    <w:rsid w:val="00174975"/>
    <w:rsid w:val="00174A80"/>
    <w:rsid w:val="00174AF6"/>
    <w:rsid w:val="00174D35"/>
    <w:rsid w:val="00174FBB"/>
    <w:rsid w:val="001750AC"/>
    <w:rsid w:val="001750BB"/>
    <w:rsid w:val="0017512E"/>
    <w:rsid w:val="001754F0"/>
    <w:rsid w:val="00175599"/>
    <w:rsid w:val="001755E7"/>
    <w:rsid w:val="0017567D"/>
    <w:rsid w:val="001757F4"/>
    <w:rsid w:val="0017584F"/>
    <w:rsid w:val="00175905"/>
    <w:rsid w:val="0017597E"/>
    <w:rsid w:val="00175A63"/>
    <w:rsid w:val="00175AE9"/>
    <w:rsid w:val="00175C6D"/>
    <w:rsid w:val="00175CF3"/>
    <w:rsid w:val="00175DBE"/>
    <w:rsid w:val="00175DE0"/>
    <w:rsid w:val="00175EC6"/>
    <w:rsid w:val="00175F33"/>
    <w:rsid w:val="0017602C"/>
    <w:rsid w:val="0017609C"/>
    <w:rsid w:val="001761C5"/>
    <w:rsid w:val="00176211"/>
    <w:rsid w:val="0017630E"/>
    <w:rsid w:val="00176323"/>
    <w:rsid w:val="0017645B"/>
    <w:rsid w:val="00176499"/>
    <w:rsid w:val="00176508"/>
    <w:rsid w:val="001765B8"/>
    <w:rsid w:val="001767D7"/>
    <w:rsid w:val="00176839"/>
    <w:rsid w:val="0017693E"/>
    <w:rsid w:val="001769A5"/>
    <w:rsid w:val="00176AA4"/>
    <w:rsid w:val="00176AC0"/>
    <w:rsid w:val="00176D01"/>
    <w:rsid w:val="00176D4D"/>
    <w:rsid w:val="00176DC7"/>
    <w:rsid w:val="0017717B"/>
    <w:rsid w:val="001774AC"/>
    <w:rsid w:val="001776CF"/>
    <w:rsid w:val="001777D3"/>
    <w:rsid w:val="00177C2E"/>
    <w:rsid w:val="00177C57"/>
    <w:rsid w:val="00177ECB"/>
    <w:rsid w:val="0018026A"/>
    <w:rsid w:val="00180290"/>
    <w:rsid w:val="00180347"/>
    <w:rsid w:val="0018044A"/>
    <w:rsid w:val="00180456"/>
    <w:rsid w:val="00180484"/>
    <w:rsid w:val="001805CC"/>
    <w:rsid w:val="00180654"/>
    <w:rsid w:val="001806CC"/>
    <w:rsid w:val="00180764"/>
    <w:rsid w:val="00180846"/>
    <w:rsid w:val="00180933"/>
    <w:rsid w:val="00180A1C"/>
    <w:rsid w:val="00180B06"/>
    <w:rsid w:val="00180C45"/>
    <w:rsid w:val="00180C80"/>
    <w:rsid w:val="00180D13"/>
    <w:rsid w:val="00180E0A"/>
    <w:rsid w:val="00180E50"/>
    <w:rsid w:val="00180F1E"/>
    <w:rsid w:val="001811AE"/>
    <w:rsid w:val="001811D4"/>
    <w:rsid w:val="0018127F"/>
    <w:rsid w:val="0018136A"/>
    <w:rsid w:val="00181448"/>
    <w:rsid w:val="00181678"/>
    <w:rsid w:val="001818C0"/>
    <w:rsid w:val="0018194E"/>
    <w:rsid w:val="001819FF"/>
    <w:rsid w:val="00181C78"/>
    <w:rsid w:val="00181D8D"/>
    <w:rsid w:val="00181EEE"/>
    <w:rsid w:val="00181F4C"/>
    <w:rsid w:val="00181FCF"/>
    <w:rsid w:val="00182084"/>
    <w:rsid w:val="00182231"/>
    <w:rsid w:val="00182392"/>
    <w:rsid w:val="00182423"/>
    <w:rsid w:val="0018249C"/>
    <w:rsid w:val="0018251A"/>
    <w:rsid w:val="00182546"/>
    <w:rsid w:val="001825BD"/>
    <w:rsid w:val="00182785"/>
    <w:rsid w:val="00182C0A"/>
    <w:rsid w:val="00182D0D"/>
    <w:rsid w:val="00182D67"/>
    <w:rsid w:val="00182F29"/>
    <w:rsid w:val="001830ED"/>
    <w:rsid w:val="001831E4"/>
    <w:rsid w:val="0018320C"/>
    <w:rsid w:val="001832A2"/>
    <w:rsid w:val="00183337"/>
    <w:rsid w:val="00183700"/>
    <w:rsid w:val="001837AF"/>
    <w:rsid w:val="00183A9C"/>
    <w:rsid w:val="00183D4D"/>
    <w:rsid w:val="00183E04"/>
    <w:rsid w:val="00184060"/>
    <w:rsid w:val="001840CB"/>
    <w:rsid w:val="001840DF"/>
    <w:rsid w:val="001841E1"/>
    <w:rsid w:val="0018424A"/>
    <w:rsid w:val="0018429F"/>
    <w:rsid w:val="00184336"/>
    <w:rsid w:val="0018481F"/>
    <w:rsid w:val="001848E9"/>
    <w:rsid w:val="00184A1A"/>
    <w:rsid w:val="00184A8C"/>
    <w:rsid w:val="00184F80"/>
    <w:rsid w:val="001850A3"/>
    <w:rsid w:val="001850AC"/>
    <w:rsid w:val="00185138"/>
    <w:rsid w:val="00185190"/>
    <w:rsid w:val="0018519A"/>
    <w:rsid w:val="001854C2"/>
    <w:rsid w:val="0018559E"/>
    <w:rsid w:val="00185745"/>
    <w:rsid w:val="00185A59"/>
    <w:rsid w:val="00185BBF"/>
    <w:rsid w:val="00185F00"/>
    <w:rsid w:val="00185FA0"/>
    <w:rsid w:val="00185FA6"/>
    <w:rsid w:val="00185FD3"/>
    <w:rsid w:val="00185FFC"/>
    <w:rsid w:val="00186074"/>
    <w:rsid w:val="001861D5"/>
    <w:rsid w:val="00186321"/>
    <w:rsid w:val="00186458"/>
    <w:rsid w:val="00186489"/>
    <w:rsid w:val="001864EE"/>
    <w:rsid w:val="0018654E"/>
    <w:rsid w:val="00186569"/>
    <w:rsid w:val="00186690"/>
    <w:rsid w:val="0018671F"/>
    <w:rsid w:val="0018684B"/>
    <w:rsid w:val="00186927"/>
    <w:rsid w:val="00186A07"/>
    <w:rsid w:val="00186A4A"/>
    <w:rsid w:val="00186AD7"/>
    <w:rsid w:val="00186AF1"/>
    <w:rsid w:val="00186AFC"/>
    <w:rsid w:val="00186D80"/>
    <w:rsid w:val="00186E68"/>
    <w:rsid w:val="0018703D"/>
    <w:rsid w:val="0018710A"/>
    <w:rsid w:val="0018710E"/>
    <w:rsid w:val="0018711E"/>
    <w:rsid w:val="00187189"/>
    <w:rsid w:val="00187221"/>
    <w:rsid w:val="00187610"/>
    <w:rsid w:val="00187840"/>
    <w:rsid w:val="0018785D"/>
    <w:rsid w:val="00187870"/>
    <w:rsid w:val="00187963"/>
    <w:rsid w:val="00187983"/>
    <w:rsid w:val="00187A60"/>
    <w:rsid w:val="00187C33"/>
    <w:rsid w:val="0018BA15"/>
    <w:rsid w:val="00190196"/>
    <w:rsid w:val="001902E0"/>
    <w:rsid w:val="001903BA"/>
    <w:rsid w:val="001903EC"/>
    <w:rsid w:val="001905D3"/>
    <w:rsid w:val="001908B4"/>
    <w:rsid w:val="00190A28"/>
    <w:rsid w:val="00190AB4"/>
    <w:rsid w:val="00190B9E"/>
    <w:rsid w:val="00190BDD"/>
    <w:rsid w:val="0019100B"/>
    <w:rsid w:val="0019104A"/>
    <w:rsid w:val="001910E6"/>
    <w:rsid w:val="0019112D"/>
    <w:rsid w:val="00191169"/>
    <w:rsid w:val="00191181"/>
    <w:rsid w:val="001913F7"/>
    <w:rsid w:val="00191416"/>
    <w:rsid w:val="00191587"/>
    <w:rsid w:val="0019160F"/>
    <w:rsid w:val="00191693"/>
    <w:rsid w:val="00191797"/>
    <w:rsid w:val="001919AB"/>
    <w:rsid w:val="001919AD"/>
    <w:rsid w:val="00191AA9"/>
    <w:rsid w:val="00191AC8"/>
    <w:rsid w:val="00191BF2"/>
    <w:rsid w:val="00191C5E"/>
    <w:rsid w:val="001921F2"/>
    <w:rsid w:val="0019235C"/>
    <w:rsid w:val="00192479"/>
    <w:rsid w:val="00192743"/>
    <w:rsid w:val="00192880"/>
    <w:rsid w:val="00192962"/>
    <w:rsid w:val="00192BF2"/>
    <w:rsid w:val="00192C83"/>
    <w:rsid w:val="00192CFD"/>
    <w:rsid w:val="00192E79"/>
    <w:rsid w:val="00192E97"/>
    <w:rsid w:val="00192F1F"/>
    <w:rsid w:val="00192F56"/>
    <w:rsid w:val="00192F9C"/>
    <w:rsid w:val="001931C0"/>
    <w:rsid w:val="001931CD"/>
    <w:rsid w:val="00193325"/>
    <w:rsid w:val="001933B5"/>
    <w:rsid w:val="00193561"/>
    <w:rsid w:val="001937FE"/>
    <w:rsid w:val="00193806"/>
    <w:rsid w:val="001939A2"/>
    <w:rsid w:val="00193A51"/>
    <w:rsid w:val="00193AF7"/>
    <w:rsid w:val="00193D4E"/>
    <w:rsid w:val="00193DCE"/>
    <w:rsid w:val="00193E27"/>
    <w:rsid w:val="00193E2E"/>
    <w:rsid w:val="0019405B"/>
    <w:rsid w:val="0019405E"/>
    <w:rsid w:val="0019424B"/>
    <w:rsid w:val="0019427D"/>
    <w:rsid w:val="001942ED"/>
    <w:rsid w:val="00194432"/>
    <w:rsid w:val="00194691"/>
    <w:rsid w:val="00194731"/>
    <w:rsid w:val="001947B0"/>
    <w:rsid w:val="001947F4"/>
    <w:rsid w:val="00194843"/>
    <w:rsid w:val="001948AC"/>
    <w:rsid w:val="00194990"/>
    <w:rsid w:val="00194B25"/>
    <w:rsid w:val="00194B43"/>
    <w:rsid w:val="00194CD9"/>
    <w:rsid w:val="00194D5D"/>
    <w:rsid w:val="00194D65"/>
    <w:rsid w:val="00194D69"/>
    <w:rsid w:val="00194F37"/>
    <w:rsid w:val="00194FDC"/>
    <w:rsid w:val="001951C4"/>
    <w:rsid w:val="001952F2"/>
    <w:rsid w:val="0019532A"/>
    <w:rsid w:val="00195351"/>
    <w:rsid w:val="00195456"/>
    <w:rsid w:val="00195511"/>
    <w:rsid w:val="00195522"/>
    <w:rsid w:val="0019568D"/>
    <w:rsid w:val="001957F0"/>
    <w:rsid w:val="00195902"/>
    <w:rsid w:val="00195C8F"/>
    <w:rsid w:val="00195C9E"/>
    <w:rsid w:val="0019605A"/>
    <w:rsid w:val="001960F7"/>
    <w:rsid w:val="0019619E"/>
    <w:rsid w:val="001961EF"/>
    <w:rsid w:val="001962E1"/>
    <w:rsid w:val="001962E2"/>
    <w:rsid w:val="00196389"/>
    <w:rsid w:val="001963FA"/>
    <w:rsid w:val="00196634"/>
    <w:rsid w:val="0019669E"/>
    <w:rsid w:val="001966DA"/>
    <w:rsid w:val="0019671B"/>
    <w:rsid w:val="00196772"/>
    <w:rsid w:val="001967C6"/>
    <w:rsid w:val="00196906"/>
    <w:rsid w:val="0019697E"/>
    <w:rsid w:val="00196991"/>
    <w:rsid w:val="00196AC9"/>
    <w:rsid w:val="00196B9B"/>
    <w:rsid w:val="00196C55"/>
    <w:rsid w:val="00196D06"/>
    <w:rsid w:val="00196F21"/>
    <w:rsid w:val="00196FC0"/>
    <w:rsid w:val="00197006"/>
    <w:rsid w:val="00197053"/>
    <w:rsid w:val="00197097"/>
    <w:rsid w:val="0019722E"/>
    <w:rsid w:val="00197398"/>
    <w:rsid w:val="00197506"/>
    <w:rsid w:val="001975A3"/>
    <w:rsid w:val="001975FD"/>
    <w:rsid w:val="00197652"/>
    <w:rsid w:val="00197771"/>
    <w:rsid w:val="00197941"/>
    <w:rsid w:val="00197A5C"/>
    <w:rsid w:val="00197A85"/>
    <w:rsid w:val="00197DCC"/>
    <w:rsid w:val="00197E06"/>
    <w:rsid w:val="00197E5C"/>
    <w:rsid w:val="00197ECB"/>
    <w:rsid w:val="00197F1C"/>
    <w:rsid w:val="001A008B"/>
    <w:rsid w:val="001A0104"/>
    <w:rsid w:val="001A0225"/>
    <w:rsid w:val="001A05CD"/>
    <w:rsid w:val="001A0758"/>
    <w:rsid w:val="001A07AE"/>
    <w:rsid w:val="001A08CC"/>
    <w:rsid w:val="001A08F6"/>
    <w:rsid w:val="001A0DC3"/>
    <w:rsid w:val="001A0F18"/>
    <w:rsid w:val="001A0F31"/>
    <w:rsid w:val="001A100A"/>
    <w:rsid w:val="001A10E5"/>
    <w:rsid w:val="001A130F"/>
    <w:rsid w:val="001A144D"/>
    <w:rsid w:val="001A14CF"/>
    <w:rsid w:val="001A1917"/>
    <w:rsid w:val="001A1A60"/>
    <w:rsid w:val="001A1A6C"/>
    <w:rsid w:val="001A1B8E"/>
    <w:rsid w:val="001A1C6A"/>
    <w:rsid w:val="001A1CB4"/>
    <w:rsid w:val="001A1DB7"/>
    <w:rsid w:val="001A1EA2"/>
    <w:rsid w:val="001A2070"/>
    <w:rsid w:val="001A2161"/>
    <w:rsid w:val="001A219E"/>
    <w:rsid w:val="001A22C0"/>
    <w:rsid w:val="001A235A"/>
    <w:rsid w:val="001A23C3"/>
    <w:rsid w:val="001A26B2"/>
    <w:rsid w:val="001A26E5"/>
    <w:rsid w:val="001A26EC"/>
    <w:rsid w:val="001A273F"/>
    <w:rsid w:val="001A27B0"/>
    <w:rsid w:val="001A2912"/>
    <w:rsid w:val="001A2B9A"/>
    <w:rsid w:val="001A2BDB"/>
    <w:rsid w:val="001A2C40"/>
    <w:rsid w:val="001A2ED6"/>
    <w:rsid w:val="001A2F5D"/>
    <w:rsid w:val="001A2FFF"/>
    <w:rsid w:val="001A3128"/>
    <w:rsid w:val="001A3141"/>
    <w:rsid w:val="001A31F3"/>
    <w:rsid w:val="001A322D"/>
    <w:rsid w:val="001A3237"/>
    <w:rsid w:val="001A3380"/>
    <w:rsid w:val="001A35DA"/>
    <w:rsid w:val="001A3612"/>
    <w:rsid w:val="001A361F"/>
    <w:rsid w:val="001A3623"/>
    <w:rsid w:val="001A3647"/>
    <w:rsid w:val="001A366D"/>
    <w:rsid w:val="001A3704"/>
    <w:rsid w:val="001A3799"/>
    <w:rsid w:val="001A38CC"/>
    <w:rsid w:val="001A38EF"/>
    <w:rsid w:val="001A391A"/>
    <w:rsid w:val="001A39F0"/>
    <w:rsid w:val="001A3BF8"/>
    <w:rsid w:val="001A3F10"/>
    <w:rsid w:val="001A3F74"/>
    <w:rsid w:val="001A3FCF"/>
    <w:rsid w:val="001A417A"/>
    <w:rsid w:val="001A419E"/>
    <w:rsid w:val="001A427C"/>
    <w:rsid w:val="001A42D5"/>
    <w:rsid w:val="001A4307"/>
    <w:rsid w:val="001A455E"/>
    <w:rsid w:val="001A459C"/>
    <w:rsid w:val="001A45BD"/>
    <w:rsid w:val="001A4626"/>
    <w:rsid w:val="001A4640"/>
    <w:rsid w:val="001A46A3"/>
    <w:rsid w:val="001A46BD"/>
    <w:rsid w:val="001A46E8"/>
    <w:rsid w:val="001A46F8"/>
    <w:rsid w:val="001A48D4"/>
    <w:rsid w:val="001A4984"/>
    <w:rsid w:val="001A4C1B"/>
    <w:rsid w:val="001A4DB1"/>
    <w:rsid w:val="001A4DD0"/>
    <w:rsid w:val="001A4E63"/>
    <w:rsid w:val="001A4E83"/>
    <w:rsid w:val="001A4EA3"/>
    <w:rsid w:val="001A5044"/>
    <w:rsid w:val="001A5145"/>
    <w:rsid w:val="001A51C3"/>
    <w:rsid w:val="001A538A"/>
    <w:rsid w:val="001A5396"/>
    <w:rsid w:val="001A573E"/>
    <w:rsid w:val="001A5772"/>
    <w:rsid w:val="001A57D4"/>
    <w:rsid w:val="001A583E"/>
    <w:rsid w:val="001A5907"/>
    <w:rsid w:val="001A592F"/>
    <w:rsid w:val="001A59EF"/>
    <w:rsid w:val="001A5ACC"/>
    <w:rsid w:val="001A5B01"/>
    <w:rsid w:val="001A5B9B"/>
    <w:rsid w:val="001A5BCA"/>
    <w:rsid w:val="001A5DDF"/>
    <w:rsid w:val="001A5E6C"/>
    <w:rsid w:val="001A5EAB"/>
    <w:rsid w:val="001A6018"/>
    <w:rsid w:val="001A60D4"/>
    <w:rsid w:val="001A613C"/>
    <w:rsid w:val="001A61AF"/>
    <w:rsid w:val="001A6213"/>
    <w:rsid w:val="001A6492"/>
    <w:rsid w:val="001A64E4"/>
    <w:rsid w:val="001A6513"/>
    <w:rsid w:val="001A6590"/>
    <w:rsid w:val="001A6665"/>
    <w:rsid w:val="001A6777"/>
    <w:rsid w:val="001A67B0"/>
    <w:rsid w:val="001A67BE"/>
    <w:rsid w:val="001A6BDD"/>
    <w:rsid w:val="001A6C32"/>
    <w:rsid w:val="001A6C54"/>
    <w:rsid w:val="001A6E16"/>
    <w:rsid w:val="001A6EBB"/>
    <w:rsid w:val="001A6F9C"/>
    <w:rsid w:val="001A7044"/>
    <w:rsid w:val="001A7109"/>
    <w:rsid w:val="001A72E9"/>
    <w:rsid w:val="001A72EF"/>
    <w:rsid w:val="001A735C"/>
    <w:rsid w:val="001A744B"/>
    <w:rsid w:val="001A750B"/>
    <w:rsid w:val="001A7681"/>
    <w:rsid w:val="001A76C8"/>
    <w:rsid w:val="001A7779"/>
    <w:rsid w:val="001A77F5"/>
    <w:rsid w:val="001A783F"/>
    <w:rsid w:val="001A792E"/>
    <w:rsid w:val="001A7A8E"/>
    <w:rsid w:val="001A7A9C"/>
    <w:rsid w:val="001A7B12"/>
    <w:rsid w:val="001A7DF7"/>
    <w:rsid w:val="001B03C3"/>
    <w:rsid w:val="001B0400"/>
    <w:rsid w:val="001B0448"/>
    <w:rsid w:val="001B0502"/>
    <w:rsid w:val="001B0A70"/>
    <w:rsid w:val="001B0B11"/>
    <w:rsid w:val="001B0B14"/>
    <w:rsid w:val="001B0B44"/>
    <w:rsid w:val="001B0C01"/>
    <w:rsid w:val="001B0C6E"/>
    <w:rsid w:val="001B0C9C"/>
    <w:rsid w:val="001B0CC2"/>
    <w:rsid w:val="001B1040"/>
    <w:rsid w:val="001B1070"/>
    <w:rsid w:val="001B1078"/>
    <w:rsid w:val="001B10E7"/>
    <w:rsid w:val="001B112C"/>
    <w:rsid w:val="001B1278"/>
    <w:rsid w:val="001B127C"/>
    <w:rsid w:val="001B12B8"/>
    <w:rsid w:val="001B13BA"/>
    <w:rsid w:val="001B13FB"/>
    <w:rsid w:val="001B140A"/>
    <w:rsid w:val="001B1414"/>
    <w:rsid w:val="001B154C"/>
    <w:rsid w:val="001B16E6"/>
    <w:rsid w:val="001B1761"/>
    <w:rsid w:val="001B1764"/>
    <w:rsid w:val="001B19E6"/>
    <w:rsid w:val="001B19FA"/>
    <w:rsid w:val="001B1A3D"/>
    <w:rsid w:val="001B1AC7"/>
    <w:rsid w:val="001B1BE1"/>
    <w:rsid w:val="001B1CF6"/>
    <w:rsid w:val="001B1DF0"/>
    <w:rsid w:val="001B1E02"/>
    <w:rsid w:val="001B1F71"/>
    <w:rsid w:val="001B201C"/>
    <w:rsid w:val="001B20BC"/>
    <w:rsid w:val="001B20C0"/>
    <w:rsid w:val="001B2108"/>
    <w:rsid w:val="001B2195"/>
    <w:rsid w:val="001B219B"/>
    <w:rsid w:val="001B2223"/>
    <w:rsid w:val="001B227F"/>
    <w:rsid w:val="001B236A"/>
    <w:rsid w:val="001B2395"/>
    <w:rsid w:val="001B23B7"/>
    <w:rsid w:val="001B23C5"/>
    <w:rsid w:val="001B23DF"/>
    <w:rsid w:val="001B2415"/>
    <w:rsid w:val="001B24CD"/>
    <w:rsid w:val="001B2530"/>
    <w:rsid w:val="001B25A8"/>
    <w:rsid w:val="001B267D"/>
    <w:rsid w:val="001B27A7"/>
    <w:rsid w:val="001B2C09"/>
    <w:rsid w:val="001B2ED6"/>
    <w:rsid w:val="001B2F44"/>
    <w:rsid w:val="001B2F91"/>
    <w:rsid w:val="001B2FC5"/>
    <w:rsid w:val="001B3051"/>
    <w:rsid w:val="001B30A6"/>
    <w:rsid w:val="001B328F"/>
    <w:rsid w:val="001B33C2"/>
    <w:rsid w:val="001B366E"/>
    <w:rsid w:val="001B368A"/>
    <w:rsid w:val="001B36A5"/>
    <w:rsid w:val="001B3714"/>
    <w:rsid w:val="001B3777"/>
    <w:rsid w:val="001B37FC"/>
    <w:rsid w:val="001B37FE"/>
    <w:rsid w:val="001B390F"/>
    <w:rsid w:val="001B398E"/>
    <w:rsid w:val="001B3B2B"/>
    <w:rsid w:val="001B3DE2"/>
    <w:rsid w:val="001B3DE9"/>
    <w:rsid w:val="001B3EBC"/>
    <w:rsid w:val="001B3FBD"/>
    <w:rsid w:val="001B3FCA"/>
    <w:rsid w:val="001B3FDF"/>
    <w:rsid w:val="001B4010"/>
    <w:rsid w:val="001B403C"/>
    <w:rsid w:val="001B4044"/>
    <w:rsid w:val="001B4053"/>
    <w:rsid w:val="001B411A"/>
    <w:rsid w:val="001B414E"/>
    <w:rsid w:val="001B4208"/>
    <w:rsid w:val="001B4643"/>
    <w:rsid w:val="001B4A96"/>
    <w:rsid w:val="001B4AF0"/>
    <w:rsid w:val="001B4E78"/>
    <w:rsid w:val="001B4FC1"/>
    <w:rsid w:val="001B539D"/>
    <w:rsid w:val="001B542D"/>
    <w:rsid w:val="001B5623"/>
    <w:rsid w:val="001B5655"/>
    <w:rsid w:val="001B5772"/>
    <w:rsid w:val="001B5776"/>
    <w:rsid w:val="001B57A4"/>
    <w:rsid w:val="001B5A3E"/>
    <w:rsid w:val="001B5BB0"/>
    <w:rsid w:val="001B5BDA"/>
    <w:rsid w:val="001B5C89"/>
    <w:rsid w:val="001B5F22"/>
    <w:rsid w:val="001B6058"/>
    <w:rsid w:val="001B620F"/>
    <w:rsid w:val="001B62D0"/>
    <w:rsid w:val="001B6447"/>
    <w:rsid w:val="001B64F5"/>
    <w:rsid w:val="001B660E"/>
    <w:rsid w:val="001B6684"/>
    <w:rsid w:val="001B673D"/>
    <w:rsid w:val="001B6892"/>
    <w:rsid w:val="001B69ED"/>
    <w:rsid w:val="001B6B6E"/>
    <w:rsid w:val="001B6BE5"/>
    <w:rsid w:val="001B6C2B"/>
    <w:rsid w:val="001B6FD0"/>
    <w:rsid w:val="001B7003"/>
    <w:rsid w:val="001B7092"/>
    <w:rsid w:val="001B7094"/>
    <w:rsid w:val="001B714C"/>
    <w:rsid w:val="001B71F9"/>
    <w:rsid w:val="001B7255"/>
    <w:rsid w:val="001B72DA"/>
    <w:rsid w:val="001B73AC"/>
    <w:rsid w:val="001B73E2"/>
    <w:rsid w:val="001B74D9"/>
    <w:rsid w:val="001B75AC"/>
    <w:rsid w:val="001B7A43"/>
    <w:rsid w:val="001B7B7E"/>
    <w:rsid w:val="001B7E6D"/>
    <w:rsid w:val="001B7F97"/>
    <w:rsid w:val="001C02A5"/>
    <w:rsid w:val="001C02DD"/>
    <w:rsid w:val="001C02FB"/>
    <w:rsid w:val="001C0495"/>
    <w:rsid w:val="001C057B"/>
    <w:rsid w:val="001C06CD"/>
    <w:rsid w:val="001C089B"/>
    <w:rsid w:val="001C0924"/>
    <w:rsid w:val="001C09EA"/>
    <w:rsid w:val="001C0A75"/>
    <w:rsid w:val="001C0D18"/>
    <w:rsid w:val="001C0D6F"/>
    <w:rsid w:val="001C0DA0"/>
    <w:rsid w:val="001C0ECF"/>
    <w:rsid w:val="001C10A3"/>
    <w:rsid w:val="001C1284"/>
    <w:rsid w:val="001C1310"/>
    <w:rsid w:val="001C1312"/>
    <w:rsid w:val="001C1457"/>
    <w:rsid w:val="001C16A5"/>
    <w:rsid w:val="001C176E"/>
    <w:rsid w:val="001C18A6"/>
    <w:rsid w:val="001C191F"/>
    <w:rsid w:val="001C1A80"/>
    <w:rsid w:val="001C1A90"/>
    <w:rsid w:val="001C1AA7"/>
    <w:rsid w:val="001C1ABD"/>
    <w:rsid w:val="001C1C6A"/>
    <w:rsid w:val="001C1C7C"/>
    <w:rsid w:val="001C1CA6"/>
    <w:rsid w:val="001C1CBB"/>
    <w:rsid w:val="001C1D0A"/>
    <w:rsid w:val="001C1D4E"/>
    <w:rsid w:val="001C1F7F"/>
    <w:rsid w:val="001C200B"/>
    <w:rsid w:val="001C2058"/>
    <w:rsid w:val="001C20F3"/>
    <w:rsid w:val="001C2155"/>
    <w:rsid w:val="001C21A0"/>
    <w:rsid w:val="001C2229"/>
    <w:rsid w:val="001C2278"/>
    <w:rsid w:val="001C243C"/>
    <w:rsid w:val="001C2591"/>
    <w:rsid w:val="001C2663"/>
    <w:rsid w:val="001C26A7"/>
    <w:rsid w:val="001C275D"/>
    <w:rsid w:val="001C2898"/>
    <w:rsid w:val="001C2980"/>
    <w:rsid w:val="001C2AEF"/>
    <w:rsid w:val="001C2C71"/>
    <w:rsid w:val="001C2D37"/>
    <w:rsid w:val="001C2EF7"/>
    <w:rsid w:val="001C2FFC"/>
    <w:rsid w:val="001C3292"/>
    <w:rsid w:val="001C32F2"/>
    <w:rsid w:val="001C333C"/>
    <w:rsid w:val="001C33A4"/>
    <w:rsid w:val="001C33B7"/>
    <w:rsid w:val="001C34EF"/>
    <w:rsid w:val="001C34FD"/>
    <w:rsid w:val="001C362C"/>
    <w:rsid w:val="001C377B"/>
    <w:rsid w:val="001C3781"/>
    <w:rsid w:val="001C37F7"/>
    <w:rsid w:val="001C3A2E"/>
    <w:rsid w:val="001C3AE6"/>
    <w:rsid w:val="001C3BE3"/>
    <w:rsid w:val="001C3D12"/>
    <w:rsid w:val="001C3DBD"/>
    <w:rsid w:val="001C3DD5"/>
    <w:rsid w:val="001C3F42"/>
    <w:rsid w:val="001C3FCF"/>
    <w:rsid w:val="001C40FD"/>
    <w:rsid w:val="001C4157"/>
    <w:rsid w:val="001C42A8"/>
    <w:rsid w:val="001C4373"/>
    <w:rsid w:val="001C4391"/>
    <w:rsid w:val="001C44DA"/>
    <w:rsid w:val="001C47A4"/>
    <w:rsid w:val="001C4809"/>
    <w:rsid w:val="001C48F3"/>
    <w:rsid w:val="001C4B43"/>
    <w:rsid w:val="001C4BDD"/>
    <w:rsid w:val="001C4BFA"/>
    <w:rsid w:val="001C4C4C"/>
    <w:rsid w:val="001C4DE9"/>
    <w:rsid w:val="001C4E0C"/>
    <w:rsid w:val="001C4E76"/>
    <w:rsid w:val="001C4F0D"/>
    <w:rsid w:val="001C4F13"/>
    <w:rsid w:val="001C4F27"/>
    <w:rsid w:val="001C5097"/>
    <w:rsid w:val="001C5160"/>
    <w:rsid w:val="001C51C6"/>
    <w:rsid w:val="001C51D1"/>
    <w:rsid w:val="001C5313"/>
    <w:rsid w:val="001C536C"/>
    <w:rsid w:val="001C53FD"/>
    <w:rsid w:val="001C54A3"/>
    <w:rsid w:val="001C5755"/>
    <w:rsid w:val="001C588D"/>
    <w:rsid w:val="001C5A8B"/>
    <w:rsid w:val="001C5ADE"/>
    <w:rsid w:val="001C5B0B"/>
    <w:rsid w:val="001C5BD8"/>
    <w:rsid w:val="001C5C63"/>
    <w:rsid w:val="001C5C6E"/>
    <w:rsid w:val="001C5C74"/>
    <w:rsid w:val="001C5C89"/>
    <w:rsid w:val="001C6253"/>
    <w:rsid w:val="001C63B1"/>
    <w:rsid w:val="001C63ED"/>
    <w:rsid w:val="001C640C"/>
    <w:rsid w:val="001C6453"/>
    <w:rsid w:val="001C6465"/>
    <w:rsid w:val="001C64E4"/>
    <w:rsid w:val="001C670A"/>
    <w:rsid w:val="001C675E"/>
    <w:rsid w:val="001C68E3"/>
    <w:rsid w:val="001C6A88"/>
    <w:rsid w:val="001C6AEC"/>
    <w:rsid w:val="001C6E69"/>
    <w:rsid w:val="001C6FEF"/>
    <w:rsid w:val="001C71F1"/>
    <w:rsid w:val="001C7272"/>
    <w:rsid w:val="001C72C0"/>
    <w:rsid w:val="001C732D"/>
    <w:rsid w:val="001C734F"/>
    <w:rsid w:val="001C74F8"/>
    <w:rsid w:val="001C75A5"/>
    <w:rsid w:val="001C7732"/>
    <w:rsid w:val="001C7775"/>
    <w:rsid w:val="001C77A8"/>
    <w:rsid w:val="001C78A4"/>
    <w:rsid w:val="001C78C3"/>
    <w:rsid w:val="001C797D"/>
    <w:rsid w:val="001C7C2F"/>
    <w:rsid w:val="001C7D02"/>
    <w:rsid w:val="001C7DAE"/>
    <w:rsid w:val="001C7FCB"/>
    <w:rsid w:val="001D006F"/>
    <w:rsid w:val="001D0225"/>
    <w:rsid w:val="001D03B5"/>
    <w:rsid w:val="001D0405"/>
    <w:rsid w:val="001D04E6"/>
    <w:rsid w:val="001D053A"/>
    <w:rsid w:val="001D074E"/>
    <w:rsid w:val="001D07E1"/>
    <w:rsid w:val="001D0893"/>
    <w:rsid w:val="001D08F0"/>
    <w:rsid w:val="001D097E"/>
    <w:rsid w:val="001D0988"/>
    <w:rsid w:val="001D09B6"/>
    <w:rsid w:val="001D09D1"/>
    <w:rsid w:val="001D0A44"/>
    <w:rsid w:val="001D0B1A"/>
    <w:rsid w:val="001D0B69"/>
    <w:rsid w:val="001D0C2F"/>
    <w:rsid w:val="001D0DB9"/>
    <w:rsid w:val="001D0ED4"/>
    <w:rsid w:val="001D0FDD"/>
    <w:rsid w:val="001D1000"/>
    <w:rsid w:val="001D1191"/>
    <w:rsid w:val="001D1602"/>
    <w:rsid w:val="001D16B7"/>
    <w:rsid w:val="001D18CD"/>
    <w:rsid w:val="001D1C58"/>
    <w:rsid w:val="001D1E55"/>
    <w:rsid w:val="001D212E"/>
    <w:rsid w:val="001D22D7"/>
    <w:rsid w:val="001D231C"/>
    <w:rsid w:val="001D2507"/>
    <w:rsid w:val="001D2624"/>
    <w:rsid w:val="001D2674"/>
    <w:rsid w:val="001D2684"/>
    <w:rsid w:val="001D26CB"/>
    <w:rsid w:val="001D279E"/>
    <w:rsid w:val="001D28A5"/>
    <w:rsid w:val="001D28BD"/>
    <w:rsid w:val="001D29B3"/>
    <w:rsid w:val="001D2A35"/>
    <w:rsid w:val="001D2AC6"/>
    <w:rsid w:val="001D2B9D"/>
    <w:rsid w:val="001D2D16"/>
    <w:rsid w:val="001D2D20"/>
    <w:rsid w:val="001D2D33"/>
    <w:rsid w:val="001D2DA1"/>
    <w:rsid w:val="001D30D2"/>
    <w:rsid w:val="001D31C6"/>
    <w:rsid w:val="001D334D"/>
    <w:rsid w:val="001D348C"/>
    <w:rsid w:val="001D34E3"/>
    <w:rsid w:val="001D3500"/>
    <w:rsid w:val="001D35D6"/>
    <w:rsid w:val="001D3793"/>
    <w:rsid w:val="001D3870"/>
    <w:rsid w:val="001D398D"/>
    <w:rsid w:val="001D39EE"/>
    <w:rsid w:val="001D3A58"/>
    <w:rsid w:val="001D3C9A"/>
    <w:rsid w:val="001D3E88"/>
    <w:rsid w:val="001D3E8F"/>
    <w:rsid w:val="001D3FF5"/>
    <w:rsid w:val="001D407E"/>
    <w:rsid w:val="001D42BE"/>
    <w:rsid w:val="001D43BC"/>
    <w:rsid w:val="001D4416"/>
    <w:rsid w:val="001D44F6"/>
    <w:rsid w:val="001D45EC"/>
    <w:rsid w:val="001D46B1"/>
    <w:rsid w:val="001D474F"/>
    <w:rsid w:val="001D4845"/>
    <w:rsid w:val="001D49D1"/>
    <w:rsid w:val="001D4B65"/>
    <w:rsid w:val="001D4BB2"/>
    <w:rsid w:val="001D4D55"/>
    <w:rsid w:val="001D4DAA"/>
    <w:rsid w:val="001D5133"/>
    <w:rsid w:val="001D51B0"/>
    <w:rsid w:val="001D51E7"/>
    <w:rsid w:val="001D523A"/>
    <w:rsid w:val="001D523D"/>
    <w:rsid w:val="001D5366"/>
    <w:rsid w:val="001D53F1"/>
    <w:rsid w:val="001D568B"/>
    <w:rsid w:val="001D56CB"/>
    <w:rsid w:val="001D5A23"/>
    <w:rsid w:val="001D5A37"/>
    <w:rsid w:val="001D5B5C"/>
    <w:rsid w:val="001D5C69"/>
    <w:rsid w:val="001D5D36"/>
    <w:rsid w:val="001D5DA2"/>
    <w:rsid w:val="001D5F0E"/>
    <w:rsid w:val="001D612A"/>
    <w:rsid w:val="001D61D6"/>
    <w:rsid w:val="001D6327"/>
    <w:rsid w:val="001D6460"/>
    <w:rsid w:val="001D654A"/>
    <w:rsid w:val="001D6715"/>
    <w:rsid w:val="001D67A1"/>
    <w:rsid w:val="001D67EC"/>
    <w:rsid w:val="001D688F"/>
    <w:rsid w:val="001D696D"/>
    <w:rsid w:val="001D69E2"/>
    <w:rsid w:val="001D6AFF"/>
    <w:rsid w:val="001D6CB2"/>
    <w:rsid w:val="001D6DE5"/>
    <w:rsid w:val="001D6FCE"/>
    <w:rsid w:val="001D7029"/>
    <w:rsid w:val="001D7112"/>
    <w:rsid w:val="001D717E"/>
    <w:rsid w:val="001D72F9"/>
    <w:rsid w:val="001D732F"/>
    <w:rsid w:val="001D73DC"/>
    <w:rsid w:val="001D7414"/>
    <w:rsid w:val="001D74F9"/>
    <w:rsid w:val="001D75FF"/>
    <w:rsid w:val="001D78CF"/>
    <w:rsid w:val="001D794D"/>
    <w:rsid w:val="001D7C5D"/>
    <w:rsid w:val="001D7E7B"/>
    <w:rsid w:val="001D7E7C"/>
    <w:rsid w:val="001E01BD"/>
    <w:rsid w:val="001E025D"/>
    <w:rsid w:val="001E02D6"/>
    <w:rsid w:val="001E036F"/>
    <w:rsid w:val="001E064F"/>
    <w:rsid w:val="001E0754"/>
    <w:rsid w:val="001E091A"/>
    <w:rsid w:val="001E093E"/>
    <w:rsid w:val="001E0A11"/>
    <w:rsid w:val="001E0AA3"/>
    <w:rsid w:val="001E0ADA"/>
    <w:rsid w:val="001E0CA6"/>
    <w:rsid w:val="001E0CD9"/>
    <w:rsid w:val="001E0DCC"/>
    <w:rsid w:val="001E0E3C"/>
    <w:rsid w:val="001E0E6E"/>
    <w:rsid w:val="001E0E9F"/>
    <w:rsid w:val="001E0EBA"/>
    <w:rsid w:val="001E0F35"/>
    <w:rsid w:val="001E1024"/>
    <w:rsid w:val="001E1243"/>
    <w:rsid w:val="001E1284"/>
    <w:rsid w:val="001E1345"/>
    <w:rsid w:val="001E1494"/>
    <w:rsid w:val="001E154C"/>
    <w:rsid w:val="001E16AF"/>
    <w:rsid w:val="001E1712"/>
    <w:rsid w:val="001E18AB"/>
    <w:rsid w:val="001E18F5"/>
    <w:rsid w:val="001E18FC"/>
    <w:rsid w:val="001E1E4E"/>
    <w:rsid w:val="001E2191"/>
    <w:rsid w:val="001E2299"/>
    <w:rsid w:val="001E2338"/>
    <w:rsid w:val="001E2438"/>
    <w:rsid w:val="001E2547"/>
    <w:rsid w:val="001E25BB"/>
    <w:rsid w:val="001E26F2"/>
    <w:rsid w:val="001E272C"/>
    <w:rsid w:val="001E2C51"/>
    <w:rsid w:val="001E2D71"/>
    <w:rsid w:val="001E2E51"/>
    <w:rsid w:val="001E2E95"/>
    <w:rsid w:val="001E2EDF"/>
    <w:rsid w:val="001E3124"/>
    <w:rsid w:val="001E31F8"/>
    <w:rsid w:val="001E32AA"/>
    <w:rsid w:val="001E337F"/>
    <w:rsid w:val="001E3402"/>
    <w:rsid w:val="001E3430"/>
    <w:rsid w:val="001E34BE"/>
    <w:rsid w:val="001E35E8"/>
    <w:rsid w:val="001E3615"/>
    <w:rsid w:val="001E366C"/>
    <w:rsid w:val="001E381B"/>
    <w:rsid w:val="001E3863"/>
    <w:rsid w:val="001E39C6"/>
    <w:rsid w:val="001E3ABD"/>
    <w:rsid w:val="001E3B75"/>
    <w:rsid w:val="001E3C5C"/>
    <w:rsid w:val="001E3CE2"/>
    <w:rsid w:val="001E3CFB"/>
    <w:rsid w:val="001E3E8F"/>
    <w:rsid w:val="001E3F0F"/>
    <w:rsid w:val="001E3F31"/>
    <w:rsid w:val="001E3F4F"/>
    <w:rsid w:val="001E3F93"/>
    <w:rsid w:val="001E40EC"/>
    <w:rsid w:val="001E420F"/>
    <w:rsid w:val="001E4215"/>
    <w:rsid w:val="001E424E"/>
    <w:rsid w:val="001E42E1"/>
    <w:rsid w:val="001E4389"/>
    <w:rsid w:val="001E43C4"/>
    <w:rsid w:val="001E43E9"/>
    <w:rsid w:val="001E446E"/>
    <w:rsid w:val="001E464E"/>
    <w:rsid w:val="001E47E9"/>
    <w:rsid w:val="001E4948"/>
    <w:rsid w:val="001E4ABB"/>
    <w:rsid w:val="001E4D9B"/>
    <w:rsid w:val="001E5155"/>
    <w:rsid w:val="001E51D4"/>
    <w:rsid w:val="001E5258"/>
    <w:rsid w:val="001E53D7"/>
    <w:rsid w:val="001E5464"/>
    <w:rsid w:val="001E5689"/>
    <w:rsid w:val="001E59EB"/>
    <w:rsid w:val="001E5B2C"/>
    <w:rsid w:val="001E5B42"/>
    <w:rsid w:val="001E5CF1"/>
    <w:rsid w:val="001E600E"/>
    <w:rsid w:val="001E607E"/>
    <w:rsid w:val="001E608F"/>
    <w:rsid w:val="001E60C6"/>
    <w:rsid w:val="001E619B"/>
    <w:rsid w:val="001E6542"/>
    <w:rsid w:val="001E67B8"/>
    <w:rsid w:val="001E67D0"/>
    <w:rsid w:val="001E6822"/>
    <w:rsid w:val="001E6863"/>
    <w:rsid w:val="001E696F"/>
    <w:rsid w:val="001E6A55"/>
    <w:rsid w:val="001E6A61"/>
    <w:rsid w:val="001E6ACD"/>
    <w:rsid w:val="001E6BAB"/>
    <w:rsid w:val="001E6BE3"/>
    <w:rsid w:val="001E6CE5"/>
    <w:rsid w:val="001E6D8A"/>
    <w:rsid w:val="001E6DC3"/>
    <w:rsid w:val="001E6E34"/>
    <w:rsid w:val="001E6E62"/>
    <w:rsid w:val="001E708D"/>
    <w:rsid w:val="001E7206"/>
    <w:rsid w:val="001E72D7"/>
    <w:rsid w:val="001E73CE"/>
    <w:rsid w:val="001E7563"/>
    <w:rsid w:val="001E758B"/>
    <w:rsid w:val="001E769C"/>
    <w:rsid w:val="001E76ED"/>
    <w:rsid w:val="001E77A4"/>
    <w:rsid w:val="001E7D09"/>
    <w:rsid w:val="001E7DF1"/>
    <w:rsid w:val="001E7E13"/>
    <w:rsid w:val="001E7ED8"/>
    <w:rsid w:val="001E7F30"/>
    <w:rsid w:val="001E7F7A"/>
    <w:rsid w:val="001E7FC9"/>
    <w:rsid w:val="001F0053"/>
    <w:rsid w:val="001F00FE"/>
    <w:rsid w:val="001F013D"/>
    <w:rsid w:val="001F02D6"/>
    <w:rsid w:val="001F03C5"/>
    <w:rsid w:val="001F048F"/>
    <w:rsid w:val="001F089D"/>
    <w:rsid w:val="001F0961"/>
    <w:rsid w:val="001F0AD0"/>
    <w:rsid w:val="001F0B7B"/>
    <w:rsid w:val="001F0BC4"/>
    <w:rsid w:val="001F0CA0"/>
    <w:rsid w:val="001F102F"/>
    <w:rsid w:val="001F1119"/>
    <w:rsid w:val="001F12D9"/>
    <w:rsid w:val="001F1300"/>
    <w:rsid w:val="001F1384"/>
    <w:rsid w:val="001F1476"/>
    <w:rsid w:val="001F147A"/>
    <w:rsid w:val="001F161E"/>
    <w:rsid w:val="001F173F"/>
    <w:rsid w:val="001F1857"/>
    <w:rsid w:val="001F18E7"/>
    <w:rsid w:val="001F18F3"/>
    <w:rsid w:val="001F19CA"/>
    <w:rsid w:val="001F1A64"/>
    <w:rsid w:val="001F1BA5"/>
    <w:rsid w:val="001F1D51"/>
    <w:rsid w:val="001F1EA9"/>
    <w:rsid w:val="001F1EF0"/>
    <w:rsid w:val="001F1F17"/>
    <w:rsid w:val="001F200E"/>
    <w:rsid w:val="001F2046"/>
    <w:rsid w:val="001F2150"/>
    <w:rsid w:val="001F23F6"/>
    <w:rsid w:val="001F25EE"/>
    <w:rsid w:val="001F27E0"/>
    <w:rsid w:val="001F2A3E"/>
    <w:rsid w:val="001F2A64"/>
    <w:rsid w:val="001F2B7B"/>
    <w:rsid w:val="001F2E4D"/>
    <w:rsid w:val="001F2EB5"/>
    <w:rsid w:val="001F2F02"/>
    <w:rsid w:val="001F2F0E"/>
    <w:rsid w:val="001F2FF3"/>
    <w:rsid w:val="001F310C"/>
    <w:rsid w:val="001F3245"/>
    <w:rsid w:val="001F3331"/>
    <w:rsid w:val="001F3489"/>
    <w:rsid w:val="001F34A7"/>
    <w:rsid w:val="001F3577"/>
    <w:rsid w:val="001F35F8"/>
    <w:rsid w:val="001F37D2"/>
    <w:rsid w:val="001F39D7"/>
    <w:rsid w:val="001F3A2F"/>
    <w:rsid w:val="001F3D6B"/>
    <w:rsid w:val="001F3DC0"/>
    <w:rsid w:val="001F3E55"/>
    <w:rsid w:val="001F3F9E"/>
    <w:rsid w:val="001F4038"/>
    <w:rsid w:val="001F40D8"/>
    <w:rsid w:val="001F4224"/>
    <w:rsid w:val="001F4361"/>
    <w:rsid w:val="001F4491"/>
    <w:rsid w:val="001F44EA"/>
    <w:rsid w:val="001F44FB"/>
    <w:rsid w:val="001F4717"/>
    <w:rsid w:val="001F484D"/>
    <w:rsid w:val="001F48CE"/>
    <w:rsid w:val="001F4B13"/>
    <w:rsid w:val="001F4C18"/>
    <w:rsid w:val="001F4E11"/>
    <w:rsid w:val="001F4E1A"/>
    <w:rsid w:val="001F4E96"/>
    <w:rsid w:val="001F4F1A"/>
    <w:rsid w:val="001F5006"/>
    <w:rsid w:val="001F5037"/>
    <w:rsid w:val="001F50BC"/>
    <w:rsid w:val="001F529A"/>
    <w:rsid w:val="001F5454"/>
    <w:rsid w:val="001F5542"/>
    <w:rsid w:val="001F560C"/>
    <w:rsid w:val="001F5704"/>
    <w:rsid w:val="001F5776"/>
    <w:rsid w:val="001F5881"/>
    <w:rsid w:val="001F58E5"/>
    <w:rsid w:val="001F59E2"/>
    <w:rsid w:val="001F5AA8"/>
    <w:rsid w:val="001F5C50"/>
    <w:rsid w:val="001F5C64"/>
    <w:rsid w:val="001F5CD4"/>
    <w:rsid w:val="001F5E60"/>
    <w:rsid w:val="001F5FD2"/>
    <w:rsid w:val="001F6235"/>
    <w:rsid w:val="001F6255"/>
    <w:rsid w:val="001F63BD"/>
    <w:rsid w:val="001F6840"/>
    <w:rsid w:val="001F689D"/>
    <w:rsid w:val="001F68E6"/>
    <w:rsid w:val="001F6912"/>
    <w:rsid w:val="001F6A35"/>
    <w:rsid w:val="001F6A45"/>
    <w:rsid w:val="001F6A99"/>
    <w:rsid w:val="001F6C0E"/>
    <w:rsid w:val="001F6D72"/>
    <w:rsid w:val="001F6E1F"/>
    <w:rsid w:val="001F6EE9"/>
    <w:rsid w:val="001F7155"/>
    <w:rsid w:val="001F721A"/>
    <w:rsid w:val="001F7239"/>
    <w:rsid w:val="001F73BB"/>
    <w:rsid w:val="001F75CE"/>
    <w:rsid w:val="001F7629"/>
    <w:rsid w:val="001F779E"/>
    <w:rsid w:val="001F77FC"/>
    <w:rsid w:val="001F786B"/>
    <w:rsid w:val="001F790E"/>
    <w:rsid w:val="001F7928"/>
    <w:rsid w:val="001F7BBD"/>
    <w:rsid w:val="001F7D4E"/>
    <w:rsid w:val="001F7E58"/>
    <w:rsid w:val="001F7EBB"/>
    <w:rsid w:val="00200060"/>
    <w:rsid w:val="0020011B"/>
    <w:rsid w:val="002001C2"/>
    <w:rsid w:val="002001F2"/>
    <w:rsid w:val="00200340"/>
    <w:rsid w:val="0020056A"/>
    <w:rsid w:val="002005EC"/>
    <w:rsid w:val="002006A9"/>
    <w:rsid w:val="0020074B"/>
    <w:rsid w:val="002007D0"/>
    <w:rsid w:val="00200800"/>
    <w:rsid w:val="0020089A"/>
    <w:rsid w:val="00200954"/>
    <w:rsid w:val="00200A0D"/>
    <w:rsid w:val="00200BB6"/>
    <w:rsid w:val="00200C32"/>
    <w:rsid w:val="00200D61"/>
    <w:rsid w:val="00200EA8"/>
    <w:rsid w:val="00200FD9"/>
    <w:rsid w:val="002010B0"/>
    <w:rsid w:val="002010D5"/>
    <w:rsid w:val="00201181"/>
    <w:rsid w:val="0020145E"/>
    <w:rsid w:val="00201680"/>
    <w:rsid w:val="0020190A"/>
    <w:rsid w:val="00201AAF"/>
    <w:rsid w:val="00201BF9"/>
    <w:rsid w:val="00201C0F"/>
    <w:rsid w:val="00201C5D"/>
    <w:rsid w:val="00201CD6"/>
    <w:rsid w:val="00201FED"/>
    <w:rsid w:val="00201FF0"/>
    <w:rsid w:val="002020BF"/>
    <w:rsid w:val="0020228E"/>
    <w:rsid w:val="00202469"/>
    <w:rsid w:val="002024C4"/>
    <w:rsid w:val="00202550"/>
    <w:rsid w:val="00202588"/>
    <w:rsid w:val="002025D2"/>
    <w:rsid w:val="00202616"/>
    <w:rsid w:val="00202671"/>
    <w:rsid w:val="002026C2"/>
    <w:rsid w:val="002026FB"/>
    <w:rsid w:val="0020294F"/>
    <w:rsid w:val="002029CD"/>
    <w:rsid w:val="002029DF"/>
    <w:rsid w:val="00202B6C"/>
    <w:rsid w:val="00202BBF"/>
    <w:rsid w:val="00202C74"/>
    <w:rsid w:val="00202F14"/>
    <w:rsid w:val="00202F5B"/>
    <w:rsid w:val="00203071"/>
    <w:rsid w:val="00203096"/>
    <w:rsid w:val="002030DE"/>
    <w:rsid w:val="0020325E"/>
    <w:rsid w:val="002033B6"/>
    <w:rsid w:val="0020340C"/>
    <w:rsid w:val="0020351C"/>
    <w:rsid w:val="002035FF"/>
    <w:rsid w:val="0020376F"/>
    <w:rsid w:val="002037F7"/>
    <w:rsid w:val="00203916"/>
    <w:rsid w:val="00203993"/>
    <w:rsid w:val="00203A6A"/>
    <w:rsid w:val="00203B05"/>
    <w:rsid w:val="00203D50"/>
    <w:rsid w:val="00203FA7"/>
    <w:rsid w:val="00203FC3"/>
    <w:rsid w:val="002040E2"/>
    <w:rsid w:val="002041CA"/>
    <w:rsid w:val="002041D7"/>
    <w:rsid w:val="00204371"/>
    <w:rsid w:val="00204419"/>
    <w:rsid w:val="002045C6"/>
    <w:rsid w:val="0020465F"/>
    <w:rsid w:val="00204671"/>
    <w:rsid w:val="0020467A"/>
    <w:rsid w:val="00204A23"/>
    <w:rsid w:val="00204A62"/>
    <w:rsid w:val="00204B0F"/>
    <w:rsid w:val="00204B2D"/>
    <w:rsid w:val="00204C44"/>
    <w:rsid w:val="00204C66"/>
    <w:rsid w:val="00204C9F"/>
    <w:rsid w:val="00204CBA"/>
    <w:rsid w:val="00204CEC"/>
    <w:rsid w:val="00204D10"/>
    <w:rsid w:val="00204DE1"/>
    <w:rsid w:val="0020507A"/>
    <w:rsid w:val="00205087"/>
    <w:rsid w:val="00205385"/>
    <w:rsid w:val="002053E6"/>
    <w:rsid w:val="00205547"/>
    <w:rsid w:val="0020585F"/>
    <w:rsid w:val="002058D5"/>
    <w:rsid w:val="002058F7"/>
    <w:rsid w:val="002059BC"/>
    <w:rsid w:val="002059DD"/>
    <w:rsid w:val="00205A47"/>
    <w:rsid w:val="00205AF6"/>
    <w:rsid w:val="00205DFC"/>
    <w:rsid w:val="002060CC"/>
    <w:rsid w:val="0020626F"/>
    <w:rsid w:val="002062DB"/>
    <w:rsid w:val="0020642E"/>
    <w:rsid w:val="002066E6"/>
    <w:rsid w:val="00206755"/>
    <w:rsid w:val="0020694F"/>
    <w:rsid w:val="00206A64"/>
    <w:rsid w:val="00206BA8"/>
    <w:rsid w:val="00206DA7"/>
    <w:rsid w:val="00206E19"/>
    <w:rsid w:val="00206EC4"/>
    <w:rsid w:val="00206F91"/>
    <w:rsid w:val="00207036"/>
    <w:rsid w:val="002070D6"/>
    <w:rsid w:val="00207283"/>
    <w:rsid w:val="002072B0"/>
    <w:rsid w:val="00207325"/>
    <w:rsid w:val="002075AA"/>
    <w:rsid w:val="00207731"/>
    <w:rsid w:val="002077F0"/>
    <w:rsid w:val="00207830"/>
    <w:rsid w:val="00207893"/>
    <w:rsid w:val="002079A7"/>
    <w:rsid w:val="00207A3D"/>
    <w:rsid w:val="00207B85"/>
    <w:rsid w:val="00207C15"/>
    <w:rsid w:val="00207DBC"/>
    <w:rsid w:val="00207E3F"/>
    <w:rsid w:val="00207F59"/>
    <w:rsid w:val="002100DF"/>
    <w:rsid w:val="00210217"/>
    <w:rsid w:val="0021026A"/>
    <w:rsid w:val="00210407"/>
    <w:rsid w:val="00210492"/>
    <w:rsid w:val="002104AA"/>
    <w:rsid w:val="002105EE"/>
    <w:rsid w:val="00210637"/>
    <w:rsid w:val="00210894"/>
    <w:rsid w:val="002109A5"/>
    <w:rsid w:val="00210A5A"/>
    <w:rsid w:val="00210C36"/>
    <w:rsid w:val="00210E16"/>
    <w:rsid w:val="00210E5E"/>
    <w:rsid w:val="00210F29"/>
    <w:rsid w:val="002110DD"/>
    <w:rsid w:val="002111D0"/>
    <w:rsid w:val="00211550"/>
    <w:rsid w:val="00211572"/>
    <w:rsid w:val="002119A2"/>
    <w:rsid w:val="00211B1F"/>
    <w:rsid w:val="00211D0B"/>
    <w:rsid w:val="00211D15"/>
    <w:rsid w:val="00211DEE"/>
    <w:rsid w:val="00211F0D"/>
    <w:rsid w:val="00211F71"/>
    <w:rsid w:val="00211F7C"/>
    <w:rsid w:val="00211FA8"/>
    <w:rsid w:val="00211FAF"/>
    <w:rsid w:val="0021206C"/>
    <w:rsid w:val="0021207B"/>
    <w:rsid w:val="002120F9"/>
    <w:rsid w:val="00212177"/>
    <w:rsid w:val="002122B5"/>
    <w:rsid w:val="00212301"/>
    <w:rsid w:val="002124A0"/>
    <w:rsid w:val="002124B9"/>
    <w:rsid w:val="002125AC"/>
    <w:rsid w:val="00212615"/>
    <w:rsid w:val="002126C9"/>
    <w:rsid w:val="002126F1"/>
    <w:rsid w:val="002127A3"/>
    <w:rsid w:val="002127BB"/>
    <w:rsid w:val="002128DF"/>
    <w:rsid w:val="0021298B"/>
    <w:rsid w:val="00212B69"/>
    <w:rsid w:val="00212B78"/>
    <w:rsid w:val="00212D29"/>
    <w:rsid w:val="00212D55"/>
    <w:rsid w:val="00212E69"/>
    <w:rsid w:val="00212EE1"/>
    <w:rsid w:val="00213113"/>
    <w:rsid w:val="002131A4"/>
    <w:rsid w:val="00213385"/>
    <w:rsid w:val="00213512"/>
    <w:rsid w:val="00213559"/>
    <w:rsid w:val="00213701"/>
    <w:rsid w:val="00213909"/>
    <w:rsid w:val="00213957"/>
    <w:rsid w:val="0021395F"/>
    <w:rsid w:val="00213B34"/>
    <w:rsid w:val="00213B48"/>
    <w:rsid w:val="00213B83"/>
    <w:rsid w:val="00213C85"/>
    <w:rsid w:val="00213DD3"/>
    <w:rsid w:val="00213EF2"/>
    <w:rsid w:val="00213F76"/>
    <w:rsid w:val="00214155"/>
    <w:rsid w:val="002141E2"/>
    <w:rsid w:val="002144D1"/>
    <w:rsid w:val="002144E6"/>
    <w:rsid w:val="00214501"/>
    <w:rsid w:val="00214555"/>
    <w:rsid w:val="002145C5"/>
    <w:rsid w:val="0021460E"/>
    <w:rsid w:val="002146B1"/>
    <w:rsid w:val="0021477A"/>
    <w:rsid w:val="002148C8"/>
    <w:rsid w:val="00214A91"/>
    <w:rsid w:val="00214AAC"/>
    <w:rsid w:val="00214AB0"/>
    <w:rsid w:val="00214B1A"/>
    <w:rsid w:val="00214D8C"/>
    <w:rsid w:val="00214DCC"/>
    <w:rsid w:val="002150EB"/>
    <w:rsid w:val="0021518D"/>
    <w:rsid w:val="002153E2"/>
    <w:rsid w:val="00215459"/>
    <w:rsid w:val="002154D5"/>
    <w:rsid w:val="00215584"/>
    <w:rsid w:val="002155B5"/>
    <w:rsid w:val="00215634"/>
    <w:rsid w:val="00215966"/>
    <w:rsid w:val="00215973"/>
    <w:rsid w:val="00215A1A"/>
    <w:rsid w:val="00215B03"/>
    <w:rsid w:val="00215B04"/>
    <w:rsid w:val="00215C3D"/>
    <w:rsid w:val="00215C8A"/>
    <w:rsid w:val="00215D61"/>
    <w:rsid w:val="00215E10"/>
    <w:rsid w:val="00215E97"/>
    <w:rsid w:val="00215F30"/>
    <w:rsid w:val="00215F4F"/>
    <w:rsid w:val="00215F87"/>
    <w:rsid w:val="00216067"/>
    <w:rsid w:val="002160EF"/>
    <w:rsid w:val="002163BF"/>
    <w:rsid w:val="002163CB"/>
    <w:rsid w:val="00216653"/>
    <w:rsid w:val="002166DD"/>
    <w:rsid w:val="0021680B"/>
    <w:rsid w:val="002168F8"/>
    <w:rsid w:val="00216905"/>
    <w:rsid w:val="002169A6"/>
    <w:rsid w:val="00216A70"/>
    <w:rsid w:val="00216A8B"/>
    <w:rsid w:val="00216B3E"/>
    <w:rsid w:val="00216BA1"/>
    <w:rsid w:val="00216C32"/>
    <w:rsid w:val="00216CE1"/>
    <w:rsid w:val="00216EA8"/>
    <w:rsid w:val="00216F13"/>
    <w:rsid w:val="00216F48"/>
    <w:rsid w:val="002173C2"/>
    <w:rsid w:val="00217476"/>
    <w:rsid w:val="002174E9"/>
    <w:rsid w:val="00217623"/>
    <w:rsid w:val="00217651"/>
    <w:rsid w:val="0021765F"/>
    <w:rsid w:val="0021777B"/>
    <w:rsid w:val="002177A3"/>
    <w:rsid w:val="002177B6"/>
    <w:rsid w:val="0021781F"/>
    <w:rsid w:val="00217884"/>
    <w:rsid w:val="00217910"/>
    <w:rsid w:val="00217BA3"/>
    <w:rsid w:val="00217BEE"/>
    <w:rsid w:val="00217CA8"/>
    <w:rsid w:val="00217CAE"/>
    <w:rsid w:val="00217D4C"/>
    <w:rsid w:val="00217E2A"/>
    <w:rsid w:val="00217F2E"/>
    <w:rsid w:val="00217F8F"/>
    <w:rsid w:val="00217FAA"/>
    <w:rsid w:val="002201CE"/>
    <w:rsid w:val="0022026F"/>
    <w:rsid w:val="00220331"/>
    <w:rsid w:val="00220342"/>
    <w:rsid w:val="0022039E"/>
    <w:rsid w:val="00220570"/>
    <w:rsid w:val="00220584"/>
    <w:rsid w:val="00220709"/>
    <w:rsid w:val="00220732"/>
    <w:rsid w:val="002207EF"/>
    <w:rsid w:val="0022083B"/>
    <w:rsid w:val="002208A4"/>
    <w:rsid w:val="00220900"/>
    <w:rsid w:val="00220BD7"/>
    <w:rsid w:val="00220C37"/>
    <w:rsid w:val="00220D84"/>
    <w:rsid w:val="00220DF0"/>
    <w:rsid w:val="00220E52"/>
    <w:rsid w:val="00220F3F"/>
    <w:rsid w:val="00220FE2"/>
    <w:rsid w:val="002211A0"/>
    <w:rsid w:val="0022125C"/>
    <w:rsid w:val="0022134E"/>
    <w:rsid w:val="0022148D"/>
    <w:rsid w:val="002215B3"/>
    <w:rsid w:val="0022163A"/>
    <w:rsid w:val="0022184E"/>
    <w:rsid w:val="002219D3"/>
    <w:rsid w:val="002219E5"/>
    <w:rsid w:val="00221AB0"/>
    <w:rsid w:val="00221C97"/>
    <w:rsid w:val="00221D1E"/>
    <w:rsid w:val="00221FF3"/>
    <w:rsid w:val="0022207D"/>
    <w:rsid w:val="002220D2"/>
    <w:rsid w:val="0022246D"/>
    <w:rsid w:val="00222480"/>
    <w:rsid w:val="00222884"/>
    <w:rsid w:val="0022290C"/>
    <w:rsid w:val="00222950"/>
    <w:rsid w:val="00222CBC"/>
    <w:rsid w:val="00222D06"/>
    <w:rsid w:val="00222FAA"/>
    <w:rsid w:val="002233DB"/>
    <w:rsid w:val="002233E5"/>
    <w:rsid w:val="002234EA"/>
    <w:rsid w:val="00223568"/>
    <w:rsid w:val="00223655"/>
    <w:rsid w:val="002236FA"/>
    <w:rsid w:val="0022386C"/>
    <w:rsid w:val="0022393B"/>
    <w:rsid w:val="00223970"/>
    <w:rsid w:val="00223ADC"/>
    <w:rsid w:val="00223BB0"/>
    <w:rsid w:val="00223E44"/>
    <w:rsid w:val="00223ECE"/>
    <w:rsid w:val="00223F2F"/>
    <w:rsid w:val="00223FA0"/>
    <w:rsid w:val="002240B9"/>
    <w:rsid w:val="00224129"/>
    <w:rsid w:val="00224164"/>
    <w:rsid w:val="00224344"/>
    <w:rsid w:val="00224382"/>
    <w:rsid w:val="002243D6"/>
    <w:rsid w:val="002243DA"/>
    <w:rsid w:val="002245FA"/>
    <w:rsid w:val="0022460F"/>
    <w:rsid w:val="00224689"/>
    <w:rsid w:val="002246B8"/>
    <w:rsid w:val="00224813"/>
    <w:rsid w:val="00224816"/>
    <w:rsid w:val="0022494A"/>
    <w:rsid w:val="00224990"/>
    <w:rsid w:val="00224B58"/>
    <w:rsid w:val="00224B8A"/>
    <w:rsid w:val="00224E19"/>
    <w:rsid w:val="00224E1C"/>
    <w:rsid w:val="00225130"/>
    <w:rsid w:val="00225342"/>
    <w:rsid w:val="00225416"/>
    <w:rsid w:val="002254BF"/>
    <w:rsid w:val="002254D6"/>
    <w:rsid w:val="00225507"/>
    <w:rsid w:val="002255B4"/>
    <w:rsid w:val="0022570B"/>
    <w:rsid w:val="002257B3"/>
    <w:rsid w:val="00225868"/>
    <w:rsid w:val="00225875"/>
    <w:rsid w:val="002258C4"/>
    <w:rsid w:val="00225947"/>
    <w:rsid w:val="00225996"/>
    <w:rsid w:val="00225C2B"/>
    <w:rsid w:val="00225CF4"/>
    <w:rsid w:val="00225FE9"/>
    <w:rsid w:val="0022603E"/>
    <w:rsid w:val="0022613A"/>
    <w:rsid w:val="00226147"/>
    <w:rsid w:val="00226181"/>
    <w:rsid w:val="00226190"/>
    <w:rsid w:val="0022633D"/>
    <w:rsid w:val="0022649C"/>
    <w:rsid w:val="0022652E"/>
    <w:rsid w:val="00226572"/>
    <w:rsid w:val="002265AA"/>
    <w:rsid w:val="002265D4"/>
    <w:rsid w:val="00226600"/>
    <w:rsid w:val="0022671E"/>
    <w:rsid w:val="00226730"/>
    <w:rsid w:val="00226784"/>
    <w:rsid w:val="0022692A"/>
    <w:rsid w:val="00226D34"/>
    <w:rsid w:val="00226DCB"/>
    <w:rsid w:val="00226FCA"/>
    <w:rsid w:val="0022721A"/>
    <w:rsid w:val="00227292"/>
    <w:rsid w:val="002272B2"/>
    <w:rsid w:val="00227344"/>
    <w:rsid w:val="0022750A"/>
    <w:rsid w:val="0022750C"/>
    <w:rsid w:val="00227640"/>
    <w:rsid w:val="0022764F"/>
    <w:rsid w:val="0022765E"/>
    <w:rsid w:val="00227725"/>
    <w:rsid w:val="00227815"/>
    <w:rsid w:val="0022788D"/>
    <w:rsid w:val="002278F7"/>
    <w:rsid w:val="00227AF0"/>
    <w:rsid w:val="00227CC0"/>
    <w:rsid w:val="00227CEA"/>
    <w:rsid w:val="00230006"/>
    <w:rsid w:val="00230045"/>
    <w:rsid w:val="002300BC"/>
    <w:rsid w:val="00230241"/>
    <w:rsid w:val="0023042D"/>
    <w:rsid w:val="00230811"/>
    <w:rsid w:val="002308F0"/>
    <w:rsid w:val="00230A75"/>
    <w:rsid w:val="00230BA0"/>
    <w:rsid w:val="00230C14"/>
    <w:rsid w:val="00230C9D"/>
    <w:rsid w:val="00230CB5"/>
    <w:rsid w:val="00230CC6"/>
    <w:rsid w:val="00230DBA"/>
    <w:rsid w:val="00230E81"/>
    <w:rsid w:val="00230F04"/>
    <w:rsid w:val="00230F52"/>
    <w:rsid w:val="00230FB9"/>
    <w:rsid w:val="00230FBC"/>
    <w:rsid w:val="0023115E"/>
    <w:rsid w:val="00231293"/>
    <w:rsid w:val="002313C5"/>
    <w:rsid w:val="00231552"/>
    <w:rsid w:val="002315C6"/>
    <w:rsid w:val="002316D8"/>
    <w:rsid w:val="002316FE"/>
    <w:rsid w:val="002317F4"/>
    <w:rsid w:val="00231A72"/>
    <w:rsid w:val="00231C84"/>
    <w:rsid w:val="002320AF"/>
    <w:rsid w:val="002320D9"/>
    <w:rsid w:val="00232121"/>
    <w:rsid w:val="002323E8"/>
    <w:rsid w:val="0023240D"/>
    <w:rsid w:val="00232452"/>
    <w:rsid w:val="00232457"/>
    <w:rsid w:val="002324AE"/>
    <w:rsid w:val="0023250B"/>
    <w:rsid w:val="00232733"/>
    <w:rsid w:val="002328E3"/>
    <w:rsid w:val="00232905"/>
    <w:rsid w:val="00232B0B"/>
    <w:rsid w:val="00232B42"/>
    <w:rsid w:val="00232D49"/>
    <w:rsid w:val="00232D4C"/>
    <w:rsid w:val="00232E33"/>
    <w:rsid w:val="00232E45"/>
    <w:rsid w:val="00232F6F"/>
    <w:rsid w:val="00233046"/>
    <w:rsid w:val="002331BC"/>
    <w:rsid w:val="0023323F"/>
    <w:rsid w:val="00233246"/>
    <w:rsid w:val="0023364A"/>
    <w:rsid w:val="00233661"/>
    <w:rsid w:val="00233711"/>
    <w:rsid w:val="0023371A"/>
    <w:rsid w:val="002338B5"/>
    <w:rsid w:val="00233969"/>
    <w:rsid w:val="00233AAD"/>
    <w:rsid w:val="00233D91"/>
    <w:rsid w:val="00233D9B"/>
    <w:rsid w:val="00233E72"/>
    <w:rsid w:val="002345B0"/>
    <w:rsid w:val="0023463F"/>
    <w:rsid w:val="00234660"/>
    <w:rsid w:val="00234685"/>
    <w:rsid w:val="00234692"/>
    <w:rsid w:val="002347CD"/>
    <w:rsid w:val="00234817"/>
    <w:rsid w:val="0023482F"/>
    <w:rsid w:val="00234841"/>
    <w:rsid w:val="00234876"/>
    <w:rsid w:val="002348A6"/>
    <w:rsid w:val="00234926"/>
    <w:rsid w:val="00234B92"/>
    <w:rsid w:val="00234C4E"/>
    <w:rsid w:val="00234C54"/>
    <w:rsid w:val="00234C97"/>
    <w:rsid w:val="00234D4C"/>
    <w:rsid w:val="00234E56"/>
    <w:rsid w:val="00234EA8"/>
    <w:rsid w:val="00235051"/>
    <w:rsid w:val="002350A0"/>
    <w:rsid w:val="00235508"/>
    <w:rsid w:val="00235589"/>
    <w:rsid w:val="002355AB"/>
    <w:rsid w:val="002355F9"/>
    <w:rsid w:val="00235675"/>
    <w:rsid w:val="00235726"/>
    <w:rsid w:val="0023595E"/>
    <w:rsid w:val="002359A7"/>
    <w:rsid w:val="00235DD9"/>
    <w:rsid w:val="00235DF9"/>
    <w:rsid w:val="00235E8C"/>
    <w:rsid w:val="00235F0C"/>
    <w:rsid w:val="00235F77"/>
    <w:rsid w:val="00236092"/>
    <w:rsid w:val="00236162"/>
    <w:rsid w:val="00236591"/>
    <w:rsid w:val="00236594"/>
    <w:rsid w:val="002367C9"/>
    <w:rsid w:val="0023681C"/>
    <w:rsid w:val="00236A3E"/>
    <w:rsid w:val="00236BD6"/>
    <w:rsid w:val="00236BE9"/>
    <w:rsid w:val="00236C9E"/>
    <w:rsid w:val="00236D0F"/>
    <w:rsid w:val="00236DD5"/>
    <w:rsid w:val="00236E8E"/>
    <w:rsid w:val="002370AE"/>
    <w:rsid w:val="0023711D"/>
    <w:rsid w:val="00237164"/>
    <w:rsid w:val="00237259"/>
    <w:rsid w:val="00237383"/>
    <w:rsid w:val="0023755C"/>
    <w:rsid w:val="00237659"/>
    <w:rsid w:val="00237A6C"/>
    <w:rsid w:val="00237B40"/>
    <w:rsid w:val="00237B84"/>
    <w:rsid w:val="00237BC3"/>
    <w:rsid w:val="00237C77"/>
    <w:rsid w:val="00237D27"/>
    <w:rsid w:val="00237D3C"/>
    <w:rsid w:val="00237F96"/>
    <w:rsid w:val="00237F99"/>
    <w:rsid w:val="002401B6"/>
    <w:rsid w:val="00240350"/>
    <w:rsid w:val="0024038A"/>
    <w:rsid w:val="002403E3"/>
    <w:rsid w:val="002406C4"/>
    <w:rsid w:val="0024071B"/>
    <w:rsid w:val="00240731"/>
    <w:rsid w:val="00240787"/>
    <w:rsid w:val="002407C8"/>
    <w:rsid w:val="0024081B"/>
    <w:rsid w:val="002408DA"/>
    <w:rsid w:val="00240A9E"/>
    <w:rsid w:val="00240AAA"/>
    <w:rsid w:val="00240B62"/>
    <w:rsid w:val="00240BA0"/>
    <w:rsid w:val="00240BAF"/>
    <w:rsid w:val="00240C0D"/>
    <w:rsid w:val="00240C4E"/>
    <w:rsid w:val="00240C96"/>
    <w:rsid w:val="00240CC6"/>
    <w:rsid w:val="00240F3A"/>
    <w:rsid w:val="002410FD"/>
    <w:rsid w:val="002412B3"/>
    <w:rsid w:val="002412C0"/>
    <w:rsid w:val="002413F2"/>
    <w:rsid w:val="00241434"/>
    <w:rsid w:val="00241559"/>
    <w:rsid w:val="002417C8"/>
    <w:rsid w:val="002418F7"/>
    <w:rsid w:val="00241C72"/>
    <w:rsid w:val="00241CE6"/>
    <w:rsid w:val="00241E9D"/>
    <w:rsid w:val="0024213E"/>
    <w:rsid w:val="00242180"/>
    <w:rsid w:val="00242285"/>
    <w:rsid w:val="00242525"/>
    <w:rsid w:val="00242597"/>
    <w:rsid w:val="00242700"/>
    <w:rsid w:val="0024277E"/>
    <w:rsid w:val="00242801"/>
    <w:rsid w:val="00242899"/>
    <w:rsid w:val="00242908"/>
    <w:rsid w:val="002429C6"/>
    <w:rsid w:val="00242A05"/>
    <w:rsid w:val="00242BB4"/>
    <w:rsid w:val="00242BBD"/>
    <w:rsid w:val="00242D33"/>
    <w:rsid w:val="00242E85"/>
    <w:rsid w:val="00242EBB"/>
    <w:rsid w:val="00242F45"/>
    <w:rsid w:val="00242FD0"/>
    <w:rsid w:val="002430AE"/>
    <w:rsid w:val="002432F8"/>
    <w:rsid w:val="00243348"/>
    <w:rsid w:val="002433BF"/>
    <w:rsid w:val="00243566"/>
    <w:rsid w:val="002435D8"/>
    <w:rsid w:val="002436AE"/>
    <w:rsid w:val="00243795"/>
    <w:rsid w:val="002437C7"/>
    <w:rsid w:val="00243819"/>
    <w:rsid w:val="0024386B"/>
    <w:rsid w:val="00243C4D"/>
    <w:rsid w:val="00243D86"/>
    <w:rsid w:val="00243D92"/>
    <w:rsid w:val="00243D94"/>
    <w:rsid w:val="00243DEC"/>
    <w:rsid w:val="00243E28"/>
    <w:rsid w:val="00243E37"/>
    <w:rsid w:val="00243E39"/>
    <w:rsid w:val="00243E55"/>
    <w:rsid w:val="0024403B"/>
    <w:rsid w:val="002440BC"/>
    <w:rsid w:val="002441BE"/>
    <w:rsid w:val="00244277"/>
    <w:rsid w:val="00244786"/>
    <w:rsid w:val="002447E0"/>
    <w:rsid w:val="00244A1F"/>
    <w:rsid w:val="00244A75"/>
    <w:rsid w:val="00244AC2"/>
    <w:rsid w:val="00244BC2"/>
    <w:rsid w:val="00244BD8"/>
    <w:rsid w:val="00244C2C"/>
    <w:rsid w:val="00244D30"/>
    <w:rsid w:val="00245173"/>
    <w:rsid w:val="0024545A"/>
    <w:rsid w:val="0024545B"/>
    <w:rsid w:val="002454D0"/>
    <w:rsid w:val="00245684"/>
    <w:rsid w:val="002456C7"/>
    <w:rsid w:val="0024597F"/>
    <w:rsid w:val="00245988"/>
    <w:rsid w:val="00245D5D"/>
    <w:rsid w:val="00245D88"/>
    <w:rsid w:val="00245F4D"/>
    <w:rsid w:val="0024605A"/>
    <w:rsid w:val="002461C8"/>
    <w:rsid w:val="002462AC"/>
    <w:rsid w:val="00246339"/>
    <w:rsid w:val="00246429"/>
    <w:rsid w:val="0024657D"/>
    <w:rsid w:val="00246598"/>
    <w:rsid w:val="0024684D"/>
    <w:rsid w:val="002469E2"/>
    <w:rsid w:val="00246A94"/>
    <w:rsid w:val="00246B6B"/>
    <w:rsid w:val="00246C29"/>
    <w:rsid w:val="00246CCD"/>
    <w:rsid w:val="00246F72"/>
    <w:rsid w:val="00247075"/>
    <w:rsid w:val="002471A6"/>
    <w:rsid w:val="00247209"/>
    <w:rsid w:val="0024720A"/>
    <w:rsid w:val="00247268"/>
    <w:rsid w:val="00247322"/>
    <w:rsid w:val="002474E9"/>
    <w:rsid w:val="002475DB"/>
    <w:rsid w:val="00247695"/>
    <w:rsid w:val="002476D2"/>
    <w:rsid w:val="0024772C"/>
    <w:rsid w:val="002477DF"/>
    <w:rsid w:val="00247888"/>
    <w:rsid w:val="0024798A"/>
    <w:rsid w:val="00247B2F"/>
    <w:rsid w:val="00247DBB"/>
    <w:rsid w:val="00247DF8"/>
    <w:rsid w:val="00247DFB"/>
    <w:rsid w:val="00250027"/>
    <w:rsid w:val="00250127"/>
    <w:rsid w:val="002506B5"/>
    <w:rsid w:val="002507C7"/>
    <w:rsid w:val="002508E8"/>
    <w:rsid w:val="00250953"/>
    <w:rsid w:val="002509CC"/>
    <w:rsid w:val="00250A08"/>
    <w:rsid w:val="00250A49"/>
    <w:rsid w:val="00250B88"/>
    <w:rsid w:val="00250D37"/>
    <w:rsid w:val="00250D59"/>
    <w:rsid w:val="00250EC1"/>
    <w:rsid w:val="00250F32"/>
    <w:rsid w:val="00250F79"/>
    <w:rsid w:val="002510CC"/>
    <w:rsid w:val="0025117A"/>
    <w:rsid w:val="0025129D"/>
    <w:rsid w:val="002513AA"/>
    <w:rsid w:val="002514D7"/>
    <w:rsid w:val="0025183F"/>
    <w:rsid w:val="0025188B"/>
    <w:rsid w:val="00251B0D"/>
    <w:rsid w:val="00251B71"/>
    <w:rsid w:val="00251C3D"/>
    <w:rsid w:val="00251CD4"/>
    <w:rsid w:val="00251D33"/>
    <w:rsid w:val="00251D8C"/>
    <w:rsid w:val="00251E0E"/>
    <w:rsid w:val="00251E76"/>
    <w:rsid w:val="00251ECF"/>
    <w:rsid w:val="002521D0"/>
    <w:rsid w:val="00252200"/>
    <w:rsid w:val="0025221C"/>
    <w:rsid w:val="002523EE"/>
    <w:rsid w:val="00252459"/>
    <w:rsid w:val="00252486"/>
    <w:rsid w:val="0025254F"/>
    <w:rsid w:val="0025262B"/>
    <w:rsid w:val="0025262E"/>
    <w:rsid w:val="0025264B"/>
    <w:rsid w:val="002527C7"/>
    <w:rsid w:val="002527EA"/>
    <w:rsid w:val="002527FE"/>
    <w:rsid w:val="00252837"/>
    <w:rsid w:val="002528E2"/>
    <w:rsid w:val="00252943"/>
    <w:rsid w:val="00252958"/>
    <w:rsid w:val="0025295E"/>
    <w:rsid w:val="00252A24"/>
    <w:rsid w:val="00252A60"/>
    <w:rsid w:val="00252CA7"/>
    <w:rsid w:val="00252D96"/>
    <w:rsid w:val="00252F3D"/>
    <w:rsid w:val="00253060"/>
    <w:rsid w:val="002530D9"/>
    <w:rsid w:val="0025323A"/>
    <w:rsid w:val="002532F0"/>
    <w:rsid w:val="0025341A"/>
    <w:rsid w:val="002534EF"/>
    <w:rsid w:val="0025371D"/>
    <w:rsid w:val="00253736"/>
    <w:rsid w:val="0025390F"/>
    <w:rsid w:val="00253A06"/>
    <w:rsid w:val="00253C3E"/>
    <w:rsid w:val="00254009"/>
    <w:rsid w:val="00254125"/>
    <w:rsid w:val="002541A0"/>
    <w:rsid w:val="002541B6"/>
    <w:rsid w:val="0025426D"/>
    <w:rsid w:val="0025428F"/>
    <w:rsid w:val="002543B3"/>
    <w:rsid w:val="002543DA"/>
    <w:rsid w:val="002544BF"/>
    <w:rsid w:val="0025454A"/>
    <w:rsid w:val="002545D9"/>
    <w:rsid w:val="00254813"/>
    <w:rsid w:val="00254909"/>
    <w:rsid w:val="00254996"/>
    <w:rsid w:val="002549F0"/>
    <w:rsid w:val="00254AFA"/>
    <w:rsid w:val="00254C16"/>
    <w:rsid w:val="00254D34"/>
    <w:rsid w:val="00254D5B"/>
    <w:rsid w:val="00254D9F"/>
    <w:rsid w:val="00254EEF"/>
    <w:rsid w:val="0025507B"/>
    <w:rsid w:val="002550EA"/>
    <w:rsid w:val="00255130"/>
    <w:rsid w:val="002551A0"/>
    <w:rsid w:val="0025558E"/>
    <w:rsid w:val="002555DB"/>
    <w:rsid w:val="002557E5"/>
    <w:rsid w:val="0025590A"/>
    <w:rsid w:val="002559A2"/>
    <w:rsid w:val="00255A5E"/>
    <w:rsid w:val="00255AA3"/>
    <w:rsid w:val="00255ACE"/>
    <w:rsid w:val="00255B97"/>
    <w:rsid w:val="00255BD0"/>
    <w:rsid w:val="00255C64"/>
    <w:rsid w:val="00255D6F"/>
    <w:rsid w:val="00255DA0"/>
    <w:rsid w:val="00255E1E"/>
    <w:rsid w:val="00255EF6"/>
    <w:rsid w:val="00255F17"/>
    <w:rsid w:val="00255F1E"/>
    <w:rsid w:val="0025605C"/>
    <w:rsid w:val="00256063"/>
    <w:rsid w:val="002561D6"/>
    <w:rsid w:val="00256322"/>
    <w:rsid w:val="0025644B"/>
    <w:rsid w:val="00256510"/>
    <w:rsid w:val="0025670D"/>
    <w:rsid w:val="0025675B"/>
    <w:rsid w:val="00256795"/>
    <w:rsid w:val="002567B9"/>
    <w:rsid w:val="00256C06"/>
    <w:rsid w:val="00256C77"/>
    <w:rsid w:val="00256CE8"/>
    <w:rsid w:val="00256D7A"/>
    <w:rsid w:val="00256D85"/>
    <w:rsid w:val="00256DA7"/>
    <w:rsid w:val="00256E0B"/>
    <w:rsid w:val="00256EE3"/>
    <w:rsid w:val="00256F52"/>
    <w:rsid w:val="00257008"/>
    <w:rsid w:val="00257017"/>
    <w:rsid w:val="00257138"/>
    <w:rsid w:val="00257230"/>
    <w:rsid w:val="002575D3"/>
    <w:rsid w:val="00257663"/>
    <w:rsid w:val="002576D9"/>
    <w:rsid w:val="002577CC"/>
    <w:rsid w:val="00257939"/>
    <w:rsid w:val="00257A5D"/>
    <w:rsid w:val="00257AA7"/>
    <w:rsid w:val="00257C5A"/>
    <w:rsid w:val="00257C5C"/>
    <w:rsid w:val="00257CFC"/>
    <w:rsid w:val="00257D81"/>
    <w:rsid w:val="00257E86"/>
    <w:rsid w:val="00260005"/>
    <w:rsid w:val="0026003B"/>
    <w:rsid w:val="0026009C"/>
    <w:rsid w:val="002600A4"/>
    <w:rsid w:val="002600B3"/>
    <w:rsid w:val="002602EC"/>
    <w:rsid w:val="00260332"/>
    <w:rsid w:val="00260487"/>
    <w:rsid w:val="0026049F"/>
    <w:rsid w:val="00260596"/>
    <w:rsid w:val="00260628"/>
    <w:rsid w:val="00260666"/>
    <w:rsid w:val="00260759"/>
    <w:rsid w:val="0026077B"/>
    <w:rsid w:val="002607F7"/>
    <w:rsid w:val="00260849"/>
    <w:rsid w:val="00260973"/>
    <w:rsid w:val="00260A09"/>
    <w:rsid w:val="00260FFB"/>
    <w:rsid w:val="0026137A"/>
    <w:rsid w:val="00261392"/>
    <w:rsid w:val="00261648"/>
    <w:rsid w:val="0026170D"/>
    <w:rsid w:val="00261797"/>
    <w:rsid w:val="00261821"/>
    <w:rsid w:val="002618E7"/>
    <w:rsid w:val="002619E3"/>
    <w:rsid w:val="00261AD4"/>
    <w:rsid w:val="00261C31"/>
    <w:rsid w:val="00261D3C"/>
    <w:rsid w:val="00261E36"/>
    <w:rsid w:val="00262272"/>
    <w:rsid w:val="002622F6"/>
    <w:rsid w:val="00262654"/>
    <w:rsid w:val="00262663"/>
    <w:rsid w:val="002626A8"/>
    <w:rsid w:val="002626B7"/>
    <w:rsid w:val="002626EB"/>
    <w:rsid w:val="002627CF"/>
    <w:rsid w:val="00262801"/>
    <w:rsid w:val="0026293B"/>
    <w:rsid w:val="002629C2"/>
    <w:rsid w:val="00262A21"/>
    <w:rsid w:val="00262A57"/>
    <w:rsid w:val="00262D26"/>
    <w:rsid w:val="00262DC6"/>
    <w:rsid w:val="00262E28"/>
    <w:rsid w:val="00262E8F"/>
    <w:rsid w:val="0026304D"/>
    <w:rsid w:val="002633C8"/>
    <w:rsid w:val="002634FC"/>
    <w:rsid w:val="00263574"/>
    <w:rsid w:val="00263607"/>
    <w:rsid w:val="002636DA"/>
    <w:rsid w:val="002638B9"/>
    <w:rsid w:val="00263922"/>
    <w:rsid w:val="00263AB6"/>
    <w:rsid w:val="00263CA2"/>
    <w:rsid w:val="00263CD4"/>
    <w:rsid w:val="00263CD7"/>
    <w:rsid w:val="00263F83"/>
    <w:rsid w:val="0026412F"/>
    <w:rsid w:val="002641DD"/>
    <w:rsid w:val="00264369"/>
    <w:rsid w:val="002644D4"/>
    <w:rsid w:val="0026466D"/>
    <w:rsid w:val="0026480B"/>
    <w:rsid w:val="002649DC"/>
    <w:rsid w:val="00264B47"/>
    <w:rsid w:val="00264BB9"/>
    <w:rsid w:val="00264BCD"/>
    <w:rsid w:val="00264CB8"/>
    <w:rsid w:val="00264FB1"/>
    <w:rsid w:val="002650C2"/>
    <w:rsid w:val="00265124"/>
    <w:rsid w:val="0026521D"/>
    <w:rsid w:val="002653D8"/>
    <w:rsid w:val="0026560F"/>
    <w:rsid w:val="002657D2"/>
    <w:rsid w:val="002657F4"/>
    <w:rsid w:val="00265922"/>
    <w:rsid w:val="00265929"/>
    <w:rsid w:val="00265B49"/>
    <w:rsid w:val="00265B74"/>
    <w:rsid w:val="00265D49"/>
    <w:rsid w:val="00266066"/>
    <w:rsid w:val="0026609A"/>
    <w:rsid w:val="002661F6"/>
    <w:rsid w:val="0026636C"/>
    <w:rsid w:val="00266460"/>
    <w:rsid w:val="0026649C"/>
    <w:rsid w:val="002664DE"/>
    <w:rsid w:val="002664FF"/>
    <w:rsid w:val="00266530"/>
    <w:rsid w:val="002665A5"/>
    <w:rsid w:val="00266634"/>
    <w:rsid w:val="00266731"/>
    <w:rsid w:val="00266758"/>
    <w:rsid w:val="00266826"/>
    <w:rsid w:val="0026683C"/>
    <w:rsid w:val="00266854"/>
    <w:rsid w:val="002668B1"/>
    <w:rsid w:val="002668D1"/>
    <w:rsid w:val="002669DB"/>
    <w:rsid w:val="002669E2"/>
    <w:rsid w:val="00266A7B"/>
    <w:rsid w:val="00266AA3"/>
    <w:rsid w:val="00266BED"/>
    <w:rsid w:val="00266E80"/>
    <w:rsid w:val="0026725C"/>
    <w:rsid w:val="00267304"/>
    <w:rsid w:val="0026736D"/>
    <w:rsid w:val="002674E3"/>
    <w:rsid w:val="00267536"/>
    <w:rsid w:val="00267737"/>
    <w:rsid w:val="00267806"/>
    <w:rsid w:val="0026790B"/>
    <w:rsid w:val="002679CC"/>
    <w:rsid w:val="00267A15"/>
    <w:rsid w:val="00267B87"/>
    <w:rsid w:val="00267C38"/>
    <w:rsid w:val="00267CCE"/>
    <w:rsid w:val="00267F89"/>
    <w:rsid w:val="00267FAE"/>
    <w:rsid w:val="00267FF2"/>
    <w:rsid w:val="002700AC"/>
    <w:rsid w:val="00270224"/>
    <w:rsid w:val="002702C1"/>
    <w:rsid w:val="00270301"/>
    <w:rsid w:val="00270460"/>
    <w:rsid w:val="00270669"/>
    <w:rsid w:val="002706AB"/>
    <w:rsid w:val="002706D0"/>
    <w:rsid w:val="0027071B"/>
    <w:rsid w:val="00270729"/>
    <w:rsid w:val="0027077D"/>
    <w:rsid w:val="00270AFA"/>
    <w:rsid w:val="00270B7A"/>
    <w:rsid w:val="00270C33"/>
    <w:rsid w:val="00270D6C"/>
    <w:rsid w:val="00270DE6"/>
    <w:rsid w:val="00270E2D"/>
    <w:rsid w:val="00270E53"/>
    <w:rsid w:val="00270F06"/>
    <w:rsid w:val="002710CD"/>
    <w:rsid w:val="00271241"/>
    <w:rsid w:val="00271297"/>
    <w:rsid w:val="00271387"/>
    <w:rsid w:val="002713B5"/>
    <w:rsid w:val="002714BB"/>
    <w:rsid w:val="0027159C"/>
    <w:rsid w:val="002715E3"/>
    <w:rsid w:val="002716A1"/>
    <w:rsid w:val="002718CC"/>
    <w:rsid w:val="002718DD"/>
    <w:rsid w:val="00271A44"/>
    <w:rsid w:val="00271B14"/>
    <w:rsid w:val="00271B24"/>
    <w:rsid w:val="00271D86"/>
    <w:rsid w:val="00271DDD"/>
    <w:rsid w:val="00272030"/>
    <w:rsid w:val="00272094"/>
    <w:rsid w:val="002720E4"/>
    <w:rsid w:val="002720FF"/>
    <w:rsid w:val="002722BC"/>
    <w:rsid w:val="00272334"/>
    <w:rsid w:val="002723EC"/>
    <w:rsid w:val="00272613"/>
    <w:rsid w:val="002726D0"/>
    <w:rsid w:val="0027287B"/>
    <w:rsid w:val="0027288E"/>
    <w:rsid w:val="002729B0"/>
    <w:rsid w:val="00272C57"/>
    <w:rsid w:val="00272CB9"/>
    <w:rsid w:val="00272D94"/>
    <w:rsid w:val="00272E15"/>
    <w:rsid w:val="00272ECE"/>
    <w:rsid w:val="00272F0D"/>
    <w:rsid w:val="00272F96"/>
    <w:rsid w:val="00272F9E"/>
    <w:rsid w:val="0027304E"/>
    <w:rsid w:val="00273103"/>
    <w:rsid w:val="002731CD"/>
    <w:rsid w:val="002732AD"/>
    <w:rsid w:val="002733D1"/>
    <w:rsid w:val="002734CA"/>
    <w:rsid w:val="002734DC"/>
    <w:rsid w:val="00273B37"/>
    <w:rsid w:val="0027402B"/>
    <w:rsid w:val="00274128"/>
    <w:rsid w:val="00274484"/>
    <w:rsid w:val="0027466E"/>
    <w:rsid w:val="00274688"/>
    <w:rsid w:val="0027473D"/>
    <w:rsid w:val="00274853"/>
    <w:rsid w:val="00274AEC"/>
    <w:rsid w:val="00274AFA"/>
    <w:rsid w:val="00274E3F"/>
    <w:rsid w:val="00274F36"/>
    <w:rsid w:val="0027507B"/>
    <w:rsid w:val="00275311"/>
    <w:rsid w:val="0027549C"/>
    <w:rsid w:val="00275575"/>
    <w:rsid w:val="002757F2"/>
    <w:rsid w:val="0027590D"/>
    <w:rsid w:val="0027594C"/>
    <w:rsid w:val="00275A80"/>
    <w:rsid w:val="00275AB4"/>
    <w:rsid w:val="00275DDD"/>
    <w:rsid w:val="00275E0F"/>
    <w:rsid w:val="00275E62"/>
    <w:rsid w:val="00275F09"/>
    <w:rsid w:val="002760CA"/>
    <w:rsid w:val="002760E8"/>
    <w:rsid w:val="00276116"/>
    <w:rsid w:val="00276128"/>
    <w:rsid w:val="00276218"/>
    <w:rsid w:val="002762E0"/>
    <w:rsid w:val="00276457"/>
    <w:rsid w:val="00276603"/>
    <w:rsid w:val="0027661B"/>
    <w:rsid w:val="002767A9"/>
    <w:rsid w:val="00276827"/>
    <w:rsid w:val="002768AC"/>
    <w:rsid w:val="002769B4"/>
    <w:rsid w:val="00276AD0"/>
    <w:rsid w:val="00276AD5"/>
    <w:rsid w:val="00276B6D"/>
    <w:rsid w:val="00276B85"/>
    <w:rsid w:val="00276BDC"/>
    <w:rsid w:val="00276C5F"/>
    <w:rsid w:val="00276CCA"/>
    <w:rsid w:val="00276EAA"/>
    <w:rsid w:val="00277103"/>
    <w:rsid w:val="002772A5"/>
    <w:rsid w:val="0027739F"/>
    <w:rsid w:val="00277499"/>
    <w:rsid w:val="002774A7"/>
    <w:rsid w:val="002774C3"/>
    <w:rsid w:val="0027758C"/>
    <w:rsid w:val="00277596"/>
    <w:rsid w:val="002776D1"/>
    <w:rsid w:val="002777D1"/>
    <w:rsid w:val="002778BE"/>
    <w:rsid w:val="0027790F"/>
    <w:rsid w:val="00277978"/>
    <w:rsid w:val="002779DB"/>
    <w:rsid w:val="00277AE8"/>
    <w:rsid w:val="00277BFC"/>
    <w:rsid w:val="00277C00"/>
    <w:rsid w:val="00277C93"/>
    <w:rsid w:val="00277CCE"/>
    <w:rsid w:val="00277D9F"/>
    <w:rsid w:val="00277F77"/>
    <w:rsid w:val="002802B7"/>
    <w:rsid w:val="002802BB"/>
    <w:rsid w:val="0028034E"/>
    <w:rsid w:val="0028040C"/>
    <w:rsid w:val="0028048B"/>
    <w:rsid w:val="0028054E"/>
    <w:rsid w:val="00280649"/>
    <w:rsid w:val="002806E6"/>
    <w:rsid w:val="002807D2"/>
    <w:rsid w:val="00280837"/>
    <w:rsid w:val="002808C4"/>
    <w:rsid w:val="00280903"/>
    <w:rsid w:val="002809F7"/>
    <w:rsid w:val="00280A0B"/>
    <w:rsid w:val="00280A16"/>
    <w:rsid w:val="00280B71"/>
    <w:rsid w:val="00280B82"/>
    <w:rsid w:val="00280BA1"/>
    <w:rsid w:val="00280C31"/>
    <w:rsid w:val="00280C78"/>
    <w:rsid w:val="00280D52"/>
    <w:rsid w:val="00280F45"/>
    <w:rsid w:val="00280FC8"/>
    <w:rsid w:val="002810E0"/>
    <w:rsid w:val="00281210"/>
    <w:rsid w:val="0028131E"/>
    <w:rsid w:val="00281358"/>
    <w:rsid w:val="0028146B"/>
    <w:rsid w:val="002815B3"/>
    <w:rsid w:val="00281697"/>
    <w:rsid w:val="002816B0"/>
    <w:rsid w:val="002816B1"/>
    <w:rsid w:val="0028180E"/>
    <w:rsid w:val="00281B70"/>
    <w:rsid w:val="00281C1E"/>
    <w:rsid w:val="00281C7D"/>
    <w:rsid w:val="00281CBD"/>
    <w:rsid w:val="00281D64"/>
    <w:rsid w:val="00281DF4"/>
    <w:rsid w:val="00281EC9"/>
    <w:rsid w:val="00281F23"/>
    <w:rsid w:val="00281F6E"/>
    <w:rsid w:val="0028203F"/>
    <w:rsid w:val="0028211B"/>
    <w:rsid w:val="0028212E"/>
    <w:rsid w:val="002821E2"/>
    <w:rsid w:val="00282240"/>
    <w:rsid w:val="00282282"/>
    <w:rsid w:val="0028235D"/>
    <w:rsid w:val="0028255C"/>
    <w:rsid w:val="00282723"/>
    <w:rsid w:val="0028272F"/>
    <w:rsid w:val="00282746"/>
    <w:rsid w:val="00282901"/>
    <w:rsid w:val="00282918"/>
    <w:rsid w:val="00282A5A"/>
    <w:rsid w:val="00282B1C"/>
    <w:rsid w:val="00282CFD"/>
    <w:rsid w:val="00282D8B"/>
    <w:rsid w:val="00282D98"/>
    <w:rsid w:val="00283119"/>
    <w:rsid w:val="002831E3"/>
    <w:rsid w:val="00283213"/>
    <w:rsid w:val="0028333E"/>
    <w:rsid w:val="002834C3"/>
    <w:rsid w:val="00283583"/>
    <w:rsid w:val="00283614"/>
    <w:rsid w:val="002836D0"/>
    <w:rsid w:val="00283B32"/>
    <w:rsid w:val="00283C13"/>
    <w:rsid w:val="00283C85"/>
    <w:rsid w:val="00283F9C"/>
    <w:rsid w:val="002841D9"/>
    <w:rsid w:val="00284233"/>
    <w:rsid w:val="00284291"/>
    <w:rsid w:val="00284352"/>
    <w:rsid w:val="002843FB"/>
    <w:rsid w:val="00284455"/>
    <w:rsid w:val="002844AB"/>
    <w:rsid w:val="002844AE"/>
    <w:rsid w:val="002844CF"/>
    <w:rsid w:val="0028450A"/>
    <w:rsid w:val="002845AA"/>
    <w:rsid w:val="002846C8"/>
    <w:rsid w:val="002847F5"/>
    <w:rsid w:val="00284945"/>
    <w:rsid w:val="00284977"/>
    <w:rsid w:val="00284981"/>
    <w:rsid w:val="00284A4C"/>
    <w:rsid w:val="00284C66"/>
    <w:rsid w:val="00284F4F"/>
    <w:rsid w:val="002850C5"/>
    <w:rsid w:val="00285264"/>
    <w:rsid w:val="00285379"/>
    <w:rsid w:val="0028555B"/>
    <w:rsid w:val="002855B6"/>
    <w:rsid w:val="0028567A"/>
    <w:rsid w:val="00285926"/>
    <w:rsid w:val="00285A94"/>
    <w:rsid w:val="00285AA8"/>
    <w:rsid w:val="00285C85"/>
    <w:rsid w:val="00285D9D"/>
    <w:rsid w:val="00285DB9"/>
    <w:rsid w:val="00285E95"/>
    <w:rsid w:val="00286139"/>
    <w:rsid w:val="00286154"/>
    <w:rsid w:val="0028616B"/>
    <w:rsid w:val="002862A3"/>
    <w:rsid w:val="002862F9"/>
    <w:rsid w:val="0028638E"/>
    <w:rsid w:val="00286492"/>
    <w:rsid w:val="002864D0"/>
    <w:rsid w:val="002867BF"/>
    <w:rsid w:val="0028697B"/>
    <w:rsid w:val="002869FF"/>
    <w:rsid w:val="00286AB1"/>
    <w:rsid w:val="00286B61"/>
    <w:rsid w:val="00286C3C"/>
    <w:rsid w:val="00286CE2"/>
    <w:rsid w:val="00286E88"/>
    <w:rsid w:val="00286E92"/>
    <w:rsid w:val="00287053"/>
    <w:rsid w:val="00287375"/>
    <w:rsid w:val="002873F5"/>
    <w:rsid w:val="002874AF"/>
    <w:rsid w:val="002874F3"/>
    <w:rsid w:val="0028760C"/>
    <w:rsid w:val="00287873"/>
    <w:rsid w:val="002879E6"/>
    <w:rsid w:val="00287BBC"/>
    <w:rsid w:val="00287C1C"/>
    <w:rsid w:val="00287D1A"/>
    <w:rsid w:val="00287E93"/>
    <w:rsid w:val="00287F7F"/>
    <w:rsid w:val="0028B006"/>
    <w:rsid w:val="00290097"/>
    <w:rsid w:val="00290138"/>
    <w:rsid w:val="00290199"/>
    <w:rsid w:val="002902AC"/>
    <w:rsid w:val="002903A7"/>
    <w:rsid w:val="002904AF"/>
    <w:rsid w:val="00290521"/>
    <w:rsid w:val="0029053C"/>
    <w:rsid w:val="00290580"/>
    <w:rsid w:val="002905F0"/>
    <w:rsid w:val="0029079B"/>
    <w:rsid w:val="00290833"/>
    <w:rsid w:val="00290854"/>
    <w:rsid w:val="002909B4"/>
    <w:rsid w:val="00290AEB"/>
    <w:rsid w:val="00290CD9"/>
    <w:rsid w:val="00290D95"/>
    <w:rsid w:val="00290D98"/>
    <w:rsid w:val="00290F32"/>
    <w:rsid w:val="00290F6A"/>
    <w:rsid w:val="002910DB"/>
    <w:rsid w:val="002910EC"/>
    <w:rsid w:val="002912E8"/>
    <w:rsid w:val="0029159F"/>
    <w:rsid w:val="002915EC"/>
    <w:rsid w:val="0029167F"/>
    <w:rsid w:val="00291794"/>
    <w:rsid w:val="00291851"/>
    <w:rsid w:val="002918DC"/>
    <w:rsid w:val="00291940"/>
    <w:rsid w:val="002919D3"/>
    <w:rsid w:val="00291A3E"/>
    <w:rsid w:val="00291B90"/>
    <w:rsid w:val="00291C61"/>
    <w:rsid w:val="00291C79"/>
    <w:rsid w:val="00292044"/>
    <w:rsid w:val="0029204A"/>
    <w:rsid w:val="00292070"/>
    <w:rsid w:val="002920F7"/>
    <w:rsid w:val="0029220B"/>
    <w:rsid w:val="00292223"/>
    <w:rsid w:val="0029231F"/>
    <w:rsid w:val="00292424"/>
    <w:rsid w:val="002926E5"/>
    <w:rsid w:val="00292716"/>
    <w:rsid w:val="0029272A"/>
    <w:rsid w:val="002929DD"/>
    <w:rsid w:val="00292A24"/>
    <w:rsid w:val="00292A29"/>
    <w:rsid w:val="00292AD0"/>
    <w:rsid w:val="00292B3B"/>
    <w:rsid w:val="00292BD2"/>
    <w:rsid w:val="00292C87"/>
    <w:rsid w:val="00292D04"/>
    <w:rsid w:val="00292DFE"/>
    <w:rsid w:val="00292E81"/>
    <w:rsid w:val="002930C2"/>
    <w:rsid w:val="0029366C"/>
    <w:rsid w:val="002936D9"/>
    <w:rsid w:val="002936E1"/>
    <w:rsid w:val="0029395E"/>
    <w:rsid w:val="00293C0B"/>
    <w:rsid w:val="00293C3D"/>
    <w:rsid w:val="00293C81"/>
    <w:rsid w:val="00293CFA"/>
    <w:rsid w:val="00293D74"/>
    <w:rsid w:val="00293E50"/>
    <w:rsid w:val="00293E82"/>
    <w:rsid w:val="0029429E"/>
    <w:rsid w:val="002942C3"/>
    <w:rsid w:val="00294A67"/>
    <w:rsid w:val="00294B07"/>
    <w:rsid w:val="00294B50"/>
    <w:rsid w:val="00294B53"/>
    <w:rsid w:val="00294C4D"/>
    <w:rsid w:val="00294D4A"/>
    <w:rsid w:val="00294D99"/>
    <w:rsid w:val="0029504F"/>
    <w:rsid w:val="002952BC"/>
    <w:rsid w:val="0029530E"/>
    <w:rsid w:val="00295347"/>
    <w:rsid w:val="002953D2"/>
    <w:rsid w:val="002953F4"/>
    <w:rsid w:val="00295498"/>
    <w:rsid w:val="00295657"/>
    <w:rsid w:val="0029566F"/>
    <w:rsid w:val="002958D3"/>
    <w:rsid w:val="002958DF"/>
    <w:rsid w:val="0029596A"/>
    <w:rsid w:val="0029597B"/>
    <w:rsid w:val="00295A63"/>
    <w:rsid w:val="00295B19"/>
    <w:rsid w:val="00295B8D"/>
    <w:rsid w:val="00295C1D"/>
    <w:rsid w:val="00295FED"/>
    <w:rsid w:val="00296363"/>
    <w:rsid w:val="002963AC"/>
    <w:rsid w:val="002963C6"/>
    <w:rsid w:val="00296442"/>
    <w:rsid w:val="002964BC"/>
    <w:rsid w:val="002968CF"/>
    <w:rsid w:val="002968D7"/>
    <w:rsid w:val="002969B5"/>
    <w:rsid w:val="00296CEE"/>
    <w:rsid w:val="00296DD7"/>
    <w:rsid w:val="00296FD2"/>
    <w:rsid w:val="0029711C"/>
    <w:rsid w:val="00297154"/>
    <w:rsid w:val="00297195"/>
    <w:rsid w:val="002973F0"/>
    <w:rsid w:val="00297725"/>
    <w:rsid w:val="00297964"/>
    <w:rsid w:val="00297969"/>
    <w:rsid w:val="00297B06"/>
    <w:rsid w:val="00297D02"/>
    <w:rsid w:val="00297D3B"/>
    <w:rsid w:val="00297E24"/>
    <w:rsid w:val="00297E5B"/>
    <w:rsid w:val="002A0053"/>
    <w:rsid w:val="002A0068"/>
    <w:rsid w:val="002A0397"/>
    <w:rsid w:val="002A05F9"/>
    <w:rsid w:val="002A068A"/>
    <w:rsid w:val="002A06BF"/>
    <w:rsid w:val="002A0960"/>
    <w:rsid w:val="002A0A21"/>
    <w:rsid w:val="002A0A30"/>
    <w:rsid w:val="002A0A67"/>
    <w:rsid w:val="002A0C13"/>
    <w:rsid w:val="002A0C28"/>
    <w:rsid w:val="002A0C46"/>
    <w:rsid w:val="002A0D16"/>
    <w:rsid w:val="002A0D6E"/>
    <w:rsid w:val="002A0D98"/>
    <w:rsid w:val="002A0EBC"/>
    <w:rsid w:val="002A0ECC"/>
    <w:rsid w:val="002A0EEC"/>
    <w:rsid w:val="002A105D"/>
    <w:rsid w:val="002A10B2"/>
    <w:rsid w:val="002A1119"/>
    <w:rsid w:val="002A112E"/>
    <w:rsid w:val="002A12EC"/>
    <w:rsid w:val="002A14E5"/>
    <w:rsid w:val="002A17AB"/>
    <w:rsid w:val="002A18CF"/>
    <w:rsid w:val="002A1960"/>
    <w:rsid w:val="002A199D"/>
    <w:rsid w:val="002A1A74"/>
    <w:rsid w:val="002A1BD6"/>
    <w:rsid w:val="002A1DEC"/>
    <w:rsid w:val="002A1EAC"/>
    <w:rsid w:val="002A21F6"/>
    <w:rsid w:val="002A22E9"/>
    <w:rsid w:val="002A23BA"/>
    <w:rsid w:val="002A23CF"/>
    <w:rsid w:val="002A24C8"/>
    <w:rsid w:val="002A26DE"/>
    <w:rsid w:val="002A27CB"/>
    <w:rsid w:val="002A2827"/>
    <w:rsid w:val="002A28FE"/>
    <w:rsid w:val="002A2A01"/>
    <w:rsid w:val="002A2A3F"/>
    <w:rsid w:val="002A2AE7"/>
    <w:rsid w:val="002A2E22"/>
    <w:rsid w:val="002A2E43"/>
    <w:rsid w:val="002A2E56"/>
    <w:rsid w:val="002A2F14"/>
    <w:rsid w:val="002A2F8E"/>
    <w:rsid w:val="002A30A0"/>
    <w:rsid w:val="002A3102"/>
    <w:rsid w:val="002A3116"/>
    <w:rsid w:val="002A3245"/>
    <w:rsid w:val="002A3281"/>
    <w:rsid w:val="002A336C"/>
    <w:rsid w:val="002A33B4"/>
    <w:rsid w:val="002A33F4"/>
    <w:rsid w:val="002A33FD"/>
    <w:rsid w:val="002A34C2"/>
    <w:rsid w:val="002A34D9"/>
    <w:rsid w:val="002A35BD"/>
    <w:rsid w:val="002A3619"/>
    <w:rsid w:val="002A362E"/>
    <w:rsid w:val="002A37E7"/>
    <w:rsid w:val="002A3861"/>
    <w:rsid w:val="002A3904"/>
    <w:rsid w:val="002A3976"/>
    <w:rsid w:val="002A397D"/>
    <w:rsid w:val="002A3AD0"/>
    <w:rsid w:val="002A3C0E"/>
    <w:rsid w:val="002A3EAA"/>
    <w:rsid w:val="002A4077"/>
    <w:rsid w:val="002A40E0"/>
    <w:rsid w:val="002A410B"/>
    <w:rsid w:val="002A41E9"/>
    <w:rsid w:val="002A43AC"/>
    <w:rsid w:val="002A43D2"/>
    <w:rsid w:val="002A4423"/>
    <w:rsid w:val="002A4428"/>
    <w:rsid w:val="002A4556"/>
    <w:rsid w:val="002A4568"/>
    <w:rsid w:val="002A467E"/>
    <w:rsid w:val="002A46A6"/>
    <w:rsid w:val="002A46E9"/>
    <w:rsid w:val="002A47A3"/>
    <w:rsid w:val="002A48B9"/>
    <w:rsid w:val="002A4A64"/>
    <w:rsid w:val="002A4ABC"/>
    <w:rsid w:val="002A4CD9"/>
    <w:rsid w:val="002A4D93"/>
    <w:rsid w:val="002A4E0C"/>
    <w:rsid w:val="002A4F5B"/>
    <w:rsid w:val="002A5192"/>
    <w:rsid w:val="002A552C"/>
    <w:rsid w:val="002A55F4"/>
    <w:rsid w:val="002A55FF"/>
    <w:rsid w:val="002A5654"/>
    <w:rsid w:val="002A573B"/>
    <w:rsid w:val="002A57A9"/>
    <w:rsid w:val="002A57B4"/>
    <w:rsid w:val="002A5823"/>
    <w:rsid w:val="002A59C7"/>
    <w:rsid w:val="002A5C43"/>
    <w:rsid w:val="002A5C68"/>
    <w:rsid w:val="002A5C7C"/>
    <w:rsid w:val="002A5D35"/>
    <w:rsid w:val="002A5EA1"/>
    <w:rsid w:val="002A5EBC"/>
    <w:rsid w:val="002A611E"/>
    <w:rsid w:val="002A612B"/>
    <w:rsid w:val="002A62AB"/>
    <w:rsid w:val="002A631D"/>
    <w:rsid w:val="002A638A"/>
    <w:rsid w:val="002A6566"/>
    <w:rsid w:val="002A6620"/>
    <w:rsid w:val="002A66A0"/>
    <w:rsid w:val="002A67BC"/>
    <w:rsid w:val="002A68C7"/>
    <w:rsid w:val="002A6968"/>
    <w:rsid w:val="002A699D"/>
    <w:rsid w:val="002A6B23"/>
    <w:rsid w:val="002A6B7C"/>
    <w:rsid w:val="002A6B93"/>
    <w:rsid w:val="002A6BE3"/>
    <w:rsid w:val="002A6C14"/>
    <w:rsid w:val="002A6E14"/>
    <w:rsid w:val="002A6F75"/>
    <w:rsid w:val="002A6FBA"/>
    <w:rsid w:val="002A716F"/>
    <w:rsid w:val="002A72B0"/>
    <w:rsid w:val="002A72CF"/>
    <w:rsid w:val="002A72DB"/>
    <w:rsid w:val="002A7519"/>
    <w:rsid w:val="002A758F"/>
    <w:rsid w:val="002A7595"/>
    <w:rsid w:val="002A7634"/>
    <w:rsid w:val="002A7653"/>
    <w:rsid w:val="002A7779"/>
    <w:rsid w:val="002A77D5"/>
    <w:rsid w:val="002A78EE"/>
    <w:rsid w:val="002A7A52"/>
    <w:rsid w:val="002A7BC1"/>
    <w:rsid w:val="002A7CC7"/>
    <w:rsid w:val="002A7D0A"/>
    <w:rsid w:val="002A7D9C"/>
    <w:rsid w:val="002A7EFD"/>
    <w:rsid w:val="002B03C3"/>
    <w:rsid w:val="002B040E"/>
    <w:rsid w:val="002B0444"/>
    <w:rsid w:val="002B04AE"/>
    <w:rsid w:val="002B064A"/>
    <w:rsid w:val="002B0799"/>
    <w:rsid w:val="002B0A1A"/>
    <w:rsid w:val="002B0A67"/>
    <w:rsid w:val="002B0A7C"/>
    <w:rsid w:val="002B0B19"/>
    <w:rsid w:val="002B0C5A"/>
    <w:rsid w:val="002B0D1F"/>
    <w:rsid w:val="002B0F54"/>
    <w:rsid w:val="002B0F71"/>
    <w:rsid w:val="002B0FE1"/>
    <w:rsid w:val="002B0FE2"/>
    <w:rsid w:val="002B1068"/>
    <w:rsid w:val="002B116C"/>
    <w:rsid w:val="002B119B"/>
    <w:rsid w:val="002B11CC"/>
    <w:rsid w:val="002B11EF"/>
    <w:rsid w:val="002B12D9"/>
    <w:rsid w:val="002B13A2"/>
    <w:rsid w:val="002B13C5"/>
    <w:rsid w:val="002B157A"/>
    <w:rsid w:val="002B157F"/>
    <w:rsid w:val="002B15BB"/>
    <w:rsid w:val="002B15CD"/>
    <w:rsid w:val="002B18FD"/>
    <w:rsid w:val="002B1918"/>
    <w:rsid w:val="002B19BA"/>
    <w:rsid w:val="002B1C64"/>
    <w:rsid w:val="002B1E26"/>
    <w:rsid w:val="002B1E8E"/>
    <w:rsid w:val="002B1F07"/>
    <w:rsid w:val="002B2016"/>
    <w:rsid w:val="002B204D"/>
    <w:rsid w:val="002B20A0"/>
    <w:rsid w:val="002B217F"/>
    <w:rsid w:val="002B22A6"/>
    <w:rsid w:val="002B2312"/>
    <w:rsid w:val="002B238C"/>
    <w:rsid w:val="002B2774"/>
    <w:rsid w:val="002B27DC"/>
    <w:rsid w:val="002B28AA"/>
    <w:rsid w:val="002B29DC"/>
    <w:rsid w:val="002B2B2D"/>
    <w:rsid w:val="002B2C8A"/>
    <w:rsid w:val="002B2D22"/>
    <w:rsid w:val="002B2D46"/>
    <w:rsid w:val="002B2EA5"/>
    <w:rsid w:val="002B2F39"/>
    <w:rsid w:val="002B2F4E"/>
    <w:rsid w:val="002B2FCB"/>
    <w:rsid w:val="002B30E9"/>
    <w:rsid w:val="002B3114"/>
    <w:rsid w:val="002B3161"/>
    <w:rsid w:val="002B3212"/>
    <w:rsid w:val="002B32D4"/>
    <w:rsid w:val="002B3314"/>
    <w:rsid w:val="002B366A"/>
    <w:rsid w:val="002B3680"/>
    <w:rsid w:val="002B3C06"/>
    <w:rsid w:val="002B3C56"/>
    <w:rsid w:val="002B3C93"/>
    <w:rsid w:val="002B3FC6"/>
    <w:rsid w:val="002B400A"/>
    <w:rsid w:val="002B406C"/>
    <w:rsid w:val="002B4070"/>
    <w:rsid w:val="002B407E"/>
    <w:rsid w:val="002B4107"/>
    <w:rsid w:val="002B4152"/>
    <w:rsid w:val="002B44AF"/>
    <w:rsid w:val="002B4511"/>
    <w:rsid w:val="002B45A1"/>
    <w:rsid w:val="002B4767"/>
    <w:rsid w:val="002B482B"/>
    <w:rsid w:val="002B48DB"/>
    <w:rsid w:val="002B4BBD"/>
    <w:rsid w:val="002B4DA8"/>
    <w:rsid w:val="002B4EFB"/>
    <w:rsid w:val="002B5045"/>
    <w:rsid w:val="002B5085"/>
    <w:rsid w:val="002B5156"/>
    <w:rsid w:val="002B515F"/>
    <w:rsid w:val="002B52ED"/>
    <w:rsid w:val="002B53A0"/>
    <w:rsid w:val="002B53AE"/>
    <w:rsid w:val="002B54D7"/>
    <w:rsid w:val="002B5612"/>
    <w:rsid w:val="002B5892"/>
    <w:rsid w:val="002B5939"/>
    <w:rsid w:val="002B59E9"/>
    <w:rsid w:val="002B5AA9"/>
    <w:rsid w:val="002B5C57"/>
    <w:rsid w:val="002B5DBE"/>
    <w:rsid w:val="002B5EB4"/>
    <w:rsid w:val="002B626F"/>
    <w:rsid w:val="002B62DD"/>
    <w:rsid w:val="002B62F9"/>
    <w:rsid w:val="002B648F"/>
    <w:rsid w:val="002B64D1"/>
    <w:rsid w:val="002B65B3"/>
    <w:rsid w:val="002B6633"/>
    <w:rsid w:val="002B68A0"/>
    <w:rsid w:val="002B68A2"/>
    <w:rsid w:val="002B696A"/>
    <w:rsid w:val="002B6B45"/>
    <w:rsid w:val="002B6BA7"/>
    <w:rsid w:val="002B6BF5"/>
    <w:rsid w:val="002B6C2E"/>
    <w:rsid w:val="002B6C9B"/>
    <w:rsid w:val="002B6CAD"/>
    <w:rsid w:val="002B6E84"/>
    <w:rsid w:val="002B7001"/>
    <w:rsid w:val="002B7103"/>
    <w:rsid w:val="002B7385"/>
    <w:rsid w:val="002B7477"/>
    <w:rsid w:val="002B749C"/>
    <w:rsid w:val="002B74F5"/>
    <w:rsid w:val="002B76CC"/>
    <w:rsid w:val="002B7816"/>
    <w:rsid w:val="002B79DE"/>
    <w:rsid w:val="002B7A21"/>
    <w:rsid w:val="002B7C51"/>
    <w:rsid w:val="002B7DB8"/>
    <w:rsid w:val="002B7DD9"/>
    <w:rsid w:val="002B7E44"/>
    <w:rsid w:val="002B7F03"/>
    <w:rsid w:val="002B7FE9"/>
    <w:rsid w:val="002C0032"/>
    <w:rsid w:val="002C00A4"/>
    <w:rsid w:val="002C00DA"/>
    <w:rsid w:val="002C03BA"/>
    <w:rsid w:val="002C05F0"/>
    <w:rsid w:val="002C0855"/>
    <w:rsid w:val="002C0AE9"/>
    <w:rsid w:val="002C0DCF"/>
    <w:rsid w:val="002C0E05"/>
    <w:rsid w:val="002C0F38"/>
    <w:rsid w:val="002C11CB"/>
    <w:rsid w:val="002C11D5"/>
    <w:rsid w:val="002C1256"/>
    <w:rsid w:val="002C12CC"/>
    <w:rsid w:val="002C14D4"/>
    <w:rsid w:val="002C14D8"/>
    <w:rsid w:val="002C1538"/>
    <w:rsid w:val="002C170B"/>
    <w:rsid w:val="002C1711"/>
    <w:rsid w:val="002C174B"/>
    <w:rsid w:val="002C178B"/>
    <w:rsid w:val="002C1949"/>
    <w:rsid w:val="002C1A6A"/>
    <w:rsid w:val="002C1B4A"/>
    <w:rsid w:val="002C1BCF"/>
    <w:rsid w:val="002C1CB2"/>
    <w:rsid w:val="002C1D57"/>
    <w:rsid w:val="002C1E5F"/>
    <w:rsid w:val="002C1EF9"/>
    <w:rsid w:val="002C201B"/>
    <w:rsid w:val="002C222B"/>
    <w:rsid w:val="002C2326"/>
    <w:rsid w:val="002C2346"/>
    <w:rsid w:val="002C249F"/>
    <w:rsid w:val="002C24C0"/>
    <w:rsid w:val="002C25ED"/>
    <w:rsid w:val="002C2623"/>
    <w:rsid w:val="002C2725"/>
    <w:rsid w:val="002C279E"/>
    <w:rsid w:val="002C283A"/>
    <w:rsid w:val="002C286D"/>
    <w:rsid w:val="002C2894"/>
    <w:rsid w:val="002C28EE"/>
    <w:rsid w:val="002C2A1D"/>
    <w:rsid w:val="002C2A3D"/>
    <w:rsid w:val="002C2BC1"/>
    <w:rsid w:val="002C2CDF"/>
    <w:rsid w:val="002C2CF4"/>
    <w:rsid w:val="002C2D47"/>
    <w:rsid w:val="002C2DA6"/>
    <w:rsid w:val="002C2DC2"/>
    <w:rsid w:val="002C2DCD"/>
    <w:rsid w:val="002C30C0"/>
    <w:rsid w:val="002C314F"/>
    <w:rsid w:val="002C3183"/>
    <w:rsid w:val="002C348E"/>
    <w:rsid w:val="002C3530"/>
    <w:rsid w:val="002C35A7"/>
    <w:rsid w:val="002C373A"/>
    <w:rsid w:val="002C392B"/>
    <w:rsid w:val="002C3931"/>
    <w:rsid w:val="002C3A62"/>
    <w:rsid w:val="002C3A91"/>
    <w:rsid w:val="002C3CC2"/>
    <w:rsid w:val="002C3DF9"/>
    <w:rsid w:val="002C3E98"/>
    <w:rsid w:val="002C405A"/>
    <w:rsid w:val="002C431F"/>
    <w:rsid w:val="002C434F"/>
    <w:rsid w:val="002C44B5"/>
    <w:rsid w:val="002C44C5"/>
    <w:rsid w:val="002C45E8"/>
    <w:rsid w:val="002C4830"/>
    <w:rsid w:val="002C4849"/>
    <w:rsid w:val="002C4942"/>
    <w:rsid w:val="002C499D"/>
    <w:rsid w:val="002C4A37"/>
    <w:rsid w:val="002C4A81"/>
    <w:rsid w:val="002C4BE1"/>
    <w:rsid w:val="002C4DF3"/>
    <w:rsid w:val="002C4EA2"/>
    <w:rsid w:val="002C4F5B"/>
    <w:rsid w:val="002C5144"/>
    <w:rsid w:val="002C5162"/>
    <w:rsid w:val="002C5194"/>
    <w:rsid w:val="002C51B0"/>
    <w:rsid w:val="002C5214"/>
    <w:rsid w:val="002C52C3"/>
    <w:rsid w:val="002C52EC"/>
    <w:rsid w:val="002C544A"/>
    <w:rsid w:val="002C5562"/>
    <w:rsid w:val="002C565B"/>
    <w:rsid w:val="002C5784"/>
    <w:rsid w:val="002C58B8"/>
    <w:rsid w:val="002C5B8B"/>
    <w:rsid w:val="002C5BBF"/>
    <w:rsid w:val="002C5BF8"/>
    <w:rsid w:val="002C5FFE"/>
    <w:rsid w:val="002C6219"/>
    <w:rsid w:val="002C6402"/>
    <w:rsid w:val="002C6472"/>
    <w:rsid w:val="002C650F"/>
    <w:rsid w:val="002C673B"/>
    <w:rsid w:val="002C67E5"/>
    <w:rsid w:val="002C694E"/>
    <w:rsid w:val="002C6975"/>
    <w:rsid w:val="002C69B4"/>
    <w:rsid w:val="002C6D35"/>
    <w:rsid w:val="002C6EB1"/>
    <w:rsid w:val="002C710B"/>
    <w:rsid w:val="002C7121"/>
    <w:rsid w:val="002C721C"/>
    <w:rsid w:val="002C726D"/>
    <w:rsid w:val="002C727F"/>
    <w:rsid w:val="002C72B7"/>
    <w:rsid w:val="002C736F"/>
    <w:rsid w:val="002C7428"/>
    <w:rsid w:val="002C74A2"/>
    <w:rsid w:val="002C7503"/>
    <w:rsid w:val="002C753B"/>
    <w:rsid w:val="002C7624"/>
    <w:rsid w:val="002C76F3"/>
    <w:rsid w:val="002C7729"/>
    <w:rsid w:val="002C7745"/>
    <w:rsid w:val="002C7778"/>
    <w:rsid w:val="002C7933"/>
    <w:rsid w:val="002C7AE6"/>
    <w:rsid w:val="002C7BBA"/>
    <w:rsid w:val="002C7C09"/>
    <w:rsid w:val="002C7C21"/>
    <w:rsid w:val="002C7DB4"/>
    <w:rsid w:val="002C7E4C"/>
    <w:rsid w:val="002C7E5E"/>
    <w:rsid w:val="002C7ED4"/>
    <w:rsid w:val="002D00BD"/>
    <w:rsid w:val="002D00DA"/>
    <w:rsid w:val="002D0260"/>
    <w:rsid w:val="002D0264"/>
    <w:rsid w:val="002D0323"/>
    <w:rsid w:val="002D0413"/>
    <w:rsid w:val="002D0417"/>
    <w:rsid w:val="002D05BF"/>
    <w:rsid w:val="002D06DA"/>
    <w:rsid w:val="002D084B"/>
    <w:rsid w:val="002D0B97"/>
    <w:rsid w:val="002D0BD7"/>
    <w:rsid w:val="002D0C67"/>
    <w:rsid w:val="002D0DBB"/>
    <w:rsid w:val="002D1156"/>
    <w:rsid w:val="002D11D1"/>
    <w:rsid w:val="002D12A0"/>
    <w:rsid w:val="002D12D7"/>
    <w:rsid w:val="002D13E9"/>
    <w:rsid w:val="002D1418"/>
    <w:rsid w:val="002D1558"/>
    <w:rsid w:val="002D15BC"/>
    <w:rsid w:val="002D15E4"/>
    <w:rsid w:val="002D16AE"/>
    <w:rsid w:val="002D174C"/>
    <w:rsid w:val="002D193E"/>
    <w:rsid w:val="002D1952"/>
    <w:rsid w:val="002D19CF"/>
    <w:rsid w:val="002D1B90"/>
    <w:rsid w:val="002D1D21"/>
    <w:rsid w:val="002D1E75"/>
    <w:rsid w:val="002D1E78"/>
    <w:rsid w:val="002D20AD"/>
    <w:rsid w:val="002D2102"/>
    <w:rsid w:val="002D2127"/>
    <w:rsid w:val="002D2155"/>
    <w:rsid w:val="002D2322"/>
    <w:rsid w:val="002D23F3"/>
    <w:rsid w:val="002D2540"/>
    <w:rsid w:val="002D28CB"/>
    <w:rsid w:val="002D28FE"/>
    <w:rsid w:val="002D2955"/>
    <w:rsid w:val="002D2985"/>
    <w:rsid w:val="002D2AB8"/>
    <w:rsid w:val="002D2B47"/>
    <w:rsid w:val="002D2BAE"/>
    <w:rsid w:val="002D2C75"/>
    <w:rsid w:val="002D2DE0"/>
    <w:rsid w:val="002D2E10"/>
    <w:rsid w:val="002D2EB8"/>
    <w:rsid w:val="002D2EBF"/>
    <w:rsid w:val="002D2FD9"/>
    <w:rsid w:val="002D32F5"/>
    <w:rsid w:val="002D33AF"/>
    <w:rsid w:val="002D355F"/>
    <w:rsid w:val="002D367D"/>
    <w:rsid w:val="002D36F6"/>
    <w:rsid w:val="002D39A4"/>
    <w:rsid w:val="002D3AB3"/>
    <w:rsid w:val="002D3D73"/>
    <w:rsid w:val="002D3F28"/>
    <w:rsid w:val="002D400D"/>
    <w:rsid w:val="002D418F"/>
    <w:rsid w:val="002D41A4"/>
    <w:rsid w:val="002D4217"/>
    <w:rsid w:val="002D4334"/>
    <w:rsid w:val="002D43CF"/>
    <w:rsid w:val="002D4557"/>
    <w:rsid w:val="002D4598"/>
    <w:rsid w:val="002D45D6"/>
    <w:rsid w:val="002D461F"/>
    <w:rsid w:val="002D469A"/>
    <w:rsid w:val="002D477B"/>
    <w:rsid w:val="002D4838"/>
    <w:rsid w:val="002D493E"/>
    <w:rsid w:val="002D4972"/>
    <w:rsid w:val="002D49F4"/>
    <w:rsid w:val="002D4BA9"/>
    <w:rsid w:val="002D4C0E"/>
    <w:rsid w:val="002D4D3B"/>
    <w:rsid w:val="002D4DB2"/>
    <w:rsid w:val="002D4EE6"/>
    <w:rsid w:val="002D4F31"/>
    <w:rsid w:val="002D514C"/>
    <w:rsid w:val="002D51C3"/>
    <w:rsid w:val="002D56AF"/>
    <w:rsid w:val="002D58FF"/>
    <w:rsid w:val="002D5A0A"/>
    <w:rsid w:val="002D5A31"/>
    <w:rsid w:val="002D5C6B"/>
    <w:rsid w:val="002D5CF0"/>
    <w:rsid w:val="002D5EC3"/>
    <w:rsid w:val="002D5F00"/>
    <w:rsid w:val="002D5F55"/>
    <w:rsid w:val="002D5FD7"/>
    <w:rsid w:val="002D6060"/>
    <w:rsid w:val="002D6246"/>
    <w:rsid w:val="002D6261"/>
    <w:rsid w:val="002D627E"/>
    <w:rsid w:val="002D63A3"/>
    <w:rsid w:val="002D64F9"/>
    <w:rsid w:val="002D6535"/>
    <w:rsid w:val="002D660C"/>
    <w:rsid w:val="002D67E3"/>
    <w:rsid w:val="002D6A2B"/>
    <w:rsid w:val="002D6AA0"/>
    <w:rsid w:val="002D6AF7"/>
    <w:rsid w:val="002D6CCA"/>
    <w:rsid w:val="002D6E79"/>
    <w:rsid w:val="002D6E9D"/>
    <w:rsid w:val="002D6EA3"/>
    <w:rsid w:val="002D6F3F"/>
    <w:rsid w:val="002D6FE4"/>
    <w:rsid w:val="002D7110"/>
    <w:rsid w:val="002D72E5"/>
    <w:rsid w:val="002D72FE"/>
    <w:rsid w:val="002D734B"/>
    <w:rsid w:val="002D7536"/>
    <w:rsid w:val="002D75AB"/>
    <w:rsid w:val="002D7621"/>
    <w:rsid w:val="002D76F0"/>
    <w:rsid w:val="002D7796"/>
    <w:rsid w:val="002D77BE"/>
    <w:rsid w:val="002D78AB"/>
    <w:rsid w:val="002D7972"/>
    <w:rsid w:val="002D7A0D"/>
    <w:rsid w:val="002D7A7E"/>
    <w:rsid w:val="002D7AA7"/>
    <w:rsid w:val="002D7ACB"/>
    <w:rsid w:val="002D7B32"/>
    <w:rsid w:val="002D7C40"/>
    <w:rsid w:val="002D7D82"/>
    <w:rsid w:val="002D7DCA"/>
    <w:rsid w:val="002D7DCE"/>
    <w:rsid w:val="002E0085"/>
    <w:rsid w:val="002E0201"/>
    <w:rsid w:val="002E02A6"/>
    <w:rsid w:val="002E0392"/>
    <w:rsid w:val="002E071F"/>
    <w:rsid w:val="002E0857"/>
    <w:rsid w:val="002E08F7"/>
    <w:rsid w:val="002E0952"/>
    <w:rsid w:val="002E09AE"/>
    <w:rsid w:val="002E0A10"/>
    <w:rsid w:val="002E0B99"/>
    <w:rsid w:val="002E0D1D"/>
    <w:rsid w:val="002E0F42"/>
    <w:rsid w:val="002E1082"/>
    <w:rsid w:val="002E12F2"/>
    <w:rsid w:val="002E1322"/>
    <w:rsid w:val="002E13A9"/>
    <w:rsid w:val="002E14A7"/>
    <w:rsid w:val="002E14C9"/>
    <w:rsid w:val="002E16D4"/>
    <w:rsid w:val="002E1744"/>
    <w:rsid w:val="002E178D"/>
    <w:rsid w:val="002E17AB"/>
    <w:rsid w:val="002E193E"/>
    <w:rsid w:val="002E1CC9"/>
    <w:rsid w:val="002E1E08"/>
    <w:rsid w:val="002E1E20"/>
    <w:rsid w:val="002E1FDC"/>
    <w:rsid w:val="002E23C7"/>
    <w:rsid w:val="002E25FE"/>
    <w:rsid w:val="002E27CB"/>
    <w:rsid w:val="002E28D8"/>
    <w:rsid w:val="002E2987"/>
    <w:rsid w:val="002E2B5C"/>
    <w:rsid w:val="002E2C09"/>
    <w:rsid w:val="002E2C0A"/>
    <w:rsid w:val="002E2C55"/>
    <w:rsid w:val="002E2D71"/>
    <w:rsid w:val="002E30EE"/>
    <w:rsid w:val="002E30F8"/>
    <w:rsid w:val="002E3127"/>
    <w:rsid w:val="002E3373"/>
    <w:rsid w:val="002E35F0"/>
    <w:rsid w:val="002E3A61"/>
    <w:rsid w:val="002E3CBA"/>
    <w:rsid w:val="002E3D93"/>
    <w:rsid w:val="002E3F0F"/>
    <w:rsid w:val="002E3F19"/>
    <w:rsid w:val="002E3F40"/>
    <w:rsid w:val="002E3F79"/>
    <w:rsid w:val="002E3FEE"/>
    <w:rsid w:val="002E40FE"/>
    <w:rsid w:val="002E4310"/>
    <w:rsid w:val="002E4447"/>
    <w:rsid w:val="002E4741"/>
    <w:rsid w:val="002E47A3"/>
    <w:rsid w:val="002E4804"/>
    <w:rsid w:val="002E4B49"/>
    <w:rsid w:val="002E4BD4"/>
    <w:rsid w:val="002E4C1B"/>
    <w:rsid w:val="002E4E23"/>
    <w:rsid w:val="002E5286"/>
    <w:rsid w:val="002E555C"/>
    <w:rsid w:val="002E5576"/>
    <w:rsid w:val="002E5703"/>
    <w:rsid w:val="002E57E3"/>
    <w:rsid w:val="002E57E7"/>
    <w:rsid w:val="002E5D25"/>
    <w:rsid w:val="002E5D5D"/>
    <w:rsid w:val="002E5E51"/>
    <w:rsid w:val="002E5F52"/>
    <w:rsid w:val="002E5F76"/>
    <w:rsid w:val="002E60A1"/>
    <w:rsid w:val="002E6455"/>
    <w:rsid w:val="002E646A"/>
    <w:rsid w:val="002E64B5"/>
    <w:rsid w:val="002E65BB"/>
    <w:rsid w:val="002E6602"/>
    <w:rsid w:val="002E66A7"/>
    <w:rsid w:val="002E6824"/>
    <w:rsid w:val="002E6A6D"/>
    <w:rsid w:val="002E6AB8"/>
    <w:rsid w:val="002E6B5B"/>
    <w:rsid w:val="002E6C2D"/>
    <w:rsid w:val="002E6C8A"/>
    <w:rsid w:val="002E6E15"/>
    <w:rsid w:val="002E6F1A"/>
    <w:rsid w:val="002E6FA7"/>
    <w:rsid w:val="002E702A"/>
    <w:rsid w:val="002E7167"/>
    <w:rsid w:val="002E716F"/>
    <w:rsid w:val="002E72E9"/>
    <w:rsid w:val="002E73DD"/>
    <w:rsid w:val="002E75CE"/>
    <w:rsid w:val="002E75E5"/>
    <w:rsid w:val="002E75FA"/>
    <w:rsid w:val="002E7690"/>
    <w:rsid w:val="002E777F"/>
    <w:rsid w:val="002E7935"/>
    <w:rsid w:val="002E7A01"/>
    <w:rsid w:val="002E7B23"/>
    <w:rsid w:val="002E7CDD"/>
    <w:rsid w:val="002E7DB4"/>
    <w:rsid w:val="002E7DD8"/>
    <w:rsid w:val="002E7E96"/>
    <w:rsid w:val="002F006B"/>
    <w:rsid w:val="002F00B9"/>
    <w:rsid w:val="002F010B"/>
    <w:rsid w:val="002F027B"/>
    <w:rsid w:val="002F0339"/>
    <w:rsid w:val="002F038D"/>
    <w:rsid w:val="002F0411"/>
    <w:rsid w:val="002F0672"/>
    <w:rsid w:val="002F06DA"/>
    <w:rsid w:val="002F073C"/>
    <w:rsid w:val="002F07CF"/>
    <w:rsid w:val="002F0846"/>
    <w:rsid w:val="002F089A"/>
    <w:rsid w:val="002F0971"/>
    <w:rsid w:val="002F0B2A"/>
    <w:rsid w:val="002F0CBC"/>
    <w:rsid w:val="002F0E6F"/>
    <w:rsid w:val="002F0F57"/>
    <w:rsid w:val="002F0FF1"/>
    <w:rsid w:val="002F1049"/>
    <w:rsid w:val="002F10DC"/>
    <w:rsid w:val="002F1142"/>
    <w:rsid w:val="002F154B"/>
    <w:rsid w:val="002F15A4"/>
    <w:rsid w:val="002F15C5"/>
    <w:rsid w:val="002F167E"/>
    <w:rsid w:val="002F170D"/>
    <w:rsid w:val="002F177E"/>
    <w:rsid w:val="002F1C43"/>
    <w:rsid w:val="002F1CAD"/>
    <w:rsid w:val="002F1F3B"/>
    <w:rsid w:val="002F1F67"/>
    <w:rsid w:val="002F1FE8"/>
    <w:rsid w:val="002F210A"/>
    <w:rsid w:val="002F25C5"/>
    <w:rsid w:val="002F2608"/>
    <w:rsid w:val="002F2653"/>
    <w:rsid w:val="002F2726"/>
    <w:rsid w:val="002F2801"/>
    <w:rsid w:val="002F29D3"/>
    <w:rsid w:val="002F2BBF"/>
    <w:rsid w:val="002F2D12"/>
    <w:rsid w:val="002F2DFB"/>
    <w:rsid w:val="002F2ECA"/>
    <w:rsid w:val="002F3076"/>
    <w:rsid w:val="002F30B8"/>
    <w:rsid w:val="002F30D5"/>
    <w:rsid w:val="002F31AE"/>
    <w:rsid w:val="002F31E0"/>
    <w:rsid w:val="002F3236"/>
    <w:rsid w:val="002F3267"/>
    <w:rsid w:val="002F3321"/>
    <w:rsid w:val="002F35A3"/>
    <w:rsid w:val="002F3625"/>
    <w:rsid w:val="002F3676"/>
    <w:rsid w:val="002F3799"/>
    <w:rsid w:val="002F392F"/>
    <w:rsid w:val="002F3A30"/>
    <w:rsid w:val="002F3A9C"/>
    <w:rsid w:val="002F3AD3"/>
    <w:rsid w:val="002F3B9E"/>
    <w:rsid w:val="002F3BAD"/>
    <w:rsid w:val="002F3D7D"/>
    <w:rsid w:val="002F3DB9"/>
    <w:rsid w:val="002F3F89"/>
    <w:rsid w:val="002F3FE4"/>
    <w:rsid w:val="002F420D"/>
    <w:rsid w:val="002F43C8"/>
    <w:rsid w:val="002F4456"/>
    <w:rsid w:val="002F4543"/>
    <w:rsid w:val="002F474D"/>
    <w:rsid w:val="002F47B6"/>
    <w:rsid w:val="002F4852"/>
    <w:rsid w:val="002F4AC0"/>
    <w:rsid w:val="002F4B24"/>
    <w:rsid w:val="002F4C94"/>
    <w:rsid w:val="002F4CA4"/>
    <w:rsid w:val="002F4D1A"/>
    <w:rsid w:val="002F4D5C"/>
    <w:rsid w:val="002F4DB9"/>
    <w:rsid w:val="002F4E60"/>
    <w:rsid w:val="002F4EC6"/>
    <w:rsid w:val="002F4ED8"/>
    <w:rsid w:val="002F4FCC"/>
    <w:rsid w:val="002F5039"/>
    <w:rsid w:val="002F5241"/>
    <w:rsid w:val="002F52C8"/>
    <w:rsid w:val="002F5325"/>
    <w:rsid w:val="002F54D5"/>
    <w:rsid w:val="002F55EB"/>
    <w:rsid w:val="002F5719"/>
    <w:rsid w:val="002F5757"/>
    <w:rsid w:val="002F5787"/>
    <w:rsid w:val="002F58E8"/>
    <w:rsid w:val="002F590F"/>
    <w:rsid w:val="002F59AA"/>
    <w:rsid w:val="002F59C7"/>
    <w:rsid w:val="002F5AEA"/>
    <w:rsid w:val="002F5CEA"/>
    <w:rsid w:val="002F5DF3"/>
    <w:rsid w:val="002F5F6E"/>
    <w:rsid w:val="002F5FCD"/>
    <w:rsid w:val="002F61F1"/>
    <w:rsid w:val="002F6211"/>
    <w:rsid w:val="002F6334"/>
    <w:rsid w:val="002F65E8"/>
    <w:rsid w:val="002F67F3"/>
    <w:rsid w:val="002F696D"/>
    <w:rsid w:val="002F6A79"/>
    <w:rsid w:val="002F6AC7"/>
    <w:rsid w:val="002F6D5C"/>
    <w:rsid w:val="002F6DEF"/>
    <w:rsid w:val="002F6DF4"/>
    <w:rsid w:val="002F6E47"/>
    <w:rsid w:val="002F72F8"/>
    <w:rsid w:val="002F747D"/>
    <w:rsid w:val="002F7669"/>
    <w:rsid w:val="002F78FD"/>
    <w:rsid w:val="002F7950"/>
    <w:rsid w:val="002F79B0"/>
    <w:rsid w:val="002F7AEE"/>
    <w:rsid w:val="002F7BA6"/>
    <w:rsid w:val="002F7D10"/>
    <w:rsid w:val="002F7E02"/>
    <w:rsid w:val="002F7EA3"/>
    <w:rsid w:val="002F7F88"/>
    <w:rsid w:val="00300162"/>
    <w:rsid w:val="003001F9"/>
    <w:rsid w:val="00300218"/>
    <w:rsid w:val="00300264"/>
    <w:rsid w:val="0030028A"/>
    <w:rsid w:val="003002DC"/>
    <w:rsid w:val="003002FF"/>
    <w:rsid w:val="0030030D"/>
    <w:rsid w:val="0030072F"/>
    <w:rsid w:val="003008A2"/>
    <w:rsid w:val="00300ABF"/>
    <w:rsid w:val="00300C20"/>
    <w:rsid w:val="00300CB6"/>
    <w:rsid w:val="00300E12"/>
    <w:rsid w:val="00300E1C"/>
    <w:rsid w:val="0030120A"/>
    <w:rsid w:val="0030147D"/>
    <w:rsid w:val="003015EA"/>
    <w:rsid w:val="00301773"/>
    <w:rsid w:val="00301ABA"/>
    <w:rsid w:val="00301BD8"/>
    <w:rsid w:val="00301C18"/>
    <w:rsid w:val="00301C82"/>
    <w:rsid w:val="00301C9E"/>
    <w:rsid w:val="00301D57"/>
    <w:rsid w:val="00301FD6"/>
    <w:rsid w:val="0030208A"/>
    <w:rsid w:val="0030208F"/>
    <w:rsid w:val="0030216A"/>
    <w:rsid w:val="003021AB"/>
    <w:rsid w:val="003021E5"/>
    <w:rsid w:val="003023A8"/>
    <w:rsid w:val="0030260D"/>
    <w:rsid w:val="00302626"/>
    <w:rsid w:val="0030268F"/>
    <w:rsid w:val="0030289E"/>
    <w:rsid w:val="003029A1"/>
    <w:rsid w:val="00302AE9"/>
    <w:rsid w:val="00302D0B"/>
    <w:rsid w:val="00302D99"/>
    <w:rsid w:val="00302F35"/>
    <w:rsid w:val="00302F9D"/>
    <w:rsid w:val="00302FCC"/>
    <w:rsid w:val="00303030"/>
    <w:rsid w:val="003030F4"/>
    <w:rsid w:val="003032DF"/>
    <w:rsid w:val="00303452"/>
    <w:rsid w:val="00303500"/>
    <w:rsid w:val="00303644"/>
    <w:rsid w:val="00303652"/>
    <w:rsid w:val="003036EB"/>
    <w:rsid w:val="003038E5"/>
    <w:rsid w:val="00303953"/>
    <w:rsid w:val="00303C7C"/>
    <w:rsid w:val="00303D41"/>
    <w:rsid w:val="00303DD3"/>
    <w:rsid w:val="00304035"/>
    <w:rsid w:val="0030407D"/>
    <w:rsid w:val="00304152"/>
    <w:rsid w:val="003042CC"/>
    <w:rsid w:val="003042F2"/>
    <w:rsid w:val="003043BB"/>
    <w:rsid w:val="0030444D"/>
    <w:rsid w:val="003044B1"/>
    <w:rsid w:val="003044D2"/>
    <w:rsid w:val="0030458D"/>
    <w:rsid w:val="00304731"/>
    <w:rsid w:val="003047BC"/>
    <w:rsid w:val="00304971"/>
    <w:rsid w:val="00304974"/>
    <w:rsid w:val="003049FB"/>
    <w:rsid w:val="00304A33"/>
    <w:rsid w:val="00304C3F"/>
    <w:rsid w:val="00304C9D"/>
    <w:rsid w:val="00304CB9"/>
    <w:rsid w:val="00304EEA"/>
    <w:rsid w:val="00304FFB"/>
    <w:rsid w:val="00305097"/>
    <w:rsid w:val="00305246"/>
    <w:rsid w:val="003052B9"/>
    <w:rsid w:val="003054B7"/>
    <w:rsid w:val="003054D8"/>
    <w:rsid w:val="003055E2"/>
    <w:rsid w:val="0030581F"/>
    <w:rsid w:val="00305835"/>
    <w:rsid w:val="0030595F"/>
    <w:rsid w:val="00305D47"/>
    <w:rsid w:val="00305D7F"/>
    <w:rsid w:val="00305E44"/>
    <w:rsid w:val="00305E8A"/>
    <w:rsid w:val="00305EAF"/>
    <w:rsid w:val="00305EDF"/>
    <w:rsid w:val="00305F2D"/>
    <w:rsid w:val="003060D9"/>
    <w:rsid w:val="003061D0"/>
    <w:rsid w:val="0030620A"/>
    <w:rsid w:val="0030625E"/>
    <w:rsid w:val="003062BF"/>
    <w:rsid w:val="003063C4"/>
    <w:rsid w:val="0030646F"/>
    <w:rsid w:val="003064D8"/>
    <w:rsid w:val="00306582"/>
    <w:rsid w:val="00306661"/>
    <w:rsid w:val="003066E5"/>
    <w:rsid w:val="0030682C"/>
    <w:rsid w:val="00306C5A"/>
    <w:rsid w:val="00306CFD"/>
    <w:rsid w:val="00306F04"/>
    <w:rsid w:val="00306F66"/>
    <w:rsid w:val="00306F7D"/>
    <w:rsid w:val="00306FF5"/>
    <w:rsid w:val="00307090"/>
    <w:rsid w:val="00307202"/>
    <w:rsid w:val="00307267"/>
    <w:rsid w:val="003074C5"/>
    <w:rsid w:val="00307670"/>
    <w:rsid w:val="003076ED"/>
    <w:rsid w:val="00307728"/>
    <w:rsid w:val="003077FF"/>
    <w:rsid w:val="003078C1"/>
    <w:rsid w:val="00307979"/>
    <w:rsid w:val="003079AD"/>
    <w:rsid w:val="003079FA"/>
    <w:rsid w:val="00307A9D"/>
    <w:rsid w:val="00307C46"/>
    <w:rsid w:val="00307E6C"/>
    <w:rsid w:val="0031010F"/>
    <w:rsid w:val="003101B0"/>
    <w:rsid w:val="00310408"/>
    <w:rsid w:val="003105E3"/>
    <w:rsid w:val="00310745"/>
    <w:rsid w:val="00310901"/>
    <w:rsid w:val="00310AAB"/>
    <w:rsid w:val="00310AE0"/>
    <w:rsid w:val="00310AE1"/>
    <w:rsid w:val="00310B8F"/>
    <w:rsid w:val="00310E2E"/>
    <w:rsid w:val="00310F82"/>
    <w:rsid w:val="0031106E"/>
    <w:rsid w:val="00311130"/>
    <w:rsid w:val="0031118F"/>
    <w:rsid w:val="00311266"/>
    <w:rsid w:val="00311344"/>
    <w:rsid w:val="0031149A"/>
    <w:rsid w:val="003115B1"/>
    <w:rsid w:val="00311872"/>
    <w:rsid w:val="003119B1"/>
    <w:rsid w:val="00311A9A"/>
    <w:rsid w:val="00311B4D"/>
    <w:rsid w:val="00311D72"/>
    <w:rsid w:val="00311E29"/>
    <w:rsid w:val="00311EA3"/>
    <w:rsid w:val="003121CB"/>
    <w:rsid w:val="00312200"/>
    <w:rsid w:val="003122A7"/>
    <w:rsid w:val="00312559"/>
    <w:rsid w:val="003129E1"/>
    <w:rsid w:val="00312DCA"/>
    <w:rsid w:val="00312FA2"/>
    <w:rsid w:val="00312FA3"/>
    <w:rsid w:val="00312FE0"/>
    <w:rsid w:val="00313105"/>
    <w:rsid w:val="003131D3"/>
    <w:rsid w:val="00313377"/>
    <w:rsid w:val="0031348A"/>
    <w:rsid w:val="00313635"/>
    <w:rsid w:val="00313799"/>
    <w:rsid w:val="00313B1B"/>
    <w:rsid w:val="00313BE7"/>
    <w:rsid w:val="00313C50"/>
    <w:rsid w:val="00313C74"/>
    <w:rsid w:val="00313D0D"/>
    <w:rsid w:val="003140A9"/>
    <w:rsid w:val="003141CB"/>
    <w:rsid w:val="003141EC"/>
    <w:rsid w:val="003142B0"/>
    <w:rsid w:val="003142F7"/>
    <w:rsid w:val="0031458B"/>
    <w:rsid w:val="0031463C"/>
    <w:rsid w:val="00314651"/>
    <w:rsid w:val="0031482A"/>
    <w:rsid w:val="00314AC0"/>
    <w:rsid w:val="00314C25"/>
    <w:rsid w:val="00314C6A"/>
    <w:rsid w:val="00314D40"/>
    <w:rsid w:val="00315021"/>
    <w:rsid w:val="00315161"/>
    <w:rsid w:val="00315288"/>
    <w:rsid w:val="003153A2"/>
    <w:rsid w:val="00315561"/>
    <w:rsid w:val="00315668"/>
    <w:rsid w:val="00315AFD"/>
    <w:rsid w:val="00315B4B"/>
    <w:rsid w:val="00315C18"/>
    <w:rsid w:val="00315D7D"/>
    <w:rsid w:val="00315EE0"/>
    <w:rsid w:val="00316173"/>
    <w:rsid w:val="00316189"/>
    <w:rsid w:val="00316322"/>
    <w:rsid w:val="00316499"/>
    <w:rsid w:val="00316511"/>
    <w:rsid w:val="0031658B"/>
    <w:rsid w:val="0031660C"/>
    <w:rsid w:val="00316721"/>
    <w:rsid w:val="00316791"/>
    <w:rsid w:val="003168A1"/>
    <w:rsid w:val="0031692B"/>
    <w:rsid w:val="00316A89"/>
    <w:rsid w:val="00316B71"/>
    <w:rsid w:val="00316D33"/>
    <w:rsid w:val="00316E55"/>
    <w:rsid w:val="00316E8C"/>
    <w:rsid w:val="00316EB5"/>
    <w:rsid w:val="00316F43"/>
    <w:rsid w:val="00316FBC"/>
    <w:rsid w:val="00316FE3"/>
    <w:rsid w:val="00317032"/>
    <w:rsid w:val="003171E8"/>
    <w:rsid w:val="003173EB"/>
    <w:rsid w:val="00317735"/>
    <w:rsid w:val="0031784B"/>
    <w:rsid w:val="00317978"/>
    <w:rsid w:val="00317B3A"/>
    <w:rsid w:val="00317B54"/>
    <w:rsid w:val="00317E95"/>
    <w:rsid w:val="00317F19"/>
    <w:rsid w:val="00320007"/>
    <w:rsid w:val="00320337"/>
    <w:rsid w:val="00320346"/>
    <w:rsid w:val="00320348"/>
    <w:rsid w:val="0032036E"/>
    <w:rsid w:val="0032053D"/>
    <w:rsid w:val="00320660"/>
    <w:rsid w:val="00320665"/>
    <w:rsid w:val="003207D7"/>
    <w:rsid w:val="00320874"/>
    <w:rsid w:val="00320BEA"/>
    <w:rsid w:val="00320C56"/>
    <w:rsid w:val="00320C7F"/>
    <w:rsid w:val="00320D2C"/>
    <w:rsid w:val="00320E13"/>
    <w:rsid w:val="00320E1C"/>
    <w:rsid w:val="0032106F"/>
    <w:rsid w:val="003210AB"/>
    <w:rsid w:val="0032118F"/>
    <w:rsid w:val="00321232"/>
    <w:rsid w:val="003214E6"/>
    <w:rsid w:val="00321618"/>
    <w:rsid w:val="003216D4"/>
    <w:rsid w:val="003216DC"/>
    <w:rsid w:val="00321828"/>
    <w:rsid w:val="003218B2"/>
    <w:rsid w:val="003218CA"/>
    <w:rsid w:val="00321A64"/>
    <w:rsid w:val="00321B47"/>
    <w:rsid w:val="00321E7B"/>
    <w:rsid w:val="0032204E"/>
    <w:rsid w:val="0032217C"/>
    <w:rsid w:val="0032218E"/>
    <w:rsid w:val="003222E9"/>
    <w:rsid w:val="003222F4"/>
    <w:rsid w:val="00322331"/>
    <w:rsid w:val="00322555"/>
    <w:rsid w:val="00322584"/>
    <w:rsid w:val="0032280C"/>
    <w:rsid w:val="00322A5C"/>
    <w:rsid w:val="00322B8B"/>
    <w:rsid w:val="00322C40"/>
    <w:rsid w:val="00322CDF"/>
    <w:rsid w:val="00322D22"/>
    <w:rsid w:val="00322F00"/>
    <w:rsid w:val="003231BB"/>
    <w:rsid w:val="00323382"/>
    <w:rsid w:val="003233B9"/>
    <w:rsid w:val="00323443"/>
    <w:rsid w:val="0032345F"/>
    <w:rsid w:val="00323659"/>
    <w:rsid w:val="00323853"/>
    <w:rsid w:val="0032391A"/>
    <w:rsid w:val="003239AC"/>
    <w:rsid w:val="00323A1C"/>
    <w:rsid w:val="00323BA9"/>
    <w:rsid w:val="00323EA2"/>
    <w:rsid w:val="00323F12"/>
    <w:rsid w:val="0032403C"/>
    <w:rsid w:val="00324125"/>
    <w:rsid w:val="0032422A"/>
    <w:rsid w:val="00324346"/>
    <w:rsid w:val="00324825"/>
    <w:rsid w:val="0032484A"/>
    <w:rsid w:val="0032485A"/>
    <w:rsid w:val="0032490E"/>
    <w:rsid w:val="0032494F"/>
    <w:rsid w:val="00324BFB"/>
    <w:rsid w:val="00324C31"/>
    <w:rsid w:val="00324CAC"/>
    <w:rsid w:val="00324D2E"/>
    <w:rsid w:val="00324D91"/>
    <w:rsid w:val="003254E0"/>
    <w:rsid w:val="003257BD"/>
    <w:rsid w:val="00325825"/>
    <w:rsid w:val="0032598C"/>
    <w:rsid w:val="003259FC"/>
    <w:rsid w:val="00325BE0"/>
    <w:rsid w:val="00325CE1"/>
    <w:rsid w:val="00325D32"/>
    <w:rsid w:val="00325D73"/>
    <w:rsid w:val="00325D7D"/>
    <w:rsid w:val="00325DED"/>
    <w:rsid w:val="00325E0F"/>
    <w:rsid w:val="00325E46"/>
    <w:rsid w:val="00325E5E"/>
    <w:rsid w:val="00325E90"/>
    <w:rsid w:val="00325F0D"/>
    <w:rsid w:val="00325F6A"/>
    <w:rsid w:val="00326098"/>
    <w:rsid w:val="0032651B"/>
    <w:rsid w:val="003265A7"/>
    <w:rsid w:val="003265BB"/>
    <w:rsid w:val="003266C4"/>
    <w:rsid w:val="00326715"/>
    <w:rsid w:val="00326780"/>
    <w:rsid w:val="003267BD"/>
    <w:rsid w:val="00326A0F"/>
    <w:rsid w:val="00326C04"/>
    <w:rsid w:val="00326C0D"/>
    <w:rsid w:val="00326DC5"/>
    <w:rsid w:val="00326E60"/>
    <w:rsid w:val="00326F03"/>
    <w:rsid w:val="00326F19"/>
    <w:rsid w:val="003270A7"/>
    <w:rsid w:val="003270B7"/>
    <w:rsid w:val="00327172"/>
    <w:rsid w:val="003271C5"/>
    <w:rsid w:val="00327260"/>
    <w:rsid w:val="003275C0"/>
    <w:rsid w:val="00327603"/>
    <w:rsid w:val="0032773B"/>
    <w:rsid w:val="003277E0"/>
    <w:rsid w:val="00327817"/>
    <w:rsid w:val="0032786C"/>
    <w:rsid w:val="00327A04"/>
    <w:rsid w:val="00327A1B"/>
    <w:rsid w:val="00327A4C"/>
    <w:rsid w:val="00327B2B"/>
    <w:rsid w:val="00327D11"/>
    <w:rsid w:val="00327D55"/>
    <w:rsid w:val="00327D59"/>
    <w:rsid w:val="00327D62"/>
    <w:rsid w:val="00327DFD"/>
    <w:rsid w:val="00327F64"/>
    <w:rsid w:val="0032FFDC"/>
    <w:rsid w:val="003300AD"/>
    <w:rsid w:val="0033015C"/>
    <w:rsid w:val="003302BB"/>
    <w:rsid w:val="003302D6"/>
    <w:rsid w:val="00330538"/>
    <w:rsid w:val="0033079D"/>
    <w:rsid w:val="00330833"/>
    <w:rsid w:val="0033084B"/>
    <w:rsid w:val="003309E1"/>
    <w:rsid w:val="00330C37"/>
    <w:rsid w:val="00330CE3"/>
    <w:rsid w:val="00330EAA"/>
    <w:rsid w:val="00330EED"/>
    <w:rsid w:val="00330F20"/>
    <w:rsid w:val="00331097"/>
    <w:rsid w:val="00331188"/>
    <w:rsid w:val="00331212"/>
    <w:rsid w:val="00331352"/>
    <w:rsid w:val="00331378"/>
    <w:rsid w:val="0033141E"/>
    <w:rsid w:val="003314E7"/>
    <w:rsid w:val="0033180A"/>
    <w:rsid w:val="00331AD6"/>
    <w:rsid w:val="00331B89"/>
    <w:rsid w:val="00331BFC"/>
    <w:rsid w:val="00331C04"/>
    <w:rsid w:val="00331C3C"/>
    <w:rsid w:val="00331D73"/>
    <w:rsid w:val="00331EE3"/>
    <w:rsid w:val="00331F55"/>
    <w:rsid w:val="003320C3"/>
    <w:rsid w:val="00332151"/>
    <w:rsid w:val="0033215E"/>
    <w:rsid w:val="003321C0"/>
    <w:rsid w:val="00332442"/>
    <w:rsid w:val="0033252E"/>
    <w:rsid w:val="003325C6"/>
    <w:rsid w:val="003326EA"/>
    <w:rsid w:val="00332772"/>
    <w:rsid w:val="00332783"/>
    <w:rsid w:val="00332811"/>
    <w:rsid w:val="00332C12"/>
    <w:rsid w:val="00332CB9"/>
    <w:rsid w:val="00332E28"/>
    <w:rsid w:val="00332F50"/>
    <w:rsid w:val="00332FE9"/>
    <w:rsid w:val="0033300D"/>
    <w:rsid w:val="00333463"/>
    <w:rsid w:val="00333465"/>
    <w:rsid w:val="00333548"/>
    <w:rsid w:val="003336E1"/>
    <w:rsid w:val="00333A25"/>
    <w:rsid w:val="00333B74"/>
    <w:rsid w:val="00333BFC"/>
    <w:rsid w:val="00333C57"/>
    <w:rsid w:val="00333DB9"/>
    <w:rsid w:val="00333F03"/>
    <w:rsid w:val="00333F65"/>
    <w:rsid w:val="00333FDF"/>
    <w:rsid w:val="00334005"/>
    <w:rsid w:val="00334078"/>
    <w:rsid w:val="003341EC"/>
    <w:rsid w:val="0033443C"/>
    <w:rsid w:val="00334530"/>
    <w:rsid w:val="00334573"/>
    <w:rsid w:val="00334658"/>
    <w:rsid w:val="0033486F"/>
    <w:rsid w:val="00334906"/>
    <w:rsid w:val="00334994"/>
    <w:rsid w:val="00334B4E"/>
    <w:rsid w:val="00334E26"/>
    <w:rsid w:val="00334F9C"/>
    <w:rsid w:val="00335189"/>
    <w:rsid w:val="00335350"/>
    <w:rsid w:val="00335357"/>
    <w:rsid w:val="00335615"/>
    <w:rsid w:val="003356B6"/>
    <w:rsid w:val="00335731"/>
    <w:rsid w:val="0033573D"/>
    <w:rsid w:val="0033588D"/>
    <w:rsid w:val="003359D8"/>
    <w:rsid w:val="00335A29"/>
    <w:rsid w:val="00335ABA"/>
    <w:rsid w:val="00335C0E"/>
    <w:rsid w:val="00335EA4"/>
    <w:rsid w:val="00336053"/>
    <w:rsid w:val="00336551"/>
    <w:rsid w:val="00336685"/>
    <w:rsid w:val="0033684C"/>
    <w:rsid w:val="00336BF6"/>
    <w:rsid w:val="00336C87"/>
    <w:rsid w:val="00336DD8"/>
    <w:rsid w:val="00336F9C"/>
    <w:rsid w:val="00336FEF"/>
    <w:rsid w:val="0033703A"/>
    <w:rsid w:val="00337130"/>
    <w:rsid w:val="0033721A"/>
    <w:rsid w:val="00337271"/>
    <w:rsid w:val="0033731B"/>
    <w:rsid w:val="00337438"/>
    <w:rsid w:val="00337894"/>
    <w:rsid w:val="00337896"/>
    <w:rsid w:val="00337AF2"/>
    <w:rsid w:val="00337B33"/>
    <w:rsid w:val="00337C84"/>
    <w:rsid w:val="00337C95"/>
    <w:rsid w:val="00337CEC"/>
    <w:rsid w:val="00337DAC"/>
    <w:rsid w:val="00337E3A"/>
    <w:rsid w:val="00337E70"/>
    <w:rsid w:val="00337EB4"/>
    <w:rsid w:val="00337F91"/>
    <w:rsid w:val="00340097"/>
    <w:rsid w:val="003400BF"/>
    <w:rsid w:val="0034015D"/>
    <w:rsid w:val="00340181"/>
    <w:rsid w:val="0034020F"/>
    <w:rsid w:val="00340381"/>
    <w:rsid w:val="003403B9"/>
    <w:rsid w:val="003405F2"/>
    <w:rsid w:val="003406ED"/>
    <w:rsid w:val="00340757"/>
    <w:rsid w:val="003407B0"/>
    <w:rsid w:val="003407B8"/>
    <w:rsid w:val="00340861"/>
    <w:rsid w:val="0034097B"/>
    <w:rsid w:val="003409C3"/>
    <w:rsid w:val="00340B0D"/>
    <w:rsid w:val="00340BDC"/>
    <w:rsid w:val="00340F3C"/>
    <w:rsid w:val="00341008"/>
    <w:rsid w:val="00341150"/>
    <w:rsid w:val="0034130B"/>
    <w:rsid w:val="003414E5"/>
    <w:rsid w:val="00341536"/>
    <w:rsid w:val="00341671"/>
    <w:rsid w:val="003417FB"/>
    <w:rsid w:val="0034184B"/>
    <w:rsid w:val="00341864"/>
    <w:rsid w:val="003419A0"/>
    <w:rsid w:val="003419E2"/>
    <w:rsid w:val="003419ED"/>
    <w:rsid w:val="00341C2B"/>
    <w:rsid w:val="00341F3B"/>
    <w:rsid w:val="003421CF"/>
    <w:rsid w:val="0034222B"/>
    <w:rsid w:val="003423FE"/>
    <w:rsid w:val="00342503"/>
    <w:rsid w:val="003425DE"/>
    <w:rsid w:val="003425EC"/>
    <w:rsid w:val="00342672"/>
    <w:rsid w:val="003427B2"/>
    <w:rsid w:val="003427D0"/>
    <w:rsid w:val="003428EC"/>
    <w:rsid w:val="00342B26"/>
    <w:rsid w:val="00342CAB"/>
    <w:rsid w:val="00342CCA"/>
    <w:rsid w:val="00342E2E"/>
    <w:rsid w:val="0034309E"/>
    <w:rsid w:val="003431AE"/>
    <w:rsid w:val="003432B0"/>
    <w:rsid w:val="003432BE"/>
    <w:rsid w:val="003433DC"/>
    <w:rsid w:val="00343514"/>
    <w:rsid w:val="00343529"/>
    <w:rsid w:val="00343533"/>
    <w:rsid w:val="00343582"/>
    <w:rsid w:val="003435B1"/>
    <w:rsid w:val="00343770"/>
    <w:rsid w:val="0034379A"/>
    <w:rsid w:val="00343849"/>
    <w:rsid w:val="00343CBC"/>
    <w:rsid w:val="00343CF7"/>
    <w:rsid w:val="00343D05"/>
    <w:rsid w:val="00343D48"/>
    <w:rsid w:val="00343FE3"/>
    <w:rsid w:val="0034409A"/>
    <w:rsid w:val="00344200"/>
    <w:rsid w:val="003442E7"/>
    <w:rsid w:val="00344616"/>
    <w:rsid w:val="00344715"/>
    <w:rsid w:val="0034477D"/>
    <w:rsid w:val="003447A8"/>
    <w:rsid w:val="003448ED"/>
    <w:rsid w:val="00344998"/>
    <w:rsid w:val="00344A21"/>
    <w:rsid w:val="00344A4B"/>
    <w:rsid w:val="00344B12"/>
    <w:rsid w:val="00344B38"/>
    <w:rsid w:val="00344D37"/>
    <w:rsid w:val="00344F91"/>
    <w:rsid w:val="00344FF4"/>
    <w:rsid w:val="00345289"/>
    <w:rsid w:val="00345320"/>
    <w:rsid w:val="003453EF"/>
    <w:rsid w:val="00345430"/>
    <w:rsid w:val="003455D2"/>
    <w:rsid w:val="003455F5"/>
    <w:rsid w:val="00345742"/>
    <w:rsid w:val="003459BC"/>
    <w:rsid w:val="00345AA1"/>
    <w:rsid w:val="00345C3B"/>
    <w:rsid w:val="00345C7F"/>
    <w:rsid w:val="00345DF0"/>
    <w:rsid w:val="00345EB5"/>
    <w:rsid w:val="00345F33"/>
    <w:rsid w:val="00345F53"/>
    <w:rsid w:val="0034633A"/>
    <w:rsid w:val="003463DA"/>
    <w:rsid w:val="0034657D"/>
    <w:rsid w:val="00346696"/>
    <w:rsid w:val="0034688E"/>
    <w:rsid w:val="00346910"/>
    <w:rsid w:val="0034699A"/>
    <w:rsid w:val="00346A69"/>
    <w:rsid w:val="00346AE5"/>
    <w:rsid w:val="00346D37"/>
    <w:rsid w:val="00346D51"/>
    <w:rsid w:val="00346DE9"/>
    <w:rsid w:val="00346F27"/>
    <w:rsid w:val="00346F51"/>
    <w:rsid w:val="0034703E"/>
    <w:rsid w:val="0034707D"/>
    <w:rsid w:val="0034722A"/>
    <w:rsid w:val="0034761E"/>
    <w:rsid w:val="0034785D"/>
    <w:rsid w:val="00347879"/>
    <w:rsid w:val="00347A16"/>
    <w:rsid w:val="00347A82"/>
    <w:rsid w:val="00347D27"/>
    <w:rsid w:val="00347EA3"/>
    <w:rsid w:val="003502EF"/>
    <w:rsid w:val="0035062A"/>
    <w:rsid w:val="00350644"/>
    <w:rsid w:val="00350673"/>
    <w:rsid w:val="003506C6"/>
    <w:rsid w:val="00350828"/>
    <w:rsid w:val="003508F8"/>
    <w:rsid w:val="00350A94"/>
    <w:rsid w:val="00350C50"/>
    <w:rsid w:val="00350DF5"/>
    <w:rsid w:val="00350E32"/>
    <w:rsid w:val="00350E99"/>
    <w:rsid w:val="00350EA2"/>
    <w:rsid w:val="00350F3F"/>
    <w:rsid w:val="00350F8D"/>
    <w:rsid w:val="00351128"/>
    <w:rsid w:val="003512B2"/>
    <w:rsid w:val="00351312"/>
    <w:rsid w:val="0035138A"/>
    <w:rsid w:val="0035147D"/>
    <w:rsid w:val="0035148C"/>
    <w:rsid w:val="00351576"/>
    <w:rsid w:val="00351594"/>
    <w:rsid w:val="0035170D"/>
    <w:rsid w:val="0035195D"/>
    <w:rsid w:val="003519ED"/>
    <w:rsid w:val="00351A94"/>
    <w:rsid w:val="00351AB9"/>
    <w:rsid w:val="00351B3A"/>
    <w:rsid w:val="00351B5B"/>
    <w:rsid w:val="00351D17"/>
    <w:rsid w:val="00351E09"/>
    <w:rsid w:val="00351E96"/>
    <w:rsid w:val="0035202C"/>
    <w:rsid w:val="0035215B"/>
    <w:rsid w:val="003521D2"/>
    <w:rsid w:val="003522F8"/>
    <w:rsid w:val="0035238E"/>
    <w:rsid w:val="0035239F"/>
    <w:rsid w:val="003523B6"/>
    <w:rsid w:val="003524BE"/>
    <w:rsid w:val="00352501"/>
    <w:rsid w:val="003525E7"/>
    <w:rsid w:val="0035268B"/>
    <w:rsid w:val="003526FC"/>
    <w:rsid w:val="00352755"/>
    <w:rsid w:val="0035278D"/>
    <w:rsid w:val="003527E2"/>
    <w:rsid w:val="00352962"/>
    <w:rsid w:val="0035299F"/>
    <w:rsid w:val="003529D2"/>
    <w:rsid w:val="00352AE5"/>
    <w:rsid w:val="00352B1F"/>
    <w:rsid w:val="00352B77"/>
    <w:rsid w:val="00352C4C"/>
    <w:rsid w:val="00352DC6"/>
    <w:rsid w:val="00352EBA"/>
    <w:rsid w:val="00352F98"/>
    <w:rsid w:val="003530DD"/>
    <w:rsid w:val="0035319D"/>
    <w:rsid w:val="003532B7"/>
    <w:rsid w:val="00353352"/>
    <w:rsid w:val="003534AA"/>
    <w:rsid w:val="0035357A"/>
    <w:rsid w:val="00353634"/>
    <w:rsid w:val="003539DD"/>
    <w:rsid w:val="00353D01"/>
    <w:rsid w:val="00353D67"/>
    <w:rsid w:val="00353DDD"/>
    <w:rsid w:val="00353E17"/>
    <w:rsid w:val="00353EBE"/>
    <w:rsid w:val="00353FB6"/>
    <w:rsid w:val="0035401D"/>
    <w:rsid w:val="003540D0"/>
    <w:rsid w:val="00354154"/>
    <w:rsid w:val="003541D0"/>
    <w:rsid w:val="003541F1"/>
    <w:rsid w:val="0035428A"/>
    <w:rsid w:val="003542BC"/>
    <w:rsid w:val="003542C4"/>
    <w:rsid w:val="0035443A"/>
    <w:rsid w:val="003544EA"/>
    <w:rsid w:val="0035479F"/>
    <w:rsid w:val="003547AD"/>
    <w:rsid w:val="00354871"/>
    <w:rsid w:val="00354A05"/>
    <w:rsid w:val="00354A8B"/>
    <w:rsid w:val="00354EB2"/>
    <w:rsid w:val="0035500D"/>
    <w:rsid w:val="0035507A"/>
    <w:rsid w:val="00355191"/>
    <w:rsid w:val="003551D4"/>
    <w:rsid w:val="0035524D"/>
    <w:rsid w:val="0035561A"/>
    <w:rsid w:val="00355628"/>
    <w:rsid w:val="003556EE"/>
    <w:rsid w:val="003557E5"/>
    <w:rsid w:val="00355864"/>
    <w:rsid w:val="003559AD"/>
    <w:rsid w:val="00355B93"/>
    <w:rsid w:val="00355D14"/>
    <w:rsid w:val="00355D47"/>
    <w:rsid w:val="00356016"/>
    <w:rsid w:val="00356018"/>
    <w:rsid w:val="003561DA"/>
    <w:rsid w:val="00356220"/>
    <w:rsid w:val="003562F9"/>
    <w:rsid w:val="0035669B"/>
    <w:rsid w:val="00356C43"/>
    <w:rsid w:val="00356DC8"/>
    <w:rsid w:val="00356DDF"/>
    <w:rsid w:val="00356E50"/>
    <w:rsid w:val="00356F7C"/>
    <w:rsid w:val="00356FA2"/>
    <w:rsid w:val="00357054"/>
    <w:rsid w:val="003570A3"/>
    <w:rsid w:val="00357195"/>
    <w:rsid w:val="003571A7"/>
    <w:rsid w:val="00357257"/>
    <w:rsid w:val="0035730E"/>
    <w:rsid w:val="00357417"/>
    <w:rsid w:val="00357529"/>
    <w:rsid w:val="00357565"/>
    <w:rsid w:val="003576F7"/>
    <w:rsid w:val="00357721"/>
    <w:rsid w:val="003579C8"/>
    <w:rsid w:val="00357BD3"/>
    <w:rsid w:val="00357BD8"/>
    <w:rsid w:val="00357C0D"/>
    <w:rsid w:val="00357C64"/>
    <w:rsid w:val="00357D31"/>
    <w:rsid w:val="00357E25"/>
    <w:rsid w:val="0035F43B"/>
    <w:rsid w:val="00360043"/>
    <w:rsid w:val="0036004C"/>
    <w:rsid w:val="00360074"/>
    <w:rsid w:val="0036042D"/>
    <w:rsid w:val="00360516"/>
    <w:rsid w:val="00360555"/>
    <w:rsid w:val="0036055C"/>
    <w:rsid w:val="003607A6"/>
    <w:rsid w:val="00360999"/>
    <w:rsid w:val="003609B5"/>
    <w:rsid w:val="00360B50"/>
    <w:rsid w:val="00360C82"/>
    <w:rsid w:val="00360C90"/>
    <w:rsid w:val="00360C9B"/>
    <w:rsid w:val="00361163"/>
    <w:rsid w:val="00361232"/>
    <w:rsid w:val="0036135F"/>
    <w:rsid w:val="003613EC"/>
    <w:rsid w:val="00361434"/>
    <w:rsid w:val="0036144B"/>
    <w:rsid w:val="0036150E"/>
    <w:rsid w:val="003615F0"/>
    <w:rsid w:val="0036170B"/>
    <w:rsid w:val="00361745"/>
    <w:rsid w:val="003617EA"/>
    <w:rsid w:val="00361893"/>
    <w:rsid w:val="003619F4"/>
    <w:rsid w:val="00361A06"/>
    <w:rsid w:val="00361A6F"/>
    <w:rsid w:val="00361A71"/>
    <w:rsid w:val="00361B02"/>
    <w:rsid w:val="00361B3D"/>
    <w:rsid w:val="00361E1D"/>
    <w:rsid w:val="00361F3B"/>
    <w:rsid w:val="00362133"/>
    <w:rsid w:val="00362159"/>
    <w:rsid w:val="0036218E"/>
    <w:rsid w:val="003621C4"/>
    <w:rsid w:val="003621D8"/>
    <w:rsid w:val="00362215"/>
    <w:rsid w:val="003622E6"/>
    <w:rsid w:val="003624A6"/>
    <w:rsid w:val="003625D0"/>
    <w:rsid w:val="003625DA"/>
    <w:rsid w:val="003625F2"/>
    <w:rsid w:val="00362685"/>
    <w:rsid w:val="0036271D"/>
    <w:rsid w:val="0036274E"/>
    <w:rsid w:val="003628D1"/>
    <w:rsid w:val="00362A32"/>
    <w:rsid w:val="00362B55"/>
    <w:rsid w:val="00362D04"/>
    <w:rsid w:val="00363060"/>
    <w:rsid w:val="003631A6"/>
    <w:rsid w:val="003631E1"/>
    <w:rsid w:val="003631FA"/>
    <w:rsid w:val="00363216"/>
    <w:rsid w:val="00363285"/>
    <w:rsid w:val="003632B6"/>
    <w:rsid w:val="00363439"/>
    <w:rsid w:val="00363486"/>
    <w:rsid w:val="003636AA"/>
    <w:rsid w:val="003636AF"/>
    <w:rsid w:val="00363754"/>
    <w:rsid w:val="0036378A"/>
    <w:rsid w:val="003637F3"/>
    <w:rsid w:val="0036388F"/>
    <w:rsid w:val="00363B02"/>
    <w:rsid w:val="00363B1D"/>
    <w:rsid w:val="00363E7F"/>
    <w:rsid w:val="00363F4C"/>
    <w:rsid w:val="00363FCF"/>
    <w:rsid w:val="0036408C"/>
    <w:rsid w:val="00364221"/>
    <w:rsid w:val="0036424C"/>
    <w:rsid w:val="003643AE"/>
    <w:rsid w:val="003643BF"/>
    <w:rsid w:val="003644D0"/>
    <w:rsid w:val="003645AB"/>
    <w:rsid w:val="003646EA"/>
    <w:rsid w:val="0036476A"/>
    <w:rsid w:val="003647AB"/>
    <w:rsid w:val="0036485A"/>
    <w:rsid w:val="003648E6"/>
    <w:rsid w:val="00364A89"/>
    <w:rsid w:val="00364A8D"/>
    <w:rsid w:val="00364AE7"/>
    <w:rsid w:val="00364B48"/>
    <w:rsid w:val="00364B54"/>
    <w:rsid w:val="00364C83"/>
    <w:rsid w:val="00364CC1"/>
    <w:rsid w:val="00364D43"/>
    <w:rsid w:val="00364E71"/>
    <w:rsid w:val="00364EB5"/>
    <w:rsid w:val="00365279"/>
    <w:rsid w:val="003653CC"/>
    <w:rsid w:val="00365439"/>
    <w:rsid w:val="00365495"/>
    <w:rsid w:val="00365552"/>
    <w:rsid w:val="003655A7"/>
    <w:rsid w:val="00365901"/>
    <w:rsid w:val="0036590D"/>
    <w:rsid w:val="00365BF5"/>
    <w:rsid w:val="00365CFB"/>
    <w:rsid w:val="00365DDC"/>
    <w:rsid w:val="00365DEA"/>
    <w:rsid w:val="00365EA8"/>
    <w:rsid w:val="00365F09"/>
    <w:rsid w:val="00365F31"/>
    <w:rsid w:val="00365F41"/>
    <w:rsid w:val="003660F6"/>
    <w:rsid w:val="003661ED"/>
    <w:rsid w:val="003661F9"/>
    <w:rsid w:val="00366300"/>
    <w:rsid w:val="0036656E"/>
    <w:rsid w:val="003665E5"/>
    <w:rsid w:val="00366611"/>
    <w:rsid w:val="00366634"/>
    <w:rsid w:val="00366767"/>
    <w:rsid w:val="003667AB"/>
    <w:rsid w:val="003667DB"/>
    <w:rsid w:val="003667FE"/>
    <w:rsid w:val="0036696A"/>
    <w:rsid w:val="00366985"/>
    <w:rsid w:val="00366AE4"/>
    <w:rsid w:val="00366BBA"/>
    <w:rsid w:val="00366BEB"/>
    <w:rsid w:val="00366C5D"/>
    <w:rsid w:val="00366D53"/>
    <w:rsid w:val="00366D6C"/>
    <w:rsid w:val="00366FF9"/>
    <w:rsid w:val="00367352"/>
    <w:rsid w:val="003673A5"/>
    <w:rsid w:val="00367531"/>
    <w:rsid w:val="00367562"/>
    <w:rsid w:val="00367A3C"/>
    <w:rsid w:val="00367F4F"/>
    <w:rsid w:val="00367FF1"/>
    <w:rsid w:val="00370055"/>
    <w:rsid w:val="003700C6"/>
    <w:rsid w:val="003701A6"/>
    <w:rsid w:val="003701F8"/>
    <w:rsid w:val="003704FE"/>
    <w:rsid w:val="003705A2"/>
    <w:rsid w:val="0037092E"/>
    <w:rsid w:val="0037097D"/>
    <w:rsid w:val="00370AAF"/>
    <w:rsid w:val="00370C80"/>
    <w:rsid w:val="00370CC9"/>
    <w:rsid w:val="00370DAD"/>
    <w:rsid w:val="00371138"/>
    <w:rsid w:val="003711DB"/>
    <w:rsid w:val="00371265"/>
    <w:rsid w:val="003713B5"/>
    <w:rsid w:val="00371471"/>
    <w:rsid w:val="003716C8"/>
    <w:rsid w:val="003718F8"/>
    <w:rsid w:val="00371B1E"/>
    <w:rsid w:val="00371CBF"/>
    <w:rsid w:val="00371CE1"/>
    <w:rsid w:val="00371DC7"/>
    <w:rsid w:val="00371E59"/>
    <w:rsid w:val="00371EDB"/>
    <w:rsid w:val="00371FAD"/>
    <w:rsid w:val="0037209B"/>
    <w:rsid w:val="003721D5"/>
    <w:rsid w:val="00372234"/>
    <w:rsid w:val="0037229F"/>
    <w:rsid w:val="0037248C"/>
    <w:rsid w:val="003724BB"/>
    <w:rsid w:val="003724EC"/>
    <w:rsid w:val="00372567"/>
    <w:rsid w:val="00372573"/>
    <w:rsid w:val="003727B7"/>
    <w:rsid w:val="00372881"/>
    <w:rsid w:val="003728D6"/>
    <w:rsid w:val="003728E9"/>
    <w:rsid w:val="00372981"/>
    <w:rsid w:val="00372B1B"/>
    <w:rsid w:val="00372D2D"/>
    <w:rsid w:val="00372E80"/>
    <w:rsid w:val="00372F07"/>
    <w:rsid w:val="00372FDC"/>
    <w:rsid w:val="00373010"/>
    <w:rsid w:val="0037304E"/>
    <w:rsid w:val="00373073"/>
    <w:rsid w:val="003730F7"/>
    <w:rsid w:val="00373157"/>
    <w:rsid w:val="00373255"/>
    <w:rsid w:val="0037332E"/>
    <w:rsid w:val="00373388"/>
    <w:rsid w:val="00373412"/>
    <w:rsid w:val="0037349F"/>
    <w:rsid w:val="003735FC"/>
    <w:rsid w:val="00373616"/>
    <w:rsid w:val="00373635"/>
    <w:rsid w:val="00373745"/>
    <w:rsid w:val="0037380B"/>
    <w:rsid w:val="003738E4"/>
    <w:rsid w:val="003738EB"/>
    <w:rsid w:val="003739F6"/>
    <w:rsid w:val="00373A9E"/>
    <w:rsid w:val="00373B1E"/>
    <w:rsid w:val="00373B3A"/>
    <w:rsid w:val="00373C6B"/>
    <w:rsid w:val="00373E27"/>
    <w:rsid w:val="00373F09"/>
    <w:rsid w:val="00374138"/>
    <w:rsid w:val="0037414B"/>
    <w:rsid w:val="003741A3"/>
    <w:rsid w:val="003741B2"/>
    <w:rsid w:val="003742AB"/>
    <w:rsid w:val="003742B7"/>
    <w:rsid w:val="0037442F"/>
    <w:rsid w:val="00374729"/>
    <w:rsid w:val="003747C8"/>
    <w:rsid w:val="003748DE"/>
    <w:rsid w:val="00374A3A"/>
    <w:rsid w:val="00374AFF"/>
    <w:rsid w:val="00374B8D"/>
    <w:rsid w:val="00374F1A"/>
    <w:rsid w:val="00374FDD"/>
    <w:rsid w:val="00374FF9"/>
    <w:rsid w:val="0037504F"/>
    <w:rsid w:val="003750E2"/>
    <w:rsid w:val="003751BE"/>
    <w:rsid w:val="0037549C"/>
    <w:rsid w:val="0037551E"/>
    <w:rsid w:val="00375584"/>
    <w:rsid w:val="00375782"/>
    <w:rsid w:val="00375889"/>
    <w:rsid w:val="00375A19"/>
    <w:rsid w:val="00375BEE"/>
    <w:rsid w:val="00375C60"/>
    <w:rsid w:val="00375CDC"/>
    <w:rsid w:val="00375D44"/>
    <w:rsid w:val="00375FAC"/>
    <w:rsid w:val="0037604D"/>
    <w:rsid w:val="003760BE"/>
    <w:rsid w:val="00376167"/>
    <w:rsid w:val="00376194"/>
    <w:rsid w:val="003762C9"/>
    <w:rsid w:val="003762FC"/>
    <w:rsid w:val="00376314"/>
    <w:rsid w:val="003763F7"/>
    <w:rsid w:val="003765FE"/>
    <w:rsid w:val="00376694"/>
    <w:rsid w:val="00376700"/>
    <w:rsid w:val="00376873"/>
    <w:rsid w:val="003768F7"/>
    <w:rsid w:val="00376972"/>
    <w:rsid w:val="003769A1"/>
    <w:rsid w:val="003769D5"/>
    <w:rsid w:val="00376B49"/>
    <w:rsid w:val="00376B4A"/>
    <w:rsid w:val="00376B98"/>
    <w:rsid w:val="00376DF7"/>
    <w:rsid w:val="00376EB4"/>
    <w:rsid w:val="00376FD7"/>
    <w:rsid w:val="003770F5"/>
    <w:rsid w:val="00377154"/>
    <w:rsid w:val="00377180"/>
    <w:rsid w:val="00377732"/>
    <w:rsid w:val="003777FF"/>
    <w:rsid w:val="00377851"/>
    <w:rsid w:val="00377919"/>
    <w:rsid w:val="00377A54"/>
    <w:rsid w:val="00377A5E"/>
    <w:rsid w:val="00377BDF"/>
    <w:rsid w:val="00377C01"/>
    <w:rsid w:val="00377C79"/>
    <w:rsid w:val="00377D5E"/>
    <w:rsid w:val="00377FC8"/>
    <w:rsid w:val="0037961F"/>
    <w:rsid w:val="0037A02E"/>
    <w:rsid w:val="00380240"/>
    <w:rsid w:val="003802DA"/>
    <w:rsid w:val="0038038A"/>
    <w:rsid w:val="003805C5"/>
    <w:rsid w:val="003805E9"/>
    <w:rsid w:val="0038096B"/>
    <w:rsid w:val="003809A4"/>
    <w:rsid w:val="00380A1B"/>
    <w:rsid w:val="00380C7D"/>
    <w:rsid w:val="00380ECA"/>
    <w:rsid w:val="0038102E"/>
    <w:rsid w:val="00381233"/>
    <w:rsid w:val="00381248"/>
    <w:rsid w:val="00381285"/>
    <w:rsid w:val="003813E1"/>
    <w:rsid w:val="00381445"/>
    <w:rsid w:val="003815FC"/>
    <w:rsid w:val="00381631"/>
    <w:rsid w:val="00381720"/>
    <w:rsid w:val="0038182D"/>
    <w:rsid w:val="0038187C"/>
    <w:rsid w:val="00381989"/>
    <w:rsid w:val="00381A46"/>
    <w:rsid w:val="00381DB4"/>
    <w:rsid w:val="00381E55"/>
    <w:rsid w:val="00381ECF"/>
    <w:rsid w:val="00381F00"/>
    <w:rsid w:val="00381F30"/>
    <w:rsid w:val="00382021"/>
    <w:rsid w:val="003820F8"/>
    <w:rsid w:val="003823E8"/>
    <w:rsid w:val="003824BF"/>
    <w:rsid w:val="00382650"/>
    <w:rsid w:val="003826E8"/>
    <w:rsid w:val="003829FF"/>
    <w:rsid w:val="00382B87"/>
    <w:rsid w:val="00382D01"/>
    <w:rsid w:val="00382EAF"/>
    <w:rsid w:val="00382F36"/>
    <w:rsid w:val="00383188"/>
    <w:rsid w:val="00383212"/>
    <w:rsid w:val="0038322F"/>
    <w:rsid w:val="00383504"/>
    <w:rsid w:val="0038382A"/>
    <w:rsid w:val="003838E9"/>
    <w:rsid w:val="00383933"/>
    <w:rsid w:val="00383964"/>
    <w:rsid w:val="00383970"/>
    <w:rsid w:val="00383A67"/>
    <w:rsid w:val="00383BDC"/>
    <w:rsid w:val="00383C1F"/>
    <w:rsid w:val="00383C7C"/>
    <w:rsid w:val="00383E39"/>
    <w:rsid w:val="00383EE6"/>
    <w:rsid w:val="00383FFE"/>
    <w:rsid w:val="00384020"/>
    <w:rsid w:val="0038402D"/>
    <w:rsid w:val="00384140"/>
    <w:rsid w:val="00384450"/>
    <w:rsid w:val="003844B0"/>
    <w:rsid w:val="003844D6"/>
    <w:rsid w:val="0038453D"/>
    <w:rsid w:val="00384569"/>
    <w:rsid w:val="003846C0"/>
    <w:rsid w:val="003848E3"/>
    <w:rsid w:val="00384998"/>
    <w:rsid w:val="00384B8C"/>
    <w:rsid w:val="00384BDA"/>
    <w:rsid w:val="00384D97"/>
    <w:rsid w:val="00384E80"/>
    <w:rsid w:val="00384E90"/>
    <w:rsid w:val="00384EC6"/>
    <w:rsid w:val="00384F22"/>
    <w:rsid w:val="00384F38"/>
    <w:rsid w:val="00384FCB"/>
    <w:rsid w:val="00385029"/>
    <w:rsid w:val="0038509D"/>
    <w:rsid w:val="003852E6"/>
    <w:rsid w:val="003853B3"/>
    <w:rsid w:val="00385422"/>
    <w:rsid w:val="00385590"/>
    <w:rsid w:val="003857AF"/>
    <w:rsid w:val="00385845"/>
    <w:rsid w:val="0038584D"/>
    <w:rsid w:val="003858B4"/>
    <w:rsid w:val="00385B58"/>
    <w:rsid w:val="00385C36"/>
    <w:rsid w:val="00385CEC"/>
    <w:rsid w:val="00385DB5"/>
    <w:rsid w:val="00386017"/>
    <w:rsid w:val="0038610C"/>
    <w:rsid w:val="0038612F"/>
    <w:rsid w:val="003861AF"/>
    <w:rsid w:val="003862C4"/>
    <w:rsid w:val="00386371"/>
    <w:rsid w:val="003863B0"/>
    <w:rsid w:val="003863FD"/>
    <w:rsid w:val="0038660B"/>
    <w:rsid w:val="00386648"/>
    <w:rsid w:val="00386691"/>
    <w:rsid w:val="003867F2"/>
    <w:rsid w:val="00386903"/>
    <w:rsid w:val="00386935"/>
    <w:rsid w:val="00386947"/>
    <w:rsid w:val="00386A56"/>
    <w:rsid w:val="00386B86"/>
    <w:rsid w:val="00386C5E"/>
    <w:rsid w:val="00386CCC"/>
    <w:rsid w:val="00386DC4"/>
    <w:rsid w:val="00386FD2"/>
    <w:rsid w:val="0038705B"/>
    <w:rsid w:val="003871D4"/>
    <w:rsid w:val="003872BD"/>
    <w:rsid w:val="0038751F"/>
    <w:rsid w:val="0038759F"/>
    <w:rsid w:val="003875C1"/>
    <w:rsid w:val="003875C5"/>
    <w:rsid w:val="003875D9"/>
    <w:rsid w:val="00387613"/>
    <w:rsid w:val="0038763A"/>
    <w:rsid w:val="00387671"/>
    <w:rsid w:val="00387797"/>
    <w:rsid w:val="003877B4"/>
    <w:rsid w:val="0038786A"/>
    <w:rsid w:val="003879D3"/>
    <w:rsid w:val="00387A20"/>
    <w:rsid w:val="00387A23"/>
    <w:rsid w:val="00387AC0"/>
    <w:rsid w:val="00387B18"/>
    <w:rsid w:val="00387B24"/>
    <w:rsid w:val="00387C00"/>
    <w:rsid w:val="00387DBE"/>
    <w:rsid w:val="00387F2B"/>
    <w:rsid w:val="00387F88"/>
    <w:rsid w:val="0039005A"/>
    <w:rsid w:val="003900E0"/>
    <w:rsid w:val="0039018B"/>
    <w:rsid w:val="003901D4"/>
    <w:rsid w:val="003902D4"/>
    <w:rsid w:val="003905EC"/>
    <w:rsid w:val="0039069C"/>
    <w:rsid w:val="00390908"/>
    <w:rsid w:val="0039090D"/>
    <w:rsid w:val="00390B97"/>
    <w:rsid w:val="00390BF8"/>
    <w:rsid w:val="00390C24"/>
    <w:rsid w:val="00390C86"/>
    <w:rsid w:val="00390E7F"/>
    <w:rsid w:val="00391021"/>
    <w:rsid w:val="003913D1"/>
    <w:rsid w:val="00391435"/>
    <w:rsid w:val="0039143B"/>
    <w:rsid w:val="0039152B"/>
    <w:rsid w:val="00391607"/>
    <w:rsid w:val="00391711"/>
    <w:rsid w:val="003917C5"/>
    <w:rsid w:val="00391857"/>
    <w:rsid w:val="00391A81"/>
    <w:rsid w:val="00391AC6"/>
    <w:rsid w:val="00391BFA"/>
    <w:rsid w:val="00391F1D"/>
    <w:rsid w:val="00391FA9"/>
    <w:rsid w:val="0039205F"/>
    <w:rsid w:val="00392187"/>
    <w:rsid w:val="00392263"/>
    <w:rsid w:val="003922EF"/>
    <w:rsid w:val="003923E9"/>
    <w:rsid w:val="00392443"/>
    <w:rsid w:val="003924BD"/>
    <w:rsid w:val="00392950"/>
    <w:rsid w:val="00392981"/>
    <w:rsid w:val="00392A91"/>
    <w:rsid w:val="00392ADC"/>
    <w:rsid w:val="00392B3C"/>
    <w:rsid w:val="00392C3F"/>
    <w:rsid w:val="00392CD9"/>
    <w:rsid w:val="00392CF2"/>
    <w:rsid w:val="00392F4E"/>
    <w:rsid w:val="0039305A"/>
    <w:rsid w:val="0039330C"/>
    <w:rsid w:val="00393348"/>
    <w:rsid w:val="0039347E"/>
    <w:rsid w:val="00393512"/>
    <w:rsid w:val="00393536"/>
    <w:rsid w:val="00393555"/>
    <w:rsid w:val="00393557"/>
    <w:rsid w:val="003935B6"/>
    <w:rsid w:val="00393620"/>
    <w:rsid w:val="003936CA"/>
    <w:rsid w:val="0039391C"/>
    <w:rsid w:val="00393977"/>
    <w:rsid w:val="00393A1A"/>
    <w:rsid w:val="00393A30"/>
    <w:rsid w:val="00393A36"/>
    <w:rsid w:val="00393A5D"/>
    <w:rsid w:val="00393AD3"/>
    <w:rsid w:val="00393DBA"/>
    <w:rsid w:val="00393DF1"/>
    <w:rsid w:val="00393E8A"/>
    <w:rsid w:val="003940A8"/>
    <w:rsid w:val="003940D9"/>
    <w:rsid w:val="003940DA"/>
    <w:rsid w:val="003940E9"/>
    <w:rsid w:val="00394221"/>
    <w:rsid w:val="00394285"/>
    <w:rsid w:val="003942AC"/>
    <w:rsid w:val="003942BE"/>
    <w:rsid w:val="0039445A"/>
    <w:rsid w:val="0039482E"/>
    <w:rsid w:val="0039483B"/>
    <w:rsid w:val="00394861"/>
    <w:rsid w:val="00394937"/>
    <w:rsid w:val="00394A8C"/>
    <w:rsid w:val="00394AB4"/>
    <w:rsid w:val="00394C99"/>
    <w:rsid w:val="00395047"/>
    <w:rsid w:val="003951B7"/>
    <w:rsid w:val="00395202"/>
    <w:rsid w:val="0039536C"/>
    <w:rsid w:val="0039539C"/>
    <w:rsid w:val="0039548F"/>
    <w:rsid w:val="00395557"/>
    <w:rsid w:val="003955F2"/>
    <w:rsid w:val="00395629"/>
    <w:rsid w:val="003958A3"/>
    <w:rsid w:val="00395A44"/>
    <w:rsid w:val="00395A7C"/>
    <w:rsid w:val="00395B9E"/>
    <w:rsid w:val="00395F00"/>
    <w:rsid w:val="00395F1A"/>
    <w:rsid w:val="00395F20"/>
    <w:rsid w:val="00396023"/>
    <w:rsid w:val="00396096"/>
    <w:rsid w:val="00396420"/>
    <w:rsid w:val="003964A9"/>
    <w:rsid w:val="003964D9"/>
    <w:rsid w:val="003965B0"/>
    <w:rsid w:val="0039660F"/>
    <w:rsid w:val="0039674B"/>
    <w:rsid w:val="00396768"/>
    <w:rsid w:val="00396D79"/>
    <w:rsid w:val="00396F14"/>
    <w:rsid w:val="00397070"/>
    <w:rsid w:val="003970E8"/>
    <w:rsid w:val="00397348"/>
    <w:rsid w:val="0039738C"/>
    <w:rsid w:val="003974DF"/>
    <w:rsid w:val="00397570"/>
    <w:rsid w:val="00397604"/>
    <w:rsid w:val="00397620"/>
    <w:rsid w:val="0039766B"/>
    <w:rsid w:val="00397690"/>
    <w:rsid w:val="0039778A"/>
    <w:rsid w:val="003977E5"/>
    <w:rsid w:val="00397C6F"/>
    <w:rsid w:val="00397CAC"/>
    <w:rsid w:val="00397E9F"/>
    <w:rsid w:val="00397F96"/>
    <w:rsid w:val="003A016C"/>
    <w:rsid w:val="003A01E3"/>
    <w:rsid w:val="003A022F"/>
    <w:rsid w:val="003A03C8"/>
    <w:rsid w:val="003A04D0"/>
    <w:rsid w:val="003A08A3"/>
    <w:rsid w:val="003A08E3"/>
    <w:rsid w:val="003A09E9"/>
    <w:rsid w:val="003A09EE"/>
    <w:rsid w:val="003A0C3B"/>
    <w:rsid w:val="003A0D19"/>
    <w:rsid w:val="003A0DFB"/>
    <w:rsid w:val="003A0E12"/>
    <w:rsid w:val="003A0E1E"/>
    <w:rsid w:val="003A0F48"/>
    <w:rsid w:val="003A1093"/>
    <w:rsid w:val="003A10F7"/>
    <w:rsid w:val="003A11F2"/>
    <w:rsid w:val="003A11F6"/>
    <w:rsid w:val="003A1299"/>
    <w:rsid w:val="003A14F2"/>
    <w:rsid w:val="003A153E"/>
    <w:rsid w:val="003A161A"/>
    <w:rsid w:val="003A1709"/>
    <w:rsid w:val="003A176F"/>
    <w:rsid w:val="003A19DF"/>
    <w:rsid w:val="003A1B0E"/>
    <w:rsid w:val="003A1C5C"/>
    <w:rsid w:val="003A1CFB"/>
    <w:rsid w:val="003A1D1A"/>
    <w:rsid w:val="003A1D77"/>
    <w:rsid w:val="003A1D90"/>
    <w:rsid w:val="003A1E39"/>
    <w:rsid w:val="003A1E75"/>
    <w:rsid w:val="003A1FCB"/>
    <w:rsid w:val="003A20CD"/>
    <w:rsid w:val="003A2187"/>
    <w:rsid w:val="003A2240"/>
    <w:rsid w:val="003A2250"/>
    <w:rsid w:val="003A2388"/>
    <w:rsid w:val="003A238E"/>
    <w:rsid w:val="003A2404"/>
    <w:rsid w:val="003A243C"/>
    <w:rsid w:val="003A2514"/>
    <w:rsid w:val="003A26B2"/>
    <w:rsid w:val="003A26CF"/>
    <w:rsid w:val="003A26E8"/>
    <w:rsid w:val="003A2757"/>
    <w:rsid w:val="003A28F0"/>
    <w:rsid w:val="003A2A3F"/>
    <w:rsid w:val="003A2AB6"/>
    <w:rsid w:val="003A2C32"/>
    <w:rsid w:val="003A2C49"/>
    <w:rsid w:val="003A2CDB"/>
    <w:rsid w:val="003A2D2F"/>
    <w:rsid w:val="003A2E5E"/>
    <w:rsid w:val="003A2F25"/>
    <w:rsid w:val="003A3101"/>
    <w:rsid w:val="003A3113"/>
    <w:rsid w:val="003A3122"/>
    <w:rsid w:val="003A3269"/>
    <w:rsid w:val="003A3288"/>
    <w:rsid w:val="003A332E"/>
    <w:rsid w:val="003A33CC"/>
    <w:rsid w:val="003A3510"/>
    <w:rsid w:val="003A3747"/>
    <w:rsid w:val="003A382A"/>
    <w:rsid w:val="003A3878"/>
    <w:rsid w:val="003A3A56"/>
    <w:rsid w:val="003A3AD4"/>
    <w:rsid w:val="003A3BFA"/>
    <w:rsid w:val="003A3D29"/>
    <w:rsid w:val="003A3E08"/>
    <w:rsid w:val="003A3E99"/>
    <w:rsid w:val="003A3F8D"/>
    <w:rsid w:val="003A3F9E"/>
    <w:rsid w:val="003A3FB4"/>
    <w:rsid w:val="003A4013"/>
    <w:rsid w:val="003A40A0"/>
    <w:rsid w:val="003A4113"/>
    <w:rsid w:val="003A412B"/>
    <w:rsid w:val="003A4409"/>
    <w:rsid w:val="003A478B"/>
    <w:rsid w:val="003A49AC"/>
    <w:rsid w:val="003A4A3E"/>
    <w:rsid w:val="003A4B29"/>
    <w:rsid w:val="003A4B40"/>
    <w:rsid w:val="003A4EE8"/>
    <w:rsid w:val="003A4F0E"/>
    <w:rsid w:val="003A502A"/>
    <w:rsid w:val="003A5140"/>
    <w:rsid w:val="003A544D"/>
    <w:rsid w:val="003A548E"/>
    <w:rsid w:val="003A57E0"/>
    <w:rsid w:val="003A585E"/>
    <w:rsid w:val="003A5872"/>
    <w:rsid w:val="003A5B99"/>
    <w:rsid w:val="003A5E48"/>
    <w:rsid w:val="003A5FE4"/>
    <w:rsid w:val="003A61B2"/>
    <w:rsid w:val="003A630F"/>
    <w:rsid w:val="003A638D"/>
    <w:rsid w:val="003A639A"/>
    <w:rsid w:val="003A6424"/>
    <w:rsid w:val="003A643D"/>
    <w:rsid w:val="003A6575"/>
    <w:rsid w:val="003A6825"/>
    <w:rsid w:val="003A6850"/>
    <w:rsid w:val="003A6BE2"/>
    <w:rsid w:val="003A6E77"/>
    <w:rsid w:val="003A6F9D"/>
    <w:rsid w:val="003A7091"/>
    <w:rsid w:val="003A7211"/>
    <w:rsid w:val="003A7357"/>
    <w:rsid w:val="003A73BD"/>
    <w:rsid w:val="003A74C7"/>
    <w:rsid w:val="003A7567"/>
    <w:rsid w:val="003A768B"/>
    <w:rsid w:val="003A76B4"/>
    <w:rsid w:val="003A777F"/>
    <w:rsid w:val="003A7908"/>
    <w:rsid w:val="003A794F"/>
    <w:rsid w:val="003A799A"/>
    <w:rsid w:val="003A7BA6"/>
    <w:rsid w:val="003A7D1F"/>
    <w:rsid w:val="003A7E61"/>
    <w:rsid w:val="003A7EBE"/>
    <w:rsid w:val="003A7FBB"/>
    <w:rsid w:val="003ABC9C"/>
    <w:rsid w:val="003B005A"/>
    <w:rsid w:val="003B0336"/>
    <w:rsid w:val="003B035F"/>
    <w:rsid w:val="003B047A"/>
    <w:rsid w:val="003B05B0"/>
    <w:rsid w:val="003B0700"/>
    <w:rsid w:val="003B0806"/>
    <w:rsid w:val="003B0847"/>
    <w:rsid w:val="003B0B55"/>
    <w:rsid w:val="003B0B7C"/>
    <w:rsid w:val="003B0CCF"/>
    <w:rsid w:val="003B0D20"/>
    <w:rsid w:val="003B0EBF"/>
    <w:rsid w:val="003B0F4A"/>
    <w:rsid w:val="003B0FB0"/>
    <w:rsid w:val="003B0FE0"/>
    <w:rsid w:val="003B1138"/>
    <w:rsid w:val="003B11C1"/>
    <w:rsid w:val="003B1209"/>
    <w:rsid w:val="003B126D"/>
    <w:rsid w:val="003B1462"/>
    <w:rsid w:val="003B1567"/>
    <w:rsid w:val="003B174A"/>
    <w:rsid w:val="003B177F"/>
    <w:rsid w:val="003B180C"/>
    <w:rsid w:val="003B18AB"/>
    <w:rsid w:val="003B1AC0"/>
    <w:rsid w:val="003B1D6C"/>
    <w:rsid w:val="003B1E0F"/>
    <w:rsid w:val="003B1F7B"/>
    <w:rsid w:val="003B2112"/>
    <w:rsid w:val="003B2394"/>
    <w:rsid w:val="003B25EC"/>
    <w:rsid w:val="003B2983"/>
    <w:rsid w:val="003B2A7E"/>
    <w:rsid w:val="003B2BD5"/>
    <w:rsid w:val="003B2E7C"/>
    <w:rsid w:val="003B2E88"/>
    <w:rsid w:val="003B2F02"/>
    <w:rsid w:val="003B3223"/>
    <w:rsid w:val="003B328D"/>
    <w:rsid w:val="003B359E"/>
    <w:rsid w:val="003B364C"/>
    <w:rsid w:val="003B38EC"/>
    <w:rsid w:val="003B3A9D"/>
    <w:rsid w:val="003B3AB2"/>
    <w:rsid w:val="003B3CA0"/>
    <w:rsid w:val="003B3D06"/>
    <w:rsid w:val="003B3D5A"/>
    <w:rsid w:val="003B3E09"/>
    <w:rsid w:val="003B3EC4"/>
    <w:rsid w:val="003B3FD2"/>
    <w:rsid w:val="003B40EE"/>
    <w:rsid w:val="003B40F0"/>
    <w:rsid w:val="003B4243"/>
    <w:rsid w:val="003B4386"/>
    <w:rsid w:val="003B438C"/>
    <w:rsid w:val="003B43CE"/>
    <w:rsid w:val="003B448A"/>
    <w:rsid w:val="003B450A"/>
    <w:rsid w:val="003B4554"/>
    <w:rsid w:val="003B4580"/>
    <w:rsid w:val="003B4618"/>
    <w:rsid w:val="003B475E"/>
    <w:rsid w:val="003B47CD"/>
    <w:rsid w:val="003B47EB"/>
    <w:rsid w:val="003B489C"/>
    <w:rsid w:val="003B4974"/>
    <w:rsid w:val="003B4A2C"/>
    <w:rsid w:val="003B4C01"/>
    <w:rsid w:val="003B4CD8"/>
    <w:rsid w:val="003B4DBE"/>
    <w:rsid w:val="003B4DC7"/>
    <w:rsid w:val="003B4ECA"/>
    <w:rsid w:val="003B5006"/>
    <w:rsid w:val="003B5019"/>
    <w:rsid w:val="003B507E"/>
    <w:rsid w:val="003B5105"/>
    <w:rsid w:val="003B5190"/>
    <w:rsid w:val="003B51E4"/>
    <w:rsid w:val="003B5204"/>
    <w:rsid w:val="003B5266"/>
    <w:rsid w:val="003B5356"/>
    <w:rsid w:val="003B53E1"/>
    <w:rsid w:val="003B5594"/>
    <w:rsid w:val="003B5600"/>
    <w:rsid w:val="003B57B3"/>
    <w:rsid w:val="003B5827"/>
    <w:rsid w:val="003B5938"/>
    <w:rsid w:val="003B59FC"/>
    <w:rsid w:val="003B5A5E"/>
    <w:rsid w:val="003B5A6B"/>
    <w:rsid w:val="003B5C67"/>
    <w:rsid w:val="003B5DD5"/>
    <w:rsid w:val="003B5DDF"/>
    <w:rsid w:val="003B5E44"/>
    <w:rsid w:val="003B5EC1"/>
    <w:rsid w:val="003B5ED6"/>
    <w:rsid w:val="003B5F55"/>
    <w:rsid w:val="003B5F6D"/>
    <w:rsid w:val="003B6090"/>
    <w:rsid w:val="003B60A9"/>
    <w:rsid w:val="003B60AA"/>
    <w:rsid w:val="003B60B6"/>
    <w:rsid w:val="003B6155"/>
    <w:rsid w:val="003B65BA"/>
    <w:rsid w:val="003B6654"/>
    <w:rsid w:val="003B66AE"/>
    <w:rsid w:val="003B677B"/>
    <w:rsid w:val="003B68AE"/>
    <w:rsid w:val="003B6A37"/>
    <w:rsid w:val="003B6A5B"/>
    <w:rsid w:val="003B6B70"/>
    <w:rsid w:val="003B6B7B"/>
    <w:rsid w:val="003B6CA9"/>
    <w:rsid w:val="003B6FA9"/>
    <w:rsid w:val="003B7133"/>
    <w:rsid w:val="003B74F0"/>
    <w:rsid w:val="003B7505"/>
    <w:rsid w:val="003B75BE"/>
    <w:rsid w:val="003B7608"/>
    <w:rsid w:val="003B76BF"/>
    <w:rsid w:val="003B76DF"/>
    <w:rsid w:val="003B7D41"/>
    <w:rsid w:val="003B7D4B"/>
    <w:rsid w:val="003B7E84"/>
    <w:rsid w:val="003B7E8A"/>
    <w:rsid w:val="003B7F38"/>
    <w:rsid w:val="003B7FEF"/>
    <w:rsid w:val="003C002F"/>
    <w:rsid w:val="003C0047"/>
    <w:rsid w:val="003C005A"/>
    <w:rsid w:val="003C017E"/>
    <w:rsid w:val="003C0220"/>
    <w:rsid w:val="003C046D"/>
    <w:rsid w:val="003C04CF"/>
    <w:rsid w:val="003C0554"/>
    <w:rsid w:val="003C05DF"/>
    <w:rsid w:val="003C09E0"/>
    <w:rsid w:val="003C09F2"/>
    <w:rsid w:val="003C0B69"/>
    <w:rsid w:val="003C0C10"/>
    <w:rsid w:val="003C0D8E"/>
    <w:rsid w:val="003C0EE9"/>
    <w:rsid w:val="003C0FBA"/>
    <w:rsid w:val="003C1075"/>
    <w:rsid w:val="003C12A2"/>
    <w:rsid w:val="003C12ED"/>
    <w:rsid w:val="003C132D"/>
    <w:rsid w:val="003C145E"/>
    <w:rsid w:val="003C149A"/>
    <w:rsid w:val="003C14D0"/>
    <w:rsid w:val="003C1560"/>
    <w:rsid w:val="003C16B0"/>
    <w:rsid w:val="003C17ED"/>
    <w:rsid w:val="003C1B54"/>
    <w:rsid w:val="003C1B7F"/>
    <w:rsid w:val="003C1C2E"/>
    <w:rsid w:val="003C1CCC"/>
    <w:rsid w:val="003C1CF2"/>
    <w:rsid w:val="003C1E52"/>
    <w:rsid w:val="003C1EF5"/>
    <w:rsid w:val="003C1F27"/>
    <w:rsid w:val="003C1F3F"/>
    <w:rsid w:val="003C1F6F"/>
    <w:rsid w:val="003C1FEC"/>
    <w:rsid w:val="003C210E"/>
    <w:rsid w:val="003C238B"/>
    <w:rsid w:val="003C2424"/>
    <w:rsid w:val="003C25FE"/>
    <w:rsid w:val="003C2683"/>
    <w:rsid w:val="003C26EC"/>
    <w:rsid w:val="003C28B4"/>
    <w:rsid w:val="003C29BE"/>
    <w:rsid w:val="003C2A45"/>
    <w:rsid w:val="003C2BFF"/>
    <w:rsid w:val="003C3299"/>
    <w:rsid w:val="003C3401"/>
    <w:rsid w:val="003C34B2"/>
    <w:rsid w:val="003C3552"/>
    <w:rsid w:val="003C3796"/>
    <w:rsid w:val="003C37E8"/>
    <w:rsid w:val="003C3871"/>
    <w:rsid w:val="003C3963"/>
    <w:rsid w:val="003C39AC"/>
    <w:rsid w:val="003C39CD"/>
    <w:rsid w:val="003C3BC3"/>
    <w:rsid w:val="003C3BF3"/>
    <w:rsid w:val="003C3D07"/>
    <w:rsid w:val="003C3D2D"/>
    <w:rsid w:val="003C3F24"/>
    <w:rsid w:val="003C3F88"/>
    <w:rsid w:val="003C4131"/>
    <w:rsid w:val="003C420B"/>
    <w:rsid w:val="003C438A"/>
    <w:rsid w:val="003C43F9"/>
    <w:rsid w:val="003C448A"/>
    <w:rsid w:val="003C44EE"/>
    <w:rsid w:val="003C45E9"/>
    <w:rsid w:val="003C463E"/>
    <w:rsid w:val="003C46DB"/>
    <w:rsid w:val="003C4812"/>
    <w:rsid w:val="003C4860"/>
    <w:rsid w:val="003C491E"/>
    <w:rsid w:val="003C49A5"/>
    <w:rsid w:val="003C4A0A"/>
    <w:rsid w:val="003C4BB3"/>
    <w:rsid w:val="003C4C2B"/>
    <w:rsid w:val="003C4C7A"/>
    <w:rsid w:val="003C4DC4"/>
    <w:rsid w:val="003C4F14"/>
    <w:rsid w:val="003C525E"/>
    <w:rsid w:val="003C52CA"/>
    <w:rsid w:val="003C53DE"/>
    <w:rsid w:val="003C5453"/>
    <w:rsid w:val="003C564E"/>
    <w:rsid w:val="003C5824"/>
    <w:rsid w:val="003C5854"/>
    <w:rsid w:val="003C58F5"/>
    <w:rsid w:val="003C5901"/>
    <w:rsid w:val="003C5B2C"/>
    <w:rsid w:val="003C5B9E"/>
    <w:rsid w:val="003C5CAD"/>
    <w:rsid w:val="003C5D04"/>
    <w:rsid w:val="003C5E49"/>
    <w:rsid w:val="003C5E4D"/>
    <w:rsid w:val="003C5EA7"/>
    <w:rsid w:val="003C60CE"/>
    <w:rsid w:val="003C6135"/>
    <w:rsid w:val="003C635C"/>
    <w:rsid w:val="003C63E5"/>
    <w:rsid w:val="003C642A"/>
    <w:rsid w:val="003C64B0"/>
    <w:rsid w:val="003C66EE"/>
    <w:rsid w:val="003C6812"/>
    <w:rsid w:val="003C682D"/>
    <w:rsid w:val="003C68C3"/>
    <w:rsid w:val="003C6AC2"/>
    <w:rsid w:val="003C6ADD"/>
    <w:rsid w:val="003C6B34"/>
    <w:rsid w:val="003C6B3A"/>
    <w:rsid w:val="003C6BFE"/>
    <w:rsid w:val="003C6C5C"/>
    <w:rsid w:val="003C6D74"/>
    <w:rsid w:val="003C6DBD"/>
    <w:rsid w:val="003C6EA6"/>
    <w:rsid w:val="003C6EBD"/>
    <w:rsid w:val="003C7086"/>
    <w:rsid w:val="003C70CE"/>
    <w:rsid w:val="003C70E9"/>
    <w:rsid w:val="003C7101"/>
    <w:rsid w:val="003C71AE"/>
    <w:rsid w:val="003C71B0"/>
    <w:rsid w:val="003C7214"/>
    <w:rsid w:val="003C7674"/>
    <w:rsid w:val="003C77DB"/>
    <w:rsid w:val="003C7896"/>
    <w:rsid w:val="003C78D5"/>
    <w:rsid w:val="003C7944"/>
    <w:rsid w:val="003C79C0"/>
    <w:rsid w:val="003C79DA"/>
    <w:rsid w:val="003C7A08"/>
    <w:rsid w:val="003C7ABC"/>
    <w:rsid w:val="003C7B3F"/>
    <w:rsid w:val="003C7D64"/>
    <w:rsid w:val="003C7E3A"/>
    <w:rsid w:val="003D002C"/>
    <w:rsid w:val="003D015C"/>
    <w:rsid w:val="003D01B9"/>
    <w:rsid w:val="003D0208"/>
    <w:rsid w:val="003D02DF"/>
    <w:rsid w:val="003D033F"/>
    <w:rsid w:val="003D0397"/>
    <w:rsid w:val="003D0415"/>
    <w:rsid w:val="003D0464"/>
    <w:rsid w:val="003D0613"/>
    <w:rsid w:val="003D06CA"/>
    <w:rsid w:val="003D06F3"/>
    <w:rsid w:val="003D097F"/>
    <w:rsid w:val="003D0B82"/>
    <w:rsid w:val="003D0BE4"/>
    <w:rsid w:val="003D0C82"/>
    <w:rsid w:val="003D0D94"/>
    <w:rsid w:val="003D0E45"/>
    <w:rsid w:val="003D114B"/>
    <w:rsid w:val="003D1169"/>
    <w:rsid w:val="003D1249"/>
    <w:rsid w:val="003D1370"/>
    <w:rsid w:val="003D14D1"/>
    <w:rsid w:val="003D14E8"/>
    <w:rsid w:val="003D160E"/>
    <w:rsid w:val="003D1617"/>
    <w:rsid w:val="003D169B"/>
    <w:rsid w:val="003D1811"/>
    <w:rsid w:val="003D1949"/>
    <w:rsid w:val="003D1A20"/>
    <w:rsid w:val="003D1B5B"/>
    <w:rsid w:val="003D1C40"/>
    <w:rsid w:val="003D1D03"/>
    <w:rsid w:val="003D1EBF"/>
    <w:rsid w:val="003D1F2F"/>
    <w:rsid w:val="003D1F72"/>
    <w:rsid w:val="003D1F98"/>
    <w:rsid w:val="003D217F"/>
    <w:rsid w:val="003D21F6"/>
    <w:rsid w:val="003D2227"/>
    <w:rsid w:val="003D226C"/>
    <w:rsid w:val="003D22AB"/>
    <w:rsid w:val="003D22E7"/>
    <w:rsid w:val="003D23A5"/>
    <w:rsid w:val="003D23FE"/>
    <w:rsid w:val="003D272B"/>
    <w:rsid w:val="003D2975"/>
    <w:rsid w:val="003D2A3F"/>
    <w:rsid w:val="003D2C8E"/>
    <w:rsid w:val="003D2F27"/>
    <w:rsid w:val="003D2F98"/>
    <w:rsid w:val="003D2FF0"/>
    <w:rsid w:val="003D303A"/>
    <w:rsid w:val="003D316A"/>
    <w:rsid w:val="003D31E0"/>
    <w:rsid w:val="003D324A"/>
    <w:rsid w:val="003D3442"/>
    <w:rsid w:val="003D3520"/>
    <w:rsid w:val="003D36D8"/>
    <w:rsid w:val="003D372A"/>
    <w:rsid w:val="003D372F"/>
    <w:rsid w:val="003D38BE"/>
    <w:rsid w:val="003D38F1"/>
    <w:rsid w:val="003D3A0C"/>
    <w:rsid w:val="003D3A2E"/>
    <w:rsid w:val="003D3AA4"/>
    <w:rsid w:val="003D3C36"/>
    <w:rsid w:val="003D3D98"/>
    <w:rsid w:val="003D3ED3"/>
    <w:rsid w:val="003D4025"/>
    <w:rsid w:val="003D40C9"/>
    <w:rsid w:val="003D40EE"/>
    <w:rsid w:val="003D41E4"/>
    <w:rsid w:val="003D4220"/>
    <w:rsid w:val="003D42C7"/>
    <w:rsid w:val="003D439A"/>
    <w:rsid w:val="003D442D"/>
    <w:rsid w:val="003D4441"/>
    <w:rsid w:val="003D47F7"/>
    <w:rsid w:val="003D48E7"/>
    <w:rsid w:val="003D49DA"/>
    <w:rsid w:val="003D4CEE"/>
    <w:rsid w:val="003D4DC8"/>
    <w:rsid w:val="003D4E9F"/>
    <w:rsid w:val="003D4EA8"/>
    <w:rsid w:val="003D4EE0"/>
    <w:rsid w:val="003D4F7C"/>
    <w:rsid w:val="003D51C3"/>
    <w:rsid w:val="003D51C8"/>
    <w:rsid w:val="003D51E3"/>
    <w:rsid w:val="003D52DF"/>
    <w:rsid w:val="003D54BF"/>
    <w:rsid w:val="003D5537"/>
    <w:rsid w:val="003D554F"/>
    <w:rsid w:val="003D5551"/>
    <w:rsid w:val="003D55AB"/>
    <w:rsid w:val="003D55DE"/>
    <w:rsid w:val="003D560B"/>
    <w:rsid w:val="003D56C2"/>
    <w:rsid w:val="003D5705"/>
    <w:rsid w:val="003D570D"/>
    <w:rsid w:val="003D575E"/>
    <w:rsid w:val="003D57F3"/>
    <w:rsid w:val="003D5961"/>
    <w:rsid w:val="003D59DA"/>
    <w:rsid w:val="003D5ACA"/>
    <w:rsid w:val="003D5B79"/>
    <w:rsid w:val="003D61D7"/>
    <w:rsid w:val="003D621D"/>
    <w:rsid w:val="003D6331"/>
    <w:rsid w:val="003D652F"/>
    <w:rsid w:val="003D6630"/>
    <w:rsid w:val="003D665F"/>
    <w:rsid w:val="003D669F"/>
    <w:rsid w:val="003D6889"/>
    <w:rsid w:val="003D6954"/>
    <w:rsid w:val="003D696B"/>
    <w:rsid w:val="003D6AEC"/>
    <w:rsid w:val="003D6AF2"/>
    <w:rsid w:val="003D6BB5"/>
    <w:rsid w:val="003D6CD9"/>
    <w:rsid w:val="003D6D05"/>
    <w:rsid w:val="003D6D34"/>
    <w:rsid w:val="003D6DE6"/>
    <w:rsid w:val="003D7060"/>
    <w:rsid w:val="003D7069"/>
    <w:rsid w:val="003D73AC"/>
    <w:rsid w:val="003D7467"/>
    <w:rsid w:val="003D74F2"/>
    <w:rsid w:val="003D753B"/>
    <w:rsid w:val="003D7542"/>
    <w:rsid w:val="003D785E"/>
    <w:rsid w:val="003D7BCB"/>
    <w:rsid w:val="003D7CE3"/>
    <w:rsid w:val="003D7DA6"/>
    <w:rsid w:val="003D7DF4"/>
    <w:rsid w:val="003D7E34"/>
    <w:rsid w:val="003E0243"/>
    <w:rsid w:val="003E0337"/>
    <w:rsid w:val="003E0347"/>
    <w:rsid w:val="003E03AC"/>
    <w:rsid w:val="003E0401"/>
    <w:rsid w:val="003E0420"/>
    <w:rsid w:val="003E055F"/>
    <w:rsid w:val="003E06A4"/>
    <w:rsid w:val="003E0863"/>
    <w:rsid w:val="003E09BF"/>
    <w:rsid w:val="003E0D1E"/>
    <w:rsid w:val="003E0E35"/>
    <w:rsid w:val="003E0E5B"/>
    <w:rsid w:val="003E0FE4"/>
    <w:rsid w:val="003E106F"/>
    <w:rsid w:val="003E10A8"/>
    <w:rsid w:val="003E12CB"/>
    <w:rsid w:val="003E134A"/>
    <w:rsid w:val="003E163F"/>
    <w:rsid w:val="003E1717"/>
    <w:rsid w:val="003E1879"/>
    <w:rsid w:val="003E1AAD"/>
    <w:rsid w:val="003E1B57"/>
    <w:rsid w:val="003E1CCF"/>
    <w:rsid w:val="003E1D51"/>
    <w:rsid w:val="003E1E6E"/>
    <w:rsid w:val="003E1ED9"/>
    <w:rsid w:val="003E1F05"/>
    <w:rsid w:val="003E219D"/>
    <w:rsid w:val="003E21AA"/>
    <w:rsid w:val="003E234F"/>
    <w:rsid w:val="003E2365"/>
    <w:rsid w:val="003E250D"/>
    <w:rsid w:val="003E25C7"/>
    <w:rsid w:val="003E2621"/>
    <w:rsid w:val="003E2657"/>
    <w:rsid w:val="003E277E"/>
    <w:rsid w:val="003E27DE"/>
    <w:rsid w:val="003E285A"/>
    <w:rsid w:val="003E286A"/>
    <w:rsid w:val="003E2A4C"/>
    <w:rsid w:val="003E2AA9"/>
    <w:rsid w:val="003E2C72"/>
    <w:rsid w:val="003E2CB1"/>
    <w:rsid w:val="003E2D87"/>
    <w:rsid w:val="003E2D94"/>
    <w:rsid w:val="003E2EC6"/>
    <w:rsid w:val="003E2F62"/>
    <w:rsid w:val="003E3272"/>
    <w:rsid w:val="003E32C0"/>
    <w:rsid w:val="003E33FF"/>
    <w:rsid w:val="003E36D3"/>
    <w:rsid w:val="003E36E2"/>
    <w:rsid w:val="003E37A7"/>
    <w:rsid w:val="003E381C"/>
    <w:rsid w:val="003E3886"/>
    <w:rsid w:val="003E3B50"/>
    <w:rsid w:val="003E3C4C"/>
    <w:rsid w:val="003E3C51"/>
    <w:rsid w:val="003E3CD8"/>
    <w:rsid w:val="003E3CE8"/>
    <w:rsid w:val="003E3D1D"/>
    <w:rsid w:val="003E3D53"/>
    <w:rsid w:val="003E3E7C"/>
    <w:rsid w:val="003E3F4D"/>
    <w:rsid w:val="003E3F4F"/>
    <w:rsid w:val="003E3F84"/>
    <w:rsid w:val="003E3F96"/>
    <w:rsid w:val="003E3FAC"/>
    <w:rsid w:val="003E4065"/>
    <w:rsid w:val="003E416B"/>
    <w:rsid w:val="003E4387"/>
    <w:rsid w:val="003E44C5"/>
    <w:rsid w:val="003E44E0"/>
    <w:rsid w:val="003E45E0"/>
    <w:rsid w:val="003E4636"/>
    <w:rsid w:val="003E47ED"/>
    <w:rsid w:val="003E487F"/>
    <w:rsid w:val="003E48AA"/>
    <w:rsid w:val="003E4A2E"/>
    <w:rsid w:val="003E4BED"/>
    <w:rsid w:val="003E4C00"/>
    <w:rsid w:val="003E4C49"/>
    <w:rsid w:val="003E4CD8"/>
    <w:rsid w:val="003E4E05"/>
    <w:rsid w:val="003E4F0F"/>
    <w:rsid w:val="003E4F73"/>
    <w:rsid w:val="003E501A"/>
    <w:rsid w:val="003E51A4"/>
    <w:rsid w:val="003E5209"/>
    <w:rsid w:val="003E52AF"/>
    <w:rsid w:val="003E52C8"/>
    <w:rsid w:val="003E533A"/>
    <w:rsid w:val="003E5364"/>
    <w:rsid w:val="003E540D"/>
    <w:rsid w:val="003E5558"/>
    <w:rsid w:val="003E575B"/>
    <w:rsid w:val="003E57BD"/>
    <w:rsid w:val="003E5815"/>
    <w:rsid w:val="003E5BDF"/>
    <w:rsid w:val="003E5CAA"/>
    <w:rsid w:val="003E5DE4"/>
    <w:rsid w:val="003E5E86"/>
    <w:rsid w:val="003E5EB8"/>
    <w:rsid w:val="003E6120"/>
    <w:rsid w:val="003E61CF"/>
    <w:rsid w:val="003E622E"/>
    <w:rsid w:val="003E6607"/>
    <w:rsid w:val="003E66F3"/>
    <w:rsid w:val="003E6737"/>
    <w:rsid w:val="003E674E"/>
    <w:rsid w:val="003E68CE"/>
    <w:rsid w:val="003E6CC0"/>
    <w:rsid w:val="003E6D82"/>
    <w:rsid w:val="003E6F63"/>
    <w:rsid w:val="003E7014"/>
    <w:rsid w:val="003E7114"/>
    <w:rsid w:val="003E71E4"/>
    <w:rsid w:val="003E73BB"/>
    <w:rsid w:val="003E73E8"/>
    <w:rsid w:val="003E73F5"/>
    <w:rsid w:val="003E7469"/>
    <w:rsid w:val="003E748E"/>
    <w:rsid w:val="003E763B"/>
    <w:rsid w:val="003E763F"/>
    <w:rsid w:val="003E7714"/>
    <w:rsid w:val="003E7724"/>
    <w:rsid w:val="003E7860"/>
    <w:rsid w:val="003E7898"/>
    <w:rsid w:val="003E78E4"/>
    <w:rsid w:val="003E7B41"/>
    <w:rsid w:val="003E7B6A"/>
    <w:rsid w:val="003E7BC0"/>
    <w:rsid w:val="003E7C02"/>
    <w:rsid w:val="003E7CE3"/>
    <w:rsid w:val="003E7F24"/>
    <w:rsid w:val="003E7FDE"/>
    <w:rsid w:val="003F001A"/>
    <w:rsid w:val="003F0086"/>
    <w:rsid w:val="003F029D"/>
    <w:rsid w:val="003F02A4"/>
    <w:rsid w:val="003F03EA"/>
    <w:rsid w:val="003F0430"/>
    <w:rsid w:val="003F0539"/>
    <w:rsid w:val="003F065D"/>
    <w:rsid w:val="003F06E7"/>
    <w:rsid w:val="003F08CD"/>
    <w:rsid w:val="003F08DE"/>
    <w:rsid w:val="003F08FB"/>
    <w:rsid w:val="003F09D1"/>
    <w:rsid w:val="003F0F0E"/>
    <w:rsid w:val="003F10FB"/>
    <w:rsid w:val="003F1226"/>
    <w:rsid w:val="003F13E7"/>
    <w:rsid w:val="003F141E"/>
    <w:rsid w:val="003F1626"/>
    <w:rsid w:val="003F16BC"/>
    <w:rsid w:val="003F16CF"/>
    <w:rsid w:val="003F16DF"/>
    <w:rsid w:val="003F17A3"/>
    <w:rsid w:val="003F17B5"/>
    <w:rsid w:val="003F18BA"/>
    <w:rsid w:val="003F1A19"/>
    <w:rsid w:val="003F1AAE"/>
    <w:rsid w:val="003F1B0E"/>
    <w:rsid w:val="003F1D25"/>
    <w:rsid w:val="003F1F1E"/>
    <w:rsid w:val="003F1FE1"/>
    <w:rsid w:val="003F207A"/>
    <w:rsid w:val="003F209B"/>
    <w:rsid w:val="003F20C6"/>
    <w:rsid w:val="003F23CC"/>
    <w:rsid w:val="003F24D7"/>
    <w:rsid w:val="003F257B"/>
    <w:rsid w:val="003F280C"/>
    <w:rsid w:val="003F286A"/>
    <w:rsid w:val="003F2980"/>
    <w:rsid w:val="003F2A6F"/>
    <w:rsid w:val="003F2B00"/>
    <w:rsid w:val="003F2BD6"/>
    <w:rsid w:val="003F2F98"/>
    <w:rsid w:val="003F3161"/>
    <w:rsid w:val="003F31BA"/>
    <w:rsid w:val="003F32C2"/>
    <w:rsid w:val="003F3347"/>
    <w:rsid w:val="003F34A3"/>
    <w:rsid w:val="003F35F2"/>
    <w:rsid w:val="003F3640"/>
    <w:rsid w:val="003F368C"/>
    <w:rsid w:val="003F3756"/>
    <w:rsid w:val="003F38A7"/>
    <w:rsid w:val="003F3907"/>
    <w:rsid w:val="003F3926"/>
    <w:rsid w:val="003F39B2"/>
    <w:rsid w:val="003F3A97"/>
    <w:rsid w:val="003F3ADA"/>
    <w:rsid w:val="003F3BBC"/>
    <w:rsid w:val="003F3C40"/>
    <w:rsid w:val="003F3DAE"/>
    <w:rsid w:val="003F40F5"/>
    <w:rsid w:val="003F419E"/>
    <w:rsid w:val="003F4309"/>
    <w:rsid w:val="003F4313"/>
    <w:rsid w:val="003F445D"/>
    <w:rsid w:val="003F4465"/>
    <w:rsid w:val="003F4534"/>
    <w:rsid w:val="003F4557"/>
    <w:rsid w:val="003F4595"/>
    <w:rsid w:val="003F46A4"/>
    <w:rsid w:val="003F476D"/>
    <w:rsid w:val="003F4831"/>
    <w:rsid w:val="003F48C8"/>
    <w:rsid w:val="003F4A38"/>
    <w:rsid w:val="003F4A44"/>
    <w:rsid w:val="003F4A7F"/>
    <w:rsid w:val="003F4C21"/>
    <w:rsid w:val="003F4E80"/>
    <w:rsid w:val="003F50FB"/>
    <w:rsid w:val="003F54EC"/>
    <w:rsid w:val="003F55E5"/>
    <w:rsid w:val="003F5602"/>
    <w:rsid w:val="003F56F9"/>
    <w:rsid w:val="003F57C2"/>
    <w:rsid w:val="003F5896"/>
    <w:rsid w:val="003F58C8"/>
    <w:rsid w:val="003F598F"/>
    <w:rsid w:val="003F5A28"/>
    <w:rsid w:val="003F5D62"/>
    <w:rsid w:val="003F5EDF"/>
    <w:rsid w:val="003F5FEE"/>
    <w:rsid w:val="003F6185"/>
    <w:rsid w:val="003F61B2"/>
    <w:rsid w:val="003F635C"/>
    <w:rsid w:val="003F6571"/>
    <w:rsid w:val="003F6862"/>
    <w:rsid w:val="003F6921"/>
    <w:rsid w:val="003F69C0"/>
    <w:rsid w:val="003F6A3C"/>
    <w:rsid w:val="003F6B0D"/>
    <w:rsid w:val="003F6B75"/>
    <w:rsid w:val="003F6B8D"/>
    <w:rsid w:val="003F6C04"/>
    <w:rsid w:val="003F6C23"/>
    <w:rsid w:val="003F6C5F"/>
    <w:rsid w:val="003F6C8A"/>
    <w:rsid w:val="003F6CB7"/>
    <w:rsid w:val="003F6CBC"/>
    <w:rsid w:val="003F6CE8"/>
    <w:rsid w:val="003F6D0D"/>
    <w:rsid w:val="003F6D89"/>
    <w:rsid w:val="003F6EEF"/>
    <w:rsid w:val="003F6F00"/>
    <w:rsid w:val="003F7023"/>
    <w:rsid w:val="003F7372"/>
    <w:rsid w:val="003F73CA"/>
    <w:rsid w:val="003F73E4"/>
    <w:rsid w:val="003F73EE"/>
    <w:rsid w:val="003F74CC"/>
    <w:rsid w:val="003F74FC"/>
    <w:rsid w:val="003F76FC"/>
    <w:rsid w:val="003F783C"/>
    <w:rsid w:val="003F78DB"/>
    <w:rsid w:val="003F79AD"/>
    <w:rsid w:val="003F7A76"/>
    <w:rsid w:val="003F7AF0"/>
    <w:rsid w:val="003F7B17"/>
    <w:rsid w:val="003F7C87"/>
    <w:rsid w:val="003F7C90"/>
    <w:rsid w:val="003F7C96"/>
    <w:rsid w:val="003F7D4A"/>
    <w:rsid w:val="003F7D6C"/>
    <w:rsid w:val="003F7E0F"/>
    <w:rsid w:val="003F7FAE"/>
    <w:rsid w:val="004000B4"/>
    <w:rsid w:val="00400290"/>
    <w:rsid w:val="00400360"/>
    <w:rsid w:val="0040049F"/>
    <w:rsid w:val="00400606"/>
    <w:rsid w:val="004006E1"/>
    <w:rsid w:val="004007EC"/>
    <w:rsid w:val="00400907"/>
    <w:rsid w:val="00400C18"/>
    <w:rsid w:val="00400F30"/>
    <w:rsid w:val="004010C6"/>
    <w:rsid w:val="004013D8"/>
    <w:rsid w:val="004014E8"/>
    <w:rsid w:val="004016C8"/>
    <w:rsid w:val="00401770"/>
    <w:rsid w:val="00401792"/>
    <w:rsid w:val="00401826"/>
    <w:rsid w:val="0040184D"/>
    <w:rsid w:val="00401861"/>
    <w:rsid w:val="004018FF"/>
    <w:rsid w:val="00401909"/>
    <w:rsid w:val="004019A9"/>
    <w:rsid w:val="00401B13"/>
    <w:rsid w:val="00401CF8"/>
    <w:rsid w:val="00401DD1"/>
    <w:rsid w:val="00401F83"/>
    <w:rsid w:val="00401FED"/>
    <w:rsid w:val="00402008"/>
    <w:rsid w:val="00402074"/>
    <w:rsid w:val="004020F5"/>
    <w:rsid w:val="00402335"/>
    <w:rsid w:val="00402443"/>
    <w:rsid w:val="00402488"/>
    <w:rsid w:val="0040294E"/>
    <w:rsid w:val="00402B63"/>
    <w:rsid w:val="00402BAE"/>
    <w:rsid w:val="00402BD0"/>
    <w:rsid w:val="00402D7B"/>
    <w:rsid w:val="00402F37"/>
    <w:rsid w:val="00402F6B"/>
    <w:rsid w:val="00403038"/>
    <w:rsid w:val="004031D7"/>
    <w:rsid w:val="004033F6"/>
    <w:rsid w:val="0040341C"/>
    <w:rsid w:val="004036B5"/>
    <w:rsid w:val="0040374C"/>
    <w:rsid w:val="004037E4"/>
    <w:rsid w:val="0040381C"/>
    <w:rsid w:val="00403874"/>
    <w:rsid w:val="004038A8"/>
    <w:rsid w:val="0040390D"/>
    <w:rsid w:val="00403B7B"/>
    <w:rsid w:val="00403B8F"/>
    <w:rsid w:val="00403CD8"/>
    <w:rsid w:val="00403D88"/>
    <w:rsid w:val="00403F69"/>
    <w:rsid w:val="0040419E"/>
    <w:rsid w:val="004041B1"/>
    <w:rsid w:val="004041E9"/>
    <w:rsid w:val="00404300"/>
    <w:rsid w:val="00404783"/>
    <w:rsid w:val="004047BE"/>
    <w:rsid w:val="004047FB"/>
    <w:rsid w:val="00404816"/>
    <w:rsid w:val="0040490F"/>
    <w:rsid w:val="00404A35"/>
    <w:rsid w:val="00404C0D"/>
    <w:rsid w:val="00404C33"/>
    <w:rsid w:val="00404CED"/>
    <w:rsid w:val="0040522A"/>
    <w:rsid w:val="004053E0"/>
    <w:rsid w:val="0040548D"/>
    <w:rsid w:val="004054A8"/>
    <w:rsid w:val="0040552E"/>
    <w:rsid w:val="004055F8"/>
    <w:rsid w:val="004057BA"/>
    <w:rsid w:val="004057F9"/>
    <w:rsid w:val="004058F3"/>
    <w:rsid w:val="00405A1F"/>
    <w:rsid w:val="00405BBC"/>
    <w:rsid w:val="00405BD3"/>
    <w:rsid w:val="00405E4F"/>
    <w:rsid w:val="00406025"/>
    <w:rsid w:val="004061CE"/>
    <w:rsid w:val="00406257"/>
    <w:rsid w:val="004062E5"/>
    <w:rsid w:val="00406599"/>
    <w:rsid w:val="0040659C"/>
    <w:rsid w:val="00406668"/>
    <w:rsid w:val="004066A9"/>
    <w:rsid w:val="004067C1"/>
    <w:rsid w:val="004067D2"/>
    <w:rsid w:val="004068B2"/>
    <w:rsid w:val="00406979"/>
    <w:rsid w:val="00406A03"/>
    <w:rsid w:val="00406A4F"/>
    <w:rsid w:val="00406B3E"/>
    <w:rsid w:val="00406BAD"/>
    <w:rsid w:val="00406CBF"/>
    <w:rsid w:val="00406CDF"/>
    <w:rsid w:val="00406CE4"/>
    <w:rsid w:val="00406DAE"/>
    <w:rsid w:val="00406E1F"/>
    <w:rsid w:val="00406EBF"/>
    <w:rsid w:val="00406F39"/>
    <w:rsid w:val="00406F92"/>
    <w:rsid w:val="00406F98"/>
    <w:rsid w:val="004071AD"/>
    <w:rsid w:val="00407262"/>
    <w:rsid w:val="00407398"/>
    <w:rsid w:val="004073DE"/>
    <w:rsid w:val="00407541"/>
    <w:rsid w:val="0040766D"/>
    <w:rsid w:val="0040786D"/>
    <w:rsid w:val="0040789C"/>
    <w:rsid w:val="00407BBD"/>
    <w:rsid w:val="00407BC1"/>
    <w:rsid w:val="00407D0B"/>
    <w:rsid w:val="00407DEC"/>
    <w:rsid w:val="00407FA3"/>
    <w:rsid w:val="00407FEB"/>
    <w:rsid w:val="00410071"/>
    <w:rsid w:val="00410230"/>
    <w:rsid w:val="00410319"/>
    <w:rsid w:val="00410328"/>
    <w:rsid w:val="00410527"/>
    <w:rsid w:val="0041072B"/>
    <w:rsid w:val="0041088E"/>
    <w:rsid w:val="00410BBA"/>
    <w:rsid w:val="00410BDB"/>
    <w:rsid w:val="00410EF9"/>
    <w:rsid w:val="00410FE3"/>
    <w:rsid w:val="0041116D"/>
    <w:rsid w:val="004111FA"/>
    <w:rsid w:val="004116AC"/>
    <w:rsid w:val="00411813"/>
    <w:rsid w:val="0041197F"/>
    <w:rsid w:val="00411B01"/>
    <w:rsid w:val="00411B9E"/>
    <w:rsid w:val="00411BFA"/>
    <w:rsid w:val="00411D4B"/>
    <w:rsid w:val="00411EB6"/>
    <w:rsid w:val="00411F63"/>
    <w:rsid w:val="0041222B"/>
    <w:rsid w:val="00412461"/>
    <w:rsid w:val="00412585"/>
    <w:rsid w:val="004125B2"/>
    <w:rsid w:val="004126B9"/>
    <w:rsid w:val="0041280A"/>
    <w:rsid w:val="0041280D"/>
    <w:rsid w:val="00412848"/>
    <w:rsid w:val="00412A5F"/>
    <w:rsid w:val="00412BC3"/>
    <w:rsid w:val="00412D88"/>
    <w:rsid w:val="00413318"/>
    <w:rsid w:val="0041340B"/>
    <w:rsid w:val="004134A8"/>
    <w:rsid w:val="004134F6"/>
    <w:rsid w:val="0041356C"/>
    <w:rsid w:val="004136B6"/>
    <w:rsid w:val="00413713"/>
    <w:rsid w:val="00413B8F"/>
    <w:rsid w:val="00413BA4"/>
    <w:rsid w:val="00413CA0"/>
    <w:rsid w:val="00413E37"/>
    <w:rsid w:val="00413FFF"/>
    <w:rsid w:val="004140A0"/>
    <w:rsid w:val="00414185"/>
    <w:rsid w:val="00414194"/>
    <w:rsid w:val="004141B9"/>
    <w:rsid w:val="004141DD"/>
    <w:rsid w:val="00414273"/>
    <w:rsid w:val="004142D4"/>
    <w:rsid w:val="004144C5"/>
    <w:rsid w:val="004146A0"/>
    <w:rsid w:val="00414736"/>
    <w:rsid w:val="00414799"/>
    <w:rsid w:val="0041490D"/>
    <w:rsid w:val="00414B29"/>
    <w:rsid w:val="00414B8A"/>
    <w:rsid w:val="00414BC5"/>
    <w:rsid w:val="00414D68"/>
    <w:rsid w:val="00414E28"/>
    <w:rsid w:val="00414EB1"/>
    <w:rsid w:val="00415107"/>
    <w:rsid w:val="00415366"/>
    <w:rsid w:val="00415391"/>
    <w:rsid w:val="004153EC"/>
    <w:rsid w:val="004154CB"/>
    <w:rsid w:val="00415895"/>
    <w:rsid w:val="004158EF"/>
    <w:rsid w:val="004159A0"/>
    <w:rsid w:val="004159C6"/>
    <w:rsid w:val="004159CD"/>
    <w:rsid w:val="004159E3"/>
    <w:rsid w:val="00415A30"/>
    <w:rsid w:val="00415A83"/>
    <w:rsid w:val="00415BC0"/>
    <w:rsid w:val="00415D80"/>
    <w:rsid w:val="00415DCF"/>
    <w:rsid w:val="00415E30"/>
    <w:rsid w:val="004160DB"/>
    <w:rsid w:val="00416277"/>
    <w:rsid w:val="004162B3"/>
    <w:rsid w:val="00416339"/>
    <w:rsid w:val="00416423"/>
    <w:rsid w:val="00416510"/>
    <w:rsid w:val="0041668E"/>
    <w:rsid w:val="0041679C"/>
    <w:rsid w:val="004169A0"/>
    <w:rsid w:val="004169BB"/>
    <w:rsid w:val="00416BB2"/>
    <w:rsid w:val="00416C1F"/>
    <w:rsid w:val="00416E67"/>
    <w:rsid w:val="00416ED0"/>
    <w:rsid w:val="0041700D"/>
    <w:rsid w:val="0041708C"/>
    <w:rsid w:val="004170F1"/>
    <w:rsid w:val="00417105"/>
    <w:rsid w:val="0041713D"/>
    <w:rsid w:val="004173C5"/>
    <w:rsid w:val="0041741A"/>
    <w:rsid w:val="004176E7"/>
    <w:rsid w:val="004177B3"/>
    <w:rsid w:val="00417841"/>
    <w:rsid w:val="00417C41"/>
    <w:rsid w:val="00417D15"/>
    <w:rsid w:val="00417DFD"/>
    <w:rsid w:val="00420073"/>
    <w:rsid w:val="0042007F"/>
    <w:rsid w:val="004201EF"/>
    <w:rsid w:val="004208D2"/>
    <w:rsid w:val="004209A7"/>
    <w:rsid w:val="00420BF1"/>
    <w:rsid w:val="00420C4F"/>
    <w:rsid w:val="00420C56"/>
    <w:rsid w:val="00420E07"/>
    <w:rsid w:val="00420E0B"/>
    <w:rsid w:val="00420E62"/>
    <w:rsid w:val="00420E69"/>
    <w:rsid w:val="00420F54"/>
    <w:rsid w:val="00420F82"/>
    <w:rsid w:val="00420FD1"/>
    <w:rsid w:val="00421272"/>
    <w:rsid w:val="004213C2"/>
    <w:rsid w:val="004214D3"/>
    <w:rsid w:val="0042167A"/>
    <w:rsid w:val="004216EA"/>
    <w:rsid w:val="004216EE"/>
    <w:rsid w:val="00421752"/>
    <w:rsid w:val="00421858"/>
    <w:rsid w:val="004218EC"/>
    <w:rsid w:val="00421962"/>
    <w:rsid w:val="00421A3E"/>
    <w:rsid w:val="00421A8B"/>
    <w:rsid w:val="00421BBB"/>
    <w:rsid w:val="00421CCF"/>
    <w:rsid w:val="00421D26"/>
    <w:rsid w:val="00421DC0"/>
    <w:rsid w:val="0042205C"/>
    <w:rsid w:val="00422228"/>
    <w:rsid w:val="00422311"/>
    <w:rsid w:val="00422466"/>
    <w:rsid w:val="004224F5"/>
    <w:rsid w:val="004224FC"/>
    <w:rsid w:val="00422621"/>
    <w:rsid w:val="004226A0"/>
    <w:rsid w:val="0042286C"/>
    <w:rsid w:val="00422886"/>
    <w:rsid w:val="00422A8E"/>
    <w:rsid w:val="00422B7A"/>
    <w:rsid w:val="00422F10"/>
    <w:rsid w:val="0042305F"/>
    <w:rsid w:val="0042309B"/>
    <w:rsid w:val="00423250"/>
    <w:rsid w:val="00423312"/>
    <w:rsid w:val="004233BE"/>
    <w:rsid w:val="00423490"/>
    <w:rsid w:val="004234C6"/>
    <w:rsid w:val="004234F1"/>
    <w:rsid w:val="004235D2"/>
    <w:rsid w:val="00423627"/>
    <w:rsid w:val="00423901"/>
    <w:rsid w:val="00423A3D"/>
    <w:rsid w:val="00423A67"/>
    <w:rsid w:val="00423A8E"/>
    <w:rsid w:val="00423BA5"/>
    <w:rsid w:val="00423BBC"/>
    <w:rsid w:val="00423E65"/>
    <w:rsid w:val="00423F22"/>
    <w:rsid w:val="00423F71"/>
    <w:rsid w:val="0042407A"/>
    <w:rsid w:val="004244E7"/>
    <w:rsid w:val="004245BD"/>
    <w:rsid w:val="004246D2"/>
    <w:rsid w:val="004248B1"/>
    <w:rsid w:val="00424967"/>
    <w:rsid w:val="004249BD"/>
    <w:rsid w:val="00424E05"/>
    <w:rsid w:val="00424E8C"/>
    <w:rsid w:val="0042512E"/>
    <w:rsid w:val="0042521C"/>
    <w:rsid w:val="00425362"/>
    <w:rsid w:val="00425454"/>
    <w:rsid w:val="00425463"/>
    <w:rsid w:val="004256B5"/>
    <w:rsid w:val="004256D4"/>
    <w:rsid w:val="0042577E"/>
    <w:rsid w:val="00425818"/>
    <w:rsid w:val="00425894"/>
    <w:rsid w:val="00425901"/>
    <w:rsid w:val="00425913"/>
    <w:rsid w:val="0042595F"/>
    <w:rsid w:val="00425B87"/>
    <w:rsid w:val="00425C7F"/>
    <w:rsid w:val="00425CAE"/>
    <w:rsid w:val="00425E51"/>
    <w:rsid w:val="00426015"/>
    <w:rsid w:val="00426234"/>
    <w:rsid w:val="00426310"/>
    <w:rsid w:val="00426338"/>
    <w:rsid w:val="004264CE"/>
    <w:rsid w:val="004264EC"/>
    <w:rsid w:val="0042667B"/>
    <w:rsid w:val="0042669A"/>
    <w:rsid w:val="00426750"/>
    <w:rsid w:val="004268D7"/>
    <w:rsid w:val="004269BF"/>
    <w:rsid w:val="00426AF3"/>
    <w:rsid w:val="00426C2E"/>
    <w:rsid w:val="00426DE7"/>
    <w:rsid w:val="00426EB7"/>
    <w:rsid w:val="00426FA5"/>
    <w:rsid w:val="004270A7"/>
    <w:rsid w:val="004270EF"/>
    <w:rsid w:val="004270F3"/>
    <w:rsid w:val="00427152"/>
    <w:rsid w:val="0042715C"/>
    <w:rsid w:val="00427214"/>
    <w:rsid w:val="004272D9"/>
    <w:rsid w:val="004276AB"/>
    <w:rsid w:val="004277FC"/>
    <w:rsid w:val="004277FE"/>
    <w:rsid w:val="0042788C"/>
    <w:rsid w:val="004278DE"/>
    <w:rsid w:val="004279C6"/>
    <w:rsid w:val="00427A84"/>
    <w:rsid w:val="00427AD3"/>
    <w:rsid w:val="00427AD7"/>
    <w:rsid w:val="00427C43"/>
    <w:rsid w:val="00427C65"/>
    <w:rsid w:val="00427CDA"/>
    <w:rsid w:val="00427DC9"/>
    <w:rsid w:val="00427F97"/>
    <w:rsid w:val="00427FD2"/>
    <w:rsid w:val="00427FF7"/>
    <w:rsid w:val="0043019A"/>
    <w:rsid w:val="00430323"/>
    <w:rsid w:val="0043038E"/>
    <w:rsid w:val="004303EB"/>
    <w:rsid w:val="00430448"/>
    <w:rsid w:val="004305C3"/>
    <w:rsid w:val="00430647"/>
    <w:rsid w:val="004307B2"/>
    <w:rsid w:val="00430850"/>
    <w:rsid w:val="004308B5"/>
    <w:rsid w:val="004308E4"/>
    <w:rsid w:val="00430A80"/>
    <w:rsid w:val="00430C86"/>
    <w:rsid w:val="00430D13"/>
    <w:rsid w:val="00430E7E"/>
    <w:rsid w:val="00430F04"/>
    <w:rsid w:val="00430FFD"/>
    <w:rsid w:val="0043101B"/>
    <w:rsid w:val="0043107C"/>
    <w:rsid w:val="00431268"/>
    <w:rsid w:val="00431808"/>
    <w:rsid w:val="00431816"/>
    <w:rsid w:val="00431968"/>
    <w:rsid w:val="0043198F"/>
    <w:rsid w:val="004319A0"/>
    <w:rsid w:val="00431C0A"/>
    <w:rsid w:val="00431C8A"/>
    <w:rsid w:val="00431EA2"/>
    <w:rsid w:val="004321C4"/>
    <w:rsid w:val="004321CC"/>
    <w:rsid w:val="004321CE"/>
    <w:rsid w:val="004323E4"/>
    <w:rsid w:val="004324A1"/>
    <w:rsid w:val="00432884"/>
    <w:rsid w:val="004328BD"/>
    <w:rsid w:val="00432AD7"/>
    <w:rsid w:val="00432B63"/>
    <w:rsid w:val="00432D03"/>
    <w:rsid w:val="00432E3F"/>
    <w:rsid w:val="00433078"/>
    <w:rsid w:val="004333EE"/>
    <w:rsid w:val="00433608"/>
    <w:rsid w:val="00433736"/>
    <w:rsid w:val="00433740"/>
    <w:rsid w:val="004337C5"/>
    <w:rsid w:val="0043394D"/>
    <w:rsid w:val="0043396B"/>
    <w:rsid w:val="004339C3"/>
    <w:rsid w:val="00433B75"/>
    <w:rsid w:val="00433B83"/>
    <w:rsid w:val="00433C50"/>
    <w:rsid w:val="00433D32"/>
    <w:rsid w:val="00433D45"/>
    <w:rsid w:val="00433F29"/>
    <w:rsid w:val="0043416A"/>
    <w:rsid w:val="004341CB"/>
    <w:rsid w:val="004342F8"/>
    <w:rsid w:val="0043430E"/>
    <w:rsid w:val="00434359"/>
    <w:rsid w:val="00434372"/>
    <w:rsid w:val="0043444A"/>
    <w:rsid w:val="0043444D"/>
    <w:rsid w:val="004344FC"/>
    <w:rsid w:val="004345BC"/>
    <w:rsid w:val="00434628"/>
    <w:rsid w:val="004347EB"/>
    <w:rsid w:val="00434857"/>
    <w:rsid w:val="00434878"/>
    <w:rsid w:val="0043488D"/>
    <w:rsid w:val="00434995"/>
    <w:rsid w:val="00434ACC"/>
    <w:rsid w:val="00434B70"/>
    <w:rsid w:val="00434BFC"/>
    <w:rsid w:val="00434C50"/>
    <w:rsid w:val="00434CD9"/>
    <w:rsid w:val="00434CFD"/>
    <w:rsid w:val="00434DF5"/>
    <w:rsid w:val="004350E5"/>
    <w:rsid w:val="0043520F"/>
    <w:rsid w:val="0043536E"/>
    <w:rsid w:val="00435476"/>
    <w:rsid w:val="004354ED"/>
    <w:rsid w:val="00435872"/>
    <w:rsid w:val="00435AF1"/>
    <w:rsid w:val="00435B6C"/>
    <w:rsid w:val="00435C0D"/>
    <w:rsid w:val="00435D5D"/>
    <w:rsid w:val="00435D95"/>
    <w:rsid w:val="00435E07"/>
    <w:rsid w:val="004363F0"/>
    <w:rsid w:val="004366B5"/>
    <w:rsid w:val="00436AC9"/>
    <w:rsid w:val="00436C25"/>
    <w:rsid w:val="00436DAE"/>
    <w:rsid w:val="00436DB6"/>
    <w:rsid w:val="00436F71"/>
    <w:rsid w:val="00436F7C"/>
    <w:rsid w:val="004370EE"/>
    <w:rsid w:val="0043719F"/>
    <w:rsid w:val="004372AB"/>
    <w:rsid w:val="00437312"/>
    <w:rsid w:val="0043734F"/>
    <w:rsid w:val="004373A8"/>
    <w:rsid w:val="00437827"/>
    <w:rsid w:val="00437B05"/>
    <w:rsid w:val="00437CED"/>
    <w:rsid w:val="00437E57"/>
    <w:rsid w:val="00437F9B"/>
    <w:rsid w:val="004400AF"/>
    <w:rsid w:val="004400E6"/>
    <w:rsid w:val="004400F9"/>
    <w:rsid w:val="0044028D"/>
    <w:rsid w:val="004402F1"/>
    <w:rsid w:val="00440487"/>
    <w:rsid w:val="004404BC"/>
    <w:rsid w:val="00440590"/>
    <w:rsid w:val="00440659"/>
    <w:rsid w:val="00440684"/>
    <w:rsid w:val="00440797"/>
    <w:rsid w:val="00440880"/>
    <w:rsid w:val="00440A07"/>
    <w:rsid w:val="00440C5A"/>
    <w:rsid w:val="00440D50"/>
    <w:rsid w:val="00440D8C"/>
    <w:rsid w:val="00440E6E"/>
    <w:rsid w:val="00440FA1"/>
    <w:rsid w:val="0044112C"/>
    <w:rsid w:val="0044112E"/>
    <w:rsid w:val="004412E7"/>
    <w:rsid w:val="004413E3"/>
    <w:rsid w:val="00441509"/>
    <w:rsid w:val="00441626"/>
    <w:rsid w:val="004418B5"/>
    <w:rsid w:val="00441905"/>
    <w:rsid w:val="00441906"/>
    <w:rsid w:val="00441B1E"/>
    <w:rsid w:val="00441B7B"/>
    <w:rsid w:val="00441B91"/>
    <w:rsid w:val="00441BAE"/>
    <w:rsid w:val="00441C25"/>
    <w:rsid w:val="00441EBA"/>
    <w:rsid w:val="00441F54"/>
    <w:rsid w:val="00441F66"/>
    <w:rsid w:val="00441FB1"/>
    <w:rsid w:val="00442120"/>
    <w:rsid w:val="0044216F"/>
    <w:rsid w:val="004421EB"/>
    <w:rsid w:val="00442209"/>
    <w:rsid w:val="00442256"/>
    <w:rsid w:val="0044230E"/>
    <w:rsid w:val="0044234F"/>
    <w:rsid w:val="00442433"/>
    <w:rsid w:val="00442758"/>
    <w:rsid w:val="00442785"/>
    <w:rsid w:val="00442863"/>
    <w:rsid w:val="00442A28"/>
    <w:rsid w:val="00442AAE"/>
    <w:rsid w:val="00442AEF"/>
    <w:rsid w:val="00442B3A"/>
    <w:rsid w:val="00442DEA"/>
    <w:rsid w:val="00442F3D"/>
    <w:rsid w:val="00443084"/>
    <w:rsid w:val="0044314C"/>
    <w:rsid w:val="00443498"/>
    <w:rsid w:val="004434AB"/>
    <w:rsid w:val="004434E9"/>
    <w:rsid w:val="004437E7"/>
    <w:rsid w:val="004438FE"/>
    <w:rsid w:val="00443A5B"/>
    <w:rsid w:val="00443A7E"/>
    <w:rsid w:val="00443B54"/>
    <w:rsid w:val="00443C95"/>
    <w:rsid w:val="00443D8E"/>
    <w:rsid w:val="00443DE5"/>
    <w:rsid w:val="00443E29"/>
    <w:rsid w:val="00443FA7"/>
    <w:rsid w:val="0044409D"/>
    <w:rsid w:val="004440C6"/>
    <w:rsid w:val="004440E7"/>
    <w:rsid w:val="004442E1"/>
    <w:rsid w:val="0044433B"/>
    <w:rsid w:val="0044442F"/>
    <w:rsid w:val="0044445F"/>
    <w:rsid w:val="0044455E"/>
    <w:rsid w:val="00444588"/>
    <w:rsid w:val="00444721"/>
    <w:rsid w:val="0044479A"/>
    <w:rsid w:val="004447DF"/>
    <w:rsid w:val="00444B6A"/>
    <w:rsid w:val="00444D09"/>
    <w:rsid w:val="00444E1D"/>
    <w:rsid w:val="00444F99"/>
    <w:rsid w:val="0044508D"/>
    <w:rsid w:val="00445430"/>
    <w:rsid w:val="00445562"/>
    <w:rsid w:val="004455FF"/>
    <w:rsid w:val="00445662"/>
    <w:rsid w:val="004456EE"/>
    <w:rsid w:val="0044572E"/>
    <w:rsid w:val="004457A4"/>
    <w:rsid w:val="004458AD"/>
    <w:rsid w:val="004458D1"/>
    <w:rsid w:val="0044599D"/>
    <w:rsid w:val="004459CF"/>
    <w:rsid w:val="00445B9E"/>
    <w:rsid w:val="00445BFD"/>
    <w:rsid w:val="00445D9C"/>
    <w:rsid w:val="00445DAB"/>
    <w:rsid w:val="00445F43"/>
    <w:rsid w:val="00446298"/>
    <w:rsid w:val="00446433"/>
    <w:rsid w:val="00446450"/>
    <w:rsid w:val="0044654B"/>
    <w:rsid w:val="004465E3"/>
    <w:rsid w:val="0044660F"/>
    <w:rsid w:val="004466BB"/>
    <w:rsid w:val="004467E8"/>
    <w:rsid w:val="00446878"/>
    <w:rsid w:val="0044688B"/>
    <w:rsid w:val="00446947"/>
    <w:rsid w:val="00446B3F"/>
    <w:rsid w:val="00446C0D"/>
    <w:rsid w:val="00446C45"/>
    <w:rsid w:val="00446C8E"/>
    <w:rsid w:val="00446E30"/>
    <w:rsid w:val="00446F26"/>
    <w:rsid w:val="00447096"/>
    <w:rsid w:val="00447165"/>
    <w:rsid w:val="004472E3"/>
    <w:rsid w:val="0044733C"/>
    <w:rsid w:val="0044758C"/>
    <w:rsid w:val="00447656"/>
    <w:rsid w:val="004476CD"/>
    <w:rsid w:val="0044775F"/>
    <w:rsid w:val="0044786D"/>
    <w:rsid w:val="00447A1E"/>
    <w:rsid w:val="00447A31"/>
    <w:rsid w:val="00447A35"/>
    <w:rsid w:val="00447A46"/>
    <w:rsid w:val="00447B03"/>
    <w:rsid w:val="00450197"/>
    <w:rsid w:val="004501E0"/>
    <w:rsid w:val="0045020A"/>
    <w:rsid w:val="00450291"/>
    <w:rsid w:val="004502DB"/>
    <w:rsid w:val="0045045F"/>
    <w:rsid w:val="004505B7"/>
    <w:rsid w:val="004505FD"/>
    <w:rsid w:val="00450651"/>
    <w:rsid w:val="0045083F"/>
    <w:rsid w:val="0045090E"/>
    <w:rsid w:val="00450929"/>
    <w:rsid w:val="004509D7"/>
    <w:rsid w:val="00450A8E"/>
    <w:rsid w:val="00450CB4"/>
    <w:rsid w:val="00450DE7"/>
    <w:rsid w:val="00450DF6"/>
    <w:rsid w:val="00450E13"/>
    <w:rsid w:val="00450EC5"/>
    <w:rsid w:val="00450FBE"/>
    <w:rsid w:val="004510A4"/>
    <w:rsid w:val="00451183"/>
    <w:rsid w:val="00451406"/>
    <w:rsid w:val="0045144A"/>
    <w:rsid w:val="0045168D"/>
    <w:rsid w:val="004518A1"/>
    <w:rsid w:val="004518AB"/>
    <w:rsid w:val="0045195B"/>
    <w:rsid w:val="00451972"/>
    <w:rsid w:val="004519DB"/>
    <w:rsid w:val="00451B7E"/>
    <w:rsid w:val="00451DED"/>
    <w:rsid w:val="00451E45"/>
    <w:rsid w:val="00451EB1"/>
    <w:rsid w:val="00451F9D"/>
    <w:rsid w:val="00452000"/>
    <w:rsid w:val="0045204C"/>
    <w:rsid w:val="00452105"/>
    <w:rsid w:val="004524F8"/>
    <w:rsid w:val="0045252A"/>
    <w:rsid w:val="004525B9"/>
    <w:rsid w:val="004526DB"/>
    <w:rsid w:val="00452724"/>
    <w:rsid w:val="00452B3D"/>
    <w:rsid w:val="00452BC2"/>
    <w:rsid w:val="00452C2F"/>
    <w:rsid w:val="00452D7B"/>
    <w:rsid w:val="00452EE2"/>
    <w:rsid w:val="00452FF8"/>
    <w:rsid w:val="0045301A"/>
    <w:rsid w:val="00453199"/>
    <w:rsid w:val="004531A0"/>
    <w:rsid w:val="00453466"/>
    <w:rsid w:val="00453880"/>
    <w:rsid w:val="0045395E"/>
    <w:rsid w:val="004539FA"/>
    <w:rsid w:val="00453A05"/>
    <w:rsid w:val="00453A5B"/>
    <w:rsid w:val="00453AC4"/>
    <w:rsid w:val="00453AF2"/>
    <w:rsid w:val="00453C43"/>
    <w:rsid w:val="00453D3F"/>
    <w:rsid w:val="00453D7F"/>
    <w:rsid w:val="00453E6E"/>
    <w:rsid w:val="00453EBE"/>
    <w:rsid w:val="00453EC0"/>
    <w:rsid w:val="0045408C"/>
    <w:rsid w:val="004542D7"/>
    <w:rsid w:val="00454340"/>
    <w:rsid w:val="00454377"/>
    <w:rsid w:val="0045439F"/>
    <w:rsid w:val="00454416"/>
    <w:rsid w:val="00454604"/>
    <w:rsid w:val="0045462B"/>
    <w:rsid w:val="00454685"/>
    <w:rsid w:val="004546F2"/>
    <w:rsid w:val="004547A5"/>
    <w:rsid w:val="00454807"/>
    <w:rsid w:val="0045480E"/>
    <w:rsid w:val="00454A37"/>
    <w:rsid w:val="00454ABD"/>
    <w:rsid w:val="00454B26"/>
    <w:rsid w:val="00454BDC"/>
    <w:rsid w:val="00454EB8"/>
    <w:rsid w:val="00454F3B"/>
    <w:rsid w:val="00455021"/>
    <w:rsid w:val="0045503A"/>
    <w:rsid w:val="00455226"/>
    <w:rsid w:val="004552E0"/>
    <w:rsid w:val="00455413"/>
    <w:rsid w:val="004554D4"/>
    <w:rsid w:val="004554F0"/>
    <w:rsid w:val="004555B5"/>
    <w:rsid w:val="004555C1"/>
    <w:rsid w:val="004556FB"/>
    <w:rsid w:val="00455780"/>
    <w:rsid w:val="004557D9"/>
    <w:rsid w:val="00455848"/>
    <w:rsid w:val="00455862"/>
    <w:rsid w:val="004558A7"/>
    <w:rsid w:val="00455997"/>
    <w:rsid w:val="00455AA2"/>
    <w:rsid w:val="00455B17"/>
    <w:rsid w:val="00455BD9"/>
    <w:rsid w:val="00455BF6"/>
    <w:rsid w:val="00455D62"/>
    <w:rsid w:val="00455DD3"/>
    <w:rsid w:val="0045601F"/>
    <w:rsid w:val="00456143"/>
    <w:rsid w:val="004564F1"/>
    <w:rsid w:val="0045657E"/>
    <w:rsid w:val="00456584"/>
    <w:rsid w:val="004567EA"/>
    <w:rsid w:val="004569C4"/>
    <w:rsid w:val="004569EE"/>
    <w:rsid w:val="00456AB7"/>
    <w:rsid w:val="00456B60"/>
    <w:rsid w:val="00456BD5"/>
    <w:rsid w:val="00456F7B"/>
    <w:rsid w:val="004571C5"/>
    <w:rsid w:val="004571E8"/>
    <w:rsid w:val="0045727B"/>
    <w:rsid w:val="004572DF"/>
    <w:rsid w:val="0045732B"/>
    <w:rsid w:val="00457342"/>
    <w:rsid w:val="004573AB"/>
    <w:rsid w:val="00457411"/>
    <w:rsid w:val="00457669"/>
    <w:rsid w:val="004578AD"/>
    <w:rsid w:val="004579A3"/>
    <w:rsid w:val="004579E2"/>
    <w:rsid w:val="00457B7E"/>
    <w:rsid w:val="00457BE1"/>
    <w:rsid w:val="00457D35"/>
    <w:rsid w:val="0045F0E8"/>
    <w:rsid w:val="00460017"/>
    <w:rsid w:val="004603C9"/>
    <w:rsid w:val="004603F3"/>
    <w:rsid w:val="004604F8"/>
    <w:rsid w:val="004605AE"/>
    <w:rsid w:val="004605B7"/>
    <w:rsid w:val="00460633"/>
    <w:rsid w:val="0046068B"/>
    <w:rsid w:val="00460B57"/>
    <w:rsid w:val="00460BCE"/>
    <w:rsid w:val="00460BF9"/>
    <w:rsid w:val="00460C0C"/>
    <w:rsid w:val="00460C63"/>
    <w:rsid w:val="00460D11"/>
    <w:rsid w:val="00460F54"/>
    <w:rsid w:val="00460F66"/>
    <w:rsid w:val="0046107A"/>
    <w:rsid w:val="00461188"/>
    <w:rsid w:val="0046137C"/>
    <w:rsid w:val="004613B0"/>
    <w:rsid w:val="0046146B"/>
    <w:rsid w:val="004614EC"/>
    <w:rsid w:val="00461516"/>
    <w:rsid w:val="0046174D"/>
    <w:rsid w:val="004617B7"/>
    <w:rsid w:val="0046197C"/>
    <w:rsid w:val="004619C6"/>
    <w:rsid w:val="00461A46"/>
    <w:rsid w:val="00461A53"/>
    <w:rsid w:val="00461A91"/>
    <w:rsid w:val="00461E8C"/>
    <w:rsid w:val="004620E0"/>
    <w:rsid w:val="0046235D"/>
    <w:rsid w:val="0046240A"/>
    <w:rsid w:val="00462774"/>
    <w:rsid w:val="00462B9F"/>
    <w:rsid w:val="00462BA5"/>
    <w:rsid w:val="00462BE0"/>
    <w:rsid w:val="00462CF5"/>
    <w:rsid w:val="00462CFA"/>
    <w:rsid w:val="00462DDC"/>
    <w:rsid w:val="00462F55"/>
    <w:rsid w:val="00463182"/>
    <w:rsid w:val="004631E3"/>
    <w:rsid w:val="00463226"/>
    <w:rsid w:val="00463511"/>
    <w:rsid w:val="004635DC"/>
    <w:rsid w:val="00463601"/>
    <w:rsid w:val="004636A7"/>
    <w:rsid w:val="00463725"/>
    <w:rsid w:val="004637AB"/>
    <w:rsid w:val="00463DAB"/>
    <w:rsid w:val="00463F2C"/>
    <w:rsid w:val="00463FAB"/>
    <w:rsid w:val="00464204"/>
    <w:rsid w:val="0046425C"/>
    <w:rsid w:val="00464398"/>
    <w:rsid w:val="004643AC"/>
    <w:rsid w:val="00464512"/>
    <w:rsid w:val="00464588"/>
    <w:rsid w:val="004645BB"/>
    <w:rsid w:val="004645DD"/>
    <w:rsid w:val="004647B0"/>
    <w:rsid w:val="004647BB"/>
    <w:rsid w:val="0046487F"/>
    <w:rsid w:val="00464891"/>
    <w:rsid w:val="004648D3"/>
    <w:rsid w:val="00464A34"/>
    <w:rsid w:val="00464C29"/>
    <w:rsid w:val="00464C57"/>
    <w:rsid w:val="00464D11"/>
    <w:rsid w:val="00465057"/>
    <w:rsid w:val="004650B8"/>
    <w:rsid w:val="004651E4"/>
    <w:rsid w:val="004652BC"/>
    <w:rsid w:val="004653DB"/>
    <w:rsid w:val="004654AF"/>
    <w:rsid w:val="00465514"/>
    <w:rsid w:val="0046556F"/>
    <w:rsid w:val="00465573"/>
    <w:rsid w:val="00465782"/>
    <w:rsid w:val="004659C7"/>
    <w:rsid w:val="00465B97"/>
    <w:rsid w:val="00465BEF"/>
    <w:rsid w:val="00465D1B"/>
    <w:rsid w:val="00465DED"/>
    <w:rsid w:val="004660FA"/>
    <w:rsid w:val="0046617F"/>
    <w:rsid w:val="004661CF"/>
    <w:rsid w:val="004663FE"/>
    <w:rsid w:val="004665A9"/>
    <w:rsid w:val="00466621"/>
    <w:rsid w:val="00466624"/>
    <w:rsid w:val="004667EE"/>
    <w:rsid w:val="00466801"/>
    <w:rsid w:val="00466844"/>
    <w:rsid w:val="004668BF"/>
    <w:rsid w:val="0046691A"/>
    <w:rsid w:val="00466CD2"/>
    <w:rsid w:val="00466D1F"/>
    <w:rsid w:val="00466F2C"/>
    <w:rsid w:val="00466FE6"/>
    <w:rsid w:val="004670E8"/>
    <w:rsid w:val="00467172"/>
    <w:rsid w:val="00467265"/>
    <w:rsid w:val="00467288"/>
    <w:rsid w:val="00467339"/>
    <w:rsid w:val="00467476"/>
    <w:rsid w:val="00467662"/>
    <w:rsid w:val="00467E17"/>
    <w:rsid w:val="00467E8E"/>
    <w:rsid w:val="00467F01"/>
    <w:rsid w:val="0047005B"/>
    <w:rsid w:val="0047029B"/>
    <w:rsid w:val="004702B7"/>
    <w:rsid w:val="004703DB"/>
    <w:rsid w:val="004705CE"/>
    <w:rsid w:val="0047064F"/>
    <w:rsid w:val="004709E4"/>
    <w:rsid w:val="00470A6D"/>
    <w:rsid w:val="00470A79"/>
    <w:rsid w:val="00470A9F"/>
    <w:rsid w:val="00470C62"/>
    <w:rsid w:val="00470C9D"/>
    <w:rsid w:val="00470DEE"/>
    <w:rsid w:val="00470E1F"/>
    <w:rsid w:val="00470E52"/>
    <w:rsid w:val="004710B2"/>
    <w:rsid w:val="00471515"/>
    <w:rsid w:val="00471534"/>
    <w:rsid w:val="0047166A"/>
    <w:rsid w:val="004716BC"/>
    <w:rsid w:val="004716D4"/>
    <w:rsid w:val="00471785"/>
    <w:rsid w:val="0047189D"/>
    <w:rsid w:val="004718F7"/>
    <w:rsid w:val="0047190B"/>
    <w:rsid w:val="004719A9"/>
    <w:rsid w:val="00471B6F"/>
    <w:rsid w:val="00471BDE"/>
    <w:rsid w:val="00471CBC"/>
    <w:rsid w:val="00471CEE"/>
    <w:rsid w:val="00471DA7"/>
    <w:rsid w:val="00471DF9"/>
    <w:rsid w:val="00471E00"/>
    <w:rsid w:val="00471E66"/>
    <w:rsid w:val="00471FBE"/>
    <w:rsid w:val="00471FCA"/>
    <w:rsid w:val="00471FE8"/>
    <w:rsid w:val="0047201D"/>
    <w:rsid w:val="004722D1"/>
    <w:rsid w:val="004722FA"/>
    <w:rsid w:val="00472369"/>
    <w:rsid w:val="00472488"/>
    <w:rsid w:val="004725B5"/>
    <w:rsid w:val="004727D8"/>
    <w:rsid w:val="004727ED"/>
    <w:rsid w:val="004728D6"/>
    <w:rsid w:val="004728F1"/>
    <w:rsid w:val="00472BB1"/>
    <w:rsid w:val="00472CCA"/>
    <w:rsid w:val="00472DF1"/>
    <w:rsid w:val="00472F46"/>
    <w:rsid w:val="00473362"/>
    <w:rsid w:val="004733C6"/>
    <w:rsid w:val="004734AA"/>
    <w:rsid w:val="00473682"/>
    <w:rsid w:val="0047381D"/>
    <w:rsid w:val="00473854"/>
    <w:rsid w:val="00473A8C"/>
    <w:rsid w:val="00473ACF"/>
    <w:rsid w:val="00473B8D"/>
    <w:rsid w:val="00473C66"/>
    <w:rsid w:val="00473E8D"/>
    <w:rsid w:val="00473E8E"/>
    <w:rsid w:val="00473FC1"/>
    <w:rsid w:val="004740BD"/>
    <w:rsid w:val="00474181"/>
    <w:rsid w:val="00474216"/>
    <w:rsid w:val="0047436C"/>
    <w:rsid w:val="0047439D"/>
    <w:rsid w:val="004743F9"/>
    <w:rsid w:val="004745F8"/>
    <w:rsid w:val="0047468A"/>
    <w:rsid w:val="004747A4"/>
    <w:rsid w:val="004747B2"/>
    <w:rsid w:val="004748FE"/>
    <w:rsid w:val="0047490D"/>
    <w:rsid w:val="00474C1A"/>
    <w:rsid w:val="00474E36"/>
    <w:rsid w:val="00475096"/>
    <w:rsid w:val="00475104"/>
    <w:rsid w:val="0047514B"/>
    <w:rsid w:val="0047520F"/>
    <w:rsid w:val="00475376"/>
    <w:rsid w:val="004755DB"/>
    <w:rsid w:val="0047560E"/>
    <w:rsid w:val="00475761"/>
    <w:rsid w:val="0047584F"/>
    <w:rsid w:val="00475947"/>
    <w:rsid w:val="00475991"/>
    <w:rsid w:val="00475BB1"/>
    <w:rsid w:val="00475C5F"/>
    <w:rsid w:val="00475E6C"/>
    <w:rsid w:val="004760E7"/>
    <w:rsid w:val="004763AA"/>
    <w:rsid w:val="0047640B"/>
    <w:rsid w:val="004764D7"/>
    <w:rsid w:val="00476599"/>
    <w:rsid w:val="004765B9"/>
    <w:rsid w:val="00476625"/>
    <w:rsid w:val="004766DE"/>
    <w:rsid w:val="004767DE"/>
    <w:rsid w:val="00476862"/>
    <w:rsid w:val="004768E7"/>
    <w:rsid w:val="0047697C"/>
    <w:rsid w:val="004769A3"/>
    <w:rsid w:val="00476A1D"/>
    <w:rsid w:val="00476ABF"/>
    <w:rsid w:val="00476B8E"/>
    <w:rsid w:val="00476C53"/>
    <w:rsid w:val="004770FA"/>
    <w:rsid w:val="00477368"/>
    <w:rsid w:val="00477695"/>
    <w:rsid w:val="004777F0"/>
    <w:rsid w:val="004778D4"/>
    <w:rsid w:val="00477923"/>
    <w:rsid w:val="00477B55"/>
    <w:rsid w:val="00477BDA"/>
    <w:rsid w:val="00477D23"/>
    <w:rsid w:val="00477DFA"/>
    <w:rsid w:val="00477E5D"/>
    <w:rsid w:val="00477EBA"/>
    <w:rsid w:val="00477EBF"/>
    <w:rsid w:val="00477ECA"/>
    <w:rsid w:val="00477EE2"/>
    <w:rsid w:val="00477F9C"/>
    <w:rsid w:val="004800C8"/>
    <w:rsid w:val="00480107"/>
    <w:rsid w:val="0048011E"/>
    <w:rsid w:val="0048023F"/>
    <w:rsid w:val="00480310"/>
    <w:rsid w:val="0048040E"/>
    <w:rsid w:val="00480463"/>
    <w:rsid w:val="0048051D"/>
    <w:rsid w:val="004805BF"/>
    <w:rsid w:val="004805C3"/>
    <w:rsid w:val="004807FF"/>
    <w:rsid w:val="004808F8"/>
    <w:rsid w:val="00480A24"/>
    <w:rsid w:val="00480AAB"/>
    <w:rsid w:val="00480AC3"/>
    <w:rsid w:val="00480BA6"/>
    <w:rsid w:val="00480C1B"/>
    <w:rsid w:val="00480D2F"/>
    <w:rsid w:val="00480D9D"/>
    <w:rsid w:val="00480DBA"/>
    <w:rsid w:val="00480E50"/>
    <w:rsid w:val="00480E9B"/>
    <w:rsid w:val="00480EAA"/>
    <w:rsid w:val="00480F48"/>
    <w:rsid w:val="0048113A"/>
    <w:rsid w:val="004811D8"/>
    <w:rsid w:val="00481267"/>
    <w:rsid w:val="004812A6"/>
    <w:rsid w:val="004812FD"/>
    <w:rsid w:val="00481355"/>
    <w:rsid w:val="004814C9"/>
    <w:rsid w:val="0048150C"/>
    <w:rsid w:val="0048154F"/>
    <w:rsid w:val="0048179E"/>
    <w:rsid w:val="004817AA"/>
    <w:rsid w:val="004818F4"/>
    <w:rsid w:val="004819BA"/>
    <w:rsid w:val="00481CD9"/>
    <w:rsid w:val="00481CFB"/>
    <w:rsid w:val="00481D90"/>
    <w:rsid w:val="00481ED9"/>
    <w:rsid w:val="00481F0C"/>
    <w:rsid w:val="00481FCE"/>
    <w:rsid w:val="00481FD0"/>
    <w:rsid w:val="0048212B"/>
    <w:rsid w:val="0048219E"/>
    <w:rsid w:val="00482322"/>
    <w:rsid w:val="004823EB"/>
    <w:rsid w:val="004823F7"/>
    <w:rsid w:val="0048245C"/>
    <w:rsid w:val="004824C0"/>
    <w:rsid w:val="004826E2"/>
    <w:rsid w:val="004826F9"/>
    <w:rsid w:val="004827DD"/>
    <w:rsid w:val="00482942"/>
    <w:rsid w:val="00482977"/>
    <w:rsid w:val="00482A23"/>
    <w:rsid w:val="00482AA1"/>
    <w:rsid w:val="00482AF7"/>
    <w:rsid w:val="00482D87"/>
    <w:rsid w:val="00482DAC"/>
    <w:rsid w:val="00482E58"/>
    <w:rsid w:val="00483043"/>
    <w:rsid w:val="00483087"/>
    <w:rsid w:val="0048308B"/>
    <w:rsid w:val="0048328E"/>
    <w:rsid w:val="00483381"/>
    <w:rsid w:val="0048342A"/>
    <w:rsid w:val="004834E8"/>
    <w:rsid w:val="0048352C"/>
    <w:rsid w:val="004836DD"/>
    <w:rsid w:val="00483807"/>
    <w:rsid w:val="00483810"/>
    <w:rsid w:val="0048385A"/>
    <w:rsid w:val="00483941"/>
    <w:rsid w:val="00483942"/>
    <w:rsid w:val="00483A72"/>
    <w:rsid w:val="00483AC0"/>
    <w:rsid w:val="00483CFB"/>
    <w:rsid w:val="00483DCD"/>
    <w:rsid w:val="00483DED"/>
    <w:rsid w:val="00483E4C"/>
    <w:rsid w:val="00483E50"/>
    <w:rsid w:val="00484007"/>
    <w:rsid w:val="00484011"/>
    <w:rsid w:val="00484359"/>
    <w:rsid w:val="00484567"/>
    <w:rsid w:val="0048459C"/>
    <w:rsid w:val="0048499C"/>
    <w:rsid w:val="00484AFD"/>
    <w:rsid w:val="00484B21"/>
    <w:rsid w:val="00484B32"/>
    <w:rsid w:val="00484CFB"/>
    <w:rsid w:val="0048515A"/>
    <w:rsid w:val="0048520E"/>
    <w:rsid w:val="004853AD"/>
    <w:rsid w:val="0048564E"/>
    <w:rsid w:val="004856BC"/>
    <w:rsid w:val="004858BD"/>
    <w:rsid w:val="004859C6"/>
    <w:rsid w:val="00485D13"/>
    <w:rsid w:val="00485D37"/>
    <w:rsid w:val="00485DA7"/>
    <w:rsid w:val="00485EB9"/>
    <w:rsid w:val="00485F15"/>
    <w:rsid w:val="00486059"/>
    <w:rsid w:val="0048606E"/>
    <w:rsid w:val="00486110"/>
    <w:rsid w:val="0048629F"/>
    <w:rsid w:val="00486436"/>
    <w:rsid w:val="0048646A"/>
    <w:rsid w:val="0048673F"/>
    <w:rsid w:val="00486866"/>
    <w:rsid w:val="00486D21"/>
    <w:rsid w:val="00486D61"/>
    <w:rsid w:val="00486D8E"/>
    <w:rsid w:val="00486E35"/>
    <w:rsid w:val="00486E74"/>
    <w:rsid w:val="00486FBB"/>
    <w:rsid w:val="00487116"/>
    <w:rsid w:val="00487126"/>
    <w:rsid w:val="00487519"/>
    <w:rsid w:val="0048751B"/>
    <w:rsid w:val="00487560"/>
    <w:rsid w:val="0048758A"/>
    <w:rsid w:val="004877B7"/>
    <w:rsid w:val="004877ED"/>
    <w:rsid w:val="00487AC3"/>
    <w:rsid w:val="00487B08"/>
    <w:rsid w:val="00487B4D"/>
    <w:rsid w:val="00487C81"/>
    <w:rsid w:val="00487E45"/>
    <w:rsid w:val="00487FB7"/>
    <w:rsid w:val="0048AA3B"/>
    <w:rsid w:val="0049000B"/>
    <w:rsid w:val="0049001A"/>
    <w:rsid w:val="0049005C"/>
    <w:rsid w:val="004902AB"/>
    <w:rsid w:val="00490373"/>
    <w:rsid w:val="004903A1"/>
    <w:rsid w:val="004903EA"/>
    <w:rsid w:val="004903FC"/>
    <w:rsid w:val="00490480"/>
    <w:rsid w:val="00490515"/>
    <w:rsid w:val="00490597"/>
    <w:rsid w:val="004906BE"/>
    <w:rsid w:val="0049074D"/>
    <w:rsid w:val="004908F7"/>
    <w:rsid w:val="00490987"/>
    <w:rsid w:val="00490AB4"/>
    <w:rsid w:val="00490AE2"/>
    <w:rsid w:val="00490BE2"/>
    <w:rsid w:val="00490D00"/>
    <w:rsid w:val="00490D7C"/>
    <w:rsid w:val="00490DDA"/>
    <w:rsid w:val="00490E59"/>
    <w:rsid w:val="00490F4D"/>
    <w:rsid w:val="00491124"/>
    <w:rsid w:val="004911C8"/>
    <w:rsid w:val="00491452"/>
    <w:rsid w:val="004914C7"/>
    <w:rsid w:val="0049151B"/>
    <w:rsid w:val="004916DF"/>
    <w:rsid w:val="0049188E"/>
    <w:rsid w:val="004918BF"/>
    <w:rsid w:val="004918C8"/>
    <w:rsid w:val="0049190F"/>
    <w:rsid w:val="0049191F"/>
    <w:rsid w:val="00491A2C"/>
    <w:rsid w:val="00491B0A"/>
    <w:rsid w:val="00491BDC"/>
    <w:rsid w:val="00491D82"/>
    <w:rsid w:val="00491DDC"/>
    <w:rsid w:val="00491E41"/>
    <w:rsid w:val="00491F29"/>
    <w:rsid w:val="00492099"/>
    <w:rsid w:val="004920DD"/>
    <w:rsid w:val="00492175"/>
    <w:rsid w:val="00492179"/>
    <w:rsid w:val="00492263"/>
    <w:rsid w:val="0049230F"/>
    <w:rsid w:val="00492340"/>
    <w:rsid w:val="0049241A"/>
    <w:rsid w:val="0049255C"/>
    <w:rsid w:val="004925EB"/>
    <w:rsid w:val="004926D0"/>
    <w:rsid w:val="004926DE"/>
    <w:rsid w:val="0049273C"/>
    <w:rsid w:val="00492807"/>
    <w:rsid w:val="004928BD"/>
    <w:rsid w:val="00492A73"/>
    <w:rsid w:val="00492AB4"/>
    <w:rsid w:val="00492BFB"/>
    <w:rsid w:val="00492EAB"/>
    <w:rsid w:val="00492F51"/>
    <w:rsid w:val="00492F64"/>
    <w:rsid w:val="00492F70"/>
    <w:rsid w:val="00492FC0"/>
    <w:rsid w:val="0049305D"/>
    <w:rsid w:val="004930F8"/>
    <w:rsid w:val="00493110"/>
    <w:rsid w:val="00493114"/>
    <w:rsid w:val="004931E3"/>
    <w:rsid w:val="00493261"/>
    <w:rsid w:val="004932F1"/>
    <w:rsid w:val="0049339C"/>
    <w:rsid w:val="004933B4"/>
    <w:rsid w:val="0049355C"/>
    <w:rsid w:val="00493767"/>
    <w:rsid w:val="0049395C"/>
    <w:rsid w:val="00493A09"/>
    <w:rsid w:val="00493A22"/>
    <w:rsid w:val="00493A6A"/>
    <w:rsid w:val="00493B64"/>
    <w:rsid w:val="00493CFA"/>
    <w:rsid w:val="00493D0D"/>
    <w:rsid w:val="00493D47"/>
    <w:rsid w:val="00493E7A"/>
    <w:rsid w:val="00493E99"/>
    <w:rsid w:val="00493F10"/>
    <w:rsid w:val="00493F80"/>
    <w:rsid w:val="00494259"/>
    <w:rsid w:val="00494443"/>
    <w:rsid w:val="0049456A"/>
    <w:rsid w:val="004945F2"/>
    <w:rsid w:val="00494764"/>
    <w:rsid w:val="004947DE"/>
    <w:rsid w:val="0049480B"/>
    <w:rsid w:val="00494A57"/>
    <w:rsid w:val="00494BA8"/>
    <w:rsid w:val="00494D10"/>
    <w:rsid w:val="00494D6F"/>
    <w:rsid w:val="00494D92"/>
    <w:rsid w:val="00494EEE"/>
    <w:rsid w:val="00494F0E"/>
    <w:rsid w:val="00494FAE"/>
    <w:rsid w:val="00494FFD"/>
    <w:rsid w:val="0049525A"/>
    <w:rsid w:val="00495286"/>
    <w:rsid w:val="00495344"/>
    <w:rsid w:val="0049548A"/>
    <w:rsid w:val="004956E4"/>
    <w:rsid w:val="00495709"/>
    <w:rsid w:val="004957EE"/>
    <w:rsid w:val="0049582E"/>
    <w:rsid w:val="004959D9"/>
    <w:rsid w:val="00495AE7"/>
    <w:rsid w:val="00495C49"/>
    <w:rsid w:val="00495D77"/>
    <w:rsid w:val="00496209"/>
    <w:rsid w:val="00496244"/>
    <w:rsid w:val="00496259"/>
    <w:rsid w:val="00496353"/>
    <w:rsid w:val="004963BA"/>
    <w:rsid w:val="004963BB"/>
    <w:rsid w:val="004964B9"/>
    <w:rsid w:val="004964BF"/>
    <w:rsid w:val="00496505"/>
    <w:rsid w:val="00496630"/>
    <w:rsid w:val="00496663"/>
    <w:rsid w:val="004966C3"/>
    <w:rsid w:val="004969A6"/>
    <w:rsid w:val="004969C6"/>
    <w:rsid w:val="00496AC9"/>
    <w:rsid w:val="00496B10"/>
    <w:rsid w:val="00496B68"/>
    <w:rsid w:val="00496C0E"/>
    <w:rsid w:val="00496E7B"/>
    <w:rsid w:val="00496E80"/>
    <w:rsid w:val="00497018"/>
    <w:rsid w:val="00497057"/>
    <w:rsid w:val="004971FE"/>
    <w:rsid w:val="004972BA"/>
    <w:rsid w:val="004973CE"/>
    <w:rsid w:val="004973CF"/>
    <w:rsid w:val="004976B7"/>
    <w:rsid w:val="004976F3"/>
    <w:rsid w:val="00497743"/>
    <w:rsid w:val="00497807"/>
    <w:rsid w:val="0049781F"/>
    <w:rsid w:val="004979C9"/>
    <w:rsid w:val="00497A6A"/>
    <w:rsid w:val="00497B65"/>
    <w:rsid w:val="00497B88"/>
    <w:rsid w:val="00497C03"/>
    <w:rsid w:val="004A0314"/>
    <w:rsid w:val="004A033D"/>
    <w:rsid w:val="004A03A4"/>
    <w:rsid w:val="004A0578"/>
    <w:rsid w:val="004A05B8"/>
    <w:rsid w:val="004A0671"/>
    <w:rsid w:val="004A071B"/>
    <w:rsid w:val="004A072F"/>
    <w:rsid w:val="004A08FC"/>
    <w:rsid w:val="004A0A47"/>
    <w:rsid w:val="004A0B90"/>
    <w:rsid w:val="004A0C90"/>
    <w:rsid w:val="004A127F"/>
    <w:rsid w:val="004A12C3"/>
    <w:rsid w:val="004A14D0"/>
    <w:rsid w:val="004A14E1"/>
    <w:rsid w:val="004A16BF"/>
    <w:rsid w:val="004A17AD"/>
    <w:rsid w:val="004A1866"/>
    <w:rsid w:val="004A19EC"/>
    <w:rsid w:val="004A19FD"/>
    <w:rsid w:val="004A1BBC"/>
    <w:rsid w:val="004A1CC0"/>
    <w:rsid w:val="004A1CC3"/>
    <w:rsid w:val="004A1FA7"/>
    <w:rsid w:val="004A2018"/>
    <w:rsid w:val="004A20A2"/>
    <w:rsid w:val="004A21BB"/>
    <w:rsid w:val="004A21F1"/>
    <w:rsid w:val="004A2259"/>
    <w:rsid w:val="004A24AE"/>
    <w:rsid w:val="004A257B"/>
    <w:rsid w:val="004A263D"/>
    <w:rsid w:val="004A286F"/>
    <w:rsid w:val="004A2B57"/>
    <w:rsid w:val="004A2C2E"/>
    <w:rsid w:val="004A2DD1"/>
    <w:rsid w:val="004A2F2E"/>
    <w:rsid w:val="004A308E"/>
    <w:rsid w:val="004A30D9"/>
    <w:rsid w:val="004A3233"/>
    <w:rsid w:val="004A3270"/>
    <w:rsid w:val="004A3366"/>
    <w:rsid w:val="004A33A7"/>
    <w:rsid w:val="004A359E"/>
    <w:rsid w:val="004A35BB"/>
    <w:rsid w:val="004A395C"/>
    <w:rsid w:val="004A39E9"/>
    <w:rsid w:val="004A3A43"/>
    <w:rsid w:val="004A3AD3"/>
    <w:rsid w:val="004A3BFD"/>
    <w:rsid w:val="004A3EE8"/>
    <w:rsid w:val="004A3F6B"/>
    <w:rsid w:val="004A41A9"/>
    <w:rsid w:val="004A41D2"/>
    <w:rsid w:val="004A4499"/>
    <w:rsid w:val="004A4567"/>
    <w:rsid w:val="004A46E0"/>
    <w:rsid w:val="004A4711"/>
    <w:rsid w:val="004A48C2"/>
    <w:rsid w:val="004A4905"/>
    <w:rsid w:val="004A494D"/>
    <w:rsid w:val="004A49DB"/>
    <w:rsid w:val="004A4B12"/>
    <w:rsid w:val="004A4C61"/>
    <w:rsid w:val="004A4CB3"/>
    <w:rsid w:val="004A4D23"/>
    <w:rsid w:val="004A4D41"/>
    <w:rsid w:val="004A4D58"/>
    <w:rsid w:val="004A4DF1"/>
    <w:rsid w:val="004A4FA9"/>
    <w:rsid w:val="004A5091"/>
    <w:rsid w:val="004A5171"/>
    <w:rsid w:val="004A51B3"/>
    <w:rsid w:val="004A52A6"/>
    <w:rsid w:val="004A5339"/>
    <w:rsid w:val="004A533D"/>
    <w:rsid w:val="004A5369"/>
    <w:rsid w:val="004A53CF"/>
    <w:rsid w:val="004A551C"/>
    <w:rsid w:val="004A565E"/>
    <w:rsid w:val="004A5668"/>
    <w:rsid w:val="004A580E"/>
    <w:rsid w:val="004A58C0"/>
    <w:rsid w:val="004A59A3"/>
    <w:rsid w:val="004A5AE0"/>
    <w:rsid w:val="004A5D69"/>
    <w:rsid w:val="004A5DC5"/>
    <w:rsid w:val="004A606B"/>
    <w:rsid w:val="004A6220"/>
    <w:rsid w:val="004A637D"/>
    <w:rsid w:val="004A648C"/>
    <w:rsid w:val="004A64BA"/>
    <w:rsid w:val="004A65CD"/>
    <w:rsid w:val="004A66C3"/>
    <w:rsid w:val="004A67D2"/>
    <w:rsid w:val="004A68E2"/>
    <w:rsid w:val="004A6980"/>
    <w:rsid w:val="004A6CEF"/>
    <w:rsid w:val="004A6E35"/>
    <w:rsid w:val="004A6EC7"/>
    <w:rsid w:val="004A6F80"/>
    <w:rsid w:val="004A6F98"/>
    <w:rsid w:val="004A7185"/>
    <w:rsid w:val="004A723B"/>
    <w:rsid w:val="004A72AB"/>
    <w:rsid w:val="004A73D5"/>
    <w:rsid w:val="004A74E8"/>
    <w:rsid w:val="004A75AB"/>
    <w:rsid w:val="004A7613"/>
    <w:rsid w:val="004A76E0"/>
    <w:rsid w:val="004A7A05"/>
    <w:rsid w:val="004A7DF3"/>
    <w:rsid w:val="004A7EB0"/>
    <w:rsid w:val="004B00D4"/>
    <w:rsid w:val="004B00DE"/>
    <w:rsid w:val="004B032F"/>
    <w:rsid w:val="004B058C"/>
    <w:rsid w:val="004B0654"/>
    <w:rsid w:val="004B0716"/>
    <w:rsid w:val="004B07E0"/>
    <w:rsid w:val="004B091B"/>
    <w:rsid w:val="004B0983"/>
    <w:rsid w:val="004B0ABE"/>
    <w:rsid w:val="004B0BF4"/>
    <w:rsid w:val="004B0C4B"/>
    <w:rsid w:val="004B0CF9"/>
    <w:rsid w:val="004B0DC0"/>
    <w:rsid w:val="004B0DCA"/>
    <w:rsid w:val="004B1118"/>
    <w:rsid w:val="004B12C1"/>
    <w:rsid w:val="004B1339"/>
    <w:rsid w:val="004B144A"/>
    <w:rsid w:val="004B14BF"/>
    <w:rsid w:val="004B152A"/>
    <w:rsid w:val="004B15AA"/>
    <w:rsid w:val="004B15C9"/>
    <w:rsid w:val="004B165A"/>
    <w:rsid w:val="004B16E6"/>
    <w:rsid w:val="004B1765"/>
    <w:rsid w:val="004B180D"/>
    <w:rsid w:val="004B181F"/>
    <w:rsid w:val="004B185F"/>
    <w:rsid w:val="004B1895"/>
    <w:rsid w:val="004B18AB"/>
    <w:rsid w:val="004B1D99"/>
    <w:rsid w:val="004B1EC7"/>
    <w:rsid w:val="004B202B"/>
    <w:rsid w:val="004B208A"/>
    <w:rsid w:val="004B2164"/>
    <w:rsid w:val="004B2388"/>
    <w:rsid w:val="004B25F7"/>
    <w:rsid w:val="004B2866"/>
    <w:rsid w:val="004B28F0"/>
    <w:rsid w:val="004B2A01"/>
    <w:rsid w:val="004B2BE8"/>
    <w:rsid w:val="004B2C1A"/>
    <w:rsid w:val="004B2CE7"/>
    <w:rsid w:val="004B2DAF"/>
    <w:rsid w:val="004B2DD4"/>
    <w:rsid w:val="004B2ED4"/>
    <w:rsid w:val="004B2F41"/>
    <w:rsid w:val="004B2F6A"/>
    <w:rsid w:val="004B30F3"/>
    <w:rsid w:val="004B3548"/>
    <w:rsid w:val="004B36BD"/>
    <w:rsid w:val="004B36EC"/>
    <w:rsid w:val="004B36F9"/>
    <w:rsid w:val="004B37FA"/>
    <w:rsid w:val="004B3871"/>
    <w:rsid w:val="004B3A0F"/>
    <w:rsid w:val="004B3AAE"/>
    <w:rsid w:val="004B3AB1"/>
    <w:rsid w:val="004B3ABE"/>
    <w:rsid w:val="004B3D5E"/>
    <w:rsid w:val="004B3D70"/>
    <w:rsid w:val="004B3DCF"/>
    <w:rsid w:val="004B4091"/>
    <w:rsid w:val="004B412A"/>
    <w:rsid w:val="004B417B"/>
    <w:rsid w:val="004B4285"/>
    <w:rsid w:val="004B43F9"/>
    <w:rsid w:val="004B47AE"/>
    <w:rsid w:val="004B486B"/>
    <w:rsid w:val="004B48FB"/>
    <w:rsid w:val="004B4C1E"/>
    <w:rsid w:val="004B4D03"/>
    <w:rsid w:val="004B4D68"/>
    <w:rsid w:val="004B4D7E"/>
    <w:rsid w:val="004B4E41"/>
    <w:rsid w:val="004B5120"/>
    <w:rsid w:val="004B51CB"/>
    <w:rsid w:val="004B5216"/>
    <w:rsid w:val="004B52D7"/>
    <w:rsid w:val="004B585D"/>
    <w:rsid w:val="004B58BF"/>
    <w:rsid w:val="004B5B5F"/>
    <w:rsid w:val="004B5B62"/>
    <w:rsid w:val="004B5BB7"/>
    <w:rsid w:val="004B5DA2"/>
    <w:rsid w:val="004B5F78"/>
    <w:rsid w:val="004B6042"/>
    <w:rsid w:val="004B64FA"/>
    <w:rsid w:val="004B668A"/>
    <w:rsid w:val="004B6711"/>
    <w:rsid w:val="004B676C"/>
    <w:rsid w:val="004B6880"/>
    <w:rsid w:val="004B6A74"/>
    <w:rsid w:val="004B6AAE"/>
    <w:rsid w:val="004B6AB3"/>
    <w:rsid w:val="004B6C6A"/>
    <w:rsid w:val="004B6E63"/>
    <w:rsid w:val="004B6FFF"/>
    <w:rsid w:val="004B717F"/>
    <w:rsid w:val="004B73BB"/>
    <w:rsid w:val="004B73CB"/>
    <w:rsid w:val="004B7420"/>
    <w:rsid w:val="004B75E7"/>
    <w:rsid w:val="004B7619"/>
    <w:rsid w:val="004B781A"/>
    <w:rsid w:val="004B78BF"/>
    <w:rsid w:val="004B78CF"/>
    <w:rsid w:val="004B7A97"/>
    <w:rsid w:val="004B7BB6"/>
    <w:rsid w:val="004B7D55"/>
    <w:rsid w:val="004B7DD4"/>
    <w:rsid w:val="004B7E4A"/>
    <w:rsid w:val="004B7F5A"/>
    <w:rsid w:val="004B7FDC"/>
    <w:rsid w:val="004C001E"/>
    <w:rsid w:val="004C0070"/>
    <w:rsid w:val="004C02DE"/>
    <w:rsid w:val="004C0437"/>
    <w:rsid w:val="004C0481"/>
    <w:rsid w:val="004C0554"/>
    <w:rsid w:val="004C0619"/>
    <w:rsid w:val="004C0649"/>
    <w:rsid w:val="004C0689"/>
    <w:rsid w:val="004C087F"/>
    <w:rsid w:val="004C0A4D"/>
    <w:rsid w:val="004C0A71"/>
    <w:rsid w:val="004C0E0E"/>
    <w:rsid w:val="004C0E10"/>
    <w:rsid w:val="004C123E"/>
    <w:rsid w:val="004C134B"/>
    <w:rsid w:val="004C1502"/>
    <w:rsid w:val="004C1528"/>
    <w:rsid w:val="004C1533"/>
    <w:rsid w:val="004C180C"/>
    <w:rsid w:val="004C181A"/>
    <w:rsid w:val="004C182B"/>
    <w:rsid w:val="004C19D9"/>
    <w:rsid w:val="004C19E2"/>
    <w:rsid w:val="004C1A2F"/>
    <w:rsid w:val="004C1FE8"/>
    <w:rsid w:val="004C2136"/>
    <w:rsid w:val="004C2274"/>
    <w:rsid w:val="004C23AF"/>
    <w:rsid w:val="004C23EE"/>
    <w:rsid w:val="004C2577"/>
    <w:rsid w:val="004C269D"/>
    <w:rsid w:val="004C26C7"/>
    <w:rsid w:val="004C2A24"/>
    <w:rsid w:val="004C2A40"/>
    <w:rsid w:val="004C2A9C"/>
    <w:rsid w:val="004C2C86"/>
    <w:rsid w:val="004C2DBA"/>
    <w:rsid w:val="004C2DCF"/>
    <w:rsid w:val="004C2E24"/>
    <w:rsid w:val="004C2E9E"/>
    <w:rsid w:val="004C2FD5"/>
    <w:rsid w:val="004C3069"/>
    <w:rsid w:val="004C337A"/>
    <w:rsid w:val="004C3461"/>
    <w:rsid w:val="004C3475"/>
    <w:rsid w:val="004C34C2"/>
    <w:rsid w:val="004C34F2"/>
    <w:rsid w:val="004C3514"/>
    <w:rsid w:val="004C376E"/>
    <w:rsid w:val="004C3BB4"/>
    <w:rsid w:val="004C3BDA"/>
    <w:rsid w:val="004C3C19"/>
    <w:rsid w:val="004C3E49"/>
    <w:rsid w:val="004C3ECA"/>
    <w:rsid w:val="004C3EE3"/>
    <w:rsid w:val="004C3FE4"/>
    <w:rsid w:val="004C41FF"/>
    <w:rsid w:val="004C4266"/>
    <w:rsid w:val="004C4335"/>
    <w:rsid w:val="004C4447"/>
    <w:rsid w:val="004C44C2"/>
    <w:rsid w:val="004C453C"/>
    <w:rsid w:val="004C4561"/>
    <w:rsid w:val="004C47A4"/>
    <w:rsid w:val="004C4840"/>
    <w:rsid w:val="004C48ED"/>
    <w:rsid w:val="004C48F8"/>
    <w:rsid w:val="004C4A52"/>
    <w:rsid w:val="004C4C06"/>
    <w:rsid w:val="004C4E54"/>
    <w:rsid w:val="004C4EDF"/>
    <w:rsid w:val="004C4F92"/>
    <w:rsid w:val="004C51BA"/>
    <w:rsid w:val="004C52BC"/>
    <w:rsid w:val="004C53C3"/>
    <w:rsid w:val="004C541C"/>
    <w:rsid w:val="004C544C"/>
    <w:rsid w:val="004C546D"/>
    <w:rsid w:val="004C54C9"/>
    <w:rsid w:val="004C5553"/>
    <w:rsid w:val="004C55E8"/>
    <w:rsid w:val="004C57E3"/>
    <w:rsid w:val="004C5867"/>
    <w:rsid w:val="004C5941"/>
    <w:rsid w:val="004C5D9D"/>
    <w:rsid w:val="004C5EF7"/>
    <w:rsid w:val="004C5FAA"/>
    <w:rsid w:val="004C5FFD"/>
    <w:rsid w:val="004C618B"/>
    <w:rsid w:val="004C6240"/>
    <w:rsid w:val="004C631C"/>
    <w:rsid w:val="004C68B9"/>
    <w:rsid w:val="004C6966"/>
    <w:rsid w:val="004C6A4E"/>
    <w:rsid w:val="004C6A7E"/>
    <w:rsid w:val="004C6A96"/>
    <w:rsid w:val="004C6B7B"/>
    <w:rsid w:val="004C6C0C"/>
    <w:rsid w:val="004C6D99"/>
    <w:rsid w:val="004C6DCD"/>
    <w:rsid w:val="004C6E01"/>
    <w:rsid w:val="004C6E7E"/>
    <w:rsid w:val="004C6FFD"/>
    <w:rsid w:val="004C7007"/>
    <w:rsid w:val="004C704E"/>
    <w:rsid w:val="004C70CE"/>
    <w:rsid w:val="004C7119"/>
    <w:rsid w:val="004C71A2"/>
    <w:rsid w:val="004C74AD"/>
    <w:rsid w:val="004C74CA"/>
    <w:rsid w:val="004C768B"/>
    <w:rsid w:val="004C7A8D"/>
    <w:rsid w:val="004C7EF2"/>
    <w:rsid w:val="004D0236"/>
    <w:rsid w:val="004D04D6"/>
    <w:rsid w:val="004D055D"/>
    <w:rsid w:val="004D06EF"/>
    <w:rsid w:val="004D0BD1"/>
    <w:rsid w:val="004D0C2F"/>
    <w:rsid w:val="004D0C34"/>
    <w:rsid w:val="004D10DA"/>
    <w:rsid w:val="004D110D"/>
    <w:rsid w:val="004D112D"/>
    <w:rsid w:val="004D11D3"/>
    <w:rsid w:val="004D13BF"/>
    <w:rsid w:val="004D1523"/>
    <w:rsid w:val="004D166F"/>
    <w:rsid w:val="004D168C"/>
    <w:rsid w:val="004D1828"/>
    <w:rsid w:val="004D1849"/>
    <w:rsid w:val="004D19F7"/>
    <w:rsid w:val="004D1A7C"/>
    <w:rsid w:val="004D1AC0"/>
    <w:rsid w:val="004D1B2F"/>
    <w:rsid w:val="004D1B50"/>
    <w:rsid w:val="004D1B97"/>
    <w:rsid w:val="004D1CEC"/>
    <w:rsid w:val="004D1E31"/>
    <w:rsid w:val="004D1E9E"/>
    <w:rsid w:val="004D1F65"/>
    <w:rsid w:val="004D2046"/>
    <w:rsid w:val="004D2181"/>
    <w:rsid w:val="004D2290"/>
    <w:rsid w:val="004D22E9"/>
    <w:rsid w:val="004D238F"/>
    <w:rsid w:val="004D23A4"/>
    <w:rsid w:val="004D244C"/>
    <w:rsid w:val="004D251A"/>
    <w:rsid w:val="004D2859"/>
    <w:rsid w:val="004D287E"/>
    <w:rsid w:val="004D29DB"/>
    <w:rsid w:val="004D2A10"/>
    <w:rsid w:val="004D2A13"/>
    <w:rsid w:val="004D2AEF"/>
    <w:rsid w:val="004D2B45"/>
    <w:rsid w:val="004D2C38"/>
    <w:rsid w:val="004D2C7C"/>
    <w:rsid w:val="004D2CF5"/>
    <w:rsid w:val="004D2D44"/>
    <w:rsid w:val="004D2D7C"/>
    <w:rsid w:val="004D2E12"/>
    <w:rsid w:val="004D334D"/>
    <w:rsid w:val="004D3398"/>
    <w:rsid w:val="004D34C7"/>
    <w:rsid w:val="004D3518"/>
    <w:rsid w:val="004D3631"/>
    <w:rsid w:val="004D3888"/>
    <w:rsid w:val="004D3965"/>
    <w:rsid w:val="004D3994"/>
    <w:rsid w:val="004D3A23"/>
    <w:rsid w:val="004D3D1B"/>
    <w:rsid w:val="004D3F4F"/>
    <w:rsid w:val="004D42A4"/>
    <w:rsid w:val="004D445A"/>
    <w:rsid w:val="004D4589"/>
    <w:rsid w:val="004D47FC"/>
    <w:rsid w:val="004D489B"/>
    <w:rsid w:val="004D4A08"/>
    <w:rsid w:val="004D4A22"/>
    <w:rsid w:val="004D4A58"/>
    <w:rsid w:val="004D4B21"/>
    <w:rsid w:val="004D4BF9"/>
    <w:rsid w:val="004D4C0E"/>
    <w:rsid w:val="004D4D86"/>
    <w:rsid w:val="004D5083"/>
    <w:rsid w:val="004D5109"/>
    <w:rsid w:val="004D513E"/>
    <w:rsid w:val="004D514D"/>
    <w:rsid w:val="004D5180"/>
    <w:rsid w:val="004D5397"/>
    <w:rsid w:val="004D54CD"/>
    <w:rsid w:val="004D551A"/>
    <w:rsid w:val="004D5624"/>
    <w:rsid w:val="004D571E"/>
    <w:rsid w:val="004D579D"/>
    <w:rsid w:val="004D57AC"/>
    <w:rsid w:val="004D588D"/>
    <w:rsid w:val="004D5973"/>
    <w:rsid w:val="004D5A1A"/>
    <w:rsid w:val="004D5A53"/>
    <w:rsid w:val="004D5A7C"/>
    <w:rsid w:val="004D5B17"/>
    <w:rsid w:val="004D5B5E"/>
    <w:rsid w:val="004D5BCD"/>
    <w:rsid w:val="004D5BF9"/>
    <w:rsid w:val="004D5C91"/>
    <w:rsid w:val="004D5D47"/>
    <w:rsid w:val="004D5E84"/>
    <w:rsid w:val="004D5F2A"/>
    <w:rsid w:val="004D618C"/>
    <w:rsid w:val="004D61EF"/>
    <w:rsid w:val="004D626B"/>
    <w:rsid w:val="004D62CC"/>
    <w:rsid w:val="004D62FF"/>
    <w:rsid w:val="004D6323"/>
    <w:rsid w:val="004D645D"/>
    <w:rsid w:val="004D6493"/>
    <w:rsid w:val="004D64EA"/>
    <w:rsid w:val="004D664F"/>
    <w:rsid w:val="004D6721"/>
    <w:rsid w:val="004D672C"/>
    <w:rsid w:val="004D6754"/>
    <w:rsid w:val="004D6870"/>
    <w:rsid w:val="004D69BB"/>
    <w:rsid w:val="004D6AA9"/>
    <w:rsid w:val="004D6B49"/>
    <w:rsid w:val="004D6C87"/>
    <w:rsid w:val="004D6CD1"/>
    <w:rsid w:val="004D6E6A"/>
    <w:rsid w:val="004D710F"/>
    <w:rsid w:val="004D7348"/>
    <w:rsid w:val="004D735E"/>
    <w:rsid w:val="004D7489"/>
    <w:rsid w:val="004D76E5"/>
    <w:rsid w:val="004D7711"/>
    <w:rsid w:val="004D785A"/>
    <w:rsid w:val="004D7870"/>
    <w:rsid w:val="004D7CA2"/>
    <w:rsid w:val="004D7E35"/>
    <w:rsid w:val="004D7E81"/>
    <w:rsid w:val="004D7ED8"/>
    <w:rsid w:val="004D7F59"/>
    <w:rsid w:val="004D7F5C"/>
    <w:rsid w:val="004D7FEA"/>
    <w:rsid w:val="004E017A"/>
    <w:rsid w:val="004E05AE"/>
    <w:rsid w:val="004E05E4"/>
    <w:rsid w:val="004E06B9"/>
    <w:rsid w:val="004E079E"/>
    <w:rsid w:val="004E0843"/>
    <w:rsid w:val="004E0944"/>
    <w:rsid w:val="004E09CF"/>
    <w:rsid w:val="004E0CA9"/>
    <w:rsid w:val="004E0CE5"/>
    <w:rsid w:val="004E0D89"/>
    <w:rsid w:val="004E0DDF"/>
    <w:rsid w:val="004E1027"/>
    <w:rsid w:val="004E1064"/>
    <w:rsid w:val="004E1126"/>
    <w:rsid w:val="004E13FE"/>
    <w:rsid w:val="004E1424"/>
    <w:rsid w:val="004E1586"/>
    <w:rsid w:val="004E1619"/>
    <w:rsid w:val="004E162E"/>
    <w:rsid w:val="004E163D"/>
    <w:rsid w:val="004E1787"/>
    <w:rsid w:val="004E17CC"/>
    <w:rsid w:val="004E182E"/>
    <w:rsid w:val="004E1A05"/>
    <w:rsid w:val="004E1AC9"/>
    <w:rsid w:val="004E1B32"/>
    <w:rsid w:val="004E1BDB"/>
    <w:rsid w:val="004E1D4A"/>
    <w:rsid w:val="004E1D52"/>
    <w:rsid w:val="004E1D83"/>
    <w:rsid w:val="004E1EBB"/>
    <w:rsid w:val="004E2034"/>
    <w:rsid w:val="004E2132"/>
    <w:rsid w:val="004E2156"/>
    <w:rsid w:val="004E21CD"/>
    <w:rsid w:val="004E22D9"/>
    <w:rsid w:val="004E23DB"/>
    <w:rsid w:val="004E240F"/>
    <w:rsid w:val="004E2588"/>
    <w:rsid w:val="004E25F7"/>
    <w:rsid w:val="004E296C"/>
    <w:rsid w:val="004E29F2"/>
    <w:rsid w:val="004E2B36"/>
    <w:rsid w:val="004E2B45"/>
    <w:rsid w:val="004E2F8D"/>
    <w:rsid w:val="004E2FE0"/>
    <w:rsid w:val="004E3201"/>
    <w:rsid w:val="004E3218"/>
    <w:rsid w:val="004E32BF"/>
    <w:rsid w:val="004E334A"/>
    <w:rsid w:val="004E3657"/>
    <w:rsid w:val="004E3708"/>
    <w:rsid w:val="004E3722"/>
    <w:rsid w:val="004E379E"/>
    <w:rsid w:val="004E3822"/>
    <w:rsid w:val="004E3C98"/>
    <w:rsid w:val="004E3F56"/>
    <w:rsid w:val="004E403E"/>
    <w:rsid w:val="004E4125"/>
    <w:rsid w:val="004E413A"/>
    <w:rsid w:val="004E4145"/>
    <w:rsid w:val="004E424C"/>
    <w:rsid w:val="004E4365"/>
    <w:rsid w:val="004E4813"/>
    <w:rsid w:val="004E487C"/>
    <w:rsid w:val="004E48B2"/>
    <w:rsid w:val="004E4A5E"/>
    <w:rsid w:val="004E4A7D"/>
    <w:rsid w:val="004E4AA5"/>
    <w:rsid w:val="004E4ACB"/>
    <w:rsid w:val="004E4BB3"/>
    <w:rsid w:val="004E4C6A"/>
    <w:rsid w:val="004E4CAB"/>
    <w:rsid w:val="004E4D5E"/>
    <w:rsid w:val="004E4F9D"/>
    <w:rsid w:val="004E4FEB"/>
    <w:rsid w:val="004E5001"/>
    <w:rsid w:val="004E50E1"/>
    <w:rsid w:val="004E50E9"/>
    <w:rsid w:val="004E51B9"/>
    <w:rsid w:val="004E5289"/>
    <w:rsid w:val="004E5429"/>
    <w:rsid w:val="004E5439"/>
    <w:rsid w:val="004E57A8"/>
    <w:rsid w:val="004E58AA"/>
    <w:rsid w:val="004E58C8"/>
    <w:rsid w:val="004E5966"/>
    <w:rsid w:val="004E5A4B"/>
    <w:rsid w:val="004E5C2A"/>
    <w:rsid w:val="004E5C74"/>
    <w:rsid w:val="004E5DC1"/>
    <w:rsid w:val="004E5FFD"/>
    <w:rsid w:val="004E6120"/>
    <w:rsid w:val="004E619A"/>
    <w:rsid w:val="004E6293"/>
    <w:rsid w:val="004E6395"/>
    <w:rsid w:val="004E63B7"/>
    <w:rsid w:val="004E6403"/>
    <w:rsid w:val="004E6455"/>
    <w:rsid w:val="004E64B4"/>
    <w:rsid w:val="004E64C7"/>
    <w:rsid w:val="004E6600"/>
    <w:rsid w:val="004E671C"/>
    <w:rsid w:val="004E67B7"/>
    <w:rsid w:val="004E67DB"/>
    <w:rsid w:val="004E6895"/>
    <w:rsid w:val="004E68B5"/>
    <w:rsid w:val="004E68F7"/>
    <w:rsid w:val="004E6AC5"/>
    <w:rsid w:val="004E6BC0"/>
    <w:rsid w:val="004E6D52"/>
    <w:rsid w:val="004E6FD5"/>
    <w:rsid w:val="004E767C"/>
    <w:rsid w:val="004E76B0"/>
    <w:rsid w:val="004E7827"/>
    <w:rsid w:val="004E7A6D"/>
    <w:rsid w:val="004E7A6F"/>
    <w:rsid w:val="004E7BED"/>
    <w:rsid w:val="004E7C2B"/>
    <w:rsid w:val="004E7DDF"/>
    <w:rsid w:val="004E8D2E"/>
    <w:rsid w:val="004F027F"/>
    <w:rsid w:val="004F02D8"/>
    <w:rsid w:val="004F0581"/>
    <w:rsid w:val="004F065B"/>
    <w:rsid w:val="004F068F"/>
    <w:rsid w:val="004F0801"/>
    <w:rsid w:val="004F09BF"/>
    <w:rsid w:val="004F0A03"/>
    <w:rsid w:val="004F0B56"/>
    <w:rsid w:val="004F0D28"/>
    <w:rsid w:val="004F0FE7"/>
    <w:rsid w:val="004F1066"/>
    <w:rsid w:val="004F11BD"/>
    <w:rsid w:val="004F11EC"/>
    <w:rsid w:val="004F1791"/>
    <w:rsid w:val="004F1818"/>
    <w:rsid w:val="004F1ACF"/>
    <w:rsid w:val="004F1AE7"/>
    <w:rsid w:val="004F1BE8"/>
    <w:rsid w:val="004F1DC6"/>
    <w:rsid w:val="004F1E32"/>
    <w:rsid w:val="004F1F89"/>
    <w:rsid w:val="004F20D3"/>
    <w:rsid w:val="004F22C9"/>
    <w:rsid w:val="004F22E6"/>
    <w:rsid w:val="004F247C"/>
    <w:rsid w:val="004F255B"/>
    <w:rsid w:val="004F25CE"/>
    <w:rsid w:val="004F2638"/>
    <w:rsid w:val="004F26AD"/>
    <w:rsid w:val="004F26CE"/>
    <w:rsid w:val="004F2961"/>
    <w:rsid w:val="004F29B5"/>
    <w:rsid w:val="004F2ABC"/>
    <w:rsid w:val="004F2BE1"/>
    <w:rsid w:val="004F2C3E"/>
    <w:rsid w:val="004F2C60"/>
    <w:rsid w:val="004F3004"/>
    <w:rsid w:val="004F301B"/>
    <w:rsid w:val="004F302D"/>
    <w:rsid w:val="004F30A9"/>
    <w:rsid w:val="004F30B8"/>
    <w:rsid w:val="004F314F"/>
    <w:rsid w:val="004F3183"/>
    <w:rsid w:val="004F3192"/>
    <w:rsid w:val="004F31FC"/>
    <w:rsid w:val="004F324E"/>
    <w:rsid w:val="004F3359"/>
    <w:rsid w:val="004F342B"/>
    <w:rsid w:val="004F3484"/>
    <w:rsid w:val="004F349A"/>
    <w:rsid w:val="004F35C9"/>
    <w:rsid w:val="004F376D"/>
    <w:rsid w:val="004F3B89"/>
    <w:rsid w:val="004F3C88"/>
    <w:rsid w:val="004F3DCC"/>
    <w:rsid w:val="004F3E20"/>
    <w:rsid w:val="004F3FEB"/>
    <w:rsid w:val="004F3FF3"/>
    <w:rsid w:val="004F419E"/>
    <w:rsid w:val="004F41A3"/>
    <w:rsid w:val="004F41EF"/>
    <w:rsid w:val="004F42FA"/>
    <w:rsid w:val="004F451B"/>
    <w:rsid w:val="004F483A"/>
    <w:rsid w:val="004F4B09"/>
    <w:rsid w:val="004F4E15"/>
    <w:rsid w:val="004F4E54"/>
    <w:rsid w:val="004F4F6E"/>
    <w:rsid w:val="004F4FCE"/>
    <w:rsid w:val="004F51F5"/>
    <w:rsid w:val="004F5289"/>
    <w:rsid w:val="004F529D"/>
    <w:rsid w:val="004F53BD"/>
    <w:rsid w:val="004F53C9"/>
    <w:rsid w:val="004F54CA"/>
    <w:rsid w:val="004F54E9"/>
    <w:rsid w:val="004F5603"/>
    <w:rsid w:val="004F56C6"/>
    <w:rsid w:val="004F56E9"/>
    <w:rsid w:val="004F5830"/>
    <w:rsid w:val="004F5882"/>
    <w:rsid w:val="004F5885"/>
    <w:rsid w:val="004F5949"/>
    <w:rsid w:val="004F5A17"/>
    <w:rsid w:val="004F5BB8"/>
    <w:rsid w:val="004F5C3C"/>
    <w:rsid w:val="004F5C5C"/>
    <w:rsid w:val="004F60E8"/>
    <w:rsid w:val="004F61D0"/>
    <w:rsid w:val="004F61FF"/>
    <w:rsid w:val="004F6217"/>
    <w:rsid w:val="004F6222"/>
    <w:rsid w:val="004F637E"/>
    <w:rsid w:val="004F64C0"/>
    <w:rsid w:val="004F64CA"/>
    <w:rsid w:val="004F676D"/>
    <w:rsid w:val="004F6894"/>
    <w:rsid w:val="004F6ADC"/>
    <w:rsid w:val="004F6BC4"/>
    <w:rsid w:val="004F6E29"/>
    <w:rsid w:val="004F703C"/>
    <w:rsid w:val="004F71C2"/>
    <w:rsid w:val="004F732E"/>
    <w:rsid w:val="004F740E"/>
    <w:rsid w:val="004F7431"/>
    <w:rsid w:val="004F7468"/>
    <w:rsid w:val="004F776A"/>
    <w:rsid w:val="004F787E"/>
    <w:rsid w:val="004F7898"/>
    <w:rsid w:val="004F7A31"/>
    <w:rsid w:val="004F7A45"/>
    <w:rsid w:val="004F7CCA"/>
    <w:rsid w:val="004F7CCD"/>
    <w:rsid w:val="004F7D08"/>
    <w:rsid w:val="004F7EA1"/>
    <w:rsid w:val="00500169"/>
    <w:rsid w:val="00500265"/>
    <w:rsid w:val="00500475"/>
    <w:rsid w:val="005004CE"/>
    <w:rsid w:val="005004DA"/>
    <w:rsid w:val="0050053D"/>
    <w:rsid w:val="005007C2"/>
    <w:rsid w:val="005007CF"/>
    <w:rsid w:val="0050087D"/>
    <w:rsid w:val="00500A23"/>
    <w:rsid w:val="00500D15"/>
    <w:rsid w:val="00500D8E"/>
    <w:rsid w:val="00500E26"/>
    <w:rsid w:val="00500FC3"/>
    <w:rsid w:val="00501204"/>
    <w:rsid w:val="005012A7"/>
    <w:rsid w:val="00501853"/>
    <w:rsid w:val="00501A8C"/>
    <w:rsid w:val="00501AAB"/>
    <w:rsid w:val="00501BF1"/>
    <w:rsid w:val="00501D06"/>
    <w:rsid w:val="00501E0C"/>
    <w:rsid w:val="00501EDA"/>
    <w:rsid w:val="00501F70"/>
    <w:rsid w:val="00502000"/>
    <w:rsid w:val="0050208E"/>
    <w:rsid w:val="00502351"/>
    <w:rsid w:val="00502573"/>
    <w:rsid w:val="00502612"/>
    <w:rsid w:val="0050285F"/>
    <w:rsid w:val="00502A0B"/>
    <w:rsid w:val="00502ABD"/>
    <w:rsid w:val="00502B9A"/>
    <w:rsid w:val="00502C08"/>
    <w:rsid w:val="00502D46"/>
    <w:rsid w:val="00502E91"/>
    <w:rsid w:val="00502FBB"/>
    <w:rsid w:val="005030DE"/>
    <w:rsid w:val="00503211"/>
    <w:rsid w:val="0050328C"/>
    <w:rsid w:val="00503385"/>
    <w:rsid w:val="00503564"/>
    <w:rsid w:val="005035A2"/>
    <w:rsid w:val="00503603"/>
    <w:rsid w:val="00503731"/>
    <w:rsid w:val="0050394C"/>
    <w:rsid w:val="00503A83"/>
    <w:rsid w:val="00503B02"/>
    <w:rsid w:val="00503CDA"/>
    <w:rsid w:val="00503D21"/>
    <w:rsid w:val="00503F4C"/>
    <w:rsid w:val="00504149"/>
    <w:rsid w:val="00504295"/>
    <w:rsid w:val="00504385"/>
    <w:rsid w:val="005045B9"/>
    <w:rsid w:val="0050478A"/>
    <w:rsid w:val="005047AE"/>
    <w:rsid w:val="00504823"/>
    <w:rsid w:val="005048F2"/>
    <w:rsid w:val="0050494A"/>
    <w:rsid w:val="00504A99"/>
    <w:rsid w:val="00504AE7"/>
    <w:rsid w:val="00504B0F"/>
    <w:rsid w:val="00504BB2"/>
    <w:rsid w:val="00504C53"/>
    <w:rsid w:val="00504DF9"/>
    <w:rsid w:val="00504EF4"/>
    <w:rsid w:val="00504F5C"/>
    <w:rsid w:val="0050501B"/>
    <w:rsid w:val="00505170"/>
    <w:rsid w:val="005051B4"/>
    <w:rsid w:val="005051D8"/>
    <w:rsid w:val="005052FC"/>
    <w:rsid w:val="005053AB"/>
    <w:rsid w:val="00505457"/>
    <w:rsid w:val="005054EE"/>
    <w:rsid w:val="005056C8"/>
    <w:rsid w:val="00505730"/>
    <w:rsid w:val="00505772"/>
    <w:rsid w:val="00505794"/>
    <w:rsid w:val="005058FE"/>
    <w:rsid w:val="0050598E"/>
    <w:rsid w:val="00505A3C"/>
    <w:rsid w:val="00505AAD"/>
    <w:rsid w:val="00505B18"/>
    <w:rsid w:val="00505BD1"/>
    <w:rsid w:val="00505CC4"/>
    <w:rsid w:val="00505F7A"/>
    <w:rsid w:val="0050630E"/>
    <w:rsid w:val="00506319"/>
    <w:rsid w:val="0050636E"/>
    <w:rsid w:val="005063C1"/>
    <w:rsid w:val="0050641A"/>
    <w:rsid w:val="005065EC"/>
    <w:rsid w:val="00506663"/>
    <w:rsid w:val="00506745"/>
    <w:rsid w:val="005068C3"/>
    <w:rsid w:val="00506A6C"/>
    <w:rsid w:val="00506B07"/>
    <w:rsid w:val="00506B48"/>
    <w:rsid w:val="00506BA8"/>
    <w:rsid w:val="00506BB6"/>
    <w:rsid w:val="00506BE4"/>
    <w:rsid w:val="00506CB2"/>
    <w:rsid w:val="00506CE2"/>
    <w:rsid w:val="00506CED"/>
    <w:rsid w:val="00506D17"/>
    <w:rsid w:val="0050700B"/>
    <w:rsid w:val="0050707B"/>
    <w:rsid w:val="0050711B"/>
    <w:rsid w:val="005071C9"/>
    <w:rsid w:val="00507229"/>
    <w:rsid w:val="005072C7"/>
    <w:rsid w:val="0050740D"/>
    <w:rsid w:val="0050747C"/>
    <w:rsid w:val="0050758F"/>
    <w:rsid w:val="00507638"/>
    <w:rsid w:val="00507A28"/>
    <w:rsid w:val="00507B45"/>
    <w:rsid w:val="00507B4C"/>
    <w:rsid w:val="00507D34"/>
    <w:rsid w:val="00507DD6"/>
    <w:rsid w:val="00507E68"/>
    <w:rsid w:val="00507F1E"/>
    <w:rsid w:val="00507F57"/>
    <w:rsid w:val="00510257"/>
    <w:rsid w:val="0051036E"/>
    <w:rsid w:val="0051037C"/>
    <w:rsid w:val="005103E2"/>
    <w:rsid w:val="00510641"/>
    <w:rsid w:val="00510657"/>
    <w:rsid w:val="00510677"/>
    <w:rsid w:val="005106E9"/>
    <w:rsid w:val="0051079B"/>
    <w:rsid w:val="0051080F"/>
    <w:rsid w:val="005108AD"/>
    <w:rsid w:val="00510928"/>
    <w:rsid w:val="0051098E"/>
    <w:rsid w:val="00510A1D"/>
    <w:rsid w:val="00510AED"/>
    <w:rsid w:val="00510FCF"/>
    <w:rsid w:val="005110AF"/>
    <w:rsid w:val="005115CC"/>
    <w:rsid w:val="005115D1"/>
    <w:rsid w:val="0051174A"/>
    <w:rsid w:val="005117DA"/>
    <w:rsid w:val="005119E1"/>
    <w:rsid w:val="005119FA"/>
    <w:rsid w:val="00511C14"/>
    <w:rsid w:val="00511C25"/>
    <w:rsid w:val="00511C65"/>
    <w:rsid w:val="00511FF1"/>
    <w:rsid w:val="005120A1"/>
    <w:rsid w:val="00512386"/>
    <w:rsid w:val="00512388"/>
    <w:rsid w:val="005123B5"/>
    <w:rsid w:val="0051242D"/>
    <w:rsid w:val="00512670"/>
    <w:rsid w:val="00512705"/>
    <w:rsid w:val="00512789"/>
    <w:rsid w:val="005127D7"/>
    <w:rsid w:val="00512888"/>
    <w:rsid w:val="00512958"/>
    <w:rsid w:val="00512B4C"/>
    <w:rsid w:val="00512B7F"/>
    <w:rsid w:val="00512BEF"/>
    <w:rsid w:val="00512C0A"/>
    <w:rsid w:val="00512C3B"/>
    <w:rsid w:val="00512E42"/>
    <w:rsid w:val="00513032"/>
    <w:rsid w:val="005131D1"/>
    <w:rsid w:val="005132D2"/>
    <w:rsid w:val="005132D8"/>
    <w:rsid w:val="0051336F"/>
    <w:rsid w:val="005133BC"/>
    <w:rsid w:val="00513711"/>
    <w:rsid w:val="00513753"/>
    <w:rsid w:val="0051381D"/>
    <w:rsid w:val="005138BE"/>
    <w:rsid w:val="00513A8D"/>
    <w:rsid w:val="00513BDF"/>
    <w:rsid w:val="00513CCC"/>
    <w:rsid w:val="00513D6D"/>
    <w:rsid w:val="00513F19"/>
    <w:rsid w:val="00514155"/>
    <w:rsid w:val="005141A6"/>
    <w:rsid w:val="005141DD"/>
    <w:rsid w:val="005143F3"/>
    <w:rsid w:val="005144D8"/>
    <w:rsid w:val="0051452E"/>
    <w:rsid w:val="005146BA"/>
    <w:rsid w:val="00514782"/>
    <w:rsid w:val="005148BE"/>
    <w:rsid w:val="00514BA5"/>
    <w:rsid w:val="00514C61"/>
    <w:rsid w:val="00514C6A"/>
    <w:rsid w:val="00514CBC"/>
    <w:rsid w:val="00514CF2"/>
    <w:rsid w:val="00514D18"/>
    <w:rsid w:val="00514D25"/>
    <w:rsid w:val="0051502C"/>
    <w:rsid w:val="00515094"/>
    <w:rsid w:val="00515183"/>
    <w:rsid w:val="005152BA"/>
    <w:rsid w:val="005153FE"/>
    <w:rsid w:val="00515457"/>
    <w:rsid w:val="005154CD"/>
    <w:rsid w:val="00515697"/>
    <w:rsid w:val="005156AA"/>
    <w:rsid w:val="005158BD"/>
    <w:rsid w:val="005158D6"/>
    <w:rsid w:val="00515943"/>
    <w:rsid w:val="00515B9A"/>
    <w:rsid w:val="00515CDF"/>
    <w:rsid w:val="00515D95"/>
    <w:rsid w:val="00515D9F"/>
    <w:rsid w:val="00515DE7"/>
    <w:rsid w:val="005160CD"/>
    <w:rsid w:val="00516149"/>
    <w:rsid w:val="00516229"/>
    <w:rsid w:val="00516234"/>
    <w:rsid w:val="0051658B"/>
    <w:rsid w:val="005168A9"/>
    <w:rsid w:val="00516927"/>
    <w:rsid w:val="00516B0F"/>
    <w:rsid w:val="00516BB2"/>
    <w:rsid w:val="00516C51"/>
    <w:rsid w:val="00516C5E"/>
    <w:rsid w:val="00516D1F"/>
    <w:rsid w:val="00516ED6"/>
    <w:rsid w:val="00516F57"/>
    <w:rsid w:val="0051704B"/>
    <w:rsid w:val="00517219"/>
    <w:rsid w:val="00517353"/>
    <w:rsid w:val="0051736D"/>
    <w:rsid w:val="0051760F"/>
    <w:rsid w:val="005177D9"/>
    <w:rsid w:val="005178F4"/>
    <w:rsid w:val="00517933"/>
    <w:rsid w:val="00517971"/>
    <w:rsid w:val="00517997"/>
    <w:rsid w:val="005179C0"/>
    <w:rsid w:val="00517A7C"/>
    <w:rsid w:val="00517B50"/>
    <w:rsid w:val="00517BB8"/>
    <w:rsid w:val="00517BEC"/>
    <w:rsid w:val="00517C06"/>
    <w:rsid w:val="00517DB1"/>
    <w:rsid w:val="00517E01"/>
    <w:rsid w:val="0052003E"/>
    <w:rsid w:val="0052014E"/>
    <w:rsid w:val="005201BF"/>
    <w:rsid w:val="00520252"/>
    <w:rsid w:val="0052036C"/>
    <w:rsid w:val="0052041C"/>
    <w:rsid w:val="00520657"/>
    <w:rsid w:val="0052069E"/>
    <w:rsid w:val="005207DD"/>
    <w:rsid w:val="00520A19"/>
    <w:rsid w:val="00520A26"/>
    <w:rsid w:val="00520BB8"/>
    <w:rsid w:val="00520F4B"/>
    <w:rsid w:val="00520F9D"/>
    <w:rsid w:val="00521012"/>
    <w:rsid w:val="00521338"/>
    <w:rsid w:val="00521357"/>
    <w:rsid w:val="005214C9"/>
    <w:rsid w:val="00521598"/>
    <w:rsid w:val="005215DE"/>
    <w:rsid w:val="0052173A"/>
    <w:rsid w:val="005217E7"/>
    <w:rsid w:val="00521992"/>
    <w:rsid w:val="005219EE"/>
    <w:rsid w:val="00521AA4"/>
    <w:rsid w:val="00521AEC"/>
    <w:rsid w:val="00521AED"/>
    <w:rsid w:val="00521C67"/>
    <w:rsid w:val="00521D68"/>
    <w:rsid w:val="00521FC2"/>
    <w:rsid w:val="00522234"/>
    <w:rsid w:val="005222AA"/>
    <w:rsid w:val="00522367"/>
    <w:rsid w:val="00522433"/>
    <w:rsid w:val="00522556"/>
    <w:rsid w:val="00522578"/>
    <w:rsid w:val="00522725"/>
    <w:rsid w:val="00522847"/>
    <w:rsid w:val="00522935"/>
    <w:rsid w:val="005229EE"/>
    <w:rsid w:val="00522BC4"/>
    <w:rsid w:val="00522D6A"/>
    <w:rsid w:val="00522EA8"/>
    <w:rsid w:val="00522EED"/>
    <w:rsid w:val="0052312F"/>
    <w:rsid w:val="0052333A"/>
    <w:rsid w:val="005237C6"/>
    <w:rsid w:val="00523989"/>
    <w:rsid w:val="005239E5"/>
    <w:rsid w:val="00523A71"/>
    <w:rsid w:val="00523AC3"/>
    <w:rsid w:val="00523B3D"/>
    <w:rsid w:val="00523BCA"/>
    <w:rsid w:val="00523CF3"/>
    <w:rsid w:val="00524378"/>
    <w:rsid w:val="005244B0"/>
    <w:rsid w:val="005246CE"/>
    <w:rsid w:val="00524757"/>
    <w:rsid w:val="00524A82"/>
    <w:rsid w:val="00524AFA"/>
    <w:rsid w:val="00524CC5"/>
    <w:rsid w:val="00524E94"/>
    <w:rsid w:val="00524F17"/>
    <w:rsid w:val="00524FDA"/>
    <w:rsid w:val="00525058"/>
    <w:rsid w:val="005250C3"/>
    <w:rsid w:val="0052515C"/>
    <w:rsid w:val="00525290"/>
    <w:rsid w:val="005252EA"/>
    <w:rsid w:val="00525392"/>
    <w:rsid w:val="005253A8"/>
    <w:rsid w:val="00525486"/>
    <w:rsid w:val="0052555D"/>
    <w:rsid w:val="0052571B"/>
    <w:rsid w:val="00525743"/>
    <w:rsid w:val="0052581C"/>
    <w:rsid w:val="00525837"/>
    <w:rsid w:val="005258DF"/>
    <w:rsid w:val="00525C3E"/>
    <w:rsid w:val="00525CB2"/>
    <w:rsid w:val="00525D1F"/>
    <w:rsid w:val="00525D53"/>
    <w:rsid w:val="00525D5B"/>
    <w:rsid w:val="00525F7B"/>
    <w:rsid w:val="0052619D"/>
    <w:rsid w:val="005261F6"/>
    <w:rsid w:val="00526325"/>
    <w:rsid w:val="005264B1"/>
    <w:rsid w:val="005264B9"/>
    <w:rsid w:val="00526912"/>
    <w:rsid w:val="005269A0"/>
    <w:rsid w:val="00526AA3"/>
    <w:rsid w:val="00526AEC"/>
    <w:rsid w:val="00526C43"/>
    <w:rsid w:val="00526C7E"/>
    <w:rsid w:val="00526DF0"/>
    <w:rsid w:val="00526E23"/>
    <w:rsid w:val="00526F2F"/>
    <w:rsid w:val="00526FA2"/>
    <w:rsid w:val="00527276"/>
    <w:rsid w:val="005272D0"/>
    <w:rsid w:val="005273FD"/>
    <w:rsid w:val="0052750B"/>
    <w:rsid w:val="0052750D"/>
    <w:rsid w:val="00527689"/>
    <w:rsid w:val="00527784"/>
    <w:rsid w:val="00527834"/>
    <w:rsid w:val="0052783B"/>
    <w:rsid w:val="005278F1"/>
    <w:rsid w:val="005279BE"/>
    <w:rsid w:val="00527A62"/>
    <w:rsid w:val="00527B20"/>
    <w:rsid w:val="00527B56"/>
    <w:rsid w:val="00527BD5"/>
    <w:rsid w:val="00527C25"/>
    <w:rsid w:val="00527DCE"/>
    <w:rsid w:val="00527EC8"/>
    <w:rsid w:val="00527FC6"/>
    <w:rsid w:val="00530116"/>
    <w:rsid w:val="00530126"/>
    <w:rsid w:val="005301EB"/>
    <w:rsid w:val="00530253"/>
    <w:rsid w:val="0053035D"/>
    <w:rsid w:val="005304E3"/>
    <w:rsid w:val="00530558"/>
    <w:rsid w:val="005305B8"/>
    <w:rsid w:val="0053071D"/>
    <w:rsid w:val="0053091F"/>
    <w:rsid w:val="00530A63"/>
    <w:rsid w:val="00530A6E"/>
    <w:rsid w:val="00530AA2"/>
    <w:rsid w:val="00530C06"/>
    <w:rsid w:val="00530E47"/>
    <w:rsid w:val="00530EEA"/>
    <w:rsid w:val="00530F2B"/>
    <w:rsid w:val="0053106D"/>
    <w:rsid w:val="0053112A"/>
    <w:rsid w:val="00531425"/>
    <w:rsid w:val="0053151D"/>
    <w:rsid w:val="00531622"/>
    <w:rsid w:val="005316C1"/>
    <w:rsid w:val="005316C3"/>
    <w:rsid w:val="00531898"/>
    <w:rsid w:val="00531B0E"/>
    <w:rsid w:val="00531FC4"/>
    <w:rsid w:val="00532171"/>
    <w:rsid w:val="005323AC"/>
    <w:rsid w:val="005324B9"/>
    <w:rsid w:val="00532530"/>
    <w:rsid w:val="005325FB"/>
    <w:rsid w:val="00532628"/>
    <w:rsid w:val="0053277D"/>
    <w:rsid w:val="00532799"/>
    <w:rsid w:val="005327C9"/>
    <w:rsid w:val="0053286E"/>
    <w:rsid w:val="005328C1"/>
    <w:rsid w:val="005328CE"/>
    <w:rsid w:val="0053290F"/>
    <w:rsid w:val="00532A05"/>
    <w:rsid w:val="00532A3B"/>
    <w:rsid w:val="00532AB1"/>
    <w:rsid w:val="00532AEA"/>
    <w:rsid w:val="00532CE0"/>
    <w:rsid w:val="00532D8C"/>
    <w:rsid w:val="00532E8F"/>
    <w:rsid w:val="00532F08"/>
    <w:rsid w:val="00532F2F"/>
    <w:rsid w:val="00532F3C"/>
    <w:rsid w:val="00532F47"/>
    <w:rsid w:val="00532F8F"/>
    <w:rsid w:val="00532FFF"/>
    <w:rsid w:val="00533076"/>
    <w:rsid w:val="00533120"/>
    <w:rsid w:val="00533126"/>
    <w:rsid w:val="00533279"/>
    <w:rsid w:val="005334B0"/>
    <w:rsid w:val="00533554"/>
    <w:rsid w:val="005335AD"/>
    <w:rsid w:val="0053364D"/>
    <w:rsid w:val="005336CE"/>
    <w:rsid w:val="00533753"/>
    <w:rsid w:val="00533BA1"/>
    <w:rsid w:val="00533C53"/>
    <w:rsid w:val="00533D28"/>
    <w:rsid w:val="00533E8F"/>
    <w:rsid w:val="00533F15"/>
    <w:rsid w:val="00533FED"/>
    <w:rsid w:val="00534042"/>
    <w:rsid w:val="005340CA"/>
    <w:rsid w:val="00534155"/>
    <w:rsid w:val="0053417B"/>
    <w:rsid w:val="0053426C"/>
    <w:rsid w:val="005342FD"/>
    <w:rsid w:val="005343BB"/>
    <w:rsid w:val="005343EF"/>
    <w:rsid w:val="00534507"/>
    <w:rsid w:val="00534800"/>
    <w:rsid w:val="005348E2"/>
    <w:rsid w:val="00534A02"/>
    <w:rsid w:val="00534AB6"/>
    <w:rsid w:val="00534E2F"/>
    <w:rsid w:val="00535136"/>
    <w:rsid w:val="00535220"/>
    <w:rsid w:val="005353D3"/>
    <w:rsid w:val="0053542F"/>
    <w:rsid w:val="00535460"/>
    <w:rsid w:val="00535524"/>
    <w:rsid w:val="0053567A"/>
    <w:rsid w:val="00535710"/>
    <w:rsid w:val="0053571D"/>
    <w:rsid w:val="005357C9"/>
    <w:rsid w:val="005358DB"/>
    <w:rsid w:val="00535AD4"/>
    <w:rsid w:val="00535B31"/>
    <w:rsid w:val="00535C89"/>
    <w:rsid w:val="00535D1D"/>
    <w:rsid w:val="00535E0E"/>
    <w:rsid w:val="00535F38"/>
    <w:rsid w:val="00535F3B"/>
    <w:rsid w:val="00535FA6"/>
    <w:rsid w:val="00535FFC"/>
    <w:rsid w:val="00536058"/>
    <w:rsid w:val="005363E1"/>
    <w:rsid w:val="005364CB"/>
    <w:rsid w:val="005365E4"/>
    <w:rsid w:val="00536611"/>
    <w:rsid w:val="0053672E"/>
    <w:rsid w:val="005367AA"/>
    <w:rsid w:val="005368DD"/>
    <w:rsid w:val="00536934"/>
    <w:rsid w:val="00536976"/>
    <w:rsid w:val="005369E3"/>
    <w:rsid w:val="00536ABB"/>
    <w:rsid w:val="00536B78"/>
    <w:rsid w:val="00536C85"/>
    <w:rsid w:val="00536CCA"/>
    <w:rsid w:val="00536DC1"/>
    <w:rsid w:val="00537084"/>
    <w:rsid w:val="005370DF"/>
    <w:rsid w:val="00537103"/>
    <w:rsid w:val="00537145"/>
    <w:rsid w:val="0053732E"/>
    <w:rsid w:val="00537502"/>
    <w:rsid w:val="00537693"/>
    <w:rsid w:val="00537937"/>
    <w:rsid w:val="00537BB8"/>
    <w:rsid w:val="00537C89"/>
    <w:rsid w:val="00537CE9"/>
    <w:rsid w:val="00537D26"/>
    <w:rsid w:val="00537DE0"/>
    <w:rsid w:val="00537F33"/>
    <w:rsid w:val="00540075"/>
    <w:rsid w:val="00540164"/>
    <w:rsid w:val="005401A1"/>
    <w:rsid w:val="005403F4"/>
    <w:rsid w:val="005408A2"/>
    <w:rsid w:val="005408FA"/>
    <w:rsid w:val="00540AD0"/>
    <w:rsid w:val="00540B5A"/>
    <w:rsid w:val="00540C15"/>
    <w:rsid w:val="005412B0"/>
    <w:rsid w:val="0054149C"/>
    <w:rsid w:val="005415BE"/>
    <w:rsid w:val="00541617"/>
    <w:rsid w:val="005416BB"/>
    <w:rsid w:val="005417AA"/>
    <w:rsid w:val="0054180E"/>
    <w:rsid w:val="0054183F"/>
    <w:rsid w:val="00541853"/>
    <w:rsid w:val="0054189D"/>
    <w:rsid w:val="005418AC"/>
    <w:rsid w:val="0054198E"/>
    <w:rsid w:val="00541AA2"/>
    <w:rsid w:val="00541BA0"/>
    <w:rsid w:val="00541C4C"/>
    <w:rsid w:val="00541CE7"/>
    <w:rsid w:val="00541D6D"/>
    <w:rsid w:val="00541F5C"/>
    <w:rsid w:val="005423BD"/>
    <w:rsid w:val="005423DE"/>
    <w:rsid w:val="00542436"/>
    <w:rsid w:val="005424DD"/>
    <w:rsid w:val="00542527"/>
    <w:rsid w:val="005425B2"/>
    <w:rsid w:val="005425E0"/>
    <w:rsid w:val="00542615"/>
    <w:rsid w:val="00542751"/>
    <w:rsid w:val="00542A72"/>
    <w:rsid w:val="00542B1C"/>
    <w:rsid w:val="00542F7B"/>
    <w:rsid w:val="00542FD9"/>
    <w:rsid w:val="005431CD"/>
    <w:rsid w:val="005431E3"/>
    <w:rsid w:val="0054327D"/>
    <w:rsid w:val="00543479"/>
    <w:rsid w:val="00543532"/>
    <w:rsid w:val="0054360E"/>
    <w:rsid w:val="00543732"/>
    <w:rsid w:val="00543937"/>
    <w:rsid w:val="0054393E"/>
    <w:rsid w:val="005439B8"/>
    <w:rsid w:val="00543A6B"/>
    <w:rsid w:val="00543AB9"/>
    <w:rsid w:val="00543CFE"/>
    <w:rsid w:val="00543E11"/>
    <w:rsid w:val="00543EB3"/>
    <w:rsid w:val="00543ED5"/>
    <w:rsid w:val="00544154"/>
    <w:rsid w:val="0054420B"/>
    <w:rsid w:val="00544288"/>
    <w:rsid w:val="005443BB"/>
    <w:rsid w:val="005446CD"/>
    <w:rsid w:val="00544809"/>
    <w:rsid w:val="0054485C"/>
    <w:rsid w:val="00544862"/>
    <w:rsid w:val="00544A21"/>
    <w:rsid w:val="00544A5D"/>
    <w:rsid w:val="00544B06"/>
    <w:rsid w:val="00544DBD"/>
    <w:rsid w:val="00544DC0"/>
    <w:rsid w:val="00544E04"/>
    <w:rsid w:val="00544EED"/>
    <w:rsid w:val="00545011"/>
    <w:rsid w:val="0054532A"/>
    <w:rsid w:val="0054552D"/>
    <w:rsid w:val="0054572A"/>
    <w:rsid w:val="00545747"/>
    <w:rsid w:val="005458E5"/>
    <w:rsid w:val="005458F4"/>
    <w:rsid w:val="00545ABE"/>
    <w:rsid w:val="00545C84"/>
    <w:rsid w:val="00545E53"/>
    <w:rsid w:val="00545EFF"/>
    <w:rsid w:val="00545F5B"/>
    <w:rsid w:val="00546252"/>
    <w:rsid w:val="0054640C"/>
    <w:rsid w:val="005465F4"/>
    <w:rsid w:val="005466E9"/>
    <w:rsid w:val="0054679B"/>
    <w:rsid w:val="0054686F"/>
    <w:rsid w:val="0054693E"/>
    <w:rsid w:val="00546ABD"/>
    <w:rsid w:val="00546D7D"/>
    <w:rsid w:val="00546F88"/>
    <w:rsid w:val="00546FDA"/>
    <w:rsid w:val="005471D7"/>
    <w:rsid w:val="00547240"/>
    <w:rsid w:val="0054730D"/>
    <w:rsid w:val="0054734A"/>
    <w:rsid w:val="005474C2"/>
    <w:rsid w:val="00547713"/>
    <w:rsid w:val="0054788F"/>
    <w:rsid w:val="00547915"/>
    <w:rsid w:val="00547921"/>
    <w:rsid w:val="00547B5D"/>
    <w:rsid w:val="00547E7D"/>
    <w:rsid w:val="00547F1E"/>
    <w:rsid w:val="00550011"/>
    <w:rsid w:val="0055001F"/>
    <w:rsid w:val="0055014C"/>
    <w:rsid w:val="00550201"/>
    <w:rsid w:val="005502C9"/>
    <w:rsid w:val="00550514"/>
    <w:rsid w:val="00550662"/>
    <w:rsid w:val="005508BA"/>
    <w:rsid w:val="00550918"/>
    <w:rsid w:val="00550A93"/>
    <w:rsid w:val="00550AC1"/>
    <w:rsid w:val="00550AE7"/>
    <w:rsid w:val="00550D41"/>
    <w:rsid w:val="00550DCE"/>
    <w:rsid w:val="00550F7F"/>
    <w:rsid w:val="00551154"/>
    <w:rsid w:val="005511CD"/>
    <w:rsid w:val="00551334"/>
    <w:rsid w:val="00551335"/>
    <w:rsid w:val="005513AA"/>
    <w:rsid w:val="00551440"/>
    <w:rsid w:val="0055145C"/>
    <w:rsid w:val="00551709"/>
    <w:rsid w:val="00551711"/>
    <w:rsid w:val="005517B2"/>
    <w:rsid w:val="00551810"/>
    <w:rsid w:val="00551908"/>
    <w:rsid w:val="005519C4"/>
    <w:rsid w:val="00551AF6"/>
    <w:rsid w:val="00551DA6"/>
    <w:rsid w:val="00551E37"/>
    <w:rsid w:val="00551F9A"/>
    <w:rsid w:val="005522C0"/>
    <w:rsid w:val="00552316"/>
    <w:rsid w:val="005525CE"/>
    <w:rsid w:val="005525EE"/>
    <w:rsid w:val="00552615"/>
    <w:rsid w:val="0055266B"/>
    <w:rsid w:val="005529DD"/>
    <w:rsid w:val="005529EF"/>
    <w:rsid w:val="00552B14"/>
    <w:rsid w:val="00552BF8"/>
    <w:rsid w:val="00552C97"/>
    <w:rsid w:val="00552E95"/>
    <w:rsid w:val="00552F18"/>
    <w:rsid w:val="00553007"/>
    <w:rsid w:val="0055313D"/>
    <w:rsid w:val="00553445"/>
    <w:rsid w:val="00553523"/>
    <w:rsid w:val="0055354D"/>
    <w:rsid w:val="00553779"/>
    <w:rsid w:val="00553B26"/>
    <w:rsid w:val="00553CBE"/>
    <w:rsid w:val="00553CEB"/>
    <w:rsid w:val="00553E17"/>
    <w:rsid w:val="00553FAF"/>
    <w:rsid w:val="00553FD4"/>
    <w:rsid w:val="00554092"/>
    <w:rsid w:val="005541D8"/>
    <w:rsid w:val="0055436A"/>
    <w:rsid w:val="00554693"/>
    <w:rsid w:val="0055470D"/>
    <w:rsid w:val="00554850"/>
    <w:rsid w:val="005549D0"/>
    <w:rsid w:val="00554B19"/>
    <w:rsid w:val="00554B4D"/>
    <w:rsid w:val="00554B71"/>
    <w:rsid w:val="00554BE6"/>
    <w:rsid w:val="00554C87"/>
    <w:rsid w:val="00554D7A"/>
    <w:rsid w:val="00554DE4"/>
    <w:rsid w:val="00554E19"/>
    <w:rsid w:val="00554F83"/>
    <w:rsid w:val="00554FBA"/>
    <w:rsid w:val="00555014"/>
    <w:rsid w:val="005553DE"/>
    <w:rsid w:val="00555432"/>
    <w:rsid w:val="005556C1"/>
    <w:rsid w:val="005556EB"/>
    <w:rsid w:val="00555746"/>
    <w:rsid w:val="005557F5"/>
    <w:rsid w:val="00555855"/>
    <w:rsid w:val="005558D6"/>
    <w:rsid w:val="0055591D"/>
    <w:rsid w:val="00555991"/>
    <w:rsid w:val="00555AA8"/>
    <w:rsid w:val="00555BDD"/>
    <w:rsid w:val="00555CDC"/>
    <w:rsid w:val="00555CE0"/>
    <w:rsid w:val="00555CF2"/>
    <w:rsid w:val="00555E1D"/>
    <w:rsid w:val="00556074"/>
    <w:rsid w:val="0055614C"/>
    <w:rsid w:val="00556179"/>
    <w:rsid w:val="005561BD"/>
    <w:rsid w:val="005561E4"/>
    <w:rsid w:val="005561FB"/>
    <w:rsid w:val="0055620D"/>
    <w:rsid w:val="005564A4"/>
    <w:rsid w:val="005567E3"/>
    <w:rsid w:val="00556A8C"/>
    <w:rsid w:val="00556ACA"/>
    <w:rsid w:val="00556B34"/>
    <w:rsid w:val="00556C5B"/>
    <w:rsid w:val="00556C79"/>
    <w:rsid w:val="00556CA0"/>
    <w:rsid w:val="00556CD3"/>
    <w:rsid w:val="00556CDB"/>
    <w:rsid w:val="00556D80"/>
    <w:rsid w:val="00556DD9"/>
    <w:rsid w:val="00556E51"/>
    <w:rsid w:val="00556E5D"/>
    <w:rsid w:val="00556EC8"/>
    <w:rsid w:val="00556F14"/>
    <w:rsid w:val="00556F23"/>
    <w:rsid w:val="00557132"/>
    <w:rsid w:val="00557179"/>
    <w:rsid w:val="005571D3"/>
    <w:rsid w:val="00557283"/>
    <w:rsid w:val="005572A9"/>
    <w:rsid w:val="005572EB"/>
    <w:rsid w:val="005575F9"/>
    <w:rsid w:val="00557720"/>
    <w:rsid w:val="0055775B"/>
    <w:rsid w:val="00557BB8"/>
    <w:rsid w:val="00557BC8"/>
    <w:rsid w:val="00557C77"/>
    <w:rsid w:val="00557CC2"/>
    <w:rsid w:val="00557D2E"/>
    <w:rsid w:val="00557EF6"/>
    <w:rsid w:val="00557F81"/>
    <w:rsid w:val="00560148"/>
    <w:rsid w:val="00560179"/>
    <w:rsid w:val="005601AE"/>
    <w:rsid w:val="0056021A"/>
    <w:rsid w:val="00560223"/>
    <w:rsid w:val="00560276"/>
    <w:rsid w:val="005603C0"/>
    <w:rsid w:val="005603D9"/>
    <w:rsid w:val="0056047A"/>
    <w:rsid w:val="0056052A"/>
    <w:rsid w:val="0056054E"/>
    <w:rsid w:val="005605AB"/>
    <w:rsid w:val="00560864"/>
    <w:rsid w:val="00560974"/>
    <w:rsid w:val="00560A0C"/>
    <w:rsid w:val="00560CA2"/>
    <w:rsid w:val="00560D40"/>
    <w:rsid w:val="00560D55"/>
    <w:rsid w:val="00560D83"/>
    <w:rsid w:val="00560DA8"/>
    <w:rsid w:val="00560FA0"/>
    <w:rsid w:val="0056129A"/>
    <w:rsid w:val="005612B9"/>
    <w:rsid w:val="005612D6"/>
    <w:rsid w:val="0056158D"/>
    <w:rsid w:val="005615ED"/>
    <w:rsid w:val="005616EA"/>
    <w:rsid w:val="00561758"/>
    <w:rsid w:val="0056175B"/>
    <w:rsid w:val="005617CD"/>
    <w:rsid w:val="0056195F"/>
    <w:rsid w:val="00561AB4"/>
    <w:rsid w:val="00561B0A"/>
    <w:rsid w:val="00561B2B"/>
    <w:rsid w:val="00561BA3"/>
    <w:rsid w:val="00561BC9"/>
    <w:rsid w:val="00561C6D"/>
    <w:rsid w:val="00561D9E"/>
    <w:rsid w:val="00561F0B"/>
    <w:rsid w:val="00561F15"/>
    <w:rsid w:val="00561FB7"/>
    <w:rsid w:val="0056208C"/>
    <w:rsid w:val="0056209D"/>
    <w:rsid w:val="00562212"/>
    <w:rsid w:val="0056228A"/>
    <w:rsid w:val="0056240A"/>
    <w:rsid w:val="0056241A"/>
    <w:rsid w:val="0056248F"/>
    <w:rsid w:val="005624CC"/>
    <w:rsid w:val="0056254B"/>
    <w:rsid w:val="005626EE"/>
    <w:rsid w:val="00562847"/>
    <w:rsid w:val="00562B3D"/>
    <w:rsid w:val="00562E30"/>
    <w:rsid w:val="00562EAA"/>
    <w:rsid w:val="005630F1"/>
    <w:rsid w:val="005632A1"/>
    <w:rsid w:val="00563358"/>
    <w:rsid w:val="005633A3"/>
    <w:rsid w:val="005638A9"/>
    <w:rsid w:val="005638BC"/>
    <w:rsid w:val="005639AA"/>
    <w:rsid w:val="00563A1D"/>
    <w:rsid w:val="00563A99"/>
    <w:rsid w:val="00563AA3"/>
    <w:rsid w:val="00563B2B"/>
    <w:rsid w:val="00563B81"/>
    <w:rsid w:val="00563C13"/>
    <w:rsid w:val="00563D39"/>
    <w:rsid w:val="00563E9D"/>
    <w:rsid w:val="00563EE8"/>
    <w:rsid w:val="00563F0F"/>
    <w:rsid w:val="00563F1D"/>
    <w:rsid w:val="00563FB7"/>
    <w:rsid w:val="0056402A"/>
    <w:rsid w:val="005641CB"/>
    <w:rsid w:val="005642C0"/>
    <w:rsid w:val="005642DE"/>
    <w:rsid w:val="00564430"/>
    <w:rsid w:val="00564449"/>
    <w:rsid w:val="0056454E"/>
    <w:rsid w:val="0056455A"/>
    <w:rsid w:val="00564674"/>
    <w:rsid w:val="0056467A"/>
    <w:rsid w:val="0056470F"/>
    <w:rsid w:val="00564733"/>
    <w:rsid w:val="00564893"/>
    <w:rsid w:val="00564907"/>
    <w:rsid w:val="00564A35"/>
    <w:rsid w:val="00564ABB"/>
    <w:rsid w:val="00564B1C"/>
    <w:rsid w:val="00564B4E"/>
    <w:rsid w:val="00564DA5"/>
    <w:rsid w:val="00564E12"/>
    <w:rsid w:val="00564E7E"/>
    <w:rsid w:val="00564F61"/>
    <w:rsid w:val="00565050"/>
    <w:rsid w:val="005650E4"/>
    <w:rsid w:val="0056516D"/>
    <w:rsid w:val="0056534B"/>
    <w:rsid w:val="0056535C"/>
    <w:rsid w:val="00565426"/>
    <w:rsid w:val="0056549A"/>
    <w:rsid w:val="00565542"/>
    <w:rsid w:val="0056577F"/>
    <w:rsid w:val="0056583B"/>
    <w:rsid w:val="0056598B"/>
    <w:rsid w:val="00565A27"/>
    <w:rsid w:val="00565DA8"/>
    <w:rsid w:val="00565DE4"/>
    <w:rsid w:val="00565E67"/>
    <w:rsid w:val="00565E82"/>
    <w:rsid w:val="0056604A"/>
    <w:rsid w:val="0056611C"/>
    <w:rsid w:val="005662BB"/>
    <w:rsid w:val="005663FA"/>
    <w:rsid w:val="00566648"/>
    <w:rsid w:val="00566734"/>
    <w:rsid w:val="005668D6"/>
    <w:rsid w:val="00566969"/>
    <w:rsid w:val="00566999"/>
    <w:rsid w:val="005669B6"/>
    <w:rsid w:val="005669C2"/>
    <w:rsid w:val="00566A5F"/>
    <w:rsid w:val="00566B14"/>
    <w:rsid w:val="00566D67"/>
    <w:rsid w:val="00566E02"/>
    <w:rsid w:val="005670FE"/>
    <w:rsid w:val="00567236"/>
    <w:rsid w:val="00567286"/>
    <w:rsid w:val="005673D4"/>
    <w:rsid w:val="0056750D"/>
    <w:rsid w:val="005675B0"/>
    <w:rsid w:val="00567683"/>
    <w:rsid w:val="005676A0"/>
    <w:rsid w:val="005676B9"/>
    <w:rsid w:val="005677AC"/>
    <w:rsid w:val="005677F3"/>
    <w:rsid w:val="005678FD"/>
    <w:rsid w:val="00567F09"/>
    <w:rsid w:val="00567F26"/>
    <w:rsid w:val="00567FA2"/>
    <w:rsid w:val="0057006A"/>
    <w:rsid w:val="005700F6"/>
    <w:rsid w:val="0057025F"/>
    <w:rsid w:val="0057031E"/>
    <w:rsid w:val="005704D5"/>
    <w:rsid w:val="0057050E"/>
    <w:rsid w:val="00570576"/>
    <w:rsid w:val="00570722"/>
    <w:rsid w:val="00570865"/>
    <w:rsid w:val="00570921"/>
    <w:rsid w:val="005709DA"/>
    <w:rsid w:val="00570ABD"/>
    <w:rsid w:val="00570ADE"/>
    <w:rsid w:val="00570BEB"/>
    <w:rsid w:val="00570D12"/>
    <w:rsid w:val="00570D35"/>
    <w:rsid w:val="0057106A"/>
    <w:rsid w:val="00571167"/>
    <w:rsid w:val="00571359"/>
    <w:rsid w:val="005713FF"/>
    <w:rsid w:val="00571452"/>
    <w:rsid w:val="00571494"/>
    <w:rsid w:val="005714BF"/>
    <w:rsid w:val="0057170B"/>
    <w:rsid w:val="005719C4"/>
    <w:rsid w:val="00571BD3"/>
    <w:rsid w:val="00571C93"/>
    <w:rsid w:val="00571DD4"/>
    <w:rsid w:val="00571E1C"/>
    <w:rsid w:val="00571F67"/>
    <w:rsid w:val="00572062"/>
    <w:rsid w:val="00572381"/>
    <w:rsid w:val="00572483"/>
    <w:rsid w:val="00572591"/>
    <w:rsid w:val="00572788"/>
    <w:rsid w:val="00572979"/>
    <w:rsid w:val="005729F0"/>
    <w:rsid w:val="00572A8D"/>
    <w:rsid w:val="0057307C"/>
    <w:rsid w:val="00573189"/>
    <w:rsid w:val="00573199"/>
    <w:rsid w:val="005732B3"/>
    <w:rsid w:val="005732D9"/>
    <w:rsid w:val="005733BB"/>
    <w:rsid w:val="00573405"/>
    <w:rsid w:val="0057353A"/>
    <w:rsid w:val="005735C7"/>
    <w:rsid w:val="0057375B"/>
    <w:rsid w:val="005737AD"/>
    <w:rsid w:val="00573885"/>
    <w:rsid w:val="00573B27"/>
    <w:rsid w:val="00573C48"/>
    <w:rsid w:val="00573D2C"/>
    <w:rsid w:val="00573D70"/>
    <w:rsid w:val="00573DA8"/>
    <w:rsid w:val="00573E65"/>
    <w:rsid w:val="00573EF9"/>
    <w:rsid w:val="00574087"/>
    <w:rsid w:val="0057417F"/>
    <w:rsid w:val="005744E3"/>
    <w:rsid w:val="0057452B"/>
    <w:rsid w:val="00574619"/>
    <w:rsid w:val="00574658"/>
    <w:rsid w:val="00574683"/>
    <w:rsid w:val="005748D5"/>
    <w:rsid w:val="00574969"/>
    <w:rsid w:val="00574B06"/>
    <w:rsid w:val="00574C49"/>
    <w:rsid w:val="00574DCF"/>
    <w:rsid w:val="00574FF9"/>
    <w:rsid w:val="00575055"/>
    <w:rsid w:val="005751BF"/>
    <w:rsid w:val="0057520B"/>
    <w:rsid w:val="0057532E"/>
    <w:rsid w:val="005754EC"/>
    <w:rsid w:val="0057555D"/>
    <w:rsid w:val="0057559F"/>
    <w:rsid w:val="0057566C"/>
    <w:rsid w:val="0057576B"/>
    <w:rsid w:val="0057577E"/>
    <w:rsid w:val="005759F3"/>
    <w:rsid w:val="00575A09"/>
    <w:rsid w:val="00575A24"/>
    <w:rsid w:val="00575AF7"/>
    <w:rsid w:val="00575B78"/>
    <w:rsid w:val="00575DEB"/>
    <w:rsid w:val="00575F4B"/>
    <w:rsid w:val="00576108"/>
    <w:rsid w:val="00576269"/>
    <w:rsid w:val="00576284"/>
    <w:rsid w:val="005762B7"/>
    <w:rsid w:val="00576357"/>
    <w:rsid w:val="0057637C"/>
    <w:rsid w:val="005763CA"/>
    <w:rsid w:val="005764AB"/>
    <w:rsid w:val="005765F7"/>
    <w:rsid w:val="005767DD"/>
    <w:rsid w:val="00576808"/>
    <w:rsid w:val="00576A8B"/>
    <w:rsid w:val="00576ACE"/>
    <w:rsid w:val="00576BFC"/>
    <w:rsid w:val="00576D24"/>
    <w:rsid w:val="00576E5E"/>
    <w:rsid w:val="00576EDC"/>
    <w:rsid w:val="00577127"/>
    <w:rsid w:val="005771DA"/>
    <w:rsid w:val="005772E6"/>
    <w:rsid w:val="005774A6"/>
    <w:rsid w:val="005774F6"/>
    <w:rsid w:val="00577544"/>
    <w:rsid w:val="00577551"/>
    <w:rsid w:val="00577637"/>
    <w:rsid w:val="00577683"/>
    <w:rsid w:val="0057769F"/>
    <w:rsid w:val="0057779B"/>
    <w:rsid w:val="0057784F"/>
    <w:rsid w:val="0057786C"/>
    <w:rsid w:val="005778F8"/>
    <w:rsid w:val="00577AB8"/>
    <w:rsid w:val="00577B2D"/>
    <w:rsid w:val="00577B82"/>
    <w:rsid w:val="00577BB6"/>
    <w:rsid w:val="00577D00"/>
    <w:rsid w:val="00577E06"/>
    <w:rsid w:val="00577F41"/>
    <w:rsid w:val="00577FF1"/>
    <w:rsid w:val="0058009D"/>
    <w:rsid w:val="00580230"/>
    <w:rsid w:val="00580490"/>
    <w:rsid w:val="00580598"/>
    <w:rsid w:val="005805D5"/>
    <w:rsid w:val="005806BD"/>
    <w:rsid w:val="00580738"/>
    <w:rsid w:val="00580C47"/>
    <w:rsid w:val="00580C8D"/>
    <w:rsid w:val="00580CDE"/>
    <w:rsid w:val="00580E34"/>
    <w:rsid w:val="00580F4F"/>
    <w:rsid w:val="00581043"/>
    <w:rsid w:val="0058107D"/>
    <w:rsid w:val="0058107E"/>
    <w:rsid w:val="00581109"/>
    <w:rsid w:val="005811C2"/>
    <w:rsid w:val="005813D3"/>
    <w:rsid w:val="005815C1"/>
    <w:rsid w:val="00581653"/>
    <w:rsid w:val="005816BD"/>
    <w:rsid w:val="0058195C"/>
    <w:rsid w:val="0058198D"/>
    <w:rsid w:val="005819EF"/>
    <w:rsid w:val="00581AA0"/>
    <w:rsid w:val="00581BBC"/>
    <w:rsid w:val="00581C49"/>
    <w:rsid w:val="00581C6B"/>
    <w:rsid w:val="00581DF9"/>
    <w:rsid w:val="00581ED2"/>
    <w:rsid w:val="00581FFB"/>
    <w:rsid w:val="005821D3"/>
    <w:rsid w:val="005821E8"/>
    <w:rsid w:val="0058224A"/>
    <w:rsid w:val="005822D2"/>
    <w:rsid w:val="00582301"/>
    <w:rsid w:val="00582392"/>
    <w:rsid w:val="005824A2"/>
    <w:rsid w:val="0058261D"/>
    <w:rsid w:val="005827DA"/>
    <w:rsid w:val="00582A32"/>
    <w:rsid w:val="00582E32"/>
    <w:rsid w:val="00583042"/>
    <w:rsid w:val="00583087"/>
    <w:rsid w:val="00583097"/>
    <w:rsid w:val="005830E9"/>
    <w:rsid w:val="00583177"/>
    <w:rsid w:val="00583359"/>
    <w:rsid w:val="00583389"/>
    <w:rsid w:val="0058344B"/>
    <w:rsid w:val="005834C8"/>
    <w:rsid w:val="005835D1"/>
    <w:rsid w:val="005836CB"/>
    <w:rsid w:val="0058384F"/>
    <w:rsid w:val="005838B3"/>
    <w:rsid w:val="005838E1"/>
    <w:rsid w:val="00583903"/>
    <w:rsid w:val="00583AAB"/>
    <w:rsid w:val="00583C3D"/>
    <w:rsid w:val="00583DB2"/>
    <w:rsid w:val="00583F0E"/>
    <w:rsid w:val="00583FC2"/>
    <w:rsid w:val="00584045"/>
    <w:rsid w:val="005841E8"/>
    <w:rsid w:val="00584210"/>
    <w:rsid w:val="00584279"/>
    <w:rsid w:val="0058455F"/>
    <w:rsid w:val="00584659"/>
    <w:rsid w:val="0058470E"/>
    <w:rsid w:val="00584754"/>
    <w:rsid w:val="005848AD"/>
    <w:rsid w:val="00584A70"/>
    <w:rsid w:val="00584AF5"/>
    <w:rsid w:val="00584C0A"/>
    <w:rsid w:val="00584E02"/>
    <w:rsid w:val="00584FFD"/>
    <w:rsid w:val="0058517A"/>
    <w:rsid w:val="0058526F"/>
    <w:rsid w:val="00585270"/>
    <w:rsid w:val="005853C5"/>
    <w:rsid w:val="005853CB"/>
    <w:rsid w:val="005854FF"/>
    <w:rsid w:val="005855B1"/>
    <w:rsid w:val="005855C4"/>
    <w:rsid w:val="00585601"/>
    <w:rsid w:val="00585745"/>
    <w:rsid w:val="00585857"/>
    <w:rsid w:val="005858B1"/>
    <w:rsid w:val="00585971"/>
    <w:rsid w:val="00585A2C"/>
    <w:rsid w:val="00585A50"/>
    <w:rsid w:val="00585AF6"/>
    <w:rsid w:val="00585E0A"/>
    <w:rsid w:val="005860AB"/>
    <w:rsid w:val="005860F5"/>
    <w:rsid w:val="00586170"/>
    <w:rsid w:val="005861D4"/>
    <w:rsid w:val="005861EB"/>
    <w:rsid w:val="00586228"/>
    <w:rsid w:val="005865C4"/>
    <w:rsid w:val="005865FC"/>
    <w:rsid w:val="005866E9"/>
    <w:rsid w:val="00586801"/>
    <w:rsid w:val="0058696E"/>
    <w:rsid w:val="00586998"/>
    <w:rsid w:val="005869ED"/>
    <w:rsid w:val="00586ABD"/>
    <w:rsid w:val="00586DAE"/>
    <w:rsid w:val="00586E2E"/>
    <w:rsid w:val="00586E81"/>
    <w:rsid w:val="00587101"/>
    <w:rsid w:val="005871C8"/>
    <w:rsid w:val="0058733E"/>
    <w:rsid w:val="0058738F"/>
    <w:rsid w:val="005873EE"/>
    <w:rsid w:val="00587482"/>
    <w:rsid w:val="00587487"/>
    <w:rsid w:val="0058758B"/>
    <w:rsid w:val="005875C9"/>
    <w:rsid w:val="0058762E"/>
    <w:rsid w:val="005876CE"/>
    <w:rsid w:val="005876EA"/>
    <w:rsid w:val="00587875"/>
    <w:rsid w:val="00587876"/>
    <w:rsid w:val="00587898"/>
    <w:rsid w:val="005878DA"/>
    <w:rsid w:val="00587A8A"/>
    <w:rsid w:val="00587AF2"/>
    <w:rsid w:val="00587AFD"/>
    <w:rsid w:val="00587C05"/>
    <w:rsid w:val="00587CCE"/>
    <w:rsid w:val="00587D09"/>
    <w:rsid w:val="00587D30"/>
    <w:rsid w:val="00587EF3"/>
    <w:rsid w:val="00587F3C"/>
    <w:rsid w:val="00587F78"/>
    <w:rsid w:val="00590012"/>
    <w:rsid w:val="00590054"/>
    <w:rsid w:val="0059008E"/>
    <w:rsid w:val="00590220"/>
    <w:rsid w:val="005902DF"/>
    <w:rsid w:val="00590387"/>
    <w:rsid w:val="0059042A"/>
    <w:rsid w:val="005905DF"/>
    <w:rsid w:val="00590676"/>
    <w:rsid w:val="005906CE"/>
    <w:rsid w:val="005906D6"/>
    <w:rsid w:val="005906FB"/>
    <w:rsid w:val="00590720"/>
    <w:rsid w:val="005909F5"/>
    <w:rsid w:val="00590B52"/>
    <w:rsid w:val="00590D1F"/>
    <w:rsid w:val="00590DFA"/>
    <w:rsid w:val="00590E4C"/>
    <w:rsid w:val="00590E68"/>
    <w:rsid w:val="00590F1F"/>
    <w:rsid w:val="00590F73"/>
    <w:rsid w:val="0059111C"/>
    <w:rsid w:val="0059137A"/>
    <w:rsid w:val="005914CD"/>
    <w:rsid w:val="005914ED"/>
    <w:rsid w:val="00591602"/>
    <w:rsid w:val="0059182F"/>
    <w:rsid w:val="00591924"/>
    <w:rsid w:val="00591C84"/>
    <w:rsid w:val="00591D69"/>
    <w:rsid w:val="00591E96"/>
    <w:rsid w:val="00591ECA"/>
    <w:rsid w:val="00592015"/>
    <w:rsid w:val="00592067"/>
    <w:rsid w:val="005920E2"/>
    <w:rsid w:val="00592120"/>
    <w:rsid w:val="00592209"/>
    <w:rsid w:val="0059223F"/>
    <w:rsid w:val="00592244"/>
    <w:rsid w:val="00592437"/>
    <w:rsid w:val="00592475"/>
    <w:rsid w:val="005928A0"/>
    <w:rsid w:val="005928B1"/>
    <w:rsid w:val="0059299B"/>
    <w:rsid w:val="005929C5"/>
    <w:rsid w:val="00592BC5"/>
    <w:rsid w:val="00592BE1"/>
    <w:rsid w:val="00592C69"/>
    <w:rsid w:val="00592C75"/>
    <w:rsid w:val="00592C85"/>
    <w:rsid w:val="00593194"/>
    <w:rsid w:val="005933A8"/>
    <w:rsid w:val="00593778"/>
    <w:rsid w:val="0059385D"/>
    <w:rsid w:val="00593A38"/>
    <w:rsid w:val="00593C07"/>
    <w:rsid w:val="00593C88"/>
    <w:rsid w:val="00593D4B"/>
    <w:rsid w:val="00593DB6"/>
    <w:rsid w:val="00594014"/>
    <w:rsid w:val="005940FC"/>
    <w:rsid w:val="00594338"/>
    <w:rsid w:val="0059435B"/>
    <w:rsid w:val="0059447B"/>
    <w:rsid w:val="0059452B"/>
    <w:rsid w:val="00594605"/>
    <w:rsid w:val="005947DC"/>
    <w:rsid w:val="00594811"/>
    <w:rsid w:val="005948EF"/>
    <w:rsid w:val="00594B5F"/>
    <w:rsid w:val="00594BB5"/>
    <w:rsid w:val="00594D33"/>
    <w:rsid w:val="00594D78"/>
    <w:rsid w:val="00594F6D"/>
    <w:rsid w:val="00594F90"/>
    <w:rsid w:val="0059507A"/>
    <w:rsid w:val="005951A5"/>
    <w:rsid w:val="005952CA"/>
    <w:rsid w:val="005952F1"/>
    <w:rsid w:val="00595349"/>
    <w:rsid w:val="0059544E"/>
    <w:rsid w:val="00595456"/>
    <w:rsid w:val="005956E0"/>
    <w:rsid w:val="005957C4"/>
    <w:rsid w:val="005957FA"/>
    <w:rsid w:val="00595865"/>
    <w:rsid w:val="00595CE3"/>
    <w:rsid w:val="00595CF3"/>
    <w:rsid w:val="00595D02"/>
    <w:rsid w:val="00595D30"/>
    <w:rsid w:val="00595DFE"/>
    <w:rsid w:val="00595ED0"/>
    <w:rsid w:val="00595F9F"/>
    <w:rsid w:val="00595FAF"/>
    <w:rsid w:val="005960CF"/>
    <w:rsid w:val="00596222"/>
    <w:rsid w:val="00596485"/>
    <w:rsid w:val="005965B4"/>
    <w:rsid w:val="0059663D"/>
    <w:rsid w:val="0059683E"/>
    <w:rsid w:val="0059693D"/>
    <w:rsid w:val="005969CE"/>
    <w:rsid w:val="00596B66"/>
    <w:rsid w:val="00596DE2"/>
    <w:rsid w:val="00596EDD"/>
    <w:rsid w:val="0059704C"/>
    <w:rsid w:val="00597103"/>
    <w:rsid w:val="0059711B"/>
    <w:rsid w:val="00597271"/>
    <w:rsid w:val="00597368"/>
    <w:rsid w:val="00597372"/>
    <w:rsid w:val="005973B2"/>
    <w:rsid w:val="00597498"/>
    <w:rsid w:val="005977BA"/>
    <w:rsid w:val="00597913"/>
    <w:rsid w:val="00597A12"/>
    <w:rsid w:val="00597A43"/>
    <w:rsid w:val="00597B91"/>
    <w:rsid w:val="00597C24"/>
    <w:rsid w:val="00597DAE"/>
    <w:rsid w:val="00597DB0"/>
    <w:rsid w:val="00597E81"/>
    <w:rsid w:val="00597E9F"/>
    <w:rsid w:val="005A01A3"/>
    <w:rsid w:val="005A01B9"/>
    <w:rsid w:val="005A037C"/>
    <w:rsid w:val="005A0417"/>
    <w:rsid w:val="005A08AF"/>
    <w:rsid w:val="005A08CA"/>
    <w:rsid w:val="005A08FB"/>
    <w:rsid w:val="005A099B"/>
    <w:rsid w:val="005A09BF"/>
    <w:rsid w:val="005A0A6A"/>
    <w:rsid w:val="005A0CD1"/>
    <w:rsid w:val="005A0DF6"/>
    <w:rsid w:val="005A1100"/>
    <w:rsid w:val="005A11CD"/>
    <w:rsid w:val="005A1469"/>
    <w:rsid w:val="005A1475"/>
    <w:rsid w:val="005A15E3"/>
    <w:rsid w:val="005A1644"/>
    <w:rsid w:val="005A19B9"/>
    <w:rsid w:val="005A1BCD"/>
    <w:rsid w:val="005A1CE5"/>
    <w:rsid w:val="005A1F73"/>
    <w:rsid w:val="005A1F9A"/>
    <w:rsid w:val="005A2154"/>
    <w:rsid w:val="005A22F3"/>
    <w:rsid w:val="005A2359"/>
    <w:rsid w:val="005A250E"/>
    <w:rsid w:val="005A26E1"/>
    <w:rsid w:val="005A27BD"/>
    <w:rsid w:val="005A2837"/>
    <w:rsid w:val="005A2B7C"/>
    <w:rsid w:val="005A2BBC"/>
    <w:rsid w:val="005A2BBE"/>
    <w:rsid w:val="005A2C31"/>
    <w:rsid w:val="005A2D63"/>
    <w:rsid w:val="005A2DA2"/>
    <w:rsid w:val="005A2DB8"/>
    <w:rsid w:val="005A2DBE"/>
    <w:rsid w:val="005A30C7"/>
    <w:rsid w:val="005A30CE"/>
    <w:rsid w:val="005A30D1"/>
    <w:rsid w:val="005A30E1"/>
    <w:rsid w:val="005A30F1"/>
    <w:rsid w:val="005A3310"/>
    <w:rsid w:val="005A34E7"/>
    <w:rsid w:val="005A373E"/>
    <w:rsid w:val="005A379C"/>
    <w:rsid w:val="005A37A1"/>
    <w:rsid w:val="005A381B"/>
    <w:rsid w:val="005A397D"/>
    <w:rsid w:val="005A3A07"/>
    <w:rsid w:val="005A3B76"/>
    <w:rsid w:val="005A3BBA"/>
    <w:rsid w:val="005A3BDA"/>
    <w:rsid w:val="005A3CE2"/>
    <w:rsid w:val="005A3EA7"/>
    <w:rsid w:val="005A3F02"/>
    <w:rsid w:val="005A4192"/>
    <w:rsid w:val="005A4195"/>
    <w:rsid w:val="005A4261"/>
    <w:rsid w:val="005A44E2"/>
    <w:rsid w:val="005A4636"/>
    <w:rsid w:val="005A48A9"/>
    <w:rsid w:val="005A48B3"/>
    <w:rsid w:val="005A4A6C"/>
    <w:rsid w:val="005A4A96"/>
    <w:rsid w:val="005A4C1F"/>
    <w:rsid w:val="005A4CB8"/>
    <w:rsid w:val="005A4D54"/>
    <w:rsid w:val="005A506E"/>
    <w:rsid w:val="005A51E1"/>
    <w:rsid w:val="005A522B"/>
    <w:rsid w:val="005A53F7"/>
    <w:rsid w:val="005A5875"/>
    <w:rsid w:val="005A5A5B"/>
    <w:rsid w:val="005A5AB9"/>
    <w:rsid w:val="005A5ADD"/>
    <w:rsid w:val="005A5B07"/>
    <w:rsid w:val="005A5C5F"/>
    <w:rsid w:val="005A60F9"/>
    <w:rsid w:val="005A61C9"/>
    <w:rsid w:val="005A61DA"/>
    <w:rsid w:val="005A621A"/>
    <w:rsid w:val="005A6680"/>
    <w:rsid w:val="005A6911"/>
    <w:rsid w:val="005A6A7F"/>
    <w:rsid w:val="005A6B67"/>
    <w:rsid w:val="005A6C76"/>
    <w:rsid w:val="005A6CFE"/>
    <w:rsid w:val="005A6EB9"/>
    <w:rsid w:val="005A6FE2"/>
    <w:rsid w:val="005A7092"/>
    <w:rsid w:val="005A739B"/>
    <w:rsid w:val="005A744A"/>
    <w:rsid w:val="005A74B8"/>
    <w:rsid w:val="005A7580"/>
    <w:rsid w:val="005A7600"/>
    <w:rsid w:val="005A7634"/>
    <w:rsid w:val="005A76A1"/>
    <w:rsid w:val="005A7A54"/>
    <w:rsid w:val="005A7C8C"/>
    <w:rsid w:val="005A7CC2"/>
    <w:rsid w:val="005A7F36"/>
    <w:rsid w:val="005A7F9C"/>
    <w:rsid w:val="005B00F7"/>
    <w:rsid w:val="005B0172"/>
    <w:rsid w:val="005B031C"/>
    <w:rsid w:val="005B03F2"/>
    <w:rsid w:val="005B0487"/>
    <w:rsid w:val="005B0657"/>
    <w:rsid w:val="005B0733"/>
    <w:rsid w:val="005B0859"/>
    <w:rsid w:val="005B08F9"/>
    <w:rsid w:val="005B093D"/>
    <w:rsid w:val="005B0A26"/>
    <w:rsid w:val="005B0AEE"/>
    <w:rsid w:val="005B0BF3"/>
    <w:rsid w:val="005B0DBF"/>
    <w:rsid w:val="005B1099"/>
    <w:rsid w:val="005B1327"/>
    <w:rsid w:val="005B15A0"/>
    <w:rsid w:val="005B16D3"/>
    <w:rsid w:val="005B17E2"/>
    <w:rsid w:val="005B196A"/>
    <w:rsid w:val="005B19AC"/>
    <w:rsid w:val="005B1B6F"/>
    <w:rsid w:val="005B1BCA"/>
    <w:rsid w:val="005B1DE9"/>
    <w:rsid w:val="005B1E87"/>
    <w:rsid w:val="005B1F27"/>
    <w:rsid w:val="005B1F8E"/>
    <w:rsid w:val="005B1FCA"/>
    <w:rsid w:val="005B20A2"/>
    <w:rsid w:val="005B20B2"/>
    <w:rsid w:val="005B20B9"/>
    <w:rsid w:val="005B21F3"/>
    <w:rsid w:val="005B23A0"/>
    <w:rsid w:val="005B23BA"/>
    <w:rsid w:val="005B24F0"/>
    <w:rsid w:val="005B2524"/>
    <w:rsid w:val="005B2581"/>
    <w:rsid w:val="005B262D"/>
    <w:rsid w:val="005B266A"/>
    <w:rsid w:val="005B2ABA"/>
    <w:rsid w:val="005B2B11"/>
    <w:rsid w:val="005B2B45"/>
    <w:rsid w:val="005B2D6C"/>
    <w:rsid w:val="005B2DAF"/>
    <w:rsid w:val="005B2DD7"/>
    <w:rsid w:val="005B2DED"/>
    <w:rsid w:val="005B31F8"/>
    <w:rsid w:val="005B3241"/>
    <w:rsid w:val="005B3258"/>
    <w:rsid w:val="005B3457"/>
    <w:rsid w:val="005B3542"/>
    <w:rsid w:val="005B385F"/>
    <w:rsid w:val="005B3AD5"/>
    <w:rsid w:val="005B3C51"/>
    <w:rsid w:val="005B3C99"/>
    <w:rsid w:val="005B3CC2"/>
    <w:rsid w:val="005B3CF4"/>
    <w:rsid w:val="005B3D3A"/>
    <w:rsid w:val="005B3D73"/>
    <w:rsid w:val="005B3F50"/>
    <w:rsid w:val="005B40A5"/>
    <w:rsid w:val="005B40EE"/>
    <w:rsid w:val="005B416D"/>
    <w:rsid w:val="005B4215"/>
    <w:rsid w:val="005B42C9"/>
    <w:rsid w:val="005B43B6"/>
    <w:rsid w:val="005B43F1"/>
    <w:rsid w:val="005B45D5"/>
    <w:rsid w:val="005B4847"/>
    <w:rsid w:val="005B4867"/>
    <w:rsid w:val="005B48D4"/>
    <w:rsid w:val="005B4B3F"/>
    <w:rsid w:val="005B4BC4"/>
    <w:rsid w:val="005B4C06"/>
    <w:rsid w:val="005B4EBF"/>
    <w:rsid w:val="005B4F75"/>
    <w:rsid w:val="005B5048"/>
    <w:rsid w:val="005B5052"/>
    <w:rsid w:val="005B50C0"/>
    <w:rsid w:val="005B5111"/>
    <w:rsid w:val="005B521F"/>
    <w:rsid w:val="005B5230"/>
    <w:rsid w:val="005B5260"/>
    <w:rsid w:val="005B52C9"/>
    <w:rsid w:val="005B54A9"/>
    <w:rsid w:val="005B5530"/>
    <w:rsid w:val="005B5542"/>
    <w:rsid w:val="005B5556"/>
    <w:rsid w:val="005B55B4"/>
    <w:rsid w:val="005B578A"/>
    <w:rsid w:val="005B57F6"/>
    <w:rsid w:val="005B58C0"/>
    <w:rsid w:val="005B59AF"/>
    <w:rsid w:val="005B59C7"/>
    <w:rsid w:val="005B5CF3"/>
    <w:rsid w:val="005B5D5E"/>
    <w:rsid w:val="005B5D72"/>
    <w:rsid w:val="005B5D95"/>
    <w:rsid w:val="005B5E3B"/>
    <w:rsid w:val="005B5EAE"/>
    <w:rsid w:val="005B5F86"/>
    <w:rsid w:val="005B60EB"/>
    <w:rsid w:val="005B63B7"/>
    <w:rsid w:val="005B6455"/>
    <w:rsid w:val="005B6459"/>
    <w:rsid w:val="005B6598"/>
    <w:rsid w:val="005B65F4"/>
    <w:rsid w:val="005B661A"/>
    <w:rsid w:val="005B6871"/>
    <w:rsid w:val="005B68CA"/>
    <w:rsid w:val="005B6933"/>
    <w:rsid w:val="005B69FA"/>
    <w:rsid w:val="005B6CE6"/>
    <w:rsid w:val="005B6D44"/>
    <w:rsid w:val="005B6DD0"/>
    <w:rsid w:val="005B6E0E"/>
    <w:rsid w:val="005B6F82"/>
    <w:rsid w:val="005B6FBD"/>
    <w:rsid w:val="005B6FE1"/>
    <w:rsid w:val="005B7087"/>
    <w:rsid w:val="005B7261"/>
    <w:rsid w:val="005B747E"/>
    <w:rsid w:val="005B74C6"/>
    <w:rsid w:val="005B74F6"/>
    <w:rsid w:val="005B7533"/>
    <w:rsid w:val="005B766A"/>
    <w:rsid w:val="005B76E3"/>
    <w:rsid w:val="005B7728"/>
    <w:rsid w:val="005B79F2"/>
    <w:rsid w:val="005B79F7"/>
    <w:rsid w:val="005B7A37"/>
    <w:rsid w:val="005B7A4A"/>
    <w:rsid w:val="005B7A85"/>
    <w:rsid w:val="005B7ADF"/>
    <w:rsid w:val="005B7B05"/>
    <w:rsid w:val="005B7BB6"/>
    <w:rsid w:val="005B7C59"/>
    <w:rsid w:val="005B7E77"/>
    <w:rsid w:val="005B7F96"/>
    <w:rsid w:val="005B7FB6"/>
    <w:rsid w:val="005C01B9"/>
    <w:rsid w:val="005C03C7"/>
    <w:rsid w:val="005C05AF"/>
    <w:rsid w:val="005C07FC"/>
    <w:rsid w:val="005C0906"/>
    <w:rsid w:val="005C0933"/>
    <w:rsid w:val="005C094C"/>
    <w:rsid w:val="005C0A26"/>
    <w:rsid w:val="005C0B65"/>
    <w:rsid w:val="005C0BF9"/>
    <w:rsid w:val="005C0C80"/>
    <w:rsid w:val="005C0DCC"/>
    <w:rsid w:val="005C0EFF"/>
    <w:rsid w:val="005C0F20"/>
    <w:rsid w:val="005C0FAC"/>
    <w:rsid w:val="005C11B4"/>
    <w:rsid w:val="005C11B6"/>
    <w:rsid w:val="005C1497"/>
    <w:rsid w:val="005C15AE"/>
    <w:rsid w:val="005C15C9"/>
    <w:rsid w:val="005C15DA"/>
    <w:rsid w:val="005C15EC"/>
    <w:rsid w:val="005C16E8"/>
    <w:rsid w:val="005C17A8"/>
    <w:rsid w:val="005C17E4"/>
    <w:rsid w:val="005C1915"/>
    <w:rsid w:val="005C1BD6"/>
    <w:rsid w:val="005C1DC3"/>
    <w:rsid w:val="005C204A"/>
    <w:rsid w:val="005C2063"/>
    <w:rsid w:val="005C20BF"/>
    <w:rsid w:val="005C20CA"/>
    <w:rsid w:val="005C21C6"/>
    <w:rsid w:val="005C2294"/>
    <w:rsid w:val="005C22EE"/>
    <w:rsid w:val="005C2388"/>
    <w:rsid w:val="005C242F"/>
    <w:rsid w:val="005C272C"/>
    <w:rsid w:val="005C2784"/>
    <w:rsid w:val="005C29FB"/>
    <w:rsid w:val="005C2AC0"/>
    <w:rsid w:val="005C2B69"/>
    <w:rsid w:val="005C2B99"/>
    <w:rsid w:val="005C2BAF"/>
    <w:rsid w:val="005C2C2E"/>
    <w:rsid w:val="005C2E3F"/>
    <w:rsid w:val="005C2EC6"/>
    <w:rsid w:val="005C2F1C"/>
    <w:rsid w:val="005C2F94"/>
    <w:rsid w:val="005C3304"/>
    <w:rsid w:val="005C3322"/>
    <w:rsid w:val="005C341D"/>
    <w:rsid w:val="005C35EC"/>
    <w:rsid w:val="005C38EE"/>
    <w:rsid w:val="005C3A90"/>
    <w:rsid w:val="005C3BD2"/>
    <w:rsid w:val="005C3BED"/>
    <w:rsid w:val="005C3C62"/>
    <w:rsid w:val="005C3E29"/>
    <w:rsid w:val="005C3E40"/>
    <w:rsid w:val="005C413A"/>
    <w:rsid w:val="005C42EF"/>
    <w:rsid w:val="005C4362"/>
    <w:rsid w:val="005C463A"/>
    <w:rsid w:val="005C48CD"/>
    <w:rsid w:val="005C48E0"/>
    <w:rsid w:val="005C4A7F"/>
    <w:rsid w:val="005C4D63"/>
    <w:rsid w:val="005C4FF8"/>
    <w:rsid w:val="005C4FF9"/>
    <w:rsid w:val="005C5179"/>
    <w:rsid w:val="005C529E"/>
    <w:rsid w:val="005C549C"/>
    <w:rsid w:val="005C555E"/>
    <w:rsid w:val="005C55ED"/>
    <w:rsid w:val="005C56C3"/>
    <w:rsid w:val="005C5704"/>
    <w:rsid w:val="005C571D"/>
    <w:rsid w:val="005C5831"/>
    <w:rsid w:val="005C5A31"/>
    <w:rsid w:val="005C5BB4"/>
    <w:rsid w:val="005C5E08"/>
    <w:rsid w:val="005C5F3C"/>
    <w:rsid w:val="005C5F82"/>
    <w:rsid w:val="005C6270"/>
    <w:rsid w:val="005C6389"/>
    <w:rsid w:val="005C63D2"/>
    <w:rsid w:val="005C6453"/>
    <w:rsid w:val="005C6625"/>
    <w:rsid w:val="005C667C"/>
    <w:rsid w:val="005C66BF"/>
    <w:rsid w:val="005C66CA"/>
    <w:rsid w:val="005C6743"/>
    <w:rsid w:val="005C681B"/>
    <w:rsid w:val="005C6909"/>
    <w:rsid w:val="005C6A82"/>
    <w:rsid w:val="005C6B6B"/>
    <w:rsid w:val="005C6E0A"/>
    <w:rsid w:val="005C6E7F"/>
    <w:rsid w:val="005C6FB8"/>
    <w:rsid w:val="005C71A1"/>
    <w:rsid w:val="005C73AE"/>
    <w:rsid w:val="005C740D"/>
    <w:rsid w:val="005C747D"/>
    <w:rsid w:val="005C74B5"/>
    <w:rsid w:val="005C7681"/>
    <w:rsid w:val="005C7708"/>
    <w:rsid w:val="005C7728"/>
    <w:rsid w:val="005C7B06"/>
    <w:rsid w:val="005C7C6F"/>
    <w:rsid w:val="005C7D93"/>
    <w:rsid w:val="005CBC23"/>
    <w:rsid w:val="005D00DD"/>
    <w:rsid w:val="005D0112"/>
    <w:rsid w:val="005D0186"/>
    <w:rsid w:val="005D01CB"/>
    <w:rsid w:val="005D0251"/>
    <w:rsid w:val="005D0377"/>
    <w:rsid w:val="005D0645"/>
    <w:rsid w:val="005D07F6"/>
    <w:rsid w:val="005D086B"/>
    <w:rsid w:val="005D09E0"/>
    <w:rsid w:val="005D0ACB"/>
    <w:rsid w:val="005D0AE7"/>
    <w:rsid w:val="005D0AF9"/>
    <w:rsid w:val="005D0D90"/>
    <w:rsid w:val="005D0DF5"/>
    <w:rsid w:val="005D0E61"/>
    <w:rsid w:val="005D0EF4"/>
    <w:rsid w:val="005D0F1B"/>
    <w:rsid w:val="005D0F9E"/>
    <w:rsid w:val="005D0FE4"/>
    <w:rsid w:val="005D1090"/>
    <w:rsid w:val="005D117B"/>
    <w:rsid w:val="005D13FC"/>
    <w:rsid w:val="005D1620"/>
    <w:rsid w:val="005D1762"/>
    <w:rsid w:val="005D17BA"/>
    <w:rsid w:val="005D1967"/>
    <w:rsid w:val="005D1CBF"/>
    <w:rsid w:val="005D1D38"/>
    <w:rsid w:val="005D215E"/>
    <w:rsid w:val="005D2176"/>
    <w:rsid w:val="005D246C"/>
    <w:rsid w:val="005D2497"/>
    <w:rsid w:val="005D2542"/>
    <w:rsid w:val="005D2709"/>
    <w:rsid w:val="005D272B"/>
    <w:rsid w:val="005D27BF"/>
    <w:rsid w:val="005D2A91"/>
    <w:rsid w:val="005D2BC4"/>
    <w:rsid w:val="005D2D69"/>
    <w:rsid w:val="005D2EB3"/>
    <w:rsid w:val="005D313A"/>
    <w:rsid w:val="005D352D"/>
    <w:rsid w:val="005D3540"/>
    <w:rsid w:val="005D3557"/>
    <w:rsid w:val="005D3561"/>
    <w:rsid w:val="005D35F7"/>
    <w:rsid w:val="005D3732"/>
    <w:rsid w:val="005D37C3"/>
    <w:rsid w:val="005D3843"/>
    <w:rsid w:val="005D3897"/>
    <w:rsid w:val="005D38F0"/>
    <w:rsid w:val="005D391A"/>
    <w:rsid w:val="005D3A16"/>
    <w:rsid w:val="005D3A9B"/>
    <w:rsid w:val="005D3AE6"/>
    <w:rsid w:val="005D3BB5"/>
    <w:rsid w:val="005D3F4A"/>
    <w:rsid w:val="005D3FB3"/>
    <w:rsid w:val="005D3FF2"/>
    <w:rsid w:val="005D41B0"/>
    <w:rsid w:val="005D4286"/>
    <w:rsid w:val="005D437F"/>
    <w:rsid w:val="005D43FB"/>
    <w:rsid w:val="005D4537"/>
    <w:rsid w:val="005D4693"/>
    <w:rsid w:val="005D46CD"/>
    <w:rsid w:val="005D48AD"/>
    <w:rsid w:val="005D48EC"/>
    <w:rsid w:val="005D493A"/>
    <w:rsid w:val="005D4B2F"/>
    <w:rsid w:val="005D4B64"/>
    <w:rsid w:val="005D4B85"/>
    <w:rsid w:val="005D4BD9"/>
    <w:rsid w:val="005D4D45"/>
    <w:rsid w:val="005D4ECB"/>
    <w:rsid w:val="005D4F27"/>
    <w:rsid w:val="005D5002"/>
    <w:rsid w:val="005D5106"/>
    <w:rsid w:val="005D510F"/>
    <w:rsid w:val="005D5361"/>
    <w:rsid w:val="005D54E8"/>
    <w:rsid w:val="005D59F1"/>
    <w:rsid w:val="005D5AFA"/>
    <w:rsid w:val="005D5D7B"/>
    <w:rsid w:val="005D5E15"/>
    <w:rsid w:val="005D5F11"/>
    <w:rsid w:val="005D5F26"/>
    <w:rsid w:val="005D6113"/>
    <w:rsid w:val="005D61A4"/>
    <w:rsid w:val="005D625B"/>
    <w:rsid w:val="005D62D9"/>
    <w:rsid w:val="005D6393"/>
    <w:rsid w:val="005D63F8"/>
    <w:rsid w:val="005D6529"/>
    <w:rsid w:val="005D67C8"/>
    <w:rsid w:val="005D680B"/>
    <w:rsid w:val="005D6854"/>
    <w:rsid w:val="005D685D"/>
    <w:rsid w:val="005D6A6A"/>
    <w:rsid w:val="005D6BE3"/>
    <w:rsid w:val="005D7033"/>
    <w:rsid w:val="005D71B4"/>
    <w:rsid w:val="005D73CD"/>
    <w:rsid w:val="005D745C"/>
    <w:rsid w:val="005D74AD"/>
    <w:rsid w:val="005D74DA"/>
    <w:rsid w:val="005D76FB"/>
    <w:rsid w:val="005D7789"/>
    <w:rsid w:val="005D783A"/>
    <w:rsid w:val="005D787B"/>
    <w:rsid w:val="005D78B0"/>
    <w:rsid w:val="005D78FE"/>
    <w:rsid w:val="005D7942"/>
    <w:rsid w:val="005D79B6"/>
    <w:rsid w:val="005D7A5E"/>
    <w:rsid w:val="005D7A66"/>
    <w:rsid w:val="005D7B81"/>
    <w:rsid w:val="005D7CB0"/>
    <w:rsid w:val="005D7EDF"/>
    <w:rsid w:val="005D7F22"/>
    <w:rsid w:val="005E0035"/>
    <w:rsid w:val="005E006A"/>
    <w:rsid w:val="005E02AF"/>
    <w:rsid w:val="005E02CC"/>
    <w:rsid w:val="005E059B"/>
    <w:rsid w:val="005E0606"/>
    <w:rsid w:val="005E0663"/>
    <w:rsid w:val="005E08F5"/>
    <w:rsid w:val="005E08FF"/>
    <w:rsid w:val="005E099B"/>
    <w:rsid w:val="005E0CBD"/>
    <w:rsid w:val="005E0D7B"/>
    <w:rsid w:val="005E0DDF"/>
    <w:rsid w:val="005E0E04"/>
    <w:rsid w:val="005E0E45"/>
    <w:rsid w:val="005E0E7D"/>
    <w:rsid w:val="005E0EE1"/>
    <w:rsid w:val="005E104B"/>
    <w:rsid w:val="005E1071"/>
    <w:rsid w:val="005E1315"/>
    <w:rsid w:val="005E13E5"/>
    <w:rsid w:val="005E145F"/>
    <w:rsid w:val="005E14A1"/>
    <w:rsid w:val="005E1576"/>
    <w:rsid w:val="005E15B7"/>
    <w:rsid w:val="005E1666"/>
    <w:rsid w:val="005E17C4"/>
    <w:rsid w:val="005E19A0"/>
    <w:rsid w:val="005E1A3B"/>
    <w:rsid w:val="005E1AE9"/>
    <w:rsid w:val="005E1B77"/>
    <w:rsid w:val="005E1BE8"/>
    <w:rsid w:val="005E1EE0"/>
    <w:rsid w:val="005E1F77"/>
    <w:rsid w:val="005E2175"/>
    <w:rsid w:val="005E2212"/>
    <w:rsid w:val="005E224A"/>
    <w:rsid w:val="005E2329"/>
    <w:rsid w:val="005E23F3"/>
    <w:rsid w:val="005E2683"/>
    <w:rsid w:val="005E272E"/>
    <w:rsid w:val="005E28B0"/>
    <w:rsid w:val="005E2916"/>
    <w:rsid w:val="005E2A96"/>
    <w:rsid w:val="005E2C8F"/>
    <w:rsid w:val="005E2D59"/>
    <w:rsid w:val="005E2E64"/>
    <w:rsid w:val="005E2EA4"/>
    <w:rsid w:val="005E2F23"/>
    <w:rsid w:val="005E3038"/>
    <w:rsid w:val="005E30D3"/>
    <w:rsid w:val="005E3218"/>
    <w:rsid w:val="005E32B7"/>
    <w:rsid w:val="005E33C4"/>
    <w:rsid w:val="005E34D5"/>
    <w:rsid w:val="005E3572"/>
    <w:rsid w:val="005E379B"/>
    <w:rsid w:val="005E38F7"/>
    <w:rsid w:val="005E395B"/>
    <w:rsid w:val="005E3991"/>
    <w:rsid w:val="005E3A32"/>
    <w:rsid w:val="005E3A9F"/>
    <w:rsid w:val="005E3C0F"/>
    <w:rsid w:val="005E3D8C"/>
    <w:rsid w:val="005E3DCD"/>
    <w:rsid w:val="005E3E13"/>
    <w:rsid w:val="005E3E37"/>
    <w:rsid w:val="005E3EA3"/>
    <w:rsid w:val="005E3F85"/>
    <w:rsid w:val="005E3F88"/>
    <w:rsid w:val="005E4068"/>
    <w:rsid w:val="005E4090"/>
    <w:rsid w:val="005E430E"/>
    <w:rsid w:val="005E4411"/>
    <w:rsid w:val="005E4654"/>
    <w:rsid w:val="005E46CF"/>
    <w:rsid w:val="005E470F"/>
    <w:rsid w:val="005E4718"/>
    <w:rsid w:val="005E47C6"/>
    <w:rsid w:val="005E4827"/>
    <w:rsid w:val="005E48C7"/>
    <w:rsid w:val="005E4AEF"/>
    <w:rsid w:val="005E4B32"/>
    <w:rsid w:val="005E4B81"/>
    <w:rsid w:val="005E4BA6"/>
    <w:rsid w:val="005E4D1A"/>
    <w:rsid w:val="005E4E8D"/>
    <w:rsid w:val="005E509C"/>
    <w:rsid w:val="005E51CE"/>
    <w:rsid w:val="005E521F"/>
    <w:rsid w:val="005E530D"/>
    <w:rsid w:val="005E53D9"/>
    <w:rsid w:val="005E5493"/>
    <w:rsid w:val="005E55DB"/>
    <w:rsid w:val="005E568C"/>
    <w:rsid w:val="005E5791"/>
    <w:rsid w:val="005E5799"/>
    <w:rsid w:val="005E57D6"/>
    <w:rsid w:val="005E581D"/>
    <w:rsid w:val="005E584E"/>
    <w:rsid w:val="005E5853"/>
    <w:rsid w:val="005E5872"/>
    <w:rsid w:val="005E5B1A"/>
    <w:rsid w:val="005E5C5E"/>
    <w:rsid w:val="005E5C9E"/>
    <w:rsid w:val="005E5E35"/>
    <w:rsid w:val="005E5E5D"/>
    <w:rsid w:val="005E5E8D"/>
    <w:rsid w:val="005E5F5E"/>
    <w:rsid w:val="005E62A8"/>
    <w:rsid w:val="005E633D"/>
    <w:rsid w:val="005E63A3"/>
    <w:rsid w:val="005E63EE"/>
    <w:rsid w:val="005E6414"/>
    <w:rsid w:val="005E6424"/>
    <w:rsid w:val="005E646B"/>
    <w:rsid w:val="005E6777"/>
    <w:rsid w:val="005E6930"/>
    <w:rsid w:val="005E6A99"/>
    <w:rsid w:val="005E6B63"/>
    <w:rsid w:val="005E6D05"/>
    <w:rsid w:val="005E6D19"/>
    <w:rsid w:val="005E6F4F"/>
    <w:rsid w:val="005E724F"/>
    <w:rsid w:val="005E72C1"/>
    <w:rsid w:val="005E7410"/>
    <w:rsid w:val="005E76DE"/>
    <w:rsid w:val="005E79C6"/>
    <w:rsid w:val="005E7BCD"/>
    <w:rsid w:val="005E7D70"/>
    <w:rsid w:val="005E7EDB"/>
    <w:rsid w:val="005E7F8B"/>
    <w:rsid w:val="005F00DC"/>
    <w:rsid w:val="005F017E"/>
    <w:rsid w:val="005F019E"/>
    <w:rsid w:val="005F0211"/>
    <w:rsid w:val="005F030C"/>
    <w:rsid w:val="005F03BA"/>
    <w:rsid w:val="005F03F1"/>
    <w:rsid w:val="005F049E"/>
    <w:rsid w:val="005F070D"/>
    <w:rsid w:val="005F0779"/>
    <w:rsid w:val="005F0908"/>
    <w:rsid w:val="005F0A7A"/>
    <w:rsid w:val="005F0AED"/>
    <w:rsid w:val="005F0B3B"/>
    <w:rsid w:val="005F0C68"/>
    <w:rsid w:val="005F1094"/>
    <w:rsid w:val="005F109F"/>
    <w:rsid w:val="005F1265"/>
    <w:rsid w:val="005F126A"/>
    <w:rsid w:val="005F128E"/>
    <w:rsid w:val="005F12D3"/>
    <w:rsid w:val="005F1322"/>
    <w:rsid w:val="005F1350"/>
    <w:rsid w:val="005F135F"/>
    <w:rsid w:val="005F14B2"/>
    <w:rsid w:val="005F14B7"/>
    <w:rsid w:val="005F167E"/>
    <w:rsid w:val="005F1691"/>
    <w:rsid w:val="005F17B7"/>
    <w:rsid w:val="005F1899"/>
    <w:rsid w:val="005F19D4"/>
    <w:rsid w:val="005F19E4"/>
    <w:rsid w:val="005F1AEF"/>
    <w:rsid w:val="005F1BA4"/>
    <w:rsid w:val="005F1CDA"/>
    <w:rsid w:val="005F1D3D"/>
    <w:rsid w:val="005F1D93"/>
    <w:rsid w:val="005F2027"/>
    <w:rsid w:val="005F20EE"/>
    <w:rsid w:val="005F214D"/>
    <w:rsid w:val="005F2292"/>
    <w:rsid w:val="005F236B"/>
    <w:rsid w:val="005F279E"/>
    <w:rsid w:val="005F27CA"/>
    <w:rsid w:val="005F28E2"/>
    <w:rsid w:val="005F2AAA"/>
    <w:rsid w:val="005F2B7D"/>
    <w:rsid w:val="005F2C9B"/>
    <w:rsid w:val="005F2DA7"/>
    <w:rsid w:val="005F2E48"/>
    <w:rsid w:val="005F2E4D"/>
    <w:rsid w:val="005F2EB8"/>
    <w:rsid w:val="005F2F64"/>
    <w:rsid w:val="005F2FA6"/>
    <w:rsid w:val="005F3029"/>
    <w:rsid w:val="005F3041"/>
    <w:rsid w:val="005F3191"/>
    <w:rsid w:val="005F31EE"/>
    <w:rsid w:val="005F321E"/>
    <w:rsid w:val="005F3228"/>
    <w:rsid w:val="005F32C5"/>
    <w:rsid w:val="005F32CD"/>
    <w:rsid w:val="005F3324"/>
    <w:rsid w:val="005F33D0"/>
    <w:rsid w:val="005F340F"/>
    <w:rsid w:val="005F35D0"/>
    <w:rsid w:val="005F3665"/>
    <w:rsid w:val="005F3688"/>
    <w:rsid w:val="005F3749"/>
    <w:rsid w:val="005F38C7"/>
    <w:rsid w:val="005F3A48"/>
    <w:rsid w:val="005F3A82"/>
    <w:rsid w:val="005F3C01"/>
    <w:rsid w:val="005F3C03"/>
    <w:rsid w:val="005F3D00"/>
    <w:rsid w:val="005F3D97"/>
    <w:rsid w:val="005F3DAB"/>
    <w:rsid w:val="005F3F29"/>
    <w:rsid w:val="005F40B8"/>
    <w:rsid w:val="005F4280"/>
    <w:rsid w:val="005F42AB"/>
    <w:rsid w:val="005F42F6"/>
    <w:rsid w:val="005F445F"/>
    <w:rsid w:val="005F450E"/>
    <w:rsid w:val="005F45DE"/>
    <w:rsid w:val="005F4635"/>
    <w:rsid w:val="005F46DE"/>
    <w:rsid w:val="005F47B8"/>
    <w:rsid w:val="005F48F3"/>
    <w:rsid w:val="005F493F"/>
    <w:rsid w:val="005F49D0"/>
    <w:rsid w:val="005F4A80"/>
    <w:rsid w:val="005F4D53"/>
    <w:rsid w:val="005F4D78"/>
    <w:rsid w:val="005F4DDC"/>
    <w:rsid w:val="005F4F41"/>
    <w:rsid w:val="005F50C8"/>
    <w:rsid w:val="005F52C5"/>
    <w:rsid w:val="005F53C4"/>
    <w:rsid w:val="005F53DD"/>
    <w:rsid w:val="005F543A"/>
    <w:rsid w:val="005F552E"/>
    <w:rsid w:val="005F559C"/>
    <w:rsid w:val="005F57D5"/>
    <w:rsid w:val="005F5833"/>
    <w:rsid w:val="005F597D"/>
    <w:rsid w:val="005F59D9"/>
    <w:rsid w:val="005F5CE7"/>
    <w:rsid w:val="005F5D6F"/>
    <w:rsid w:val="005F5E30"/>
    <w:rsid w:val="005F5E62"/>
    <w:rsid w:val="005F5E72"/>
    <w:rsid w:val="005F5F1A"/>
    <w:rsid w:val="005F5F56"/>
    <w:rsid w:val="005F630C"/>
    <w:rsid w:val="005F631B"/>
    <w:rsid w:val="005F6357"/>
    <w:rsid w:val="005F6422"/>
    <w:rsid w:val="005F65B3"/>
    <w:rsid w:val="005F6717"/>
    <w:rsid w:val="005F6769"/>
    <w:rsid w:val="005F6905"/>
    <w:rsid w:val="005F6935"/>
    <w:rsid w:val="005F6953"/>
    <w:rsid w:val="005F6A08"/>
    <w:rsid w:val="005F6B48"/>
    <w:rsid w:val="005F6C96"/>
    <w:rsid w:val="005F6CDC"/>
    <w:rsid w:val="005F6ED2"/>
    <w:rsid w:val="005F7000"/>
    <w:rsid w:val="005F7084"/>
    <w:rsid w:val="005F7351"/>
    <w:rsid w:val="005F738B"/>
    <w:rsid w:val="005F73F2"/>
    <w:rsid w:val="005F767C"/>
    <w:rsid w:val="005F76E0"/>
    <w:rsid w:val="005F7926"/>
    <w:rsid w:val="005F79E1"/>
    <w:rsid w:val="005F7D58"/>
    <w:rsid w:val="005F7DF7"/>
    <w:rsid w:val="0060006D"/>
    <w:rsid w:val="00600245"/>
    <w:rsid w:val="0060024F"/>
    <w:rsid w:val="0060030D"/>
    <w:rsid w:val="006003BB"/>
    <w:rsid w:val="0060044C"/>
    <w:rsid w:val="0060068F"/>
    <w:rsid w:val="00600748"/>
    <w:rsid w:val="00600953"/>
    <w:rsid w:val="00600B12"/>
    <w:rsid w:val="00600B1C"/>
    <w:rsid w:val="00600D06"/>
    <w:rsid w:val="00600DFE"/>
    <w:rsid w:val="00600E53"/>
    <w:rsid w:val="006010E2"/>
    <w:rsid w:val="00601229"/>
    <w:rsid w:val="0060130B"/>
    <w:rsid w:val="006013FB"/>
    <w:rsid w:val="00601648"/>
    <w:rsid w:val="0060182D"/>
    <w:rsid w:val="006018B4"/>
    <w:rsid w:val="006019E5"/>
    <w:rsid w:val="00601A59"/>
    <w:rsid w:val="00601A8E"/>
    <w:rsid w:val="00601AAE"/>
    <w:rsid w:val="00601B88"/>
    <w:rsid w:val="00601CFF"/>
    <w:rsid w:val="00602173"/>
    <w:rsid w:val="0060257F"/>
    <w:rsid w:val="00602684"/>
    <w:rsid w:val="006026A7"/>
    <w:rsid w:val="00602765"/>
    <w:rsid w:val="00602995"/>
    <w:rsid w:val="0060299C"/>
    <w:rsid w:val="00602A2C"/>
    <w:rsid w:val="00602A9E"/>
    <w:rsid w:val="00602C47"/>
    <w:rsid w:val="00602D45"/>
    <w:rsid w:val="00602D5B"/>
    <w:rsid w:val="00602F45"/>
    <w:rsid w:val="00603073"/>
    <w:rsid w:val="006030EC"/>
    <w:rsid w:val="0060317B"/>
    <w:rsid w:val="0060322C"/>
    <w:rsid w:val="0060325C"/>
    <w:rsid w:val="00603425"/>
    <w:rsid w:val="006037AE"/>
    <w:rsid w:val="00603823"/>
    <w:rsid w:val="006038D2"/>
    <w:rsid w:val="006038D5"/>
    <w:rsid w:val="0060396F"/>
    <w:rsid w:val="006039F1"/>
    <w:rsid w:val="00603CF4"/>
    <w:rsid w:val="00603DFD"/>
    <w:rsid w:val="00603EE1"/>
    <w:rsid w:val="00603F4E"/>
    <w:rsid w:val="00603F77"/>
    <w:rsid w:val="00603FEC"/>
    <w:rsid w:val="0060423C"/>
    <w:rsid w:val="0060441D"/>
    <w:rsid w:val="00604423"/>
    <w:rsid w:val="00604468"/>
    <w:rsid w:val="006047E4"/>
    <w:rsid w:val="0060484B"/>
    <w:rsid w:val="0060499B"/>
    <w:rsid w:val="00604B41"/>
    <w:rsid w:val="00604D21"/>
    <w:rsid w:val="00604D98"/>
    <w:rsid w:val="00604F16"/>
    <w:rsid w:val="00604FD0"/>
    <w:rsid w:val="00605083"/>
    <w:rsid w:val="006051CB"/>
    <w:rsid w:val="006051F6"/>
    <w:rsid w:val="006052FE"/>
    <w:rsid w:val="00605648"/>
    <w:rsid w:val="0060564A"/>
    <w:rsid w:val="006056AE"/>
    <w:rsid w:val="0060594E"/>
    <w:rsid w:val="006059C7"/>
    <w:rsid w:val="00605A1A"/>
    <w:rsid w:val="00605A3B"/>
    <w:rsid w:val="00605A96"/>
    <w:rsid w:val="00605ABB"/>
    <w:rsid w:val="00605B68"/>
    <w:rsid w:val="00605BAA"/>
    <w:rsid w:val="00605E04"/>
    <w:rsid w:val="00605E6A"/>
    <w:rsid w:val="00605FB4"/>
    <w:rsid w:val="00605FDC"/>
    <w:rsid w:val="00606081"/>
    <w:rsid w:val="006060B8"/>
    <w:rsid w:val="006064B0"/>
    <w:rsid w:val="006064FB"/>
    <w:rsid w:val="00606545"/>
    <w:rsid w:val="00606570"/>
    <w:rsid w:val="006069D8"/>
    <w:rsid w:val="00606A0F"/>
    <w:rsid w:val="00606AB5"/>
    <w:rsid w:val="00606AFE"/>
    <w:rsid w:val="00606BB2"/>
    <w:rsid w:val="00606C24"/>
    <w:rsid w:val="006072B4"/>
    <w:rsid w:val="006073D2"/>
    <w:rsid w:val="00607485"/>
    <w:rsid w:val="006075BD"/>
    <w:rsid w:val="006076C2"/>
    <w:rsid w:val="00607757"/>
    <w:rsid w:val="00607792"/>
    <w:rsid w:val="0060779E"/>
    <w:rsid w:val="00607B0C"/>
    <w:rsid w:val="00607B2B"/>
    <w:rsid w:val="00607BE3"/>
    <w:rsid w:val="00607EB9"/>
    <w:rsid w:val="00607F21"/>
    <w:rsid w:val="00607FA2"/>
    <w:rsid w:val="00607FEB"/>
    <w:rsid w:val="00608F41"/>
    <w:rsid w:val="00610041"/>
    <w:rsid w:val="006102FD"/>
    <w:rsid w:val="006102FE"/>
    <w:rsid w:val="0061032D"/>
    <w:rsid w:val="006104F7"/>
    <w:rsid w:val="00610507"/>
    <w:rsid w:val="006105A6"/>
    <w:rsid w:val="006105DC"/>
    <w:rsid w:val="00610702"/>
    <w:rsid w:val="0061081E"/>
    <w:rsid w:val="00610838"/>
    <w:rsid w:val="00610881"/>
    <w:rsid w:val="00610913"/>
    <w:rsid w:val="00610917"/>
    <w:rsid w:val="0061092D"/>
    <w:rsid w:val="006109B1"/>
    <w:rsid w:val="00610B81"/>
    <w:rsid w:val="00610EB7"/>
    <w:rsid w:val="00610F12"/>
    <w:rsid w:val="00610F48"/>
    <w:rsid w:val="00610F7D"/>
    <w:rsid w:val="00610F92"/>
    <w:rsid w:val="00611035"/>
    <w:rsid w:val="0061116C"/>
    <w:rsid w:val="006111CC"/>
    <w:rsid w:val="00611203"/>
    <w:rsid w:val="0061124C"/>
    <w:rsid w:val="00611377"/>
    <w:rsid w:val="00611383"/>
    <w:rsid w:val="00611435"/>
    <w:rsid w:val="0061145C"/>
    <w:rsid w:val="00611469"/>
    <w:rsid w:val="00611566"/>
    <w:rsid w:val="006116DC"/>
    <w:rsid w:val="0061175F"/>
    <w:rsid w:val="0061179D"/>
    <w:rsid w:val="006117AE"/>
    <w:rsid w:val="0061191A"/>
    <w:rsid w:val="00611A1A"/>
    <w:rsid w:val="00611A2B"/>
    <w:rsid w:val="00611A42"/>
    <w:rsid w:val="00611C84"/>
    <w:rsid w:val="00612015"/>
    <w:rsid w:val="00612405"/>
    <w:rsid w:val="0061246A"/>
    <w:rsid w:val="006124A4"/>
    <w:rsid w:val="006124AF"/>
    <w:rsid w:val="006126F8"/>
    <w:rsid w:val="00612733"/>
    <w:rsid w:val="00612806"/>
    <w:rsid w:val="00612818"/>
    <w:rsid w:val="006128B7"/>
    <w:rsid w:val="006128F2"/>
    <w:rsid w:val="006128FC"/>
    <w:rsid w:val="00612900"/>
    <w:rsid w:val="00612A24"/>
    <w:rsid w:val="00612AAE"/>
    <w:rsid w:val="00612B18"/>
    <w:rsid w:val="00612B3D"/>
    <w:rsid w:val="00612CA4"/>
    <w:rsid w:val="00612CA5"/>
    <w:rsid w:val="00613071"/>
    <w:rsid w:val="00613168"/>
    <w:rsid w:val="00613280"/>
    <w:rsid w:val="0061331C"/>
    <w:rsid w:val="0061334A"/>
    <w:rsid w:val="0061336D"/>
    <w:rsid w:val="00613393"/>
    <w:rsid w:val="00613530"/>
    <w:rsid w:val="0061358D"/>
    <w:rsid w:val="00613614"/>
    <w:rsid w:val="0061391F"/>
    <w:rsid w:val="006139F7"/>
    <w:rsid w:val="00613A4F"/>
    <w:rsid w:val="00613C76"/>
    <w:rsid w:val="00613D2B"/>
    <w:rsid w:val="00613EB1"/>
    <w:rsid w:val="00613FC4"/>
    <w:rsid w:val="00613FF2"/>
    <w:rsid w:val="006143B6"/>
    <w:rsid w:val="006145CF"/>
    <w:rsid w:val="006146CD"/>
    <w:rsid w:val="0061483D"/>
    <w:rsid w:val="0061484C"/>
    <w:rsid w:val="0061498F"/>
    <w:rsid w:val="0061499B"/>
    <w:rsid w:val="00614A9C"/>
    <w:rsid w:val="00614BCC"/>
    <w:rsid w:val="00614BDB"/>
    <w:rsid w:val="00614C2C"/>
    <w:rsid w:val="00614CC3"/>
    <w:rsid w:val="00614D88"/>
    <w:rsid w:val="00614DDA"/>
    <w:rsid w:val="00614FEC"/>
    <w:rsid w:val="00615089"/>
    <w:rsid w:val="00615159"/>
    <w:rsid w:val="00615187"/>
    <w:rsid w:val="00615200"/>
    <w:rsid w:val="006153F0"/>
    <w:rsid w:val="0061540B"/>
    <w:rsid w:val="0061565D"/>
    <w:rsid w:val="006156A2"/>
    <w:rsid w:val="00615928"/>
    <w:rsid w:val="006159F4"/>
    <w:rsid w:val="00615A14"/>
    <w:rsid w:val="00615B3D"/>
    <w:rsid w:val="00615CDA"/>
    <w:rsid w:val="00615D76"/>
    <w:rsid w:val="00615E09"/>
    <w:rsid w:val="00615EE6"/>
    <w:rsid w:val="00616097"/>
    <w:rsid w:val="006168C6"/>
    <w:rsid w:val="006168E8"/>
    <w:rsid w:val="0061692C"/>
    <w:rsid w:val="00616A6A"/>
    <w:rsid w:val="00616B85"/>
    <w:rsid w:val="00616CF6"/>
    <w:rsid w:val="00617441"/>
    <w:rsid w:val="006174EC"/>
    <w:rsid w:val="0061762D"/>
    <w:rsid w:val="00617826"/>
    <w:rsid w:val="0061783E"/>
    <w:rsid w:val="0061785E"/>
    <w:rsid w:val="0061797E"/>
    <w:rsid w:val="006179BF"/>
    <w:rsid w:val="00617A3A"/>
    <w:rsid w:val="00617AC6"/>
    <w:rsid w:val="00617BF4"/>
    <w:rsid w:val="00617DBB"/>
    <w:rsid w:val="00617EBA"/>
    <w:rsid w:val="0062017B"/>
    <w:rsid w:val="006201B9"/>
    <w:rsid w:val="006202B4"/>
    <w:rsid w:val="006202D2"/>
    <w:rsid w:val="00620442"/>
    <w:rsid w:val="006204DA"/>
    <w:rsid w:val="00620AAF"/>
    <w:rsid w:val="00620CD3"/>
    <w:rsid w:val="00620D6D"/>
    <w:rsid w:val="00620F7C"/>
    <w:rsid w:val="0062100B"/>
    <w:rsid w:val="006210CC"/>
    <w:rsid w:val="0062121F"/>
    <w:rsid w:val="00621280"/>
    <w:rsid w:val="0062131E"/>
    <w:rsid w:val="006213EF"/>
    <w:rsid w:val="0062147F"/>
    <w:rsid w:val="006214BD"/>
    <w:rsid w:val="00621597"/>
    <w:rsid w:val="00621917"/>
    <w:rsid w:val="006219A1"/>
    <w:rsid w:val="006219B2"/>
    <w:rsid w:val="00621C65"/>
    <w:rsid w:val="00621C9F"/>
    <w:rsid w:val="00621CDC"/>
    <w:rsid w:val="00621F0E"/>
    <w:rsid w:val="006220F4"/>
    <w:rsid w:val="00622190"/>
    <w:rsid w:val="006221E7"/>
    <w:rsid w:val="006222CC"/>
    <w:rsid w:val="0062233D"/>
    <w:rsid w:val="006223B0"/>
    <w:rsid w:val="00622428"/>
    <w:rsid w:val="006224B1"/>
    <w:rsid w:val="006224CF"/>
    <w:rsid w:val="00622625"/>
    <w:rsid w:val="006228A0"/>
    <w:rsid w:val="006228F4"/>
    <w:rsid w:val="00622913"/>
    <w:rsid w:val="0062295C"/>
    <w:rsid w:val="00622A6C"/>
    <w:rsid w:val="00622BED"/>
    <w:rsid w:val="00622C36"/>
    <w:rsid w:val="00622E7D"/>
    <w:rsid w:val="0062300C"/>
    <w:rsid w:val="00623028"/>
    <w:rsid w:val="0062309C"/>
    <w:rsid w:val="0062325C"/>
    <w:rsid w:val="0062326D"/>
    <w:rsid w:val="00623310"/>
    <w:rsid w:val="0062343A"/>
    <w:rsid w:val="006234A1"/>
    <w:rsid w:val="006235E5"/>
    <w:rsid w:val="006235E7"/>
    <w:rsid w:val="00623730"/>
    <w:rsid w:val="0062373E"/>
    <w:rsid w:val="00623A25"/>
    <w:rsid w:val="00623B13"/>
    <w:rsid w:val="00623C5F"/>
    <w:rsid w:val="00623D7B"/>
    <w:rsid w:val="0062417F"/>
    <w:rsid w:val="006241BE"/>
    <w:rsid w:val="006241FC"/>
    <w:rsid w:val="006242BC"/>
    <w:rsid w:val="006242DA"/>
    <w:rsid w:val="006243C1"/>
    <w:rsid w:val="00624746"/>
    <w:rsid w:val="00624791"/>
    <w:rsid w:val="00624818"/>
    <w:rsid w:val="0062484E"/>
    <w:rsid w:val="0062497B"/>
    <w:rsid w:val="00624999"/>
    <w:rsid w:val="00624B2F"/>
    <w:rsid w:val="00624C59"/>
    <w:rsid w:val="00624E34"/>
    <w:rsid w:val="00624EEE"/>
    <w:rsid w:val="00624F6A"/>
    <w:rsid w:val="00625013"/>
    <w:rsid w:val="00625052"/>
    <w:rsid w:val="006250A6"/>
    <w:rsid w:val="006250F7"/>
    <w:rsid w:val="00625150"/>
    <w:rsid w:val="00625170"/>
    <w:rsid w:val="0062522D"/>
    <w:rsid w:val="006254CC"/>
    <w:rsid w:val="006255FB"/>
    <w:rsid w:val="006257EE"/>
    <w:rsid w:val="0062586F"/>
    <w:rsid w:val="006258F1"/>
    <w:rsid w:val="006259B8"/>
    <w:rsid w:val="00625B91"/>
    <w:rsid w:val="00625C6D"/>
    <w:rsid w:val="00625CEF"/>
    <w:rsid w:val="00625D21"/>
    <w:rsid w:val="00625EAD"/>
    <w:rsid w:val="0062603B"/>
    <w:rsid w:val="00626041"/>
    <w:rsid w:val="0062604F"/>
    <w:rsid w:val="00626059"/>
    <w:rsid w:val="00626080"/>
    <w:rsid w:val="006260D6"/>
    <w:rsid w:val="006261CF"/>
    <w:rsid w:val="006264DC"/>
    <w:rsid w:val="006266AB"/>
    <w:rsid w:val="0062673F"/>
    <w:rsid w:val="00626780"/>
    <w:rsid w:val="006267EF"/>
    <w:rsid w:val="00626821"/>
    <w:rsid w:val="00626894"/>
    <w:rsid w:val="006268B8"/>
    <w:rsid w:val="00626912"/>
    <w:rsid w:val="0062692B"/>
    <w:rsid w:val="00626C42"/>
    <w:rsid w:val="00626D85"/>
    <w:rsid w:val="00626E82"/>
    <w:rsid w:val="00626ED6"/>
    <w:rsid w:val="00626F5D"/>
    <w:rsid w:val="00626F86"/>
    <w:rsid w:val="0062716C"/>
    <w:rsid w:val="0062722E"/>
    <w:rsid w:val="00627325"/>
    <w:rsid w:val="00627467"/>
    <w:rsid w:val="00627607"/>
    <w:rsid w:val="00627793"/>
    <w:rsid w:val="0062787B"/>
    <w:rsid w:val="00627957"/>
    <w:rsid w:val="00627A6F"/>
    <w:rsid w:val="00627BCF"/>
    <w:rsid w:val="00627C49"/>
    <w:rsid w:val="00627D4E"/>
    <w:rsid w:val="00627ED4"/>
    <w:rsid w:val="00627F00"/>
    <w:rsid w:val="006305B9"/>
    <w:rsid w:val="006305BA"/>
    <w:rsid w:val="00630651"/>
    <w:rsid w:val="00630709"/>
    <w:rsid w:val="00630824"/>
    <w:rsid w:val="006308C9"/>
    <w:rsid w:val="006308DC"/>
    <w:rsid w:val="0063091C"/>
    <w:rsid w:val="006309EB"/>
    <w:rsid w:val="00630AEE"/>
    <w:rsid w:val="00630B3F"/>
    <w:rsid w:val="00630B9A"/>
    <w:rsid w:val="00630CC4"/>
    <w:rsid w:val="00630DA1"/>
    <w:rsid w:val="00631010"/>
    <w:rsid w:val="00631037"/>
    <w:rsid w:val="00631080"/>
    <w:rsid w:val="00631085"/>
    <w:rsid w:val="006311C9"/>
    <w:rsid w:val="00631279"/>
    <w:rsid w:val="0063157E"/>
    <w:rsid w:val="006315B1"/>
    <w:rsid w:val="006315FC"/>
    <w:rsid w:val="00631913"/>
    <w:rsid w:val="00631931"/>
    <w:rsid w:val="006319BF"/>
    <w:rsid w:val="006319D7"/>
    <w:rsid w:val="00631A0D"/>
    <w:rsid w:val="00631A50"/>
    <w:rsid w:val="00631A99"/>
    <w:rsid w:val="00631E6D"/>
    <w:rsid w:val="00631FA0"/>
    <w:rsid w:val="00632115"/>
    <w:rsid w:val="006323C1"/>
    <w:rsid w:val="006323E2"/>
    <w:rsid w:val="00632457"/>
    <w:rsid w:val="006325DA"/>
    <w:rsid w:val="006325EB"/>
    <w:rsid w:val="00632835"/>
    <w:rsid w:val="0063293A"/>
    <w:rsid w:val="00632A5C"/>
    <w:rsid w:val="00632B5A"/>
    <w:rsid w:val="00632C70"/>
    <w:rsid w:val="00632D09"/>
    <w:rsid w:val="00632D2D"/>
    <w:rsid w:val="00632E95"/>
    <w:rsid w:val="00632EA0"/>
    <w:rsid w:val="00632EB7"/>
    <w:rsid w:val="00632F22"/>
    <w:rsid w:val="00632FBC"/>
    <w:rsid w:val="00632FCE"/>
    <w:rsid w:val="006332E9"/>
    <w:rsid w:val="00633482"/>
    <w:rsid w:val="006334A9"/>
    <w:rsid w:val="0063351D"/>
    <w:rsid w:val="00633534"/>
    <w:rsid w:val="00633597"/>
    <w:rsid w:val="006336E8"/>
    <w:rsid w:val="006336F2"/>
    <w:rsid w:val="00633712"/>
    <w:rsid w:val="00633A85"/>
    <w:rsid w:val="00633A86"/>
    <w:rsid w:val="00633AC2"/>
    <w:rsid w:val="00633C01"/>
    <w:rsid w:val="006342AA"/>
    <w:rsid w:val="006343BA"/>
    <w:rsid w:val="006344BF"/>
    <w:rsid w:val="006344F5"/>
    <w:rsid w:val="00634596"/>
    <w:rsid w:val="006346A4"/>
    <w:rsid w:val="006349BD"/>
    <w:rsid w:val="006349E2"/>
    <w:rsid w:val="00634A10"/>
    <w:rsid w:val="00634A24"/>
    <w:rsid w:val="00634C70"/>
    <w:rsid w:val="00634DB7"/>
    <w:rsid w:val="00635011"/>
    <w:rsid w:val="0063507F"/>
    <w:rsid w:val="00635120"/>
    <w:rsid w:val="00635157"/>
    <w:rsid w:val="006352EF"/>
    <w:rsid w:val="0063542B"/>
    <w:rsid w:val="006354EB"/>
    <w:rsid w:val="00635536"/>
    <w:rsid w:val="006355DF"/>
    <w:rsid w:val="00635607"/>
    <w:rsid w:val="00635631"/>
    <w:rsid w:val="006359DF"/>
    <w:rsid w:val="00635A1A"/>
    <w:rsid w:val="00635A73"/>
    <w:rsid w:val="00635A91"/>
    <w:rsid w:val="00635ECF"/>
    <w:rsid w:val="006360C2"/>
    <w:rsid w:val="0063618B"/>
    <w:rsid w:val="00636216"/>
    <w:rsid w:val="0063637B"/>
    <w:rsid w:val="00636386"/>
    <w:rsid w:val="006364BC"/>
    <w:rsid w:val="00636614"/>
    <w:rsid w:val="0063673C"/>
    <w:rsid w:val="006368DE"/>
    <w:rsid w:val="006369EF"/>
    <w:rsid w:val="00636B96"/>
    <w:rsid w:val="00636BA8"/>
    <w:rsid w:val="00636BF7"/>
    <w:rsid w:val="00636C2F"/>
    <w:rsid w:val="00636CE4"/>
    <w:rsid w:val="00636E18"/>
    <w:rsid w:val="00636E24"/>
    <w:rsid w:val="00636EBB"/>
    <w:rsid w:val="0063709D"/>
    <w:rsid w:val="006372A7"/>
    <w:rsid w:val="006372DD"/>
    <w:rsid w:val="006373A5"/>
    <w:rsid w:val="006375A3"/>
    <w:rsid w:val="0063764E"/>
    <w:rsid w:val="00637800"/>
    <w:rsid w:val="00637829"/>
    <w:rsid w:val="00637875"/>
    <w:rsid w:val="0063788A"/>
    <w:rsid w:val="00637A7F"/>
    <w:rsid w:val="00637AFE"/>
    <w:rsid w:val="00637B17"/>
    <w:rsid w:val="00637BD1"/>
    <w:rsid w:val="00637CBD"/>
    <w:rsid w:val="00637E07"/>
    <w:rsid w:val="00637E51"/>
    <w:rsid w:val="00640009"/>
    <w:rsid w:val="0064019F"/>
    <w:rsid w:val="006401AE"/>
    <w:rsid w:val="006401CB"/>
    <w:rsid w:val="0064038D"/>
    <w:rsid w:val="0064042A"/>
    <w:rsid w:val="0064049A"/>
    <w:rsid w:val="0064054F"/>
    <w:rsid w:val="006405EA"/>
    <w:rsid w:val="00640619"/>
    <w:rsid w:val="006406DA"/>
    <w:rsid w:val="00640701"/>
    <w:rsid w:val="00640832"/>
    <w:rsid w:val="00640890"/>
    <w:rsid w:val="006409A0"/>
    <w:rsid w:val="006409A4"/>
    <w:rsid w:val="00640AB4"/>
    <w:rsid w:val="00640DDD"/>
    <w:rsid w:val="00640EA0"/>
    <w:rsid w:val="00640EFB"/>
    <w:rsid w:val="00641152"/>
    <w:rsid w:val="00641519"/>
    <w:rsid w:val="006415AB"/>
    <w:rsid w:val="00641718"/>
    <w:rsid w:val="00641A40"/>
    <w:rsid w:val="00641AC1"/>
    <w:rsid w:val="00641D9C"/>
    <w:rsid w:val="00641DDA"/>
    <w:rsid w:val="00641E55"/>
    <w:rsid w:val="00641E73"/>
    <w:rsid w:val="00641F0B"/>
    <w:rsid w:val="00641F24"/>
    <w:rsid w:val="0064214C"/>
    <w:rsid w:val="00642171"/>
    <w:rsid w:val="0064234B"/>
    <w:rsid w:val="00642373"/>
    <w:rsid w:val="0064238C"/>
    <w:rsid w:val="006423E8"/>
    <w:rsid w:val="00642499"/>
    <w:rsid w:val="006424A2"/>
    <w:rsid w:val="00642588"/>
    <w:rsid w:val="00642739"/>
    <w:rsid w:val="006428E8"/>
    <w:rsid w:val="006429F0"/>
    <w:rsid w:val="00642C12"/>
    <w:rsid w:val="00642CF0"/>
    <w:rsid w:val="00642E52"/>
    <w:rsid w:val="00642EEA"/>
    <w:rsid w:val="00642FCB"/>
    <w:rsid w:val="00642FD7"/>
    <w:rsid w:val="00643011"/>
    <w:rsid w:val="006430A1"/>
    <w:rsid w:val="006430AE"/>
    <w:rsid w:val="006430FA"/>
    <w:rsid w:val="006432C7"/>
    <w:rsid w:val="00643420"/>
    <w:rsid w:val="006434CB"/>
    <w:rsid w:val="0064367F"/>
    <w:rsid w:val="006437CD"/>
    <w:rsid w:val="006437F0"/>
    <w:rsid w:val="00643AB8"/>
    <w:rsid w:val="00643C75"/>
    <w:rsid w:val="00643D25"/>
    <w:rsid w:val="00643DD8"/>
    <w:rsid w:val="00643E08"/>
    <w:rsid w:val="00643E76"/>
    <w:rsid w:val="00644067"/>
    <w:rsid w:val="0064428A"/>
    <w:rsid w:val="006442F5"/>
    <w:rsid w:val="006443BA"/>
    <w:rsid w:val="0064451D"/>
    <w:rsid w:val="006445EA"/>
    <w:rsid w:val="0064468D"/>
    <w:rsid w:val="00644695"/>
    <w:rsid w:val="006446D8"/>
    <w:rsid w:val="00644723"/>
    <w:rsid w:val="006447F3"/>
    <w:rsid w:val="006448CA"/>
    <w:rsid w:val="00644918"/>
    <w:rsid w:val="00644BC3"/>
    <w:rsid w:val="00644C00"/>
    <w:rsid w:val="00644C10"/>
    <w:rsid w:val="00644CCE"/>
    <w:rsid w:val="00644E23"/>
    <w:rsid w:val="00644E52"/>
    <w:rsid w:val="00644ED3"/>
    <w:rsid w:val="00644F05"/>
    <w:rsid w:val="00644F86"/>
    <w:rsid w:val="0064520E"/>
    <w:rsid w:val="0064525B"/>
    <w:rsid w:val="00645647"/>
    <w:rsid w:val="0064564C"/>
    <w:rsid w:val="006456DC"/>
    <w:rsid w:val="006459A0"/>
    <w:rsid w:val="006459D6"/>
    <w:rsid w:val="00645A2F"/>
    <w:rsid w:val="00645B2D"/>
    <w:rsid w:val="00645B73"/>
    <w:rsid w:val="00645D98"/>
    <w:rsid w:val="00645DF6"/>
    <w:rsid w:val="00645EEC"/>
    <w:rsid w:val="0064602C"/>
    <w:rsid w:val="00646135"/>
    <w:rsid w:val="0064617E"/>
    <w:rsid w:val="006462CC"/>
    <w:rsid w:val="006463E2"/>
    <w:rsid w:val="00646421"/>
    <w:rsid w:val="00646480"/>
    <w:rsid w:val="006464C0"/>
    <w:rsid w:val="00646534"/>
    <w:rsid w:val="006465DD"/>
    <w:rsid w:val="0064671E"/>
    <w:rsid w:val="0064680B"/>
    <w:rsid w:val="00646812"/>
    <w:rsid w:val="00646883"/>
    <w:rsid w:val="00646919"/>
    <w:rsid w:val="0064694F"/>
    <w:rsid w:val="00646A5A"/>
    <w:rsid w:val="00646A7E"/>
    <w:rsid w:val="00646A93"/>
    <w:rsid w:val="00646BD2"/>
    <w:rsid w:val="00646C34"/>
    <w:rsid w:val="00646DCD"/>
    <w:rsid w:val="00646EC3"/>
    <w:rsid w:val="00646EF1"/>
    <w:rsid w:val="00647004"/>
    <w:rsid w:val="006470B3"/>
    <w:rsid w:val="006471CD"/>
    <w:rsid w:val="0064733C"/>
    <w:rsid w:val="00647569"/>
    <w:rsid w:val="00647686"/>
    <w:rsid w:val="00647785"/>
    <w:rsid w:val="00647886"/>
    <w:rsid w:val="0064790B"/>
    <w:rsid w:val="00647A28"/>
    <w:rsid w:val="00647C1F"/>
    <w:rsid w:val="00647CD6"/>
    <w:rsid w:val="00647D57"/>
    <w:rsid w:val="00647EC2"/>
    <w:rsid w:val="00647F6F"/>
    <w:rsid w:val="00650013"/>
    <w:rsid w:val="0065009F"/>
    <w:rsid w:val="006500D8"/>
    <w:rsid w:val="006501A7"/>
    <w:rsid w:val="0065021D"/>
    <w:rsid w:val="006504AA"/>
    <w:rsid w:val="006506F9"/>
    <w:rsid w:val="0065071D"/>
    <w:rsid w:val="006507D2"/>
    <w:rsid w:val="0065083A"/>
    <w:rsid w:val="0065096D"/>
    <w:rsid w:val="006509DB"/>
    <w:rsid w:val="00650B55"/>
    <w:rsid w:val="00650B79"/>
    <w:rsid w:val="00650C77"/>
    <w:rsid w:val="00650DA2"/>
    <w:rsid w:val="00650DE8"/>
    <w:rsid w:val="00650EA8"/>
    <w:rsid w:val="00651052"/>
    <w:rsid w:val="00651080"/>
    <w:rsid w:val="00651132"/>
    <w:rsid w:val="00651278"/>
    <w:rsid w:val="006512BF"/>
    <w:rsid w:val="006512EC"/>
    <w:rsid w:val="0065138B"/>
    <w:rsid w:val="00651553"/>
    <w:rsid w:val="00651738"/>
    <w:rsid w:val="00651875"/>
    <w:rsid w:val="006518B8"/>
    <w:rsid w:val="006518D7"/>
    <w:rsid w:val="00651930"/>
    <w:rsid w:val="006519A9"/>
    <w:rsid w:val="00651A02"/>
    <w:rsid w:val="00651FA1"/>
    <w:rsid w:val="00652033"/>
    <w:rsid w:val="00652286"/>
    <w:rsid w:val="0065239A"/>
    <w:rsid w:val="006523FE"/>
    <w:rsid w:val="00652487"/>
    <w:rsid w:val="00652565"/>
    <w:rsid w:val="006527A6"/>
    <w:rsid w:val="0065285A"/>
    <w:rsid w:val="006528D6"/>
    <w:rsid w:val="00652911"/>
    <w:rsid w:val="006529A7"/>
    <w:rsid w:val="00652CDA"/>
    <w:rsid w:val="00652F26"/>
    <w:rsid w:val="00652F7E"/>
    <w:rsid w:val="00652FCA"/>
    <w:rsid w:val="0065321D"/>
    <w:rsid w:val="00653281"/>
    <w:rsid w:val="006533A7"/>
    <w:rsid w:val="006533B3"/>
    <w:rsid w:val="006533E1"/>
    <w:rsid w:val="006533E3"/>
    <w:rsid w:val="00653416"/>
    <w:rsid w:val="0065344B"/>
    <w:rsid w:val="00653453"/>
    <w:rsid w:val="006534E8"/>
    <w:rsid w:val="0065353D"/>
    <w:rsid w:val="0065361B"/>
    <w:rsid w:val="006536CB"/>
    <w:rsid w:val="006536D3"/>
    <w:rsid w:val="00653764"/>
    <w:rsid w:val="00653854"/>
    <w:rsid w:val="00653A5C"/>
    <w:rsid w:val="00653C85"/>
    <w:rsid w:val="00653CFF"/>
    <w:rsid w:val="00653D24"/>
    <w:rsid w:val="00653D4C"/>
    <w:rsid w:val="00653DB8"/>
    <w:rsid w:val="00653F42"/>
    <w:rsid w:val="006540AF"/>
    <w:rsid w:val="006545C2"/>
    <w:rsid w:val="00654745"/>
    <w:rsid w:val="0065482A"/>
    <w:rsid w:val="0065482D"/>
    <w:rsid w:val="00654A24"/>
    <w:rsid w:val="00654BDA"/>
    <w:rsid w:val="00654D4F"/>
    <w:rsid w:val="00654E0C"/>
    <w:rsid w:val="00654F54"/>
    <w:rsid w:val="006550AD"/>
    <w:rsid w:val="0065512E"/>
    <w:rsid w:val="006552AF"/>
    <w:rsid w:val="006552F1"/>
    <w:rsid w:val="00655462"/>
    <w:rsid w:val="00655487"/>
    <w:rsid w:val="006554D4"/>
    <w:rsid w:val="00655845"/>
    <w:rsid w:val="00655892"/>
    <w:rsid w:val="00655A69"/>
    <w:rsid w:val="00655BFC"/>
    <w:rsid w:val="00655D36"/>
    <w:rsid w:val="00655E4B"/>
    <w:rsid w:val="00655FA8"/>
    <w:rsid w:val="0065601B"/>
    <w:rsid w:val="006560AF"/>
    <w:rsid w:val="00656233"/>
    <w:rsid w:val="00656322"/>
    <w:rsid w:val="00656476"/>
    <w:rsid w:val="00656481"/>
    <w:rsid w:val="00656773"/>
    <w:rsid w:val="006567D7"/>
    <w:rsid w:val="0065692D"/>
    <w:rsid w:val="00656996"/>
    <w:rsid w:val="00656D49"/>
    <w:rsid w:val="00656DD5"/>
    <w:rsid w:val="00656DDD"/>
    <w:rsid w:val="00656E49"/>
    <w:rsid w:val="00656E94"/>
    <w:rsid w:val="00656F85"/>
    <w:rsid w:val="00656F93"/>
    <w:rsid w:val="00656F96"/>
    <w:rsid w:val="00657212"/>
    <w:rsid w:val="00657356"/>
    <w:rsid w:val="00657564"/>
    <w:rsid w:val="006575FF"/>
    <w:rsid w:val="006576DB"/>
    <w:rsid w:val="00657B14"/>
    <w:rsid w:val="00657D72"/>
    <w:rsid w:val="00657DC3"/>
    <w:rsid w:val="00657E9E"/>
    <w:rsid w:val="00660093"/>
    <w:rsid w:val="006603E9"/>
    <w:rsid w:val="006603F8"/>
    <w:rsid w:val="00660412"/>
    <w:rsid w:val="006604EE"/>
    <w:rsid w:val="00660586"/>
    <w:rsid w:val="00660943"/>
    <w:rsid w:val="0066094A"/>
    <w:rsid w:val="006609F6"/>
    <w:rsid w:val="00660D47"/>
    <w:rsid w:val="00660DA1"/>
    <w:rsid w:val="00660DEE"/>
    <w:rsid w:val="00660F1E"/>
    <w:rsid w:val="00661010"/>
    <w:rsid w:val="00661083"/>
    <w:rsid w:val="006610E3"/>
    <w:rsid w:val="006610E8"/>
    <w:rsid w:val="0066116A"/>
    <w:rsid w:val="0066125C"/>
    <w:rsid w:val="00661370"/>
    <w:rsid w:val="00661374"/>
    <w:rsid w:val="00661593"/>
    <w:rsid w:val="006617DB"/>
    <w:rsid w:val="00661924"/>
    <w:rsid w:val="006619E6"/>
    <w:rsid w:val="00661AC2"/>
    <w:rsid w:val="00661BE7"/>
    <w:rsid w:val="00661DB6"/>
    <w:rsid w:val="00661FD7"/>
    <w:rsid w:val="0066226C"/>
    <w:rsid w:val="0066247E"/>
    <w:rsid w:val="006625CB"/>
    <w:rsid w:val="006626EA"/>
    <w:rsid w:val="00662806"/>
    <w:rsid w:val="006629DC"/>
    <w:rsid w:val="00662A19"/>
    <w:rsid w:val="00662B35"/>
    <w:rsid w:val="00662D47"/>
    <w:rsid w:val="00662DFF"/>
    <w:rsid w:val="00663019"/>
    <w:rsid w:val="0066305A"/>
    <w:rsid w:val="006630F6"/>
    <w:rsid w:val="00663147"/>
    <w:rsid w:val="006631E0"/>
    <w:rsid w:val="006634D3"/>
    <w:rsid w:val="006635F2"/>
    <w:rsid w:val="0066360F"/>
    <w:rsid w:val="00663879"/>
    <w:rsid w:val="006639AE"/>
    <w:rsid w:val="006639E3"/>
    <w:rsid w:val="00663BA6"/>
    <w:rsid w:val="00663BC5"/>
    <w:rsid w:val="00663C61"/>
    <w:rsid w:val="00663E67"/>
    <w:rsid w:val="00664105"/>
    <w:rsid w:val="0066413B"/>
    <w:rsid w:val="0066418A"/>
    <w:rsid w:val="0066446D"/>
    <w:rsid w:val="006644B0"/>
    <w:rsid w:val="006647F4"/>
    <w:rsid w:val="006648B2"/>
    <w:rsid w:val="006648EE"/>
    <w:rsid w:val="00664918"/>
    <w:rsid w:val="0066496D"/>
    <w:rsid w:val="00664AA5"/>
    <w:rsid w:val="00664AF7"/>
    <w:rsid w:val="00664B20"/>
    <w:rsid w:val="00664C3A"/>
    <w:rsid w:val="00664D58"/>
    <w:rsid w:val="006650B3"/>
    <w:rsid w:val="006651C3"/>
    <w:rsid w:val="0066520B"/>
    <w:rsid w:val="00665472"/>
    <w:rsid w:val="0066548C"/>
    <w:rsid w:val="0066557C"/>
    <w:rsid w:val="00665598"/>
    <w:rsid w:val="00665670"/>
    <w:rsid w:val="0066573E"/>
    <w:rsid w:val="0066581B"/>
    <w:rsid w:val="00665A3E"/>
    <w:rsid w:val="00665C37"/>
    <w:rsid w:val="00665E12"/>
    <w:rsid w:val="00665F61"/>
    <w:rsid w:val="00666048"/>
    <w:rsid w:val="0066649D"/>
    <w:rsid w:val="00666581"/>
    <w:rsid w:val="00666643"/>
    <w:rsid w:val="00666977"/>
    <w:rsid w:val="00666A47"/>
    <w:rsid w:val="00666ACA"/>
    <w:rsid w:val="00666B5C"/>
    <w:rsid w:val="00666CAC"/>
    <w:rsid w:val="00667188"/>
    <w:rsid w:val="006671A5"/>
    <w:rsid w:val="00667344"/>
    <w:rsid w:val="0066735F"/>
    <w:rsid w:val="006674D8"/>
    <w:rsid w:val="00667758"/>
    <w:rsid w:val="006678B0"/>
    <w:rsid w:val="00667CA0"/>
    <w:rsid w:val="00667DAB"/>
    <w:rsid w:val="00667DE6"/>
    <w:rsid w:val="00667E27"/>
    <w:rsid w:val="00667EA7"/>
    <w:rsid w:val="00667F74"/>
    <w:rsid w:val="0067005D"/>
    <w:rsid w:val="00670060"/>
    <w:rsid w:val="006700A6"/>
    <w:rsid w:val="0067033B"/>
    <w:rsid w:val="006703A0"/>
    <w:rsid w:val="006703D0"/>
    <w:rsid w:val="0067042A"/>
    <w:rsid w:val="006704B2"/>
    <w:rsid w:val="0067061C"/>
    <w:rsid w:val="00670822"/>
    <w:rsid w:val="006708F0"/>
    <w:rsid w:val="00670901"/>
    <w:rsid w:val="00670912"/>
    <w:rsid w:val="0067097D"/>
    <w:rsid w:val="00670995"/>
    <w:rsid w:val="00670AC4"/>
    <w:rsid w:val="00670AD6"/>
    <w:rsid w:val="00670B30"/>
    <w:rsid w:val="00670B8F"/>
    <w:rsid w:val="00670BE8"/>
    <w:rsid w:val="00670EE8"/>
    <w:rsid w:val="00670F43"/>
    <w:rsid w:val="00670F47"/>
    <w:rsid w:val="0067105C"/>
    <w:rsid w:val="0067111B"/>
    <w:rsid w:val="00671133"/>
    <w:rsid w:val="006712D7"/>
    <w:rsid w:val="00671333"/>
    <w:rsid w:val="0067141D"/>
    <w:rsid w:val="00671486"/>
    <w:rsid w:val="00671513"/>
    <w:rsid w:val="0067165B"/>
    <w:rsid w:val="006717D6"/>
    <w:rsid w:val="00671A47"/>
    <w:rsid w:val="00671B94"/>
    <w:rsid w:val="00671CA2"/>
    <w:rsid w:val="00671D4A"/>
    <w:rsid w:val="00671DBE"/>
    <w:rsid w:val="00671EF5"/>
    <w:rsid w:val="00671F24"/>
    <w:rsid w:val="00671F4E"/>
    <w:rsid w:val="00671F82"/>
    <w:rsid w:val="00671F93"/>
    <w:rsid w:val="006720F7"/>
    <w:rsid w:val="0067213B"/>
    <w:rsid w:val="006721D2"/>
    <w:rsid w:val="006723A4"/>
    <w:rsid w:val="006723E3"/>
    <w:rsid w:val="00672421"/>
    <w:rsid w:val="006726E9"/>
    <w:rsid w:val="006726FF"/>
    <w:rsid w:val="00672786"/>
    <w:rsid w:val="006727D7"/>
    <w:rsid w:val="006728F9"/>
    <w:rsid w:val="006729DD"/>
    <w:rsid w:val="00672D60"/>
    <w:rsid w:val="00672D6F"/>
    <w:rsid w:val="00672EC4"/>
    <w:rsid w:val="00672F3F"/>
    <w:rsid w:val="00672FE5"/>
    <w:rsid w:val="00672FF9"/>
    <w:rsid w:val="00673009"/>
    <w:rsid w:val="006730AD"/>
    <w:rsid w:val="0067314B"/>
    <w:rsid w:val="006732AF"/>
    <w:rsid w:val="006733A2"/>
    <w:rsid w:val="006734EA"/>
    <w:rsid w:val="00673836"/>
    <w:rsid w:val="0067396A"/>
    <w:rsid w:val="006739FF"/>
    <w:rsid w:val="00673A6C"/>
    <w:rsid w:val="00673A9B"/>
    <w:rsid w:val="00673AAE"/>
    <w:rsid w:val="00673B58"/>
    <w:rsid w:val="00673BDB"/>
    <w:rsid w:val="00673C3F"/>
    <w:rsid w:val="00673F61"/>
    <w:rsid w:val="00674133"/>
    <w:rsid w:val="006741E3"/>
    <w:rsid w:val="00674524"/>
    <w:rsid w:val="0067459C"/>
    <w:rsid w:val="00674686"/>
    <w:rsid w:val="006746D5"/>
    <w:rsid w:val="0067478E"/>
    <w:rsid w:val="0067479E"/>
    <w:rsid w:val="00674800"/>
    <w:rsid w:val="00674828"/>
    <w:rsid w:val="006748E3"/>
    <w:rsid w:val="00674917"/>
    <w:rsid w:val="00674A14"/>
    <w:rsid w:val="00674A34"/>
    <w:rsid w:val="00674AC3"/>
    <w:rsid w:val="00674B04"/>
    <w:rsid w:val="00674E42"/>
    <w:rsid w:val="00674EA9"/>
    <w:rsid w:val="00674F69"/>
    <w:rsid w:val="00674FB3"/>
    <w:rsid w:val="006750CA"/>
    <w:rsid w:val="0067544A"/>
    <w:rsid w:val="0067549C"/>
    <w:rsid w:val="0067553B"/>
    <w:rsid w:val="006756CD"/>
    <w:rsid w:val="006756FE"/>
    <w:rsid w:val="00675932"/>
    <w:rsid w:val="0067593C"/>
    <w:rsid w:val="006759C4"/>
    <w:rsid w:val="00675B6F"/>
    <w:rsid w:val="00675BF2"/>
    <w:rsid w:val="00675E5F"/>
    <w:rsid w:val="006760D7"/>
    <w:rsid w:val="00676190"/>
    <w:rsid w:val="006761EB"/>
    <w:rsid w:val="00676272"/>
    <w:rsid w:val="0067678D"/>
    <w:rsid w:val="00676A74"/>
    <w:rsid w:val="00676CB4"/>
    <w:rsid w:val="00676CD0"/>
    <w:rsid w:val="00676F0E"/>
    <w:rsid w:val="0067724C"/>
    <w:rsid w:val="0067728B"/>
    <w:rsid w:val="006772E0"/>
    <w:rsid w:val="006772F1"/>
    <w:rsid w:val="006773D0"/>
    <w:rsid w:val="00677695"/>
    <w:rsid w:val="00677838"/>
    <w:rsid w:val="00677A2C"/>
    <w:rsid w:val="00677C4B"/>
    <w:rsid w:val="00680045"/>
    <w:rsid w:val="006800E0"/>
    <w:rsid w:val="0068013D"/>
    <w:rsid w:val="00680335"/>
    <w:rsid w:val="00680349"/>
    <w:rsid w:val="006803C5"/>
    <w:rsid w:val="0068041D"/>
    <w:rsid w:val="006804FA"/>
    <w:rsid w:val="00680576"/>
    <w:rsid w:val="00680709"/>
    <w:rsid w:val="00680767"/>
    <w:rsid w:val="006807F4"/>
    <w:rsid w:val="00680A52"/>
    <w:rsid w:val="00680C92"/>
    <w:rsid w:val="00680E5E"/>
    <w:rsid w:val="00680FD0"/>
    <w:rsid w:val="00680FD8"/>
    <w:rsid w:val="00680FE9"/>
    <w:rsid w:val="00681035"/>
    <w:rsid w:val="0068106B"/>
    <w:rsid w:val="00681140"/>
    <w:rsid w:val="00681143"/>
    <w:rsid w:val="00681188"/>
    <w:rsid w:val="006812D2"/>
    <w:rsid w:val="00681352"/>
    <w:rsid w:val="00681475"/>
    <w:rsid w:val="00681524"/>
    <w:rsid w:val="006815CB"/>
    <w:rsid w:val="00681659"/>
    <w:rsid w:val="0068169D"/>
    <w:rsid w:val="006816A6"/>
    <w:rsid w:val="006817F5"/>
    <w:rsid w:val="0068184C"/>
    <w:rsid w:val="006818F0"/>
    <w:rsid w:val="00681AAA"/>
    <w:rsid w:val="00681AB9"/>
    <w:rsid w:val="00681AC3"/>
    <w:rsid w:val="00681B24"/>
    <w:rsid w:val="00681B7C"/>
    <w:rsid w:val="00681D42"/>
    <w:rsid w:val="00681D4E"/>
    <w:rsid w:val="00682018"/>
    <w:rsid w:val="00682307"/>
    <w:rsid w:val="0068241E"/>
    <w:rsid w:val="0068254E"/>
    <w:rsid w:val="00682687"/>
    <w:rsid w:val="0068271C"/>
    <w:rsid w:val="006827DA"/>
    <w:rsid w:val="00682892"/>
    <w:rsid w:val="00682996"/>
    <w:rsid w:val="00682A0E"/>
    <w:rsid w:val="00682A53"/>
    <w:rsid w:val="00682AAC"/>
    <w:rsid w:val="00682AD9"/>
    <w:rsid w:val="00682BFD"/>
    <w:rsid w:val="00682C20"/>
    <w:rsid w:val="00682C52"/>
    <w:rsid w:val="00682CFB"/>
    <w:rsid w:val="00682D00"/>
    <w:rsid w:val="00682D94"/>
    <w:rsid w:val="00683002"/>
    <w:rsid w:val="0068336D"/>
    <w:rsid w:val="00683481"/>
    <w:rsid w:val="006834DA"/>
    <w:rsid w:val="006835A4"/>
    <w:rsid w:val="006836BD"/>
    <w:rsid w:val="006836E3"/>
    <w:rsid w:val="0068375A"/>
    <w:rsid w:val="0068384A"/>
    <w:rsid w:val="00683859"/>
    <w:rsid w:val="006838A2"/>
    <w:rsid w:val="006838D1"/>
    <w:rsid w:val="00683940"/>
    <w:rsid w:val="006839B4"/>
    <w:rsid w:val="006839EF"/>
    <w:rsid w:val="00683A31"/>
    <w:rsid w:val="00683B01"/>
    <w:rsid w:val="00683B52"/>
    <w:rsid w:val="00683B8F"/>
    <w:rsid w:val="00683BE0"/>
    <w:rsid w:val="00683C4D"/>
    <w:rsid w:val="00683D60"/>
    <w:rsid w:val="00683DD7"/>
    <w:rsid w:val="00683E90"/>
    <w:rsid w:val="00683F11"/>
    <w:rsid w:val="00683F8D"/>
    <w:rsid w:val="00684263"/>
    <w:rsid w:val="006844F8"/>
    <w:rsid w:val="0068462F"/>
    <w:rsid w:val="006848E7"/>
    <w:rsid w:val="00684934"/>
    <w:rsid w:val="00684A3B"/>
    <w:rsid w:val="00684AA9"/>
    <w:rsid w:val="00684AEE"/>
    <w:rsid w:val="00684C4B"/>
    <w:rsid w:val="00684F90"/>
    <w:rsid w:val="00685107"/>
    <w:rsid w:val="00685224"/>
    <w:rsid w:val="006852DC"/>
    <w:rsid w:val="00685321"/>
    <w:rsid w:val="0068532D"/>
    <w:rsid w:val="006853F5"/>
    <w:rsid w:val="0068561B"/>
    <w:rsid w:val="0068579D"/>
    <w:rsid w:val="00685837"/>
    <w:rsid w:val="00685B83"/>
    <w:rsid w:val="00685B8B"/>
    <w:rsid w:val="00685C3C"/>
    <w:rsid w:val="00685C74"/>
    <w:rsid w:val="00685E05"/>
    <w:rsid w:val="00685E73"/>
    <w:rsid w:val="00685FC8"/>
    <w:rsid w:val="006860EB"/>
    <w:rsid w:val="00686284"/>
    <w:rsid w:val="00686566"/>
    <w:rsid w:val="00686759"/>
    <w:rsid w:val="0068676B"/>
    <w:rsid w:val="00686AAB"/>
    <w:rsid w:val="00686B06"/>
    <w:rsid w:val="00686B1F"/>
    <w:rsid w:val="00686B6A"/>
    <w:rsid w:val="00686B73"/>
    <w:rsid w:val="00686D78"/>
    <w:rsid w:val="00686D81"/>
    <w:rsid w:val="00686E1A"/>
    <w:rsid w:val="00686E49"/>
    <w:rsid w:val="00686F5E"/>
    <w:rsid w:val="00687053"/>
    <w:rsid w:val="006871DD"/>
    <w:rsid w:val="0068720B"/>
    <w:rsid w:val="00687689"/>
    <w:rsid w:val="0068768E"/>
    <w:rsid w:val="00687903"/>
    <w:rsid w:val="006879FA"/>
    <w:rsid w:val="00687ABF"/>
    <w:rsid w:val="00687B8D"/>
    <w:rsid w:val="00687BA4"/>
    <w:rsid w:val="00687C42"/>
    <w:rsid w:val="00687CC7"/>
    <w:rsid w:val="00687CEC"/>
    <w:rsid w:val="00687E30"/>
    <w:rsid w:val="00687FB5"/>
    <w:rsid w:val="00687FD0"/>
    <w:rsid w:val="0069015E"/>
    <w:rsid w:val="006901BA"/>
    <w:rsid w:val="006901F3"/>
    <w:rsid w:val="00690331"/>
    <w:rsid w:val="00690407"/>
    <w:rsid w:val="00690409"/>
    <w:rsid w:val="00690538"/>
    <w:rsid w:val="0069054E"/>
    <w:rsid w:val="0069056A"/>
    <w:rsid w:val="00690605"/>
    <w:rsid w:val="00690B21"/>
    <w:rsid w:val="00690C32"/>
    <w:rsid w:val="00690DB5"/>
    <w:rsid w:val="00690DC1"/>
    <w:rsid w:val="00690E36"/>
    <w:rsid w:val="00690FFF"/>
    <w:rsid w:val="00691099"/>
    <w:rsid w:val="00691116"/>
    <w:rsid w:val="00691171"/>
    <w:rsid w:val="006911AB"/>
    <w:rsid w:val="006912C8"/>
    <w:rsid w:val="006912F9"/>
    <w:rsid w:val="006914E3"/>
    <w:rsid w:val="00691924"/>
    <w:rsid w:val="0069194D"/>
    <w:rsid w:val="00691B06"/>
    <w:rsid w:val="00691B40"/>
    <w:rsid w:val="00691C5F"/>
    <w:rsid w:val="00691CE2"/>
    <w:rsid w:val="00691EFB"/>
    <w:rsid w:val="00691F22"/>
    <w:rsid w:val="00691F79"/>
    <w:rsid w:val="0069207A"/>
    <w:rsid w:val="006926F6"/>
    <w:rsid w:val="0069271F"/>
    <w:rsid w:val="006927CA"/>
    <w:rsid w:val="0069284B"/>
    <w:rsid w:val="00692B8D"/>
    <w:rsid w:val="00692B9D"/>
    <w:rsid w:val="00692D88"/>
    <w:rsid w:val="00692DD2"/>
    <w:rsid w:val="00692F5C"/>
    <w:rsid w:val="006930D0"/>
    <w:rsid w:val="006930D3"/>
    <w:rsid w:val="006930E7"/>
    <w:rsid w:val="00693402"/>
    <w:rsid w:val="00693454"/>
    <w:rsid w:val="0069349A"/>
    <w:rsid w:val="006935A3"/>
    <w:rsid w:val="006935BD"/>
    <w:rsid w:val="0069373F"/>
    <w:rsid w:val="00693A85"/>
    <w:rsid w:val="00693AEC"/>
    <w:rsid w:val="00693B1E"/>
    <w:rsid w:val="00693B83"/>
    <w:rsid w:val="00693BA5"/>
    <w:rsid w:val="00693D71"/>
    <w:rsid w:val="00693D8F"/>
    <w:rsid w:val="00693DD5"/>
    <w:rsid w:val="00693FE6"/>
    <w:rsid w:val="0069401A"/>
    <w:rsid w:val="00694061"/>
    <w:rsid w:val="0069413D"/>
    <w:rsid w:val="006943BC"/>
    <w:rsid w:val="006943C9"/>
    <w:rsid w:val="0069451C"/>
    <w:rsid w:val="0069467D"/>
    <w:rsid w:val="006946C6"/>
    <w:rsid w:val="00694772"/>
    <w:rsid w:val="00694831"/>
    <w:rsid w:val="00694942"/>
    <w:rsid w:val="00694C07"/>
    <w:rsid w:val="00694D15"/>
    <w:rsid w:val="00694E5B"/>
    <w:rsid w:val="00694E6D"/>
    <w:rsid w:val="0069513F"/>
    <w:rsid w:val="0069522D"/>
    <w:rsid w:val="0069526D"/>
    <w:rsid w:val="006952FB"/>
    <w:rsid w:val="006953C8"/>
    <w:rsid w:val="00695481"/>
    <w:rsid w:val="006954AE"/>
    <w:rsid w:val="0069554B"/>
    <w:rsid w:val="006955B0"/>
    <w:rsid w:val="00695605"/>
    <w:rsid w:val="0069599E"/>
    <w:rsid w:val="00695B3D"/>
    <w:rsid w:val="00695B4B"/>
    <w:rsid w:val="00695C25"/>
    <w:rsid w:val="00695DAB"/>
    <w:rsid w:val="00695F4E"/>
    <w:rsid w:val="00696009"/>
    <w:rsid w:val="00696063"/>
    <w:rsid w:val="00696191"/>
    <w:rsid w:val="0069625C"/>
    <w:rsid w:val="006962BA"/>
    <w:rsid w:val="0069655A"/>
    <w:rsid w:val="006965D0"/>
    <w:rsid w:val="0069667D"/>
    <w:rsid w:val="006966A5"/>
    <w:rsid w:val="00696A59"/>
    <w:rsid w:val="00696A71"/>
    <w:rsid w:val="00696C9F"/>
    <w:rsid w:val="00696D94"/>
    <w:rsid w:val="00696F46"/>
    <w:rsid w:val="00696F56"/>
    <w:rsid w:val="00697062"/>
    <w:rsid w:val="006970C9"/>
    <w:rsid w:val="00697132"/>
    <w:rsid w:val="00697167"/>
    <w:rsid w:val="00697187"/>
    <w:rsid w:val="00697230"/>
    <w:rsid w:val="00697233"/>
    <w:rsid w:val="0069728F"/>
    <w:rsid w:val="006972F5"/>
    <w:rsid w:val="0069736E"/>
    <w:rsid w:val="006974A7"/>
    <w:rsid w:val="006974DD"/>
    <w:rsid w:val="006976AF"/>
    <w:rsid w:val="006977B7"/>
    <w:rsid w:val="006977F9"/>
    <w:rsid w:val="0069785C"/>
    <w:rsid w:val="00697A69"/>
    <w:rsid w:val="00697C6A"/>
    <w:rsid w:val="00697D0A"/>
    <w:rsid w:val="00697E5D"/>
    <w:rsid w:val="0069C0FB"/>
    <w:rsid w:val="0069D614"/>
    <w:rsid w:val="006A0012"/>
    <w:rsid w:val="006A002C"/>
    <w:rsid w:val="006A014B"/>
    <w:rsid w:val="006A01A4"/>
    <w:rsid w:val="006A02AF"/>
    <w:rsid w:val="006A03A5"/>
    <w:rsid w:val="006A04D0"/>
    <w:rsid w:val="006A0624"/>
    <w:rsid w:val="006A06D5"/>
    <w:rsid w:val="006A0848"/>
    <w:rsid w:val="006A09A7"/>
    <w:rsid w:val="006A0A15"/>
    <w:rsid w:val="006A0A97"/>
    <w:rsid w:val="006A0AF8"/>
    <w:rsid w:val="006A0BF2"/>
    <w:rsid w:val="006A0C17"/>
    <w:rsid w:val="006A0C8C"/>
    <w:rsid w:val="006A0E49"/>
    <w:rsid w:val="006A0F6F"/>
    <w:rsid w:val="006A102A"/>
    <w:rsid w:val="006A114D"/>
    <w:rsid w:val="006A1426"/>
    <w:rsid w:val="006A1806"/>
    <w:rsid w:val="006A1820"/>
    <w:rsid w:val="006A1865"/>
    <w:rsid w:val="006A19C8"/>
    <w:rsid w:val="006A1B5B"/>
    <w:rsid w:val="006A1BC0"/>
    <w:rsid w:val="006A1D1C"/>
    <w:rsid w:val="006A1D51"/>
    <w:rsid w:val="006A1DAF"/>
    <w:rsid w:val="006A1EDD"/>
    <w:rsid w:val="006A1EF2"/>
    <w:rsid w:val="006A200F"/>
    <w:rsid w:val="006A208B"/>
    <w:rsid w:val="006A225B"/>
    <w:rsid w:val="006A228B"/>
    <w:rsid w:val="006A22E2"/>
    <w:rsid w:val="006A236F"/>
    <w:rsid w:val="006A2587"/>
    <w:rsid w:val="006A25E7"/>
    <w:rsid w:val="006A28D6"/>
    <w:rsid w:val="006A2B19"/>
    <w:rsid w:val="006A2B71"/>
    <w:rsid w:val="006A2C66"/>
    <w:rsid w:val="006A2DCB"/>
    <w:rsid w:val="006A2E1E"/>
    <w:rsid w:val="006A2ECD"/>
    <w:rsid w:val="006A2ED7"/>
    <w:rsid w:val="006A30A7"/>
    <w:rsid w:val="006A30BC"/>
    <w:rsid w:val="006A30CD"/>
    <w:rsid w:val="006A3105"/>
    <w:rsid w:val="006A33D2"/>
    <w:rsid w:val="006A346A"/>
    <w:rsid w:val="006A3596"/>
    <w:rsid w:val="006A35AC"/>
    <w:rsid w:val="006A3851"/>
    <w:rsid w:val="006A389B"/>
    <w:rsid w:val="006A395B"/>
    <w:rsid w:val="006A39C3"/>
    <w:rsid w:val="006A39E8"/>
    <w:rsid w:val="006A3B04"/>
    <w:rsid w:val="006A3B9D"/>
    <w:rsid w:val="006A3D1A"/>
    <w:rsid w:val="006A3D35"/>
    <w:rsid w:val="006A3D96"/>
    <w:rsid w:val="006A3E66"/>
    <w:rsid w:val="006A3FC0"/>
    <w:rsid w:val="006A40BE"/>
    <w:rsid w:val="006A4130"/>
    <w:rsid w:val="006A413E"/>
    <w:rsid w:val="006A418B"/>
    <w:rsid w:val="006A41F8"/>
    <w:rsid w:val="006A4419"/>
    <w:rsid w:val="006A4513"/>
    <w:rsid w:val="006A4528"/>
    <w:rsid w:val="006A4795"/>
    <w:rsid w:val="006A48E1"/>
    <w:rsid w:val="006A49FF"/>
    <w:rsid w:val="006A4AC6"/>
    <w:rsid w:val="006A4ACE"/>
    <w:rsid w:val="006A4B06"/>
    <w:rsid w:val="006A4DFD"/>
    <w:rsid w:val="006A4E81"/>
    <w:rsid w:val="006A4EBB"/>
    <w:rsid w:val="006A4FCB"/>
    <w:rsid w:val="006A503C"/>
    <w:rsid w:val="006A52A0"/>
    <w:rsid w:val="006A539D"/>
    <w:rsid w:val="006A53B3"/>
    <w:rsid w:val="006A562D"/>
    <w:rsid w:val="006A56BA"/>
    <w:rsid w:val="006A56BC"/>
    <w:rsid w:val="006A5920"/>
    <w:rsid w:val="006A5A8C"/>
    <w:rsid w:val="006A5AC1"/>
    <w:rsid w:val="006A5C82"/>
    <w:rsid w:val="006A5CA7"/>
    <w:rsid w:val="006A5E61"/>
    <w:rsid w:val="006A62AB"/>
    <w:rsid w:val="006A633C"/>
    <w:rsid w:val="006A640B"/>
    <w:rsid w:val="006A65DA"/>
    <w:rsid w:val="006A66C1"/>
    <w:rsid w:val="006A68AA"/>
    <w:rsid w:val="006A68FB"/>
    <w:rsid w:val="006A6A14"/>
    <w:rsid w:val="006A6ACB"/>
    <w:rsid w:val="006A6B73"/>
    <w:rsid w:val="006A6D11"/>
    <w:rsid w:val="006A6DA8"/>
    <w:rsid w:val="006A70A1"/>
    <w:rsid w:val="006A73E4"/>
    <w:rsid w:val="006A7463"/>
    <w:rsid w:val="006A762A"/>
    <w:rsid w:val="006A767A"/>
    <w:rsid w:val="006A7688"/>
    <w:rsid w:val="006A76C9"/>
    <w:rsid w:val="006A76FF"/>
    <w:rsid w:val="006A797E"/>
    <w:rsid w:val="006A79D6"/>
    <w:rsid w:val="006A7E0D"/>
    <w:rsid w:val="006B01DB"/>
    <w:rsid w:val="006B04F1"/>
    <w:rsid w:val="006B052A"/>
    <w:rsid w:val="006B055D"/>
    <w:rsid w:val="006B059D"/>
    <w:rsid w:val="006B06AD"/>
    <w:rsid w:val="006B06B4"/>
    <w:rsid w:val="006B0708"/>
    <w:rsid w:val="006B07B8"/>
    <w:rsid w:val="006B07C1"/>
    <w:rsid w:val="006B07CF"/>
    <w:rsid w:val="006B08B5"/>
    <w:rsid w:val="006B0977"/>
    <w:rsid w:val="006B09F6"/>
    <w:rsid w:val="006B0A1A"/>
    <w:rsid w:val="006B0C4F"/>
    <w:rsid w:val="006B0D2F"/>
    <w:rsid w:val="006B0DDF"/>
    <w:rsid w:val="006B0E76"/>
    <w:rsid w:val="006B0F74"/>
    <w:rsid w:val="006B0FB3"/>
    <w:rsid w:val="006B10F7"/>
    <w:rsid w:val="006B1236"/>
    <w:rsid w:val="006B124C"/>
    <w:rsid w:val="006B1262"/>
    <w:rsid w:val="006B1314"/>
    <w:rsid w:val="006B137C"/>
    <w:rsid w:val="006B150D"/>
    <w:rsid w:val="006B1627"/>
    <w:rsid w:val="006B1663"/>
    <w:rsid w:val="006B16DC"/>
    <w:rsid w:val="006B18CB"/>
    <w:rsid w:val="006B1C87"/>
    <w:rsid w:val="006B205A"/>
    <w:rsid w:val="006B2092"/>
    <w:rsid w:val="006B20C7"/>
    <w:rsid w:val="006B21A0"/>
    <w:rsid w:val="006B22B2"/>
    <w:rsid w:val="006B23AA"/>
    <w:rsid w:val="006B23E8"/>
    <w:rsid w:val="006B24A7"/>
    <w:rsid w:val="006B250C"/>
    <w:rsid w:val="006B251A"/>
    <w:rsid w:val="006B2667"/>
    <w:rsid w:val="006B274F"/>
    <w:rsid w:val="006B2AA3"/>
    <w:rsid w:val="006B2F79"/>
    <w:rsid w:val="006B2F90"/>
    <w:rsid w:val="006B3387"/>
    <w:rsid w:val="006B33AA"/>
    <w:rsid w:val="006B357F"/>
    <w:rsid w:val="006B37C2"/>
    <w:rsid w:val="006B38C9"/>
    <w:rsid w:val="006B3AC3"/>
    <w:rsid w:val="006B3E58"/>
    <w:rsid w:val="006B3ECD"/>
    <w:rsid w:val="006B4156"/>
    <w:rsid w:val="006B41D6"/>
    <w:rsid w:val="006B429D"/>
    <w:rsid w:val="006B430F"/>
    <w:rsid w:val="006B4364"/>
    <w:rsid w:val="006B442B"/>
    <w:rsid w:val="006B4533"/>
    <w:rsid w:val="006B4595"/>
    <w:rsid w:val="006B459E"/>
    <w:rsid w:val="006B45AE"/>
    <w:rsid w:val="006B4705"/>
    <w:rsid w:val="006B4815"/>
    <w:rsid w:val="006B4849"/>
    <w:rsid w:val="006B49F6"/>
    <w:rsid w:val="006B4AC5"/>
    <w:rsid w:val="006B4BF7"/>
    <w:rsid w:val="006B4E4A"/>
    <w:rsid w:val="006B4E86"/>
    <w:rsid w:val="006B4EC7"/>
    <w:rsid w:val="006B50ED"/>
    <w:rsid w:val="006B51BA"/>
    <w:rsid w:val="006B57B7"/>
    <w:rsid w:val="006B5820"/>
    <w:rsid w:val="006B58BF"/>
    <w:rsid w:val="006B5B6C"/>
    <w:rsid w:val="006B5BA3"/>
    <w:rsid w:val="006B5C67"/>
    <w:rsid w:val="006B6211"/>
    <w:rsid w:val="006B62BF"/>
    <w:rsid w:val="006B62EC"/>
    <w:rsid w:val="006B6415"/>
    <w:rsid w:val="006B6475"/>
    <w:rsid w:val="006B6593"/>
    <w:rsid w:val="006B6650"/>
    <w:rsid w:val="006B6825"/>
    <w:rsid w:val="006B693F"/>
    <w:rsid w:val="006B69E0"/>
    <w:rsid w:val="006B6A7B"/>
    <w:rsid w:val="006B6A7E"/>
    <w:rsid w:val="006B6B66"/>
    <w:rsid w:val="006B6BCB"/>
    <w:rsid w:val="006B6C51"/>
    <w:rsid w:val="006B6CC3"/>
    <w:rsid w:val="006B6E0D"/>
    <w:rsid w:val="006B6FCE"/>
    <w:rsid w:val="006B70BD"/>
    <w:rsid w:val="006B726E"/>
    <w:rsid w:val="006B7330"/>
    <w:rsid w:val="006B73A4"/>
    <w:rsid w:val="006B73DB"/>
    <w:rsid w:val="006B7409"/>
    <w:rsid w:val="006B7747"/>
    <w:rsid w:val="006B78F0"/>
    <w:rsid w:val="006B7927"/>
    <w:rsid w:val="006B7956"/>
    <w:rsid w:val="006B7980"/>
    <w:rsid w:val="006B7B22"/>
    <w:rsid w:val="006B7B78"/>
    <w:rsid w:val="006B7B7B"/>
    <w:rsid w:val="006B7C58"/>
    <w:rsid w:val="006B7D8F"/>
    <w:rsid w:val="006B7E3D"/>
    <w:rsid w:val="006B7F55"/>
    <w:rsid w:val="006C0165"/>
    <w:rsid w:val="006C04DD"/>
    <w:rsid w:val="006C04E1"/>
    <w:rsid w:val="006C0501"/>
    <w:rsid w:val="006C05F4"/>
    <w:rsid w:val="006C0671"/>
    <w:rsid w:val="006C06E3"/>
    <w:rsid w:val="006C08F3"/>
    <w:rsid w:val="006C0903"/>
    <w:rsid w:val="006C0919"/>
    <w:rsid w:val="006C095D"/>
    <w:rsid w:val="006C09BC"/>
    <w:rsid w:val="006C0A9A"/>
    <w:rsid w:val="006C0BBD"/>
    <w:rsid w:val="006C0BF7"/>
    <w:rsid w:val="006C0E20"/>
    <w:rsid w:val="006C0E27"/>
    <w:rsid w:val="006C0EB0"/>
    <w:rsid w:val="006C0ED2"/>
    <w:rsid w:val="006C0EDF"/>
    <w:rsid w:val="006C1039"/>
    <w:rsid w:val="006C1045"/>
    <w:rsid w:val="006C10F6"/>
    <w:rsid w:val="006C1138"/>
    <w:rsid w:val="006C13A0"/>
    <w:rsid w:val="006C13E2"/>
    <w:rsid w:val="006C14A2"/>
    <w:rsid w:val="006C155F"/>
    <w:rsid w:val="006C18C0"/>
    <w:rsid w:val="006C1A01"/>
    <w:rsid w:val="006C1A89"/>
    <w:rsid w:val="006C1C35"/>
    <w:rsid w:val="006C1CA9"/>
    <w:rsid w:val="006C1D66"/>
    <w:rsid w:val="006C1E2D"/>
    <w:rsid w:val="006C1F21"/>
    <w:rsid w:val="006C1F98"/>
    <w:rsid w:val="006C1FD2"/>
    <w:rsid w:val="006C202B"/>
    <w:rsid w:val="006C207A"/>
    <w:rsid w:val="006C214B"/>
    <w:rsid w:val="006C2151"/>
    <w:rsid w:val="006C23F7"/>
    <w:rsid w:val="006C24BC"/>
    <w:rsid w:val="006C25EA"/>
    <w:rsid w:val="006C263F"/>
    <w:rsid w:val="006C29BA"/>
    <w:rsid w:val="006C2B2A"/>
    <w:rsid w:val="006C2BD9"/>
    <w:rsid w:val="006C2DA8"/>
    <w:rsid w:val="006C2FAD"/>
    <w:rsid w:val="006C310D"/>
    <w:rsid w:val="006C32E4"/>
    <w:rsid w:val="006C3368"/>
    <w:rsid w:val="006C3681"/>
    <w:rsid w:val="006C375E"/>
    <w:rsid w:val="006C3787"/>
    <w:rsid w:val="006C37B4"/>
    <w:rsid w:val="006C37D2"/>
    <w:rsid w:val="006C395D"/>
    <w:rsid w:val="006C3B26"/>
    <w:rsid w:val="006C3C2C"/>
    <w:rsid w:val="006C3D8A"/>
    <w:rsid w:val="006C3F7E"/>
    <w:rsid w:val="006C3F92"/>
    <w:rsid w:val="006C408F"/>
    <w:rsid w:val="006C4120"/>
    <w:rsid w:val="006C4352"/>
    <w:rsid w:val="006C43AE"/>
    <w:rsid w:val="006C4504"/>
    <w:rsid w:val="006C4740"/>
    <w:rsid w:val="006C490A"/>
    <w:rsid w:val="006C491B"/>
    <w:rsid w:val="006C496C"/>
    <w:rsid w:val="006C4A7B"/>
    <w:rsid w:val="006C4B86"/>
    <w:rsid w:val="006C4C14"/>
    <w:rsid w:val="006C4C8E"/>
    <w:rsid w:val="006C4D38"/>
    <w:rsid w:val="006C50B6"/>
    <w:rsid w:val="006C50FC"/>
    <w:rsid w:val="006C53AD"/>
    <w:rsid w:val="006C53C4"/>
    <w:rsid w:val="006C5488"/>
    <w:rsid w:val="006C54A2"/>
    <w:rsid w:val="006C5536"/>
    <w:rsid w:val="006C59CC"/>
    <w:rsid w:val="006C59F2"/>
    <w:rsid w:val="006C5A3D"/>
    <w:rsid w:val="006C5AF3"/>
    <w:rsid w:val="006C5BB1"/>
    <w:rsid w:val="006C5BCF"/>
    <w:rsid w:val="006C5E1A"/>
    <w:rsid w:val="006C5E86"/>
    <w:rsid w:val="006C5F4E"/>
    <w:rsid w:val="006C600A"/>
    <w:rsid w:val="006C611D"/>
    <w:rsid w:val="006C6158"/>
    <w:rsid w:val="006C61D0"/>
    <w:rsid w:val="006C62B8"/>
    <w:rsid w:val="006C635D"/>
    <w:rsid w:val="006C6466"/>
    <w:rsid w:val="006C65DC"/>
    <w:rsid w:val="006C6611"/>
    <w:rsid w:val="006C6917"/>
    <w:rsid w:val="006C6945"/>
    <w:rsid w:val="006C6987"/>
    <w:rsid w:val="006C699D"/>
    <w:rsid w:val="006C69EF"/>
    <w:rsid w:val="006C6B31"/>
    <w:rsid w:val="006C6B3F"/>
    <w:rsid w:val="006C6BAF"/>
    <w:rsid w:val="006C6C71"/>
    <w:rsid w:val="006C6CE1"/>
    <w:rsid w:val="006C6DC5"/>
    <w:rsid w:val="006C6E7F"/>
    <w:rsid w:val="006C6F51"/>
    <w:rsid w:val="006C6F56"/>
    <w:rsid w:val="006C6F86"/>
    <w:rsid w:val="006C6FA0"/>
    <w:rsid w:val="006C7035"/>
    <w:rsid w:val="006C71F9"/>
    <w:rsid w:val="006C7320"/>
    <w:rsid w:val="006C735B"/>
    <w:rsid w:val="006C7399"/>
    <w:rsid w:val="006C73F7"/>
    <w:rsid w:val="006C7873"/>
    <w:rsid w:val="006C7903"/>
    <w:rsid w:val="006C7ABB"/>
    <w:rsid w:val="006C7B11"/>
    <w:rsid w:val="006C7C5B"/>
    <w:rsid w:val="006C7CF9"/>
    <w:rsid w:val="006C7D61"/>
    <w:rsid w:val="006C7D70"/>
    <w:rsid w:val="006C7DB8"/>
    <w:rsid w:val="006C7E08"/>
    <w:rsid w:val="006C7F27"/>
    <w:rsid w:val="006D00EE"/>
    <w:rsid w:val="006D00FF"/>
    <w:rsid w:val="006D0302"/>
    <w:rsid w:val="006D0319"/>
    <w:rsid w:val="006D0497"/>
    <w:rsid w:val="006D04B9"/>
    <w:rsid w:val="006D050A"/>
    <w:rsid w:val="006D0672"/>
    <w:rsid w:val="006D0A0A"/>
    <w:rsid w:val="006D0B58"/>
    <w:rsid w:val="006D0BCD"/>
    <w:rsid w:val="006D0EA2"/>
    <w:rsid w:val="006D0F88"/>
    <w:rsid w:val="006D0FD3"/>
    <w:rsid w:val="006D1175"/>
    <w:rsid w:val="006D15CB"/>
    <w:rsid w:val="006D15CC"/>
    <w:rsid w:val="006D18B8"/>
    <w:rsid w:val="006D18DB"/>
    <w:rsid w:val="006D18EF"/>
    <w:rsid w:val="006D1CF2"/>
    <w:rsid w:val="006D1CF8"/>
    <w:rsid w:val="006D1D57"/>
    <w:rsid w:val="006D1DC2"/>
    <w:rsid w:val="006D1FF1"/>
    <w:rsid w:val="006D2340"/>
    <w:rsid w:val="006D24E4"/>
    <w:rsid w:val="006D266C"/>
    <w:rsid w:val="006D2687"/>
    <w:rsid w:val="006D2849"/>
    <w:rsid w:val="006D2AD8"/>
    <w:rsid w:val="006D2B24"/>
    <w:rsid w:val="006D2B58"/>
    <w:rsid w:val="006D2B65"/>
    <w:rsid w:val="006D2BE4"/>
    <w:rsid w:val="006D2BF3"/>
    <w:rsid w:val="006D2D01"/>
    <w:rsid w:val="006D33A6"/>
    <w:rsid w:val="006D33FA"/>
    <w:rsid w:val="006D343C"/>
    <w:rsid w:val="006D3480"/>
    <w:rsid w:val="006D3874"/>
    <w:rsid w:val="006D387C"/>
    <w:rsid w:val="006D3916"/>
    <w:rsid w:val="006D39BF"/>
    <w:rsid w:val="006D39D6"/>
    <w:rsid w:val="006D3A66"/>
    <w:rsid w:val="006D3B0F"/>
    <w:rsid w:val="006D3C4E"/>
    <w:rsid w:val="006D3D00"/>
    <w:rsid w:val="006D3D20"/>
    <w:rsid w:val="006D3DE3"/>
    <w:rsid w:val="006D3DE5"/>
    <w:rsid w:val="006D422F"/>
    <w:rsid w:val="006D425C"/>
    <w:rsid w:val="006D4571"/>
    <w:rsid w:val="006D45EE"/>
    <w:rsid w:val="006D4602"/>
    <w:rsid w:val="006D4965"/>
    <w:rsid w:val="006D4A26"/>
    <w:rsid w:val="006D4CE5"/>
    <w:rsid w:val="006D4F3B"/>
    <w:rsid w:val="006D4F79"/>
    <w:rsid w:val="006D5075"/>
    <w:rsid w:val="006D51A9"/>
    <w:rsid w:val="006D52C0"/>
    <w:rsid w:val="006D5315"/>
    <w:rsid w:val="006D5365"/>
    <w:rsid w:val="006D5398"/>
    <w:rsid w:val="006D5587"/>
    <w:rsid w:val="006D5648"/>
    <w:rsid w:val="006D56A6"/>
    <w:rsid w:val="006D56E0"/>
    <w:rsid w:val="006D57BC"/>
    <w:rsid w:val="006D57DD"/>
    <w:rsid w:val="006D5819"/>
    <w:rsid w:val="006D5913"/>
    <w:rsid w:val="006D5AF5"/>
    <w:rsid w:val="006D5BB7"/>
    <w:rsid w:val="006D5C07"/>
    <w:rsid w:val="006D5C81"/>
    <w:rsid w:val="006D5CA6"/>
    <w:rsid w:val="006D5CCC"/>
    <w:rsid w:val="006D5EEE"/>
    <w:rsid w:val="006D5F8F"/>
    <w:rsid w:val="006D602A"/>
    <w:rsid w:val="006D639C"/>
    <w:rsid w:val="006D643A"/>
    <w:rsid w:val="006D64CF"/>
    <w:rsid w:val="006D6628"/>
    <w:rsid w:val="006D66A3"/>
    <w:rsid w:val="006D6912"/>
    <w:rsid w:val="006D69AF"/>
    <w:rsid w:val="006D6A61"/>
    <w:rsid w:val="006D6AD2"/>
    <w:rsid w:val="006D6B75"/>
    <w:rsid w:val="006D6DF7"/>
    <w:rsid w:val="006D6E5E"/>
    <w:rsid w:val="006D6F79"/>
    <w:rsid w:val="006D6F92"/>
    <w:rsid w:val="006D7056"/>
    <w:rsid w:val="006D7072"/>
    <w:rsid w:val="006D7089"/>
    <w:rsid w:val="006D715E"/>
    <w:rsid w:val="006D71B2"/>
    <w:rsid w:val="006D71C0"/>
    <w:rsid w:val="006D71E0"/>
    <w:rsid w:val="006D7274"/>
    <w:rsid w:val="006D7351"/>
    <w:rsid w:val="006D7366"/>
    <w:rsid w:val="006D738F"/>
    <w:rsid w:val="006D76EB"/>
    <w:rsid w:val="006D773B"/>
    <w:rsid w:val="006D7886"/>
    <w:rsid w:val="006D78BD"/>
    <w:rsid w:val="006D7A94"/>
    <w:rsid w:val="006D7E30"/>
    <w:rsid w:val="006D7E48"/>
    <w:rsid w:val="006D7FB4"/>
    <w:rsid w:val="006D7FB5"/>
    <w:rsid w:val="006E01F1"/>
    <w:rsid w:val="006E0250"/>
    <w:rsid w:val="006E027A"/>
    <w:rsid w:val="006E033B"/>
    <w:rsid w:val="006E034A"/>
    <w:rsid w:val="006E03D4"/>
    <w:rsid w:val="006E0412"/>
    <w:rsid w:val="006E04CF"/>
    <w:rsid w:val="006E07EE"/>
    <w:rsid w:val="006E0A94"/>
    <w:rsid w:val="006E0B54"/>
    <w:rsid w:val="006E0C1F"/>
    <w:rsid w:val="006E0DBE"/>
    <w:rsid w:val="006E0DCF"/>
    <w:rsid w:val="006E1004"/>
    <w:rsid w:val="006E1174"/>
    <w:rsid w:val="006E11E5"/>
    <w:rsid w:val="006E1370"/>
    <w:rsid w:val="006E15CD"/>
    <w:rsid w:val="006E15E6"/>
    <w:rsid w:val="006E179A"/>
    <w:rsid w:val="006E18EB"/>
    <w:rsid w:val="006E19A1"/>
    <w:rsid w:val="006E19E8"/>
    <w:rsid w:val="006E1A67"/>
    <w:rsid w:val="006E1AD0"/>
    <w:rsid w:val="006E1B8D"/>
    <w:rsid w:val="006E1E28"/>
    <w:rsid w:val="006E1E7D"/>
    <w:rsid w:val="006E1E9C"/>
    <w:rsid w:val="006E1F54"/>
    <w:rsid w:val="006E1FA3"/>
    <w:rsid w:val="006E201D"/>
    <w:rsid w:val="006E2162"/>
    <w:rsid w:val="006E217F"/>
    <w:rsid w:val="006E2432"/>
    <w:rsid w:val="006E250D"/>
    <w:rsid w:val="006E254A"/>
    <w:rsid w:val="006E255B"/>
    <w:rsid w:val="006E25C9"/>
    <w:rsid w:val="006E2A48"/>
    <w:rsid w:val="006E2AA4"/>
    <w:rsid w:val="006E2CE4"/>
    <w:rsid w:val="006E2D6F"/>
    <w:rsid w:val="006E2DF9"/>
    <w:rsid w:val="006E2E40"/>
    <w:rsid w:val="006E2E85"/>
    <w:rsid w:val="006E2F68"/>
    <w:rsid w:val="006E31A3"/>
    <w:rsid w:val="006E3235"/>
    <w:rsid w:val="006E3419"/>
    <w:rsid w:val="006E3516"/>
    <w:rsid w:val="006E35E9"/>
    <w:rsid w:val="006E36D4"/>
    <w:rsid w:val="006E36E1"/>
    <w:rsid w:val="006E3751"/>
    <w:rsid w:val="006E3960"/>
    <w:rsid w:val="006E39A5"/>
    <w:rsid w:val="006E3A58"/>
    <w:rsid w:val="006E3B6F"/>
    <w:rsid w:val="006E3B70"/>
    <w:rsid w:val="006E3D6B"/>
    <w:rsid w:val="006E3E70"/>
    <w:rsid w:val="006E3FD9"/>
    <w:rsid w:val="006E3FE3"/>
    <w:rsid w:val="006E4009"/>
    <w:rsid w:val="006E40C7"/>
    <w:rsid w:val="006E41D0"/>
    <w:rsid w:val="006E4710"/>
    <w:rsid w:val="006E4725"/>
    <w:rsid w:val="006E49A8"/>
    <w:rsid w:val="006E4D8F"/>
    <w:rsid w:val="006E508C"/>
    <w:rsid w:val="006E5102"/>
    <w:rsid w:val="006E5103"/>
    <w:rsid w:val="006E51DB"/>
    <w:rsid w:val="006E5232"/>
    <w:rsid w:val="006E54B0"/>
    <w:rsid w:val="006E54B1"/>
    <w:rsid w:val="006E54D1"/>
    <w:rsid w:val="006E581D"/>
    <w:rsid w:val="006E5974"/>
    <w:rsid w:val="006E5ACB"/>
    <w:rsid w:val="006E5BD1"/>
    <w:rsid w:val="006E5C43"/>
    <w:rsid w:val="006E5DAE"/>
    <w:rsid w:val="006E5DC3"/>
    <w:rsid w:val="006E6093"/>
    <w:rsid w:val="006E6338"/>
    <w:rsid w:val="006E6392"/>
    <w:rsid w:val="006E6548"/>
    <w:rsid w:val="006E654D"/>
    <w:rsid w:val="006E6608"/>
    <w:rsid w:val="006E6816"/>
    <w:rsid w:val="006E685D"/>
    <w:rsid w:val="006E68DE"/>
    <w:rsid w:val="006E68FC"/>
    <w:rsid w:val="006E6A04"/>
    <w:rsid w:val="006E6A0A"/>
    <w:rsid w:val="006E6AD3"/>
    <w:rsid w:val="006E6AE8"/>
    <w:rsid w:val="006E6B41"/>
    <w:rsid w:val="006E6B5C"/>
    <w:rsid w:val="006E6B90"/>
    <w:rsid w:val="006E6C49"/>
    <w:rsid w:val="006E6C52"/>
    <w:rsid w:val="006E6CF3"/>
    <w:rsid w:val="006E6D4C"/>
    <w:rsid w:val="006E6F4F"/>
    <w:rsid w:val="006E6F7D"/>
    <w:rsid w:val="006E7155"/>
    <w:rsid w:val="006E72DC"/>
    <w:rsid w:val="006E7416"/>
    <w:rsid w:val="006E742B"/>
    <w:rsid w:val="006E74BE"/>
    <w:rsid w:val="006E7674"/>
    <w:rsid w:val="006E7695"/>
    <w:rsid w:val="006E76E6"/>
    <w:rsid w:val="006E781D"/>
    <w:rsid w:val="006E78BA"/>
    <w:rsid w:val="006E7A1C"/>
    <w:rsid w:val="006E7C3C"/>
    <w:rsid w:val="006E7D59"/>
    <w:rsid w:val="006E7FE9"/>
    <w:rsid w:val="006EAF88"/>
    <w:rsid w:val="006F03C0"/>
    <w:rsid w:val="006F041A"/>
    <w:rsid w:val="006F04AB"/>
    <w:rsid w:val="006F05A1"/>
    <w:rsid w:val="006F08C9"/>
    <w:rsid w:val="006F0A04"/>
    <w:rsid w:val="006F0C2D"/>
    <w:rsid w:val="006F0CA9"/>
    <w:rsid w:val="006F0D90"/>
    <w:rsid w:val="006F0DE7"/>
    <w:rsid w:val="006F0E33"/>
    <w:rsid w:val="006F0E3D"/>
    <w:rsid w:val="006F1749"/>
    <w:rsid w:val="006F17A6"/>
    <w:rsid w:val="006F184F"/>
    <w:rsid w:val="006F1851"/>
    <w:rsid w:val="006F186E"/>
    <w:rsid w:val="006F1A9E"/>
    <w:rsid w:val="006F1B6D"/>
    <w:rsid w:val="006F1C7E"/>
    <w:rsid w:val="006F1CD1"/>
    <w:rsid w:val="006F1CD3"/>
    <w:rsid w:val="006F1E84"/>
    <w:rsid w:val="006F1FEA"/>
    <w:rsid w:val="006F20EA"/>
    <w:rsid w:val="006F2174"/>
    <w:rsid w:val="006F217A"/>
    <w:rsid w:val="006F2235"/>
    <w:rsid w:val="006F22A3"/>
    <w:rsid w:val="006F2305"/>
    <w:rsid w:val="006F24E5"/>
    <w:rsid w:val="006F2706"/>
    <w:rsid w:val="006F2794"/>
    <w:rsid w:val="006F288F"/>
    <w:rsid w:val="006F2C17"/>
    <w:rsid w:val="006F2D61"/>
    <w:rsid w:val="006F2E94"/>
    <w:rsid w:val="006F3089"/>
    <w:rsid w:val="006F3339"/>
    <w:rsid w:val="006F33E2"/>
    <w:rsid w:val="006F33E5"/>
    <w:rsid w:val="006F34D0"/>
    <w:rsid w:val="006F358A"/>
    <w:rsid w:val="006F35AF"/>
    <w:rsid w:val="006F35B8"/>
    <w:rsid w:val="006F364F"/>
    <w:rsid w:val="006F38A4"/>
    <w:rsid w:val="006F3B25"/>
    <w:rsid w:val="006F3B62"/>
    <w:rsid w:val="006F3CFA"/>
    <w:rsid w:val="006F3D64"/>
    <w:rsid w:val="006F3DBD"/>
    <w:rsid w:val="006F3E84"/>
    <w:rsid w:val="006F3EC2"/>
    <w:rsid w:val="006F3F37"/>
    <w:rsid w:val="006F3FAC"/>
    <w:rsid w:val="006F4092"/>
    <w:rsid w:val="006F4134"/>
    <w:rsid w:val="006F41CF"/>
    <w:rsid w:val="006F422D"/>
    <w:rsid w:val="006F42B6"/>
    <w:rsid w:val="006F42E6"/>
    <w:rsid w:val="006F4315"/>
    <w:rsid w:val="006F4359"/>
    <w:rsid w:val="006F43C3"/>
    <w:rsid w:val="006F4794"/>
    <w:rsid w:val="006F479A"/>
    <w:rsid w:val="006F47E0"/>
    <w:rsid w:val="006F4930"/>
    <w:rsid w:val="006F4957"/>
    <w:rsid w:val="006F4ADA"/>
    <w:rsid w:val="006F4AED"/>
    <w:rsid w:val="006F4CCE"/>
    <w:rsid w:val="006F4E8F"/>
    <w:rsid w:val="006F4F52"/>
    <w:rsid w:val="006F52AD"/>
    <w:rsid w:val="006F52E5"/>
    <w:rsid w:val="006F53FB"/>
    <w:rsid w:val="006F5405"/>
    <w:rsid w:val="006F5488"/>
    <w:rsid w:val="006F5652"/>
    <w:rsid w:val="006F569A"/>
    <w:rsid w:val="006F583A"/>
    <w:rsid w:val="006F5899"/>
    <w:rsid w:val="006F58B0"/>
    <w:rsid w:val="006F59E9"/>
    <w:rsid w:val="006F5C96"/>
    <w:rsid w:val="006F5CA6"/>
    <w:rsid w:val="006F5CF8"/>
    <w:rsid w:val="006F5D35"/>
    <w:rsid w:val="006F5FBB"/>
    <w:rsid w:val="006F6048"/>
    <w:rsid w:val="006F60F5"/>
    <w:rsid w:val="006F617D"/>
    <w:rsid w:val="006F632D"/>
    <w:rsid w:val="006F6547"/>
    <w:rsid w:val="006F6579"/>
    <w:rsid w:val="006F65BA"/>
    <w:rsid w:val="006F6642"/>
    <w:rsid w:val="006F67A9"/>
    <w:rsid w:val="006F67B3"/>
    <w:rsid w:val="006F691F"/>
    <w:rsid w:val="006F6AA7"/>
    <w:rsid w:val="006F6EB5"/>
    <w:rsid w:val="006F6EBE"/>
    <w:rsid w:val="006F7017"/>
    <w:rsid w:val="006F713C"/>
    <w:rsid w:val="006F72CB"/>
    <w:rsid w:val="006F73C4"/>
    <w:rsid w:val="006F745E"/>
    <w:rsid w:val="006F75B7"/>
    <w:rsid w:val="006F7758"/>
    <w:rsid w:val="006F77A5"/>
    <w:rsid w:val="006F7896"/>
    <w:rsid w:val="006F798A"/>
    <w:rsid w:val="006F79A0"/>
    <w:rsid w:val="006F79C7"/>
    <w:rsid w:val="006F79D3"/>
    <w:rsid w:val="006F7B3D"/>
    <w:rsid w:val="006F7CBB"/>
    <w:rsid w:val="006F7ECF"/>
    <w:rsid w:val="006F7F1B"/>
    <w:rsid w:val="006F7F91"/>
    <w:rsid w:val="00700053"/>
    <w:rsid w:val="007000A1"/>
    <w:rsid w:val="007000F3"/>
    <w:rsid w:val="007000F6"/>
    <w:rsid w:val="00700161"/>
    <w:rsid w:val="00700251"/>
    <w:rsid w:val="007003B5"/>
    <w:rsid w:val="007003BB"/>
    <w:rsid w:val="007004B5"/>
    <w:rsid w:val="007008FD"/>
    <w:rsid w:val="00700930"/>
    <w:rsid w:val="0070094C"/>
    <w:rsid w:val="00700975"/>
    <w:rsid w:val="0070098C"/>
    <w:rsid w:val="00700AC3"/>
    <w:rsid w:val="00700B40"/>
    <w:rsid w:val="00700DCB"/>
    <w:rsid w:val="00700F55"/>
    <w:rsid w:val="00701113"/>
    <w:rsid w:val="0070114A"/>
    <w:rsid w:val="0070130B"/>
    <w:rsid w:val="00701326"/>
    <w:rsid w:val="00701492"/>
    <w:rsid w:val="0070176C"/>
    <w:rsid w:val="007017D9"/>
    <w:rsid w:val="007017E8"/>
    <w:rsid w:val="007018E6"/>
    <w:rsid w:val="007019B7"/>
    <w:rsid w:val="007019E6"/>
    <w:rsid w:val="00701B80"/>
    <w:rsid w:val="00701B87"/>
    <w:rsid w:val="00701BD7"/>
    <w:rsid w:val="00701C02"/>
    <w:rsid w:val="00701D98"/>
    <w:rsid w:val="00701FB9"/>
    <w:rsid w:val="0070247B"/>
    <w:rsid w:val="00702515"/>
    <w:rsid w:val="0070266A"/>
    <w:rsid w:val="0070272E"/>
    <w:rsid w:val="00702BF6"/>
    <w:rsid w:val="00702C07"/>
    <w:rsid w:val="00702C84"/>
    <w:rsid w:val="00702E9B"/>
    <w:rsid w:val="00703116"/>
    <w:rsid w:val="00703174"/>
    <w:rsid w:val="007031B5"/>
    <w:rsid w:val="007032FF"/>
    <w:rsid w:val="00703342"/>
    <w:rsid w:val="00703435"/>
    <w:rsid w:val="007036FD"/>
    <w:rsid w:val="00703ADE"/>
    <w:rsid w:val="00703D92"/>
    <w:rsid w:val="00703F3D"/>
    <w:rsid w:val="00704039"/>
    <w:rsid w:val="007041E7"/>
    <w:rsid w:val="007042D6"/>
    <w:rsid w:val="00704300"/>
    <w:rsid w:val="00704371"/>
    <w:rsid w:val="007044EA"/>
    <w:rsid w:val="00704510"/>
    <w:rsid w:val="0070457F"/>
    <w:rsid w:val="00704642"/>
    <w:rsid w:val="007047D8"/>
    <w:rsid w:val="007047F0"/>
    <w:rsid w:val="0070485C"/>
    <w:rsid w:val="0070498C"/>
    <w:rsid w:val="00704A0B"/>
    <w:rsid w:val="00704BE8"/>
    <w:rsid w:val="00704DAE"/>
    <w:rsid w:val="007050EA"/>
    <w:rsid w:val="007051B8"/>
    <w:rsid w:val="0070536B"/>
    <w:rsid w:val="0070549B"/>
    <w:rsid w:val="0070561A"/>
    <w:rsid w:val="007058B4"/>
    <w:rsid w:val="007058E3"/>
    <w:rsid w:val="007058F7"/>
    <w:rsid w:val="00705E95"/>
    <w:rsid w:val="00705EF8"/>
    <w:rsid w:val="00706135"/>
    <w:rsid w:val="00706194"/>
    <w:rsid w:val="007061A9"/>
    <w:rsid w:val="00706241"/>
    <w:rsid w:val="00706435"/>
    <w:rsid w:val="00706530"/>
    <w:rsid w:val="007066DD"/>
    <w:rsid w:val="007067B8"/>
    <w:rsid w:val="00706806"/>
    <w:rsid w:val="00706869"/>
    <w:rsid w:val="007069BF"/>
    <w:rsid w:val="007069C0"/>
    <w:rsid w:val="00706BC8"/>
    <w:rsid w:val="00706D9F"/>
    <w:rsid w:val="00706E20"/>
    <w:rsid w:val="00706E32"/>
    <w:rsid w:val="00706E97"/>
    <w:rsid w:val="00706F4C"/>
    <w:rsid w:val="00706FC4"/>
    <w:rsid w:val="007070C9"/>
    <w:rsid w:val="007071C2"/>
    <w:rsid w:val="007071FC"/>
    <w:rsid w:val="0070734F"/>
    <w:rsid w:val="0070740F"/>
    <w:rsid w:val="00707443"/>
    <w:rsid w:val="00707458"/>
    <w:rsid w:val="007077C7"/>
    <w:rsid w:val="007078C0"/>
    <w:rsid w:val="0070791F"/>
    <w:rsid w:val="007079A4"/>
    <w:rsid w:val="00707A95"/>
    <w:rsid w:val="00707B31"/>
    <w:rsid w:val="00707C11"/>
    <w:rsid w:val="00707C5C"/>
    <w:rsid w:val="00707CCA"/>
    <w:rsid w:val="00707F9F"/>
    <w:rsid w:val="0070B21D"/>
    <w:rsid w:val="00710082"/>
    <w:rsid w:val="0071013A"/>
    <w:rsid w:val="00710192"/>
    <w:rsid w:val="0071022F"/>
    <w:rsid w:val="007102C9"/>
    <w:rsid w:val="007104EF"/>
    <w:rsid w:val="007107E5"/>
    <w:rsid w:val="00710904"/>
    <w:rsid w:val="00710B66"/>
    <w:rsid w:val="00710DC5"/>
    <w:rsid w:val="00711018"/>
    <w:rsid w:val="007111BC"/>
    <w:rsid w:val="007111BE"/>
    <w:rsid w:val="00711315"/>
    <w:rsid w:val="0071153D"/>
    <w:rsid w:val="007115BB"/>
    <w:rsid w:val="0071162E"/>
    <w:rsid w:val="007116DF"/>
    <w:rsid w:val="0071171E"/>
    <w:rsid w:val="00711786"/>
    <w:rsid w:val="007117FA"/>
    <w:rsid w:val="0071182A"/>
    <w:rsid w:val="00711D21"/>
    <w:rsid w:val="00711E09"/>
    <w:rsid w:val="00712161"/>
    <w:rsid w:val="007122D8"/>
    <w:rsid w:val="0071234B"/>
    <w:rsid w:val="00712392"/>
    <w:rsid w:val="00712462"/>
    <w:rsid w:val="007125AE"/>
    <w:rsid w:val="00712706"/>
    <w:rsid w:val="0071271B"/>
    <w:rsid w:val="0071287B"/>
    <w:rsid w:val="0071297C"/>
    <w:rsid w:val="007129F4"/>
    <w:rsid w:val="00712B4E"/>
    <w:rsid w:val="00712C96"/>
    <w:rsid w:val="00712DD4"/>
    <w:rsid w:val="00712E74"/>
    <w:rsid w:val="00712F98"/>
    <w:rsid w:val="007131B3"/>
    <w:rsid w:val="0071327F"/>
    <w:rsid w:val="00713281"/>
    <w:rsid w:val="007135A2"/>
    <w:rsid w:val="007136F8"/>
    <w:rsid w:val="00713743"/>
    <w:rsid w:val="00713749"/>
    <w:rsid w:val="00713976"/>
    <w:rsid w:val="00713A0C"/>
    <w:rsid w:val="00713A81"/>
    <w:rsid w:val="00713C98"/>
    <w:rsid w:val="00713CC3"/>
    <w:rsid w:val="00713CE8"/>
    <w:rsid w:val="00713DEE"/>
    <w:rsid w:val="00713EA4"/>
    <w:rsid w:val="00713FA9"/>
    <w:rsid w:val="007142CB"/>
    <w:rsid w:val="00714400"/>
    <w:rsid w:val="007144C2"/>
    <w:rsid w:val="0071463A"/>
    <w:rsid w:val="007148C7"/>
    <w:rsid w:val="007148F4"/>
    <w:rsid w:val="0071494E"/>
    <w:rsid w:val="007149A9"/>
    <w:rsid w:val="00714A2E"/>
    <w:rsid w:val="00714A5B"/>
    <w:rsid w:val="00714A9C"/>
    <w:rsid w:val="00714B5B"/>
    <w:rsid w:val="00714D2F"/>
    <w:rsid w:val="00714DE0"/>
    <w:rsid w:val="00714EA9"/>
    <w:rsid w:val="007151E4"/>
    <w:rsid w:val="007152AD"/>
    <w:rsid w:val="007153EF"/>
    <w:rsid w:val="007153FF"/>
    <w:rsid w:val="0071544C"/>
    <w:rsid w:val="00715588"/>
    <w:rsid w:val="00715837"/>
    <w:rsid w:val="00715863"/>
    <w:rsid w:val="00715871"/>
    <w:rsid w:val="007159D5"/>
    <w:rsid w:val="00715C8C"/>
    <w:rsid w:val="00715D2A"/>
    <w:rsid w:val="00715D6A"/>
    <w:rsid w:val="00715E04"/>
    <w:rsid w:val="00715E58"/>
    <w:rsid w:val="007160EF"/>
    <w:rsid w:val="0071618B"/>
    <w:rsid w:val="007164ED"/>
    <w:rsid w:val="0071669E"/>
    <w:rsid w:val="007166A6"/>
    <w:rsid w:val="00716827"/>
    <w:rsid w:val="00716931"/>
    <w:rsid w:val="00716962"/>
    <w:rsid w:val="00716AD2"/>
    <w:rsid w:val="00716AEF"/>
    <w:rsid w:val="00716BA8"/>
    <w:rsid w:val="00716D17"/>
    <w:rsid w:val="00717387"/>
    <w:rsid w:val="007176CA"/>
    <w:rsid w:val="0071770F"/>
    <w:rsid w:val="00717A35"/>
    <w:rsid w:val="00717BA5"/>
    <w:rsid w:val="00717DC5"/>
    <w:rsid w:val="00717F8B"/>
    <w:rsid w:val="00717F94"/>
    <w:rsid w:val="00720000"/>
    <w:rsid w:val="0072002C"/>
    <w:rsid w:val="00720169"/>
    <w:rsid w:val="00720212"/>
    <w:rsid w:val="007202B5"/>
    <w:rsid w:val="007202CF"/>
    <w:rsid w:val="00720340"/>
    <w:rsid w:val="00720354"/>
    <w:rsid w:val="0072044E"/>
    <w:rsid w:val="00720556"/>
    <w:rsid w:val="007205AE"/>
    <w:rsid w:val="00720705"/>
    <w:rsid w:val="0072073B"/>
    <w:rsid w:val="00720881"/>
    <w:rsid w:val="00720AE2"/>
    <w:rsid w:val="00720B5E"/>
    <w:rsid w:val="00720C0B"/>
    <w:rsid w:val="00720DB9"/>
    <w:rsid w:val="00720DC5"/>
    <w:rsid w:val="00720E87"/>
    <w:rsid w:val="00721019"/>
    <w:rsid w:val="0072122C"/>
    <w:rsid w:val="00721326"/>
    <w:rsid w:val="007214EF"/>
    <w:rsid w:val="00721967"/>
    <w:rsid w:val="00721B6F"/>
    <w:rsid w:val="00721CC8"/>
    <w:rsid w:val="00721D36"/>
    <w:rsid w:val="00721E2D"/>
    <w:rsid w:val="00721F5C"/>
    <w:rsid w:val="00722177"/>
    <w:rsid w:val="0072217B"/>
    <w:rsid w:val="007223C1"/>
    <w:rsid w:val="00722493"/>
    <w:rsid w:val="007225F2"/>
    <w:rsid w:val="0072261E"/>
    <w:rsid w:val="0072285E"/>
    <w:rsid w:val="00722895"/>
    <w:rsid w:val="007229FF"/>
    <w:rsid w:val="00722ACE"/>
    <w:rsid w:val="00722AE5"/>
    <w:rsid w:val="00722BC8"/>
    <w:rsid w:val="00722C79"/>
    <w:rsid w:val="00722D4E"/>
    <w:rsid w:val="00722DD1"/>
    <w:rsid w:val="00722DE3"/>
    <w:rsid w:val="00722ECF"/>
    <w:rsid w:val="00722FE7"/>
    <w:rsid w:val="0072329C"/>
    <w:rsid w:val="007232E7"/>
    <w:rsid w:val="00723312"/>
    <w:rsid w:val="007234DC"/>
    <w:rsid w:val="007235F3"/>
    <w:rsid w:val="007236AA"/>
    <w:rsid w:val="00723718"/>
    <w:rsid w:val="0072388B"/>
    <w:rsid w:val="00723951"/>
    <w:rsid w:val="007239C8"/>
    <w:rsid w:val="00723A64"/>
    <w:rsid w:val="00723B00"/>
    <w:rsid w:val="00723B9E"/>
    <w:rsid w:val="00723C2B"/>
    <w:rsid w:val="00723E4C"/>
    <w:rsid w:val="00723EA6"/>
    <w:rsid w:val="00724559"/>
    <w:rsid w:val="007245F9"/>
    <w:rsid w:val="00724609"/>
    <w:rsid w:val="00724835"/>
    <w:rsid w:val="00724B78"/>
    <w:rsid w:val="00724BE3"/>
    <w:rsid w:val="00724C1F"/>
    <w:rsid w:val="00724CBE"/>
    <w:rsid w:val="00724FCA"/>
    <w:rsid w:val="007252AB"/>
    <w:rsid w:val="0072535F"/>
    <w:rsid w:val="00725373"/>
    <w:rsid w:val="007253DF"/>
    <w:rsid w:val="007255F8"/>
    <w:rsid w:val="00725618"/>
    <w:rsid w:val="007256C5"/>
    <w:rsid w:val="0072574D"/>
    <w:rsid w:val="00725A38"/>
    <w:rsid w:val="00725C15"/>
    <w:rsid w:val="00725CB7"/>
    <w:rsid w:val="00725CE3"/>
    <w:rsid w:val="00725D83"/>
    <w:rsid w:val="00725E59"/>
    <w:rsid w:val="0072608F"/>
    <w:rsid w:val="007260FC"/>
    <w:rsid w:val="00726102"/>
    <w:rsid w:val="0072613B"/>
    <w:rsid w:val="00726494"/>
    <w:rsid w:val="0072649B"/>
    <w:rsid w:val="0072653B"/>
    <w:rsid w:val="0072656A"/>
    <w:rsid w:val="007265B1"/>
    <w:rsid w:val="007266D1"/>
    <w:rsid w:val="00726746"/>
    <w:rsid w:val="00726941"/>
    <w:rsid w:val="0072699F"/>
    <w:rsid w:val="00726A39"/>
    <w:rsid w:val="00726A51"/>
    <w:rsid w:val="00726B38"/>
    <w:rsid w:val="00726E27"/>
    <w:rsid w:val="00726F1B"/>
    <w:rsid w:val="00726F96"/>
    <w:rsid w:val="00726FE7"/>
    <w:rsid w:val="00727179"/>
    <w:rsid w:val="00727325"/>
    <w:rsid w:val="007274DA"/>
    <w:rsid w:val="0072750E"/>
    <w:rsid w:val="00727571"/>
    <w:rsid w:val="007275CA"/>
    <w:rsid w:val="007275D1"/>
    <w:rsid w:val="00727730"/>
    <w:rsid w:val="00727A26"/>
    <w:rsid w:val="00727A70"/>
    <w:rsid w:val="00727B38"/>
    <w:rsid w:val="00727B64"/>
    <w:rsid w:val="00727C43"/>
    <w:rsid w:val="00727D32"/>
    <w:rsid w:val="00727D3C"/>
    <w:rsid w:val="00727D97"/>
    <w:rsid w:val="00727E3A"/>
    <w:rsid w:val="00727EF0"/>
    <w:rsid w:val="00727F8A"/>
    <w:rsid w:val="00727FA0"/>
    <w:rsid w:val="00730009"/>
    <w:rsid w:val="00730154"/>
    <w:rsid w:val="0073026F"/>
    <w:rsid w:val="007303F1"/>
    <w:rsid w:val="0073052D"/>
    <w:rsid w:val="0073081E"/>
    <w:rsid w:val="0073090A"/>
    <w:rsid w:val="00730913"/>
    <w:rsid w:val="00730A52"/>
    <w:rsid w:val="00730A54"/>
    <w:rsid w:val="00730AD8"/>
    <w:rsid w:val="00730B4F"/>
    <w:rsid w:val="00730BF2"/>
    <w:rsid w:val="00730BF3"/>
    <w:rsid w:val="00730C3A"/>
    <w:rsid w:val="00730DFE"/>
    <w:rsid w:val="0073103D"/>
    <w:rsid w:val="007310E8"/>
    <w:rsid w:val="007314D1"/>
    <w:rsid w:val="0073177F"/>
    <w:rsid w:val="00731B78"/>
    <w:rsid w:val="00731C5B"/>
    <w:rsid w:val="00731CE6"/>
    <w:rsid w:val="00731DD7"/>
    <w:rsid w:val="00731EF0"/>
    <w:rsid w:val="0073205E"/>
    <w:rsid w:val="00732170"/>
    <w:rsid w:val="00732176"/>
    <w:rsid w:val="00732500"/>
    <w:rsid w:val="0073255C"/>
    <w:rsid w:val="00732651"/>
    <w:rsid w:val="0073277C"/>
    <w:rsid w:val="007327F3"/>
    <w:rsid w:val="00732A04"/>
    <w:rsid w:val="00732A46"/>
    <w:rsid w:val="00732A7D"/>
    <w:rsid w:val="00732ADF"/>
    <w:rsid w:val="00732AFF"/>
    <w:rsid w:val="00732BB4"/>
    <w:rsid w:val="00732BDB"/>
    <w:rsid w:val="00732BEC"/>
    <w:rsid w:val="00732C57"/>
    <w:rsid w:val="00732CA8"/>
    <w:rsid w:val="00732CEA"/>
    <w:rsid w:val="007331A9"/>
    <w:rsid w:val="007331C4"/>
    <w:rsid w:val="007332BA"/>
    <w:rsid w:val="00733410"/>
    <w:rsid w:val="0073351A"/>
    <w:rsid w:val="0073357C"/>
    <w:rsid w:val="007335F4"/>
    <w:rsid w:val="00733620"/>
    <w:rsid w:val="007336BF"/>
    <w:rsid w:val="007336EA"/>
    <w:rsid w:val="0073383B"/>
    <w:rsid w:val="00733895"/>
    <w:rsid w:val="00733928"/>
    <w:rsid w:val="00733A1A"/>
    <w:rsid w:val="00733A65"/>
    <w:rsid w:val="00733AEA"/>
    <w:rsid w:val="00733B08"/>
    <w:rsid w:val="007340C2"/>
    <w:rsid w:val="007341CC"/>
    <w:rsid w:val="00734252"/>
    <w:rsid w:val="00734255"/>
    <w:rsid w:val="00734267"/>
    <w:rsid w:val="007342A5"/>
    <w:rsid w:val="00734394"/>
    <w:rsid w:val="00734805"/>
    <w:rsid w:val="0073488B"/>
    <w:rsid w:val="007348A5"/>
    <w:rsid w:val="007349D5"/>
    <w:rsid w:val="00734DA7"/>
    <w:rsid w:val="00734DEA"/>
    <w:rsid w:val="00734F96"/>
    <w:rsid w:val="007350F6"/>
    <w:rsid w:val="00735140"/>
    <w:rsid w:val="00735153"/>
    <w:rsid w:val="007352D5"/>
    <w:rsid w:val="007355C0"/>
    <w:rsid w:val="00735928"/>
    <w:rsid w:val="007359AB"/>
    <w:rsid w:val="007359E4"/>
    <w:rsid w:val="007359E5"/>
    <w:rsid w:val="00735A26"/>
    <w:rsid w:val="00735E2B"/>
    <w:rsid w:val="00736142"/>
    <w:rsid w:val="00736264"/>
    <w:rsid w:val="00736268"/>
    <w:rsid w:val="00736380"/>
    <w:rsid w:val="00736510"/>
    <w:rsid w:val="0073661E"/>
    <w:rsid w:val="007366DE"/>
    <w:rsid w:val="00736748"/>
    <w:rsid w:val="0073683A"/>
    <w:rsid w:val="00736863"/>
    <w:rsid w:val="00736970"/>
    <w:rsid w:val="007369B3"/>
    <w:rsid w:val="00736B8E"/>
    <w:rsid w:val="00736DC0"/>
    <w:rsid w:val="00736E6F"/>
    <w:rsid w:val="00736EE1"/>
    <w:rsid w:val="00736F67"/>
    <w:rsid w:val="00736F9E"/>
    <w:rsid w:val="007370B8"/>
    <w:rsid w:val="007371EE"/>
    <w:rsid w:val="0073731F"/>
    <w:rsid w:val="00737848"/>
    <w:rsid w:val="007378CA"/>
    <w:rsid w:val="00737A2B"/>
    <w:rsid w:val="00737A87"/>
    <w:rsid w:val="00737AB7"/>
    <w:rsid w:val="00737AFC"/>
    <w:rsid w:val="00737EAD"/>
    <w:rsid w:val="00737F5A"/>
    <w:rsid w:val="00737FB7"/>
    <w:rsid w:val="0074005E"/>
    <w:rsid w:val="00740105"/>
    <w:rsid w:val="0074022D"/>
    <w:rsid w:val="00740282"/>
    <w:rsid w:val="00740558"/>
    <w:rsid w:val="0074056E"/>
    <w:rsid w:val="007408E2"/>
    <w:rsid w:val="00740A21"/>
    <w:rsid w:val="00740A3F"/>
    <w:rsid w:val="00740A87"/>
    <w:rsid w:val="00740B4B"/>
    <w:rsid w:val="00740BE6"/>
    <w:rsid w:val="00740C25"/>
    <w:rsid w:val="00740C5F"/>
    <w:rsid w:val="00740E50"/>
    <w:rsid w:val="00740E75"/>
    <w:rsid w:val="00740E9A"/>
    <w:rsid w:val="00740F43"/>
    <w:rsid w:val="0074102D"/>
    <w:rsid w:val="0074127B"/>
    <w:rsid w:val="007413E8"/>
    <w:rsid w:val="0074147A"/>
    <w:rsid w:val="007414A7"/>
    <w:rsid w:val="0074187D"/>
    <w:rsid w:val="00741923"/>
    <w:rsid w:val="0074192F"/>
    <w:rsid w:val="00741A24"/>
    <w:rsid w:val="00741C71"/>
    <w:rsid w:val="00741C7A"/>
    <w:rsid w:val="00741E03"/>
    <w:rsid w:val="00741E30"/>
    <w:rsid w:val="00741E73"/>
    <w:rsid w:val="00741F42"/>
    <w:rsid w:val="00741F55"/>
    <w:rsid w:val="007420D6"/>
    <w:rsid w:val="007421F5"/>
    <w:rsid w:val="007423A2"/>
    <w:rsid w:val="00742417"/>
    <w:rsid w:val="00742436"/>
    <w:rsid w:val="00742682"/>
    <w:rsid w:val="007426E6"/>
    <w:rsid w:val="007427EE"/>
    <w:rsid w:val="007428DF"/>
    <w:rsid w:val="00742B87"/>
    <w:rsid w:val="00742BC0"/>
    <w:rsid w:val="00742CFD"/>
    <w:rsid w:val="00742DF7"/>
    <w:rsid w:val="00742E93"/>
    <w:rsid w:val="00742EE5"/>
    <w:rsid w:val="007433E2"/>
    <w:rsid w:val="00743435"/>
    <w:rsid w:val="00743480"/>
    <w:rsid w:val="007435FA"/>
    <w:rsid w:val="00743658"/>
    <w:rsid w:val="007436EA"/>
    <w:rsid w:val="0074375F"/>
    <w:rsid w:val="0074379F"/>
    <w:rsid w:val="007437F2"/>
    <w:rsid w:val="007438EF"/>
    <w:rsid w:val="00743959"/>
    <w:rsid w:val="00743A9B"/>
    <w:rsid w:val="00743B60"/>
    <w:rsid w:val="00743D4F"/>
    <w:rsid w:val="00743E31"/>
    <w:rsid w:val="00743F11"/>
    <w:rsid w:val="00743FE3"/>
    <w:rsid w:val="007440A7"/>
    <w:rsid w:val="0074412D"/>
    <w:rsid w:val="0074419B"/>
    <w:rsid w:val="0074436C"/>
    <w:rsid w:val="007443FB"/>
    <w:rsid w:val="007444C7"/>
    <w:rsid w:val="00744524"/>
    <w:rsid w:val="0074456B"/>
    <w:rsid w:val="00744720"/>
    <w:rsid w:val="007449A8"/>
    <w:rsid w:val="00744A1A"/>
    <w:rsid w:val="00744A7C"/>
    <w:rsid w:val="00744AAA"/>
    <w:rsid w:val="00744AD7"/>
    <w:rsid w:val="00744B79"/>
    <w:rsid w:val="00744C38"/>
    <w:rsid w:val="00744D0B"/>
    <w:rsid w:val="00744D74"/>
    <w:rsid w:val="00744DC5"/>
    <w:rsid w:val="00744E12"/>
    <w:rsid w:val="00744E7F"/>
    <w:rsid w:val="00744EFE"/>
    <w:rsid w:val="00744F99"/>
    <w:rsid w:val="0074508D"/>
    <w:rsid w:val="00745137"/>
    <w:rsid w:val="007451A2"/>
    <w:rsid w:val="00745266"/>
    <w:rsid w:val="007452FE"/>
    <w:rsid w:val="007453D5"/>
    <w:rsid w:val="00745512"/>
    <w:rsid w:val="007457C0"/>
    <w:rsid w:val="007457E5"/>
    <w:rsid w:val="0074580B"/>
    <w:rsid w:val="007458A0"/>
    <w:rsid w:val="007459D7"/>
    <w:rsid w:val="007459E7"/>
    <w:rsid w:val="00745C91"/>
    <w:rsid w:val="00745D2F"/>
    <w:rsid w:val="00745E62"/>
    <w:rsid w:val="00745EB5"/>
    <w:rsid w:val="00745EFD"/>
    <w:rsid w:val="007460CA"/>
    <w:rsid w:val="007460CE"/>
    <w:rsid w:val="00746192"/>
    <w:rsid w:val="0074619B"/>
    <w:rsid w:val="0074619C"/>
    <w:rsid w:val="007462A4"/>
    <w:rsid w:val="007462BB"/>
    <w:rsid w:val="007467BC"/>
    <w:rsid w:val="00746829"/>
    <w:rsid w:val="0074685D"/>
    <w:rsid w:val="00746AF6"/>
    <w:rsid w:val="00746B57"/>
    <w:rsid w:val="00746C03"/>
    <w:rsid w:val="00746CA6"/>
    <w:rsid w:val="00746CB0"/>
    <w:rsid w:val="00746CCC"/>
    <w:rsid w:val="00746FDB"/>
    <w:rsid w:val="007470CE"/>
    <w:rsid w:val="00747187"/>
    <w:rsid w:val="007473A1"/>
    <w:rsid w:val="007476CC"/>
    <w:rsid w:val="00747812"/>
    <w:rsid w:val="007479F2"/>
    <w:rsid w:val="007479FE"/>
    <w:rsid w:val="00747A86"/>
    <w:rsid w:val="00747B18"/>
    <w:rsid w:val="00747B6D"/>
    <w:rsid w:val="00747BCB"/>
    <w:rsid w:val="00747C13"/>
    <w:rsid w:val="00747CFC"/>
    <w:rsid w:val="00750098"/>
    <w:rsid w:val="00750164"/>
    <w:rsid w:val="007501A7"/>
    <w:rsid w:val="007501E0"/>
    <w:rsid w:val="007502A3"/>
    <w:rsid w:val="007502C3"/>
    <w:rsid w:val="0075039A"/>
    <w:rsid w:val="007503BD"/>
    <w:rsid w:val="007503E9"/>
    <w:rsid w:val="00750423"/>
    <w:rsid w:val="00750452"/>
    <w:rsid w:val="0075058F"/>
    <w:rsid w:val="007507F4"/>
    <w:rsid w:val="0075085A"/>
    <w:rsid w:val="007508C6"/>
    <w:rsid w:val="00750B62"/>
    <w:rsid w:val="00750C5A"/>
    <w:rsid w:val="00750D11"/>
    <w:rsid w:val="00750DBD"/>
    <w:rsid w:val="00750E64"/>
    <w:rsid w:val="0075111F"/>
    <w:rsid w:val="0075117C"/>
    <w:rsid w:val="0075150D"/>
    <w:rsid w:val="007517DB"/>
    <w:rsid w:val="00751A41"/>
    <w:rsid w:val="00751A50"/>
    <w:rsid w:val="00751B50"/>
    <w:rsid w:val="00751BDE"/>
    <w:rsid w:val="00751D27"/>
    <w:rsid w:val="00751D56"/>
    <w:rsid w:val="00751DB6"/>
    <w:rsid w:val="00751DC2"/>
    <w:rsid w:val="00751FA7"/>
    <w:rsid w:val="0075204E"/>
    <w:rsid w:val="00752072"/>
    <w:rsid w:val="00752153"/>
    <w:rsid w:val="007521F9"/>
    <w:rsid w:val="00752249"/>
    <w:rsid w:val="007522FE"/>
    <w:rsid w:val="00752643"/>
    <w:rsid w:val="00752724"/>
    <w:rsid w:val="0075273E"/>
    <w:rsid w:val="007527C7"/>
    <w:rsid w:val="00752873"/>
    <w:rsid w:val="007528FB"/>
    <w:rsid w:val="00752A21"/>
    <w:rsid w:val="00752B65"/>
    <w:rsid w:val="00752BFB"/>
    <w:rsid w:val="00752D2B"/>
    <w:rsid w:val="00752E86"/>
    <w:rsid w:val="00752EBA"/>
    <w:rsid w:val="00752EF3"/>
    <w:rsid w:val="007530FC"/>
    <w:rsid w:val="00753336"/>
    <w:rsid w:val="00753431"/>
    <w:rsid w:val="0075348A"/>
    <w:rsid w:val="0075350B"/>
    <w:rsid w:val="007535AE"/>
    <w:rsid w:val="007535E4"/>
    <w:rsid w:val="0075372D"/>
    <w:rsid w:val="007537BE"/>
    <w:rsid w:val="0075396A"/>
    <w:rsid w:val="007539D5"/>
    <w:rsid w:val="007539FC"/>
    <w:rsid w:val="00753A83"/>
    <w:rsid w:val="00753B35"/>
    <w:rsid w:val="00753B6A"/>
    <w:rsid w:val="00753C6F"/>
    <w:rsid w:val="00753EFC"/>
    <w:rsid w:val="0075403E"/>
    <w:rsid w:val="00754108"/>
    <w:rsid w:val="00754296"/>
    <w:rsid w:val="00754404"/>
    <w:rsid w:val="007544FD"/>
    <w:rsid w:val="0075456F"/>
    <w:rsid w:val="00754B8D"/>
    <w:rsid w:val="00754C41"/>
    <w:rsid w:val="00754C74"/>
    <w:rsid w:val="00754CEC"/>
    <w:rsid w:val="00754D65"/>
    <w:rsid w:val="00754E4B"/>
    <w:rsid w:val="00754E67"/>
    <w:rsid w:val="007551A4"/>
    <w:rsid w:val="007551D3"/>
    <w:rsid w:val="0075521C"/>
    <w:rsid w:val="0075525F"/>
    <w:rsid w:val="007552A3"/>
    <w:rsid w:val="00755569"/>
    <w:rsid w:val="007556C8"/>
    <w:rsid w:val="00755836"/>
    <w:rsid w:val="007559C1"/>
    <w:rsid w:val="00755BEA"/>
    <w:rsid w:val="00755D03"/>
    <w:rsid w:val="00755E3F"/>
    <w:rsid w:val="00755EF9"/>
    <w:rsid w:val="00755F31"/>
    <w:rsid w:val="00755F48"/>
    <w:rsid w:val="007561F4"/>
    <w:rsid w:val="007561FA"/>
    <w:rsid w:val="0075633E"/>
    <w:rsid w:val="007565B7"/>
    <w:rsid w:val="0075676D"/>
    <w:rsid w:val="0075688A"/>
    <w:rsid w:val="007569A6"/>
    <w:rsid w:val="00756A04"/>
    <w:rsid w:val="00756A1C"/>
    <w:rsid w:val="00756A5E"/>
    <w:rsid w:val="00756B95"/>
    <w:rsid w:val="00756BAD"/>
    <w:rsid w:val="00756C7D"/>
    <w:rsid w:val="00756F92"/>
    <w:rsid w:val="00756FA7"/>
    <w:rsid w:val="0075701A"/>
    <w:rsid w:val="0075702E"/>
    <w:rsid w:val="00757095"/>
    <w:rsid w:val="007571A0"/>
    <w:rsid w:val="00757260"/>
    <w:rsid w:val="007574B4"/>
    <w:rsid w:val="007574CA"/>
    <w:rsid w:val="007575A1"/>
    <w:rsid w:val="007575A6"/>
    <w:rsid w:val="00757671"/>
    <w:rsid w:val="0075775B"/>
    <w:rsid w:val="007577AF"/>
    <w:rsid w:val="0075785C"/>
    <w:rsid w:val="007578B1"/>
    <w:rsid w:val="00757C40"/>
    <w:rsid w:val="00757D05"/>
    <w:rsid w:val="00757D08"/>
    <w:rsid w:val="00757D47"/>
    <w:rsid w:val="00757D56"/>
    <w:rsid w:val="00757D6D"/>
    <w:rsid w:val="00757E0A"/>
    <w:rsid w:val="00760176"/>
    <w:rsid w:val="007601A6"/>
    <w:rsid w:val="007602B9"/>
    <w:rsid w:val="0076047A"/>
    <w:rsid w:val="007604BD"/>
    <w:rsid w:val="0076057C"/>
    <w:rsid w:val="007605BD"/>
    <w:rsid w:val="00760640"/>
    <w:rsid w:val="00760672"/>
    <w:rsid w:val="00760782"/>
    <w:rsid w:val="007607A4"/>
    <w:rsid w:val="0076094E"/>
    <w:rsid w:val="007609EB"/>
    <w:rsid w:val="00760A74"/>
    <w:rsid w:val="00760AE3"/>
    <w:rsid w:val="00760B2A"/>
    <w:rsid w:val="00760CDB"/>
    <w:rsid w:val="00760CDF"/>
    <w:rsid w:val="00760DFF"/>
    <w:rsid w:val="00760F1A"/>
    <w:rsid w:val="00760FC1"/>
    <w:rsid w:val="00760FF5"/>
    <w:rsid w:val="00761013"/>
    <w:rsid w:val="0076102F"/>
    <w:rsid w:val="0076106C"/>
    <w:rsid w:val="007611C5"/>
    <w:rsid w:val="007611DD"/>
    <w:rsid w:val="00761240"/>
    <w:rsid w:val="00761375"/>
    <w:rsid w:val="007613B7"/>
    <w:rsid w:val="00761497"/>
    <w:rsid w:val="007614D8"/>
    <w:rsid w:val="007614DC"/>
    <w:rsid w:val="00761639"/>
    <w:rsid w:val="00761753"/>
    <w:rsid w:val="0076179B"/>
    <w:rsid w:val="00761946"/>
    <w:rsid w:val="0076196C"/>
    <w:rsid w:val="00761B9D"/>
    <w:rsid w:val="00761BF2"/>
    <w:rsid w:val="00761D51"/>
    <w:rsid w:val="00761DD6"/>
    <w:rsid w:val="00761E5D"/>
    <w:rsid w:val="00761EF8"/>
    <w:rsid w:val="00761F2B"/>
    <w:rsid w:val="007620B9"/>
    <w:rsid w:val="007620DB"/>
    <w:rsid w:val="00762146"/>
    <w:rsid w:val="007621E9"/>
    <w:rsid w:val="007622C9"/>
    <w:rsid w:val="007622F0"/>
    <w:rsid w:val="007623E0"/>
    <w:rsid w:val="00762521"/>
    <w:rsid w:val="007625D9"/>
    <w:rsid w:val="00762647"/>
    <w:rsid w:val="00762694"/>
    <w:rsid w:val="0076272A"/>
    <w:rsid w:val="0076274C"/>
    <w:rsid w:val="007627DE"/>
    <w:rsid w:val="00762811"/>
    <w:rsid w:val="007628B4"/>
    <w:rsid w:val="00762958"/>
    <w:rsid w:val="00762962"/>
    <w:rsid w:val="0076296C"/>
    <w:rsid w:val="00762A28"/>
    <w:rsid w:val="00762A32"/>
    <w:rsid w:val="00762AF0"/>
    <w:rsid w:val="00762B01"/>
    <w:rsid w:val="00762C68"/>
    <w:rsid w:val="00762D79"/>
    <w:rsid w:val="00762DFA"/>
    <w:rsid w:val="0076303D"/>
    <w:rsid w:val="007630B1"/>
    <w:rsid w:val="007631CF"/>
    <w:rsid w:val="007633C7"/>
    <w:rsid w:val="007635B0"/>
    <w:rsid w:val="00763ADA"/>
    <w:rsid w:val="00763AF3"/>
    <w:rsid w:val="00763B9F"/>
    <w:rsid w:val="00763DA0"/>
    <w:rsid w:val="00763E2B"/>
    <w:rsid w:val="00763FD6"/>
    <w:rsid w:val="007640BC"/>
    <w:rsid w:val="00764641"/>
    <w:rsid w:val="007647F2"/>
    <w:rsid w:val="007648E7"/>
    <w:rsid w:val="00764910"/>
    <w:rsid w:val="00764964"/>
    <w:rsid w:val="00764981"/>
    <w:rsid w:val="00764D79"/>
    <w:rsid w:val="00764EC7"/>
    <w:rsid w:val="00764FAF"/>
    <w:rsid w:val="00765105"/>
    <w:rsid w:val="00765199"/>
    <w:rsid w:val="00765365"/>
    <w:rsid w:val="0076543F"/>
    <w:rsid w:val="007654E6"/>
    <w:rsid w:val="007655A8"/>
    <w:rsid w:val="00765793"/>
    <w:rsid w:val="0076580B"/>
    <w:rsid w:val="007658B7"/>
    <w:rsid w:val="007658C5"/>
    <w:rsid w:val="007659C1"/>
    <w:rsid w:val="00765B46"/>
    <w:rsid w:val="00765B9D"/>
    <w:rsid w:val="00765BE4"/>
    <w:rsid w:val="00765C2C"/>
    <w:rsid w:val="007661A0"/>
    <w:rsid w:val="00766255"/>
    <w:rsid w:val="007662F4"/>
    <w:rsid w:val="007663EE"/>
    <w:rsid w:val="007664B9"/>
    <w:rsid w:val="00766663"/>
    <w:rsid w:val="00766812"/>
    <w:rsid w:val="00766943"/>
    <w:rsid w:val="007669BB"/>
    <w:rsid w:val="00766C3E"/>
    <w:rsid w:val="00766E45"/>
    <w:rsid w:val="00766F14"/>
    <w:rsid w:val="00766F23"/>
    <w:rsid w:val="0076735F"/>
    <w:rsid w:val="007674C5"/>
    <w:rsid w:val="0076763E"/>
    <w:rsid w:val="007676D0"/>
    <w:rsid w:val="007677C4"/>
    <w:rsid w:val="007677CF"/>
    <w:rsid w:val="007677F5"/>
    <w:rsid w:val="0076781D"/>
    <w:rsid w:val="007679F2"/>
    <w:rsid w:val="00767C2C"/>
    <w:rsid w:val="00767C51"/>
    <w:rsid w:val="00767CF1"/>
    <w:rsid w:val="00767CFF"/>
    <w:rsid w:val="00767DD3"/>
    <w:rsid w:val="00767E72"/>
    <w:rsid w:val="007700C5"/>
    <w:rsid w:val="00770290"/>
    <w:rsid w:val="00770385"/>
    <w:rsid w:val="007703BE"/>
    <w:rsid w:val="00770469"/>
    <w:rsid w:val="00770597"/>
    <w:rsid w:val="007705DB"/>
    <w:rsid w:val="007707D0"/>
    <w:rsid w:val="0077084F"/>
    <w:rsid w:val="0077095F"/>
    <w:rsid w:val="00770989"/>
    <w:rsid w:val="00770BA0"/>
    <w:rsid w:val="00770CEF"/>
    <w:rsid w:val="00770DB0"/>
    <w:rsid w:val="007710A2"/>
    <w:rsid w:val="00771574"/>
    <w:rsid w:val="007715B7"/>
    <w:rsid w:val="00771609"/>
    <w:rsid w:val="00771649"/>
    <w:rsid w:val="0077180E"/>
    <w:rsid w:val="00771971"/>
    <w:rsid w:val="007719FC"/>
    <w:rsid w:val="00771A26"/>
    <w:rsid w:val="00771A63"/>
    <w:rsid w:val="00771C10"/>
    <w:rsid w:val="00771D6F"/>
    <w:rsid w:val="00771D85"/>
    <w:rsid w:val="00771E5F"/>
    <w:rsid w:val="00771FEB"/>
    <w:rsid w:val="0077200B"/>
    <w:rsid w:val="0077217B"/>
    <w:rsid w:val="00772282"/>
    <w:rsid w:val="0077239B"/>
    <w:rsid w:val="0077262E"/>
    <w:rsid w:val="007726A2"/>
    <w:rsid w:val="007726AB"/>
    <w:rsid w:val="007726EC"/>
    <w:rsid w:val="0077270D"/>
    <w:rsid w:val="00772711"/>
    <w:rsid w:val="00772832"/>
    <w:rsid w:val="007729EF"/>
    <w:rsid w:val="00772A2E"/>
    <w:rsid w:val="00772B76"/>
    <w:rsid w:val="00772BFA"/>
    <w:rsid w:val="00772CE9"/>
    <w:rsid w:val="00772DE1"/>
    <w:rsid w:val="00773026"/>
    <w:rsid w:val="007730D7"/>
    <w:rsid w:val="00773116"/>
    <w:rsid w:val="007733D4"/>
    <w:rsid w:val="007733E6"/>
    <w:rsid w:val="00773727"/>
    <w:rsid w:val="0077381A"/>
    <w:rsid w:val="0077385D"/>
    <w:rsid w:val="0077388F"/>
    <w:rsid w:val="007738FB"/>
    <w:rsid w:val="00773986"/>
    <w:rsid w:val="00773CDB"/>
    <w:rsid w:val="00773E51"/>
    <w:rsid w:val="00773FD7"/>
    <w:rsid w:val="0077406E"/>
    <w:rsid w:val="00774114"/>
    <w:rsid w:val="00774207"/>
    <w:rsid w:val="0077429B"/>
    <w:rsid w:val="007742CF"/>
    <w:rsid w:val="00774303"/>
    <w:rsid w:val="007743A5"/>
    <w:rsid w:val="007744CC"/>
    <w:rsid w:val="0077454A"/>
    <w:rsid w:val="00774584"/>
    <w:rsid w:val="007745FF"/>
    <w:rsid w:val="00774701"/>
    <w:rsid w:val="00774726"/>
    <w:rsid w:val="0077474E"/>
    <w:rsid w:val="00774772"/>
    <w:rsid w:val="007748AE"/>
    <w:rsid w:val="00774ADA"/>
    <w:rsid w:val="00774C32"/>
    <w:rsid w:val="00774C72"/>
    <w:rsid w:val="00774D48"/>
    <w:rsid w:val="00774FF2"/>
    <w:rsid w:val="00775058"/>
    <w:rsid w:val="007750DF"/>
    <w:rsid w:val="007751EA"/>
    <w:rsid w:val="007751FE"/>
    <w:rsid w:val="007753A6"/>
    <w:rsid w:val="00775458"/>
    <w:rsid w:val="00775497"/>
    <w:rsid w:val="007754AF"/>
    <w:rsid w:val="00775538"/>
    <w:rsid w:val="007755FB"/>
    <w:rsid w:val="0077560C"/>
    <w:rsid w:val="00775774"/>
    <w:rsid w:val="00775815"/>
    <w:rsid w:val="00775948"/>
    <w:rsid w:val="007759D2"/>
    <w:rsid w:val="00775A94"/>
    <w:rsid w:val="00775BA8"/>
    <w:rsid w:val="00775D70"/>
    <w:rsid w:val="00775D8F"/>
    <w:rsid w:val="00775E9E"/>
    <w:rsid w:val="0077626C"/>
    <w:rsid w:val="007763F5"/>
    <w:rsid w:val="00776498"/>
    <w:rsid w:val="007764FA"/>
    <w:rsid w:val="007765FE"/>
    <w:rsid w:val="0077670B"/>
    <w:rsid w:val="00776765"/>
    <w:rsid w:val="007767EF"/>
    <w:rsid w:val="00776C61"/>
    <w:rsid w:val="00776C6B"/>
    <w:rsid w:val="00776D31"/>
    <w:rsid w:val="00776EC0"/>
    <w:rsid w:val="00776EEE"/>
    <w:rsid w:val="00776F15"/>
    <w:rsid w:val="0077700C"/>
    <w:rsid w:val="007770FB"/>
    <w:rsid w:val="00777140"/>
    <w:rsid w:val="007771EE"/>
    <w:rsid w:val="00777333"/>
    <w:rsid w:val="00777552"/>
    <w:rsid w:val="007776B4"/>
    <w:rsid w:val="00777906"/>
    <w:rsid w:val="00777A5E"/>
    <w:rsid w:val="00777BC6"/>
    <w:rsid w:val="00777DCF"/>
    <w:rsid w:val="00777E2D"/>
    <w:rsid w:val="00777E4B"/>
    <w:rsid w:val="00777E9D"/>
    <w:rsid w:val="00780166"/>
    <w:rsid w:val="00780269"/>
    <w:rsid w:val="00780328"/>
    <w:rsid w:val="00780439"/>
    <w:rsid w:val="007804DE"/>
    <w:rsid w:val="0078052C"/>
    <w:rsid w:val="00780666"/>
    <w:rsid w:val="0078084A"/>
    <w:rsid w:val="007809F7"/>
    <w:rsid w:val="00780AE0"/>
    <w:rsid w:val="00780B35"/>
    <w:rsid w:val="00780B68"/>
    <w:rsid w:val="00780BC5"/>
    <w:rsid w:val="00780EA7"/>
    <w:rsid w:val="0078109C"/>
    <w:rsid w:val="0078117D"/>
    <w:rsid w:val="0078124A"/>
    <w:rsid w:val="00781263"/>
    <w:rsid w:val="0078161C"/>
    <w:rsid w:val="0078172B"/>
    <w:rsid w:val="007817E6"/>
    <w:rsid w:val="00781820"/>
    <w:rsid w:val="00781840"/>
    <w:rsid w:val="00781A3C"/>
    <w:rsid w:val="00781BF3"/>
    <w:rsid w:val="00781C42"/>
    <w:rsid w:val="00781FD2"/>
    <w:rsid w:val="0078203A"/>
    <w:rsid w:val="00782072"/>
    <w:rsid w:val="007821AF"/>
    <w:rsid w:val="00782200"/>
    <w:rsid w:val="0078229A"/>
    <w:rsid w:val="007824C3"/>
    <w:rsid w:val="00782588"/>
    <w:rsid w:val="00782828"/>
    <w:rsid w:val="007828C5"/>
    <w:rsid w:val="00782A6E"/>
    <w:rsid w:val="00782BE1"/>
    <w:rsid w:val="00782C80"/>
    <w:rsid w:val="00782CB4"/>
    <w:rsid w:val="00782D6B"/>
    <w:rsid w:val="00782EE2"/>
    <w:rsid w:val="00782FC3"/>
    <w:rsid w:val="00783081"/>
    <w:rsid w:val="0078308B"/>
    <w:rsid w:val="007833A3"/>
    <w:rsid w:val="007833A8"/>
    <w:rsid w:val="007833EA"/>
    <w:rsid w:val="00783570"/>
    <w:rsid w:val="0078374B"/>
    <w:rsid w:val="00783779"/>
    <w:rsid w:val="00783A03"/>
    <w:rsid w:val="00783A9A"/>
    <w:rsid w:val="00783BE6"/>
    <w:rsid w:val="00783C8E"/>
    <w:rsid w:val="00783E7B"/>
    <w:rsid w:val="00783E98"/>
    <w:rsid w:val="00783F8C"/>
    <w:rsid w:val="007842DB"/>
    <w:rsid w:val="00784307"/>
    <w:rsid w:val="007843CE"/>
    <w:rsid w:val="007843F3"/>
    <w:rsid w:val="0078445C"/>
    <w:rsid w:val="00784553"/>
    <w:rsid w:val="007846AA"/>
    <w:rsid w:val="007848E4"/>
    <w:rsid w:val="00784A34"/>
    <w:rsid w:val="00784AA1"/>
    <w:rsid w:val="00784BB6"/>
    <w:rsid w:val="00784EF4"/>
    <w:rsid w:val="00784F5A"/>
    <w:rsid w:val="007850E4"/>
    <w:rsid w:val="0078519D"/>
    <w:rsid w:val="0078521D"/>
    <w:rsid w:val="0078534A"/>
    <w:rsid w:val="0078546F"/>
    <w:rsid w:val="007854F0"/>
    <w:rsid w:val="0078560C"/>
    <w:rsid w:val="007856B6"/>
    <w:rsid w:val="00785937"/>
    <w:rsid w:val="00785A5E"/>
    <w:rsid w:val="00785B02"/>
    <w:rsid w:val="00785B5F"/>
    <w:rsid w:val="00785C5C"/>
    <w:rsid w:val="00785C6D"/>
    <w:rsid w:val="00785D65"/>
    <w:rsid w:val="00785E0C"/>
    <w:rsid w:val="0078601F"/>
    <w:rsid w:val="00786157"/>
    <w:rsid w:val="00786437"/>
    <w:rsid w:val="0078643A"/>
    <w:rsid w:val="0078653F"/>
    <w:rsid w:val="0078654D"/>
    <w:rsid w:val="0078655E"/>
    <w:rsid w:val="0078656B"/>
    <w:rsid w:val="0078699B"/>
    <w:rsid w:val="00786B69"/>
    <w:rsid w:val="00786C10"/>
    <w:rsid w:val="00786CB7"/>
    <w:rsid w:val="00786F1A"/>
    <w:rsid w:val="00786F46"/>
    <w:rsid w:val="00786F5E"/>
    <w:rsid w:val="0078708D"/>
    <w:rsid w:val="00787111"/>
    <w:rsid w:val="0078713A"/>
    <w:rsid w:val="00787300"/>
    <w:rsid w:val="007874C9"/>
    <w:rsid w:val="007875B1"/>
    <w:rsid w:val="00787848"/>
    <w:rsid w:val="00787862"/>
    <w:rsid w:val="0078786E"/>
    <w:rsid w:val="00787938"/>
    <w:rsid w:val="00787A90"/>
    <w:rsid w:val="00787AC8"/>
    <w:rsid w:val="00787C0A"/>
    <w:rsid w:val="00787C52"/>
    <w:rsid w:val="00787D7D"/>
    <w:rsid w:val="00787F0A"/>
    <w:rsid w:val="00790011"/>
    <w:rsid w:val="0079003B"/>
    <w:rsid w:val="007901AB"/>
    <w:rsid w:val="00790326"/>
    <w:rsid w:val="00790331"/>
    <w:rsid w:val="0079047C"/>
    <w:rsid w:val="00790481"/>
    <w:rsid w:val="0079053A"/>
    <w:rsid w:val="007906A9"/>
    <w:rsid w:val="007908FF"/>
    <w:rsid w:val="00790A2C"/>
    <w:rsid w:val="00790B8C"/>
    <w:rsid w:val="00790DE4"/>
    <w:rsid w:val="0079108B"/>
    <w:rsid w:val="007910C5"/>
    <w:rsid w:val="00791164"/>
    <w:rsid w:val="0079116E"/>
    <w:rsid w:val="007911B5"/>
    <w:rsid w:val="007915AB"/>
    <w:rsid w:val="007917AE"/>
    <w:rsid w:val="007918EC"/>
    <w:rsid w:val="007919DB"/>
    <w:rsid w:val="007919DD"/>
    <w:rsid w:val="00791A36"/>
    <w:rsid w:val="00791AC4"/>
    <w:rsid w:val="00791D16"/>
    <w:rsid w:val="00791D66"/>
    <w:rsid w:val="00791D68"/>
    <w:rsid w:val="00791D7A"/>
    <w:rsid w:val="00791E1E"/>
    <w:rsid w:val="00791E32"/>
    <w:rsid w:val="00791F27"/>
    <w:rsid w:val="00792094"/>
    <w:rsid w:val="007920A0"/>
    <w:rsid w:val="007921A2"/>
    <w:rsid w:val="007921DF"/>
    <w:rsid w:val="0079225C"/>
    <w:rsid w:val="00792297"/>
    <w:rsid w:val="00792486"/>
    <w:rsid w:val="0079273E"/>
    <w:rsid w:val="00792798"/>
    <w:rsid w:val="00792A06"/>
    <w:rsid w:val="00792A9B"/>
    <w:rsid w:val="00792BE1"/>
    <w:rsid w:val="00792C23"/>
    <w:rsid w:val="00792CD1"/>
    <w:rsid w:val="00792E4B"/>
    <w:rsid w:val="0079306B"/>
    <w:rsid w:val="00793370"/>
    <w:rsid w:val="00793372"/>
    <w:rsid w:val="007933CC"/>
    <w:rsid w:val="007933FC"/>
    <w:rsid w:val="0079341A"/>
    <w:rsid w:val="0079355E"/>
    <w:rsid w:val="00793675"/>
    <w:rsid w:val="00793773"/>
    <w:rsid w:val="007937C9"/>
    <w:rsid w:val="0079383C"/>
    <w:rsid w:val="00793949"/>
    <w:rsid w:val="00793E22"/>
    <w:rsid w:val="00793E8D"/>
    <w:rsid w:val="00793EA9"/>
    <w:rsid w:val="00793F47"/>
    <w:rsid w:val="00794154"/>
    <w:rsid w:val="00794193"/>
    <w:rsid w:val="007941FF"/>
    <w:rsid w:val="0079431C"/>
    <w:rsid w:val="0079437A"/>
    <w:rsid w:val="00794448"/>
    <w:rsid w:val="0079447D"/>
    <w:rsid w:val="007946FD"/>
    <w:rsid w:val="0079490F"/>
    <w:rsid w:val="007949FD"/>
    <w:rsid w:val="00794A9F"/>
    <w:rsid w:val="00794BC0"/>
    <w:rsid w:val="00794BDE"/>
    <w:rsid w:val="00794C71"/>
    <w:rsid w:val="00794D23"/>
    <w:rsid w:val="00794D96"/>
    <w:rsid w:val="00794F0A"/>
    <w:rsid w:val="0079503F"/>
    <w:rsid w:val="00795266"/>
    <w:rsid w:val="00795436"/>
    <w:rsid w:val="007954AA"/>
    <w:rsid w:val="007956F6"/>
    <w:rsid w:val="00795704"/>
    <w:rsid w:val="007957E2"/>
    <w:rsid w:val="0079585D"/>
    <w:rsid w:val="0079586D"/>
    <w:rsid w:val="00795A16"/>
    <w:rsid w:val="00795A4B"/>
    <w:rsid w:val="00795ABF"/>
    <w:rsid w:val="00795B88"/>
    <w:rsid w:val="00795C46"/>
    <w:rsid w:val="00795EA5"/>
    <w:rsid w:val="00795F08"/>
    <w:rsid w:val="00795F20"/>
    <w:rsid w:val="00795F6A"/>
    <w:rsid w:val="00796085"/>
    <w:rsid w:val="0079616D"/>
    <w:rsid w:val="007963A0"/>
    <w:rsid w:val="007963B1"/>
    <w:rsid w:val="0079645D"/>
    <w:rsid w:val="00796497"/>
    <w:rsid w:val="0079654B"/>
    <w:rsid w:val="00796701"/>
    <w:rsid w:val="00796B9F"/>
    <w:rsid w:val="00796BF3"/>
    <w:rsid w:val="00796C12"/>
    <w:rsid w:val="00796E64"/>
    <w:rsid w:val="00796F05"/>
    <w:rsid w:val="007972CF"/>
    <w:rsid w:val="007972EC"/>
    <w:rsid w:val="007973F8"/>
    <w:rsid w:val="00797434"/>
    <w:rsid w:val="007975EB"/>
    <w:rsid w:val="0079777A"/>
    <w:rsid w:val="00797800"/>
    <w:rsid w:val="00797ABB"/>
    <w:rsid w:val="00797BE2"/>
    <w:rsid w:val="00797C7E"/>
    <w:rsid w:val="00797CAD"/>
    <w:rsid w:val="00797D8F"/>
    <w:rsid w:val="00797E1D"/>
    <w:rsid w:val="00797E2A"/>
    <w:rsid w:val="00797E92"/>
    <w:rsid w:val="007A0126"/>
    <w:rsid w:val="007A014B"/>
    <w:rsid w:val="007A02CC"/>
    <w:rsid w:val="007A02D0"/>
    <w:rsid w:val="007A052A"/>
    <w:rsid w:val="007A05C9"/>
    <w:rsid w:val="007A071E"/>
    <w:rsid w:val="007A07C0"/>
    <w:rsid w:val="007A0982"/>
    <w:rsid w:val="007A0999"/>
    <w:rsid w:val="007A0A56"/>
    <w:rsid w:val="007A0B22"/>
    <w:rsid w:val="007A0B23"/>
    <w:rsid w:val="007A0B2E"/>
    <w:rsid w:val="007A0B68"/>
    <w:rsid w:val="007A0CCB"/>
    <w:rsid w:val="007A0CDB"/>
    <w:rsid w:val="007A0CEB"/>
    <w:rsid w:val="007A0DEC"/>
    <w:rsid w:val="007A0FF8"/>
    <w:rsid w:val="007A11D9"/>
    <w:rsid w:val="007A1286"/>
    <w:rsid w:val="007A12EA"/>
    <w:rsid w:val="007A13D3"/>
    <w:rsid w:val="007A1562"/>
    <w:rsid w:val="007A1570"/>
    <w:rsid w:val="007A1943"/>
    <w:rsid w:val="007A1AD0"/>
    <w:rsid w:val="007A1C50"/>
    <w:rsid w:val="007A1CE4"/>
    <w:rsid w:val="007A2267"/>
    <w:rsid w:val="007A2740"/>
    <w:rsid w:val="007A288C"/>
    <w:rsid w:val="007A3110"/>
    <w:rsid w:val="007A3250"/>
    <w:rsid w:val="007A3328"/>
    <w:rsid w:val="007A3433"/>
    <w:rsid w:val="007A3462"/>
    <w:rsid w:val="007A3563"/>
    <w:rsid w:val="007A3655"/>
    <w:rsid w:val="007A3827"/>
    <w:rsid w:val="007A3875"/>
    <w:rsid w:val="007A39CC"/>
    <w:rsid w:val="007A3A81"/>
    <w:rsid w:val="007A3AC5"/>
    <w:rsid w:val="007A3ACB"/>
    <w:rsid w:val="007A3AE5"/>
    <w:rsid w:val="007A3BDA"/>
    <w:rsid w:val="007A3C8A"/>
    <w:rsid w:val="007A3D05"/>
    <w:rsid w:val="007A3F79"/>
    <w:rsid w:val="007A42AA"/>
    <w:rsid w:val="007A48E4"/>
    <w:rsid w:val="007A4913"/>
    <w:rsid w:val="007A49F8"/>
    <w:rsid w:val="007A4A0E"/>
    <w:rsid w:val="007A4BCC"/>
    <w:rsid w:val="007A4CA4"/>
    <w:rsid w:val="007A4DE5"/>
    <w:rsid w:val="007A4F0A"/>
    <w:rsid w:val="007A4FD3"/>
    <w:rsid w:val="007A4FD6"/>
    <w:rsid w:val="007A54A8"/>
    <w:rsid w:val="007A5583"/>
    <w:rsid w:val="007A561D"/>
    <w:rsid w:val="007A5787"/>
    <w:rsid w:val="007A57E4"/>
    <w:rsid w:val="007A59E9"/>
    <w:rsid w:val="007A5A59"/>
    <w:rsid w:val="007A5B1A"/>
    <w:rsid w:val="007A5B93"/>
    <w:rsid w:val="007A5CF6"/>
    <w:rsid w:val="007A5D74"/>
    <w:rsid w:val="007A5E2E"/>
    <w:rsid w:val="007A5FF6"/>
    <w:rsid w:val="007A6036"/>
    <w:rsid w:val="007A6181"/>
    <w:rsid w:val="007A61F1"/>
    <w:rsid w:val="007A624A"/>
    <w:rsid w:val="007A6340"/>
    <w:rsid w:val="007A6373"/>
    <w:rsid w:val="007A6422"/>
    <w:rsid w:val="007A6426"/>
    <w:rsid w:val="007A643B"/>
    <w:rsid w:val="007A64C9"/>
    <w:rsid w:val="007A64EC"/>
    <w:rsid w:val="007A66D0"/>
    <w:rsid w:val="007A6BAB"/>
    <w:rsid w:val="007A6D09"/>
    <w:rsid w:val="007A6D39"/>
    <w:rsid w:val="007A6F0D"/>
    <w:rsid w:val="007A706D"/>
    <w:rsid w:val="007A7070"/>
    <w:rsid w:val="007A70B1"/>
    <w:rsid w:val="007A7224"/>
    <w:rsid w:val="007A739F"/>
    <w:rsid w:val="007A750D"/>
    <w:rsid w:val="007A75F6"/>
    <w:rsid w:val="007A7621"/>
    <w:rsid w:val="007A7635"/>
    <w:rsid w:val="007A774C"/>
    <w:rsid w:val="007A78AE"/>
    <w:rsid w:val="007A7A02"/>
    <w:rsid w:val="007A7F8C"/>
    <w:rsid w:val="007A7FFB"/>
    <w:rsid w:val="007B00DD"/>
    <w:rsid w:val="007B01B6"/>
    <w:rsid w:val="007B0396"/>
    <w:rsid w:val="007B03F1"/>
    <w:rsid w:val="007B05F1"/>
    <w:rsid w:val="007B06BE"/>
    <w:rsid w:val="007B07EF"/>
    <w:rsid w:val="007B0AA2"/>
    <w:rsid w:val="007B0AD7"/>
    <w:rsid w:val="007B0BF4"/>
    <w:rsid w:val="007B0BF9"/>
    <w:rsid w:val="007B0C05"/>
    <w:rsid w:val="007B0D73"/>
    <w:rsid w:val="007B0F56"/>
    <w:rsid w:val="007B0F81"/>
    <w:rsid w:val="007B0F9F"/>
    <w:rsid w:val="007B1339"/>
    <w:rsid w:val="007B14BA"/>
    <w:rsid w:val="007B1561"/>
    <w:rsid w:val="007B17C5"/>
    <w:rsid w:val="007B17F6"/>
    <w:rsid w:val="007B18D4"/>
    <w:rsid w:val="007B18E8"/>
    <w:rsid w:val="007B1968"/>
    <w:rsid w:val="007B1B00"/>
    <w:rsid w:val="007B1CD6"/>
    <w:rsid w:val="007B1EE0"/>
    <w:rsid w:val="007B1FC2"/>
    <w:rsid w:val="007B1FE2"/>
    <w:rsid w:val="007B210F"/>
    <w:rsid w:val="007B227B"/>
    <w:rsid w:val="007B2335"/>
    <w:rsid w:val="007B23E2"/>
    <w:rsid w:val="007B2416"/>
    <w:rsid w:val="007B2553"/>
    <w:rsid w:val="007B259A"/>
    <w:rsid w:val="007B25B9"/>
    <w:rsid w:val="007B283E"/>
    <w:rsid w:val="007B2959"/>
    <w:rsid w:val="007B2B56"/>
    <w:rsid w:val="007B2BFB"/>
    <w:rsid w:val="007B2DED"/>
    <w:rsid w:val="007B2F65"/>
    <w:rsid w:val="007B2F8B"/>
    <w:rsid w:val="007B2FC2"/>
    <w:rsid w:val="007B3022"/>
    <w:rsid w:val="007B3032"/>
    <w:rsid w:val="007B3074"/>
    <w:rsid w:val="007B3265"/>
    <w:rsid w:val="007B32C2"/>
    <w:rsid w:val="007B32D4"/>
    <w:rsid w:val="007B3371"/>
    <w:rsid w:val="007B34F2"/>
    <w:rsid w:val="007B3521"/>
    <w:rsid w:val="007B352D"/>
    <w:rsid w:val="007B360B"/>
    <w:rsid w:val="007B36EF"/>
    <w:rsid w:val="007B38D0"/>
    <w:rsid w:val="007B39B7"/>
    <w:rsid w:val="007B3AFA"/>
    <w:rsid w:val="007B3B03"/>
    <w:rsid w:val="007B3B1F"/>
    <w:rsid w:val="007B3C11"/>
    <w:rsid w:val="007B3CBC"/>
    <w:rsid w:val="007B3E1E"/>
    <w:rsid w:val="007B3F1A"/>
    <w:rsid w:val="007B3F2D"/>
    <w:rsid w:val="007B3F60"/>
    <w:rsid w:val="007B4555"/>
    <w:rsid w:val="007B4619"/>
    <w:rsid w:val="007B47BB"/>
    <w:rsid w:val="007B4889"/>
    <w:rsid w:val="007B4ABE"/>
    <w:rsid w:val="007B4D87"/>
    <w:rsid w:val="007B4DB2"/>
    <w:rsid w:val="007B4F97"/>
    <w:rsid w:val="007B502B"/>
    <w:rsid w:val="007B52B9"/>
    <w:rsid w:val="007B52DF"/>
    <w:rsid w:val="007B56F7"/>
    <w:rsid w:val="007B577A"/>
    <w:rsid w:val="007B5922"/>
    <w:rsid w:val="007B598C"/>
    <w:rsid w:val="007B59A9"/>
    <w:rsid w:val="007B5BDE"/>
    <w:rsid w:val="007B5C22"/>
    <w:rsid w:val="007B5D51"/>
    <w:rsid w:val="007B5F4E"/>
    <w:rsid w:val="007B5F7A"/>
    <w:rsid w:val="007B5F7E"/>
    <w:rsid w:val="007B6263"/>
    <w:rsid w:val="007B62DB"/>
    <w:rsid w:val="007B6310"/>
    <w:rsid w:val="007B63FB"/>
    <w:rsid w:val="007B65E3"/>
    <w:rsid w:val="007B6630"/>
    <w:rsid w:val="007B6890"/>
    <w:rsid w:val="007B68C0"/>
    <w:rsid w:val="007B68C7"/>
    <w:rsid w:val="007B692E"/>
    <w:rsid w:val="007B6A1E"/>
    <w:rsid w:val="007B6CE8"/>
    <w:rsid w:val="007B6D47"/>
    <w:rsid w:val="007B6D8A"/>
    <w:rsid w:val="007B6FA8"/>
    <w:rsid w:val="007B709D"/>
    <w:rsid w:val="007B70B0"/>
    <w:rsid w:val="007B70B3"/>
    <w:rsid w:val="007B7127"/>
    <w:rsid w:val="007B7143"/>
    <w:rsid w:val="007B7171"/>
    <w:rsid w:val="007B71EA"/>
    <w:rsid w:val="007B720C"/>
    <w:rsid w:val="007B728B"/>
    <w:rsid w:val="007B74AD"/>
    <w:rsid w:val="007B7586"/>
    <w:rsid w:val="007B75D6"/>
    <w:rsid w:val="007B7633"/>
    <w:rsid w:val="007B76BE"/>
    <w:rsid w:val="007B76F3"/>
    <w:rsid w:val="007B774E"/>
    <w:rsid w:val="007B7825"/>
    <w:rsid w:val="007B7A96"/>
    <w:rsid w:val="007B7AF2"/>
    <w:rsid w:val="007B7B20"/>
    <w:rsid w:val="007B7B95"/>
    <w:rsid w:val="007B7B9A"/>
    <w:rsid w:val="007B7C32"/>
    <w:rsid w:val="007B7C62"/>
    <w:rsid w:val="007B7D6F"/>
    <w:rsid w:val="007B7F86"/>
    <w:rsid w:val="007C0067"/>
    <w:rsid w:val="007C008D"/>
    <w:rsid w:val="007C026F"/>
    <w:rsid w:val="007C0451"/>
    <w:rsid w:val="007C04C0"/>
    <w:rsid w:val="007C0689"/>
    <w:rsid w:val="007C0750"/>
    <w:rsid w:val="007C0878"/>
    <w:rsid w:val="007C0943"/>
    <w:rsid w:val="007C0A24"/>
    <w:rsid w:val="007C0A62"/>
    <w:rsid w:val="007C0D4D"/>
    <w:rsid w:val="007C0DA9"/>
    <w:rsid w:val="007C0E3F"/>
    <w:rsid w:val="007C0F6E"/>
    <w:rsid w:val="007C0FED"/>
    <w:rsid w:val="007C1166"/>
    <w:rsid w:val="007C117C"/>
    <w:rsid w:val="007C11DE"/>
    <w:rsid w:val="007C12DD"/>
    <w:rsid w:val="007C1320"/>
    <w:rsid w:val="007C1513"/>
    <w:rsid w:val="007C154D"/>
    <w:rsid w:val="007C15BE"/>
    <w:rsid w:val="007C1A66"/>
    <w:rsid w:val="007C1AA5"/>
    <w:rsid w:val="007C1B16"/>
    <w:rsid w:val="007C1BBA"/>
    <w:rsid w:val="007C1C2B"/>
    <w:rsid w:val="007C1D9D"/>
    <w:rsid w:val="007C1E7D"/>
    <w:rsid w:val="007C1EE5"/>
    <w:rsid w:val="007C2113"/>
    <w:rsid w:val="007C2217"/>
    <w:rsid w:val="007C221A"/>
    <w:rsid w:val="007C2373"/>
    <w:rsid w:val="007C237E"/>
    <w:rsid w:val="007C261C"/>
    <w:rsid w:val="007C2628"/>
    <w:rsid w:val="007C2C44"/>
    <w:rsid w:val="007C2E28"/>
    <w:rsid w:val="007C2F26"/>
    <w:rsid w:val="007C3430"/>
    <w:rsid w:val="007C3525"/>
    <w:rsid w:val="007C3720"/>
    <w:rsid w:val="007C387E"/>
    <w:rsid w:val="007C3898"/>
    <w:rsid w:val="007C38B1"/>
    <w:rsid w:val="007C39E5"/>
    <w:rsid w:val="007C3A6C"/>
    <w:rsid w:val="007C3C74"/>
    <w:rsid w:val="007C405F"/>
    <w:rsid w:val="007C407D"/>
    <w:rsid w:val="007C4183"/>
    <w:rsid w:val="007C41A8"/>
    <w:rsid w:val="007C41D2"/>
    <w:rsid w:val="007C43CF"/>
    <w:rsid w:val="007C46D2"/>
    <w:rsid w:val="007C46FE"/>
    <w:rsid w:val="007C477D"/>
    <w:rsid w:val="007C4891"/>
    <w:rsid w:val="007C48D7"/>
    <w:rsid w:val="007C48E8"/>
    <w:rsid w:val="007C4AD7"/>
    <w:rsid w:val="007C4CBA"/>
    <w:rsid w:val="007C4CE3"/>
    <w:rsid w:val="007C4D4B"/>
    <w:rsid w:val="007C4D87"/>
    <w:rsid w:val="007C4E64"/>
    <w:rsid w:val="007C4F42"/>
    <w:rsid w:val="007C501F"/>
    <w:rsid w:val="007C5031"/>
    <w:rsid w:val="007C52FA"/>
    <w:rsid w:val="007C5417"/>
    <w:rsid w:val="007C55C2"/>
    <w:rsid w:val="007C5920"/>
    <w:rsid w:val="007C59E9"/>
    <w:rsid w:val="007C5A6F"/>
    <w:rsid w:val="007C5E06"/>
    <w:rsid w:val="007C5ED0"/>
    <w:rsid w:val="007C5F27"/>
    <w:rsid w:val="007C60F8"/>
    <w:rsid w:val="007C614F"/>
    <w:rsid w:val="007C6191"/>
    <w:rsid w:val="007C6220"/>
    <w:rsid w:val="007C62FB"/>
    <w:rsid w:val="007C63DE"/>
    <w:rsid w:val="007C66BB"/>
    <w:rsid w:val="007C6715"/>
    <w:rsid w:val="007C67A4"/>
    <w:rsid w:val="007C686B"/>
    <w:rsid w:val="007C6904"/>
    <w:rsid w:val="007C6C5D"/>
    <w:rsid w:val="007C6D90"/>
    <w:rsid w:val="007C6F56"/>
    <w:rsid w:val="007C719C"/>
    <w:rsid w:val="007C73BC"/>
    <w:rsid w:val="007C74CD"/>
    <w:rsid w:val="007C7562"/>
    <w:rsid w:val="007C75FE"/>
    <w:rsid w:val="007C7735"/>
    <w:rsid w:val="007C7750"/>
    <w:rsid w:val="007C7753"/>
    <w:rsid w:val="007C7847"/>
    <w:rsid w:val="007C789C"/>
    <w:rsid w:val="007C7BFB"/>
    <w:rsid w:val="007C7D2B"/>
    <w:rsid w:val="007C7DF3"/>
    <w:rsid w:val="007C7E43"/>
    <w:rsid w:val="007C7EDC"/>
    <w:rsid w:val="007C7FAB"/>
    <w:rsid w:val="007D003B"/>
    <w:rsid w:val="007D00C1"/>
    <w:rsid w:val="007D0127"/>
    <w:rsid w:val="007D0146"/>
    <w:rsid w:val="007D06C9"/>
    <w:rsid w:val="007D08EC"/>
    <w:rsid w:val="007D0999"/>
    <w:rsid w:val="007D0AD1"/>
    <w:rsid w:val="007D0B56"/>
    <w:rsid w:val="007D0C52"/>
    <w:rsid w:val="007D0F3F"/>
    <w:rsid w:val="007D1210"/>
    <w:rsid w:val="007D1317"/>
    <w:rsid w:val="007D1423"/>
    <w:rsid w:val="007D1489"/>
    <w:rsid w:val="007D14D7"/>
    <w:rsid w:val="007D154E"/>
    <w:rsid w:val="007D159E"/>
    <w:rsid w:val="007D15E9"/>
    <w:rsid w:val="007D1629"/>
    <w:rsid w:val="007D1641"/>
    <w:rsid w:val="007D16DC"/>
    <w:rsid w:val="007D16E0"/>
    <w:rsid w:val="007D171B"/>
    <w:rsid w:val="007D1750"/>
    <w:rsid w:val="007D1A0F"/>
    <w:rsid w:val="007D1A3D"/>
    <w:rsid w:val="007D1A7D"/>
    <w:rsid w:val="007D1B73"/>
    <w:rsid w:val="007D1B7A"/>
    <w:rsid w:val="007D1DA7"/>
    <w:rsid w:val="007D2078"/>
    <w:rsid w:val="007D2108"/>
    <w:rsid w:val="007D2111"/>
    <w:rsid w:val="007D212F"/>
    <w:rsid w:val="007D274B"/>
    <w:rsid w:val="007D2799"/>
    <w:rsid w:val="007D2857"/>
    <w:rsid w:val="007D2866"/>
    <w:rsid w:val="007D2914"/>
    <w:rsid w:val="007D2957"/>
    <w:rsid w:val="007D2AAF"/>
    <w:rsid w:val="007D2AC9"/>
    <w:rsid w:val="007D2BB9"/>
    <w:rsid w:val="007D2CD4"/>
    <w:rsid w:val="007D2D83"/>
    <w:rsid w:val="007D2E24"/>
    <w:rsid w:val="007D3053"/>
    <w:rsid w:val="007D34F9"/>
    <w:rsid w:val="007D35C2"/>
    <w:rsid w:val="007D373B"/>
    <w:rsid w:val="007D374C"/>
    <w:rsid w:val="007D3758"/>
    <w:rsid w:val="007D3950"/>
    <w:rsid w:val="007D39E0"/>
    <w:rsid w:val="007D3B6C"/>
    <w:rsid w:val="007D3BEE"/>
    <w:rsid w:val="007D3C44"/>
    <w:rsid w:val="007D3DB9"/>
    <w:rsid w:val="007D4148"/>
    <w:rsid w:val="007D420C"/>
    <w:rsid w:val="007D46B3"/>
    <w:rsid w:val="007D47EA"/>
    <w:rsid w:val="007D483A"/>
    <w:rsid w:val="007D4886"/>
    <w:rsid w:val="007D4905"/>
    <w:rsid w:val="007D4941"/>
    <w:rsid w:val="007D4B03"/>
    <w:rsid w:val="007D4BDC"/>
    <w:rsid w:val="007D4CE7"/>
    <w:rsid w:val="007D4D24"/>
    <w:rsid w:val="007D4D85"/>
    <w:rsid w:val="007D4F70"/>
    <w:rsid w:val="007D4F9E"/>
    <w:rsid w:val="007D4F9F"/>
    <w:rsid w:val="007D522D"/>
    <w:rsid w:val="007D532D"/>
    <w:rsid w:val="007D5377"/>
    <w:rsid w:val="007D55E3"/>
    <w:rsid w:val="007D55FF"/>
    <w:rsid w:val="007D563F"/>
    <w:rsid w:val="007D570C"/>
    <w:rsid w:val="007D591F"/>
    <w:rsid w:val="007D595A"/>
    <w:rsid w:val="007D5C90"/>
    <w:rsid w:val="007D5D01"/>
    <w:rsid w:val="007D5E2F"/>
    <w:rsid w:val="007D5E52"/>
    <w:rsid w:val="007D5F8A"/>
    <w:rsid w:val="007D5FEC"/>
    <w:rsid w:val="007D5FFA"/>
    <w:rsid w:val="007D608F"/>
    <w:rsid w:val="007D61A7"/>
    <w:rsid w:val="007D638D"/>
    <w:rsid w:val="007D6473"/>
    <w:rsid w:val="007D65FD"/>
    <w:rsid w:val="007D664B"/>
    <w:rsid w:val="007D67AB"/>
    <w:rsid w:val="007D686E"/>
    <w:rsid w:val="007D68B9"/>
    <w:rsid w:val="007D69F3"/>
    <w:rsid w:val="007D6B35"/>
    <w:rsid w:val="007D6B9F"/>
    <w:rsid w:val="007D6C23"/>
    <w:rsid w:val="007D6C5F"/>
    <w:rsid w:val="007D6CAE"/>
    <w:rsid w:val="007D6E83"/>
    <w:rsid w:val="007D6FB8"/>
    <w:rsid w:val="007D7013"/>
    <w:rsid w:val="007D701B"/>
    <w:rsid w:val="007D7143"/>
    <w:rsid w:val="007D72E7"/>
    <w:rsid w:val="007D7300"/>
    <w:rsid w:val="007D73D2"/>
    <w:rsid w:val="007D7599"/>
    <w:rsid w:val="007D75CA"/>
    <w:rsid w:val="007D75E4"/>
    <w:rsid w:val="007D7723"/>
    <w:rsid w:val="007D772F"/>
    <w:rsid w:val="007D77A0"/>
    <w:rsid w:val="007D78A5"/>
    <w:rsid w:val="007D7A71"/>
    <w:rsid w:val="007D7E7B"/>
    <w:rsid w:val="007D7FCB"/>
    <w:rsid w:val="007E025E"/>
    <w:rsid w:val="007E0422"/>
    <w:rsid w:val="007E0545"/>
    <w:rsid w:val="007E0655"/>
    <w:rsid w:val="007E06CF"/>
    <w:rsid w:val="007E0770"/>
    <w:rsid w:val="007E08BF"/>
    <w:rsid w:val="007E095A"/>
    <w:rsid w:val="007E0CA3"/>
    <w:rsid w:val="007E0D86"/>
    <w:rsid w:val="007E0E7F"/>
    <w:rsid w:val="007E0F88"/>
    <w:rsid w:val="007E0FC0"/>
    <w:rsid w:val="007E1124"/>
    <w:rsid w:val="007E125B"/>
    <w:rsid w:val="007E1275"/>
    <w:rsid w:val="007E13E5"/>
    <w:rsid w:val="007E148E"/>
    <w:rsid w:val="007E151B"/>
    <w:rsid w:val="007E1524"/>
    <w:rsid w:val="007E1567"/>
    <w:rsid w:val="007E1628"/>
    <w:rsid w:val="007E1632"/>
    <w:rsid w:val="007E1B0B"/>
    <w:rsid w:val="007E1BE9"/>
    <w:rsid w:val="007E1C62"/>
    <w:rsid w:val="007E1D01"/>
    <w:rsid w:val="007E1E93"/>
    <w:rsid w:val="007E212A"/>
    <w:rsid w:val="007E2296"/>
    <w:rsid w:val="007E22BF"/>
    <w:rsid w:val="007E23D4"/>
    <w:rsid w:val="007E23F7"/>
    <w:rsid w:val="007E269E"/>
    <w:rsid w:val="007E26B9"/>
    <w:rsid w:val="007E271B"/>
    <w:rsid w:val="007E271F"/>
    <w:rsid w:val="007E2979"/>
    <w:rsid w:val="007E29C6"/>
    <w:rsid w:val="007E2AA6"/>
    <w:rsid w:val="007E2E20"/>
    <w:rsid w:val="007E2E26"/>
    <w:rsid w:val="007E2E67"/>
    <w:rsid w:val="007E2E75"/>
    <w:rsid w:val="007E30CC"/>
    <w:rsid w:val="007E312B"/>
    <w:rsid w:val="007E320E"/>
    <w:rsid w:val="007E33DA"/>
    <w:rsid w:val="007E349A"/>
    <w:rsid w:val="007E35F4"/>
    <w:rsid w:val="007E360B"/>
    <w:rsid w:val="007E3613"/>
    <w:rsid w:val="007E3655"/>
    <w:rsid w:val="007E3736"/>
    <w:rsid w:val="007E3819"/>
    <w:rsid w:val="007E398A"/>
    <w:rsid w:val="007E3A20"/>
    <w:rsid w:val="007E3A69"/>
    <w:rsid w:val="007E3A6D"/>
    <w:rsid w:val="007E3B65"/>
    <w:rsid w:val="007E3BAA"/>
    <w:rsid w:val="007E4237"/>
    <w:rsid w:val="007E4398"/>
    <w:rsid w:val="007E453E"/>
    <w:rsid w:val="007E4545"/>
    <w:rsid w:val="007E4655"/>
    <w:rsid w:val="007E482E"/>
    <w:rsid w:val="007E494E"/>
    <w:rsid w:val="007E49EE"/>
    <w:rsid w:val="007E4A0C"/>
    <w:rsid w:val="007E4A4C"/>
    <w:rsid w:val="007E4A63"/>
    <w:rsid w:val="007E4ACC"/>
    <w:rsid w:val="007E4AEA"/>
    <w:rsid w:val="007E4B4E"/>
    <w:rsid w:val="007E4BA2"/>
    <w:rsid w:val="007E4C79"/>
    <w:rsid w:val="007E4D79"/>
    <w:rsid w:val="007E4ED2"/>
    <w:rsid w:val="007E4FC8"/>
    <w:rsid w:val="007E4FEF"/>
    <w:rsid w:val="007E517D"/>
    <w:rsid w:val="007E518F"/>
    <w:rsid w:val="007E557F"/>
    <w:rsid w:val="007E564F"/>
    <w:rsid w:val="007E5684"/>
    <w:rsid w:val="007E5992"/>
    <w:rsid w:val="007E599C"/>
    <w:rsid w:val="007E5A2A"/>
    <w:rsid w:val="007E5AEE"/>
    <w:rsid w:val="007E5B30"/>
    <w:rsid w:val="007E5B3B"/>
    <w:rsid w:val="007E5C05"/>
    <w:rsid w:val="007E5F01"/>
    <w:rsid w:val="007E5F9F"/>
    <w:rsid w:val="007E5FB4"/>
    <w:rsid w:val="007E5FC5"/>
    <w:rsid w:val="007E60FD"/>
    <w:rsid w:val="007E614E"/>
    <w:rsid w:val="007E6158"/>
    <w:rsid w:val="007E6263"/>
    <w:rsid w:val="007E63B2"/>
    <w:rsid w:val="007E65D4"/>
    <w:rsid w:val="007E666E"/>
    <w:rsid w:val="007E67E2"/>
    <w:rsid w:val="007E684E"/>
    <w:rsid w:val="007E6A5A"/>
    <w:rsid w:val="007E6C0B"/>
    <w:rsid w:val="007E6C4F"/>
    <w:rsid w:val="007E6C57"/>
    <w:rsid w:val="007E6CFE"/>
    <w:rsid w:val="007E6DF8"/>
    <w:rsid w:val="007E6E47"/>
    <w:rsid w:val="007E6E65"/>
    <w:rsid w:val="007E6FBC"/>
    <w:rsid w:val="007E7003"/>
    <w:rsid w:val="007E7165"/>
    <w:rsid w:val="007E735F"/>
    <w:rsid w:val="007E7474"/>
    <w:rsid w:val="007E7526"/>
    <w:rsid w:val="007E76C1"/>
    <w:rsid w:val="007E7792"/>
    <w:rsid w:val="007E794B"/>
    <w:rsid w:val="007E7984"/>
    <w:rsid w:val="007E79FA"/>
    <w:rsid w:val="007E7A68"/>
    <w:rsid w:val="007E7A71"/>
    <w:rsid w:val="007E7A8B"/>
    <w:rsid w:val="007E7B64"/>
    <w:rsid w:val="007E7C43"/>
    <w:rsid w:val="007E7C4A"/>
    <w:rsid w:val="007E7C51"/>
    <w:rsid w:val="007E7C56"/>
    <w:rsid w:val="007E7D77"/>
    <w:rsid w:val="007E7E30"/>
    <w:rsid w:val="007E7F2E"/>
    <w:rsid w:val="007E7F32"/>
    <w:rsid w:val="007E7FDC"/>
    <w:rsid w:val="007F004D"/>
    <w:rsid w:val="007F0345"/>
    <w:rsid w:val="007F03CE"/>
    <w:rsid w:val="007F03F1"/>
    <w:rsid w:val="007F03FE"/>
    <w:rsid w:val="007F0539"/>
    <w:rsid w:val="007F0590"/>
    <w:rsid w:val="007F081A"/>
    <w:rsid w:val="007F0854"/>
    <w:rsid w:val="007F08BD"/>
    <w:rsid w:val="007F097A"/>
    <w:rsid w:val="007F09A8"/>
    <w:rsid w:val="007F0A2C"/>
    <w:rsid w:val="007F0A59"/>
    <w:rsid w:val="007F0AA5"/>
    <w:rsid w:val="007F0B0C"/>
    <w:rsid w:val="007F0B79"/>
    <w:rsid w:val="007F0E2F"/>
    <w:rsid w:val="007F0ECC"/>
    <w:rsid w:val="007F12AE"/>
    <w:rsid w:val="007F1313"/>
    <w:rsid w:val="007F1315"/>
    <w:rsid w:val="007F1372"/>
    <w:rsid w:val="007F13A7"/>
    <w:rsid w:val="007F13C3"/>
    <w:rsid w:val="007F1492"/>
    <w:rsid w:val="007F14BD"/>
    <w:rsid w:val="007F15AC"/>
    <w:rsid w:val="007F1804"/>
    <w:rsid w:val="007F183C"/>
    <w:rsid w:val="007F18B1"/>
    <w:rsid w:val="007F1AF9"/>
    <w:rsid w:val="007F1DA4"/>
    <w:rsid w:val="007F23B0"/>
    <w:rsid w:val="007F244B"/>
    <w:rsid w:val="007F2807"/>
    <w:rsid w:val="007F2824"/>
    <w:rsid w:val="007F2981"/>
    <w:rsid w:val="007F2A0A"/>
    <w:rsid w:val="007F2A5C"/>
    <w:rsid w:val="007F2A6C"/>
    <w:rsid w:val="007F2AEB"/>
    <w:rsid w:val="007F2B79"/>
    <w:rsid w:val="007F2BB7"/>
    <w:rsid w:val="007F2C78"/>
    <w:rsid w:val="007F2EB3"/>
    <w:rsid w:val="007F2EBA"/>
    <w:rsid w:val="007F2FE1"/>
    <w:rsid w:val="007F313A"/>
    <w:rsid w:val="007F3175"/>
    <w:rsid w:val="007F31BD"/>
    <w:rsid w:val="007F3247"/>
    <w:rsid w:val="007F32BC"/>
    <w:rsid w:val="007F32F7"/>
    <w:rsid w:val="007F3309"/>
    <w:rsid w:val="007F36EB"/>
    <w:rsid w:val="007F370C"/>
    <w:rsid w:val="007F3779"/>
    <w:rsid w:val="007F392D"/>
    <w:rsid w:val="007F3979"/>
    <w:rsid w:val="007F39BE"/>
    <w:rsid w:val="007F3A17"/>
    <w:rsid w:val="007F3AC9"/>
    <w:rsid w:val="007F3D2B"/>
    <w:rsid w:val="007F3DC5"/>
    <w:rsid w:val="007F3DE3"/>
    <w:rsid w:val="007F3F33"/>
    <w:rsid w:val="007F41A3"/>
    <w:rsid w:val="007F4225"/>
    <w:rsid w:val="007F426A"/>
    <w:rsid w:val="007F42B9"/>
    <w:rsid w:val="007F42E1"/>
    <w:rsid w:val="007F4396"/>
    <w:rsid w:val="007F4429"/>
    <w:rsid w:val="007F4498"/>
    <w:rsid w:val="007F44E3"/>
    <w:rsid w:val="007F451D"/>
    <w:rsid w:val="007F461B"/>
    <w:rsid w:val="007F47BD"/>
    <w:rsid w:val="007F4817"/>
    <w:rsid w:val="007F49A2"/>
    <w:rsid w:val="007F4D5F"/>
    <w:rsid w:val="007F4D9B"/>
    <w:rsid w:val="007F4DEA"/>
    <w:rsid w:val="007F4E5F"/>
    <w:rsid w:val="007F4EDB"/>
    <w:rsid w:val="007F4F69"/>
    <w:rsid w:val="007F5057"/>
    <w:rsid w:val="007F5177"/>
    <w:rsid w:val="007F51A1"/>
    <w:rsid w:val="007F51E9"/>
    <w:rsid w:val="007F527A"/>
    <w:rsid w:val="007F5303"/>
    <w:rsid w:val="007F534A"/>
    <w:rsid w:val="007F5372"/>
    <w:rsid w:val="007F5381"/>
    <w:rsid w:val="007F53DC"/>
    <w:rsid w:val="007F53FB"/>
    <w:rsid w:val="007F5402"/>
    <w:rsid w:val="007F5409"/>
    <w:rsid w:val="007F543B"/>
    <w:rsid w:val="007F55DE"/>
    <w:rsid w:val="007F5619"/>
    <w:rsid w:val="007F5654"/>
    <w:rsid w:val="007F5686"/>
    <w:rsid w:val="007F57C6"/>
    <w:rsid w:val="007F5A2F"/>
    <w:rsid w:val="007F5A97"/>
    <w:rsid w:val="007F5ABE"/>
    <w:rsid w:val="007F5CC0"/>
    <w:rsid w:val="007F5D43"/>
    <w:rsid w:val="007F5E66"/>
    <w:rsid w:val="007F5EB6"/>
    <w:rsid w:val="007F5EDE"/>
    <w:rsid w:val="007F60E0"/>
    <w:rsid w:val="007F6130"/>
    <w:rsid w:val="007F6303"/>
    <w:rsid w:val="007F6568"/>
    <w:rsid w:val="007F6799"/>
    <w:rsid w:val="007F6974"/>
    <w:rsid w:val="007F6A02"/>
    <w:rsid w:val="007F6AF3"/>
    <w:rsid w:val="007F6AFF"/>
    <w:rsid w:val="007F6C1B"/>
    <w:rsid w:val="007F6C3E"/>
    <w:rsid w:val="007F6DA4"/>
    <w:rsid w:val="007F6F16"/>
    <w:rsid w:val="007F6FE3"/>
    <w:rsid w:val="007F7172"/>
    <w:rsid w:val="007F72E9"/>
    <w:rsid w:val="007F7394"/>
    <w:rsid w:val="007F7476"/>
    <w:rsid w:val="007F75A6"/>
    <w:rsid w:val="007F75DD"/>
    <w:rsid w:val="007F7643"/>
    <w:rsid w:val="007F77AB"/>
    <w:rsid w:val="007F7800"/>
    <w:rsid w:val="007F7826"/>
    <w:rsid w:val="007F7855"/>
    <w:rsid w:val="007F79B4"/>
    <w:rsid w:val="007F79F4"/>
    <w:rsid w:val="007F7A34"/>
    <w:rsid w:val="007F7BFD"/>
    <w:rsid w:val="007F7CDE"/>
    <w:rsid w:val="007F7D1A"/>
    <w:rsid w:val="007F7D41"/>
    <w:rsid w:val="007F7EAA"/>
    <w:rsid w:val="007F7F81"/>
    <w:rsid w:val="00800017"/>
    <w:rsid w:val="00800162"/>
    <w:rsid w:val="008002D7"/>
    <w:rsid w:val="00800389"/>
    <w:rsid w:val="0080053B"/>
    <w:rsid w:val="00800615"/>
    <w:rsid w:val="00800619"/>
    <w:rsid w:val="0080072E"/>
    <w:rsid w:val="00800791"/>
    <w:rsid w:val="00800872"/>
    <w:rsid w:val="00800ABE"/>
    <w:rsid w:val="00800DC3"/>
    <w:rsid w:val="00800F48"/>
    <w:rsid w:val="00800F53"/>
    <w:rsid w:val="00801010"/>
    <w:rsid w:val="008010C6"/>
    <w:rsid w:val="0080112B"/>
    <w:rsid w:val="0080124C"/>
    <w:rsid w:val="0080130A"/>
    <w:rsid w:val="008013F8"/>
    <w:rsid w:val="00801586"/>
    <w:rsid w:val="008015D4"/>
    <w:rsid w:val="008016BF"/>
    <w:rsid w:val="00801748"/>
    <w:rsid w:val="0080177C"/>
    <w:rsid w:val="00801850"/>
    <w:rsid w:val="00801A29"/>
    <w:rsid w:val="00801AAF"/>
    <w:rsid w:val="00801AE0"/>
    <w:rsid w:val="00801C54"/>
    <w:rsid w:val="00801D51"/>
    <w:rsid w:val="00801D8C"/>
    <w:rsid w:val="00801D94"/>
    <w:rsid w:val="00801DF6"/>
    <w:rsid w:val="00801E4F"/>
    <w:rsid w:val="00801EB0"/>
    <w:rsid w:val="00801F70"/>
    <w:rsid w:val="00801F9E"/>
    <w:rsid w:val="00801FE9"/>
    <w:rsid w:val="0080212F"/>
    <w:rsid w:val="00802271"/>
    <w:rsid w:val="00802308"/>
    <w:rsid w:val="0080239F"/>
    <w:rsid w:val="00802440"/>
    <w:rsid w:val="00802507"/>
    <w:rsid w:val="00802584"/>
    <w:rsid w:val="008026D5"/>
    <w:rsid w:val="008026E1"/>
    <w:rsid w:val="0080270F"/>
    <w:rsid w:val="008027C1"/>
    <w:rsid w:val="00802833"/>
    <w:rsid w:val="008028A5"/>
    <w:rsid w:val="008028B9"/>
    <w:rsid w:val="00802A8D"/>
    <w:rsid w:val="00802B91"/>
    <w:rsid w:val="00802CB6"/>
    <w:rsid w:val="00802CC1"/>
    <w:rsid w:val="00802DAC"/>
    <w:rsid w:val="00802DBF"/>
    <w:rsid w:val="00802DE3"/>
    <w:rsid w:val="00802E01"/>
    <w:rsid w:val="00802F79"/>
    <w:rsid w:val="0080306A"/>
    <w:rsid w:val="0080329B"/>
    <w:rsid w:val="0080356D"/>
    <w:rsid w:val="008035D8"/>
    <w:rsid w:val="008038D0"/>
    <w:rsid w:val="008038F1"/>
    <w:rsid w:val="00803931"/>
    <w:rsid w:val="00803955"/>
    <w:rsid w:val="00803A2D"/>
    <w:rsid w:val="00803A3C"/>
    <w:rsid w:val="00803CDC"/>
    <w:rsid w:val="00803D7E"/>
    <w:rsid w:val="00803DC7"/>
    <w:rsid w:val="00803EA6"/>
    <w:rsid w:val="00803EE5"/>
    <w:rsid w:val="00804078"/>
    <w:rsid w:val="008040F9"/>
    <w:rsid w:val="0080426D"/>
    <w:rsid w:val="00804308"/>
    <w:rsid w:val="0080434D"/>
    <w:rsid w:val="008044CB"/>
    <w:rsid w:val="0080464D"/>
    <w:rsid w:val="00804715"/>
    <w:rsid w:val="00804749"/>
    <w:rsid w:val="008047F9"/>
    <w:rsid w:val="0080495F"/>
    <w:rsid w:val="008049A2"/>
    <w:rsid w:val="00804C6E"/>
    <w:rsid w:val="00804CDE"/>
    <w:rsid w:val="00804FA3"/>
    <w:rsid w:val="0080506B"/>
    <w:rsid w:val="0080511C"/>
    <w:rsid w:val="0080519E"/>
    <w:rsid w:val="008054C5"/>
    <w:rsid w:val="008054E0"/>
    <w:rsid w:val="0080566D"/>
    <w:rsid w:val="0080568F"/>
    <w:rsid w:val="0080576D"/>
    <w:rsid w:val="0080584F"/>
    <w:rsid w:val="00805899"/>
    <w:rsid w:val="008058A0"/>
    <w:rsid w:val="00805D52"/>
    <w:rsid w:val="00805EA5"/>
    <w:rsid w:val="00805F0B"/>
    <w:rsid w:val="00805FBF"/>
    <w:rsid w:val="008060AC"/>
    <w:rsid w:val="00806114"/>
    <w:rsid w:val="00806384"/>
    <w:rsid w:val="00806396"/>
    <w:rsid w:val="008064A2"/>
    <w:rsid w:val="0080671F"/>
    <w:rsid w:val="00806832"/>
    <w:rsid w:val="008068E5"/>
    <w:rsid w:val="00806F07"/>
    <w:rsid w:val="00806FBC"/>
    <w:rsid w:val="008071D7"/>
    <w:rsid w:val="00807460"/>
    <w:rsid w:val="00807481"/>
    <w:rsid w:val="00807534"/>
    <w:rsid w:val="008075AB"/>
    <w:rsid w:val="0080762E"/>
    <w:rsid w:val="00807690"/>
    <w:rsid w:val="008076B1"/>
    <w:rsid w:val="008076CF"/>
    <w:rsid w:val="008076DC"/>
    <w:rsid w:val="00807756"/>
    <w:rsid w:val="00807772"/>
    <w:rsid w:val="008078CA"/>
    <w:rsid w:val="008078E2"/>
    <w:rsid w:val="008078F4"/>
    <w:rsid w:val="00807A85"/>
    <w:rsid w:val="00807CCF"/>
    <w:rsid w:val="00807DE6"/>
    <w:rsid w:val="00807E33"/>
    <w:rsid w:val="00807FD0"/>
    <w:rsid w:val="0081009A"/>
    <w:rsid w:val="0081009C"/>
    <w:rsid w:val="008100D8"/>
    <w:rsid w:val="008100E7"/>
    <w:rsid w:val="008100F0"/>
    <w:rsid w:val="0081027B"/>
    <w:rsid w:val="008104FD"/>
    <w:rsid w:val="00810580"/>
    <w:rsid w:val="0081065B"/>
    <w:rsid w:val="0081076B"/>
    <w:rsid w:val="008107CF"/>
    <w:rsid w:val="008108D3"/>
    <w:rsid w:val="008108F2"/>
    <w:rsid w:val="00810929"/>
    <w:rsid w:val="00810A8E"/>
    <w:rsid w:val="00810BC1"/>
    <w:rsid w:val="00810C01"/>
    <w:rsid w:val="00810D88"/>
    <w:rsid w:val="00810E5C"/>
    <w:rsid w:val="00810FCE"/>
    <w:rsid w:val="0081105E"/>
    <w:rsid w:val="008110EC"/>
    <w:rsid w:val="00811218"/>
    <w:rsid w:val="00811284"/>
    <w:rsid w:val="0081140C"/>
    <w:rsid w:val="008115AD"/>
    <w:rsid w:val="00811659"/>
    <w:rsid w:val="008116AB"/>
    <w:rsid w:val="00811832"/>
    <w:rsid w:val="0081189B"/>
    <w:rsid w:val="008119DB"/>
    <w:rsid w:val="00811AE9"/>
    <w:rsid w:val="00811AFD"/>
    <w:rsid w:val="00811C8D"/>
    <w:rsid w:val="00811CE9"/>
    <w:rsid w:val="00811ED8"/>
    <w:rsid w:val="00811F51"/>
    <w:rsid w:val="00811F66"/>
    <w:rsid w:val="00812003"/>
    <w:rsid w:val="00812039"/>
    <w:rsid w:val="008122A0"/>
    <w:rsid w:val="0081230D"/>
    <w:rsid w:val="008123AD"/>
    <w:rsid w:val="0081262B"/>
    <w:rsid w:val="00812703"/>
    <w:rsid w:val="008127A1"/>
    <w:rsid w:val="008127B5"/>
    <w:rsid w:val="00812862"/>
    <w:rsid w:val="00812C41"/>
    <w:rsid w:val="00812CCE"/>
    <w:rsid w:val="00812D64"/>
    <w:rsid w:val="00812E57"/>
    <w:rsid w:val="00812E86"/>
    <w:rsid w:val="008130CA"/>
    <w:rsid w:val="008130CB"/>
    <w:rsid w:val="00813122"/>
    <w:rsid w:val="00813219"/>
    <w:rsid w:val="0081325B"/>
    <w:rsid w:val="00813517"/>
    <w:rsid w:val="0081358C"/>
    <w:rsid w:val="0081359B"/>
    <w:rsid w:val="00813932"/>
    <w:rsid w:val="00813ABA"/>
    <w:rsid w:val="00813B02"/>
    <w:rsid w:val="00813BC8"/>
    <w:rsid w:val="00813D13"/>
    <w:rsid w:val="00813E62"/>
    <w:rsid w:val="00813ED2"/>
    <w:rsid w:val="0081431C"/>
    <w:rsid w:val="00814322"/>
    <w:rsid w:val="0081455F"/>
    <w:rsid w:val="0081470C"/>
    <w:rsid w:val="00814710"/>
    <w:rsid w:val="00814805"/>
    <w:rsid w:val="00814A0F"/>
    <w:rsid w:val="00814A4B"/>
    <w:rsid w:val="00814AEC"/>
    <w:rsid w:val="00814BC0"/>
    <w:rsid w:val="00814C72"/>
    <w:rsid w:val="00814CDE"/>
    <w:rsid w:val="00814CF6"/>
    <w:rsid w:val="00814D5E"/>
    <w:rsid w:val="00814D63"/>
    <w:rsid w:val="00814FA4"/>
    <w:rsid w:val="00814FC3"/>
    <w:rsid w:val="00815132"/>
    <w:rsid w:val="008151BD"/>
    <w:rsid w:val="0081537A"/>
    <w:rsid w:val="00815396"/>
    <w:rsid w:val="00815440"/>
    <w:rsid w:val="008154F1"/>
    <w:rsid w:val="0081550B"/>
    <w:rsid w:val="00815545"/>
    <w:rsid w:val="00815572"/>
    <w:rsid w:val="00815A31"/>
    <w:rsid w:val="00815BB1"/>
    <w:rsid w:val="00815C01"/>
    <w:rsid w:val="00815D38"/>
    <w:rsid w:val="00815E45"/>
    <w:rsid w:val="00815E9E"/>
    <w:rsid w:val="00816022"/>
    <w:rsid w:val="0081603F"/>
    <w:rsid w:val="008160BC"/>
    <w:rsid w:val="008161A2"/>
    <w:rsid w:val="0081626F"/>
    <w:rsid w:val="008163C4"/>
    <w:rsid w:val="008163EC"/>
    <w:rsid w:val="00816452"/>
    <w:rsid w:val="00816456"/>
    <w:rsid w:val="0081653E"/>
    <w:rsid w:val="0081660F"/>
    <w:rsid w:val="0081669B"/>
    <w:rsid w:val="00816700"/>
    <w:rsid w:val="008167ED"/>
    <w:rsid w:val="00816874"/>
    <w:rsid w:val="008169C9"/>
    <w:rsid w:val="00816AF1"/>
    <w:rsid w:val="00816D75"/>
    <w:rsid w:val="00816F3D"/>
    <w:rsid w:val="008172CB"/>
    <w:rsid w:val="008172E3"/>
    <w:rsid w:val="00817504"/>
    <w:rsid w:val="00817523"/>
    <w:rsid w:val="0081757E"/>
    <w:rsid w:val="008177BC"/>
    <w:rsid w:val="00817804"/>
    <w:rsid w:val="00817833"/>
    <w:rsid w:val="008178AB"/>
    <w:rsid w:val="0081796E"/>
    <w:rsid w:val="0081797F"/>
    <w:rsid w:val="00817A75"/>
    <w:rsid w:val="00817BB2"/>
    <w:rsid w:val="00817D1D"/>
    <w:rsid w:val="00817D99"/>
    <w:rsid w:val="00817DA4"/>
    <w:rsid w:val="00817E6D"/>
    <w:rsid w:val="00817F03"/>
    <w:rsid w:val="00817F5D"/>
    <w:rsid w:val="00817F90"/>
    <w:rsid w:val="00820103"/>
    <w:rsid w:val="00820188"/>
    <w:rsid w:val="008201B0"/>
    <w:rsid w:val="00820330"/>
    <w:rsid w:val="00820496"/>
    <w:rsid w:val="008204F0"/>
    <w:rsid w:val="008205EC"/>
    <w:rsid w:val="008205FB"/>
    <w:rsid w:val="0082075D"/>
    <w:rsid w:val="008207A7"/>
    <w:rsid w:val="00820816"/>
    <w:rsid w:val="0082099F"/>
    <w:rsid w:val="00820A70"/>
    <w:rsid w:val="00820AC2"/>
    <w:rsid w:val="00820B16"/>
    <w:rsid w:val="00820B1C"/>
    <w:rsid w:val="00820CBF"/>
    <w:rsid w:val="00820DFD"/>
    <w:rsid w:val="00820E08"/>
    <w:rsid w:val="00820E40"/>
    <w:rsid w:val="00820ED7"/>
    <w:rsid w:val="0082111E"/>
    <w:rsid w:val="0082117C"/>
    <w:rsid w:val="008211AF"/>
    <w:rsid w:val="00821280"/>
    <w:rsid w:val="00821281"/>
    <w:rsid w:val="0082129A"/>
    <w:rsid w:val="008213A7"/>
    <w:rsid w:val="008213AC"/>
    <w:rsid w:val="00821417"/>
    <w:rsid w:val="0082144C"/>
    <w:rsid w:val="00821545"/>
    <w:rsid w:val="0082158C"/>
    <w:rsid w:val="00821684"/>
    <w:rsid w:val="008216AA"/>
    <w:rsid w:val="008216BE"/>
    <w:rsid w:val="008216FB"/>
    <w:rsid w:val="00821C23"/>
    <w:rsid w:val="00821CB1"/>
    <w:rsid w:val="00821D57"/>
    <w:rsid w:val="00821ECA"/>
    <w:rsid w:val="00821F07"/>
    <w:rsid w:val="008220CB"/>
    <w:rsid w:val="00822698"/>
    <w:rsid w:val="008226C1"/>
    <w:rsid w:val="0082271D"/>
    <w:rsid w:val="008227E9"/>
    <w:rsid w:val="008228A9"/>
    <w:rsid w:val="0082293C"/>
    <w:rsid w:val="0082295C"/>
    <w:rsid w:val="00822977"/>
    <w:rsid w:val="00822A5A"/>
    <w:rsid w:val="00822C02"/>
    <w:rsid w:val="00822C2A"/>
    <w:rsid w:val="00823036"/>
    <w:rsid w:val="008230A1"/>
    <w:rsid w:val="008230C6"/>
    <w:rsid w:val="0082314B"/>
    <w:rsid w:val="0082324C"/>
    <w:rsid w:val="0082335C"/>
    <w:rsid w:val="0082340B"/>
    <w:rsid w:val="008234B5"/>
    <w:rsid w:val="0082352B"/>
    <w:rsid w:val="00823588"/>
    <w:rsid w:val="008237AD"/>
    <w:rsid w:val="008237D8"/>
    <w:rsid w:val="00823906"/>
    <w:rsid w:val="00823976"/>
    <w:rsid w:val="00823A8F"/>
    <w:rsid w:val="00823E20"/>
    <w:rsid w:val="00823E3A"/>
    <w:rsid w:val="008241D1"/>
    <w:rsid w:val="008242BF"/>
    <w:rsid w:val="008242D7"/>
    <w:rsid w:val="00824326"/>
    <w:rsid w:val="008244EB"/>
    <w:rsid w:val="0082458B"/>
    <w:rsid w:val="00824707"/>
    <w:rsid w:val="0082478C"/>
    <w:rsid w:val="0082478D"/>
    <w:rsid w:val="008248AD"/>
    <w:rsid w:val="008248EC"/>
    <w:rsid w:val="00824A20"/>
    <w:rsid w:val="00824C82"/>
    <w:rsid w:val="00824D75"/>
    <w:rsid w:val="00824DC8"/>
    <w:rsid w:val="00824F2C"/>
    <w:rsid w:val="0082501D"/>
    <w:rsid w:val="00825045"/>
    <w:rsid w:val="0082519A"/>
    <w:rsid w:val="008251D5"/>
    <w:rsid w:val="008251F5"/>
    <w:rsid w:val="00825595"/>
    <w:rsid w:val="008255E3"/>
    <w:rsid w:val="0082562D"/>
    <w:rsid w:val="0082585B"/>
    <w:rsid w:val="0082586A"/>
    <w:rsid w:val="00825B00"/>
    <w:rsid w:val="00825B39"/>
    <w:rsid w:val="00825DBD"/>
    <w:rsid w:val="00825F3E"/>
    <w:rsid w:val="00826029"/>
    <w:rsid w:val="008260FA"/>
    <w:rsid w:val="008261CF"/>
    <w:rsid w:val="0082629D"/>
    <w:rsid w:val="008263E8"/>
    <w:rsid w:val="00826547"/>
    <w:rsid w:val="008265D9"/>
    <w:rsid w:val="00826791"/>
    <w:rsid w:val="008267A1"/>
    <w:rsid w:val="00826833"/>
    <w:rsid w:val="0082686A"/>
    <w:rsid w:val="00826A69"/>
    <w:rsid w:val="00826A90"/>
    <w:rsid w:val="00826AF5"/>
    <w:rsid w:val="00826AF6"/>
    <w:rsid w:val="00826B85"/>
    <w:rsid w:val="00826BB4"/>
    <w:rsid w:val="00826C29"/>
    <w:rsid w:val="00826CE1"/>
    <w:rsid w:val="00826DA2"/>
    <w:rsid w:val="00826F3A"/>
    <w:rsid w:val="008270C5"/>
    <w:rsid w:val="0082744D"/>
    <w:rsid w:val="00827462"/>
    <w:rsid w:val="008274FD"/>
    <w:rsid w:val="00827640"/>
    <w:rsid w:val="00827765"/>
    <w:rsid w:val="0082793A"/>
    <w:rsid w:val="0082799B"/>
    <w:rsid w:val="00827AD5"/>
    <w:rsid w:val="00827B74"/>
    <w:rsid w:val="00827D10"/>
    <w:rsid w:val="00827D1E"/>
    <w:rsid w:val="00827E27"/>
    <w:rsid w:val="008300C6"/>
    <w:rsid w:val="00830221"/>
    <w:rsid w:val="00830459"/>
    <w:rsid w:val="0083046E"/>
    <w:rsid w:val="008304A7"/>
    <w:rsid w:val="00830745"/>
    <w:rsid w:val="0083074D"/>
    <w:rsid w:val="00830817"/>
    <w:rsid w:val="0083086F"/>
    <w:rsid w:val="00830A0D"/>
    <w:rsid w:val="00830A7C"/>
    <w:rsid w:val="00830D19"/>
    <w:rsid w:val="00830DEB"/>
    <w:rsid w:val="00830E40"/>
    <w:rsid w:val="00830F73"/>
    <w:rsid w:val="00830FF4"/>
    <w:rsid w:val="00831004"/>
    <w:rsid w:val="00831029"/>
    <w:rsid w:val="008310A3"/>
    <w:rsid w:val="008310AA"/>
    <w:rsid w:val="00831116"/>
    <w:rsid w:val="00831163"/>
    <w:rsid w:val="0083140C"/>
    <w:rsid w:val="0083156E"/>
    <w:rsid w:val="0083160A"/>
    <w:rsid w:val="0083170F"/>
    <w:rsid w:val="008318C6"/>
    <w:rsid w:val="00831931"/>
    <w:rsid w:val="00831949"/>
    <w:rsid w:val="00831A40"/>
    <w:rsid w:val="00831AF6"/>
    <w:rsid w:val="00831BF6"/>
    <w:rsid w:val="00831D34"/>
    <w:rsid w:val="00831F84"/>
    <w:rsid w:val="00831FB8"/>
    <w:rsid w:val="00831FC6"/>
    <w:rsid w:val="0083211D"/>
    <w:rsid w:val="0083233E"/>
    <w:rsid w:val="008323A9"/>
    <w:rsid w:val="0083247E"/>
    <w:rsid w:val="0083250D"/>
    <w:rsid w:val="00832602"/>
    <w:rsid w:val="00832722"/>
    <w:rsid w:val="00832A18"/>
    <w:rsid w:val="00832BCD"/>
    <w:rsid w:val="00832CF2"/>
    <w:rsid w:val="00832D15"/>
    <w:rsid w:val="00832D41"/>
    <w:rsid w:val="00833116"/>
    <w:rsid w:val="00833154"/>
    <w:rsid w:val="008332A1"/>
    <w:rsid w:val="008334E5"/>
    <w:rsid w:val="00833699"/>
    <w:rsid w:val="008336D2"/>
    <w:rsid w:val="0083372E"/>
    <w:rsid w:val="00833818"/>
    <w:rsid w:val="0083390C"/>
    <w:rsid w:val="00833A42"/>
    <w:rsid w:val="00833B39"/>
    <w:rsid w:val="00833DFC"/>
    <w:rsid w:val="00833F41"/>
    <w:rsid w:val="00833F56"/>
    <w:rsid w:val="00833FEC"/>
    <w:rsid w:val="00834193"/>
    <w:rsid w:val="00834264"/>
    <w:rsid w:val="008344D4"/>
    <w:rsid w:val="0083456D"/>
    <w:rsid w:val="00834631"/>
    <w:rsid w:val="008347B3"/>
    <w:rsid w:val="00834852"/>
    <w:rsid w:val="00834876"/>
    <w:rsid w:val="008348C0"/>
    <w:rsid w:val="008348E5"/>
    <w:rsid w:val="0083499D"/>
    <w:rsid w:val="00834A20"/>
    <w:rsid w:val="00834C18"/>
    <w:rsid w:val="00834E73"/>
    <w:rsid w:val="00834E7F"/>
    <w:rsid w:val="00834F26"/>
    <w:rsid w:val="0083516A"/>
    <w:rsid w:val="008352F1"/>
    <w:rsid w:val="00835395"/>
    <w:rsid w:val="0083540E"/>
    <w:rsid w:val="00835420"/>
    <w:rsid w:val="008356BF"/>
    <w:rsid w:val="00835748"/>
    <w:rsid w:val="008358A8"/>
    <w:rsid w:val="0083596B"/>
    <w:rsid w:val="00835AE2"/>
    <w:rsid w:val="00835B72"/>
    <w:rsid w:val="00835C3B"/>
    <w:rsid w:val="00835CAD"/>
    <w:rsid w:val="00835D90"/>
    <w:rsid w:val="00835E17"/>
    <w:rsid w:val="00835FC7"/>
    <w:rsid w:val="0083647A"/>
    <w:rsid w:val="00836626"/>
    <w:rsid w:val="0083683D"/>
    <w:rsid w:val="00836B2E"/>
    <w:rsid w:val="00836B64"/>
    <w:rsid w:val="00836C3D"/>
    <w:rsid w:val="00836D49"/>
    <w:rsid w:val="0083704D"/>
    <w:rsid w:val="00837136"/>
    <w:rsid w:val="00837138"/>
    <w:rsid w:val="00837261"/>
    <w:rsid w:val="0083788B"/>
    <w:rsid w:val="00837986"/>
    <w:rsid w:val="00837CF0"/>
    <w:rsid w:val="00837E1E"/>
    <w:rsid w:val="00837F6D"/>
    <w:rsid w:val="008400FC"/>
    <w:rsid w:val="008402BD"/>
    <w:rsid w:val="0084034A"/>
    <w:rsid w:val="00840467"/>
    <w:rsid w:val="008404D3"/>
    <w:rsid w:val="00840608"/>
    <w:rsid w:val="008406DF"/>
    <w:rsid w:val="00840745"/>
    <w:rsid w:val="00840753"/>
    <w:rsid w:val="0084079C"/>
    <w:rsid w:val="008409B3"/>
    <w:rsid w:val="00840A53"/>
    <w:rsid w:val="00840E32"/>
    <w:rsid w:val="00840E50"/>
    <w:rsid w:val="00840E69"/>
    <w:rsid w:val="00840EE6"/>
    <w:rsid w:val="00840F2B"/>
    <w:rsid w:val="00840F43"/>
    <w:rsid w:val="008410EC"/>
    <w:rsid w:val="0084111F"/>
    <w:rsid w:val="0084118B"/>
    <w:rsid w:val="008412F4"/>
    <w:rsid w:val="008413CE"/>
    <w:rsid w:val="0084147B"/>
    <w:rsid w:val="008415AF"/>
    <w:rsid w:val="008415B6"/>
    <w:rsid w:val="008415E5"/>
    <w:rsid w:val="008416C2"/>
    <w:rsid w:val="008416D5"/>
    <w:rsid w:val="00841A8B"/>
    <w:rsid w:val="00841B4E"/>
    <w:rsid w:val="00841D28"/>
    <w:rsid w:val="00841FDA"/>
    <w:rsid w:val="008420DF"/>
    <w:rsid w:val="008420E6"/>
    <w:rsid w:val="0084219C"/>
    <w:rsid w:val="0084253C"/>
    <w:rsid w:val="00842556"/>
    <w:rsid w:val="00842636"/>
    <w:rsid w:val="008426D4"/>
    <w:rsid w:val="008428B5"/>
    <w:rsid w:val="008429EB"/>
    <w:rsid w:val="00842A84"/>
    <w:rsid w:val="00842AB9"/>
    <w:rsid w:val="00842C6E"/>
    <w:rsid w:val="00842D16"/>
    <w:rsid w:val="00842DD5"/>
    <w:rsid w:val="00842E57"/>
    <w:rsid w:val="00842F2E"/>
    <w:rsid w:val="00843053"/>
    <w:rsid w:val="008430C4"/>
    <w:rsid w:val="00843127"/>
    <w:rsid w:val="00843374"/>
    <w:rsid w:val="00843378"/>
    <w:rsid w:val="00843426"/>
    <w:rsid w:val="0084355F"/>
    <w:rsid w:val="008438BE"/>
    <w:rsid w:val="008439E9"/>
    <w:rsid w:val="00843A3E"/>
    <w:rsid w:val="00843A53"/>
    <w:rsid w:val="00843B15"/>
    <w:rsid w:val="00843BC2"/>
    <w:rsid w:val="00843C32"/>
    <w:rsid w:val="00843C3E"/>
    <w:rsid w:val="00843E2C"/>
    <w:rsid w:val="00843EB5"/>
    <w:rsid w:val="00843EF2"/>
    <w:rsid w:val="00843F0F"/>
    <w:rsid w:val="00843F9C"/>
    <w:rsid w:val="0084406C"/>
    <w:rsid w:val="008440EC"/>
    <w:rsid w:val="008441C0"/>
    <w:rsid w:val="008442EE"/>
    <w:rsid w:val="00844344"/>
    <w:rsid w:val="00844415"/>
    <w:rsid w:val="00844558"/>
    <w:rsid w:val="0084474D"/>
    <w:rsid w:val="008447E2"/>
    <w:rsid w:val="008448A0"/>
    <w:rsid w:val="0084491D"/>
    <w:rsid w:val="00844945"/>
    <w:rsid w:val="008449BB"/>
    <w:rsid w:val="00844B73"/>
    <w:rsid w:val="00844BA3"/>
    <w:rsid w:val="00844D27"/>
    <w:rsid w:val="00845189"/>
    <w:rsid w:val="008451BD"/>
    <w:rsid w:val="00845433"/>
    <w:rsid w:val="00845538"/>
    <w:rsid w:val="008456F2"/>
    <w:rsid w:val="0084573D"/>
    <w:rsid w:val="008457E8"/>
    <w:rsid w:val="00845833"/>
    <w:rsid w:val="0084584B"/>
    <w:rsid w:val="00845992"/>
    <w:rsid w:val="00845D52"/>
    <w:rsid w:val="00845E77"/>
    <w:rsid w:val="00845F23"/>
    <w:rsid w:val="008460BA"/>
    <w:rsid w:val="0084618C"/>
    <w:rsid w:val="0084627F"/>
    <w:rsid w:val="008462F4"/>
    <w:rsid w:val="00846355"/>
    <w:rsid w:val="008464C3"/>
    <w:rsid w:val="00846636"/>
    <w:rsid w:val="00846760"/>
    <w:rsid w:val="00846768"/>
    <w:rsid w:val="008467EE"/>
    <w:rsid w:val="00846819"/>
    <w:rsid w:val="00846AC6"/>
    <w:rsid w:val="00846ADF"/>
    <w:rsid w:val="00846B54"/>
    <w:rsid w:val="00846BB8"/>
    <w:rsid w:val="00846BE1"/>
    <w:rsid w:val="00846C22"/>
    <w:rsid w:val="00846D08"/>
    <w:rsid w:val="00846D18"/>
    <w:rsid w:val="00846D35"/>
    <w:rsid w:val="00846F00"/>
    <w:rsid w:val="00846F5C"/>
    <w:rsid w:val="00847061"/>
    <w:rsid w:val="00847074"/>
    <w:rsid w:val="008471C2"/>
    <w:rsid w:val="008472E9"/>
    <w:rsid w:val="00847307"/>
    <w:rsid w:val="00847603"/>
    <w:rsid w:val="00847607"/>
    <w:rsid w:val="008476E0"/>
    <w:rsid w:val="00847751"/>
    <w:rsid w:val="00847802"/>
    <w:rsid w:val="00847C74"/>
    <w:rsid w:val="00847CBC"/>
    <w:rsid w:val="00847DE9"/>
    <w:rsid w:val="00847E38"/>
    <w:rsid w:val="00847F30"/>
    <w:rsid w:val="00847F91"/>
    <w:rsid w:val="00847FA9"/>
    <w:rsid w:val="00850002"/>
    <w:rsid w:val="00850014"/>
    <w:rsid w:val="00850054"/>
    <w:rsid w:val="00850076"/>
    <w:rsid w:val="008500E6"/>
    <w:rsid w:val="0085017C"/>
    <w:rsid w:val="008502A3"/>
    <w:rsid w:val="00850353"/>
    <w:rsid w:val="00850930"/>
    <w:rsid w:val="00850947"/>
    <w:rsid w:val="00850964"/>
    <w:rsid w:val="00850B8F"/>
    <w:rsid w:val="00850BE6"/>
    <w:rsid w:val="00850CAE"/>
    <w:rsid w:val="00850CF8"/>
    <w:rsid w:val="00850E2E"/>
    <w:rsid w:val="00850E39"/>
    <w:rsid w:val="00850F7C"/>
    <w:rsid w:val="00851012"/>
    <w:rsid w:val="00851159"/>
    <w:rsid w:val="0085121C"/>
    <w:rsid w:val="0085149D"/>
    <w:rsid w:val="00851521"/>
    <w:rsid w:val="008516FB"/>
    <w:rsid w:val="00851751"/>
    <w:rsid w:val="008518E6"/>
    <w:rsid w:val="00851FB2"/>
    <w:rsid w:val="008520B1"/>
    <w:rsid w:val="008521B7"/>
    <w:rsid w:val="008521D1"/>
    <w:rsid w:val="00852261"/>
    <w:rsid w:val="008522EA"/>
    <w:rsid w:val="008523D3"/>
    <w:rsid w:val="00852482"/>
    <w:rsid w:val="0085250B"/>
    <w:rsid w:val="0085256A"/>
    <w:rsid w:val="00852651"/>
    <w:rsid w:val="008526B8"/>
    <w:rsid w:val="00852834"/>
    <w:rsid w:val="008528AD"/>
    <w:rsid w:val="00852A09"/>
    <w:rsid w:val="00852C84"/>
    <w:rsid w:val="00852CAE"/>
    <w:rsid w:val="00852D78"/>
    <w:rsid w:val="00852DB3"/>
    <w:rsid w:val="00852E0B"/>
    <w:rsid w:val="00852EE3"/>
    <w:rsid w:val="00852FA3"/>
    <w:rsid w:val="00853089"/>
    <w:rsid w:val="00853216"/>
    <w:rsid w:val="00853303"/>
    <w:rsid w:val="008534B1"/>
    <w:rsid w:val="008535E2"/>
    <w:rsid w:val="008536A8"/>
    <w:rsid w:val="008536F1"/>
    <w:rsid w:val="00853725"/>
    <w:rsid w:val="008537B1"/>
    <w:rsid w:val="008537E5"/>
    <w:rsid w:val="008539A9"/>
    <w:rsid w:val="00853ADE"/>
    <w:rsid w:val="00853AF3"/>
    <w:rsid w:val="00853B16"/>
    <w:rsid w:val="00853B79"/>
    <w:rsid w:val="00853C1F"/>
    <w:rsid w:val="00853D0D"/>
    <w:rsid w:val="00853D9E"/>
    <w:rsid w:val="00853DC3"/>
    <w:rsid w:val="00853EC8"/>
    <w:rsid w:val="0085413F"/>
    <w:rsid w:val="008541D6"/>
    <w:rsid w:val="008541FF"/>
    <w:rsid w:val="008544B3"/>
    <w:rsid w:val="00854540"/>
    <w:rsid w:val="00854734"/>
    <w:rsid w:val="008548BF"/>
    <w:rsid w:val="008548F1"/>
    <w:rsid w:val="00854945"/>
    <w:rsid w:val="0085496B"/>
    <w:rsid w:val="008549A6"/>
    <w:rsid w:val="00854AEF"/>
    <w:rsid w:val="00854B0C"/>
    <w:rsid w:val="00854B7E"/>
    <w:rsid w:val="00854BCD"/>
    <w:rsid w:val="00854C88"/>
    <w:rsid w:val="00854CF1"/>
    <w:rsid w:val="00854D2A"/>
    <w:rsid w:val="00854D36"/>
    <w:rsid w:val="00854DF4"/>
    <w:rsid w:val="00855716"/>
    <w:rsid w:val="008557BD"/>
    <w:rsid w:val="00855ADA"/>
    <w:rsid w:val="00855ADE"/>
    <w:rsid w:val="00855CB7"/>
    <w:rsid w:val="00855D6B"/>
    <w:rsid w:val="00855DAB"/>
    <w:rsid w:val="00855F03"/>
    <w:rsid w:val="0085606C"/>
    <w:rsid w:val="008560CB"/>
    <w:rsid w:val="008560E3"/>
    <w:rsid w:val="0085629D"/>
    <w:rsid w:val="0085650D"/>
    <w:rsid w:val="008566A2"/>
    <w:rsid w:val="008566C5"/>
    <w:rsid w:val="008566E5"/>
    <w:rsid w:val="00856703"/>
    <w:rsid w:val="00856743"/>
    <w:rsid w:val="00856784"/>
    <w:rsid w:val="00856A62"/>
    <w:rsid w:val="00856B5C"/>
    <w:rsid w:val="00856BDC"/>
    <w:rsid w:val="00856CC0"/>
    <w:rsid w:val="00856DDA"/>
    <w:rsid w:val="0085700E"/>
    <w:rsid w:val="008570AC"/>
    <w:rsid w:val="00857261"/>
    <w:rsid w:val="0085761D"/>
    <w:rsid w:val="0085774C"/>
    <w:rsid w:val="008577EF"/>
    <w:rsid w:val="008577F4"/>
    <w:rsid w:val="00857839"/>
    <w:rsid w:val="00857892"/>
    <w:rsid w:val="008579A1"/>
    <w:rsid w:val="00857B43"/>
    <w:rsid w:val="00857C64"/>
    <w:rsid w:val="00857DAD"/>
    <w:rsid w:val="00857EC3"/>
    <w:rsid w:val="00857FC1"/>
    <w:rsid w:val="0086015D"/>
    <w:rsid w:val="0086061B"/>
    <w:rsid w:val="00860690"/>
    <w:rsid w:val="0086078B"/>
    <w:rsid w:val="008607C3"/>
    <w:rsid w:val="00860A81"/>
    <w:rsid w:val="00860A92"/>
    <w:rsid w:val="00860B7A"/>
    <w:rsid w:val="00860B7F"/>
    <w:rsid w:val="00860B99"/>
    <w:rsid w:val="00860C46"/>
    <w:rsid w:val="00860DC8"/>
    <w:rsid w:val="00861019"/>
    <w:rsid w:val="00861031"/>
    <w:rsid w:val="008610D0"/>
    <w:rsid w:val="008611C4"/>
    <w:rsid w:val="00861266"/>
    <w:rsid w:val="00861330"/>
    <w:rsid w:val="0086134E"/>
    <w:rsid w:val="00861456"/>
    <w:rsid w:val="008615A2"/>
    <w:rsid w:val="00861689"/>
    <w:rsid w:val="00861910"/>
    <w:rsid w:val="00861DAB"/>
    <w:rsid w:val="00861E27"/>
    <w:rsid w:val="00861E6F"/>
    <w:rsid w:val="00861EAE"/>
    <w:rsid w:val="00862041"/>
    <w:rsid w:val="00862352"/>
    <w:rsid w:val="0086252C"/>
    <w:rsid w:val="00862653"/>
    <w:rsid w:val="0086267F"/>
    <w:rsid w:val="008626A7"/>
    <w:rsid w:val="008626E0"/>
    <w:rsid w:val="0086272A"/>
    <w:rsid w:val="00862A22"/>
    <w:rsid w:val="00862A3C"/>
    <w:rsid w:val="00862AFE"/>
    <w:rsid w:val="00862B32"/>
    <w:rsid w:val="00862DC1"/>
    <w:rsid w:val="00862DD6"/>
    <w:rsid w:val="00862F8F"/>
    <w:rsid w:val="00862FB0"/>
    <w:rsid w:val="008630D4"/>
    <w:rsid w:val="00863135"/>
    <w:rsid w:val="008634E1"/>
    <w:rsid w:val="0086363E"/>
    <w:rsid w:val="008639A9"/>
    <w:rsid w:val="00863AF4"/>
    <w:rsid w:val="00863B02"/>
    <w:rsid w:val="00863B67"/>
    <w:rsid w:val="00863C3D"/>
    <w:rsid w:val="00863DB7"/>
    <w:rsid w:val="00863DB8"/>
    <w:rsid w:val="00863E61"/>
    <w:rsid w:val="00863ED5"/>
    <w:rsid w:val="00863EFF"/>
    <w:rsid w:val="00863F5E"/>
    <w:rsid w:val="00863FB8"/>
    <w:rsid w:val="0086410E"/>
    <w:rsid w:val="00864389"/>
    <w:rsid w:val="008643C7"/>
    <w:rsid w:val="008646FA"/>
    <w:rsid w:val="00864963"/>
    <w:rsid w:val="00864974"/>
    <w:rsid w:val="00864A51"/>
    <w:rsid w:val="00864A8A"/>
    <w:rsid w:val="00864B26"/>
    <w:rsid w:val="00864D73"/>
    <w:rsid w:val="00864E57"/>
    <w:rsid w:val="00864E80"/>
    <w:rsid w:val="00864EDD"/>
    <w:rsid w:val="0086540C"/>
    <w:rsid w:val="008656FC"/>
    <w:rsid w:val="008657A0"/>
    <w:rsid w:val="0086585B"/>
    <w:rsid w:val="0086589D"/>
    <w:rsid w:val="00865AD6"/>
    <w:rsid w:val="00865BC2"/>
    <w:rsid w:val="00865E49"/>
    <w:rsid w:val="0086600A"/>
    <w:rsid w:val="00866016"/>
    <w:rsid w:val="00866121"/>
    <w:rsid w:val="00866141"/>
    <w:rsid w:val="00866169"/>
    <w:rsid w:val="00866251"/>
    <w:rsid w:val="0086633D"/>
    <w:rsid w:val="0086642E"/>
    <w:rsid w:val="008664BA"/>
    <w:rsid w:val="008664F8"/>
    <w:rsid w:val="00866AC3"/>
    <w:rsid w:val="00866BFC"/>
    <w:rsid w:val="00866CBA"/>
    <w:rsid w:val="00866CDF"/>
    <w:rsid w:val="00866D38"/>
    <w:rsid w:val="00866F31"/>
    <w:rsid w:val="00866F9E"/>
    <w:rsid w:val="00867052"/>
    <w:rsid w:val="00867157"/>
    <w:rsid w:val="008671B2"/>
    <w:rsid w:val="008671C4"/>
    <w:rsid w:val="00867254"/>
    <w:rsid w:val="0086764E"/>
    <w:rsid w:val="00867715"/>
    <w:rsid w:val="0086780A"/>
    <w:rsid w:val="00867866"/>
    <w:rsid w:val="008678C5"/>
    <w:rsid w:val="008678EB"/>
    <w:rsid w:val="00867993"/>
    <w:rsid w:val="008679E5"/>
    <w:rsid w:val="00867A02"/>
    <w:rsid w:val="00867A4E"/>
    <w:rsid w:val="00867BA1"/>
    <w:rsid w:val="00867DE1"/>
    <w:rsid w:val="00867E45"/>
    <w:rsid w:val="00867FBF"/>
    <w:rsid w:val="00870375"/>
    <w:rsid w:val="0087037C"/>
    <w:rsid w:val="008704F4"/>
    <w:rsid w:val="00870833"/>
    <w:rsid w:val="00870840"/>
    <w:rsid w:val="008708CD"/>
    <w:rsid w:val="008708F9"/>
    <w:rsid w:val="00870A6E"/>
    <w:rsid w:val="00870A78"/>
    <w:rsid w:val="00870BB6"/>
    <w:rsid w:val="00870CA1"/>
    <w:rsid w:val="00870CE1"/>
    <w:rsid w:val="00870E31"/>
    <w:rsid w:val="00870ED3"/>
    <w:rsid w:val="00870F3F"/>
    <w:rsid w:val="00870F6C"/>
    <w:rsid w:val="00870F7E"/>
    <w:rsid w:val="00870FE2"/>
    <w:rsid w:val="00871136"/>
    <w:rsid w:val="008711B1"/>
    <w:rsid w:val="008712D5"/>
    <w:rsid w:val="008712FD"/>
    <w:rsid w:val="0087141C"/>
    <w:rsid w:val="00871463"/>
    <w:rsid w:val="00871545"/>
    <w:rsid w:val="0087155C"/>
    <w:rsid w:val="0087155D"/>
    <w:rsid w:val="00871572"/>
    <w:rsid w:val="00871588"/>
    <w:rsid w:val="008715D9"/>
    <w:rsid w:val="008715ED"/>
    <w:rsid w:val="008716D1"/>
    <w:rsid w:val="008716E2"/>
    <w:rsid w:val="008716FB"/>
    <w:rsid w:val="00871715"/>
    <w:rsid w:val="00871856"/>
    <w:rsid w:val="00871897"/>
    <w:rsid w:val="008718A5"/>
    <w:rsid w:val="00871985"/>
    <w:rsid w:val="008719A7"/>
    <w:rsid w:val="00871A03"/>
    <w:rsid w:val="00871A3B"/>
    <w:rsid w:val="00871A87"/>
    <w:rsid w:val="00871E65"/>
    <w:rsid w:val="00872011"/>
    <w:rsid w:val="0087201C"/>
    <w:rsid w:val="00872095"/>
    <w:rsid w:val="008720C0"/>
    <w:rsid w:val="00872142"/>
    <w:rsid w:val="008721CF"/>
    <w:rsid w:val="008723A5"/>
    <w:rsid w:val="008723CF"/>
    <w:rsid w:val="00872515"/>
    <w:rsid w:val="0087261E"/>
    <w:rsid w:val="008726B2"/>
    <w:rsid w:val="0087273C"/>
    <w:rsid w:val="0087276D"/>
    <w:rsid w:val="008727A5"/>
    <w:rsid w:val="008727C0"/>
    <w:rsid w:val="008728C2"/>
    <w:rsid w:val="00872981"/>
    <w:rsid w:val="008729C3"/>
    <w:rsid w:val="00872A8E"/>
    <w:rsid w:val="00872C5D"/>
    <w:rsid w:val="00872C93"/>
    <w:rsid w:val="00872D5A"/>
    <w:rsid w:val="00873050"/>
    <w:rsid w:val="00873063"/>
    <w:rsid w:val="008731DA"/>
    <w:rsid w:val="0087321F"/>
    <w:rsid w:val="00873369"/>
    <w:rsid w:val="00873466"/>
    <w:rsid w:val="008736B7"/>
    <w:rsid w:val="008736BF"/>
    <w:rsid w:val="0087377D"/>
    <w:rsid w:val="0087380B"/>
    <w:rsid w:val="008738CE"/>
    <w:rsid w:val="00873C19"/>
    <w:rsid w:val="00873CFF"/>
    <w:rsid w:val="00873E3E"/>
    <w:rsid w:val="00873F36"/>
    <w:rsid w:val="00873FED"/>
    <w:rsid w:val="008741E3"/>
    <w:rsid w:val="008742C3"/>
    <w:rsid w:val="008742F6"/>
    <w:rsid w:val="00874507"/>
    <w:rsid w:val="0087454D"/>
    <w:rsid w:val="008747AC"/>
    <w:rsid w:val="00874826"/>
    <w:rsid w:val="00874842"/>
    <w:rsid w:val="00874888"/>
    <w:rsid w:val="00874909"/>
    <w:rsid w:val="0087496D"/>
    <w:rsid w:val="00874B8C"/>
    <w:rsid w:val="00874EB1"/>
    <w:rsid w:val="00874F54"/>
    <w:rsid w:val="00874F71"/>
    <w:rsid w:val="00874FA6"/>
    <w:rsid w:val="00875145"/>
    <w:rsid w:val="00875216"/>
    <w:rsid w:val="00875244"/>
    <w:rsid w:val="00875337"/>
    <w:rsid w:val="0087541D"/>
    <w:rsid w:val="008759F9"/>
    <w:rsid w:val="00875A4C"/>
    <w:rsid w:val="00875AE4"/>
    <w:rsid w:val="00875B19"/>
    <w:rsid w:val="00875C8D"/>
    <w:rsid w:val="00875D79"/>
    <w:rsid w:val="00875D90"/>
    <w:rsid w:val="00875EB1"/>
    <w:rsid w:val="00875F8E"/>
    <w:rsid w:val="00876031"/>
    <w:rsid w:val="0087609B"/>
    <w:rsid w:val="00876447"/>
    <w:rsid w:val="00876471"/>
    <w:rsid w:val="0087651F"/>
    <w:rsid w:val="008766D7"/>
    <w:rsid w:val="00876883"/>
    <w:rsid w:val="00876D12"/>
    <w:rsid w:val="00876FB8"/>
    <w:rsid w:val="00877007"/>
    <w:rsid w:val="0087727E"/>
    <w:rsid w:val="0087732A"/>
    <w:rsid w:val="0087775E"/>
    <w:rsid w:val="00877830"/>
    <w:rsid w:val="00877D09"/>
    <w:rsid w:val="00877D2E"/>
    <w:rsid w:val="00877E32"/>
    <w:rsid w:val="00877E65"/>
    <w:rsid w:val="00877ED3"/>
    <w:rsid w:val="00877F55"/>
    <w:rsid w:val="00877FBE"/>
    <w:rsid w:val="008800DC"/>
    <w:rsid w:val="0088015A"/>
    <w:rsid w:val="008801A5"/>
    <w:rsid w:val="0088028A"/>
    <w:rsid w:val="008802B9"/>
    <w:rsid w:val="008803EF"/>
    <w:rsid w:val="008803F4"/>
    <w:rsid w:val="0088042C"/>
    <w:rsid w:val="00880513"/>
    <w:rsid w:val="00880681"/>
    <w:rsid w:val="008806A7"/>
    <w:rsid w:val="00880895"/>
    <w:rsid w:val="00880904"/>
    <w:rsid w:val="00880A82"/>
    <w:rsid w:val="00880B13"/>
    <w:rsid w:val="00880B31"/>
    <w:rsid w:val="00880B64"/>
    <w:rsid w:val="00880C9F"/>
    <w:rsid w:val="00880E4A"/>
    <w:rsid w:val="00880E62"/>
    <w:rsid w:val="00880E6E"/>
    <w:rsid w:val="00880E7C"/>
    <w:rsid w:val="00880E90"/>
    <w:rsid w:val="00880E9B"/>
    <w:rsid w:val="00880F92"/>
    <w:rsid w:val="00880FBA"/>
    <w:rsid w:val="00880FBD"/>
    <w:rsid w:val="00880FDC"/>
    <w:rsid w:val="00881119"/>
    <w:rsid w:val="008812EF"/>
    <w:rsid w:val="00881496"/>
    <w:rsid w:val="008814C7"/>
    <w:rsid w:val="008814DB"/>
    <w:rsid w:val="008816B1"/>
    <w:rsid w:val="00881711"/>
    <w:rsid w:val="00881785"/>
    <w:rsid w:val="00881787"/>
    <w:rsid w:val="008817BF"/>
    <w:rsid w:val="00881876"/>
    <w:rsid w:val="0088188C"/>
    <w:rsid w:val="008818CA"/>
    <w:rsid w:val="008818D0"/>
    <w:rsid w:val="00881924"/>
    <w:rsid w:val="00881AC8"/>
    <w:rsid w:val="00881C97"/>
    <w:rsid w:val="00881CC1"/>
    <w:rsid w:val="00881ED2"/>
    <w:rsid w:val="00881F40"/>
    <w:rsid w:val="008820AF"/>
    <w:rsid w:val="0088228F"/>
    <w:rsid w:val="00882347"/>
    <w:rsid w:val="00882521"/>
    <w:rsid w:val="00882546"/>
    <w:rsid w:val="00882736"/>
    <w:rsid w:val="008827EC"/>
    <w:rsid w:val="008828B4"/>
    <w:rsid w:val="00882904"/>
    <w:rsid w:val="00882990"/>
    <w:rsid w:val="00882CD7"/>
    <w:rsid w:val="00882E98"/>
    <w:rsid w:val="00882E9E"/>
    <w:rsid w:val="00882EA8"/>
    <w:rsid w:val="00883006"/>
    <w:rsid w:val="008830FD"/>
    <w:rsid w:val="0088315E"/>
    <w:rsid w:val="00883193"/>
    <w:rsid w:val="00883222"/>
    <w:rsid w:val="00883480"/>
    <w:rsid w:val="008834A2"/>
    <w:rsid w:val="008834CB"/>
    <w:rsid w:val="0088362B"/>
    <w:rsid w:val="008838F6"/>
    <w:rsid w:val="0088390A"/>
    <w:rsid w:val="00883975"/>
    <w:rsid w:val="00883C38"/>
    <w:rsid w:val="00883CC7"/>
    <w:rsid w:val="00883DF7"/>
    <w:rsid w:val="00883DFF"/>
    <w:rsid w:val="00883EF4"/>
    <w:rsid w:val="00883FF4"/>
    <w:rsid w:val="008840E0"/>
    <w:rsid w:val="008841A9"/>
    <w:rsid w:val="008841D6"/>
    <w:rsid w:val="00884408"/>
    <w:rsid w:val="008845A8"/>
    <w:rsid w:val="008847DC"/>
    <w:rsid w:val="0088483C"/>
    <w:rsid w:val="00884892"/>
    <w:rsid w:val="0088499B"/>
    <w:rsid w:val="00884A11"/>
    <w:rsid w:val="00884AED"/>
    <w:rsid w:val="00884BAF"/>
    <w:rsid w:val="00884F3F"/>
    <w:rsid w:val="00885015"/>
    <w:rsid w:val="0088505A"/>
    <w:rsid w:val="00885122"/>
    <w:rsid w:val="00885149"/>
    <w:rsid w:val="008853D5"/>
    <w:rsid w:val="0088544E"/>
    <w:rsid w:val="00885623"/>
    <w:rsid w:val="00885658"/>
    <w:rsid w:val="00885756"/>
    <w:rsid w:val="0088576F"/>
    <w:rsid w:val="00885864"/>
    <w:rsid w:val="00885899"/>
    <w:rsid w:val="00885CE6"/>
    <w:rsid w:val="00885E19"/>
    <w:rsid w:val="00885E73"/>
    <w:rsid w:val="00885FCC"/>
    <w:rsid w:val="0088601D"/>
    <w:rsid w:val="0088603D"/>
    <w:rsid w:val="00886098"/>
    <w:rsid w:val="0088621B"/>
    <w:rsid w:val="008863C5"/>
    <w:rsid w:val="00886488"/>
    <w:rsid w:val="00886733"/>
    <w:rsid w:val="0088686F"/>
    <w:rsid w:val="008868E2"/>
    <w:rsid w:val="0088696F"/>
    <w:rsid w:val="00886972"/>
    <w:rsid w:val="00886DF0"/>
    <w:rsid w:val="00886E3B"/>
    <w:rsid w:val="00886FCB"/>
    <w:rsid w:val="008870A0"/>
    <w:rsid w:val="008871AC"/>
    <w:rsid w:val="008871B4"/>
    <w:rsid w:val="008873A2"/>
    <w:rsid w:val="00887461"/>
    <w:rsid w:val="00887482"/>
    <w:rsid w:val="008874F5"/>
    <w:rsid w:val="00887517"/>
    <w:rsid w:val="0088761E"/>
    <w:rsid w:val="00887622"/>
    <w:rsid w:val="00887664"/>
    <w:rsid w:val="00887A57"/>
    <w:rsid w:val="00887AC7"/>
    <w:rsid w:val="00887ACB"/>
    <w:rsid w:val="00887B78"/>
    <w:rsid w:val="00887CC5"/>
    <w:rsid w:val="00887D0D"/>
    <w:rsid w:val="00887F55"/>
    <w:rsid w:val="00890027"/>
    <w:rsid w:val="008901AE"/>
    <w:rsid w:val="0089026A"/>
    <w:rsid w:val="008902C1"/>
    <w:rsid w:val="008902CD"/>
    <w:rsid w:val="00890391"/>
    <w:rsid w:val="00890475"/>
    <w:rsid w:val="008905DB"/>
    <w:rsid w:val="00890600"/>
    <w:rsid w:val="008907C5"/>
    <w:rsid w:val="008907FB"/>
    <w:rsid w:val="00890D50"/>
    <w:rsid w:val="00890D5B"/>
    <w:rsid w:val="00890E8E"/>
    <w:rsid w:val="00890ED0"/>
    <w:rsid w:val="00891002"/>
    <w:rsid w:val="00891390"/>
    <w:rsid w:val="00891441"/>
    <w:rsid w:val="0089174F"/>
    <w:rsid w:val="008918A2"/>
    <w:rsid w:val="008918A5"/>
    <w:rsid w:val="00891946"/>
    <w:rsid w:val="0089198B"/>
    <w:rsid w:val="00891A5A"/>
    <w:rsid w:val="00891A60"/>
    <w:rsid w:val="00891AC3"/>
    <w:rsid w:val="00891B41"/>
    <w:rsid w:val="00891D5B"/>
    <w:rsid w:val="00891EAB"/>
    <w:rsid w:val="00891EE3"/>
    <w:rsid w:val="00891F96"/>
    <w:rsid w:val="00891FEE"/>
    <w:rsid w:val="00892021"/>
    <w:rsid w:val="008923CF"/>
    <w:rsid w:val="00892407"/>
    <w:rsid w:val="0089253E"/>
    <w:rsid w:val="00892555"/>
    <w:rsid w:val="00892749"/>
    <w:rsid w:val="00892766"/>
    <w:rsid w:val="0089283C"/>
    <w:rsid w:val="00892981"/>
    <w:rsid w:val="0089298B"/>
    <w:rsid w:val="008929A8"/>
    <w:rsid w:val="008929CB"/>
    <w:rsid w:val="008929E9"/>
    <w:rsid w:val="008929FF"/>
    <w:rsid w:val="00892BE1"/>
    <w:rsid w:val="00892DA7"/>
    <w:rsid w:val="00892FA4"/>
    <w:rsid w:val="00893067"/>
    <w:rsid w:val="008931A4"/>
    <w:rsid w:val="00893214"/>
    <w:rsid w:val="008933BB"/>
    <w:rsid w:val="008934AE"/>
    <w:rsid w:val="0089381E"/>
    <w:rsid w:val="00893B4C"/>
    <w:rsid w:val="00893B71"/>
    <w:rsid w:val="00893D28"/>
    <w:rsid w:val="00893D9E"/>
    <w:rsid w:val="00893EC4"/>
    <w:rsid w:val="00893F9C"/>
    <w:rsid w:val="00894010"/>
    <w:rsid w:val="008942AE"/>
    <w:rsid w:val="0089439B"/>
    <w:rsid w:val="0089471F"/>
    <w:rsid w:val="00894847"/>
    <w:rsid w:val="0089499A"/>
    <w:rsid w:val="00894CB5"/>
    <w:rsid w:val="00894E89"/>
    <w:rsid w:val="00894EDE"/>
    <w:rsid w:val="00894FFB"/>
    <w:rsid w:val="00895034"/>
    <w:rsid w:val="008950EC"/>
    <w:rsid w:val="0089510A"/>
    <w:rsid w:val="00895119"/>
    <w:rsid w:val="00895199"/>
    <w:rsid w:val="0089522A"/>
    <w:rsid w:val="0089525B"/>
    <w:rsid w:val="008952AA"/>
    <w:rsid w:val="008952FD"/>
    <w:rsid w:val="0089534E"/>
    <w:rsid w:val="00895473"/>
    <w:rsid w:val="008954C2"/>
    <w:rsid w:val="0089564B"/>
    <w:rsid w:val="0089578B"/>
    <w:rsid w:val="00895A07"/>
    <w:rsid w:val="00895AF5"/>
    <w:rsid w:val="00895B92"/>
    <w:rsid w:val="00895C0B"/>
    <w:rsid w:val="00895CE6"/>
    <w:rsid w:val="00895CF0"/>
    <w:rsid w:val="00895D7F"/>
    <w:rsid w:val="00895E49"/>
    <w:rsid w:val="00895F08"/>
    <w:rsid w:val="00896092"/>
    <w:rsid w:val="00896219"/>
    <w:rsid w:val="0089626D"/>
    <w:rsid w:val="008962CB"/>
    <w:rsid w:val="00896365"/>
    <w:rsid w:val="008963B4"/>
    <w:rsid w:val="00896428"/>
    <w:rsid w:val="008964A3"/>
    <w:rsid w:val="008965C4"/>
    <w:rsid w:val="008966DF"/>
    <w:rsid w:val="008967C2"/>
    <w:rsid w:val="00896824"/>
    <w:rsid w:val="0089688B"/>
    <w:rsid w:val="008968A9"/>
    <w:rsid w:val="00896AC5"/>
    <w:rsid w:val="00896B2D"/>
    <w:rsid w:val="00896C39"/>
    <w:rsid w:val="00896C5A"/>
    <w:rsid w:val="00896D2D"/>
    <w:rsid w:val="00896D84"/>
    <w:rsid w:val="00896E78"/>
    <w:rsid w:val="008971AD"/>
    <w:rsid w:val="00897216"/>
    <w:rsid w:val="008972A4"/>
    <w:rsid w:val="008972DD"/>
    <w:rsid w:val="00897611"/>
    <w:rsid w:val="0089798C"/>
    <w:rsid w:val="008979A3"/>
    <w:rsid w:val="00897A1C"/>
    <w:rsid w:val="00897E03"/>
    <w:rsid w:val="00897E2C"/>
    <w:rsid w:val="00897F2C"/>
    <w:rsid w:val="008A01D6"/>
    <w:rsid w:val="008A03F2"/>
    <w:rsid w:val="008A045F"/>
    <w:rsid w:val="008A054D"/>
    <w:rsid w:val="008A0558"/>
    <w:rsid w:val="008A068A"/>
    <w:rsid w:val="008A06E0"/>
    <w:rsid w:val="008A0724"/>
    <w:rsid w:val="008A0C04"/>
    <w:rsid w:val="008A0CF6"/>
    <w:rsid w:val="008A0F45"/>
    <w:rsid w:val="008A1045"/>
    <w:rsid w:val="008A1048"/>
    <w:rsid w:val="008A1172"/>
    <w:rsid w:val="008A11F5"/>
    <w:rsid w:val="008A1281"/>
    <w:rsid w:val="008A143F"/>
    <w:rsid w:val="008A14AC"/>
    <w:rsid w:val="008A153B"/>
    <w:rsid w:val="008A15F7"/>
    <w:rsid w:val="008A1689"/>
    <w:rsid w:val="008A1710"/>
    <w:rsid w:val="008A1846"/>
    <w:rsid w:val="008A18AC"/>
    <w:rsid w:val="008A1ADD"/>
    <w:rsid w:val="008A1BD1"/>
    <w:rsid w:val="008A1C20"/>
    <w:rsid w:val="008A1E04"/>
    <w:rsid w:val="008A1E66"/>
    <w:rsid w:val="008A1F22"/>
    <w:rsid w:val="008A1F34"/>
    <w:rsid w:val="008A1F41"/>
    <w:rsid w:val="008A1FC8"/>
    <w:rsid w:val="008A2084"/>
    <w:rsid w:val="008A21BB"/>
    <w:rsid w:val="008A21D5"/>
    <w:rsid w:val="008A21EF"/>
    <w:rsid w:val="008A229D"/>
    <w:rsid w:val="008A22FE"/>
    <w:rsid w:val="008A23F5"/>
    <w:rsid w:val="008A243B"/>
    <w:rsid w:val="008A253E"/>
    <w:rsid w:val="008A260F"/>
    <w:rsid w:val="008A267F"/>
    <w:rsid w:val="008A27BA"/>
    <w:rsid w:val="008A2949"/>
    <w:rsid w:val="008A2967"/>
    <w:rsid w:val="008A2C8A"/>
    <w:rsid w:val="008A2F41"/>
    <w:rsid w:val="008A2F59"/>
    <w:rsid w:val="008A2F8B"/>
    <w:rsid w:val="008A309C"/>
    <w:rsid w:val="008A3182"/>
    <w:rsid w:val="008A31E9"/>
    <w:rsid w:val="008A32DD"/>
    <w:rsid w:val="008A3604"/>
    <w:rsid w:val="008A3776"/>
    <w:rsid w:val="008A37D8"/>
    <w:rsid w:val="008A3853"/>
    <w:rsid w:val="008A38BF"/>
    <w:rsid w:val="008A392B"/>
    <w:rsid w:val="008A3C3D"/>
    <w:rsid w:val="008A3CA5"/>
    <w:rsid w:val="008A3E0B"/>
    <w:rsid w:val="008A4110"/>
    <w:rsid w:val="008A4184"/>
    <w:rsid w:val="008A4248"/>
    <w:rsid w:val="008A426C"/>
    <w:rsid w:val="008A4275"/>
    <w:rsid w:val="008A4672"/>
    <w:rsid w:val="008A473C"/>
    <w:rsid w:val="008A4867"/>
    <w:rsid w:val="008A498F"/>
    <w:rsid w:val="008A4A8F"/>
    <w:rsid w:val="008A4AA4"/>
    <w:rsid w:val="008A4C80"/>
    <w:rsid w:val="008A4C95"/>
    <w:rsid w:val="008A4D79"/>
    <w:rsid w:val="008A4DF5"/>
    <w:rsid w:val="008A4E53"/>
    <w:rsid w:val="008A4E5F"/>
    <w:rsid w:val="008A4EC0"/>
    <w:rsid w:val="008A4F0C"/>
    <w:rsid w:val="008A4F8E"/>
    <w:rsid w:val="008A4FE8"/>
    <w:rsid w:val="008A5006"/>
    <w:rsid w:val="008A5101"/>
    <w:rsid w:val="008A51C6"/>
    <w:rsid w:val="008A5220"/>
    <w:rsid w:val="008A529D"/>
    <w:rsid w:val="008A534D"/>
    <w:rsid w:val="008A5490"/>
    <w:rsid w:val="008A557F"/>
    <w:rsid w:val="008A55E8"/>
    <w:rsid w:val="008A581E"/>
    <w:rsid w:val="008A5820"/>
    <w:rsid w:val="008A5837"/>
    <w:rsid w:val="008A5886"/>
    <w:rsid w:val="008A5973"/>
    <w:rsid w:val="008A597D"/>
    <w:rsid w:val="008A5A81"/>
    <w:rsid w:val="008A5A89"/>
    <w:rsid w:val="008A5AA8"/>
    <w:rsid w:val="008A5AC1"/>
    <w:rsid w:val="008A5AC8"/>
    <w:rsid w:val="008A5BCA"/>
    <w:rsid w:val="008A5FEA"/>
    <w:rsid w:val="008A5FEB"/>
    <w:rsid w:val="008A6043"/>
    <w:rsid w:val="008A6099"/>
    <w:rsid w:val="008A60B9"/>
    <w:rsid w:val="008A60F9"/>
    <w:rsid w:val="008A6158"/>
    <w:rsid w:val="008A619F"/>
    <w:rsid w:val="008A6235"/>
    <w:rsid w:val="008A633A"/>
    <w:rsid w:val="008A6340"/>
    <w:rsid w:val="008A635D"/>
    <w:rsid w:val="008A6455"/>
    <w:rsid w:val="008A6477"/>
    <w:rsid w:val="008A6560"/>
    <w:rsid w:val="008A6681"/>
    <w:rsid w:val="008A6750"/>
    <w:rsid w:val="008A682F"/>
    <w:rsid w:val="008A69A2"/>
    <w:rsid w:val="008A69C5"/>
    <w:rsid w:val="008A6A14"/>
    <w:rsid w:val="008A6A44"/>
    <w:rsid w:val="008A6AE0"/>
    <w:rsid w:val="008A6BA1"/>
    <w:rsid w:val="008A71AC"/>
    <w:rsid w:val="008A723B"/>
    <w:rsid w:val="008A72E7"/>
    <w:rsid w:val="008A7841"/>
    <w:rsid w:val="008A7866"/>
    <w:rsid w:val="008A7887"/>
    <w:rsid w:val="008A7C19"/>
    <w:rsid w:val="008A7C20"/>
    <w:rsid w:val="008A7C2E"/>
    <w:rsid w:val="008A7CD4"/>
    <w:rsid w:val="008A7CD7"/>
    <w:rsid w:val="008A7DA7"/>
    <w:rsid w:val="008A7F21"/>
    <w:rsid w:val="008A7F64"/>
    <w:rsid w:val="008A7F6D"/>
    <w:rsid w:val="008A7F7D"/>
    <w:rsid w:val="008B0097"/>
    <w:rsid w:val="008B0103"/>
    <w:rsid w:val="008B036B"/>
    <w:rsid w:val="008B0387"/>
    <w:rsid w:val="008B04F5"/>
    <w:rsid w:val="008B05D9"/>
    <w:rsid w:val="008B0953"/>
    <w:rsid w:val="008B0BF0"/>
    <w:rsid w:val="008B0CEF"/>
    <w:rsid w:val="008B0D66"/>
    <w:rsid w:val="008B0E02"/>
    <w:rsid w:val="008B0EB1"/>
    <w:rsid w:val="008B0F34"/>
    <w:rsid w:val="008B0F4F"/>
    <w:rsid w:val="008B12BD"/>
    <w:rsid w:val="008B1404"/>
    <w:rsid w:val="008B1522"/>
    <w:rsid w:val="008B1671"/>
    <w:rsid w:val="008B178C"/>
    <w:rsid w:val="008B19A6"/>
    <w:rsid w:val="008B1A3F"/>
    <w:rsid w:val="008B1A69"/>
    <w:rsid w:val="008B1CA8"/>
    <w:rsid w:val="008B1CEA"/>
    <w:rsid w:val="008B1D7A"/>
    <w:rsid w:val="008B1FDB"/>
    <w:rsid w:val="008B22DB"/>
    <w:rsid w:val="008B255B"/>
    <w:rsid w:val="008B2576"/>
    <w:rsid w:val="008B2604"/>
    <w:rsid w:val="008B26F2"/>
    <w:rsid w:val="008B2799"/>
    <w:rsid w:val="008B27EE"/>
    <w:rsid w:val="008B288C"/>
    <w:rsid w:val="008B2A04"/>
    <w:rsid w:val="008B2AD8"/>
    <w:rsid w:val="008B2B13"/>
    <w:rsid w:val="008B2B23"/>
    <w:rsid w:val="008B2C45"/>
    <w:rsid w:val="008B2C4C"/>
    <w:rsid w:val="008B2C9B"/>
    <w:rsid w:val="008B2CE1"/>
    <w:rsid w:val="008B2DB9"/>
    <w:rsid w:val="008B2F03"/>
    <w:rsid w:val="008B3021"/>
    <w:rsid w:val="008B315C"/>
    <w:rsid w:val="008B3275"/>
    <w:rsid w:val="008B3296"/>
    <w:rsid w:val="008B3313"/>
    <w:rsid w:val="008B332D"/>
    <w:rsid w:val="008B3550"/>
    <w:rsid w:val="008B3586"/>
    <w:rsid w:val="008B35F7"/>
    <w:rsid w:val="008B36ED"/>
    <w:rsid w:val="008B36F4"/>
    <w:rsid w:val="008B3AF4"/>
    <w:rsid w:val="008B3B48"/>
    <w:rsid w:val="008B3B63"/>
    <w:rsid w:val="008B3C0C"/>
    <w:rsid w:val="008B3C79"/>
    <w:rsid w:val="008B3CE2"/>
    <w:rsid w:val="008B3E13"/>
    <w:rsid w:val="008B3E9F"/>
    <w:rsid w:val="008B3F8E"/>
    <w:rsid w:val="008B4118"/>
    <w:rsid w:val="008B4320"/>
    <w:rsid w:val="008B4525"/>
    <w:rsid w:val="008B4615"/>
    <w:rsid w:val="008B461F"/>
    <w:rsid w:val="008B4633"/>
    <w:rsid w:val="008B465C"/>
    <w:rsid w:val="008B46C8"/>
    <w:rsid w:val="008B4768"/>
    <w:rsid w:val="008B47CA"/>
    <w:rsid w:val="008B49E1"/>
    <w:rsid w:val="008B4C1C"/>
    <w:rsid w:val="008B4DFD"/>
    <w:rsid w:val="008B5223"/>
    <w:rsid w:val="008B52BB"/>
    <w:rsid w:val="008B5364"/>
    <w:rsid w:val="008B536E"/>
    <w:rsid w:val="008B5606"/>
    <w:rsid w:val="008B581C"/>
    <w:rsid w:val="008B5865"/>
    <w:rsid w:val="008B5A40"/>
    <w:rsid w:val="008B5A7A"/>
    <w:rsid w:val="008B5AF8"/>
    <w:rsid w:val="008B5B38"/>
    <w:rsid w:val="008B5B3B"/>
    <w:rsid w:val="008B5B3E"/>
    <w:rsid w:val="008B5C89"/>
    <w:rsid w:val="008B5DCF"/>
    <w:rsid w:val="008B5F0D"/>
    <w:rsid w:val="008B5F5E"/>
    <w:rsid w:val="008B5F63"/>
    <w:rsid w:val="008B6001"/>
    <w:rsid w:val="008B6062"/>
    <w:rsid w:val="008B60EB"/>
    <w:rsid w:val="008B6123"/>
    <w:rsid w:val="008B616F"/>
    <w:rsid w:val="008B6252"/>
    <w:rsid w:val="008B64B0"/>
    <w:rsid w:val="008B6524"/>
    <w:rsid w:val="008B6D52"/>
    <w:rsid w:val="008B6EC0"/>
    <w:rsid w:val="008B70BB"/>
    <w:rsid w:val="008B71EC"/>
    <w:rsid w:val="008B7596"/>
    <w:rsid w:val="008B75A3"/>
    <w:rsid w:val="008B768A"/>
    <w:rsid w:val="008B7748"/>
    <w:rsid w:val="008B7762"/>
    <w:rsid w:val="008B7996"/>
    <w:rsid w:val="008B7ADB"/>
    <w:rsid w:val="008B7AE3"/>
    <w:rsid w:val="008B7B1E"/>
    <w:rsid w:val="008B7B2D"/>
    <w:rsid w:val="008B7C05"/>
    <w:rsid w:val="008B7D21"/>
    <w:rsid w:val="008B7DD4"/>
    <w:rsid w:val="008B7E4C"/>
    <w:rsid w:val="008C009A"/>
    <w:rsid w:val="008C0215"/>
    <w:rsid w:val="008C026F"/>
    <w:rsid w:val="008C0394"/>
    <w:rsid w:val="008C060A"/>
    <w:rsid w:val="008C0672"/>
    <w:rsid w:val="008C06A1"/>
    <w:rsid w:val="008C0906"/>
    <w:rsid w:val="008C0969"/>
    <w:rsid w:val="008C0AE4"/>
    <w:rsid w:val="008C0B05"/>
    <w:rsid w:val="008C0B1F"/>
    <w:rsid w:val="008C0C74"/>
    <w:rsid w:val="008C0F38"/>
    <w:rsid w:val="008C0F88"/>
    <w:rsid w:val="008C11C9"/>
    <w:rsid w:val="008C1281"/>
    <w:rsid w:val="008C130E"/>
    <w:rsid w:val="008C1353"/>
    <w:rsid w:val="008C147E"/>
    <w:rsid w:val="008C14E7"/>
    <w:rsid w:val="008C1522"/>
    <w:rsid w:val="008C17AB"/>
    <w:rsid w:val="008C19F0"/>
    <w:rsid w:val="008C1BDD"/>
    <w:rsid w:val="008C1BE6"/>
    <w:rsid w:val="008C1D0B"/>
    <w:rsid w:val="008C1E0F"/>
    <w:rsid w:val="008C1F58"/>
    <w:rsid w:val="008C208F"/>
    <w:rsid w:val="008C2243"/>
    <w:rsid w:val="008C24B6"/>
    <w:rsid w:val="008C2649"/>
    <w:rsid w:val="008C26B5"/>
    <w:rsid w:val="008C2705"/>
    <w:rsid w:val="008C2709"/>
    <w:rsid w:val="008C2B39"/>
    <w:rsid w:val="008C2E15"/>
    <w:rsid w:val="008C2E55"/>
    <w:rsid w:val="008C2EA7"/>
    <w:rsid w:val="008C3143"/>
    <w:rsid w:val="008C319F"/>
    <w:rsid w:val="008C32BF"/>
    <w:rsid w:val="008C32F5"/>
    <w:rsid w:val="008C3320"/>
    <w:rsid w:val="008C3567"/>
    <w:rsid w:val="008C36BC"/>
    <w:rsid w:val="008C37AB"/>
    <w:rsid w:val="008C37DE"/>
    <w:rsid w:val="008C39C4"/>
    <w:rsid w:val="008C39F9"/>
    <w:rsid w:val="008C3DD6"/>
    <w:rsid w:val="008C3F01"/>
    <w:rsid w:val="008C4017"/>
    <w:rsid w:val="008C4112"/>
    <w:rsid w:val="008C4119"/>
    <w:rsid w:val="008C4187"/>
    <w:rsid w:val="008C426C"/>
    <w:rsid w:val="008C42DD"/>
    <w:rsid w:val="008C42E9"/>
    <w:rsid w:val="008C4330"/>
    <w:rsid w:val="008C433E"/>
    <w:rsid w:val="008C4355"/>
    <w:rsid w:val="008C438F"/>
    <w:rsid w:val="008C439F"/>
    <w:rsid w:val="008C4569"/>
    <w:rsid w:val="008C45BA"/>
    <w:rsid w:val="008C4614"/>
    <w:rsid w:val="008C477A"/>
    <w:rsid w:val="008C4787"/>
    <w:rsid w:val="008C482F"/>
    <w:rsid w:val="008C49FE"/>
    <w:rsid w:val="008C4AA8"/>
    <w:rsid w:val="008C4C78"/>
    <w:rsid w:val="008C4EF2"/>
    <w:rsid w:val="008C4FF1"/>
    <w:rsid w:val="008C5091"/>
    <w:rsid w:val="008C5093"/>
    <w:rsid w:val="008C50F3"/>
    <w:rsid w:val="008C5270"/>
    <w:rsid w:val="008C52B5"/>
    <w:rsid w:val="008C53B3"/>
    <w:rsid w:val="008C5415"/>
    <w:rsid w:val="008C551C"/>
    <w:rsid w:val="008C581F"/>
    <w:rsid w:val="008C5832"/>
    <w:rsid w:val="008C5857"/>
    <w:rsid w:val="008C5990"/>
    <w:rsid w:val="008C59D6"/>
    <w:rsid w:val="008C5AF9"/>
    <w:rsid w:val="008C5C69"/>
    <w:rsid w:val="008C5EE5"/>
    <w:rsid w:val="008C6140"/>
    <w:rsid w:val="008C6169"/>
    <w:rsid w:val="008C6190"/>
    <w:rsid w:val="008C61CC"/>
    <w:rsid w:val="008C62D8"/>
    <w:rsid w:val="008C6318"/>
    <w:rsid w:val="008C63BE"/>
    <w:rsid w:val="008C6625"/>
    <w:rsid w:val="008C6778"/>
    <w:rsid w:val="008C6849"/>
    <w:rsid w:val="008C688B"/>
    <w:rsid w:val="008C697F"/>
    <w:rsid w:val="008C69C9"/>
    <w:rsid w:val="008C69FC"/>
    <w:rsid w:val="008C6A4B"/>
    <w:rsid w:val="008C6AEA"/>
    <w:rsid w:val="008C6D9D"/>
    <w:rsid w:val="008C6ED3"/>
    <w:rsid w:val="008C7058"/>
    <w:rsid w:val="008C71D0"/>
    <w:rsid w:val="008C73E7"/>
    <w:rsid w:val="008C741C"/>
    <w:rsid w:val="008C753A"/>
    <w:rsid w:val="008C753E"/>
    <w:rsid w:val="008C753F"/>
    <w:rsid w:val="008C75AB"/>
    <w:rsid w:val="008C7671"/>
    <w:rsid w:val="008C768E"/>
    <w:rsid w:val="008C76DC"/>
    <w:rsid w:val="008C77DA"/>
    <w:rsid w:val="008C7985"/>
    <w:rsid w:val="008C7A02"/>
    <w:rsid w:val="008C7B59"/>
    <w:rsid w:val="008C7BCB"/>
    <w:rsid w:val="008C7C47"/>
    <w:rsid w:val="008C7C6D"/>
    <w:rsid w:val="008C7CCF"/>
    <w:rsid w:val="008C7DA7"/>
    <w:rsid w:val="008C7DEC"/>
    <w:rsid w:val="008D0163"/>
    <w:rsid w:val="008D01C3"/>
    <w:rsid w:val="008D02E3"/>
    <w:rsid w:val="008D03E2"/>
    <w:rsid w:val="008D0413"/>
    <w:rsid w:val="008D043C"/>
    <w:rsid w:val="008D06C5"/>
    <w:rsid w:val="008D06FE"/>
    <w:rsid w:val="008D083C"/>
    <w:rsid w:val="008D0925"/>
    <w:rsid w:val="008D0A32"/>
    <w:rsid w:val="008D0C81"/>
    <w:rsid w:val="008D0CD0"/>
    <w:rsid w:val="008D0DCE"/>
    <w:rsid w:val="008D0E13"/>
    <w:rsid w:val="008D0ED0"/>
    <w:rsid w:val="008D0ED9"/>
    <w:rsid w:val="008D1027"/>
    <w:rsid w:val="008D112B"/>
    <w:rsid w:val="008D171D"/>
    <w:rsid w:val="008D1789"/>
    <w:rsid w:val="008D18EA"/>
    <w:rsid w:val="008D192D"/>
    <w:rsid w:val="008D1A91"/>
    <w:rsid w:val="008D1B76"/>
    <w:rsid w:val="008D1C19"/>
    <w:rsid w:val="008D1C45"/>
    <w:rsid w:val="008D1D9C"/>
    <w:rsid w:val="008D1DA5"/>
    <w:rsid w:val="008D1E33"/>
    <w:rsid w:val="008D1E64"/>
    <w:rsid w:val="008D2132"/>
    <w:rsid w:val="008D226D"/>
    <w:rsid w:val="008D244C"/>
    <w:rsid w:val="008D2485"/>
    <w:rsid w:val="008D24BC"/>
    <w:rsid w:val="008D270D"/>
    <w:rsid w:val="008D278C"/>
    <w:rsid w:val="008D27F0"/>
    <w:rsid w:val="008D2897"/>
    <w:rsid w:val="008D29DD"/>
    <w:rsid w:val="008D29DE"/>
    <w:rsid w:val="008D2A28"/>
    <w:rsid w:val="008D2A94"/>
    <w:rsid w:val="008D2B54"/>
    <w:rsid w:val="008D2C08"/>
    <w:rsid w:val="008D2CCF"/>
    <w:rsid w:val="008D2DBD"/>
    <w:rsid w:val="008D2FD1"/>
    <w:rsid w:val="008D309D"/>
    <w:rsid w:val="008D315A"/>
    <w:rsid w:val="008D31B5"/>
    <w:rsid w:val="008D324F"/>
    <w:rsid w:val="008D3517"/>
    <w:rsid w:val="008D367A"/>
    <w:rsid w:val="008D376E"/>
    <w:rsid w:val="008D37CC"/>
    <w:rsid w:val="008D3A10"/>
    <w:rsid w:val="008D3A78"/>
    <w:rsid w:val="008D3C72"/>
    <w:rsid w:val="008D409F"/>
    <w:rsid w:val="008D4104"/>
    <w:rsid w:val="008D4107"/>
    <w:rsid w:val="008D444E"/>
    <w:rsid w:val="008D46CC"/>
    <w:rsid w:val="008D4774"/>
    <w:rsid w:val="008D490D"/>
    <w:rsid w:val="008D4A1A"/>
    <w:rsid w:val="008D4B56"/>
    <w:rsid w:val="008D500E"/>
    <w:rsid w:val="008D50B8"/>
    <w:rsid w:val="008D50BC"/>
    <w:rsid w:val="008D5123"/>
    <w:rsid w:val="008D5219"/>
    <w:rsid w:val="008D52C0"/>
    <w:rsid w:val="008D5446"/>
    <w:rsid w:val="008D5782"/>
    <w:rsid w:val="008D57B4"/>
    <w:rsid w:val="008D5A04"/>
    <w:rsid w:val="008D5A65"/>
    <w:rsid w:val="008D5ABB"/>
    <w:rsid w:val="008D5B1E"/>
    <w:rsid w:val="008D5B2B"/>
    <w:rsid w:val="008D5C5F"/>
    <w:rsid w:val="008D5D02"/>
    <w:rsid w:val="008D5D6E"/>
    <w:rsid w:val="008D5ECD"/>
    <w:rsid w:val="008D60D6"/>
    <w:rsid w:val="008D63B7"/>
    <w:rsid w:val="008D649F"/>
    <w:rsid w:val="008D64B0"/>
    <w:rsid w:val="008D65F0"/>
    <w:rsid w:val="008D6624"/>
    <w:rsid w:val="008D6B12"/>
    <w:rsid w:val="008D6BC6"/>
    <w:rsid w:val="008D6EEB"/>
    <w:rsid w:val="008D6FD2"/>
    <w:rsid w:val="008D706D"/>
    <w:rsid w:val="008D70DC"/>
    <w:rsid w:val="008D70ED"/>
    <w:rsid w:val="008D7313"/>
    <w:rsid w:val="008D748D"/>
    <w:rsid w:val="008D762A"/>
    <w:rsid w:val="008D7920"/>
    <w:rsid w:val="008D7AD2"/>
    <w:rsid w:val="008D7B57"/>
    <w:rsid w:val="008D7BCB"/>
    <w:rsid w:val="008D7BFE"/>
    <w:rsid w:val="008D7C20"/>
    <w:rsid w:val="008D7DF8"/>
    <w:rsid w:val="008D7E1B"/>
    <w:rsid w:val="008D7FB1"/>
    <w:rsid w:val="008E0053"/>
    <w:rsid w:val="008E0120"/>
    <w:rsid w:val="008E0140"/>
    <w:rsid w:val="008E01BC"/>
    <w:rsid w:val="008E01CC"/>
    <w:rsid w:val="008E0295"/>
    <w:rsid w:val="008E02E3"/>
    <w:rsid w:val="008E0378"/>
    <w:rsid w:val="008E047E"/>
    <w:rsid w:val="008E04E9"/>
    <w:rsid w:val="008E0625"/>
    <w:rsid w:val="008E065C"/>
    <w:rsid w:val="008E067E"/>
    <w:rsid w:val="008E07E9"/>
    <w:rsid w:val="008E080D"/>
    <w:rsid w:val="008E0891"/>
    <w:rsid w:val="008E0A28"/>
    <w:rsid w:val="008E0A38"/>
    <w:rsid w:val="008E0BC6"/>
    <w:rsid w:val="008E0EA2"/>
    <w:rsid w:val="008E108E"/>
    <w:rsid w:val="008E113A"/>
    <w:rsid w:val="008E11D3"/>
    <w:rsid w:val="008E1287"/>
    <w:rsid w:val="008E1357"/>
    <w:rsid w:val="008E13F9"/>
    <w:rsid w:val="008E1743"/>
    <w:rsid w:val="008E17CF"/>
    <w:rsid w:val="008E17FB"/>
    <w:rsid w:val="008E18B3"/>
    <w:rsid w:val="008E1911"/>
    <w:rsid w:val="008E195C"/>
    <w:rsid w:val="008E1A87"/>
    <w:rsid w:val="008E1BF6"/>
    <w:rsid w:val="008E1C33"/>
    <w:rsid w:val="008E1C37"/>
    <w:rsid w:val="008E1C78"/>
    <w:rsid w:val="008E1C99"/>
    <w:rsid w:val="008E1E2A"/>
    <w:rsid w:val="008E2060"/>
    <w:rsid w:val="008E20AC"/>
    <w:rsid w:val="008E21B1"/>
    <w:rsid w:val="008E233D"/>
    <w:rsid w:val="008E2393"/>
    <w:rsid w:val="008E2398"/>
    <w:rsid w:val="008E23D4"/>
    <w:rsid w:val="008E2829"/>
    <w:rsid w:val="008E2A2C"/>
    <w:rsid w:val="008E2A54"/>
    <w:rsid w:val="008E2AEF"/>
    <w:rsid w:val="008E2AF0"/>
    <w:rsid w:val="008E2B3F"/>
    <w:rsid w:val="008E2B44"/>
    <w:rsid w:val="008E2BCF"/>
    <w:rsid w:val="008E2BF8"/>
    <w:rsid w:val="008E2D3D"/>
    <w:rsid w:val="008E3173"/>
    <w:rsid w:val="008E32FF"/>
    <w:rsid w:val="008E3375"/>
    <w:rsid w:val="008E37B3"/>
    <w:rsid w:val="008E37E0"/>
    <w:rsid w:val="008E386E"/>
    <w:rsid w:val="008E3AC7"/>
    <w:rsid w:val="008E3B08"/>
    <w:rsid w:val="008E3BBE"/>
    <w:rsid w:val="008E3CF6"/>
    <w:rsid w:val="008E3D54"/>
    <w:rsid w:val="008E3DD2"/>
    <w:rsid w:val="008E3EE3"/>
    <w:rsid w:val="008E3F04"/>
    <w:rsid w:val="008E4073"/>
    <w:rsid w:val="008E40B7"/>
    <w:rsid w:val="008E4290"/>
    <w:rsid w:val="008E4396"/>
    <w:rsid w:val="008E43DE"/>
    <w:rsid w:val="008E451B"/>
    <w:rsid w:val="008E454C"/>
    <w:rsid w:val="008E497A"/>
    <w:rsid w:val="008E4AF5"/>
    <w:rsid w:val="008E4B3D"/>
    <w:rsid w:val="008E4C2B"/>
    <w:rsid w:val="008E4C9A"/>
    <w:rsid w:val="008E4E4F"/>
    <w:rsid w:val="008E4FC4"/>
    <w:rsid w:val="008E50C0"/>
    <w:rsid w:val="008E51EF"/>
    <w:rsid w:val="008E5229"/>
    <w:rsid w:val="008E5478"/>
    <w:rsid w:val="008E5521"/>
    <w:rsid w:val="008E5668"/>
    <w:rsid w:val="008E5704"/>
    <w:rsid w:val="008E589D"/>
    <w:rsid w:val="008E5953"/>
    <w:rsid w:val="008E59D1"/>
    <w:rsid w:val="008E5A57"/>
    <w:rsid w:val="008E5A5F"/>
    <w:rsid w:val="008E5C32"/>
    <w:rsid w:val="008E5D76"/>
    <w:rsid w:val="008E5ED9"/>
    <w:rsid w:val="008E6045"/>
    <w:rsid w:val="008E616B"/>
    <w:rsid w:val="008E6236"/>
    <w:rsid w:val="008E62F1"/>
    <w:rsid w:val="008E6370"/>
    <w:rsid w:val="008E6373"/>
    <w:rsid w:val="008E6543"/>
    <w:rsid w:val="008E6674"/>
    <w:rsid w:val="008E669E"/>
    <w:rsid w:val="008E69E7"/>
    <w:rsid w:val="008E6C5E"/>
    <w:rsid w:val="008E6D5E"/>
    <w:rsid w:val="008E6D88"/>
    <w:rsid w:val="008E734E"/>
    <w:rsid w:val="008E73E9"/>
    <w:rsid w:val="008E741C"/>
    <w:rsid w:val="008E7975"/>
    <w:rsid w:val="008E7998"/>
    <w:rsid w:val="008E7A4E"/>
    <w:rsid w:val="008E7A96"/>
    <w:rsid w:val="008E7AD1"/>
    <w:rsid w:val="008E7B15"/>
    <w:rsid w:val="008E7CA4"/>
    <w:rsid w:val="008E7DB2"/>
    <w:rsid w:val="008E7E24"/>
    <w:rsid w:val="008E7F31"/>
    <w:rsid w:val="008E7F4B"/>
    <w:rsid w:val="008F0018"/>
    <w:rsid w:val="008F00E8"/>
    <w:rsid w:val="008F0101"/>
    <w:rsid w:val="008F0228"/>
    <w:rsid w:val="008F0355"/>
    <w:rsid w:val="008F038E"/>
    <w:rsid w:val="008F05F1"/>
    <w:rsid w:val="008F061D"/>
    <w:rsid w:val="008F06EB"/>
    <w:rsid w:val="008F07F6"/>
    <w:rsid w:val="008F098E"/>
    <w:rsid w:val="008F0A42"/>
    <w:rsid w:val="008F0C15"/>
    <w:rsid w:val="008F0C64"/>
    <w:rsid w:val="008F0CC4"/>
    <w:rsid w:val="008F0E69"/>
    <w:rsid w:val="008F1041"/>
    <w:rsid w:val="008F1075"/>
    <w:rsid w:val="008F14CB"/>
    <w:rsid w:val="008F152B"/>
    <w:rsid w:val="008F157A"/>
    <w:rsid w:val="008F1640"/>
    <w:rsid w:val="008F1813"/>
    <w:rsid w:val="008F1854"/>
    <w:rsid w:val="008F1AF5"/>
    <w:rsid w:val="008F1BEE"/>
    <w:rsid w:val="008F1D01"/>
    <w:rsid w:val="008F1D02"/>
    <w:rsid w:val="008F1D6E"/>
    <w:rsid w:val="008F1E39"/>
    <w:rsid w:val="008F1F59"/>
    <w:rsid w:val="008F22BE"/>
    <w:rsid w:val="008F2366"/>
    <w:rsid w:val="008F23BF"/>
    <w:rsid w:val="008F25DF"/>
    <w:rsid w:val="008F27B6"/>
    <w:rsid w:val="008F27CD"/>
    <w:rsid w:val="008F291C"/>
    <w:rsid w:val="008F2BA1"/>
    <w:rsid w:val="008F2C25"/>
    <w:rsid w:val="008F2CD3"/>
    <w:rsid w:val="008F2DB4"/>
    <w:rsid w:val="008F2E4F"/>
    <w:rsid w:val="008F30A6"/>
    <w:rsid w:val="008F32DC"/>
    <w:rsid w:val="008F33BF"/>
    <w:rsid w:val="008F3556"/>
    <w:rsid w:val="008F356E"/>
    <w:rsid w:val="008F35CA"/>
    <w:rsid w:val="008F391A"/>
    <w:rsid w:val="008F394B"/>
    <w:rsid w:val="008F3A8B"/>
    <w:rsid w:val="008F3DF6"/>
    <w:rsid w:val="008F3E78"/>
    <w:rsid w:val="008F417A"/>
    <w:rsid w:val="008F4225"/>
    <w:rsid w:val="008F4272"/>
    <w:rsid w:val="008F45A3"/>
    <w:rsid w:val="008F4730"/>
    <w:rsid w:val="008F48B6"/>
    <w:rsid w:val="008F48CF"/>
    <w:rsid w:val="008F4925"/>
    <w:rsid w:val="008F493E"/>
    <w:rsid w:val="008F4961"/>
    <w:rsid w:val="008F4982"/>
    <w:rsid w:val="008F4C00"/>
    <w:rsid w:val="008F4EC5"/>
    <w:rsid w:val="008F4F14"/>
    <w:rsid w:val="008F5073"/>
    <w:rsid w:val="008F50A5"/>
    <w:rsid w:val="008F51CD"/>
    <w:rsid w:val="008F51D0"/>
    <w:rsid w:val="008F51EE"/>
    <w:rsid w:val="008F52F0"/>
    <w:rsid w:val="008F541A"/>
    <w:rsid w:val="008F54ED"/>
    <w:rsid w:val="008F5558"/>
    <w:rsid w:val="008F55E2"/>
    <w:rsid w:val="008F5611"/>
    <w:rsid w:val="008F57AD"/>
    <w:rsid w:val="008F57E2"/>
    <w:rsid w:val="008F58DC"/>
    <w:rsid w:val="008F58FD"/>
    <w:rsid w:val="008F5949"/>
    <w:rsid w:val="008F594F"/>
    <w:rsid w:val="008F5950"/>
    <w:rsid w:val="008F5ACC"/>
    <w:rsid w:val="008F5BFF"/>
    <w:rsid w:val="008F5C2A"/>
    <w:rsid w:val="008F5D70"/>
    <w:rsid w:val="008F5DB0"/>
    <w:rsid w:val="008F5DC1"/>
    <w:rsid w:val="008F5EA6"/>
    <w:rsid w:val="008F5F6E"/>
    <w:rsid w:val="008F6308"/>
    <w:rsid w:val="008F6393"/>
    <w:rsid w:val="008F64E4"/>
    <w:rsid w:val="008F64EF"/>
    <w:rsid w:val="008F65AB"/>
    <w:rsid w:val="008F669B"/>
    <w:rsid w:val="008F66ED"/>
    <w:rsid w:val="008F679F"/>
    <w:rsid w:val="008F67B5"/>
    <w:rsid w:val="008F68BA"/>
    <w:rsid w:val="008F6995"/>
    <w:rsid w:val="008F6A4D"/>
    <w:rsid w:val="008F6C7B"/>
    <w:rsid w:val="008F6D1C"/>
    <w:rsid w:val="008F6DAA"/>
    <w:rsid w:val="008F6E8E"/>
    <w:rsid w:val="008F6F68"/>
    <w:rsid w:val="008F7061"/>
    <w:rsid w:val="008F7261"/>
    <w:rsid w:val="008F73F1"/>
    <w:rsid w:val="008F73F7"/>
    <w:rsid w:val="008F74A5"/>
    <w:rsid w:val="008F752F"/>
    <w:rsid w:val="008F754B"/>
    <w:rsid w:val="008F7610"/>
    <w:rsid w:val="008F76AF"/>
    <w:rsid w:val="008F774F"/>
    <w:rsid w:val="008F779C"/>
    <w:rsid w:val="008F77A7"/>
    <w:rsid w:val="008F784F"/>
    <w:rsid w:val="008F78F8"/>
    <w:rsid w:val="008F79DB"/>
    <w:rsid w:val="008F79DD"/>
    <w:rsid w:val="008F7A51"/>
    <w:rsid w:val="008F7A5E"/>
    <w:rsid w:val="008F7AC0"/>
    <w:rsid w:val="008F7B37"/>
    <w:rsid w:val="008F7C22"/>
    <w:rsid w:val="008F7E12"/>
    <w:rsid w:val="008F7F66"/>
    <w:rsid w:val="008F8B77"/>
    <w:rsid w:val="00900266"/>
    <w:rsid w:val="0090030E"/>
    <w:rsid w:val="00900323"/>
    <w:rsid w:val="00900363"/>
    <w:rsid w:val="0090036D"/>
    <w:rsid w:val="009003CB"/>
    <w:rsid w:val="0090054C"/>
    <w:rsid w:val="009005D9"/>
    <w:rsid w:val="009006AF"/>
    <w:rsid w:val="00900785"/>
    <w:rsid w:val="009007E3"/>
    <w:rsid w:val="0090084F"/>
    <w:rsid w:val="00900915"/>
    <w:rsid w:val="0090094C"/>
    <w:rsid w:val="009009D2"/>
    <w:rsid w:val="00900B60"/>
    <w:rsid w:val="00900BF1"/>
    <w:rsid w:val="00900D4D"/>
    <w:rsid w:val="00900DA1"/>
    <w:rsid w:val="00900FFF"/>
    <w:rsid w:val="009010E0"/>
    <w:rsid w:val="00901175"/>
    <w:rsid w:val="00901190"/>
    <w:rsid w:val="00901240"/>
    <w:rsid w:val="009013B7"/>
    <w:rsid w:val="00901401"/>
    <w:rsid w:val="0090175C"/>
    <w:rsid w:val="00901787"/>
    <w:rsid w:val="009017F2"/>
    <w:rsid w:val="0090186B"/>
    <w:rsid w:val="00901946"/>
    <w:rsid w:val="00901955"/>
    <w:rsid w:val="00901BE6"/>
    <w:rsid w:val="00901C58"/>
    <w:rsid w:val="00901E56"/>
    <w:rsid w:val="00901ED4"/>
    <w:rsid w:val="00902244"/>
    <w:rsid w:val="00902271"/>
    <w:rsid w:val="0090239D"/>
    <w:rsid w:val="009027D5"/>
    <w:rsid w:val="009027F8"/>
    <w:rsid w:val="00902802"/>
    <w:rsid w:val="00902936"/>
    <w:rsid w:val="00902CA8"/>
    <w:rsid w:val="00902E89"/>
    <w:rsid w:val="00902F10"/>
    <w:rsid w:val="00902F80"/>
    <w:rsid w:val="009030E2"/>
    <w:rsid w:val="00903247"/>
    <w:rsid w:val="009032C1"/>
    <w:rsid w:val="009033F8"/>
    <w:rsid w:val="0090346F"/>
    <w:rsid w:val="009034EF"/>
    <w:rsid w:val="00903522"/>
    <w:rsid w:val="00903689"/>
    <w:rsid w:val="009036E9"/>
    <w:rsid w:val="00903832"/>
    <w:rsid w:val="009039E3"/>
    <w:rsid w:val="00903AFD"/>
    <w:rsid w:val="00903B40"/>
    <w:rsid w:val="00903B4A"/>
    <w:rsid w:val="00903C41"/>
    <w:rsid w:val="00903C79"/>
    <w:rsid w:val="00903E38"/>
    <w:rsid w:val="00903E73"/>
    <w:rsid w:val="00903F68"/>
    <w:rsid w:val="00903FAF"/>
    <w:rsid w:val="00904046"/>
    <w:rsid w:val="009041BE"/>
    <w:rsid w:val="0090425F"/>
    <w:rsid w:val="0090433C"/>
    <w:rsid w:val="0090436A"/>
    <w:rsid w:val="009043C0"/>
    <w:rsid w:val="009044AA"/>
    <w:rsid w:val="00904682"/>
    <w:rsid w:val="00904996"/>
    <w:rsid w:val="00904B44"/>
    <w:rsid w:val="00904C17"/>
    <w:rsid w:val="00904C2D"/>
    <w:rsid w:val="00904D3B"/>
    <w:rsid w:val="00904D6D"/>
    <w:rsid w:val="00904D89"/>
    <w:rsid w:val="00904E45"/>
    <w:rsid w:val="00904E85"/>
    <w:rsid w:val="00904F7B"/>
    <w:rsid w:val="00904FFB"/>
    <w:rsid w:val="00905310"/>
    <w:rsid w:val="00905393"/>
    <w:rsid w:val="00905410"/>
    <w:rsid w:val="00905526"/>
    <w:rsid w:val="0090568A"/>
    <w:rsid w:val="009056F0"/>
    <w:rsid w:val="00905703"/>
    <w:rsid w:val="0090574B"/>
    <w:rsid w:val="00905801"/>
    <w:rsid w:val="0090595C"/>
    <w:rsid w:val="00905A11"/>
    <w:rsid w:val="00905A31"/>
    <w:rsid w:val="00905A79"/>
    <w:rsid w:val="00905CB4"/>
    <w:rsid w:val="00905D0C"/>
    <w:rsid w:val="00905D5C"/>
    <w:rsid w:val="00905DA9"/>
    <w:rsid w:val="00905DD2"/>
    <w:rsid w:val="00905E43"/>
    <w:rsid w:val="00905E8E"/>
    <w:rsid w:val="00905EC1"/>
    <w:rsid w:val="00905F72"/>
    <w:rsid w:val="00906026"/>
    <w:rsid w:val="009060CE"/>
    <w:rsid w:val="00906211"/>
    <w:rsid w:val="009065D5"/>
    <w:rsid w:val="00906664"/>
    <w:rsid w:val="00906702"/>
    <w:rsid w:val="009068BF"/>
    <w:rsid w:val="0090694F"/>
    <w:rsid w:val="00906BE4"/>
    <w:rsid w:val="00906FB8"/>
    <w:rsid w:val="00907122"/>
    <w:rsid w:val="00907147"/>
    <w:rsid w:val="0090720C"/>
    <w:rsid w:val="0090720F"/>
    <w:rsid w:val="00907415"/>
    <w:rsid w:val="009074B1"/>
    <w:rsid w:val="00907543"/>
    <w:rsid w:val="00907602"/>
    <w:rsid w:val="00907720"/>
    <w:rsid w:val="00907843"/>
    <w:rsid w:val="009078AE"/>
    <w:rsid w:val="00907A90"/>
    <w:rsid w:val="00907C31"/>
    <w:rsid w:val="00907C89"/>
    <w:rsid w:val="00907E99"/>
    <w:rsid w:val="00907FE2"/>
    <w:rsid w:val="00910073"/>
    <w:rsid w:val="009100C8"/>
    <w:rsid w:val="0091068F"/>
    <w:rsid w:val="00910715"/>
    <w:rsid w:val="009107BE"/>
    <w:rsid w:val="0091084C"/>
    <w:rsid w:val="00910860"/>
    <w:rsid w:val="009109E4"/>
    <w:rsid w:val="00910A29"/>
    <w:rsid w:val="00910B57"/>
    <w:rsid w:val="00910D81"/>
    <w:rsid w:val="00910DE1"/>
    <w:rsid w:val="00910E3A"/>
    <w:rsid w:val="00911053"/>
    <w:rsid w:val="009110E3"/>
    <w:rsid w:val="009111A2"/>
    <w:rsid w:val="00911275"/>
    <w:rsid w:val="0091135D"/>
    <w:rsid w:val="0091136B"/>
    <w:rsid w:val="00911381"/>
    <w:rsid w:val="009113B6"/>
    <w:rsid w:val="009113F9"/>
    <w:rsid w:val="00911424"/>
    <w:rsid w:val="0091158C"/>
    <w:rsid w:val="009116B4"/>
    <w:rsid w:val="0091176C"/>
    <w:rsid w:val="00911A0D"/>
    <w:rsid w:val="00911B8E"/>
    <w:rsid w:val="00911CE1"/>
    <w:rsid w:val="00911CFD"/>
    <w:rsid w:val="00911D65"/>
    <w:rsid w:val="00911D6D"/>
    <w:rsid w:val="00911D6F"/>
    <w:rsid w:val="00911D71"/>
    <w:rsid w:val="00911D99"/>
    <w:rsid w:val="00911DCC"/>
    <w:rsid w:val="00911E1A"/>
    <w:rsid w:val="00911EDD"/>
    <w:rsid w:val="00911FA8"/>
    <w:rsid w:val="009121FE"/>
    <w:rsid w:val="00912208"/>
    <w:rsid w:val="00912481"/>
    <w:rsid w:val="0091248D"/>
    <w:rsid w:val="009124D1"/>
    <w:rsid w:val="00912635"/>
    <w:rsid w:val="00912712"/>
    <w:rsid w:val="009127A1"/>
    <w:rsid w:val="009127BC"/>
    <w:rsid w:val="00912815"/>
    <w:rsid w:val="0091287C"/>
    <w:rsid w:val="00912909"/>
    <w:rsid w:val="00912ACE"/>
    <w:rsid w:val="00912AE0"/>
    <w:rsid w:val="00912B29"/>
    <w:rsid w:val="00912B60"/>
    <w:rsid w:val="00912CC9"/>
    <w:rsid w:val="00912D57"/>
    <w:rsid w:val="00912EA8"/>
    <w:rsid w:val="00912FBE"/>
    <w:rsid w:val="0091301E"/>
    <w:rsid w:val="009132CC"/>
    <w:rsid w:val="009133BD"/>
    <w:rsid w:val="00913502"/>
    <w:rsid w:val="00913856"/>
    <w:rsid w:val="00913871"/>
    <w:rsid w:val="009138E3"/>
    <w:rsid w:val="00913A76"/>
    <w:rsid w:val="00913AD2"/>
    <w:rsid w:val="00913B0F"/>
    <w:rsid w:val="00913BDF"/>
    <w:rsid w:val="00913BF0"/>
    <w:rsid w:val="00913FA6"/>
    <w:rsid w:val="00914117"/>
    <w:rsid w:val="009144A7"/>
    <w:rsid w:val="009144E8"/>
    <w:rsid w:val="009146AF"/>
    <w:rsid w:val="00914728"/>
    <w:rsid w:val="00914994"/>
    <w:rsid w:val="00914997"/>
    <w:rsid w:val="00914A6B"/>
    <w:rsid w:val="00914AC5"/>
    <w:rsid w:val="00914AE6"/>
    <w:rsid w:val="00914B8A"/>
    <w:rsid w:val="00914BD6"/>
    <w:rsid w:val="00914C00"/>
    <w:rsid w:val="00914C0B"/>
    <w:rsid w:val="00914C48"/>
    <w:rsid w:val="00914C65"/>
    <w:rsid w:val="00914D53"/>
    <w:rsid w:val="00914F45"/>
    <w:rsid w:val="0091511F"/>
    <w:rsid w:val="0091518F"/>
    <w:rsid w:val="00915202"/>
    <w:rsid w:val="0091524F"/>
    <w:rsid w:val="0091542E"/>
    <w:rsid w:val="0091544A"/>
    <w:rsid w:val="009154C0"/>
    <w:rsid w:val="00915654"/>
    <w:rsid w:val="009156C2"/>
    <w:rsid w:val="00915838"/>
    <w:rsid w:val="0091586A"/>
    <w:rsid w:val="0091586C"/>
    <w:rsid w:val="00915930"/>
    <w:rsid w:val="00915ADA"/>
    <w:rsid w:val="00915BDD"/>
    <w:rsid w:val="00915CA6"/>
    <w:rsid w:val="00915CCC"/>
    <w:rsid w:val="00915DAF"/>
    <w:rsid w:val="00915E44"/>
    <w:rsid w:val="00916212"/>
    <w:rsid w:val="00916332"/>
    <w:rsid w:val="00916384"/>
    <w:rsid w:val="00916525"/>
    <w:rsid w:val="0091656E"/>
    <w:rsid w:val="0091670E"/>
    <w:rsid w:val="009167E6"/>
    <w:rsid w:val="009167F4"/>
    <w:rsid w:val="009167FC"/>
    <w:rsid w:val="00916859"/>
    <w:rsid w:val="009168E9"/>
    <w:rsid w:val="00916BE5"/>
    <w:rsid w:val="00916E6E"/>
    <w:rsid w:val="00916FAF"/>
    <w:rsid w:val="0091700C"/>
    <w:rsid w:val="00917143"/>
    <w:rsid w:val="009171C6"/>
    <w:rsid w:val="0091724E"/>
    <w:rsid w:val="009173B6"/>
    <w:rsid w:val="00917466"/>
    <w:rsid w:val="00917517"/>
    <w:rsid w:val="009175FA"/>
    <w:rsid w:val="0091790B"/>
    <w:rsid w:val="00917A07"/>
    <w:rsid w:val="00917E34"/>
    <w:rsid w:val="00917E5F"/>
    <w:rsid w:val="009200FF"/>
    <w:rsid w:val="00920407"/>
    <w:rsid w:val="0092042D"/>
    <w:rsid w:val="0092045B"/>
    <w:rsid w:val="009204A8"/>
    <w:rsid w:val="0092051F"/>
    <w:rsid w:val="0092052C"/>
    <w:rsid w:val="009205F5"/>
    <w:rsid w:val="0092061D"/>
    <w:rsid w:val="009206FA"/>
    <w:rsid w:val="00920796"/>
    <w:rsid w:val="0092082B"/>
    <w:rsid w:val="0092087E"/>
    <w:rsid w:val="009208AF"/>
    <w:rsid w:val="009208DC"/>
    <w:rsid w:val="00920A3C"/>
    <w:rsid w:val="00920B2D"/>
    <w:rsid w:val="00920C46"/>
    <w:rsid w:val="00920C53"/>
    <w:rsid w:val="00920CA9"/>
    <w:rsid w:val="00920CB9"/>
    <w:rsid w:val="00920DC6"/>
    <w:rsid w:val="00920EC4"/>
    <w:rsid w:val="00920F95"/>
    <w:rsid w:val="00920FA6"/>
    <w:rsid w:val="00920FB0"/>
    <w:rsid w:val="00921206"/>
    <w:rsid w:val="00921423"/>
    <w:rsid w:val="009214AF"/>
    <w:rsid w:val="009215CE"/>
    <w:rsid w:val="009216B3"/>
    <w:rsid w:val="009217A2"/>
    <w:rsid w:val="00921821"/>
    <w:rsid w:val="0092188F"/>
    <w:rsid w:val="00921901"/>
    <w:rsid w:val="00921948"/>
    <w:rsid w:val="00921954"/>
    <w:rsid w:val="009219F1"/>
    <w:rsid w:val="00921B33"/>
    <w:rsid w:val="00921D79"/>
    <w:rsid w:val="00921D8F"/>
    <w:rsid w:val="009221AC"/>
    <w:rsid w:val="0092222C"/>
    <w:rsid w:val="00922232"/>
    <w:rsid w:val="00922529"/>
    <w:rsid w:val="00922A0F"/>
    <w:rsid w:val="00922A31"/>
    <w:rsid w:val="00922FD7"/>
    <w:rsid w:val="00923178"/>
    <w:rsid w:val="009231A6"/>
    <w:rsid w:val="009231C1"/>
    <w:rsid w:val="00923243"/>
    <w:rsid w:val="00923373"/>
    <w:rsid w:val="009233B7"/>
    <w:rsid w:val="00923432"/>
    <w:rsid w:val="00923603"/>
    <w:rsid w:val="009237BF"/>
    <w:rsid w:val="00923858"/>
    <w:rsid w:val="00923C07"/>
    <w:rsid w:val="00923CC4"/>
    <w:rsid w:val="00923D45"/>
    <w:rsid w:val="00923D71"/>
    <w:rsid w:val="00923D73"/>
    <w:rsid w:val="00923D76"/>
    <w:rsid w:val="00923E2F"/>
    <w:rsid w:val="00923ED7"/>
    <w:rsid w:val="00923F4E"/>
    <w:rsid w:val="00923F67"/>
    <w:rsid w:val="00923FAE"/>
    <w:rsid w:val="00924005"/>
    <w:rsid w:val="00924006"/>
    <w:rsid w:val="00924175"/>
    <w:rsid w:val="009241D4"/>
    <w:rsid w:val="009244BC"/>
    <w:rsid w:val="009244CF"/>
    <w:rsid w:val="009244FB"/>
    <w:rsid w:val="00924612"/>
    <w:rsid w:val="0092464C"/>
    <w:rsid w:val="00924839"/>
    <w:rsid w:val="0092493B"/>
    <w:rsid w:val="00924A31"/>
    <w:rsid w:val="00924AA7"/>
    <w:rsid w:val="00924B73"/>
    <w:rsid w:val="00924C2E"/>
    <w:rsid w:val="00924CD2"/>
    <w:rsid w:val="00924D7D"/>
    <w:rsid w:val="00924E14"/>
    <w:rsid w:val="00924F30"/>
    <w:rsid w:val="00924FAA"/>
    <w:rsid w:val="00924FF0"/>
    <w:rsid w:val="0092503A"/>
    <w:rsid w:val="009250CB"/>
    <w:rsid w:val="00925116"/>
    <w:rsid w:val="0092517F"/>
    <w:rsid w:val="009251D7"/>
    <w:rsid w:val="0092526A"/>
    <w:rsid w:val="0092536A"/>
    <w:rsid w:val="009253A8"/>
    <w:rsid w:val="009254AA"/>
    <w:rsid w:val="009254B4"/>
    <w:rsid w:val="0092558D"/>
    <w:rsid w:val="0092574D"/>
    <w:rsid w:val="0092576D"/>
    <w:rsid w:val="009257C0"/>
    <w:rsid w:val="00925B04"/>
    <w:rsid w:val="00925BBE"/>
    <w:rsid w:val="00925C76"/>
    <w:rsid w:val="00925F3F"/>
    <w:rsid w:val="00926027"/>
    <w:rsid w:val="00926296"/>
    <w:rsid w:val="0092631A"/>
    <w:rsid w:val="00926328"/>
    <w:rsid w:val="00926596"/>
    <w:rsid w:val="009266F0"/>
    <w:rsid w:val="00926749"/>
    <w:rsid w:val="00926903"/>
    <w:rsid w:val="00926A0A"/>
    <w:rsid w:val="00926B06"/>
    <w:rsid w:val="00926B2B"/>
    <w:rsid w:val="00926B9E"/>
    <w:rsid w:val="00926D3E"/>
    <w:rsid w:val="00926DC2"/>
    <w:rsid w:val="00926DD7"/>
    <w:rsid w:val="00926E3B"/>
    <w:rsid w:val="00926FBD"/>
    <w:rsid w:val="00926FF8"/>
    <w:rsid w:val="00927086"/>
    <w:rsid w:val="00927230"/>
    <w:rsid w:val="0092728E"/>
    <w:rsid w:val="009272CE"/>
    <w:rsid w:val="00927451"/>
    <w:rsid w:val="009275FA"/>
    <w:rsid w:val="00927625"/>
    <w:rsid w:val="00927688"/>
    <w:rsid w:val="0092769F"/>
    <w:rsid w:val="0092776A"/>
    <w:rsid w:val="0092778F"/>
    <w:rsid w:val="009277A6"/>
    <w:rsid w:val="009277BF"/>
    <w:rsid w:val="00927864"/>
    <w:rsid w:val="009278A5"/>
    <w:rsid w:val="00927A1C"/>
    <w:rsid w:val="00927BE0"/>
    <w:rsid w:val="00927D7E"/>
    <w:rsid w:val="00927F90"/>
    <w:rsid w:val="009300C1"/>
    <w:rsid w:val="0093017E"/>
    <w:rsid w:val="009302AE"/>
    <w:rsid w:val="00930617"/>
    <w:rsid w:val="0093087B"/>
    <w:rsid w:val="00930934"/>
    <w:rsid w:val="0093098B"/>
    <w:rsid w:val="00930A0A"/>
    <w:rsid w:val="00930BA8"/>
    <w:rsid w:val="00930C08"/>
    <w:rsid w:val="00930D33"/>
    <w:rsid w:val="00930F1D"/>
    <w:rsid w:val="00930F44"/>
    <w:rsid w:val="0093127B"/>
    <w:rsid w:val="009312C8"/>
    <w:rsid w:val="009315B7"/>
    <w:rsid w:val="009315E2"/>
    <w:rsid w:val="009317A0"/>
    <w:rsid w:val="009317C3"/>
    <w:rsid w:val="0093185E"/>
    <w:rsid w:val="00931981"/>
    <w:rsid w:val="009319A7"/>
    <w:rsid w:val="00931A3F"/>
    <w:rsid w:val="00931A63"/>
    <w:rsid w:val="00931BF2"/>
    <w:rsid w:val="00931C72"/>
    <w:rsid w:val="00931ECC"/>
    <w:rsid w:val="009320EC"/>
    <w:rsid w:val="009321CF"/>
    <w:rsid w:val="00932266"/>
    <w:rsid w:val="00932323"/>
    <w:rsid w:val="00932429"/>
    <w:rsid w:val="00932540"/>
    <w:rsid w:val="009327D4"/>
    <w:rsid w:val="00932827"/>
    <w:rsid w:val="009328AF"/>
    <w:rsid w:val="00932C9E"/>
    <w:rsid w:val="00932D8F"/>
    <w:rsid w:val="00932E9C"/>
    <w:rsid w:val="00932F3B"/>
    <w:rsid w:val="009331C2"/>
    <w:rsid w:val="009331EF"/>
    <w:rsid w:val="0093330E"/>
    <w:rsid w:val="00933420"/>
    <w:rsid w:val="009334AB"/>
    <w:rsid w:val="00933500"/>
    <w:rsid w:val="00933557"/>
    <w:rsid w:val="009335B9"/>
    <w:rsid w:val="009335EF"/>
    <w:rsid w:val="009337CF"/>
    <w:rsid w:val="00933820"/>
    <w:rsid w:val="00933951"/>
    <w:rsid w:val="00933C14"/>
    <w:rsid w:val="00933C62"/>
    <w:rsid w:val="00933E55"/>
    <w:rsid w:val="00933FA0"/>
    <w:rsid w:val="00933FD7"/>
    <w:rsid w:val="009343C2"/>
    <w:rsid w:val="00934829"/>
    <w:rsid w:val="009348E2"/>
    <w:rsid w:val="00934E8F"/>
    <w:rsid w:val="00935257"/>
    <w:rsid w:val="00935291"/>
    <w:rsid w:val="009352A9"/>
    <w:rsid w:val="009353DF"/>
    <w:rsid w:val="0093540A"/>
    <w:rsid w:val="00935461"/>
    <w:rsid w:val="00935493"/>
    <w:rsid w:val="0093562E"/>
    <w:rsid w:val="00935648"/>
    <w:rsid w:val="00935965"/>
    <w:rsid w:val="00935A40"/>
    <w:rsid w:val="00935DBF"/>
    <w:rsid w:val="00935DFC"/>
    <w:rsid w:val="00935EBB"/>
    <w:rsid w:val="00935EBC"/>
    <w:rsid w:val="00936032"/>
    <w:rsid w:val="009360B4"/>
    <w:rsid w:val="009360D2"/>
    <w:rsid w:val="00936252"/>
    <w:rsid w:val="00936595"/>
    <w:rsid w:val="00936698"/>
    <w:rsid w:val="00936744"/>
    <w:rsid w:val="00936767"/>
    <w:rsid w:val="00936926"/>
    <w:rsid w:val="00936A78"/>
    <w:rsid w:val="00936CD0"/>
    <w:rsid w:val="00936EA7"/>
    <w:rsid w:val="00936EAF"/>
    <w:rsid w:val="00936EF5"/>
    <w:rsid w:val="00936F34"/>
    <w:rsid w:val="009370A4"/>
    <w:rsid w:val="0093728B"/>
    <w:rsid w:val="0093742F"/>
    <w:rsid w:val="00937479"/>
    <w:rsid w:val="0093750F"/>
    <w:rsid w:val="00937511"/>
    <w:rsid w:val="00937513"/>
    <w:rsid w:val="0093783D"/>
    <w:rsid w:val="00937852"/>
    <w:rsid w:val="0093788B"/>
    <w:rsid w:val="0093789A"/>
    <w:rsid w:val="009378EF"/>
    <w:rsid w:val="00937A27"/>
    <w:rsid w:val="00937B31"/>
    <w:rsid w:val="00937E3C"/>
    <w:rsid w:val="00937F1B"/>
    <w:rsid w:val="00940274"/>
    <w:rsid w:val="009403DE"/>
    <w:rsid w:val="00940486"/>
    <w:rsid w:val="009404AA"/>
    <w:rsid w:val="00940598"/>
    <w:rsid w:val="00940754"/>
    <w:rsid w:val="0094087D"/>
    <w:rsid w:val="00940980"/>
    <w:rsid w:val="00940A30"/>
    <w:rsid w:val="00940B15"/>
    <w:rsid w:val="00940E7B"/>
    <w:rsid w:val="00940EAD"/>
    <w:rsid w:val="00940F12"/>
    <w:rsid w:val="00941301"/>
    <w:rsid w:val="00941452"/>
    <w:rsid w:val="009414B8"/>
    <w:rsid w:val="00941548"/>
    <w:rsid w:val="0094164E"/>
    <w:rsid w:val="009417DE"/>
    <w:rsid w:val="00941886"/>
    <w:rsid w:val="009419F3"/>
    <w:rsid w:val="00941B73"/>
    <w:rsid w:val="00941BEE"/>
    <w:rsid w:val="00941C1E"/>
    <w:rsid w:val="00941D0D"/>
    <w:rsid w:val="00941D99"/>
    <w:rsid w:val="00941FC2"/>
    <w:rsid w:val="00942130"/>
    <w:rsid w:val="009422DB"/>
    <w:rsid w:val="009422DE"/>
    <w:rsid w:val="00942543"/>
    <w:rsid w:val="00942585"/>
    <w:rsid w:val="009425DF"/>
    <w:rsid w:val="009425E9"/>
    <w:rsid w:val="00942721"/>
    <w:rsid w:val="0094285C"/>
    <w:rsid w:val="009428AB"/>
    <w:rsid w:val="009428E8"/>
    <w:rsid w:val="00942B2D"/>
    <w:rsid w:val="00942BC5"/>
    <w:rsid w:val="00942BD2"/>
    <w:rsid w:val="00942CAC"/>
    <w:rsid w:val="00942CF6"/>
    <w:rsid w:val="00942DA6"/>
    <w:rsid w:val="00942E14"/>
    <w:rsid w:val="00942E15"/>
    <w:rsid w:val="00942FD3"/>
    <w:rsid w:val="009431EA"/>
    <w:rsid w:val="00943397"/>
    <w:rsid w:val="0094347A"/>
    <w:rsid w:val="009434AC"/>
    <w:rsid w:val="00943542"/>
    <w:rsid w:val="009435E9"/>
    <w:rsid w:val="00943823"/>
    <w:rsid w:val="00943A14"/>
    <w:rsid w:val="00943A7F"/>
    <w:rsid w:val="00943A99"/>
    <w:rsid w:val="00943B37"/>
    <w:rsid w:val="00943BCB"/>
    <w:rsid w:val="00943CBD"/>
    <w:rsid w:val="00943CF3"/>
    <w:rsid w:val="00943D30"/>
    <w:rsid w:val="00943FC1"/>
    <w:rsid w:val="00943FCD"/>
    <w:rsid w:val="00943FE2"/>
    <w:rsid w:val="00944084"/>
    <w:rsid w:val="009440F4"/>
    <w:rsid w:val="0094410E"/>
    <w:rsid w:val="00944180"/>
    <w:rsid w:val="00944250"/>
    <w:rsid w:val="009443C6"/>
    <w:rsid w:val="009443D9"/>
    <w:rsid w:val="00944429"/>
    <w:rsid w:val="00944499"/>
    <w:rsid w:val="009446D4"/>
    <w:rsid w:val="00944737"/>
    <w:rsid w:val="009447AA"/>
    <w:rsid w:val="009447D8"/>
    <w:rsid w:val="0094486B"/>
    <w:rsid w:val="00944A3C"/>
    <w:rsid w:val="00944C53"/>
    <w:rsid w:val="00944E4B"/>
    <w:rsid w:val="00944EC6"/>
    <w:rsid w:val="00944EE8"/>
    <w:rsid w:val="00944EEA"/>
    <w:rsid w:val="00944F11"/>
    <w:rsid w:val="00944F44"/>
    <w:rsid w:val="009452E8"/>
    <w:rsid w:val="0094538D"/>
    <w:rsid w:val="0094541F"/>
    <w:rsid w:val="00945696"/>
    <w:rsid w:val="009456FB"/>
    <w:rsid w:val="00945784"/>
    <w:rsid w:val="009457AD"/>
    <w:rsid w:val="009458E0"/>
    <w:rsid w:val="00945B69"/>
    <w:rsid w:val="00945E69"/>
    <w:rsid w:val="0094613E"/>
    <w:rsid w:val="0094618B"/>
    <w:rsid w:val="00946572"/>
    <w:rsid w:val="0094665D"/>
    <w:rsid w:val="00946757"/>
    <w:rsid w:val="009467C3"/>
    <w:rsid w:val="00946899"/>
    <w:rsid w:val="009469A3"/>
    <w:rsid w:val="009469AF"/>
    <w:rsid w:val="00946A98"/>
    <w:rsid w:val="00946C76"/>
    <w:rsid w:val="00946CB3"/>
    <w:rsid w:val="00946FA5"/>
    <w:rsid w:val="009470AB"/>
    <w:rsid w:val="009470E7"/>
    <w:rsid w:val="00947243"/>
    <w:rsid w:val="009472F9"/>
    <w:rsid w:val="009473BC"/>
    <w:rsid w:val="00947407"/>
    <w:rsid w:val="00947626"/>
    <w:rsid w:val="009476E5"/>
    <w:rsid w:val="00947750"/>
    <w:rsid w:val="0094776D"/>
    <w:rsid w:val="00947885"/>
    <w:rsid w:val="00947A2A"/>
    <w:rsid w:val="00947A38"/>
    <w:rsid w:val="00947A56"/>
    <w:rsid w:val="00947F93"/>
    <w:rsid w:val="0095012C"/>
    <w:rsid w:val="00950158"/>
    <w:rsid w:val="00950273"/>
    <w:rsid w:val="00950359"/>
    <w:rsid w:val="009503E5"/>
    <w:rsid w:val="00950488"/>
    <w:rsid w:val="0095049C"/>
    <w:rsid w:val="009507CF"/>
    <w:rsid w:val="0095085E"/>
    <w:rsid w:val="00950953"/>
    <w:rsid w:val="00950E2E"/>
    <w:rsid w:val="009510F0"/>
    <w:rsid w:val="00951131"/>
    <w:rsid w:val="009511CC"/>
    <w:rsid w:val="0095120A"/>
    <w:rsid w:val="0095122C"/>
    <w:rsid w:val="00951311"/>
    <w:rsid w:val="0095133C"/>
    <w:rsid w:val="009513FD"/>
    <w:rsid w:val="009516D7"/>
    <w:rsid w:val="009516F3"/>
    <w:rsid w:val="00951799"/>
    <w:rsid w:val="009517C1"/>
    <w:rsid w:val="0095182A"/>
    <w:rsid w:val="00951862"/>
    <w:rsid w:val="009518D2"/>
    <w:rsid w:val="00951ADE"/>
    <w:rsid w:val="00951B97"/>
    <w:rsid w:val="00951CAF"/>
    <w:rsid w:val="00951D97"/>
    <w:rsid w:val="00951F57"/>
    <w:rsid w:val="00951FED"/>
    <w:rsid w:val="00951FF7"/>
    <w:rsid w:val="0095202A"/>
    <w:rsid w:val="00952062"/>
    <w:rsid w:val="0095209B"/>
    <w:rsid w:val="0095216A"/>
    <w:rsid w:val="00952325"/>
    <w:rsid w:val="00952416"/>
    <w:rsid w:val="00952539"/>
    <w:rsid w:val="009527E6"/>
    <w:rsid w:val="00952A22"/>
    <w:rsid w:val="00952A2B"/>
    <w:rsid w:val="00952AEE"/>
    <w:rsid w:val="00952BE5"/>
    <w:rsid w:val="00952D9E"/>
    <w:rsid w:val="00952E10"/>
    <w:rsid w:val="00952FBB"/>
    <w:rsid w:val="0095303A"/>
    <w:rsid w:val="0095319E"/>
    <w:rsid w:val="009531BC"/>
    <w:rsid w:val="009531EA"/>
    <w:rsid w:val="00953230"/>
    <w:rsid w:val="00953305"/>
    <w:rsid w:val="00953349"/>
    <w:rsid w:val="0095341E"/>
    <w:rsid w:val="009536EF"/>
    <w:rsid w:val="00953751"/>
    <w:rsid w:val="00953A65"/>
    <w:rsid w:val="00953AEE"/>
    <w:rsid w:val="00953D1F"/>
    <w:rsid w:val="00953DCF"/>
    <w:rsid w:val="00953EA6"/>
    <w:rsid w:val="00954293"/>
    <w:rsid w:val="0095439B"/>
    <w:rsid w:val="00954428"/>
    <w:rsid w:val="0095446A"/>
    <w:rsid w:val="0095461C"/>
    <w:rsid w:val="00954641"/>
    <w:rsid w:val="009546DB"/>
    <w:rsid w:val="00954838"/>
    <w:rsid w:val="00954954"/>
    <w:rsid w:val="00954B3B"/>
    <w:rsid w:val="00954C51"/>
    <w:rsid w:val="00954CAA"/>
    <w:rsid w:val="00954D95"/>
    <w:rsid w:val="00954DA9"/>
    <w:rsid w:val="00954E96"/>
    <w:rsid w:val="00954F13"/>
    <w:rsid w:val="00954F7D"/>
    <w:rsid w:val="00955017"/>
    <w:rsid w:val="00955203"/>
    <w:rsid w:val="00955217"/>
    <w:rsid w:val="0095536B"/>
    <w:rsid w:val="0095554C"/>
    <w:rsid w:val="0095558F"/>
    <w:rsid w:val="009556D5"/>
    <w:rsid w:val="00955CBA"/>
    <w:rsid w:val="0095618F"/>
    <w:rsid w:val="00956314"/>
    <w:rsid w:val="009563F8"/>
    <w:rsid w:val="00956484"/>
    <w:rsid w:val="009564D3"/>
    <w:rsid w:val="00956580"/>
    <w:rsid w:val="0095669E"/>
    <w:rsid w:val="0095680A"/>
    <w:rsid w:val="00956818"/>
    <w:rsid w:val="0095685D"/>
    <w:rsid w:val="00956AD2"/>
    <w:rsid w:val="00956AD8"/>
    <w:rsid w:val="00956B43"/>
    <w:rsid w:val="00956BE3"/>
    <w:rsid w:val="00956D66"/>
    <w:rsid w:val="00956DC7"/>
    <w:rsid w:val="00957177"/>
    <w:rsid w:val="009572A4"/>
    <w:rsid w:val="009572D7"/>
    <w:rsid w:val="009573DE"/>
    <w:rsid w:val="00957762"/>
    <w:rsid w:val="009577F1"/>
    <w:rsid w:val="00957AE4"/>
    <w:rsid w:val="00957B4B"/>
    <w:rsid w:val="00957CDF"/>
    <w:rsid w:val="00957EE6"/>
    <w:rsid w:val="0096015B"/>
    <w:rsid w:val="0096036B"/>
    <w:rsid w:val="00960480"/>
    <w:rsid w:val="00960546"/>
    <w:rsid w:val="00960562"/>
    <w:rsid w:val="0096061E"/>
    <w:rsid w:val="00960684"/>
    <w:rsid w:val="00960998"/>
    <w:rsid w:val="00960AAD"/>
    <w:rsid w:val="00960AB0"/>
    <w:rsid w:val="00960B1E"/>
    <w:rsid w:val="00960C3A"/>
    <w:rsid w:val="00960C91"/>
    <w:rsid w:val="00960D11"/>
    <w:rsid w:val="00960D2C"/>
    <w:rsid w:val="00960E3E"/>
    <w:rsid w:val="00960F2D"/>
    <w:rsid w:val="00960F8C"/>
    <w:rsid w:val="00960FBD"/>
    <w:rsid w:val="009610AD"/>
    <w:rsid w:val="00961243"/>
    <w:rsid w:val="0096124E"/>
    <w:rsid w:val="00961328"/>
    <w:rsid w:val="00961387"/>
    <w:rsid w:val="009613D8"/>
    <w:rsid w:val="0096148F"/>
    <w:rsid w:val="009614F1"/>
    <w:rsid w:val="009616AF"/>
    <w:rsid w:val="009616D3"/>
    <w:rsid w:val="00961738"/>
    <w:rsid w:val="0096174D"/>
    <w:rsid w:val="009618A1"/>
    <w:rsid w:val="009618B9"/>
    <w:rsid w:val="009619C7"/>
    <w:rsid w:val="009619CE"/>
    <w:rsid w:val="00961B42"/>
    <w:rsid w:val="00961B73"/>
    <w:rsid w:val="00961BDC"/>
    <w:rsid w:val="00961C47"/>
    <w:rsid w:val="00961C56"/>
    <w:rsid w:val="00961C99"/>
    <w:rsid w:val="00961EC6"/>
    <w:rsid w:val="00961ECC"/>
    <w:rsid w:val="00961EFA"/>
    <w:rsid w:val="00962197"/>
    <w:rsid w:val="00962220"/>
    <w:rsid w:val="00962371"/>
    <w:rsid w:val="009623B0"/>
    <w:rsid w:val="00962410"/>
    <w:rsid w:val="0096243C"/>
    <w:rsid w:val="009626A9"/>
    <w:rsid w:val="009627B5"/>
    <w:rsid w:val="00962854"/>
    <w:rsid w:val="0096285E"/>
    <w:rsid w:val="00962A96"/>
    <w:rsid w:val="00962B3C"/>
    <w:rsid w:val="00962B90"/>
    <w:rsid w:val="00962C19"/>
    <w:rsid w:val="00962DFD"/>
    <w:rsid w:val="00962ECB"/>
    <w:rsid w:val="00962F59"/>
    <w:rsid w:val="00963107"/>
    <w:rsid w:val="00963236"/>
    <w:rsid w:val="009632DC"/>
    <w:rsid w:val="0096345D"/>
    <w:rsid w:val="0096347C"/>
    <w:rsid w:val="00963494"/>
    <w:rsid w:val="009638CA"/>
    <w:rsid w:val="009638DE"/>
    <w:rsid w:val="00963A16"/>
    <w:rsid w:val="00963B32"/>
    <w:rsid w:val="00963B68"/>
    <w:rsid w:val="00963C70"/>
    <w:rsid w:val="00963D4A"/>
    <w:rsid w:val="00963DF9"/>
    <w:rsid w:val="00963E31"/>
    <w:rsid w:val="00963ECB"/>
    <w:rsid w:val="0096406A"/>
    <w:rsid w:val="00964104"/>
    <w:rsid w:val="00964466"/>
    <w:rsid w:val="0096449D"/>
    <w:rsid w:val="009644C8"/>
    <w:rsid w:val="00964565"/>
    <w:rsid w:val="0096461B"/>
    <w:rsid w:val="00964698"/>
    <w:rsid w:val="00964750"/>
    <w:rsid w:val="00964759"/>
    <w:rsid w:val="0096475C"/>
    <w:rsid w:val="009647F0"/>
    <w:rsid w:val="00964828"/>
    <w:rsid w:val="00964984"/>
    <w:rsid w:val="009649B0"/>
    <w:rsid w:val="00964D05"/>
    <w:rsid w:val="00964D21"/>
    <w:rsid w:val="00964E44"/>
    <w:rsid w:val="0096502A"/>
    <w:rsid w:val="00965558"/>
    <w:rsid w:val="0096560F"/>
    <w:rsid w:val="009658CA"/>
    <w:rsid w:val="009658DC"/>
    <w:rsid w:val="00965955"/>
    <w:rsid w:val="00965B02"/>
    <w:rsid w:val="00965CDD"/>
    <w:rsid w:val="00965DD2"/>
    <w:rsid w:val="00965F47"/>
    <w:rsid w:val="00965FAC"/>
    <w:rsid w:val="00965FDC"/>
    <w:rsid w:val="0096613E"/>
    <w:rsid w:val="0096622D"/>
    <w:rsid w:val="00966335"/>
    <w:rsid w:val="009666C3"/>
    <w:rsid w:val="0096673B"/>
    <w:rsid w:val="00966A0A"/>
    <w:rsid w:val="00966AFE"/>
    <w:rsid w:val="00966B3E"/>
    <w:rsid w:val="00966B96"/>
    <w:rsid w:val="00966BAF"/>
    <w:rsid w:val="00966C45"/>
    <w:rsid w:val="00966D57"/>
    <w:rsid w:val="00966DD5"/>
    <w:rsid w:val="00966DE8"/>
    <w:rsid w:val="00966F01"/>
    <w:rsid w:val="00966FBF"/>
    <w:rsid w:val="0096708A"/>
    <w:rsid w:val="0096710D"/>
    <w:rsid w:val="009671B4"/>
    <w:rsid w:val="0096725D"/>
    <w:rsid w:val="00967375"/>
    <w:rsid w:val="00967383"/>
    <w:rsid w:val="009673C7"/>
    <w:rsid w:val="0096749A"/>
    <w:rsid w:val="009674A6"/>
    <w:rsid w:val="009676F7"/>
    <w:rsid w:val="0096770C"/>
    <w:rsid w:val="009677A9"/>
    <w:rsid w:val="009677FF"/>
    <w:rsid w:val="00967868"/>
    <w:rsid w:val="0096795E"/>
    <w:rsid w:val="00967D20"/>
    <w:rsid w:val="00970123"/>
    <w:rsid w:val="00970144"/>
    <w:rsid w:val="00970422"/>
    <w:rsid w:val="00970427"/>
    <w:rsid w:val="009706C0"/>
    <w:rsid w:val="0097090F"/>
    <w:rsid w:val="00970965"/>
    <w:rsid w:val="00970B85"/>
    <w:rsid w:val="00970C73"/>
    <w:rsid w:val="00970D02"/>
    <w:rsid w:val="00970EC6"/>
    <w:rsid w:val="009711EA"/>
    <w:rsid w:val="00971231"/>
    <w:rsid w:val="00971310"/>
    <w:rsid w:val="009714E8"/>
    <w:rsid w:val="0097154E"/>
    <w:rsid w:val="0097176A"/>
    <w:rsid w:val="0097188D"/>
    <w:rsid w:val="00971891"/>
    <w:rsid w:val="0097197A"/>
    <w:rsid w:val="00971DC3"/>
    <w:rsid w:val="00971F0A"/>
    <w:rsid w:val="00971F54"/>
    <w:rsid w:val="00972032"/>
    <w:rsid w:val="009722AD"/>
    <w:rsid w:val="0097234E"/>
    <w:rsid w:val="00972545"/>
    <w:rsid w:val="00972561"/>
    <w:rsid w:val="00972646"/>
    <w:rsid w:val="009726B0"/>
    <w:rsid w:val="009729D2"/>
    <w:rsid w:val="00972AA0"/>
    <w:rsid w:val="00972AB8"/>
    <w:rsid w:val="00972C05"/>
    <w:rsid w:val="00972C2F"/>
    <w:rsid w:val="00972C32"/>
    <w:rsid w:val="00972CB4"/>
    <w:rsid w:val="00972CC4"/>
    <w:rsid w:val="00972CED"/>
    <w:rsid w:val="00972DCE"/>
    <w:rsid w:val="00972F75"/>
    <w:rsid w:val="00972FA1"/>
    <w:rsid w:val="009730E6"/>
    <w:rsid w:val="0097341A"/>
    <w:rsid w:val="0097354C"/>
    <w:rsid w:val="00973576"/>
    <w:rsid w:val="00973591"/>
    <w:rsid w:val="009735F6"/>
    <w:rsid w:val="009736CC"/>
    <w:rsid w:val="009737DA"/>
    <w:rsid w:val="0097385B"/>
    <w:rsid w:val="009739A1"/>
    <w:rsid w:val="009739FD"/>
    <w:rsid w:val="00973AAA"/>
    <w:rsid w:val="00973AD0"/>
    <w:rsid w:val="00973AEF"/>
    <w:rsid w:val="00973BA1"/>
    <w:rsid w:val="00973CAB"/>
    <w:rsid w:val="00973D6A"/>
    <w:rsid w:val="00973FCB"/>
    <w:rsid w:val="00974245"/>
    <w:rsid w:val="00974247"/>
    <w:rsid w:val="00974779"/>
    <w:rsid w:val="00974927"/>
    <w:rsid w:val="009749E9"/>
    <w:rsid w:val="00974AD8"/>
    <w:rsid w:val="00974AF2"/>
    <w:rsid w:val="00974C22"/>
    <w:rsid w:val="00974C49"/>
    <w:rsid w:val="00974D15"/>
    <w:rsid w:val="00974E16"/>
    <w:rsid w:val="00974E64"/>
    <w:rsid w:val="00974F67"/>
    <w:rsid w:val="00974F99"/>
    <w:rsid w:val="00975096"/>
    <w:rsid w:val="00975232"/>
    <w:rsid w:val="0097523C"/>
    <w:rsid w:val="00975492"/>
    <w:rsid w:val="009754AE"/>
    <w:rsid w:val="00975620"/>
    <w:rsid w:val="009756F3"/>
    <w:rsid w:val="00975775"/>
    <w:rsid w:val="009757E2"/>
    <w:rsid w:val="00975823"/>
    <w:rsid w:val="0097594A"/>
    <w:rsid w:val="00975960"/>
    <w:rsid w:val="00975A10"/>
    <w:rsid w:val="00975A67"/>
    <w:rsid w:val="00975C2C"/>
    <w:rsid w:val="00975CA3"/>
    <w:rsid w:val="00975D53"/>
    <w:rsid w:val="00975F84"/>
    <w:rsid w:val="00975FF1"/>
    <w:rsid w:val="00976038"/>
    <w:rsid w:val="009763DF"/>
    <w:rsid w:val="00976494"/>
    <w:rsid w:val="0097683B"/>
    <w:rsid w:val="00976C4D"/>
    <w:rsid w:val="00976D27"/>
    <w:rsid w:val="00976D98"/>
    <w:rsid w:val="00976EFC"/>
    <w:rsid w:val="009770A4"/>
    <w:rsid w:val="009772DE"/>
    <w:rsid w:val="00977450"/>
    <w:rsid w:val="009774E7"/>
    <w:rsid w:val="0097759F"/>
    <w:rsid w:val="0097765E"/>
    <w:rsid w:val="0097767F"/>
    <w:rsid w:val="009776AF"/>
    <w:rsid w:val="009776F3"/>
    <w:rsid w:val="009777B8"/>
    <w:rsid w:val="00977966"/>
    <w:rsid w:val="00977A49"/>
    <w:rsid w:val="00977A5D"/>
    <w:rsid w:val="00977A62"/>
    <w:rsid w:val="00977B74"/>
    <w:rsid w:val="00977B91"/>
    <w:rsid w:val="00977BE5"/>
    <w:rsid w:val="00977BEC"/>
    <w:rsid w:val="00977C7E"/>
    <w:rsid w:val="00977DDE"/>
    <w:rsid w:val="00977E58"/>
    <w:rsid w:val="00977E86"/>
    <w:rsid w:val="00977F5A"/>
    <w:rsid w:val="00977F93"/>
    <w:rsid w:val="009802B0"/>
    <w:rsid w:val="009802BC"/>
    <w:rsid w:val="00980632"/>
    <w:rsid w:val="009807C8"/>
    <w:rsid w:val="00980801"/>
    <w:rsid w:val="00980867"/>
    <w:rsid w:val="00980A8E"/>
    <w:rsid w:val="00980BFA"/>
    <w:rsid w:val="00980CE4"/>
    <w:rsid w:val="00980DE7"/>
    <w:rsid w:val="00980FC0"/>
    <w:rsid w:val="00981005"/>
    <w:rsid w:val="00981008"/>
    <w:rsid w:val="00981063"/>
    <w:rsid w:val="00981253"/>
    <w:rsid w:val="00981256"/>
    <w:rsid w:val="009812D2"/>
    <w:rsid w:val="0098134F"/>
    <w:rsid w:val="00981395"/>
    <w:rsid w:val="009813BB"/>
    <w:rsid w:val="009813BC"/>
    <w:rsid w:val="0098168B"/>
    <w:rsid w:val="00981BEC"/>
    <w:rsid w:val="00981C2C"/>
    <w:rsid w:val="00981C54"/>
    <w:rsid w:val="00981D72"/>
    <w:rsid w:val="009821A2"/>
    <w:rsid w:val="00982353"/>
    <w:rsid w:val="009825F0"/>
    <w:rsid w:val="00982917"/>
    <w:rsid w:val="009829D4"/>
    <w:rsid w:val="00982B96"/>
    <w:rsid w:val="00982BB5"/>
    <w:rsid w:val="00982C35"/>
    <w:rsid w:val="00982CC8"/>
    <w:rsid w:val="00982E1F"/>
    <w:rsid w:val="00982F3F"/>
    <w:rsid w:val="00982F4A"/>
    <w:rsid w:val="0098309C"/>
    <w:rsid w:val="00983391"/>
    <w:rsid w:val="0098344E"/>
    <w:rsid w:val="009834A4"/>
    <w:rsid w:val="009835E4"/>
    <w:rsid w:val="00983792"/>
    <w:rsid w:val="009837F7"/>
    <w:rsid w:val="00983962"/>
    <w:rsid w:val="00983B1A"/>
    <w:rsid w:val="00983D2D"/>
    <w:rsid w:val="00983DE2"/>
    <w:rsid w:val="00983E40"/>
    <w:rsid w:val="00983E61"/>
    <w:rsid w:val="00983FDC"/>
    <w:rsid w:val="00984145"/>
    <w:rsid w:val="009841A1"/>
    <w:rsid w:val="0098423C"/>
    <w:rsid w:val="009842F8"/>
    <w:rsid w:val="0098432A"/>
    <w:rsid w:val="00984479"/>
    <w:rsid w:val="009844F1"/>
    <w:rsid w:val="00984548"/>
    <w:rsid w:val="009846D5"/>
    <w:rsid w:val="009846E2"/>
    <w:rsid w:val="0098494D"/>
    <w:rsid w:val="00984968"/>
    <w:rsid w:val="00984C47"/>
    <w:rsid w:val="00984E3B"/>
    <w:rsid w:val="009850C2"/>
    <w:rsid w:val="0098510A"/>
    <w:rsid w:val="0098518A"/>
    <w:rsid w:val="0098527F"/>
    <w:rsid w:val="009852E4"/>
    <w:rsid w:val="0098537F"/>
    <w:rsid w:val="00985396"/>
    <w:rsid w:val="00985455"/>
    <w:rsid w:val="009854CC"/>
    <w:rsid w:val="009854F2"/>
    <w:rsid w:val="0098569E"/>
    <w:rsid w:val="00985887"/>
    <w:rsid w:val="009859E3"/>
    <w:rsid w:val="00985ACF"/>
    <w:rsid w:val="00985CD1"/>
    <w:rsid w:val="00985E1B"/>
    <w:rsid w:val="00985E3C"/>
    <w:rsid w:val="00985E46"/>
    <w:rsid w:val="00985FA3"/>
    <w:rsid w:val="00986282"/>
    <w:rsid w:val="00986283"/>
    <w:rsid w:val="0098637D"/>
    <w:rsid w:val="009863B9"/>
    <w:rsid w:val="00986417"/>
    <w:rsid w:val="0098641D"/>
    <w:rsid w:val="009865A0"/>
    <w:rsid w:val="009865E4"/>
    <w:rsid w:val="009865F2"/>
    <w:rsid w:val="00986A97"/>
    <w:rsid w:val="00986AA4"/>
    <w:rsid w:val="00986B0B"/>
    <w:rsid w:val="00986B7C"/>
    <w:rsid w:val="00986C3C"/>
    <w:rsid w:val="00986D75"/>
    <w:rsid w:val="00986D87"/>
    <w:rsid w:val="00986DF3"/>
    <w:rsid w:val="00986F24"/>
    <w:rsid w:val="00986FE1"/>
    <w:rsid w:val="00986FE5"/>
    <w:rsid w:val="00987156"/>
    <w:rsid w:val="00987186"/>
    <w:rsid w:val="00987234"/>
    <w:rsid w:val="00987354"/>
    <w:rsid w:val="009873BD"/>
    <w:rsid w:val="0098744B"/>
    <w:rsid w:val="0098747A"/>
    <w:rsid w:val="009876A4"/>
    <w:rsid w:val="009876AD"/>
    <w:rsid w:val="00987763"/>
    <w:rsid w:val="009877AB"/>
    <w:rsid w:val="0098783D"/>
    <w:rsid w:val="00987847"/>
    <w:rsid w:val="0098789A"/>
    <w:rsid w:val="00987A2E"/>
    <w:rsid w:val="00987A7E"/>
    <w:rsid w:val="00987B7F"/>
    <w:rsid w:val="00987C31"/>
    <w:rsid w:val="00987DF9"/>
    <w:rsid w:val="00987E77"/>
    <w:rsid w:val="00987F36"/>
    <w:rsid w:val="00987FBB"/>
    <w:rsid w:val="00987FFE"/>
    <w:rsid w:val="0099023B"/>
    <w:rsid w:val="0099032B"/>
    <w:rsid w:val="00990350"/>
    <w:rsid w:val="009903F3"/>
    <w:rsid w:val="00990443"/>
    <w:rsid w:val="00990465"/>
    <w:rsid w:val="00990564"/>
    <w:rsid w:val="009905F1"/>
    <w:rsid w:val="00990713"/>
    <w:rsid w:val="00990718"/>
    <w:rsid w:val="00990906"/>
    <w:rsid w:val="0099090C"/>
    <w:rsid w:val="009909B8"/>
    <w:rsid w:val="00990A76"/>
    <w:rsid w:val="00990B57"/>
    <w:rsid w:val="00990BC6"/>
    <w:rsid w:val="00990CA6"/>
    <w:rsid w:val="00990E50"/>
    <w:rsid w:val="00991248"/>
    <w:rsid w:val="0099143E"/>
    <w:rsid w:val="00991499"/>
    <w:rsid w:val="00991742"/>
    <w:rsid w:val="00991827"/>
    <w:rsid w:val="009918F5"/>
    <w:rsid w:val="00991A3A"/>
    <w:rsid w:val="00991A3B"/>
    <w:rsid w:val="00991A67"/>
    <w:rsid w:val="00991A93"/>
    <w:rsid w:val="00991B87"/>
    <w:rsid w:val="00991CDB"/>
    <w:rsid w:val="00991FDA"/>
    <w:rsid w:val="0099206C"/>
    <w:rsid w:val="009920EC"/>
    <w:rsid w:val="009922CE"/>
    <w:rsid w:val="009924AB"/>
    <w:rsid w:val="0099284B"/>
    <w:rsid w:val="0099295C"/>
    <w:rsid w:val="00992AA8"/>
    <w:rsid w:val="00992AEF"/>
    <w:rsid w:val="00992B08"/>
    <w:rsid w:val="00992BB0"/>
    <w:rsid w:val="00992C39"/>
    <w:rsid w:val="00992C60"/>
    <w:rsid w:val="00992DB0"/>
    <w:rsid w:val="00992DF6"/>
    <w:rsid w:val="00992EC8"/>
    <w:rsid w:val="00992EF9"/>
    <w:rsid w:val="00992F0B"/>
    <w:rsid w:val="00993078"/>
    <w:rsid w:val="009932A5"/>
    <w:rsid w:val="009933D7"/>
    <w:rsid w:val="009934C5"/>
    <w:rsid w:val="009934DF"/>
    <w:rsid w:val="00993685"/>
    <w:rsid w:val="009936B3"/>
    <w:rsid w:val="00993730"/>
    <w:rsid w:val="00993756"/>
    <w:rsid w:val="00993904"/>
    <w:rsid w:val="00993927"/>
    <w:rsid w:val="0099392D"/>
    <w:rsid w:val="009939AE"/>
    <w:rsid w:val="00993B75"/>
    <w:rsid w:val="00993BC1"/>
    <w:rsid w:val="00993C63"/>
    <w:rsid w:val="00993E5C"/>
    <w:rsid w:val="00993E77"/>
    <w:rsid w:val="00993F2E"/>
    <w:rsid w:val="009940F8"/>
    <w:rsid w:val="0099410C"/>
    <w:rsid w:val="009944D0"/>
    <w:rsid w:val="00994706"/>
    <w:rsid w:val="0099477C"/>
    <w:rsid w:val="009947E2"/>
    <w:rsid w:val="009947EB"/>
    <w:rsid w:val="009948FC"/>
    <w:rsid w:val="009949F1"/>
    <w:rsid w:val="00994BB1"/>
    <w:rsid w:val="00994C1B"/>
    <w:rsid w:val="00994CE5"/>
    <w:rsid w:val="00994FAF"/>
    <w:rsid w:val="009951B4"/>
    <w:rsid w:val="009951D3"/>
    <w:rsid w:val="009952E6"/>
    <w:rsid w:val="009953B6"/>
    <w:rsid w:val="00995785"/>
    <w:rsid w:val="0099584D"/>
    <w:rsid w:val="0099596F"/>
    <w:rsid w:val="00995AFC"/>
    <w:rsid w:val="00995B90"/>
    <w:rsid w:val="00995B9C"/>
    <w:rsid w:val="00995C69"/>
    <w:rsid w:val="00995E11"/>
    <w:rsid w:val="00995EE7"/>
    <w:rsid w:val="00996125"/>
    <w:rsid w:val="009961C0"/>
    <w:rsid w:val="009961E3"/>
    <w:rsid w:val="009961E7"/>
    <w:rsid w:val="0099634A"/>
    <w:rsid w:val="00996592"/>
    <w:rsid w:val="009965DB"/>
    <w:rsid w:val="00996642"/>
    <w:rsid w:val="0099667A"/>
    <w:rsid w:val="009967F2"/>
    <w:rsid w:val="009968EB"/>
    <w:rsid w:val="00996908"/>
    <w:rsid w:val="00996970"/>
    <w:rsid w:val="00996ACF"/>
    <w:rsid w:val="00996E15"/>
    <w:rsid w:val="00996EA7"/>
    <w:rsid w:val="00996F2E"/>
    <w:rsid w:val="0099707B"/>
    <w:rsid w:val="009971D0"/>
    <w:rsid w:val="009971ED"/>
    <w:rsid w:val="00997398"/>
    <w:rsid w:val="009973C3"/>
    <w:rsid w:val="00997505"/>
    <w:rsid w:val="00997670"/>
    <w:rsid w:val="009979BF"/>
    <w:rsid w:val="00997A6E"/>
    <w:rsid w:val="00997BA4"/>
    <w:rsid w:val="00997BCE"/>
    <w:rsid w:val="00997CB0"/>
    <w:rsid w:val="00997EB6"/>
    <w:rsid w:val="009A01A5"/>
    <w:rsid w:val="009A0315"/>
    <w:rsid w:val="009A0377"/>
    <w:rsid w:val="009A0396"/>
    <w:rsid w:val="009A03FC"/>
    <w:rsid w:val="009A05A9"/>
    <w:rsid w:val="009A06D6"/>
    <w:rsid w:val="009A078F"/>
    <w:rsid w:val="009A0A05"/>
    <w:rsid w:val="009A0B33"/>
    <w:rsid w:val="009A0B93"/>
    <w:rsid w:val="009A0D48"/>
    <w:rsid w:val="009A0E08"/>
    <w:rsid w:val="009A0E6E"/>
    <w:rsid w:val="009A0FE8"/>
    <w:rsid w:val="009A11A6"/>
    <w:rsid w:val="009A1294"/>
    <w:rsid w:val="009A1419"/>
    <w:rsid w:val="009A14E0"/>
    <w:rsid w:val="009A1554"/>
    <w:rsid w:val="009A18A7"/>
    <w:rsid w:val="009A18F9"/>
    <w:rsid w:val="009A1AC8"/>
    <w:rsid w:val="009A1B09"/>
    <w:rsid w:val="009A1BFC"/>
    <w:rsid w:val="009A1F49"/>
    <w:rsid w:val="009A1F8F"/>
    <w:rsid w:val="009A1FC4"/>
    <w:rsid w:val="009A2055"/>
    <w:rsid w:val="009A216B"/>
    <w:rsid w:val="009A2350"/>
    <w:rsid w:val="009A24BD"/>
    <w:rsid w:val="009A2582"/>
    <w:rsid w:val="009A2759"/>
    <w:rsid w:val="009A282A"/>
    <w:rsid w:val="009A2963"/>
    <w:rsid w:val="009A29C5"/>
    <w:rsid w:val="009A2A1E"/>
    <w:rsid w:val="009A2C1A"/>
    <w:rsid w:val="009A2CF8"/>
    <w:rsid w:val="009A2D4F"/>
    <w:rsid w:val="009A2DF7"/>
    <w:rsid w:val="009A2E0C"/>
    <w:rsid w:val="009A2F48"/>
    <w:rsid w:val="009A3016"/>
    <w:rsid w:val="009A30CF"/>
    <w:rsid w:val="009A30EC"/>
    <w:rsid w:val="009A32D9"/>
    <w:rsid w:val="009A32EA"/>
    <w:rsid w:val="009A33FD"/>
    <w:rsid w:val="009A345C"/>
    <w:rsid w:val="009A35D5"/>
    <w:rsid w:val="009A37CE"/>
    <w:rsid w:val="009A39D6"/>
    <w:rsid w:val="009A3A1F"/>
    <w:rsid w:val="009A3AA7"/>
    <w:rsid w:val="009A3AC7"/>
    <w:rsid w:val="009A3CAF"/>
    <w:rsid w:val="009A3CD7"/>
    <w:rsid w:val="009A3D5C"/>
    <w:rsid w:val="009A3F47"/>
    <w:rsid w:val="009A3FA4"/>
    <w:rsid w:val="009A3FF1"/>
    <w:rsid w:val="009A4267"/>
    <w:rsid w:val="009A440E"/>
    <w:rsid w:val="009A44F6"/>
    <w:rsid w:val="009A4532"/>
    <w:rsid w:val="009A45C8"/>
    <w:rsid w:val="009A4818"/>
    <w:rsid w:val="009A4825"/>
    <w:rsid w:val="009A4881"/>
    <w:rsid w:val="009A49FB"/>
    <w:rsid w:val="009A4B3C"/>
    <w:rsid w:val="009A4BCA"/>
    <w:rsid w:val="009A4D50"/>
    <w:rsid w:val="009A4EEE"/>
    <w:rsid w:val="009A4F3B"/>
    <w:rsid w:val="009A4F56"/>
    <w:rsid w:val="009A53A2"/>
    <w:rsid w:val="009A566C"/>
    <w:rsid w:val="009A582E"/>
    <w:rsid w:val="009A592A"/>
    <w:rsid w:val="009A6472"/>
    <w:rsid w:val="009A653A"/>
    <w:rsid w:val="009A65D3"/>
    <w:rsid w:val="009A6894"/>
    <w:rsid w:val="009A6A32"/>
    <w:rsid w:val="009A6B09"/>
    <w:rsid w:val="009A6B10"/>
    <w:rsid w:val="009A6BFF"/>
    <w:rsid w:val="009A6C17"/>
    <w:rsid w:val="009A6DFA"/>
    <w:rsid w:val="009A6EFF"/>
    <w:rsid w:val="009A6FC8"/>
    <w:rsid w:val="009A6FD2"/>
    <w:rsid w:val="009A70D7"/>
    <w:rsid w:val="009A7220"/>
    <w:rsid w:val="009A7225"/>
    <w:rsid w:val="009A72CC"/>
    <w:rsid w:val="009A7344"/>
    <w:rsid w:val="009A73D2"/>
    <w:rsid w:val="009A764B"/>
    <w:rsid w:val="009A76E6"/>
    <w:rsid w:val="009A773C"/>
    <w:rsid w:val="009A78DD"/>
    <w:rsid w:val="009A79BE"/>
    <w:rsid w:val="009A7B89"/>
    <w:rsid w:val="009A7B9F"/>
    <w:rsid w:val="009A7C35"/>
    <w:rsid w:val="009A7C8B"/>
    <w:rsid w:val="009A7EF9"/>
    <w:rsid w:val="009B0013"/>
    <w:rsid w:val="009B043C"/>
    <w:rsid w:val="009B0443"/>
    <w:rsid w:val="009B0669"/>
    <w:rsid w:val="009B0823"/>
    <w:rsid w:val="009B0A3C"/>
    <w:rsid w:val="009B0AEC"/>
    <w:rsid w:val="009B0D96"/>
    <w:rsid w:val="009B0F91"/>
    <w:rsid w:val="009B106F"/>
    <w:rsid w:val="009B1145"/>
    <w:rsid w:val="009B11D8"/>
    <w:rsid w:val="009B1304"/>
    <w:rsid w:val="009B13C6"/>
    <w:rsid w:val="009B155D"/>
    <w:rsid w:val="009B1757"/>
    <w:rsid w:val="009B18C6"/>
    <w:rsid w:val="009B1929"/>
    <w:rsid w:val="009B19A8"/>
    <w:rsid w:val="009B1A8F"/>
    <w:rsid w:val="009B1C4E"/>
    <w:rsid w:val="009B1C8F"/>
    <w:rsid w:val="009B2141"/>
    <w:rsid w:val="009B2298"/>
    <w:rsid w:val="009B231E"/>
    <w:rsid w:val="009B23D8"/>
    <w:rsid w:val="009B2523"/>
    <w:rsid w:val="009B2588"/>
    <w:rsid w:val="009B2A87"/>
    <w:rsid w:val="009B2BEC"/>
    <w:rsid w:val="009B2CDF"/>
    <w:rsid w:val="009B2DB1"/>
    <w:rsid w:val="009B2F76"/>
    <w:rsid w:val="009B3026"/>
    <w:rsid w:val="009B332A"/>
    <w:rsid w:val="009B3416"/>
    <w:rsid w:val="009B3486"/>
    <w:rsid w:val="009B357C"/>
    <w:rsid w:val="009B36BC"/>
    <w:rsid w:val="009B36C8"/>
    <w:rsid w:val="009B36E1"/>
    <w:rsid w:val="009B385C"/>
    <w:rsid w:val="009B38F6"/>
    <w:rsid w:val="009B3952"/>
    <w:rsid w:val="009B3960"/>
    <w:rsid w:val="009B3A4D"/>
    <w:rsid w:val="009B3A68"/>
    <w:rsid w:val="009B3B3F"/>
    <w:rsid w:val="009B3B46"/>
    <w:rsid w:val="009B3BC9"/>
    <w:rsid w:val="009B3BD3"/>
    <w:rsid w:val="009B3CB7"/>
    <w:rsid w:val="009B3E41"/>
    <w:rsid w:val="009B3F4C"/>
    <w:rsid w:val="009B4532"/>
    <w:rsid w:val="009B45B7"/>
    <w:rsid w:val="009B45C0"/>
    <w:rsid w:val="009B4660"/>
    <w:rsid w:val="009B46B9"/>
    <w:rsid w:val="009B497B"/>
    <w:rsid w:val="009B4B95"/>
    <w:rsid w:val="009B4C11"/>
    <w:rsid w:val="009B4C52"/>
    <w:rsid w:val="009B4D5E"/>
    <w:rsid w:val="009B4DE8"/>
    <w:rsid w:val="009B4EF9"/>
    <w:rsid w:val="009B4FA1"/>
    <w:rsid w:val="009B5019"/>
    <w:rsid w:val="009B5085"/>
    <w:rsid w:val="009B512D"/>
    <w:rsid w:val="009B5162"/>
    <w:rsid w:val="009B51F2"/>
    <w:rsid w:val="009B5351"/>
    <w:rsid w:val="009B53D7"/>
    <w:rsid w:val="009B5434"/>
    <w:rsid w:val="009B5583"/>
    <w:rsid w:val="009B56F0"/>
    <w:rsid w:val="009B5802"/>
    <w:rsid w:val="009B5869"/>
    <w:rsid w:val="009B5932"/>
    <w:rsid w:val="009B5AE7"/>
    <w:rsid w:val="009B5B68"/>
    <w:rsid w:val="009B5B7F"/>
    <w:rsid w:val="009B5BAA"/>
    <w:rsid w:val="009B5CAB"/>
    <w:rsid w:val="009B5CCE"/>
    <w:rsid w:val="009B5D94"/>
    <w:rsid w:val="009B5FCF"/>
    <w:rsid w:val="009B6004"/>
    <w:rsid w:val="009B6091"/>
    <w:rsid w:val="009B62A2"/>
    <w:rsid w:val="009B64B3"/>
    <w:rsid w:val="009B64BC"/>
    <w:rsid w:val="009B64E2"/>
    <w:rsid w:val="009B6657"/>
    <w:rsid w:val="009B674A"/>
    <w:rsid w:val="009B685B"/>
    <w:rsid w:val="009B6936"/>
    <w:rsid w:val="009B6984"/>
    <w:rsid w:val="009B6B2F"/>
    <w:rsid w:val="009B6CD5"/>
    <w:rsid w:val="009B6D0A"/>
    <w:rsid w:val="009B6D46"/>
    <w:rsid w:val="009B6D9F"/>
    <w:rsid w:val="009B7269"/>
    <w:rsid w:val="009B7296"/>
    <w:rsid w:val="009B7578"/>
    <w:rsid w:val="009B7796"/>
    <w:rsid w:val="009B79F2"/>
    <w:rsid w:val="009B7B08"/>
    <w:rsid w:val="009B7BAF"/>
    <w:rsid w:val="009B7C42"/>
    <w:rsid w:val="009B7C6C"/>
    <w:rsid w:val="009B7D18"/>
    <w:rsid w:val="009C0393"/>
    <w:rsid w:val="009C0411"/>
    <w:rsid w:val="009C0478"/>
    <w:rsid w:val="009C05B0"/>
    <w:rsid w:val="009C07CA"/>
    <w:rsid w:val="009C087E"/>
    <w:rsid w:val="009C09BE"/>
    <w:rsid w:val="009C0A08"/>
    <w:rsid w:val="009C0A4B"/>
    <w:rsid w:val="009C0A96"/>
    <w:rsid w:val="009C0C17"/>
    <w:rsid w:val="009C0C1B"/>
    <w:rsid w:val="009C0C62"/>
    <w:rsid w:val="009C0CA7"/>
    <w:rsid w:val="009C0D7A"/>
    <w:rsid w:val="009C0DB0"/>
    <w:rsid w:val="009C0E0B"/>
    <w:rsid w:val="009C0E36"/>
    <w:rsid w:val="009C0F3A"/>
    <w:rsid w:val="009C1064"/>
    <w:rsid w:val="009C10AD"/>
    <w:rsid w:val="009C1394"/>
    <w:rsid w:val="009C145E"/>
    <w:rsid w:val="009C14C5"/>
    <w:rsid w:val="009C1532"/>
    <w:rsid w:val="009C1561"/>
    <w:rsid w:val="009C1830"/>
    <w:rsid w:val="009C184A"/>
    <w:rsid w:val="009C191F"/>
    <w:rsid w:val="009C1AC9"/>
    <w:rsid w:val="009C1B85"/>
    <w:rsid w:val="009C1C54"/>
    <w:rsid w:val="009C1DFD"/>
    <w:rsid w:val="009C1EC7"/>
    <w:rsid w:val="009C1EFB"/>
    <w:rsid w:val="009C2024"/>
    <w:rsid w:val="009C207C"/>
    <w:rsid w:val="009C20EA"/>
    <w:rsid w:val="009C20F5"/>
    <w:rsid w:val="009C22A4"/>
    <w:rsid w:val="009C2316"/>
    <w:rsid w:val="009C233E"/>
    <w:rsid w:val="009C2500"/>
    <w:rsid w:val="009C257C"/>
    <w:rsid w:val="009C260D"/>
    <w:rsid w:val="009C27F0"/>
    <w:rsid w:val="009C28AC"/>
    <w:rsid w:val="009C28BB"/>
    <w:rsid w:val="009C2985"/>
    <w:rsid w:val="009C29C3"/>
    <w:rsid w:val="009C2A5C"/>
    <w:rsid w:val="009C2BA3"/>
    <w:rsid w:val="009C2C75"/>
    <w:rsid w:val="009C2E75"/>
    <w:rsid w:val="009C2F50"/>
    <w:rsid w:val="009C3011"/>
    <w:rsid w:val="009C30E9"/>
    <w:rsid w:val="009C316A"/>
    <w:rsid w:val="009C3292"/>
    <w:rsid w:val="009C3316"/>
    <w:rsid w:val="009C345A"/>
    <w:rsid w:val="009C366B"/>
    <w:rsid w:val="009C3AD7"/>
    <w:rsid w:val="009C3B0D"/>
    <w:rsid w:val="009C3B3A"/>
    <w:rsid w:val="009C3B69"/>
    <w:rsid w:val="009C3D88"/>
    <w:rsid w:val="009C3F09"/>
    <w:rsid w:val="009C3F89"/>
    <w:rsid w:val="009C3FB8"/>
    <w:rsid w:val="009C4009"/>
    <w:rsid w:val="009C4058"/>
    <w:rsid w:val="009C407D"/>
    <w:rsid w:val="009C4085"/>
    <w:rsid w:val="009C408A"/>
    <w:rsid w:val="009C40E0"/>
    <w:rsid w:val="009C4206"/>
    <w:rsid w:val="009C4258"/>
    <w:rsid w:val="009C428A"/>
    <w:rsid w:val="009C4400"/>
    <w:rsid w:val="009C4769"/>
    <w:rsid w:val="009C47FF"/>
    <w:rsid w:val="009C4850"/>
    <w:rsid w:val="009C48AF"/>
    <w:rsid w:val="009C48D4"/>
    <w:rsid w:val="009C48E7"/>
    <w:rsid w:val="009C4C42"/>
    <w:rsid w:val="009C4C61"/>
    <w:rsid w:val="009C4C7C"/>
    <w:rsid w:val="009C4E0F"/>
    <w:rsid w:val="009C4E1E"/>
    <w:rsid w:val="009C5023"/>
    <w:rsid w:val="009C5151"/>
    <w:rsid w:val="009C52D2"/>
    <w:rsid w:val="009C549F"/>
    <w:rsid w:val="009C54B2"/>
    <w:rsid w:val="009C54CA"/>
    <w:rsid w:val="009C5575"/>
    <w:rsid w:val="009C56D8"/>
    <w:rsid w:val="009C5823"/>
    <w:rsid w:val="009C58CC"/>
    <w:rsid w:val="009C595B"/>
    <w:rsid w:val="009C59CC"/>
    <w:rsid w:val="009C5B65"/>
    <w:rsid w:val="009C5B9C"/>
    <w:rsid w:val="009C5CF6"/>
    <w:rsid w:val="009C5CFC"/>
    <w:rsid w:val="009C5D68"/>
    <w:rsid w:val="009C5EC4"/>
    <w:rsid w:val="009C5FB0"/>
    <w:rsid w:val="009C6085"/>
    <w:rsid w:val="009C60FF"/>
    <w:rsid w:val="009C610E"/>
    <w:rsid w:val="009C61DA"/>
    <w:rsid w:val="009C6246"/>
    <w:rsid w:val="009C63D5"/>
    <w:rsid w:val="009C646E"/>
    <w:rsid w:val="009C6606"/>
    <w:rsid w:val="009C6855"/>
    <w:rsid w:val="009C6975"/>
    <w:rsid w:val="009C6990"/>
    <w:rsid w:val="009C6CD2"/>
    <w:rsid w:val="009C6CD8"/>
    <w:rsid w:val="009C6D28"/>
    <w:rsid w:val="009C6DA5"/>
    <w:rsid w:val="009C6E10"/>
    <w:rsid w:val="009C6EB3"/>
    <w:rsid w:val="009C6F82"/>
    <w:rsid w:val="009C6F91"/>
    <w:rsid w:val="009C704E"/>
    <w:rsid w:val="009C706C"/>
    <w:rsid w:val="009C709B"/>
    <w:rsid w:val="009C726B"/>
    <w:rsid w:val="009C7426"/>
    <w:rsid w:val="009C74E6"/>
    <w:rsid w:val="009C759C"/>
    <w:rsid w:val="009C7615"/>
    <w:rsid w:val="009C7801"/>
    <w:rsid w:val="009C78B3"/>
    <w:rsid w:val="009C7919"/>
    <w:rsid w:val="009C7B2A"/>
    <w:rsid w:val="009C7B3C"/>
    <w:rsid w:val="009C7C5B"/>
    <w:rsid w:val="009C7D0D"/>
    <w:rsid w:val="009C7D0F"/>
    <w:rsid w:val="009C7F1C"/>
    <w:rsid w:val="009D001B"/>
    <w:rsid w:val="009D02DB"/>
    <w:rsid w:val="009D03DC"/>
    <w:rsid w:val="009D0402"/>
    <w:rsid w:val="009D0500"/>
    <w:rsid w:val="009D07D2"/>
    <w:rsid w:val="009D08C1"/>
    <w:rsid w:val="009D0903"/>
    <w:rsid w:val="009D0962"/>
    <w:rsid w:val="009D09CB"/>
    <w:rsid w:val="009D0C0D"/>
    <w:rsid w:val="009D1125"/>
    <w:rsid w:val="009D11EB"/>
    <w:rsid w:val="009D1212"/>
    <w:rsid w:val="009D125B"/>
    <w:rsid w:val="009D12B8"/>
    <w:rsid w:val="009D13D2"/>
    <w:rsid w:val="009D15AC"/>
    <w:rsid w:val="009D1600"/>
    <w:rsid w:val="009D163C"/>
    <w:rsid w:val="009D163D"/>
    <w:rsid w:val="009D16F2"/>
    <w:rsid w:val="009D1776"/>
    <w:rsid w:val="009D17C4"/>
    <w:rsid w:val="009D18AE"/>
    <w:rsid w:val="009D18CF"/>
    <w:rsid w:val="009D1997"/>
    <w:rsid w:val="009D19B1"/>
    <w:rsid w:val="009D1A4D"/>
    <w:rsid w:val="009D1B37"/>
    <w:rsid w:val="009D1B46"/>
    <w:rsid w:val="009D1C8B"/>
    <w:rsid w:val="009D1CC5"/>
    <w:rsid w:val="009D1D1F"/>
    <w:rsid w:val="009D1F0E"/>
    <w:rsid w:val="009D1FB0"/>
    <w:rsid w:val="009D2039"/>
    <w:rsid w:val="009D21DD"/>
    <w:rsid w:val="009D2483"/>
    <w:rsid w:val="009D2516"/>
    <w:rsid w:val="009D2801"/>
    <w:rsid w:val="009D280D"/>
    <w:rsid w:val="009D28DB"/>
    <w:rsid w:val="009D29A3"/>
    <w:rsid w:val="009D2A3C"/>
    <w:rsid w:val="009D2A88"/>
    <w:rsid w:val="009D2B0A"/>
    <w:rsid w:val="009D2BEB"/>
    <w:rsid w:val="009D2C10"/>
    <w:rsid w:val="009D2C4C"/>
    <w:rsid w:val="009D2C8D"/>
    <w:rsid w:val="009D2CE6"/>
    <w:rsid w:val="009D2D78"/>
    <w:rsid w:val="009D2DCC"/>
    <w:rsid w:val="009D2DD6"/>
    <w:rsid w:val="009D2E64"/>
    <w:rsid w:val="009D2F15"/>
    <w:rsid w:val="009D2FFF"/>
    <w:rsid w:val="009D30B2"/>
    <w:rsid w:val="009D31C9"/>
    <w:rsid w:val="009D34B4"/>
    <w:rsid w:val="009D359F"/>
    <w:rsid w:val="009D363C"/>
    <w:rsid w:val="009D3640"/>
    <w:rsid w:val="009D36BC"/>
    <w:rsid w:val="009D3797"/>
    <w:rsid w:val="009D385D"/>
    <w:rsid w:val="009D38B1"/>
    <w:rsid w:val="009D3954"/>
    <w:rsid w:val="009D39A9"/>
    <w:rsid w:val="009D3ADB"/>
    <w:rsid w:val="009D3AFC"/>
    <w:rsid w:val="009D3B20"/>
    <w:rsid w:val="009D3B52"/>
    <w:rsid w:val="009D3BD2"/>
    <w:rsid w:val="009D3C1B"/>
    <w:rsid w:val="009D3C84"/>
    <w:rsid w:val="009D3E45"/>
    <w:rsid w:val="009D3E57"/>
    <w:rsid w:val="009D3EBB"/>
    <w:rsid w:val="009D3F62"/>
    <w:rsid w:val="009D4065"/>
    <w:rsid w:val="009D4124"/>
    <w:rsid w:val="009D41E4"/>
    <w:rsid w:val="009D4259"/>
    <w:rsid w:val="009D4317"/>
    <w:rsid w:val="009D438C"/>
    <w:rsid w:val="009D4482"/>
    <w:rsid w:val="009D4642"/>
    <w:rsid w:val="009D48BD"/>
    <w:rsid w:val="009D491F"/>
    <w:rsid w:val="009D4C23"/>
    <w:rsid w:val="009D4CF1"/>
    <w:rsid w:val="009D4E1E"/>
    <w:rsid w:val="009D4FAC"/>
    <w:rsid w:val="009D4FB1"/>
    <w:rsid w:val="009D5008"/>
    <w:rsid w:val="009D50E2"/>
    <w:rsid w:val="009D52D5"/>
    <w:rsid w:val="009D5323"/>
    <w:rsid w:val="009D534E"/>
    <w:rsid w:val="009D53E3"/>
    <w:rsid w:val="009D5406"/>
    <w:rsid w:val="009D54E4"/>
    <w:rsid w:val="009D5509"/>
    <w:rsid w:val="009D5565"/>
    <w:rsid w:val="009D5590"/>
    <w:rsid w:val="009D55B5"/>
    <w:rsid w:val="009D577C"/>
    <w:rsid w:val="009D5A16"/>
    <w:rsid w:val="009D5A51"/>
    <w:rsid w:val="009D5B3D"/>
    <w:rsid w:val="009D5EB2"/>
    <w:rsid w:val="009D5EF1"/>
    <w:rsid w:val="009D5F3D"/>
    <w:rsid w:val="009D5F5B"/>
    <w:rsid w:val="009D5FA2"/>
    <w:rsid w:val="009D620E"/>
    <w:rsid w:val="009D6287"/>
    <w:rsid w:val="009D629E"/>
    <w:rsid w:val="009D62FF"/>
    <w:rsid w:val="009D635A"/>
    <w:rsid w:val="009D6387"/>
    <w:rsid w:val="009D63CD"/>
    <w:rsid w:val="009D6778"/>
    <w:rsid w:val="009D6821"/>
    <w:rsid w:val="009D6853"/>
    <w:rsid w:val="009D68CF"/>
    <w:rsid w:val="009D6AAF"/>
    <w:rsid w:val="009D6BCA"/>
    <w:rsid w:val="009D6C26"/>
    <w:rsid w:val="009D6D85"/>
    <w:rsid w:val="009D6DDB"/>
    <w:rsid w:val="009D737D"/>
    <w:rsid w:val="009D73D2"/>
    <w:rsid w:val="009D7540"/>
    <w:rsid w:val="009D792A"/>
    <w:rsid w:val="009D79C2"/>
    <w:rsid w:val="009D7B12"/>
    <w:rsid w:val="009D7CCE"/>
    <w:rsid w:val="009D7FB7"/>
    <w:rsid w:val="009E0134"/>
    <w:rsid w:val="009E0293"/>
    <w:rsid w:val="009E04B5"/>
    <w:rsid w:val="009E0556"/>
    <w:rsid w:val="009E0601"/>
    <w:rsid w:val="009E06BF"/>
    <w:rsid w:val="009E07DF"/>
    <w:rsid w:val="009E0971"/>
    <w:rsid w:val="009E0992"/>
    <w:rsid w:val="009E09B7"/>
    <w:rsid w:val="009E0AA2"/>
    <w:rsid w:val="009E0AF9"/>
    <w:rsid w:val="009E0B8E"/>
    <w:rsid w:val="009E0CDF"/>
    <w:rsid w:val="009E0DFA"/>
    <w:rsid w:val="009E0F54"/>
    <w:rsid w:val="009E1008"/>
    <w:rsid w:val="009E10D1"/>
    <w:rsid w:val="009E11A1"/>
    <w:rsid w:val="009E12E7"/>
    <w:rsid w:val="009E141C"/>
    <w:rsid w:val="009E147E"/>
    <w:rsid w:val="009E14A9"/>
    <w:rsid w:val="009E1769"/>
    <w:rsid w:val="009E1776"/>
    <w:rsid w:val="009E1ACF"/>
    <w:rsid w:val="009E1ADE"/>
    <w:rsid w:val="009E1C6F"/>
    <w:rsid w:val="009E1C7A"/>
    <w:rsid w:val="009E1D9D"/>
    <w:rsid w:val="009E1E83"/>
    <w:rsid w:val="009E1FA9"/>
    <w:rsid w:val="009E209E"/>
    <w:rsid w:val="009E2111"/>
    <w:rsid w:val="009E21A8"/>
    <w:rsid w:val="009E2246"/>
    <w:rsid w:val="009E229D"/>
    <w:rsid w:val="009E2459"/>
    <w:rsid w:val="009E25A0"/>
    <w:rsid w:val="009E25E5"/>
    <w:rsid w:val="009E262F"/>
    <w:rsid w:val="009E27BF"/>
    <w:rsid w:val="009E284F"/>
    <w:rsid w:val="009E2910"/>
    <w:rsid w:val="009E2997"/>
    <w:rsid w:val="009E2B98"/>
    <w:rsid w:val="009E2BAF"/>
    <w:rsid w:val="009E2BB3"/>
    <w:rsid w:val="009E2DA9"/>
    <w:rsid w:val="009E2EDB"/>
    <w:rsid w:val="009E2FB9"/>
    <w:rsid w:val="009E3020"/>
    <w:rsid w:val="009E30AE"/>
    <w:rsid w:val="009E317A"/>
    <w:rsid w:val="009E3215"/>
    <w:rsid w:val="009E3482"/>
    <w:rsid w:val="009E349B"/>
    <w:rsid w:val="009E350D"/>
    <w:rsid w:val="009E3630"/>
    <w:rsid w:val="009E36D9"/>
    <w:rsid w:val="009E36F7"/>
    <w:rsid w:val="009E386D"/>
    <w:rsid w:val="009E38DA"/>
    <w:rsid w:val="009E395E"/>
    <w:rsid w:val="009E3C0D"/>
    <w:rsid w:val="009E3CCD"/>
    <w:rsid w:val="009E3E24"/>
    <w:rsid w:val="009E4186"/>
    <w:rsid w:val="009E430B"/>
    <w:rsid w:val="009E435C"/>
    <w:rsid w:val="009E4421"/>
    <w:rsid w:val="009E4582"/>
    <w:rsid w:val="009E461B"/>
    <w:rsid w:val="009E47B5"/>
    <w:rsid w:val="009E47D5"/>
    <w:rsid w:val="009E484D"/>
    <w:rsid w:val="009E4A88"/>
    <w:rsid w:val="009E4ACB"/>
    <w:rsid w:val="009E4CB4"/>
    <w:rsid w:val="009E4D32"/>
    <w:rsid w:val="009E4DC1"/>
    <w:rsid w:val="009E4E38"/>
    <w:rsid w:val="009E4FA7"/>
    <w:rsid w:val="009E4FAF"/>
    <w:rsid w:val="009E5021"/>
    <w:rsid w:val="009E5053"/>
    <w:rsid w:val="009E509D"/>
    <w:rsid w:val="009E523F"/>
    <w:rsid w:val="009E53CE"/>
    <w:rsid w:val="009E5449"/>
    <w:rsid w:val="009E553C"/>
    <w:rsid w:val="009E5705"/>
    <w:rsid w:val="009E5773"/>
    <w:rsid w:val="009E5B5C"/>
    <w:rsid w:val="009E5DA3"/>
    <w:rsid w:val="009E5DB7"/>
    <w:rsid w:val="009E5DF8"/>
    <w:rsid w:val="009E6232"/>
    <w:rsid w:val="009E6333"/>
    <w:rsid w:val="009E63CE"/>
    <w:rsid w:val="009E642F"/>
    <w:rsid w:val="009E65A8"/>
    <w:rsid w:val="009E65C6"/>
    <w:rsid w:val="009E65C7"/>
    <w:rsid w:val="009E6674"/>
    <w:rsid w:val="009E6694"/>
    <w:rsid w:val="009E66BE"/>
    <w:rsid w:val="009E677F"/>
    <w:rsid w:val="009E685B"/>
    <w:rsid w:val="009E69D9"/>
    <w:rsid w:val="009E6A19"/>
    <w:rsid w:val="009E6A92"/>
    <w:rsid w:val="009E6B05"/>
    <w:rsid w:val="009E6B52"/>
    <w:rsid w:val="009E6BAA"/>
    <w:rsid w:val="009E6BDE"/>
    <w:rsid w:val="009E6C15"/>
    <w:rsid w:val="009E6DA8"/>
    <w:rsid w:val="009E6DDA"/>
    <w:rsid w:val="009E6FFB"/>
    <w:rsid w:val="009E70E9"/>
    <w:rsid w:val="009E73E9"/>
    <w:rsid w:val="009E74B7"/>
    <w:rsid w:val="009E74C7"/>
    <w:rsid w:val="009E75AD"/>
    <w:rsid w:val="009E7642"/>
    <w:rsid w:val="009E76FC"/>
    <w:rsid w:val="009E7815"/>
    <w:rsid w:val="009E7830"/>
    <w:rsid w:val="009E79DB"/>
    <w:rsid w:val="009E7A4B"/>
    <w:rsid w:val="009E7B8F"/>
    <w:rsid w:val="009E7C05"/>
    <w:rsid w:val="009E7C93"/>
    <w:rsid w:val="009E7D1C"/>
    <w:rsid w:val="009E7D85"/>
    <w:rsid w:val="009E7EFE"/>
    <w:rsid w:val="009E7FB2"/>
    <w:rsid w:val="009E7FED"/>
    <w:rsid w:val="009F0282"/>
    <w:rsid w:val="009F0319"/>
    <w:rsid w:val="009F0500"/>
    <w:rsid w:val="009F055D"/>
    <w:rsid w:val="009F0667"/>
    <w:rsid w:val="009F0942"/>
    <w:rsid w:val="009F0A65"/>
    <w:rsid w:val="009F0B0E"/>
    <w:rsid w:val="009F0BE2"/>
    <w:rsid w:val="009F0DC3"/>
    <w:rsid w:val="009F10D3"/>
    <w:rsid w:val="009F10E4"/>
    <w:rsid w:val="009F11C7"/>
    <w:rsid w:val="009F122C"/>
    <w:rsid w:val="009F1288"/>
    <w:rsid w:val="009F12AD"/>
    <w:rsid w:val="009F13AF"/>
    <w:rsid w:val="009F147C"/>
    <w:rsid w:val="009F14E2"/>
    <w:rsid w:val="009F14FE"/>
    <w:rsid w:val="009F15B6"/>
    <w:rsid w:val="009F184B"/>
    <w:rsid w:val="009F1888"/>
    <w:rsid w:val="009F1954"/>
    <w:rsid w:val="009F1B44"/>
    <w:rsid w:val="009F1C94"/>
    <w:rsid w:val="009F1D45"/>
    <w:rsid w:val="009F1EB7"/>
    <w:rsid w:val="009F1F89"/>
    <w:rsid w:val="009F1FA0"/>
    <w:rsid w:val="009F2067"/>
    <w:rsid w:val="009F216D"/>
    <w:rsid w:val="009F227C"/>
    <w:rsid w:val="009F22AC"/>
    <w:rsid w:val="009F22D6"/>
    <w:rsid w:val="009F23FA"/>
    <w:rsid w:val="009F2408"/>
    <w:rsid w:val="009F2587"/>
    <w:rsid w:val="009F26B2"/>
    <w:rsid w:val="009F2713"/>
    <w:rsid w:val="009F2A2B"/>
    <w:rsid w:val="009F2BE2"/>
    <w:rsid w:val="009F2C96"/>
    <w:rsid w:val="009F2DDB"/>
    <w:rsid w:val="009F2E2A"/>
    <w:rsid w:val="009F3043"/>
    <w:rsid w:val="009F3092"/>
    <w:rsid w:val="009F3416"/>
    <w:rsid w:val="009F3705"/>
    <w:rsid w:val="009F3869"/>
    <w:rsid w:val="009F3A1C"/>
    <w:rsid w:val="009F3A37"/>
    <w:rsid w:val="009F3AFB"/>
    <w:rsid w:val="009F3B18"/>
    <w:rsid w:val="009F3E61"/>
    <w:rsid w:val="009F400A"/>
    <w:rsid w:val="009F4048"/>
    <w:rsid w:val="009F41B0"/>
    <w:rsid w:val="009F42DF"/>
    <w:rsid w:val="009F447F"/>
    <w:rsid w:val="009F464A"/>
    <w:rsid w:val="009F4880"/>
    <w:rsid w:val="009F4889"/>
    <w:rsid w:val="009F48D7"/>
    <w:rsid w:val="009F49E1"/>
    <w:rsid w:val="009F4A4D"/>
    <w:rsid w:val="009F4DA1"/>
    <w:rsid w:val="009F4EE2"/>
    <w:rsid w:val="009F5011"/>
    <w:rsid w:val="009F51FC"/>
    <w:rsid w:val="009F52FC"/>
    <w:rsid w:val="009F5391"/>
    <w:rsid w:val="009F5644"/>
    <w:rsid w:val="009F5648"/>
    <w:rsid w:val="009F5796"/>
    <w:rsid w:val="009F57CB"/>
    <w:rsid w:val="009F57D4"/>
    <w:rsid w:val="009F583E"/>
    <w:rsid w:val="009F59D8"/>
    <w:rsid w:val="009F5A5F"/>
    <w:rsid w:val="009F5AE2"/>
    <w:rsid w:val="009F5B3F"/>
    <w:rsid w:val="009F5B64"/>
    <w:rsid w:val="009F5BBF"/>
    <w:rsid w:val="009F5C8A"/>
    <w:rsid w:val="009F5CC2"/>
    <w:rsid w:val="009F5D66"/>
    <w:rsid w:val="009F5EA9"/>
    <w:rsid w:val="009F62D5"/>
    <w:rsid w:val="009F62E9"/>
    <w:rsid w:val="009F642D"/>
    <w:rsid w:val="009F65C6"/>
    <w:rsid w:val="009F6761"/>
    <w:rsid w:val="009F6916"/>
    <w:rsid w:val="009F6B43"/>
    <w:rsid w:val="009F725C"/>
    <w:rsid w:val="009F72BA"/>
    <w:rsid w:val="009F72C7"/>
    <w:rsid w:val="009F7379"/>
    <w:rsid w:val="009F741C"/>
    <w:rsid w:val="009F759A"/>
    <w:rsid w:val="009F769A"/>
    <w:rsid w:val="009F77A0"/>
    <w:rsid w:val="009F78EA"/>
    <w:rsid w:val="009F795F"/>
    <w:rsid w:val="009F7A7B"/>
    <w:rsid w:val="009F7AB0"/>
    <w:rsid w:val="009F7B57"/>
    <w:rsid w:val="009F7D7C"/>
    <w:rsid w:val="009F7E7C"/>
    <w:rsid w:val="009F7ED0"/>
    <w:rsid w:val="009F7F12"/>
    <w:rsid w:val="009F7F84"/>
    <w:rsid w:val="00A0003B"/>
    <w:rsid w:val="00A00163"/>
    <w:rsid w:val="00A0037A"/>
    <w:rsid w:val="00A0038C"/>
    <w:rsid w:val="00A00624"/>
    <w:rsid w:val="00A00762"/>
    <w:rsid w:val="00A007F8"/>
    <w:rsid w:val="00A00B1C"/>
    <w:rsid w:val="00A00B9E"/>
    <w:rsid w:val="00A00D05"/>
    <w:rsid w:val="00A00D27"/>
    <w:rsid w:val="00A00E7F"/>
    <w:rsid w:val="00A00EA4"/>
    <w:rsid w:val="00A00F55"/>
    <w:rsid w:val="00A011F6"/>
    <w:rsid w:val="00A01247"/>
    <w:rsid w:val="00A012F5"/>
    <w:rsid w:val="00A013A3"/>
    <w:rsid w:val="00A013DC"/>
    <w:rsid w:val="00A013E0"/>
    <w:rsid w:val="00A015E0"/>
    <w:rsid w:val="00A01685"/>
    <w:rsid w:val="00A01757"/>
    <w:rsid w:val="00A01808"/>
    <w:rsid w:val="00A018C6"/>
    <w:rsid w:val="00A019D9"/>
    <w:rsid w:val="00A019E6"/>
    <w:rsid w:val="00A01A4E"/>
    <w:rsid w:val="00A01B43"/>
    <w:rsid w:val="00A01E1B"/>
    <w:rsid w:val="00A01EC3"/>
    <w:rsid w:val="00A01F9E"/>
    <w:rsid w:val="00A0206F"/>
    <w:rsid w:val="00A02309"/>
    <w:rsid w:val="00A0246A"/>
    <w:rsid w:val="00A0246B"/>
    <w:rsid w:val="00A02471"/>
    <w:rsid w:val="00A024D8"/>
    <w:rsid w:val="00A0263E"/>
    <w:rsid w:val="00A02724"/>
    <w:rsid w:val="00A027F1"/>
    <w:rsid w:val="00A0288B"/>
    <w:rsid w:val="00A0289A"/>
    <w:rsid w:val="00A028E8"/>
    <w:rsid w:val="00A02A02"/>
    <w:rsid w:val="00A02A96"/>
    <w:rsid w:val="00A02AA6"/>
    <w:rsid w:val="00A02C70"/>
    <w:rsid w:val="00A02D87"/>
    <w:rsid w:val="00A02F75"/>
    <w:rsid w:val="00A02FA1"/>
    <w:rsid w:val="00A02FBD"/>
    <w:rsid w:val="00A03257"/>
    <w:rsid w:val="00A03284"/>
    <w:rsid w:val="00A032C0"/>
    <w:rsid w:val="00A034C5"/>
    <w:rsid w:val="00A034DC"/>
    <w:rsid w:val="00A03581"/>
    <w:rsid w:val="00A0366E"/>
    <w:rsid w:val="00A0370E"/>
    <w:rsid w:val="00A037EF"/>
    <w:rsid w:val="00A0382C"/>
    <w:rsid w:val="00A03900"/>
    <w:rsid w:val="00A03A98"/>
    <w:rsid w:val="00A03AC2"/>
    <w:rsid w:val="00A03AF4"/>
    <w:rsid w:val="00A03CDE"/>
    <w:rsid w:val="00A03D41"/>
    <w:rsid w:val="00A03D55"/>
    <w:rsid w:val="00A03EDC"/>
    <w:rsid w:val="00A03F90"/>
    <w:rsid w:val="00A0401D"/>
    <w:rsid w:val="00A041BB"/>
    <w:rsid w:val="00A04251"/>
    <w:rsid w:val="00A04270"/>
    <w:rsid w:val="00A04277"/>
    <w:rsid w:val="00A043F3"/>
    <w:rsid w:val="00A0443F"/>
    <w:rsid w:val="00A04443"/>
    <w:rsid w:val="00A045A7"/>
    <w:rsid w:val="00A046E1"/>
    <w:rsid w:val="00A048CF"/>
    <w:rsid w:val="00A04963"/>
    <w:rsid w:val="00A04974"/>
    <w:rsid w:val="00A04B8F"/>
    <w:rsid w:val="00A04DDC"/>
    <w:rsid w:val="00A04F6A"/>
    <w:rsid w:val="00A04F8F"/>
    <w:rsid w:val="00A04FB1"/>
    <w:rsid w:val="00A051D8"/>
    <w:rsid w:val="00A052E6"/>
    <w:rsid w:val="00A053D0"/>
    <w:rsid w:val="00A054D0"/>
    <w:rsid w:val="00A055C0"/>
    <w:rsid w:val="00A05669"/>
    <w:rsid w:val="00A056AA"/>
    <w:rsid w:val="00A057B0"/>
    <w:rsid w:val="00A058B2"/>
    <w:rsid w:val="00A05AC1"/>
    <w:rsid w:val="00A05AFE"/>
    <w:rsid w:val="00A05B64"/>
    <w:rsid w:val="00A05C45"/>
    <w:rsid w:val="00A05EFB"/>
    <w:rsid w:val="00A05F5B"/>
    <w:rsid w:val="00A05F80"/>
    <w:rsid w:val="00A062AE"/>
    <w:rsid w:val="00A06369"/>
    <w:rsid w:val="00A06421"/>
    <w:rsid w:val="00A067CB"/>
    <w:rsid w:val="00A068C4"/>
    <w:rsid w:val="00A06A7D"/>
    <w:rsid w:val="00A06A9E"/>
    <w:rsid w:val="00A06AAE"/>
    <w:rsid w:val="00A06AD3"/>
    <w:rsid w:val="00A06B63"/>
    <w:rsid w:val="00A06BE7"/>
    <w:rsid w:val="00A06BED"/>
    <w:rsid w:val="00A06C12"/>
    <w:rsid w:val="00A06CD7"/>
    <w:rsid w:val="00A06DAA"/>
    <w:rsid w:val="00A06E8F"/>
    <w:rsid w:val="00A07028"/>
    <w:rsid w:val="00A07148"/>
    <w:rsid w:val="00A07658"/>
    <w:rsid w:val="00A0765E"/>
    <w:rsid w:val="00A0775B"/>
    <w:rsid w:val="00A07C1C"/>
    <w:rsid w:val="00A07D4F"/>
    <w:rsid w:val="00A07D74"/>
    <w:rsid w:val="00A07E01"/>
    <w:rsid w:val="00A10218"/>
    <w:rsid w:val="00A10302"/>
    <w:rsid w:val="00A10553"/>
    <w:rsid w:val="00A107DB"/>
    <w:rsid w:val="00A10A14"/>
    <w:rsid w:val="00A10A46"/>
    <w:rsid w:val="00A10C09"/>
    <w:rsid w:val="00A10C28"/>
    <w:rsid w:val="00A10EA2"/>
    <w:rsid w:val="00A11104"/>
    <w:rsid w:val="00A111DA"/>
    <w:rsid w:val="00A11212"/>
    <w:rsid w:val="00A1143E"/>
    <w:rsid w:val="00A11447"/>
    <w:rsid w:val="00A11658"/>
    <w:rsid w:val="00A116AA"/>
    <w:rsid w:val="00A116D6"/>
    <w:rsid w:val="00A11757"/>
    <w:rsid w:val="00A11935"/>
    <w:rsid w:val="00A1193B"/>
    <w:rsid w:val="00A11A73"/>
    <w:rsid w:val="00A11B9B"/>
    <w:rsid w:val="00A11CA2"/>
    <w:rsid w:val="00A11CAF"/>
    <w:rsid w:val="00A11E6D"/>
    <w:rsid w:val="00A11F0D"/>
    <w:rsid w:val="00A12018"/>
    <w:rsid w:val="00A12236"/>
    <w:rsid w:val="00A12314"/>
    <w:rsid w:val="00A124D9"/>
    <w:rsid w:val="00A125E3"/>
    <w:rsid w:val="00A1264E"/>
    <w:rsid w:val="00A127BA"/>
    <w:rsid w:val="00A12B78"/>
    <w:rsid w:val="00A12B7C"/>
    <w:rsid w:val="00A12CBE"/>
    <w:rsid w:val="00A12D74"/>
    <w:rsid w:val="00A12E92"/>
    <w:rsid w:val="00A12EB1"/>
    <w:rsid w:val="00A12F0E"/>
    <w:rsid w:val="00A12FAE"/>
    <w:rsid w:val="00A131FC"/>
    <w:rsid w:val="00A13270"/>
    <w:rsid w:val="00A133AD"/>
    <w:rsid w:val="00A136FD"/>
    <w:rsid w:val="00A1376F"/>
    <w:rsid w:val="00A1378A"/>
    <w:rsid w:val="00A138B4"/>
    <w:rsid w:val="00A13A74"/>
    <w:rsid w:val="00A13A7B"/>
    <w:rsid w:val="00A13D8E"/>
    <w:rsid w:val="00A13DB2"/>
    <w:rsid w:val="00A13E24"/>
    <w:rsid w:val="00A13F9A"/>
    <w:rsid w:val="00A1403A"/>
    <w:rsid w:val="00A14064"/>
    <w:rsid w:val="00A14093"/>
    <w:rsid w:val="00A140B9"/>
    <w:rsid w:val="00A1436E"/>
    <w:rsid w:val="00A14440"/>
    <w:rsid w:val="00A1452B"/>
    <w:rsid w:val="00A14594"/>
    <w:rsid w:val="00A1463A"/>
    <w:rsid w:val="00A14923"/>
    <w:rsid w:val="00A14A99"/>
    <w:rsid w:val="00A14D42"/>
    <w:rsid w:val="00A14E96"/>
    <w:rsid w:val="00A1506A"/>
    <w:rsid w:val="00A150D5"/>
    <w:rsid w:val="00A150D9"/>
    <w:rsid w:val="00A152A5"/>
    <w:rsid w:val="00A155A7"/>
    <w:rsid w:val="00A157CD"/>
    <w:rsid w:val="00A157DE"/>
    <w:rsid w:val="00A158BC"/>
    <w:rsid w:val="00A159D9"/>
    <w:rsid w:val="00A15A99"/>
    <w:rsid w:val="00A15D49"/>
    <w:rsid w:val="00A15DF9"/>
    <w:rsid w:val="00A1611C"/>
    <w:rsid w:val="00A16221"/>
    <w:rsid w:val="00A162E0"/>
    <w:rsid w:val="00A1632D"/>
    <w:rsid w:val="00A16353"/>
    <w:rsid w:val="00A1656E"/>
    <w:rsid w:val="00A16714"/>
    <w:rsid w:val="00A167C1"/>
    <w:rsid w:val="00A16880"/>
    <w:rsid w:val="00A168C9"/>
    <w:rsid w:val="00A16A13"/>
    <w:rsid w:val="00A16B33"/>
    <w:rsid w:val="00A16BD8"/>
    <w:rsid w:val="00A16BDC"/>
    <w:rsid w:val="00A16C59"/>
    <w:rsid w:val="00A16D2F"/>
    <w:rsid w:val="00A16E83"/>
    <w:rsid w:val="00A16FBD"/>
    <w:rsid w:val="00A17007"/>
    <w:rsid w:val="00A17059"/>
    <w:rsid w:val="00A1715B"/>
    <w:rsid w:val="00A17238"/>
    <w:rsid w:val="00A173A1"/>
    <w:rsid w:val="00A1747E"/>
    <w:rsid w:val="00A1749C"/>
    <w:rsid w:val="00A17563"/>
    <w:rsid w:val="00A17572"/>
    <w:rsid w:val="00A1762D"/>
    <w:rsid w:val="00A1769B"/>
    <w:rsid w:val="00A17808"/>
    <w:rsid w:val="00A1786F"/>
    <w:rsid w:val="00A178B3"/>
    <w:rsid w:val="00A179A2"/>
    <w:rsid w:val="00A17A4A"/>
    <w:rsid w:val="00A17C6B"/>
    <w:rsid w:val="00A17CF5"/>
    <w:rsid w:val="00A17D63"/>
    <w:rsid w:val="00A17DBA"/>
    <w:rsid w:val="00A20054"/>
    <w:rsid w:val="00A200BC"/>
    <w:rsid w:val="00A200F4"/>
    <w:rsid w:val="00A20111"/>
    <w:rsid w:val="00A20188"/>
    <w:rsid w:val="00A201B7"/>
    <w:rsid w:val="00A2033D"/>
    <w:rsid w:val="00A20524"/>
    <w:rsid w:val="00A20618"/>
    <w:rsid w:val="00A2062A"/>
    <w:rsid w:val="00A207FF"/>
    <w:rsid w:val="00A20806"/>
    <w:rsid w:val="00A20A2D"/>
    <w:rsid w:val="00A20B42"/>
    <w:rsid w:val="00A20CB8"/>
    <w:rsid w:val="00A20E42"/>
    <w:rsid w:val="00A20E8E"/>
    <w:rsid w:val="00A21049"/>
    <w:rsid w:val="00A21111"/>
    <w:rsid w:val="00A21146"/>
    <w:rsid w:val="00A2116D"/>
    <w:rsid w:val="00A213A0"/>
    <w:rsid w:val="00A21640"/>
    <w:rsid w:val="00A21690"/>
    <w:rsid w:val="00A2177D"/>
    <w:rsid w:val="00A217BF"/>
    <w:rsid w:val="00A21AA9"/>
    <w:rsid w:val="00A21B45"/>
    <w:rsid w:val="00A21B56"/>
    <w:rsid w:val="00A21B82"/>
    <w:rsid w:val="00A21FE0"/>
    <w:rsid w:val="00A220CC"/>
    <w:rsid w:val="00A220D1"/>
    <w:rsid w:val="00A22114"/>
    <w:rsid w:val="00A22144"/>
    <w:rsid w:val="00A2217E"/>
    <w:rsid w:val="00A22287"/>
    <w:rsid w:val="00A223AB"/>
    <w:rsid w:val="00A22469"/>
    <w:rsid w:val="00A224AA"/>
    <w:rsid w:val="00A2251E"/>
    <w:rsid w:val="00A2261A"/>
    <w:rsid w:val="00A22681"/>
    <w:rsid w:val="00A226AC"/>
    <w:rsid w:val="00A22700"/>
    <w:rsid w:val="00A22923"/>
    <w:rsid w:val="00A2295B"/>
    <w:rsid w:val="00A22A08"/>
    <w:rsid w:val="00A22A5F"/>
    <w:rsid w:val="00A22D59"/>
    <w:rsid w:val="00A22EE8"/>
    <w:rsid w:val="00A22FC6"/>
    <w:rsid w:val="00A22FDC"/>
    <w:rsid w:val="00A22FE0"/>
    <w:rsid w:val="00A231E0"/>
    <w:rsid w:val="00A232F2"/>
    <w:rsid w:val="00A2339D"/>
    <w:rsid w:val="00A233CC"/>
    <w:rsid w:val="00A23410"/>
    <w:rsid w:val="00A2345E"/>
    <w:rsid w:val="00A234F9"/>
    <w:rsid w:val="00A235CC"/>
    <w:rsid w:val="00A236BF"/>
    <w:rsid w:val="00A23765"/>
    <w:rsid w:val="00A23788"/>
    <w:rsid w:val="00A2387B"/>
    <w:rsid w:val="00A23911"/>
    <w:rsid w:val="00A23974"/>
    <w:rsid w:val="00A239AE"/>
    <w:rsid w:val="00A23A35"/>
    <w:rsid w:val="00A23DC5"/>
    <w:rsid w:val="00A23E7C"/>
    <w:rsid w:val="00A23EC7"/>
    <w:rsid w:val="00A24088"/>
    <w:rsid w:val="00A2409C"/>
    <w:rsid w:val="00A2411A"/>
    <w:rsid w:val="00A24143"/>
    <w:rsid w:val="00A241CB"/>
    <w:rsid w:val="00A241EA"/>
    <w:rsid w:val="00A243A1"/>
    <w:rsid w:val="00A244BA"/>
    <w:rsid w:val="00A24536"/>
    <w:rsid w:val="00A245BA"/>
    <w:rsid w:val="00A2466D"/>
    <w:rsid w:val="00A248B6"/>
    <w:rsid w:val="00A24C79"/>
    <w:rsid w:val="00A24E38"/>
    <w:rsid w:val="00A24F81"/>
    <w:rsid w:val="00A25084"/>
    <w:rsid w:val="00A251F6"/>
    <w:rsid w:val="00A25247"/>
    <w:rsid w:val="00A2533F"/>
    <w:rsid w:val="00A2539A"/>
    <w:rsid w:val="00A25AC7"/>
    <w:rsid w:val="00A25AE3"/>
    <w:rsid w:val="00A25C48"/>
    <w:rsid w:val="00A25D22"/>
    <w:rsid w:val="00A25D91"/>
    <w:rsid w:val="00A25E4A"/>
    <w:rsid w:val="00A25E74"/>
    <w:rsid w:val="00A25FA6"/>
    <w:rsid w:val="00A26036"/>
    <w:rsid w:val="00A2634E"/>
    <w:rsid w:val="00A26471"/>
    <w:rsid w:val="00A2665A"/>
    <w:rsid w:val="00A2673C"/>
    <w:rsid w:val="00A26841"/>
    <w:rsid w:val="00A268A2"/>
    <w:rsid w:val="00A26918"/>
    <w:rsid w:val="00A26B3F"/>
    <w:rsid w:val="00A26C3A"/>
    <w:rsid w:val="00A26C6E"/>
    <w:rsid w:val="00A26CB6"/>
    <w:rsid w:val="00A26DD9"/>
    <w:rsid w:val="00A27148"/>
    <w:rsid w:val="00A27298"/>
    <w:rsid w:val="00A272A8"/>
    <w:rsid w:val="00A27381"/>
    <w:rsid w:val="00A2746F"/>
    <w:rsid w:val="00A27495"/>
    <w:rsid w:val="00A27665"/>
    <w:rsid w:val="00A2778A"/>
    <w:rsid w:val="00A27848"/>
    <w:rsid w:val="00A278D7"/>
    <w:rsid w:val="00A27A47"/>
    <w:rsid w:val="00A27B5E"/>
    <w:rsid w:val="00A27C61"/>
    <w:rsid w:val="00A27FE5"/>
    <w:rsid w:val="00A30152"/>
    <w:rsid w:val="00A30186"/>
    <w:rsid w:val="00A30223"/>
    <w:rsid w:val="00A3041B"/>
    <w:rsid w:val="00A305ED"/>
    <w:rsid w:val="00A30706"/>
    <w:rsid w:val="00A3077E"/>
    <w:rsid w:val="00A3078F"/>
    <w:rsid w:val="00A307CA"/>
    <w:rsid w:val="00A308DF"/>
    <w:rsid w:val="00A30938"/>
    <w:rsid w:val="00A309C2"/>
    <w:rsid w:val="00A30A34"/>
    <w:rsid w:val="00A30C16"/>
    <w:rsid w:val="00A30C93"/>
    <w:rsid w:val="00A30CD5"/>
    <w:rsid w:val="00A30D9B"/>
    <w:rsid w:val="00A30E57"/>
    <w:rsid w:val="00A30F6A"/>
    <w:rsid w:val="00A31010"/>
    <w:rsid w:val="00A31060"/>
    <w:rsid w:val="00A3110B"/>
    <w:rsid w:val="00A31242"/>
    <w:rsid w:val="00A312C0"/>
    <w:rsid w:val="00A313EC"/>
    <w:rsid w:val="00A3145B"/>
    <w:rsid w:val="00A31898"/>
    <w:rsid w:val="00A31912"/>
    <w:rsid w:val="00A31B41"/>
    <w:rsid w:val="00A31C86"/>
    <w:rsid w:val="00A31E4D"/>
    <w:rsid w:val="00A321BE"/>
    <w:rsid w:val="00A32399"/>
    <w:rsid w:val="00A3240D"/>
    <w:rsid w:val="00A324D6"/>
    <w:rsid w:val="00A3267B"/>
    <w:rsid w:val="00A32683"/>
    <w:rsid w:val="00A3268B"/>
    <w:rsid w:val="00A326B5"/>
    <w:rsid w:val="00A32732"/>
    <w:rsid w:val="00A32793"/>
    <w:rsid w:val="00A328A5"/>
    <w:rsid w:val="00A328B2"/>
    <w:rsid w:val="00A32921"/>
    <w:rsid w:val="00A32966"/>
    <w:rsid w:val="00A32990"/>
    <w:rsid w:val="00A329FA"/>
    <w:rsid w:val="00A32C10"/>
    <w:rsid w:val="00A32DE0"/>
    <w:rsid w:val="00A32E35"/>
    <w:rsid w:val="00A33480"/>
    <w:rsid w:val="00A33582"/>
    <w:rsid w:val="00A33636"/>
    <w:rsid w:val="00A33734"/>
    <w:rsid w:val="00A33927"/>
    <w:rsid w:val="00A33A94"/>
    <w:rsid w:val="00A33B18"/>
    <w:rsid w:val="00A33B6B"/>
    <w:rsid w:val="00A33B88"/>
    <w:rsid w:val="00A33C0C"/>
    <w:rsid w:val="00A33D1B"/>
    <w:rsid w:val="00A33DDB"/>
    <w:rsid w:val="00A33E01"/>
    <w:rsid w:val="00A33E84"/>
    <w:rsid w:val="00A33E90"/>
    <w:rsid w:val="00A33FA9"/>
    <w:rsid w:val="00A340A7"/>
    <w:rsid w:val="00A3413E"/>
    <w:rsid w:val="00A34182"/>
    <w:rsid w:val="00A341D7"/>
    <w:rsid w:val="00A3426A"/>
    <w:rsid w:val="00A34305"/>
    <w:rsid w:val="00A3430B"/>
    <w:rsid w:val="00A3441B"/>
    <w:rsid w:val="00A34486"/>
    <w:rsid w:val="00A344AF"/>
    <w:rsid w:val="00A34528"/>
    <w:rsid w:val="00A3480C"/>
    <w:rsid w:val="00A34813"/>
    <w:rsid w:val="00A34869"/>
    <w:rsid w:val="00A348DF"/>
    <w:rsid w:val="00A3492F"/>
    <w:rsid w:val="00A34A4E"/>
    <w:rsid w:val="00A34A5C"/>
    <w:rsid w:val="00A34B3D"/>
    <w:rsid w:val="00A34B55"/>
    <w:rsid w:val="00A34CF6"/>
    <w:rsid w:val="00A34D4B"/>
    <w:rsid w:val="00A34EDC"/>
    <w:rsid w:val="00A35127"/>
    <w:rsid w:val="00A352F6"/>
    <w:rsid w:val="00A35319"/>
    <w:rsid w:val="00A3533B"/>
    <w:rsid w:val="00A35372"/>
    <w:rsid w:val="00A35556"/>
    <w:rsid w:val="00A35603"/>
    <w:rsid w:val="00A35620"/>
    <w:rsid w:val="00A35649"/>
    <w:rsid w:val="00A357DC"/>
    <w:rsid w:val="00A35B60"/>
    <w:rsid w:val="00A35CCC"/>
    <w:rsid w:val="00A35D37"/>
    <w:rsid w:val="00A35D4A"/>
    <w:rsid w:val="00A35DA5"/>
    <w:rsid w:val="00A35E8C"/>
    <w:rsid w:val="00A35F73"/>
    <w:rsid w:val="00A36053"/>
    <w:rsid w:val="00A36110"/>
    <w:rsid w:val="00A3622C"/>
    <w:rsid w:val="00A36461"/>
    <w:rsid w:val="00A36576"/>
    <w:rsid w:val="00A365FA"/>
    <w:rsid w:val="00A3665F"/>
    <w:rsid w:val="00A3667C"/>
    <w:rsid w:val="00A36682"/>
    <w:rsid w:val="00A36779"/>
    <w:rsid w:val="00A3678B"/>
    <w:rsid w:val="00A367B4"/>
    <w:rsid w:val="00A36963"/>
    <w:rsid w:val="00A3696E"/>
    <w:rsid w:val="00A36C04"/>
    <w:rsid w:val="00A36D10"/>
    <w:rsid w:val="00A36FBC"/>
    <w:rsid w:val="00A3700A"/>
    <w:rsid w:val="00A37191"/>
    <w:rsid w:val="00A371AF"/>
    <w:rsid w:val="00A3722B"/>
    <w:rsid w:val="00A372E5"/>
    <w:rsid w:val="00A37471"/>
    <w:rsid w:val="00A3747D"/>
    <w:rsid w:val="00A374DA"/>
    <w:rsid w:val="00A37786"/>
    <w:rsid w:val="00A37948"/>
    <w:rsid w:val="00A3795E"/>
    <w:rsid w:val="00A37AC3"/>
    <w:rsid w:val="00A37AE6"/>
    <w:rsid w:val="00A37B11"/>
    <w:rsid w:val="00A37BD8"/>
    <w:rsid w:val="00A37C0B"/>
    <w:rsid w:val="00A37D11"/>
    <w:rsid w:val="00A37E17"/>
    <w:rsid w:val="00A37E59"/>
    <w:rsid w:val="00A37FBC"/>
    <w:rsid w:val="00A4015E"/>
    <w:rsid w:val="00A401FE"/>
    <w:rsid w:val="00A40212"/>
    <w:rsid w:val="00A40253"/>
    <w:rsid w:val="00A402F7"/>
    <w:rsid w:val="00A403E3"/>
    <w:rsid w:val="00A40454"/>
    <w:rsid w:val="00A404F8"/>
    <w:rsid w:val="00A405F9"/>
    <w:rsid w:val="00A4077F"/>
    <w:rsid w:val="00A408D3"/>
    <w:rsid w:val="00A4091A"/>
    <w:rsid w:val="00A40920"/>
    <w:rsid w:val="00A4098C"/>
    <w:rsid w:val="00A409CE"/>
    <w:rsid w:val="00A40B21"/>
    <w:rsid w:val="00A40C4D"/>
    <w:rsid w:val="00A40F9F"/>
    <w:rsid w:val="00A41292"/>
    <w:rsid w:val="00A412F0"/>
    <w:rsid w:val="00A4132B"/>
    <w:rsid w:val="00A414F6"/>
    <w:rsid w:val="00A4152F"/>
    <w:rsid w:val="00A416E5"/>
    <w:rsid w:val="00A41A3A"/>
    <w:rsid w:val="00A41BB2"/>
    <w:rsid w:val="00A41BFF"/>
    <w:rsid w:val="00A41C9A"/>
    <w:rsid w:val="00A41DE1"/>
    <w:rsid w:val="00A41E9B"/>
    <w:rsid w:val="00A41EBC"/>
    <w:rsid w:val="00A41FF4"/>
    <w:rsid w:val="00A42064"/>
    <w:rsid w:val="00A42074"/>
    <w:rsid w:val="00A420E4"/>
    <w:rsid w:val="00A42145"/>
    <w:rsid w:val="00A4234C"/>
    <w:rsid w:val="00A4263A"/>
    <w:rsid w:val="00A427E1"/>
    <w:rsid w:val="00A42914"/>
    <w:rsid w:val="00A42B10"/>
    <w:rsid w:val="00A42BE0"/>
    <w:rsid w:val="00A42C34"/>
    <w:rsid w:val="00A42DA2"/>
    <w:rsid w:val="00A42E9F"/>
    <w:rsid w:val="00A43069"/>
    <w:rsid w:val="00A4309C"/>
    <w:rsid w:val="00A43245"/>
    <w:rsid w:val="00A4344D"/>
    <w:rsid w:val="00A43472"/>
    <w:rsid w:val="00A43693"/>
    <w:rsid w:val="00A436B7"/>
    <w:rsid w:val="00A4372B"/>
    <w:rsid w:val="00A4377B"/>
    <w:rsid w:val="00A438D1"/>
    <w:rsid w:val="00A43F27"/>
    <w:rsid w:val="00A44038"/>
    <w:rsid w:val="00A44079"/>
    <w:rsid w:val="00A44114"/>
    <w:rsid w:val="00A44138"/>
    <w:rsid w:val="00A44175"/>
    <w:rsid w:val="00A441CE"/>
    <w:rsid w:val="00A44478"/>
    <w:rsid w:val="00A445C5"/>
    <w:rsid w:val="00A445D5"/>
    <w:rsid w:val="00A4463F"/>
    <w:rsid w:val="00A44681"/>
    <w:rsid w:val="00A446AE"/>
    <w:rsid w:val="00A44705"/>
    <w:rsid w:val="00A44755"/>
    <w:rsid w:val="00A44787"/>
    <w:rsid w:val="00A44795"/>
    <w:rsid w:val="00A44936"/>
    <w:rsid w:val="00A4495B"/>
    <w:rsid w:val="00A4497F"/>
    <w:rsid w:val="00A44AE4"/>
    <w:rsid w:val="00A44AED"/>
    <w:rsid w:val="00A44B79"/>
    <w:rsid w:val="00A44B7C"/>
    <w:rsid w:val="00A44D98"/>
    <w:rsid w:val="00A44DB2"/>
    <w:rsid w:val="00A44FA9"/>
    <w:rsid w:val="00A45196"/>
    <w:rsid w:val="00A45283"/>
    <w:rsid w:val="00A454EC"/>
    <w:rsid w:val="00A45705"/>
    <w:rsid w:val="00A45788"/>
    <w:rsid w:val="00A45822"/>
    <w:rsid w:val="00A45C73"/>
    <w:rsid w:val="00A45C87"/>
    <w:rsid w:val="00A45CA8"/>
    <w:rsid w:val="00A45F5F"/>
    <w:rsid w:val="00A45FB9"/>
    <w:rsid w:val="00A4612D"/>
    <w:rsid w:val="00A46199"/>
    <w:rsid w:val="00A4639A"/>
    <w:rsid w:val="00A464DB"/>
    <w:rsid w:val="00A466BF"/>
    <w:rsid w:val="00A4681C"/>
    <w:rsid w:val="00A469D6"/>
    <w:rsid w:val="00A46B1F"/>
    <w:rsid w:val="00A46BA3"/>
    <w:rsid w:val="00A46DC1"/>
    <w:rsid w:val="00A46DCD"/>
    <w:rsid w:val="00A46FC6"/>
    <w:rsid w:val="00A4709C"/>
    <w:rsid w:val="00A47136"/>
    <w:rsid w:val="00A471B8"/>
    <w:rsid w:val="00A471CF"/>
    <w:rsid w:val="00A4733C"/>
    <w:rsid w:val="00A47404"/>
    <w:rsid w:val="00A4746D"/>
    <w:rsid w:val="00A474C0"/>
    <w:rsid w:val="00A47778"/>
    <w:rsid w:val="00A477C7"/>
    <w:rsid w:val="00A47873"/>
    <w:rsid w:val="00A478F8"/>
    <w:rsid w:val="00A479F2"/>
    <w:rsid w:val="00A479FF"/>
    <w:rsid w:val="00A47A2F"/>
    <w:rsid w:val="00A47A3E"/>
    <w:rsid w:val="00A47AF7"/>
    <w:rsid w:val="00A47DF7"/>
    <w:rsid w:val="00A47E28"/>
    <w:rsid w:val="00A50070"/>
    <w:rsid w:val="00A500BF"/>
    <w:rsid w:val="00A50149"/>
    <w:rsid w:val="00A50228"/>
    <w:rsid w:val="00A50323"/>
    <w:rsid w:val="00A50429"/>
    <w:rsid w:val="00A50499"/>
    <w:rsid w:val="00A5074B"/>
    <w:rsid w:val="00A50781"/>
    <w:rsid w:val="00A5079A"/>
    <w:rsid w:val="00A5080E"/>
    <w:rsid w:val="00A508B1"/>
    <w:rsid w:val="00A50961"/>
    <w:rsid w:val="00A509F2"/>
    <w:rsid w:val="00A50C2C"/>
    <w:rsid w:val="00A5108F"/>
    <w:rsid w:val="00A510FA"/>
    <w:rsid w:val="00A51103"/>
    <w:rsid w:val="00A5114C"/>
    <w:rsid w:val="00A5119A"/>
    <w:rsid w:val="00A5132D"/>
    <w:rsid w:val="00A5134E"/>
    <w:rsid w:val="00A51387"/>
    <w:rsid w:val="00A5156F"/>
    <w:rsid w:val="00A51582"/>
    <w:rsid w:val="00A51648"/>
    <w:rsid w:val="00A5172D"/>
    <w:rsid w:val="00A51934"/>
    <w:rsid w:val="00A51973"/>
    <w:rsid w:val="00A51ADD"/>
    <w:rsid w:val="00A51BDA"/>
    <w:rsid w:val="00A51D93"/>
    <w:rsid w:val="00A51DEE"/>
    <w:rsid w:val="00A521CE"/>
    <w:rsid w:val="00A52201"/>
    <w:rsid w:val="00A52353"/>
    <w:rsid w:val="00A523E5"/>
    <w:rsid w:val="00A52470"/>
    <w:rsid w:val="00A52538"/>
    <w:rsid w:val="00A525C7"/>
    <w:rsid w:val="00A52678"/>
    <w:rsid w:val="00A52709"/>
    <w:rsid w:val="00A5274C"/>
    <w:rsid w:val="00A52772"/>
    <w:rsid w:val="00A529DF"/>
    <w:rsid w:val="00A529E9"/>
    <w:rsid w:val="00A52A84"/>
    <w:rsid w:val="00A52A86"/>
    <w:rsid w:val="00A52A87"/>
    <w:rsid w:val="00A52BE5"/>
    <w:rsid w:val="00A52C16"/>
    <w:rsid w:val="00A52DA9"/>
    <w:rsid w:val="00A52DC6"/>
    <w:rsid w:val="00A53249"/>
    <w:rsid w:val="00A5350C"/>
    <w:rsid w:val="00A538AE"/>
    <w:rsid w:val="00A53985"/>
    <w:rsid w:val="00A53A08"/>
    <w:rsid w:val="00A53D62"/>
    <w:rsid w:val="00A53FB4"/>
    <w:rsid w:val="00A53FE6"/>
    <w:rsid w:val="00A54127"/>
    <w:rsid w:val="00A5415E"/>
    <w:rsid w:val="00A541A4"/>
    <w:rsid w:val="00A54275"/>
    <w:rsid w:val="00A543C9"/>
    <w:rsid w:val="00A54790"/>
    <w:rsid w:val="00A547A6"/>
    <w:rsid w:val="00A547E7"/>
    <w:rsid w:val="00A5489D"/>
    <w:rsid w:val="00A5495B"/>
    <w:rsid w:val="00A54B04"/>
    <w:rsid w:val="00A54C0A"/>
    <w:rsid w:val="00A54DCD"/>
    <w:rsid w:val="00A54E3C"/>
    <w:rsid w:val="00A55134"/>
    <w:rsid w:val="00A552BD"/>
    <w:rsid w:val="00A55929"/>
    <w:rsid w:val="00A5599F"/>
    <w:rsid w:val="00A55A63"/>
    <w:rsid w:val="00A55F27"/>
    <w:rsid w:val="00A5601F"/>
    <w:rsid w:val="00A56028"/>
    <w:rsid w:val="00A56311"/>
    <w:rsid w:val="00A564A6"/>
    <w:rsid w:val="00A5651E"/>
    <w:rsid w:val="00A566BC"/>
    <w:rsid w:val="00A5672D"/>
    <w:rsid w:val="00A56AAB"/>
    <w:rsid w:val="00A56B12"/>
    <w:rsid w:val="00A56C71"/>
    <w:rsid w:val="00A56CF7"/>
    <w:rsid w:val="00A56D98"/>
    <w:rsid w:val="00A56E81"/>
    <w:rsid w:val="00A56ED9"/>
    <w:rsid w:val="00A56F4C"/>
    <w:rsid w:val="00A57115"/>
    <w:rsid w:val="00A5716D"/>
    <w:rsid w:val="00A57583"/>
    <w:rsid w:val="00A5777B"/>
    <w:rsid w:val="00A5778E"/>
    <w:rsid w:val="00A57861"/>
    <w:rsid w:val="00A578AB"/>
    <w:rsid w:val="00A578E1"/>
    <w:rsid w:val="00A578FC"/>
    <w:rsid w:val="00A579C3"/>
    <w:rsid w:val="00A579E6"/>
    <w:rsid w:val="00A57A59"/>
    <w:rsid w:val="00A57E82"/>
    <w:rsid w:val="00A57F83"/>
    <w:rsid w:val="00A57FE7"/>
    <w:rsid w:val="00A57FFA"/>
    <w:rsid w:val="00A60022"/>
    <w:rsid w:val="00A602E4"/>
    <w:rsid w:val="00A60399"/>
    <w:rsid w:val="00A6063A"/>
    <w:rsid w:val="00A6070F"/>
    <w:rsid w:val="00A60855"/>
    <w:rsid w:val="00A6085B"/>
    <w:rsid w:val="00A608CD"/>
    <w:rsid w:val="00A6091B"/>
    <w:rsid w:val="00A60938"/>
    <w:rsid w:val="00A6094A"/>
    <w:rsid w:val="00A6097A"/>
    <w:rsid w:val="00A60CB9"/>
    <w:rsid w:val="00A60D0A"/>
    <w:rsid w:val="00A60D2D"/>
    <w:rsid w:val="00A60D9F"/>
    <w:rsid w:val="00A60E0E"/>
    <w:rsid w:val="00A61050"/>
    <w:rsid w:val="00A6129D"/>
    <w:rsid w:val="00A61365"/>
    <w:rsid w:val="00A613A6"/>
    <w:rsid w:val="00A61686"/>
    <w:rsid w:val="00A61760"/>
    <w:rsid w:val="00A618BB"/>
    <w:rsid w:val="00A61B11"/>
    <w:rsid w:val="00A61CE3"/>
    <w:rsid w:val="00A621B7"/>
    <w:rsid w:val="00A6248C"/>
    <w:rsid w:val="00A624E4"/>
    <w:rsid w:val="00A62520"/>
    <w:rsid w:val="00A625C4"/>
    <w:rsid w:val="00A627A3"/>
    <w:rsid w:val="00A628B3"/>
    <w:rsid w:val="00A629E4"/>
    <w:rsid w:val="00A629E6"/>
    <w:rsid w:val="00A62DDD"/>
    <w:rsid w:val="00A62F15"/>
    <w:rsid w:val="00A62F8E"/>
    <w:rsid w:val="00A6302A"/>
    <w:rsid w:val="00A63113"/>
    <w:rsid w:val="00A63114"/>
    <w:rsid w:val="00A6324B"/>
    <w:rsid w:val="00A6329A"/>
    <w:rsid w:val="00A632A0"/>
    <w:rsid w:val="00A6333F"/>
    <w:rsid w:val="00A633A2"/>
    <w:rsid w:val="00A633BF"/>
    <w:rsid w:val="00A633E2"/>
    <w:rsid w:val="00A635F2"/>
    <w:rsid w:val="00A6369D"/>
    <w:rsid w:val="00A63885"/>
    <w:rsid w:val="00A63ACB"/>
    <w:rsid w:val="00A63B72"/>
    <w:rsid w:val="00A63BF5"/>
    <w:rsid w:val="00A63EF1"/>
    <w:rsid w:val="00A63F94"/>
    <w:rsid w:val="00A641BC"/>
    <w:rsid w:val="00A6425E"/>
    <w:rsid w:val="00A643E2"/>
    <w:rsid w:val="00A643F1"/>
    <w:rsid w:val="00A64436"/>
    <w:rsid w:val="00A64549"/>
    <w:rsid w:val="00A6493E"/>
    <w:rsid w:val="00A64964"/>
    <w:rsid w:val="00A64A7B"/>
    <w:rsid w:val="00A64B54"/>
    <w:rsid w:val="00A64C22"/>
    <w:rsid w:val="00A64CFE"/>
    <w:rsid w:val="00A64D26"/>
    <w:rsid w:val="00A64D34"/>
    <w:rsid w:val="00A64D64"/>
    <w:rsid w:val="00A64D8A"/>
    <w:rsid w:val="00A64F59"/>
    <w:rsid w:val="00A650D7"/>
    <w:rsid w:val="00A651F3"/>
    <w:rsid w:val="00A6527C"/>
    <w:rsid w:val="00A652B4"/>
    <w:rsid w:val="00A6544B"/>
    <w:rsid w:val="00A6550D"/>
    <w:rsid w:val="00A6554F"/>
    <w:rsid w:val="00A6560E"/>
    <w:rsid w:val="00A65641"/>
    <w:rsid w:val="00A65668"/>
    <w:rsid w:val="00A65752"/>
    <w:rsid w:val="00A65922"/>
    <w:rsid w:val="00A659B6"/>
    <w:rsid w:val="00A65A65"/>
    <w:rsid w:val="00A65D21"/>
    <w:rsid w:val="00A65D53"/>
    <w:rsid w:val="00A65D55"/>
    <w:rsid w:val="00A65D95"/>
    <w:rsid w:val="00A65E08"/>
    <w:rsid w:val="00A66026"/>
    <w:rsid w:val="00A660D5"/>
    <w:rsid w:val="00A6612D"/>
    <w:rsid w:val="00A66357"/>
    <w:rsid w:val="00A6647C"/>
    <w:rsid w:val="00A66572"/>
    <w:rsid w:val="00A666BD"/>
    <w:rsid w:val="00A666CB"/>
    <w:rsid w:val="00A667E1"/>
    <w:rsid w:val="00A66AA3"/>
    <w:rsid w:val="00A66AB7"/>
    <w:rsid w:val="00A66B73"/>
    <w:rsid w:val="00A66C53"/>
    <w:rsid w:val="00A66C73"/>
    <w:rsid w:val="00A66CE7"/>
    <w:rsid w:val="00A66DCF"/>
    <w:rsid w:val="00A66DE4"/>
    <w:rsid w:val="00A66DFE"/>
    <w:rsid w:val="00A66E1B"/>
    <w:rsid w:val="00A66E27"/>
    <w:rsid w:val="00A6703D"/>
    <w:rsid w:val="00A67066"/>
    <w:rsid w:val="00A670F4"/>
    <w:rsid w:val="00A67145"/>
    <w:rsid w:val="00A67167"/>
    <w:rsid w:val="00A672DE"/>
    <w:rsid w:val="00A673C9"/>
    <w:rsid w:val="00A67484"/>
    <w:rsid w:val="00A67572"/>
    <w:rsid w:val="00A67680"/>
    <w:rsid w:val="00A676FA"/>
    <w:rsid w:val="00A67962"/>
    <w:rsid w:val="00A67B29"/>
    <w:rsid w:val="00A67EE5"/>
    <w:rsid w:val="00A6D270"/>
    <w:rsid w:val="00A702CD"/>
    <w:rsid w:val="00A7031C"/>
    <w:rsid w:val="00A703CB"/>
    <w:rsid w:val="00A7043C"/>
    <w:rsid w:val="00A7045F"/>
    <w:rsid w:val="00A70646"/>
    <w:rsid w:val="00A7071C"/>
    <w:rsid w:val="00A70761"/>
    <w:rsid w:val="00A708B4"/>
    <w:rsid w:val="00A70A75"/>
    <w:rsid w:val="00A70C35"/>
    <w:rsid w:val="00A70C4A"/>
    <w:rsid w:val="00A70D72"/>
    <w:rsid w:val="00A70E4E"/>
    <w:rsid w:val="00A70FF8"/>
    <w:rsid w:val="00A710B8"/>
    <w:rsid w:val="00A710EE"/>
    <w:rsid w:val="00A712AC"/>
    <w:rsid w:val="00A712BF"/>
    <w:rsid w:val="00A71465"/>
    <w:rsid w:val="00A7150B"/>
    <w:rsid w:val="00A71537"/>
    <w:rsid w:val="00A7161A"/>
    <w:rsid w:val="00A717DB"/>
    <w:rsid w:val="00A719F6"/>
    <w:rsid w:val="00A71B14"/>
    <w:rsid w:val="00A71C05"/>
    <w:rsid w:val="00A71CAF"/>
    <w:rsid w:val="00A71FCD"/>
    <w:rsid w:val="00A7232F"/>
    <w:rsid w:val="00A72429"/>
    <w:rsid w:val="00A72522"/>
    <w:rsid w:val="00A72584"/>
    <w:rsid w:val="00A7276F"/>
    <w:rsid w:val="00A72782"/>
    <w:rsid w:val="00A727C9"/>
    <w:rsid w:val="00A72869"/>
    <w:rsid w:val="00A72979"/>
    <w:rsid w:val="00A72AC1"/>
    <w:rsid w:val="00A72B28"/>
    <w:rsid w:val="00A72DAF"/>
    <w:rsid w:val="00A72E53"/>
    <w:rsid w:val="00A72E87"/>
    <w:rsid w:val="00A731BF"/>
    <w:rsid w:val="00A731D5"/>
    <w:rsid w:val="00A73229"/>
    <w:rsid w:val="00A73238"/>
    <w:rsid w:val="00A732B7"/>
    <w:rsid w:val="00A73341"/>
    <w:rsid w:val="00A73445"/>
    <w:rsid w:val="00A73685"/>
    <w:rsid w:val="00A738FA"/>
    <w:rsid w:val="00A739BA"/>
    <w:rsid w:val="00A73C65"/>
    <w:rsid w:val="00A73D25"/>
    <w:rsid w:val="00A73E17"/>
    <w:rsid w:val="00A73EB3"/>
    <w:rsid w:val="00A73FA1"/>
    <w:rsid w:val="00A74650"/>
    <w:rsid w:val="00A74675"/>
    <w:rsid w:val="00A749B0"/>
    <w:rsid w:val="00A74A33"/>
    <w:rsid w:val="00A74B68"/>
    <w:rsid w:val="00A74DF9"/>
    <w:rsid w:val="00A75011"/>
    <w:rsid w:val="00A751D5"/>
    <w:rsid w:val="00A75245"/>
    <w:rsid w:val="00A7527C"/>
    <w:rsid w:val="00A7533C"/>
    <w:rsid w:val="00A75597"/>
    <w:rsid w:val="00A75706"/>
    <w:rsid w:val="00A75883"/>
    <w:rsid w:val="00A75953"/>
    <w:rsid w:val="00A759F8"/>
    <w:rsid w:val="00A75AEC"/>
    <w:rsid w:val="00A75B71"/>
    <w:rsid w:val="00A75BA3"/>
    <w:rsid w:val="00A75C76"/>
    <w:rsid w:val="00A75E17"/>
    <w:rsid w:val="00A75E1A"/>
    <w:rsid w:val="00A75FA7"/>
    <w:rsid w:val="00A761A0"/>
    <w:rsid w:val="00A761E7"/>
    <w:rsid w:val="00A761F6"/>
    <w:rsid w:val="00A762DA"/>
    <w:rsid w:val="00A763D6"/>
    <w:rsid w:val="00A766F8"/>
    <w:rsid w:val="00A7679A"/>
    <w:rsid w:val="00A76831"/>
    <w:rsid w:val="00A768DB"/>
    <w:rsid w:val="00A76A8D"/>
    <w:rsid w:val="00A76B0B"/>
    <w:rsid w:val="00A76E02"/>
    <w:rsid w:val="00A76E84"/>
    <w:rsid w:val="00A76F1C"/>
    <w:rsid w:val="00A76F3D"/>
    <w:rsid w:val="00A76FBE"/>
    <w:rsid w:val="00A770ED"/>
    <w:rsid w:val="00A771BA"/>
    <w:rsid w:val="00A77266"/>
    <w:rsid w:val="00A77267"/>
    <w:rsid w:val="00A77292"/>
    <w:rsid w:val="00A776B4"/>
    <w:rsid w:val="00A77812"/>
    <w:rsid w:val="00A77954"/>
    <w:rsid w:val="00A77AE1"/>
    <w:rsid w:val="00A77C08"/>
    <w:rsid w:val="00A77C3D"/>
    <w:rsid w:val="00A77CA5"/>
    <w:rsid w:val="00A77E55"/>
    <w:rsid w:val="00A800B6"/>
    <w:rsid w:val="00A800F7"/>
    <w:rsid w:val="00A80110"/>
    <w:rsid w:val="00A801C7"/>
    <w:rsid w:val="00A80211"/>
    <w:rsid w:val="00A8023F"/>
    <w:rsid w:val="00A802D8"/>
    <w:rsid w:val="00A80303"/>
    <w:rsid w:val="00A80384"/>
    <w:rsid w:val="00A804A3"/>
    <w:rsid w:val="00A8050B"/>
    <w:rsid w:val="00A80524"/>
    <w:rsid w:val="00A8053D"/>
    <w:rsid w:val="00A8069A"/>
    <w:rsid w:val="00A80846"/>
    <w:rsid w:val="00A808A8"/>
    <w:rsid w:val="00A808D7"/>
    <w:rsid w:val="00A80913"/>
    <w:rsid w:val="00A80A28"/>
    <w:rsid w:val="00A80A6D"/>
    <w:rsid w:val="00A80A91"/>
    <w:rsid w:val="00A80AA2"/>
    <w:rsid w:val="00A80AA3"/>
    <w:rsid w:val="00A80F47"/>
    <w:rsid w:val="00A80FFC"/>
    <w:rsid w:val="00A8107C"/>
    <w:rsid w:val="00A810AD"/>
    <w:rsid w:val="00A8127E"/>
    <w:rsid w:val="00A812A7"/>
    <w:rsid w:val="00A81332"/>
    <w:rsid w:val="00A816C5"/>
    <w:rsid w:val="00A81731"/>
    <w:rsid w:val="00A8175D"/>
    <w:rsid w:val="00A8183B"/>
    <w:rsid w:val="00A818D9"/>
    <w:rsid w:val="00A81AAC"/>
    <w:rsid w:val="00A81B5C"/>
    <w:rsid w:val="00A81BAD"/>
    <w:rsid w:val="00A81C3D"/>
    <w:rsid w:val="00A81D07"/>
    <w:rsid w:val="00A81DF6"/>
    <w:rsid w:val="00A81F2F"/>
    <w:rsid w:val="00A81F80"/>
    <w:rsid w:val="00A82266"/>
    <w:rsid w:val="00A822BD"/>
    <w:rsid w:val="00A823B6"/>
    <w:rsid w:val="00A827B4"/>
    <w:rsid w:val="00A828BC"/>
    <w:rsid w:val="00A829CB"/>
    <w:rsid w:val="00A82A78"/>
    <w:rsid w:val="00A82DC6"/>
    <w:rsid w:val="00A82DD8"/>
    <w:rsid w:val="00A82E71"/>
    <w:rsid w:val="00A831EA"/>
    <w:rsid w:val="00A83239"/>
    <w:rsid w:val="00A8323D"/>
    <w:rsid w:val="00A834AC"/>
    <w:rsid w:val="00A835E5"/>
    <w:rsid w:val="00A83667"/>
    <w:rsid w:val="00A836E3"/>
    <w:rsid w:val="00A83969"/>
    <w:rsid w:val="00A83995"/>
    <w:rsid w:val="00A83B00"/>
    <w:rsid w:val="00A83CFA"/>
    <w:rsid w:val="00A83D1E"/>
    <w:rsid w:val="00A83E1E"/>
    <w:rsid w:val="00A83F2A"/>
    <w:rsid w:val="00A83FA8"/>
    <w:rsid w:val="00A84048"/>
    <w:rsid w:val="00A8409E"/>
    <w:rsid w:val="00A84194"/>
    <w:rsid w:val="00A841BC"/>
    <w:rsid w:val="00A84244"/>
    <w:rsid w:val="00A84268"/>
    <w:rsid w:val="00A842A9"/>
    <w:rsid w:val="00A842C1"/>
    <w:rsid w:val="00A8448C"/>
    <w:rsid w:val="00A84500"/>
    <w:rsid w:val="00A8451F"/>
    <w:rsid w:val="00A84A0E"/>
    <w:rsid w:val="00A84A13"/>
    <w:rsid w:val="00A84CD8"/>
    <w:rsid w:val="00A84DBC"/>
    <w:rsid w:val="00A84E5B"/>
    <w:rsid w:val="00A84EBD"/>
    <w:rsid w:val="00A851ED"/>
    <w:rsid w:val="00A852BF"/>
    <w:rsid w:val="00A855ED"/>
    <w:rsid w:val="00A8567C"/>
    <w:rsid w:val="00A85688"/>
    <w:rsid w:val="00A8575C"/>
    <w:rsid w:val="00A858B5"/>
    <w:rsid w:val="00A85AB5"/>
    <w:rsid w:val="00A85AD2"/>
    <w:rsid w:val="00A85BEC"/>
    <w:rsid w:val="00A85DAB"/>
    <w:rsid w:val="00A85F57"/>
    <w:rsid w:val="00A85FE5"/>
    <w:rsid w:val="00A86293"/>
    <w:rsid w:val="00A862EE"/>
    <w:rsid w:val="00A86309"/>
    <w:rsid w:val="00A8639D"/>
    <w:rsid w:val="00A86B21"/>
    <w:rsid w:val="00A86BD6"/>
    <w:rsid w:val="00A86E83"/>
    <w:rsid w:val="00A86E9C"/>
    <w:rsid w:val="00A86EB7"/>
    <w:rsid w:val="00A86FB4"/>
    <w:rsid w:val="00A86FD3"/>
    <w:rsid w:val="00A87003"/>
    <w:rsid w:val="00A87013"/>
    <w:rsid w:val="00A87016"/>
    <w:rsid w:val="00A87143"/>
    <w:rsid w:val="00A873F9"/>
    <w:rsid w:val="00A87582"/>
    <w:rsid w:val="00A87732"/>
    <w:rsid w:val="00A87915"/>
    <w:rsid w:val="00A87921"/>
    <w:rsid w:val="00A87DDE"/>
    <w:rsid w:val="00A87FAA"/>
    <w:rsid w:val="00A90118"/>
    <w:rsid w:val="00A90219"/>
    <w:rsid w:val="00A902C5"/>
    <w:rsid w:val="00A90302"/>
    <w:rsid w:val="00A9051F"/>
    <w:rsid w:val="00A9055A"/>
    <w:rsid w:val="00A9055F"/>
    <w:rsid w:val="00A905F0"/>
    <w:rsid w:val="00A9085B"/>
    <w:rsid w:val="00A9096E"/>
    <w:rsid w:val="00A90B30"/>
    <w:rsid w:val="00A90D68"/>
    <w:rsid w:val="00A90FF1"/>
    <w:rsid w:val="00A911C5"/>
    <w:rsid w:val="00A912B9"/>
    <w:rsid w:val="00A91391"/>
    <w:rsid w:val="00A914D2"/>
    <w:rsid w:val="00A91536"/>
    <w:rsid w:val="00A91657"/>
    <w:rsid w:val="00A9178C"/>
    <w:rsid w:val="00A91A19"/>
    <w:rsid w:val="00A91A5B"/>
    <w:rsid w:val="00A91AEE"/>
    <w:rsid w:val="00A91D20"/>
    <w:rsid w:val="00A91D65"/>
    <w:rsid w:val="00A91ECC"/>
    <w:rsid w:val="00A91F06"/>
    <w:rsid w:val="00A92042"/>
    <w:rsid w:val="00A92063"/>
    <w:rsid w:val="00A92353"/>
    <w:rsid w:val="00A9239E"/>
    <w:rsid w:val="00A923A5"/>
    <w:rsid w:val="00A92440"/>
    <w:rsid w:val="00A926E5"/>
    <w:rsid w:val="00A92772"/>
    <w:rsid w:val="00A927CD"/>
    <w:rsid w:val="00A9291F"/>
    <w:rsid w:val="00A92A14"/>
    <w:rsid w:val="00A92A3A"/>
    <w:rsid w:val="00A92A98"/>
    <w:rsid w:val="00A92B23"/>
    <w:rsid w:val="00A92CE2"/>
    <w:rsid w:val="00A92D87"/>
    <w:rsid w:val="00A93060"/>
    <w:rsid w:val="00A930F5"/>
    <w:rsid w:val="00A932E2"/>
    <w:rsid w:val="00A934E1"/>
    <w:rsid w:val="00A9357D"/>
    <w:rsid w:val="00A93588"/>
    <w:rsid w:val="00A935D8"/>
    <w:rsid w:val="00A936C6"/>
    <w:rsid w:val="00A93719"/>
    <w:rsid w:val="00A9388E"/>
    <w:rsid w:val="00A93944"/>
    <w:rsid w:val="00A93987"/>
    <w:rsid w:val="00A93A98"/>
    <w:rsid w:val="00A93ED8"/>
    <w:rsid w:val="00A93F62"/>
    <w:rsid w:val="00A941D2"/>
    <w:rsid w:val="00A942AA"/>
    <w:rsid w:val="00A94524"/>
    <w:rsid w:val="00A94591"/>
    <w:rsid w:val="00A946BD"/>
    <w:rsid w:val="00A947B6"/>
    <w:rsid w:val="00A947BC"/>
    <w:rsid w:val="00A94957"/>
    <w:rsid w:val="00A94983"/>
    <w:rsid w:val="00A94A0C"/>
    <w:rsid w:val="00A94BE6"/>
    <w:rsid w:val="00A94C13"/>
    <w:rsid w:val="00A94E4D"/>
    <w:rsid w:val="00A94E9E"/>
    <w:rsid w:val="00A94F99"/>
    <w:rsid w:val="00A950E1"/>
    <w:rsid w:val="00A952ED"/>
    <w:rsid w:val="00A95536"/>
    <w:rsid w:val="00A95550"/>
    <w:rsid w:val="00A9561F"/>
    <w:rsid w:val="00A95686"/>
    <w:rsid w:val="00A956A0"/>
    <w:rsid w:val="00A957A8"/>
    <w:rsid w:val="00A95A74"/>
    <w:rsid w:val="00A95A94"/>
    <w:rsid w:val="00A95E8B"/>
    <w:rsid w:val="00A95E98"/>
    <w:rsid w:val="00A95F02"/>
    <w:rsid w:val="00A95F14"/>
    <w:rsid w:val="00A9609E"/>
    <w:rsid w:val="00A9611E"/>
    <w:rsid w:val="00A96175"/>
    <w:rsid w:val="00A9621C"/>
    <w:rsid w:val="00A9623D"/>
    <w:rsid w:val="00A96423"/>
    <w:rsid w:val="00A96711"/>
    <w:rsid w:val="00A96866"/>
    <w:rsid w:val="00A96938"/>
    <w:rsid w:val="00A96A13"/>
    <w:rsid w:val="00A96AC9"/>
    <w:rsid w:val="00A96BD2"/>
    <w:rsid w:val="00A96CBA"/>
    <w:rsid w:val="00A96F4E"/>
    <w:rsid w:val="00A970F9"/>
    <w:rsid w:val="00A971FD"/>
    <w:rsid w:val="00A9728B"/>
    <w:rsid w:val="00A97386"/>
    <w:rsid w:val="00A97393"/>
    <w:rsid w:val="00A97460"/>
    <w:rsid w:val="00A975DA"/>
    <w:rsid w:val="00A97650"/>
    <w:rsid w:val="00A976F8"/>
    <w:rsid w:val="00A9777D"/>
    <w:rsid w:val="00A97913"/>
    <w:rsid w:val="00A97B57"/>
    <w:rsid w:val="00A97CA4"/>
    <w:rsid w:val="00A97D77"/>
    <w:rsid w:val="00A97EE2"/>
    <w:rsid w:val="00AA004C"/>
    <w:rsid w:val="00AA01D7"/>
    <w:rsid w:val="00AA01DB"/>
    <w:rsid w:val="00AA020C"/>
    <w:rsid w:val="00AA0368"/>
    <w:rsid w:val="00AA077F"/>
    <w:rsid w:val="00AA08DE"/>
    <w:rsid w:val="00AA08FD"/>
    <w:rsid w:val="00AA0A29"/>
    <w:rsid w:val="00AA0B01"/>
    <w:rsid w:val="00AA0C8E"/>
    <w:rsid w:val="00AA0D60"/>
    <w:rsid w:val="00AA0D9C"/>
    <w:rsid w:val="00AA0F95"/>
    <w:rsid w:val="00AA0FDA"/>
    <w:rsid w:val="00AA101B"/>
    <w:rsid w:val="00AA11F1"/>
    <w:rsid w:val="00AA157D"/>
    <w:rsid w:val="00AA16A2"/>
    <w:rsid w:val="00AA1707"/>
    <w:rsid w:val="00AA1899"/>
    <w:rsid w:val="00AA19BC"/>
    <w:rsid w:val="00AA1BA1"/>
    <w:rsid w:val="00AA1C53"/>
    <w:rsid w:val="00AA1DF4"/>
    <w:rsid w:val="00AA1F11"/>
    <w:rsid w:val="00AA20B9"/>
    <w:rsid w:val="00AA20E6"/>
    <w:rsid w:val="00AA2300"/>
    <w:rsid w:val="00AA2495"/>
    <w:rsid w:val="00AA24D5"/>
    <w:rsid w:val="00AA2514"/>
    <w:rsid w:val="00AA27BC"/>
    <w:rsid w:val="00AA27E5"/>
    <w:rsid w:val="00AA2BF8"/>
    <w:rsid w:val="00AA2C0E"/>
    <w:rsid w:val="00AA2E2C"/>
    <w:rsid w:val="00AA2F30"/>
    <w:rsid w:val="00AA305C"/>
    <w:rsid w:val="00AA3097"/>
    <w:rsid w:val="00AA31A1"/>
    <w:rsid w:val="00AA31D2"/>
    <w:rsid w:val="00AA32A9"/>
    <w:rsid w:val="00AA334E"/>
    <w:rsid w:val="00AA3470"/>
    <w:rsid w:val="00AA3544"/>
    <w:rsid w:val="00AA36E0"/>
    <w:rsid w:val="00AA3867"/>
    <w:rsid w:val="00AA3956"/>
    <w:rsid w:val="00AA39C4"/>
    <w:rsid w:val="00AA3A6E"/>
    <w:rsid w:val="00AA3AC3"/>
    <w:rsid w:val="00AA3C39"/>
    <w:rsid w:val="00AA3CA8"/>
    <w:rsid w:val="00AA40B5"/>
    <w:rsid w:val="00AA4121"/>
    <w:rsid w:val="00AA419D"/>
    <w:rsid w:val="00AA443E"/>
    <w:rsid w:val="00AA4454"/>
    <w:rsid w:val="00AA4503"/>
    <w:rsid w:val="00AA452B"/>
    <w:rsid w:val="00AA462C"/>
    <w:rsid w:val="00AA47AC"/>
    <w:rsid w:val="00AA47D8"/>
    <w:rsid w:val="00AA4902"/>
    <w:rsid w:val="00AA4968"/>
    <w:rsid w:val="00AA49E0"/>
    <w:rsid w:val="00AA4A01"/>
    <w:rsid w:val="00AA4A0F"/>
    <w:rsid w:val="00AA4AC9"/>
    <w:rsid w:val="00AA4D2F"/>
    <w:rsid w:val="00AA4D5D"/>
    <w:rsid w:val="00AA4D6B"/>
    <w:rsid w:val="00AA533C"/>
    <w:rsid w:val="00AA546F"/>
    <w:rsid w:val="00AA5677"/>
    <w:rsid w:val="00AA59E7"/>
    <w:rsid w:val="00AA5B56"/>
    <w:rsid w:val="00AA5BFB"/>
    <w:rsid w:val="00AA5E16"/>
    <w:rsid w:val="00AA5E78"/>
    <w:rsid w:val="00AA5F3A"/>
    <w:rsid w:val="00AA62F4"/>
    <w:rsid w:val="00AA6323"/>
    <w:rsid w:val="00AA650C"/>
    <w:rsid w:val="00AA6536"/>
    <w:rsid w:val="00AA66C9"/>
    <w:rsid w:val="00AA66DE"/>
    <w:rsid w:val="00AA676F"/>
    <w:rsid w:val="00AA6A25"/>
    <w:rsid w:val="00AA6A26"/>
    <w:rsid w:val="00AA6A52"/>
    <w:rsid w:val="00AA6C09"/>
    <w:rsid w:val="00AA6CAB"/>
    <w:rsid w:val="00AA6CCB"/>
    <w:rsid w:val="00AA6D39"/>
    <w:rsid w:val="00AA6D55"/>
    <w:rsid w:val="00AA6D71"/>
    <w:rsid w:val="00AA6E5E"/>
    <w:rsid w:val="00AA6FB7"/>
    <w:rsid w:val="00AA6FEF"/>
    <w:rsid w:val="00AA710D"/>
    <w:rsid w:val="00AA71E8"/>
    <w:rsid w:val="00AA7230"/>
    <w:rsid w:val="00AA72DE"/>
    <w:rsid w:val="00AA7403"/>
    <w:rsid w:val="00AA7449"/>
    <w:rsid w:val="00AA74F7"/>
    <w:rsid w:val="00AA7571"/>
    <w:rsid w:val="00AA758E"/>
    <w:rsid w:val="00AA76E1"/>
    <w:rsid w:val="00AA77BB"/>
    <w:rsid w:val="00AA77DB"/>
    <w:rsid w:val="00AA78E1"/>
    <w:rsid w:val="00AA790E"/>
    <w:rsid w:val="00AA7A00"/>
    <w:rsid w:val="00AA7AEF"/>
    <w:rsid w:val="00AA7BF1"/>
    <w:rsid w:val="00AA7E92"/>
    <w:rsid w:val="00AA7FE1"/>
    <w:rsid w:val="00AB0009"/>
    <w:rsid w:val="00AB0024"/>
    <w:rsid w:val="00AB0147"/>
    <w:rsid w:val="00AB040A"/>
    <w:rsid w:val="00AB071F"/>
    <w:rsid w:val="00AB082D"/>
    <w:rsid w:val="00AB0935"/>
    <w:rsid w:val="00AB0A59"/>
    <w:rsid w:val="00AB0BA3"/>
    <w:rsid w:val="00AB0CC4"/>
    <w:rsid w:val="00AB0E00"/>
    <w:rsid w:val="00AB0F23"/>
    <w:rsid w:val="00AB102D"/>
    <w:rsid w:val="00AB1205"/>
    <w:rsid w:val="00AB1299"/>
    <w:rsid w:val="00AB13B3"/>
    <w:rsid w:val="00AB13D2"/>
    <w:rsid w:val="00AB146D"/>
    <w:rsid w:val="00AB14E6"/>
    <w:rsid w:val="00AB1501"/>
    <w:rsid w:val="00AB1A46"/>
    <w:rsid w:val="00AB1A6C"/>
    <w:rsid w:val="00AB1A80"/>
    <w:rsid w:val="00AB1A91"/>
    <w:rsid w:val="00AB1B18"/>
    <w:rsid w:val="00AB1C30"/>
    <w:rsid w:val="00AB1D1A"/>
    <w:rsid w:val="00AB1DB8"/>
    <w:rsid w:val="00AB1E2F"/>
    <w:rsid w:val="00AB1E4C"/>
    <w:rsid w:val="00AB1ED9"/>
    <w:rsid w:val="00AB20FA"/>
    <w:rsid w:val="00AB20FB"/>
    <w:rsid w:val="00AB210D"/>
    <w:rsid w:val="00AB2212"/>
    <w:rsid w:val="00AB224B"/>
    <w:rsid w:val="00AB2498"/>
    <w:rsid w:val="00AB24A2"/>
    <w:rsid w:val="00AB24BC"/>
    <w:rsid w:val="00AB2553"/>
    <w:rsid w:val="00AB256B"/>
    <w:rsid w:val="00AB2576"/>
    <w:rsid w:val="00AB26C4"/>
    <w:rsid w:val="00AB2783"/>
    <w:rsid w:val="00AB27F6"/>
    <w:rsid w:val="00AB2921"/>
    <w:rsid w:val="00AB297A"/>
    <w:rsid w:val="00AB2ADE"/>
    <w:rsid w:val="00AB2B0C"/>
    <w:rsid w:val="00AB2CD2"/>
    <w:rsid w:val="00AB2D8A"/>
    <w:rsid w:val="00AB2F59"/>
    <w:rsid w:val="00AB307C"/>
    <w:rsid w:val="00AB3194"/>
    <w:rsid w:val="00AB3233"/>
    <w:rsid w:val="00AB325C"/>
    <w:rsid w:val="00AB32BE"/>
    <w:rsid w:val="00AB3376"/>
    <w:rsid w:val="00AB3410"/>
    <w:rsid w:val="00AB345F"/>
    <w:rsid w:val="00AB34DA"/>
    <w:rsid w:val="00AB35B9"/>
    <w:rsid w:val="00AB363C"/>
    <w:rsid w:val="00AB380D"/>
    <w:rsid w:val="00AB381B"/>
    <w:rsid w:val="00AB3870"/>
    <w:rsid w:val="00AB3968"/>
    <w:rsid w:val="00AB3C8F"/>
    <w:rsid w:val="00AB3EAF"/>
    <w:rsid w:val="00AB3EB5"/>
    <w:rsid w:val="00AB3EF7"/>
    <w:rsid w:val="00AB4336"/>
    <w:rsid w:val="00AB45FF"/>
    <w:rsid w:val="00AB46CA"/>
    <w:rsid w:val="00AB4729"/>
    <w:rsid w:val="00AB4774"/>
    <w:rsid w:val="00AB48A6"/>
    <w:rsid w:val="00AB48C8"/>
    <w:rsid w:val="00AB49EE"/>
    <w:rsid w:val="00AB4A64"/>
    <w:rsid w:val="00AB4A68"/>
    <w:rsid w:val="00AB4BDC"/>
    <w:rsid w:val="00AB4C45"/>
    <w:rsid w:val="00AB4CC1"/>
    <w:rsid w:val="00AB4D5C"/>
    <w:rsid w:val="00AB4E1E"/>
    <w:rsid w:val="00AB4F27"/>
    <w:rsid w:val="00AB514D"/>
    <w:rsid w:val="00AB519F"/>
    <w:rsid w:val="00AB5464"/>
    <w:rsid w:val="00AB54C8"/>
    <w:rsid w:val="00AB5634"/>
    <w:rsid w:val="00AB5765"/>
    <w:rsid w:val="00AB5806"/>
    <w:rsid w:val="00AB5868"/>
    <w:rsid w:val="00AB58BD"/>
    <w:rsid w:val="00AB595D"/>
    <w:rsid w:val="00AB5AE6"/>
    <w:rsid w:val="00AB5C00"/>
    <w:rsid w:val="00AB5C0E"/>
    <w:rsid w:val="00AB5C30"/>
    <w:rsid w:val="00AB5C37"/>
    <w:rsid w:val="00AB5C3A"/>
    <w:rsid w:val="00AB5D29"/>
    <w:rsid w:val="00AB5D64"/>
    <w:rsid w:val="00AB5E35"/>
    <w:rsid w:val="00AB5ECE"/>
    <w:rsid w:val="00AB60AD"/>
    <w:rsid w:val="00AB6116"/>
    <w:rsid w:val="00AB61BE"/>
    <w:rsid w:val="00AB61F2"/>
    <w:rsid w:val="00AB621F"/>
    <w:rsid w:val="00AB62F9"/>
    <w:rsid w:val="00AB6343"/>
    <w:rsid w:val="00AB6AE6"/>
    <w:rsid w:val="00AB6C29"/>
    <w:rsid w:val="00AB6C67"/>
    <w:rsid w:val="00AB6C8B"/>
    <w:rsid w:val="00AB6CF3"/>
    <w:rsid w:val="00AB6D72"/>
    <w:rsid w:val="00AB6FD9"/>
    <w:rsid w:val="00AB6FF2"/>
    <w:rsid w:val="00AB706E"/>
    <w:rsid w:val="00AB70B8"/>
    <w:rsid w:val="00AB710B"/>
    <w:rsid w:val="00AB71B4"/>
    <w:rsid w:val="00AB71C6"/>
    <w:rsid w:val="00AB72C5"/>
    <w:rsid w:val="00AB72E0"/>
    <w:rsid w:val="00AB7311"/>
    <w:rsid w:val="00AB74B1"/>
    <w:rsid w:val="00AB7505"/>
    <w:rsid w:val="00AB7581"/>
    <w:rsid w:val="00AB7682"/>
    <w:rsid w:val="00AB76E2"/>
    <w:rsid w:val="00AB7794"/>
    <w:rsid w:val="00AB780D"/>
    <w:rsid w:val="00AB79A1"/>
    <w:rsid w:val="00AB79B9"/>
    <w:rsid w:val="00AB7C4B"/>
    <w:rsid w:val="00AB7F5D"/>
    <w:rsid w:val="00AC0016"/>
    <w:rsid w:val="00AC002F"/>
    <w:rsid w:val="00AC0246"/>
    <w:rsid w:val="00AC0364"/>
    <w:rsid w:val="00AC040D"/>
    <w:rsid w:val="00AC051E"/>
    <w:rsid w:val="00AC052F"/>
    <w:rsid w:val="00AC07F4"/>
    <w:rsid w:val="00AC095B"/>
    <w:rsid w:val="00AC0C12"/>
    <w:rsid w:val="00AC0C54"/>
    <w:rsid w:val="00AC0D4D"/>
    <w:rsid w:val="00AC0D53"/>
    <w:rsid w:val="00AC112D"/>
    <w:rsid w:val="00AC1154"/>
    <w:rsid w:val="00AC14F3"/>
    <w:rsid w:val="00AC155D"/>
    <w:rsid w:val="00AC15C1"/>
    <w:rsid w:val="00AC1625"/>
    <w:rsid w:val="00AC190B"/>
    <w:rsid w:val="00AC1A4B"/>
    <w:rsid w:val="00AC1ACB"/>
    <w:rsid w:val="00AC1B49"/>
    <w:rsid w:val="00AC1BFA"/>
    <w:rsid w:val="00AC1CD4"/>
    <w:rsid w:val="00AC1F51"/>
    <w:rsid w:val="00AC1F88"/>
    <w:rsid w:val="00AC1FA8"/>
    <w:rsid w:val="00AC20E8"/>
    <w:rsid w:val="00AC236B"/>
    <w:rsid w:val="00AC23C8"/>
    <w:rsid w:val="00AC2450"/>
    <w:rsid w:val="00AC251E"/>
    <w:rsid w:val="00AC25FD"/>
    <w:rsid w:val="00AC266F"/>
    <w:rsid w:val="00AC26FC"/>
    <w:rsid w:val="00AC28D3"/>
    <w:rsid w:val="00AC28ED"/>
    <w:rsid w:val="00AC2BA9"/>
    <w:rsid w:val="00AC2C59"/>
    <w:rsid w:val="00AC2C94"/>
    <w:rsid w:val="00AC2CA0"/>
    <w:rsid w:val="00AC2CB0"/>
    <w:rsid w:val="00AC2D6A"/>
    <w:rsid w:val="00AC320E"/>
    <w:rsid w:val="00AC3210"/>
    <w:rsid w:val="00AC322E"/>
    <w:rsid w:val="00AC35BF"/>
    <w:rsid w:val="00AC361D"/>
    <w:rsid w:val="00AC36B4"/>
    <w:rsid w:val="00AC36D1"/>
    <w:rsid w:val="00AC3782"/>
    <w:rsid w:val="00AC394A"/>
    <w:rsid w:val="00AC39A6"/>
    <w:rsid w:val="00AC39ED"/>
    <w:rsid w:val="00AC3B54"/>
    <w:rsid w:val="00AC3BFF"/>
    <w:rsid w:val="00AC3CA7"/>
    <w:rsid w:val="00AC3CFE"/>
    <w:rsid w:val="00AC3D20"/>
    <w:rsid w:val="00AC3DF3"/>
    <w:rsid w:val="00AC401D"/>
    <w:rsid w:val="00AC403E"/>
    <w:rsid w:val="00AC40DE"/>
    <w:rsid w:val="00AC4198"/>
    <w:rsid w:val="00AC42F7"/>
    <w:rsid w:val="00AC4886"/>
    <w:rsid w:val="00AC48C8"/>
    <w:rsid w:val="00AC492B"/>
    <w:rsid w:val="00AC49BE"/>
    <w:rsid w:val="00AC4D07"/>
    <w:rsid w:val="00AC4DFF"/>
    <w:rsid w:val="00AC4E3F"/>
    <w:rsid w:val="00AC4EA9"/>
    <w:rsid w:val="00AC50C0"/>
    <w:rsid w:val="00AC512D"/>
    <w:rsid w:val="00AC55E9"/>
    <w:rsid w:val="00AC570E"/>
    <w:rsid w:val="00AC57FA"/>
    <w:rsid w:val="00AC583A"/>
    <w:rsid w:val="00AC59A4"/>
    <w:rsid w:val="00AC5BE2"/>
    <w:rsid w:val="00AC5C00"/>
    <w:rsid w:val="00AC5C99"/>
    <w:rsid w:val="00AC5D4E"/>
    <w:rsid w:val="00AC5E63"/>
    <w:rsid w:val="00AC5F67"/>
    <w:rsid w:val="00AC5F83"/>
    <w:rsid w:val="00AC5FC0"/>
    <w:rsid w:val="00AC611A"/>
    <w:rsid w:val="00AC61B1"/>
    <w:rsid w:val="00AC622E"/>
    <w:rsid w:val="00AC63D8"/>
    <w:rsid w:val="00AC6530"/>
    <w:rsid w:val="00AC65BF"/>
    <w:rsid w:val="00AC6776"/>
    <w:rsid w:val="00AC682E"/>
    <w:rsid w:val="00AC682F"/>
    <w:rsid w:val="00AC684F"/>
    <w:rsid w:val="00AC68EE"/>
    <w:rsid w:val="00AC69CB"/>
    <w:rsid w:val="00AC69EB"/>
    <w:rsid w:val="00AC6A36"/>
    <w:rsid w:val="00AC6E86"/>
    <w:rsid w:val="00AC727E"/>
    <w:rsid w:val="00AC72C4"/>
    <w:rsid w:val="00AC7443"/>
    <w:rsid w:val="00AC7622"/>
    <w:rsid w:val="00AC772A"/>
    <w:rsid w:val="00AC7A8E"/>
    <w:rsid w:val="00AC7ABF"/>
    <w:rsid w:val="00AC7AF7"/>
    <w:rsid w:val="00AC7BC3"/>
    <w:rsid w:val="00AC7C49"/>
    <w:rsid w:val="00AC7E13"/>
    <w:rsid w:val="00AC7E17"/>
    <w:rsid w:val="00AC7E7C"/>
    <w:rsid w:val="00AC7E83"/>
    <w:rsid w:val="00AC7FA9"/>
    <w:rsid w:val="00AD0039"/>
    <w:rsid w:val="00AD0079"/>
    <w:rsid w:val="00AD01A1"/>
    <w:rsid w:val="00AD0267"/>
    <w:rsid w:val="00AD02EB"/>
    <w:rsid w:val="00AD0398"/>
    <w:rsid w:val="00AD0424"/>
    <w:rsid w:val="00AD087F"/>
    <w:rsid w:val="00AD08B3"/>
    <w:rsid w:val="00AD0AB9"/>
    <w:rsid w:val="00AD0AE8"/>
    <w:rsid w:val="00AD0B0F"/>
    <w:rsid w:val="00AD0D1B"/>
    <w:rsid w:val="00AD0D46"/>
    <w:rsid w:val="00AD0D88"/>
    <w:rsid w:val="00AD0D8E"/>
    <w:rsid w:val="00AD0E18"/>
    <w:rsid w:val="00AD0F43"/>
    <w:rsid w:val="00AD0F56"/>
    <w:rsid w:val="00AD0FDC"/>
    <w:rsid w:val="00AD11E0"/>
    <w:rsid w:val="00AD1330"/>
    <w:rsid w:val="00AD1431"/>
    <w:rsid w:val="00AD14E9"/>
    <w:rsid w:val="00AD15A0"/>
    <w:rsid w:val="00AD183B"/>
    <w:rsid w:val="00AD1BC3"/>
    <w:rsid w:val="00AD1C84"/>
    <w:rsid w:val="00AD1D0B"/>
    <w:rsid w:val="00AD1D51"/>
    <w:rsid w:val="00AD1D87"/>
    <w:rsid w:val="00AD1E83"/>
    <w:rsid w:val="00AD1F7D"/>
    <w:rsid w:val="00AD205C"/>
    <w:rsid w:val="00AD20F6"/>
    <w:rsid w:val="00AD2206"/>
    <w:rsid w:val="00AD2437"/>
    <w:rsid w:val="00AD2547"/>
    <w:rsid w:val="00AD2573"/>
    <w:rsid w:val="00AD25DA"/>
    <w:rsid w:val="00AD2604"/>
    <w:rsid w:val="00AD282B"/>
    <w:rsid w:val="00AD2848"/>
    <w:rsid w:val="00AD2855"/>
    <w:rsid w:val="00AD288E"/>
    <w:rsid w:val="00AD2B0D"/>
    <w:rsid w:val="00AD2DFC"/>
    <w:rsid w:val="00AD2E2E"/>
    <w:rsid w:val="00AD2ECA"/>
    <w:rsid w:val="00AD32F3"/>
    <w:rsid w:val="00AD338D"/>
    <w:rsid w:val="00AD33A2"/>
    <w:rsid w:val="00AD33C7"/>
    <w:rsid w:val="00AD34EF"/>
    <w:rsid w:val="00AD36D1"/>
    <w:rsid w:val="00AD36E1"/>
    <w:rsid w:val="00AD3813"/>
    <w:rsid w:val="00AD38D1"/>
    <w:rsid w:val="00AD3A8C"/>
    <w:rsid w:val="00AD3BBF"/>
    <w:rsid w:val="00AD3BE4"/>
    <w:rsid w:val="00AD3E58"/>
    <w:rsid w:val="00AD3E6E"/>
    <w:rsid w:val="00AD3EBD"/>
    <w:rsid w:val="00AD3F6C"/>
    <w:rsid w:val="00AD40C4"/>
    <w:rsid w:val="00AD432A"/>
    <w:rsid w:val="00AD439A"/>
    <w:rsid w:val="00AD44CD"/>
    <w:rsid w:val="00AD4532"/>
    <w:rsid w:val="00AD4777"/>
    <w:rsid w:val="00AD48C3"/>
    <w:rsid w:val="00AD48E2"/>
    <w:rsid w:val="00AD48FF"/>
    <w:rsid w:val="00AD4911"/>
    <w:rsid w:val="00AD4A42"/>
    <w:rsid w:val="00AD4B2E"/>
    <w:rsid w:val="00AD4B90"/>
    <w:rsid w:val="00AD4C30"/>
    <w:rsid w:val="00AD4CE1"/>
    <w:rsid w:val="00AD4EA3"/>
    <w:rsid w:val="00AD4F23"/>
    <w:rsid w:val="00AD5078"/>
    <w:rsid w:val="00AD541F"/>
    <w:rsid w:val="00AD5427"/>
    <w:rsid w:val="00AD5567"/>
    <w:rsid w:val="00AD558C"/>
    <w:rsid w:val="00AD5872"/>
    <w:rsid w:val="00AD58BA"/>
    <w:rsid w:val="00AD5935"/>
    <w:rsid w:val="00AD5C23"/>
    <w:rsid w:val="00AD5E5C"/>
    <w:rsid w:val="00AD5FEE"/>
    <w:rsid w:val="00AD6065"/>
    <w:rsid w:val="00AD61A7"/>
    <w:rsid w:val="00AD621A"/>
    <w:rsid w:val="00AD6864"/>
    <w:rsid w:val="00AD69D9"/>
    <w:rsid w:val="00AD6CAC"/>
    <w:rsid w:val="00AD6D48"/>
    <w:rsid w:val="00AD6E60"/>
    <w:rsid w:val="00AD6E7B"/>
    <w:rsid w:val="00AD6E94"/>
    <w:rsid w:val="00AD6FA2"/>
    <w:rsid w:val="00AD6FDF"/>
    <w:rsid w:val="00AD70A2"/>
    <w:rsid w:val="00AD7175"/>
    <w:rsid w:val="00AD7321"/>
    <w:rsid w:val="00AD7375"/>
    <w:rsid w:val="00AD7418"/>
    <w:rsid w:val="00AD74BA"/>
    <w:rsid w:val="00AD757B"/>
    <w:rsid w:val="00AD773D"/>
    <w:rsid w:val="00AD799B"/>
    <w:rsid w:val="00AD7A98"/>
    <w:rsid w:val="00AD7AE0"/>
    <w:rsid w:val="00AD7BBD"/>
    <w:rsid w:val="00AD7C9A"/>
    <w:rsid w:val="00AD7E85"/>
    <w:rsid w:val="00AD7F0A"/>
    <w:rsid w:val="00AD7F12"/>
    <w:rsid w:val="00AE0178"/>
    <w:rsid w:val="00AE021F"/>
    <w:rsid w:val="00AE0269"/>
    <w:rsid w:val="00AE0375"/>
    <w:rsid w:val="00AE0586"/>
    <w:rsid w:val="00AE06D7"/>
    <w:rsid w:val="00AE0868"/>
    <w:rsid w:val="00AE08F5"/>
    <w:rsid w:val="00AE0C5A"/>
    <w:rsid w:val="00AE0C8C"/>
    <w:rsid w:val="00AE0D24"/>
    <w:rsid w:val="00AE0D52"/>
    <w:rsid w:val="00AE0F4C"/>
    <w:rsid w:val="00AE0FAD"/>
    <w:rsid w:val="00AE1005"/>
    <w:rsid w:val="00AE1404"/>
    <w:rsid w:val="00AE14F9"/>
    <w:rsid w:val="00AE1559"/>
    <w:rsid w:val="00AE1627"/>
    <w:rsid w:val="00AE1648"/>
    <w:rsid w:val="00AE1797"/>
    <w:rsid w:val="00AE18C5"/>
    <w:rsid w:val="00AE194B"/>
    <w:rsid w:val="00AE1A7B"/>
    <w:rsid w:val="00AE1A9D"/>
    <w:rsid w:val="00AE1AE1"/>
    <w:rsid w:val="00AE1B12"/>
    <w:rsid w:val="00AE1B37"/>
    <w:rsid w:val="00AE1BEC"/>
    <w:rsid w:val="00AE1CDD"/>
    <w:rsid w:val="00AE1D06"/>
    <w:rsid w:val="00AE1DFC"/>
    <w:rsid w:val="00AE1E88"/>
    <w:rsid w:val="00AE1F49"/>
    <w:rsid w:val="00AE21E8"/>
    <w:rsid w:val="00AE225F"/>
    <w:rsid w:val="00AE228A"/>
    <w:rsid w:val="00AE2470"/>
    <w:rsid w:val="00AE248F"/>
    <w:rsid w:val="00AE24FA"/>
    <w:rsid w:val="00AE2795"/>
    <w:rsid w:val="00AE27BA"/>
    <w:rsid w:val="00AE27E4"/>
    <w:rsid w:val="00AE29FB"/>
    <w:rsid w:val="00AE2C3A"/>
    <w:rsid w:val="00AE2D5D"/>
    <w:rsid w:val="00AE2E9C"/>
    <w:rsid w:val="00AE320D"/>
    <w:rsid w:val="00AE3210"/>
    <w:rsid w:val="00AE324B"/>
    <w:rsid w:val="00AE3371"/>
    <w:rsid w:val="00AE338E"/>
    <w:rsid w:val="00AE33C5"/>
    <w:rsid w:val="00AE34B2"/>
    <w:rsid w:val="00AE36A1"/>
    <w:rsid w:val="00AE3776"/>
    <w:rsid w:val="00AE390D"/>
    <w:rsid w:val="00AE3E8D"/>
    <w:rsid w:val="00AE426F"/>
    <w:rsid w:val="00AE4586"/>
    <w:rsid w:val="00AE4631"/>
    <w:rsid w:val="00AE486A"/>
    <w:rsid w:val="00AE4951"/>
    <w:rsid w:val="00AE4CCC"/>
    <w:rsid w:val="00AE4DF5"/>
    <w:rsid w:val="00AE5205"/>
    <w:rsid w:val="00AE5206"/>
    <w:rsid w:val="00AE52B2"/>
    <w:rsid w:val="00AE5326"/>
    <w:rsid w:val="00AE546A"/>
    <w:rsid w:val="00AE5508"/>
    <w:rsid w:val="00AE55D9"/>
    <w:rsid w:val="00AE561B"/>
    <w:rsid w:val="00AE5A19"/>
    <w:rsid w:val="00AE5AF5"/>
    <w:rsid w:val="00AE5BD2"/>
    <w:rsid w:val="00AE5C97"/>
    <w:rsid w:val="00AE5D30"/>
    <w:rsid w:val="00AE5E45"/>
    <w:rsid w:val="00AE5EDC"/>
    <w:rsid w:val="00AE5EF5"/>
    <w:rsid w:val="00AE6186"/>
    <w:rsid w:val="00AE618C"/>
    <w:rsid w:val="00AE6203"/>
    <w:rsid w:val="00AE6257"/>
    <w:rsid w:val="00AE67DA"/>
    <w:rsid w:val="00AE68F1"/>
    <w:rsid w:val="00AE69C2"/>
    <w:rsid w:val="00AE6F3E"/>
    <w:rsid w:val="00AE6FFD"/>
    <w:rsid w:val="00AE717D"/>
    <w:rsid w:val="00AE71A4"/>
    <w:rsid w:val="00AE740F"/>
    <w:rsid w:val="00AE7489"/>
    <w:rsid w:val="00AE748C"/>
    <w:rsid w:val="00AE7541"/>
    <w:rsid w:val="00AE763C"/>
    <w:rsid w:val="00AE76CD"/>
    <w:rsid w:val="00AE7768"/>
    <w:rsid w:val="00AE7965"/>
    <w:rsid w:val="00AE7A49"/>
    <w:rsid w:val="00AE7B2B"/>
    <w:rsid w:val="00AE7D43"/>
    <w:rsid w:val="00AE7FBB"/>
    <w:rsid w:val="00AF018B"/>
    <w:rsid w:val="00AF02D8"/>
    <w:rsid w:val="00AF04D3"/>
    <w:rsid w:val="00AF0520"/>
    <w:rsid w:val="00AF054E"/>
    <w:rsid w:val="00AF0601"/>
    <w:rsid w:val="00AF0644"/>
    <w:rsid w:val="00AF075C"/>
    <w:rsid w:val="00AF07C9"/>
    <w:rsid w:val="00AF0808"/>
    <w:rsid w:val="00AF083C"/>
    <w:rsid w:val="00AF0A10"/>
    <w:rsid w:val="00AF0A7A"/>
    <w:rsid w:val="00AF0DA9"/>
    <w:rsid w:val="00AF0DE0"/>
    <w:rsid w:val="00AF0E24"/>
    <w:rsid w:val="00AF0E48"/>
    <w:rsid w:val="00AF0F5D"/>
    <w:rsid w:val="00AF0FA9"/>
    <w:rsid w:val="00AF1038"/>
    <w:rsid w:val="00AF106D"/>
    <w:rsid w:val="00AF10CF"/>
    <w:rsid w:val="00AF113C"/>
    <w:rsid w:val="00AF123B"/>
    <w:rsid w:val="00AF1306"/>
    <w:rsid w:val="00AF1552"/>
    <w:rsid w:val="00AF1609"/>
    <w:rsid w:val="00AF1642"/>
    <w:rsid w:val="00AF165D"/>
    <w:rsid w:val="00AF16AB"/>
    <w:rsid w:val="00AF16CE"/>
    <w:rsid w:val="00AF1842"/>
    <w:rsid w:val="00AF1C86"/>
    <w:rsid w:val="00AF1C91"/>
    <w:rsid w:val="00AF1EA7"/>
    <w:rsid w:val="00AF20F6"/>
    <w:rsid w:val="00AF2129"/>
    <w:rsid w:val="00AF23B3"/>
    <w:rsid w:val="00AF2421"/>
    <w:rsid w:val="00AF25F0"/>
    <w:rsid w:val="00AF264F"/>
    <w:rsid w:val="00AF2805"/>
    <w:rsid w:val="00AF2AD7"/>
    <w:rsid w:val="00AF2AF0"/>
    <w:rsid w:val="00AF2B8C"/>
    <w:rsid w:val="00AF2F79"/>
    <w:rsid w:val="00AF33C6"/>
    <w:rsid w:val="00AF34F9"/>
    <w:rsid w:val="00AF3513"/>
    <w:rsid w:val="00AF3695"/>
    <w:rsid w:val="00AF3698"/>
    <w:rsid w:val="00AF3781"/>
    <w:rsid w:val="00AF3796"/>
    <w:rsid w:val="00AF386B"/>
    <w:rsid w:val="00AF3AC0"/>
    <w:rsid w:val="00AF3B7E"/>
    <w:rsid w:val="00AF3C21"/>
    <w:rsid w:val="00AF3DAE"/>
    <w:rsid w:val="00AF3DE1"/>
    <w:rsid w:val="00AF3E1E"/>
    <w:rsid w:val="00AF3EA8"/>
    <w:rsid w:val="00AF4176"/>
    <w:rsid w:val="00AF42B0"/>
    <w:rsid w:val="00AF440A"/>
    <w:rsid w:val="00AF4577"/>
    <w:rsid w:val="00AF4615"/>
    <w:rsid w:val="00AF47D7"/>
    <w:rsid w:val="00AF481F"/>
    <w:rsid w:val="00AF4877"/>
    <w:rsid w:val="00AF495A"/>
    <w:rsid w:val="00AF4A7E"/>
    <w:rsid w:val="00AF4ADC"/>
    <w:rsid w:val="00AF4BD1"/>
    <w:rsid w:val="00AF4C36"/>
    <w:rsid w:val="00AF5284"/>
    <w:rsid w:val="00AF52B9"/>
    <w:rsid w:val="00AF5327"/>
    <w:rsid w:val="00AF532E"/>
    <w:rsid w:val="00AF53C3"/>
    <w:rsid w:val="00AF54D3"/>
    <w:rsid w:val="00AF5688"/>
    <w:rsid w:val="00AF56D8"/>
    <w:rsid w:val="00AF5949"/>
    <w:rsid w:val="00AF594F"/>
    <w:rsid w:val="00AF5953"/>
    <w:rsid w:val="00AF5BAF"/>
    <w:rsid w:val="00AF5D81"/>
    <w:rsid w:val="00AF60F1"/>
    <w:rsid w:val="00AF613A"/>
    <w:rsid w:val="00AF61CC"/>
    <w:rsid w:val="00AF6372"/>
    <w:rsid w:val="00AF6448"/>
    <w:rsid w:val="00AF6551"/>
    <w:rsid w:val="00AF655D"/>
    <w:rsid w:val="00AF65A4"/>
    <w:rsid w:val="00AF65FA"/>
    <w:rsid w:val="00AF673D"/>
    <w:rsid w:val="00AF67B4"/>
    <w:rsid w:val="00AF69CC"/>
    <w:rsid w:val="00AF6AC9"/>
    <w:rsid w:val="00AF6AD2"/>
    <w:rsid w:val="00AF6AF0"/>
    <w:rsid w:val="00AF6E5C"/>
    <w:rsid w:val="00AF6EBC"/>
    <w:rsid w:val="00AF6FDB"/>
    <w:rsid w:val="00AF70BD"/>
    <w:rsid w:val="00AF7168"/>
    <w:rsid w:val="00AF720D"/>
    <w:rsid w:val="00AF721D"/>
    <w:rsid w:val="00AF7252"/>
    <w:rsid w:val="00AF7486"/>
    <w:rsid w:val="00AF74A6"/>
    <w:rsid w:val="00AF7509"/>
    <w:rsid w:val="00AF7544"/>
    <w:rsid w:val="00AF75EA"/>
    <w:rsid w:val="00AF7835"/>
    <w:rsid w:val="00AF783D"/>
    <w:rsid w:val="00AF78E8"/>
    <w:rsid w:val="00AF79C0"/>
    <w:rsid w:val="00AF7B09"/>
    <w:rsid w:val="00AF7B57"/>
    <w:rsid w:val="00AF7B9F"/>
    <w:rsid w:val="00AF7D00"/>
    <w:rsid w:val="00AF7D25"/>
    <w:rsid w:val="00AF7D49"/>
    <w:rsid w:val="00AF7D83"/>
    <w:rsid w:val="00AF7D9C"/>
    <w:rsid w:val="00AF7DA6"/>
    <w:rsid w:val="00AF7EFA"/>
    <w:rsid w:val="00AF7F54"/>
    <w:rsid w:val="00B0018D"/>
    <w:rsid w:val="00B001F3"/>
    <w:rsid w:val="00B0030A"/>
    <w:rsid w:val="00B00399"/>
    <w:rsid w:val="00B003B1"/>
    <w:rsid w:val="00B0046C"/>
    <w:rsid w:val="00B0048E"/>
    <w:rsid w:val="00B0049D"/>
    <w:rsid w:val="00B005AB"/>
    <w:rsid w:val="00B00614"/>
    <w:rsid w:val="00B00705"/>
    <w:rsid w:val="00B00860"/>
    <w:rsid w:val="00B008F3"/>
    <w:rsid w:val="00B00A2E"/>
    <w:rsid w:val="00B00A6A"/>
    <w:rsid w:val="00B00A9A"/>
    <w:rsid w:val="00B00D03"/>
    <w:rsid w:val="00B00D48"/>
    <w:rsid w:val="00B00E04"/>
    <w:rsid w:val="00B00E0B"/>
    <w:rsid w:val="00B00E4D"/>
    <w:rsid w:val="00B01167"/>
    <w:rsid w:val="00B011E8"/>
    <w:rsid w:val="00B013B4"/>
    <w:rsid w:val="00B013BD"/>
    <w:rsid w:val="00B013D9"/>
    <w:rsid w:val="00B015EF"/>
    <w:rsid w:val="00B016C9"/>
    <w:rsid w:val="00B0180E"/>
    <w:rsid w:val="00B01813"/>
    <w:rsid w:val="00B01A1E"/>
    <w:rsid w:val="00B01DD3"/>
    <w:rsid w:val="00B01E6F"/>
    <w:rsid w:val="00B02025"/>
    <w:rsid w:val="00B0205C"/>
    <w:rsid w:val="00B022AF"/>
    <w:rsid w:val="00B022D3"/>
    <w:rsid w:val="00B0236B"/>
    <w:rsid w:val="00B02382"/>
    <w:rsid w:val="00B0240E"/>
    <w:rsid w:val="00B02590"/>
    <w:rsid w:val="00B02779"/>
    <w:rsid w:val="00B02B74"/>
    <w:rsid w:val="00B02CA2"/>
    <w:rsid w:val="00B02D79"/>
    <w:rsid w:val="00B02E85"/>
    <w:rsid w:val="00B02FDE"/>
    <w:rsid w:val="00B031D7"/>
    <w:rsid w:val="00B032A1"/>
    <w:rsid w:val="00B03337"/>
    <w:rsid w:val="00B03561"/>
    <w:rsid w:val="00B036C3"/>
    <w:rsid w:val="00B037EF"/>
    <w:rsid w:val="00B039EC"/>
    <w:rsid w:val="00B039F4"/>
    <w:rsid w:val="00B03B14"/>
    <w:rsid w:val="00B03B36"/>
    <w:rsid w:val="00B03BAE"/>
    <w:rsid w:val="00B03D7C"/>
    <w:rsid w:val="00B03DE4"/>
    <w:rsid w:val="00B03E83"/>
    <w:rsid w:val="00B03EE0"/>
    <w:rsid w:val="00B03FA0"/>
    <w:rsid w:val="00B03FE8"/>
    <w:rsid w:val="00B0403A"/>
    <w:rsid w:val="00B041EE"/>
    <w:rsid w:val="00B042AC"/>
    <w:rsid w:val="00B04382"/>
    <w:rsid w:val="00B04388"/>
    <w:rsid w:val="00B0440A"/>
    <w:rsid w:val="00B04561"/>
    <w:rsid w:val="00B046BD"/>
    <w:rsid w:val="00B047FC"/>
    <w:rsid w:val="00B0484D"/>
    <w:rsid w:val="00B04A8E"/>
    <w:rsid w:val="00B04AF4"/>
    <w:rsid w:val="00B04CEB"/>
    <w:rsid w:val="00B04D71"/>
    <w:rsid w:val="00B04EBF"/>
    <w:rsid w:val="00B04F7A"/>
    <w:rsid w:val="00B05209"/>
    <w:rsid w:val="00B05396"/>
    <w:rsid w:val="00B053D6"/>
    <w:rsid w:val="00B05417"/>
    <w:rsid w:val="00B0541B"/>
    <w:rsid w:val="00B05445"/>
    <w:rsid w:val="00B05504"/>
    <w:rsid w:val="00B057F1"/>
    <w:rsid w:val="00B0586B"/>
    <w:rsid w:val="00B058F5"/>
    <w:rsid w:val="00B0594C"/>
    <w:rsid w:val="00B059EE"/>
    <w:rsid w:val="00B05AA0"/>
    <w:rsid w:val="00B05D7F"/>
    <w:rsid w:val="00B05E96"/>
    <w:rsid w:val="00B06296"/>
    <w:rsid w:val="00B062A3"/>
    <w:rsid w:val="00B063A0"/>
    <w:rsid w:val="00B0640F"/>
    <w:rsid w:val="00B06505"/>
    <w:rsid w:val="00B065A2"/>
    <w:rsid w:val="00B06859"/>
    <w:rsid w:val="00B06977"/>
    <w:rsid w:val="00B06AF9"/>
    <w:rsid w:val="00B06C52"/>
    <w:rsid w:val="00B07183"/>
    <w:rsid w:val="00B07259"/>
    <w:rsid w:val="00B07456"/>
    <w:rsid w:val="00B0746D"/>
    <w:rsid w:val="00B074E3"/>
    <w:rsid w:val="00B077FC"/>
    <w:rsid w:val="00B078CA"/>
    <w:rsid w:val="00B07984"/>
    <w:rsid w:val="00B079FA"/>
    <w:rsid w:val="00B07B07"/>
    <w:rsid w:val="00B07BAA"/>
    <w:rsid w:val="00B07D4C"/>
    <w:rsid w:val="00B1004A"/>
    <w:rsid w:val="00B1011F"/>
    <w:rsid w:val="00B1028D"/>
    <w:rsid w:val="00B102AA"/>
    <w:rsid w:val="00B102F8"/>
    <w:rsid w:val="00B1042E"/>
    <w:rsid w:val="00B1058C"/>
    <w:rsid w:val="00B105B9"/>
    <w:rsid w:val="00B105BF"/>
    <w:rsid w:val="00B105CA"/>
    <w:rsid w:val="00B10770"/>
    <w:rsid w:val="00B1085E"/>
    <w:rsid w:val="00B10A7D"/>
    <w:rsid w:val="00B10BC5"/>
    <w:rsid w:val="00B10C3B"/>
    <w:rsid w:val="00B11045"/>
    <w:rsid w:val="00B110C4"/>
    <w:rsid w:val="00B1124F"/>
    <w:rsid w:val="00B11325"/>
    <w:rsid w:val="00B114B5"/>
    <w:rsid w:val="00B11684"/>
    <w:rsid w:val="00B117BB"/>
    <w:rsid w:val="00B1182C"/>
    <w:rsid w:val="00B119CA"/>
    <w:rsid w:val="00B119E8"/>
    <w:rsid w:val="00B11B56"/>
    <w:rsid w:val="00B11C07"/>
    <w:rsid w:val="00B11D05"/>
    <w:rsid w:val="00B11EFC"/>
    <w:rsid w:val="00B11F76"/>
    <w:rsid w:val="00B12092"/>
    <w:rsid w:val="00B12271"/>
    <w:rsid w:val="00B122B2"/>
    <w:rsid w:val="00B1235F"/>
    <w:rsid w:val="00B123C2"/>
    <w:rsid w:val="00B1246C"/>
    <w:rsid w:val="00B124CD"/>
    <w:rsid w:val="00B12708"/>
    <w:rsid w:val="00B12892"/>
    <w:rsid w:val="00B128EA"/>
    <w:rsid w:val="00B129EB"/>
    <w:rsid w:val="00B12B09"/>
    <w:rsid w:val="00B12E19"/>
    <w:rsid w:val="00B12F1C"/>
    <w:rsid w:val="00B12F37"/>
    <w:rsid w:val="00B12F9F"/>
    <w:rsid w:val="00B13078"/>
    <w:rsid w:val="00B130AA"/>
    <w:rsid w:val="00B130D6"/>
    <w:rsid w:val="00B1316B"/>
    <w:rsid w:val="00B13313"/>
    <w:rsid w:val="00B13387"/>
    <w:rsid w:val="00B13393"/>
    <w:rsid w:val="00B13528"/>
    <w:rsid w:val="00B13533"/>
    <w:rsid w:val="00B1355F"/>
    <w:rsid w:val="00B13824"/>
    <w:rsid w:val="00B13952"/>
    <w:rsid w:val="00B139A1"/>
    <w:rsid w:val="00B13A42"/>
    <w:rsid w:val="00B13B87"/>
    <w:rsid w:val="00B13C0A"/>
    <w:rsid w:val="00B13CB7"/>
    <w:rsid w:val="00B13F4E"/>
    <w:rsid w:val="00B13F5D"/>
    <w:rsid w:val="00B13F97"/>
    <w:rsid w:val="00B13FCC"/>
    <w:rsid w:val="00B14167"/>
    <w:rsid w:val="00B141B5"/>
    <w:rsid w:val="00B141C5"/>
    <w:rsid w:val="00B142E9"/>
    <w:rsid w:val="00B143C7"/>
    <w:rsid w:val="00B143DD"/>
    <w:rsid w:val="00B1447F"/>
    <w:rsid w:val="00B144CF"/>
    <w:rsid w:val="00B149D6"/>
    <w:rsid w:val="00B149E6"/>
    <w:rsid w:val="00B14A90"/>
    <w:rsid w:val="00B14B91"/>
    <w:rsid w:val="00B14B9C"/>
    <w:rsid w:val="00B14C1E"/>
    <w:rsid w:val="00B14EB2"/>
    <w:rsid w:val="00B14EF7"/>
    <w:rsid w:val="00B14FF8"/>
    <w:rsid w:val="00B1511E"/>
    <w:rsid w:val="00B151C5"/>
    <w:rsid w:val="00B15269"/>
    <w:rsid w:val="00B1527B"/>
    <w:rsid w:val="00B155AB"/>
    <w:rsid w:val="00B15615"/>
    <w:rsid w:val="00B15722"/>
    <w:rsid w:val="00B15A47"/>
    <w:rsid w:val="00B15AB2"/>
    <w:rsid w:val="00B15AEF"/>
    <w:rsid w:val="00B15D25"/>
    <w:rsid w:val="00B15D89"/>
    <w:rsid w:val="00B15DAD"/>
    <w:rsid w:val="00B15E0D"/>
    <w:rsid w:val="00B15FC1"/>
    <w:rsid w:val="00B160B9"/>
    <w:rsid w:val="00B16193"/>
    <w:rsid w:val="00B16202"/>
    <w:rsid w:val="00B16263"/>
    <w:rsid w:val="00B1634E"/>
    <w:rsid w:val="00B16509"/>
    <w:rsid w:val="00B165D7"/>
    <w:rsid w:val="00B16630"/>
    <w:rsid w:val="00B16973"/>
    <w:rsid w:val="00B16990"/>
    <w:rsid w:val="00B169A8"/>
    <w:rsid w:val="00B169AA"/>
    <w:rsid w:val="00B16A56"/>
    <w:rsid w:val="00B16AC2"/>
    <w:rsid w:val="00B16C64"/>
    <w:rsid w:val="00B16E02"/>
    <w:rsid w:val="00B16E5A"/>
    <w:rsid w:val="00B16EE1"/>
    <w:rsid w:val="00B16EEE"/>
    <w:rsid w:val="00B16F1B"/>
    <w:rsid w:val="00B16FA0"/>
    <w:rsid w:val="00B16FAB"/>
    <w:rsid w:val="00B1703B"/>
    <w:rsid w:val="00B170A9"/>
    <w:rsid w:val="00B17163"/>
    <w:rsid w:val="00B172FB"/>
    <w:rsid w:val="00B17554"/>
    <w:rsid w:val="00B176A1"/>
    <w:rsid w:val="00B17753"/>
    <w:rsid w:val="00B1775B"/>
    <w:rsid w:val="00B1782C"/>
    <w:rsid w:val="00B178DE"/>
    <w:rsid w:val="00B17A92"/>
    <w:rsid w:val="00B17B32"/>
    <w:rsid w:val="00B17C9B"/>
    <w:rsid w:val="00B17CB6"/>
    <w:rsid w:val="00B17EFF"/>
    <w:rsid w:val="00B2037D"/>
    <w:rsid w:val="00B2039A"/>
    <w:rsid w:val="00B20543"/>
    <w:rsid w:val="00B205BE"/>
    <w:rsid w:val="00B2074B"/>
    <w:rsid w:val="00B2091C"/>
    <w:rsid w:val="00B20B37"/>
    <w:rsid w:val="00B20BE6"/>
    <w:rsid w:val="00B20D0C"/>
    <w:rsid w:val="00B20D9C"/>
    <w:rsid w:val="00B20DBD"/>
    <w:rsid w:val="00B20F30"/>
    <w:rsid w:val="00B20FAD"/>
    <w:rsid w:val="00B20FCC"/>
    <w:rsid w:val="00B2168C"/>
    <w:rsid w:val="00B21692"/>
    <w:rsid w:val="00B21781"/>
    <w:rsid w:val="00B217D0"/>
    <w:rsid w:val="00B21869"/>
    <w:rsid w:val="00B21871"/>
    <w:rsid w:val="00B2187F"/>
    <w:rsid w:val="00B21BB4"/>
    <w:rsid w:val="00B21C5E"/>
    <w:rsid w:val="00B21CF4"/>
    <w:rsid w:val="00B21D82"/>
    <w:rsid w:val="00B21DE9"/>
    <w:rsid w:val="00B21F1C"/>
    <w:rsid w:val="00B21F42"/>
    <w:rsid w:val="00B21F74"/>
    <w:rsid w:val="00B220EE"/>
    <w:rsid w:val="00B222C5"/>
    <w:rsid w:val="00B2251F"/>
    <w:rsid w:val="00B22660"/>
    <w:rsid w:val="00B226E8"/>
    <w:rsid w:val="00B22867"/>
    <w:rsid w:val="00B22957"/>
    <w:rsid w:val="00B229C1"/>
    <w:rsid w:val="00B22A63"/>
    <w:rsid w:val="00B22CCF"/>
    <w:rsid w:val="00B22E6B"/>
    <w:rsid w:val="00B22F67"/>
    <w:rsid w:val="00B23471"/>
    <w:rsid w:val="00B234F8"/>
    <w:rsid w:val="00B2356E"/>
    <w:rsid w:val="00B235AA"/>
    <w:rsid w:val="00B23704"/>
    <w:rsid w:val="00B237A4"/>
    <w:rsid w:val="00B2385E"/>
    <w:rsid w:val="00B23968"/>
    <w:rsid w:val="00B23998"/>
    <w:rsid w:val="00B23ACE"/>
    <w:rsid w:val="00B23AE7"/>
    <w:rsid w:val="00B23C85"/>
    <w:rsid w:val="00B23CE0"/>
    <w:rsid w:val="00B23CEF"/>
    <w:rsid w:val="00B23D33"/>
    <w:rsid w:val="00B23EA0"/>
    <w:rsid w:val="00B240DF"/>
    <w:rsid w:val="00B24134"/>
    <w:rsid w:val="00B2423F"/>
    <w:rsid w:val="00B24308"/>
    <w:rsid w:val="00B243F4"/>
    <w:rsid w:val="00B24424"/>
    <w:rsid w:val="00B24625"/>
    <w:rsid w:val="00B24675"/>
    <w:rsid w:val="00B2496C"/>
    <w:rsid w:val="00B24A3A"/>
    <w:rsid w:val="00B24AAE"/>
    <w:rsid w:val="00B24D42"/>
    <w:rsid w:val="00B24EF5"/>
    <w:rsid w:val="00B24F6D"/>
    <w:rsid w:val="00B2535D"/>
    <w:rsid w:val="00B2535F"/>
    <w:rsid w:val="00B253A0"/>
    <w:rsid w:val="00B25705"/>
    <w:rsid w:val="00B25715"/>
    <w:rsid w:val="00B25767"/>
    <w:rsid w:val="00B25790"/>
    <w:rsid w:val="00B257B1"/>
    <w:rsid w:val="00B25937"/>
    <w:rsid w:val="00B259BA"/>
    <w:rsid w:val="00B259E2"/>
    <w:rsid w:val="00B25A7D"/>
    <w:rsid w:val="00B25B2F"/>
    <w:rsid w:val="00B25B3D"/>
    <w:rsid w:val="00B25B84"/>
    <w:rsid w:val="00B25CE3"/>
    <w:rsid w:val="00B25D1B"/>
    <w:rsid w:val="00B25D7C"/>
    <w:rsid w:val="00B26045"/>
    <w:rsid w:val="00B2635E"/>
    <w:rsid w:val="00B263C8"/>
    <w:rsid w:val="00B263CB"/>
    <w:rsid w:val="00B26434"/>
    <w:rsid w:val="00B2644E"/>
    <w:rsid w:val="00B26489"/>
    <w:rsid w:val="00B265B1"/>
    <w:rsid w:val="00B26601"/>
    <w:rsid w:val="00B267A9"/>
    <w:rsid w:val="00B268AF"/>
    <w:rsid w:val="00B26B5F"/>
    <w:rsid w:val="00B26BA5"/>
    <w:rsid w:val="00B26C08"/>
    <w:rsid w:val="00B26C85"/>
    <w:rsid w:val="00B26C8D"/>
    <w:rsid w:val="00B26D48"/>
    <w:rsid w:val="00B26E28"/>
    <w:rsid w:val="00B26EFA"/>
    <w:rsid w:val="00B26FB6"/>
    <w:rsid w:val="00B26FE8"/>
    <w:rsid w:val="00B27009"/>
    <w:rsid w:val="00B27129"/>
    <w:rsid w:val="00B27174"/>
    <w:rsid w:val="00B273C0"/>
    <w:rsid w:val="00B273F9"/>
    <w:rsid w:val="00B27571"/>
    <w:rsid w:val="00B275D8"/>
    <w:rsid w:val="00B276B4"/>
    <w:rsid w:val="00B27896"/>
    <w:rsid w:val="00B279FD"/>
    <w:rsid w:val="00B27A94"/>
    <w:rsid w:val="00B27B0E"/>
    <w:rsid w:val="00B27DCC"/>
    <w:rsid w:val="00B27E79"/>
    <w:rsid w:val="00B27EFD"/>
    <w:rsid w:val="00B27F5D"/>
    <w:rsid w:val="00B3017A"/>
    <w:rsid w:val="00B301B3"/>
    <w:rsid w:val="00B302BF"/>
    <w:rsid w:val="00B3033E"/>
    <w:rsid w:val="00B303DA"/>
    <w:rsid w:val="00B30415"/>
    <w:rsid w:val="00B30645"/>
    <w:rsid w:val="00B3087B"/>
    <w:rsid w:val="00B309F0"/>
    <w:rsid w:val="00B30A85"/>
    <w:rsid w:val="00B30ADB"/>
    <w:rsid w:val="00B30C3E"/>
    <w:rsid w:val="00B30CEA"/>
    <w:rsid w:val="00B30D72"/>
    <w:rsid w:val="00B30DD7"/>
    <w:rsid w:val="00B30EEC"/>
    <w:rsid w:val="00B310F1"/>
    <w:rsid w:val="00B31124"/>
    <w:rsid w:val="00B313EF"/>
    <w:rsid w:val="00B313F4"/>
    <w:rsid w:val="00B313F7"/>
    <w:rsid w:val="00B31729"/>
    <w:rsid w:val="00B31735"/>
    <w:rsid w:val="00B317BD"/>
    <w:rsid w:val="00B31807"/>
    <w:rsid w:val="00B3183A"/>
    <w:rsid w:val="00B318FA"/>
    <w:rsid w:val="00B319AB"/>
    <w:rsid w:val="00B319E6"/>
    <w:rsid w:val="00B31A08"/>
    <w:rsid w:val="00B31A19"/>
    <w:rsid w:val="00B31C47"/>
    <w:rsid w:val="00B31D3A"/>
    <w:rsid w:val="00B31E56"/>
    <w:rsid w:val="00B31FD3"/>
    <w:rsid w:val="00B32130"/>
    <w:rsid w:val="00B322A3"/>
    <w:rsid w:val="00B32566"/>
    <w:rsid w:val="00B3258D"/>
    <w:rsid w:val="00B325AB"/>
    <w:rsid w:val="00B32626"/>
    <w:rsid w:val="00B32917"/>
    <w:rsid w:val="00B32975"/>
    <w:rsid w:val="00B32AFA"/>
    <w:rsid w:val="00B32B49"/>
    <w:rsid w:val="00B32BFF"/>
    <w:rsid w:val="00B32CAC"/>
    <w:rsid w:val="00B32D22"/>
    <w:rsid w:val="00B32D39"/>
    <w:rsid w:val="00B32D60"/>
    <w:rsid w:val="00B32D67"/>
    <w:rsid w:val="00B32F3C"/>
    <w:rsid w:val="00B33126"/>
    <w:rsid w:val="00B3332C"/>
    <w:rsid w:val="00B3367B"/>
    <w:rsid w:val="00B3371B"/>
    <w:rsid w:val="00B33756"/>
    <w:rsid w:val="00B33C0D"/>
    <w:rsid w:val="00B33D06"/>
    <w:rsid w:val="00B33D44"/>
    <w:rsid w:val="00B341A0"/>
    <w:rsid w:val="00B341E8"/>
    <w:rsid w:val="00B341F9"/>
    <w:rsid w:val="00B3425E"/>
    <w:rsid w:val="00B344CD"/>
    <w:rsid w:val="00B34500"/>
    <w:rsid w:val="00B345F3"/>
    <w:rsid w:val="00B34643"/>
    <w:rsid w:val="00B34669"/>
    <w:rsid w:val="00B346A7"/>
    <w:rsid w:val="00B346D0"/>
    <w:rsid w:val="00B347DC"/>
    <w:rsid w:val="00B348DA"/>
    <w:rsid w:val="00B348FD"/>
    <w:rsid w:val="00B34B54"/>
    <w:rsid w:val="00B34B8C"/>
    <w:rsid w:val="00B34CEF"/>
    <w:rsid w:val="00B34D6C"/>
    <w:rsid w:val="00B34EA9"/>
    <w:rsid w:val="00B34F03"/>
    <w:rsid w:val="00B34F21"/>
    <w:rsid w:val="00B35015"/>
    <w:rsid w:val="00B354F4"/>
    <w:rsid w:val="00B35503"/>
    <w:rsid w:val="00B35505"/>
    <w:rsid w:val="00B357D7"/>
    <w:rsid w:val="00B35866"/>
    <w:rsid w:val="00B359E6"/>
    <w:rsid w:val="00B35A91"/>
    <w:rsid w:val="00B35B09"/>
    <w:rsid w:val="00B35BC1"/>
    <w:rsid w:val="00B35BE5"/>
    <w:rsid w:val="00B35C5B"/>
    <w:rsid w:val="00B35E57"/>
    <w:rsid w:val="00B35F76"/>
    <w:rsid w:val="00B36174"/>
    <w:rsid w:val="00B361A5"/>
    <w:rsid w:val="00B36284"/>
    <w:rsid w:val="00B3628F"/>
    <w:rsid w:val="00B362CB"/>
    <w:rsid w:val="00B36405"/>
    <w:rsid w:val="00B36673"/>
    <w:rsid w:val="00B3668D"/>
    <w:rsid w:val="00B366B9"/>
    <w:rsid w:val="00B369E6"/>
    <w:rsid w:val="00B36A6B"/>
    <w:rsid w:val="00B36C2D"/>
    <w:rsid w:val="00B36D55"/>
    <w:rsid w:val="00B36E1C"/>
    <w:rsid w:val="00B36E2B"/>
    <w:rsid w:val="00B36FDD"/>
    <w:rsid w:val="00B36FE3"/>
    <w:rsid w:val="00B3705E"/>
    <w:rsid w:val="00B370BC"/>
    <w:rsid w:val="00B370F1"/>
    <w:rsid w:val="00B37503"/>
    <w:rsid w:val="00B37553"/>
    <w:rsid w:val="00B3776B"/>
    <w:rsid w:val="00B37A54"/>
    <w:rsid w:val="00B37A78"/>
    <w:rsid w:val="00B37E25"/>
    <w:rsid w:val="00B37E9D"/>
    <w:rsid w:val="00B37EBC"/>
    <w:rsid w:val="00B400E8"/>
    <w:rsid w:val="00B4017B"/>
    <w:rsid w:val="00B401D1"/>
    <w:rsid w:val="00B40283"/>
    <w:rsid w:val="00B4031C"/>
    <w:rsid w:val="00B4035C"/>
    <w:rsid w:val="00B40568"/>
    <w:rsid w:val="00B40717"/>
    <w:rsid w:val="00B4074C"/>
    <w:rsid w:val="00B407C4"/>
    <w:rsid w:val="00B408DB"/>
    <w:rsid w:val="00B408F8"/>
    <w:rsid w:val="00B40C1E"/>
    <w:rsid w:val="00B40C73"/>
    <w:rsid w:val="00B40D99"/>
    <w:rsid w:val="00B40DD4"/>
    <w:rsid w:val="00B413F0"/>
    <w:rsid w:val="00B41402"/>
    <w:rsid w:val="00B41686"/>
    <w:rsid w:val="00B41A45"/>
    <w:rsid w:val="00B41A82"/>
    <w:rsid w:val="00B41B74"/>
    <w:rsid w:val="00B41C49"/>
    <w:rsid w:val="00B42025"/>
    <w:rsid w:val="00B42130"/>
    <w:rsid w:val="00B42293"/>
    <w:rsid w:val="00B423ED"/>
    <w:rsid w:val="00B4241F"/>
    <w:rsid w:val="00B42495"/>
    <w:rsid w:val="00B424F3"/>
    <w:rsid w:val="00B428AC"/>
    <w:rsid w:val="00B42A78"/>
    <w:rsid w:val="00B42AF2"/>
    <w:rsid w:val="00B42B87"/>
    <w:rsid w:val="00B42B88"/>
    <w:rsid w:val="00B42BAA"/>
    <w:rsid w:val="00B42BBF"/>
    <w:rsid w:val="00B42C13"/>
    <w:rsid w:val="00B42FFB"/>
    <w:rsid w:val="00B430CE"/>
    <w:rsid w:val="00B430F6"/>
    <w:rsid w:val="00B431F2"/>
    <w:rsid w:val="00B432A0"/>
    <w:rsid w:val="00B432D5"/>
    <w:rsid w:val="00B434B4"/>
    <w:rsid w:val="00B43538"/>
    <w:rsid w:val="00B43558"/>
    <w:rsid w:val="00B436E2"/>
    <w:rsid w:val="00B43707"/>
    <w:rsid w:val="00B43726"/>
    <w:rsid w:val="00B43A3B"/>
    <w:rsid w:val="00B43A62"/>
    <w:rsid w:val="00B43B35"/>
    <w:rsid w:val="00B43B80"/>
    <w:rsid w:val="00B43D0A"/>
    <w:rsid w:val="00B442AE"/>
    <w:rsid w:val="00B444D5"/>
    <w:rsid w:val="00B445B2"/>
    <w:rsid w:val="00B44824"/>
    <w:rsid w:val="00B44845"/>
    <w:rsid w:val="00B44FAC"/>
    <w:rsid w:val="00B44FB5"/>
    <w:rsid w:val="00B4510C"/>
    <w:rsid w:val="00B45281"/>
    <w:rsid w:val="00B4540A"/>
    <w:rsid w:val="00B45490"/>
    <w:rsid w:val="00B45655"/>
    <w:rsid w:val="00B45792"/>
    <w:rsid w:val="00B457D2"/>
    <w:rsid w:val="00B45A98"/>
    <w:rsid w:val="00B45B15"/>
    <w:rsid w:val="00B45BC6"/>
    <w:rsid w:val="00B45D4F"/>
    <w:rsid w:val="00B45DE7"/>
    <w:rsid w:val="00B45E0B"/>
    <w:rsid w:val="00B45E2A"/>
    <w:rsid w:val="00B45E5B"/>
    <w:rsid w:val="00B45EDC"/>
    <w:rsid w:val="00B45F23"/>
    <w:rsid w:val="00B45F6B"/>
    <w:rsid w:val="00B46234"/>
    <w:rsid w:val="00B46377"/>
    <w:rsid w:val="00B463BC"/>
    <w:rsid w:val="00B463CD"/>
    <w:rsid w:val="00B464E1"/>
    <w:rsid w:val="00B4664E"/>
    <w:rsid w:val="00B4667B"/>
    <w:rsid w:val="00B466B4"/>
    <w:rsid w:val="00B467A7"/>
    <w:rsid w:val="00B467D7"/>
    <w:rsid w:val="00B46823"/>
    <w:rsid w:val="00B468CD"/>
    <w:rsid w:val="00B46936"/>
    <w:rsid w:val="00B469AF"/>
    <w:rsid w:val="00B46DAE"/>
    <w:rsid w:val="00B46EF4"/>
    <w:rsid w:val="00B4720B"/>
    <w:rsid w:val="00B47314"/>
    <w:rsid w:val="00B4737E"/>
    <w:rsid w:val="00B473BD"/>
    <w:rsid w:val="00B473D1"/>
    <w:rsid w:val="00B47567"/>
    <w:rsid w:val="00B475D5"/>
    <w:rsid w:val="00B47610"/>
    <w:rsid w:val="00B47684"/>
    <w:rsid w:val="00B47768"/>
    <w:rsid w:val="00B478BD"/>
    <w:rsid w:val="00B478C2"/>
    <w:rsid w:val="00B47983"/>
    <w:rsid w:val="00B47A1A"/>
    <w:rsid w:val="00B47A63"/>
    <w:rsid w:val="00B47ACD"/>
    <w:rsid w:val="00B47BC5"/>
    <w:rsid w:val="00B47BD3"/>
    <w:rsid w:val="00B47BE8"/>
    <w:rsid w:val="00B47DDC"/>
    <w:rsid w:val="00B47E3D"/>
    <w:rsid w:val="00B47E47"/>
    <w:rsid w:val="00B50053"/>
    <w:rsid w:val="00B500C1"/>
    <w:rsid w:val="00B501D8"/>
    <w:rsid w:val="00B502E6"/>
    <w:rsid w:val="00B50363"/>
    <w:rsid w:val="00B5037A"/>
    <w:rsid w:val="00B50433"/>
    <w:rsid w:val="00B50437"/>
    <w:rsid w:val="00B5052C"/>
    <w:rsid w:val="00B50686"/>
    <w:rsid w:val="00B50736"/>
    <w:rsid w:val="00B5077B"/>
    <w:rsid w:val="00B50873"/>
    <w:rsid w:val="00B50A7E"/>
    <w:rsid w:val="00B50AE5"/>
    <w:rsid w:val="00B50CCF"/>
    <w:rsid w:val="00B50E73"/>
    <w:rsid w:val="00B50E81"/>
    <w:rsid w:val="00B50FEF"/>
    <w:rsid w:val="00B511D3"/>
    <w:rsid w:val="00B511FA"/>
    <w:rsid w:val="00B51225"/>
    <w:rsid w:val="00B51292"/>
    <w:rsid w:val="00B51502"/>
    <w:rsid w:val="00B5154C"/>
    <w:rsid w:val="00B515AD"/>
    <w:rsid w:val="00B5181C"/>
    <w:rsid w:val="00B519C0"/>
    <w:rsid w:val="00B51AC9"/>
    <w:rsid w:val="00B51B16"/>
    <w:rsid w:val="00B51B4C"/>
    <w:rsid w:val="00B51B8A"/>
    <w:rsid w:val="00B51BB8"/>
    <w:rsid w:val="00B51C38"/>
    <w:rsid w:val="00B51E8F"/>
    <w:rsid w:val="00B51EC4"/>
    <w:rsid w:val="00B51FA5"/>
    <w:rsid w:val="00B51FBF"/>
    <w:rsid w:val="00B52001"/>
    <w:rsid w:val="00B52002"/>
    <w:rsid w:val="00B520A6"/>
    <w:rsid w:val="00B5227C"/>
    <w:rsid w:val="00B522C8"/>
    <w:rsid w:val="00B5235D"/>
    <w:rsid w:val="00B523E7"/>
    <w:rsid w:val="00B524DA"/>
    <w:rsid w:val="00B52552"/>
    <w:rsid w:val="00B525ED"/>
    <w:rsid w:val="00B5291E"/>
    <w:rsid w:val="00B5293D"/>
    <w:rsid w:val="00B52BD5"/>
    <w:rsid w:val="00B52F39"/>
    <w:rsid w:val="00B52F51"/>
    <w:rsid w:val="00B530F4"/>
    <w:rsid w:val="00B53183"/>
    <w:rsid w:val="00B532A7"/>
    <w:rsid w:val="00B533BC"/>
    <w:rsid w:val="00B53455"/>
    <w:rsid w:val="00B5348B"/>
    <w:rsid w:val="00B534C3"/>
    <w:rsid w:val="00B534E2"/>
    <w:rsid w:val="00B536F2"/>
    <w:rsid w:val="00B537C1"/>
    <w:rsid w:val="00B538B8"/>
    <w:rsid w:val="00B53901"/>
    <w:rsid w:val="00B53A06"/>
    <w:rsid w:val="00B53A91"/>
    <w:rsid w:val="00B53BEC"/>
    <w:rsid w:val="00B53CC3"/>
    <w:rsid w:val="00B53D3B"/>
    <w:rsid w:val="00B53DBE"/>
    <w:rsid w:val="00B53FCB"/>
    <w:rsid w:val="00B540C4"/>
    <w:rsid w:val="00B54142"/>
    <w:rsid w:val="00B54176"/>
    <w:rsid w:val="00B541A5"/>
    <w:rsid w:val="00B54231"/>
    <w:rsid w:val="00B54393"/>
    <w:rsid w:val="00B54439"/>
    <w:rsid w:val="00B544D2"/>
    <w:rsid w:val="00B544DD"/>
    <w:rsid w:val="00B54502"/>
    <w:rsid w:val="00B54563"/>
    <w:rsid w:val="00B545B6"/>
    <w:rsid w:val="00B54710"/>
    <w:rsid w:val="00B54931"/>
    <w:rsid w:val="00B5499B"/>
    <w:rsid w:val="00B549AF"/>
    <w:rsid w:val="00B54ADF"/>
    <w:rsid w:val="00B54C12"/>
    <w:rsid w:val="00B54CB9"/>
    <w:rsid w:val="00B54DBC"/>
    <w:rsid w:val="00B54F26"/>
    <w:rsid w:val="00B5502C"/>
    <w:rsid w:val="00B55046"/>
    <w:rsid w:val="00B55056"/>
    <w:rsid w:val="00B5506C"/>
    <w:rsid w:val="00B55115"/>
    <w:rsid w:val="00B552DF"/>
    <w:rsid w:val="00B5536B"/>
    <w:rsid w:val="00B5538D"/>
    <w:rsid w:val="00B5550A"/>
    <w:rsid w:val="00B55677"/>
    <w:rsid w:val="00B556EF"/>
    <w:rsid w:val="00B55728"/>
    <w:rsid w:val="00B5572C"/>
    <w:rsid w:val="00B55784"/>
    <w:rsid w:val="00B557CB"/>
    <w:rsid w:val="00B557F5"/>
    <w:rsid w:val="00B55964"/>
    <w:rsid w:val="00B55A10"/>
    <w:rsid w:val="00B55A40"/>
    <w:rsid w:val="00B55B1E"/>
    <w:rsid w:val="00B55C66"/>
    <w:rsid w:val="00B55C89"/>
    <w:rsid w:val="00B5606E"/>
    <w:rsid w:val="00B560C5"/>
    <w:rsid w:val="00B56105"/>
    <w:rsid w:val="00B565C2"/>
    <w:rsid w:val="00B565E9"/>
    <w:rsid w:val="00B5663E"/>
    <w:rsid w:val="00B5674E"/>
    <w:rsid w:val="00B5678E"/>
    <w:rsid w:val="00B56BA5"/>
    <w:rsid w:val="00B56D49"/>
    <w:rsid w:val="00B56DDE"/>
    <w:rsid w:val="00B57056"/>
    <w:rsid w:val="00B57200"/>
    <w:rsid w:val="00B57241"/>
    <w:rsid w:val="00B57337"/>
    <w:rsid w:val="00B5744E"/>
    <w:rsid w:val="00B574C7"/>
    <w:rsid w:val="00B57556"/>
    <w:rsid w:val="00B57575"/>
    <w:rsid w:val="00B57592"/>
    <w:rsid w:val="00B57640"/>
    <w:rsid w:val="00B57752"/>
    <w:rsid w:val="00B57951"/>
    <w:rsid w:val="00B5796D"/>
    <w:rsid w:val="00B57A29"/>
    <w:rsid w:val="00B57B1C"/>
    <w:rsid w:val="00B57DA7"/>
    <w:rsid w:val="00B57E77"/>
    <w:rsid w:val="00B57FC2"/>
    <w:rsid w:val="00B5DD90"/>
    <w:rsid w:val="00B60125"/>
    <w:rsid w:val="00B602A3"/>
    <w:rsid w:val="00B604BF"/>
    <w:rsid w:val="00B60829"/>
    <w:rsid w:val="00B60943"/>
    <w:rsid w:val="00B6095E"/>
    <w:rsid w:val="00B609D2"/>
    <w:rsid w:val="00B60AA5"/>
    <w:rsid w:val="00B60B4D"/>
    <w:rsid w:val="00B60C89"/>
    <w:rsid w:val="00B60F02"/>
    <w:rsid w:val="00B60F75"/>
    <w:rsid w:val="00B60FE9"/>
    <w:rsid w:val="00B61012"/>
    <w:rsid w:val="00B61052"/>
    <w:rsid w:val="00B61068"/>
    <w:rsid w:val="00B6124D"/>
    <w:rsid w:val="00B612BF"/>
    <w:rsid w:val="00B61412"/>
    <w:rsid w:val="00B61492"/>
    <w:rsid w:val="00B615ED"/>
    <w:rsid w:val="00B6165E"/>
    <w:rsid w:val="00B616DF"/>
    <w:rsid w:val="00B61749"/>
    <w:rsid w:val="00B61751"/>
    <w:rsid w:val="00B61A39"/>
    <w:rsid w:val="00B61A72"/>
    <w:rsid w:val="00B61A8C"/>
    <w:rsid w:val="00B61AA4"/>
    <w:rsid w:val="00B61EAA"/>
    <w:rsid w:val="00B61F1B"/>
    <w:rsid w:val="00B61F54"/>
    <w:rsid w:val="00B61FDB"/>
    <w:rsid w:val="00B62022"/>
    <w:rsid w:val="00B6213C"/>
    <w:rsid w:val="00B622E1"/>
    <w:rsid w:val="00B62447"/>
    <w:rsid w:val="00B62717"/>
    <w:rsid w:val="00B628F6"/>
    <w:rsid w:val="00B6299A"/>
    <w:rsid w:val="00B6299D"/>
    <w:rsid w:val="00B629BD"/>
    <w:rsid w:val="00B629E6"/>
    <w:rsid w:val="00B62A0F"/>
    <w:rsid w:val="00B62A28"/>
    <w:rsid w:val="00B62AA3"/>
    <w:rsid w:val="00B62B26"/>
    <w:rsid w:val="00B62C3F"/>
    <w:rsid w:val="00B62C75"/>
    <w:rsid w:val="00B62C9C"/>
    <w:rsid w:val="00B62E90"/>
    <w:rsid w:val="00B62ECA"/>
    <w:rsid w:val="00B62F0E"/>
    <w:rsid w:val="00B630D0"/>
    <w:rsid w:val="00B63119"/>
    <w:rsid w:val="00B63159"/>
    <w:rsid w:val="00B63324"/>
    <w:rsid w:val="00B6340E"/>
    <w:rsid w:val="00B63443"/>
    <w:rsid w:val="00B6352D"/>
    <w:rsid w:val="00B6358A"/>
    <w:rsid w:val="00B63677"/>
    <w:rsid w:val="00B636BD"/>
    <w:rsid w:val="00B6370B"/>
    <w:rsid w:val="00B637DD"/>
    <w:rsid w:val="00B6386C"/>
    <w:rsid w:val="00B63A09"/>
    <w:rsid w:val="00B63A0B"/>
    <w:rsid w:val="00B63B8D"/>
    <w:rsid w:val="00B63FA2"/>
    <w:rsid w:val="00B63FAC"/>
    <w:rsid w:val="00B64191"/>
    <w:rsid w:val="00B6447E"/>
    <w:rsid w:val="00B648A5"/>
    <w:rsid w:val="00B6494F"/>
    <w:rsid w:val="00B649BF"/>
    <w:rsid w:val="00B64D64"/>
    <w:rsid w:val="00B64EBC"/>
    <w:rsid w:val="00B64F28"/>
    <w:rsid w:val="00B64F55"/>
    <w:rsid w:val="00B64FA7"/>
    <w:rsid w:val="00B64FBA"/>
    <w:rsid w:val="00B650D7"/>
    <w:rsid w:val="00B65209"/>
    <w:rsid w:val="00B652D3"/>
    <w:rsid w:val="00B65309"/>
    <w:rsid w:val="00B65356"/>
    <w:rsid w:val="00B65608"/>
    <w:rsid w:val="00B658AE"/>
    <w:rsid w:val="00B65C4E"/>
    <w:rsid w:val="00B65C60"/>
    <w:rsid w:val="00B65C6D"/>
    <w:rsid w:val="00B6605F"/>
    <w:rsid w:val="00B6609A"/>
    <w:rsid w:val="00B660D2"/>
    <w:rsid w:val="00B66161"/>
    <w:rsid w:val="00B662FF"/>
    <w:rsid w:val="00B66327"/>
    <w:rsid w:val="00B66477"/>
    <w:rsid w:val="00B664F0"/>
    <w:rsid w:val="00B665EA"/>
    <w:rsid w:val="00B66823"/>
    <w:rsid w:val="00B66878"/>
    <w:rsid w:val="00B66B2E"/>
    <w:rsid w:val="00B66B43"/>
    <w:rsid w:val="00B66BDF"/>
    <w:rsid w:val="00B66C29"/>
    <w:rsid w:val="00B66E55"/>
    <w:rsid w:val="00B66EB4"/>
    <w:rsid w:val="00B67034"/>
    <w:rsid w:val="00B670EF"/>
    <w:rsid w:val="00B67128"/>
    <w:rsid w:val="00B67134"/>
    <w:rsid w:val="00B67192"/>
    <w:rsid w:val="00B671F9"/>
    <w:rsid w:val="00B672F7"/>
    <w:rsid w:val="00B67496"/>
    <w:rsid w:val="00B6756A"/>
    <w:rsid w:val="00B675F9"/>
    <w:rsid w:val="00B67777"/>
    <w:rsid w:val="00B678A2"/>
    <w:rsid w:val="00B678EE"/>
    <w:rsid w:val="00B67B27"/>
    <w:rsid w:val="00B67FC1"/>
    <w:rsid w:val="00B7002A"/>
    <w:rsid w:val="00B7002C"/>
    <w:rsid w:val="00B700AE"/>
    <w:rsid w:val="00B70168"/>
    <w:rsid w:val="00B7017B"/>
    <w:rsid w:val="00B701F6"/>
    <w:rsid w:val="00B70330"/>
    <w:rsid w:val="00B70331"/>
    <w:rsid w:val="00B7058B"/>
    <w:rsid w:val="00B705D2"/>
    <w:rsid w:val="00B705DF"/>
    <w:rsid w:val="00B708D4"/>
    <w:rsid w:val="00B70903"/>
    <w:rsid w:val="00B70AD0"/>
    <w:rsid w:val="00B70AE8"/>
    <w:rsid w:val="00B70B34"/>
    <w:rsid w:val="00B70B89"/>
    <w:rsid w:val="00B70B98"/>
    <w:rsid w:val="00B70C5B"/>
    <w:rsid w:val="00B70E8E"/>
    <w:rsid w:val="00B70F80"/>
    <w:rsid w:val="00B70FB3"/>
    <w:rsid w:val="00B71094"/>
    <w:rsid w:val="00B711E3"/>
    <w:rsid w:val="00B7127B"/>
    <w:rsid w:val="00B7131A"/>
    <w:rsid w:val="00B71358"/>
    <w:rsid w:val="00B71416"/>
    <w:rsid w:val="00B71439"/>
    <w:rsid w:val="00B7147C"/>
    <w:rsid w:val="00B716DC"/>
    <w:rsid w:val="00B717BB"/>
    <w:rsid w:val="00B71B89"/>
    <w:rsid w:val="00B71EF5"/>
    <w:rsid w:val="00B71F61"/>
    <w:rsid w:val="00B72046"/>
    <w:rsid w:val="00B720B7"/>
    <w:rsid w:val="00B72186"/>
    <w:rsid w:val="00B721BD"/>
    <w:rsid w:val="00B72431"/>
    <w:rsid w:val="00B725EE"/>
    <w:rsid w:val="00B72791"/>
    <w:rsid w:val="00B72848"/>
    <w:rsid w:val="00B72B88"/>
    <w:rsid w:val="00B72F5D"/>
    <w:rsid w:val="00B73142"/>
    <w:rsid w:val="00B733FB"/>
    <w:rsid w:val="00B7356E"/>
    <w:rsid w:val="00B735F8"/>
    <w:rsid w:val="00B73601"/>
    <w:rsid w:val="00B736A8"/>
    <w:rsid w:val="00B736D3"/>
    <w:rsid w:val="00B7375A"/>
    <w:rsid w:val="00B7393D"/>
    <w:rsid w:val="00B73AF5"/>
    <w:rsid w:val="00B73B26"/>
    <w:rsid w:val="00B73D72"/>
    <w:rsid w:val="00B73DA7"/>
    <w:rsid w:val="00B73DD9"/>
    <w:rsid w:val="00B73E2F"/>
    <w:rsid w:val="00B73E76"/>
    <w:rsid w:val="00B7402A"/>
    <w:rsid w:val="00B741B5"/>
    <w:rsid w:val="00B741F6"/>
    <w:rsid w:val="00B74218"/>
    <w:rsid w:val="00B742B5"/>
    <w:rsid w:val="00B7462C"/>
    <w:rsid w:val="00B7463D"/>
    <w:rsid w:val="00B74780"/>
    <w:rsid w:val="00B747C9"/>
    <w:rsid w:val="00B7495F"/>
    <w:rsid w:val="00B74ADE"/>
    <w:rsid w:val="00B74B2A"/>
    <w:rsid w:val="00B74B9E"/>
    <w:rsid w:val="00B74C72"/>
    <w:rsid w:val="00B74FDD"/>
    <w:rsid w:val="00B75031"/>
    <w:rsid w:val="00B75054"/>
    <w:rsid w:val="00B75131"/>
    <w:rsid w:val="00B7528F"/>
    <w:rsid w:val="00B752A6"/>
    <w:rsid w:val="00B75324"/>
    <w:rsid w:val="00B753C1"/>
    <w:rsid w:val="00B759D1"/>
    <w:rsid w:val="00B75A78"/>
    <w:rsid w:val="00B75C5C"/>
    <w:rsid w:val="00B75C92"/>
    <w:rsid w:val="00B75E62"/>
    <w:rsid w:val="00B75E75"/>
    <w:rsid w:val="00B75F31"/>
    <w:rsid w:val="00B75F35"/>
    <w:rsid w:val="00B76124"/>
    <w:rsid w:val="00B7646A"/>
    <w:rsid w:val="00B764A9"/>
    <w:rsid w:val="00B766A2"/>
    <w:rsid w:val="00B76827"/>
    <w:rsid w:val="00B76BB3"/>
    <w:rsid w:val="00B76DDF"/>
    <w:rsid w:val="00B76DFB"/>
    <w:rsid w:val="00B76F53"/>
    <w:rsid w:val="00B76FAB"/>
    <w:rsid w:val="00B76FB0"/>
    <w:rsid w:val="00B77059"/>
    <w:rsid w:val="00B77143"/>
    <w:rsid w:val="00B77266"/>
    <w:rsid w:val="00B77454"/>
    <w:rsid w:val="00B77583"/>
    <w:rsid w:val="00B77646"/>
    <w:rsid w:val="00B7765A"/>
    <w:rsid w:val="00B77696"/>
    <w:rsid w:val="00B77782"/>
    <w:rsid w:val="00B77996"/>
    <w:rsid w:val="00B779CD"/>
    <w:rsid w:val="00B77A48"/>
    <w:rsid w:val="00B77D09"/>
    <w:rsid w:val="00B77DF2"/>
    <w:rsid w:val="00B77F7F"/>
    <w:rsid w:val="00B80199"/>
    <w:rsid w:val="00B801E6"/>
    <w:rsid w:val="00B80275"/>
    <w:rsid w:val="00B80294"/>
    <w:rsid w:val="00B803A8"/>
    <w:rsid w:val="00B803FA"/>
    <w:rsid w:val="00B80404"/>
    <w:rsid w:val="00B8054F"/>
    <w:rsid w:val="00B805A3"/>
    <w:rsid w:val="00B805B0"/>
    <w:rsid w:val="00B805FA"/>
    <w:rsid w:val="00B80630"/>
    <w:rsid w:val="00B80696"/>
    <w:rsid w:val="00B8070E"/>
    <w:rsid w:val="00B80754"/>
    <w:rsid w:val="00B8075E"/>
    <w:rsid w:val="00B80B87"/>
    <w:rsid w:val="00B80CA1"/>
    <w:rsid w:val="00B80D40"/>
    <w:rsid w:val="00B80D76"/>
    <w:rsid w:val="00B80DD6"/>
    <w:rsid w:val="00B80E6F"/>
    <w:rsid w:val="00B80FAD"/>
    <w:rsid w:val="00B81174"/>
    <w:rsid w:val="00B812D0"/>
    <w:rsid w:val="00B81304"/>
    <w:rsid w:val="00B8142A"/>
    <w:rsid w:val="00B81606"/>
    <w:rsid w:val="00B817F5"/>
    <w:rsid w:val="00B818E4"/>
    <w:rsid w:val="00B8191D"/>
    <w:rsid w:val="00B81930"/>
    <w:rsid w:val="00B81B06"/>
    <w:rsid w:val="00B81B69"/>
    <w:rsid w:val="00B81BA0"/>
    <w:rsid w:val="00B81C25"/>
    <w:rsid w:val="00B81CB2"/>
    <w:rsid w:val="00B81F15"/>
    <w:rsid w:val="00B81F32"/>
    <w:rsid w:val="00B81FBF"/>
    <w:rsid w:val="00B821F1"/>
    <w:rsid w:val="00B82339"/>
    <w:rsid w:val="00B826B0"/>
    <w:rsid w:val="00B8276E"/>
    <w:rsid w:val="00B8276F"/>
    <w:rsid w:val="00B82934"/>
    <w:rsid w:val="00B82A35"/>
    <w:rsid w:val="00B82B4E"/>
    <w:rsid w:val="00B82F83"/>
    <w:rsid w:val="00B83092"/>
    <w:rsid w:val="00B830F1"/>
    <w:rsid w:val="00B831A1"/>
    <w:rsid w:val="00B832C3"/>
    <w:rsid w:val="00B832E0"/>
    <w:rsid w:val="00B833BF"/>
    <w:rsid w:val="00B834EC"/>
    <w:rsid w:val="00B8354D"/>
    <w:rsid w:val="00B835F4"/>
    <w:rsid w:val="00B83795"/>
    <w:rsid w:val="00B837B5"/>
    <w:rsid w:val="00B837BB"/>
    <w:rsid w:val="00B83999"/>
    <w:rsid w:val="00B83A75"/>
    <w:rsid w:val="00B83AED"/>
    <w:rsid w:val="00B83D56"/>
    <w:rsid w:val="00B83D66"/>
    <w:rsid w:val="00B840C5"/>
    <w:rsid w:val="00B841DA"/>
    <w:rsid w:val="00B84235"/>
    <w:rsid w:val="00B8447E"/>
    <w:rsid w:val="00B8458A"/>
    <w:rsid w:val="00B845C5"/>
    <w:rsid w:val="00B845E1"/>
    <w:rsid w:val="00B84627"/>
    <w:rsid w:val="00B84689"/>
    <w:rsid w:val="00B8474C"/>
    <w:rsid w:val="00B84869"/>
    <w:rsid w:val="00B84910"/>
    <w:rsid w:val="00B84970"/>
    <w:rsid w:val="00B84AE3"/>
    <w:rsid w:val="00B84B19"/>
    <w:rsid w:val="00B84BF5"/>
    <w:rsid w:val="00B84C7C"/>
    <w:rsid w:val="00B84CCB"/>
    <w:rsid w:val="00B84DAE"/>
    <w:rsid w:val="00B84E1F"/>
    <w:rsid w:val="00B84FDD"/>
    <w:rsid w:val="00B85041"/>
    <w:rsid w:val="00B851C4"/>
    <w:rsid w:val="00B85206"/>
    <w:rsid w:val="00B85256"/>
    <w:rsid w:val="00B85309"/>
    <w:rsid w:val="00B853DE"/>
    <w:rsid w:val="00B85401"/>
    <w:rsid w:val="00B85531"/>
    <w:rsid w:val="00B85B60"/>
    <w:rsid w:val="00B85D2D"/>
    <w:rsid w:val="00B85F07"/>
    <w:rsid w:val="00B860BC"/>
    <w:rsid w:val="00B861AA"/>
    <w:rsid w:val="00B86214"/>
    <w:rsid w:val="00B86316"/>
    <w:rsid w:val="00B86386"/>
    <w:rsid w:val="00B863FD"/>
    <w:rsid w:val="00B8659C"/>
    <w:rsid w:val="00B865D6"/>
    <w:rsid w:val="00B865EB"/>
    <w:rsid w:val="00B868A9"/>
    <w:rsid w:val="00B86918"/>
    <w:rsid w:val="00B869BC"/>
    <w:rsid w:val="00B86A98"/>
    <w:rsid w:val="00B86BB7"/>
    <w:rsid w:val="00B86D19"/>
    <w:rsid w:val="00B86D4F"/>
    <w:rsid w:val="00B86E12"/>
    <w:rsid w:val="00B86E34"/>
    <w:rsid w:val="00B86EC8"/>
    <w:rsid w:val="00B86F47"/>
    <w:rsid w:val="00B86F59"/>
    <w:rsid w:val="00B872B8"/>
    <w:rsid w:val="00B874B0"/>
    <w:rsid w:val="00B874CC"/>
    <w:rsid w:val="00B8757F"/>
    <w:rsid w:val="00B8764B"/>
    <w:rsid w:val="00B8780D"/>
    <w:rsid w:val="00B8787C"/>
    <w:rsid w:val="00B879AA"/>
    <w:rsid w:val="00B87AE6"/>
    <w:rsid w:val="00B87B39"/>
    <w:rsid w:val="00B87B62"/>
    <w:rsid w:val="00B87D16"/>
    <w:rsid w:val="00B87D6C"/>
    <w:rsid w:val="00B87DEC"/>
    <w:rsid w:val="00B87F9A"/>
    <w:rsid w:val="00B9003F"/>
    <w:rsid w:val="00B9016D"/>
    <w:rsid w:val="00B90230"/>
    <w:rsid w:val="00B90258"/>
    <w:rsid w:val="00B9034C"/>
    <w:rsid w:val="00B903E4"/>
    <w:rsid w:val="00B904ED"/>
    <w:rsid w:val="00B90547"/>
    <w:rsid w:val="00B906FB"/>
    <w:rsid w:val="00B9071D"/>
    <w:rsid w:val="00B9078F"/>
    <w:rsid w:val="00B9087C"/>
    <w:rsid w:val="00B90883"/>
    <w:rsid w:val="00B909E7"/>
    <w:rsid w:val="00B90A66"/>
    <w:rsid w:val="00B90AB7"/>
    <w:rsid w:val="00B90B1E"/>
    <w:rsid w:val="00B90D02"/>
    <w:rsid w:val="00B90DCB"/>
    <w:rsid w:val="00B90FEB"/>
    <w:rsid w:val="00B9127A"/>
    <w:rsid w:val="00B912A5"/>
    <w:rsid w:val="00B912B0"/>
    <w:rsid w:val="00B912DE"/>
    <w:rsid w:val="00B9161B"/>
    <w:rsid w:val="00B9163F"/>
    <w:rsid w:val="00B916E9"/>
    <w:rsid w:val="00B9170E"/>
    <w:rsid w:val="00B918E4"/>
    <w:rsid w:val="00B91FD2"/>
    <w:rsid w:val="00B91FF3"/>
    <w:rsid w:val="00B91FF6"/>
    <w:rsid w:val="00B92016"/>
    <w:rsid w:val="00B9204A"/>
    <w:rsid w:val="00B92155"/>
    <w:rsid w:val="00B921EF"/>
    <w:rsid w:val="00B922DD"/>
    <w:rsid w:val="00B92648"/>
    <w:rsid w:val="00B9264B"/>
    <w:rsid w:val="00B92652"/>
    <w:rsid w:val="00B92814"/>
    <w:rsid w:val="00B929A8"/>
    <w:rsid w:val="00B92A95"/>
    <w:rsid w:val="00B92AD1"/>
    <w:rsid w:val="00B92B3B"/>
    <w:rsid w:val="00B92C26"/>
    <w:rsid w:val="00B92E19"/>
    <w:rsid w:val="00B93178"/>
    <w:rsid w:val="00B931D9"/>
    <w:rsid w:val="00B93281"/>
    <w:rsid w:val="00B93320"/>
    <w:rsid w:val="00B933EC"/>
    <w:rsid w:val="00B9342D"/>
    <w:rsid w:val="00B934F8"/>
    <w:rsid w:val="00B935BE"/>
    <w:rsid w:val="00B93A20"/>
    <w:rsid w:val="00B93AD5"/>
    <w:rsid w:val="00B93C5D"/>
    <w:rsid w:val="00B93C82"/>
    <w:rsid w:val="00B93D35"/>
    <w:rsid w:val="00B93EB4"/>
    <w:rsid w:val="00B93F60"/>
    <w:rsid w:val="00B93FF1"/>
    <w:rsid w:val="00B940C6"/>
    <w:rsid w:val="00B94113"/>
    <w:rsid w:val="00B9411E"/>
    <w:rsid w:val="00B94224"/>
    <w:rsid w:val="00B9423C"/>
    <w:rsid w:val="00B9423D"/>
    <w:rsid w:val="00B94359"/>
    <w:rsid w:val="00B94453"/>
    <w:rsid w:val="00B945E7"/>
    <w:rsid w:val="00B94629"/>
    <w:rsid w:val="00B946CA"/>
    <w:rsid w:val="00B946F0"/>
    <w:rsid w:val="00B94725"/>
    <w:rsid w:val="00B94889"/>
    <w:rsid w:val="00B94A43"/>
    <w:rsid w:val="00B94C8B"/>
    <w:rsid w:val="00B94F09"/>
    <w:rsid w:val="00B9505C"/>
    <w:rsid w:val="00B950B1"/>
    <w:rsid w:val="00B9513A"/>
    <w:rsid w:val="00B951CA"/>
    <w:rsid w:val="00B95387"/>
    <w:rsid w:val="00B9553A"/>
    <w:rsid w:val="00B95591"/>
    <w:rsid w:val="00B95760"/>
    <w:rsid w:val="00B95916"/>
    <w:rsid w:val="00B95A18"/>
    <w:rsid w:val="00B95A25"/>
    <w:rsid w:val="00B95A67"/>
    <w:rsid w:val="00B95C56"/>
    <w:rsid w:val="00B95D0B"/>
    <w:rsid w:val="00B95D62"/>
    <w:rsid w:val="00B95D94"/>
    <w:rsid w:val="00B95E2D"/>
    <w:rsid w:val="00B9603C"/>
    <w:rsid w:val="00B963B5"/>
    <w:rsid w:val="00B96480"/>
    <w:rsid w:val="00B9650F"/>
    <w:rsid w:val="00B96781"/>
    <w:rsid w:val="00B967C4"/>
    <w:rsid w:val="00B967E7"/>
    <w:rsid w:val="00B968F8"/>
    <w:rsid w:val="00B969BC"/>
    <w:rsid w:val="00B96AEF"/>
    <w:rsid w:val="00B96BE8"/>
    <w:rsid w:val="00B96BFA"/>
    <w:rsid w:val="00B96F44"/>
    <w:rsid w:val="00B970DE"/>
    <w:rsid w:val="00B974F6"/>
    <w:rsid w:val="00B9793D"/>
    <w:rsid w:val="00B97957"/>
    <w:rsid w:val="00B97A26"/>
    <w:rsid w:val="00B97A4E"/>
    <w:rsid w:val="00B97B4B"/>
    <w:rsid w:val="00B97CA5"/>
    <w:rsid w:val="00B97DF9"/>
    <w:rsid w:val="00B97EA1"/>
    <w:rsid w:val="00B97FA0"/>
    <w:rsid w:val="00BA004B"/>
    <w:rsid w:val="00BA00AF"/>
    <w:rsid w:val="00BA01CA"/>
    <w:rsid w:val="00BA01D5"/>
    <w:rsid w:val="00BA0411"/>
    <w:rsid w:val="00BA0474"/>
    <w:rsid w:val="00BA0481"/>
    <w:rsid w:val="00BA049E"/>
    <w:rsid w:val="00BA052C"/>
    <w:rsid w:val="00BA0664"/>
    <w:rsid w:val="00BA0730"/>
    <w:rsid w:val="00BA0741"/>
    <w:rsid w:val="00BA0789"/>
    <w:rsid w:val="00BA0887"/>
    <w:rsid w:val="00BA0AED"/>
    <w:rsid w:val="00BA0B56"/>
    <w:rsid w:val="00BA0BDB"/>
    <w:rsid w:val="00BA0C2F"/>
    <w:rsid w:val="00BA0DDF"/>
    <w:rsid w:val="00BA0E50"/>
    <w:rsid w:val="00BA0F83"/>
    <w:rsid w:val="00BA10DC"/>
    <w:rsid w:val="00BA12CE"/>
    <w:rsid w:val="00BA1377"/>
    <w:rsid w:val="00BA155A"/>
    <w:rsid w:val="00BA1661"/>
    <w:rsid w:val="00BA1748"/>
    <w:rsid w:val="00BA1791"/>
    <w:rsid w:val="00BA189E"/>
    <w:rsid w:val="00BA191A"/>
    <w:rsid w:val="00BA1A30"/>
    <w:rsid w:val="00BA1ABC"/>
    <w:rsid w:val="00BA1AE0"/>
    <w:rsid w:val="00BA1B1C"/>
    <w:rsid w:val="00BA1BB3"/>
    <w:rsid w:val="00BA1C0E"/>
    <w:rsid w:val="00BA1DD0"/>
    <w:rsid w:val="00BA1EAE"/>
    <w:rsid w:val="00BA1F09"/>
    <w:rsid w:val="00BA210F"/>
    <w:rsid w:val="00BA222C"/>
    <w:rsid w:val="00BA2268"/>
    <w:rsid w:val="00BA259A"/>
    <w:rsid w:val="00BA263B"/>
    <w:rsid w:val="00BA2925"/>
    <w:rsid w:val="00BA2B48"/>
    <w:rsid w:val="00BA2B53"/>
    <w:rsid w:val="00BA2C9A"/>
    <w:rsid w:val="00BA2D28"/>
    <w:rsid w:val="00BA2FFF"/>
    <w:rsid w:val="00BA320C"/>
    <w:rsid w:val="00BA3252"/>
    <w:rsid w:val="00BA32A7"/>
    <w:rsid w:val="00BA32C6"/>
    <w:rsid w:val="00BA3325"/>
    <w:rsid w:val="00BA346E"/>
    <w:rsid w:val="00BA350B"/>
    <w:rsid w:val="00BA37E8"/>
    <w:rsid w:val="00BA3836"/>
    <w:rsid w:val="00BA3853"/>
    <w:rsid w:val="00BA39ED"/>
    <w:rsid w:val="00BA3AAE"/>
    <w:rsid w:val="00BA3B54"/>
    <w:rsid w:val="00BA3C4E"/>
    <w:rsid w:val="00BA3E14"/>
    <w:rsid w:val="00BA3EE0"/>
    <w:rsid w:val="00BA3F14"/>
    <w:rsid w:val="00BA403A"/>
    <w:rsid w:val="00BA403C"/>
    <w:rsid w:val="00BA4062"/>
    <w:rsid w:val="00BA40CB"/>
    <w:rsid w:val="00BA4112"/>
    <w:rsid w:val="00BA41C5"/>
    <w:rsid w:val="00BA425C"/>
    <w:rsid w:val="00BA439C"/>
    <w:rsid w:val="00BA44EA"/>
    <w:rsid w:val="00BA4649"/>
    <w:rsid w:val="00BA4701"/>
    <w:rsid w:val="00BA47A0"/>
    <w:rsid w:val="00BA484D"/>
    <w:rsid w:val="00BA4850"/>
    <w:rsid w:val="00BA4910"/>
    <w:rsid w:val="00BA4A02"/>
    <w:rsid w:val="00BA4BFA"/>
    <w:rsid w:val="00BA4C3D"/>
    <w:rsid w:val="00BA4E9E"/>
    <w:rsid w:val="00BA4FD5"/>
    <w:rsid w:val="00BA50A5"/>
    <w:rsid w:val="00BA50D4"/>
    <w:rsid w:val="00BA5246"/>
    <w:rsid w:val="00BA528F"/>
    <w:rsid w:val="00BA5676"/>
    <w:rsid w:val="00BA56B7"/>
    <w:rsid w:val="00BA5733"/>
    <w:rsid w:val="00BA58C4"/>
    <w:rsid w:val="00BA5AC6"/>
    <w:rsid w:val="00BA5B3E"/>
    <w:rsid w:val="00BA5BAB"/>
    <w:rsid w:val="00BA5BCC"/>
    <w:rsid w:val="00BA5C18"/>
    <w:rsid w:val="00BA5C7E"/>
    <w:rsid w:val="00BA5D31"/>
    <w:rsid w:val="00BA5D76"/>
    <w:rsid w:val="00BA5DB6"/>
    <w:rsid w:val="00BA5FD8"/>
    <w:rsid w:val="00BA617D"/>
    <w:rsid w:val="00BA633F"/>
    <w:rsid w:val="00BA635E"/>
    <w:rsid w:val="00BA6476"/>
    <w:rsid w:val="00BA65DA"/>
    <w:rsid w:val="00BA6655"/>
    <w:rsid w:val="00BA6690"/>
    <w:rsid w:val="00BA6773"/>
    <w:rsid w:val="00BA67BE"/>
    <w:rsid w:val="00BA6854"/>
    <w:rsid w:val="00BA6858"/>
    <w:rsid w:val="00BA6860"/>
    <w:rsid w:val="00BA6982"/>
    <w:rsid w:val="00BA6983"/>
    <w:rsid w:val="00BA69D9"/>
    <w:rsid w:val="00BA6A15"/>
    <w:rsid w:val="00BA6C0F"/>
    <w:rsid w:val="00BA6D47"/>
    <w:rsid w:val="00BA6D59"/>
    <w:rsid w:val="00BA6E6D"/>
    <w:rsid w:val="00BA7220"/>
    <w:rsid w:val="00BA7307"/>
    <w:rsid w:val="00BA7319"/>
    <w:rsid w:val="00BA731D"/>
    <w:rsid w:val="00BA736A"/>
    <w:rsid w:val="00BA737E"/>
    <w:rsid w:val="00BA7465"/>
    <w:rsid w:val="00BA75ED"/>
    <w:rsid w:val="00BA7692"/>
    <w:rsid w:val="00BA7695"/>
    <w:rsid w:val="00BA776D"/>
    <w:rsid w:val="00BA78FB"/>
    <w:rsid w:val="00BA79CF"/>
    <w:rsid w:val="00BA7A2B"/>
    <w:rsid w:val="00BA7B6A"/>
    <w:rsid w:val="00BA7B87"/>
    <w:rsid w:val="00BA7C48"/>
    <w:rsid w:val="00BA7D79"/>
    <w:rsid w:val="00BA7DA6"/>
    <w:rsid w:val="00BA7DF5"/>
    <w:rsid w:val="00BA7E3F"/>
    <w:rsid w:val="00BA7EBD"/>
    <w:rsid w:val="00BA7ECD"/>
    <w:rsid w:val="00BA7F87"/>
    <w:rsid w:val="00BB009C"/>
    <w:rsid w:val="00BB00CA"/>
    <w:rsid w:val="00BB0113"/>
    <w:rsid w:val="00BB01EB"/>
    <w:rsid w:val="00BB0217"/>
    <w:rsid w:val="00BB03C7"/>
    <w:rsid w:val="00BB03FD"/>
    <w:rsid w:val="00BB0444"/>
    <w:rsid w:val="00BB06B1"/>
    <w:rsid w:val="00BB0997"/>
    <w:rsid w:val="00BB0A06"/>
    <w:rsid w:val="00BB0BC5"/>
    <w:rsid w:val="00BB0F4C"/>
    <w:rsid w:val="00BB0F7B"/>
    <w:rsid w:val="00BB0FF2"/>
    <w:rsid w:val="00BB1055"/>
    <w:rsid w:val="00BB109F"/>
    <w:rsid w:val="00BB1248"/>
    <w:rsid w:val="00BB136E"/>
    <w:rsid w:val="00BB1385"/>
    <w:rsid w:val="00BB15FA"/>
    <w:rsid w:val="00BB1602"/>
    <w:rsid w:val="00BB165C"/>
    <w:rsid w:val="00BB1787"/>
    <w:rsid w:val="00BB17B5"/>
    <w:rsid w:val="00BB1BEB"/>
    <w:rsid w:val="00BB1C72"/>
    <w:rsid w:val="00BB1E31"/>
    <w:rsid w:val="00BB1F6E"/>
    <w:rsid w:val="00BB1FCA"/>
    <w:rsid w:val="00BB208C"/>
    <w:rsid w:val="00BB2180"/>
    <w:rsid w:val="00BB263D"/>
    <w:rsid w:val="00BB2671"/>
    <w:rsid w:val="00BB26A7"/>
    <w:rsid w:val="00BB26AE"/>
    <w:rsid w:val="00BB26C9"/>
    <w:rsid w:val="00BB296C"/>
    <w:rsid w:val="00BB2A54"/>
    <w:rsid w:val="00BB2A89"/>
    <w:rsid w:val="00BB2BE2"/>
    <w:rsid w:val="00BB2C17"/>
    <w:rsid w:val="00BB2C2D"/>
    <w:rsid w:val="00BB2CBD"/>
    <w:rsid w:val="00BB2E85"/>
    <w:rsid w:val="00BB2E8B"/>
    <w:rsid w:val="00BB2EAB"/>
    <w:rsid w:val="00BB2F1D"/>
    <w:rsid w:val="00BB2FF0"/>
    <w:rsid w:val="00BB3042"/>
    <w:rsid w:val="00BB30DF"/>
    <w:rsid w:val="00BB3173"/>
    <w:rsid w:val="00BB33FF"/>
    <w:rsid w:val="00BB34BE"/>
    <w:rsid w:val="00BB35D0"/>
    <w:rsid w:val="00BB35DB"/>
    <w:rsid w:val="00BB37A1"/>
    <w:rsid w:val="00BB384F"/>
    <w:rsid w:val="00BB39B7"/>
    <w:rsid w:val="00BB3A08"/>
    <w:rsid w:val="00BB3A1C"/>
    <w:rsid w:val="00BB3BDA"/>
    <w:rsid w:val="00BB3BF7"/>
    <w:rsid w:val="00BB3D6D"/>
    <w:rsid w:val="00BB3E20"/>
    <w:rsid w:val="00BB3EA5"/>
    <w:rsid w:val="00BB4188"/>
    <w:rsid w:val="00BB4211"/>
    <w:rsid w:val="00BB421C"/>
    <w:rsid w:val="00BB435C"/>
    <w:rsid w:val="00BB45B1"/>
    <w:rsid w:val="00BB4656"/>
    <w:rsid w:val="00BB4740"/>
    <w:rsid w:val="00BB5184"/>
    <w:rsid w:val="00BB51D4"/>
    <w:rsid w:val="00BB520B"/>
    <w:rsid w:val="00BB53BB"/>
    <w:rsid w:val="00BB53C9"/>
    <w:rsid w:val="00BB53EB"/>
    <w:rsid w:val="00BB548D"/>
    <w:rsid w:val="00BB596F"/>
    <w:rsid w:val="00BB5CCF"/>
    <w:rsid w:val="00BB5E74"/>
    <w:rsid w:val="00BB5E7F"/>
    <w:rsid w:val="00BB5EFA"/>
    <w:rsid w:val="00BB5F90"/>
    <w:rsid w:val="00BB5FA1"/>
    <w:rsid w:val="00BB5FCA"/>
    <w:rsid w:val="00BB600A"/>
    <w:rsid w:val="00BB6294"/>
    <w:rsid w:val="00BB645C"/>
    <w:rsid w:val="00BB6505"/>
    <w:rsid w:val="00BB65FA"/>
    <w:rsid w:val="00BB69A6"/>
    <w:rsid w:val="00BB6B6D"/>
    <w:rsid w:val="00BB6C0E"/>
    <w:rsid w:val="00BB6E81"/>
    <w:rsid w:val="00BB6EA9"/>
    <w:rsid w:val="00BB6EB5"/>
    <w:rsid w:val="00BB6EFE"/>
    <w:rsid w:val="00BB6FF1"/>
    <w:rsid w:val="00BB703D"/>
    <w:rsid w:val="00BB712C"/>
    <w:rsid w:val="00BB7174"/>
    <w:rsid w:val="00BB72C5"/>
    <w:rsid w:val="00BB73A7"/>
    <w:rsid w:val="00BB756F"/>
    <w:rsid w:val="00BB7579"/>
    <w:rsid w:val="00BB76AC"/>
    <w:rsid w:val="00BB773D"/>
    <w:rsid w:val="00BB77F5"/>
    <w:rsid w:val="00BB7848"/>
    <w:rsid w:val="00BB7AD8"/>
    <w:rsid w:val="00BB7B13"/>
    <w:rsid w:val="00BB7BB7"/>
    <w:rsid w:val="00BB7C62"/>
    <w:rsid w:val="00BB7D05"/>
    <w:rsid w:val="00BB7EB9"/>
    <w:rsid w:val="00BB7F27"/>
    <w:rsid w:val="00BB7F4D"/>
    <w:rsid w:val="00BB7FD8"/>
    <w:rsid w:val="00BBC727"/>
    <w:rsid w:val="00BC01EC"/>
    <w:rsid w:val="00BC022D"/>
    <w:rsid w:val="00BC0325"/>
    <w:rsid w:val="00BC03B2"/>
    <w:rsid w:val="00BC041F"/>
    <w:rsid w:val="00BC05EB"/>
    <w:rsid w:val="00BC0638"/>
    <w:rsid w:val="00BC06B4"/>
    <w:rsid w:val="00BC06EB"/>
    <w:rsid w:val="00BC08BA"/>
    <w:rsid w:val="00BC0949"/>
    <w:rsid w:val="00BC0A52"/>
    <w:rsid w:val="00BC0B46"/>
    <w:rsid w:val="00BC0B60"/>
    <w:rsid w:val="00BC0B7E"/>
    <w:rsid w:val="00BC0C46"/>
    <w:rsid w:val="00BC0CAC"/>
    <w:rsid w:val="00BC0DC9"/>
    <w:rsid w:val="00BC0DD6"/>
    <w:rsid w:val="00BC0E69"/>
    <w:rsid w:val="00BC0E76"/>
    <w:rsid w:val="00BC1247"/>
    <w:rsid w:val="00BC127B"/>
    <w:rsid w:val="00BC1336"/>
    <w:rsid w:val="00BC133B"/>
    <w:rsid w:val="00BC1434"/>
    <w:rsid w:val="00BC145B"/>
    <w:rsid w:val="00BC14CA"/>
    <w:rsid w:val="00BC1517"/>
    <w:rsid w:val="00BC15A3"/>
    <w:rsid w:val="00BC1628"/>
    <w:rsid w:val="00BC163A"/>
    <w:rsid w:val="00BC17D3"/>
    <w:rsid w:val="00BC182F"/>
    <w:rsid w:val="00BC183D"/>
    <w:rsid w:val="00BC1935"/>
    <w:rsid w:val="00BC1C9F"/>
    <w:rsid w:val="00BC1F4A"/>
    <w:rsid w:val="00BC1F81"/>
    <w:rsid w:val="00BC1F89"/>
    <w:rsid w:val="00BC201E"/>
    <w:rsid w:val="00BC2044"/>
    <w:rsid w:val="00BC2055"/>
    <w:rsid w:val="00BC21B0"/>
    <w:rsid w:val="00BC22E9"/>
    <w:rsid w:val="00BC22FB"/>
    <w:rsid w:val="00BC24F0"/>
    <w:rsid w:val="00BC2587"/>
    <w:rsid w:val="00BC2592"/>
    <w:rsid w:val="00BC267A"/>
    <w:rsid w:val="00BC2899"/>
    <w:rsid w:val="00BC29D6"/>
    <w:rsid w:val="00BC2A83"/>
    <w:rsid w:val="00BC2AAF"/>
    <w:rsid w:val="00BC2B13"/>
    <w:rsid w:val="00BC2B5C"/>
    <w:rsid w:val="00BC2CD5"/>
    <w:rsid w:val="00BC2E15"/>
    <w:rsid w:val="00BC2E4E"/>
    <w:rsid w:val="00BC2F5B"/>
    <w:rsid w:val="00BC2FC8"/>
    <w:rsid w:val="00BC303A"/>
    <w:rsid w:val="00BC310C"/>
    <w:rsid w:val="00BC343D"/>
    <w:rsid w:val="00BC3509"/>
    <w:rsid w:val="00BC35B8"/>
    <w:rsid w:val="00BC37C8"/>
    <w:rsid w:val="00BC3858"/>
    <w:rsid w:val="00BC39BB"/>
    <w:rsid w:val="00BC39E0"/>
    <w:rsid w:val="00BC3EF8"/>
    <w:rsid w:val="00BC3F0F"/>
    <w:rsid w:val="00BC3FE4"/>
    <w:rsid w:val="00BC4010"/>
    <w:rsid w:val="00BC4193"/>
    <w:rsid w:val="00BC4485"/>
    <w:rsid w:val="00BC44C1"/>
    <w:rsid w:val="00BC4660"/>
    <w:rsid w:val="00BC4665"/>
    <w:rsid w:val="00BC467A"/>
    <w:rsid w:val="00BC472C"/>
    <w:rsid w:val="00BC4904"/>
    <w:rsid w:val="00BC4935"/>
    <w:rsid w:val="00BC497F"/>
    <w:rsid w:val="00BC4ADB"/>
    <w:rsid w:val="00BC4B3B"/>
    <w:rsid w:val="00BC4B56"/>
    <w:rsid w:val="00BC4C17"/>
    <w:rsid w:val="00BC4D98"/>
    <w:rsid w:val="00BC4FAA"/>
    <w:rsid w:val="00BC505A"/>
    <w:rsid w:val="00BC507E"/>
    <w:rsid w:val="00BC51A0"/>
    <w:rsid w:val="00BC51E7"/>
    <w:rsid w:val="00BC52AE"/>
    <w:rsid w:val="00BC5332"/>
    <w:rsid w:val="00BC547D"/>
    <w:rsid w:val="00BC54E8"/>
    <w:rsid w:val="00BC551A"/>
    <w:rsid w:val="00BC5660"/>
    <w:rsid w:val="00BC59AF"/>
    <w:rsid w:val="00BC5DE7"/>
    <w:rsid w:val="00BC612D"/>
    <w:rsid w:val="00BC6373"/>
    <w:rsid w:val="00BC63BC"/>
    <w:rsid w:val="00BC6416"/>
    <w:rsid w:val="00BC6429"/>
    <w:rsid w:val="00BC6688"/>
    <w:rsid w:val="00BC6706"/>
    <w:rsid w:val="00BC670F"/>
    <w:rsid w:val="00BC67BE"/>
    <w:rsid w:val="00BC67CA"/>
    <w:rsid w:val="00BC6A67"/>
    <w:rsid w:val="00BC6BA9"/>
    <w:rsid w:val="00BC6BDE"/>
    <w:rsid w:val="00BC6C31"/>
    <w:rsid w:val="00BC6CD1"/>
    <w:rsid w:val="00BC6DE9"/>
    <w:rsid w:val="00BC6E6C"/>
    <w:rsid w:val="00BC70F7"/>
    <w:rsid w:val="00BC711D"/>
    <w:rsid w:val="00BC7171"/>
    <w:rsid w:val="00BC7175"/>
    <w:rsid w:val="00BC72D5"/>
    <w:rsid w:val="00BC72F4"/>
    <w:rsid w:val="00BC736D"/>
    <w:rsid w:val="00BC73B5"/>
    <w:rsid w:val="00BC743F"/>
    <w:rsid w:val="00BC7507"/>
    <w:rsid w:val="00BC7610"/>
    <w:rsid w:val="00BC777D"/>
    <w:rsid w:val="00BC7791"/>
    <w:rsid w:val="00BC784A"/>
    <w:rsid w:val="00BC793D"/>
    <w:rsid w:val="00BC7BBF"/>
    <w:rsid w:val="00BD0030"/>
    <w:rsid w:val="00BD0038"/>
    <w:rsid w:val="00BD0055"/>
    <w:rsid w:val="00BD005A"/>
    <w:rsid w:val="00BD012F"/>
    <w:rsid w:val="00BD0191"/>
    <w:rsid w:val="00BD0362"/>
    <w:rsid w:val="00BD0369"/>
    <w:rsid w:val="00BD0370"/>
    <w:rsid w:val="00BD0382"/>
    <w:rsid w:val="00BD04FA"/>
    <w:rsid w:val="00BD04FE"/>
    <w:rsid w:val="00BD053C"/>
    <w:rsid w:val="00BD071C"/>
    <w:rsid w:val="00BD0723"/>
    <w:rsid w:val="00BD07D8"/>
    <w:rsid w:val="00BD0A9C"/>
    <w:rsid w:val="00BD0BDF"/>
    <w:rsid w:val="00BD0C76"/>
    <w:rsid w:val="00BD0D16"/>
    <w:rsid w:val="00BD0D35"/>
    <w:rsid w:val="00BD0D55"/>
    <w:rsid w:val="00BD0E91"/>
    <w:rsid w:val="00BD0F68"/>
    <w:rsid w:val="00BD0F99"/>
    <w:rsid w:val="00BD121B"/>
    <w:rsid w:val="00BD13D2"/>
    <w:rsid w:val="00BD14D6"/>
    <w:rsid w:val="00BD1643"/>
    <w:rsid w:val="00BD16EF"/>
    <w:rsid w:val="00BD1774"/>
    <w:rsid w:val="00BD1783"/>
    <w:rsid w:val="00BD1864"/>
    <w:rsid w:val="00BD1881"/>
    <w:rsid w:val="00BD1AD1"/>
    <w:rsid w:val="00BD1CB4"/>
    <w:rsid w:val="00BD1CC5"/>
    <w:rsid w:val="00BD1D41"/>
    <w:rsid w:val="00BD1DF9"/>
    <w:rsid w:val="00BD1FDB"/>
    <w:rsid w:val="00BD2057"/>
    <w:rsid w:val="00BD2155"/>
    <w:rsid w:val="00BD2244"/>
    <w:rsid w:val="00BD225E"/>
    <w:rsid w:val="00BD228D"/>
    <w:rsid w:val="00BD22A6"/>
    <w:rsid w:val="00BD23D5"/>
    <w:rsid w:val="00BD243E"/>
    <w:rsid w:val="00BD2524"/>
    <w:rsid w:val="00BD2536"/>
    <w:rsid w:val="00BD26C5"/>
    <w:rsid w:val="00BD2823"/>
    <w:rsid w:val="00BD2A84"/>
    <w:rsid w:val="00BD2B28"/>
    <w:rsid w:val="00BD2DE7"/>
    <w:rsid w:val="00BD2E55"/>
    <w:rsid w:val="00BD2E87"/>
    <w:rsid w:val="00BD2F72"/>
    <w:rsid w:val="00BD30AB"/>
    <w:rsid w:val="00BD30F2"/>
    <w:rsid w:val="00BD3124"/>
    <w:rsid w:val="00BD33E7"/>
    <w:rsid w:val="00BD357D"/>
    <w:rsid w:val="00BD35A9"/>
    <w:rsid w:val="00BD3657"/>
    <w:rsid w:val="00BD3669"/>
    <w:rsid w:val="00BD39CA"/>
    <w:rsid w:val="00BD3BD6"/>
    <w:rsid w:val="00BD3CA1"/>
    <w:rsid w:val="00BD3F4D"/>
    <w:rsid w:val="00BD4088"/>
    <w:rsid w:val="00BD4125"/>
    <w:rsid w:val="00BD4142"/>
    <w:rsid w:val="00BD41D7"/>
    <w:rsid w:val="00BD4455"/>
    <w:rsid w:val="00BD4456"/>
    <w:rsid w:val="00BD4633"/>
    <w:rsid w:val="00BD4788"/>
    <w:rsid w:val="00BD4AC2"/>
    <w:rsid w:val="00BD4BE3"/>
    <w:rsid w:val="00BD4C6D"/>
    <w:rsid w:val="00BD4EA8"/>
    <w:rsid w:val="00BD4F70"/>
    <w:rsid w:val="00BD4FF0"/>
    <w:rsid w:val="00BD5247"/>
    <w:rsid w:val="00BD533A"/>
    <w:rsid w:val="00BD537B"/>
    <w:rsid w:val="00BD5468"/>
    <w:rsid w:val="00BD5513"/>
    <w:rsid w:val="00BD5601"/>
    <w:rsid w:val="00BD5649"/>
    <w:rsid w:val="00BD565C"/>
    <w:rsid w:val="00BD5672"/>
    <w:rsid w:val="00BD571F"/>
    <w:rsid w:val="00BD579F"/>
    <w:rsid w:val="00BD57A0"/>
    <w:rsid w:val="00BD5821"/>
    <w:rsid w:val="00BD5862"/>
    <w:rsid w:val="00BD5892"/>
    <w:rsid w:val="00BD5910"/>
    <w:rsid w:val="00BD5D81"/>
    <w:rsid w:val="00BD5D83"/>
    <w:rsid w:val="00BD609E"/>
    <w:rsid w:val="00BD61BE"/>
    <w:rsid w:val="00BD6216"/>
    <w:rsid w:val="00BD62F4"/>
    <w:rsid w:val="00BD6339"/>
    <w:rsid w:val="00BD63CB"/>
    <w:rsid w:val="00BD641B"/>
    <w:rsid w:val="00BD64EB"/>
    <w:rsid w:val="00BD6557"/>
    <w:rsid w:val="00BD6599"/>
    <w:rsid w:val="00BD677F"/>
    <w:rsid w:val="00BD684A"/>
    <w:rsid w:val="00BD688C"/>
    <w:rsid w:val="00BD68C6"/>
    <w:rsid w:val="00BD68E9"/>
    <w:rsid w:val="00BD69EE"/>
    <w:rsid w:val="00BD6B18"/>
    <w:rsid w:val="00BD6DCF"/>
    <w:rsid w:val="00BD6EE7"/>
    <w:rsid w:val="00BD6F52"/>
    <w:rsid w:val="00BD6FB5"/>
    <w:rsid w:val="00BD6FF9"/>
    <w:rsid w:val="00BD7412"/>
    <w:rsid w:val="00BD7433"/>
    <w:rsid w:val="00BD7595"/>
    <w:rsid w:val="00BD75E7"/>
    <w:rsid w:val="00BD78A0"/>
    <w:rsid w:val="00BD79EE"/>
    <w:rsid w:val="00BD79FE"/>
    <w:rsid w:val="00BD7A21"/>
    <w:rsid w:val="00BD7C22"/>
    <w:rsid w:val="00BD7F59"/>
    <w:rsid w:val="00BE00F9"/>
    <w:rsid w:val="00BE01CD"/>
    <w:rsid w:val="00BE021A"/>
    <w:rsid w:val="00BE03A4"/>
    <w:rsid w:val="00BE03D6"/>
    <w:rsid w:val="00BE03F3"/>
    <w:rsid w:val="00BE0614"/>
    <w:rsid w:val="00BE077B"/>
    <w:rsid w:val="00BE089D"/>
    <w:rsid w:val="00BE08DD"/>
    <w:rsid w:val="00BE08ED"/>
    <w:rsid w:val="00BE0975"/>
    <w:rsid w:val="00BE0979"/>
    <w:rsid w:val="00BE099B"/>
    <w:rsid w:val="00BE0BB0"/>
    <w:rsid w:val="00BE0CE2"/>
    <w:rsid w:val="00BE0E6E"/>
    <w:rsid w:val="00BE0FD1"/>
    <w:rsid w:val="00BE0FD6"/>
    <w:rsid w:val="00BE0FD8"/>
    <w:rsid w:val="00BE1015"/>
    <w:rsid w:val="00BE10F3"/>
    <w:rsid w:val="00BE1208"/>
    <w:rsid w:val="00BE141E"/>
    <w:rsid w:val="00BE14E3"/>
    <w:rsid w:val="00BE157A"/>
    <w:rsid w:val="00BE1585"/>
    <w:rsid w:val="00BE1613"/>
    <w:rsid w:val="00BE161E"/>
    <w:rsid w:val="00BE183B"/>
    <w:rsid w:val="00BE18E9"/>
    <w:rsid w:val="00BE1D65"/>
    <w:rsid w:val="00BE1E03"/>
    <w:rsid w:val="00BE1F28"/>
    <w:rsid w:val="00BE2056"/>
    <w:rsid w:val="00BE219B"/>
    <w:rsid w:val="00BE21FD"/>
    <w:rsid w:val="00BE225F"/>
    <w:rsid w:val="00BE25A1"/>
    <w:rsid w:val="00BE2699"/>
    <w:rsid w:val="00BE26C7"/>
    <w:rsid w:val="00BE27C6"/>
    <w:rsid w:val="00BE29FD"/>
    <w:rsid w:val="00BE29FE"/>
    <w:rsid w:val="00BE2A50"/>
    <w:rsid w:val="00BE2BD9"/>
    <w:rsid w:val="00BE2BEC"/>
    <w:rsid w:val="00BE2CC3"/>
    <w:rsid w:val="00BE2CF9"/>
    <w:rsid w:val="00BE2E65"/>
    <w:rsid w:val="00BE3017"/>
    <w:rsid w:val="00BE311A"/>
    <w:rsid w:val="00BE323B"/>
    <w:rsid w:val="00BE32F1"/>
    <w:rsid w:val="00BE34EB"/>
    <w:rsid w:val="00BE3548"/>
    <w:rsid w:val="00BE35DF"/>
    <w:rsid w:val="00BE38F3"/>
    <w:rsid w:val="00BE3976"/>
    <w:rsid w:val="00BE39EE"/>
    <w:rsid w:val="00BE3CEB"/>
    <w:rsid w:val="00BE3F41"/>
    <w:rsid w:val="00BE4130"/>
    <w:rsid w:val="00BE438B"/>
    <w:rsid w:val="00BE44DC"/>
    <w:rsid w:val="00BE4675"/>
    <w:rsid w:val="00BE4692"/>
    <w:rsid w:val="00BE46E3"/>
    <w:rsid w:val="00BE46EB"/>
    <w:rsid w:val="00BE4714"/>
    <w:rsid w:val="00BE4720"/>
    <w:rsid w:val="00BE4B87"/>
    <w:rsid w:val="00BE4CA3"/>
    <w:rsid w:val="00BE4F58"/>
    <w:rsid w:val="00BE4FFB"/>
    <w:rsid w:val="00BE5020"/>
    <w:rsid w:val="00BE5041"/>
    <w:rsid w:val="00BE50C1"/>
    <w:rsid w:val="00BE510A"/>
    <w:rsid w:val="00BE519A"/>
    <w:rsid w:val="00BE52C7"/>
    <w:rsid w:val="00BE53D2"/>
    <w:rsid w:val="00BE542F"/>
    <w:rsid w:val="00BE54CA"/>
    <w:rsid w:val="00BE59B8"/>
    <w:rsid w:val="00BE5A34"/>
    <w:rsid w:val="00BE5A8C"/>
    <w:rsid w:val="00BE5C03"/>
    <w:rsid w:val="00BE5C2A"/>
    <w:rsid w:val="00BE5C40"/>
    <w:rsid w:val="00BE5D5B"/>
    <w:rsid w:val="00BE5E43"/>
    <w:rsid w:val="00BE5FF3"/>
    <w:rsid w:val="00BE6069"/>
    <w:rsid w:val="00BE6107"/>
    <w:rsid w:val="00BE616A"/>
    <w:rsid w:val="00BE63BE"/>
    <w:rsid w:val="00BE63F0"/>
    <w:rsid w:val="00BE676C"/>
    <w:rsid w:val="00BE677B"/>
    <w:rsid w:val="00BE679E"/>
    <w:rsid w:val="00BE67B3"/>
    <w:rsid w:val="00BE681B"/>
    <w:rsid w:val="00BE6822"/>
    <w:rsid w:val="00BE6A84"/>
    <w:rsid w:val="00BE6AA3"/>
    <w:rsid w:val="00BE6BBC"/>
    <w:rsid w:val="00BE6BC6"/>
    <w:rsid w:val="00BE6C24"/>
    <w:rsid w:val="00BE6C54"/>
    <w:rsid w:val="00BE6C77"/>
    <w:rsid w:val="00BE6C90"/>
    <w:rsid w:val="00BE6FB5"/>
    <w:rsid w:val="00BE6FF3"/>
    <w:rsid w:val="00BE706A"/>
    <w:rsid w:val="00BE706C"/>
    <w:rsid w:val="00BE70C1"/>
    <w:rsid w:val="00BE719A"/>
    <w:rsid w:val="00BE72BD"/>
    <w:rsid w:val="00BE732C"/>
    <w:rsid w:val="00BE73CE"/>
    <w:rsid w:val="00BE73FE"/>
    <w:rsid w:val="00BE761D"/>
    <w:rsid w:val="00BE778B"/>
    <w:rsid w:val="00BE77B7"/>
    <w:rsid w:val="00BE7867"/>
    <w:rsid w:val="00BE7891"/>
    <w:rsid w:val="00BE78C2"/>
    <w:rsid w:val="00BE792B"/>
    <w:rsid w:val="00BE792C"/>
    <w:rsid w:val="00BE7ABD"/>
    <w:rsid w:val="00BE7B53"/>
    <w:rsid w:val="00BE7D3F"/>
    <w:rsid w:val="00BE7E21"/>
    <w:rsid w:val="00BE7EC2"/>
    <w:rsid w:val="00BE7F9B"/>
    <w:rsid w:val="00BE7FE9"/>
    <w:rsid w:val="00BF013E"/>
    <w:rsid w:val="00BF0278"/>
    <w:rsid w:val="00BF0567"/>
    <w:rsid w:val="00BF06EF"/>
    <w:rsid w:val="00BF0869"/>
    <w:rsid w:val="00BF0879"/>
    <w:rsid w:val="00BF0AA2"/>
    <w:rsid w:val="00BF0AD3"/>
    <w:rsid w:val="00BF0E74"/>
    <w:rsid w:val="00BF0F7A"/>
    <w:rsid w:val="00BF0F89"/>
    <w:rsid w:val="00BF0FA1"/>
    <w:rsid w:val="00BF100D"/>
    <w:rsid w:val="00BF1038"/>
    <w:rsid w:val="00BF1170"/>
    <w:rsid w:val="00BF125A"/>
    <w:rsid w:val="00BF12EB"/>
    <w:rsid w:val="00BF1363"/>
    <w:rsid w:val="00BF14B1"/>
    <w:rsid w:val="00BF153C"/>
    <w:rsid w:val="00BF1569"/>
    <w:rsid w:val="00BF15B1"/>
    <w:rsid w:val="00BF187B"/>
    <w:rsid w:val="00BF19F2"/>
    <w:rsid w:val="00BF1A71"/>
    <w:rsid w:val="00BF1C2E"/>
    <w:rsid w:val="00BF1C42"/>
    <w:rsid w:val="00BF1D10"/>
    <w:rsid w:val="00BF1E66"/>
    <w:rsid w:val="00BF1ECF"/>
    <w:rsid w:val="00BF205F"/>
    <w:rsid w:val="00BF21E1"/>
    <w:rsid w:val="00BF24C0"/>
    <w:rsid w:val="00BF2801"/>
    <w:rsid w:val="00BF28BA"/>
    <w:rsid w:val="00BF290F"/>
    <w:rsid w:val="00BF29CC"/>
    <w:rsid w:val="00BF2B79"/>
    <w:rsid w:val="00BF2C0F"/>
    <w:rsid w:val="00BF2CC9"/>
    <w:rsid w:val="00BF2F3E"/>
    <w:rsid w:val="00BF2FCC"/>
    <w:rsid w:val="00BF30FE"/>
    <w:rsid w:val="00BF3124"/>
    <w:rsid w:val="00BF3143"/>
    <w:rsid w:val="00BF31F8"/>
    <w:rsid w:val="00BF34D5"/>
    <w:rsid w:val="00BF3524"/>
    <w:rsid w:val="00BF35BA"/>
    <w:rsid w:val="00BF37EE"/>
    <w:rsid w:val="00BF3AC6"/>
    <w:rsid w:val="00BF40FD"/>
    <w:rsid w:val="00BF41B6"/>
    <w:rsid w:val="00BF41F3"/>
    <w:rsid w:val="00BF4229"/>
    <w:rsid w:val="00BF4234"/>
    <w:rsid w:val="00BF4311"/>
    <w:rsid w:val="00BF4433"/>
    <w:rsid w:val="00BF4553"/>
    <w:rsid w:val="00BF4746"/>
    <w:rsid w:val="00BF4756"/>
    <w:rsid w:val="00BF48C4"/>
    <w:rsid w:val="00BF4A02"/>
    <w:rsid w:val="00BF4A37"/>
    <w:rsid w:val="00BF4A47"/>
    <w:rsid w:val="00BF4AA1"/>
    <w:rsid w:val="00BF4C5F"/>
    <w:rsid w:val="00BF4E3D"/>
    <w:rsid w:val="00BF4E68"/>
    <w:rsid w:val="00BF4E91"/>
    <w:rsid w:val="00BF4EF2"/>
    <w:rsid w:val="00BF500B"/>
    <w:rsid w:val="00BF5011"/>
    <w:rsid w:val="00BF50A9"/>
    <w:rsid w:val="00BF50F0"/>
    <w:rsid w:val="00BF5467"/>
    <w:rsid w:val="00BF5531"/>
    <w:rsid w:val="00BF5753"/>
    <w:rsid w:val="00BF57DE"/>
    <w:rsid w:val="00BF5810"/>
    <w:rsid w:val="00BF5839"/>
    <w:rsid w:val="00BF58AF"/>
    <w:rsid w:val="00BF591C"/>
    <w:rsid w:val="00BF5C04"/>
    <w:rsid w:val="00BF5D5D"/>
    <w:rsid w:val="00BF5DCA"/>
    <w:rsid w:val="00BF5DE5"/>
    <w:rsid w:val="00BF5DEC"/>
    <w:rsid w:val="00BF5EA7"/>
    <w:rsid w:val="00BF639C"/>
    <w:rsid w:val="00BF63C1"/>
    <w:rsid w:val="00BF63D4"/>
    <w:rsid w:val="00BF6442"/>
    <w:rsid w:val="00BF66ED"/>
    <w:rsid w:val="00BF6733"/>
    <w:rsid w:val="00BF678C"/>
    <w:rsid w:val="00BF69E7"/>
    <w:rsid w:val="00BF6A78"/>
    <w:rsid w:val="00BF6B44"/>
    <w:rsid w:val="00BF6CCB"/>
    <w:rsid w:val="00BF6E25"/>
    <w:rsid w:val="00BF6E2B"/>
    <w:rsid w:val="00BF6EEF"/>
    <w:rsid w:val="00BF6FB2"/>
    <w:rsid w:val="00BF719C"/>
    <w:rsid w:val="00BF725D"/>
    <w:rsid w:val="00BF7394"/>
    <w:rsid w:val="00BF745F"/>
    <w:rsid w:val="00BF748D"/>
    <w:rsid w:val="00BF764F"/>
    <w:rsid w:val="00BF76EF"/>
    <w:rsid w:val="00BF77F8"/>
    <w:rsid w:val="00BF783F"/>
    <w:rsid w:val="00BF7996"/>
    <w:rsid w:val="00BF7B5C"/>
    <w:rsid w:val="00BF7B8C"/>
    <w:rsid w:val="00BF7DB0"/>
    <w:rsid w:val="00BF7DE0"/>
    <w:rsid w:val="00BF7F4E"/>
    <w:rsid w:val="00BF7F86"/>
    <w:rsid w:val="00C0014A"/>
    <w:rsid w:val="00C001DC"/>
    <w:rsid w:val="00C00210"/>
    <w:rsid w:val="00C0024B"/>
    <w:rsid w:val="00C00335"/>
    <w:rsid w:val="00C00362"/>
    <w:rsid w:val="00C004EA"/>
    <w:rsid w:val="00C00758"/>
    <w:rsid w:val="00C008B0"/>
    <w:rsid w:val="00C0097A"/>
    <w:rsid w:val="00C00AE8"/>
    <w:rsid w:val="00C00BB8"/>
    <w:rsid w:val="00C00BD3"/>
    <w:rsid w:val="00C00C8C"/>
    <w:rsid w:val="00C00DF3"/>
    <w:rsid w:val="00C00E37"/>
    <w:rsid w:val="00C00EA2"/>
    <w:rsid w:val="00C00EBE"/>
    <w:rsid w:val="00C00FB9"/>
    <w:rsid w:val="00C01005"/>
    <w:rsid w:val="00C01021"/>
    <w:rsid w:val="00C0106D"/>
    <w:rsid w:val="00C010BB"/>
    <w:rsid w:val="00C01295"/>
    <w:rsid w:val="00C013B1"/>
    <w:rsid w:val="00C01422"/>
    <w:rsid w:val="00C01442"/>
    <w:rsid w:val="00C014D0"/>
    <w:rsid w:val="00C01519"/>
    <w:rsid w:val="00C01ABB"/>
    <w:rsid w:val="00C01B4D"/>
    <w:rsid w:val="00C01BDB"/>
    <w:rsid w:val="00C01E14"/>
    <w:rsid w:val="00C01E20"/>
    <w:rsid w:val="00C01F19"/>
    <w:rsid w:val="00C02107"/>
    <w:rsid w:val="00C02188"/>
    <w:rsid w:val="00C021B8"/>
    <w:rsid w:val="00C02321"/>
    <w:rsid w:val="00C023CC"/>
    <w:rsid w:val="00C0242F"/>
    <w:rsid w:val="00C0244F"/>
    <w:rsid w:val="00C0289D"/>
    <w:rsid w:val="00C028E2"/>
    <w:rsid w:val="00C0291D"/>
    <w:rsid w:val="00C029B5"/>
    <w:rsid w:val="00C029E7"/>
    <w:rsid w:val="00C02A50"/>
    <w:rsid w:val="00C02B63"/>
    <w:rsid w:val="00C02B67"/>
    <w:rsid w:val="00C02B8A"/>
    <w:rsid w:val="00C02BD6"/>
    <w:rsid w:val="00C02E12"/>
    <w:rsid w:val="00C02F35"/>
    <w:rsid w:val="00C02F38"/>
    <w:rsid w:val="00C02F5A"/>
    <w:rsid w:val="00C0307A"/>
    <w:rsid w:val="00C0308F"/>
    <w:rsid w:val="00C03164"/>
    <w:rsid w:val="00C0323D"/>
    <w:rsid w:val="00C03259"/>
    <w:rsid w:val="00C03340"/>
    <w:rsid w:val="00C034E7"/>
    <w:rsid w:val="00C0369B"/>
    <w:rsid w:val="00C036DE"/>
    <w:rsid w:val="00C0380B"/>
    <w:rsid w:val="00C039BC"/>
    <w:rsid w:val="00C03C31"/>
    <w:rsid w:val="00C03E11"/>
    <w:rsid w:val="00C03FE4"/>
    <w:rsid w:val="00C04037"/>
    <w:rsid w:val="00C040B3"/>
    <w:rsid w:val="00C04129"/>
    <w:rsid w:val="00C0423F"/>
    <w:rsid w:val="00C042DB"/>
    <w:rsid w:val="00C04308"/>
    <w:rsid w:val="00C04436"/>
    <w:rsid w:val="00C044BD"/>
    <w:rsid w:val="00C0489F"/>
    <w:rsid w:val="00C048E6"/>
    <w:rsid w:val="00C0493F"/>
    <w:rsid w:val="00C04950"/>
    <w:rsid w:val="00C04A10"/>
    <w:rsid w:val="00C04B17"/>
    <w:rsid w:val="00C04B3C"/>
    <w:rsid w:val="00C04C8A"/>
    <w:rsid w:val="00C04DC7"/>
    <w:rsid w:val="00C04DC8"/>
    <w:rsid w:val="00C04E94"/>
    <w:rsid w:val="00C04F90"/>
    <w:rsid w:val="00C0502F"/>
    <w:rsid w:val="00C05043"/>
    <w:rsid w:val="00C05502"/>
    <w:rsid w:val="00C055ED"/>
    <w:rsid w:val="00C05853"/>
    <w:rsid w:val="00C05878"/>
    <w:rsid w:val="00C0598B"/>
    <w:rsid w:val="00C05A04"/>
    <w:rsid w:val="00C05DF1"/>
    <w:rsid w:val="00C05F1A"/>
    <w:rsid w:val="00C0601F"/>
    <w:rsid w:val="00C06148"/>
    <w:rsid w:val="00C06235"/>
    <w:rsid w:val="00C063D7"/>
    <w:rsid w:val="00C06471"/>
    <w:rsid w:val="00C06522"/>
    <w:rsid w:val="00C0652E"/>
    <w:rsid w:val="00C065EE"/>
    <w:rsid w:val="00C0661D"/>
    <w:rsid w:val="00C06698"/>
    <w:rsid w:val="00C066BC"/>
    <w:rsid w:val="00C06822"/>
    <w:rsid w:val="00C068C0"/>
    <w:rsid w:val="00C069F5"/>
    <w:rsid w:val="00C06B7A"/>
    <w:rsid w:val="00C06B94"/>
    <w:rsid w:val="00C06C9A"/>
    <w:rsid w:val="00C07444"/>
    <w:rsid w:val="00C074E3"/>
    <w:rsid w:val="00C07574"/>
    <w:rsid w:val="00C077CA"/>
    <w:rsid w:val="00C078BD"/>
    <w:rsid w:val="00C078DF"/>
    <w:rsid w:val="00C07987"/>
    <w:rsid w:val="00C07A31"/>
    <w:rsid w:val="00C07ACB"/>
    <w:rsid w:val="00C07C78"/>
    <w:rsid w:val="00C07CA3"/>
    <w:rsid w:val="00C07F69"/>
    <w:rsid w:val="00C07FB4"/>
    <w:rsid w:val="00C07FCC"/>
    <w:rsid w:val="00C10001"/>
    <w:rsid w:val="00C10065"/>
    <w:rsid w:val="00C105DA"/>
    <w:rsid w:val="00C10618"/>
    <w:rsid w:val="00C1066A"/>
    <w:rsid w:val="00C107A3"/>
    <w:rsid w:val="00C10820"/>
    <w:rsid w:val="00C1086F"/>
    <w:rsid w:val="00C1095E"/>
    <w:rsid w:val="00C10991"/>
    <w:rsid w:val="00C109D5"/>
    <w:rsid w:val="00C10A0E"/>
    <w:rsid w:val="00C10A3B"/>
    <w:rsid w:val="00C10B05"/>
    <w:rsid w:val="00C10BB9"/>
    <w:rsid w:val="00C10CD5"/>
    <w:rsid w:val="00C10D1E"/>
    <w:rsid w:val="00C10ED4"/>
    <w:rsid w:val="00C11098"/>
    <w:rsid w:val="00C1110F"/>
    <w:rsid w:val="00C112CA"/>
    <w:rsid w:val="00C113EF"/>
    <w:rsid w:val="00C115AC"/>
    <w:rsid w:val="00C115DC"/>
    <w:rsid w:val="00C1161F"/>
    <w:rsid w:val="00C1186A"/>
    <w:rsid w:val="00C11A1E"/>
    <w:rsid w:val="00C11D96"/>
    <w:rsid w:val="00C11F01"/>
    <w:rsid w:val="00C120FB"/>
    <w:rsid w:val="00C1213B"/>
    <w:rsid w:val="00C1227B"/>
    <w:rsid w:val="00C122AF"/>
    <w:rsid w:val="00C12326"/>
    <w:rsid w:val="00C1248F"/>
    <w:rsid w:val="00C125EC"/>
    <w:rsid w:val="00C127C6"/>
    <w:rsid w:val="00C128AB"/>
    <w:rsid w:val="00C12C07"/>
    <w:rsid w:val="00C12C45"/>
    <w:rsid w:val="00C12C84"/>
    <w:rsid w:val="00C12CC4"/>
    <w:rsid w:val="00C12DE3"/>
    <w:rsid w:val="00C12E3B"/>
    <w:rsid w:val="00C12E5B"/>
    <w:rsid w:val="00C12F28"/>
    <w:rsid w:val="00C12F5B"/>
    <w:rsid w:val="00C12F65"/>
    <w:rsid w:val="00C130D8"/>
    <w:rsid w:val="00C13135"/>
    <w:rsid w:val="00C131E5"/>
    <w:rsid w:val="00C132EF"/>
    <w:rsid w:val="00C1335A"/>
    <w:rsid w:val="00C133D7"/>
    <w:rsid w:val="00C13638"/>
    <w:rsid w:val="00C136BE"/>
    <w:rsid w:val="00C13845"/>
    <w:rsid w:val="00C1389E"/>
    <w:rsid w:val="00C138B9"/>
    <w:rsid w:val="00C13976"/>
    <w:rsid w:val="00C13FE3"/>
    <w:rsid w:val="00C1400A"/>
    <w:rsid w:val="00C14323"/>
    <w:rsid w:val="00C14354"/>
    <w:rsid w:val="00C14545"/>
    <w:rsid w:val="00C145A8"/>
    <w:rsid w:val="00C1474F"/>
    <w:rsid w:val="00C14844"/>
    <w:rsid w:val="00C148F3"/>
    <w:rsid w:val="00C14A24"/>
    <w:rsid w:val="00C14A28"/>
    <w:rsid w:val="00C14BB1"/>
    <w:rsid w:val="00C14C0B"/>
    <w:rsid w:val="00C14E0A"/>
    <w:rsid w:val="00C14EFE"/>
    <w:rsid w:val="00C14FC5"/>
    <w:rsid w:val="00C15052"/>
    <w:rsid w:val="00C152C3"/>
    <w:rsid w:val="00C15356"/>
    <w:rsid w:val="00C15444"/>
    <w:rsid w:val="00C15791"/>
    <w:rsid w:val="00C157CA"/>
    <w:rsid w:val="00C157E3"/>
    <w:rsid w:val="00C158F5"/>
    <w:rsid w:val="00C159E1"/>
    <w:rsid w:val="00C15BDE"/>
    <w:rsid w:val="00C15BE3"/>
    <w:rsid w:val="00C15E46"/>
    <w:rsid w:val="00C15E7B"/>
    <w:rsid w:val="00C15E9B"/>
    <w:rsid w:val="00C15E9C"/>
    <w:rsid w:val="00C15F21"/>
    <w:rsid w:val="00C160E7"/>
    <w:rsid w:val="00C16102"/>
    <w:rsid w:val="00C162D7"/>
    <w:rsid w:val="00C1652F"/>
    <w:rsid w:val="00C16796"/>
    <w:rsid w:val="00C167F5"/>
    <w:rsid w:val="00C168E2"/>
    <w:rsid w:val="00C16984"/>
    <w:rsid w:val="00C16A2E"/>
    <w:rsid w:val="00C16A68"/>
    <w:rsid w:val="00C16ADA"/>
    <w:rsid w:val="00C16B66"/>
    <w:rsid w:val="00C17120"/>
    <w:rsid w:val="00C17152"/>
    <w:rsid w:val="00C1731C"/>
    <w:rsid w:val="00C17331"/>
    <w:rsid w:val="00C173DA"/>
    <w:rsid w:val="00C17447"/>
    <w:rsid w:val="00C17691"/>
    <w:rsid w:val="00C1786C"/>
    <w:rsid w:val="00C178EA"/>
    <w:rsid w:val="00C17ADA"/>
    <w:rsid w:val="00C17AE3"/>
    <w:rsid w:val="00C17C60"/>
    <w:rsid w:val="00C17D87"/>
    <w:rsid w:val="00C17EDA"/>
    <w:rsid w:val="00C20033"/>
    <w:rsid w:val="00C20064"/>
    <w:rsid w:val="00C2039F"/>
    <w:rsid w:val="00C203DA"/>
    <w:rsid w:val="00C20481"/>
    <w:rsid w:val="00C2065B"/>
    <w:rsid w:val="00C209EE"/>
    <w:rsid w:val="00C209F7"/>
    <w:rsid w:val="00C20AC6"/>
    <w:rsid w:val="00C20C28"/>
    <w:rsid w:val="00C20C8E"/>
    <w:rsid w:val="00C20E48"/>
    <w:rsid w:val="00C2102D"/>
    <w:rsid w:val="00C2115D"/>
    <w:rsid w:val="00C2121D"/>
    <w:rsid w:val="00C212CE"/>
    <w:rsid w:val="00C2166E"/>
    <w:rsid w:val="00C217E1"/>
    <w:rsid w:val="00C218A2"/>
    <w:rsid w:val="00C21AD1"/>
    <w:rsid w:val="00C21B38"/>
    <w:rsid w:val="00C21D0D"/>
    <w:rsid w:val="00C21D6F"/>
    <w:rsid w:val="00C21D75"/>
    <w:rsid w:val="00C21DE3"/>
    <w:rsid w:val="00C21EA6"/>
    <w:rsid w:val="00C21FEF"/>
    <w:rsid w:val="00C21FF2"/>
    <w:rsid w:val="00C2228C"/>
    <w:rsid w:val="00C22296"/>
    <w:rsid w:val="00C223C9"/>
    <w:rsid w:val="00C223FE"/>
    <w:rsid w:val="00C22447"/>
    <w:rsid w:val="00C225BC"/>
    <w:rsid w:val="00C226AE"/>
    <w:rsid w:val="00C2270F"/>
    <w:rsid w:val="00C22B5C"/>
    <w:rsid w:val="00C22C0E"/>
    <w:rsid w:val="00C22FB1"/>
    <w:rsid w:val="00C22FF8"/>
    <w:rsid w:val="00C23304"/>
    <w:rsid w:val="00C234D1"/>
    <w:rsid w:val="00C2350C"/>
    <w:rsid w:val="00C23533"/>
    <w:rsid w:val="00C23618"/>
    <w:rsid w:val="00C2381B"/>
    <w:rsid w:val="00C238B4"/>
    <w:rsid w:val="00C23AFC"/>
    <w:rsid w:val="00C23CB1"/>
    <w:rsid w:val="00C23D8B"/>
    <w:rsid w:val="00C23F1E"/>
    <w:rsid w:val="00C241E3"/>
    <w:rsid w:val="00C2422E"/>
    <w:rsid w:val="00C2426B"/>
    <w:rsid w:val="00C2447A"/>
    <w:rsid w:val="00C24523"/>
    <w:rsid w:val="00C246DD"/>
    <w:rsid w:val="00C246E3"/>
    <w:rsid w:val="00C24724"/>
    <w:rsid w:val="00C2474F"/>
    <w:rsid w:val="00C248FD"/>
    <w:rsid w:val="00C24B12"/>
    <w:rsid w:val="00C24B79"/>
    <w:rsid w:val="00C24BC8"/>
    <w:rsid w:val="00C24BE4"/>
    <w:rsid w:val="00C24C20"/>
    <w:rsid w:val="00C24D5B"/>
    <w:rsid w:val="00C24EEF"/>
    <w:rsid w:val="00C24F4D"/>
    <w:rsid w:val="00C250C7"/>
    <w:rsid w:val="00C25157"/>
    <w:rsid w:val="00C252CC"/>
    <w:rsid w:val="00C252D6"/>
    <w:rsid w:val="00C25325"/>
    <w:rsid w:val="00C2533F"/>
    <w:rsid w:val="00C2548B"/>
    <w:rsid w:val="00C254FA"/>
    <w:rsid w:val="00C25810"/>
    <w:rsid w:val="00C259FB"/>
    <w:rsid w:val="00C25C03"/>
    <w:rsid w:val="00C25C35"/>
    <w:rsid w:val="00C25C38"/>
    <w:rsid w:val="00C25C45"/>
    <w:rsid w:val="00C25D8E"/>
    <w:rsid w:val="00C2612E"/>
    <w:rsid w:val="00C2622A"/>
    <w:rsid w:val="00C2624D"/>
    <w:rsid w:val="00C2636A"/>
    <w:rsid w:val="00C263C7"/>
    <w:rsid w:val="00C265F5"/>
    <w:rsid w:val="00C26647"/>
    <w:rsid w:val="00C2675A"/>
    <w:rsid w:val="00C267D9"/>
    <w:rsid w:val="00C26BD6"/>
    <w:rsid w:val="00C26DB2"/>
    <w:rsid w:val="00C26E90"/>
    <w:rsid w:val="00C26F35"/>
    <w:rsid w:val="00C26F87"/>
    <w:rsid w:val="00C270B9"/>
    <w:rsid w:val="00C270FC"/>
    <w:rsid w:val="00C27305"/>
    <w:rsid w:val="00C27545"/>
    <w:rsid w:val="00C27583"/>
    <w:rsid w:val="00C2759E"/>
    <w:rsid w:val="00C276BA"/>
    <w:rsid w:val="00C2777D"/>
    <w:rsid w:val="00C277F0"/>
    <w:rsid w:val="00C27A2E"/>
    <w:rsid w:val="00C27AD4"/>
    <w:rsid w:val="00C27B07"/>
    <w:rsid w:val="00C27C54"/>
    <w:rsid w:val="00C27CC3"/>
    <w:rsid w:val="00C27E12"/>
    <w:rsid w:val="00C27F21"/>
    <w:rsid w:val="00C300E2"/>
    <w:rsid w:val="00C30124"/>
    <w:rsid w:val="00C301A9"/>
    <w:rsid w:val="00C301F1"/>
    <w:rsid w:val="00C30261"/>
    <w:rsid w:val="00C30427"/>
    <w:rsid w:val="00C30514"/>
    <w:rsid w:val="00C306AD"/>
    <w:rsid w:val="00C30798"/>
    <w:rsid w:val="00C30A27"/>
    <w:rsid w:val="00C30B31"/>
    <w:rsid w:val="00C30B62"/>
    <w:rsid w:val="00C30D22"/>
    <w:rsid w:val="00C30D96"/>
    <w:rsid w:val="00C30F8C"/>
    <w:rsid w:val="00C31110"/>
    <w:rsid w:val="00C314EA"/>
    <w:rsid w:val="00C31547"/>
    <w:rsid w:val="00C31699"/>
    <w:rsid w:val="00C316C2"/>
    <w:rsid w:val="00C31700"/>
    <w:rsid w:val="00C318F3"/>
    <w:rsid w:val="00C3196B"/>
    <w:rsid w:val="00C319A2"/>
    <w:rsid w:val="00C31C23"/>
    <w:rsid w:val="00C31C5B"/>
    <w:rsid w:val="00C31ED2"/>
    <w:rsid w:val="00C320D7"/>
    <w:rsid w:val="00C32154"/>
    <w:rsid w:val="00C3216A"/>
    <w:rsid w:val="00C321DB"/>
    <w:rsid w:val="00C32208"/>
    <w:rsid w:val="00C32225"/>
    <w:rsid w:val="00C32275"/>
    <w:rsid w:val="00C323E8"/>
    <w:rsid w:val="00C32413"/>
    <w:rsid w:val="00C32457"/>
    <w:rsid w:val="00C32625"/>
    <w:rsid w:val="00C32632"/>
    <w:rsid w:val="00C32668"/>
    <w:rsid w:val="00C32692"/>
    <w:rsid w:val="00C329E8"/>
    <w:rsid w:val="00C329F7"/>
    <w:rsid w:val="00C32A31"/>
    <w:rsid w:val="00C32AEC"/>
    <w:rsid w:val="00C32BA3"/>
    <w:rsid w:val="00C32BE2"/>
    <w:rsid w:val="00C32C36"/>
    <w:rsid w:val="00C33071"/>
    <w:rsid w:val="00C330BE"/>
    <w:rsid w:val="00C3351A"/>
    <w:rsid w:val="00C3352E"/>
    <w:rsid w:val="00C3362B"/>
    <w:rsid w:val="00C338B0"/>
    <w:rsid w:val="00C339D5"/>
    <w:rsid w:val="00C33CBF"/>
    <w:rsid w:val="00C33DC1"/>
    <w:rsid w:val="00C33E50"/>
    <w:rsid w:val="00C33F5A"/>
    <w:rsid w:val="00C33F6B"/>
    <w:rsid w:val="00C34016"/>
    <w:rsid w:val="00C340BB"/>
    <w:rsid w:val="00C341C2"/>
    <w:rsid w:val="00C3436C"/>
    <w:rsid w:val="00C343F6"/>
    <w:rsid w:val="00C344C8"/>
    <w:rsid w:val="00C344D8"/>
    <w:rsid w:val="00C34555"/>
    <w:rsid w:val="00C345AB"/>
    <w:rsid w:val="00C34705"/>
    <w:rsid w:val="00C347DD"/>
    <w:rsid w:val="00C34829"/>
    <w:rsid w:val="00C34BD3"/>
    <w:rsid w:val="00C34DB6"/>
    <w:rsid w:val="00C34E05"/>
    <w:rsid w:val="00C34ED5"/>
    <w:rsid w:val="00C34FAD"/>
    <w:rsid w:val="00C3519C"/>
    <w:rsid w:val="00C3524F"/>
    <w:rsid w:val="00C354C5"/>
    <w:rsid w:val="00C354D8"/>
    <w:rsid w:val="00C35619"/>
    <w:rsid w:val="00C3561E"/>
    <w:rsid w:val="00C35706"/>
    <w:rsid w:val="00C35999"/>
    <w:rsid w:val="00C35A40"/>
    <w:rsid w:val="00C35BFE"/>
    <w:rsid w:val="00C35CC1"/>
    <w:rsid w:val="00C35DA3"/>
    <w:rsid w:val="00C35E3E"/>
    <w:rsid w:val="00C35E86"/>
    <w:rsid w:val="00C35FB0"/>
    <w:rsid w:val="00C36186"/>
    <w:rsid w:val="00C361AA"/>
    <w:rsid w:val="00C36365"/>
    <w:rsid w:val="00C3637F"/>
    <w:rsid w:val="00C364B9"/>
    <w:rsid w:val="00C36554"/>
    <w:rsid w:val="00C3669E"/>
    <w:rsid w:val="00C36773"/>
    <w:rsid w:val="00C369A6"/>
    <w:rsid w:val="00C36A1E"/>
    <w:rsid w:val="00C36A26"/>
    <w:rsid w:val="00C36A54"/>
    <w:rsid w:val="00C36A96"/>
    <w:rsid w:val="00C36C40"/>
    <w:rsid w:val="00C36C97"/>
    <w:rsid w:val="00C36D6D"/>
    <w:rsid w:val="00C36EA6"/>
    <w:rsid w:val="00C37057"/>
    <w:rsid w:val="00C372AE"/>
    <w:rsid w:val="00C37362"/>
    <w:rsid w:val="00C37387"/>
    <w:rsid w:val="00C3754E"/>
    <w:rsid w:val="00C375C8"/>
    <w:rsid w:val="00C375E2"/>
    <w:rsid w:val="00C376ED"/>
    <w:rsid w:val="00C3787E"/>
    <w:rsid w:val="00C37B1F"/>
    <w:rsid w:val="00C37CF3"/>
    <w:rsid w:val="00C37DAA"/>
    <w:rsid w:val="00C37DCD"/>
    <w:rsid w:val="00C37E05"/>
    <w:rsid w:val="00C37E20"/>
    <w:rsid w:val="00C37F27"/>
    <w:rsid w:val="00C3D528"/>
    <w:rsid w:val="00C4057E"/>
    <w:rsid w:val="00C4070A"/>
    <w:rsid w:val="00C40740"/>
    <w:rsid w:val="00C407A8"/>
    <w:rsid w:val="00C40860"/>
    <w:rsid w:val="00C4093D"/>
    <w:rsid w:val="00C40AC7"/>
    <w:rsid w:val="00C40C65"/>
    <w:rsid w:val="00C40EC7"/>
    <w:rsid w:val="00C40ECA"/>
    <w:rsid w:val="00C40F43"/>
    <w:rsid w:val="00C41462"/>
    <w:rsid w:val="00C4150C"/>
    <w:rsid w:val="00C4152F"/>
    <w:rsid w:val="00C4159F"/>
    <w:rsid w:val="00C415BD"/>
    <w:rsid w:val="00C416D0"/>
    <w:rsid w:val="00C416F8"/>
    <w:rsid w:val="00C41770"/>
    <w:rsid w:val="00C417B1"/>
    <w:rsid w:val="00C41AE4"/>
    <w:rsid w:val="00C41B2B"/>
    <w:rsid w:val="00C41BB2"/>
    <w:rsid w:val="00C41CC8"/>
    <w:rsid w:val="00C41E61"/>
    <w:rsid w:val="00C4208E"/>
    <w:rsid w:val="00C420EE"/>
    <w:rsid w:val="00C423A1"/>
    <w:rsid w:val="00C4246F"/>
    <w:rsid w:val="00C424A3"/>
    <w:rsid w:val="00C4267E"/>
    <w:rsid w:val="00C42683"/>
    <w:rsid w:val="00C426C9"/>
    <w:rsid w:val="00C42800"/>
    <w:rsid w:val="00C42857"/>
    <w:rsid w:val="00C42ADC"/>
    <w:rsid w:val="00C42B23"/>
    <w:rsid w:val="00C42B8B"/>
    <w:rsid w:val="00C42CA7"/>
    <w:rsid w:val="00C42CF8"/>
    <w:rsid w:val="00C42CFE"/>
    <w:rsid w:val="00C42DBC"/>
    <w:rsid w:val="00C42E28"/>
    <w:rsid w:val="00C42EC2"/>
    <w:rsid w:val="00C42EC4"/>
    <w:rsid w:val="00C42FEC"/>
    <w:rsid w:val="00C43035"/>
    <w:rsid w:val="00C43061"/>
    <w:rsid w:val="00C430F0"/>
    <w:rsid w:val="00C432D9"/>
    <w:rsid w:val="00C43335"/>
    <w:rsid w:val="00C4339B"/>
    <w:rsid w:val="00C43497"/>
    <w:rsid w:val="00C434B8"/>
    <w:rsid w:val="00C43641"/>
    <w:rsid w:val="00C437D6"/>
    <w:rsid w:val="00C439BD"/>
    <w:rsid w:val="00C43A4C"/>
    <w:rsid w:val="00C43B18"/>
    <w:rsid w:val="00C43D4B"/>
    <w:rsid w:val="00C43F75"/>
    <w:rsid w:val="00C43FF9"/>
    <w:rsid w:val="00C4408B"/>
    <w:rsid w:val="00C44253"/>
    <w:rsid w:val="00C4428D"/>
    <w:rsid w:val="00C4440C"/>
    <w:rsid w:val="00C44563"/>
    <w:rsid w:val="00C4468C"/>
    <w:rsid w:val="00C44880"/>
    <w:rsid w:val="00C448AC"/>
    <w:rsid w:val="00C44B69"/>
    <w:rsid w:val="00C44C80"/>
    <w:rsid w:val="00C44CBC"/>
    <w:rsid w:val="00C44D3C"/>
    <w:rsid w:val="00C44F3C"/>
    <w:rsid w:val="00C4514A"/>
    <w:rsid w:val="00C45500"/>
    <w:rsid w:val="00C4592D"/>
    <w:rsid w:val="00C4594C"/>
    <w:rsid w:val="00C45A4B"/>
    <w:rsid w:val="00C45B02"/>
    <w:rsid w:val="00C45B1A"/>
    <w:rsid w:val="00C45BAB"/>
    <w:rsid w:val="00C45C0E"/>
    <w:rsid w:val="00C45C7C"/>
    <w:rsid w:val="00C45F8F"/>
    <w:rsid w:val="00C4612F"/>
    <w:rsid w:val="00C465A1"/>
    <w:rsid w:val="00C46600"/>
    <w:rsid w:val="00C46621"/>
    <w:rsid w:val="00C4669F"/>
    <w:rsid w:val="00C467FE"/>
    <w:rsid w:val="00C46847"/>
    <w:rsid w:val="00C4687C"/>
    <w:rsid w:val="00C468A3"/>
    <w:rsid w:val="00C46A41"/>
    <w:rsid w:val="00C46A4D"/>
    <w:rsid w:val="00C46A6E"/>
    <w:rsid w:val="00C46B56"/>
    <w:rsid w:val="00C46DA8"/>
    <w:rsid w:val="00C46E08"/>
    <w:rsid w:val="00C46EC4"/>
    <w:rsid w:val="00C46EFE"/>
    <w:rsid w:val="00C47101"/>
    <w:rsid w:val="00C47107"/>
    <w:rsid w:val="00C47222"/>
    <w:rsid w:val="00C4730E"/>
    <w:rsid w:val="00C47316"/>
    <w:rsid w:val="00C4739B"/>
    <w:rsid w:val="00C473B6"/>
    <w:rsid w:val="00C475D1"/>
    <w:rsid w:val="00C475E3"/>
    <w:rsid w:val="00C477FA"/>
    <w:rsid w:val="00C478DD"/>
    <w:rsid w:val="00C47987"/>
    <w:rsid w:val="00C479ED"/>
    <w:rsid w:val="00C47BE4"/>
    <w:rsid w:val="00C47C8C"/>
    <w:rsid w:val="00C47D27"/>
    <w:rsid w:val="00C47EC2"/>
    <w:rsid w:val="00C47EDE"/>
    <w:rsid w:val="00C47F38"/>
    <w:rsid w:val="00C47F94"/>
    <w:rsid w:val="00C47FA1"/>
    <w:rsid w:val="00C50173"/>
    <w:rsid w:val="00C5017A"/>
    <w:rsid w:val="00C50182"/>
    <w:rsid w:val="00C501D1"/>
    <w:rsid w:val="00C5039C"/>
    <w:rsid w:val="00C5040D"/>
    <w:rsid w:val="00C5043C"/>
    <w:rsid w:val="00C505E7"/>
    <w:rsid w:val="00C50AAE"/>
    <w:rsid w:val="00C50BFE"/>
    <w:rsid w:val="00C50CD7"/>
    <w:rsid w:val="00C50CDE"/>
    <w:rsid w:val="00C50D93"/>
    <w:rsid w:val="00C50DBA"/>
    <w:rsid w:val="00C50DCB"/>
    <w:rsid w:val="00C50E27"/>
    <w:rsid w:val="00C51153"/>
    <w:rsid w:val="00C511C2"/>
    <w:rsid w:val="00C511D4"/>
    <w:rsid w:val="00C513BE"/>
    <w:rsid w:val="00C515D0"/>
    <w:rsid w:val="00C516BD"/>
    <w:rsid w:val="00C517FE"/>
    <w:rsid w:val="00C518A0"/>
    <w:rsid w:val="00C5199B"/>
    <w:rsid w:val="00C519B2"/>
    <w:rsid w:val="00C51CBA"/>
    <w:rsid w:val="00C51E10"/>
    <w:rsid w:val="00C51F67"/>
    <w:rsid w:val="00C52097"/>
    <w:rsid w:val="00C522AB"/>
    <w:rsid w:val="00C524E1"/>
    <w:rsid w:val="00C524F3"/>
    <w:rsid w:val="00C52625"/>
    <w:rsid w:val="00C52779"/>
    <w:rsid w:val="00C52A50"/>
    <w:rsid w:val="00C52A7C"/>
    <w:rsid w:val="00C52AF4"/>
    <w:rsid w:val="00C52B07"/>
    <w:rsid w:val="00C52B61"/>
    <w:rsid w:val="00C52B9C"/>
    <w:rsid w:val="00C52BF9"/>
    <w:rsid w:val="00C52C63"/>
    <w:rsid w:val="00C52D6B"/>
    <w:rsid w:val="00C52DEC"/>
    <w:rsid w:val="00C52E85"/>
    <w:rsid w:val="00C52F13"/>
    <w:rsid w:val="00C53199"/>
    <w:rsid w:val="00C531B6"/>
    <w:rsid w:val="00C533E9"/>
    <w:rsid w:val="00C53492"/>
    <w:rsid w:val="00C534D3"/>
    <w:rsid w:val="00C535E0"/>
    <w:rsid w:val="00C53610"/>
    <w:rsid w:val="00C53660"/>
    <w:rsid w:val="00C5371B"/>
    <w:rsid w:val="00C537EB"/>
    <w:rsid w:val="00C5386E"/>
    <w:rsid w:val="00C538F2"/>
    <w:rsid w:val="00C538F4"/>
    <w:rsid w:val="00C53B30"/>
    <w:rsid w:val="00C53B48"/>
    <w:rsid w:val="00C53BC4"/>
    <w:rsid w:val="00C53C42"/>
    <w:rsid w:val="00C53C5E"/>
    <w:rsid w:val="00C53E52"/>
    <w:rsid w:val="00C54453"/>
    <w:rsid w:val="00C54455"/>
    <w:rsid w:val="00C5449A"/>
    <w:rsid w:val="00C544D6"/>
    <w:rsid w:val="00C54575"/>
    <w:rsid w:val="00C54592"/>
    <w:rsid w:val="00C54606"/>
    <w:rsid w:val="00C5494F"/>
    <w:rsid w:val="00C54B27"/>
    <w:rsid w:val="00C54BEB"/>
    <w:rsid w:val="00C54D7C"/>
    <w:rsid w:val="00C550DB"/>
    <w:rsid w:val="00C551FB"/>
    <w:rsid w:val="00C55528"/>
    <w:rsid w:val="00C5561C"/>
    <w:rsid w:val="00C556F9"/>
    <w:rsid w:val="00C5579C"/>
    <w:rsid w:val="00C558CC"/>
    <w:rsid w:val="00C559B1"/>
    <w:rsid w:val="00C559F6"/>
    <w:rsid w:val="00C55A36"/>
    <w:rsid w:val="00C55AE7"/>
    <w:rsid w:val="00C55D1B"/>
    <w:rsid w:val="00C55D1F"/>
    <w:rsid w:val="00C55E1B"/>
    <w:rsid w:val="00C55F94"/>
    <w:rsid w:val="00C55FAB"/>
    <w:rsid w:val="00C5615E"/>
    <w:rsid w:val="00C561D2"/>
    <w:rsid w:val="00C5630C"/>
    <w:rsid w:val="00C56318"/>
    <w:rsid w:val="00C5639F"/>
    <w:rsid w:val="00C5673E"/>
    <w:rsid w:val="00C567D3"/>
    <w:rsid w:val="00C567E2"/>
    <w:rsid w:val="00C56933"/>
    <w:rsid w:val="00C56CDE"/>
    <w:rsid w:val="00C56DD0"/>
    <w:rsid w:val="00C56ED4"/>
    <w:rsid w:val="00C56EF0"/>
    <w:rsid w:val="00C56F41"/>
    <w:rsid w:val="00C56F6E"/>
    <w:rsid w:val="00C57117"/>
    <w:rsid w:val="00C5719E"/>
    <w:rsid w:val="00C571F7"/>
    <w:rsid w:val="00C57265"/>
    <w:rsid w:val="00C5726D"/>
    <w:rsid w:val="00C572D9"/>
    <w:rsid w:val="00C57331"/>
    <w:rsid w:val="00C575D7"/>
    <w:rsid w:val="00C57644"/>
    <w:rsid w:val="00C5781D"/>
    <w:rsid w:val="00C5787D"/>
    <w:rsid w:val="00C578D9"/>
    <w:rsid w:val="00C57914"/>
    <w:rsid w:val="00C5793C"/>
    <w:rsid w:val="00C57AE2"/>
    <w:rsid w:val="00C57C65"/>
    <w:rsid w:val="00C57E81"/>
    <w:rsid w:val="00C57E86"/>
    <w:rsid w:val="00C60366"/>
    <w:rsid w:val="00C60475"/>
    <w:rsid w:val="00C60679"/>
    <w:rsid w:val="00C609E8"/>
    <w:rsid w:val="00C60BC8"/>
    <w:rsid w:val="00C60C06"/>
    <w:rsid w:val="00C60D3B"/>
    <w:rsid w:val="00C60DA5"/>
    <w:rsid w:val="00C60DAA"/>
    <w:rsid w:val="00C61321"/>
    <w:rsid w:val="00C613C0"/>
    <w:rsid w:val="00C61483"/>
    <w:rsid w:val="00C615D5"/>
    <w:rsid w:val="00C618CE"/>
    <w:rsid w:val="00C61A4D"/>
    <w:rsid w:val="00C61AA8"/>
    <w:rsid w:val="00C61C02"/>
    <w:rsid w:val="00C61F04"/>
    <w:rsid w:val="00C62178"/>
    <w:rsid w:val="00C621B3"/>
    <w:rsid w:val="00C6223F"/>
    <w:rsid w:val="00C6232C"/>
    <w:rsid w:val="00C624F9"/>
    <w:rsid w:val="00C62513"/>
    <w:rsid w:val="00C6255D"/>
    <w:rsid w:val="00C626B5"/>
    <w:rsid w:val="00C62725"/>
    <w:rsid w:val="00C62835"/>
    <w:rsid w:val="00C62965"/>
    <w:rsid w:val="00C6299D"/>
    <w:rsid w:val="00C62AC1"/>
    <w:rsid w:val="00C62AF2"/>
    <w:rsid w:val="00C62B40"/>
    <w:rsid w:val="00C62BD8"/>
    <w:rsid w:val="00C62BE5"/>
    <w:rsid w:val="00C62C1D"/>
    <w:rsid w:val="00C62CD6"/>
    <w:rsid w:val="00C62E16"/>
    <w:rsid w:val="00C62E9A"/>
    <w:rsid w:val="00C62EE4"/>
    <w:rsid w:val="00C62F0F"/>
    <w:rsid w:val="00C62F6A"/>
    <w:rsid w:val="00C62F88"/>
    <w:rsid w:val="00C62FA6"/>
    <w:rsid w:val="00C63196"/>
    <w:rsid w:val="00C63285"/>
    <w:rsid w:val="00C63370"/>
    <w:rsid w:val="00C63484"/>
    <w:rsid w:val="00C63571"/>
    <w:rsid w:val="00C637A2"/>
    <w:rsid w:val="00C6383C"/>
    <w:rsid w:val="00C63846"/>
    <w:rsid w:val="00C6390B"/>
    <w:rsid w:val="00C639BC"/>
    <w:rsid w:val="00C63A80"/>
    <w:rsid w:val="00C63A96"/>
    <w:rsid w:val="00C63B86"/>
    <w:rsid w:val="00C63BC0"/>
    <w:rsid w:val="00C63FF7"/>
    <w:rsid w:val="00C6405A"/>
    <w:rsid w:val="00C6413C"/>
    <w:rsid w:val="00C646AF"/>
    <w:rsid w:val="00C64735"/>
    <w:rsid w:val="00C648DE"/>
    <w:rsid w:val="00C64973"/>
    <w:rsid w:val="00C64A88"/>
    <w:rsid w:val="00C64B5F"/>
    <w:rsid w:val="00C64C06"/>
    <w:rsid w:val="00C64C6A"/>
    <w:rsid w:val="00C65068"/>
    <w:rsid w:val="00C65071"/>
    <w:rsid w:val="00C650F0"/>
    <w:rsid w:val="00C651CB"/>
    <w:rsid w:val="00C6527D"/>
    <w:rsid w:val="00C65439"/>
    <w:rsid w:val="00C65451"/>
    <w:rsid w:val="00C655DD"/>
    <w:rsid w:val="00C655F8"/>
    <w:rsid w:val="00C658DC"/>
    <w:rsid w:val="00C65B89"/>
    <w:rsid w:val="00C65B94"/>
    <w:rsid w:val="00C65C3B"/>
    <w:rsid w:val="00C65C43"/>
    <w:rsid w:val="00C65C83"/>
    <w:rsid w:val="00C65D63"/>
    <w:rsid w:val="00C65D7E"/>
    <w:rsid w:val="00C65EE2"/>
    <w:rsid w:val="00C65FB2"/>
    <w:rsid w:val="00C65FBE"/>
    <w:rsid w:val="00C66112"/>
    <w:rsid w:val="00C6613C"/>
    <w:rsid w:val="00C66417"/>
    <w:rsid w:val="00C66441"/>
    <w:rsid w:val="00C6649F"/>
    <w:rsid w:val="00C6654A"/>
    <w:rsid w:val="00C66762"/>
    <w:rsid w:val="00C669D4"/>
    <w:rsid w:val="00C66A47"/>
    <w:rsid w:val="00C66A88"/>
    <w:rsid w:val="00C66B13"/>
    <w:rsid w:val="00C66CDE"/>
    <w:rsid w:val="00C66D24"/>
    <w:rsid w:val="00C66D4F"/>
    <w:rsid w:val="00C66DFD"/>
    <w:rsid w:val="00C67008"/>
    <w:rsid w:val="00C670C4"/>
    <w:rsid w:val="00C67107"/>
    <w:rsid w:val="00C67132"/>
    <w:rsid w:val="00C67197"/>
    <w:rsid w:val="00C6722D"/>
    <w:rsid w:val="00C67269"/>
    <w:rsid w:val="00C67308"/>
    <w:rsid w:val="00C67444"/>
    <w:rsid w:val="00C674F5"/>
    <w:rsid w:val="00C67549"/>
    <w:rsid w:val="00C676B9"/>
    <w:rsid w:val="00C67A7C"/>
    <w:rsid w:val="00C67BA7"/>
    <w:rsid w:val="00C67BAB"/>
    <w:rsid w:val="00C67C32"/>
    <w:rsid w:val="00C67E10"/>
    <w:rsid w:val="00C67FCF"/>
    <w:rsid w:val="00C700CD"/>
    <w:rsid w:val="00C70109"/>
    <w:rsid w:val="00C70294"/>
    <w:rsid w:val="00C702AD"/>
    <w:rsid w:val="00C702B1"/>
    <w:rsid w:val="00C7067D"/>
    <w:rsid w:val="00C706F2"/>
    <w:rsid w:val="00C70940"/>
    <w:rsid w:val="00C709FA"/>
    <w:rsid w:val="00C70AD1"/>
    <w:rsid w:val="00C70C65"/>
    <w:rsid w:val="00C70D07"/>
    <w:rsid w:val="00C70E3D"/>
    <w:rsid w:val="00C71126"/>
    <w:rsid w:val="00C7122F"/>
    <w:rsid w:val="00C71256"/>
    <w:rsid w:val="00C71283"/>
    <w:rsid w:val="00C71449"/>
    <w:rsid w:val="00C714BB"/>
    <w:rsid w:val="00C71522"/>
    <w:rsid w:val="00C71809"/>
    <w:rsid w:val="00C71871"/>
    <w:rsid w:val="00C71ADE"/>
    <w:rsid w:val="00C71CB6"/>
    <w:rsid w:val="00C71CFB"/>
    <w:rsid w:val="00C71D4D"/>
    <w:rsid w:val="00C71E1A"/>
    <w:rsid w:val="00C71FCE"/>
    <w:rsid w:val="00C720FB"/>
    <w:rsid w:val="00C721AC"/>
    <w:rsid w:val="00C721C5"/>
    <w:rsid w:val="00C722E2"/>
    <w:rsid w:val="00C72393"/>
    <w:rsid w:val="00C723AF"/>
    <w:rsid w:val="00C7250A"/>
    <w:rsid w:val="00C72533"/>
    <w:rsid w:val="00C72698"/>
    <w:rsid w:val="00C728D8"/>
    <w:rsid w:val="00C72A22"/>
    <w:rsid w:val="00C72ABB"/>
    <w:rsid w:val="00C72B65"/>
    <w:rsid w:val="00C72B76"/>
    <w:rsid w:val="00C72B8F"/>
    <w:rsid w:val="00C72EA0"/>
    <w:rsid w:val="00C72EE8"/>
    <w:rsid w:val="00C73045"/>
    <w:rsid w:val="00C730B5"/>
    <w:rsid w:val="00C73108"/>
    <w:rsid w:val="00C73149"/>
    <w:rsid w:val="00C7316A"/>
    <w:rsid w:val="00C73200"/>
    <w:rsid w:val="00C7340C"/>
    <w:rsid w:val="00C73601"/>
    <w:rsid w:val="00C7372F"/>
    <w:rsid w:val="00C73805"/>
    <w:rsid w:val="00C73A79"/>
    <w:rsid w:val="00C73C86"/>
    <w:rsid w:val="00C73CBD"/>
    <w:rsid w:val="00C73EC1"/>
    <w:rsid w:val="00C73F46"/>
    <w:rsid w:val="00C74127"/>
    <w:rsid w:val="00C74214"/>
    <w:rsid w:val="00C74313"/>
    <w:rsid w:val="00C746BC"/>
    <w:rsid w:val="00C746CE"/>
    <w:rsid w:val="00C74838"/>
    <w:rsid w:val="00C74914"/>
    <w:rsid w:val="00C74C34"/>
    <w:rsid w:val="00C74D4F"/>
    <w:rsid w:val="00C74DCA"/>
    <w:rsid w:val="00C74E4E"/>
    <w:rsid w:val="00C74F1F"/>
    <w:rsid w:val="00C74FF2"/>
    <w:rsid w:val="00C755B5"/>
    <w:rsid w:val="00C755B8"/>
    <w:rsid w:val="00C7566C"/>
    <w:rsid w:val="00C757B4"/>
    <w:rsid w:val="00C75AAC"/>
    <w:rsid w:val="00C75AFF"/>
    <w:rsid w:val="00C75B8A"/>
    <w:rsid w:val="00C75D43"/>
    <w:rsid w:val="00C75E79"/>
    <w:rsid w:val="00C7606D"/>
    <w:rsid w:val="00C76073"/>
    <w:rsid w:val="00C760A9"/>
    <w:rsid w:val="00C760C5"/>
    <w:rsid w:val="00C7641B"/>
    <w:rsid w:val="00C766B5"/>
    <w:rsid w:val="00C767B9"/>
    <w:rsid w:val="00C76865"/>
    <w:rsid w:val="00C768B4"/>
    <w:rsid w:val="00C768C8"/>
    <w:rsid w:val="00C76924"/>
    <w:rsid w:val="00C769D4"/>
    <w:rsid w:val="00C76A7D"/>
    <w:rsid w:val="00C76AF0"/>
    <w:rsid w:val="00C76DAC"/>
    <w:rsid w:val="00C76E26"/>
    <w:rsid w:val="00C76E34"/>
    <w:rsid w:val="00C76EAB"/>
    <w:rsid w:val="00C7701D"/>
    <w:rsid w:val="00C7703D"/>
    <w:rsid w:val="00C77057"/>
    <w:rsid w:val="00C77111"/>
    <w:rsid w:val="00C77142"/>
    <w:rsid w:val="00C771BC"/>
    <w:rsid w:val="00C77271"/>
    <w:rsid w:val="00C77392"/>
    <w:rsid w:val="00C7743D"/>
    <w:rsid w:val="00C77564"/>
    <w:rsid w:val="00C77703"/>
    <w:rsid w:val="00C77719"/>
    <w:rsid w:val="00C77893"/>
    <w:rsid w:val="00C77A6E"/>
    <w:rsid w:val="00C77AF8"/>
    <w:rsid w:val="00C77B05"/>
    <w:rsid w:val="00C77BDB"/>
    <w:rsid w:val="00C77CD1"/>
    <w:rsid w:val="00C77FAF"/>
    <w:rsid w:val="00C80025"/>
    <w:rsid w:val="00C80048"/>
    <w:rsid w:val="00C800B4"/>
    <w:rsid w:val="00C80141"/>
    <w:rsid w:val="00C801D9"/>
    <w:rsid w:val="00C801DC"/>
    <w:rsid w:val="00C803C7"/>
    <w:rsid w:val="00C8057C"/>
    <w:rsid w:val="00C805A5"/>
    <w:rsid w:val="00C80666"/>
    <w:rsid w:val="00C8066D"/>
    <w:rsid w:val="00C80705"/>
    <w:rsid w:val="00C80843"/>
    <w:rsid w:val="00C8085E"/>
    <w:rsid w:val="00C80903"/>
    <w:rsid w:val="00C8090E"/>
    <w:rsid w:val="00C80965"/>
    <w:rsid w:val="00C80A99"/>
    <w:rsid w:val="00C80B00"/>
    <w:rsid w:val="00C80BA6"/>
    <w:rsid w:val="00C80C63"/>
    <w:rsid w:val="00C80C65"/>
    <w:rsid w:val="00C80C80"/>
    <w:rsid w:val="00C80E4D"/>
    <w:rsid w:val="00C80E51"/>
    <w:rsid w:val="00C80F2C"/>
    <w:rsid w:val="00C81092"/>
    <w:rsid w:val="00C814A7"/>
    <w:rsid w:val="00C814ED"/>
    <w:rsid w:val="00C81565"/>
    <w:rsid w:val="00C8158B"/>
    <w:rsid w:val="00C8161F"/>
    <w:rsid w:val="00C816F5"/>
    <w:rsid w:val="00C81764"/>
    <w:rsid w:val="00C8195B"/>
    <w:rsid w:val="00C81971"/>
    <w:rsid w:val="00C819E0"/>
    <w:rsid w:val="00C81E43"/>
    <w:rsid w:val="00C81ED8"/>
    <w:rsid w:val="00C81EED"/>
    <w:rsid w:val="00C81F87"/>
    <w:rsid w:val="00C82035"/>
    <w:rsid w:val="00C820CA"/>
    <w:rsid w:val="00C82206"/>
    <w:rsid w:val="00C8220C"/>
    <w:rsid w:val="00C822E4"/>
    <w:rsid w:val="00C82348"/>
    <w:rsid w:val="00C82367"/>
    <w:rsid w:val="00C82399"/>
    <w:rsid w:val="00C82441"/>
    <w:rsid w:val="00C826BD"/>
    <w:rsid w:val="00C826CF"/>
    <w:rsid w:val="00C828A2"/>
    <w:rsid w:val="00C828C1"/>
    <w:rsid w:val="00C82910"/>
    <w:rsid w:val="00C829B2"/>
    <w:rsid w:val="00C82AED"/>
    <w:rsid w:val="00C82BE8"/>
    <w:rsid w:val="00C82CF2"/>
    <w:rsid w:val="00C82D3E"/>
    <w:rsid w:val="00C82E71"/>
    <w:rsid w:val="00C82EE6"/>
    <w:rsid w:val="00C82F01"/>
    <w:rsid w:val="00C82FBB"/>
    <w:rsid w:val="00C83001"/>
    <w:rsid w:val="00C83101"/>
    <w:rsid w:val="00C83847"/>
    <w:rsid w:val="00C83852"/>
    <w:rsid w:val="00C83BC7"/>
    <w:rsid w:val="00C83BD0"/>
    <w:rsid w:val="00C83C2C"/>
    <w:rsid w:val="00C83CDA"/>
    <w:rsid w:val="00C83DD6"/>
    <w:rsid w:val="00C84002"/>
    <w:rsid w:val="00C84103"/>
    <w:rsid w:val="00C84134"/>
    <w:rsid w:val="00C842E5"/>
    <w:rsid w:val="00C842F7"/>
    <w:rsid w:val="00C8435D"/>
    <w:rsid w:val="00C843B1"/>
    <w:rsid w:val="00C8443F"/>
    <w:rsid w:val="00C845FD"/>
    <w:rsid w:val="00C847ED"/>
    <w:rsid w:val="00C84826"/>
    <w:rsid w:val="00C848DE"/>
    <w:rsid w:val="00C848E6"/>
    <w:rsid w:val="00C8495D"/>
    <w:rsid w:val="00C849E6"/>
    <w:rsid w:val="00C84B21"/>
    <w:rsid w:val="00C84BE5"/>
    <w:rsid w:val="00C84C14"/>
    <w:rsid w:val="00C84CB3"/>
    <w:rsid w:val="00C84EAC"/>
    <w:rsid w:val="00C84F08"/>
    <w:rsid w:val="00C84F44"/>
    <w:rsid w:val="00C851E7"/>
    <w:rsid w:val="00C852EB"/>
    <w:rsid w:val="00C8542E"/>
    <w:rsid w:val="00C855B8"/>
    <w:rsid w:val="00C85664"/>
    <w:rsid w:val="00C85714"/>
    <w:rsid w:val="00C85790"/>
    <w:rsid w:val="00C857E7"/>
    <w:rsid w:val="00C85921"/>
    <w:rsid w:val="00C85D2D"/>
    <w:rsid w:val="00C85DB6"/>
    <w:rsid w:val="00C85DC8"/>
    <w:rsid w:val="00C85DE1"/>
    <w:rsid w:val="00C85DFE"/>
    <w:rsid w:val="00C85E42"/>
    <w:rsid w:val="00C85E6D"/>
    <w:rsid w:val="00C85EC3"/>
    <w:rsid w:val="00C86174"/>
    <w:rsid w:val="00C861D8"/>
    <w:rsid w:val="00C8654A"/>
    <w:rsid w:val="00C865B0"/>
    <w:rsid w:val="00C865B3"/>
    <w:rsid w:val="00C8672E"/>
    <w:rsid w:val="00C869D0"/>
    <w:rsid w:val="00C869E5"/>
    <w:rsid w:val="00C86C0E"/>
    <w:rsid w:val="00C86DD5"/>
    <w:rsid w:val="00C86EE0"/>
    <w:rsid w:val="00C8705E"/>
    <w:rsid w:val="00C873C3"/>
    <w:rsid w:val="00C873F1"/>
    <w:rsid w:val="00C87585"/>
    <w:rsid w:val="00C87901"/>
    <w:rsid w:val="00C87A0A"/>
    <w:rsid w:val="00C87A3B"/>
    <w:rsid w:val="00C87ADB"/>
    <w:rsid w:val="00C87AE4"/>
    <w:rsid w:val="00C87B8B"/>
    <w:rsid w:val="00C87BBD"/>
    <w:rsid w:val="00C87BCD"/>
    <w:rsid w:val="00C87C33"/>
    <w:rsid w:val="00C87D0E"/>
    <w:rsid w:val="00C90184"/>
    <w:rsid w:val="00C90206"/>
    <w:rsid w:val="00C90210"/>
    <w:rsid w:val="00C902C4"/>
    <w:rsid w:val="00C90311"/>
    <w:rsid w:val="00C903D6"/>
    <w:rsid w:val="00C90493"/>
    <w:rsid w:val="00C90648"/>
    <w:rsid w:val="00C90744"/>
    <w:rsid w:val="00C9089A"/>
    <w:rsid w:val="00C908F8"/>
    <w:rsid w:val="00C90A62"/>
    <w:rsid w:val="00C90A94"/>
    <w:rsid w:val="00C90C79"/>
    <w:rsid w:val="00C90CFA"/>
    <w:rsid w:val="00C90D48"/>
    <w:rsid w:val="00C90D60"/>
    <w:rsid w:val="00C90EBC"/>
    <w:rsid w:val="00C90F1A"/>
    <w:rsid w:val="00C90FEC"/>
    <w:rsid w:val="00C91055"/>
    <w:rsid w:val="00C9127F"/>
    <w:rsid w:val="00C912AA"/>
    <w:rsid w:val="00C9131B"/>
    <w:rsid w:val="00C91357"/>
    <w:rsid w:val="00C91386"/>
    <w:rsid w:val="00C913DE"/>
    <w:rsid w:val="00C9147F"/>
    <w:rsid w:val="00C9153D"/>
    <w:rsid w:val="00C91617"/>
    <w:rsid w:val="00C9164F"/>
    <w:rsid w:val="00C9191D"/>
    <w:rsid w:val="00C91A01"/>
    <w:rsid w:val="00C91A80"/>
    <w:rsid w:val="00C91B34"/>
    <w:rsid w:val="00C91BB2"/>
    <w:rsid w:val="00C91C39"/>
    <w:rsid w:val="00C91E7B"/>
    <w:rsid w:val="00C91E92"/>
    <w:rsid w:val="00C92015"/>
    <w:rsid w:val="00C924FE"/>
    <w:rsid w:val="00C92538"/>
    <w:rsid w:val="00C92637"/>
    <w:rsid w:val="00C92821"/>
    <w:rsid w:val="00C92977"/>
    <w:rsid w:val="00C92A04"/>
    <w:rsid w:val="00C92B0D"/>
    <w:rsid w:val="00C92BDA"/>
    <w:rsid w:val="00C92BF6"/>
    <w:rsid w:val="00C92BFE"/>
    <w:rsid w:val="00C92C0B"/>
    <w:rsid w:val="00C92C5B"/>
    <w:rsid w:val="00C92CE0"/>
    <w:rsid w:val="00C92D00"/>
    <w:rsid w:val="00C92E1C"/>
    <w:rsid w:val="00C92E65"/>
    <w:rsid w:val="00C92F4D"/>
    <w:rsid w:val="00C93251"/>
    <w:rsid w:val="00C9330A"/>
    <w:rsid w:val="00C934C9"/>
    <w:rsid w:val="00C93548"/>
    <w:rsid w:val="00C9391B"/>
    <w:rsid w:val="00C939B2"/>
    <w:rsid w:val="00C939D0"/>
    <w:rsid w:val="00C93AF2"/>
    <w:rsid w:val="00C93E18"/>
    <w:rsid w:val="00C93ECF"/>
    <w:rsid w:val="00C93FA0"/>
    <w:rsid w:val="00C94086"/>
    <w:rsid w:val="00C940B0"/>
    <w:rsid w:val="00C942C5"/>
    <w:rsid w:val="00C9431F"/>
    <w:rsid w:val="00C94329"/>
    <w:rsid w:val="00C94462"/>
    <w:rsid w:val="00C9469B"/>
    <w:rsid w:val="00C94714"/>
    <w:rsid w:val="00C94739"/>
    <w:rsid w:val="00C94773"/>
    <w:rsid w:val="00C94776"/>
    <w:rsid w:val="00C947B7"/>
    <w:rsid w:val="00C94915"/>
    <w:rsid w:val="00C94944"/>
    <w:rsid w:val="00C94ACD"/>
    <w:rsid w:val="00C94BAB"/>
    <w:rsid w:val="00C94BCC"/>
    <w:rsid w:val="00C94DF1"/>
    <w:rsid w:val="00C9500F"/>
    <w:rsid w:val="00C9524E"/>
    <w:rsid w:val="00C95280"/>
    <w:rsid w:val="00C9529E"/>
    <w:rsid w:val="00C95317"/>
    <w:rsid w:val="00C95401"/>
    <w:rsid w:val="00C95511"/>
    <w:rsid w:val="00C95860"/>
    <w:rsid w:val="00C9596E"/>
    <w:rsid w:val="00C95A10"/>
    <w:rsid w:val="00C95D42"/>
    <w:rsid w:val="00C95DDF"/>
    <w:rsid w:val="00C95E65"/>
    <w:rsid w:val="00C95EAD"/>
    <w:rsid w:val="00C964A7"/>
    <w:rsid w:val="00C96544"/>
    <w:rsid w:val="00C96758"/>
    <w:rsid w:val="00C96978"/>
    <w:rsid w:val="00C969A4"/>
    <w:rsid w:val="00C96A71"/>
    <w:rsid w:val="00C96B21"/>
    <w:rsid w:val="00C96B26"/>
    <w:rsid w:val="00C96B2D"/>
    <w:rsid w:val="00C96BF3"/>
    <w:rsid w:val="00C96E90"/>
    <w:rsid w:val="00C97145"/>
    <w:rsid w:val="00C976DD"/>
    <w:rsid w:val="00C97707"/>
    <w:rsid w:val="00C9771E"/>
    <w:rsid w:val="00C9783B"/>
    <w:rsid w:val="00C978E4"/>
    <w:rsid w:val="00C97B67"/>
    <w:rsid w:val="00C97B79"/>
    <w:rsid w:val="00C97CC5"/>
    <w:rsid w:val="00C97D2B"/>
    <w:rsid w:val="00C97D71"/>
    <w:rsid w:val="00C97D7F"/>
    <w:rsid w:val="00C97ECA"/>
    <w:rsid w:val="00C97F8A"/>
    <w:rsid w:val="00CA0314"/>
    <w:rsid w:val="00CA03C3"/>
    <w:rsid w:val="00CA06B4"/>
    <w:rsid w:val="00CA06DE"/>
    <w:rsid w:val="00CA0946"/>
    <w:rsid w:val="00CA0A82"/>
    <w:rsid w:val="00CA0AE8"/>
    <w:rsid w:val="00CA0B1F"/>
    <w:rsid w:val="00CA0BD5"/>
    <w:rsid w:val="00CA0CA7"/>
    <w:rsid w:val="00CA0CF9"/>
    <w:rsid w:val="00CA0DC5"/>
    <w:rsid w:val="00CA0EBC"/>
    <w:rsid w:val="00CA0F72"/>
    <w:rsid w:val="00CA0F9C"/>
    <w:rsid w:val="00CA10D6"/>
    <w:rsid w:val="00CA1235"/>
    <w:rsid w:val="00CA1411"/>
    <w:rsid w:val="00CA15C3"/>
    <w:rsid w:val="00CA15D0"/>
    <w:rsid w:val="00CA1669"/>
    <w:rsid w:val="00CA16BA"/>
    <w:rsid w:val="00CA17A8"/>
    <w:rsid w:val="00CA1930"/>
    <w:rsid w:val="00CA19E7"/>
    <w:rsid w:val="00CA1B07"/>
    <w:rsid w:val="00CA1B81"/>
    <w:rsid w:val="00CA1BA6"/>
    <w:rsid w:val="00CA1C73"/>
    <w:rsid w:val="00CA1C87"/>
    <w:rsid w:val="00CA1D8A"/>
    <w:rsid w:val="00CA1E35"/>
    <w:rsid w:val="00CA1F57"/>
    <w:rsid w:val="00CA21C8"/>
    <w:rsid w:val="00CA2210"/>
    <w:rsid w:val="00CA2291"/>
    <w:rsid w:val="00CA22EA"/>
    <w:rsid w:val="00CA23C8"/>
    <w:rsid w:val="00CA243D"/>
    <w:rsid w:val="00CA24D4"/>
    <w:rsid w:val="00CA252D"/>
    <w:rsid w:val="00CA2A99"/>
    <w:rsid w:val="00CA2EF1"/>
    <w:rsid w:val="00CA2FF4"/>
    <w:rsid w:val="00CA3194"/>
    <w:rsid w:val="00CA32D7"/>
    <w:rsid w:val="00CA32F9"/>
    <w:rsid w:val="00CA330A"/>
    <w:rsid w:val="00CA335C"/>
    <w:rsid w:val="00CA340C"/>
    <w:rsid w:val="00CA352C"/>
    <w:rsid w:val="00CA37D7"/>
    <w:rsid w:val="00CA37DF"/>
    <w:rsid w:val="00CA38AD"/>
    <w:rsid w:val="00CA38B3"/>
    <w:rsid w:val="00CA38C5"/>
    <w:rsid w:val="00CA39AC"/>
    <w:rsid w:val="00CA39C3"/>
    <w:rsid w:val="00CA3AC7"/>
    <w:rsid w:val="00CA3ACF"/>
    <w:rsid w:val="00CA3AFF"/>
    <w:rsid w:val="00CA3B78"/>
    <w:rsid w:val="00CA3D29"/>
    <w:rsid w:val="00CA3E19"/>
    <w:rsid w:val="00CA3F0E"/>
    <w:rsid w:val="00CA4392"/>
    <w:rsid w:val="00CA4419"/>
    <w:rsid w:val="00CA45D7"/>
    <w:rsid w:val="00CA468F"/>
    <w:rsid w:val="00CA4755"/>
    <w:rsid w:val="00CA4B63"/>
    <w:rsid w:val="00CA4C21"/>
    <w:rsid w:val="00CA4CC5"/>
    <w:rsid w:val="00CA4E26"/>
    <w:rsid w:val="00CA4E37"/>
    <w:rsid w:val="00CA4F25"/>
    <w:rsid w:val="00CA4F3D"/>
    <w:rsid w:val="00CA4F44"/>
    <w:rsid w:val="00CA51D2"/>
    <w:rsid w:val="00CA52DF"/>
    <w:rsid w:val="00CA553D"/>
    <w:rsid w:val="00CA5553"/>
    <w:rsid w:val="00CA5775"/>
    <w:rsid w:val="00CA58D1"/>
    <w:rsid w:val="00CA5930"/>
    <w:rsid w:val="00CA5A28"/>
    <w:rsid w:val="00CA5AE1"/>
    <w:rsid w:val="00CA5BE2"/>
    <w:rsid w:val="00CA5F65"/>
    <w:rsid w:val="00CA5FD0"/>
    <w:rsid w:val="00CA5FE0"/>
    <w:rsid w:val="00CA6048"/>
    <w:rsid w:val="00CA6446"/>
    <w:rsid w:val="00CA6454"/>
    <w:rsid w:val="00CA6560"/>
    <w:rsid w:val="00CA6584"/>
    <w:rsid w:val="00CA65A1"/>
    <w:rsid w:val="00CA65D7"/>
    <w:rsid w:val="00CA67DE"/>
    <w:rsid w:val="00CA6915"/>
    <w:rsid w:val="00CA6980"/>
    <w:rsid w:val="00CA69B0"/>
    <w:rsid w:val="00CA6A1D"/>
    <w:rsid w:val="00CA6A32"/>
    <w:rsid w:val="00CA6A37"/>
    <w:rsid w:val="00CA6A61"/>
    <w:rsid w:val="00CA6AE1"/>
    <w:rsid w:val="00CA6BB7"/>
    <w:rsid w:val="00CA6BD2"/>
    <w:rsid w:val="00CA6F88"/>
    <w:rsid w:val="00CA70AF"/>
    <w:rsid w:val="00CA726F"/>
    <w:rsid w:val="00CA7292"/>
    <w:rsid w:val="00CA7299"/>
    <w:rsid w:val="00CA7470"/>
    <w:rsid w:val="00CA750A"/>
    <w:rsid w:val="00CA776D"/>
    <w:rsid w:val="00CA77C9"/>
    <w:rsid w:val="00CA77DA"/>
    <w:rsid w:val="00CA7AFF"/>
    <w:rsid w:val="00CA7C28"/>
    <w:rsid w:val="00CA7C39"/>
    <w:rsid w:val="00CA7DF9"/>
    <w:rsid w:val="00CA7F39"/>
    <w:rsid w:val="00CA7F95"/>
    <w:rsid w:val="00CB0074"/>
    <w:rsid w:val="00CB019E"/>
    <w:rsid w:val="00CB03DA"/>
    <w:rsid w:val="00CB05B4"/>
    <w:rsid w:val="00CB0629"/>
    <w:rsid w:val="00CB068E"/>
    <w:rsid w:val="00CB06B3"/>
    <w:rsid w:val="00CB0737"/>
    <w:rsid w:val="00CB081D"/>
    <w:rsid w:val="00CB0867"/>
    <w:rsid w:val="00CB08F5"/>
    <w:rsid w:val="00CB0D3E"/>
    <w:rsid w:val="00CB0E40"/>
    <w:rsid w:val="00CB0F80"/>
    <w:rsid w:val="00CB10F7"/>
    <w:rsid w:val="00CB1120"/>
    <w:rsid w:val="00CB1161"/>
    <w:rsid w:val="00CB116A"/>
    <w:rsid w:val="00CB1314"/>
    <w:rsid w:val="00CB14E8"/>
    <w:rsid w:val="00CB1810"/>
    <w:rsid w:val="00CB1987"/>
    <w:rsid w:val="00CB19A0"/>
    <w:rsid w:val="00CB1A5D"/>
    <w:rsid w:val="00CB1AEF"/>
    <w:rsid w:val="00CB1C3C"/>
    <w:rsid w:val="00CB1E38"/>
    <w:rsid w:val="00CB1FB5"/>
    <w:rsid w:val="00CB1FDF"/>
    <w:rsid w:val="00CB212F"/>
    <w:rsid w:val="00CB217F"/>
    <w:rsid w:val="00CB21BE"/>
    <w:rsid w:val="00CB22B1"/>
    <w:rsid w:val="00CB235E"/>
    <w:rsid w:val="00CB248B"/>
    <w:rsid w:val="00CB24DC"/>
    <w:rsid w:val="00CB2655"/>
    <w:rsid w:val="00CB26C9"/>
    <w:rsid w:val="00CB2859"/>
    <w:rsid w:val="00CB28E8"/>
    <w:rsid w:val="00CB2BED"/>
    <w:rsid w:val="00CB2C7E"/>
    <w:rsid w:val="00CB2CB2"/>
    <w:rsid w:val="00CB2D04"/>
    <w:rsid w:val="00CB2E4A"/>
    <w:rsid w:val="00CB2EDB"/>
    <w:rsid w:val="00CB2F11"/>
    <w:rsid w:val="00CB2F19"/>
    <w:rsid w:val="00CB3025"/>
    <w:rsid w:val="00CB307F"/>
    <w:rsid w:val="00CB3087"/>
    <w:rsid w:val="00CB3122"/>
    <w:rsid w:val="00CB3278"/>
    <w:rsid w:val="00CB328F"/>
    <w:rsid w:val="00CB32FF"/>
    <w:rsid w:val="00CB3334"/>
    <w:rsid w:val="00CB3484"/>
    <w:rsid w:val="00CB3486"/>
    <w:rsid w:val="00CB36E5"/>
    <w:rsid w:val="00CB36F2"/>
    <w:rsid w:val="00CB3845"/>
    <w:rsid w:val="00CB3894"/>
    <w:rsid w:val="00CB39B3"/>
    <w:rsid w:val="00CB39BD"/>
    <w:rsid w:val="00CB3A9B"/>
    <w:rsid w:val="00CB3AB4"/>
    <w:rsid w:val="00CB3B6B"/>
    <w:rsid w:val="00CB3BE8"/>
    <w:rsid w:val="00CB3C68"/>
    <w:rsid w:val="00CB3CA8"/>
    <w:rsid w:val="00CB3D0A"/>
    <w:rsid w:val="00CB3D26"/>
    <w:rsid w:val="00CB3D8C"/>
    <w:rsid w:val="00CB407B"/>
    <w:rsid w:val="00CB40CC"/>
    <w:rsid w:val="00CB4121"/>
    <w:rsid w:val="00CB4172"/>
    <w:rsid w:val="00CB434D"/>
    <w:rsid w:val="00CB43CA"/>
    <w:rsid w:val="00CB443D"/>
    <w:rsid w:val="00CB45CF"/>
    <w:rsid w:val="00CB4613"/>
    <w:rsid w:val="00CB4614"/>
    <w:rsid w:val="00CB474E"/>
    <w:rsid w:val="00CB4856"/>
    <w:rsid w:val="00CB4988"/>
    <w:rsid w:val="00CB49C8"/>
    <w:rsid w:val="00CB49D5"/>
    <w:rsid w:val="00CB4A38"/>
    <w:rsid w:val="00CB4A55"/>
    <w:rsid w:val="00CB4A9E"/>
    <w:rsid w:val="00CB4AE4"/>
    <w:rsid w:val="00CB4BB7"/>
    <w:rsid w:val="00CB4C15"/>
    <w:rsid w:val="00CB4CBF"/>
    <w:rsid w:val="00CB4F17"/>
    <w:rsid w:val="00CB4F34"/>
    <w:rsid w:val="00CB5059"/>
    <w:rsid w:val="00CB5267"/>
    <w:rsid w:val="00CB53EA"/>
    <w:rsid w:val="00CB569D"/>
    <w:rsid w:val="00CB573E"/>
    <w:rsid w:val="00CB59D1"/>
    <w:rsid w:val="00CB5A92"/>
    <w:rsid w:val="00CB5A9E"/>
    <w:rsid w:val="00CB5CC3"/>
    <w:rsid w:val="00CB5CDF"/>
    <w:rsid w:val="00CB5E2F"/>
    <w:rsid w:val="00CB5EE1"/>
    <w:rsid w:val="00CB5FFD"/>
    <w:rsid w:val="00CB6140"/>
    <w:rsid w:val="00CB614E"/>
    <w:rsid w:val="00CB61C6"/>
    <w:rsid w:val="00CB6300"/>
    <w:rsid w:val="00CB640E"/>
    <w:rsid w:val="00CB64C4"/>
    <w:rsid w:val="00CB6659"/>
    <w:rsid w:val="00CB6660"/>
    <w:rsid w:val="00CB66B1"/>
    <w:rsid w:val="00CB686F"/>
    <w:rsid w:val="00CB68B4"/>
    <w:rsid w:val="00CB68D3"/>
    <w:rsid w:val="00CB69E1"/>
    <w:rsid w:val="00CB6AD2"/>
    <w:rsid w:val="00CB6C21"/>
    <w:rsid w:val="00CB6C85"/>
    <w:rsid w:val="00CB6C91"/>
    <w:rsid w:val="00CB6CE7"/>
    <w:rsid w:val="00CB6D45"/>
    <w:rsid w:val="00CB6F4E"/>
    <w:rsid w:val="00CB71B4"/>
    <w:rsid w:val="00CB732E"/>
    <w:rsid w:val="00CB7371"/>
    <w:rsid w:val="00CB73B1"/>
    <w:rsid w:val="00CB743C"/>
    <w:rsid w:val="00CB74F4"/>
    <w:rsid w:val="00CB7563"/>
    <w:rsid w:val="00CB760C"/>
    <w:rsid w:val="00CB76BB"/>
    <w:rsid w:val="00CB7895"/>
    <w:rsid w:val="00CB7A2C"/>
    <w:rsid w:val="00CB7A6D"/>
    <w:rsid w:val="00CB7BCD"/>
    <w:rsid w:val="00CB7C12"/>
    <w:rsid w:val="00CB7C34"/>
    <w:rsid w:val="00CB7C5F"/>
    <w:rsid w:val="00CC013F"/>
    <w:rsid w:val="00CC01CA"/>
    <w:rsid w:val="00CC021F"/>
    <w:rsid w:val="00CC033D"/>
    <w:rsid w:val="00CC0390"/>
    <w:rsid w:val="00CC03A8"/>
    <w:rsid w:val="00CC03E1"/>
    <w:rsid w:val="00CC0463"/>
    <w:rsid w:val="00CC04F5"/>
    <w:rsid w:val="00CC081B"/>
    <w:rsid w:val="00CC0ADA"/>
    <w:rsid w:val="00CC0C49"/>
    <w:rsid w:val="00CC0CCB"/>
    <w:rsid w:val="00CC0DFF"/>
    <w:rsid w:val="00CC1045"/>
    <w:rsid w:val="00CC107F"/>
    <w:rsid w:val="00CC123F"/>
    <w:rsid w:val="00CC130F"/>
    <w:rsid w:val="00CC14E1"/>
    <w:rsid w:val="00CC1582"/>
    <w:rsid w:val="00CC1630"/>
    <w:rsid w:val="00CC166D"/>
    <w:rsid w:val="00CC1883"/>
    <w:rsid w:val="00CC18D8"/>
    <w:rsid w:val="00CC19C9"/>
    <w:rsid w:val="00CC1BF9"/>
    <w:rsid w:val="00CC1C45"/>
    <w:rsid w:val="00CC1D31"/>
    <w:rsid w:val="00CC1EC3"/>
    <w:rsid w:val="00CC1FA8"/>
    <w:rsid w:val="00CC202C"/>
    <w:rsid w:val="00CC2030"/>
    <w:rsid w:val="00CC2033"/>
    <w:rsid w:val="00CC20DA"/>
    <w:rsid w:val="00CC214E"/>
    <w:rsid w:val="00CC21D1"/>
    <w:rsid w:val="00CC21EA"/>
    <w:rsid w:val="00CC222D"/>
    <w:rsid w:val="00CC2266"/>
    <w:rsid w:val="00CC231C"/>
    <w:rsid w:val="00CC24BA"/>
    <w:rsid w:val="00CC2514"/>
    <w:rsid w:val="00CC261D"/>
    <w:rsid w:val="00CC270F"/>
    <w:rsid w:val="00CC273A"/>
    <w:rsid w:val="00CC280B"/>
    <w:rsid w:val="00CC2894"/>
    <w:rsid w:val="00CC28DE"/>
    <w:rsid w:val="00CC2A27"/>
    <w:rsid w:val="00CC2A5E"/>
    <w:rsid w:val="00CC2ACD"/>
    <w:rsid w:val="00CC2C98"/>
    <w:rsid w:val="00CC2D47"/>
    <w:rsid w:val="00CC2E13"/>
    <w:rsid w:val="00CC301F"/>
    <w:rsid w:val="00CC317A"/>
    <w:rsid w:val="00CC31E6"/>
    <w:rsid w:val="00CC325E"/>
    <w:rsid w:val="00CC3264"/>
    <w:rsid w:val="00CC32AC"/>
    <w:rsid w:val="00CC334A"/>
    <w:rsid w:val="00CC3447"/>
    <w:rsid w:val="00CC34B3"/>
    <w:rsid w:val="00CC350C"/>
    <w:rsid w:val="00CC3647"/>
    <w:rsid w:val="00CC36DA"/>
    <w:rsid w:val="00CC3710"/>
    <w:rsid w:val="00CC375E"/>
    <w:rsid w:val="00CC37B9"/>
    <w:rsid w:val="00CC37F9"/>
    <w:rsid w:val="00CC395C"/>
    <w:rsid w:val="00CC39B5"/>
    <w:rsid w:val="00CC3BCA"/>
    <w:rsid w:val="00CC3F17"/>
    <w:rsid w:val="00CC3F72"/>
    <w:rsid w:val="00CC40CC"/>
    <w:rsid w:val="00CC4137"/>
    <w:rsid w:val="00CC4154"/>
    <w:rsid w:val="00CC41DB"/>
    <w:rsid w:val="00CC420C"/>
    <w:rsid w:val="00CC4240"/>
    <w:rsid w:val="00CC43ED"/>
    <w:rsid w:val="00CC44FE"/>
    <w:rsid w:val="00CC4548"/>
    <w:rsid w:val="00CC45F1"/>
    <w:rsid w:val="00CC4622"/>
    <w:rsid w:val="00CC464C"/>
    <w:rsid w:val="00CC4753"/>
    <w:rsid w:val="00CC4981"/>
    <w:rsid w:val="00CC49F2"/>
    <w:rsid w:val="00CC4A2B"/>
    <w:rsid w:val="00CC4B38"/>
    <w:rsid w:val="00CC4D5E"/>
    <w:rsid w:val="00CC4F94"/>
    <w:rsid w:val="00CC50BD"/>
    <w:rsid w:val="00CC50D8"/>
    <w:rsid w:val="00CC51E7"/>
    <w:rsid w:val="00CC5204"/>
    <w:rsid w:val="00CC543A"/>
    <w:rsid w:val="00CC549D"/>
    <w:rsid w:val="00CC56FD"/>
    <w:rsid w:val="00CC57EB"/>
    <w:rsid w:val="00CC5874"/>
    <w:rsid w:val="00CC5938"/>
    <w:rsid w:val="00CC5AFB"/>
    <w:rsid w:val="00CC5C11"/>
    <w:rsid w:val="00CC5C64"/>
    <w:rsid w:val="00CC5FF0"/>
    <w:rsid w:val="00CC6017"/>
    <w:rsid w:val="00CC601C"/>
    <w:rsid w:val="00CC61CE"/>
    <w:rsid w:val="00CC6356"/>
    <w:rsid w:val="00CC6522"/>
    <w:rsid w:val="00CC65EC"/>
    <w:rsid w:val="00CC668A"/>
    <w:rsid w:val="00CC67E6"/>
    <w:rsid w:val="00CC68B4"/>
    <w:rsid w:val="00CC69F5"/>
    <w:rsid w:val="00CC6A7C"/>
    <w:rsid w:val="00CC6D1E"/>
    <w:rsid w:val="00CC6F4E"/>
    <w:rsid w:val="00CC70C8"/>
    <w:rsid w:val="00CC70EB"/>
    <w:rsid w:val="00CC71AE"/>
    <w:rsid w:val="00CC726C"/>
    <w:rsid w:val="00CC727F"/>
    <w:rsid w:val="00CC73CE"/>
    <w:rsid w:val="00CC75AD"/>
    <w:rsid w:val="00CC75AF"/>
    <w:rsid w:val="00CC7650"/>
    <w:rsid w:val="00CC7674"/>
    <w:rsid w:val="00CC771A"/>
    <w:rsid w:val="00CC7842"/>
    <w:rsid w:val="00CC7A93"/>
    <w:rsid w:val="00CC7D07"/>
    <w:rsid w:val="00CC7D69"/>
    <w:rsid w:val="00CC7DB0"/>
    <w:rsid w:val="00CC7EA8"/>
    <w:rsid w:val="00CC7EE2"/>
    <w:rsid w:val="00CC7F6E"/>
    <w:rsid w:val="00CC7FCD"/>
    <w:rsid w:val="00CD00BA"/>
    <w:rsid w:val="00CD018D"/>
    <w:rsid w:val="00CD0191"/>
    <w:rsid w:val="00CD0369"/>
    <w:rsid w:val="00CD036E"/>
    <w:rsid w:val="00CD03C7"/>
    <w:rsid w:val="00CD0466"/>
    <w:rsid w:val="00CD054E"/>
    <w:rsid w:val="00CD0633"/>
    <w:rsid w:val="00CD0682"/>
    <w:rsid w:val="00CD0702"/>
    <w:rsid w:val="00CD09BE"/>
    <w:rsid w:val="00CD0A97"/>
    <w:rsid w:val="00CD0AC7"/>
    <w:rsid w:val="00CD0C78"/>
    <w:rsid w:val="00CD0D4E"/>
    <w:rsid w:val="00CD0D97"/>
    <w:rsid w:val="00CD0EC5"/>
    <w:rsid w:val="00CD0EC8"/>
    <w:rsid w:val="00CD104C"/>
    <w:rsid w:val="00CD1100"/>
    <w:rsid w:val="00CD1150"/>
    <w:rsid w:val="00CD11A2"/>
    <w:rsid w:val="00CD11B8"/>
    <w:rsid w:val="00CD1223"/>
    <w:rsid w:val="00CD1345"/>
    <w:rsid w:val="00CD1406"/>
    <w:rsid w:val="00CD1480"/>
    <w:rsid w:val="00CD14CE"/>
    <w:rsid w:val="00CD1619"/>
    <w:rsid w:val="00CD19DB"/>
    <w:rsid w:val="00CD1B9B"/>
    <w:rsid w:val="00CD1C43"/>
    <w:rsid w:val="00CD1D4D"/>
    <w:rsid w:val="00CD2009"/>
    <w:rsid w:val="00CD207A"/>
    <w:rsid w:val="00CD20AD"/>
    <w:rsid w:val="00CD21D3"/>
    <w:rsid w:val="00CD21F8"/>
    <w:rsid w:val="00CD22B9"/>
    <w:rsid w:val="00CD2322"/>
    <w:rsid w:val="00CD24CB"/>
    <w:rsid w:val="00CD25B5"/>
    <w:rsid w:val="00CD2764"/>
    <w:rsid w:val="00CD279F"/>
    <w:rsid w:val="00CD27AE"/>
    <w:rsid w:val="00CD2A31"/>
    <w:rsid w:val="00CD2B20"/>
    <w:rsid w:val="00CD2D60"/>
    <w:rsid w:val="00CD2E2C"/>
    <w:rsid w:val="00CD3023"/>
    <w:rsid w:val="00CD303F"/>
    <w:rsid w:val="00CD3161"/>
    <w:rsid w:val="00CD334D"/>
    <w:rsid w:val="00CD349A"/>
    <w:rsid w:val="00CD3563"/>
    <w:rsid w:val="00CD3685"/>
    <w:rsid w:val="00CD36D8"/>
    <w:rsid w:val="00CD376B"/>
    <w:rsid w:val="00CD37B1"/>
    <w:rsid w:val="00CD38C9"/>
    <w:rsid w:val="00CD38CB"/>
    <w:rsid w:val="00CD3915"/>
    <w:rsid w:val="00CD3927"/>
    <w:rsid w:val="00CD3A35"/>
    <w:rsid w:val="00CD3B75"/>
    <w:rsid w:val="00CD3BAF"/>
    <w:rsid w:val="00CD3BF4"/>
    <w:rsid w:val="00CD3DD6"/>
    <w:rsid w:val="00CD4199"/>
    <w:rsid w:val="00CD42AD"/>
    <w:rsid w:val="00CD4352"/>
    <w:rsid w:val="00CD4386"/>
    <w:rsid w:val="00CD438E"/>
    <w:rsid w:val="00CD460E"/>
    <w:rsid w:val="00CD464E"/>
    <w:rsid w:val="00CD4823"/>
    <w:rsid w:val="00CD498A"/>
    <w:rsid w:val="00CD4A72"/>
    <w:rsid w:val="00CD4B5C"/>
    <w:rsid w:val="00CD4C0D"/>
    <w:rsid w:val="00CD4D12"/>
    <w:rsid w:val="00CD4E51"/>
    <w:rsid w:val="00CD51C4"/>
    <w:rsid w:val="00CD51DA"/>
    <w:rsid w:val="00CD52D2"/>
    <w:rsid w:val="00CD55A2"/>
    <w:rsid w:val="00CD5632"/>
    <w:rsid w:val="00CD57C3"/>
    <w:rsid w:val="00CD5B1E"/>
    <w:rsid w:val="00CD5B7B"/>
    <w:rsid w:val="00CD5C18"/>
    <w:rsid w:val="00CD5E45"/>
    <w:rsid w:val="00CD5EE9"/>
    <w:rsid w:val="00CD6319"/>
    <w:rsid w:val="00CD63DB"/>
    <w:rsid w:val="00CD66D2"/>
    <w:rsid w:val="00CD6938"/>
    <w:rsid w:val="00CD6AC7"/>
    <w:rsid w:val="00CD6BDA"/>
    <w:rsid w:val="00CD6D91"/>
    <w:rsid w:val="00CD6DEE"/>
    <w:rsid w:val="00CD6E8A"/>
    <w:rsid w:val="00CD70E7"/>
    <w:rsid w:val="00CD71F9"/>
    <w:rsid w:val="00CD725A"/>
    <w:rsid w:val="00CD7325"/>
    <w:rsid w:val="00CD7356"/>
    <w:rsid w:val="00CD73BA"/>
    <w:rsid w:val="00CD7464"/>
    <w:rsid w:val="00CD7692"/>
    <w:rsid w:val="00CD7698"/>
    <w:rsid w:val="00CD7775"/>
    <w:rsid w:val="00CD77EF"/>
    <w:rsid w:val="00CD79E3"/>
    <w:rsid w:val="00CD7B9C"/>
    <w:rsid w:val="00CD7BD5"/>
    <w:rsid w:val="00CD7CA1"/>
    <w:rsid w:val="00CD7CC2"/>
    <w:rsid w:val="00CD7CC4"/>
    <w:rsid w:val="00CD7DFC"/>
    <w:rsid w:val="00CD7E6B"/>
    <w:rsid w:val="00CD7E97"/>
    <w:rsid w:val="00CD7F47"/>
    <w:rsid w:val="00CE0174"/>
    <w:rsid w:val="00CE033F"/>
    <w:rsid w:val="00CE03CC"/>
    <w:rsid w:val="00CE052B"/>
    <w:rsid w:val="00CE05CA"/>
    <w:rsid w:val="00CE096E"/>
    <w:rsid w:val="00CE0A38"/>
    <w:rsid w:val="00CE0A91"/>
    <w:rsid w:val="00CE0CBC"/>
    <w:rsid w:val="00CE0DDF"/>
    <w:rsid w:val="00CE0E1B"/>
    <w:rsid w:val="00CE0F41"/>
    <w:rsid w:val="00CE0F56"/>
    <w:rsid w:val="00CE1108"/>
    <w:rsid w:val="00CE123D"/>
    <w:rsid w:val="00CE12BF"/>
    <w:rsid w:val="00CE12F6"/>
    <w:rsid w:val="00CE13B4"/>
    <w:rsid w:val="00CE144B"/>
    <w:rsid w:val="00CE1571"/>
    <w:rsid w:val="00CE16CF"/>
    <w:rsid w:val="00CE17A3"/>
    <w:rsid w:val="00CE17BE"/>
    <w:rsid w:val="00CE17ED"/>
    <w:rsid w:val="00CE1834"/>
    <w:rsid w:val="00CE184B"/>
    <w:rsid w:val="00CE1904"/>
    <w:rsid w:val="00CE192A"/>
    <w:rsid w:val="00CE1975"/>
    <w:rsid w:val="00CE1B82"/>
    <w:rsid w:val="00CE1D59"/>
    <w:rsid w:val="00CE1D75"/>
    <w:rsid w:val="00CE1DB2"/>
    <w:rsid w:val="00CE1DDD"/>
    <w:rsid w:val="00CE1E08"/>
    <w:rsid w:val="00CE1FEC"/>
    <w:rsid w:val="00CE2099"/>
    <w:rsid w:val="00CE211A"/>
    <w:rsid w:val="00CE2141"/>
    <w:rsid w:val="00CE2178"/>
    <w:rsid w:val="00CE23C9"/>
    <w:rsid w:val="00CE2705"/>
    <w:rsid w:val="00CE2859"/>
    <w:rsid w:val="00CE2936"/>
    <w:rsid w:val="00CE29BA"/>
    <w:rsid w:val="00CE2A6B"/>
    <w:rsid w:val="00CE2A89"/>
    <w:rsid w:val="00CE2BDF"/>
    <w:rsid w:val="00CE2C35"/>
    <w:rsid w:val="00CE2D46"/>
    <w:rsid w:val="00CE2DD7"/>
    <w:rsid w:val="00CE2DEC"/>
    <w:rsid w:val="00CE2F7D"/>
    <w:rsid w:val="00CE3172"/>
    <w:rsid w:val="00CE37C7"/>
    <w:rsid w:val="00CE389B"/>
    <w:rsid w:val="00CE3908"/>
    <w:rsid w:val="00CE3B15"/>
    <w:rsid w:val="00CE3B78"/>
    <w:rsid w:val="00CE3BE7"/>
    <w:rsid w:val="00CE3C18"/>
    <w:rsid w:val="00CE3CFA"/>
    <w:rsid w:val="00CE3E7E"/>
    <w:rsid w:val="00CE4077"/>
    <w:rsid w:val="00CE426C"/>
    <w:rsid w:val="00CE4410"/>
    <w:rsid w:val="00CE4504"/>
    <w:rsid w:val="00CE45F7"/>
    <w:rsid w:val="00CE46B3"/>
    <w:rsid w:val="00CE474D"/>
    <w:rsid w:val="00CE477A"/>
    <w:rsid w:val="00CE480D"/>
    <w:rsid w:val="00CE48AE"/>
    <w:rsid w:val="00CE4959"/>
    <w:rsid w:val="00CE4986"/>
    <w:rsid w:val="00CE4B59"/>
    <w:rsid w:val="00CE4C67"/>
    <w:rsid w:val="00CE4D81"/>
    <w:rsid w:val="00CE4E46"/>
    <w:rsid w:val="00CE4F0F"/>
    <w:rsid w:val="00CE4FBA"/>
    <w:rsid w:val="00CE4FCE"/>
    <w:rsid w:val="00CE4FDA"/>
    <w:rsid w:val="00CE51C3"/>
    <w:rsid w:val="00CE5212"/>
    <w:rsid w:val="00CE523E"/>
    <w:rsid w:val="00CE536C"/>
    <w:rsid w:val="00CE53EF"/>
    <w:rsid w:val="00CE55E6"/>
    <w:rsid w:val="00CE57B5"/>
    <w:rsid w:val="00CE57C5"/>
    <w:rsid w:val="00CE58B3"/>
    <w:rsid w:val="00CE5AB6"/>
    <w:rsid w:val="00CE5B0A"/>
    <w:rsid w:val="00CE5C67"/>
    <w:rsid w:val="00CE5CA7"/>
    <w:rsid w:val="00CE5FC8"/>
    <w:rsid w:val="00CE60CF"/>
    <w:rsid w:val="00CE62FD"/>
    <w:rsid w:val="00CE6389"/>
    <w:rsid w:val="00CE641E"/>
    <w:rsid w:val="00CE645A"/>
    <w:rsid w:val="00CE6472"/>
    <w:rsid w:val="00CE6475"/>
    <w:rsid w:val="00CE64C0"/>
    <w:rsid w:val="00CE6598"/>
    <w:rsid w:val="00CE6665"/>
    <w:rsid w:val="00CE6A19"/>
    <w:rsid w:val="00CE6A63"/>
    <w:rsid w:val="00CE6A9F"/>
    <w:rsid w:val="00CE6BC2"/>
    <w:rsid w:val="00CE6EF3"/>
    <w:rsid w:val="00CE6F8B"/>
    <w:rsid w:val="00CE710E"/>
    <w:rsid w:val="00CE716A"/>
    <w:rsid w:val="00CE717C"/>
    <w:rsid w:val="00CE71BF"/>
    <w:rsid w:val="00CE71D3"/>
    <w:rsid w:val="00CE75D6"/>
    <w:rsid w:val="00CE7612"/>
    <w:rsid w:val="00CE7703"/>
    <w:rsid w:val="00CE779D"/>
    <w:rsid w:val="00CE7AD6"/>
    <w:rsid w:val="00CE7E52"/>
    <w:rsid w:val="00CE7EC8"/>
    <w:rsid w:val="00CE7EEB"/>
    <w:rsid w:val="00CE7F08"/>
    <w:rsid w:val="00CF02E6"/>
    <w:rsid w:val="00CF038E"/>
    <w:rsid w:val="00CF05C9"/>
    <w:rsid w:val="00CF0705"/>
    <w:rsid w:val="00CF08E4"/>
    <w:rsid w:val="00CF0B1C"/>
    <w:rsid w:val="00CF0D2C"/>
    <w:rsid w:val="00CF0D6A"/>
    <w:rsid w:val="00CF0EDE"/>
    <w:rsid w:val="00CF0FA4"/>
    <w:rsid w:val="00CF1016"/>
    <w:rsid w:val="00CF11D6"/>
    <w:rsid w:val="00CF1313"/>
    <w:rsid w:val="00CF1372"/>
    <w:rsid w:val="00CF13FA"/>
    <w:rsid w:val="00CF148E"/>
    <w:rsid w:val="00CF1773"/>
    <w:rsid w:val="00CF1A9C"/>
    <w:rsid w:val="00CF1C07"/>
    <w:rsid w:val="00CF1D22"/>
    <w:rsid w:val="00CF1D9E"/>
    <w:rsid w:val="00CF1DC4"/>
    <w:rsid w:val="00CF1DD7"/>
    <w:rsid w:val="00CF1F65"/>
    <w:rsid w:val="00CF1FC1"/>
    <w:rsid w:val="00CF1FC6"/>
    <w:rsid w:val="00CF1FC7"/>
    <w:rsid w:val="00CF23FF"/>
    <w:rsid w:val="00CF249E"/>
    <w:rsid w:val="00CF2747"/>
    <w:rsid w:val="00CF2AF3"/>
    <w:rsid w:val="00CF2BC5"/>
    <w:rsid w:val="00CF2C4D"/>
    <w:rsid w:val="00CF2E17"/>
    <w:rsid w:val="00CF2F28"/>
    <w:rsid w:val="00CF3033"/>
    <w:rsid w:val="00CF3100"/>
    <w:rsid w:val="00CF3374"/>
    <w:rsid w:val="00CF342D"/>
    <w:rsid w:val="00CF37C2"/>
    <w:rsid w:val="00CF3971"/>
    <w:rsid w:val="00CF3A0D"/>
    <w:rsid w:val="00CF3BF2"/>
    <w:rsid w:val="00CF3C25"/>
    <w:rsid w:val="00CF3C56"/>
    <w:rsid w:val="00CF3D9E"/>
    <w:rsid w:val="00CF3DAF"/>
    <w:rsid w:val="00CF3E71"/>
    <w:rsid w:val="00CF3E79"/>
    <w:rsid w:val="00CF3FB9"/>
    <w:rsid w:val="00CF3FC6"/>
    <w:rsid w:val="00CF4184"/>
    <w:rsid w:val="00CF4304"/>
    <w:rsid w:val="00CF43BA"/>
    <w:rsid w:val="00CF4413"/>
    <w:rsid w:val="00CF44A2"/>
    <w:rsid w:val="00CF458D"/>
    <w:rsid w:val="00CF45EB"/>
    <w:rsid w:val="00CF462C"/>
    <w:rsid w:val="00CF466F"/>
    <w:rsid w:val="00CF48E1"/>
    <w:rsid w:val="00CF4F03"/>
    <w:rsid w:val="00CF4F46"/>
    <w:rsid w:val="00CF4FA3"/>
    <w:rsid w:val="00CF5169"/>
    <w:rsid w:val="00CF51C0"/>
    <w:rsid w:val="00CF521F"/>
    <w:rsid w:val="00CF52A7"/>
    <w:rsid w:val="00CF52F0"/>
    <w:rsid w:val="00CF54A3"/>
    <w:rsid w:val="00CF555D"/>
    <w:rsid w:val="00CF5568"/>
    <w:rsid w:val="00CF560C"/>
    <w:rsid w:val="00CF5A79"/>
    <w:rsid w:val="00CF5B5B"/>
    <w:rsid w:val="00CF5E4B"/>
    <w:rsid w:val="00CF5E5A"/>
    <w:rsid w:val="00CF5F43"/>
    <w:rsid w:val="00CF5FF0"/>
    <w:rsid w:val="00CF6174"/>
    <w:rsid w:val="00CF6332"/>
    <w:rsid w:val="00CF64EF"/>
    <w:rsid w:val="00CF6516"/>
    <w:rsid w:val="00CF662E"/>
    <w:rsid w:val="00CF665F"/>
    <w:rsid w:val="00CF6677"/>
    <w:rsid w:val="00CF69DC"/>
    <w:rsid w:val="00CF6B5F"/>
    <w:rsid w:val="00CF6BD0"/>
    <w:rsid w:val="00CF6CA6"/>
    <w:rsid w:val="00CF6D48"/>
    <w:rsid w:val="00CF6E9C"/>
    <w:rsid w:val="00CF6EB5"/>
    <w:rsid w:val="00CF6FB1"/>
    <w:rsid w:val="00CF6FBD"/>
    <w:rsid w:val="00CF7106"/>
    <w:rsid w:val="00CF717A"/>
    <w:rsid w:val="00CF7185"/>
    <w:rsid w:val="00CF71FB"/>
    <w:rsid w:val="00CF7633"/>
    <w:rsid w:val="00CF7701"/>
    <w:rsid w:val="00CF78E4"/>
    <w:rsid w:val="00CF7A07"/>
    <w:rsid w:val="00CF7A6D"/>
    <w:rsid w:val="00CF7A70"/>
    <w:rsid w:val="00CF7ADD"/>
    <w:rsid w:val="00CF7AF0"/>
    <w:rsid w:val="00CF7B99"/>
    <w:rsid w:val="00CF7BCB"/>
    <w:rsid w:val="00CF7C2D"/>
    <w:rsid w:val="00CF7C7E"/>
    <w:rsid w:val="00CF7C9E"/>
    <w:rsid w:val="00CF7CCE"/>
    <w:rsid w:val="00CF7D2B"/>
    <w:rsid w:val="00CF7DD8"/>
    <w:rsid w:val="00CF7E5D"/>
    <w:rsid w:val="00CF7E90"/>
    <w:rsid w:val="00D00128"/>
    <w:rsid w:val="00D001CD"/>
    <w:rsid w:val="00D004C9"/>
    <w:rsid w:val="00D0053F"/>
    <w:rsid w:val="00D006C6"/>
    <w:rsid w:val="00D007C0"/>
    <w:rsid w:val="00D009D4"/>
    <w:rsid w:val="00D00B53"/>
    <w:rsid w:val="00D00BEC"/>
    <w:rsid w:val="00D00C04"/>
    <w:rsid w:val="00D00C0E"/>
    <w:rsid w:val="00D00C6F"/>
    <w:rsid w:val="00D00CE9"/>
    <w:rsid w:val="00D00DAD"/>
    <w:rsid w:val="00D00E6B"/>
    <w:rsid w:val="00D01073"/>
    <w:rsid w:val="00D01106"/>
    <w:rsid w:val="00D011C9"/>
    <w:rsid w:val="00D013DF"/>
    <w:rsid w:val="00D01633"/>
    <w:rsid w:val="00D016C8"/>
    <w:rsid w:val="00D01774"/>
    <w:rsid w:val="00D017BD"/>
    <w:rsid w:val="00D018B4"/>
    <w:rsid w:val="00D0192B"/>
    <w:rsid w:val="00D01A4C"/>
    <w:rsid w:val="00D01BE8"/>
    <w:rsid w:val="00D01DD2"/>
    <w:rsid w:val="00D02033"/>
    <w:rsid w:val="00D020C7"/>
    <w:rsid w:val="00D0212D"/>
    <w:rsid w:val="00D02191"/>
    <w:rsid w:val="00D02192"/>
    <w:rsid w:val="00D0219B"/>
    <w:rsid w:val="00D021C8"/>
    <w:rsid w:val="00D02612"/>
    <w:rsid w:val="00D0286B"/>
    <w:rsid w:val="00D0298F"/>
    <w:rsid w:val="00D029FF"/>
    <w:rsid w:val="00D02A2D"/>
    <w:rsid w:val="00D02C66"/>
    <w:rsid w:val="00D02CD4"/>
    <w:rsid w:val="00D02DAD"/>
    <w:rsid w:val="00D02FA6"/>
    <w:rsid w:val="00D03012"/>
    <w:rsid w:val="00D031AF"/>
    <w:rsid w:val="00D0322E"/>
    <w:rsid w:val="00D0327A"/>
    <w:rsid w:val="00D033C1"/>
    <w:rsid w:val="00D033D9"/>
    <w:rsid w:val="00D03555"/>
    <w:rsid w:val="00D035A9"/>
    <w:rsid w:val="00D036A3"/>
    <w:rsid w:val="00D0383E"/>
    <w:rsid w:val="00D038D7"/>
    <w:rsid w:val="00D039A3"/>
    <w:rsid w:val="00D03A86"/>
    <w:rsid w:val="00D03BDD"/>
    <w:rsid w:val="00D03C9F"/>
    <w:rsid w:val="00D03ECA"/>
    <w:rsid w:val="00D03EEA"/>
    <w:rsid w:val="00D04148"/>
    <w:rsid w:val="00D0433C"/>
    <w:rsid w:val="00D0437A"/>
    <w:rsid w:val="00D043EC"/>
    <w:rsid w:val="00D04516"/>
    <w:rsid w:val="00D0454C"/>
    <w:rsid w:val="00D0489E"/>
    <w:rsid w:val="00D048D3"/>
    <w:rsid w:val="00D04A29"/>
    <w:rsid w:val="00D04B2E"/>
    <w:rsid w:val="00D04BA2"/>
    <w:rsid w:val="00D04D0E"/>
    <w:rsid w:val="00D04D7B"/>
    <w:rsid w:val="00D04F3F"/>
    <w:rsid w:val="00D04F9F"/>
    <w:rsid w:val="00D05021"/>
    <w:rsid w:val="00D0502F"/>
    <w:rsid w:val="00D050BD"/>
    <w:rsid w:val="00D0516C"/>
    <w:rsid w:val="00D05498"/>
    <w:rsid w:val="00D055AC"/>
    <w:rsid w:val="00D055DB"/>
    <w:rsid w:val="00D05B0A"/>
    <w:rsid w:val="00D05B29"/>
    <w:rsid w:val="00D05DCD"/>
    <w:rsid w:val="00D05EC5"/>
    <w:rsid w:val="00D05F97"/>
    <w:rsid w:val="00D0615C"/>
    <w:rsid w:val="00D06284"/>
    <w:rsid w:val="00D06539"/>
    <w:rsid w:val="00D06573"/>
    <w:rsid w:val="00D06732"/>
    <w:rsid w:val="00D0677E"/>
    <w:rsid w:val="00D0678B"/>
    <w:rsid w:val="00D067EF"/>
    <w:rsid w:val="00D0680F"/>
    <w:rsid w:val="00D06887"/>
    <w:rsid w:val="00D068C7"/>
    <w:rsid w:val="00D06903"/>
    <w:rsid w:val="00D06BFA"/>
    <w:rsid w:val="00D06C81"/>
    <w:rsid w:val="00D06CBE"/>
    <w:rsid w:val="00D06CDF"/>
    <w:rsid w:val="00D06CF3"/>
    <w:rsid w:val="00D06ECC"/>
    <w:rsid w:val="00D07047"/>
    <w:rsid w:val="00D070D3"/>
    <w:rsid w:val="00D071CE"/>
    <w:rsid w:val="00D072B7"/>
    <w:rsid w:val="00D07403"/>
    <w:rsid w:val="00D07427"/>
    <w:rsid w:val="00D07628"/>
    <w:rsid w:val="00D079C9"/>
    <w:rsid w:val="00D07A43"/>
    <w:rsid w:val="00D07A46"/>
    <w:rsid w:val="00D07ACB"/>
    <w:rsid w:val="00D07CCB"/>
    <w:rsid w:val="00D07CE7"/>
    <w:rsid w:val="00D07DD1"/>
    <w:rsid w:val="00D07F3E"/>
    <w:rsid w:val="00D10136"/>
    <w:rsid w:val="00D10173"/>
    <w:rsid w:val="00D1030B"/>
    <w:rsid w:val="00D103B6"/>
    <w:rsid w:val="00D10464"/>
    <w:rsid w:val="00D10541"/>
    <w:rsid w:val="00D1076A"/>
    <w:rsid w:val="00D10A09"/>
    <w:rsid w:val="00D10A2F"/>
    <w:rsid w:val="00D10C72"/>
    <w:rsid w:val="00D10DDF"/>
    <w:rsid w:val="00D10DF8"/>
    <w:rsid w:val="00D10F27"/>
    <w:rsid w:val="00D10F3F"/>
    <w:rsid w:val="00D111C3"/>
    <w:rsid w:val="00D112A6"/>
    <w:rsid w:val="00D11501"/>
    <w:rsid w:val="00D11652"/>
    <w:rsid w:val="00D119E4"/>
    <w:rsid w:val="00D11AB6"/>
    <w:rsid w:val="00D11D0D"/>
    <w:rsid w:val="00D11D73"/>
    <w:rsid w:val="00D11D8D"/>
    <w:rsid w:val="00D11F58"/>
    <w:rsid w:val="00D120EB"/>
    <w:rsid w:val="00D12129"/>
    <w:rsid w:val="00D12579"/>
    <w:rsid w:val="00D12588"/>
    <w:rsid w:val="00D126D1"/>
    <w:rsid w:val="00D12763"/>
    <w:rsid w:val="00D127B5"/>
    <w:rsid w:val="00D12B09"/>
    <w:rsid w:val="00D12B4C"/>
    <w:rsid w:val="00D12ED1"/>
    <w:rsid w:val="00D12EE2"/>
    <w:rsid w:val="00D12F9C"/>
    <w:rsid w:val="00D13049"/>
    <w:rsid w:val="00D131BF"/>
    <w:rsid w:val="00D133A2"/>
    <w:rsid w:val="00D13522"/>
    <w:rsid w:val="00D13580"/>
    <w:rsid w:val="00D135CE"/>
    <w:rsid w:val="00D135D5"/>
    <w:rsid w:val="00D1396C"/>
    <w:rsid w:val="00D139BC"/>
    <w:rsid w:val="00D13A26"/>
    <w:rsid w:val="00D13B0F"/>
    <w:rsid w:val="00D13CAF"/>
    <w:rsid w:val="00D13D2D"/>
    <w:rsid w:val="00D13E35"/>
    <w:rsid w:val="00D13F88"/>
    <w:rsid w:val="00D1414C"/>
    <w:rsid w:val="00D1415F"/>
    <w:rsid w:val="00D1431B"/>
    <w:rsid w:val="00D14454"/>
    <w:rsid w:val="00D147F2"/>
    <w:rsid w:val="00D148BF"/>
    <w:rsid w:val="00D1490A"/>
    <w:rsid w:val="00D14C04"/>
    <w:rsid w:val="00D14CCA"/>
    <w:rsid w:val="00D14D28"/>
    <w:rsid w:val="00D14E29"/>
    <w:rsid w:val="00D14E90"/>
    <w:rsid w:val="00D14E97"/>
    <w:rsid w:val="00D14F68"/>
    <w:rsid w:val="00D14FBF"/>
    <w:rsid w:val="00D15019"/>
    <w:rsid w:val="00D1502B"/>
    <w:rsid w:val="00D15058"/>
    <w:rsid w:val="00D1510E"/>
    <w:rsid w:val="00D152CF"/>
    <w:rsid w:val="00D1540F"/>
    <w:rsid w:val="00D15505"/>
    <w:rsid w:val="00D15852"/>
    <w:rsid w:val="00D15916"/>
    <w:rsid w:val="00D15926"/>
    <w:rsid w:val="00D15D41"/>
    <w:rsid w:val="00D15DD8"/>
    <w:rsid w:val="00D160B5"/>
    <w:rsid w:val="00D16118"/>
    <w:rsid w:val="00D1627A"/>
    <w:rsid w:val="00D162ED"/>
    <w:rsid w:val="00D163B6"/>
    <w:rsid w:val="00D16479"/>
    <w:rsid w:val="00D1648D"/>
    <w:rsid w:val="00D164A3"/>
    <w:rsid w:val="00D16546"/>
    <w:rsid w:val="00D167CE"/>
    <w:rsid w:val="00D16B2B"/>
    <w:rsid w:val="00D16C7B"/>
    <w:rsid w:val="00D16CA4"/>
    <w:rsid w:val="00D16CCD"/>
    <w:rsid w:val="00D16FAC"/>
    <w:rsid w:val="00D17028"/>
    <w:rsid w:val="00D170F8"/>
    <w:rsid w:val="00D172C4"/>
    <w:rsid w:val="00D17653"/>
    <w:rsid w:val="00D176E9"/>
    <w:rsid w:val="00D1771F"/>
    <w:rsid w:val="00D1775E"/>
    <w:rsid w:val="00D1779A"/>
    <w:rsid w:val="00D17811"/>
    <w:rsid w:val="00D17A7C"/>
    <w:rsid w:val="00D17B13"/>
    <w:rsid w:val="00D17B80"/>
    <w:rsid w:val="00D17B92"/>
    <w:rsid w:val="00D17BC6"/>
    <w:rsid w:val="00D17C1E"/>
    <w:rsid w:val="00D17D06"/>
    <w:rsid w:val="00D2008F"/>
    <w:rsid w:val="00D200B2"/>
    <w:rsid w:val="00D20192"/>
    <w:rsid w:val="00D202C8"/>
    <w:rsid w:val="00D2035C"/>
    <w:rsid w:val="00D203AC"/>
    <w:rsid w:val="00D203FB"/>
    <w:rsid w:val="00D2057E"/>
    <w:rsid w:val="00D20615"/>
    <w:rsid w:val="00D20628"/>
    <w:rsid w:val="00D207DC"/>
    <w:rsid w:val="00D207E4"/>
    <w:rsid w:val="00D20805"/>
    <w:rsid w:val="00D20910"/>
    <w:rsid w:val="00D20B29"/>
    <w:rsid w:val="00D20D0B"/>
    <w:rsid w:val="00D20D66"/>
    <w:rsid w:val="00D20D7C"/>
    <w:rsid w:val="00D20F90"/>
    <w:rsid w:val="00D20FC0"/>
    <w:rsid w:val="00D210C5"/>
    <w:rsid w:val="00D21130"/>
    <w:rsid w:val="00D2125D"/>
    <w:rsid w:val="00D21260"/>
    <w:rsid w:val="00D212F1"/>
    <w:rsid w:val="00D213B0"/>
    <w:rsid w:val="00D213DA"/>
    <w:rsid w:val="00D2151F"/>
    <w:rsid w:val="00D21535"/>
    <w:rsid w:val="00D216E0"/>
    <w:rsid w:val="00D21700"/>
    <w:rsid w:val="00D218FC"/>
    <w:rsid w:val="00D21948"/>
    <w:rsid w:val="00D21F85"/>
    <w:rsid w:val="00D2201A"/>
    <w:rsid w:val="00D22042"/>
    <w:rsid w:val="00D222EA"/>
    <w:rsid w:val="00D22389"/>
    <w:rsid w:val="00D22484"/>
    <w:rsid w:val="00D225AB"/>
    <w:rsid w:val="00D22625"/>
    <w:rsid w:val="00D22885"/>
    <w:rsid w:val="00D2288A"/>
    <w:rsid w:val="00D22B66"/>
    <w:rsid w:val="00D22B7A"/>
    <w:rsid w:val="00D22C5B"/>
    <w:rsid w:val="00D22D00"/>
    <w:rsid w:val="00D22E4B"/>
    <w:rsid w:val="00D22F73"/>
    <w:rsid w:val="00D22FD9"/>
    <w:rsid w:val="00D234B9"/>
    <w:rsid w:val="00D23711"/>
    <w:rsid w:val="00D237CC"/>
    <w:rsid w:val="00D2394F"/>
    <w:rsid w:val="00D239C8"/>
    <w:rsid w:val="00D239E6"/>
    <w:rsid w:val="00D23A59"/>
    <w:rsid w:val="00D23BE3"/>
    <w:rsid w:val="00D23C15"/>
    <w:rsid w:val="00D23DBF"/>
    <w:rsid w:val="00D23DF2"/>
    <w:rsid w:val="00D23EA7"/>
    <w:rsid w:val="00D23EFF"/>
    <w:rsid w:val="00D24028"/>
    <w:rsid w:val="00D24054"/>
    <w:rsid w:val="00D2413D"/>
    <w:rsid w:val="00D242D2"/>
    <w:rsid w:val="00D24565"/>
    <w:rsid w:val="00D24768"/>
    <w:rsid w:val="00D24A86"/>
    <w:rsid w:val="00D24BCA"/>
    <w:rsid w:val="00D24E4A"/>
    <w:rsid w:val="00D25094"/>
    <w:rsid w:val="00D250C8"/>
    <w:rsid w:val="00D25101"/>
    <w:rsid w:val="00D2515A"/>
    <w:rsid w:val="00D25286"/>
    <w:rsid w:val="00D25348"/>
    <w:rsid w:val="00D254C8"/>
    <w:rsid w:val="00D25518"/>
    <w:rsid w:val="00D25563"/>
    <w:rsid w:val="00D25614"/>
    <w:rsid w:val="00D256D9"/>
    <w:rsid w:val="00D25823"/>
    <w:rsid w:val="00D25893"/>
    <w:rsid w:val="00D25983"/>
    <w:rsid w:val="00D25986"/>
    <w:rsid w:val="00D25B72"/>
    <w:rsid w:val="00D25CA0"/>
    <w:rsid w:val="00D25CD2"/>
    <w:rsid w:val="00D25D5D"/>
    <w:rsid w:val="00D25E19"/>
    <w:rsid w:val="00D25E44"/>
    <w:rsid w:val="00D25F29"/>
    <w:rsid w:val="00D26018"/>
    <w:rsid w:val="00D26075"/>
    <w:rsid w:val="00D261E8"/>
    <w:rsid w:val="00D26220"/>
    <w:rsid w:val="00D2623F"/>
    <w:rsid w:val="00D262D2"/>
    <w:rsid w:val="00D263DD"/>
    <w:rsid w:val="00D2648A"/>
    <w:rsid w:val="00D2654F"/>
    <w:rsid w:val="00D2668B"/>
    <w:rsid w:val="00D267E0"/>
    <w:rsid w:val="00D268FF"/>
    <w:rsid w:val="00D26A59"/>
    <w:rsid w:val="00D26A76"/>
    <w:rsid w:val="00D26A7E"/>
    <w:rsid w:val="00D26E4E"/>
    <w:rsid w:val="00D2705B"/>
    <w:rsid w:val="00D271BC"/>
    <w:rsid w:val="00D2720A"/>
    <w:rsid w:val="00D2720B"/>
    <w:rsid w:val="00D2727D"/>
    <w:rsid w:val="00D27417"/>
    <w:rsid w:val="00D2742A"/>
    <w:rsid w:val="00D27481"/>
    <w:rsid w:val="00D27548"/>
    <w:rsid w:val="00D276C7"/>
    <w:rsid w:val="00D2783B"/>
    <w:rsid w:val="00D27884"/>
    <w:rsid w:val="00D278D7"/>
    <w:rsid w:val="00D279BA"/>
    <w:rsid w:val="00D27A3E"/>
    <w:rsid w:val="00D27A96"/>
    <w:rsid w:val="00D27ADA"/>
    <w:rsid w:val="00D27D47"/>
    <w:rsid w:val="00D27DFB"/>
    <w:rsid w:val="00D27E43"/>
    <w:rsid w:val="00D27E77"/>
    <w:rsid w:val="00D300EF"/>
    <w:rsid w:val="00D30206"/>
    <w:rsid w:val="00D303B9"/>
    <w:rsid w:val="00D304AD"/>
    <w:rsid w:val="00D30505"/>
    <w:rsid w:val="00D305C1"/>
    <w:rsid w:val="00D30605"/>
    <w:rsid w:val="00D30827"/>
    <w:rsid w:val="00D30A51"/>
    <w:rsid w:val="00D30BAA"/>
    <w:rsid w:val="00D30C2E"/>
    <w:rsid w:val="00D30F8F"/>
    <w:rsid w:val="00D30F9E"/>
    <w:rsid w:val="00D3118D"/>
    <w:rsid w:val="00D31271"/>
    <w:rsid w:val="00D31310"/>
    <w:rsid w:val="00D31354"/>
    <w:rsid w:val="00D313EB"/>
    <w:rsid w:val="00D31449"/>
    <w:rsid w:val="00D31467"/>
    <w:rsid w:val="00D314CF"/>
    <w:rsid w:val="00D3182B"/>
    <w:rsid w:val="00D318C5"/>
    <w:rsid w:val="00D3190F"/>
    <w:rsid w:val="00D31913"/>
    <w:rsid w:val="00D3197E"/>
    <w:rsid w:val="00D31C35"/>
    <w:rsid w:val="00D31CAA"/>
    <w:rsid w:val="00D31CDF"/>
    <w:rsid w:val="00D31DAB"/>
    <w:rsid w:val="00D31E6D"/>
    <w:rsid w:val="00D32087"/>
    <w:rsid w:val="00D3227A"/>
    <w:rsid w:val="00D32367"/>
    <w:rsid w:val="00D3254E"/>
    <w:rsid w:val="00D325D7"/>
    <w:rsid w:val="00D32776"/>
    <w:rsid w:val="00D3281E"/>
    <w:rsid w:val="00D3286D"/>
    <w:rsid w:val="00D32870"/>
    <w:rsid w:val="00D32908"/>
    <w:rsid w:val="00D32953"/>
    <w:rsid w:val="00D32979"/>
    <w:rsid w:val="00D32B63"/>
    <w:rsid w:val="00D32C6E"/>
    <w:rsid w:val="00D32C9D"/>
    <w:rsid w:val="00D32DDB"/>
    <w:rsid w:val="00D32E0F"/>
    <w:rsid w:val="00D32E23"/>
    <w:rsid w:val="00D32E82"/>
    <w:rsid w:val="00D32F38"/>
    <w:rsid w:val="00D3300C"/>
    <w:rsid w:val="00D33017"/>
    <w:rsid w:val="00D3325B"/>
    <w:rsid w:val="00D33328"/>
    <w:rsid w:val="00D334C2"/>
    <w:rsid w:val="00D33573"/>
    <w:rsid w:val="00D335E1"/>
    <w:rsid w:val="00D3360D"/>
    <w:rsid w:val="00D33619"/>
    <w:rsid w:val="00D3383E"/>
    <w:rsid w:val="00D339D2"/>
    <w:rsid w:val="00D33B3B"/>
    <w:rsid w:val="00D33B7A"/>
    <w:rsid w:val="00D33BC2"/>
    <w:rsid w:val="00D33D98"/>
    <w:rsid w:val="00D33E2C"/>
    <w:rsid w:val="00D3419F"/>
    <w:rsid w:val="00D341FD"/>
    <w:rsid w:val="00D34269"/>
    <w:rsid w:val="00D342BB"/>
    <w:rsid w:val="00D343E2"/>
    <w:rsid w:val="00D3444F"/>
    <w:rsid w:val="00D3447F"/>
    <w:rsid w:val="00D346E6"/>
    <w:rsid w:val="00D347D5"/>
    <w:rsid w:val="00D347E7"/>
    <w:rsid w:val="00D34844"/>
    <w:rsid w:val="00D34C86"/>
    <w:rsid w:val="00D34D20"/>
    <w:rsid w:val="00D34D91"/>
    <w:rsid w:val="00D34DF1"/>
    <w:rsid w:val="00D34ED6"/>
    <w:rsid w:val="00D34F93"/>
    <w:rsid w:val="00D34FDA"/>
    <w:rsid w:val="00D35089"/>
    <w:rsid w:val="00D35135"/>
    <w:rsid w:val="00D353C0"/>
    <w:rsid w:val="00D35442"/>
    <w:rsid w:val="00D3565F"/>
    <w:rsid w:val="00D356CB"/>
    <w:rsid w:val="00D356E4"/>
    <w:rsid w:val="00D35723"/>
    <w:rsid w:val="00D357B5"/>
    <w:rsid w:val="00D35843"/>
    <w:rsid w:val="00D359E5"/>
    <w:rsid w:val="00D35DED"/>
    <w:rsid w:val="00D35E05"/>
    <w:rsid w:val="00D35E0F"/>
    <w:rsid w:val="00D35FD2"/>
    <w:rsid w:val="00D3603D"/>
    <w:rsid w:val="00D36093"/>
    <w:rsid w:val="00D360D4"/>
    <w:rsid w:val="00D36106"/>
    <w:rsid w:val="00D3614E"/>
    <w:rsid w:val="00D361AD"/>
    <w:rsid w:val="00D36282"/>
    <w:rsid w:val="00D363CE"/>
    <w:rsid w:val="00D36540"/>
    <w:rsid w:val="00D36753"/>
    <w:rsid w:val="00D367D7"/>
    <w:rsid w:val="00D36B88"/>
    <w:rsid w:val="00D36BF2"/>
    <w:rsid w:val="00D36C95"/>
    <w:rsid w:val="00D36DFE"/>
    <w:rsid w:val="00D36FD2"/>
    <w:rsid w:val="00D36FF3"/>
    <w:rsid w:val="00D37125"/>
    <w:rsid w:val="00D3712D"/>
    <w:rsid w:val="00D37151"/>
    <w:rsid w:val="00D371C6"/>
    <w:rsid w:val="00D371F8"/>
    <w:rsid w:val="00D37344"/>
    <w:rsid w:val="00D375CD"/>
    <w:rsid w:val="00D37844"/>
    <w:rsid w:val="00D3784D"/>
    <w:rsid w:val="00D3787E"/>
    <w:rsid w:val="00D37B12"/>
    <w:rsid w:val="00D37BF6"/>
    <w:rsid w:val="00D37C72"/>
    <w:rsid w:val="00D37D1D"/>
    <w:rsid w:val="00D37FB5"/>
    <w:rsid w:val="00D40010"/>
    <w:rsid w:val="00D40039"/>
    <w:rsid w:val="00D40057"/>
    <w:rsid w:val="00D400A3"/>
    <w:rsid w:val="00D4011E"/>
    <w:rsid w:val="00D40148"/>
    <w:rsid w:val="00D4014A"/>
    <w:rsid w:val="00D405C8"/>
    <w:rsid w:val="00D40794"/>
    <w:rsid w:val="00D407E1"/>
    <w:rsid w:val="00D4090B"/>
    <w:rsid w:val="00D40930"/>
    <w:rsid w:val="00D409D9"/>
    <w:rsid w:val="00D40BB6"/>
    <w:rsid w:val="00D40D81"/>
    <w:rsid w:val="00D40D8D"/>
    <w:rsid w:val="00D40DA1"/>
    <w:rsid w:val="00D40E3C"/>
    <w:rsid w:val="00D40F55"/>
    <w:rsid w:val="00D40F73"/>
    <w:rsid w:val="00D41077"/>
    <w:rsid w:val="00D4127F"/>
    <w:rsid w:val="00D4135F"/>
    <w:rsid w:val="00D414DC"/>
    <w:rsid w:val="00D414F4"/>
    <w:rsid w:val="00D41589"/>
    <w:rsid w:val="00D415F9"/>
    <w:rsid w:val="00D416A9"/>
    <w:rsid w:val="00D41733"/>
    <w:rsid w:val="00D419C3"/>
    <w:rsid w:val="00D41A66"/>
    <w:rsid w:val="00D41C24"/>
    <w:rsid w:val="00D41E44"/>
    <w:rsid w:val="00D4216A"/>
    <w:rsid w:val="00D423CD"/>
    <w:rsid w:val="00D42546"/>
    <w:rsid w:val="00D42601"/>
    <w:rsid w:val="00D426A1"/>
    <w:rsid w:val="00D426EA"/>
    <w:rsid w:val="00D42715"/>
    <w:rsid w:val="00D427D3"/>
    <w:rsid w:val="00D428D8"/>
    <w:rsid w:val="00D429A7"/>
    <w:rsid w:val="00D42A72"/>
    <w:rsid w:val="00D42E96"/>
    <w:rsid w:val="00D42FB0"/>
    <w:rsid w:val="00D430BA"/>
    <w:rsid w:val="00D4315A"/>
    <w:rsid w:val="00D4321D"/>
    <w:rsid w:val="00D43233"/>
    <w:rsid w:val="00D4328D"/>
    <w:rsid w:val="00D43312"/>
    <w:rsid w:val="00D4334B"/>
    <w:rsid w:val="00D43365"/>
    <w:rsid w:val="00D433DA"/>
    <w:rsid w:val="00D435A8"/>
    <w:rsid w:val="00D435D2"/>
    <w:rsid w:val="00D438B2"/>
    <w:rsid w:val="00D438B7"/>
    <w:rsid w:val="00D4394F"/>
    <w:rsid w:val="00D43B95"/>
    <w:rsid w:val="00D43BD2"/>
    <w:rsid w:val="00D43D5D"/>
    <w:rsid w:val="00D43E04"/>
    <w:rsid w:val="00D43F96"/>
    <w:rsid w:val="00D440D3"/>
    <w:rsid w:val="00D441AB"/>
    <w:rsid w:val="00D44470"/>
    <w:rsid w:val="00D44526"/>
    <w:rsid w:val="00D446B1"/>
    <w:rsid w:val="00D446BF"/>
    <w:rsid w:val="00D4474E"/>
    <w:rsid w:val="00D44816"/>
    <w:rsid w:val="00D44924"/>
    <w:rsid w:val="00D44934"/>
    <w:rsid w:val="00D44ABA"/>
    <w:rsid w:val="00D44B4D"/>
    <w:rsid w:val="00D44CD3"/>
    <w:rsid w:val="00D44D20"/>
    <w:rsid w:val="00D44E2D"/>
    <w:rsid w:val="00D44E44"/>
    <w:rsid w:val="00D44FA5"/>
    <w:rsid w:val="00D45005"/>
    <w:rsid w:val="00D451D4"/>
    <w:rsid w:val="00D45210"/>
    <w:rsid w:val="00D452FD"/>
    <w:rsid w:val="00D4531A"/>
    <w:rsid w:val="00D4562F"/>
    <w:rsid w:val="00D45663"/>
    <w:rsid w:val="00D45744"/>
    <w:rsid w:val="00D45969"/>
    <w:rsid w:val="00D459EC"/>
    <w:rsid w:val="00D459FA"/>
    <w:rsid w:val="00D45D27"/>
    <w:rsid w:val="00D45DA6"/>
    <w:rsid w:val="00D45DBE"/>
    <w:rsid w:val="00D461FA"/>
    <w:rsid w:val="00D46276"/>
    <w:rsid w:val="00D4649F"/>
    <w:rsid w:val="00D46633"/>
    <w:rsid w:val="00D46684"/>
    <w:rsid w:val="00D466BA"/>
    <w:rsid w:val="00D4671C"/>
    <w:rsid w:val="00D46999"/>
    <w:rsid w:val="00D469E9"/>
    <w:rsid w:val="00D46A10"/>
    <w:rsid w:val="00D46B99"/>
    <w:rsid w:val="00D46BCB"/>
    <w:rsid w:val="00D46C88"/>
    <w:rsid w:val="00D46D75"/>
    <w:rsid w:val="00D46D9D"/>
    <w:rsid w:val="00D46F6B"/>
    <w:rsid w:val="00D46F87"/>
    <w:rsid w:val="00D4706C"/>
    <w:rsid w:val="00D4773E"/>
    <w:rsid w:val="00D477A8"/>
    <w:rsid w:val="00D477E4"/>
    <w:rsid w:val="00D47A13"/>
    <w:rsid w:val="00D47C6D"/>
    <w:rsid w:val="00D47D1D"/>
    <w:rsid w:val="00D47D2B"/>
    <w:rsid w:val="00D47D59"/>
    <w:rsid w:val="00D47E1E"/>
    <w:rsid w:val="00D50049"/>
    <w:rsid w:val="00D500F8"/>
    <w:rsid w:val="00D5021E"/>
    <w:rsid w:val="00D502DC"/>
    <w:rsid w:val="00D503B8"/>
    <w:rsid w:val="00D5045C"/>
    <w:rsid w:val="00D504B8"/>
    <w:rsid w:val="00D504D9"/>
    <w:rsid w:val="00D504DE"/>
    <w:rsid w:val="00D5068C"/>
    <w:rsid w:val="00D50839"/>
    <w:rsid w:val="00D508A3"/>
    <w:rsid w:val="00D50DD0"/>
    <w:rsid w:val="00D50EAE"/>
    <w:rsid w:val="00D5108A"/>
    <w:rsid w:val="00D512DF"/>
    <w:rsid w:val="00D512F6"/>
    <w:rsid w:val="00D516EB"/>
    <w:rsid w:val="00D5175C"/>
    <w:rsid w:val="00D5175F"/>
    <w:rsid w:val="00D51875"/>
    <w:rsid w:val="00D51911"/>
    <w:rsid w:val="00D51A02"/>
    <w:rsid w:val="00D51AC6"/>
    <w:rsid w:val="00D51B13"/>
    <w:rsid w:val="00D51CB6"/>
    <w:rsid w:val="00D5201C"/>
    <w:rsid w:val="00D52136"/>
    <w:rsid w:val="00D52175"/>
    <w:rsid w:val="00D5227C"/>
    <w:rsid w:val="00D522D3"/>
    <w:rsid w:val="00D52392"/>
    <w:rsid w:val="00D525CF"/>
    <w:rsid w:val="00D525EF"/>
    <w:rsid w:val="00D52731"/>
    <w:rsid w:val="00D52779"/>
    <w:rsid w:val="00D527ED"/>
    <w:rsid w:val="00D52804"/>
    <w:rsid w:val="00D52807"/>
    <w:rsid w:val="00D52893"/>
    <w:rsid w:val="00D52B79"/>
    <w:rsid w:val="00D52E79"/>
    <w:rsid w:val="00D52F52"/>
    <w:rsid w:val="00D53365"/>
    <w:rsid w:val="00D533A7"/>
    <w:rsid w:val="00D5345B"/>
    <w:rsid w:val="00D5347D"/>
    <w:rsid w:val="00D53564"/>
    <w:rsid w:val="00D53669"/>
    <w:rsid w:val="00D53775"/>
    <w:rsid w:val="00D53778"/>
    <w:rsid w:val="00D53822"/>
    <w:rsid w:val="00D53CE9"/>
    <w:rsid w:val="00D53DE5"/>
    <w:rsid w:val="00D53F08"/>
    <w:rsid w:val="00D54122"/>
    <w:rsid w:val="00D541EB"/>
    <w:rsid w:val="00D54282"/>
    <w:rsid w:val="00D543CF"/>
    <w:rsid w:val="00D543D5"/>
    <w:rsid w:val="00D54470"/>
    <w:rsid w:val="00D544C3"/>
    <w:rsid w:val="00D546E6"/>
    <w:rsid w:val="00D5486F"/>
    <w:rsid w:val="00D54917"/>
    <w:rsid w:val="00D54921"/>
    <w:rsid w:val="00D54CDA"/>
    <w:rsid w:val="00D54D76"/>
    <w:rsid w:val="00D54EB5"/>
    <w:rsid w:val="00D55079"/>
    <w:rsid w:val="00D5510E"/>
    <w:rsid w:val="00D5511F"/>
    <w:rsid w:val="00D5540B"/>
    <w:rsid w:val="00D55649"/>
    <w:rsid w:val="00D55652"/>
    <w:rsid w:val="00D558D1"/>
    <w:rsid w:val="00D559A3"/>
    <w:rsid w:val="00D55A10"/>
    <w:rsid w:val="00D55AB7"/>
    <w:rsid w:val="00D55B54"/>
    <w:rsid w:val="00D55BC1"/>
    <w:rsid w:val="00D55D60"/>
    <w:rsid w:val="00D55D82"/>
    <w:rsid w:val="00D55DA0"/>
    <w:rsid w:val="00D55F38"/>
    <w:rsid w:val="00D56008"/>
    <w:rsid w:val="00D56015"/>
    <w:rsid w:val="00D56034"/>
    <w:rsid w:val="00D560DD"/>
    <w:rsid w:val="00D56108"/>
    <w:rsid w:val="00D56211"/>
    <w:rsid w:val="00D56247"/>
    <w:rsid w:val="00D56293"/>
    <w:rsid w:val="00D562A9"/>
    <w:rsid w:val="00D562C8"/>
    <w:rsid w:val="00D56324"/>
    <w:rsid w:val="00D563B8"/>
    <w:rsid w:val="00D5644E"/>
    <w:rsid w:val="00D56643"/>
    <w:rsid w:val="00D568B5"/>
    <w:rsid w:val="00D56C3B"/>
    <w:rsid w:val="00D56E04"/>
    <w:rsid w:val="00D56E34"/>
    <w:rsid w:val="00D56F0B"/>
    <w:rsid w:val="00D56F9A"/>
    <w:rsid w:val="00D56FB0"/>
    <w:rsid w:val="00D57195"/>
    <w:rsid w:val="00D572B5"/>
    <w:rsid w:val="00D5741F"/>
    <w:rsid w:val="00D5765D"/>
    <w:rsid w:val="00D5779A"/>
    <w:rsid w:val="00D577A5"/>
    <w:rsid w:val="00D577BF"/>
    <w:rsid w:val="00D578CD"/>
    <w:rsid w:val="00D57AB6"/>
    <w:rsid w:val="00D57B7E"/>
    <w:rsid w:val="00D57BD6"/>
    <w:rsid w:val="00D57D15"/>
    <w:rsid w:val="00D57D57"/>
    <w:rsid w:val="00D57E37"/>
    <w:rsid w:val="00D57EE6"/>
    <w:rsid w:val="00D6006B"/>
    <w:rsid w:val="00D60086"/>
    <w:rsid w:val="00D60254"/>
    <w:rsid w:val="00D6028B"/>
    <w:rsid w:val="00D602C2"/>
    <w:rsid w:val="00D604FB"/>
    <w:rsid w:val="00D605BF"/>
    <w:rsid w:val="00D60723"/>
    <w:rsid w:val="00D60C3D"/>
    <w:rsid w:val="00D60CB8"/>
    <w:rsid w:val="00D60CBC"/>
    <w:rsid w:val="00D60DCF"/>
    <w:rsid w:val="00D61041"/>
    <w:rsid w:val="00D610A4"/>
    <w:rsid w:val="00D611C1"/>
    <w:rsid w:val="00D61244"/>
    <w:rsid w:val="00D61399"/>
    <w:rsid w:val="00D613C2"/>
    <w:rsid w:val="00D614E3"/>
    <w:rsid w:val="00D6180D"/>
    <w:rsid w:val="00D61A00"/>
    <w:rsid w:val="00D61BBE"/>
    <w:rsid w:val="00D61C90"/>
    <w:rsid w:val="00D61CDD"/>
    <w:rsid w:val="00D61D97"/>
    <w:rsid w:val="00D61DA7"/>
    <w:rsid w:val="00D61E33"/>
    <w:rsid w:val="00D61FED"/>
    <w:rsid w:val="00D620D6"/>
    <w:rsid w:val="00D62134"/>
    <w:rsid w:val="00D62382"/>
    <w:rsid w:val="00D623B7"/>
    <w:rsid w:val="00D623EA"/>
    <w:rsid w:val="00D62437"/>
    <w:rsid w:val="00D6247E"/>
    <w:rsid w:val="00D62584"/>
    <w:rsid w:val="00D6272E"/>
    <w:rsid w:val="00D627F6"/>
    <w:rsid w:val="00D62AB7"/>
    <w:rsid w:val="00D62CAA"/>
    <w:rsid w:val="00D62CC8"/>
    <w:rsid w:val="00D62F4F"/>
    <w:rsid w:val="00D630D4"/>
    <w:rsid w:val="00D630F9"/>
    <w:rsid w:val="00D63159"/>
    <w:rsid w:val="00D6315F"/>
    <w:rsid w:val="00D632F2"/>
    <w:rsid w:val="00D63335"/>
    <w:rsid w:val="00D6345E"/>
    <w:rsid w:val="00D63575"/>
    <w:rsid w:val="00D6374E"/>
    <w:rsid w:val="00D6384E"/>
    <w:rsid w:val="00D63866"/>
    <w:rsid w:val="00D638F7"/>
    <w:rsid w:val="00D63A18"/>
    <w:rsid w:val="00D63B7C"/>
    <w:rsid w:val="00D63CD1"/>
    <w:rsid w:val="00D63E93"/>
    <w:rsid w:val="00D63EBF"/>
    <w:rsid w:val="00D63ED5"/>
    <w:rsid w:val="00D63FE6"/>
    <w:rsid w:val="00D640BD"/>
    <w:rsid w:val="00D641D5"/>
    <w:rsid w:val="00D6421A"/>
    <w:rsid w:val="00D64451"/>
    <w:rsid w:val="00D6448F"/>
    <w:rsid w:val="00D64578"/>
    <w:rsid w:val="00D645A5"/>
    <w:rsid w:val="00D64630"/>
    <w:rsid w:val="00D64650"/>
    <w:rsid w:val="00D6471C"/>
    <w:rsid w:val="00D64807"/>
    <w:rsid w:val="00D64839"/>
    <w:rsid w:val="00D64B58"/>
    <w:rsid w:val="00D64BA9"/>
    <w:rsid w:val="00D64C75"/>
    <w:rsid w:val="00D64CF1"/>
    <w:rsid w:val="00D64DA5"/>
    <w:rsid w:val="00D64FFB"/>
    <w:rsid w:val="00D650B9"/>
    <w:rsid w:val="00D651A2"/>
    <w:rsid w:val="00D653C6"/>
    <w:rsid w:val="00D65458"/>
    <w:rsid w:val="00D65461"/>
    <w:rsid w:val="00D65547"/>
    <w:rsid w:val="00D65584"/>
    <w:rsid w:val="00D655E8"/>
    <w:rsid w:val="00D65916"/>
    <w:rsid w:val="00D65A49"/>
    <w:rsid w:val="00D65C75"/>
    <w:rsid w:val="00D65F13"/>
    <w:rsid w:val="00D6601C"/>
    <w:rsid w:val="00D66095"/>
    <w:rsid w:val="00D66131"/>
    <w:rsid w:val="00D66138"/>
    <w:rsid w:val="00D66295"/>
    <w:rsid w:val="00D6634D"/>
    <w:rsid w:val="00D663BE"/>
    <w:rsid w:val="00D66462"/>
    <w:rsid w:val="00D664AF"/>
    <w:rsid w:val="00D66713"/>
    <w:rsid w:val="00D6672F"/>
    <w:rsid w:val="00D667CC"/>
    <w:rsid w:val="00D668AA"/>
    <w:rsid w:val="00D66A10"/>
    <w:rsid w:val="00D66A5E"/>
    <w:rsid w:val="00D66CA4"/>
    <w:rsid w:val="00D66D1C"/>
    <w:rsid w:val="00D66E14"/>
    <w:rsid w:val="00D66E26"/>
    <w:rsid w:val="00D66F25"/>
    <w:rsid w:val="00D66FB4"/>
    <w:rsid w:val="00D67130"/>
    <w:rsid w:val="00D67355"/>
    <w:rsid w:val="00D6739B"/>
    <w:rsid w:val="00D6742E"/>
    <w:rsid w:val="00D674C1"/>
    <w:rsid w:val="00D67586"/>
    <w:rsid w:val="00D67697"/>
    <w:rsid w:val="00D676BB"/>
    <w:rsid w:val="00D676BD"/>
    <w:rsid w:val="00D6781A"/>
    <w:rsid w:val="00D67824"/>
    <w:rsid w:val="00D67B56"/>
    <w:rsid w:val="00D67FBA"/>
    <w:rsid w:val="00D700E9"/>
    <w:rsid w:val="00D70149"/>
    <w:rsid w:val="00D701A4"/>
    <w:rsid w:val="00D7025C"/>
    <w:rsid w:val="00D7066C"/>
    <w:rsid w:val="00D707E3"/>
    <w:rsid w:val="00D7085F"/>
    <w:rsid w:val="00D70913"/>
    <w:rsid w:val="00D70C2A"/>
    <w:rsid w:val="00D70C99"/>
    <w:rsid w:val="00D70CC1"/>
    <w:rsid w:val="00D70EE0"/>
    <w:rsid w:val="00D7117E"/>
    <w:rsid w:val="00D71429"/>
    <w:rsid w:val="00D715D4"/>
    <w:rsid w:val="00D7161E"/>
    <w:rsid w:val="00D716A6"/>
    <w:rsid w:val="00D716D6"/>
    <w:rsid w:val="00D7170C"/>
    <w:rsid w:val="00D717D1"/>
    <w:rsid w:val="00D719CE"/>
    <w:rsid w:val="00D71A6A"/>
    <w:rsid w:val="00D71AC8"/>
    <w:rsid w:val="00D71B89"/>
    <w:rsid w:val="00D71C63"/>
    <w:rsid w:val="00D71C86"/>
    <w:rsid w:val="00D7201B"/>
    <w:rsid w:val="00D7205A"/>
    <w:rsid w:val="00D7209A"/>
    <w:rsid w:val="00D72139"/>
    <w:rsid w:val="00D7214C"/>
    <w:rsid w:val="00D722BE"/>
    <w:rsid w:val="00D722E1"/>
    <w:rsid w:val="00D723D7"/>
    <w:rsid w:val="00D72550"/>
    <w:rsid w:val="00D72855"/>
    <w:rsid w:val="00D7290A"/>
    <w:rsid w:val="00D72AB2"/>
    <w:rsid w:val="00D72DB3"/>
    <w:rsid w:val="00D72E2A"/>
    <w:rsid w:val="00D72EA4"/>
    <w:rsid w:val="00D72EFB"/>
    <w:rsid w:val="00D72FD4"/>
    <w:rsid w:val="00D73571"/>
    <w:rsid w:val="00D737DE"/>
    <w:rsid w:val="00D737F0"/>
    <w:rsid w:val="00D73878"/>
    <w:rsid w:val="00D738B0"/>
    <w:rsid w:val="00D738D6"/>
    <w:rsid w:val="00D738E3"/>
    <w:rsid w:val="00D73AA3"/>
    <w:rsid w:val="00D73B4D"/>
    <w:rsid w:val="00D73B76"/>
    <w:rsid w:val="00D73C0D"/>
    <w:rsid w:val="00D73C3F"/>
    <w:rsid w:val="00D73C49"/>
    <w:rsid w:val="00D73CB1"/>
    <w:rsid w:val="00D73D3B"/>
    <w:rsid w:val="00D73D55"/>
    <w:rsid w:val="00D73D88"/>
    <w:rsid w:val="00D73E05"/>
    <w:rsid w:val="00D73EFB"/>
    <w:rsid w:val="00D74041"/>
    <w:rsid w:val="00D74089"/>
    <w:rsid w:val="00D74185"/>
    <w:rsid w:val="00D74375"/>
    <w:rsid w:val="00D743A1"/>
    <w:rsid w:val="00D744B9"/>
    <w:rsid w:val="00D74508"/>
    <w:rsid w:val="00D74518"/>
    <w:rsid w:val="00D74625"/>
    <w:rsid w:val="00D74629"/>
    <w:rsid w:val="00D746B8"/>
    <w:rsid w:val="00D74845"/>
    <w:rsid w:val="00D74B87"/>
    <w:rsid w:val="00D74BE0"/>
    <w:rsid w:val="00D74DA9"/>
    <w:rsid w:val="00D74DE0"/>
    <w:rsid w:val="00D75032"/>
    <w:rsid w:val="00D75103"/>
    <w:rsid w:val="00D75294"/>
    <w:rsid w:val="00D752A7"/>
    <w:rsid w:val="00D7534B"/>
    <w:rsid w:val="00D7537D"/>
    <w:rsid w:val="00D754A9"/>
    <w:rsid w:val="00D756CF"/>
    <w:rsid w:val="00D7572D"/>
    <w:rsid w:val="00D7578F"/>
    <w:rsid w:val="00D758BF"/>
    <w:rsid w:val="00D7592E"/>
    <w:rsid w:val="00D75BF9"/>
    <w:rsid w:val="00D75C9D"/>
    <w:rsid w:val="00D75D61"/>
    <w:rsid w:val="00D75DEE"/>
    <w:rsid w:val="00D75DFC"/>
    <w:rsid w:val="00D75EF8"/>
    <w:rsid w:val="00D7607E"/>
    <w:rsid w:val="00D7621F"/>
    <w:rsid w:val="00D767C0"/>
    <w:rsid w:val="00D767CF"/>
    <w:rsid w:val="00D7691E"/>
    <w:rsid w:val="00D76958"/>
    <w:rsid w:val="00D7697F"/>
    <w:rsid w:val="00D76A1B"/>
    <w:rsid w:val="00D76AB1"/>
    <w:rsid w:val="00D76C43"/>
    <w:rsid w:val="00D76D5B"/>
    <w:rsid w:val="00D77015"/>
    <w:rsid w:val="00D77040"/>
    <w:rsid w:val="00D77042"/>
    <w:rsid w:val="00D7713C"/>
    <w:rsid w:val="00D77298"/>
    <w:rsid w:val="00D773E3"/>
    <w:rsid w:val="00D774AB"/>
    <w:rsid w:val="00D774FF"/>
    <w:rsid w:val="00D775A0"/>
    <w:rsid w:val="00D775B3"/>
    <w:rsid w:val="00D775D6"/>
    <w:rsid w:val="00D775F4"/>
    <w:rsid w:val="00D776B6"/>
    <w:rsid w:val="00D77705"/>
    <w:rsid w:val="00D77840"/>
    <w:rsid w:val="00D778BC"/>
    <w:rsid w:val="00D77949"/>
    <w:rsid w:val="00D77BA5"/>
    <w:rsid w:val="00D77C87"/>
    <w:rsid w:val="00D8005B"/>
    <w:rsid w:val="00D8009E"/>
    <w:rsid w:val="00D80105"/>
    <w:rsid w:val="00D80194"/>
    <w:rsid w:val="00D801D8"/>
    <w:rsid w:val="00D80241"/>
    <w:rsid w:val="00D80244"/>
    <w:rsid w:val="00D802C3"/>
    <w:rsid w:val="00D80302"/>
    <w:rsid w:val="00D803AA"/>
    <w:rsid w:val="00D803C3"/>
    <w:rsid w:val="00D8045D"/>
    <w:rsid w:val="00D806AF"/>
    <w:rsid w:val="00D806D6"/>
    <w:rsid w:val="00D808A9"/>
    <w:rsid w:val="00D80A9B"/>
    <w:rsid w:val="00D80B0B"/>
    <w:rsid w:val="00D80BA4"/>
    <w:rsid w:val="00D80D48"/>
    <w:rsid w:val="00D80E6F"/>
    <w:rsid w:val="00D8101F"/>
    <w:rsid w:val="00D8106B"/>
    <w:rsid w:val="00D810B1"/>
    <w:rsid w:val="00D81115"/>
    <w:rsid w:val="00D81128"/>
    <w:rsid w:val="00D81458"/>
    <w:rsid w:val="00D81502"/>
    <w:rsid w:val="00D81725"/>
    <w:rsid w:val="00D81997"/>
    <w:rsid w:val="00D81A18"/>
    <w:rsid w:val="00D81AF9"/>
    <w:rsid w:val="00D81E86"/>
    <w:rsid w:val="00D82142"/>
    <w:rsid w:val="00D82168"/>
    <w:rsid w:val="00D82385"/>
    <w:rsid w:val="00D824C8"/>
    <w:rsid w:val="00D82570"/>
    <w:rsid w:val="00D825AB"/>
    <w:rsid w:val="00D82618"/>
    <w:rsid w:val="00D8289F"/>
    <w:rsid w:val="00D8290D"/>
    <w:rsid w:val="00D82A8E"/>
    <w:rsid w:val="00D82C7D"/>
    <w:rsid w:val="00D82E4A"/>
    <w:rsid w:val="00D82F1B"/>
    <w:rsid w:val="00D82F81"/>
    <w:rsid w:val="00D83153"/>
    <w:rsid w:val="00D83276"/>
    <w:rsid w:val="00D83436"/>
    <w:rsid w:val="00D834DE"/>
    <w:rsid w:val="00D83837"/>
    <w:rsid w:val="00D83909"/>
    <w:rsid w:val="00D8392D"/>
    <w:rsid w:val="00D839D6"/>
    <w:rsid w:val="00D83AAD"/>
    <w:rsid w:val="00D83B00"/>
    <w:rsid w:val="00D83B35"/>
    <w:rsid w:val="00D83B80"/>
    <w:rsid w:val="00D83DB8"/>
    <w:rsid w:val="00D83E95"/>
    <w:rsid w:val="00D83EA6"/>
    <w:rsid w:val="00D84110"/>
    <w:rsid w:val="00D8445A"/>
    <w:rsid w:val="00D8445B"/>
    <w:rsid w:val="00D84469"/>
    <w:rsid w:val="00D8458C"/>
    <w:rsid w:val="00D8466E"/>
    <w:rsid w:val="00D84709"/>
    <w:rsid w:val="00D8473A"/>
    <w:rsid w:val="00D8488E"/>
    <w:rsid w:val="00D84894"/>
    <w:rsid w:val="00D84B50"/>
    <w:rsid w:val="00D84C71"/>
    <w:rsid w:val="00D84CE3"/>
    <w:rsid w:val="00D84DD6"/>
    <w:rsid w:val="00D84E29"/>
    <w:rsid w:val="00D84EF3"/>
    <w:rsid w:val="00D8514C"/>
    <w:rsid w:val="00D851DC"/>
    <w:rsid w:val="00D851E3"/>
    <w:rsid w:val="00D851FA"/>
    <w:rsid w:val="00D851FC"/>
    <w:rsid w:val="00D85268"/>
    <w:rsid w:val="00D85290"/>
    <w:rsid w:val="00D854E8"/>
    <w:rsid w:val="00D85505"/>
    <w:rsid w:val="00D85655"/>
    <w:rsid w:val="00D85795"/>
    <w:rsid w:val="00D85957"/>
    <w:rsid w:val="00D85A8A"/>
    <w:rsid w:val="00D85AB7"/>
    <w:rsid w:val="00D85ADD"/>
    <w:rsid w:val="00D85C30"/>
    <w:rsid w:val="00D85D8B"/>
    <w:rsid w:val="00D85D8F"/>
    <w:rsid w:val="00D85E43"/>
    <w:rsid w:val="00D85EF9"/>
    <w:rsid w:val="00D8647C"/>
    <w:rsid w:val="00D864A3"/>
    <w:rsid w:val="00D864CE"/>
    <w:rsid w:val="00D8654F"/>
    <w:rsid w:val="00D868AC"/>
    <w:rsid w:val="00D868B0"/>
    <w:rsid w:val="00D86936"/>
    <w:rsid w:val="00D86A74"/>
    <w:rsid w:val="00D86BF3"/>
    <w:rsid w:val="00D86C0E"/>
    <w:rsid w:val="00D86C14"/>
    <w:rsid w:val="00D86CD8"/>
    <w:rsid w:val="00D86D5F"/>
    <w:rsid w:val="00D86E61"/>
    <w:rsid w:val="00D86E71"/>
    <w:rsid w:val="00D86F03"/>
    <w:rsid w:val="00D86FBA"/>
    <w:rsid w:val="00D87291"/>
    <w:rsid w:val="00D873BD"/>
    <w:rsid w:val="00D874F7"/>
    <w:rsid w:val="00D87551"/>
    <w:rsid w:val="00D87679"/>
    <w:rsid w:val="00D87A56"/>
    <w:rsid w:val="00D87B88"/>
    <w:rsid w:val="00D87BCA"/>
    <w:rsid w:val="00D87C2D"/>
    <w:rsid w:val="00D90000"/>
    <w:rsid w:val="00D90058"/>
    <w:rsid w:val="00D900F9"/>
    <w:rsid w:val="00D9015F"/>
    <w:rsid w:val="00D901F4"/>
    <w:rsid w:val="00D9020C"/>
    <w:rsid w:val="00D90386"/>
    <w:rsid w:val="00D90436"/>
    <w:rsid w:val="00D90445"/>
    <w:rsid w:val="00D9049F"/>
    <w:rsid w:val="00D9068C"/>
    <w:rsid w:val="00D906B7"/>
    <w:rsid w:val="00D908C6"/>
    <w:rsid w:val="00D90CEC"/>
    <w:rsid w:val="00D90D15"/>
    <w:rsid w:val="00D90D5D"/>
    <w:rsid w:val="00D90EE3"/>
    <w:rsid w:val="00D90F49"/>
    <w:rsid w:val="00D91076"/>
    <w:rsid w:val="00D9124D"/>
    <w:rsid w:val="00D9141E"/>
    <w:rsid w:val="00D91454"/>
    <w:rsid w:val="00D914CB"/>
    <w:rsid w:val="00D91781"/>
    <w:rsid w:val="00D91787"/>
    <w:rsid w:val="00D91883"/>
    <w:rsid w:val="00D9198B"/>
    <w:rsid w:val="00D91AA8"/>
    <w:rsid w:val="00D91B67"/>
    <w:rsid w:val="00D91EDB"/>
    <w:rsid w:val="00D91F34"/>
    <w:rsid w:val="00D91F8F"/>
    <w:rsid w:val="00D91FD5"/>
    <w:rsid w:val="00D92091"/>
    <w:rsid w:val="00D92184"/>
    <w:rsid w:val="00D92227"/>
    <w:rsid w:val="00D9226C"/>
    <w:rsid w:val="00D92519"/>
    <w:rsid w:val="00D9251A"/>
    <w:rsid w:val="00D925C9"/>
    <w:rsid w:val="00D92627"/>
    <w:rsid w:val="00D9272C"/>
    <w:rsid w:val="00D9296F"/>
    <w:rsid w:val="00D929D8"/>
    <w:rsid w:val="00D92C1B"/>
    <w:rsid w:val="00D92F2F"/>
    <w:rsid w:val="00D930E3"/>
    <w:rsid w:val="00D93208"/>
    <w:rsid w:val="00D9332F"/>
    <w:rsid w:val="00D9339A"/>
    <w:rsid w:val="00D933D4"/>
    <w:rsid w:val="00D933E4"/>
    <w:rsid w:val="00D9359E"/>
    <w:rsid w:val="00D935EE"/>
    <w:rsid w:val="00D93609"/>
    <w:rsid w:val="00D93612"/>
    <w:rsid w:val="00D936EE"/>
    <w:rsid w:val="00D9376F"/>
    <w:rsid w:val="00D937C4"/>
    <w:rsid w:val="00D93842"/>
    <w:rsid w:val="00D938C9"/>
    <w:rsid w:val="00D938DE"/>
    <w:rsid w:val="00D9399A"/>
    <w:rsid w:val="00D93B70"/>
    <w:rsid w:val="00D93B83"/>
    <w:rsid w:val="00D93D3E"/>
    <w:rsid w:val="00D93D7D"/>
    <w:rsid w:val="00D93DA1"/>
    <w:rsid w:val="00D93E0C"/>
    <w:rsid w:val="00D93EBD"/>
    <w:rsid w:val="00D93EC0"/>
    <w:rsid w:val="00D93EF0"/>
    <w:rsid w:val="00D93F54"/>
    <w:rsid w:val="00D9431C"/>
    <w:rsid w:val="00D94439"/>
    <w:rsid w:val="00D94570"/>
    <w:rsid w:val="00D946EC"/>
    <w:rsid w:val="00D947B0"/>
    <w:rsid w:val="00D94861"/>
    <w:rsid w:val="00D948EC"/>
    <w:rsid w:val="00D94968"/>
    <w:rsid w:val="00D949B5"/>
    <w:rsid w:val="00D94B29"/>
    <w:rsid w:val="00D94CAE"/>
    <w:rsid w:val="00D94D9C"/>
    <w:rsid w:val="00D94E73"/>
    <w:rsid w:val="00D94E99"/>
    <w:rsid w:val="00D950C4"/>
    <w:rsid w:val="00D95162"/>
    <w:rsid w:val="00D95170"/>
    <w:rsid w:val="00D951DE"/>
    <w:rsid w:val="00D9520B"/>
    <w:rsid w:val="00D95262"/>
    <w:rsid w:val="00D952BF"/>
    <w:rsid w:val="00D9556C"/>
    <w:rsid w:val="00D955A7"/>
    <w:rsid w:val="00D95623"/>
    <w:rsid w:val="00D95763"/>
    <w:rsid w:val="00D95775"/>
    <w:rsid w:val="00D95864"/>
    <w:rsid w:val="00D95AA6"/>
    <w:rsid w:val="00D95C6A"/>
    <w:rsid w:val="00D95CAB"/>
    <w:rsid w:val="00D95E0D"/>
    <w:rsid w:val="00D960A1"/>
    <w:rsid w:val="00D9611C"/>
    <w:rsid w:val="00D961CE"/>
    <w:rsid w:val="00D96221"/>
    <w:rsid w:val="00D964D2"/>
    <w:rsid w:val="00D96544"/>
    <w:rsid w:val="00D96574"/>
    <w:rsid w:val="00D9659A"/>
    <w:rsid w:val="00D965CB"/>
    <w:rsid w:val="00D96806"/>
    <w:rsid w:val="00D968F9"/>
    <w:rsid w:val="00D96AEC"/>
    <w:rsid w:val="00D96B07"/>
    <w:rsid w:val="00D96C22"/>
    <w:rsid w:val="00D96C4F"/>
    <w:rsid w:val="00D96EAB"/>
    <w:rsid w:val="00D96ED0"/>
    <w:rsid w:val="00D96EDE"/>
    <w:rsid w:val="00D97046"/>
    <w:rsid w:val="00D970F1"/>
    <w:rsid w:val="00D971F8"/>
    <w:rsid w:val="00D97265"/>
    <w:rsid w:val="00D97469"/>
    <w:rsid w:val="00D97588"/>
    <w:rsid w:val="00D9760C"/>
    <w:rsid w:val="00D9764E"/>
    <w:rsid w:val="00D97692"/>
    <w:rsid w:val="00D976FC"/>
    <w:rsid w:val="00D977F7"/>
    <w:rsid w:val="00D97A0F"/>
    <w:rsid w:val="00D97ABE"/>
    <w:rsid w:val="00D97D55"/>
    <w:rsid w:val="00D97E22"/>
    <w:rsid w:val="00D97E40"/>
    <w:rsid w:val="00D97FD6"/>
    <w:rsid w:val="00DA0026"/>
    <w:rsid w:val="00DA0189"/>
    <w:rsid w:val="00DA026E"/>
    <w:rsid w:val="00DA02EB"/>
    <w:rsid w:val="00DA0425"/>
    <w:rsid w:val="00DA04FF"/>
    <w:rsid w:val="00DA05F5"/>
    <w:rsid w:val="00DA0601"/>
    <w:rsid w:val="00DA06AF"/>
    <w:rsid w:val="00DA071B"/>
    <w:rsid w:val="00DA07BD"/>
    <w:rsid w:val="00DA07FD"/>
    <w:rsid w:val="00DA093B"/>
    <w:rsid w:val="00DA0A0C"/>
    <w:rsid w:val="00DA0AFE"/>
    <w:rsid w:val="00DA0C1F"/>
    <w:rsid w:val="00DA0DCE"/>
    <w:rsid w:val="00DA0E40"/>
    <w:rsid w:val="00DA0EEE"/>
    <w:rsid w:val="00DA0F0B"/>
    <w:rsid w:val="00DA1010"/>
    <w:rsid w:val="00DA1012"/>
    <w:rsid w:val="00DA1131"/>
    <w:rsid w:val="00DA12A2"/>
    <w:rsid w:val="00DA12C1"/>
    <w:rsid w:val="00DA14E4"/>
    <w:rsid w:val="00DA14F3"/>
    <w:rsid w:val="00DA1584"/>
    <w:rsid w:val="00DA16DB"/>
    <w:rsid w:val="00DA1708"/>
    <w:rsid w:val="00DA1834"/>
    <w:rsid w:val="00DA194F"/>
    <w:rsid w:val="00DA1A62"/>
    <w:rsid w:val="00DA1B3D"/>
    <w:rsid w:val="00DA1C4C"/>
    <w:rsid w:val="00DA1DB8"/>
    <w:rsid w:val="00DA1E8C"/>
    <w:rsid w:val="00DA1F42"/>
    <w:rsid w:val="00DA1FAD"/>
    <w:rsid w:val="00DA1FE0"/>
    <w:rsid w:val="00DA2038"/>
    <w:rsid w:val="00DA21A9"/>
    <w:rsid w:val="00DA220A"/>
    <w:rsid w:val="00DA227E"/>
    <w:rsid w:val="00DA2487"/>
    <w:rsid w:val="00DA25D1"/>
    <w:rsid w:val="00DA26AE"/>
    <w:rsid w:val="00DA26E6"/>
    <w:rsid w:val="00DA27BC"/>
    <w:rsid w:val="00DA27C7"/>
    <w:rsid w:val="00DA27FF"/>
    <w:rsid w:val="00DA289C"/>
    <w:rsid w:val="00DA28B7"/>
    <w:rsid w:val="00DA2A61"/>
    <w:rsid w:val="00DA2A7B"/>
    <w:rsid w:val="00DA2AB7"/>
    <w:rsid w:val="00DA2AD5"/>
    <w:rsid w:val="00DA2B7B"/>
    <w:rsid w:val="00DA2F6F"/>
    <w:rsid w:val="00DA309C"/>
    <w:rsid w:val="00DA31BF"/>
    <w:rsid w:val="00DA32F9"/>
    <w:rsid w:val="00DA332C"/>
    <w:rsid w:val="00DA341A"/>
    <w:rsid w:val="00DA34CC"/>
    <w:rsid w:val="00DA356B"/>
    <w:rsid w:val="00DA369B"/>
    <w:rsid w:val="00DA37E3"/>
    <w:rsid w:val="00DA3964"/>
    <w:rsid w:val="00DA3978"/>
    <w:rsid w:val="00DA3B3F"/>
    <w:rsid w:val="00DA3D04"/>
    <w:rsid w:val="00DA3EFD"/>
    <w:rsid w:val="00DA403D"/>
    <w:rsid w:val="00DA40E2"/>
    <w:rsid w:val="00DA4179"/>
    <w:rsid w:val="00DA419F"/>
    <w:rsid w:val="00DA4240"/>
    <w:rsid w:val="00DA42AB"/>
    <w:rsid w:val="00DA43A8"/>
    <w:rsid w:val="00DA4502"/>
    <w:rsid w:val="00DA450E"/>
    <w:rsid w:val="00DA45A7"/>
    <w:rsid w:val="00DA4806"/>
    <w:rsid w:val="00DA480F"/>
    <w:rsid w:val="00DA482E"/>
    <w:rsid w:val="00DA49D4"/>
    <w:rsid w:val="00DA49EC"/>
    <w:rsid w:val="00DA4C72"/>
    <w:rsid w:val="00DA4CB0"/>
    <w:rsid w:val="00DA4F18"/>
    <w:rsid w:val="00DA4FB3"/>
    <w:rsid w:val="00DA5136"/>
    <w:rsid w:val="00DA5265"/>
    <w:rsid w:val="00DA52DC"/>
    <w:rsid w:val="00DA53DF"/>
    <w:rsid w:val="00DA5550"/>
    <w:rsid w:val="00DA55A6"/>
    <w:rsid w:val="00DA5609"/>
    <w:rsid w:val="00DA57A1"/>
    <w:rsid w:val="00DA599F"/>
    <w:rsid w:val="00DA59AE"/>
    <w:rsid w:val="00DA59CF"/>
    <w:rsid w:val="00DA5B28"/>
    <w:rsid w:val="00DA5E06"/>
    <w:rsid w:val="00DA6007"/>
    <w:rsid w:val="00DA6015"/>
    <w:rsid w:val="00DA6170"/>
    <w:rsid w:val="00DA622D"/>
    <w:rsid w:val="00DA6374"/>
    <w:rsid w:val="00DA657F"/>
    <w:rsid w:val="00DA65F3"/>
    <w:rsid w:val="00DA662F"/>
    <w:rsid w:val="00DA6683"/>
    <w:rsid w:val="00DA66E9"/>
    <w:rsid w:val="00DA6783"/>
    <w:rsid w:val="00DA6A36"/>
    <w:rsid w:val="00DA6ACD"/>
    <w:rsid w:val="00DA6B2E"/>
    <w:rsid w:val="00DA6C08"/>
    <w:rsid w:val="00DA6CD1"/>
    <w:rsid w:val="00DA6CDD"/>
    <w:rsid w:val="00DA6DB6"/>
    <w:rsid w:val="00DA6F23"/>
    <w:rsid w:val="00DA71B1"/>
    <w:rsid w:val="00DA7358"/>
    <w:rsid w:val="00DA7605"/>
    <w:rsid w:val="00DA763A"/>
    <w:rsid w:val="00DA7733"/>
    <w:rsid w:val="00DA7968"/>
    <w:rsid w:val="00DA79F3"/>
    <w:rsid w:val="00DA7A57"/>
    <w:rsid w:val="00DA7A7A"/>
    <w:rsid w:val="00DA7B71"/>
    <w:rsid w:val="00DA7D13"/>
    <w:rsid w:val="00DA7D45"/>
    <w:rsid w:val="00DA7D73"/>
    <w:rsid w:val="00DA7DAE"/>
    <w:rsid w:val="00DA7E1C"/>
    <w:rsid w:val="00DA7E90"/>
    <w:rsid w:val="00DA7EE0"/>
    <w:rsid w:val="00DA7F24"/>
    <w:rsid w:val="00DABDAC"/>
    <w:rsid w:val="00DB034C"/>
    <w:rsid w:val="00DB058D"/>
    <w:rsid w:val="00DB08B7"/>
    <w:rsid w:val="00DB09D2"/>
    <w:rsid w:val="00DB0A24"/>
    <w:rsid w:val="00DB0AD2"/>
    <w:rsid w:val="00DB0C6C"/>
    <w:rsid w:val="00DB0E80"/>
    <w:rsid w:val="00DB0EF7"/>
    <w:rsid w:val="00DB1056"/>
    <w:rsid w:val="00DB1120"/>
    <w:rsid w:val="00DB1200"/>
    <w:rsid w:val="00DB129D"/>
    <w:rsid w:val="00DB1502"/>
    <w:rsid w:val="00DB160D"/>
    <w:rsid w:val="00DB1651"/>
    <w:rsid w:val="00DB16E3"/>
    <w:rsid w:val="00DB18B4"/>
    <w:rsid w:val="00DB18BC"/>
    <w:rsid w:val="00DB19AA"/>
    <w:rsid w:val="00DB1A86"/>
    <w:rsid w:val="00DB1AC9"/>
    <w:rsid w:val="00DB1B2B"/>
    <w:rsid w:val="00DB1BD1"/>
    <w:rsid w:val="00DB1C4D"/>
    <w:rsid w:val="00DB1D4D"/>
    <w:rsid w:val="00DB2067"/>
    <w:rsid w:val="00DB225E"/>
    <w:rsid w:val="00DB22E6"/>
    <w:rsid w:val="00DB232C"/>
    <w:rsid w:val="00DB2419"/>
    <w:rsid w:val="00DB25A1"/>
    <w:rsid w:val="00DB2601"/>
    <w:rsid w:val="00DB2620"/>
    <w:rsid w:val="00DB26A0"/>
    <w:rsid w:val="00DB26C9"/>
    <w:rsid w:val="00DB28AA"/>
    <w:rsid w:val="00DB28AE"/>
    <w:rsid w:val="00DB2970"/>
    <w:rsid w:val="00DB29F4"/>
    <w:rsid w:val="00DB2A3C"/>
    <w:rsid w:val="00DB2A7A"/>
    <w:rsid w:val="00DB2AF6"/>
    <w:rsid w:val="00DB2C93"/>
    <w:rsid w:val="00DB2CCF"/>
    <w:rsid w:val="00DB2DDE"/>
    <w:rsid w:val="00DB2EDC"/>
    <w:rsid w:val="00DB3032"/>
    <w:rsid w:val="00DB3273"/>
    <w:rsid w:val="00DB34C6"/>
    <w:rsid w:val="00DB35DB"/>
    <w:rsid w:val="00DB366A"/>
    <w:rsid w:val="00DB37A7"/>
    <w:rsid w:val="00DB389F"/>
    <w:rsid w:val="00DB38A2"/>
    <w:rsid w:val="00DB394C"/>
    <w:rsid w:val="00DB3981"/>
    <w:rsid w:val="00DB3D88"/>
    <w:rsid w:val="00DB3E20"/>
    <w:rsid w:val="00DB3EAE"/>
    <w:rsid w:val="00DB3FB5"/>
    <w:rsid w:val="00DB40E3"/>
    <w:rsid w:val="00DB422A"/>
    <w:rsid w:val="00DB42BB"/>
    <w:rsid w:val="00DB4459"/>
    <w:rsid w:val="00DB4485"/>
    <w:rsid w:val="00DB450D"/>
    <w:rsid w:val="00DB4529"/>
    <w:rsid w:val="00DB47D0"/>
    <w:rsid w:val="00DB49A3"/>
    <w:rsid w:val="00DB4A86"/>
    <w:rsid w:val="00DB4ADC"/>
    <w:rsid w:val="00DB4C0D"/>
    <w:rsid w:val="00DB4D0B"/>
    <w:rsid w:val="00DB4DB5"/>
    <w:rsid w:val="00DB4DEA"/>
    <w:rsid w:val="00DB4FEE"/>
    <w:rsid w:val="00DB553E"/>
    <w:rsid w:val="00DB5554"/>
    <w:rsid w:val="00DB5647"/>
    <w:rsid w:val="00DB5750"/>
    <w:rsid w:val="00DB58B3"/>
    <w:rsid w:val="00DB5B7B"/>
    <w:rsid w:val="00DB5BB0"/>
    <w:rsid w:val="00DB5C5F"/>
    <w:rsid w:val="00DB5DCF"/>
    <w:rsid w:val="00DB5EA4"/>
    <w:rsid w:val="00DB5FB9"/>
    <w:rsid w:val="00DB6005"/>
    <w:rsid w:val="00DB60D1"/>
    <w:rsid w:val="00DB6138"/>
    <w:rsid w:val="00DB6218"/>
    <w:rsid w:val="00DB6220"/>
    <w:rsid w:val="00DB625E"/>
    <w:rsid w:val="00DB64B5"/>
    <w:rsid w:val="00DB66EB"/>
    <w:rsid w:val="00DB6903"/>
    <w:rsid w:val="00DB6990"/>
    <w:rsid w:val="00DB6AEB"/>
    <w:rsid w:val="00DB6B35"/>
    <w:rsid w:val="00DB6B74"/>
    <w:rsid w:val="00DB6C03"/>
    <w:rsid w:val="00DB6F61"/>
    <w:rsid w:val="00DB6F99"/>
    <w:rsid w:val="00DB6FCB"/>
    <w:rsid w:val="00DB7109"/>
    <w:rsid w:val="00DB7298"/>
    <w:rsid w:val="00DB73A6"/>
    <w:rsid w:val="00DB75B6"/>
    <w:rsid w:val="00DB78B9"/>
    <w:rsid w:val="00DB78EA"/>
    <w:rsid w:val="00DB78FB"/>
    <w:rsid w:val="00DB7A42"/>
    <w:rsid w:val="00DB7AC3"/>
    <w:rsid w:val="00DB7AF3"/>
    <w:rsid w:val="00DB7B32"/>
    <w:rsid w:val="00DB7C8F"/>
    <w:rsid w:val="00DB7CBD"/>
    <w:rsid w:val="00DB7CCE"/>
    <w:rsid w:val="00DB7EAD"/>
    <w:rsid w:val="00DC0046"/>
    <w:rsid w:val="00DC00F8"/>
    <w:rsid w:val="00DC01F5"/>
    <w:rsid w:val="00DC027B"/>
    <w:rsid w:val="00DC049A"/>
    <w:rsid w:val="00DC04BD"/>
    <w:rsid w:val="00DC0564"/>
    <w:rsid w:val="00DC0582"/>
    <w:rsid w:val="00DC09D5"/>
    <w:rsid w:val="00DC0A31"/>
    <w:rsid w:val="00DC0B47"/>
    <w:rsid w:val="00DC0BE1"/>
    <w:rsid w:val="00DC0D1A"/>
    <w:rsid w:val="00DC0DBF"/>
    <w:rsid w:val="00DC0E27"/>
    <w:rsid w:val="00DC11C9"/>
    <w:rsid w:val="00DC1223"/>
    <w:rsid w:val="00DC126D"/>
    <w:rsid w:val="00DC1273"/>
    <w:rsid w:val="00DC1288"/>
    <w:rsid w:val="00DC14E4"/>
    <w:rsid w:val="00DC1597"/>
    <w:rsid w:val="00DC15B9"/>
    <w:rsid w:val="00DC16EA"/>
    <w:rsid w:val="00DC1723"/>
    <w:rsid w:val="00DC1732"/>
    <w:rsid w:val="00DC178D"/>
    <w:rsid w:val="00DC1A99"/>
    <w:rsid w:val="00DC1DA8"/>
    <w:rsid w:val="00DC1DAE"/>
    <w:rsid w:val="00DC1DC5"/>
    <w:rsid w:val="00DC1EBA"/>
    <w:rsid w:val="00DC1F46"/>
    <w:rsid w:val="00DC2082"/>
    <w:rsid w:val="00DC21A0"/>
    <w:rsid w:val="00DC21F8"/>
    <w:rsid w:val="00DC228E"/>
    <w:rsid w:val="00DC24C8"/>
    <w:rsid w:val="00DC251C"/>
    <w:rsid w:val="00DC2543"/>
    <w:rsid w:val="00DC25EC"/>
    <w:rsid w:val="00DC26CB"/>
    <w:rsid w:val="00DC2C35"/>
    <w:rsid w:val="00DC2E35"/>
    <w:rsid w:val="00DC2EF7"/>
    <w:rsid w:val="00DC2F89"/>
    <w:rsid w:val="00DC3175"/>
    <w:rsid w:val="00DC328D"/>
    <w:rsid w:val="00DC32D0"/>
    <w:rsid w:val="00DC3300"/>
    <w:rsid w:val="00DC3508"/>
    <w:rsid w:val="00DC3588"/>
    <w:rsid w:val="00DC35EC"/>
    <w:rsid w:val="00DC3744"/>
    <w:rsid w:val="00DC37EF"/>
    <w:rsid w:val="00DC380E"/>
    <w:rsid w:val="00DC3A79"/>
    <w:rsid w:val="00DC3F9F"/>
    <w:rsid w:val="00DC420B"/>
    <w:rsid w:val="00DC457A"/>
    <w:rsid w:val="00DC4795"/>
    <w:rsid w:val="00DC47B1"/>
    <w:rsid w:val="00DC4923"/>
    <w:rsid w:val="00DC49F9"/>
    <w:rsid w:val="00DC4D5E"/>
    <w:rsid w:val="00DC4E40"/>
    <w:rsid w:val="00DC4E98"/>
    <w:rsid w:val="00DC4F0E"/>
    <w:rsid w:val="00DC4F2D"/>
    <w:rsid w:val="00DC50C8"/>
    <w:rsid w:val="00DC52A0"/>
    <w:rsid w:val="00DC5346"/>
    <w:rsid w:val="00DC537D"/>
    <w:rsid w:val="00DC543D"/>
    <w:rsid w:val="00DC549F"/>
    <w:rsid w:val="00DC55E9"/>
    <w:rsid w:val="00DC574C"/>
    <w:rsid w:val="00DC5767"/>
    <w:rsid w:val="00DC592D"/>
    <w:rsid w:val="00DC5A2F"/>
    <w:rsid w:val="00DC5A85"/>
    <w:rsid w:val="00DC5B7E"/>
    <w:rsid w:val="00DC5BB4"/>
    <w:rsid w:val="00DC5BF6"/>
    <w:rsid w:val="00DC5D1E"/>
    <w:rsid w:val="00DC5D3D"/>
    <w:rsid w:val="00DC5D97"/>
    <w:rsid w:val="00DC5DA9"/>
    <w:rsid w:val="00DC5DB5"/>
    <w:rsid w:val="00DC5E28"/>
    <w:rsid w:val="00DC6023"/>
    <w:rsid w:val="00DC607E"/>
    <w:rsid w:val="00DC60D6"/>
    <w:rsid w:val="00DC60FB"/>
    <w:rsid w:val="00DC6428"/>
    <w:rsid w:val="00DC6430"/>
    <w:rsid w:val="00DC64CB"/>
    <w:rsid w:val="00DC65A0"/>
    <w:rsid w:val="00DC65B2"/>
    <w:rsid w:val="00DC67C4"/>
    <w:rsid w:val="00DC685C"/>
    <w:rsid w:val="00DC68F7"/>
    <w:rsid w:val="00DC6906"/>
    <w:rsid w:val="00DC695C"/>
    <w:rsid w:val="00DC6A0F"/>
    <w:rsid w:val="00DC6BBD"/>
    <w:rsid w:val="00DC6BBE"/>
    <w:rsid w:val="00DC6C0E"/>
    <w:rsid w:val="00DC6D41"/>
    <w:rsid w:val="00DC70E7"/>
    <w:rsid w:val="00DC7160"/>
    <w:rsid w:val="00DC7174"/>
    <w:rsid w:val="00DC73FF"/>
    <w:rsid w:val="00DC744A"/>
    <w:rsid w:val="00DC747A"/>
    <w:rsid w:val="00DC7545"/>
    <w:rsid w:val="00DC7622"/>
    <w:rsid w:val="00DC78EF"/>
    <w:rsid w:val="00DC79F6"/>
    <w:rsid w:val="00DC7C16"/>
    <w:rsid w:val="00DC7D27"/>
    <w:rsid w:val="00DC7D8D"/>
    <w:rsid w:val="00DC7EF4"/>
    <w:rsid w:val="00DC7F2C"/>
    <w:rsid w:val="00DC7FD2"/>
    <w:rsid w:val="00DD005F"/>
    <w:rsid w:val="00DD0194"/>
    <w:rsid w:val="00DD020D"/>
    <w:rsid w:val="00DD0387"/>
    <w:rsid w:val="00DD0456"/>
    <w:rsid w:val="00DD05D8"/>
    <w:rsid w:val="00DD05E9"/>
    <w:rsid w:val="00DD05F7"/>
    <w:rsid w:val="00DD087F"/>
    <w:rsid w:val="00DD0898"/>
    <w:rsid w:val="00DD12D7"/>
    <w:rsid w:val="00DD1346"/>
    <w:rsid w:val="00DD13D9"/>
    <w:rsid w:val="00DD1499"/>
    <w:rsid w:val="00DD1576"/>
    <w:rsid w:val="00DD1674"/>
    <w:rsid w:val="00DD1742"/>
    <w:rsid w:val="00DD17F4"/>
    <w:rsid w:val="00DD189C"/>
    <w:rsid w:val="00DD1A09"/>
    <w:rsid w:val="00DD1D77"/>
    <w:rsid w:val="00DD1DC6"/>
    <w:rsid w:val="00DD1F03"/>
    <w:rsid w:val="00DD1F07"/>
    <w:rsid w:val="00DD20CB"/>
    <w:rsid w:val="00DD21ED"/>
    <w:rsid w:val="00DD228C"/>
    <w:rsid w:val="00DD2468"/>
    <w:rsid w:val="00DD2836"/>
    <w:rsid w:val="00DD28BB"/>
    <w:rsid w:val="00DD2927"/>
    <w:rsid w:val="00DD2B5B"/>
    <w:rsid w:val="00DD2B80"/>
    <w:rsid w:val="00DD2BBE"/>
    <w:rsid w:val="00DD2C15"/>
    <w:rsid w:val="00DD2D2E"/>
    <w:rsid w:val="00DD2D5E"/>
    <w:rsid w:val="00DD2DE4"/>
    <w:rsid w:val="00DD343A"/>
    <w:rsid w:val="00DD3521"/>
    <w:rsid w:val="00DD363C"/>
    <w:rsid w:val="00DD3696"/>
    <w:rsid w:val="00DD372F"/>
    <w:rsid w:val="00DD37B5"/>
    <w:rsid w:val="00DD396B"/>
    <w:rsid w:val="00DD3B0A"/>
    <w:rsid w:val="00DD3B43"/>
    <w:rsid w:val="00DD3C20"/>
    <w:rsid w:val="00DD3EDC"/>
    <w:rsid w:val="00DD4031"/>
    <w:rsid w:val="00DD41F2"/>
    <w:rsid w:val="00DD41F5"/>
    <w:rsid w:val="00DD42EC"/>
    <w:rsid w:val="00DD43F2"/>
    <w:rsid w:val="00DD48E5"/>
    <w:rsid w:val="00DD4B56"/>
    <w:rsid w:val="00DD4C83"/>
    <w:rsid w:val="00DD4C8F"/>
    <w:rsid w:val="00DD4D61"/>
    <w:rsid w:val="00DD4DF3"/>
    <w:rsid w:val="00DD4E6F"/>
    <w:rsid w:val="00DD528F"/>
    <w:rsid w:val="00DD536C"/>
    <w:rsid w:val="00DD55DF"/>
    <w:rsid w:val="00DD573B"/>
    <w:rsid w:val="00DD58F3"/>
    <w:rsid w:val="00DD5C1D"/>
    <w:rsid w:val="00DD5CE7"/>
    <w:rsid w:val="00DD5D60"/>
    <w:rsid w:val="00DD6282"/>
    <w:rsid w:val="00DD64D5"/>
    <w:rsid w:val="00DD64E2"/>
    <w:rsid w:val="00DD6570"/>
    <w:rsid w:val="00DD6674"/>
    <w:rsid w:val="00DD67E3"/>
    <w:rsid w:val="00DD68BC"/>
    <w:rsid w:val="00DD6A19"/>
    <w:rsid w:val="00DD6AC9"/>
    <w:rsid w:val="00DD6BA1"/>
    <w:rsid w:val="00DD6BED"/>
    <w:rsid w:val="00DD6C29"/>
    <w:rsid w:val="00DD6CB8"/>
    <w:rsid w:val="00DD6DF5"/>
    <w:rsid w:val="00DD6E44"/>
    <w:rsid w:val="00DD6F66"/>
    <w:rsid w:val="00DD71FD"/>
    <w:rsid w:val="00DD7281"/>
    <w:rsid w:val="00DD72C9"/>
    <w:rsid w:val="00DD7381"/>
    <w:rsid w:val="00DD73E2"/>
    <w:rsid w:val="00DD7428"/>
    <w:rsid w:val="00DD7448"/>
    <w:rsid w:val="00DD745A"/>
    <w:rsid w:val="00DD7466"/>
    <w:rsid w:val="00DD768D"/>
    <w:rsid w:val="00DD76BE"/>
    <w:rsid w:val="00DD774D"/>
    <w:rsid w:val="00DD7789"/>
    <w:rsid w:val="00DD77D1"/>
    <w:rsid w:val="00DD78BC"/>
    <w:rsid w:val="00DD78EB"/>
    <w:rsid w:val="00DD7923"/>
    <w:rsid w:val="00DD79D8"/>
    <w:rsid w:val="00DD7B2E"/>
    <w:rsid w:val="00DD7C1D"/>
    <w:rsid w:val="00DD7D85"/>
    <w:rsid w:val="00DD7D91"/>
    <w:rsid w:val="00DD7FE9"/>
    <w:rsid w:val="00DE004B"/>
    <w:rsid w:val="00DE0179"/>
    <w:rsid w:val="00DE0191"/>
    <w:rsid w:val="00DE01FA"/>
    <w:rsid w:val="00DE0315"/>
    <w:rsid w:val="00DE03E4"/>
    <w:rsid w:val="00DE04F4"/>
    <w:rsid w:val="00DE051D"/>
    <w:rsid w:val="00DE079D"/>
    <w:rsid w:val="00DE07ED"/>
    <w:rsid w:val="00DE0962"/>
    <w:rsid w:val="00DE0B8D"/>
    <w:rsid w:val="00DE0E1F"/>
    <w:rsid w:val="00DE0FAE"/>
    <w:rsid w:val="00DE0FD3"/>
    <w:rsid w:val="00DE108F"/>
    <w:rsid w:val="00DE10EA"/>
    <w:rsid w:val="00DE1291"/>
    <w:rsid w:val="00DE1357"/>
    <w:rsid w:val="00DE137B"/>
    <w:rsid w:val="00DE13A9"/>
    <w:rsid w:val="00DE1812"/>
    <w:rsid w:val="00DE185C"/>
    <w:rsid w:val="00DE1883"/>
    <w:rsid w:val="00DE18AA"/>
    <w:rsid w:val="00DE1C69"/>
    <w:rsid w:val="00DE1D8E"/>
    <w:rsid w:val="00DE1FC9"/>
    <w:rsid w:val="00DE212D"/>
    <w:rsid w:val="00DE21CB"/>
    <w:rsid w:val="00DE22FB"/>
    <w:rsid w:val="00DE2451"/>
    <w:rsid w:val="00DE259F"/>
    <w:rsid w:val="00DE260F"/>
    <w:rsid w:val="00DE2636"/>
    <w:rsid w:val="00DE26B9"/>
    <w:rsid w:val="00DE27AA"/>
    <w:rsid w:val="00DE2863"/>
    <w:rsid w:val="00DE28D6"/>
    <w:rsid w:val="00DE2A30"/>
    <w:rsid w:val="00DE2A54"/>
    <w:rsid w:val="00DE2B41"/>
    <w:rsid w:val="00DE2BEE"/>
    <w:rsid w:val="00DE2CF0"/>
    <w:rsid w:val="00DE2D83"/>
    <w:rsid w:val="00DE2F96"/>
    <w:rsid w:val="00DE34CB"/>
    <w:rsid w:val="00DE35A0"/>
    <w:rsid w:val="00DE37EA"/>
    <w:rsid w:val="00DE3800"/>
    <w:rsid w:val="00DE38F1"/>
    <w:rsid w:val="00DE3905"/>
    <w:rsid w:val="00DE3CBA"/>
    <w:rsid w:val="00DE3CD7"/>
    <w:rsid w:val="00DE3E6E"/>
    <w:rsid w:val="00DE3EC4"/>
    <w:rsid w:val="00DE3F6C"/>
    <w:rsid w:val="00DE3FE4"/>
    <w:rsid w:val="00DE4174"/>
    <w:rsid w:val="00DE420D"/>
    <w:rsid w:val="00DE4301"/>
    <w:rsid w:val="00DE43FF"/>
    <w:rsid w:val="00DE4405"/>
    <w:rsid w:val="00DE444C"/>
    <w:rsid w:val="00DE4564"/>
    <w:rsid w:val="00DE46C9"/>
    <w:rsid w:val="00DE48B7"/>
    <w:rsid w:val="00DE48D0"/>
    <w:rsid w:val="00DE4A20"/>
    <w:rsid w:val="00DE4B18"/>
    <w:rsid w:val="00DE4C04"/>
    <w:rsid w:val="00DE4C22"/>
    <w:rsid w:val="00DE4C50"/>
    <w:rsid w:val="00DE4D82"/>
    <w:rsid w:val="00DE4DDD"/>
    <w:rsid w:val="00DE4F3F"/>
    <w:rsid w:val="00DE4F69"/>
    <w:rsid w:val="00DE50FC"/>
    <w:rsid w:val="00DE520B"/>
    <w:rsid w:val="00DE53B3"/>
    <w:rsid w:val="00DE5486"/>
    <w:rsid w:val="00DE54B9"/>
    <w:rsid w:val="00DE54C5"/>
    <w:rsid w:val="00DE552A"/>
    <w:rsid w:val="00DE5649"/>
    <w:rsid w:val="00DE5651"/>
    <w:rsid w:val="00DE565F"/>
    <w:rsid w:val="00DE56BD"/>
    <w:rsid w:val="00DE5862"/>
    <w:rsid w:val="00DE5933"/>
    <w:rsid w:val="00DE59C0"/>
    <w:rsid w:val="00DE5A1E"/>
    <w:rsid w:val="00DE5A46"/>
    <w:rsid w:val="00DE5AB6"/>
    <w:rsid w:val="00DE5BA0"/>
    <w:rsid w:val="00DE5BE2"/>
    <w:rsid w:val="00DE5D73"/>
    <w:rsid w:val="00DE5E6A"/>
    <w:rsid w:val="00DE5E95"/>
    <w:rsid w:val="00DE6106"/>
    <w:rsid w:val="00DE6193"/>
    <w:rsid w:val="00DE620A"/>
    <w:rsid w:val="00DE622C"/>
    <w:rsid w:val="00DE62A8"/>
    <w:rsid w:val="00DE6395"/>
    <w:rsid w:val="00DE6640"/>
    <w:rsid w:val="00DE66D4"/>
    <w:rsid w:val="00DE67F1"/>
    <w:rsid w:val="00DE68D0"/>
    <w:rsid w:val="00DE6912"/>
    <w:rsid w:val="00DE6B13"/>
    <w:rsid w:val="00DE6DF2"/>
    <w:rsid w:val="00DE7004"/>
    <w:rsid w:val="00DE706E"/>
    <w:rsid w:val="00DE708F"/>
    <w:rsid w:val="00DE7426"/>
    <w:rsid w:val="00DE7499"/>
    <w:rsid w:val="00DE75FB"/>
    <w:rsid w:val="00DE7606"/>
    <w:rsid w:val="00DE77C7"/>
    <w:rsid w:val="00DE78EF"/>
    <w:rsid w:val="00DE7912"/>
    <w:rsid w:val="00DE79C3"/>
    <w:rsid w:val="00DE7D14"/>
    <w:rsid w:val="00DE7D4C"/>
    <w:rsid w:val="00DE7EC3"/>
    <w:rsid w:val="00DE7F97"/>
    <w:rsid w:val="00DF007E"/>
    <w:rsid w:val="00DF00A7"/>
    <w:rsid w:val="00DF0264"/>
    <w:rsid w:val="00DF0386"/>
    <w:rsid w:val="00DF03CF"/>
    <w:rsid w:val="00DF0543"/>
    <w:rsid w:val="00DF060C"/>
    <w:rsid w:val="00DF069B"/>
    <w:rsid w:val="00DF07B9"/>
    <w:rsid w:val="00DF07C7"/>
    <w:rsid w:val="00DF0BD4"/>
    <w:rsid w:val="00DF0C6A"/>
    <w:rsid w:val="00DF0C96"/>
    <w:rsid w:val="00DF0D09"/>
    <w:rsid w:val="00DF0E38"/>
    <w:rsid w:val="00DF0E50"/>
    <w:rsid w:val="00DF0E8A"/>
    <w:rsid w:val="00DF103E"/>
    <w:rsid w:val="00DF1070"/>
    <w:rsid w:val="00DF120C"/>
    <w:rsid w:val="00DF133B"/>
    <w:rsid w:val="00DF1387"/>
    <w:rsid w:val="00DF14EC"/>
    <w:rsid w:val="00DF159E"/>
    <w:rsid w:val="00DF15BE"/>
    <w:rsid w:val="00DF17E3"/>
    <w:rsid w:val="00DF17FF"/>
    <w:rsid w:val="00DF1855"/>
    <w:rsid w:val="00DF1ADF"/>
    <w:rsid w:val="00DF1B30"/>
    <w:rsid w:val="00DF1B60"/>
    <w:rsid w:val="00DF1B7E"/>
    <w:rsid w:val="00DF1CB4"/>
    <w:rsid w:val="00DF1E92"/>
    <w:rsid w:val="00DF1E9E"/>
    <w:rsid w:val="00DF1F80"/>
    <w:rsid w:val="00DF2010"/>
    <w:rsid w:val="00DF20D8"/>
    <w:rsid w:val="00DF2147"/>
    <w:rsid w:val="00DF228E"/>
    <w:rsid w:val="00DF247B"/>
    <w:rsid w:val="00DF26FF"/>
    <w:rsid w:val="00DF276E"/>
    <w:rsid w:val="00DF27DC"/>
    <w:rsid w:val="00DF2836"/>
    <w:rsid w:val="00DF28C1"/>
    <w:rsid w:val="00DF29B2"/>
    <w:rsid w:val="00DF2CAC"/>
    <w:rsid w:val="00DF2CE2"/>
    <w:rsid w:val="00DF2FAA"/>
    <w:rsid w:val="00DF30AA"/>
    <w:rsid w:val="00DF31B9"/>
    <w:rsid w:val="00DF3224"/>
    <w:rsid w:val="00DF3377"/>
    <w:rsid w:val="00DF3555"/>
    <w:rsid w:val="00DF375C"/>
    <w:rsid w:val="00DF3782"/>
    <w:rsid w:val="00DF38E7"/>
    <w:rsid w:val="00DF3956"/>
    <w:rsid w:val="00DF3A11"/>
    <w:rsid w:val="00DF3B46"/>
    <w:rsid w:val="00DF3BC4"/>
    <w:rsid w:val="00DF3C77"/>
    <w:rsid w:val="00DF407D"/>
    <w:rsid w:val="00DF4181"/>
    <w:rsid w:val="00DF4275"/>
    <w:rsid w:val="00DF467F"/>
    <w:rsid w:val="00DF48EA"/>
    <w:rsid w:val="00DF4900"/>
    <w:rsid w:val="00DF4A45"/>
    <w:rsid w:val="00DF4A52"/>
    <w:rsid w:val="00DF4BC0"/>
    <w:rsid w:val="00DF4CB5"/>
    <w:rsid w:val="00DF4D62"/>
    <w:rsid w:val="00DF4E89"/>
    <w:rsid w:val="00DF4E97"/>
    <w:rsid w:val="00DF50D1"/>
    <w:rsid w:val="00DF510F"/>
    <w:rsid w:val="00DF51F2"/>
    <w:rsid w:val="00DF5248"/>
    <w:rsid w:val="00DF5416"/>
    <w:rsid w:val="00DF545A"/>
    <w:rsid w:val="00DF559A"/>
    <w:rsid w:val="00DF56D6"/>
    <w:rsid w:val="00DF589E"/>
    <w:rsid w:val="00DF59BD"/>
    <w:rsid w:val="00DF59CA"/>
    <w:rsid w:val="00DF5B67"/>
    <w:rsid w:val="00DF5B94"/>
    <w:rsid w:val="00DF5BFB"/>
    <w:rsid w:val="00DF5D9E"/>
    <w:rsid w:val="00DF5E1A"/>
    <w:rsid w:val="00DF5E5F"/>
    <w:rsid w:val="00DF6062"/>
    <w:rsid w:val="00DF60BE"/>
    <w:rsid w:val="00DF60CB"/>
    <w:rsid w:val="00DF6313"/>
    <w:rsid w:val="00DF6373"/>
    <w:rsid w:val="00DF65A4"/>
    <w:rsid w:val="00DF6675"/>
    <w:rsid w:val="00DF66FD"/>
    <w:rsid w:val="00DF6744"/>
    <w:rsid w:val="00DF67CF"/>
    <w:rsid w:val="00DF6851"/>
    <w:rsid w:val="00DF68C1"/>
    <w:rsid w:val="00DF6A5F"/>
    <w:rsid w:val="00DF6B9A"/>
    <w:rsid w:val="00DF6CA7"/>
    <w:rsid w:val="00DF6F45"/>
    <w:rsid w:val="00DF710B"/>
    <w:rsid w:val="00DF712F"/>
    <w:rsid w:val="00DF7180"/>
    <w:rsid w:val="00DF71A4"/>
    <w:rsid w:val="00DF71A7"/>
    <w:rsid w:val="00DF7230"/>
    <w:rsid w:val="00DF728D"/>
    <w:rsid w:val="00DF73B8"/>
    <w:rsid w:val="00DF7441"/>
    <w:rsid w:val="00DF746B"/>
    <w:rsid w:val="00DF75AD"/>
    <w:rsid w:val="00DF75AF"/>
    <w:rsid w:val="00DF75B9"/>
    <w:rsid w:val="00DF7667"/>
    <w:rsid w:val="00DF7ADA"/>
    <w:rsid w:val="00DF7AF6"/>
    <w:rsid w:val="00DF7E68"/>
    <w:rsid w:val="00DF7E9F"/>
    <w:rsid w:val="00DF7F05"/>
    <w:rsid w:val="00DF7FE1"/>
    <w:rsid w:val="00E000A0"/>
    <w:rsid w:val="00E00111"/>
    <w:rsid w:val="00E0048B"/>
    <w:rsid w:val="00E004E4"/>
    <w:rsid w:val="00E00702"/>
    <w:rsid w:val="00E0089D"/>
    <w:rsid w:val="00E008A4"/>
    <w:rsid w:val="00E008D6"/>
    <w:rsid w:val="00E00C40"/>
    <w:rsid w:val="00E00CB3"/>
    <w:rsid w:val="00E00D7F"/>
    <w:rsid w:val="00E00F9A"/>
    <w:rsid w:val="00E01233"/>
    <w:rsid w:val="00E01268"/>
    <w:rsid w:val="00E01409"/>
    <w:rsid w:val="00E0157F"/>
    <w:rsid w:val="00E0168B"/>
    <w:rsid w:val="00E01690"/>
    <w:rsid w:val="00E01729"/>
    <w:rsid w:val="00E0177D"/>
    <w:rsid w:val="00E01812"/>
    <w:rsid w:val="00E018F2"/>
    <w:rsid w:val="00E01966"/>
    <w:rsid w:val="00E01A18"/>
    <w:rsid w:val="00E01AA4"/>
    <w:rsid w:val="00E01D66"/>
    <w:rsid w:val="00E01E7F"/>
    <w:rsid w:val="00E01FAF"/>
    <w:rsid w:val="00E02034"/>
    <w:rsid w:val="00E0221C"/>
    <w:rsid w:val="00E02227"/>
    <w:rsid w:val="00E0223F"/>
    <w:rsid w:val="00E02272"/>
    <w:rsid w:val="00E022A5"/>
    <w:rsid w:val="00E02313"/>
    <w:rsid w:val="00E0238B"/>
    <w:rsid w:val="00E025AF"/>
    <w:rsid w:val="00E025ED"/>
    <w:rsid w:val="00E02798"/>
    <w:rsid w:val="00E02881"/>
    <w:rsid w:val="00E02899"/>
    <w:rsid w:val="00E02AF1"/>
    <w:rsid w:val="00E02C2F"/>
    <w:rsid w:val="00E02E02"/>
    <w:rsid w:val="00E0313F"/>
    <w:rsid w:val="00E031D2"/>
    <w:rsid w:val="00E032B5"/>
    <w:rsid w:val="00E0336D"/>
    <w:rsid w:val="00E0350D"/>
    <w:rsid w:val="00E0358A"/>
    <w:rsid w:val="00E035BD"/>
    <w:rsid w:val="00E0373A"/>
    <w:rsid w:val="00E0380D"/>
    <w:rsid w:val="00E0380F"/>
    <w:rsid w:val="00E03925"/>
    <w:rsid w:val="00E03A78"/>
    <w:rsid w:val="00E03AFC"/>
    <w:rsid w:val="00E03CC9"/>
    <w:rsid w:val="00E03CCD"/>
    <w:rsid w:val="00E03DA0"/>
    <w:rsid w:val="00E03E16"/>
    <w:rsid w:val="00E04005"/>
    <w:rsid w:val="00E0404D"/>
    <w:rsid w:val="00E041B3"/>
    <w:rsid w:val="00E044A6"/>
    <w:rsid w:val="00E0466D"/>
    <w:rsid w:val="00E0469C"/>
    <w:rsid w:val="00E046ED"/>
    <w:rsid w:val="00E047F2"/>
    <w:rsid w:val="00E04A09"/>
    <w:rsid w:val="00E04B9B"/>
    <w:rsid w:val="00E04BBF"/>
    <w:rsid w:val="00E04C47"/>
    <w:rsid w:val="00E04C8F"/>
    <w:rsid w:val="00E04DF7"/>
    <w:rsid w:val="00E04F56"/>
    <w:rsid w:val="00E05187"/>
    <w:rsid w:val="00E05343"/>
    <w:rsid w:val="00E058B4"/>
    <w:rsid w:val="00E05AB0"/>
    <w:rsid w:val="00E05AC4"/>
    <w:rsid w:val="00E05BF3"/>
    <w:rsid w:val="00E05C52"/>
    <w:rsid w:val="00E05D1B"/>
    <w:rsid w:val="00E06002"/>
    <w:rsid w:val="00E0612B"/>
    <w:rsid w:val="00E06157"/>
    <w:rsid w:val="00E06159"/>
    <w:rsid w:val="00E064C3"/>
    <w:rsid w:val="00E068D0"/>
    <w:rsid w:val="00E0699A"/>
    <w:rsid w:val="00E06A8F"/>
    <w:rsid w:val="00E06AA4"/>
    <w:rsid w:val="00E06AD5"/>
    <w:rsid w:val="00E06CAB"/>
    <w:rsid w:val="00E06E2F"/>
    <w:rsid w:val="00E06F0D"/>
    <w:rsid w:val="00E071DB"/>
    <w:rsid w:val="00E0731F"/>
    <w:rsid w:val="00E0747D"/>
    <w:rsid w:val="00E074BD"/>
    <w:rsid w:val="00E0756C"/>
    <w:rsid w:val="00E0764D"/>
    <w:rsid w:val="00E0768D"/>
    <w:rsid w:val="00E07798"/>
    <w:rsid w:val="00E0779A"/>
    <w:rsid w:val="00E077E9"/>
    <w:rsid w:val="00E077EA"/>
    <w:rsid w:val="00E078F7"/>
    <w:rsid w:val="00E07948"/>
    <w:rsid w:val="00E07B51"/>
    <w:rsid w:val="00E07D76"/>
    <w:rsid w:val="00E07E20"/>
    <w:rsid w:val="00E07E49"/>
    <w:rsid w:val="00E07F3B"/>
    <w:rsid w:val="00E07FAB"/>
    <w:rsid w:val="00E10075"/>
    <w:rsid w:val="00E1011F"/>
    <w:rsid w:val="00E101EA"/>
    <w:rsid w:val="00E1029A"/>
    <w:rsid w:val="00E1034A"/>
    <w:rsid w:val="00E10533"/>
    <w:rsid w:val="00E105BD"/>
    <w:rsid w:val="00E10671"/>
    <w:rsid w:val="00E106A5"/>
    <w:rsid w:val="00E10709"/>
    <w:rsid w:val="00E10914"/>
    <w:rsid w:val="00E10C66"/>
    <w:rsid w:val="00E10D53"/>
    <w:rsid w:val="00E110C3"/>
    <w:rsid w:val="00E111D9"/>
    <w:rsid w:val="00E111FF"/>
    <w:rsid w:val="00E112F8"/>
    <w:rsid w:val="00E114D6"/>
    <w:rsid w:val="00E11874"/>
    <w:rsid w:val="00E119BC"/>
    <w:rsid w:val="00E11AD4"/>
    <w:rsid w:val="00E11B42"/>
    <w:rsid w:val="00E11E34"/>
    <w:rsid w:val="00E11EC0"/>
    <w:rsid w:val="00E1204C"/>
    <w:rsid w:val="00E1211B"/>
    <w:rsid w:val="00E12514"/>
    <w:rsid w:val="00E12688"/>
    <w:rsid w:val="00E12942"/>
    <w:rsid w:val="00E12974"/>
    <w:rsid w:val="00E1299D"/>
    <w:rsid w:val="00E12A1A"/>
    <w:rsid w:val="00E12A49"/>
    <w:rsid w:val="00E12ACA"/>
    <w:rsid w:val="00E12B29"/>
    <w:rsid w:val="00E12BED"/>
    <w:rsid w:val="00E12C88"/>
    <w:rsid w:val="00E12CA0"/>
    <w:rsid w:val="00E12DAD"/>
    <w:rsid w:val="00E12E19"/>
    <w:rsid w:val="00E12E89"/>
    <w:rsid w:val="00E12FB7"/>
    <w:rsid w:val="00E13137"/>
    <w:rsid w:val="00E1316D"/>
    <w:rsid w:val="00E13171"/>
    <w:rsid w:val="00E131A7"/>
    <w:rsid w:val="00E133F3"/>
    <w:rsid w:val="00E133FD"/>
    <w:rsid w:val="00E136F4"/>
    <w:rsid w:val="00E137E2"/>
    <w:rsid w:val="00E138D7"/>
    <w:rsid w:val="00E13A7C"/>
    <w:rsid w:val="00E13A96"/>
    <w:rsid w:val="00E13C18"/>
    <w:rsid w:val="00E13DAE"/>
    <w:rsid w:val="00E13DB5"/>
    <w:rsid w:val="00E13E05"/>
    <w:rsid w:val="00E13E55"/>
    <w:rsid w:val="00E13E6B"/>
    <w:rsid w:val="00E14050"/>
    <w:rsid w:val="00E14105"/>
    <w:rsid w:val="00E1416C"/>
    <w:rsid w:val="00E1420C"/>
    <w:rsid w:val="00E1427E"/>
    <w:rsid w:val="00E14413"/>
    <w:rsid w:val="00E144A2"/>
    <w:rsid w:val="00E1457D"/>
    <w:rsid w:val="00E14834"/>
    <w:rsid w:val="00E14E38"/>
    <w:rsid w:val="00E14F1B"/>
    <w:rsid w:val="00E15097"/>
    <w:rsid w:val="00E150F0"/>
    <w:rsid w:val="00E1572A"/>
    <w:rsid w:val="00E1587B"/>
    <w:rsid w:val="00E15903"/>
    <w:rsid w:val="00E15954"/>
    <w:rsid w:val="00E15A3D"/>
    <w:rsid w:val="00E15A6E"/>
    <w:rsid w:val="00E15C12"/>
    <w:rsid w:val="00E15CA6"/>
    <w:rsid w:val="00E15DAD"/>
    <w:rsid w:val="00E15E0D"/>
    <w:rsid w:val="00E15E2E"/>
    <w:rsid w:val="00E15ECB"/>
    <w:rsid w:val="00E15F5A"/>
    <w:rsid w:val="00E15F9C"/>
    <w:rsid w:val="00E16017"/>
    <w:rsid w:val="00E1613A"/>
    <w:rsid w:val="00E16264"/>
    <w:rsid w:val="00E16562"/>
    <w:rsid w:val="00E16B35"/>
    <w:rsid w:val="00E16DBE"/>
    <w:rsid w:val="00E16E9B"/>
    <w:rsid w:val="00E17036"/>
    <w:rsid w:val="00E17084"/>
    <w:rsid w:val="00E17184"/>
    <w:rsid w:val="00E17736"/>
    <w:rsid w:val="00E17741"/>
    <w:rsid w:val="00E177D1"/>
    <w:rsid w:val="00E178DF"/>
    <w:rsid w:val="00E17959"/>
    <w:rsid w:val="00E179F6"/>
    <w:rsid w:val="00E17A53"/>
    <w:rsid w:val="00E17CD0"/>
    <w:rsid w:val="00E17EC8"/>
    <w:rsid w:val="00E17EEF"/>
    <w:rsid w:val="00E2000D"/>
    <w:rsid w:val="00E20157"/>
    <w:rsid w:val="00E204C0"/>
    <w:rsid w:val="00E204F2"/>
    <w:rsid w:val="00E20670"/>
    <w:rsid w:val="00E206B9"/>
    <w:rsid w:val="00E208BB"/>
    <w:rsid w:val="00E2096A"/>
    <w:rsid w:val="00E2096B"/>
    <w:rsid w:val="00E20A3B"/>
    <w:rsid w:val="00E20BA5"/>
    <w:rsid w:val="00E20C21"/>
    <w:rsid w:val="00E20E75"/>
    <w:rsid w:val="00E20E7D"/>
    <w:rsid w:val="00E20EBE"/>
    <w:rsid w:val="00E20FAD"/>
    <w:rsid w:val="00E21164"/>
    <w:rsid w:val="00E211C3"/>
    <w:rsid w:val="00E21256"/>
    <w:rsid w:val="00E21595"/>
    <w:rsid w:val="00E21621"/>
    <w:rsid w:val="00E216BB"/>
    <w:rsid w:val="00E21717"/>
    <w:rsid w:val="00E2175C"/>
    <w:rsid w:val="00E21A59"/>
    <w:rsid w:val="00E21AA2"/>
    <w:rsid w:val="00E21B78"/>
    <w:rsid w:val="00E21C4D"/>
    <w:rsid w:val="00E21E23"/>
    <w:rsid w:val="00E21F31"/>
    <w:rsid w:val="00E2201B"/>
    <w:rsid w:val="00E2204F"/>
    <w:rsid w:val="00E22268"/>
    <w:rsid w:val="00E2251B"/>
    <w:rsid w:val="00E2265D"/>
    <w:rsid w:val="00E22812"/>
    <w:rsid w:val="00E228FB"/>
    <w:rsid w:val="00E2298B"/>
    <w:rsid w:val="00E229A4"/>
    <w:rsid w:val="00E22B83"/>
    <w:rsid w:val="00E22F17"/>
    <w:rsid w:val="00E22F36"/>
    <w:rsid w:val="00E22FF4"/>
    <w:rsid w:val="00E22FFF"/>
    <w:rsid w:val="00E23278"/>
    <w:rsid w:val="00E2368E"/>
    <w:rsid w:val="00E237F7"/>
    <w:rsid w:val="00E23A8E"/>
    <w:rsid w:val="00E23F4E"/>
    <w:rsid w:val="00E23F6C"/>
    <w:rsid w:val="00E24104"/>
    <w:rsid w:val="00E2424B"/>
    <w:rsid w:val="00E242B0"/>
    <w:rsid w:val="00E24319"/>
    <w:rsid w:val="00E24402"/>
    <w:rsid w:val="00E2440B"/>
    <w:rsid w:val="00E245DB"/>
    <w:rsid w:val="00E245EB"/>
    <w:rsid w:val="00E246D9"/>
    <w:rsid w:val="00E248E7"/>
    <w:rsid w:val="00E24B98"/>
    <w:rsid w:val="00E24BAB"/>
    <w:rsid w:val="00E24C4B"/>
    <w:rsid w:val="00E24CEA"/>
    <w:rsid w:val="00E24D2E"/>
    <w:rsid w:val="00E24F00"/>
    <w:rsid w:val="00E251B1"/>
    <w:rsid w:val="00E2520B"/>
    <w:rsid w:val="00E2531D"/>
    <w:rsid w:val="00E25454"/>
    <w:rsid w:val="00E258B5"/>
    <w:rsid w:val="00E25950"/>
    <w:rsid w:val="00E25B19"/>
    <w:rsid w:val="00E25BB4"/>
    <w:rsid w:val="00E25C9B"/>
    <w:rsid w:val="00E26094"/>
    <w:rsid w:val="00E260E8"/>
    <w:rsid w:val="00E26199"/>
    <w:rsid w:val="00E261E0"/>
    <w:rsid w:val="00E262F5"/>
    <w:rsid w:val="00E2636A"/>
    <w:rsid w:val="00E263D5"/>
    <w:rsid w:val="00E264B7"/>
    <w:rsid w:val="00E264D1"/>
    <w:rsid w:val="00E26568"/>
    <w:rsid w:val="00E266B8"/>
    <w:rsid w:val="00E26909"/>
    <w:rsid w:val="00E26982"/>
    <w:rsid w:val="00E26A60"/>
    <w:rsid w:val="00E26AD8"/>
    <w:rsid w:val="00E26B09"/>
    <w:rsid w:val="00E26B67"/>
    <w:rsid w:val="00E26B6B"/>
    <w:rsid w:val="00E26C7B"/>
    <w:rsid w:val="00E26CBE"/>
    <w:rsid w:val="00E26DC8"/>
    <w:rsid w:val="00E26DE6"/>
    <w:rsid w:val="00E26E9A"/>
    <w:rsid w:val="00E26F5D"/>
    <w:rsid w:val="00E270BF"/>
    <w:rsid w:val="00E271A5"/>
    <w:rsid w:val="00E271F8"/>
    <w:rsid w:val="00E27257"/>
    <w:rsid w:val="00E27285"/>
    <w:rsid w:val="00E272BE"/>
    <w:rsid w:val="00E2737B"/>
    <w:rsid w:val="00E2743F"/>
    <w:rsid w:val="00E274BB"/>
    <w:rsid w:val="00E274C4"/>
    <w:rsid w:val="00E274CE"/>
    <w:rsid w:val="00E2751D"/>
    <w:rsid w:val="00E2755B"/>
    <w:rsid w:val="00E27582"/>
    <w:rsid w:val="00E27588"/>
    <w:rsid w:val="00E27602"/>
    <w:rsid w:val="00E2785D"/>
    <w:rsid w:val="00E279A4"/>
    <w:rsid w:val="00E27BAF"/>
    <w:rsid w:val="00E27C22"/>
    <w:rsid w:val="00E27CF7"/>
    <w:rsid w:val="00E27F96"/>
    <w:rsid w:val="00E3006D"/>
    <w:rsid w:val="00E300CC"/>
    <w:rsid w:val="00E302AF"/>
    <w:rsid w:val="00E305E2"/>
    <w:rsid w:val="00E3062C"/>
    <w:rsid w:val="00E306EA"/>
    <w:rsid w:val="00E30B1A"/>
    <w:rsid w:val="00E30C84"/>
    <w:rsid w:val="00E30D45"/>
    <w:rsid w:val="00E30E7B"/>
    <w:rsid w:val="00E30E8E"/>
    <w:rsid w:val="00E30F84"/>
    <w:rsid w:val="00E30F87"/>
    <w:rsid w:val="00E3100E"/>
    <w:rsid w:val="00E3108D"/>
    <w:rsid w:val="00E31271"/>
    <w:rsid w:val="00E3150A"/>
    <w:rsid w:val="00E315DA"/>
    <w:rsid w:val="00E316B6"/>
    <w:rsid w:val="00E318C3"/>
    <w:rsid w:val="00E31C2D"/>
    <w:rsid w:val="00E31C7E"/>
    <w:rsid w:val="00E31D0C"/>
    <w:rsid w:val="00E31DAF"/>
    <w:rsid w:val="00E31DF8"/>
    <w:rsid w:val="00E32024"/>
    <w:rsid w:val="00E320B1"/>
    <w:rsid w:val="00E321BF"/>
    <w:rsid w:val="00E32200"/>
    <w:rsid w:val="00E32291"/>
    <w:rsid w:val="00E323C5"/>
    <w:rsid w:val="00E324FC"/>
    <w:rsid w:val="00E32571"/>
    <w:rsid w:val="00E325E2"/>
    <w:rsid w:val="00E326AB"/>
    <w:rsid w:val="00E326EE"/>
    <w:rsid w:val="00E326F3"/>
    <w:rsid w:val="00E3274E"/>
    <w:rsid w:val="00E32866"/>
    <w:rsid w:val="00E3287B"/>
    <w:rsid w:val="00E3290E"/>
    <w:rsid w:val="00E329CD"/>
    <w:rsid w:val="00E32A76"/>
    <w:rsid w:val="00E32A96"/>
    <w:rsid w:val="00E32ADD"/>
    <w:rsid w:val="00E32BA2"/>
    <w:rsid w:val="00E32BB6"/>
    <w:rsid w:val="00E32D9F"/>
    <w:rsid w:val="00E32E0C"/>
    <w:rsid w:val="00E32ED8"/>
    <w:rsid w:val="00E32F0F"/>
    <w:rsid w:val="00E3336F"/>
    <w:rsid w:val="00E33385"/>
    <w:rsid w:val="00E334E4"/>
    <w:rsid w:val="00E33683"/>
    <w:rsid w:val="00E33734"/>
    <w:rsid w:val="00E337B3"/>
    <w:rsid w:val="00E33847"/>
    <w:rsid w:val="00E33892"/>
    <w:rsid w:val="00E33BB2"/>
    <w:rsid w:val="00E33C8D"/>
    <w:rsid w:val="00E33CE4"/>
    <w:rsid w:val="00E33F81"/>
    <w:rsid w:val="00E33FD9"/>
    <w:rsid w:val="00E34061"/>
    <w:rsid w:val="00E3411E"/>
    <w:rsid w:val="00E34215"/>
    <w:rsid w:val="00E34485"/>
    <w:rsid w:val="00E34559"/>
    <w:rsid w:val="00E3466B"/>
    <w:rsid w:val="00E347C4"/>
    <w:rsid w:val="00E3484E"/>
    <w:rsid w:val="00E348C1"/>
    <w:rsid w:val="00E34B22"/>
    <w:rsid w:val="00E34B91"/>
    <w:rsid w:val="00E34D22"/>
    <w:rsid w:val="00E35187"/>
    <w:rsid w:val="00E3525B"/>
    <w:rsid w:val="00E3527F"/>
    <w:rsid w:val="00E3534C"/>
    <w:rsid w:val="00E3539A"/>
    <w:rsid w:val="00E353B2"/>
    <w:rsid w:val="00E35438"/>
    <w:rsid w:val="00E3559A"/>
    <w:rsid w:val="00E35645"/>
    <w:rsid w:val="00E35653"/>
    <w:rsid w:val="00E35808"/>
    <w:rsid w:val="00E35962"/>
    <w:rsid w:val="00E359F7"/>
    <w:rsid w:val="00E35A6E"/>
    <w:rsid w:val="00E35BCD"/>
    <w:rsid w:val="00E35BF2"/>
    <w:rsid w:val="00E35D89"/>
    <w:rsid w:val="00E35DAD"/>
    <w:rsid w:val="00E35E11"/>
    <w:rsid w:val="00E35E1C"/>
    <w:rsid w:val="00E35F4D"/>
    <w:rsid w:val="00E3611C"/>
    <w:rsid w:val="00E36290"/>
    <w:rsid w:val="00E364C4"/>
    <w:rsid w:val="00E3655D"/>
    <w:rsid w:val="00E3656C"/>
    <w:rsid w:val="00E36796"/>
    <w:rsid w:val="00E36888"/>
    <w:rsid w:val="00E3694E"/>
    <w:rsid w:val="00E369B9"/>
    <w:rsid w:val="00E369F7"/>
    <w:rsid w:val="00E36C84"/>
    <w:rsid w:val="00E36CEE"/>
    <w:rsid w:val="00E36CFF"/>
    <w:rsid w:val="00E36D6C"/>
    <w:rsid w:val="00E36ECA"/>
    <w:rsid w:val="00E371FE"/>
    <w:rsid w:val="00E372AB"/>
    <w:rsid w:val="00E373F7"/>
    <w:rsid w:val="00E3770F"/>
    <w:rsid w:val="00E37782"/>
    <w:rsid w:val="00E37858"/>
    <w:rsid w:val="00E378B3"/>
    <w:rsid w:val="00E37AAE"/>
    <w:rsid w:val="00E37CB8"/>
    <w:rsid w:val="00E37DEC"/>
    <w:rsid w:val="00E37E46"/>
    <w:rsid w:val="00E37EE7"/>
    <w:rsid w:val="00E40291"/>
    <w:rsid w:val="00E4030E"/>
    <w:rsid w:val="00E403B9"/>
    <w:rsid w:val="00E40425"/>
    <w:rsid w:val="00E40633"/>
    <w:rsid w:val="00E407FE"/>
    <w:rsid w:val="00E40865"/>
    <w:rsid w:val="00E4088F"/>
    <w:rsid w:val="00E40974"/>
    <w:rsid w:val="00E40980"/>
    <w:rsid w:val="00E409B7"/>
    <w:rsid w:val="00E40A86"/>
    <w:rsid w:val="00E40C2E"/>
    <w:rsid w:val="00E40CC6"/>
    <w:rsid w:val="00E40D0D"/>
    <w:rsid w:val="00E40D39"/>
    <w:rsid w:val="00E4140C"/>
    <w:rsid w:val="00E41450"/>
    <w:rsid w:val="00E41556"/>
    <w:rsid w:val="00E4158F"/>
    <w:rsid w:val="00E416FD"/>
    <w:rsid w:val="00E41A47"/>
    <w:rsid w:val="00E41AC2"/>
    <w:rsid w:val="00E41D86"/>
    <w:rsid w:val="00E41E99"/>
    <w:rsid w:val="00E42097"/>
    <w:rsid w:val="00E420D1"/>
    <w:rsid w:val="00E42154"/>
    <w:rsid w:val="00E4217E"/>
    <w:rsid w:val="00E423AB"/>
    <w:rsid w:val="00E42424"/>
    <w:rsid w:val="00E429E1"/>
    <w:rsid w:val="00E429E5"/>
    <w:rsid w:val="00E42CB0"/>
    <w:rsid w:val="00E42D5E"/>
    <w:rsid w:val="00E42F82"/>
    <w:rsid w:val="00E43187"/>
    <w:rsid w:val="00E4320F"/>
    <w:rsid w:val="00E43249"/>
    <w:rsid w:val="00E43460"/>
    <w:rsid w:val="00E434C9"/>
    <w:rsid w:val="00E438A2"/>
    <w:rsid w:val="00E43A06"/>
    <w:rsid w:val="00E43A17"/>
    <w:rsid w:val="00E43B37"/>
    <w:rsid w:val="00E43BBE"/>
    <w:rsid w:val="00E43C2A"/>
    <w:rsid w:val="00E43D66"/>
    <w:rsid w:val="00E43E06"/>
    <w:rsid w:val="00E43E81"/>
    <w:rsid w:val="00E43F1D"/>
    <w:rsid w:val="00E43F73"/>
    <w:rsid w:val="00E43F89"/>
    <w:rsid w:val="00E440BE"/>
    <w:rsid w:val="00E441A7"/>
    <w:rsid w:val="00E44243"/>
    <w:rsid w:val="00E443DA"/>
    <w:rsid w:val="00E4447B"/>
    <w:rsid w:val="00E444A3"/>
    <w:rsid w:val="00E444A9"/>
    <w:rsid w:val="00E444D1"/>
    <w:rsid w:val="00E4497C"/>
    <w:rsid w:val="00E449FF"/>
    <w:rsid w:val="00E44A68"/>
    <w:rsid w:val="00E44B0A"/>
    <w:rsid w:val="00E44E1B"/>
    <w:rsid w:val="00E44E3B"/>
    <w:rsid w:val="00E44EBE"/>
    <w:rsid w:val="00E45097"/>
    <w:rsid w:val="00E450A0"/>
    <w:rsid w:val="00E45115"/>
    <w:rsid w:val="00E45200"/>
    <w:rsid w:val="00E453F7"/>
    <w:rsid w:val="00E455BC"/>
    <w:rsid w:val="00E4575E"/>
    <w:rsid w:val="00E457D4"/>
    <w:rsid w:val="00E457D5"/>
    <w:rsid w:val="00E45879"/>
    <w:rsid w:val="00E45987"/>
    <w:rsid w:val="00E459C6"/>
    <w:rsid w:val="00E45A61"/>
    <w:rsid w:val="00E45B34"/>
    <w:rsid w:val="00E45C08"/>
    <w:rsid w:val="00E45C59"/>
    <w:rsid w:val="00E45D07"/>
    <w:rsid w:val="00E45E4A"/>
    <w:rsid w:val="00E4631B"/>
    <w:rsid w:val="00E4637F"/>
    <w:rsid w:val="00E46585"/>
    <w:rsid w:val="00E46640"/>
    <w:rsid w:val="00E4697B"/>
    <w:rsid w:val="00E469D0"/>
    <w:rsid w:val="00E46B41"/>
    <w:rsid w:val="00E46B70"/>
    <w:rsid w:val="00E46BB5"/>
    <w:rsid w:val="00E46CB4"/>
    <w:rsid w:val="00E46D9D"/>
    <w:rsid w:val="00E46E84"/>
    <w:rsid w:val="00E46F3D"/>
    <w:rsid w:val="00E47027"/>
    <w:rsid w:val="00E47218"/>
    <w:rsid w:val="00E472C1"/>
    <w:rsid w:val="00E47309"/>
    <w:rsid w:val="00E473B6"/>
    <w:rsid w:val="00E473DE"/>
    <w:rsid w:val="00E47747"/>
    <w:rsid w:val="00E477E0"/>
    <w:rsid w:val="00E47875"/>
    <w:rsid w:val="00E47907"/>
    <w:rsid w:val="00E47C2D"/>
    <w:rsid w:val="00E47C9F"/>
    <w:rsid w:val="00E47DAD"/>
    <w:rsid w:val="00E47F15"/>
    <w:rsid w:val="00E47F61"/>
    <w:rsid w:val="00E47FA9"/>
    <w:rsid w:val="00E5017B"/>
    <w:rsid w:val="00E501D5"/>
    <w:rsid w:val="00E5021B"/>
    <w:rsid w:val="00E50458"/>
    <w:rsid w:val="00E50510"/>
    <w:rsid w:val="00E5052D"/>
    <w:rsid w:val="00E50546"/>
    <w:rsid w:val="00E5058F"/>
    <w:rsid w:val="00E5072E"/>
    <w:rsid w:val="00E5086A"/>
    <w:rsid w:val="00E50A55"/>
    <w:rsid w:val="00E50B40"/>
    <w:rsid w:val="00E50E08"/>
    <w:rsid w:val="00E50F69"/>
    <w:rsid w:val="00E5108F"/>
    <w:rsid w:val="00E51542"/>
    <w:rsid w:val="00E51584"/>
    <w:rsid w:val="00E516E4"/>
    <w:rsid w:val="00E51735"/>
    <w:rsid w:val="00E5173F"/>
    <w:rsid w:val="00E519A2"/>
    <w:rsid w:val="00E51A94"/>
    <w:rsid w:val="00E51BE5"/>
    <w:rsid w:val="00E51D95"/>
    <w:rsid w:val="00E51DA4"/>
    <w:rsid w:val="00E520E0"/>
    <w:rsid w:val="00E52112"/>
    <w:rsid w:val="00E52238"/>
    <w:rsid w:val="00E5235B"/>
    <w:rsid w:val="00E523C3"/>
    <w:rsid w:val="00E5247E"/>
    <w:rsid w:val="00E5257C"/>
    <w:rsid w:val="00E5272E"/>
    <w:rsid w:val="00E5295E"/>
    <w:rsid w:val="00E5296A"/>
    <w:rsid w:val="00E529BA"/>
    <w:rsid w:val="00E52A31"/>
    <w:rsid w:val="00E52A9C"/>
    <w:rsid w:val="00E52B64"/>
    <w:rsid w:val="00E52BB7"/>
    <w:rsid w:val="00E52C21"/>
    <w:rsid w:val="00E52C4E"/>
    <w:rsid w:val="00E52E54"/>
    <w:rsid w:val="00E52E99"/>
    <w:rsid w:val="00E52EF1"/>
    <w:rsid w:val="00E5313B"/>
    <w:rsid w:val="00E53313"/>
    <w:rsid w:val="00E533F6"/>
    <w:rsid w:val="00E534DB"/>
    <w:rsid w:val="00E53689"/>
    <w:rsid w:val="00E536D4"/>
    <w:rsid w:val="00E5384F"/>
    <w:rsid w:val="00E53876"/>
    <w:rsid w:val="00E53944"/>
    <w:rsid w:val="00E53A3A"/>
    <w:rsid w:val="00E53ABA"/>
    <w:rsid w:val="00E53AEA"/>
    <w:rsid w:val="00E53B5F"/>
    <w:rsid w:val="00E53BA3"/>
    <w:rsid w:val="00E53CB1"/>
    <w:rsid w:val="00E53E6A"/>
    <w:rsid w:val="00E53E99"/>
    <w:rsid w:val="00E53FAC"/>
    <w:rsid w:val="00E540DA"/>
    <w:rsid w:val="00E541DA"/>
    <w:rsid w:val="00E541FF"/>
    <w:rsid w:val="00E54261"/>
    <w:rsid w:val="00E543E7"/>
    <w:rsid w:val="00E54500"/>
    <w:rsid w:val="00E54509"/>
    <w:rsid w:val="00E545E8"/>
    <w:rsid w:val="00E54663"/>
    <w:rsid w:val="00E546CD"/>
    <w:rsid w:val="00E5473D"/>
    <w:rsid w:val="00E54752"/>
    <w:rsid w:val="00E548A1"/>
    <w:rsid w:val="00E548FB"/>
    <w:rsid w:val="00E54A5C"/>
    <w:rsid w:val="00E54C4A"/>
    <w:rsid w:val="00E54CA1"/>
    <w:rsid w:val="00E54CC8"/>
    <w:rsid w:val="00E54D2B"/>
    <w:rsid w:val="00E54D3C"/>
    <w:rsid w:val="00E54DAB"/>
    <w:rsid w:val="00E54E0F"/>
    <w:rsid w:val="00E54FD6"/>
    <w:rsid w:val="00E55027"/>
    <w:rsid w:val="00E551A6"/>
    <w:rsid w:val="00E551D7"/>
    <w:rsid w:val="00E551E9"/>
    <w:rsid w:val="00E55265"/>
    <w:rsid w:val="00E55283"/>
    <w:rsid w:val="00E552AD"/>
    <w:rsid w:val="00E552D7"/>
    <w:rsid w:val="00E55515"/>
    <w:rsid w:val="00E556D9"/>
    <w:rsid w:val="00E5596F"/>
    <w:rsid w:val="00E55B14"/>
    <w:rsid w:val="00E55BE2"/>
    <w:rsid w:val="00E55C3D"/>
    <w:rsid w:val="00E55CE1"/>
    <w:rsid w:val="00E55D9E"/>
    <w:rsid w:val="00E55E87"/>
    <w:rsid w:val="00E55ECE"/>
    <w:rsid w:val="00E55FC8"/>
    <w:rsid w:val="00E56145"/>
    <w:rsid w:val="00E5617C"/>
    <w:rsid w:val="00E56498"/>
    <w:rsid w:val="00E5653C"/>
    <w:rsid w:val="00E56623"/>
    <w:rsid w:val="00E566D3"/>
    <w:rsid w:val="00E5678A"/>
    <w:rsid w:val="00E567D5"/>
    <w:rsid w:val="00E5689B"/>
    <w:rsid w:val="00E568FA"/>
    <w:rsid w:val="00E569D3"/>
    <w:rsid w:val="00E56A42"/>
    <w:rsid w:val="00E56C0F"/>
    <w:rsid w:val="00E56CC9"/>
    <w:rsid w:val="00E56DB0"/>
    <w:rsid w:val="00E56ED0"/>
    <w:rsid w:val="00E56EEA"/>
    <w:rsid w:val="00E56F45"/>
    <w:rsid w:val="00E57059"/>
    <w:rsid w:val="00E57099"/>
    <w:rsid w:val="00E57160"/>
    <w:rsid w:val="00E572D3"/>
    <w:rsid w:val="00E573DD"/>
    <w:rsid w:val="00E574C0"/>
    <w:rsid w:val="00E57600"/>
    <w:rsid w:val="00E57680"/>
    <w:rsid w:val="00E577D6"/>
    <w:rsid w:val="00E577F8"/>
    <w:rsid w:val="00E57AB2"/>
    <w:rsid w:val="00E57ADD"/>
    <w:rsid w:val="00E57C05"/>
    <w:rsid w:val="00E57D7F"/>
    <w:rsid w:val="00E57DB7"/>
    <w:rsid w:val="00E600A1"/>
    <w:rsid w:val="00E6023B"/>
    <w:rsid w:val="00E60285"/>
    <w:rsid w:val="00E6028E"/>
    <w:rsid w:val="00E602F5"/>
    <w:rsid w:val="00E60306"/>
    <w:rsid w:val="00E6035C"/>
    <w:rsid w:val="00E603CD"/>
    <w:rsid w:val="00E603E2"/>
    <w:rsid w:val="00E6056D"/>
    <w:rsid w:val="00E60772"/>
    <w:rsid w:val="00E607C8"/>
    <w:rsid w:val="00E60B61"/>
    <w:rsid w:val="00E60BEF"/>
    <w:rsid w:val="00E60DD3"/>
    <w:rsid w:val="00E60E6C"/>
    <w:rsid w:val="00E60F9A"/>
    <w:rsid w:val="00E60FC9"/>
    <w:rsid w:val="00E60FDA"/>
    <w:rsid w:val="00E6102A"/>
    <w:rsid w:val="00E610C8"/>
    <w:rsid w:val="00E610DB"/>
    <w:rsid w:val="00E611F2"/>
    <w:rsid w:val="00E61209"/>
    <w:rsid w:val="00E61245"/>
    <w:rsid w:val="00E61386"/>
    <w:rsid w:val="00E61428"/>
    <w:rsid w:val="00E61485"/>
    <w:rsid w:val="00E61486"/>
    <w:rsid w:val="00E6159E"/>
    <w:rsid w:val="00E61647"/>
    <w:rsid w:val="00E616CF"/>
    <w:rsid w:val="00E61805"/>
    <w:rsid w:val="00E61B50"/>
    <w:rsid w:val="00E61BAC"/>
    <w:rsid w:val="00E61C51"/>
    <w:rsid w:val="00E61C65"/>
    <w:rsid w:val="00E61C8B"/>
    <w:rsid w:val="00E61CA2"/>
    <w:rsid w:val="00E61D27"/>
    <w:rsid w:val="00E61E60"/>
    <w:rsid w:val="00E61EF6"/>
    <w:rsid w:val="00E61F45"/>
    <w:rsid w:val="00E61FAF"/>
    <w:rsid w:val="00E62075"/>
    <w:rsid w:val="00E620E6"/>
    <w:rsid w:val="00E62252"/>
    <w:rsid w:val="00E624E8"/>
    <w:rsid w:val="00E624F9"/>
    <w:rsid w:val="00E626ED"/>
    <w:rsid w:val="00E6295E"/>
    <w:rsid w:val="00E62976"/>
    <w:rsid w:val="00E6297E"/>
    <w:rsid w:val="00E629F4"/>
    <w:rsid w:val="00E62DFA"/>
    <w:rsid w:val="00E62E8B"/>
    <w:rsid w:val="00E62EBF"/>
    <w:rsid w:val="00E63089"/>
    <w:rsid w:val="00E63128"/>
    <w:rsid w:val="00E63370"/>
    <w:rsid w:val="00E6352B"/>
    <w:rsid w:val="00E636AC"/>
    <w:rsid w:val="00E6374C"/>
    <w:rsid w:val="00E637D1"/>
    <w:rsid w:val="00E63A4D"/>
    <w:rsid w:val="00E63A8F"/>
    <w:rsid w:val="00E63AFD"/>
    <w:rsid w:val="00E63B10"/>
    <w:rsid w:val="00E63BB9"/>
    <w:rsid w:val="00E63DF1"/>
    <w:rsid w:val="00E63E27"/>
    <w:rsid w:val="00E64179"/>
    <w:rsid w:val="00E6424C"/>
    <w:rsid w:val="00E642A4"/>
    <w:rsid w:val="00E64422"/>
    <w:rsid w:val="00E64472"/>
    <w:rsid w:val="00E64508"/>
    <w:rsid w:val="00E6470B"/>
    <w:rsid w:val="00E6480D"/>
    <w:rsid w:val="00E64BAC"/>
    <w:rsid w:val="00E64C9D"/>
    <w:rsid w:val="00E64D4B"/>
    <w:rsid w:val="00E64F85"/>
    <w:rsid w:val="00E64FCA"/>
    <w:rsid w:val="00E65087"/>
    <w:rsid w:val="00E654AC"/>
    <w:rsid w:val="00E65601"/>
    <w:rsid w:val="00E65705"/>
    <w:rsid w:val="00E6575B"/>
    <w:rsid w:val="00E65766"/>
    <w:rsid w:val="00E65895"/>
    <w:rsid w:val="00E658C4"/>
    <w:rsid w:val="00E65967"/>
    <w:rsid w:val="00E6598F"/>
    <w:rsid w:val="00E659BB"/>
    <w:rsid w:val="00E65AD3"/>
    <w:rsid w:val="00E65E90"/>
    <w:rsid w:val="00E65F10"/>
    <w:rsid w:val="00E65FEF"/>
    <w:rsid w:val="00E66011"/>
    <w:rsid w:val="00E66099"/>
    <w:rsid w:val="00E660AD"/>
    <w:rsid w:val="00E66175"/>
    <w:rsid w:val="00E661A2"/>
    <w:rsid w:val="00E66384"/>
    <w:rsid w:val="00E664BB"/>
    <w:rsid w:val="00E667B8"/>
    <w:rsid w:val="00E667CD"/>
    <w:rsid w:val="00E66B42"/>
    <w:rsid w:val="00E66B80"/>
    <w:rsid w:val="00E66C83"/>
    <w:rsid w:val="00E66DAF"/>
    <w:rsid w:val="00E66E1F"/>
    <w:rsid w:val="00E66FD1"/>
    <w:rsid w:val="00E6717D"/>
    <w:rsid w:val="00E67188"/>
    <w:rsid w:val="00E671C2"/>
    <w:rsid w:val="00E67381"/>
    <w:rsid w:val="00E67535"/>
    <w:rsid w:val="00E67A86"/>
    <w:rsid w:val="00E67BE7"/>
    <w:rsid w:val="00E67C58"/>
    <w:rsid w:val="00E67D3D"/>
    <w:rsid w:val="00E67D70"/>
    <w:rsid w:val="00E67DF4"/>
    <w:rsid w:val="00E67F22"/>
    <w:rsid w:val="00E67F81"/>
    <w:rsid w:val="00E67FF9"/>
    <w:rsid w:val="00E70002"/>
    <w:rsid w:val="00E70155"/>
    <w:rsid w:val="00E701CA"/>
    <w:rsid w:val="00E701FE"/>
    <w:rsid w:val="00E702E8"/>
    <w:rsid w:val="00E7041D"/>
    <w:rsid w:val="00E704A3"/>
    <w:rsid w:val="00E705A1"/>
    <w:rsid w:val="00E7070E"/>
    <w:rsid w:val="00E70728"/>
    <w:rsid w:val="00E70793"/>
    <w:rsid w:val="00E707A6"/>
    <w:rsid w:val="00E70A62"/>
    <w:rsid w:val="00E70C83"/>
    <w:rsid w:val="00E70D8E"/>
    <w:rsid w:val="00E70F3C"/>
    <w:rsid w:val="00E70F92"/>
    <w:rsid w:val="00E7110E"/>
    <w:rsid w:val="00E71200"/>
    <w:rsid w:val="00E7126A"/>
    <w:rsid w:val="00E7132A"/>
    <w:rsid w:val="00E7137A"/>
    <w:rsid w:val="00E71552"/>
    <w:rsid w:val="00E7156C"/>
    <w:rsid w:val="00E716C1"/>
    <w:rsid w:val="00E71740"/>
    <w:rsid w:val="00E71997"/>
    <w:rsid w:val="00E71B3A"/>
    <w:rsid w:val="00E71B4C"/>
    <w:rsid w:val="00E71B89"/>
    <w:rsid w:val="00E71CAD"/>
    <w:rsid w:val="00E71EE2"/>
    <w:rsid w:val="00E71F24"/>
    <w:rsid w:val="00E721D7"/>
    <w:rsid w:val="00E72239"/>
    <w:rsid w:val="00E723EC"/>
    <w:rsid w:val="00E724CA"/>
    <w:rsid w:val="00E724DB"/>
    <w:rsid w:val="00E72514"/>
    <w:rsid w:val="00E7255D"/>
    <w:rsid w:val="00E725FF"/>
    <w:rsid w:val="00E726A3"/>
    <w:rsid w:val="00E726CA"/>
    <w:rsid w:val="00E726D8"/>
    <w:rsid w:val="00E72888"/>
    <w:rsid w:val="00E72971"/>
    <w:rsid w:val="00E72A56"/>
    <w:rsid w:val="00E72D04"/>
    <w:rsid w:val="00E72E44"/>
    <w:rsid w:val="00E72E52"/>
    <w:rsid w:val="00E72F32"/>
    <w:rsid w:val="00E72F65"/>
    <w:rsid w:val="00E72FFA"/>
    <w:rsid w:val="00E73060"/>
    <w:rsid w:val="00E73162"/>
    <w:rsid w:val="00E731BB"/>
    <w:rsid w:val="00E73399"/>
    <w:rsid w:val="00E73412"/>
    <w:rsid w:val="00E73421"/>
    <w:rsid w:val="00E737A9"/>
    <w:rsid w:val="00E73C67"/>
    <w:rsid w:val="00E73C6E"/>
    <w:rsid w:val="00E73CD6"/>
    <w:rsid w:val="00E73EA2"/>
    <w:rsid w:val="00E74085"/>
    <w:rsid w:val="00E74113"/>
    <w:rsid w:val="00E742A2"/>
    <w:rsid w:val="00E745DA"/>
    <w:rsid w:val="00E74A6C"/>
    <w:rsid w:val="00E74B50"/>
    <w:rsid w:val="00E74BCC"/>
    <w:rsid w:val="00E74C27"/>
    <w:rsid w:val="00E74D10"/>
    <w:rsid w:val="00E74D9F"/>
    <w:rsid w:val="00E74E4F"/>
    <w:rsid w:val="00E7508E"/>
    <w:rsid w:val="00E750C2"/>
    <w:rsid w:val="00E75195"/>
    <w:rsid w:val="00E751C3"/>
    <w:rsid w:val="00E752A5"/>
    <w:rsid w:val="00E752EC"/>
    <w:rsid w:val="00E75476"/>
    <w:rsid w:val="00E75499"/>
    <w:rsid w:val="00E7550B"/>
    <w:rsid w:val="00E75529"/>
    <w:rsid w:val="00E755A1"/>
    <w:rsid w:val="00E755D9"/>
    <w:rsid w:val="00E7562D"/>
    <w:rsid w:val="00E7566C"/>
    <w:rsid w:val="00E756D6"/>
    <w:rsid w:val="00E756EE"/>
    <w:rsid w:val="00E757E6"/>
    <w:rsid w:val="00E75813"/>
    <w:rsid w:val="00E7583C"/>
    <w:rsid w:val="00E758F1"/>
    <w:rsid w:val="00E75A4E"/>
    <w:rsid w:val="00E75C5E"/>
    <w:rsid w:val="00E75C95"/>
    <w:rsid w:val="00E75CB5"/>
    <w:rsid w:val="00E75DAE"/>
    <w:rsid w:val="00E75DE1"/>
    <w:rsid w:val="00E75F2C"/>
    <w:rsid w:val="00E7605D"/>
    <w:rsid w:val="00E76090"/>
    <w:rsid w:val="00E760A9"/>
    <w:rsid w:val="00E76131"/>
    <w:rsid w:val="00E76162"/>
    <w:rsid w:val="00E762C5"/>
    <w:rsid w:val="00E7653A"/>
    <w:rsid w:val="00E76567"/>
    <w:rsid w:val="00E766EA"/>
    <w:rsid w:val="00E76822"/>
    <w:rsid w:val="00E768D8"/>
    <w:rsid w:val="00E76B46"/>
    <w:rsid w:val="00E76BB8"/>
    <w:rsid w:val="00E76BD7"/>
    <w:rsid w:val="00E76DC1"/>
    <w:rsid w:val="00E76DFF"/>
    <w:rsid w:val="00E76E2F"/>
    <w:rsid w:val="00E76EE5"/>
    <w:rsid w:val="00E76F2A"/>
    <w:rsid w:val="00E76FFA"/>
    <w:rsid w:val="00E77113"/>
    <w:rsid w:val="00E77129"/>
    <w:rsid w:val="00E77139"/>
    <w:rsid w:val="00E771B8"/>
    <w:rsid w:val="00E7729E"/>
    <w:rsid w:val="00E772E8"/>
    <w:rsid w:val="00E77408"/>
    <w:rsid w:val="00E776CB"/>
    <w:rsid w:val="00E776E3"/>
    <w:rsid w:val="00E77796"/>
    <w:rsid w:val="00E778F9"/>
    <w:rsid w:val="00E77A96"/>
    <w:rsid w:val="00E77E58"/>
    <w:rsid w:val="00E77E70"/>
    <w:rsid w:val="00E77E93"/>
    <w:rsid w:val="00E77F7C"/>
    <w:rsid w:val="00E8001D"/>
    <w:rsid w:val="00E8002B"/>
    <w:rsid w:val="00E801D2"/>
    <w:rsid w:val="00E803BE"/>
    <w:rsid w:val="00E8040C"/>
    <w:rsid w:val="00E804AB"/>
    <w:rsid w:val="00E804BC"/>
    <w:rsid w:val="00E80BB7"/>
    <w:rsid w:val="00E80E6A"/>
    <w:rsid w:val="00E813B1"/>
    <w:rsid w:val="00E8151B"/>
    <w:rsid w:val="00E81692"/>
    <w:rsid w:val="00E81729"/>
    <w:rsid w:val="00E8188B"/>
    <w:rsid w:val="00E8196C"/>
    <w:rsid w:val="00E81973"/>
    <w:rsid w:val="00E81CE6"/>
    <w:rsid w:val="00E81DC1"/>
    <w:rsid w:val="00E81EDB"/>
    <w:rsid w:val="00E81F6F"/>
    <w:rsid w:val="00E81F85"/>
    <w:rsid w:val="00E82001"/>
    <w:rsid w:val="00E82087"/>
    <w:rsid w:val="00E82115"/>
    <w:rsid w:val="00E82130"/>
    <w:rsid w:val="00E82581"/>
    <w:rsid w:val="00E82594"/>
    <w:rsid w:val="00E82728"/>
    <w:rsid w:val="00E8272D"/>
    <w:rsid w:val="00E8274E"/>
    <w:rsid w:val="00E82797"/>
    <w:rsid w:val="00E827A1"/>
    <w:rsid w:val="00E827A4"/>
    <w:rsid w:val="00E827D3"/>
    <w:rsid w:val="00E82907"/>
    <w:rsid w:val="00E829A9"/>
    <w:rsid w:val="00E82A0E"/>
    <w:rsid w:val="00E82A29"/>
    <w:rsid w:val="00E82B6B"/>
    <w:rsid w:val="00E82C8B"/>
    <w:rsid w:val="00E82CEB"/>
    <w:rsid w:val="00E82D29"/>
    <w:rsid w:val="00E82D54"/>
    <w:rsid w:val="00E82E8D"/>
    <w:rsid w:val="00E82F88"/>
    <w:rsid w:val="00E82FFC"/>
    <w:rsid w:val="00E83070"/>
    <w:rsid w:val="00E831E3"/>
    <w:rsid w:val="00E832EA"/>
    <w:rsid w:val="00E83421"/>
    <w:rsid w:val="00E834D9"/>
    <w:rsid w:val="00E837C4"/>
    <w:rsid w:val="00E838CD"/>
    <w:rsid w:val="00E83E41"/>
    <w:rsid w:val="00E8407C"/>
    <w:rsid w:val="00E84095"/>
    <w:rsid w:val="00E845D3"/>
    <w:rsid w:val="00E845F7"/>
    <w:rsid w:val="00E84668"/>
    <w:rsid w:val="00E8477F"/>
    <w:rsid w:val="00E847B6"/>
    <w:rsid w:val="00E847DA"/>
    <w:rsid w:val="00E84A11"/>
    <w:rsid w:val="00E84A55"/>
    <w:rsid w:val="00E84B08"/>
    <w:rsid w:val="00E84C2E"/>
    <w:rsid w:val="00E84D72"/>
    <w:rsid w:val="00E84E2A"/>
    <w:rsid w:val="00E84EAF"/>
    <w:rsid w:val="00E85102"/>
    <w:rsid w:val="00E85181"/>
    <w:rsid w:val="00E851E2"/>
    <w:rsid w:val="00E8528F"/>
    <w:rsid w:val="00E852BC"/>
    <w:rsid w:val="00E852E0"/>
    <w:rsid w:val="00E8532F"/>
    <w:rsid w:val="00E8538B"/>
    <w:rsid w:val="00E85522"/>
    <w:rsid w:val="00E855F4"/>
    <w:rsid w:val="00E856D6"/>
    <w:rsid w:val="00E85789"/>
    <w:rsid w:val="00E858D5"/>
    <w:rsid w:val="00E85AA7"/>
    <w:rsid w:val="00E85B4F"/>
    <w:rsid w:val="00E85BFB"/>
    <w:rsid w:val="00E85BFF"/>
    <w:rsid w:val="00E85C00"/>
    <w:rsid w:val="00E85C47"/>
    <w:rsid w:val="00E85D82"/>
    <w:rsid w:val="00E85DA4"/>
    <w:rsid w:val="00E85EEE"/>
    <w:rsid w:val="00E85FF6"/>
    <w:rsid w:val="00E86088"/>
    <w:rsid w:val="00E86228"/>
    <w:rsid w:val="00E86229"/>
    <w:rsid w:val="00E86274"/>
    <w:rsid w:val="00E8632B"/>
    <w:rsid w:val="00E863A2"/>
    <w:rsid w:val="00E863BD"/>
    <w:rsid w:val="00E864FD"/>
    <w:rsid w:val="00E86549"/>
    <w:rsid w:val="00E8655E"/>
    <w:rsid w:val="00E865E3"/>
    <w:rsid w:val="00E8672A"/>
    <w:rsid w:val="00E8677F"/>
    <w:rsid w:val="00E867E4"/>
    <w:rsid w:val="00E86949"/>
    <w:rsid w:val="00E86FA7"/>
    <w:rsid w:val="00E870B5"/>
    <w:rsid w:val="00E87248"/>
    <w:rsid w:val="00E87263"/>
    <w:rsid w:val="00E8733A"/>
    <w:rsid w:val="00E873B5"/>
    <w:rsid w:val="00E87580"/>
    <w:rsid w:val="00E87697"/>
    <w:rsid w:val="00E876FE"/>
    <w:rsid w:val="00E877DE"/>
    <w:rsid w:val="00E87993"/>
    <w:rsid w:val="00E87994"/>
    <w:rsid w:val="00E879D6"/>
    <w:rsid w:val="00E879E3"/>
    <w:rsid w:val="00E87AA7"/>
    <w:rsid w:val="00E87B5A"/>
    <w:rsid w:val="00E87CB2"/>
    <w:rsid w:val="00E87CED"/>
    <w:rsid w:val="00E87D74"/>
    <w:rsid w:val="00E87EFC"/>
    <w:rsid w:val="00E87F31"/>
    <w:rsid w:val="00E87F57"/>
    <w:rsid w:val="00E900E8"/>
    <w:rsid w:val="00E9024D"/>
    <w:rsid w:val="00E902B6"/>
    <w:rsid w:val="00E90465"/>
    <w:rsid w:val="00E90536"/>
    <w:rsid w:val="00E905A6"/>
    <w:rsid w:val="00E90653"/>
    <w:rsid w:val="00E9071C"/>
    <w:rsid w:val="00E907A3"/>
    <w:rsid w:val="00E90870"/>
    <w:rsid w:val="00E90909"/>
    <w:rsid w:val="00E9094D"/>
    <w:rsid w:val="00E90989"/>
    <w:rsid w:val="00E9098D"/>
    <w:rsid w:val="00E909A0"/>
    <w:rsid w:val="00E909DA"/>
    <w:rsid w:val="00E90A47"/>
    <w:rsid w:val="00E90B4F"/>
    <w:rsid w:val="00E90C3E"/>
    <w:rsid w:val="00E90F80"/>
    <w:rsid w:val="00E9102F"/>
    <w:rsid w:val="00E91172"/>
    <w:rsid w:val="00E91244"/>
    <w:rsid w:val="00E912A9"/>
    <w:rsid w:val="00E9140E"/>
    <w:rsid w:val="00E91512"/>
    <w:rsid w:val="00E9152F"/>
    <w:rsid w:val="00E91541"/>
    <w:rsid w:val="00E91578"/>
    <w:rsid w:val="00E91590"/>
    <w:rsid w:val="00E915E8"/>
    <w:rsid w:val="00E91657"/>
    <w:rsid w:val="00E91902"/>
    <w:rsid w:val="00E9199A"/>
    <w:rsid w:val="00E91B02"/>
    <w:rsid w:val="00E91BAE"/>
    <w:rsid w:val="00E91D88"/>
    <w:rsid w:val="00E91FBB"/>
    <w:rsid w:val="00E92153"/>
    <w:rsid w:val="00E9227A"/>
    <w:rsid w:val="00E9228D"/>
    <w:rsid w:val="00E923A7"/>
    <w:rsid w:val="00E9244D"/>
    <w:rsid w:val="00E92475"/>
    <w:rsid w:val="00E925FE"/>
    <w:rsid w:val="00E92748"/>
    <w:rsid w:val="00E9275D"/>
    <w:rsid w:val="00E92761"/>
    <w:rsid w:val="00E92819"/>
    <w:rsid w:val="00E928AA"/>
    <w:rsid w:val="00E928EF"/>
    <w:rsid w:val="00E92A04"/>
    <w:rsid w:val="00E92A8B"/>
    <w:rsid w:val="00E92EED"/>
    <w:rsid w:val="00E92F84"/>
    <w:rsid w:val="00E92FDC"/>
    <w:rsid w:val="00E92FE7"/>
    <w:rsid w:val="00E92FF6"/>
    <w:rsid w:val="00E9315F"/>
    <w:rsid w:val="00E931E1"/>
    <w:rsid w:val="00E93271"/>
    <w:rsid w:val="00E93481"/>
    <w:rsid w:val="00E935CE"/>
    <w:rsid w:val="00E935D3"/>
    <w:rsid w:val="00E93602"/>
    <w:rsid w:val="00E93611"/>
    <w:rsid w:val="00E93714"/>
    <w:rsid w:val="00E93754"/>
    <w:rsid w:val="00E93834"/>
    <w:rsid w:val="00E93A17"/>
    <w:rsid w:val="00E93BBC"/>
    <w:rsid w:val="00E93D76"/>
    <w:rsid w:val="00E93FD2"/>
    <w:rsid w:val="00E9421B"/>
    <w:rsid w:val="00E9455B"/>
    <w:rsid w:val="00E9468E"/>
    <w:rsid w:val="00E947C4"/>
    <w:rsid w:val="00E94A93"/>
    <w:rsid w:val="00E94B72"/>
    <w:rsid w:val="00E94BA5"/>
    <w:rsid w:val="00E94BD8"/>
    <w:rsid w:val="00E94E8E"/>
    <w:rsid w:val="00E94EC4"/>
    <w:rsid w:val="00E94FAF"/>
    <w:rsid w:val="00E94FB0"/>
    <w:rsid w:val="00E950DF"/>
    <w:rsid w:val="00E9525F"/>
    <w:rsid w:val="00E95389"/>
    <w:rsid w:val="00E95448"/>
    <w:rsid w:val="00E9550C"/>
    <w:rsid w:val="00E95607"/>
    <w:rsid w:val="00E95735"/>
    <w:rsid w:val="00E957F0"/>
    <w:rsid w:val="00E9581E"/>
    <w:rsid w:val="00E95886"/>
    <w:rsid w:val="00E95964"/>
    <w:rsid w:val="00E95AAB"/>
    <w:rsid w:val="00E95B9C"/>
    <w:rsid w:val="00E95CE2"/>
    <w:rsid w:val="00E95D85"/>
    <w:rsid w:val="00E95D8B"/>
    <w:rsid w:val="00E96246"/>
    <w:rsid w:val="00E9631B"/>
    <w:rsid w:val="00E96375"/>
    <w:rsid w:val="00E9637D"/>
    <w:rsid w:val="00E96519"/>
    <w:rsid w:val="00E9654D"/>
    <w:rsid w:val="00E9655B"/>
    <w:rsid w:val="00E9659D"/>
    <w:rsid w:val="00E965A7"/>
    <w:rsid w:val="00E96766"/>
    <w:rsid w:val="00E96990"/>
    <w:rsid w:val="00E969EC"/>
    <w:rsid w:val="00E96B59"/>
    <w:rsid w:val="00E96C47"/>
    <w:rsid w:val="00E96DC0"/>
    <w:rsid w:val="00E96F9D"/>
    <w:rsid w:val="00E96FDC"/>
    <w:rsid w:val="00E971A4"/>
    <w:rsid w:val="00E97260"/>
    <w:rsid w:val="00E972DB"/>
    <w:rsid w:val="00E97352"/>
    <w:rsid w:val="00E9740D"/>
    <w:rsid w:val="00E9769C"/>
    <w:rsid w:val="00E97A11"/>
    <w:rsid w:val="00E97A1E"/>
    <w:rsid w:val="00E97AB4"/>
    <w:rsid w:val="00E97B9A"/>
    <w:rsid w:val="00E97C07"/>
    <w:rsid w:val="00E97C70"/>
    <w:rsid w:val="00E97D98"/>
    <w:rsid w:val="00E97E91"/>
    <w:rsid w:val="00E97EFF"/>
    <w:rsid w:val="00E97F34"/>
    <w:rsid w:val="00EA000C"/>
    <w:rsid w:val="00EA0110"/>
    <w:rsid w:val="00EA01D2"/>
    <w:rsid w:val="00EA028D"/>
    <w:rsid w:val="00EA0391"/>
    <w:rsid w:val="00EA042F"/>
    <w:rsid w:val="00EA0444"/>
    <w:rsid w:val="00EA04CB"/>
    <w:rsid w:val="00EA058D"/>
    <w:rsid w:val="00EA069A"/>
    <w:rsid w:val="00EA088A"/>
    <w:rsid w:val="00EA08AF"/>
    <w:rsid w:val="00EA08F9"/>
    <w:rsid w:val="00EA0954"/>
    <w:rsid w:val="00EA0979"/>
    <w:rsid w:val="00EA0A53"/>
    <w:rsid w:val="00EA0A74"/>
    <w:rsid w:val="00EA0C4B"/>
    <w:rsid w:val="00EA0D59"/>
    <w:rsid w:val="00EA0DB6"/>
    <w:rsid w:val="00EA0E37"/>
    <w:rsid w:val="00EA0E76"/>
    <w:rsid w:val="00EA0EB4"/>
    <w:rsid w:val="00EA0FCA"/>
    <w:rsid w:val="00EA105B"/>
    <w:rsid w:val="00EA10B6"/>
    <w:rsid w:val="00EA112C"/>
    <w:rsid w:val="00EA1168"/>
    <w:rsid w:val="00EA1193"/>
    <w:rsid w:val="00EA12A2"/>
    <w:rsid w:val="00EA12D8"/>
    <w:rsid w:val="00EA14B5"/>
    <w:rsid w:val="00EA14EB"/>
    <w:rsid w:val="00EA156C"/>
    <w:rsid w:val="00EA16F1"/>
    <w:rsid w:val="00EA1709"/>
    <w:rsid w:val="00EA1781"/>
    <w:rsid w:val="00EA1787"/>
    <w:rsid w:val="00EA17A7"/>
    <w:rsid w:val="00EA1856"/>
    <w:rsid w:val="00EA1929"/>
    <w:rsid w:val="00EA196F"/>
    <w:rsid w:val="00EA1998"/>
    <w:rsid w:val="00EA19AB"/>
    <w:rsid w:val="00EA19D9"/>
    <w:rsid w:val="00EA1A26"/>
    <w:rsid w:val="00EA1ABD"/>
    <w:rsid w:val="00EA1AD3"/>
    <w:rsid w:val="00EA1BB4"/>
    <w:rsid w:val="00EA1C6F"/>
    <w:rsid w:val="00EA1CD0"/>
    <w:rsid w:val="00EA1DE9"/>
    <w:rsid w:val="00EA2026"/>
    <w:rsid w:val="00EA20A8"/>
    <w:rsid w:val="00EA20FB"/>
    <w:rsid w:val="00EA2417"/>
    <w:rsid w:val="00EA264E"/>
    <w:rsid w:val="00EA2687"/>
    <w:rsid w:val="00EA268B"/>
    <w:rsid w:val="00EA26B6"/>
    <w:rsid w:val="00EA274C"/>
    <w:rsid w:val="00EA275F"/>
    <w:rsid w:val="00EA27D5"/>
    <w:rsid w:val="00EA28A3"/>
    <w:rsid w:val="00EA2A25"/>
    <w:rsid w:val="00EA2CE5"/>
    <w:rsid w:val="00EA2D99"/>
    <w:rsid w:val="00EA2DCC"/>
    <w:rsid w:val="00EA2F68"/>
    <w:rsid w:val="00EA30E7"/>
    <w:rsid w:val="00EA32BB"/>
    <w:rsid w:val="00EA3399"/>
    <w:rsid w:val="00EA349B"/>
    <w:rsid w:val="00EA34AB"/>
    <w:rsid w:val="00EA35ED"/>
    <w:rsid w:val="00EA3742"/>
    <w:rsid w:val="00EA3900"/>
    <w:rsid w:val="00EA3920"/>
    <w:rsid w:val="00EA3928"/>
    <w:rsid w:val="00EA3A99"/>
    <w:rsid w:val="00EA3AB5"/>
    <w:rsid w:val="00EA3AD2"/>
    <w:rsid w:val="00EA3AFD"/>
    <w:rsid w:val="00EA3B39"/>
    <w:rsid w:val="00EA3C3E"/>
    <w:rsid w:val="00EA3CD7"/>
    <w:rsid w:val="00EA3CD9"/>
    <w:rsid w:val="00EA3D39"/>
    <w:rsid w:val="00EA4024"/>
    <w:rsid w:val="00EA40BD"/>
    <w:rsid w:val="00EA4120"/>
    <w:rsid w:val="00EA4205"/>
    <w:rsid w:val="00EA4272"/>
    <w:rsid w:val="00EA42EB"/>
    <w:rsid w:val="00EA446C"/>
    <w:rsid w:val="00EA4591"/>
    <w:rsid w:val="00EA4643"/>
    <w:rsid w:val="00EA465D"/>
    <w:rsid w:val="00EA4814"/>
    <w:rsid w:val="00EA48D4"/>
    <w:rsid w:val="00EA4969"/>
    <w:rsid w:val="00EA496F"/>
    <w:rsid w:val="00EA4C5E"/>
    <w:rsid w:val="00EA5049"/>
    <w:rsid w:val="00EA5142"/>
    <w:rsid w:val="00EA5356"/>
    <w:rsid w:val="00EA5655"/>
    <w:rsid w:val="00EA572E"/>
    <w:rsid w:val="00EA582D"/>
    <w:rsid w:val="00EA5A14"/>
    <w:rsid w:val="00EA5C0F"/>
    <w:rsid w:val="00EA5D00"/>
    <w:rsid w:val="00EA5D44"/>
    <w:rsid w:val="00EA5DF8"/>
    <w:rsid w:val="00EA5F1F"/>
    <w:rsid w:val="00EA5FC3"/>
    <w:rsid w:val="00EA5FCF"/>
    <w:rsid w:val="00EA60A1"/>
    <w:rsid w:val="00EA6343"/>
    <w:rsid w:val="00EA6442"/>
    <w:rsid w:val="00EA65AB"/>
    <w:rsid w:val="00EA6619"/>
    <w:rsid w:val="00EA696C"/>
    <w:rsid w:val="00EA6DD0"/>
    <w:rsid w:val="00EA6DD5"/>
    <w:rsid w:val="00EA6E0C"/>
    <w:rsid w:val="00EA6E1F"/>
    <w:rsid w:val="00EA6F31"/>
    <w:rsid w:val="00EA6F81"/>
    <w:rsid w:val="00EA702D"/>
    <w:rsid w:val="00EA706A"/>
    <w:rsid w:val="00EA7111"/>
    <w:rsid w:val="00EA7304"/>
    <w:rsid w:val="00EA7326"/>
    <w:rsid w:val="00EA7472"/>
    <w:rsid w:val="00EA77CF"/>
    <w:rsid w:val="00EA79BB"/>
    <w:rsid w:val="00EA79D0"/>
    <w:rsid w:val="00EA7AFD"/>
    <w:rsid w:val="00EA7CBC"/>
    <w:rsid w:val="00EA7E26"/>
    <w:rsid w:val="00EA7EFF"/>
    <w:rsid w:val="00EB057C"/>
    <w:rsid w:val="00EB05AE"/>
    <w:rsid w:val="00EB0667"/>
    <w:rsid w:val="00EB0674"/>
    <w:rsid w:val="00EB07B7"/>
    <w:rsid w:val="00EB07EF"/>
    <w:rsid w:val="00EB09C5"/>
    <w:rsid w:val="00EB0AE1"/>
    <w:rsid w:val="00EB0B45"/>
    <w:rsid w:val="00EB0B46"/>
    <w:rsid w:val="00EB0BAC"/>
    <w:rsid w:val="00EB0D8B"/>
    <w:rsid w:val="00EB0F7C"/>
    <w:rsid w:val="00EB123F"/>
    <w:rsid w:val="00EB1568"/>
    <w:rsid w:val="00EB16DC"/>
    <w:rsid w:val="00EB16DD"/>
    <w:rsid w:val="00EB1784"/>
    <w:rsid w:val="00EB199F"/>
    <w:rsid w:val="00EB1ACF"/>
    <w:rsid w:val="00EB1C28"/>
    <w:rsid w:val="00EB1E4F"/>
    <w:rsid w:val="00EB1E77"/>
    <w:rsid w:val="00EB2074"/>
    <w:rsid w:val="00EB230B"/>
    <w:rsid w:val="00EB2358"/>
    <w:rsid w:val="00EB2422"/>
    <w:rsid w:val="00EB2531"/>
    <w:rsid w:val="00EB26B3"/>
    <w:rsid w:val="00EB2799"/>
    <w:rsid w:val="00EB279D"/>
    <w:rsid w:val="00EB2825"/>
    <w:rsid w:val="00EB2921"/>
    <w:rsid w:val="00EB2947"/>
    <w:rsid w:val="00EB29D8"/>
    <w:rsid w:val="00EB2B7B"/>
    <w:rsid w:val="00EB2D64"/>
    <w:rsid w:val="00EB2E6A"/>
    <w:rsid w:val="00EB2EF8"/>
    <w:rsid w:val="00EB30AC"/>
    <w:rsid w:val="00EB32DC"/>
    <w:rsid w:val="00EB340E"/>
    <w:rsid w:val="00EB3473"/>
    <w:rsid w:val="00EB377E"/>
    <w:rsid w:val="00EB37A7"/>
    <w:rsid w:val="00EB37F5"/>
    <w:rsid w:val="00EB38D9"/>
    <w:rsid w:val="00EB3A2B"/>
    <w:rsid w:val="00EB3AA6"/>
    <w:rsid w:val="00EB3BF7"/>
    <w:rsid w:val="00EB3CB4"/>
    <w:rsid w:val="00EB3F01"/>
    <w:rsid w:val="00EB3F60"/>
    <w:rsid w:val="00EB3FEF"/>
    <w:rsid w:val="00EB4215"/>
    <w:rsid w:val="00EB464F"/>
    <w:rsid w:val="00EB495B"/>
    <w:rsid w:val="00EB49E7"/>
    <w:rsid w:val="00EB49EB"/>
    <w:rsid w:val="00EB49F8"/>
    <w:rsid w:val="00EB4B55"/>
    <w:rsid w:val="00EB4B63"/>
    <w:rsid w:val="00EB4BDF"/>
    <w:rsid w:val="00EB4CF5"/>
    <w:rsid w:val="00EB4D61"/>
    <w:rsid w:val="00EB4EDE"/>
    <w:rsid w:val="00EB4EEB"/>
    <w:rsid w:val="00EB4FBD"/>
    <w:rsid w:val="00EB50E3"/>
    <w:rsid w:val="00EB515A"/>
    <w:rsid w:val="00EB52BF"/>
    <w:rsid w:val="00EB536E"/>
    <w:rsid w:val="00EB5377"/>
    <w:rsid w:val="00EB53C8"/>
    <w:rsid w:val="00EB5411"/>
    <w:rsid w:val="00EB54DD"/>
    <w:rsid w:val="00EB55DF"/>
    <w:rsid w:val="00EB5683"/>
    <w:rsid w:val="00EB5CA5"/>
    <w:rsid w:val="00EB5D13"/>
    <w:rsid w:val="00EB5D20"/>
    <w:rsid w:val="00EB60B5"/>
    <w:rsid w:val="00EB60E5"/>
    <w:rsid w:val="00EB61A3"/>
    <w:rsid w:val="00EB61CC"/>
    <w:rsid w:val="00EB61F7"/>
    <w:rsid w:val="00EB6317"/>
    <w:rsid w:val="00EB6548"/>
    <w:rsid w:val="00EB66A7"/>
    <w:rsid w:val="00EB66C0"/>
    <w:rsid w:val="00EB6782"/>
    <w:rsid w:val="00EB6916"/>
    <w:rsid w:val="00EB6A58"/>
    <w:rsid w:val="00EB6AF5"/>
    <w:rsid w:val="00EB6C86"/>
    <w:rsid w:val="00EB6CA6"/>
    <w:rsid w:val="00EB6DFE"/>
    <w:rsid w:val="00EB6F95"/>
    <w:rsid w:val="00EB7067"/>
    <w:rsid w:val="00EB7071"/>
    <w:rsid w:val="00EB7072"/>
    <w:rsid w:val="00EB7149"/>
    <w:rsid w:val="00EB71A1"/>
    <w:rsid w:val="00EB7234"/>
    <w:rsid w:val="00EB74D6"/>
    <w:rsid w:val="00EB7598"/>
    <w:rsid w:val="00EB768A"/>
    <w:rsid w:val="00EB7729"/>
    <w:rsid w:val="00EB78DA"/>
    <w:rsid w:val="00EB78EE"/>
    <w:rsid w:val="00EB79CB"/>
    <w:rsid w:val="00EB79E2"/>
    <w:rsid w:val="00EB7A1B"/>
    <w:rsid w:val="00EB7A66"/>
    <w:rsid w:val="00EB7B5E"/>
    <w:rsid w:val="00EB7B91"/>
    <w:rsid w:val="00EB7BB6"/>
    <w:rsid w:val="00EB7C24"/>
    <w:rsid w:val="00EB7CB8"/>
    <w:rsid w:val="00EB7EB8"/>
    <w:rsid w:val="00EB7F57"/>
    <w:rsid w:val="00EBB2F4"/>
    <w:rsid w:val="00EC010F"/>
    <w:rsid w:val="00EC0188"/>
    <w:rsid w:val="00EC02A0"/>
    <w:rsid w:val="00EC038C"/>
    <w:rsid w:val="00EC03F8"/>
    <w:rsid w:val="00EC045E"/>
    <w:rsid w:val="00EC0507"/>
    <w:rsid w:val="00EC05D7"/>
    <w:rsid w:val="00EC05DC"/>
    <w:rsid w:val="00EC06CE"/>
    <w:rsid w:val="00EC07DF"/>
    <w:rsid w:val="00EC07F2"/>
    <w:rsid w:val="00EC089C"/>
    <w:rsid w:val="00EC08DB"/>
    <w:rsid w:val="00EC0922"/>
    <w:rsid w:val="00EC0930"/>
    <w:rsid w:val="00EC095A"/>
    <w:rsid w:val="00EC0BC1"/>
    <w:rsid w:val="00EC0BC9"/>
    <w:rsid w:val="00EC0C5A"/>
    <w:rsid w:val="00EC0D1B"/>
    <w:rsid w:val="00EC0E0B"/>
    <w:rsid w:val="00EC0E59"/>
    <w:rsid w:val="00EC0EA2"/>
    <w:rsid w:val="00EC1026"/>
    <w:rsid w:val="00EC10CF"/>
    <w:rsid w:val="00EC130F"/>
    <w:rsid w:val="00EC1384"/>
    <w:rsid w:val="00EC13CA"/>
    <w:rsid w:val="00EC149C"/>
    <w:rsid w:val="00EC1710"/>
    <w:rsid w:val="00EC1A60"/>
    <w:rsid w:val="00EC1CCA"/>
    <w:rsid w:val="00EC1DFE"/>
    <w:rsid w:val="00EC1F69"/>
    <w:rsid w:val="00EC2247"/>
    <w:rsid w:val="00EC2276"/>
    <w:rsid w:val="00EC22A0"/>
    <w:rsid w:val="00EC240D"/>
    <w:rsid w:val="00EC24F5"/>
    <w:rsid w:val="00EC2674"/>
    <w:rsid w:val="00EC2782"/>
    <w:rsid w:val="00EC293F"/>
    <w:rsid w:val="00EC2B36"/>
    <w:rsid w:val="00EC2B4B"/>
    <w:rsid w:val="00EC2B5B"/>
    <w:rsid w:val="00EC2C72"/>
    <w:rsid w:val="00EC2CD1"/>
    <w:rsid w:val="00EC2CF1"/>
    <w:rsid w:val="00EC2E1F"/>
    <w:rsid w:val="00EC2E94"/>
    <w:rsid w:val="00EC2EDE"/>
    <w:rsid w:val="00EC2F96"/>
    <w:rsid w:val="00EC3024"/>
    <w:rsid w:val="00EC34DD"/>
    <w:rsid w:val="00EC363E"/>
    <w:rsid w:val="00EC3653"/>
    <w:rsid w:val="00EC368F"/>
    <w:rsid w:val="00EC3785"/>
    <w:rsid w:val="00EC37A1"/>
    <w:rsid w:val="00EC37A2"/>
    <w:rsid w:val="00EC381B"/>
    <w:rsid w:val="00EC390E"/>
    <w:rsid w:val="00EC3912"/>
    <w:rsid w:val="00EC39AC"/>
    <w:rsid w:val="00EC39CE"/>
    <w:rsid w:val="00EC3A7D"/>
    <w:rsid w:val="00EC3B13"/>
    <w:rsid w:val="00EC3B1E"/>
    <w:rsid w:val="00EC3C11"/>
    <w:rsid w:val="00EC3CE9"/>
    <w:rsid w:val="00EC3DEF"/>
    <w:rsid w:val="00EC3E51"/>
    <w:rsid w:val="00EC3E6A"/>
    <w:rsid w:val="00EC3E89"/>
    <w:rsid w:val="00EC3EF7"/>
    <w:rsid w:val="00EC3F39"/>
    <w:rsid w:val="00EC3F5C"/>
    <w:rsid w:val="00EC3FBC"/>
    <w:rsid w:val="00EC4027"/>
    <w:rsid w:val="00EC42B0"/>
    <w:rsid w:val="00EC42EF"/>
    <w:rsid w:val="00EC430A"/>
    <w:rsid w:val="00EC4354"/>
    <w:rsid w:val="00EC44F6"/>
    <w:rsid w:val="00EC455F"/>
    <w:rsid w:val="00EC45BD"/>
    <w:rsid w:val="00EC46B5"/>
    <w:rsid w:val="00EC475B"/>
    <w:rsid w:val="00EC482C"/>
    <w:rsid w:val="00EC499A"/>
    <w:rsid w:val="00EC4A07"/>
    <w:rsid w:val="00EC4C67"/>
    <w:rsid w:val="00EC4D19"/>
    <w:rsid w:val="00EC4DB0"/>
    <w:rsid w:val="00EC4E28"/>
    <w:rsid w:val="00EC4F4C"/>
    <w:rsid w:val="00EC4FE7"/>
    <w:rsid w:val="00EC4FED"/>
    <w:rsid w:val="00EC5010"/>
    <w:rsid w:val="00EC5112"/>
    <w:rsid w:val="00EC5284"/>
    <w:rsid w:val="00EC52DC"/>
    <w:rsid w:val="00EC5452"/>
    <w:rsid w:val="00EC5819"/>
    <w:rsid w:val="00EC5907"/>
    <w:rsid w:val="00EC5945"/>
    <w:rsid w:val="00EC5AE7"/>
    <w:rsid w:val="00EC5FC4"/>
    <w:rsid w:val="00EC5FE3"/>
    <w:rsid w:val="00EC5FE9"/>
    <w:rsid w:val="00EC61F7"/>
    <w:rsid w:val="00EC6302"/>
    <w:rsid w:val="00EC63D7"/>
    <w:rsid w:val="00EC643A"/>
    <w:rsid w:val="00EC64B7"/>
    <w:rsid w:val="00EC6594"/>
    <w:rsid w:val="00EC6640"/>
    <w:rsid w:val="00EC668F"/>
    <w:rsid w:val="00EC674B"/>
    <w:rsid w:val="00EC6808"/>
    <w:rsid w:val="00EC6893"/>
    <w:rsid w:val="00EC69DD"/>
    <w:rsid w:val="00EC69E8"/>
    <w:rsid w:val="00EC6B1D"/>
    <w:rsid w:val="00EC6D22"/>
    <w:rsid w:val="00EC6D85"/>
    <w:rsid w:val="00EC7072"/>
    <w:rsid w:val="00EC7208"/>
    <w:rsid w:val="00EC7362"/>
    <w:rsid w:val="00EC738A"/>
    <w:rsid w:val="00EC73CF"/>
    <w:rsid w:val="00EC7643"/>
    <w:rsid w:val="00EC771B"/>
    <w:rsid w:val="00EC77CC"/>
    <w:rsid w:val="00EC77F4"/>
    <w:rsid w:val="00EC78BA"/>
    <w:rsid w:val="00EC78EA"/>
    <w:rsid w:val="00EC7A7D"/>
    <w:rsid w:val="00EC7BA2"/>
    <w:rsid w:val="00EC7C97"/>
    <w:rsid w:val="00ED01B2"/>
    <w:rsid w:val="00ED01E2"/>
    <w:rsid w:val="00ED023B"/>
    <w:rsid w:val="00ED0246"/>
    <w:rsid w:val="00ED0286"/>
    <w:rsid w:val="00ED045B"/>
    <w:rsid w:val="00ED053E"/>
    <w:rsid w:val="00ED0652"/>
    <w:rsid w:val="00ED0784"/>
    <w:rsid w:val="00ED086B"/>
    <w:rsid w:val="00ED0931"/>
    <w:rsid w:val="00ED0993"/>
    <w:rsid w:val="00ED0996"/>
    <w:rsid w:val="00ED0A0C"/>
    <w:rsid w:val="00ED0A14"/>
    <w:rsid w:val="00ED0E07"/>
    <w:rsid w:val="00ED0E64"/>
    <w:rsid w:val="00ED1139"/>
    <w:rsid w:val="00ED1245"/>
    <w:rsid w:val="00ED12F2"/>
    <w:rsid w:val="00ED161C"/>
    <w:rsid w:val="00ED1963"/>
    <w:rsid w:val="00ED19E8"/>
    <w:rsid w:val="00ED1AB4"/>
    <w:rsid w:val="00ED1B54"/>
    <w:rsid w:val="00ED1C46"/>
    <w:rsid w:val="00ED1C51"/>
    <w:rsid w:val="00ED1C5A"/>
    <w:rsid w:val="00ED1DF3"/>
    <w:rsid w:val="00ED1E08"/>
    <w:rsid w:val="00ED1E80"/>
    <w:rsid w:val="00ED1F14"/>
    <w:rsid w:val="00ED2347"/>
    <w:rsid w:val="00ED23EC"/>
    <w:rsid w:val="00ED24A4"/>
    <w:rsid w:val="00ED252A"/>
    <w:rsid w:val="00ED2682"/>
    <w:rsid w:val="00ED282E"/>
    <w:rsid w:val="00ED2881"/>
    <w:rsid w:val="00ED29B9"/>
    <w:rsid w:val="00ED2BE1"/>
    <w:rsid w:val="00ED2C5C"/>
    <w:rsid w:val="00ED2D99"/>
    <w:rsid w:val="00ED2D9A"/>
    <w:rsid w:val="00ED2FA4"/>
    <w:rsid w:val="00ED31FA"/>
    <w:rsid w:val="00ED32FA"/>
    <w:rsid w:val="00ED3362"/>
    <w:rsid w:val="00ED3480"/>
    <w:rsid w:val="00ED3512"/>
    <w:rsid w:val="00ED3519"/>
    <w:rsid w:val="00ED352C"/>
    <w:rsid w:val="00ED3637"/>
    <w:rsid w:val="00ED3671"/>
    <w:rsid w:val="00ED3820"/>
    <w:rsid w:val="00ED3998"/>
    <w:rsid w:val="00ED39CC"/>
    <w:rsid w:val="00ED39FD"/>
    <w:rsid w:val="00ED3C06"/>
    <w:rsid w:val="00ED3C47"/>
    <w:rsid w:val="00ED3CF9"/>
    <w:rsid w:val="00ED3D4F"/>
    <w:rsid w:val="00ED4292"/>
    <w:rsid w:val="00ED42A7"/>
    <w:rsid w:val="00ED42B7"/>
    <w:rsid w:val="00ED4455"/>
    <w:rsid w:val="00ED46EF"/>
    <w:rsid w:val="00ED48DA"/>
    <w:rsid w:val="00ED49ED"/>
    <w:rsid w:val="00ED49FA"/>
    <w:rsid w:val="00ED4AA8"/>
    <w:rsid w:val="00ED4C7C"/>
    <w:rsid w:val="00ED4D15"/>
    <w:rsid w:val="00ED4D1E"/>
    <w:rsid w:val="00ED4E29"/>
    <w:rsid w:val="00ED4EA0"/>
    <w:rsid w:val="00ED4FDF"/>
    <w:rsid w:val="00ED5062"/>
    <w:rsid w:val="00ED508A"/>
    <w:rsid w:val="00ED50A5"/>
    <w:rsid w:val="00ED51D8"/>
    <w:rsid w:val="00ED51FE"/>
    <w:rsid w:val="00ED5397"/>
    <w:rsid w:val="00ED5426"/>
    <w:rsid w:val="00ED5460"/>
    <w:rsid w:val="00ED554F"/>
    <w:rsid w:val="00ED5659"/>
    <w:rsid w:val="00ED5974"/>
    <w:rsid w:val="00ED5D40"/>
    <w:rsid w:val="00ED5F61"/>
    <w:rsid w:val="00ED5FCF"/>
    <w:rsid w:val="00ED61C4"/>
    <w:rsid w:val="00ED61D3"/>
    <w:rsid w:val="00ED63CC"/>
    <w:rsid w:val="00ED63DE"/>
    <w:rsid w:val="00ED6428"/>
    <w:rsid w:val="00ED66D5"/>
    <w:rsid w:val="00ED6729"/>
    <w:rsid w:val="00ED672C"/>
    <w:rsid w:val="00ED6760"/>
    <w:rsid w:val="00ED6867"/>
    <w:rsid w:val="00ED68DE"/>
    <w:rsid w:val="00ED68E0"/>
    <w:rsid w:val="00ED6962"/>
    <w:rsid w:val="00ED69D6"/>
    <w:rsid w:val="00ED6A47"/>
    <w:rsid w:val="00ED6B65"/>
    <w:rsid w:val="00ED6E57"/>
    <w:rsid w:val="00ED7108"/>
    <w:rsid w:val="00ED71EC"/>
    <w:rsid w:val="00ED7242"/>
    <w:rsid w:val="00ED73CA"/>
    <w:rsid w:val="00ED7579"/>
    <w:rsid w:val="00ED757A"/>
    <w:rsid w:val="00ED75A7"/>
    <w:rsid w:val="00ED78C2"/>
    <w:rsid w:val="00ED7989"/>
    <w:rsid w:val="00ED7AA2"/>
    <w:rsid w:val="00ED7D87"/>
    <w:rsid w:val="00EE00B9"/>
    <w:rsid w:val="00EE00C2"/>
    <w:rsid w:val="00EE0165"/>
    <w:rsid w:val="00EE046C"/>
    <w:rsid w:val="00EE048A"/>
    <w:rsid w:val="00EE05E0"/>
    <w:rsid w:val="00EE06A0"/>
    <w:rsid w:val="00EE0770"/>
    <w:rsid w:val="00EE085C"/>
    <w:rsid w:val="00EE09F1"/>
    <w:rsid w:val="00EE0B86"/>
    <w:rsid w:val="00EE0BF0"/>
    <w:rsid w:val="00EE0D63"/>
    <w:rsid w:val="00EE0E1B"/>
    <w:rsid w:val="00EE0E59"/>
    <w:rsid w:val="00EE0ECA"/>
    <w:rsid w:val="00EE0F87"/>
    <w:rsid w:val="00EE1135"/>
    <w:rsid w:val="00EE11C7"/>
    <w:rsid w:val="00EE136A"/>
    <w:rsid w:val="00EE1477"/>
    <w:rsid w:val="00EE147F"/>
    <w:rsid w:val="00EE157D"/>
    <w:rsid w:val="00EE16F5"/>
    <w:rsid w:val="00EE1860"/>
    <w:rsid w:val="00EE18FA"/>
    <w:rsid w:val="00EE199F"/>
    <w:rsid w:val="00EE1B0C"/>
    <w:rsid w:val="00EE1B5E"/>
    <w:rsid w:val="00EE1BFE"/>
    <w:rsid w:val="00EE1C72"/>
    <w:rsid w:val="00EE1C79"/>
    <w:rsid w:val="00EE1DDB"/>
    <w:rsid w:val="00EE1E32"/>
    <w:rsid w:val="00EE1F48"/>
    <w:rsid w:val="00EE2046"/>
    <w:rsid w:val="00EE206C"/>
    <w:rsid w:val="00EE2107"/>
    <w:rsid w:val="00EE2386"/>
    <w:rsid w:val="00EE243A"/>
    <w:rsid w:val="00EE2521"/>
    <w:rsid w:val="00EE2543"/>
    <w:rsid w:val="00EE269D"/>
    <w:rsid w:val="00EE2898"/>
    <w:rsid w:val="00EE2E41"/>
    <w:rsid w:val="00EE2F38"/>
    <w:rsid w:val="00EE30AC"/>
    <w:rsid w:val="00EE334D"/>
    <w:rsid w:val="00EE34CF"/>
    <w:rsid w:val="00EE3552"/>
    <w:rsid w:val="00EE358F"/>
    <w:rsid w:val="00EE3605"/>
    <w:rsid w:val="00EE363D"/>
    <w:rsid w:val="00EE372B"/>
    <w:rsid w:val="00EE38CD"/>
    <w:rsid w:val="00EE393A"/>
    <w:rsid w:val="00EE39C6"/>
    <w:rsid w:val="00EE39D3"/>
    <w:rsid w:val="00EE3A56"/>
    <w:rsid w:val="00EE3A87"/>
    <w:rsid w:val="00EE3C8D"/>
    <w:rsid w:val="00EE3E3F"/>
    <w:rsid w:val="00EE3E40"/>
    <w:rsid w:val="00EE3EA5"/>
    <w:rsid w:val="00EE3F52"/>
    <w:rsid w:val="00EE3FBA"/>
    <w:rsid w:val="00EE3FF9"/>
    <w:rsid w:val="00EE41A0"/>
    <w:rsid w:val="00EE4662"/>
    <w:rsid w:val="00EE477A"/>
    <w:rsid w:val="00EE47AB"/>
    <w:rsid w:val="00EE47FF"/>
    <w:rsid w:val="00EE4807"/>
    <w:rsid w:val="00EE4A7D"/>
    <w:rsid w:val="00EE4C31"/>
    <w:rsid w:val="00EE4CA7"/>
    <w:rsid w:val="00EE4EB8"/>
    <w:rsid w:val="00EE4EFA"/>
    <w:rsid w:val="00EE4F62"/>
    <w:rsid w:val="00EE5049"/>
    <w:rsid w:val="00EE53AE"/>
    <w:rsid w:val="00EE541C"/>
    <w:rsid w:val="00EE554B"/>
    <w:rsid w:val="00EE5971"/>
    <w:rsid w:val="00EE59BE"/>
    <w:rsid w:val="00EE5A11"/>
    <w:rsid w:val="00EE5B43"/>
    <w:rsid w:val="00EE5DFE"/>
    <w:rsid w:val="00EE5E80"/>
    <w:rsid w:val="00EE6150"/>
    <w:rsid w:val="00EE63CE"/>
    <w:rsid w:val="00EE6689"/>
    <w:rsid w:val="00EE6728"/>
    <w:rsid w:val="00EE67D2"/>
    <w:rsid w:val="00EE6922"/>
    <w:rsid w:val="00EE6A0B"/>
    <w:rsid w:val="00EE6A3E"/>
    <w:rsid w:val="00EE6C11"/>
    <w:rsid w:val="00EE6D1F"/>
    <w:rsid w:val="00EE6D4F"/>
    <w:rsid w:val="00EE71FA"/>
    <w:rsid w:val="00EE749F"/>
    <w:rsid w:val="00EE74A3"/>
    <w:rsid w:val="00EE7516"/>
    <w:rsid w:val="00EE76FA"/>
    <w:rsid w:val="00EE795F"/>
    <w:rsid w:val="00EE7B41"/>
    <w:rsid w:val="00EE7F8F"/>
    <w:rsid w:val="00EE8747"/>
    <w:rsid w:val="00EF00B1"/>
    <w:rsid w:val="00EF019B"/>
    <w:rsid w:val="00EF01BE"/>
    <w:rsid w:val="00EF0308"/>
    <w:rsid w:val="00EF03F5"/>
    <w:rsid w:val="00EF0425"/>
    <w:rsid w:val="00EF0815"/>
    <w:rsid w:val="00EF0847"/>
    <w:rsid w:val="00EF096D"/>
    <w:rsid w:val="00EF0D31"/>
    <w:rsid w:val="00EF0DBD"/>
    <w:rsid w:val="00EF0DDD"/>
    <w:rsid w:val="00EF0EC4"/>
    <w:rsid w:val="00EF0FDD"/>
    <w:rsid w:val="00EF109E"/>
    <w:rsid w:val="00EF1172"/>
    <w:rsid w:val="00EF128C"/>
    <w:rsid w:val="00EF1294"/>
    <w:rsid w:val="00EF160E"/>
    <w:rsid w:val="00EF1775"/>
    <w:rsid w:val="00EF1895"/>
    <w:rsid w:val="00EF1925"/>
    <w:rsid w:val="00EF19A8"/>
    <w:rsid w:val="00EF1B42"/>
    <w:rsid w:val="00EF1BF0"/>
    <w:rsid w:val="00EF1D49"/>
    <w:rsid w:val="00EF1D7E"/>
    <w:rsid w:val="00EF1DA2"/>
    <w:rsid w:val="00EF1E1E"/>
    <w:rsid w:val="00EF203F"/>
    <w:rsid w:val="00EF20BF"/>
    <w:rsid w:val="00EF2285"/>
    <w:rsid w:val="00EF22B0"/>
    <w:rsid w:val="00EF24E5"/>
    <w:rsid w:val="00EF2678"/>
    <w:rsid w:val="00EF27C7"/>
    <w:rsid w:val="00EF2930"/>
    <w:rsid w:val="00EF2A8E"/>
    <w:rsid w:val="00EF2B22"/>
    <w:rsid w:val="00EF2B64"/>
    <w:rsid w:val="00EF2CCA"/>
    <w:rsid w:val="00EF2D61"/>
    <w:rsid w:val="00EF2E60"/>
    <w:rsid w:val="00EF2EB0"/>
    <w:rsid w:val="00EF3099"/>
    <w:rsid w:val="00EF31B8"/>
    <w:rsid w:val="00EF325D"/>
    <w:rsid w:val="00EF3304"/>
    <w:rsid w:val="00EF330E"/>
    <w:rsid w:val="00EF3450"/>
    <w:rsid w:val="00EF36E3"/>
    <w:rsid w:val="00EF3737"/>
    <w:rsid w:val="00EF3793"/>
    <w:rsid w:val="00EF38CA"/>
    <w:rsid w:val="00EF3B56"/>
    <w:rsid w:val="00EF3B63"/>
    <w:rsid w:val="00EF3BC0"/>
    <w:rsid w:val="00EF3D93"/>
    <w:rsid w:val="00EF3E35"/>
    <w:rsid w:val="00EF3E39"/>
    <w:rsid w:val="00EF3E58"/>
    <w:rsid w:val="00EF3EF7"/>
    <w:rsid w:val="00EF3F8F"/>
    <w:rsid w:val="00EF405C"/>
    <w:rsid w:val="00EF412F"/>
    <w:rsid w:val="00EF41DC"/>
    <w:rsid w:val="00EF42CF"/>
    <w:rsid w:val="00EF49CD"/>
    <w:rsid w:val="00EF4A66"/>
    <w:rsid w:val="00EF4A9D"/>
    <w:rsid w:val="00EF4C9A"/>
    <w:rsid w:val="00EF4D1F"/>
    <w:rsid w:val="00EF4E10"/>
    <w:rsid w:val="00EF4E45"/>
    <w:rsid w:val="00EF4F2F"/>
    <w:rsid w:val="00EF500E"/>
    <w:rsid w:val="00EF516C"/>
    <w:rsid w:val="00EF51AE"/>
    <w:rsid w:val="00EF5229"/>
    <w:rsid w:val="00EF52BE"/>
    <w:rsid w:val="00EF5375"/>
    <w:rsid w:val="00EF53D0"/>
    <w:rsid w:val="00EF54F9"/>
    <w:rsid w:val="00EF5530"/>
    <w:rsid w:val="00EF5874"/>
    <w:rsid w:val="00EF591F"/>
    <w:rsid w:val="00EF5A06"/>
    <w:rsid w:val="00EF5ADE"/>
    <w:rsid w:val="00EF5AEF"/>
    <w:rsid w:val="00EF5C3D"/>
    <w:rsid w:val="00EF5D81"/>
    <w:rsid w:val="00EF5EC8"/>
    <w:rsid w:val="00EF5F11"/>
    <w:rsid w:val="00EF6083"/>
    <w:rsid w:val="00EF613D"/>
    <w:rsid w:val="00EF622E"/>
    <w:rsid w:val="00EF629B"/>
    <w:rsid w:val="00EF6376"/>
    <w:rsid w:val="00EF6511"/>
    <w:rsid w:val="00EF65A4"/>
    <w:rsid w:val="00EF65C8"/>
    <w:rsid w:val="00EF6872"/>
    <w:rsid w:val="00EF6900"/>
    <w:rsid w:val="00EF6944"/>
    <w:rsid w:val="00EF6A41"/>
    <w:rsid w:val="00EF6B0A"/>
    <w:rsid w:val="00EF6D0D"/>
    <w:rsid w:val="00EF6E41"/>
    <w:rsid w:val="00EF6E59"/>
    <w:rsid w:val="00EF70C3"/>
    <w:rsid w:val="00EF7215"/>
    <w:rsid w:val="00EF7218"/>
    <w:rsid w:val="00EF7347"/>
    <w:rsid w:val="00EF750E"/>
    <w:rsid w:val="00EF75BF"/>
    <w:rsid w:val="00EF7873"/>
    <w:rsid w:val="00EF79B3"/>
    <w:rsid w:val="00EF79D9"/>
    <w:rsid w:val="00EF79ED"/>
    <w:rsid w:val="00EF7A0B"/>
    <w:rsid w:val="00EF7AD7"/>
    <w:rsid w:val="00EF7BAC"/>
    <w:rsid w:val="00EF7DA4"/>
    <w:rsid w:val="00F001A1"/>
    <w:rsid w:val="00F00201"/>
    <w:rsid w:val="00F0026C"/>
    <w:rsid w:val="00F0028D"/>
    <w:rsid w:val="00F004A6"/>
    <w:rsid w:val="00F00518"/>
    <w:rsid w:val="00F005D6"/>
    <w:rsid w:val="00F007D2"/>
    <w:rsid w:val="00F00898"/>
    <w:rsid w:val="00F008C0"/>
    <w:rsid w:val="00F00AB3"/>
    <w:rsid w:val="00F00BFA"/>
    <w:rsid w:val="00F00F84"/>
    <w:rsid w:val="00F00F91"/>
    <w:rsid w:val="00F0100F"/>
    <w:rsid w:val="00F01203"/>
    <w:rsid w:val="00F0126B"/>
    <w:rsid w:val="00F017F1"/>
    <w:rsid w:val="00F01930"/>
    <w:rsid w:val="00F01B0F"/>
    <w:rsid w:val="00F01C6F"/>
    <w:rsid w:val="00F01CF0"/>
    <w:rsid w:val="00F02147"/>
    <w:rsid w:val="00F02237"/>
    <w:rsid w:val="00F022B3"/>
    <w:rsid w:val="00F022FE"/>
    <w:rsid w:val="00F02311"/>
    <w:rsid w:val="00F023D7"/>
    <w:rsid w:val="00F025B1"/>
    <w:rsid w:val="00F02812"/>
    <w:rsid w:val="00F028F6"/>
    <w:rsid w:val="00F02B4B"/>
    <w:rsid w:val="00F02BFD"/>
    <w:rsid w:val="00F02D79"/>
    <w:rsid w:val="00F02E87"/>
    <w:rsid w:val="00F02EF1"/>
    <w:rsid w:val="00F02F15"/>
    <w:rsid w:val="00F02F9B"/>
    <w:rsid w:val="00F0317B"/>
    <w:rsid w:val="00F0331B"/>
    <w:rsid w:val="00F033D6"/>
    <w:rsid w:val="00F033F7"/>
    <w:rsid w:val="00F0345A"/>
    <w:rsid w:val="00F0360A"/>
    <w:rsid w:val="00F0363E"/>
    <w:rsid w:val="00F03681"/>
    <w:rsid w:val="00F03713"/>
    <w:rsid w:val="00F03860"/>
    <w:rsid w:val="00F03A56"/>
    <w:rsid w:val="00F03ABA"/>
    <w:rsid w:val="00F03ACA"/>
    <w:rsid w:val="00F03B91"/>
    <w:rsid w:val="00F03C0E"/>
    <w:rsid w:val="00F040BA"/>
    <w:rsid w:val="00F0414E"/>
    <w:rsid w:val="00F0417F"/>
    <w:rsid w:val="00F04188"/>
    <w:rsid w:val="00F0423C"/>
    <w:rsid w:val="00F0433B"/>
    <w:rsid w:val="00F04366"/>
    <w:rsid w:val="00F04604"/>
    <w:rsid w:val="00F0480C"/>
    <w:rsid w:val="00F04907"/>
    <w:rsid w:val="00F04A97"/>
    <w:rsid w:val="00F04ACA"/>
    <w:rsid w:val="00F04B2D"/>
    <w:rsid w:val="00F04B5C"/>
    <w:rsid w:val="00F04BBA"/>
    <w:rsid w:val="00F04C60"/>
    <w:rsid w:val="00F04F26"/>
    <w:rsid w:val="00F04FBF"/>
    <w:rsid w:val="00F04FDB"/>
    <w:rsid w:val="00F0506E"/>
    <w:rsid w:val="00F05078"/>
    <w:rsid w:val="00F05082"/>
    <w:rsid w:val="00F0518F"/>
    <w:rsid w:val="00F05212"/>
    <w:rsid w:val="00F054CD"/>
    <w:rsid w:val="00F055C3"/>
    <w:rsid w:val="00F05658"/>
    <w:rsid w:val="00F058EF"/>
    <w:rsid w:val="00F05955"/>
    <w:rsid w:val="00F059F2"/>
    <w:rsid w:val="00F05B49"/>
    <w:rsid w:val="00F05C86"/>
    <w:rsid w:val="00F05CBA"/>
    <w:rsid w:val="00F05D50"/>
    <w:rsid w:val="00F05FA4"/>
    <w:rsid w:val="00F0617C"/>
    <w:rsid w:val="00F062C2"/>
    <w:rsid w:val="00F06373"/>
    <w:rsid w:val="00F063E4"/>
    <w:rsid w:val="00F065B2"/>
    <w:rsid w:val="00F0661A"/>
    <w:rsid w:val="00F066D6"/>
    <w:rsid w:val="00F06A6A"/>
    <w:rsid w:val="00F06AFD"/>
    <w:rsid w:val="00F06C07"/>
    <w:rsid w:val="00F06C12"/>
    <w:rsid w:val="00F06D9C"/>
    <w:rsid w:val="00F06FA7"/>
    <w:rsid w:val="00F070F9"/>
    <w:rsid w:val="00F071B9"/>
    <w:rsid w:val="00F071E7"/>
    <w:rsid w:val="00F07266"/>
    <w:rsid w:val="00F07373"/>
    <w:rsid w:val="00F07438"/>
    <w:rsid w:val="00F075EC"/>
    <w:rsid w:val="00F076A2"/>
    <w:rsid w:val="00F0782B"/>
    <w:rsid w:val="00F07B88"/>
    <w:rsid w:val="00F07BD6"/>
    <w:rsid w:val="00F07D5B"/>
    <w:rsid w:val="00F07DCA"/>
    <w:rsid w:val="00F07DDC"/>
    <w:rsid w:val="00F10157"/>
    <w:rsid w:val="00F10184"/>
    <w:rsid w:val="00F10309"/>
    <w:rsid w:val="00F1033A"/>
    <w:rsid w:val="00F103D6"/>
    <w:rsid w:val="00F1068B"/>
    <w:rsid w:val="00F10696"/>
    <w:rsid w:val="00F10763"/>
    <w:rsid w:val="00F1082F"/>
    <w:rsid w:val="00F10874"/>
    <w:rsid w:val="00F1091E"/>
    <w:rsid w:val="00F10941"/>
    <w:rsid w:val="00F109AC"/>
    <w:rsid w:val="00F10B6E"/>
    <w:rsid w:val="00F10CDA"/>
    <w:rsid w:val="00F10CEE"/>
    <w:rsid w:val="00F10CEF"/>
    <w:rsid w:val="00F10EE9"/>
    <w:rsid w:val="00F10FAB"/>
    <w:rsid w:val="00F11095"/>
    <w:rsid w:val="00F111A9"/>
    <w:rsid w:val="00F111CD"/>
    <w:rsid w:val="00F112B5"/>
    <w:rsid w:val="00F1134C"/>
    <w:rsid w:val="00F113FF"/>
    <w:rsid w:val="00F1168B"/>
    <w:rsid w:val="00F1171B"/>
    <w:rsid w:val="00F117D2"/>
    <w:rsid w:val="00F11962"/>
    <w:rsid w:val="00F119F1"/>
    <w:rsid w:val="00F11AB2"/>
    <w:rsid w:val="00F11E06"/>
    <w:rsid w:val="00F1226C"/>
    <w:rsid w:val="00F122F3"/>
    <w:rsid w:val="00F12525"/>
    <w:rsid w:val="00F125E3"/>
    <w:rsid w:val="00F126E3"/>
    <w:rsid w:val="00F12705"/>
    <w:rsid w:val="00F127B1"/>
    <w:rsid w:val="00F1287B"/>
    <w:rsid w:val="00F1289E"/>
    <w:rsid w:val="00F12939"/>
    <w:rsid w:val="00F1294B"/>
    <w:rsid w:val="00F12967"/>
    <w:rsid w:val="00F129A4"/>
    <w:rsid w:val="00F129D7"/>
    <w:rsid w:val="00F12DED"/>
    <w:rsid w:val="00F13166"/>
    <w:rsid w:val="00F13193"/>
    <w:rsid w:val="00F132CE"/>
    <w:rsid w:val="00F13316"/>
    <w:rsid w:val="00F13507"/>
    <w:rsid w:val="00F13697"/>
    <w:rsid w:val="00F13784"/>
    <w:rsid w:val="00F138F1"/>
    <w:rsid w:val="00F13AAB"/>
    <w:rsid w:val="00F13B62"/>
    <w:rsid w:val="00F13EDE"/>
    <w:rsid w:val="00F13F0C"/>
    <w:rsid w:val="00F13F80"/>
    <w:rsid w:val="00F14144"/>
    <w:rsid w:val="00F14229"/>
    <w:rsid w:val="00F14244"/>
    <w:rsid w:val="00F14506"/>
    <w:rsid w:val="00F145C7"/>
    <w:rsid w:val="00F145D5"/>
    <w:rsid w:val="00F146DC"/>
    <w:rsid w:val="00F14908"/>
    <w:rsid w:val="00F149FD"/>
    <w:rsid w:val="00F14A4D"/>
    <w:rsid w:val="00F14B00"/>
    <w:rsid w:val="00F14D11"/>
    <w:rsid w:val="00F14D21"/>
    <w:rsid w:val="00F14D6A"/>
    <w:rsid w:val="00F14D89"/>
    <w:rsid w:val="00F14DF3"/>
    <w:rsid w:val="00F14DF9"/>
    <w:rsid w:val="00F14E88"/>
    <w:rsid w:val="00F15048"/>
    <w:rsid w:val="00F1509E"/>
    <w:rsid w:val="00F15145"/>
    <w:rsid w:val="00F151D4"/>
    <w:rsid w:val="00F1532D"/>
    <w:rsid w:val="00F153AB"/>
    <w:rsid w:val="00F1549D"/>
    <w:rsid w:val="00F154CC"/>
    <w:rsid w:val="00F15611"/>
    <w:rsid w:val="00F1586B"/>
    <w:rsid w:val="00F15A57"/>
    <w:rsid w:val="00F15AA1"/>
    <w:rsid w:val="00F15AB7"/>
    <w:rsid w:val="00F15C3A"/>
    <w:rsid w:val="00F15C5C"/>
    <w:rsid w:val="00F15D0A"/>
    <w:rsid w:val="00F15D13"/>
    <w:rsid w:val="00F15E3A"/>
    <w:rsid w:val="00F15EF5"/>
    <w:rsid w:val="00F16041"/>
    <w:rsid w:val="00F160A1"/>
    <w:rsid w:val="00F161EA"/>
    <w:rsid w:val="00F16281"/>
    <w:rsid w:val="00F162DB"/>
    <w:rsid w:val="00F16312"/>
    <w:rsid w:val="00F164B8"/>
    <w:rsid w:val="00F164F0"/>
    <w:rsid w:val="00F165A4"/>
    <w:rsid w:val="00F1669F"/>
    <w:rsid w:val="00F16840"/>
    <w:rsid w:val="00F168CB"/>
    <w:rsid w:val="00F168DE"/>
    <w:rsid w:val="00F16AA8"/>
    <w:rsid w:val="00F16D38"/>
    <w:rsid w:val="00F16E1A"/>
    <w:rsid w:val="00F16E5B"/>
    <w:rsid w:val="00F16F39"/>
    <w:rsid w:val="00F17053"/>
    <w:rsid w:val="00F1725A"/>
    <w:rsid w:val="00F17379"/>
    <w:rsid w:val="00F17400"/>
    <w:rsid w:val="00F17554"/>
    <w:rsid w:val="00F177A5"/>
    <w:rsid w:val="00F1782B"/>
    <w:rsid w:val="00F17AA2"/>
    <w:rsid w:val="00F17ABD"/>
    <w:rsid w:val="00F17C3D"/>
    <w:rsid w:val="00F17EB4"/>
    <w:rsid w:val="00F17FC5"/>
    <w:rsid w:val="00F2004D"/>
    <w:rsid w:val="00F2014F"/>
    <w:rsid w:val="00F202A6"/>
    <w:rsid w:val="00F202EE"/>
    <w:rsid w:val="00F2034C"/>
    <w:rsid w:val="00F2052E"/>
    <w:rsid w:val="00F20581"/>
    <w:rsid w:val="00F205F9"/>
    <w:rsid w:val="00F20631"/>
    <w:rsid w:val="00F20756"/>
    <w:rsid w:val="00F20798"/>
    <w:rsid w:val="00F20833"/>
    <w:rsid w:val="00F208F7"/>
    <w:rsid w:val="00F209BD"/>
    <w:rsid w:val="00F20A49"/>
    <w:rsid w:val="00F20AC9"/>
    <w:rsid w:val="00F20B50"/>
    <w:rsid w:val="00F20B8D"/>
    <w:rsid w:val="00F20C3C"/>
    <w:rsid w:val="00F20C8D"/>
    <w:rsid w:val="00F20DC1"/>
    <w:rsid w:val="00F20E2F"/>
    <w:rsid w:val="00F20F06"/>
    <w:rsid w:val="00F21007"/>
    <w:rsid w:val="00F210AF"/>
    <w:rsid w:val="00F2114C"/>
    <w:rsid w:val="00F211B2"/>
    <w:rsid w:val="00F21236"/>
    <w:rsid w:val="00F2125F"/>
    <w:rsid w:val="00F21329"/>
    <w:rsid w:val="00F2134A"/>
    <w:rsid w:val="00F2171F"/>
    <w:rsid w:val="00F21731"/>
    <w:rsid w:val="00F2187A"/>
    <w:rsid w:val="00F21916"/>
    <w:rsid w:val="00F21B1D"/>
    <w:rsid w:val="00F21D1A"/>
    <w:rsid w:val="00F220A3"/>
    <w:rsid w:val="00F224B5"/>
    <w:rsid w:val="00F22594"/>
    <w:rsid w:val="00F22629"/>
    <w:rsid w:val="00F2270E"/>
    <w:rsid w:val="00F2279B"/>
    <w:rsid w:val="00F22818"/>
    <w:rsid w:val="00F22970"/>
    <w:rsid w:val="00F22B6F"/>
    <w:rsid w:val="00F22C84"/>
    <w:rsid w:val="00F22F4D"/>
    <w:rsid w:val="00F231BE"/>
    <w:rsid w:val="00F23320"/>
    <w:rsid w:val="00F23455"/>
    <w:rsid w:val="00F2352B"/>
    <w:rsid w:val="00F23590"/>
    <w:rsid w:val="00F23616"/>
    <w:rsid w:val="00F237C6"/>
    <w:rsid w:val="00F237F3"/>
    <w:rsid w:val="00F2394E"/>
    <w:rsid w:val="00F2396C"/>
    <w:rsid w:val="00F23B46"/>
    <w:rsid w:val="00F23BEA"/>
    <w:rsid w:val="00F23D28"/>
    <w:rsid w:val="00F23DD8"/>
    <w:rsid w:val="00F23F41"/>
    <w:rsid w:val="00F23FA2"/>
    <w:rsid w:val="00F24031"/>
    <w:rsid w:val="00F24278"/>
    <w:rsid w:val="00F242BD"/>
    <w:rsid w:val="00F2433D"/>
    <w:rsid w:val="00F24414"/>
    <w:rsid w:val="00F24701"/>
    <w:rsid w:val="00F247A3"/>
    <w:rsid w:val="00F249F9"/>
    <w:rsid w:val="00F24E10"/>
    <w:rsid w:val="00F24E65"/>
    <w:rsid w:val="00F24E9D"/>
    <w:rsid w:val="00F24EAD"/>
    <w:rsid w:val="00F24FA1"/>
    <w:rsid w:val="00F252E5"/>
    <w:rsid w:val="00F253E4"/>
    <w:rsid w:val="00F2545B"/>
    <w:rsid w:val="00F2547C"/>
    <w:rsid w:val="00F255EC"/>
    <w:rsid w:val="00F255F5"/>
    <w:rsid w:val="00F25607"/>
    <w:rsid w:val="00F256E6"/>
    <w:rsid w:val="00F25847"/>
    <w:rsid w:val="00F258A5"/>
    <w:rsid w:val="00F25DAA"/>
    <w:rsid w:val="00F25DF7"/>
    <w:rsid w:val="00F25FD6"/>
    <w:rsid w:val="00F2601D"/>
    <w:rsid w:val="00F260C2"/>
    <w:rsid w:val="00F26179"/>
    <w:rsid w:val="00F26388"/>
    <w:rsid w:val="00F263EA"/>
    <w:rsid w:val="00F2648E"/>
    <w:rsid w:val="00F264CB"/>
    <w:rsid w:val="00F2652E"/>
    <w:rsid w:val="00F265C7"/>
    <w:rsid w:val="00F265D3"/>
    <w:rsid w:val="00F26668"/>
    <w:rsid w:val="00F2666A"/>
    <w:rsid w:val="00F266CD"/>
    <w:rsid w:val="00F2671E"/>
    <w:rsid w:val="00F26745"/>
    <w:rsid w:val="00F26805"/>
    <w:rsid w:val="00F268D7"/>
    <w:rsid w:val="00F26A08"/>
    <w:rsid w:val="00F26A28"/>
    <w:rsid w:val="00F26ACA"/>
    <w:rsid w:val="00F26AF7"/>
    <w:rsid w:val="00F26BC1"/>
    <w:rsid w:val="00F2701D"/>
    <w:rsid w:val="00F2702C"/>
    <w:rsid w:val="00F27145"/>
    <w:rsid w:val="00F27168"/>
    <w:rsid w:val="00F27221"/>
    <w:rsid w:val="00F27292"/>
    <w:rsid w:val="00F27364"/>
    <w:rsid w:val="00F27369"/>
    <w:rsid w:val="00F277FC"/>
    <w:rsid w:val="00F27892"/>
    <w:rsid w:val="00F278AA"/>
    <w:rsid w:val="00F27A08"/>
    <w:rsid w:val="00F27AA2"/>
    <w:rsid w:val="00F27AD0"/>
    <w:rsid w:val="00F27BE0"/>
    <w:rsid w:val="00F27C79"/>
    <w:rsid w:val="00F27D3B"/>
    <w:rsid w:val="00F27DBF"/>
    <w:rsid w:val="00F3013F"/>
    <w:rsid w:val="00F301DD"/>
    <w:rsid w:val="00F303C7"/>
    <w:rsid w:val="00F30444"/>
    <w:rsid w:val="00F30476"/>
    <w:rsid w:val="00F30480"/>
    <w:rsid w:val="00F304D2"/>
    <w:rsid w:val="00F304F0"/>
    <w:rsid w:val="00F3059C"/>
    <w:rsid w:val="00F30670"/>
    <w:rsid w:val="00F3072A"/>
    <w:rsid w:val="00F309D1"/>
    <w:rsid w:val="00F30BD7"/>
    <w:rsid w:val="00F30FB1"/>
    <w:rsid w:val="00F31027"/>
    <w:rsid w:val="00F3104E"/>
    <w:rsid w:val="00F310F7"/>
    <w:rsid w:val="00F311FD"/>
    <w:rsid w:val="00F31581"/>
    <w:rsid w:val="00F315A4"/>
    <w:rsid w:val="00F3163C"/>
    <w:rsid w:val="00F31711"/>
    <w:rsid w:val="00F31A70"/>
    <w:rsid w:val="00F31A75"/>
    <w:rsid w:val="00F31A9E"/>
    <w:rsid w:val="00F31AB8"/>
    <w:rsid w:val="00F31B1A"/>
    <w:rsid w:val="00F31E59"/>
    <w:rsid w:val="00F320E6"/>
    <w:rsid w:val="00F32161"/>
    <w:rsid w:val="00F32321"/>
    <w:rsid w:val="00F3235A"/>
    <w:rsid w:val="00F32361"/>
    <w:rsid w:val="00F32503"/>
    <w:rsid w:val="00F32641"/>
    <w:rsid w:val="00F3267F"/>
    <w:rsid w:val="00F328A2"/>
    <w:rsid w:val="00F328E7"/>
    <w:rsid w:val="00F32911"/>
    <w:rsid w:val="00F32B4C"/>
    <w:rsid w:val="00F32B89"/>
    <w:rsid w:val="00F32BA0"/>
    <w:rsid w:val="00F32C92"/>
    <w:rsid w:val="00F32CA2"/>
    <w:rsid w:val="00F32E67"/>
    <w:rsid w:val="00F32EE1"/>
    <w:rsid w:val="00F32F51"/>
    <w:rsid w:val="00F33257"/>
    <w:rsid w:val="00F3334F"/>
    <w:rsid w:val="00F334CE"/>
    <w:rsid w:val="00F334EE"/>
    <w:rsid w:val="00F3350D"/>
    <w:rsid w:val="00F336BF"/>
    <w:rsid w:val="00F3389B"/>
    <w:rsid w:val="00F33AA6"/>
    <w:rsid w:val="00F33BB6"/>
    <w:rsid w:val="00F33FE9"/>
    <w:rsid w:val="00F340ED"/>
    <w:rsid w:val="00F341B6"/>
    <w:rsid w:val="00F341CE"/>
    <w:rsid w:val="00F3436B"/>
    <w:rsid w:val="00F346A3"/>
    <w:rsid w:val="00F3483D"/>
    <w:rsid w:val="00F348A7"/>
    <w:rsid w:val="00F34AF8"/>
    <w:rsid w:val="00F34C1A"/>
    <w:rsid w:val="00F35085"/>
    <w:rsid w:val="00F350C0"/>
    <w:rsid w:val="00F3514C"/>
    <w:rsid w:val="00F3517B"/>
    <w:rsid w:val="00F351CE"/>
    <w:rsid w:val="00F351F9"/>
    <w:rsid w:val="00F354EB"/>
    <w:rsid w:val="00F35597"/>
    <w:rsid w:val="00F355AD"/>
    <w:rsid w:val="00F355D3"/>
    <w:rsid w:val="00F3570F"/>
    <w:rsid w:val="00F3575B"/>
    <w:rsid w:val="00F3581B"/>
    <w:rsid w:val="00F3587A"/>
    <w:rsid w:val="00F35886"/>
    <w:rsid w:val="00F35977"/>
    <w:rsid w:val="00F35A43"/>
    <w:rsid w:val="00F35C92"/>
    <w:rsid w:val="00F35D81"/>
    <w:rsid w:val="00F35DEF"/>
    <w:rsid w:val="00F35E25"/>
    <w:rsid w:val="00F35F9D"/>
    <w:rsid w:val="00F36073"/>
    <w:rsid w:val="00F360B8"/>
    <w:rsid w:val="00F360CF"/>
    <w:rsid w:val="00F36247"/>
    <w:rsid w:val="00F3627A"/>
    <w:rsid w:val="00F36293"/>
    <w:rsid w:val="00F3656F"/>
    <w:rsid w:val="00F3659D"/>
    <w:rsid w:val="00F366A5"/>
    <w:rsid w:val="00F366D7"/>
    <w:rsid w:val="00F36810"/>
    <w:rsid w:val="00F369C1"/>
    <w:rsid w:val="00F36C66"/>
    <w:rsid w:val="00F36E62"/>
    <w:rsid w:val="00F36F96"/>
    <w:rsid w:val="00F36FF6"/>
    <w:rsid w:val="00F37063"/>
    <w:rsid w:val="00F37096"/>
    <w:rsid w:val="00F372F4"/>
    <w:rsid w:val="00F37328"/>
    <w:rsid w:val="00F37378"/>
    <w:rsid w:val="00F3752A"/>
    <w:rsid w:val="00F3755B"/>
    <w:rsid w:val="00F375B4"/>
    <w:rsid w:val="00F375D6"/>
    <w:rsid w:val="00F3763A"/>
    <w:rsid w:val="00F3766E"/>
    <w:rsid w:val="00F37752"/>
    <w:rsid w:val="00F377F9"/>
    <w:rsid w:val="00F37A12"/>
    <w:rsid w:val="00F37B1F"/>
    <w:rsid w:val="00F37B22"/>
    <w:rsid w:val="00F37BB2"/>
    <w:rsid w:val="00F37BC6"/>
    <w:rsid w:val="00F37C67"/>
    <w:rsid w:val="00F37C6C"/>
    <w:rsid w:val="00F37E07"/>
    <w:rsid w:val="00F37E7C"/>
    <w:rsid w:val="00F40226"/>
    <w:rsid w:val="00F4036C"/>
    <w:rsid w:val="00F405C3"/>
    <w:rsid w:val="00F4061A"/>
    <w:rsid w:val="00F40672"/>
    <w:rsid w:val="00F4077B"/>
    <w:rsid w:val="00F40860"/>
    <w:rsid w:val="00F4092C"/>
    <w:rsid w:val="00F40985"/>
    <w:rsid w:val="00F40B6D"/>
    <w:rsid w:val="00F40B86"/>
    <w:rsid w:val="00F40D26"/>
    <w:rsid w:val="00F40D90"/>
    <w:rsid w:val="00F40DF6"/>
    <w:rsid w:val="00F40E4D"/>
    <w:rsid w:val="00F40F52"/>
    <w:rsid w:val="00F40F6B"/>
    <w:rsid w:val="00F41096"/>
    <w:rsid w:val="00F411EF"/>
    <w:rsid w:val="00F41583"/>
    <w:rsid w:val="00F41640"/>
    <w:rsid w:val="00F41672"/>
    <w:rsid w:val="00F417E7"/>
    <w:rsid w:val="00F4187D"/>
    <w:rsid w:val="00F4189E"/>
    <w:rsid w:val="00F418CF"/>
    <w:rsid w:val="00F41947"/>
    <w:rsid w:val="00F41991"/>
    <w:rsid w:val="00F4199E"/>
    <w:rsid w:val="00F41A5D"/>
    <w:rsid w:val="00F41A79"/>
    <w:rsid w:val="00F41B18"/>
    <w:rsid w:val="00F41BD8"/>
    <w:rsid w:val="00F41D0F"/>
    <w:rsid w:val="00F41D23"/>
    <w:rsid w:val="00F41E56"/>
    <w:rsid w:val="00F421DC"/>
    <w:rsid w:val="00F42217"/>
    <w:rsid w:val="00F42304"/>
    <w:rsid w:val="00F42324"/>
    <w:rsid w:val="00F42379"/>
    <w:rsid w:val="00F4249A"/>
    <w:rsid w:val="00F42584"/>
    <w:rsid w:val="00F425D7"/>
    <w:rsid w:val="00F425E2"/>
    <w:rsid w:val="00F4266C"/>
    <w:rsid w:val="00F426D4"/>
    <w:rsid w:val="00F4271B"/>
    <w:rsid w:val="00F42936"/>
    <w:rsid w:val="00F42BDA"/>
    <w:rsid w:val="00F42BF7"/>
    <w:rsid w:val="00F42C01"/>
    <w:rsid w:val="00F430DF"/>
    <w:rsid w:val="00F43103"/>
    <w:rsid w:val="00F43218"/>
    <w:rsid w:val="00F43310"/>
    <w:rsid w:val="00F43484"/>
    <w:rsid w:val="00F43526"/>
    <w:rsid w:val="00F435B4"/>
    <w:rsid w:val="00F43652"/>
    <w:rsid w:val="00F437C5"/>
    <w:rsid w:val="00F437D4"/>
    <w:rsid w:val="00F4396C"/>
    <w:rsid w:val="00F439B7"/>
    <w:rsid w:val="00F43B2B"/>
    <w:rsid w:val="00F43FC7"/>
    <w:rsid w:val="00F441B9"/>
    <w:rsid w:val="00F44346"/>
    <w:rsid w:val="00F44390"/>
    <w:rsid w:val="00F44447"/>
    <w:rsid w:val="00F44697"/>
    <w:rsid w:val="00F4484D"/>
    <w:rsid w:val="00F4494A"/>
    <w:rsid w:val="00F44C3F"/>
    <w:rsid w:val="00F44FE5"/>
    <w:rsid w:val="00F4508C"/>
    <w:rsid w:val="00F4514E"/>
    <w:rsid w:val="00F451E9"/>
    <w:rsid w:val="00F4534A"/>
    <w:rsid w:val="00F45404"/>
    <w:rsid w:val="00F45583"/>
    <w:rsid w:val="00F455B7"/>
    <w:rsid w:val="00F456BF"/>
    <w:rsid w:val="00F4570B"/>
    <w:rsid w:val="00F45767"/>
    <w:rsid w:val="00F457F5"/>
    <w:rsid w:val="00F45865"/>
    <w:rsid w:val="00F45D17"/>
    <w:rsid w:val="00F45E5E"/>
    <w:rsid w:val="00F45EA0"/>
    <w:rsid w:val="00F45F75"/>
    <w:rsid w:val="00F46139"/>
    <w:rsid w:val="00F4617F"/>
    <w:rsid w:val="00F46289"/>
    <w:rsid w:val="00F463BF"/>
    <w:rsid w:val="00F463EF"/>
    <w:rsid w:val="00F46445"/>
    <w:rsid w:val="00F4680E"/>
    <w:rsid w:val="00F4681B"/>
    <w:rsid w:val="00F46AC4"/>
    <w:rsid w:val="00F46CCA"/>
    <w:rsid w:val="00F46ECF"/>
    <w:rsid w:val="00F47009"/>
    <w:rsid w:val="00F47129"/>
    <w:rsid w:val="00F4728A"/>
    <w:rsid w:val="00F4769D"/>
    <w:rsid w:val="00F478AF"/>
    <w:rsid w:val="00F4799C"/>
    <w:rsid w:val="00F47A2B"/>
    <w:rsid w:val="00F47ACE"/>
    <w:rsid w:val="00F47CE2"/>
    <w:rsid w:val="00F47DBC"/>
    <w:rsid w:val="00F501EB"/>
    <w:rsid w:val="00F502B9"/>
    <w:rsid w:val="00F50438"/>
    <w:rsid w:val="00F5082F"/>
    <w:rsid w:val="00F508B8"/>
    <w:rsid w:val="00F508FA"/>
    <w:rsid w:val="00F50A42"/>
    <w:rsid w:val="00F50B28"/>
    <w:rsid w:val="00F50D87"/>
    <w:rsid w:val="00F50E89"/>
    <w:rsid w:val="00F5133A"/>
    <w:rsid w:val="00F513A2"/>
    <w:rsid w:val="00F5145D"/>
    <w:rsid w:val="00F5162F"/>
    <w:rsid w:val="00F516D1"/>
    <w:rsid w:val="00F51CF4"/>
    <w:rsid w:val="00F51CFB"/>
    <w:rsid w:val="00F51F3A"/>
    <w:rsid w:val="00F51FFA"/>
    <w:rsid w:val="00F5268D"/>
    <w:rsid w:val="00F528C5"/>
    <w:rsid w:val="00F52976"/>
    <w:rsid w:val="00F529BF"/>
    <w:rsid w:val="00F52AA6"/>
    <w:rsid w:val="00F52BE2"/>
    <w:rsid w:val="00F52C88"/>
    <w:rsid w:val="00F52CB2"/>
    <w:rsid w:val="00F52D23"/>
    <w:rsid w:val="00F52D2C"/>
    <w:rsid w:val="00F52D47"/>
    <w:rsid w:val="00F52F57"/>
    <w:rsid w:val="00F5329F"/>
    <w:rsid w:val="00F53328"/>
    <w:rsid w:val="00F5333F"/>
    <w:rsid w:val="00F5337C"/>
    <w:rsid w:val="00F53497"/>
    <w:rsid w:val="00F53677"/>
    <w:rsid w:val="00F536C0"/>
    <w:rsid w:val="00F536F2"/>
    <w:rsid w:val="00F536FD"/>
    <w:rsid w:val="00F53702"/>
    <w:rsid w:val="00F53897"/>
    <w:rsid w:val="00F538B7"/>
    <w:rsid w:val="00F539CF"/>
    <w:rsid w:val="00F539F9"/>
    <w:rsid w:val="00F539FB"/>
    <w:rsid w:val="00F53A5F"/>
    <w:rsid w:val="00F53A8F"/>
    <w:rsid w:val="00F53C2E"/>
    <w:rsid w:val="00F53C59"/>
    <w:rsid w:val="00F53DD5"/>
    <w:rsid w:val="00F53EDC"/>
    <w:rsid w:val="00F53FD7"/>
    <w:rsid w:val="00F540A3"/>
    <w:rsid w:val="00F54122"/>
    <w:rsid w:val="00F544FF"/>
    <w:rsid w:val="00F545C2"/>
    <w:rsid w:val="00F54649"/>
    <w:rsid w:val="00F54C1B"/>
    <w:rsid w:val="00F54DD1"/>
    <w:rsid w:val="00F54E10"/>
    <w:rsid w:val="00F54EAD"/>
    <w:rsid w:val="00F54EC8"/>
    <w:rsid w:val="00F54EF6"/>
    <w:rsid w:val="00F550A9"/>
    <w:rsid w:val="00F5513B"/>
    <w:rsid w:val="00F551A0"/>
    <w:rsid w:val="00F55257"/>
    <w:rsid w:val="00F55313"/>
    <w:rsid w:val="00F553C0"/>
    <w:rsid w:val="00F558AA"/>
    <w:rsid w:val="00F55BB2"/>
    <w:rsid w:val="00F55EE9"/>
    <w:rsid w:val="00F56111"/>
    <w:rsid w:val="00F56116"/>
    <w:rsid w:val="00F5628A"/>
    <w:rsid w:val="00F562C8"/>
    <w:rsid w:val="00F563F0"/>
    <w:rsid w:val="00F565FC"/>
    <w:rsid w:val="00F56660"/>
    <w:rsid w:val="00F5690D"/>
    <w:rsid w:val="00F569CE"/>
    <w:rsid w:val="00F56B8D"/>
    <w:rsid w:val="00F56CE1"/>
    <w:rsid w:val="00F56D9B"/>
    <w:rsid w:val="00F5716D"/>
    <w:rsid w:val="00F572A3"/>
    <w:rsid w:val="00F5733A"/>
    <w:rsid w:val="00F57350"/>
    <w:rsid w:val="00F57360"/>
    <w:rsid w:val="00F574B6"/>
    <w:rsid w:val="00F574BB"/>
    <w:rsid w:val="00F57606"/>
    <w:rsid w:val="00F57845"/>
    <w:rsid w:val="00F578BE"/>
    <w:rsid w:val="00F5791F"/>
    <w:rsid w:val="00F57C8C"/>
    <w:rsid w:val="00F57EA3"/>
    <w:rsid w:val="00F57F10"/>
    <w:rsid w:val="00F60101"/>
    <w:rsid w:val="00F60122"/>
    <w:rsid w:val="00F60230"/>
    <w:rsid w:val="00F6036A"/>
    <w:rsid w:val="00F60386"/>
    <w:rsid w:val="00F604BA"/>
    <w:rsid w:val="00F6057E"/>
    <w:rsid w:val="00F60609"/>
    <w:rsid w:val="00F607E6"/>
    <w:rsid w:val="00F609BD"/>
    <w:rsid w:val="00F60A2C"/>
    <w:rsid w:val="00F60C66"/>
    <w:rsid w:val="00F60D1A"/>
    <w:rsid w:val="00F60D50"/>
    <w:rsid w:val="00F60E07"/>
    <w:rsid w:val="00F60F10"/>
    <w:rsid w:val="00F6102E"/>
    <w:rsid w:val="00F61298"/>
    <w:rsid w:val="00F612D9"/>
    <w:rsid w:val="00F61319"/>
    <w:rsid w:val="00F6137A"/>
    <w:rsid w:val="00F6153A"/>
    <w:rsid w:val="00F6167F"/>
    <w:rsid w:val="00F61735"/>
    <w:rsid w:val="00F61741"/>
    <w:rsid w:val="00F61765"/>
    <w:rsid w:val="00F617AF"/>
    <w:rsid w:val="00F6184F"/>
    <w:rsid w:val="00F61A86"/>
    <w:rsid w:val="00F61ACB"/>
    <w:rsid w:val="00F61E91"/>
    <w:rsid w:val="00F61EC7"/>
    <w:rsid w:val="00F61F3A"/>
    <w:rsid w:val="00F61FE0"/>
    <w:rsid w:val="00F62010"/>
    <w:rsid w:val="00F62283"/>
    <w:rsid w:val="00F622AD"/>
    <w:rsid w:val="00F623F5"/>
    <w:rsid w:val="00F625E0"/>
    <w:rsid w:val="00F62653"/>
    <w:rsid w:val="00F626EB"/>
    <w:rsid w:val="00F62813"/>
    <w:rsid w:val="00F62A33"/>
    <w:rsid w:val="00F62A51"/>
    <w:rsid w:val="00F62A97"/>
    <w:rsid w:val="00F62C19"/>
    <w:rsid w:val="00F62C63"/>
    <w:rsid w:val="00F62DA9"/>
    <w:rsid w:val="00F62DE1"/>
    <w:rsid w:val="00F631B9"/>
    <w:rsid w:val="00F63379"/>
    <w:rsid w:val="00F633B8"/>
    <w:rsid w:val="00F6356F"/>
    <w:rsid w:val="00F638F6"/>
    <w:rsid w:val="00F63A87"/>
    <w:rsid w:val="00F63A9E"/>
    <w:rsid w:val="00F63AA1"/>
    <w:rsid w:val="00F63AB6"/>
    <w:rsid w:val="00F63C5F"/>
    <w:rsid w:val="00F63DE7"/>
    <w:rsid w:val="00F63EDF"/>
    <w:rsid w:val="00F63F42"/>
    <w:rsid w:val="00F6406E"/>
    <w:rsid w:val="00F6424E"/>
    <w:rsid w:val="00F6434A"/>
    <w:rsid w:val="00F644BC"/>
    <w:rsid w:val="00F64537"/>
    <w:rsid w:val="00F646F1"/>
    <w:rsid w:val="00F64726"/>
    <w:rsid w:val="00F647E6"/>
    <w:rsid w:val="00F64829"/>
    <w:rsid w:val="00F6489E"/>
    <w:rsid w:val="00F648F2"/>
    <w:rsid w:val="00F64925"/>
    <w:rsid w:val="00F64D8E"/>
    <w:rsid w:val="00F64FC2"/>
    <w:rsid w:val="00F65096"/>
    <w:rsid w:val="00F6515E"/>
    <w:rsid w:val="00F6540E"/>
    <w:rsid w:val="00F6541C"/>
    <w:rsid w:val="00F654A8"/>
    <w:rsid w:val="00F654D3"/>
    <w:rsid w:val="00F6554C"/>
    <w:rsid w:val="00F655EC"/>
    <w:rsid w:val="00F65903"/>
    <w:rsid w:val="00F659AD"/>
    <w:rsid w:val="00F659EB"/>
    <w:rsid w:val="00F65AF3"/>
    <w:rsid w:val="00F65B21"/>
    <w:rsid w:val="00F65B8A"/>
    <w:rsid w:val="00F65C0E"/>
    <w:rsid w:val="00F65D05"/>
    <w:rsid w:val="00F65DEA"/>
    <w:rsid w:val="00F661E1"/>
    <w:rsid w:val="00F663B5"/>
    <w:rsid w:val="00F66478"/>
    <w:rsid w:val="00F66792"/>
    <w:rsid w:val="00F667FA"/>
    <w:rsid w:val="00F66807"/>
    <w:rsid w:val="00F66940"/>
    <w:rsid w:val="00F669FB"/>
    <w:rsid w:val="00F66B24"/>
    <w:rsid w:val="00F66C87"/>
    <w:rsid w:val="00F66CAD"/>
    <w:rsid w:val="00F66D4E"/>
    <w:rsid w:val="00F66D59"/>
    <w:rsid w:val="00F66E3B"/>
    <w:rsid w:val="00F66F95"/>
    <w:rsid w:val="00F670F3"/>
    <w:rsid w:val="00F67166"/>
    <w:rsid w:val="00F6727B"/>
    <w:rsid w:val="00F672E8"/>
    <w:rsid w:val="00F6731D"/>
    <w:rsid w:val="00F673C9"/>
    <w:rsid w:val="00F67505"/>
    <w:rsid w:val="00F6754D"/>
    <w:rsid w:val="00F677C5"/>
    <w:rsid w:val="00F6789F"/>
    <w:rsid w:val="00F679D6"/>
    <w:rsid w:val="00F67A5D"/>
    <w:rsid w:val="00F67A71"/>
    <w:rsid w:val="00F67C7A"/>
    <w:rsid w:val="00F67EF4"/>
    <w:rsid w:val="00F702B9"/>
    <w:rsid w:val="00F70330"/>
    <w:rsid w:val="00F703B2"/>
    <w:rsid w:val="00F70671"/>
    <w:rsid w:val="00F709E4"/>
    <w:rsid w:val="00F70BA3"/>
    <w:rsid w:val="00F70C18"/>
    <w:rsid w:val="00F70CAE"/>
    <w:rsid w:val="00F70CD2"/>
    <w:rsid w:val="00F70D04"/>
    <w:rsid w:val="00F70D27"/>
    <w:rsid w:val="00F70E0D"/>
    <w:rsid w:val="00F70E84"/>
    <w:rsid w:val="00F70F6C"/>
    <w:rsid w:val="00F70F77"/>
    <w:rsid w:val="00F710D5"/>
    <w:rsid w:val="00F71369"/>
    <w:rsid w:val="00F71410"/>
    <w:rsid w:val="00F71533"/>
    <w:rsid w:val="00F71647"/>
    <w:rsid w:val="00F71672"/>
    <w:rsid w:val="00F71716"/>
    <w:rsid w:val="00F71A1D"/>
    <w:rsid w:val="00F71B44"/>
    <w:rsid w:val="00F71B65"/>
    <w:rsid w:val="00F71C7B"/>
    <w:rsid w:val="00F71F1F"/>
    <w:rsid w:val="00F72110"/>
    <w:rsid w:val="00F7215B"/>
    <w:rsid w:val="00F723E4"/>
    <w:rsid w:val="00F723EE"/>
    <w:rsid w:val="00F725B7"/>
    <w:rsid w:val="00F72605"/>
    <w:rsid w:val="00F726CB"/>
    <w:rsid w:val="00F726CF"/>
    <w:rsid w:val="00F726EB"/>
    <w:rsid w:val="00F72754"/>
    <w:rsid w:val="00F72997"/>
    <w:rsid w:val="00F72B09"/>
    <w:rsid w:val="00F72B87"/>
    <w:rsid w:val="00F72BBD"/>
    <w:rsid w:val="00F72D9E"/>
    <w:rsid w:val="00F72E73"/>
    <w:rsid w:val="00F72EE5"/>
    <w:rsid w:val="00F72FC4"/>
    <w:rsid w:val="00F73016"/>
    <w:rsid w:val="00F73088"/>
    <w:rsid w:val="00F73241"/>
    <w:rsid w:val="00F73274"/>
    <w:rsid w:val="00F732B4"/>
    <w:rsid w:val="00F73418"/>
    <w:rsid w:val="00F73483"/>
    <w:rsid w:val="00F736FD"/>
    <w:rsid w:val="00F73760"/>
    <w:rsid w:val="00F73B66"/>
    <w:rsid w:val="00F73B7D"/>
    <w:rsid w:val="00F73BE0"/>
    <w:rsid w:val="00F73D4C"/>
    <w:rsid w:val="00F73F38"/>
    <w:rsid w:val="00F742C0"/>
    <w:rsid w:val="00F74318"/>
    <w:rsid w:val="00F74344"/>
    <w:rsid w:val="00F743B3"/>
    <w:rsid w:val="00F743C8"/>
    <w:rsid w:val="00F74567"/>
    <w:rsid w:val="00F7468D"/>
    <w:rsid w:val="00F74778"/>
    <w:rsid w:val="00F74979"/>
    <w:rsid w:val="00F74AAD"/>
    <w:rsid w:val="00F74B66"/>
    <w:rsid w:val="00F74CF6"/>
    <w:rsid w:val="00F74E84"/>
    <w:rsid w:val="00F7502D"/>
    <w:rsid w:val="00F75072"/>
    <w:rsid w:val="00F750B6"/>
    <w:rsid w:val="00F75173"/>
    <w:rsid w:val="00F7517E"/>
    <w:rsid w:val="00F753B6"/>
    <w:rsid w:val="00F753F6"/>
    <w:rsid w:val="00F753F9"/>
    <w:rsid w:val="00F75438"/>
    <w:rsid w:val="00F7555B"/>
    <w:rsid w:val="00F7560D"/>
    <w:rsid w:val="00F75628"/>
    <w:rsid w:val="00F756C2"/>
    <w:rsid w:val="00F756E6"/>
    <w:rsid w:val="00F75701"/>
    <w:rsid w:val="00F75730"/>
    <w:rsid w:val="00F75796"/>
    <w:rsid w:val="00F75908"/>
    <w:rsid w:val="00F75934"/>
    <w:rsid w:val="00F759C4"/>
    <w:rsid w:val="00F759DA"/>
    <w:rsid w:val="00F75A2C"/>
    <w:rsid w:val="00F75AC8"/>
    <w:rsid w:val="00F75B5D"/>
    <w:rsid w:val="00F75F28"/>
    <w:rsid w:val="00F7605A"/>
    <w:rsid w:val="00F760D0"/>
    <w:rsid w:val="00F762E7"/>
    <w:rsid w:val="00F763BF"/>
    <w:rsid w:val="00F763CB"/>
    <w:rsid w:val="00F76410"/>
    <w:rsid w:val="00F766E1"/>
    <w:rsid w:val="00F768A6"/>
    <w:rsid w:val="00F76B35"/>
    <w:rsid w:val="00F76B36"/>
    <w:rsid w:val="00F76C33"/>
    <w:rsid w:val="00F76CC9"/>
    <w:rsid w:val="00F76D80"/>
    <w:rsid w:val="00F76E06"/>
    <w:rsid w:val="00F7702C"/>
    <w:rsid w:val="00F7707F"/>
    <w:rsid w:val="00F77268"/>
    <w:rsid w:val="00F7731C"/>
    <w:rsid w:val="00F773CF"/>
    <w:rsid w:val="00F774A6"/>
    <w:rsid w:val="00F77516"/>
    <w:rsid w:val="00F7757C"/>
    <w:rsid w:val="00F7762C"/>
    <w:rsid w:val="00F776C1"/>
    <w:rsid w:val="00F777E6"/>
    <w:rsid w:val="00F779A0"/>
    <w:rsid w:val="00F77A80"/>
    <w:rsid w:val="00F77C11"/>
    <w:rsid w:val="00F77C69"/>
    <w:rsid w:val="00F77CD5"/>
    <w:rsid w:val="00F77D5C"/>
    <w:rsid w:val="00F77D65"/>
    <w:rsid w:val="00F77D72"/>
    <w:rsid w:val="00F77D99"/>
    <w:rsid w:val="00F77DC8"/>
    <w:rsid w:val="00F8005E"/>
    <w:rsid w:val="00F8019A"/>
    <w:rsid w:val="00F801C3"/>
    <w:rsid w:val="00F8022E"/>
    <w:rsid w:val="00F8029F"/>
    <w:rsid w:val="00F804FA"/>
    <w:rsid w:val="00F8056A"/>
    <w:rsid w:val="00F805D6"/>
    <w:rsid w:val="00F80658"/>
    <w:rsid w:val="00F80728"/>
    <w:rsid w:val="00F8079C"/>
    <w:rsid w:val="00F80932"/>
    <w:rsid w:val="00F80982"/>
    <w:rsid w:val="00F80D40"/>
    <w:rsid w:val="00F80D93"/>
    <w:rsid w:val="00F80DBB"/>
    <w:rsid w:val="00F80DE2"/>
    <w:rsid w:val="00F80F65"/>
    <w:rsid w:val="00F810EF"/>
    <w:rsid w:val="00F81238"/>
    <w:rsid w:val="00F81289"/>
    <w:rsid w:val="00F812A5"/>
    <w:rsid w:val="00F812B6"/>
    <w:rsid w:val="00F812FA"/>
    <w:rsid w:val="00F81358"/>
    <w:rsid w:val="00F81555"/>
    <w:rsid w:val="00F815B7"/>
    <w:rsid w:val="00F8174F"/>
    <w:rsid w:val="00F81871"/>
    <w:rsid w:val="00F819B4"/>
    <w:rsid w:val="00F81C5A"/>
    <w:rsid w:val="00F81F26"/>
    <w:rsid w:val="00F81FE7"/>
    <w:rsid w:val="00F82032"/>
    <w:rsid w:val="00F82101"/>
    <w:rsid w:val="00F8210E"/>
    <w:rsid w:val="00F82244"/>
    <w:rsid w:val="00F82291"/>
    <w:rsid w:val="00F822AB"/>
    <w:rsid w:val="00F8233D"/>
    <w:rsid w:val="00F8234A"/>
    <w:rsid w:val="00F82468"/>
    <w:rsid w:val="00F82505"/>
    <w:rsid w:val="00F82678"/>
    <w:rsid w:val="00F828AD"/>
    <w:rsid w:val="00F829B4"/>
    <w:rsid w:val="00F82AB7"/>
    <w:rsid w:val="00F82B1A"/>
    <w:rsid w:val="00F82BA3"/>
    <w:rsid w:val="00F82C1F"/>
    <w:rsid w:val="00F82CAF"/>
    <w:rsid w:val="00F82CB2"/>
    <w:rsid w:val="00F82CFE"/>
    <w:rsid w:val="00F82D74"/>
    <w:rsid w:val="00F82E17"/>
    <w:rsid w:val="00F82E22"/>
    <w:rsid w:val="00F82E31"/>
    <w:rsid w:val="00F82FE7"/>
    <w:rsid w:val="00F83033"/>
    <w:rsid w:val="00F830E7"/>
    <w:rsid w:val="00F832B6"/>
    <w:rsid w:val="00F83526"/>
    <w:rsid w:val="00F83833"/>
    <w:rsid w:val="00F83907"/>
    <w:rsid w:val="00F83966"/>
    <w:rsid w:val="00F83BFA"/>
    <w:rsid w:val="00F83C6D"/>
    <w:rsid w:val="00F83C6F"/>
    <w:rsid w:val="00F83D02"/>
    <w:rsid w:val="00F83F0C"/>
    <w:rsid w:val="00F84085"/>
    <w:rsid w:val="00F84134"/>
    <w:rsid w:val="00F84171"/>
    <w:rsid w:val="00F84184"/>
    <w:rsid w:val="00F84305"/>
    <w:rsid w:val="00F844B5"/>
    <w:rsid w:val="00F8458F"/>
    <w:rsid w:val="00F8460B"/>
    <w:rsid w:val="00F8466E"/>
    <w:rsid w:val="00F84763"/>
    <w:rsid w:val="00F848B6"/>
    <w:rsid w:val="00F84AF5"/>
    <w:rsid w:val="00F84B67"/>
    <w:rsid w:val="00F84BDF"/>
    <w:rsid w:val="00F85195"/>
    <w:rsid w:val="00F851E1"/>
    <w:rsid w:val="00F85278"/>
    <w:rsid w:val="00F853B3"/>
    <w:rsid w:val="00F85699"/>
    <w:rsid w:val="00F85793"/>
    <w:rsid w:val="00F859B0"/>
    <w:rsid w:val="00F85A98"/>
    <w:rsid w:val="00F85B96"/>
    <w:rsid w:val="00F85BA1"/>
    <w:rsid w:val="00F85C6D"/>
    <w:rsid w:val="00F85E19"/>
    <w:rsid w:val="00F85E59"/>
    <w:rsid w:val="00F85EC9"/>
    <w:rsid w:val="00F85EF0"/>
    <w:rsid w:val="00F8615C"/>
    <w:rsid w:val="00F861EE"/>
    <w:rsid w:val="00F8622E"/>
    <w:rsid w:val="00F86265"/>
    <w:rsid w:val="00F8637E"/>
    <w:rsid w:val="00F863EB"/>
    <w:rsid w:val="00F86413"/>
    <w:rsid w:val="00F864B3"/>
    <w:rsid w:val="00F865E3"/>
    <w:rsid w:val="00F86B72"/>
    <w:rsid w:val="00F86BC0"/>
    <w:rsid w:val="00F86C82"/>
    <w:rsid w:val="00F86DD5"/>
    <w:rsid w:val="00F872AE"/>
    <w:rsid w:val="00F8739F"/>
    <w:rsid w:val="00F87441"/>
    <w:rsid w:val="00F87467"/>
    <w:rsid w:val="00F874E4"/>
    <w:rsid w:val="00F875A3"/>
    <w:rsid w:val="00F875BB"/>
    <w:rsid w:val="00F87701"/>
    <w:rsid w:val="00F877CE"/>
    <w:rsid w:val="00F878D7"/>
    <w:rsid w:val="00F87A7F"/>
    <w:rsid w:val="00F87ADF"/>
    <w:rsid w:val="00F87B65"/>
    <w:rsid w:val="00F87BC6"/>
    <w:rsid w:val="00F87CD0"/>
    <w:rsid w:val="00F87E8A"/>
    <w:rsid w:val="00F9010B"/>
    <w:rsid w:val="00F90236"/>
    <w:rsid w:val="00F90292"/>
    <w:rsid w:val="00F902A8"/>
    <w:rsid w:val="00F903CB"/>
    <w:rsid w:val="00F903E0"/>
    <w:rsid w:val="00F905A3"/>
    <w:rsid w:val="00F906A5"/>
    <w:rsid w:val="00F90719"/>
    <w:rsid w:val="00F908DF"/>
    <w:rsid w:val="00F90922"/>
    <w:rsid w:val="00F90B01"/>
    <w:rsid w:val="00F90BBE"/>
    <w:rsid w:val="00F90E1F"/>
    <w:rsid w:val="00F90F0A"/>
    <w:rsid w:val="00F9103A"/>
    <w:rsid w:val="00F91108"/>
    <w:rsid w:val="00F91158"/>
    <w:rsid w:val="00F9127D"/>
    <w:rsid w:val="00F91568"/>
    <w:rsid w:val="00F91793"/>
    <w:rsid w:val="00F91AD0"/>
    <w:rsid w:val="00F91BAE"/>
    <w:rsid w:val="00F91BD9"/>
    <w:rsid w:val="00F91DA8"/>
    <w:rsid w:val="00F923D1"/>
    <w:rsid w:val="00F9240D"/>
    <w:rsid w:val="00F9244F"/>
    <w:rsid w:val="00F924C8"/>
    <w:rsid w:val="00F92614"/>
    <w:rsid w:val="00F92731"/>
    <w:rsid w:val="00F9283B"/>
    <w:rsid w:val="00F929D9"/>
    <w:rsid w:val="00F92BDD"/>
    <w:rsid w:val="00F92C57"/>
    <w:rsid w:val="00F92D21"/>
    <w:rsid w:val="00F92D83"/>
    <w:rsid w:val="00F92F56"/>
    <w:rsid w:val="00F92F93"/>
    <w:rsid w:val="00F92FEB"/>
    <w:rsid w:val="00F930B4"/>
    <w:rsid w:val="00F93117"/>
    <w:rsid w:val="00F93202"/>
    <w:rsid w:val="00F933F7"/>
    <w:rsid w:val="00F93578"/>
    <w:rsid w:val="00F935E8"/>
    <w:rsid w:val="00F93688"/>
    <w:rsid w:val="00F93732"/>
    <w:rsid w:val="00F939FE"/>
    <w:rsid w:val="00F93A22"/>
    <w:rsid w:val="00F93C43"/>
    <w:rsid w:val="00F93D32"/>
    <w:rsid w:val="00F93D34"/>
    <w:rsid w:val="00F93E63"/>
    <w:rsid w:val="00F93EAF"/>
    <w:rsid w:val="00F942CF"/>
    <w:rsid w:val="00F94338"/>
    <w:rsid w:val="00F9438E"/>
    <w:rsid w:val="00F9461C"/>
    <w:rsid w:val="00F94758"/>
    <w:rsid w:val="00F9480C"/>
    <w:rsid w:val="00F948BB"/>
    <w:rsid w:val="00F948C2"/>
    <w:rsid w:val="00F94951"/>
    <w:rsid w:val="00F94B10"/>
    <w:rsid w:val="00F94C3D"/>
    <w:rsid w:val="00F94E9E"/>
    <w:rsid w:val="00F94FA3"/>
    <w:rsid w:val="00F94FF9"/>
    <w:rsid w:val="00F95326"/>
    <w:rsid w:val="00F953AA"/>
    <w:rsid w:val="00F954BF"/>
    <w:rsid w:val="00F9555C"/>
    <w:rsid w:val="00F9556D"/>
    <w:rsid w:val="00F9564D"/>
    <w:rsid w:val="00F95688"/>
    <w:rsid w:val="00F957AC"/>
    <w:rsid w:val="00F957C2"/>
    <w:rsid w:val="00F957DD"/>
    <w:rsid w:val="00F958D0"/>
    <w:rsid w:val="00F959DB"/>
    <w:rsid w:val="00F95B12"/>
    <w:rsid w:val="00F95C7D"/>
    <w:rsid w:val="00F95D95"/>
    <w:rsid w:val="00F95D99"/>
    <w:rsid w:val="00F95E05"/>
    <w:rsid w:val="00F95F9B"/>
    <w:rsid w:val="00F9601F"/>
    <w:rsid w:val="00F96103"/>
    <w:rsid w:val="00F961B1"/>
    <w:rsid w:val="00F96239"/>
    <w:rsid w:val="00F96422"/>
    <w:rsid w:val="00F966EF"/>
    <w:rsid w:val="00F967E9"/>
    <w:rsid w:val="00F9699B"/>
    <w:rsid w:val="00F969A6"/>
    <w:rsid w:val="00F969A9"/>
    <w:rsid w:val="00F969AA"/>
    <w:rsid w:val="00F96CCC"/>
    <w:rsid w:val="00F96DBC"/>
    <w:rsid w:val="00F96E89"/>
    <w:rsid w:val="00F96F46"/>
    <w:rsid w:val="00F96F81"/>
    <w:rsid w:val="00F97006"/>
    <w:rsid w:val="00F97055"/>
    <w:rsid w:val="00F972C9"/>
    <w:rsid w:val="00F9748F"/>
    <w:rsid w:val="00F9750E"/>
    <w:rsid w:val="00F97565"/>
    <w:rsid w:val="00F97749"/>
    <w:rsid w:val="00F97870"/>
    <w:rsid w:val="00F9788A"/>
    <w:rsid w:val="00F97969"/>
    <w:rsid w:val="00F97B3C"/>
    <w:rsid w:val="00F97CDC"/>
    <w:rsid w:val="00F97D02"/>
    <w:rsid w:val="00F97E72"/>
    <w:rsid w:val="00F97EC9"/>
    <w:rsid w:val="00F97F2F"/>
    <w:rsid w:val="00FA00E8"/>
    <w:rsid w:val="00FA0152"/>
    <w:rsid w:val="00FA01D8"/>
    <w:rsid w:val="00FA02FD"/>
    <w:rsid w:val="00FA0466"/>
    <w:rsid w:val="00FA04D8"/>
    <w:rsid w:val="00FA073C"/>
    <w:rsid w:val="00FA08B6"/>
    <w:rsid w:val="00FA0A78"/>
    <w:rsid w:val="00FA0AD3"/>
    <w:rsid w:val="00FA0ADE"/>
    <w:rsid w:val="00FA0BA0"/>
    <w:rsid w:val="00FA0C0E"/>
    <w:rsid w:val="00FA0C24"/>
    <w:rsid w:val="00FA0C3A"/>
    <w:rsid w:val="00FA0DF3"/>
    <w:rsid w:val="00FA0E1E"/>
    <w:rsid w:val="00FA0F0F"/>
    <w:rsid w:val="00FA11C8"/>
    <w:rsid w:val="00FA1277"/>
    <w:rsid w:val="00FA1307"/>
    <w:rsid w:val="00FA136E"/>
    <w:rsid w:val="00FA1441"/>
    <w:rsid w:val="00FA1600"/>
    <w:rsid w:val="00FA16A9"/>
    <w:rsid w:val="00FA1702"/>
    <w:rsid w:val="00FA1A34"/>
    <w:rsid w:val="00FA1B24"/>
    <w:rsid w:val="00FA1B94"/>
    <w:rsid w:val="00FA1CBF"/>
    <w:rsid w:val="00FA1D87"/>
    <w:rsid w:val="00FA1D96"/>
    <w:rsid w:val="00FA1EE6"/>
    <w:rsid w:val="00FA1FA6"/>
    <w:rsid w:val="00FA2256"/>
    <w:rsid w:val="00FA2298"/>
    <w:rsid w:val="00FA2343"/>
    <w:rsid w:val="00FA2405"/>
    <w:rsid w:val="00FA265D"/>
    <w:rsid w:val="00FA2928"/>
    <w:rsid w:val="00FA2C1A"/>
    <w:rsid w:val="00FA2C73"/>
    <w:rsid w:val="00FA2C8C"/>
    <w:rsid w:val="00FA2DAD"/>
    <w:rsid w:val="00FA2DBB"/>
    <w:rsid w:val="00FA2E9C"/>
    <w:rsid w:val="00FA301E"/>
    <w:rsid w:val="00FA307D"/>
    <w:rsid w:val="00FA30EA"/>
    <w:rsid w:val="00FA31C9"/>
    <w:rsid w:val="00FA35A9"/>
    <w:rsid w:val="00FA36B8"/>
    <w:rsid w:val="00FA39DF"/>
    <w:rsid w:val="00FA3A35"/>
    <w:rsid w:val="00FA3E07"/>
    <w:rsid w:val="00FA3E4E"/>
    <w:rsid w:val="00FA3E97"/>
    <w:rsid w:val="00FA3FB4"/>
    <w:rsid w:val="00FA4199"/>
    <w:rsid w:val="00FA4277"/>
    <w:rsid w:val="00FA42A4"/>
    <w:rsid w:val="00FA42CF"/>
    <w:rsid w:val="00FA4337"/>
    <w:rsid w:val="00FA44F7"/>
    <w:rsid w:val="00FA451D"/>
    <w:rsid w:val="00FA4613"/>
    <w:rsid w:val="00FA47C0"/>
    <w:rsid w:val="00FA48D7"/>
    <w:rsid w:val="00FA4A5E"/>
    <w:rsid w:val="00FA4C9D"/>
    <w:rsid w:val="00FA4CA3"/>
    <w:rsid w:val="00FA5387"/>
    <w:rsid w:val="00FA53A1"/>
    <w:rsid w:val="00FA54EF"/>
    <w:rsid w:val="00FA55B2"/>
    <w:rsid w:val="00FA56F8"/>
    <w:rsid w:val="00FA5795"/>
    <w:rsid w:val="00FA57BC"/>
    <w:rsid w:val="00FA5851"/>
    <w:rsid w:val="00FA58DB"/>
    <w:rsid w:val="00FA5AC7"/>
    <w:rsid w:val="00FA5CE3"/>
    <w:rsid w:val="00FA5CE8"/>
    <w:rsid w:val="00FA5F27"/>
    <w:rsid w:val="00FA6013"/>
    <w:rsid w:val="00FA6168"/>
    <w:rsid w:val="00FA6239"/>
    <w:rsid w:val="00FA6318"/>
    <w:rsid w:val="00FA63EA"/>
    <w:rsid w:val="00FA64BB"/>
    <w:rsid w:val="00FA64FE"/>
    <w:rsid w:val="00FA6508"/>
    <w:rsid w:val="00FA6559"/>
    <w:rsid w:val="00FA66C4"/>
    <w:rsid w:val="00FA6857"/>
    <w:rsid w:val="00FA6863"/>
    <w:rsid w:val="00FA69B9"/>
    <w:rsid w:val="00FA6EE5"/>
    <w:rsid w:val="00FA71ED"/>
    <w:rsid w:val="00FA73CF"/>
    <w:rsid w:val="00FA7480"/>
    <w:rsid w:val="00FA762C"/>
    <w:rsid w:val="00FA77D3"/>
    <w:rsid w:val="00FA78F6"/>
    <w:rsid w:val="00FA791E"/>
    <w:rsid w:val="00FA7AE9"/>
    <w:rsid w:val="00FA7B02"/>
    <w:rsid w:val="00FA7B9D"/>
    <w:rsid w:val="00FA7C0E"/>
    <w:rsid w:val="00FA7D27"/>
    <w:rsid w:val="00FA7DDD"/>
    <w:rsid w:val="00FA7E41"/>
    <w:rsid w:val="00FA7FCB"/>
    <w:rsid w:val="00FB0264"/>
    <w:rsid w:val="00FB0313"/>
    <w:rsid w:val="00FB03FB"/>
    <w:rsid w:val="00FB0426"/>
    <w:rsid w:val="00FB0439"/>
    <w:rsid w:val="00FB068B"/>
    <w:rsid w:val="00FB06E4"/>
    <w:rsid w:val="00FB07D8"/>
    <w:rsid w:val="00FB0A18"/>
    <w:rsid w:val="00FB0A29"/>
    <w:rsid w:val="00FB0A4E"/>
    <w:rsid w:val="00FB0C1F"/>
    <w:rsid w:val="00FB0C2E"/>
    <w:rsid w:val="00FB0C45"/>
    <w:rsid w:val="00FB0CE3"/>
    <w:rsid w:val="00FB0DCF"/>
    <w:rsid w:val="00FB0E1C"/>
    <w:rsid w:val="00FB0E32"/>
    <w:rsid w:val="00FB0F24"/>
    <w:rsid w:val="00FB0F4E"/>
    <w:rsid w:val="00FB0F6B"/>
    <w:rsid w:val="00FB1295"/>
    <w:rsid w:val="00FB12D6"/>
    <w:rsid w:val="00FB1369"/>
    <w:rsid w:val="00FB1465"/>
    <w:rsid w:val="00FB1487"/>
    <w:rsid w:val="00FB14A2"/>
    <w:rsid w:val="00FB15B8"/>
    <w:rsid w:val="00FB161F"/>
    <w:rsid w:val="00FB1699"/>
    <w:rsid w:val="00FB17A6"/>
    <w:rsid w:val="00FB17E8"/>
    <w:rsid w:val="00FB1DCF"/>
    <w:rsid w:val="00FB1E57"/>
    <w:rsid w:val="00FB2170"/>
    <w:rsid w:val="00FB2225"/>
    <w:rsid w:val="00FB228B"/>
    <w:rsid w:val="00FB229A"/>
    <w:rsid w:val="00FB24D8"/>
    <w:rsid w:val="00FB24FE"/>
    <w:rsid w:val="00FB25EF"/>
    <w:rsid w:val="00FB2A6A"/>
    <w:rsid w:val="00FB2AA8"/>
    <w:rsid w:val="00FB2CD8"/>
    <w:rsid w:val="00FB2CE1"/>
    <w:rsid w:val="00FB2D72"/>
    <w:rsid w:val="00FB2E4C"/>
    <w:rsid w:val="00FB2EBD"/>
    <w:rsid w:val="00FB305F"/>
    <w:rsid w:val="00FB3280"/>
    <w:rsid w:val="00FB32C7"/>
    <w:rsid w:val="00FB343F"/>
    <w:rsid w:val="00FB35B1"/>
    <w:rsid w:val="00FB36A8"/>
    <w:rsid w:val="00FB3786"/>
    <w:rsid w:val="00FB3AC3"/>
    <w:rsid w:val="00FB3BD9"/>
    <w:rsid w:val="00FB3C00"/>
    <w:rsid w:val="00FB3C61"/>
    <w:rsid w:val="00FB412F"/>
    <w:rsid w:val="00FB413E"/>
    <w:rsid w:val="00FB417D"/>
    <w:rsid w:val="00FB41C7"/>
    <w:rsid w:val="00FB4349"/>
    <w:rsid w:val="00FB439C"/>
    <w:rsid w:val="00FB439F"/>
    <w:rsid w:val="00FB45E6"/>
    <w:rsid w:val="00FB4685"/>
    <w:rsid w:val="00FB47D0"/>
    <w:rsid w:val="00FB4885"/>
    <w:rsid w:val="00FB4903"/>
    <w:rsid w:val="00FB4942"/>
    <w:rsid w:val="00FB49B6"/>
    <w:rsid w:val="00FB4A0D"/>
    <w:rsid w:val="00FB4A96"/>
    <w:rsid w:val="00FB4B30"/>
    <w:rsid w:val="00FB4B64"/>
    <w:rsid w:val="00FB4C67"/>
    <w:rsid w:val="00FB4E10"/>
    <w:rsid w:val="00FB4ED2"/>
    <w:rsid w:val="00FB4FD6"/>
    <w:rsid w:val="00FB4FF3"/>
    <w:rsid w:val="00FB5035"/>
    <w:rsid w:val="00FB50AC"/>
    <w:rsid w:val="00FB514F"/>
    <w:rsid w:val="00FB530F"/>
    <w:rsid w:val="00FB5397"/>
    <w:rsid w:val="00FB53BB"/>
    <w:rsid w:val="00FB5427"/>
    <w:rsid w:val="00FB544D"/>
    <w:rsid w:val="00FB5525"/>
    <w:rsid w:val="00FB576E"/>
    <w:rsid w:val="00FB5821"/>
    <w:rsid w:val="00FB5852"/>
    <w:rsid w:val="00FB5E82"/>
    <w:rsid w:val="00FB5E91"/>
    <w:rsid w:val="00FB5EFB"/>
    <w:rsid w:val="00FB5F08"/>
    <w:rsid w:val="00FB5F09"/>
    <w:rsid w:val="00FB5FFD"/>
    <w:rsid w:val="00FB6069"/>
    <w:rsid w:val="00FB607D"/>
    <w:rsid w:val="00FB650F"/>
    <w:rsid w:val="00FB6624"/>
    <w:rsid w:val="00FB6649"/>
    <w:rsid w:val="00FB6715"/>
    <w:rsid w:val="00FB679B"/>
    <w:rsid w:val="00FB68F9"/>
    <w:rsid w:val="00FB68FF"/>
    <w:rsid w:val="00FB6977"/>
    <w:rsid w:val="00FB6A62"/>
    <w:rsid w:val="00FB6C6E"/>
    <w:rsid w:val="00FB6D3E"/>
    <w:rsid w:val="00FB6E67"/>
    <w:rsid w:val="00FB6F54"/>
    <w:rsid w:val="00FB6F82"/>
    <w:rsid w:val="00FB721F"/>
    <w:rsid w:val="00FB73B6"/>
    <w:rsid w:val="00FB7785"/>
    <w:rsid w:val="00FB779C"/>
    <w:rsid w:val="00FB7A09"/>
    <w:rsid w:val="00FB7A1E"/>
    <w:rsid w:val="00FB7AE7"/>
    <w:rsid w:val="00FB7C4A"/>
    <w:rsid w:val="00FB7C56"/>
    <w:rsid w:val="00FB7CBF"/>
    <w:rsid w:val="00FB7CD4"/>
    <w:rsid w:val="00FB7D51"/>
    <w:rsid w:val="00FB7DF5"/>
    <w:rsid w:val="00FB7F37"/>
    <w:rsid w:val="00FB7FE9"/>
    <w:rsid w:val="00FC0089"/>
    <w:rsid w:val="00FC0128"/>
    <w:rsid w:val="00FC01B8"/>
    <w:rsid w:val="00FC01F6"/>
    <w:rsid w:val="00FC02CE"/>
    <w:rsid w:val="00FC056F"/>
    <w:rsid w:val="00FC05EB"/>
    <w:rsid w:val="00FC0782"/>
    <w:rsid w:val="00FC07BC"/>
    <w:rsid w:val="00FC07E6"/>
    <w:rsid w:val="00FC084D"/>
    <w:rsid w:val="00FC087A"/>
    <w:rsid w:val="00FC09B4"/>
    <w:rsid w:val="00FC0A3A"/>
    <w:rsid w:val="00FC0B2A"/>
    <w:rsid w:val="00FC0B43"/>
    <w:rsid w:val="00FC0E84"/>
    <w:rsid w:val="00FC0ED8"/>
    <w:rsid w:val="00FC0F67"/>
    <w:rsid w:val="00FC0FB9"/>
    <w:rsid w:val="00FC10E1"/>
    <w:rsid w:val="00FC1124"/>
    <w:rsid w:val="00FC119E"/>
    <w:rsid w:val="00FC126A"/>
    <w:rsid w:val="00FC1277"/>
    <w:rsid w:val="00FC13A0"/>
    <w:rsid w:val="00FC13B8"/>
    <w:rsid w:val="00FC145A"/>
    <w:rsid w:val="00FC1513"/>
    <w:rsid w:val="00FC1657"/>
    <w:rsid w:val="00FC17CB"/>
    <w:rsid w:val="00FC1AE5"/>
    <w:rsid w:val="00FC1DC3"/>
    <w:rsid w:val="00FC1F6E"/>
    <w:rsid w:val="00FC1F71"/>
    <w:rsid w:val="00FC207A"/>
    <w:rsid w:val="00FC2180"/>
    <w:rsid w:val="00FC21FF"/>
    <w:rsid w:val="00FC23DA"/>
    <w:rsid w:val="00FC240B"/>
    <w:rsid w:val="00FC2459"/>
    <w:rsid w:val="00FC2466"/>
    <w:rsid w:val="00FC26A0"/>
    <w:rsid w:val="00FC26A9"/>
    <w:rsid w:val="00FC27FC"/>
    <w:rsid w:val="00FC28E0"/>
    <w:rsid w:val="00FC2A0F"/>
    <w:rsid w:val="00FC2A7B"/>
    <w:rsid w:val="00FC2D79"/>
    <w:rsid w:val="00FC2DE6"/>
    <w:rsid w:val="00FC339B"/>
    <w:rsid w:val="00FC34B6"/>
    <w:rsid w:val="00FC3812"/>
    <w:rsid w:val="00FC38FE"/>
    <w:rsid w:val="00FC3C3F"/>
    <w:rsid w:val="00FC3C88"/>
    <w:rsid w:val="00FC3D87"/>
    <w:rsid w:val="00FC3DF0"/>
    <w:rsid w:val="00FC3ED9"/>
    <w:rsid w:val="00FC3F30"/>
    <w:rsid w:val="00FC3FCF"/>
    <w:rsid w:val="00FC4314"/>
    <w:rsid w:val="00FC4336"/>
    <w:rsid w:val="00FC434E"/>
    <w:rsid w:val="00FC453D"/>
    <w:rsid w:val="00FC4551"/>
    <w:rsid w:val="00FC46FE"/>
    <w:rsid w:val="00FC47AE"/>
    <w:rsid w:val="00FC4995"/>
    <w:rsid w:val="00FC4E1D"/>
    <w:rsid w:val="00FC4F71"/>
    <w:rsid w:val="00FC4FEA"/>
    <w:rsid w:val="00FC5151"/>
    <w:rsid w:val="00FC51AB"/>
    <w:rsid w:val="00FC5278"/>
    <w:rsid w:val="00FC5375"/>
    <w:rsid w:val="00FC5383"/>
    <w:rsid w:val="00FC53AF"/>
    <w:rsid w:val="00FC565D"/>
    <w:rsid w:val="00FC5690"/>
    <w:rsid w:val="00FC576C"/>
    <w:rsid w:val="00FC57D2"/>
    <w:rsid w:val="00FC5896"/>
    <w:rsid w:val="00FC5B94"/>
    <w:rsid w:val="00FC5BF6"/>
    <w:rsid w:val="00FC5C30"/>
    <w:rsid w:val="00FC5C81"/>
    <w:rsid w:val="00FC5D24"/>
    <w:rsid w:val="00FC5D9A"/>
    <w:rsid w:val="00FC5E53"/>
    <w:rsid w:val="00FC5FDF"/>
    <w:rsid w:val="00FC6071"/>
    <w:rsid w:val="00FC60DD"/>
    <w:rsid w:val="00FC619A"/>
    <w:rsid w:val="00FC645C"/>
    <w:rsid w:val="00FC661B"/>
    <w:rsid w:val="00FC6697"/>
    <w:rsid w:val="00FC6841"/>
    <w:rsid w:val="00FC6A06"/>
    <w:rsid w:val="00FC6B62"/>
    <w:rsid w:val="00FC6D80"/>
    <w:rsid w:val="00FC6DC5"/>
    <w:rsid w:val="00FC6EE2"/>
    <w:rsid w:val="00FC71BE"/>
    <w:rsid w:val="00FC71FD"/>
    <w:rsid w:val="00FC7273"/>
    <w:rsid w:val="00FC735F"/>
    <w:rsid w:val="00FC754B"/>
    <w:rsid w:val="00FC75D7"/>
    <w:rsid w:val="00FC75F9"/>
    <w:rsid w:val="00FC766D"/>
    <w:rsid w:val="00FC76C3"/>
    <w:rsid w:val="00FC76CC"/>
    <w:rsid w:val="00FC77B3"/>
    <w:rsid w:val="00FC7861"/>
    <w:rsid w:val="00FC78D9"/>
    <w:rsid w:val="00FC792D"/>
    <w:rsid w:val="00FC79B5"/>
    <w:rsid w:val="00FC7A3D"/>
    <w:rsid w:val="00FC7B12"/>
    <w:rsid w:val="00FC7C83"/>
    <w:rsid w:val="00FC7CE6"/>
    <w:rsid w:val="00FC7CF3"/>
    <w:rsid w:val="00FC7D17"/>
    <w:rsid w:val="00FC7E57"/>
    <w:rsid w:val="00FC7E67"/>
    <w:rsid w:val="00FC7EAA"/>
    <w:rsid w:val="00FC7EB5"/>
    <w:rsid w:val="00FC7EDB"/>
    <w:rsid w:val="00FC7FC1"/>
    <w:rsid w:val="00FC7FC8"/>
    <w:rsid w:val="00FD00CE"/>
    <w:rsid w:val="00FD0142"/>
    <w:rsid w:val="00FD03EC"/>
    <w:rsid w:val="00FD0490"/>
    <w:rsid w:val="00FD04DB"/>
    <w:rsid w:val="00FD078D"/>
    <w:rsid w:val="00FD08BD"/>
    <w:rsid w:val="00FD090E"/>
    <w:rsid w:val="00FD0AA3"/>
    <w:rsid w:val="00FD0B38"/>
    <w:rsid w:val="00FD0C8C"/>
    <w:rsid w:val="00FD0D04"/>
    <w:rsid w:val="00FD0DD3"/>
    <w:rsid w:val="00FD0E52"/>
    <w:rsid w:val="00FD106C"/>
    <w:rsid w:val="00FD10AC"/>
    <w:rsid w:val="00FD1381"/>
    <w:rsid w:val="00FD170F"/>
    <w:rsid w:val="00FD1A5E"/>
    <w:rsid w:val="00FD1CB6"/>
    <w:rsid w:val="00FD1D4E"/>
    <w:rsid w:val="00FD1D56"/>
    <w:rsid w:val="00FD1E47"/>
    <w:rsid w:val="00FD1F2F"/>
    <w:rsid w:val="00FD1F5F"/>
    <w:rsid w:val="00FD1F8E"/>
    <w:rsid w:val="00FD202C"/>
    <w:rsid w:val="00FD2209"/>
    <w:rsid w:val="00FD2375"/>
    <w:rsid w:val="00FD2410"/>
    <w:rsid w:val="00FD2455"/>
    <w:rsid w:val="00FD250C"/>
    <w:rsid w:val="00FD2779"/>
    <w:rsid w:val="00FD27FD"/>
    <w:rsid w:val="00FD2809"/>
    <w:rsid w:val="00FD29EE"/>
    <w:rsid w:val="00FD2AB7"/>
    <w:rsid w:val="00FD2AD4"/>
    <w:rsid w:val="00FD2B0A"/>
    <w:rsid w:val="00FD2B1E"/>
    <w:rsid w:val="00FD2B72"/>
    <w:rsid w:val="00FD2B9E"/>
    <w:rsid w:val="00FD2EC3"/>
    <w:rsid w:val="00FD2F2B"/>
    <w:rsid w:val="00FD31B2"/>
    <w:rsid w:val="00FD3311"/>
    <w:rsid w:val="00FD361C"/>
    <w:rsid w:val="00FD3733"/>
    <w:rsid w:val="00FD37BC"/>
    <w:rsid w:val="00FD39A2"/>
    <w:rsid w:val="00FD3A8D"/>
    <w:rsid w:val="00FD3C69"/>
    <w:rsid w:val="00FD3D8D"/>
    <w:rsid w:val="00FD3F22"/>
    <w:rsid w:val="00FD3FD5"/>
    <w:rsid w:val="00FD4009"/>
    <w:rsid w:val="00FD4309"/>
    <w:rsid w:val="00FD4399"/>
    <w:rsid w:val="00FD4427"/>
    <w:rsid w:val="00FD45FC"/>
    <w:rsid w:val="00FD4A3E"/>
    <w:rsid w:val="00FD4AFF"/>
    <w:rsid w:val="00FD4B14"/>
    <w:rsid w:val="00FD4D3B"/>
    <w:rsid w:val="00FD4FD8"/>
    <w:rsid w:val="00FD5008"/>
    <w:rsid w:val="00FD5617"/>
    <w:rsid w:val="00FD5859"/>
    <w:rsid w:val="00FD591A"/>
    <w:rsid w:val="00FD5934"/>
    <w:rsid w:val="00FD5A47"/>
    <w:rsid w:val="00FD5C68"/>
    <w:rsid w:val="00FD5D9B"/>
    <w:rsid w:val="00FD5FDD"/>
    <w:rsid w:val="00FD61B4"/>
    <w:rsid w:val="00FD61D0"/>
    <w:rsid w:val="00FD61F3"/>
    <w:rsid w:val="00FD626C"/>
    <w:rsid w:val="00FD626F"/>
    <w:rsid w:val="00FD62AA"/>
    <w:rsid w:val="00FD66AD"/>
    <w:rsid w:val="00FD68B9"/>
    <w:rsid w:val="00FD68F4"/>
    <w:rsid w:val="00FD6987"/>
    <w:rsid w:val="00FD6AEF"/>
    <w:rsid w:val="00FD6B88"/>
    <w:rsid w:val="00FD6C69"/>
    <w:rsid w:val="00FD6E81"/>
    <w:rsid w:val="00FD6EFF"/>
    <w:rsid w:val="00FD6F29"/>
    <w:rsid w:val="00FD6F4F"/>
    <w:rsid w:val="00FD7170"/>
    <w:rsid w:val="00FD717B"/>
    <w:rsid w:val="00FD71EE"/>
    <w:rsid w:val="00FD720D"/>
    <w:rsid w:val="00FD7366"/>
    <w:rsid w:val="00FD742D"/>
    <w:rsid w:val="00FD7457"/>
    <w:rsid w:val="00FD74C4"/>
    <w:rsid w:val="00FD7637"/>
    <w:rsid w:val="00FD7749"/>
    <w:rsid w:val="00FD775A"/>
    <w:rsid w:val="00FD77CC"/>
    <w:rsid w:val="00FD78AD"/>
    <w:rsid w:val="00FD7C40"/>
    <w:rsid w:val="00FD7D43"/>
    <w:rsid w:val="00FDAC74"/>
    <w:rsid w:val="00FE023C"/>
    <w:rsid w:val="00FE02A9"/>
    <w:rsid w:val="00FE04FF"/>
    <w:rsid w:val="00FE0673"/>
    <w:rsid w:val="00FE06A8"/>
    <w:rsid w:val="00FE06C7"/>
    <w:rsid w:val="00FE074B"/>
    <w:rsid w:val="00FE07C1"/>
    <w:rsid w:val="00FE0870"/>
    <w:rsid w:val="00FE08C1"/>
    <w:rsid w:val="00FE0D5A"/>
    <w:rsid w:val="00FE10BF"/>
    <w:rsid w:val="00FE10D3"/>
    <w:rsid w:val="00FE11A3"/>
    <w:rsid w:val="00FE11D1"/>
    <w:rsid w:val="00FE12E3"/>
    <w:rsid w:val="00FE1317"/>
    <w:rsid w:val="00FE1402"/>
    <w:rsid w:val="00FE142F"/>
    <w:rsid w:val="00FE1593"/>
    <w:rsid w:val="00FE1639"/>
    <w:rsid w:val="00FE171C"/>
    <w:rsid w:val="00FE18DD"/>
    <w:rsid w:val="00FE1948"/>
    <w:rsid w:val="00FE1969"/>
    <w:rsid w:val="00FE1A6C"/>
    <w:rsid w:val="00FE1A71"/>
    <w:rsid w:val="00FE1BBD"/>
    <w:rsid w:val="00FE1BF0"/>
    <w:rsid w:val="00FE1D5B"/>
    <w:rsid w:val="00FE1D8F"/>
    <w:rsid w:val="00FE1FC0"/>
    <w:rsid w:val="00FE234C"/>
    <w:rsid w:val="00FE237C"/>
    <w:rsid w:val="00FE2434"/>
    <w:rsid w:val="00FE243D"/>
    <w:rsid w:val="00FE2449"/>
    <w:rsid w:val="00FE25E9"/>
    <w:rsid w:val="00FE2722"/>
    <w:rsid w:val="00FE28D2"/>
    <w:rsid w:val="00FE2964"/>
    <w:rsid w:val="00FE29DB"/>
    <w:rsid w:val="00FE29EC"/>
    <w:rsid w:val="00FE2A0C"/>
    <w:rsid w:val="00FE2A7D"/>
    <w:rsid w:val="00FE2AB4"/>
    <w:rsid w:val="00FE2B66"/>
    <w:rsid w:val="00FE2BD5"/>
    <w:rsid w:val="00FE2BF0"/>
    <w:rsid w:val="00FE2C69"/>
    <w:rsid w:val="00FE2CA1"/>
    <w:rsid w:val="00FE2E3B"/>
    <w:rsid w:val="00FE3251"/>
    <w:rsid w:val="00FE32E4"/>
    <w:rsid w:val="00FE32EA"/>
    <w:rsid w:val="00FE346B"/>
    <w:rsid w:val="00FE3713"/>
    <w:rsid w:val="00FE3780"/>
    <w:rsid w:val="00FE3843"/>
    <w:rsid w:val="00FE3872"/>
    <w:rsid w:val="00FE3892"/>
    <w:rsid w:val="00FE38BF"/>
    <w:rsid w:val="00FE397E"/>
    <w:rsid w:val="00FE3A2F"/>
    <w:rsid w:val="00FE3B8F"/>
    <w:rsid w:val="00FE3D61"/>
    <w:rsid w:val="00FE3EC4"/>
    <w:rsid w:val="00FE3F10"/>
    <w:rsid w:val="00FE409E"/>
    <w:rsid w:val="00FE4102"/>
    <w:rsid w:val="00FE41A3"/>
    <w:rsid w:val="00FE41B9"/>
    <w:rsid w:val="00FE4246"/>
    <w:rsid w:val="00FE4256"/>
    <w:rsid w:val="00FE4437"/>
    <w:rsid w:val="00FE444D"/>
    <w:rsid w:val="00FE449D"/>
    <w:rsid w:val="00FE453D"/>
    <w:rsid w:val="00FE4578"/>
    <w:rsid w:val="00FE45E7"/>
    <w:rsid w:val="00FE46E4"/>
    <w:rsid w:val="00FE4791"/>
    <w:rsid w:val="00FE484D"/>
    <w:rsid w:val="00FE4933"/>
    <w:rsid w:val="00FE4BB2"/>
    <w:rsid w:val="00FE4C07"/>
    <w:rsid w:val="00FE4CBC"/>
    <w:rsid w:val="00FE4D01"/>
    <w:rsid w:val="00FE4E56"/>
    <w:rsid w:val="00FE4EF0"/>
    <w:rsid w:val="00FE4EFD"/>
    <w:rsid w:val="00FE4F03"/>
    <w:rsid w:val="00FE4F07"/>
    <w:rsid w:val="00FE4F11"/>
    <w:rsid w:val="00FE50D4"/>
    <w:rsid w:val="00FE5157"/>
    <w:rsid w:val="00FE56F3"/>
    <w:rsid w:val="00FE57A3"/>
    <w:rsid w:val="00FE589E"/>
    <w:rsid w:val="00FE5A2A"/>
    <w:rsid w:val="00FE5B21"/>
    <w:rsid w:val="00FE5BA5"/>
    <w:rsid w:val="00FE5BB2"/>
    <w:rsid w:val="00FE5D9B"/>
    <w:rsid w:val="00FE5E49"/>
    <w:rsid w:val="00FE5E7B"/>
    <w:rsid w:val="00FE5FDB"/>
    <w:rsid w:val="00FE619D"/>
    <w:rsid w:val="00FE6511"/>
    <w:rsid w:val="00FE654D"/>
    <w:rsid w:val="00FE6559"/>
    <w:rsid w:val="00FE66CF"/>
    <w:rsid w:val="00FE67BC"/>
    <w:rsid w:val="00FE688C"/>
    <w:rsid w:val="00FE6910"/>
    <w:rsid w:val="00FE6A49"/>
    <w:rsid w:val="00FE6CE9"/>
    <w:rsid w:val="00FE6DA6"/>
    <w:rsid w:val="00FE6DAB"/>
    <w:rsid w:val="00FE6E45"/>
    <w:rsid w:val="00FE7317"/>
    <w:rsid w:val="00FE74CB"/>
    <w:rsid w:val="00FE74D7"/>
    <w:rsid w:val="00FE75B3"/>
    <w:rsid w:val="00FE7602"/>
    <w:rsid w:val="00FE7648"/>
    <w:rsid w:val="00FE76B3"/>
    <w:rsid w:val="00FE7770"/>
    <w:rsid w:val="00FE77BC"/>
    <w:rsid w:val="00FE7947"/>
    <w:rsid w:val="00FE7950"/>
    <w:rsid w:val="00FE79EA"/>
    <w:rsid w:val="00FE79FA"/>
    <w:rsid w:val="00FE7BFC"/>
    <w:rsid w:val="00FE7C70"/>
    <w:rsid w:val="00FE7F83"/>
    <w:rsid w:val="00FF0010"/>
    <w:rsid w:val="00FF00A7"/>
    <w:rsid w:val="00FF0346"/>
    <w:rsid w:val="00FF0555"/>
    <w:rsid w:val="00FF06B1"/>
    <w:rsid w:val="00FF07F2"/>
    <w:rsid w:val="00FF0A9D"/>
    <w:rsid w:val="00FF0B34"/>
    <w:rsid w:val="00FF0BD6"/>
    <w:rsid w:val="00FF0DCB"/>
    <w:rsid w:val="00FF0DFD"/>
    <w:rsid w:val="00FF1037"/>
    <w:rsid w:val="00FF1061"/>
    <w:rsid w:val="00FF10BF"/>
    <w:rsid w:val="00FF1208"/>
    <w:rsid w:val="00FF1277"/>
    <w:rsid w:val="00FF1297"/>
    <w:rsid w:val="00FF14FA"/>
    <w:rsid w:val="00FF1550"/>
    <w:rsid w:val="00FF15E5"/>
    <w:rsid w:val="00FF169D"/>
    <w:rsid w:val="00FF16F2"/>
    <w:rsid w:val="00FF171A"/>
    <w:rsid w:val="00FF171D"/>
    <w:rsid w:val="00FF173A"/>
    <w:rsid w:val="00FF1802"/>
    <w:rsid w:val="00FF1D0A"/>
    <w:rsid w:val="00FF1D50"/>
    <w:rsid w:val="00FF1DD1"/>
    <w:rsid w:val="00FF1E1E"/>
    <w:rsid w:val="00FF1F35"/>
    <w:rsid w:val="00FF237E"/>
    <w:rsid w:val="00FF23D3"/>
    <w:rsid w:val="00FF23FF"/>
    <w:rsid w:val="00FF2441"/>
    <w:rsid w:val="00FF2473"/>
    <w:rsid w:val="00FF252D"/>
    <w:rsid w:val="00FF2559"/>
    <w:rsid w:val="00FF25D9"/>
    <w:rsid w:val="00FF2649"/>
    <w:rsid w:val="00FF2718"/>
    <w:rsid w:val="00FF2ADC"/>
    <w:rsid w:val="00FF2CD1"/>
    <w:rsid w:val="00FF2D63"/>
    <w:rsid w:val="00FF2E94"/>
    <w:rsid w:val="00FF3065"/>
    <w:rsid w:val="00FF319C"/>
    <w:rsid w:val="00FF323A"/>
    <w:rsid w:val="00FF32C3"/>
    <w:rsid w:val="00FF3459"/>
    <w:rsid w:val="00FF34BB"/>
    <w:rsid w:val="00FF351F"/>
    <w:rsid w:val="00FF356B"/>
    <w:rsid w:val="00FF367E"/>
    <w:rsid w:val="00FF38E9"/>
    <w:rsid w:val="00FF3A53"/>
    <w:rsid w:val="00FF3BA2"/>
    <w:rsid w:val="00FF3C91"/>
    <w:rsid w:val="00FF3D52"/>
    <w:rsid w:val="00FF3E79"/>
    <w:rsid w:val="00FF3F01"/>
    <w:rsid w:val="00FF3F67"/>
    <w:rsid w:val="00FF4077"/>
    <w:rsid w:val="00FF418A"/>
    <w:rsid w:val="00FF42BC"/>
    <w:rsid w:val="00FF4335"/>
    <w:rsid w:val="00FF444A"/>
    <w:rsid w:val="00FF44CA"/>
    <w:rsid w:val="00FF459B"/>
    <w:rsid w:val="00FF47E7"/>
    <w:rsid w:val="00FF496F"/>
    <w:rsid w:val="00FF49D9"/>
    <w:rsid w:val="00FF4C32"/>
    <w:rsid w:val="00FF4D2F"/>
    <w:rsid w:val="00FF4D98"/>
    <w:rsid w:val="00FF4DA9"/>
    <w:rsid w:val="00FF4E8D"/>
    <w:rsid w:val="00FF4F82"/>
    <w:rsid w:val="00FF5068"/>
    <w:rsid w:val="00FF50C4"/>
    <w:rsid w:val="00FF50D6"/>
    <w:rsid w:val="00FF5101"/>
    <w:rsid w:val="00FF514C"/>
    <w:rsid w:val="00FF51CB"/>
    <w:rsid w:val="00FF52C6"/>
    <w:rsid w:val="00FF536B"/>
    <w:rsid w:val="00FF54A2"/>
    <w:rsid w:val="00FF5503"/>
    <w:rsid w:val="00FF55AB"/>
    <w:rsid w:val="00FF57E7"/>
    <w:rsid w:val="00FF589A"/>
    <w:rsid w:val="00FF58A3"/>
    <w:rsid w:val="00FF59AB"/>
    <w:rsid w:val="00FF5A73"/>
    <w:rsid w:val="00FF5AA0"/>
    <w:rsid w:val="00FF5C20"/>
    <w:rsid w:val="00FF5C6A"/>
    <w:rsid w:val="00FF5C99"/>
    <w:rsid w:val="00FF5D78"/>
    <w:rsid w:val="00FF5EDC"/>
    <w:rsid w:val="00FF6010"/>
    <w:rsid w:val="00FF6030"/>
    <w:rsid w:val="00FF60E2"/>
    <w:rsid w:val="00FF614C"/>
    <w:rsid w:val="00FF615B"/>
    <w:rsid w:val="00FF62C4"/>
    <w:rsid w:val="00FF62CE"/>
    <w:rsid w:val="00FF632B"/>
    <w:rsid w:val="00FF6459"/>
    <w:rsid w:val="00FF64A6"/>
    <w:rsid w:val="00FF6640"/>
    <w:rsid w:val="00FF679B"/>
    <w:rsid w:val="00FF6849"/>
    <w:rsid w:val="00FF689A"/>
    <w:rsid w:val="00FF692D"/>
    <w:rsid w:val="00FF6DF3"/>
    <w:rsid w:val="00FF6E7C"/>
    <w:rsid w:val="00FF70EE"/>
    <w:rsid w:val="00FF718D"/>
    <w:rsid w:val="00FF7208"/>
    <w:rsid w:val="00FF724E"/>
    <w:rsid w:val="00FF73AD"/>
    <w:rsid w:val="00FF7402"/>
    <w:rsid w:val="00FF744E"/>
    <w:rsid w:val="00FF7453"/>
    <w:rsid w:val="00FF76F7"/>
    <w:rsid w:val="00FF77E3"/>
    <w:rsid w:val="00FF7832"/>
    <w:rsid w:val="00FF78CD"/>
    <w:rsid w:val="00FF7C77"/>
    <w:rsid w:val="00FF7D95"/>
    <w:rsid w:val="00FF7DBC"/>
    <w:rsid w:val="00FF7E43"/>
    <w:rsid w:val="00FF7F1A"/>
    <w:rsid w:val="00FF7FD2"/>
    <w:rsid w:val="01001FEE"/>
    <w:rsid w:val="0103E85F"/>
    <w:rsid w:val="010622C5"/>
    <w:rsid w:val="010A0094"/>
    <w:rsid w:val="010EE41D"/>
    <w:rsid w:val="01155C74"/>
    <w:rsid w:val="0115771B"/>
    <w:rsid w:val="011D3250"/>
    <w:rsid w:val="011DF6B1"/>
    <w:rsid w:val="012450A1"/>
    <w:rsid w:val="0125EFD7"/>
    <w:rsid w:val="01287935"/>
    <w:rsid w:val="012F4944"/>
    <w:rsid w:val="01314E92"/>
    <w:rsid w:val="013DBE33"/>
    <w:rsid w:val="0141CF27"/>
    <w:rsid w:val="0141FE9E"/>
    <w:rsid w:val="0142D8B5"/>
    <w:rsid w:val="014C4253"/>
    <w:rsid w:val="014CB864"/>
    <w:rsid w:val="0150BD5C"/>
    <w:rsid w:val="0152BF01"/>
    <w:rsid w:val="0153608C"/>
    <w:rsid w:val="01538215"/>
    <w:rsid w:val="01557A72"/>
    <w:rsid w:val="01584DD6"/>
    <w:rsid w:val="0158D4FF"/>
    <w:rsid w:val="015916B5"/>
    <w:rsid w:val="015CACE3"/>
    <w:rsid w:val="0164188F"/>
    <w:rsid w:val="016B5020"/>
    <w:rsid w:val="016BA01D"/>
    <w:rsid w:val="017098CD"/>
    <w:rsid w:val="0175FFE7"/>
    <w:rsid w:val="0178D3B6"/>
    <w:rsid w:val="017BC58C"/>
    <w:rsid w:val="017E5798"/>
    <w:rsid w:val="0183C0BB"/>
    <w:rsid w:val="0184FED4"/>
    <w:rsid w:val="018CEF69"/>
    <w:rsid w:val="018DE974"/>
    <w:rsid w:val="0191B85A"/>
    <w:rsid w:val="0191E3AF"/>
    <w:rsid w:val="019439FA"/>
    <w:rsid w:val="0194E190"/>
    <w:rsid w:val="01969759"/>
    <w:rsid w:val="01A29C94"/>
    <w:rsid w:val="01AAFAA8"/>
    <w:rsid w:val="01AD8209"/>
    <w:rsid w:val="01B1FFF7"/>
    <w:rsid w:val="01B2424C"/>
    <w:rsid w:val="01B9A9DD"/>
    <w:rsid w:val="01BBA0C5"/>
    <w:rsid w:val="01C16F74"/>
    <w:rsid w:val="01C550FB"/>
    <w:rsid w:val="01C7A1DB"/>
    <w:rsid w:val="01CB938B"/>
    <w:rsid w:val="01D47B54"/>
    <w:rsid w:val="01D5BF9C"/>
    <w:rsid w:val="01D78AA0"/>
    <w:rsid w:val="01DAAAB1"/>
    <w:rsid w:val="01DFF23A"/>
    <w:rsid w:val="01E18331"/>
    <w:rsid w:val="01E4EAEC"/>
    <w:rsid w:val="01E5C3E5"/>
    <w:rsid w:val="01EF653F"/>
    <w:rsid w:val="01F0623B"/>
    <w:rsid w:val="01F43C08"/>
    <w:rsid w:val="01F56107"/>
    <w:rsid w:val="01F63FA9"/>
    <w:rsid w:val="01F95945"/>
    <w:rsid w:val="01FCAAEE"/>
    <w:rsid w:val="0204E752"/>
    <w:rsid w:val="020B442F"/>
    <w:rsid w:val="020F32BE"/>
    <w:rsid w:val="0210FA55"/>
    <w:rsid w:val="021260BA"/>
    <w:rsid w:val="02152FD4"/>
    <w:rsid w:val="021B8015"/>
    <w:rsid w:val="021BAB63"/>
    <w:rsid w:val="021DF59A"/>
    <w:rsid w:val="021EF448"/>
    <w:rsid w:val="0220C09A"/>
    <w:rsid w:val="02246088"/>
    <w:rsid w:val="0225B41C"/>
    <w:rsid w:val="0229BC9B"/>
    <w:rsid w:val="02331AE6"/>
    <w:rsid w:val="02384541"/>
    <w:rsid w:val="02396341"/>
    <w:rsid w:val="023DA06C"/>
    <w:rsid w:val="024070DD"/>
    <w:rsid w:val="0241E4CB"/>
    <w:rsid w:val="02441D13"/>
    <w:rsid w:val="0244699F"/>
    <w:rsid w:val="024563DA"/>
    <w:rsid w:val="024765BB"/>
    <w:rsid w:val="02477922"/>
    <w:rsid w:val="0247EF6D"/>
    <w:rsid w:val="024B0B6C"/>
    <w:rsid w:val="024D4929"/>
    <w:rsid w:val="024E1057"/>
    <w:rsid w:val="025D46E9"/>
    <w:rsid w:val="02634FEF"/>
    <w:rsid w:val="0265286B"/>
    <w:rsid w:val="026C0FC7"/>
    <w:rsid w:val="0271CF66"/>
    <w:rsid w:val="02734498"/>
    <w:rsid w:val="02736510"/>
    <w:rsid w:val="02740C77"/>
    <w:rsid w:val="02768520"/>
    <w:rsid w:val="0283672B"/>
    <w:rsid w:val="02836FA9"/>
    <w:rsid w:val="0283F906"/>
    <w:rsid w:val="0284E207"/>
    <w:rsid w:val="028683DF"/>
    <w:rsid w:val="028DB16F"/>
    <w:rsid w:val="028DEED1"/>
    <w:rsid w:val="02975929"/>
    <w:rsid w:val="02A3EE00"/>
    <w:rsid w:val="02A58083"/>
    <w:rsid w:val="02A90E63"/>
    <w:rsid w:val="02B4B4C7"/>
    <w:rsid w:val="02B4F1A2"/>
    <w:rsid w:val="02BAF5C2"/>
    <w:rsid w:val="02BC873B"/>
    <w:rsid w:val="02BEB2FE"/>
    <w:rsid w:val="02BF55E2"/>
    <w:rsid w:val="02C6FAFF"/>
    <w:rsid w:val="02C709E8"/>
    <w:rsid w:val="02C7460A"/>
    <w:rsid w:val="02C82CA6"/>
    <w:rsid w:val="02CB4601"/>
    <w:rsid w:val="02CDD8A4"/>
    <w:rsid w:val="02CF0353"/>
    <w:rsid w:val="02CF1EFE"/>
    <w:rsid w:val="02D00C54"/>
    <w:rsid w:val="02D741DD"/>
    <w:rsid w:val="02D94390"/>
    <w:rsid w:val="02DC9E87"/>
    <w:rsid w:val="02DD93BE"/>
    <w:rsid w:val="02E570EB"/>
    <w:rsid w:val="02E620A8"/>
    <w:rsid w:val="02EABADE"/>
    <w:rsid w:val="02EEC212"/>
    <w:rsid w:val="02F0C552"/>
    <w:rsid w:val="02F33CEC"/>
    <w:rsid w:val="03003C0A"/>
    <w:rsid w:val="03023BF3"/>
    <w:rsid w:val="03043796"/>
    <w:rsid w:val="0304F645"/>
    <w:rsid w:val="03057AB3"/>
    <w:rsid w:val="03083D89"/>
    <w:rsid w:val="030C6D99"/>
    <w:rsid w:val="0312C821"/>
    <w:rsid w:val="0315E9D2"/>
    <w:rsid w:val="03214A72"/>
    <w:rsid w:val="032DA9E0"/>
    <w:rsid w:val="03308916"/>
    <w:rsid w:val="0330F1D4"/>
    <w:rsid w:val="0338D8D5"/>
    <w:rsid w:val="033E2EFC"/>
    <w:rsid w:val="03424984"/>
    <w:rsid w:val="03476FB3"/>
    <w:rsid w:val="034AEE97"/>
    <w:rsid w:val="034AF8EE"/>
    <w:rsid w:val="034D5B10"/>
    <w:rsid w:val="0351376E"/>
    <w:rsid w:val="03541F92"/>
    <w:rsid w:val="035D2664"/>
    <w:rsid w:val="0360C327"/>
    <w:rsid w:val="036A7AEE"/>
    <w:rsid w:val="036B6327"/>
    <w:rsid w:val="036CD6C6"/>
    <w:rsid w:val="036E7444"/>
    <w:rsid w:val="0378FAB5"/>
    <w:rsid w:val="0379B4A6"/>
    <w:rsid w:val="037C4585"/>
    <w:rsid w:val="0382AEA7"/>
    <w:rsid w:val="0382E23E"/>
    <w:rsid w:val="03873056"/>
    <w:rsid w:val="038D5872"/>
    <w:rsid w:val="0390E283"/>
    <w:rsid w:val="0396FB0C"/>
    <w:rsid w:val="039DC852"/>
    <w:rsid w:val="03A15AB6"/>
    <w:rsid w:val="03A1E4B7"/>
    <w:rsid w:val="03A37641"/>
    <w:rsid w:val="03A3879B"/>
    <w:rsid w:val="03A4D982"/>
    <w:rsid w:val="03AA0B7F"/>
    <w:rsid w:val="03AA8610"/>
    <w:rsid w:val="03B3CA1A"/>
    <w:rsid w:val="03B69256"/>
    <w:rsid w:val="03B94D88"/>
    <w:rsid w:val="03BD516C"/>
    <w:rsid w:val="03C81535"/>
    <w:rsid w:val="03C8760B"/>
    <w:rsid w:val="03CBB684"/>
    <w:rsid w:val="03CC1F0E"/>
    <w:rsid w:val="03CE8384"/>
    <w:rsid w:val="03D29DA2"/>
    <w:rsid w:val="03D5DAC6"/>
    <w:rsid w:val="03DA9278"/>
    <w:rsid w:val="03E91796"/>
    <w:rsid w:val="03ECAFFB"/>
    <w:rsid w:val="03EDA066"/>
    <w:rsid w:val="03F5216A"/>
    <w:rsid w:val="03F722DD"/>
    <w:rsid w:val="03FB724F"/>
    <w:rsid w:val="03FBB7FF"/>
    <w:rsid w:val="04010588"/>
    <w:rsid w:val="0401DB76"/>
    <w:rsid w:val="040323D1"/>
    <w:rsid w:val="0403737D"/>
    <w:rsid w:val="0405E66D"/>
    <w:rsid w:val="04062330"/>
    <w:rsid w:val="04070EBA"/>
    <w:rsid w:val="04099823"/>
    <w:rsid w:val="040D2495"/>
    <w:rsid w:val="0413BECE"/>
    <w:rsid w:val="0413F604"/>
    <w:rsid w:val="041744D6"/>
    <w:rsid w:val="041ED7D6"/>
    <w:rsid w:val="0427975D"/>
    <w:rsid w:val="0428EFDA"/>
    <w:rsid w:val="042BF7D0"/>
    <w:rsid w:val="04307D85"/>
    <w:rsid w:val="0435BF87"/>
    <w:rsid w:val="043813F9"/>
    <w:rsid w:val="043D4554"/>
    <w:rsid w:val="0441CBD7"/>
    <w:rsid w:val="0442C8DA"/>
    <w:rsid w:val="0443AE97"/>
    <w:rsid w:val="044F2A8E"/>
    <w:rsid w:val="04536907"/>
    <w:rsid w:val="04550B0C"/>
    <w:rsid w:val="045689EE"/>
    <w:rsid w:val="0456BC43"/>
    <w:rsid w:val="045A523A"/>
    <w:rsid w:val="045AFB13"/>
    <w:rsid w:val="045B5E2B"/>
    <w:rsid w:val="045FE385"/>
    <w:rsid w:val="0475227A"/>
    <w:rsid w:val="04796C0C"/>
    <w:rsid w:val="048A09DA"/>
    <w:rsid w:val="048A7263"/>
    <w:rsid w:val="048E0883"/>
    <w:rsid w:val="049D4797"/>
    <w:rsid w:val="04A01106"/>
    <w:rsid w:val="04A09C07"/>
    <w:rsid w:val="04A0B93B"/>
    <w:rsid w:val="04A38D52"/>
    <w:rsid w:val="04AA5AA7"/>
    <w:rsid w:val="04B022F7"/>
    <w:rsid w:val="04B28744"/>
    <w:rsid w:val="04B451B2"/>
    <w:rsid w:val="04B652B7"/>
    <w:rsid w:val="04B8B18C"/>
    <w:rsid w:val="04B97BEE"/>
    <w:rsid w:val="04C25220"/>
    <w:rsid w:val="04CCFB3E"/>
    <w:rsid w:val="04CD2BE8"/>
    <w:rsid w:val="04CFAC00"/>
    <w:rsid w:val="04D1D4CE"/>
    <w:rsid w:val="04D44F78"/>
    <w:rsid w:val="04D6E533"/>
    <w:rsid w:val="04DBA139"/>
    <w:rsid w:val="04DC0B2B"/>
    <w:rsid w:val="04DEE094"/>
    <w:rsid w:val="04DF0791"/>
    <w:rsid w:val="04E0912E"/>
    <w:rsid w:val="04E39FFA"/>
    <w:rsid w:val="04EBE7E7"/>
    <w:rsid w:val="04ED069C"/>
    <w:rsid w:val="04EE205F"/>
    <w:rsid w:val="04EF71D5"/>
    <w:rsid w:val="04EF778B"/>
    <w:rsid w:val="04FEA2AB"/>
    <w:rsid w:val="05030545"/>
    <w:rsid w:val="05031C32"/>
    <w:rsid w:val="0503A259"/>
    <w:rsid w:val="0505D541"/>
    <w:rsid w:val="051391ED"/>
    <w:rsid w:val="05163B2F"/>
    <w:rsid w:val="052275DA"/>
    <w:rsid w:val="0522A7E7"/>
    <w:rsid w:val="0525C8F1"/>
    <w:rsid w:val="0526ACF6"/>
    <w:rsid w:val="052EF8D8"/>
    <w:rsid w:val="052F9ECE"/>
    <w:rsid w:val="05308517"/>
    <w:rsid w:val="05316AB6"/>
    <w:rsid w:val="05376966"/>
    <w:rsid w:val="0537EED6"/>
    <w:rsid w:val="053FC16B"/>
    <w:rsid w:val="05406B0D"/>
    <w:rsid w:val="0547AF66"/>
    <w:rsid w:val="054C5537"/>
    <w:rsid w:val="054CF947"/>
    <w:rsid w:val="05507587"/>
    <w:rsid w:val="05518203"/>
    <w:rsid w:val="0552E3CB"/>
    <w:rsid w:val="055B2AEE"/>
    <w:rsid w:val="055BDBA0"/>
    <w:rsid w:val="055D5DBE"/>
    <w:rsid w:val="055EEF61"/>
    <w:rsid w:val="055F7DEB"/>
    <w:rsid w:val="0566F6F9"/>
    <w:rsid w:val="05670F62"/>
    <w:rsid w:val="0568C484"/>
    <w:rsid w:val="056B57C5"/>
    <w:rsid w:val="05713755"/>
    <w:rsid w:val="057371B4"/>
    <w:rsid w:val="05765CCC"/>
    <w:rsid w:val="057A9D8B"/>
    <w:rsid w:val="057E7BA7"/>
    <w:rsid w:val="05823952"/>
    <w:rsid w:val="0583D55F"/>
    <w:rsid w:val="05886B93"/>
    <w:rsid w:val="058D70CC"/>
    <w:rsid w:val="058DDB5A"/>
    <w:rsid w:val="0592ED1A"/>
    <w:rsid w:val="0595EC8E"/>
    <w:rsid w:val="059AC1EA"/>
    <w:rsid w:val="059ACF2D"/>
    <w:rsid w:val="059C1D0E"/>
    <w:rsid w:val="059E4765"/>
    <w:rsid w:val="05A05202"/>
    <w:rsid w:val="05A58CE6"/>
    <w:rsid w:val="05A5F964"/>
    <w:rsid w:val="05A8C3A9"/>
    <w:rsid w:val="05A8EEB2"/>
    <w:rsid w:val="05A9C76C"/>
    <w:rsid w:val="05AC3931"/>
    <w:rsid w:val="05B8DF6F"/>
    <w:rsid w:val="05B924C4"/>
    <w:rsid w:val="05BAC90E"/>
    <w:rsid w:val="05BE54DB"/>
    <w:rsid w:val="05C6B2D5"/>
    <w:rsid w:val="05C700A3"/>
    <w:rsid w:val="05C8D61C"/>
    <w:rsid w:val="05D03ACC"/>
    <w:rsid w:val="05D59159"/>
    <w:rsid w:val="05D7A583"/>
    <w:rsid w:val="05D92B1F"/>
    <w:rsid w:val="05DE4D37"/>
    <w:rsid w:val="05DE8085"/>
    <w:rsid w:val="05E43776"/>
    <w:rsid w:val="05E95831"/>
    <w:rsid w:val="05F00039"/>
    <w:rsid w:val="05F1C5BD"/>
    <w:rsid w:val="05F2F6DB"/>
    <w:rsid w:val="05F5451E"/>
    <w:rsid w:val="05F7F107"/>
    <w:rsid w:val="05FC7BB7"/>
    <w:rsid w:val="0604D7B0"/>
    <w:rsid w:val="0609A0D8"/>
    <w:rsid w:val="061DD97B"/>
    <w:rsid w:val="0620E016"/>
    <w:rsid w:val="0625E2B8"/>
    <w:rsid w:val="06274CBF"/>
    <w:rsid w:val="062A3B5C"/>
    <w:rsid w:val="062F15E1"/>
    <w:rsid w:val="0638BB59"/>
    <w:rsid w:val="06397CA8"/>
    <w:rsid w:val="064357DE"/>
    <w:rsid w:val="0647C022"/>
    <w:rsid w:val="0649271E"/>
    <w:rsid w:val="06553C05"/>
    <w:rsid w:val="065A90AE"/>
    <w:rsid w:val="066BBF03"/>
    <w:rsid w:val="066E19A9"/>
    <w:rsid w:val="0676EEB3"/>
    <w:rsid w:val="067CBB6F"/>
    <w:rsid w:val="068554FA"/>
    <w:rsid w:val="06861311"/>
    <w:rsid w:val="068DC358"/>
    <w:rsid w:val="069192EB"/>
    <w:rsid w:val="0691B3B1"/>
    <w:rsid w:val="06A5F0DE"/>
    <w:rsid w:val="06A91E68"/>
    <w:rsid w:val="06AA358B"/>
    <w:rsid w:val="06AAFB5F"/>
    <w:rsid w:val="06AC7CAD"/>
    <w:rsid w:val="06B12A83"/>
    <w:rsid w:val="06B14CC3"/>
    <w:rsid w:val="06B63FBF"/>
    <w:rsid w:val="06BC5FDA"/>
    <w:rsid w:val="06C2801C"/>
    <w:rsid w:val="06C3024C"/>
    <w:rsid w:val="06C4EE84"/>
    <w:rsid w:val="06C7F5F2"/>
    <w:rsid w:val="06CB9702"/>
    <w:rsid w:val="06CD0076"/>
    <w:rsid w:val="06D039B7"/>
    <w:rsid w:val="06D33533"/>
    <w:rsid w:val="06D604E2"/>
    <w:rsid w:val="06D69AC7"/>
    <w:rsid w:val="06DD31FF"/>
    <w:rsid w:val="06DDF39F"/>
    <w:rsid w:val="06DFDC47"/>
    <w:rsid w:val="06E052BC"/>
    <w:rsid w:val="06E35579"/>
    <w:rsid w:val="06E54115"/>
    <w:rsid w:val="06E67470"/>
    <w:rsid w:val="06EAA975"/>
    <w:rsid w:val="06EB4FA7"/>
    <w:rsid w:val="06EBD1BE"/>
    <w:rsid w:val="06EE9A6F"/>
    <w:rsid w:val="06EF8B32"/>
    <w:rsid w:val="06F08EB6"/>
    <w:rsid w:val="06F21908"/>
    <w:rsid w:val="06FBA3F7"/>
    <w:rsid w:val="07029F02"/>
    <w:rsid w:val="0706CCCA"/>
    <w:rsid w:val="07081482"/>
    <w:rsid w:val="070AB205"/>
    <w:rsid w:val="071131D4"/>
    <w:rsid w:val="071225AF"/>
    <w:rsid w:val="07131A06"/>
    <w:rsid w:val="0714C1AF"/>
    <w:rsid w:val="0717F52F"/>
    <w:rsid w:val="0718F334"/>
    <w:rsid w:val="071E0F1A"/>
    <w:rsid w:val="071F29FE"/>
    <w:rsid w:val="0722E0D9"/>
    <w:rsid w:val="072A981E"/>
    <w:rsid w:val="072ABC00"/>
    <w:rsid w:val="0733BB3A"/>
    <w:rsid w:val="0734AF14"/>
    <w:rsid w:val="0736C0F3"/>
    <w:rsid w:val="074219AA"/>
    <w:rsid w:val="07422FD2"/>
    <w:rsid w:val="074472AA"/>
    <w:rsid w:val="07463597"/>
    <w:rsid w:val="0746BF1C"/>
    <w:rsid w:val="0749F446"/>
    <w:rsid w:val="074FB821"/>
    <w:rsid w:val="074FC4BA"/>
    <w:rsid w:val="075252D2"/>
    <w:rsid w:val="07540D2B"/>
    <w:rsid w:val="075918F3"/>
    <w:rsid w:val="075A5680"/>
    <w:rsid w:val="075DEBCF"/>
    <w:rsid w:val="075EB34A"/>
    <w:rsid w:val="076177C5"/>
    <w:rsid w:val="07670E84"/>
    <w:rsid w:val="076EBFAB"/>
    <w:rsid w:val="076F441E"/>
    <w:rsid w:val="07732B5A"/>
    <w:rsid w:val="07871738"/>
    <w:rsid w:val="078AF24C"/>
    <w:rsid w:val="078DA3BD"/>
    <w:rsid w:val="07923D52"/>
    <w:rsid w:val="079917EE"/>
    <w:rsid w:val="079A0BAD"/>
    <w:rsid w:val="079B0209"/>
    <w:rsid w:val="079E448F"/>
    <w:rsid w:val="07A12B68"/>
    <w:rsid w:val="07A60DAA"/>
    <w:rsid w:val="07AE29C8"/>
    <w:rsid w:val="07B14A0E"/>
    <w:rsid w:val="07B2D691"/>
    <w:rsid w:val="07B49D73"/>
    <w:rsid w:val="07B96626"/>
    <w:rsid w:val="07BBB0FA"/>
    <w:rsid w:val="07C0691F"/>
    <w:rsid w:val="07C0958D"/>
    <w:rsid w:val="07CF4EE2"/>
    <w:rsid w:val="07D3158D"/>
    <w:rsid w:val="07D6439C"/>
    <w:rsid w:val="07D81D9B"/>
    <w:rsid w:val="07D86996"/>
    <w:rsid w:val="07DC42F8"/>
    <w:rsid w:val="07E19E25"/>
    <w:rsid w:val="07E375F6"/>
    <w:rsid w:val="07E606AE"/>
    <w:rsid w:val="07EC2FC7"/>
    <w:rsid w:val="07EE2AFA"/>
    <w:rsid w:val="07EEC20E"/>
    <w:rsid w:val="07F24641"/>
    <w:rsid w:val="07F9A1A7"/>
    <w:rsid w:val="07FEACF4"/>
    <w:rsid w:val="0805C2F0"/>
    <w:rsid w:val="0807FB00"/>
    <w:rsid w:val="08084B48"/>
    <w:rsid w:val="080DD45B"/>
    <w:rsid w:val="080F00D4"/>
    <w:rsid w:val="0810C91A"/>
    <w:rsid w:val="081BE97A"/>
    <w:rsid w:val="081D7AC5"/>
    <w:rsid w:val="081E473F"/>
    <w:rsid w:val="081FF3A9"/>
    <w:rsid w:val="08258C23"/>
    <w:rsid w:val="0826F217"/>
    <w:rsid w:val="082782E5"/>
    <w:rsid w:val="0827A9FF"/>
    <w:rsid w:val="0828D522"/>
    <w:rsid w:val="083062D6"/>
    <w:rsid w:val="0832732E"/>
    <w:rsid w:val="08328CBB"/>
    <w:rsid w:val="0837AC2D"/>
    <w:rsid w:val="08382EA8"/>
    <w:rsid w:val="08390B62"/>
    <w:rsid w:val="083DFC33"/>
    <w:rsid w:val="083F494B"/>
    <w:rsid w:val="0841C301"/>
    <w:rsid w:val="0843F79A"/>
    <w:rsid w:val="08453D86"/>
    <w:rsid w:val="08472E7C"/>
    <w:rsid w:val="084744DC"/>
    <w:rsid w:val="08482CE8"/>
    <w:rsid w:val="08494A14"/>
    <w:rsid w:val="0849A567"/>
    <w:rsid w:val="084D79CA"/>
    <w:rsid w:val="084DE027"/>
    <w:rsid w:val="0853E61B"/>
    <w:rsid w:val="085BB5C5"/>
    <w:rsid w:val="085D4AE0"/>
    <w:rsid w:val="08603758"/>
    <w:rsid w:val="086160C6"/>
    <w:rsid w:val="0861A845"/>
    <w:rsid w:val="0861F3D5"/>
    <w:rsid w:val="086533C1"/>
    <w:rsid w:val="0867E74D"/>
    <w:rsid w:val="086E63CD"/>
    <w:rsid w:val="08711F8A"/>
    <w:rsid w:val="0875746C"/>
    <w:rsid w:val="08771107"/>
    <w:rsid w:val="087C4845"/>
    <w:rsid w:val="08884374"/>
    <w:rsid w:val="0889C106"/>
    <w:rsid w:val="0889D006"/>
    <w:rsid w:val="088C08BC"/>
    <w:rsid w:val="088C2A7D"/>
    <w:rsid w:val="088D6FAE"/>
    <w:rsid w:val="088DAA79"/>
    <w:rsid w:val="0895FD3A"/>
    <w:rsid w:val="089783CE"/>
    <w:rsid w:val="0899FA75"/>
    <w:rsid w:val="089B0C28"/>
    <w:rsid w:val="089C7FB0"/>
    <w:rsid w:val="089E2FD4"/>
    <w:rsid w:val="089EAE4D"/>
    <w:rsid w:val="089F7E3C"/>
    <w:rsid w:val="08ADEB02"/>
    <w:rsid w:val="08B13DCC"/>
    <w:rsid w:val="08BA0B97"/>
    <w:rsid w:val="08BE15CE"/>
    <w:rsid w:val="08C09CE5"/>
    <w:rsid w:val="08CA9AB1"/>
    <w:rsid w:val="08CBB3B3"/>
    <w:rsid w:val="08CD4F61"/>
    <w:rsid w:val="08D1BFA8"/>
    <w:rsid w:val="08D20C2B"/>
    <w:rsid w:val="08D58008"/>
    <w:rsid w:val="08D6EC17"/>
    <w:rsid w:val="08D76023"/>
    <w:rsid w:val="08D91C90"/>
    <w:rsid w:val="08DB22B9"/>
    <w:rsid w:val="08DB8E0B"/>
    <w:rsid w:val="08E5773F"/>
    <w:rsid w:val="08F250BF"/>
    <w:rsid w:val="08F3EC7A"/>
    <w:rsid w:val="08F845D4"/>
    <w:rsid w:val="08F975BD"/>
    <w:rsid w:val="08FA5B86"/>
    <w:rsid w:val="08FA600F"/>
    <w:rsid w:val="08FF79F2"/>
    <w:rsid w:val="090220C5"/>
    <w:rsid w:val="0904EFA9"/>
    <w:rsid w:val="0905C346"/>
    <w:rsid w:val="090AC36D"/>
    <w:rsid w:val="090F4BC2"/>
    <w:rsid w:val="0910B52D"/>
    <w:rsid w:val="091A1AAA"/>
    <w:rsid w:val="09274054"/>
    <w:rsid w:val="09280B35"/>
    <w:rsid w:val="0931ECD4"/>
    <w:rsid w:val="09353BEB"/>
    <w:rsid w:val="093774B8"/>
    <w:rsid w:val="093AC409"/>
    <w:rsid w:val="093DBDC0"/>
    <w:rsid w:val="09428B22"/>
    <w:rsid w:val="09429003"/>
    <w:rsid w:val="0942D289"/>
    <w:rsid w:val="094C2F42"/>
    <w:rsid w:val="0952E798"/>
    <w:rsid w:val="0952F9B7"/>
    <w:rsid w:val="09567265"/>
    <w:rsid w:val="0957FC62"/>
    <w:rsid w:val="095811F2"/>
    <w:rsid w:val="095A0FCB"/>
    <w:rsid w:val="095FEFA9"/>
    <w:rsid w:val="0960E1B1"/>
    <w:rsid w:val="09620890"/>
    <w:rsid w:val="0964DEF9"/>
    <w:rsid w:val="096C9D0F"/>
    <w:rsid w:val="096D4176"/>
    <w:rsid w:val="09707756"/>
    <w:rsid w:val="0972334D"/>
    <w:rsid w:val="09738DCF"/>
    <w:rsid w:val="097408F1"/>
    <w:rsid w:val="0974666C"/>
    <w:rsid w:val="097468B5"/>
    <w:rsid w:val="0977C20D"/>
    <w:rsid w:val="097B7B86"/>
    <w:rsid w:val="097D410A"/>
    <w:rsid w:val="0983E79B"/>
    <w:rsid w:val="09842CE4"/>
    <w:rsid w:val="0993745A"/>
    <w:rsid w:val="0994941D"/>
    <w:rsid w:val="09981ADA"/>
    <w:rsid w:val="099B7AB8"/>
    <w:rsid w:val="099F49D9"/>
    <w:rsid w:val="09A0C2F3"/>
    <w:rsid w:val="09A3CFFE"/>
    <w:rsid w:val="09A676C9"/>
    <w:rsid w:val="09A77B86"/>
    <w:rsid w:val="09A7BDC0"/>
    <w:rsid w:val="09A8A7D1"/>
    <w:rsid w:val="09AAFA5D"/>
    <w:rsid w:val="09AB0E49"/>
    <w:rsid w:val="09ADF2C1"/>
    <w:rsid w:val="09B0FF67"/>
    <w:rsid w:val="09B5D97F"/>
    <w:rsid w:val="09C01E84"/>
    <w:rsid w:val="09C9A774"/>
    <w:rsid w:val="09CD4F96"/>
    <w:rsid w:val="09CE2002"/>
    <w:rsid w:val="09CF4E02"/>
    <w:rsid w:val="09D4838E"/>
    <w:rsid w:val="09D759F7"/>
    <w:rsid w:val="09DAF069"/>
    <w:rsid w:val="09E32B55"/>
    <w:rsid w:val="09E39423"/>
    <w:rsid w:val="09EC7D8A"/>
    <w:rsid w:val="09EDC8D2"/>
    <w:rsid w:val="09EF7D79"/>
    <w:rsid w:val="09F88683"/>
    <w:rsid w:val="09FD5F71"/>
    <w:rsid w:val="09FE7A60"/>
    <w:rsid w:val="09FEB7A7"/>
    <w:rsid w:val="0A00D1FD"/>
    <w:rsid w:val="0A02665C"/>
    <w:rsid w:val="0A0581AB"/>
    <w:rsid w:val="0A125EF4"/>
    <w:rsid w:val="0A1E2B59"/>
    <w:rsid w:val="0A1EF25E"/>
    <w:rsid w:val="0A1F650B"/>
    <w:rsid w:val="0A1F8E6C"/>
    <w:rsid w:val="0A20CF8E"/>
    <w:rsid w:val="0A3C3047"/>
    <w:rsid w:val="0A3C74F4"/>
    <w:rsid w:val="0A4A91AA"/>
    <w:rsid w:val="0A4BA5FC"/>
    <w:rsid w:val="0A4D9C64"/>
    <w:rsid w:val="0A4F3620"/>
    <w:rsid w:val="0A501290"/>
    <w:rsid w:val="0A541127"/>
    <w:rsid w:val="0A58A945"/>
    <w:rsid w:val="0A596A21"/>
    <w:rsid w:val="0A5EF5F3"/>
    <w:rsid w:val="0A60FAF6"/>
    <w:rsid w:val="0A6126E2"/>
    <w:rsid w:val="0A61B1F1"/>
    <w:rsid w:val="0A61E1D7"/>
    <w:rsid w:val="0A65AEE5"/>
    <w:rsid w:val="0A67BCE6"/>
    <w:rsid w:val="0A6A7462"/>
    <w:rsid w:val="0A6D3AF5"/>
    <w:rsid w:val="0A76AC69"/>
    <w:rsid w:val="0A7A86EC"/>
    <w:rsid w:val="0A7CACE3"/>
    <w:rsid w:val="0A80C296"/>
    <w:rsid w:val="0A832BF0"/>
    <w:rsid w:val="0A86B756"/>
    <w:rsid w:val="0A86EBB9"/>
    <w:rsid w:val="0A8A1EBD"/>
    <w:rsid w:val="0A8A3239"/>
    <w:rsid w:val="0A8A87E8"/>
    <w:rsid w:val="0A95F8F0"/>
    <w:rsid w:val="0A992D64"/>
    <w:rsid w:val="0A9AF7CF"/>
    <w:rsid w:val="0AAA76C3"/>
    <w:rsid w:val="0AABFBDE"/>
    <w:rsid w:val="0AAD62D1"/>
    <w:rsid w:val="0AAFF1DC"/>
    <w:rsid w:val="0AB02C48"/>
    <w:rsid w:val="0AB06C9C"/>
    <w:rsid w:val="0AB0BCBC"/>
    <w:rsid w:val="0AB67E31"/>
    <w:rsid w:val="0ACF4F31"/>
    <w:rsid w:val="0AD2DC17"/>
    <w:rsid w:val="0AD391E6"/>
    <w:rsid w:val="0AD3992A"/>
    <w:rsid w:val="0AD99483"/>
    <w:rsid w:val="0ADA0BEF"/>
    <w:rsid w:val="0ADB812A"/>
    <w:rsid w:val="0ADC3BC6"/>
    <w:rsid w:val="0AE08343"/>
    <w:rsid w:val="0AE1EAC5"/>
    <w:rsid w:val="0AE797D4"/>
    <w:rsid w:val="0AE92E75"/>
    <w:rsid w:val="0AEE9DA7"/>
    <w:rsid w:val="0AF27F70"/>
    <w:rsid w:val="0AF72762"/>
    <w:rsid w:val="0AFB165B"/>
    <w:rsid w:val="0AFB6171"/>
    <w:rsid w:val="0AFEB2A8"/>
    <w:rsid w:val="0B095D01"/>
    <w:rsid w:val="0B0C3B89"/>
    <w:rsid w:val="0B0D042A"/>
    <w:rsid w:val="0B0D1A3B"/>
    <w:rsid w:val="0B169E1E"/>
    <w:rsid w:val="0B1F2036"/>
    <w:rsid w:val="0B26D557"/>
    <w:rsid w:val="0B284ED2"/>
    <w:rsid w:val="0B31A94C"/>
    <w:rsid w:val="0B321332"/>
    <w:rsid w:val="0B333530"/>
    <w:rsid w:val="0B381EB7"/>
    <w:rsid w:val="0B3ACEE2"/>
    <w:rsid w:val="0B48CB75"/>
    <w:rsid w:val="0B4AA007"/>
    <w:rsid w:val="0B4E4194"/>
    <w:rsid w:val="0B503469"/>
    <w:rsid w:val="0B53CAF1"/>
    <w:rsid w:val="0B54AB93"/>
    <w:rsid w:val="0B54F66F"/>
    <w:rsid w:val="0B566931"/>
    <w:rsid w:val="0B59B8FA"/>
    <w:rsid w:val="0B5DE9D9"/>
    <w:rsid w:val="0B64B14E"/>
    <w:rsid w:val="0B64D42A"/>
    <w:rsid w:val="0B650F94"/>
    <w:rsid w:val="0B656B30"/>
    <w:rsid w:val="0B67E5D6"/>
    <w:rsid w:val="0B6BE63D"/>
    <w:rsid w:val="0B713B9E"/>
    <w:rsid w:val="0B74F239"/>
    <w:rsid w:val="0B7AC833"/>
    <w:rsid w:val="0B7FAB0E"/>
    <w:rsid w:val="0B891AFE"/>
    <w:rsid w:val="0B8A48E3"/>
    <w:rsid w:val="0B8B8BAA"/>
    <w:rsid w:val="0B8D3EDA"/>
    <w:rsid w:val="0B8D7118"/>
    <w:rsid w:val="0B90D971"/>
    <w:rsid w:val="0B942952"/>
    <w:rsid w:val="0B9C2986"/>
    <w:rsid w:val="0B9D8AF5"/>
    <w:rsid w:val="0B9DE95F"/>
    <w:rsid w:val="0B9F7512"/>
    <w:rsid w:val="0BA7F864"/>
    <w:rsid w:val="0BACC6FA"/>
    <w:rsid w:val="0BB17DD6"/>
    <w:rsid w:val="0BB5A07A"/>
    <w:rsid w:val="0BB8F781"/>
    <w:rsid w:val="0BBBE37D"/>
    <w:rsid w:val="0BC31FD2"/>
    <w:rsid w:val="0BC3FDEE"/>
    <w:rsid w:val="0BD2DE1E"/>
    <w:rsid w:val="0BD9AA8A"/>
    <w:rsid w:val="0BDF428E"/>
    <w:rsid w:val="0BE224ED"/>
    <w:rsid w:val="0BE44606"/>
    <w:rsid w:val="0BE585E3"/>
    <w:rsid w:val="0BE61E1C"/>
    <w:rsid w:val="0BE6EA81"/>
    <w:rsid w:val="0BF2B8D5"/>
    <w:rsid w:val="0BF61C15"/>
    <w:rsid w:val="0BF73953"/>
    <w:rsid w:val="0BFBE189"/>
    <w:rsid w:val="0BFD3611"/>
    <w:rsid w:val="0BFDEEC0"/>
    <w:rsid w:val="0C012F8B"/>
    <w:rsid w:val="0C01CC26"/>
    <w:rsid w:val="0C0776B7"/>
    <w:rsid w:val="0C0C702C"/>
    <w:rsid w:val="0C0E4913"/>
    <w:rsid w:val="0C0F0DAC"/>
    <w:rsid w:val="0C11E23B"/>
    <w:rsid w:val="0C136669"/>
    <w:rsid w:val="0C1482A0"/>
    <w:rsid w:val="0C1A3CCA"/>
    <w:rsid w:val="0C221243"/>
    <w:rsid w:val="0C24418F"/>
    <w:rsid w:val="0C2506E8"/>
    <w:rsid w:val="0C2885A9"/>
    <w:rsid w:val="0C2A9601"/>
    <w:rsid w:val="0C2E1B18"/>
    <w:rsid w:val="0C30B646"/>
    <w:rsid w:val="0C32328E"/>
    <w:rsid w:val="0C38E668"/>
    <w:rsid w:val="0C4130D4"/>
    <w:rsid w:val="0C41FEFD"/>
    <w:rsid w:val="0C483908"/>
    <w:rsid w:val="0C4C083F"/>
    <w:rsid w:val="0C4CB989"/>
    <w:rsid w:val="0C4FD2E3"/>
    <w:rsid w:val="0C548C04"/>
    <w:rsid w:val="0C563BB5"/>
    <w:rsid w:val="0C5FCBB3"/>
    <w:rsid w:val="0C680D63"/>
    <w:rsid w:val="0C6AFCE3"/>
    <w:rsid w:val="0C6CAE70"/>
    <w:rsid w:val="0C6F7F29"/>
    <w:rsid w:val="0C77B347"/>
    <w:rsid w:val="0C77C554"/>
    <w:rsid w:val="0C79602D"/>
    <w:rsid w:val="0C7BF3F6"/>
    <w:rsid w:val="0C8CD7D5"/>
    <w:rsid w:val="0C8CFD39"/>
    <w:rsid w:val="0C9912DD"/>
    <w:rsid w:val="0C9C1E6A"/>
    <w:rsid w:val="0CAF95E7"/>
    <w:rsid w:val="0CB825F2"/>
    <w:rsid w:val="0CB83A9B"/>
    <w:rsid w:val="0CBC8D4B"/>
    <w:rsid w:val="0CC1116C"/>
    <w:rsid w:val="0CC1BAC3"/>
    <w:rsid w:val="0CC8BB27"/>
    <w:rsid w:val="0CCC020E"/>
    <w:rsid w:val="0CD31070"/>
    <w:rsid w:val="0CD7153F"/>
    <w:rsid w:val="0CD8EF07"/>
    <w:rsid w:val="0CDB0AE7"/>
    <w:rsid w:val="0CDC7BBA"/>
    <w:rsid w:val="0CDFFD4D"/>
    <w:rsid w:val="0CE1E71D"/>
    <w:rsid w:val="0CE2875D"/>
    <w:rsid w:val="0CE448B5"/>
    <w:rsid w:val="0CE8307D"/>
    <w:rsid w:val="0CEA1020"/>
    <w:rsid w:val="0CF8A00B"/>
    <w:rsid w:val="0CFC8341"/>
    <w:rsid w:val="0CFE93E0"/>
    <w:rsid w:val="0CFF8562"/>
    <w:rsid w:val="0D023B11"/>
    <w:rsid w:val="0D045F42"/>
    <w:rsid w:val="0D0564AB"/>
    <w:rsid w:val="0D0761F9"/>
    <w:rsid w:val="0D091EF8"/>
    <w:rsid w:val="0D0B36F8"/>
    <w:rsid w:val="0D0E0A3C"/>
    <w:rsid w:val="0D11125A"/>
    <w:rsid w:val="0D11C39C"/>
    <w:rsid w:val="0D135142"/>
    <w:rsid w:val="0D1909CB"/>
    <w:rsid w:val="0D1D055D"/>
    <w:rsid w:val="0D1EE89B"/>
    <w:rsid w:val="0D29EB95"/>
    <w:rsid w:val="0D35232E"/>
    <w:rsid w:val="0D360C18"/>
    <w:rsid w:val="0D37658D"/>
    <w:rsid w:val="0D380DCB"/>
    <w:rsid w:val="0D3F7E52"/>
    <w:rsid w:val="0D4746B2"/>
    <w:rsid w:val="0D50626D"/>
    <w:rsid w:val="0D513F87"/>
    <w:rsid w:val="0D53347B"/>
    <w:rsid w:val="0D55586D"/>
    <w:rsid w:val="0D5C4C32"/>
    <w:rsid w:val="0D5CF21D"/>
    <w:rsid w:val="0D633DC4"/>
    <w:rsid w:val="0D67A39F"/>
    <w:rsid w:val="0D6B6993"/>
    <w:rsid w:val="0D6CEF1A"/>
    <w:rsid w:val="0D739462"/>
    <w:rsid w:val="0D746C6E"/>
    <w:rsid w:val="0D7F314C"/>
    <w:rsid w:val="0D862113"/>
    <w:rsid w:val="0D891870"/>
    <w:rsid w:val="0D91F0B1"/>
    <w:rsid w:val="0D9E104B"/>
    <w:rsid w:val="0DA1CAB0"/>
    <w:rsid w:val="0DA41D16"/>
    <w:rsid w:val="0DA474C2"/>
    <w:rsid w:val="0DA797E1"/>
    <w:rsid w:val="0DA7B656"/>
    <w:rsid w:val="0DAAFF7C"/>
    <w:rsid w:val="0DB00267"/>
    <w:rsid w:val="0DB389E0"/>
    <w:rsid w:val="0DB5B0D4"/>
    <w:rsid w:val="0DC269D2"/>
    <w:rsid w:val="0DC3E38C"/>
    <w:rsid w:val="0DC72B83"/>
    <w:rsid w:val="0DC85A09"/>
    <w:rsid w:val="0DCC2B9F"/>
    <w:rsid w:val="0DD392C5"/>
    <w:rsid w:val="0DD4F0F8"/>
    <w:rsid w:val="0DD72D79"/>
    <w:rsid w:val="0DDA3566"/>
    <w:rsid w:val="0DE2EE07"/>
    <w:rsid w:val="0DE81B5D"/>
    <w:rsid w:val="0DE94EF5"/>
    <w:rsid w:val="0DF26648"/>
    <w:rsid w:val="0DFB9153"/>
    <w:rsid w:val="0DFCF790"/>
    <w:rsid w:val="0E07AD04"/>
    <w:rsid w:val="0E08BE15"/>
    <w:rsid w:val="0E14E130"/>
    <w:rsid w:val="0E1AC3B0"/>
    <w:rsid w:val="0E1CFA99"/>
    <w:rsid w:val="0E225ACA"/>
    <w:rsid w:val="0E257601"/>
    <w:rsid w:val="0E32FA0F"/>
    <w:rsid w:val="0E3559C3"/>
    <w:rsid w:val="0E362038"/>
    <w:rsid w:val="0E37A2E2"/>
    <w:rsid w:val="0E38DCB3"/>
    <w:rsid w:val="0E39D450"/>
    <w:rsid w:val="0E3E84E4"/>
    <w:rsid w:val="0E41C7ED"/>
    <w:rsid w:val="0E42DED2"/>
    <w:rsid w:val="0E488C1D"/>
    <w:rsid w:val="0E4F164A"/>
    <w:rsid w:val="0E57BCA2"/>
    <w:rsid w:val="0E57C7F1"/>
    <w:rsid w:val="0E59FC1F"/>
    <w:rsid w:val="0E5E44AF"/>
    <w:rsid w:val="0E60D230"/>
    <w:rsid w:val="0E647DE8"/>
    <w:rsid w:val="0E651196"/>
    <w:rsid w:val="0E65E34B"/>
    <w:rsid w:val="0E6EDFC9"/>
    <w:rsid w:val="0E6F6ADE"/>
    <w:rsid w:val="0E756819"/>
    <w:rsid w:val="0E773306"/>
    <w:rsid w:val="0E799806"/>
    <w:rsid w:val="0E8119B8"/>
    <w:rsid w:val="0E81C3B3"/>
    <w:rsid w:val="0E897B9C"/>
    <w:rsid w:val="0E89FC35"/>
    <w:rsid w:val="0E8C40D1"/>
    <w:rsid w:val="0E8CCD78"/>
    <w:rsid w:val="0E90E8F0"/>
    <w:rsid w:val="0E9B0091"/>
    <w:rsid w:val="0E9CD97A"/>
    <w:rsid w:val="0E9D98ED"/>
    <w:rsid w:val="0EA0CC5D"/>
    <w:rsid w:val="0EA60D78"/>
    <w:rsid w:val="0EAAF822"/>
    <w:rsid w:val="0EBDA3E0"/>
    <w:rsid w:val="0EBDAE6F"/>
    <w:rsid w:val="0EC3FF1E"/>
    <w:rsid w:val="0EC646FE"/>
    <w:rsid w:val="0ECF043F"/>
    <w:rsid w:val="0ED4B022"/>
    <w:rsid w:val="0ED80162"/>
    <w:rsid w:val="0ED9775A"/>
    <w:rsid w:val="0ED9DB99"/>
    <w:rsid w:val="0EE48124"/>
    <w:rsid w:val="0EE84D5F"/>
    <w:rsid w:val="0EE979B9"/>
    <w:rsid w:val="0EF3A49A"/>
    <w:rsid w:val="0EF73FF7"/>
    <w:rsid w:val="0EF7706C"/>
    <w:rsid w:val="0EFB91EC"/>
    <w:rsid w:val="0EFBFC01"/>
    <w:rsid w:val="0EFD227D"/>
    <w:rsid w:val="0F01A37B"/>
    <w:rsid w:val="0F036666"/>
    <w:rsid w:val="0F0A82C6"/>
    <w:rsid w:val="0F0CF1AF"/>
    <w:rsid w:val="0F16A06D"/>
    <w:rsid w:val="0F1BB473"/>
    <w:rsid w:val="0F1E1B91"/>
    <w:rsid w:val="0F26A108"/>
    <w:rsid w:val="0F285825"/>
    <w:rsid w:val="0F286FE6"/>
    <w:rsid w:val="0F2A2F44"/>
    <w:rsid w:val="0F2CB846"/>
    <w:rsid w:val="0F3872D3"/>
    <w:rsid w:val="0F3C1E4A"/>
    <w:rsid w:val="0F3C6B9D"/>
    <w:rsid w:val="0F3DEE12"/>
    <w:rsid w:val="0F3E9EEF"/>
    <w:rsid w:val="0F42333C"/>
    <w:rsid w:val="0F435D99"/>
    <w:rsid w:val="0F489E8B"/>
    <w:rsid w:val="0F4BA2EC"/>
    <w:rsid w:val="0F4C2A4F"/>
    <w:rsid w:val="0F4C4446"/>
    <w:rsid w:val="0F4D447D"/>
    <w:rsid w:val="0F4DAA73"/>
    <w:rsid w:val="0F4EFFF3"/>
    <w:rsid w:val="0F581168"/>
    <w:rsid w:val="0F5CF3D3"/>
    <w:rsid w:val="0F61BCA6"/>
    <w:rsid w:val="0F61D096"/>
    <w:rsid w:val="0F63C954"/>
    <w:rsid w:val="0F66DB70"/>
    <w:rsid w:val="0F6A7E87"/>
    <w:rsid w:val="0F780247"/>
    <w:rsid w:val="0F795A8E"/>
    <w:rsid w:val="0F8073D9"/>
    <w:rsid w:val="0F823898"/>
    <w:rsid w:val="0F828768"/>
    <w:rsid w:val="0F83EB3F"/>
    <w:rsid w:val="0F86C31B"/>
    <w:rsid w:val="0F8BEB70"/>
    <w:rsid w:val="0F90B451"/>
    <w:rsid w:val="0F9360A9"/>
    <w:rsid w:val="0F97A159"/>
    <w:rsid w:val="0F98261C"/>
    <w:rsid w:val="0F985580"/>
    <w:rsid w:val="0F9985BC"/>
    <w:rsid w:val="0F9B6A46"/>
    <w:rsid w:val="0FABC17A"/>
    <w:rsid w:val="0FB07273"/>
    <w:rsid w:val="0FB2895C"/>
    <w:rsid w:val="0FB2B8A2"/>
    <w:rsid w:val="0FB37479"/>
    <w:rsid w:val="0FB50CBD"/>
    <w:rsid w:val="0FB5EFCB"/>
    <w:rsid w:val="0FB723ED"/>
    <w:rsid w:val="0FB98C8D"/>
    <w:rsid w:val="0FBC86AD"/>
    <w:rsid w:val="0FC0E272"/>
    <w:rsid w:val="0FC929F3"/>
    <w:rsid w:val="0FCF151C"/>
    <w:rsid w:val="0FCF5F60"/>
    <w:rsid w:val="0FD0088D"/>
    <w:rsid w:val="0FDA83CF"/>
    <w:rsid w:val="0FDAB9ED"/>
    <w:rsid w:val="0FDAD00F"/>
    <w:rsid w:val="0FDDB92F"/>
    <w:rsid w:val="0FEC6684"/>
    <w:rsid w:val="0FEE9F9D"/>
    <w:rsid w:val="0FFAACAB"/>
    <w:rsid w:val="0FFDA4B6"/>
    <w:rsid w:val="100B20FE"/>
    <w:rsid w:val="1013C4BA"/>
    <w:rsid w:val="10170137"/>
    <w:rsid w:val="1019F884"/>
    <w:rsid w:val="101AC088"/>
    <w:rsid w:val="101C9191"/>
    <w:rsid w:val="101E6149"/>
    <w:rsid w:val="101F727D"/>
    <w:rsid w:val="102A07B6"/>
    <w:rsid w:val="102AE845"/>
    <w:rsid w:val="102DB8C9"/>
    <w:rsid w:val="10318627"/>
    <w:rsid w:val="10371662"/>
    <w:rsid w:val="10409CC2"/>
    <w:rsid w:val="1042BF00"/>
    <w:rsid w:val="1048F0C5"/>
    <w:rsid w:val="10492D0E"/>
    <w:rsid w:val="104C0AA6"/>
    <w:rsid w:val="104CBE08"/>
    <w:rsid w:val="10504BA9"/>
    <w:rsid w:val="1050FEA8"/>
    <w:rsid w:val="10574634"/>
    <w:rsid w:val="105C4C3F"/>
    <w:rsid w:val="1060FEF1"/>
    <w:rsid w:val="10622BF4"/>
    <w:rsid w:val="10660E29"/>
    <w:rsid w:val="1068C9A9"/>
    <w:rsid w:val="10711CC2"/>
    <w:rsid w:val="10717D1B"/>
    <w:rsid w:val="1073221D"/>
    <w:rsid w:val="10785060"/>
    <w:rsid w:val="107A5626"/>
    <w:rsid w:val="107E1493"/>
    <w:rsid w:val="107E2278"/>
    <w:rsid w:val="107EE5CA"/>
    <w:rsid w:val="1081AFFE"/>
    <w:rsid w:val="10853C24"/>
    <w:rsid w:val="108673CF"/>
    <w:rsid w:val="1088BC25"/>
    <w:rsid w:val="108ACDB3"/>
    <w:rsid w:val="109208DD"/>
    <w:rsid w:val="10930F08"/>
    <w:rsid w:val="1096C305"/>
    <w:rsid w:val="10982BDA"/>
    <w:rsid w:val="10A9A8C7"/>
    <w:rsid w:val="10ABA7B0"/>
    <w:rsid w:val="10ACF49A"/>
    <w:rsid w:val="10BAD1BF"/>
    <w:rsid w:val="10BC81DA"/>
    <w:rsid w:val="10BF1C7C"/>
    <w:rsid w:val="10C32FB0"/>
    <w:rsid w:val="10C4E568"/>
    <w:rsid w:val="10CC04B9"/>
    <w:rsid w:val="10D0F30F"/>
    <w:rsid w:val="10D28CF7"/>
    <w:rsid w:val="10D6405B"/>
    <w:rsid w:val="10D84297"/>
    <w:rsid w:val="10DA6828"/>
    <w:rsid w:val="10E313E0"/>
    <w:rsid w:val="10E55E91"/>
    <w:rsid w:val="10EDD1AC"/>
    <w:rsid w:val="10F184FF"/>
    <w:rsid w:val="10F5C73E"/>
    <w:rsid w:val="10FACE04"/>
    <w:rsid w:val="11003AD8"/>
    <w:rsid w:val="110F64D5"/>
    <w:rsid w:val="110FFED3"/>
    <w:rsid w:val="111334EA"/>
    <w:rsid w:val="1115F7CB"/>
    <w:rsid w:val="11198A83"/>
    <w:rsid w:val="111D8DF4"/>
    <w:rsid w:val="11257A65"/>
    <w:rsid w:val="1126962C"/>
    <w:rsid w:val="112898C6"/>
    <w:rsid w:val="1130857F"/>
    <w:rsid w:val="1132B630"/>
    <w:rsid w:val="1137751B"/>
    <w:rsid w:val="113F15C2"/>
    <w:rsid w:val="1142B121"/>
    <w:rsid w:val="11460C4E"/>
    <w:rsid w:val="1146F483"/>
    <w:rsid w:val="114C2478"/>
    <w:rsid w:val="114F6F0B"/>
    <w:rsid w:val="1152C4E6"/>
    <w:rsid w:val="1158A5D8"/>
    <w:rsid w:val="115DFF11"/>
    <w:rsid w:val="115EFDC2"/>
    <w:rsid w:val="11695619"/>
    <w:rsid w:val="1175808F"/>
    <w:rsid w:val="11758B7F"/>
    <w:rsid w:val="11760598"/>
    <w:rsid w:val="1177555D"/>
    <w:rsid w:val="117E1D76"/>
    <w:rsid w:val="118561BE"/>
    <w:rsid w:val="11891723"/>
    <w:rsid w:val="11903E29"/>
    <w:rsid w:val="11923C63"/>
    <w:rsid w:val="11AF7704"/>
    <w:rsid w:val="11B1825F"/>
    <w:rsid w:val="11B20B5A"/>
    <w:rsid w:val="11B71763"/>
    <w:rsid w:val="11BC154E"/>
    <w:rsid w:val="11BC7218"/>
    <w:rsid w:val="11BFD40B"/>
    <w:rsid w:val="11C49B74"/>
    <w:rsid w:val="11CDA4DE"/>
    <w:rsid w:val="11CF7243"/>
    <w:rsid w:val="11D05F8F"/>
    <w:rsid w:val="11D48527"/>
    <w:rsid w:val="11D5539F"/>
    <w:rsid w:val="11E40823"/>
    <w:rsid w:val="11E9A080"/>
    <w:rsid w:val="11EC5C20"/>
    <w:rsid w:val="11EDD240"/>
    <w:rsid w:val="11EE14A3"/>
    <w:rsid w:val="11F156CE"/>
    <w:rsid w:val="11F15BDA"/>
    <w:rsid w:val="11F212D4"/>
    <w:rsid w:val="11F88A91"/>
    <w:rsid w:val="11FF76DF"/>
    <w:rsid w:val="120315ED"/>
    <w:rsid w:val="1206E7D5"/>
    <w:rsid w:val="12073A4A"/>
    <w:rsid w:val="120C4071"/>
    <w:rsid w:val="120E5E5D"/>
    <w:rsid w:val="1211215A"/>
    <w:rsid w:val="121A4356"/>
    <w:rsid w:val="121B658C"/>
    <w:rsid w:val="122B12EB"/>
    <w:rsid w:val="122E87E0"/>
    <w:rsid w:val="1230032C"/>
    <w:rsid w:val="1231C73D"/>
    <w:rsid w:val="12351716"/>
    <w:rsid w:val="1239B5DB"/>
    <w:rsid w:val="12442DEB"/>
    <w:rsid w:val="124EC8DA"/>
    <w:rsid w:val="1250E622"/>
    <w:rsid w:val="12580937"/>
    <w:rsid w:val="12591BD9"/>
    <w:rsid w:val="12611313"/>
    <w:rsid w:val="1264C984"/>
    <w:rsid w:val="1264CF2C"/>
    <w:rsid w:val="12658841"/>
    <w:rsid w:val="1275A163"/>
    <w:rsid w:val="1278A609"/>
    <w:rsid w:val="1279288D"/>
    <w:rsid w:val="127E021A"/>
    <w:rsid w:val="12801A3A"/>
    <w:rsid w:val="1287631E"/>
    <w:rsid w:val="128E2C2D"/>
    <w:rsid w:val="1290EE0C"/>
    <w:rsid w:val="12947E59"/>
    <w:rsid w:val="1297B710"/>
    <w:rsid w:val="12981F58"/>
    <w:rsid w:val="129B0BF0"/>
    <w:rsid w:val="129BB06A"/>
    <w:rsid w:val="129EC3ED"/>
    <w:rsid w:val="129F7577"/>
    <w:rsid w:val="129F9FFF"/>
    <w:rsid w:val="12A29D55"/>
    <w:rsid w:val="12A79EBF"/>
    <w:rsid w:val="12ABCF08"/>
    <w:rsid w:val="12AE436F"/>
    <w:rsid w:val="12BBEEF8"/>
    <w:rsid w:val="12C2A62E"/>
    <w:rsid w:val="12C46403"/>
    <w:rsid w:val="12CFD656"/>
    <w:rsid w:val="12DB7AC8"/>
    <w:rsid w:val="12E204B8"/>
    <w:rsid w:val="12E4A703"/>
    <w:rsid w:val="12FCE929"/>
    <w:rsid w:val="13032F41"/>
    <w:rsid w:val="1305C007"/>
    <w:rsid w:val="130717D6"/>
    <w:rsid w:val="130D016E"/>
    <w:rsid w:val="1310F6E6"/>
    <w:rsid w:val="1311551A"/>
    <w:rsid w:val="13137E1B"/>
    <w:rsid w:val="131CBDC3"/>
    <w:rsid w:val="131D4F92"/>
    <w:rsid w:val="131F10F1"/>
    <w:rsid w:val="1323445F"/>
    <w:rsid w:val="1324B4EF"/>
    <w:rsid w:val="1334E17C"/>
    <w:rsid w:val="13397ADC"/>
    <w:rsid w:val="1339AD0D"/>
    <w:rsid w:val="1339B96C"/>
    <w:rsid w:val="1340BF2B"/>
    <w:rsid w:val="13411824"/>
    <w:rsid w:val="13456AEA"/>
    <w:rsid w:val="13484823"/>
    <w:rsid w:val="134BD924"/>
    <w:rsid w:val="134C1E7D"/>
    <w:rsid w:val="135514D8"/>
    <w:rsid w:val="13554989"/>
    <w:rsid w:val="1355EAD0"/>
    <w:rsid w:val="135A5930"/>
    <w:rsid w:val="135BB0B2"/>
    <w:rsid w:val="1367877F"/>
    <w:rsid w:val="136F85C7"/>
    <w:rsid w:val="13767E8C"/>
    <w:rsid w:val="137ED39F"/>
    <w:rsid w:val="138734CA"/>
    <w:rsid w:val="13896DF1"/>
    <w:rsid w:val="138BB17A"/>
    <w:rsid w:val="139561D6"/>
    <w:rsid w:val="1399B30C"/>
    <w:rsid w:val="139B5690"/>
    <w:rsid w:val="139B6258"/>
    <w:rsid w:val="139DA046"/>
    <w:rsid w:val="13A1BAD1"/>
    <w:rsid w:val="13A1F051"/>
    <w:rsid w:val="13A6B0CC"/>
    <w:rsid w:val="13BD70C3"/>
    <w:rsid w:val="13BFD921"/>
    <w:rsid w:val="13C10E5C"/>
    <w:rsid w:val="13C7E668"/>
    <w:rsid w:val="13C8503E"/>
    <w:rsid w:val="13C9C3D7"/>
    <w:rsid w:val="13CB535D"/>
    <w:rsid w:val="13CBBEC8"/>
    <w:rsid w:val="13CCF6FD"/>
    <w:rsid w:val="13D030E1"/>
    <w:rsid w:val="13D3E91A"/>
    <w:rsid w:val="13D8812C"/>
    <w:rsid w:val="13E347A1"/>
    <w:rsid w:val="13E587FA"/>
    <w:rsid w:val="13E654F3"/>
    <w:rsid w:val="13E76362"/>
    <w:rsid w:val="13EF8E12"/>
    <w:rsid w:val="13F4A23F"/>
    <w:rsid w:val="13F72722"/>
    <w:rsid w:val="13F7D3A0"/>
    <w:rsid w:val="13F86B82"/>
    <w:rsid w:val="13F96D21"/>
    <w:rsid w:val="13FB3940"/>
    <w:rsid w:val="13FB6309"/>
    <w:rsid w:val="14006BF9"/>
    <w:rsid w:val="14041815"/>
    <w:rsid w:val="14073530"/>
    <w:rsid w:val="14080CFF"/>
    <w:rsid w:val="1409876B"/>
    <w:rsid w:val="140D398E"/>
    <w:rsid w:val="1414F747"/>
    <w:rsid w:val="1416EC9D"/>
    <w:rsid w:val="141C14A9"/>
    <w:rsid w:val="142062E2"/>
    <w:rsid w:val="142B4814"/>
    <w:rsid w:val="142B69DA"/>
    <w:rsid w:val="142C6BEA"/>
    <w:rsid w:val="142D92C8"/>
    <w:rsid w:val="1433204F"/>
    <w:rsid w:val="14379995"/>
    <w:rsid w:val="143DEE1E"/>
    <w:rsid w:val="14430677"/>
    <w:rsid w:val="1445173D"/>
    <w:rsid w:val="144784DB"/>
    <w:rsid w:val="1451937A"/>
    <w:rsid w:val="1451EDDD"/>
    <w:rsid w:val="1455726F"/>
    <w:rsid w:val="1455C375"/>
    <w:rsid w:val="145652E5"/>
    <w:rsid w:val="145653E7"/>
    <w:rsid w:val="1458326E"/>
    <w:rsid w:val="145B022E"/>
    <w:rsid w:val="146D9AC1"/>
    <w:rsid w:val="146FCA0D"/>
    <w:rsid w:val="14714B1E"/>
    <w:rsid w:val="1471CA9F"/>
    <w:rsid w:val="1471F6FB"/>
    <w:rsid w:val="14726DF1"/>
    <w:rsid w:val="1474790B"/>
    <w:rsid w:val="14752849"/>
    <w:rsid w:val="147E05EA"/>
    <w:rsid w:val="147F1F2C"/>
    <w:rsid w:val="147F7E5F"/>
    <w:rsid w:val="148212BE"/>
    <w:rsid w:val="148BB1BD"/>
    <w:rsid w:val="148F2B5C"/>
    <w:rsid w:val="148F8E0A"/>
    <w:rsid w:val="14902A36"/>
    <w:rsid w:val="1491BF8B"/>
    <w:rsid w:val="1492D338"/>
    <w:rsid w:val="14954A91"/>
    <w:rsid w:val="1498224D"/>
    <w:rsid w:val="149AF2CA"/>
    <w:rsid w:val="149F4C15"/>
    <w:rsid w:val="149F9044"/>
    <w:rsid w:val="14A22CCE"/>
    <w:rsid w:val="14A5E1AB"/>
    <w:rsid w:val="14A69874"/>
    <w:rsid w:val="14A6E252"/>
    <w:rsid w:val="14A9A85F"/>
    <w:rsid w:val="14A9FC92"/>
    <w:rsid w:val="14AE7E9D"/>
    <w:rsid w:val="14B0A80A"/>
    <w:rsid w:val="14B4D401"/>
    <w:rsid w:val="14B5991A"/>
    <w:rsid w:val="14BB058E"/>
    <w:rsid w:val="14C19707"/>
    <w:rsid w:val="14C1CD6F"/>
    <w:rsid w:val="14C26321"/>
    <w:rsid w:val="14C56138"/>
    <w:rsid w:val="14D3E727"/>
    <w:rsid w:val="14D87AB0"/>
    <w:rsid w:val="14E3DE37"/>
    <w:rsid w:val="14E78D21"/>
    <w:rsid w:val="14E9D451"/>
    <w:rsid w:val="14EE2204"/>
    <w:rsid w:val="14F47C9B"/>
    <w:rsid w:val="14F6174A"/>
    <w:rsid w:val="14F6DF8E"/>
    <w:rsid w:val="14F94100"/>
    <w:rsid w:val="14FB8362"/>
    <w:rsid w:val="14FBBFA3"/>
    <w:rsid w:val="1503D1DD"/>
    <w:rsid w:val="150470FE"/>
    <w:rsid w:val="150C2172"/>
    <w:rsid w:val="150F1C67"/>
    <w:rsid w:val="1513095A"/>
    <w:rsid w:val="1515306D"/>
    <w:rsid w:val="15183979"/>
    <w:rsid w:val="1519EA6B"/>
    <w:rsid w:val="1523E3EB"/>
    <w:rsid w:val="15267C4B"/>
    <w:rsid w:val="152D3D57"/>
    <w:rsid w:val="153582DC"/>
    <w:rsid w:val="15367828"/>
    <w:rsid w:val="153B023A"/>
    <w:rsid w:val="154403DC"/>
    <w:rsid w:val="1544F9AE"/>
    <w:rsid w:val="15461716"/>
    <w:rsid w:val="154CBC78"/>
    <w:rsid w:val="154F7E91"/>
    <w:rsid w:val="1561ADE6"/>
    <w:rsid w:val="1563066A"/>
    <w:rsid w:val="1565EF9B"/>
    <w:rsid w:val="156FC965"/>
    <w:rsid w:val="1571C174"/>
    <w:rsid w:val="15725DDB"/>
    <w:rsid w:val="1575CE70"/>
    <w:rsid w:val="15763785"/>
    <w:rsid w:val="15782790"/>
    <w:rsid w:val="157D33D0"/>
    <w:rsid w:val="1588A3BC"/>
    <w:rsid w:val="158CAF09"/>
    <w:rsid w:val="15907377"/>
    <w:rsid w:val="15953EF2"/>
    <w:rsid w:val="159A6BDE"/>
    <w:rsid w:val="159B25DD"/>
    <w:rsid w:val="159CE6E0"/>
    <w:rsid w:val="15A2F260"/>
    <w:rsid w:val="15A5D966"/>
    <w:rsid w:val="15A799CB"/>
    <w:rsid w:val="15A7A450"/>
    <w:rsid w:val="15A8A346"/>
    <w:rsid w:val="15B3CB4A"/>
    <w:rsid w:val="15B40063"/>
    <w:rsid w:val="15B542E9"/>
    <w:rsid w:val="15B6EF31"/>
    <w:rsid w:val="15B76C09"/>
    <w:rsid w:val="15B84ED1"/>
    <w:rsid w:val="15BF9624"/>
    <w:rsid w:val="15C56F83"/>
    <w:rsid w:val="15D16D8B"/>
    <w:rsid w:val="15D1FDEF"/>
    <w:rsid w:val="15D46C33"/>
    <w:rsid w:val="15D832D9"/>
    <w:rsid w:val="15DBDFB7"/>
    <w:rsid w:val="15DE33A7"/>
    <w:rsid w:val="15DE5D99"/>
    <w:rsid w:val="15DED609"/>
    <w:rsid w:val="15E12B55"/>
    <w:rsid w:val="15E1CF90"/>
    <w:rsid w:val="15EAED09"/>
    <w:rsid w:val="15F7A431"/>
    <w:rsid w:val="15FB5551"/>
    <w:rsid w:val="15FEFDFE"/>
    <w:rsid w:val="160174B7"/>
    <w:rsid w:val="16071ACF"/>
    <w:rsid w:val="16117806"/>
    <w:rsid w:val="162487C2"/>
    <w:rsid w:val="162DB9D5"/>
    <w:rsid w:val="162E9AA6"/>
    <w:rsid w:val="16335ECB"/>
    <w:rsid w:val="16356316"/>
    <w:rsid w:val="1635FEA9"/>
    <w:rsid w:val="1636FD89"/>
    <w:rsid w:val="163A82C0"/>
    <w:rsid w:val="163B5654"/>
    <w:rsid w:val="16408114"/>
    <w:rsid w:val="164383B2"/>
    <w:rsid w:val="16440B3C"/>
    <w:rsid w:val="16491DF6"/>
    <w:rsid w:val="16494D1D"/>
    <w:rsid w:val="164C84AA"/>
    <w:rsid w:val="1655554C"/>
    <w:rsid w:val="1660DAAE"/>
    <w:rsid w:val="1664C147"/>
    <w:rsid w:val="1664F1F2"/>
    <w:rsid w:val="16663047"/>
    <w:rsid w:val="16676612"/>
    <w:rsid w:val="166A0729"/>
    <w:rsid w:val="166DB750"/>
    <w:rsid w:val="167305F0"/>
    <w:rsid w:val="1673C5A8"/>
    <w:rsid w:val="16759867"/>
    <w:rsid w:val="16773FB8"/>
    <w:rsid w:val="1677499F"/>
    <w:rsid w:val="167A58B8"/>
    <w:rsid w:val="167EF8E0"/>
    <w:rsid w:val="1688C4CB"/>
    <w:rsid w:val="168B14BA"/>
    <w:rsid w:val="168DC332"/>
    <w:rsid w:val="1690BD25"/>
    <w:rsid w:val="169440C3"/>
    <w:rsid w:val="169B586D"/>
    <w:rsid w:val="16A055FA"/>
    <w:rsid w:val="16A08287"/>
    <w:rsid w:val="16A114B6"/>
    <w:rsid w:val="16A67B40"/>
    <w:rsid w:val="16AB9F40"/>
    <w:rsid w:val="16AF3D3A"/>
    <w:rsid w:val="16B019D5"/>
    <w:rsid w:val="16B6169A"/>
    <w:rsid w:val="16B7B815"/>
    <w:rsid w:val="16BAA48D"/>
    <w:rsid w:val="16CB2842"/>
    <w:rsid w:val="16CBC07C"/>
    <w:rsid w:val="16D61768"/>
    <w:rsid w:val="16D71225"/>
    <w:rsid w:val="16DE9059"/>
    <w:rsid w:val="16DF1599"/>
    <w:rsid w:val="16E0DC63"/>
    <w:rsid w:val="16E51401"/>
    <w:rsid w:val="16E697C4"/>
    <w:rsid w:val="16E6A803"/>
    <w:rsid w:val="16F18E09"/>
    <w:rsid w:val="16F54E42"/>
    <w:rsid w:val="16F625B6"/>
    <w:rsid w:val="16F6CAB5"/>
    <w:rsid w:val="16F8D58B"/>
    <w:rsid w:val="16FB26F6"/>
    <w:rsid w:val="16FCDDBE"/>
    <w:rsid w:val="16FD7CFF"/>
    <w:rsid w:val="16FE694A"/>
    <w:rsid w:val="1700C884"/>
    <w:rsid w:val="17079AF2"/>
    <w:rsid w:val="170AC8DD"/>
    <w:rsid w:val="170D8C2D"/>
    <w:rsid w:val="170E9875"/>
    <w:rsid w:val="171638A4"/>
    <w:rsid w:val="171671D4"/>
    <w:rsid w:val="171EB4BC"/>
    <w:rsid w:val="17273964"/>
    <w:rsid w:val="172D5F41"/>
    <w:rsid w:val="172E80BA"/>
    <w:rsid w:val="173115CE"/>
    <w:rsid w:val="1735512B"/>
    <w:rsid w:val="1735A515"/>
    <w:rsid w:val="17427BFB"/>
    <w:rsid w:val="1750C505"/>
    <w:rsid w:val="1750E5E7"/>
    <w:rsid w:val="17529D71"/>
    <w:rsid w:val="1757C52C"/>
    <w:rsid w:val="175C3C57"/>
    <w:rsid w:val="175CEC70"/>
    <w:rsid w:val="17654B49"/>
    <w:rsid w:val="1765654A"/>
    <w:rsid w:val="17667AB4"/>
    <w:rsid w:val="176773E2"/>
    <w:rsid w:val="1770ED3B"/>
    <w:rsid w:val="177DC5E6"/>
    <w:rsid w:val="177F3247"/>
    <w:rsid w:val="1781F6B2"/>
    <w:rsid w:val="1783E1BC"/>
    <w:rsid w:val="17868E6B"/>
    <w:rsid w:val="17869AE2"/>
    <w:rsid w:val="178987E9"/>
    <w:rsid w:val="178BD6E6"/>
    <w:rsid w:val="1790F6E9"/>
    <w:rsid w:val="1791F94C"/>
    <w:rsid w:val="1794BEE0"/>
    <w:rsid w:val="1795A7F0"/>
    <w:rsid w:val="1797F60D"/>
    <w:rsid w:val="1798C8B6"/>
    <w:rsid w:val="179F7796"/>
    <w:rsid w:val="17A36187"/>
    <w:rsid w:val="17A669A0"/>
    <w:rsid w:val="17AD3E92"/>
    <w:rsid w:val="17B051D2"/>
    <w:rsid w:val="17B32CC4"/>
    <w:rsid w:val="17B334B4"/>
    <w:rsid w:val="17B5C602"/>
    <w:rsid w:val="17B730EE"/>
    <w:rsid w:val="17BCE768"/>
    <w:rsid w:val="17C8CB33"/>
    <w:rsid w:val="17CAAE3F"/>
    <w:rsid w:val="17CDC152"/>
    <w:rsid w:val="17CED4A9"/>
    <w:rsid w:val="17DE9F2C"/>
    <w:rsid w:val="17F3D073"/>
    <w:rsid w:val="17F45742"/>
    <w:rsid w:val="17F872BB"/>
    <w:rsid w:val="17FC159B"/>
    <w:rsid w:val="180049F8"/>
    <w:rsid w:val="180EA4F3"/>
    <w:rsid w:val="1811D73C"/>
    <w:rsid w:val="18134764"/>
    <w:rsid w:val="18174982"/>
    <w:rsid w:val="181C2A40"/>
    <w:rsid w:val="181D1BA7"/>
    <w:rsid w:val="18207426"/>
    <w:rsid w:val="1825464A"/>
    <w:rsid w:val="182F79F1"/>
    <w:rsid w:val="1830A830"/>
    <w:rsid w:val="183B5A66"/>
    <w:rsid w:val="183D15B9"/>
    <w:rsid w:val="184801E2"/>
    <w:rsid w:val="18490FB7"/>
    <w:rsid w:val="184DA499"/>
    <w:rsid w:val="18506B95"/>
    <w:rsid w:val="1859DA8D"/>
    <w:rsid w:val="186175F2"/>
    <w:rsid w:val="18679FFF"/>
    <w:rsid w:val="186CA7A7"/>
    <w:rsid w:val="18712850"/>
    <w:rsid w:val="18770162"/>
    <w:rsid w:val="1878F36E"/>
    <w:rsid w:val="187E81A9"/>
    <w:rsid w:val="1881F3E9"/>
    <w:rsid w:val="1882B756"/>
    <w:rsid w:val="18844C1A"/>
    <w:rsid w:val="18865743"/>
    <w:rsid w:val="1887D9BE"/>
    <w:rsid w:val="188986B1"/>
    <w:rsid w:val="188B226B"/>
    <w:rsid w:val="188D0D2A"/>
    <w:rsid w:val="188DA66A"/>
    <w:rsid w:val="188E483E"/>
    <w:rsid w:val="188F9B36"/>
    <w:rsid w:val="18921EEB"/>
    <w:rsid w:val="18933828"/>
    <w:rsid w:val="18935812"/>
    <w:rsid w:val="18942E97"/>
    <w:rsid w:val="189B5053"/>
    <w:rsid w:val="18A1CB98"/>
    <w:rsid w:val="18A45D36"/>
    <w:rsid w:val="18A5C9D6"/>
    <w:rsid w:val="18A89C02"/>
    <w:rsid w:val="18ACA2EB"/>
    <w:rsid w:val="18B581D4"/>
    <w:rsid w:val="18BF595E"/>
    <w:rsid w:val="18CABB3D"/>
    <w:rsid w:val="18CD5023"/>
    <w:rsid w:val="18CE0DBF"/>
    <w:rsid w:val="18CE53B0"/>
    <w:rsid w:val="18CE5E1B"/>
    <w:rsid w:val="18CE98B0"/>
    <w:rsid w:val="18CF9495"/>
    <w:rsid w:val="18D3FEE6"/>
    <w:rsid w:val="18D6F7D5"/>
    <w:rsid w:val="18D8C2BA"/>
    <w:rsid w:val="18DDAFE2"/>
    <w:rsid w:val="18E322A9"/>
    <w:rsid w:val="18EA26D9"/>
    <w:rsid w:val="18ECFC4C"/>
    <w:rsid w:val="18ED0C07"/>
    <w:rsid w:val="18F1860A"/>
    <w:rsid w:val="18F1DFF8"/>
    <w:rsid w:val="19090DF7"/>
    <w:rsid w:val="191312E6"/>
    <w:rsid w:val="1913CB5F"/>
    <w:rsid w:val="19159602"/>
    <w:rsid w:val="19177AC1"/>
    <w:rsid w:val="191B834A"/>
    <w:rsid w:val="1921C7A3"/>
    <w:rsid w:val="1928EEF1"/>
    <w:rsid w:val="192A0AB0"/>
    <w:rsid w:val="192E1D5B"/>
    <w:rsid w:val="192FAD58"/>
    <w:rsid w:val="192FFA77"/>
    <w:rsid w:val="1932A7A0"/>
    <w:rsid w:val="1935775C"/>
    <w:rsid w:val="1937B2B2"/>
    <w:rsid w:val="1938321A"/>
    <w:rsid w:val="1939EE24"/>
    <w:rsid w:val="193E78C8"/>
    <w:rsid w:val="1941C32C"/>
    <w:rsid w:val="194321D0"/>
    <w:rsid w:val="194332B4"/>
    <w:rsid w:val="1943F784"/>
    <w:rsid w:val="1946C91F"/>
    <w:rsid w:val="194EC5CE"/>
    <w:rsid w:val="1950C3B8"/>
    <w:rsid w:val="1951E9DE"/>
    <w:rsid w:val="1955AB98"/>
    <w:rsid w:val="196219EE"/>
    <w:rsid w:val="19641857"/>
    <w:rsid w:val="1968BA02"/>
    <w:rsid w:val="196CE778"/>
    <w:rsid w:val="196E922B"/>
    <w:rsid w:val="197243C0"/>
    <w:rsid w:val="1975AFB8"/>
    <w:rsid w:val="1976F03D"/>
    <w:rsid w:val="197737FB"/>
    <w:rsid w:val="1981F050"/>
    <w:rsid w:val="1982523A"/>
    <w:rsid w:val="1983AC15"/>
    <w:rsid w:val="19846D6A"/>
    <w:rsid w:val="198CCA4E"/>
    <w:rsid w:val="199211F4"/>
    <w:rsid w:val="1998807C"/>
    <w:rsid w:val="199C393A"/>
    <w:rsid w:val="199CB884"/>
    <w:rsid w:val="199DB17E"/>
    <w:rsid w:val="19A73E34"/>
    <w:rsid w:val="19A7AB3A"/>
    <w:rsid w:val="19ADFE01"/>
    <w:rsid w:val="19AE5383"/>
    <w:rsid w:val="19AF4E63"/>
    <w:rsid w:val="19C2D8E8"/>
    <w:rsid w:val="19C7461C"/>
    <w:rsid w:val="19CB2BF9"/>
    <w:rsid w:val="19CECB67"/>
    <w:rsid w:val="19CFF166"/>
    <w:rsid w:val="19D310B9"/>
    <w:rsid w:val="19D43CE8"/>
    <w:rsid w:val="19D92C6D"/>
    <w:rsid w:val="19DA65B1"/>
    <w:rsid w:val="19DAD0F8"/>
    <w:rsid w:val="19DB9499"/>
    <w:rsid w:val="19DD0F36"/>
    <w:rsid w:val="19E04F4B"/>
    <w:rsid w:val="19E7AB38"/>
    <w:rsid w:val="19E89C36"/>
    <w:rsid w:val="19E91630"/>
    <w:rsid w:val="19F55930"/>
    <w:rsid w:val="19F5F8BC"/>
    <w:rsid w:val="19FBF295"/>
    <w:rsid w:val="1A016E14"/>
    <w:rsid w:val="1A039387"/>
    <w:rsid w:val="1A04F832"/>
    <w:rsid w:val="1A05E21F"/>
    <w:rsid w:val="1A064239"/>
    <w:rsid w:val="1A0D9BC1"/>
    <w:rsid w:val="1A1271E3"/>
    <w:rsid w:val="1A134647"/>
    <w:rsid w:val="1A247759"/>
    <w:rsid w:val="1A2B03C9"/>
    <w:rsid w:val="1A2D0CCF"/>
    <w:rsid w:val="1A2E0C11"/>
    <w:rsid w:val="1A2E6D11"/>
    <w:rsid w:val="1A3B05F4"/>
    <w:rsid w:val="1A415A08"/>
    <w:rsid w:val="1A582EA2"/>
    <w:rsid w:val="1A63030E"/>
    <w:rsid w:val="1A65D476"/>
    <w:rsid w:val="1A65F82A"/>
    <w:rsid w:val="1A683585"/>
    <w:rsid w:val="1A715942"/>
    <w:rsid w:val="1A76126D"/>
    <w:rsid w:val="1A7C018D"/>
    <w:rsid w:val="1A7FEEC9"/>
    <w:rsid w:val="1A855129"/>
    <w:rsid w:val="1A8B5469"/>
    <w:rsid w:val="1A9036C0"/>
    <w:rsid w:val="1A94401C"/>
    <w:rsid w:val="1A999E5C"/>
    <w:rsid w:val="1A9E9979"/>
    <w:rsid w:val="1AA11C97"/>
    <w:rsid w:val="1AAAD516"/>
    <w:rsid w:val="1AAC909B"/>
    <w:rsid w:val="1AAC9CBA"/>
    <w:rsid w:val="1AAF51A5"/>
    <w:rsid w:val="1AB821B4"/>
    <w:rsid w:val="1AB8FDF3"/>
    <w:rsid w:val="1AC7E086"/>
    <w:rsid w:val="1AC85E84"/>
    <w:rsid w:val="1AC8DCE8"/>
    <w:rsid w:val="1ACE7B19"/>
    <w:rsid w:val="1AD07E07"/>
    <w:rsid w:val="1AD615CC"/>
    <w:rsid w:val="1AD627BC"/>
    <w:rsid w:val="1AE05289"/>
    <w:rsid w:val="1AE9BA03"/>
    <w:rsid w:val="1AEF1E76"/>
    <w:rsid w:val="1B00EC29"/>
    <w:rsid w:val="1B08952D"/>
    <w:rsid w:val="1B0926E4"/>
    <w:rsid w:val="1B0C84CA"/>
    <w:rsid w:val="1B10AB5C"/>
    <w:rsid w:val="1B129C4D"/>
    <w:rsid w:val="1B1D9366"/>
    <w:rsid w:val="1B2DEE04"/>
    <w:rsid w:val="1B30C8D0"/>
    <w:rsid w:val="1B3331E3"/>
    <w:rsid w:val="1B339F2F"/>
    <w:rsid w:val="1B33D9CB"/>
    <w:rsid w:val="1B35935B"/>
    <w:rsid w:val="1B3F4AC7"/>
    <w:rsid w:val="1B434227"/>
    <w:rsid w:val="1B44EFF8"/>
    <w:rsid w:val="1B465B40"/>
    <w:rsid w:val="1B4D2EE0"/>
    <w:rsid w:val="1B4D6CD6"/>
    <w:rsid w:val="1B51B519"/>
    <w:rsid w:val="1B54C7DD"/>
    <w:rsid w:val="1B562365"/>
    <w:rsid w:val="1B56B45A"/>
    <w:rsid w:val="1B5941B2"/>
    <w:rsid w:val="1B59DA96"/>
    <w:rsid w:val="1B65467F"/>
    <w:rsid w:val="1B65D602"/>
    <w:rsid w:val="1B6C4F1F"/>
    <w:rsid w:val="1B740653"/>
    <w:rsid w:val="1B7D3A43"/>
    <w:rsid w:val="1B81755A"/>
    <w:rsid w:val="1B86FC4E"/>
    <w:rsid w:val="1B8E1BF5"/>
    <w:rsid w:val="1B91A07A"/>
    <w:rsid w:val="1B93304A"/>
    <w:rsid w:val="1B97E08A"/>
    <w:rsid w:val="1B9EF38C"/>
    <w:rsid w:val="1B9F0AF6"/>
    <w:rsid w:val="1B9F643B"/>
    <w:rsid w:val="1BA010D6"/>
    <w:rsid w:val="1BA53D65"/>
    <w:rsid w:val="1BAA1732"/>
    <w:rsid w:val="1BAB2E21"/>
    <w:rsid w:val="1BAC8D23"/>
    <w:rsid w:val="1BB201F4"/>
    <w:rsid w:val="1BB7CB1A"/>
    <w:rsid w:val="1BB82F45"/>
    <w:rsid w:val="1BB98E16"/>
    <w:rsid w:val="1BB9E7F4"/>
    <w:rsid w:val="1BBA5739"/>
    <w:rsid w:val="1BBBB465"/>
    <w:rsid w:val="1BC032A4"/>
    <w:rsid w:val="1BC579D0"/>
    <w:rsid w:val="1BC68CB9"/>
    <w:rsid w:val="1BD1E07C"/>
    <w:rsid w:val="1BD3F66D"/>
    <w:rsid w:val="1BDAAC41"/>
    <w:rsid w:val="1BDD48A4"/>
    <w:rsid w:val="1BE0A387"/>
    <w:rsid w:val="1BE5B9FC"/>
    <w:rsid w:val="1BEA8A96"/>
    <w:rsid w:val="1BEAD1B3"/>
    <w:rsid w:val="1BEC8C0C"/>
    <w:rsid w:val="1BF3E66A"/>
    <w:rsid w:val="1BF6CF11"/>
    <w:rsid w:val="1BFF5492"/>
    <w:rsid w:val="1C08666E"/>
    <w:rsid w:val="1C0A571B"/>
    <w:rsid w:val="1C10DC96"/>
    <w:rsid w:val="1C141A1C"/>
    <w:rsid w:val="1C1B5F4E"/>
    <w:rsid w:val="1C237ED5"/>
    <w:rsid w:val="1C293664"/>
    <w:rsid w:val="1C2D47A5"/>
    <w:rsid w:val="1C2E3A12"/>
    <w:rsid w:val="1C311573"/>
    <w:rsid w:val="1C32F08C"/>
    <w:rsid w:val="1C35CACE"/>
    <w:rsid w:val="1C382AF2"/>
    <w:rsid w:val="1C3B5878"/>
    <w:rsid w:val="1C3E75E6"/>
    <w:rsid w:val="1C43F75A"/>
    <w:rsid w:val="1C44B1FD"/>
    <w:rsid w:val="1C44BE63"/>
    <w:rsid w:val="1C47D891"/>
    <w:rsid w:val="1C4AE35A"/>
    <w:rsid w:val="1C5212B4"/>
    <w:rsid w:val="1C54A344"/>
    <w:rsid w:val="1C5BB77E"/>
    <w:rsid w:val="1C5BC8F9"/>
    <w:rsid w:val="1C5EEAEE"/>
    <w:rsid w:val="1C728CE8"/>
    <w:rsid w:val="1C74782F"/>
    <w:rsid w:val="1C75C35B"/>
    <w:rsid w:val="1C791B08"/>
    <w:rsid w:val="1C7CEA97"/>
    <w:rsid w:val="1C7F1EED"/>
    <w:rsid w:val="1C847253"/>
    <w:rsid w:val="1C8475E4"/>
    <w:rsid w:val="1C8A59FF"/>
    <w:rsid w:val="1C916201"/>
    <w:rsid w:val="1C91B170"/>
    <w:rsid w:val="1C977B2C"/>
    <w:rsid w:val="1C9AE022"/>
    <w:rsid w:val="1C9F73AD"/>
    <w:rsid w:val="1CA130E4"/>
    <w:rsid w:val="1CA67B86"/>
    <w:rsid w:val="1CA6F2AC"/>
    <w:rsid w:val="1CA85406"/>
    <w:rsid w:val="1CAE531D"/>
    <w:rsid w:val="1CB14BFB"/>
    <w:rsid w:val="1CB765BB"/>
    <w:rsid w:val="1CBA5607"/>
    <w:rsid w:val="1CBD9CD5"/>
    <w:rsid w:val="1CBEC1F2"/>
    <w:rsid w:val="1CC174F9"/>
    <w:rsid w:val="1CC1D18E"/>
    <w:rsid w:val="1CCB3D65"/>
    <w:rsid w:val="1CCCFA2D"/>
    <w:rsid w:val="1CCD0C47"/>
    <w:rsid w:val="1CCE8A19"/>
    <w:rsid w:val="1CCEF662"/>
    <w:rsid w:val="1CD1A32B"/>
    <w:rsid w:val="1CD4CF78"/>
    <w:rsid w:val="1CD672E9"/>
    <w:rsid w:val="1CDD733F"/>
    <w:rsid w:val="1CDEBAD0"/>
    <w:rsid w:val="1CE11F05"/>
    <w:rsid w:val="1CE391C0"/>
    <w:rsid w:val="1CEA22C2"/>
    <w:rsid w:val="1CEB0279"/>
    <w:rsid w:val="1CEBCD43"/>
    <w:rsid w:val="1CEC4DD4"/>
    <w:rsid w:val="1CF42C8D"/>
    <w:rsid w:val="1CF8CA10"/>
    <w:rsid w:val="1CFD9FBD"/>
    <w:rsid w:val="1D04E7AA"/>
    <w:rsid w:val="1D08E4A9"/>
    <w:rsid w:val="1D0C45AA"/>
    <w:rsid w:val="1D0CE3D5"/>
    <w:rsid w:val="1D0D6E9D"/>
    <w:rsid w:val="1D0ECA85"/>
    <w:rsid w:val="1D12DCAD"/>
    <w:rsid w:val="1D14B4F6"/>
    <w:rsid w:val="1D171A5C"/>
    <w:rsid w:val="1D1ABD1C"/>
    <w:rsid w:val="1D1C30F4"/>
    <w:rsid w:val="1D1D0EA1"/>
    <w:rsid w:val="1D1E25CD"/>
    <w:rsid w:val="1D327EE8"/>
    <w:rsid w:val="1D33EFB7"/>
    <w:rsid w:val="1D3631FB"/>
    <w:rsid w:val="1D396DF1"/>
    <w:rsid w:val="1D3D381F"/>
    <w:rsid w:val="1D402B58"/>
    <w:rsid w:val="1D4432E1"/>
    <w:rsid w:val="1D448D13"/>
    <w:rsid w:val="1D497B28"/>
    <w:rsid w:val="1D4BAD36"/>
    <w:rsid w:val="1D4CEABD"/>
    <w:rsid w:val="1D4F67C5"/>
    <w:rsid w:val="1D59EC46"/>
    <w:rsid w:val="1D5B4C9A"/>
    <w:rsid w:val="1D5F14B7"/>
    <w:rsid w:val="1D621F54"/>
    <w:rsid w:val="1D63D4A0"/>
    <w:rsid w:val="1D690029"/>
    <w:rsid w:val="1D69090E"/>
    <w:rsid w:val="1D6A1372"/>
    <w:rsid w:val="1D710E59"/>
    <w:rsid w:val="1D728287"/>
    <w:rsid w:val="1D72FF2C"/>
    <w:rsid w:val="1D730632"/>
    <w:rsid w:val="1D7A8689"/>
    <w:rsid w:val="1D7AD68F"/>
    <w:rsid w:val="1D7CA84E"/>
    <w:rsid w:val="1D7E068E"/>
    <w:rsid w:val="1D7FED11"/>
    <w:rsid w:val="1D860030"/>
    <w:rsid w:val="1D911D01"/>
    <w:rsid w:val="1D9199F0"/>
    <w:rsid w:val="1D9212A5"/>
    <w:rsid w:val="1DA81D12"/>
    <w:rsid w:val="1DB0255B"/>
    <w:rsid w:val="1DB40EF0"/>
    <w:rsid w:val="1DB59148"/>
    <w:rsid w:val="1DB80E48"/>
    <w:rsid w:val="1DBAA4B8"/>
    <w:rsid w:val="1DC2A110"/>
    <w:rsid w:val="1DC6FEDF"/>
    <w:rsid w:val="1DC8325D"/>
    <w:rsid w:val="1DC9CDDD"/>
    <w:rsid w:val="1DCCF63B"/>
    <w:rsid w:val="1DD30F24"/>
    <w:rsid w:val="1DD33521"/>
    <w:rsid w:val="1DD43B37"/>
    <w:rsid w:val="1DD5022C"/>
    <w:rsid w:val="1DDBA09C"/>
    <w:rsid w:val="1DDC5D44"/>
    <w:rsid w:val="1DE02294"/>
    <w:rsid w:val="1DE02CAA"/>
    <w:rsid w:val="1DE1DF0A"/>
    <w:rsid w:val="1DE26563"/>
    <w:rsid w:val="1DE2E24F"/>
    <w:rsid w:val="1DE8D506"/>
    <w:rsid w:val="1DEAA4AC"/>
    <w:rsid w:val="1DEB0E03"/>
    <w:rsid w:val="1DF1C44F"/>
    <w:rsid w:val="1DF43915"/>
    <w:rsid w:val="1DF79649"/>
    <w:rsid w:val="1DF9F35A"/>
    <w:rsid w:val="1DFC411E"/>
    <w:rsid w:val="1DFF29C2"/>
    <w:rsid w:val="1DFF64F3"/>
    <w:rsid w:val="1E087C04"/>
    <w:rsid w:val="1E0BA20F"/>
    <w:rsid w:val="1E0CE343"/>
    <w:rsid w:val="1E0D50A9"/>
    <w:rsid w:val="1E1445FC"/>
    <w:rsid w:val="1E1ABBD8"/>
    <w:rsid w:val="1E2041C7"/>
    <w:rsid w:val="1E22814B"/>
    <w:rsid w:val="1E2303BB"/>
    <w:rsid w:val="1E25DEE4"/>
    <w:rsid w:val="1E28775D"/>
    <w:rsid w:val="1E2C6DC2"/>
    <w:rsid w:val="1E30A446"/>
    <w:rsid w:val="1E429908"/>
    <w:rsid w:val="1E49A64E"/>
    <w:rsid w:val="1E4B1817"/>
    <w:rsid w:val="1E521235"/>
    <w:rsid w:val="1E536051"/>
    <w:rsid w:val="1E55CACB"/>
    <w:rsid w:val="1E5649D5"/>
    <w:rsid w:val="1E576D0F"/>
    <w:rsid w:val="1E59BDAB"/>
    <w:rsid w:val="1E59DC1A"/>
    <w:rsid w:val="1E5E96F2"/>
    <w:rsid w:val="1E612297"/>
    <w:rsid w:val="1E654395"/>
    <w:rsid w:val="1E66844C"/>
    <w:rsid w:val="1E67FCFA"/>
    <w:rsid w:val="1E7C5B4A"/>
    <w:rsid w:val="1E81BFA4"/>
    <w:rsid w:val="1E81D27A"/>
    <w:rsid w:val="1E831E77"/>
    <w:rsid w:val="1E8C8115"/>
    <w:rsid w:val="1E939AC3"/>
    <w:rsid w:val="1E96C486"/>
    <w:rsid w:val="1E971B0C"/>
    <w:rsid w:val="1E99CC65"/>
    <w:rsid w:val="1EA041C0"/>
    <w:rsid w:val="1EA4617A"/>
    <w:rsid w:val="1EA6CB29"/>
    <w:rsid w:val="1EA96DD5"/>
    <w:rsid w:val="1EA98647"/>
    <w:rsid w:val="1EAB50C5"/>
    <w:rsid w:val="1EAC2677"/>
    <w:rsid w:val="1EADB79E"/>
    <w:rsid w:val="1EB3AEBD"/>
    <w:rsid w:val="1EB3BADE"/>
    <w:rsid w:val="1EB5FBB2"/>
    <w:rsid w:val="1EBBDD87"/>
    <w:rsid w:val="1EBDF754"/>
    <w:rsid w:val="1EC10AC4"/>
    <w:rsid w:val="1EC12B95"/>
    <w:rsid w:val="1EC1609E"/>
    <w:rsid w:val="1EC268C9"/>
    <w:rsid w:val="1ECAB930"/>
    <w:rsid w:val="1ED14940"/>
    <w:rsid w:val="1ED2A364"/>
    <w:rsid w:val="1ED3640D"/>
    <w:rsid w:val="1ED8A675"/>
    <w:rsid w:val="1EDA5AE8"/>
    <w:rsid w:val="1EDAA3FB"/>
    <w:rsid w:val="1EDAA640"/>
    <w:rsid w:val="1EDC7296"/>
    <w:rsid w:val="1EDD3BD1"/>
    <w:rsid w:val="1EDE2442"/>
    <w:rsid w:val="1EE1A162"/>
    <w:rsid w:val="1EE2AA74"/>
    <w:rsid w:val="1EE89A57"/>
    <w:rsid w:val="1EE8F602"/>
    <w:rsid w:val="1EEAC0A1"/>
    <w:rsid w:val="1EECC343"/>
    <w:rsid w:val="1EECDF44"/>
    <w:rsid w:val="1EF0A24E"/>
    <w:rsid w:val="1EF21F4F"/>
    <w:rsid w:val="1F052106"/>
    <w:rsid w:val="1F0525AA"/>
    <w:rsid w:val="1F0ACD91"/>
    <w:rsid w:val="1F0B2B25"/>
    <w:rsid w:val="1F1548DE"/>
    <w:rsid w:val="1F15CAE2"/>
    <w:rsid w:val="1F17C677"/>
    <w:rsid w:val="1F1C3A6B"/>
    <w:rsid w:val="1F212412"/>
    <w:rsid w:val="1F2238B8"/>
    <w:rsid w:val="1F2B91FA"/>
    <w:rsid w:val="1F2ED215"/>
    <w:rsid w:val="1F31AF9C"/>
    <w:rsid w:val="1F3204F9"/>
    <w:rsid w:val="1F3965A2"/>
    <w:rsid w:val="1F3B7D9D"/>
    <w:rsid w:val="1F3C9F1E"/>
    <w:rsid w:val="1F41D58B"/>
    <w:rsid w:val="1F4AEBCD"/>
    <w:rsid w:val="1F4F47BA"/>
    <w:rsid w:val="1F50D87A"/>
    <w:rsid w:val="1F50F119"/>
    <w:rsid w:val="1F524E9F"/>
    <w:rsid w:val="1F5ACC71"/>
    <w:rsid w:val="1F5CA227"/>
    <w:rsid w:val="1F5EF2BF"/>
    <w:rsid w:val="1F664B3C"/>
    <w:rsid w:val="1F6E45BE"/>
    <w:rsid w:val="1F6E5F3E"/>
    <w:rsid w:val="1F6F2946"/>
    <w:rsid w:val="1F798A65"/>
    <w:rsid w:val="1F8767B4"/>
    <w:rsid w:val="1F89595B"/>
    <w:rsid w:val="1F8C846A"/>
    <w:rsid w:val="1F8E30F1"/>
    <w:rsid w:val="1F966842"/>
    <w:rsid w:val="1F968072"/>
    <w:rsid w:val="1F9763FD"/>
    <w:rsid w:val="1F9773E8"/>
    <w:rsid w:val="1F9EE469"/>
    <w:rsid w:val="1FA3B455"/>
    <w:rsid w:val="1FA7A066"/>
    <w:rsid w:val="1FA81629"/>
    <w:rsid w:val="1FA9EC6A"/>
    <w:rsid w:val="1FAAD4A8"/>
    <w:rsid w:val="1FADB05E"/>
    <w:rsid w:val="1FAFAA1E"/>
    <w:rsid w:val="1FB604BB"/>
    <w:rsid w:val="1FBA0141"/>
    <w:rsid w:val="1FBBD253"/>
    <w:rsid w:val="1FC67E7B"/>
    <w:rsid w:val="1FCB56F2"/>
    <w:rsid w:val="1FD29599"/>
    <w:rsid w:val="1FD2A8B3"/>
    <w:rsid w:val="1FD37D47"/>
    <w:rsid w:val="1FDB4AD7"/>
    <w:rsid w:val="1FDC8184"/>
    <w:rsid w:val="1FDE7088"/>
    <w:rsid w:val="1FDE9497"/>
    <w:rsid w:val="1FE0E3E6"/>
    <w:rsid w:val="1FE6EFC8"/>
    <w:rsid w:val="1FE85CB0"/>
    <w:rsid w:val="1FE9910B"/>
    <w:rsid w:val="1FF0B354"/>
    <w:rsid w:val="1FF24BB3"/>
    <w:rsid w:val="1FF68C71"/>
    <w:rsid w:val="1FF7D5F4"/>
    <w:rsid w:val="1FF87314"/>
    <w:rsid w:val="1FFD232F"/>
    <w:rsid w:val="1FFD6B47"/>
    <w:rsid w:val="1FFE879F"/>
    <w:rsid w:val="20046AB6"/>
    <w:rsid w:val="20072A9B"/>
    <w:rsid w:val="20129E73"/>
    <w:rsid w:val="201520EB"/>
    <w:rsid w:val="2017B503"/>
    <w:rsid w:val="201BD925"/>
    <w:rsid w:val="20276C17"/>
    <w:rsid w:val="202E35E7"/>
    <w:rsid w:val="202FD4BD"/>
    <w:rsid w:val="2031FEE7"/>
    <w:rsid w:val="2032F0CE"/>
    <w:rsid w:val="20337E3A"/>
    <w:rsid w:val="203A6E55"/>
    <w:rsid w:val="203A7A66"/>
    <w:rsid w:val="203E2284"/>
    <w:rsid w:val="204219AD"/>
    <w:rsid w:val="20456E6F"/>
    <w:rsid w:val="20515679"/>
    <w:rsid w:val="2054E0C8"/>
    <w:rsid w:val="20586711"/>
    <w:rsid w:val="205F61AE"/>
    <w:rsid w:val="20600FF8"/>
    <w:rsid w:val="206A094A"/>
    <w:rsid w:val="206E3B9B"/>
    <w:rsid w:val="2071D058"/>
    <w:rsid w:val="207CCA97"/>
    <w:rsid w:val="20813563"/>
    <w:rsid w:val="20813EDD"/>
    <w:rsid w:val="20852E8D"/>
    <w:rsid w:val="20867655"/>
    <w:rsid w:val="208F5089"/>
    <w:rsid w:val="208F73EB"/>
    <w:rsid w:val="20953503"/>
    <w:rsid w:val="209607D8"/>
    <w:rsid w:val="20983F34"/>
    <w:rsid w:val="20990F72"/>
    <w:rsid w:val="2099F1E3"/>
    <w:rsid w:val="209CEF51"/>
    <w:rsid w:val="20A0E4CC"/>
    <w:rsid w:val="20A3F3ED"/>
    <w:rsid w:val="20A88950"/>
    <w:rsid w:val="20AB6B70"/>
    <w:rsid w:val="20B0656C"/>
    <w:rsid w:val="20B2007D"/>
    <w:rsid w:val="20B65634"/>
    <w:rsid w:val="20B88F8E"/>
    <w:rsid w:val="20C453AB"/>
    <w:rsid w:val="20C64026"/>
    <w:rsid w:val="20C8BDB9"/>
    <w:rsid w:val="20D498FC"/>
    <w:rsid w:val="20D503EF"/>
    <w:rsid w:val="20D676A2"/>
    <w:rsid w:val="20D7B7B3"/>
    <w:rsid w:val="20DE7F88"/>
    <w:rsid w:val="20E38B07"/>
    <w:rsid w:val="20E6345B"/>
    <w:rsid w:val="20EE3E51"/>
    <w:rsid w:val="20EFD1A4"/>
    <w:rsid w:val="20FAFC11"/>
    <w:rsid w:val="20FAFD34"/>
    <w:rsid w:val="20FB4B7D"/>
    <w:rsid w:val="210AF2C7"/>
    <w:rsid w:val="210C30CC"/>
    <w:rsid w:val="210E5042"/>
    <w:rsid w:val="21153303"/>
    <w:rsid w:val="211AB9BC"/>
    <w:rsid w:val="211B2383"/>
    <w:rsid w:val="21284B50"/>
    <w:rsid w:val="212DBD35"/>
    <w:rsid w:val="21404FA1"/>
    <w:rsid w:val="21409CBE"/>
    <w:rsid w:val="2143EB63"/>
    <w:rsid w:val="21452393"/>
    <w:rsid w:val="21457907"/>
    <w:rsid w:val="214EDA8F"/>
    <w:rsid w:val="214FB288"/>
    <w:rsid w:val="2151CD8D"/>
    <w:rsid w:val="21573FC3"/>
    <w:rsid w:val="21574FB0"/>
    <w:rsid w:val="215DA8E1"/>
    <w:rsid w:val="216267A8"/>
    <w:rsid w:val="2162FBB4"/>
    <w:rsid w:val="2165424D"/>
    <w:rsid w:val="21656C6F"/>
    <w:rsid w:val="216A3091"/>
    <w:rsid w:val="2174B0E3"/>
    <w:rsid w:val="21759C0F"/>
    <w:rsid w:val="21761389"/>
    <w:rsid w:val="2176B8DF"/>
    <w:rsid w:val="217824E4"/>
    <w:rsid w:val="21820A9D"/>
    <w:rsid w:val="21828DBF"/>
    <w:rsid w:val="21829D02"/>
    <w:rsid w:val="2182F2B7"/>
    <w:rsid w:val="218348AA"/>
    <w:rsid w:val="21850C48"/>
    <w:rsid w:val="21872252"/>
    <w:rsid w:val="218B9F95"/>
    <w:rsid w:val="218F9B10"/>
    <w:rsid w:val="21947EBB"/>
    <w:rsid w:val="219B3064"/>
    <w:rsid w:val="219B5299"/>
    <w:rsid w:val="219EEAB7"/>
    <w:rsid w:val="21A4A028"/>
    <w:rsid w:val="21A62599"/>
    <w:rsid w:val="21A8C191"/>
    <w:rsid w:val="21AA84A5"/>
    <w:rsid w:val="21ABAA45"/>
    <w:rsid w:val="21B3423B"/>
    <w:rsid w:val="21B8830A"/>
    <w:rsid w:val="21BCC359"/>
    <w:rsid w:val="21BECC79"/>
    <w:rsid w:val="21C1F592"/>
    <w:rsid w:val="21C3AA44"/>
    <w:rsid w:val="21C97752"/>
    <w:rsid w:val="21D1517E"/>
    <w:rsid w:val="21D52487"/>
    <w:rsid w:val="21D6C04B"/>
    <w:rsid w:val="21DB5FB4"/>
    <w:rsid w:val="21ED0400"/>
    <w:rsid w:val="21F42B98"/>
    <w:rsid w:val="21F55135"/>
    <w:rsid w:val="21F5A17B"/>
    <w:rsid w:val="21F678D4"/>
    <w:rsid w:val="21FA2EC8"/>
    <w:rsid w:val="21FCFD68"/>
    <w:rsid w:val="220A6DEC"/>
    <w:rsid w:val="220BF201"/>
    <w:rsid w:val="221FA311"/>
    <w:rsid w:val="2220C0D2"/>
    <w:rsid w:val="222D72EA"/>
    <w:rsid w:val="2231149E"/>
    <w:rsid w:val="2232D97A"/>
    <w:rsid w:val="2233C0E2"/>
    <w:rsid w:val="22369C7C"/>
    <w:rsid w:val="223A7567"/>
    <w:rsid w:val="223BC18F"/>
    <w:rsid w:val="223DFA2B"/>
    <w:rsid w:val="22497663"/>
    <w:rsid w:val="22501A36"/>
    <w:rsid w:val="225DD895"/>
    <w:rsid w:val="226B6ED3"/>
    <w:rsid w:val="226E0BD9"/>
    <w:rsid w:val="226EACB8"/>
    <w:rsid w:val="227048A9"/>
    <w:rsid w:val="2273D3E4"/>
    <w:rsid w:val="2274A0A3"/>
    <w:rsid w:val="22762729"/>
    <w:rsid w:val="227C1079"/>
    <w:rsid w:val="227E2C43"/>
    <w:rsid w:val="227F013F"/>
    <w:rsid w:val="2280EF12"/>
    <w:rsid w:val="2281826E"/>
    <w:rsid w:val="22890162"/>
    <w:rsid w:val="22895C2A"/>
    <w:rsid w:val="228AB6DE"/>
    <w:rsid w:val="228F03C4"/>
    <w:rsid w:val="2291420A"/>
    <w:rsid w:val="22917068"/>
    <w:rsid w:val="2295AA12"/>
    <w:rsid w:val="2295D5B2"/>
    <w:rsid w:val="229C21B1"/>
    <w:rsid w:val="22A45EA3"/>
    <w:rsid w:val="22A497BC"/>
    <w:rsid w:val="22AF900F"/>
    <w:rsid w:val="22B154B7"/>
    <w:rsid w:val="22B3C359"/>
    <w:rsid w:val="22B69D12"/>
    <w:rsid w:val="22B972BF"/>
    <w:rsid w:val="22BE665F"/>
    <w:rsid w:val="22C181EF"/>
    <w:rsid w:val="22C5C32F"/>
    <w:rsid w:val="22C6FA9A"/>
    <w:rsid w:val="22D3417A"/>
    <w:rsid w:val="22D50E55"/>
    <w:rsid w:val="22D65F10"/>
    <w:rsid w:val="22DA7220"/>
    <w:rsid w:val="22DDD89E"/>
    <w:rsid w:val="22E3384C"/>
    <w:rsid w:val="22EAB419"/>
    <w:rsid w:val="22EB4A0B"/>
    <w:rsid w:val="22EB8665"/>
    <w:rsid w:val="22F2092B"/>
    <w:rsid w:val="22F2AC4B"/>
    <w:rsid w:val="22FDF483"/>
    <w:rsid w:val="23015731"/>
    <w:rsid w:val="2309A7D2"/>
    <w:rsid w:val="230E62E7"/>
    <w:rsid w:val="230F5A4D"/>
    <w:rsid w:val="23112393"/>
    <w:rsid w:val="231221DF"/>
    <w:rsid w:val="2315856B"/>
    <w:rsid w:val="231610B9"/>
    <w:rsid w:val="2319735B"/>
    <w:rsid w:val="231CD33D"/>
    <w:rsid w:val="231DEA7C"/>
    <w:rsid w:val="231EC946"/>
    <w:rsid w:val="23231420"/>
    <w:rsid w:val="23234DE0"/>
    <w:rsid w:val="23237B1E"/>
    <w:rsid w:val="2328E06A"/>
    <w:rsid w:val="2329FB05"/>
    <w:rsid w:val="23348100"/>
    <w:rsid w:val="233643DF"/>
    <w:rsid w:val="23397091"/>
    <w:rsid w:val="233FEFD6"/>
    <w:rsid w:val="23452D82"/>
    <w:rsid w:val="2346D591"/>
    <w:rsid w:val="234BF5F4"/>
    <w:rsid w:val="234F02E6"/>
    <w:rsid w:val="2353E28D"/>
    <w:rsid w:val="23593F1E"/>
    <w:rsid w:val="235AE654"/>
    <w:rsid w:val="235DA7BB"/>
    <w:rsid w:val="235F27C1"/>
    <w:rsid w:val="235F335C"/>
    <w:rsid w:val="235F3EC5"/>
    <w:rsid w:val="235F76FC"/>
    <w:rsid w:val="235FA21A"/>
    <w:rsid w:val="2366DEA1"/>
    <w:rsid w:val="23788282"/>
    <w:rsid w:val="2379E0CB"/>
    <w:rsid w:val="237FF862"/>
    <w:rsid w:val="2384AE98"/>
    <w:rsid w:val="23860216"/>
    <w:rsid w:val="238C8A45"/>
    <w:rsid w:val="23955898"/>
    <w:rsid w:val="239698E4"/>
    <w:rsid w:val="2397E5F5"/>
    <w:rsid w:val="2399B8EE"/>
    <w:rsid w:val="239F37BF"/>
    <w:rsid w:val="23A720E5"/>
    <w:rsid w:val="23AB7759"/>
    <w:rsid w:val="23ABD29E"/>
    <w:rsid w:val="23AD5FDD"/>
    <w:rsid w:val="23BA42BB"/>
    <w:rsid w:val="23BD3436"/>
    <w:rsid w:val="23BECBCF"/>
    <w:rsid w:val="23BF2AE8"/>
    <w:rsid w:val="23C22A1B"/>
    <w:rsid w:val="23C4DF39"/>
    <w:rsid w:val="23C7B490"/>
    <w:rsid w:val="23CAA087"/>
    <w:rsid w:val="23D05DBC"/>
    <w:rsid w:val="23D47BF0"/>
    <w:rsid w:val="23D7F712"/>
    <w:rsid w:val="23DB9552"/>
    <w:rsid w:val="23DDA5A5"/>
    <w:rsid w:val="23DDA970"/>
    <w:rsid w:val="23DF912E"/>
    <w:rsid w:val="23E4B9AA"/>
    <w:rsid w:val="23E7F951"/>
    <w:rsid w:val="23EB5AF1"/>
    <w:rsid w:val="23EFE569"/>
    <w:rsid w:val="23F7BBE3"/>
    <w:rsid w:val="23F83AD5"/>
    <w:rsid w:val="23FA0279"/>
    <w:rsid w:val="23FFADC1"/>
    <w:rsid w:val="2406FDFC"/>
    <w:rsid w:val="2407DB7F"/>
    <w:rsid w:val="240CB587"/>
    <w:rsid w:val="241683F4"/>
    <w:rsid w:val="2418BA39"/>
    <w:rsid w:val="241B3CEB"/>
    <w:rsid w:val="2422C3EA"/>
    <w:rsid w:val="2423CAD2"/>
    <w:rsid w:val="242858E5"/>
    <w:rsid w:val="2429C3F4"/>
    <w:rsid w:val="2434DEBF"/>
    <w:rsid w:val="243C3836"/>
    <w:rsid w:val="2441BDFA"/>
    <w:rsid w:val="244A87E5"/>
    <w:rsid w:val="244AC993"/>
    <w:rsid w:val="244E8093"/>
    <w:rsid w:val="244E95C7"/>
    <w:rsid w:val="24538712"/>
    <w:rsid w:val="24546B19"/>
    <w:rsid w:val="245A25FC"/>
    <w:rsid w:val="245F1C59"/>
    <w:rsid w:val="2460F8CE"/>
    <w:rsid w:val="246364C5"/>
    <w:rsid w:val="2463678C"/>
    <w:rsid w:val="246E61B3"/>
    <w:rsid w:val="246EB9A0"/>
    <w:rsid w:val="2476934B"/>
    <w:rsid w:val="2478742A"/>
    <w:rsid w:val="2479D846"/>
    <w:rsid w:val="247DCC64"/>
    <w:rsid w:val="248BCBAF"/>
    <w:rsid w:val="24941CC3"/>
    <w:rsid w:val="2496C671"/>
    <w:rsid w:val="24981BBB"/>
    <w:rsid w:val="2498955C"/>
    <w:rsid w:val="2498B4D8"/>
    <w:rsid w:val="249AA28C"/>
    <w:rsid w:val="249C3486"/>
    <w:rsid w:val="24A00468"/>
    <w:rsid w:val="24AECA3D"/>
    <w:rsid w:val="24B3B836"/>
    <w:rsid w:val="24B52885"/>
    <w:rsid w:val="24BDD387"/>
    <w:rsid w:val="24C2D66B"/>
    <w:rsid w:val="24D06F23"/>
    <w:rsid w:val="24D14845"/>
    <w:rsid w:val="24E6924F"/>
    <w:rsid w:val="24EBB4C7"/>
    <w:rsid w:val="24F0AA60"/>
    <w:rsid w:val="24F7D0B6"/>
    <w:rsid w:val="24FB5532"/>
    <w:rsid w:val="25015688"/>
    <w:rsid w:val="25045156"/>
    <w:rsid w:val="2505C746"/>
    <w:rsid w:val="2506642D"/>
    <w:rsid w:val="2506E494"/>
    <w:rsid w:val="250F0671"/>
    <w:rsid w:val="25107C0E"/>
    <w:rsid w:val="2511D478"/>
    <w:rsid w:val="2514AECD"/>
    <w:rsid w:val="25163DED"/>
    <w:rsid w:val="2518ABC5"/>
    <w:rsid w:val="251B9A65"/>
    <w:rsid w:val="251C7D42"/>
    <w:rsid w:val="251C8717"/>
    <w:rsid w:val="251D273D"/>
    <w:rsid w:val="2522310C"/>
    <w:rsid w:val="25235C53"/>
    <w:rsid w:val="2524CA10"/>
    <w:rsid w:val="25288A62"/>
    <w:rsid w:val="252A4F23"/>
    <w:rsid w:val="252B3C6C"/>
    <w:rsid w:val="252D172E"/>
    <w:rsid w:val="252E5E2F"/>
    <w:rsid w:val="252E9D4E"/>
    <w:rsid w:val="2533FEDC"/>
    <w:rsid w:val="2535CD1D"/>
    <w:rsid w:val="25366D83"/>
    <w:rsid w:val="25384D32"/>
    <w:rsid w:val="25390F44"/>
    <w:rsid w:val="25469E13"/>
    <w:rsid w:val="254B6425"/>
    <w:rsid w:val="2550B811"/>
    <w:rsid w:val="25534C14"/>
    <w:rsid w:val="2558FDF5"/>
    <w:rsid w:val="255D7E90"/>
    <w:rsid w:val="2563B29A"/>
    <w:rsid w:val="2565FB63"/>
    <w:rsid w:val="25688C55"/>
    <w:rsid w:val="256A39CC"/>
    <w:rsid w:val="25721B9F"/>
    <w:rsid w:val="25732E41"/>
    <w:rsid w:val="257A02D3"/>
    <w:rsid w:val="257A795D"/>
    <w:rsid w:val="257AE533"/>
    <w:rsid w:val="257B849B"/>
    <w:rsid w:val="257FA61B"/>
    <w:rsid w:val="25803705"/>
    <w:rsid w:val="25825916"/>
    <w:rsid w:val="2585C1B4"/>
    <w:rsid w:val="258641B7"/>
    <w:rsid w:val="258685DA"/>
    <w:rsid w:val="258A4FCE"/>
    <w:rsid w:val="258B69F8"/>
    <w:rsid w:val="25913C57"/>
    <w:rsid w:val="259701B3"/>
    <w:rsid w:val="25973A03"/>
    <w:rsid w:val="259AC479"/>
    <w:rsid w:val="259CA2C6"/>
    <w:rsid w:val="259D5270"/>
    <w:rsid w:val="259E33D3"/>
    <w:rsid w:val="25A1421C"/>
    <w:rsid w:val="25A5D3DD"/>
    <w:rsid w:val="25A62846"/>
    <w:rsid w:val="25A9D98B"/>
    <w:rsid w:val="25AC79EE"/>
    <w:rsid w:val="25ADAAFF"/>
    <w:rsid w:val="25AF664D"/>
    <w:rsid w:val="25AFC8BF"/>
    <w:rsid w:val="25B17761"/>
    <w:rsid w:val="25B1C0FF"/>
    <w:rsid w:val="25B48AE8"/>
    <w:rsid w:val="25BC6426"/>
    <w:rsid w:val="25C63F4F"/>
    <w:rsid w:val="25C8E3D2"/>
    <w:rsid w:val="25C95412"/>
    <w:rsid w:val="25CC5164"/>
    <w:rsid w:val="25CCD89C"/>
    <w:rsid w:val="25D31652"/>
    <w:rsid w:val="25DA7172"/>
    <w:rsid w:val="25DCE821"/>
    <w:rsid w:val="25DD0E31"/>
    <w:rsid w:val="25DE229A"/>
    <w:rsid w:val="25DFB3B1"/>
    <w:rsid w:val="25E2B829"/>
    <w:rsid w:val="25E3497B"/>
    <w:rsid w:val="25E6A0B2"/>
    <w:rsid w:val="25ED0F31"/>
    <w:rsid w:val="25F6F99D"/>
    <w:rsid w:val="25F79ACC"/>
    <w:rsid w:val="25FB5382"/>
    <w:rsid w:val="2600A401"/>
    <w:rsid w:val="2602F921"/>
    <w:rsid w:val="260523A4"/>
    <w:rsid w:val="26054975"/>
    <w:rsid w:val="260C62C8"/>
    <w:rsid w:val="2610CFA3"/>
    <w:rsid w:val="26125BE6"/>
    <w:rsid w:val="261C356B"/>
    <w:rsid w:val="2623E073"/>
    <w:rsid w:val="2628968F"/>
    <w:rsid w:val="262D4537"/>
    <w:rsid w:val="2636616A"/>
    <w:rsid w:val="26368D1C"/>
    <w:rsid w:val="26413D2F"/>
    <w:rsid w:val="2642872C"/>
    <w:rsid w:val="26452FEB"/>
    <w:rsid w:val="264DEA84"/>
    <w:rsid w:val="265319C2"/>
    <w:rsid w:val="2657C8CB"/>
    <w:rsid w:val="2657E40C"/>
    <w:rsid w:val="265CBD21"/>
    <w:rsid w:val="265F69CB"/>
    <w:rsid w:val="2661E571"/>
    <w:rsid w:val="266200E1"/>
    <w:rsid w:val="26679C2F"/>
    <w:rsid w:val="266F08D3"/>
    <w:rsid w:val="267369ED"/>
    <w:rsid w:val="2675E2CE"/>
    <w:rsid w:val="267F576F"/>
    <w:rsid w:val="268176C6"/>
    <w:rsid w:val="268257BD"/>
    <w:rsid w:val="26862BF1"/>
    <w:rsid w:val="268934F0"/>
    <w:rsid w:val="268B0DAA"/>
    <w:rsid w:val="269AD2A1"/>
    <w:rsid w:val="269F096C"/>
    <w:rsid w:val="26A03340"/>
    <w:rsid w:val="26A11432"/>
    <w:rsid w:val="26A15B82"/>
    <w:rsid w:val="26A62A3F"/>
    <w:rsid w:val="26A7FB35"/>
    <w:rsid w:val="26A9D37D"/>
    <w:rsid w:val="26B10889"/>
    <w:rsid w:val="26B154B7"/>
    <w:rsid w:val="26B40600"/>
    <w:rsid w:val="26B70608"/>
    <w:rsid w:val="26B9D08A"/>
    <w:rsid w:val="26BAF02F"/>
    <w:rsid w:val="26BCA1F0"/>
    <w:rsid w:val="26BF6859"/>
    <w:rsid w:val="26C736E2"/>
    <w:rsid w:val="26C80D0B"/>
    <w:rsid w:val="26C8BB7B"/>
    <w:rsid w:val="26CE3F60"/>
    <w:rsid w:val="26D3721A"/>
    <w:rsid w:val="26D4892A"/>
    <w:rsid w:val="26D541EC"/>
    <w:rsid w:val="26DA5C40"/>
    <w:rsid w:val="26DB59D3"/>
    <w:rsid w:val="26DCD21A"/>
    <w:rsid w:val="26E1E8B6"/>
    <w:rsid w:val="26E452A7"/>
    <w:rsid w:val="26E46F51"/>
    <w:rsid w:val="26E4931D"/>
    <w:rsid w:val="26E8582C"/>
    <w:rsid w:val="26EA8EC6"/>
    <w:rsid w:val="26EED15A"/>
    <w:rsid w:val="26FA010D"/>
    <w:rsid w:val="26FD3A2F"/>
    <w:rsid w:val="270015E8"/>
    <w:rsid w:val="2705EF0D"/>
    <w:rsid w:val="2707713D"/>
    <w:rsid w:val="2709447A"/>
    <w:rsid w:val="2712F55C"/>
    <w:rsid w:val="2716518A"/>
    <w:rsid w:val="2717B913"/>
    <w:rsid w:val="271CD0B5"/>
    <w:rsid w:val="27226862"/>
    <w:rsid w:val="27261C62"/>
    <w:rsid w:val="27289ED3"/>
    <w:rsid w:val="272CF300"/>
    <w:rsid w:val="27320F50"/>
    <w:rsid w:val="273398AF"/>
    <w:rsid w:val="273556F4"/>
    <w:rsid w:val="273A8B2F"/>
    <w:rsid w:val="273AE434"/>
    <w:rsid w:val="273B915C"/>
    <w:rsid w:val="274F0CC2"/>
    <w:rsid w:val="27506604"/>
    <w:rsid w:val="27529DB2"/>
    <w:rsid w:val="27559C5B"/>
    <w:rsid w:val="275630A0"/>
    <w:rsid w:val="2756DDAC"/>
    <w:rsid w:val="27579DFA"/>
    <w:rsid w:val="276BD5CE"/>
    <w:rsid w:val="276C29EC"/>
    <w:rsid w:val="276F4D6D"/>
    <w:rsid w:val="2771708A"/>
    <w:rsid w:val="27735141"/>
    <w:rsid w:val="2785B590"/>
    <w:rsid w:val="278BACA8"/>
    <w:rsid w:val="278CC859"/>
    <w:rsid w:val="278F3356"/>
    <w:rsid w:val="2793BBB2"/>
    <w:rsid w:val="27940EE9"/>
    <w:rsid w:val="2794F288"/>
    <w:rsid w:val="2796E3FD"/>
    <w:rsid w:val="279C44BD"/>
    <w:rsid w:val="27A12D16"/>
    <w:rsid w:val="27A4E0FB"/>
    <w:rsid w:val="27AA50DD"/>
    <w:rsid w:val="27B2FFF1"/>
    <w:rsid w:val="27B71D6D"/>
    <w:rsid w:val="27B844EB"/>
    <w:rsid w:val="27BC1EFC"/>
    <w:rsid w:val="27BDF793"/>
    <w:rsid w:val="27BE1DAF"/>
    <w:rsid w:val="27C381DD"/>
    <w:rsid w:val="27C546A6"/>
    <w:rsid w:val="27C5CCC3"/>
    <w:rsid w:val="27CB564C"/>
    <w:rsid w:val="27CE6B64"/>
    <w:rsid w:val="27DB9A01"/>
    <w:rsid w:val="27DE94BD"/>
    <w:rsid w:val="27E12422"/>
    <w:rsid w:val="27E43335"/>
    <w:rsid w:val="27E79F42"/>
    <w:rsid w:val="27F2AD25"/>
    <w:rsid w:val="27FFB6CD"/>
    <w:rsid w:val="28028F52"/>
    <w:rsid w:val="2807A9E8"/>
    <w:rsid w:val="280882A2"/>
    <w:rsid w:val="28102550"/>
    <w:rsid w:val="28116D87"/>
    <w:rsid w:val="2818BC97"/>
    <w:rsid w:val="281E8785"/>
    <w:rsid w:val="282419A8"/>
    <w:rsid w:val="282EB0A1"/>
    <w:rsid w:val="28337151"/>
    <w:rsid w:val="2836397A"/>
    <w:rsid w:val="283AECF8"/>
    <w:rsid w:val="2842B63D"/>
    <w:rsid w:val="28468465"/>
    <w:rsid w:val="2848ECD5"/>
    <w:rsid w:val="284A8038"/>
    <w:rsid w:val="284CE731"/>
    <w:rsid w:val="2854DC06"/>
    <w:rsid w:val="2857A775"/>
    <w:rsid w:val="28645368"/>
    <w:rsid w:val="2864A5E7"/>
    <w:rsid w:val="2864EA32"/>
    <w:rsid w:val="2869D8A3"/>
    <w:rsid w:val="286E5646"/>
    <w:rsid w:val="2871BCD6"/>
    <w:rsid w:val="28738180"/>
    <w:rsid w:val="28774223"/>
    <w:rsid w:val="287857FD"/>
    <w:rsid w:val="287C73C0"/>
    <w:rsid w:val="287DC26E"/>
    <w:rsid w:val="288006E1"/>
    <w:rsid w:val="2889535C"/>
    <w:rsid w:val="2891A369"/>
    <w:rsid w:val="28945A6A"/>
    <w:rsid w:val="28971894"/>
    <w:rsid w:val="2899998D"/>
    <w:rsid w:val="289CB86F"/>
    <w:rsid w:val="289E8089"/>
    <w:rsid w:val="289EE07E"/>
    <w:rsid w:val="28B2392F"/>
    <w:rsid w:val="28B24827"/>
    <w:rsid w:val="28BAAB1D"/>
    <w:rsid w:val="28C4310D"/>
    <w:rsid w:val="28C917BC"/>
    <w:rsid w:val="28D6991B"/>
    <w:rsid w:val="28DC7E0B"/>
    <w:rsid w:val="28DD078B"/>
    <w:rsid w:val="28DDF0B5"/>
    <w:rsid w:val="28E96BE9"/>
    <w:rsid w:val="28EBB3F7"/>
    <w:rsid w:val="28F146E2"/>
    <w:rsid w:val="28F2A324"/>
    <w:rsid w:val="28F586CF"/>
    <w:rsid w:val="28F6618A"/>
    <w:rsid w:val="28FB8A88"/>
    <w:rsid w:val="28FFA31E"/>
    <w:rsid w:val="2901B15B"/>
    <w:rsid w:val="290F4ABC"/>
    <w:rsid w:val="2912C668"/>
    <w:rsid w:val="2915045A"/>
    <w:rsid w:val="291E6B09"/>
    <w:rsid w:val="2923E72E"/>
    <w:rsid w:val="292844B1"/>
    <w:rsid w:val="292E71EF"/>
    <w:rsid w:val="29324630"/>
    <w:rsid w:val="29363E18"/>
    <w:rsid w:val="293675DB"/>
    <w:rsid w:val="29369619"/>
    <w:rsid w:val="293F2769"/>
    <w:rsid w:val="2944490C"/>
    <w:rsid w:val="29480706"/>
    <w:rsid w:val="294B9C73"/>
    <w:rsid w:val="294D8477"/>
    <w:rsid w:val="2950BCF8"/>
    <w:rsid w:val="2954CD57"/>
    <w:rsid w:val="295876B8"/>
    <w:rsid w:val="295EF0D5"/>
    <w:rsid w:val="295F9F2B"/>
    <w:rsid w:val="2963C9E6"/>
    <w:rsid w:val="29671F67"/>
    <w:rsid w:val="2968A672"/>
    <w:rsid w:val="296EF29E"/>
    <w:rsid w:val="2970F664"/>
    <w:rsid w:val="2973DEFD"/>
    <w:rsid w:val="29833B6A"/>
    <w:rsid w:val="2989AD8C"/>
    <w:rsid w:val="298C4365"/>
    <w:rsid w:val="299B4DCE"/>
    <w:rsid w:val="299E810F"/>
    <w:rsid w:val="29A09461"/>
    <w:rsid w:val="29A15D02"/>
    <w:rsid w:val="29A8B69F"/>
    <w:rsid w:val="29ABE79A"/>
    <w:rsid w:val="29B3C04D"/>
    <w:rsid w:val="29B6FD6B"/>
    <w:rsid w:val="29B9F118"/>
    <w:rsid w:val="29BD158B"/>
    <w:rsid w:val="29BD5ED3"/>
    <w:rsid w:val="29C3F506"/>
    <w:rsid w:val="29CC5D82"/>
    <w:rsid w:val="29CF560A"/>
    <w:rsid w:val="29D77479"/>
    <w:rsid w:val="29DB0464"/>
    <w:rsid w:val="29E3F0A6"/>
    <w:rsid w:val="29EE4855"/>
    <w:rsid w:val="29FA2B51"/>
    <w:rsid w:val="29FD5636"/>
    <w:rsid w:val="29FD92DC"/>
    <w:rsid w:val="29FE338B"/>
    <w:rsid w:val="2A01CCA5"/>
    <w:rsid w:val="2A024BAC"/>
    <w:rsid w:val="2A0346C1"/>
    <w:rsid w:val="2A08F669"/>
    <w:rsid w:val="2A0EE749"/>
    <w:rsid w:val="2A0FA1E9"/>
    <w:rsid w:val="2A14ABE5"/>
    <w:rsid w:val="2A1510D0"/>
    <w:rsid w:val="2A169265"/>
    <w:rsid w:val="2A1B9BE1"/>
    <w:rsid w:val="2A20A15A"/>
    <w:rsid w:val="2A23DEF9"/>
    <w:rsid w:val="2A24B5A9"/>
    <w:rsid w:val="2A29A9BE"/>
    <w:rsid w:val="2A3C9D2D"/>
    <w:rsid w:val="2A3E52FD"/>
    <w:rsid w:val="2A3EA33C"/>
    <w:rsid w:val="2A406A3F"/>
    <w:rsid w:val="2A47A469"/>
    <w:rsid w:val="2A55CD6E"/>
    <w:rsid w:val="2A5C95F7"/>
    <w:rsid w:val="2A5E878A"/>
    <w:rsid w:val="2A5F756C"/>
    <w:rsid w:val="2A64A3C5"/>
    <w:rsid w:val="2A6DAA10"/>
    <w:rsid w:val="2A701338"/>
    <w:rsid w:val="2A74EA67"/>
    <w:rsid w:val="2A759A11"/>
    <w:rsid w:val="2A763DE7"/>
    <w:rsid w:val="2A794B45"/>
    <w:rsid w:val="2A7A9E9C"/>
    <w:rsid w:val="2A7C1E13"/>
    <w:rsid w:val="2A7CA0F7"/>
    <w:rsid w:val="2A7E575B"/>
    <w:rsid w:val="2A8BF2F9"/>
    <w:rsid w:val="2A8C45F3"/>
    <w:rsid w:val="2A8C6292"/>
    <w:rsid w:val="2A8E7538"/>
    <w:rsid w:val="2A8FD0E1"/>
    <w:rsid w:val="2A921673"/>
    <w:rsid w:val="2A94AD55"/>
    <w:rsid w:val="2A9D0C72"/>
    <w:rsid w:val="2AA2DFF5"/>
    <w:rsid w:val="2AAAE438"/>
    <w:rsid w:val="2AAE275B"/>
    <w:rsid w:val="2AB1D6A5"/>
    <w:rsid w:val="2AB43D71"/>
    <w:rsid w:val="2AB7B008"/>
    <w:rsid w:val="2AB7FECA"/>
    <w:rsid w:val="2ABFD3E8"/>
    <w:rsid w:val="2AC3431C"/>
    <w:rsid w:val="2ADA4983"/>
    <w:rsid w:val="2ADBF23F"/>
    <w:rsid w:val="2ADDD1DA"/>
    <w:rsid w:val="2AE7948C"/>
    <w:rsid w:val="2AE96230"/>
    <w:rsid w:val="2AEECF45"/>
    <w:rsid w:val="2AF28F32"/>
    <w:rsid w:val="2AF83FA7"/>
    <w:rsid w:val="2AF8FFED"/>
    <w:rsid w:val="2AFB18D9"/>
    <w:rsid w:val="2AFC0F6F"/>
    <w:rsid w:val="2AFD06D1"/>
    <w:rsid w:val="2B03A976"/>
    <w:rsid w:val="2B063D4A"/>
    <w:rsid w:val="2B0723A4"/>
    <w:rsid w:val="2B0A0062"/>
    <w:rsid w:val="2B0B4BAF"/>
    <w:rsid w:val="2B11000E"/>
    <w:rsid w:val="2B14C7FF"/>
    <w:rsid w:val="2B163415"/>
    <w:rsid w:val="2B19FD4D"/>
    <w:rsid w:val="2B1B5145"/>
    <w:rsid w:val="2B1C4B71"/>
    <w:rsid w:val="2B200F2B"/>
    <w:rsid w:val="2B20B741"/>
    <w:rsid w:val="2B323784"/>
    <w:rsid w:val="2B38250C"/>
    <w:rsid w:val="2B3A8523"/>
    <w:rsid w:val="2B3FD7B1"/>
    <w:rsid w:val="2B426E94"/>
    <w:rsid w:val="2B43CF6B"/>
    <w:rsid w:val="2B4A03CC"/>
    <w:rsid w:val="2B4C23CD"/>
    <w:rsid w:val="2B5270F5"/>
    <w:rsid w:val="2B545409"/>
    <w:rsid w:val="2B582358"/>
    <w:rsid w:val="2B5A2B73"/>
    <w:rsid w:val="2B5D294B"/>
    <w:rsid w:val="2B5FA444"/>
    <w:rsid w:val="2B6202EF"/>
    <w:rsid w:val="2B6C0EEC"/>
    <w:rsid w:val="2B6C6828"/>
    <w:rsid w:val="2B6F5BF1"/>
    <w:rsid w:val="2B6FD2EF"/>
    <w:rsid w:val="2B712649"/>
    <w:rsid w:val="2B717E63"/>
    <w:rsid w:val="2B756814"/>
    <w:rsid w:val="2B7FE7FB"/>
    <w:rsid w:val="2B82139B"/>
    <w:rsid w:val="2B89CCB5"/>
    <w:rsid w:val="2B8DBB78"/>
    <w:rsid w:val="2B904C3E"/>
    <w:rsid w:val="2B90ADEC"/>
    <w:rsid w:val="2B94FF3F"/>
    <w:rsid w:val="2B9A0831"/>
    <w:rsid w:val="2B9D5062"/>
    <w:rsid w:val="2B9DA4E2"/>
    <w:rsid w:val="2BA1996B"/>
    <w:rsid w:val="2BA28D96"/>
    <w:rsid w:val="2BA57C4A"/>
    <w:rsid w:val="2BAC2DBD"/>
    <w:rsid w:val="2BBD6030"/>
    <w:rsid w:val="2BC0C468"/>
    <w:rsid w:val="2BC77655"/>
    <w:rsid w:val="2BCBFD20"/>
    <w:rsid w:val="2BD4922D"/>
    <w:rsid w:val="2BD924F6"/>
    <w:rsid w:val="2BE1222A"/>
    <w:rsid w:val="2BE1F37E"/>
    <w:rsid w:val="2BE38CCE"/>
    <w:rsid w:val="2BE44BC1"/>
    <w:rsid w:val="2BE527D3"/>
    <w:rsid w:val="2BEA832C"/>
    <w:rsid w:val="2BEE9649"/>
    <w:rsid w:val="2BEEC58A"/>
    <w:rsid w:val="2BEF3C1C"/>
    <w:rsid w:val="2BF4DA06"/>
    <w:rsid w:val="2C00EF36"/>
    <w:rsid w:val="2C07948F"/>
    <w:rsid w:val="2C0EB447"/>
    <w:rsid w:val="2C0EC263"/>
    <w:rsid w:val="2C1940D2"/>
    <w:rsid w:val="2C195129"/>
    <w:rsid w:val="2C197E9F"/>
    <w:rsid w:val="2C1D5A08"/>
    <w:rsid w:val="2C2794B1"/>
    <w:rsid w:val="2C287FEA"/>
    <w:rsid w:val="2C31BF29"/>
    <w:rsid w:val="2C33D793"/>
    <w:rsid w:val="2C374003"/>
    <w:rsid w:val="2C37FF9A"/>
    <w:rsid w:val="2C38BD8E"/>
    <w:rsid w:val="2C3BFB43"/>
    <w:rsid w:val="2C3D7B2E"/>
    <w:rsid w:val="2C440279"/>
    <w:rsid w:val="2C48CFD1"/>
    <w:rsid w:val="2C48D02A"/>
    <w:rsid w:val="2C4BCC10"/>
    <w:rsid w:val="2C57994E"/>
    <w:rsid w:val="2C5CFC5A"/>
    <w:rsid w:val="2C5E5B6C"/>
    <w:rsid w:val="2C615C32"/>
    <w:rsid w:val="2C61F471"/>
    <w:rsid w:val="2C6569A5"/>
    <w:rsid w:val="2C6C9F96"/>
    <w:rsid w:val="2C6DD834"/>
    <w:rsid w:val="2C71AC5F"/>
    <w:rsid w:val="2C750F6B"/>
    <w:rsid w:val="2C7682CA"/>
    <w:rsid w:val="2C77D89E"/>
    <w:rsid w:val="2C78AAAD"/>
    <w:rsid w:val="2C790D01"/>
    <w:rsid w:val="2C7B0F65"/>
    <w:rsid w:val="2C7B6683"/>
    <w:rsid w:val="2C7B6CB8"/>
    <w:rsid w:val="2C7ECAEC"/>
    <w:rsid w:val="2C82499E"/>
    <w:rsid w:val="2C8446C1"/>
    <w:rsid w:val="2C84E6FC"/>
    <w:rsid w:val="2C88F84E"/>
    <w:rsid w:val="2C91071B"/>
    <w:rsid w:val="2C911561"/>
    <w:rsid w:val="2C92EE82"/>
    <w:rsid w:val="2C93467F"/>
    <w:rsid w:val="2C964526"/>
    <w:rsid w:val="2C9F9265"/>
    <w:rsid w:val="2CA1B03D"/>
    <w:rsid w:val="2CA89127"/>
    <w:rsid w:val="2CAECCBB"/>
    <w:rsid w:val="2CB63878"/>
    <w:rsid w:val="2CBB2699"/>
    <w:rsid w:val="2CBFE743"/>
    <w:rsid w:val="2CC02D59"/>
    <w:rsid w:val="2CC05B50"/>
    <w:rsid w:val="2CC0A522"/>
    <w:rsid w:val="2CCA6104"/>
    <w:rsid w:val="2CCA8889"/>
    <w:rsid w:val="2CCE18CD"/>
    <w:rsid w:val="2CCF04C0"/>
    <w:rsid w:val="2CCFC959"/>
    <w:rsid w:val="2CD190A9"/>
    <w:rsid w:val="2CD1DBB5"/>
    <w:rsid w:val="2CD217A3"/>
    <w:rsid w:val="2CD4D34B"/>
    <w:rsid w:val="2CD77EAC"/>
    <w:rsid w:val="2CDE0C4B"/>
    <w:rsid w:val="2CE1A420"/>
    <w:rsid w:val="2CF805BE"/>
    <w:rsid w:val="2CFC4EE6"/>
    <w:rsid w:val="2CFFBB5E"/>
    <w:rsid w:val="2D088280"/>
    <w:rsid w:val="2D12503E"/>
    <w:rsid w:val="2D12B6F8"/>
    <w:rsid w:val="2D15CC40"/>
    <w:rsid w:val="2D160188"/>
    <w:rsid w:val="2D2239DE"/>
    <w:rsid w:val="2D246E25"/>
    <w:rsid w:val="2D2A70BF"/>
    <w:rsid w:val="2D2BF0CD"/>
    <w:rsid w:val="2D30A178"/>
    <w:rsid w:val="2D3702B8"/>
    <w:rsid w:val="2D3AF6CF"/>
    <w:rsid w:val="2D3C340F"/>
    <w:rsid w:val="2D3ED2D4"/>
    <w:rsid w:val="2D489317"/>
    <w:rsid w:val="2D4F1D39"/>
    <w:rsid w:val="2D507579"/>
    <w:rsid w:val="2D524E3A"/>
    <w:rsid w:val="2D52BCAE"/>
    <w:rsid w:val="2D52E57C"/>
    <w:rsid w:val="2D569E41"/>
    <w:rsid w:val="2D5A598B"/>
    <w:rsid w:val="2D5CA9BB"/>
    <w:rsid w:val="2D5D14BE"/>
    <w:rsid w:val="2D5DD8D7"/>
    <w:rsid w:val="2D5E350C"/>
    <w:rsid w:val="2D62E403"/>
    <w:rsid w:val="2D653F05"/>
    <w:rsid w:val="2D66312E"/>
    <w:rsid w:val="2D687035"/>
    <w:rsid w:val="2D713851"/>
    <w:rsid w:val="2D71C823"/>
    <w:rsid w:val="2D77C22B"/>
    <w:rsid w:val="2D7D53A2"/>
    <w:rsid w:val="2D82AC7B"/>
    <w:rsid w:val="2D832D9E"/>
    <w:rsid w:val="2D840949"/>
    <w:rsid w:val="2D8522DC"/>
    <w:rsid w:val="2D89F189"/>
    <w:rsid w:val="2D90CD07"/>
    <w:rsid w:val="2D99842D"/>
    <w:rsid w:val="2D9B1ADB"/>
    <w:rsid w:val="2D9D08C2"/>
    <w:rsid w:val="2D9FB5C6"/>
    <w:rsid w:val="2DA0958B"/>
    <w:rsid w:val="2DA98DC6"/>
    <w:rsid w:val="2DAD086A"/>
    <w:rsid w:val="2DB6E15D"/>
    <w:rsid w:val="2DB8855C"/>
    <w:rsid w:val="2DC0F4AE"/>
    <w:rsid w:val="2DCA8094"/>
    <w:rsid w:val="2DCBE810"/>
    <w:rsid w:val="2DCEB430"/>
    <w:rsid w:val="2DCF9431"/>
    <w:rsid w:val="2DD30C47"/>
    <w:rsid w:val="2DD8B949"/>
    <w:rsid w:val="2DD999CE"/>
    <w:rsid w:val="2DDEEC33"/>
    <w:rsid w:val="2DE1BFB8"/>
    <w:rsid w:val="2DE33630"/>
    <w:rsid w:val="2DE82CFF"/>
    <w:rsid w:val="2DEB9CEA"/>
    <w:rsid w:val="2DECBBBB"/>
    <w:rsid w:val="2DF15C02"/>
    <w:rsid w:val="2DF31E11"/>
    <w:rsid w:val="2DF56B9B"/>
    <w:rsid w:val="2DF6379A"/>
    <w:rsid w:val="2DF8C6BA"/>
    <w:rsid w:val="2DF900AB"/>
    <w:rsid w:val="2E088A46"/>
    <w:rsid w:val="2E08E205"/>
    <w:rsid w:val="2E0EDF5D"/>
    <w:rsid w:val="2E119223"/>
    <w:rsid w:val="2E14C7E1"/>
    <w:rsid w:val="2E17DA9D"/>
    <w:rsid w:val="2E1CE279"/>
    <w:rsid w:val="2E1DB9C4"/>
    <w:rsid w:val="2E2AA548"/>
    <w:rsid w:val="2E2AB490"/>
    <w:rsid w:val="2E2C95C0"/>
    <w:rsid w:val="2E30E883"/>
    <w:rsid w:val="2E38DCF0"/>
    <w:rsid w:val="2E3FE878"/>
    <w:rsid w:val="2E424F35"/>
    <w:rsid w:val="2E42F8D7"/>
    <w:rsid w:val="2E481460"/>
    <w:rsid w:val="2E4BD338"/>
    <w:rsid w:val="2E5645E2"/>
    <w:rsid w:val="2E61FCEF"/>
    <w:rsid w:val="2E6529DB"/>
    <w:rsid w:val="2E670A65"/>
    <w:rsid w:val="2E6A399A"/>
    <w:rsid w:val="2E7386F4"/>
    <w:rsid w:val="2E766633"/>
    <w:rsid w:val="2E784849"/>
    <w:rsid w:val="2E7DE9BD"/>
    <w:rsid w:val="2E7E404C"/>
    <w:rsid w:val="2E7FF589"/>
    <w:rsid w:val="2E829EFC"/>
    <w:rsid w:val="2E837588"/>
    <w:rsid w:val="2E859D8E"/>
    <w:rsid w:val="2E87321C"/>
    <w:rsid w:val="2E87EF22"/>
    <w:rsid w:val="2E8E9CA7"/>
    <w:rsid w:val="2E96201D"/>
    <w:rsid w:val="2E96ACF2"/>
    <w:rsid w:val="2E97EDAD"/>
    <w:rsid w:val="2EA5538F"/>
    <w:rsid w:val="2EAE15B3"/>
    <w:rsid w:val="2EB40BA1"/>
    <w:rsid w:val="2EB6CF35"/>
    <w:rsid w:val="2EB888DB"/>
    <w:rsid w:val="2EBA4263"/>
    <w:rsid w:val="2EBAE8A1"/>
    <w:rsid w:val="2EBD60B8"/>
    <w:rsid w:val="2EC24384"/>
    <w:rsid w:val="2ECC7285"/>
    <w:rsid w:val="2ECFB2D5"/>
    <w:rsid w:val="2ED08297"/>
    <w:rsid w:val="2ED34693"/>
    <w:rsid w:val="2ED4AE9D"/>
    <w:rsid w:val="2ED9348B"/>
    <w:rsid w:val="2EDBF54A"/>
    <w:rsid w:val="2EDE6AA1"/>
    <w:rsid w:val="2EE46263"/>
    <w:rsid w:val="2EE8E579"/>
    <w:rsid w:val="2EE9AF60"/>
    <w:rsid w:val="2EED1950"/>
    <w:rsid w:val="2EEE13BD"/>
    <w:rsid w:val="2EF15402"/>
    <w:rsid w:val="2EFBD04B"/>
    <w:rsid w:val="2EFC2110"/>
    <w:rsid w:val="2EFCA669"/>
    <w:rsid w:val="2F02CB35"/>
    <w:rsid w:val="2F0303DE"/>
    <w:rsid w:val="2F03DE35"/>
    <w:rsid w:val="2F06D621"/>
    <w:rsid w:val="2F0988D3"/>
    <w:rsid w:val="2F0BFE18"/>
    <w:rsid w:val="2F0D3C66"/>
    <w:rsid w:val="2F16F175"/>
    <w:rsid w:val="2F1AFB86"/>
    <w:rsid w:val="2F1D05F8"/>
    <w:rsid w:val="2F1DB161"/>
    <w:rsid w:val="2F1DB867"/>
    <w:rsid w:val="2F1E2014"/>
    <w:rsid w:val="2F267E6A"/>
    <w:rsid w:val="2F2CF81E"/>
    <w:rsid w:val="2F332A3E"/>
    <w:rsid w:val="2F362362"/>
    <w:rsid w:val="2F3BD584"/>
    <w:rsid w:val="2F3C2839"/>
    <w:rsid w:val="2F3D4744"/>
    <w:rsid w:val="2F472226"/>
    <w:rsid w:val="2F486080"/>
    <w:rsid w:val="2F4F3DF2"/>
    <w:rsid w:val="2F514C76"/>
    <w:rsid w:val="2F56090E"/>
    <w:rsid w:val="2F59D650"/>
    <w:rsid w:val="2F5BFC08"/>
    <w:rsid w:val="2F65FA46"/>
    <w:rsid w:val="2F66D3F3"/>
    <w:rsid w:val="2F68CA91"/>
    <w:rsid w:val="2F6994AF"/>
    <w:rsid w:val="2F6CC563"/>
    <w:rsid w:val="2F6E4195"/>
    <w:rsid w:val="2F725F63"/>
    <w:rsid w:val="2F727E26"/>
    <w:rsid w:val="2F728A18"/>
    <w:rsid w:val="2F730A8D"/>
    <w:rsid w:val="2F75C34A"/>
    <w:rsid w:val="2F7D9E26"/>
    <w:rsid w:val="2F8125DB"/>
    <w:rsid w:val="2F85A8E6"/>
    <w:rsid w:val="2F8E7229"/>
    <w:rsid w:val="2F8FB962"/>
    <w:rsid w:val="2F945E9E"/>
    <w:rsid w:val="2F991F77"/>
    <w:rsid w:val="2F999225"/>
    <w:rsid w:val="2F9E1C9C"/>
    <w:rsid w:val="2F9EBA93"/>
    <w:rsid w:val="2FA02839"/>
    <w:rsid w:val="2FA028B8"/>
    <w:rsid w:val="2FA35109"/>
    <w:rsid w:val="2FA45F80"/>
    <w:rsid w:val="2FA67E55"/>
    <w:rsid w:val="2FAA129E"/>
    <w:rsid w:val="2FAB597C"/>
    <w:rsid w:val="2FABBF67"/>
    <w:rsid w:val="2FAE7CAC"/>
    <w:rsid w:val="2FB03735"/>
    <w:rsid w:val="2FB3758B"/>
    <w:rsid w:val="2FB75755"/>
    <w:rsid w:val="2FBA42F9"/>
    <w:rsid w:val="2FBB6135"/>
    <w:rsid w:val="2FBC69C8"/>
    <w:rsid w:val="2FBC6BF7"/>
    <w:rsid w:val="2FBFD735"/>
    <w:rsid w:val="2FC00802"/>
    <w:rsid w:val="2FC1DB95"/>
    <w:rsid w:val="2FC3192A"/>
    <w:rsid w:val="2FC43F26"/>
    <w:rsid w:val="2FCD753D"/>
    <w:rsid w:val="2FD0C620"/>
    <w:rsid w:val="2FD5A95E"/>
    <w:rsid w:val="2FE2B567"/>
    <w:rsid w:val="2FE3F6A3"/>
    <w:rsid w:val="2FE66527"/>
    <w:rsid w:val="2FE99309"/>
    <w:rsid w:val="2FEB58FA"/>
    <w:rsid w:val="2FED7537"/>
    <w:rsid w:val="2FEE4EAF"/>
    <w:rsid w:val="2FF046B6"/>
    <w:rsid w:val="2FF2925E"/>
    <w:rsid w:val="2FF35E52"/>
    <w:rsid w:val="2FF471B2"/>
    <w:rsid w:val="2FFB55EF"/>
    <w:rsid w:val="2FFE1D14"/>
    <w:rsid w:val="2FFFEB40"/>
    <w:rsid w:val="30013AD2"/>
    <w:rsid w:val="3001B9D3"/>
    <w:rsid w:val="30040DD6"/>
    <w:rsid w:val="300AC3C0"/>
    <w:rsid w:val="300AFF67"/>
    <w:rsid w:val="300D5865"/>
    <w:rsid w:val="30126A91"/>
    <w:rsid w:val="301534C7"/>
    <w:rsid w:val="30164DAB"/>
    <w:rsid w:val="30168270"/>
    <w:rsid w:val="30174704"/>
    <w:rsid w:val="301767A6"/>
    <w:rsid w:val="301B43BF"/>
    <w:rsid w:val="301CAC18"/>
    <w:rsid w:val="301F615A"/>
    <w:rsid w:val="3022F8F8"/>
    <w:rsid w:val="3026420B"/>
    <w:rsid w:val="302653C9"/>
    <w:rsid w:val="3028DC75"/>
    <w:rsid w:val="3030A829"/>
    <w:rsid w:val="3036677D"/>
    <w:rsid w:val="303905EA"/>
    <w:rsid w:val="303BC2FF"/>
    <w:rsid w:val="30431C79"/>
    <w:rsid w:val="3049AB99"/>
    <w:rsid w:val="304D1435"/>
    <w:rsid w:val="305538D7"/>
    <w:rsid w:val="305A5AE2"/>
    <w:rsid w:val="305D3D27"/>
    <w:rsid w:val="305D9FE6"/>
    <w:rsid w:val="305E50FA"/>
    <w:rsid w:val="306C221A"/>
    <w:rsid w:val="30751D86"/>
    <w:rsid w:val="30757FA1"/>
    <w:rsid w:val="3075961E"/>
    <w:rsid w:val="307815EA"/>
    <w:rsid w:val="30807F64"/>
    <w:rsid w:val="308096FA"/>
    <w:rsid w:val="3082FBB2"/>
    <w:rsid w:val="30867613"/>
    <w:rsid w:val="308A7AF0"/>
    <w:rsid w:val="30925FBF"/>
    <w:rsid w:val="30934CE0"/>
    <w:rsid w:val="3094B995"/>
    <w:rsid w:val="309B2A8E"/>
    <w:rsid w:val="309E0793"/>
    <w:rsid w:val="30A24E63"/>
    <w:rsid w:val="30A3CE32"/>
    <w:rsid w:val="30A5699E"/>
    <w:rsid w:val="30A6C912"/>
    <w:rsid w:val="30AB4FFF"/>
    <w:rsid w:val="30B24B52"/>
    <w:rsid w:val="30B57FFD"/>
    <w:rsid w:val="30B5ACB3"/>
    <w:rsid w:val="30B6FB69"/>
    <w:rsid w:val="30B91FD2"/>
    <w:rsid w:val="30BB5189"/>
    <w:rsid w:val="30BDBB2D"/>
    <w:rsid w:val="30C44DDF"/>
    <w:rsid w:val="30C5B927"/>
    <w:rsid w:val="30C9B5FE"/>
    <w:rsid w:val="30CAE3B9"/>
    <w:rsid w:val="30D81798"/>
    <w:rsid w:val="30DDFF35"/>
    <w:rsid w:val="30E195E7"/>
    <w:rsid w:val="30E2446A"/>
    <w:rsid w:val="30E51C18"/>
    <w:rsid w:val="30E73AEE"/>
    <w:rsid w:val="30E89FE3"/>
    <w:rsid w:val="30EDB674"/>
    <w:rsid w:val="30F21194"/>
    <w:rsid w:val="310144D4"/>
    <w:rsid w:val="3103D1C7"/>
    <w:rsid w:val="3104323D"/>
    <w:rsid w:val="310646E0"/>
    <w:rsid w:val="3109CEDC"/>
    <w:rsid w:val="310A478B"/>
    <w:rsid w:val="310A8642"/>
    <w:rsid w:val="310B40B6"/>
    <w:rsid w:val="310CC021"/>
    <w:rsid w:val="3116FDDF"/>
    <w:rsid w:val="311D7B93"/>
    <w:rsid w:val="311DF5AE"/>
    <w:rsid w:val="311FABD5"/>
    <w:rsid w:val="3120BC53"/>
    <w:rsid w:val="31239A89"/>
    <w:rsid w:val="3123A961"/>
    <w:rsid w:val="31246399"/>
    <w:rsid w:val="3125F069"/>
    <w:rsid w:val="3129D8AA"/>
    <w:rsid w:val="312E45BA"/>
    <w:rsid w:val="313BB1F2"/>
    <w:rsid w:val="313BFBA6"/>
    <w:rsid w:val="313DA642"/>
    <w:rsid w:val="313EE86F"/>
    <w:rsid w:val="3142D274"/>
    <w:rsid w:val="315AA6EC"/>
    <w:rsid w:val="315FDF8B"/>
    <w:rsid w:val="31606746"/>
    <w:rsid w:val="316736CA"/>
    <w:rsid w:val="31684015"/>
    <w:rsid w:val="316DE47E"/>
    <w:rsid w:val="31768BAC"/>
    <w:rsid w:val="3176C9EF"/>
    <w:rsid w:val="3178C047"/>
    <w:rsid w:val="31792DE6"/>
    <w:rsid w:val="3185C253"/>
    <w:rsid w:val="318AA2D5"/>
    <w:rsid w:val="318D7CC8"/>
    <w:rsid w:val="31944BD2"/>
    <w:rsid w:val="3196C32B"/>
    <w:rsid w:val="319B76CA"/>
    <w:rsid w:val="319F28B0"/>
    <w:rsid w:val="319FD541"/>
    <w:rsid w:val="31A2D77C"/>
    <w:rsid w:val="31B18000"/>
    <w:rsid w:val="31B42FCC"/>
    <w:rsid w:val="31B4FA5E"/>
    <w:rsid w:val="31B4FEE6"/>
    <w:rsid w:val="31B59652"/>
    <w:rsid w:val="31B90D5F"/>
    <w:rsid w:val="31BAB8EB"/>
    <w:rsid w:val="31C22A9A"/>
    <w:rsid w:val="31C25D44"/>
    <w:rsid w:val="31C6455E"/>
    <w:rsid w:val="31C8B94B"/>
    <w:rsid w:val="31CE5E32"/>
    <w:rsid w:val="31CEA8B6"/>
    <w:rsid w:val="31D63221"/>
    <w:rsid w:val="31D6A7B3"/>
    <w:rsid w:val="31E0004F"/>
    <w:rsid w:val="31E108CB"/>
    <w:rsid w:val="31E5747B"/>
    <w:rsid w:val="31E8256D"/>
    <w:rsid w:val="31F16ED2"/>
    <w:rsid w:val="31F5D071"/>
    <w:rsid w:val="31FA7F58"/>
    <w:rsid w:val="31FE388A"/>
    <w:rsid w:val="31FF9219"/>
    <w:rsid w:val="32026C2A"/>
    <w:rsid w:val="320B1C7B"/>
    <w:rsid w:val="32102FDB"/>
    <w:rsid w:val="3213215E"/>
    <w:rsid w:val="321A9384"/>
    <w:rsid w:val="321B871B"/>
    <w:rsid w:val="3220502D"/>
    <w:rsid w:val="3227DDD6"/>
    <w:rsid w:val="323202ED"/>
    <w:rsid w:val="323228A9"/>
    <w:rsid w:val="3233575B"/>
    <w:rsid w:val="32376C4E"/>
    <w:rsid w:val="323DDABC"/>
    <w:rsid w:val="32411FF3"/>
    <w:rsid w:val="324790BE"/>
    <w:rsid w:val="324C31A5"/>
    <w:rsid w:val="3254D390"/>
    <w:rsid w:val="32560027"/>
    <w:rsid w:val="32574FB7"/>
    <w:rsid w:val="3257A661"/>
    <w:rsid w:val="3257F21E"/>
    <w:rsid w:val="325A4140"/>
    <w:rsid w:val="32692C35"/>
    <w:rsid w:val="326988A3"/>
    <w:rsid w:val="326AA3B9"/>
    <w:rsid w:val="326F3C1A"/>
    <w:rsid w:val="3271A875"/>
    <w:rsid w:val="32728122"/>
    <w:rsid w:val="32728BE9"/>
    <w:rsid w:val="3272FC12"/>
    <w:rsid w:val="3274855E"/>
    <w:rsid w:val="327BD42B"/>
    <w:rsid w:val="327DAF22"/>
    <w:rsid w:val="327E57BE"/>
    <w:rsid w:val="328444E3"/>
    <w:rsid w:val="3285F994"/>
    <w:rsid w:val="3287ACA8"/>
    <w:rsid w:val="328A0D12"/>
    <w:rsid w:val="328A7638"/>
    <w:rsid w:val="328D1540"/>
    <w:rsid w:val="329179A4"/>
    <w:rsid w:val="32981C41"/>
    <w:rsid w:val="329DEEE8"/>
    <w:rsid w:val="329F8E74"/>
    <w:rsid w:val="32A02A97"/>
    <w:rsid w:val="32A86E22"/>
    <w:rsid w:val="32A8A01C"/>
    <w:rsid w:val="32AE0199"/>
    <w:rsid w:val="32B2BC97"/>
    <w:rsid w:val="32B45F79"/>
    <w:rsid w:val="32B65608"/>
    <w:rsid w:val="32B7A149"/>
    <w:rsid w:val="32C4B87E"/>
    <w:rsid w:val="32C79E00"/>
    <w:rsid w:val="32D279B9"/>
    <w:rsid w:val="32D887DC"/>
    <w:rsid w:val="32DA2D2E"/>
    <w:rsid w:val="32E436DC"/>
    <w:rsid w:val="32E647BE"/>
    <w:rsid w:val="32E8F113"/>
    <w:rsid w:val="32F2507B"/>
    <w:rsid w:val="32F8BE42"/>
    <w:rsid w:val="32FDA887"/>
    <w:rsid w:val="3301CE1F"/>
    <w:rsid w:val="330691FB"/>
    <w:rsid w:val="33133C07"/>
    <w:rsid w:val="331D15D4"/>
    <w:rsid w:val="3324600F"/>
    <w:rsid w:val="332E4D9D"/>
    <w:rsid w:val="332ED68F"/>
    <w:rsid w:val="33312F3E"/>
    <w:rsid w:val="3333C891"/>
    <w:rsid w:val="333757B2"/>
    <w:rsid w:val="333E58DC"/>
    <w:rsid w:val="334120A8"/>
    <w:rsid w:val="33425B87"/>
    <w:rsid w:val="33494A65"/>
    <w:rsid w:val="334AC67D"/>
    <w:rsid w:val="3350A8B2"/>
    <w:rsid w:val="3350D7B7"/>
    <w:rsid w:val="33518B4E"/>
    <w:rsid w:val="33573218"/>
    <w:rsid w:val="3357A47F"/>
    <w:rsid w:val="3358FA5F"/>
    <w:rsid w:val="335F29E6"/>
    <w:rsid w:val="335F918E"/>
    <w:rsid w:val="33628D6B"/>
    <w:rsid w:val="3366DE13"/>
    <w:rsid w:val="33696041"/>
    <w:rsid w:val="336FD2CD"/>
    <w:rsid w:val="33718201"/>
    <w:rsid w:val="33719AE5"/>
    <w:rsid w:val="3371A817"/>
    <w:rsid w:val="33779229"/>
    <w:rsid w:val="337B1B81"/>
    <w:rsid w:val="337DEBF7"/>
    <w:rsid w:val="33808D2B"/>
    <w:rsid w:val="338B4B0A"/>
    <w:rsid w:val="338E72CC"/>
    <w:rsid w:val="338EBB78"/>
    <w:rsid w:val="33955EC9"/>
    <w:rsid w:val="3395F8E7"/>
    <w:rsid w:val="3396A447"/>
    <w:rsid w:val="33999FC3"/>
    <w:rsid w:val="3399C449"/>
    <w:rsid w:val="339CF70E"/>
    <w:rsid w:val="339ED476"/>
    <w:rsid w:val="339FFD73"/>
    <w:rsid w:val="33A449D5"/>
    <w:rsid w:val="33A8D5DA"/>
    <w:rsid w:val="33B025AE"/>
    <w:rsid w:val="33B056A2"/>
    <w:rsid w:val="33B14B1F"/>
    <w:rsid w:val="33B49EA0"/>
    <w:rsid w:val="33BC73ED"/>
    <w:rsid w:val="33D19373"/>
    <w:rsid w:val="33D3A6D0"/>
    <w:rsid w:val="33D4F35C"/>
    <w:rsid w:val="33DC952E"/>
    <w:rsid w:val="33DE0E9F"/>
    <w:rsid w:val="33DE45DD"/>
    <w:rsid w:val="33DE96F1"/>
    <w:rsid w:val="33E5859B"/>
    <w:rsid w:val="33E938F5"/>
    <w:rsid w:val="33ECF4F2"/>
    <w:rsid w:val="33F1C7E6"/>
    <w:rsid w:val="33F2178E"/>
    <w:rsid w:val="33F55046"/>
    <w:rsid w:val="33F786EA"/>
    <w:rsid w:val="34016E0A"/>
    <w:rsid w:val="3402BEE3"/>
    <w:rsid w:val="340CA539"/>
    <w:rsid w:val="340DB23C"/>
    <w:rsid w:val="341A5B80"/>
    <w:rsid w:val="341CEA68"/>
    <w:rsid w:val="341E4D85"/>
    <w:rsid w:val="3420906B"/>
    <w:rsid w:val="3423AAF7"/>
    <w:rsid w:val="34288952"/>
    <w:rsid w:val="3431712A"/>
    <w:rsid w:val="3435EEBD"/>
    <w:rsid w:val="34367130"/>
    <w:rsid w:val="343B385B"/>
    <w:rsid w:val="343CFCEA"/>
    <w:rsid w:val="343F3C0D"/>
    <w:rsid w:val="34423D10"/>
    <w:rsid w:val="3445E00B"/>
    <w:rsid w:val="3450CBD1"/>
    <w:rsid w:val="34560928"/>
    <w:rsid w:val="345B665F"/>
    <w:rsid w:val="345C2D50"/>
    <w:rsid w:val="345DBBD5"/>
    <w:rsid w:val="345EF5E0"/>
    <w:rsid w:val="346320B0"/>
    <w:rsid w:val="346342AB"/>
    <w:rsid w:val="346A9BB3"/>
    <w:rsid w:val="34734A21"/>
    <w:rsid w:val="34768DCD"/>
    <w:rsid w:val="347B46F9"/>
    <w:rsid w:val="347BEDC4"/>
    <w:rsid w:val="347C540A"/>
    <w:rsid w:val="347C7038"/>
    <w:rsid w:val="347CA6C2"/>
    <w:rsid w:val="347CF870"/>
    <w:rsid w:val="347ED731"/>
    <w:rsid w:val="3483CC45"/>
    <w:rsid w:val="3488FE06"/>
    <w:rsid w:val="348B46A3"/>
    <w:rsid w:val="348BAB45"/>
    <w:rsid w:val="348BB61B"/>
    <w:rsid w:val="348D127F"/>
    <w:rsid w:val="348DDC4A"/>
    <w:rsid w:val="3491126F"/>
    <w:rsid w:val="349391EB"/>
    <w:rsid w:val="3499F9E5"/>
    <w:rsid w:val="34A6946A"/>
    <w:rsid w:val="34B1009C"/>
    <w:rsid w:val="34B4B5A3"/>
    <w:rsid w:val="34BEF129"/>
    <w:rsid w:val="34C326D7"/>
    <w:rsid w:val="34C37891"/>
    <w:rsid w:val="34C82BAF"/>
    <w:rsid w:val="34CAC686"/>
    <w:rsid w:val="34CB0E7B"/>
    <w:rsid w:val="34CCA6DF"/>
    <w:rsid w:val="34CF0529"/>
    <w:rsid w:val="34DAFBBC"/>
    <w:rsid w:val="34E41947"/>
    <w:rsid w:val="34E73D4B"/>
    <w:rsid w:val="34E79616"/>
    <w:rsid w:val="34E92AB9"/>
    <w:rsid w:val="34EEAEBB"/>
    <w:rsid w:val="34F08BE9"/>
    <w:rsid w:val="34F08F60"/>
    <w:rsid w:val="34F70A07"/>
    <w:rsid w:val="34FA016C"/>
    <w:rsid w:val="34FC1C34"/>
    <w:rsid w:val="3507671D"/>
    <w:rsid w:val="3508FC6C"/>
    <w:rsid w:val="350DAD19"/>
    <w:rsid w:val="3514937B"/>
    <w:rsid w:val="3518EBC0"/>
    <w:rsid w:val="351A1916"/>
    <w:rsid w:val="351FEA18"/>
    <w:rsid w:val="3521BF31"/>
    <w:rsid w:val="3524B536"/>
    <w:rsid w:val="35280922"/>
    <w:rsid w:val="352AF51F"/>
    <w:rsid w:val="352D323D"/>
    <w:rsid w:val="352EAEF4"/>
    <w:rsid w:val="35320FD4"/>
    <w:rsid w:val="35359A02"/>
    <w:rsid w:val="35368D21"/>
    <w:rsid w:val="35372705"/>
    <w:rsid w:val="35424783"/>
    <w:rsid w:val="35483D80"/>
    <w:rsid w:val="354AFED8"/>
    <w:rsid w:val="355041E5"/>
    <w:rsid w:val="35511B30"/>
    <w:rsid w:val="35596274"/>
    <w:rsid w:val="355E4054"/>
    <w:rsid w:val="355F180E"/>
    <w:rsid w:val="3564BD1F"/>
    <w:rsid w:val="3573DB6E"/>
    <w:rsid w:val="35766CDF"/>
    <w:rsid w:val="357F4C98"/>
    <w:rsid w:val="35818FD4"/>
    <w:rsid w:val="35878554"/>
    <w:rsid w:val="358C4304"/>
    <w:rsid w:val="358C666C"/>
    <w:rsid w:val="358D0CAF"/>
    <w:rsid w:val="358F38DE"/>
    <w:rsid w:val="358F98C8"/>
    <w:rsid w:val="3591358C"/>
    <w:rsid w:val="359586D9"/>
    <w:rsid w:val="359B7370"/>
    <w:rsid w:val="35A4E1FE"/>
    <w:rsid w:val="35A9AA79"/>
    <w:rsid w:val="35B59DEB"/>
    <w:rsid w:val="35C0F440"/>
    <w:rsid w:val="35C6C532"/>
    <w:rsid w:val="35C85372"/>
    <w:rsid w:val="35D13DB2"/>
    <w:rsid w:val="35D2F765"/>
    <w:rsid w:val="35D43A75"/>
    <w:rsid w:val="35D53D15"/>
    <w:rsid w:val="35D7D236"/>
    <w:rsid w:val="35DAD0D7"/>
    <w:rsid w:val="35E3317D"/>
    <w:rsid w:val="35E5CBE7"/>
    <w:rsid w:val="35E6D33B"/>
    <w:rsid w:val="35ECF46B"/>
    <w:rsid w:val="35EDB6FB"/>
    <w:rsid w:val="35F15878"/>
    <w:rsid w:val="35F1C986"/>
    <w:rsid w:val="35F25968"/>
    <w:rsid w:val="35F4D961"/>
    <w:rsid w:val="35FD7E7E"/>
    <w:rsid w:val="360CD380"/>
    <w:rsid w:val="360F2D5F"/>
    <w:rsid w:val="36105ADB"/>
    <w:rsid w:val="3613F009"/>
    <w:rsid w:val="3616ED17"/>
    <w:rsid w:val="36175E4A"/>
    <w:rsid w:val="36190F08"/>
    <w:rsid w:val="361BBADC"/>
    <w:rsid w:val="36287D22"/>
    <w:rsid w:val="362A5B67"/>
    <w:rsid w:val="362ABB54"/>
    <w:rsid w:val="362C040A"/>
    <w:rsid w:val="362C0CF7"/>
    <w:rsid w:val="362E7AFA"/>
    <w:rsid w:val="3632CB43"/>
    <w:rsid w:val="363A2A19"/>
    <w:rsid w:val="363E8765"/>
    <w:rsid w:val="3642159D"/>
    <w:rsid w:val="36431B34"/>
    <w:rsid w:val="3643B326"/>
    <w:rsid w:val="364692AA"/>
    <w:rsid w:val="3646D359"/>
    <w:rsid w:val="364DD5DD"/>
    <w:rsid w:val="365653C9"/>
    <w:rsid w:val="3658390A"/>
    <w:rsid w:val="3666ECC8"/>
    <w:rsid w:val="366A2ECA"/>
    <w:rsid w:val="366AD525"/>
    <w:rsid w:val="366F27AC"/>
    <w:rsid w:val="3675919B"/>
    <w:rsid w:val="367A73BD"/>
    <w:rsid w:val="367BC74E"/>
    <w:rsid w:val="367F8E2E"/>
    <w:rsid w:val="3689CF1F"/>
    <w:rsid w:val="368BAF31"/>
    <w:rsid w:val="36941E45"/>
    <w:rsid w:val="36961127"/>
    <w:rsid w:val="3698BCD8"/>
    <w:rsid w:val="369E577A"/>
    <w:rsid w:val="36A1847B"/>
    <w:rsid w:val="36A5ABBC"/>
    <w:rsid w:val="36A62B2A"/>
    <w:rsid w:val="36A774F9"/>
    <w:rsid w:val="36A9E458"/>
    <w:rsid w:val="36AA5F71"/>
    <w:rsid w:val="36B7CD78"/>
    <w:rsid w:val="36B83E3B"/>
    <w:rsid w:val="36BFDADC"/>
    <w:rsid w:val="36C3DA50"/>
    <w:rsid w:val="36C93C09"/>
    <w:rsid w:val="36CB4920"/>
    <w:rsid w:val="36D097AD"/>
    <w:rsid w:val="36D1595D"/>
    <w:rsid w:val="36D2C5A6"/>
    <w:rsid w:val="36D34649"/>
    <w:rsid w:val="36D4E750"/>
    <w:rsid w:val="36D595CA"/>
    <w:rsid w:val="36DA34A2"/>
    <w:rsid w:val="36DB0753"/>
    <w:rsid w:val="36DEF7E4"/>
    <w:rsid w:val="36E1A19E"/>
    <w:rsid w:val="36E3FB1E"/>
    <w:rsid w:val="36E6EC0C"/>
    <w:rsid w:val="36E91402"/>
    <w:rsid w:val="36EAD780"/>
    <w:rsid w:val="36ED0427"/>
    <w:rsid w:val="36EEC1BE"/>
    <w:rsid w:val="36F302D1"/>
    <w:rsid w:val="36F49697"/>
    <w:rsid w:val="36F4FCFA"/>
    <w:rsid w:val="36FAFCFD"/>
    <w:rsid w:val="36FDAD1D"/>
    <w:rsid w:val="3708CA7D"/>
    <w:rsid w:val="370A9E27"/>
    <w:rsid w:val="370C6368"/>
    <w:rsid w:val="3712D68C"/>
    <w:rsid w:val="3714278C"/>
    <w:rsid w:val="37180F85"/>
    <w:rsid w:val="371AB5CF"/>
    <w:rsid w:val="371E8912"/>
    <w:rsid w:val="372A179F"/>
    <w:rsid w:val="37313771"/>
    <w:rsid w:val="3734CF35"/>
    <w:rsid w:val="37374767"/>
    <w:rsid w:val="3737D0ED"/>
    <w:rsid w:val="373A825A"/>
    <w:rsid w:val="373BAA37"/>
    <w:rsid w:val="3742F756"/>
    <w:rsid w:val="37452132"/>
    <w:rsid w:val="3747B2DA"/>
    <w:rsid w:val="3749C32C"/>
    <w:rsid w:val="3749E3F7"/>
    <w:rsid w:val="374C6140"/>
    <w:rsid w:val="375A6D74"/>
    <w:rsid w:val="375EA6BC"/>
    <w:rsid w:val="37652F5C"/>
    <w:rsid w:val="37672C9E"/>
    <w:rsid w:val="37676824"/>
    <w:rsid w:val="3767AFDB"/>
    <w:rsid w:val="37691AD9"/>
    <w:rsid w:val="3769DA2D"/>
    <w:rsid w:val="376E3DE3"/>
    <w:rsid w:val="376F1956"/>
    <w:rsid w:val="37703BEC"/>
    <w:rsid w:val="3774A286"/>
    <w:rsid w:val="37766D53"/>
    <w:rsid w:val="37796F60"/>
    <w:rsid w:val="377CA0FC"/>
    <w:rsid w:val="3781FB12"/>
    <w:rsid w:val="3787F1D5"/>
    <w:rsid w:val="378AF6EF"/>
    <w:rsid w:val="3790799D"/>
    <w:rsid w:val="37A52C5D"/>
    <w:rsid w:val="37AE7A6E"/>
    <w:rsid w:val="37B593B5"/>
    <w:rsid w:val="37B68477"/>
    <w:rsid w:val="37B6B4ED"/>
    <w:rsid w:val="37BAF61B"/>
    <w:rsid w:val="37C08850"/>
    <w:rsid w:val="37C2046A"/>
    <w:rsid w:val="37C9647A"/>
    <w:rsid w:val="37CA8B9A"/>
    <w:rsid w:val="37CCD16C"/>
    <w:rsid w:val="37E2CC13"/>
    <w:rsid w:val="37E90F6E"/>
    <w:rsid w:val="37E9F1DE"/>
    <w:rsid w:val="37EA5CB2"/>
    <w:rsid w:val="37F2FA0C"/>
    <w:rsid w:val="37F4982C"/>
    <w:rsid w:val="37F73901"/>
    <w:rsid w:val="37F94300"/>
    <w:rsid w:val="37FA508F"/>
    <w:rsid w:val="37FEF990"/>
    <w:rsid w:val="38030AF5"/>
    <w:rsid w:val="3805FB71"/>
    <w:rsid w:val="38095AFE"/>
    <w:rsid w:val="3809E0F2"/>
    <w:rsid w:val="380B32F6"/>
    <w:rsid w:val="381088A3"/>
    <w:rsid w:val="38149662"/>
    <w:rsid w:val="3816A1FD"/>
    <w:rsid w:val="3817DD60"/>
    <w:rsid w:val="381EE211"/>
    <w:rsid w:val="3821CB85"/>
    <w:rsid w:val="38262087"/>
    <w:rsid w:val="3829D5C8"/>
    <w:rsid w:val="382A3C12"/>
    <w:rsid w:val="383215AD"/>
    <w:rsid w:val="383447BD"/>
    <w:rsid w:val="38346F1B"/>
    <w:rsid w:val="3835BCA8"/>
    <w:rsid w:val="383E706D"/>
    <w:rsid w:val="384823C5"/>
    <w:rsid w:val="384B2D30"/>
    <w:rsid w:val="384D5C17"/>
    <w:rsid w:val="38577A1A"/>
    <w:rsid w:val="38587E2D"/>
    <w:rsid w:val="385D8308"/>
    <w:rsid w:val="385F54CB"/>
    <w:rsid w:val="386642B2"/>
    <w:rsid w:val="3868C2A5"/>
    <w:rsid w:val="387B16A7"/>
    <w:rsid w:val="387DAA38"/>
    <w:rsid w:val="387E3E58"/>
    <w:rsid w:val="387F0F0A"/>
    <w:rsid w:val="387F76E7"/>
    <w:rsid w:val="387F7723"/>
    <w:rsid w:val="3880F9DF"/>
    <w:rsid w:val="3888F633"/>
    <w:rsid w:val="388A754B"/>
    <w:rsid w:val="388BBADA"/>
    <w:rsid w:val="388D5889"/>
    <w:rsid w:val="388F8E96"/>
    <w:rsid w:val="3890195B"/>
    <w:rsid w:val="3896E587"/>
    <w:rsid w:val="38A0DC89"/>
    <w:rsid w:val="38A15DEE"/>
    <w:rsid w:val="38A16A05"/>
    <w:rsid w:val="38A6C605"/>
    <w:rsid w:val="38A78F8C"/>
    <w:rsid w:val="38AA5627"/>
    <w:rsid w:val="38AF40B1"/>
    <w:rsid w:val="38AFCC28"/>
    <w:rsid w:val="38B7AE38"/>
    <w:rsid w:val="38BA24FD"/>
    <w:rsid w:val="38C32176"/>
    <w:rsid w:val="38C5DC58"/>
    <w:rsid w:val="38C675E5"/>
    <w:rsid w:val="38CB0744"/>
    <w:rsid w:val="38CD4B0E"/>
    <w:rsid w:val="38CFC9D1"/>
    <w:rsid w:val="38D3A72B"/>
    <w:rsid w:val="38D9E2A9"/>
    <w:rsid w:val="38DEF06A"/>
    <w:rsid w:val="38E19C6B"/>
    <w:rsid w:val="38E89195"/>
    <w:rsid w:val="38EA133E"/>
    <w:rsid w:val="38EBE1D7"/>
    <w:rsid w:val="38ED0656"/>
    <w:rsid w:val="38ED2A54"/>
    <w:rsid w:val="38EEF7CE"/>
    <w:rsid w:val="38F2EFC5"/>
    <w:rsid w:val="38F55349"/>
    <w:rsid w:val="38F57FA4"/>
    <w:rsid w:val="38F8152B"/>
    <w:rsid w:val="38F8DD00"/>
    <w:rsid w:val="38FA33FF"/>
    <w:rsid w:val="39056EF4"/>
    <w:rsid w:val="39087391"/>
    <w:rsid w:val="3908B9BD"/>
    <w:rsid w:val="39097E78"/>
    <w:rsid w:val="390BAFA3"/>
    <w:rsid w:val="390D5021"/>
    <w:rsid w:val="39122084"/>
    <w:rsid w:val="39163379"/>
    <w:rsid w:val="391C9D13"/>
    <w:rsid w:val="391D80AB"/>
    <w:rsid w:val="39203CF3"/>
    <w:rsid w:val="392224D1"/>
    <w:rsid w:val="3926B51E"/>
    <w:rsid w:val="39292C0A"/>
    <w:rsid w:val="392B935D"/>
    <w:rsid w:val="393B6D33"/>
    <w:rsid w:val="393EBF03"/>
    <w:rsid w:val="393F62D7"/>
    <w:rsid w:val="3940EDA5"/>
    <w:rsid w:val="39443B9D"/>
    <w:rsid w:val="3944537C"/>
    <w:rsid w:val="39469927"/>
    <w:rsid w:val="394A7E26"/>
    <w:rsid w:val="39519D1D"/>
    <w:rsid w:val="3952CF49"/>
    <w:rsid w:val="395A3BA7"/>
    <w:rsid w:val="395A6B35"/>
    <w:rsid w:val="395B645E"/>
    <w:rsid w:val="395CD8BE"/>
    <w:rsid w:val="395ECBE0"/>
    <w:rsid w:val="396576AA"/>
    <w:rsid w:val="39758E95"/>
    <w:rsid w:val="397C6B1F"/>
    <w:rsid w:val="398165C3"/>
    <w:rsid w:val="39841EEF"/>
    <w:rsid w:val="39892CE9"/>
    <w:rsid w:val="39895AD7"/>
    <w:rsid w:val="398B9CCB"/>
    <w:rsid w:val="3990FEB4"/>
    <w:rsid w:val="3991A0ED"/>
    <w:rsid w:val="3992356B"/>
    <w:rsid w:val="39970CFB"/>
    <w:rsid w:val="39A0F25A"/>
    <w:rsid w:val="39A498B7"/>
    <w:rsid w:val="39A934B8"/>
    <w:rsid w:val="39A9CC74"/>
    <w:rsid w:val="39AB269E"/>
    <w:rsid w:val="39B748AE"/>
    <w:rsid w:val="39B9E131"/>
    <w:rsid w:val="39BB7C01"/>
    <w:rsid w:val="39BE3F1C"/>
    <w:rsid w:val="39BF189D"/>
    <w:rsid w:val="39C0F803"/>
    <w:rsid w:val="39C222D1"/>
    <w:rsid w:val="39C363E6"/>
    <w:rsid w:val="39C85190"/>
    <w:rsid w:val="39CBF68E"/>
    <w:rsid w:val="39CEC168"/>
    <w:rsid w:val="39DB5DEB"/>
    <w:rsid w:val="39E3773F"/>
    <w:rsid w:val="39E80B63"/>
    <w:rsid w:val="39EE98C5"/>
    <w:rsid w:val="39F7A418"/>
    <w:rsid w:val="39F7F24B"/>
    <w:rsid w:val="39FA2419"/>
    <w:rsid w:val="3A02FDEC"/>
    <w:rsid w:val="3A086740"/>
    <w:rsid w:val="3A0F9879"/>
    <w:rsid w:val="3A0F98D1"/>
    <w:rsid w:val="3A10E0D5"/>
    <w:rsid w:val="3A138131"/>
    <w:rsid w:val="3A13ABB3"/>
    <w:rsid w:val="3A18ABDD"/>
    <w:rsid w:val="3A1D2813"/>
    <w:rsid w:val="3A203A2D"/>
    <w:rsid w:val="3A229466"/>
    <w:rsid w:val="3A23671C"/>
    <w:rsid w:val="3A24413C"/>
    <w:rsid w:val="3A26F8ED"/>
    <w:rsid w:val="3A298DE3"/>
    <w:rsid w:val="3A2AE8F0"/>
    <w:rsid w:val="3A2CB858"/>
    <w:rsid w:val="3A2F401B"/>
    <w:rsid w:val="3A329173"/>
    <w:rsid w:val="3A383727"/>
    <w:rsid w:val="3A38B5FD"/>
    <w:rsid w:val="3A3CB8DC"/>
    <w:rsid w:val="3A3CF6C5"/>
    <w:rsid w:val="3A42A23E"/>
    <w:rsid w:val="3A433569"/>
    <w:rsid w:val="3A4AE0F1"/>
    <w:rsid w:val="3A4AF14B"/>
    <w:rsid w:val="3A4F8FF8"/>
    <w:rsid w:val="3A612A3A"/>
    <w:rsid w:val="3A6B17F9"/>
    <w:rsid w:val="3A6F34E2"/>
    <w:rsid w:val="3A6F7B64"/>
    <w:rsid w:val="3A75AAB7"/>
    <w:rsid w:val="3A7A03E5"/>
    <w:rsid w:val="3A7F116C"/>
    <w:rsid w:val="3A8048AF"/>
    <w:rsid w:val="3A838ACC"/>
    <w:rsid w:val="3A848B8F"/>
    <w:rsid w:val="3A889466"/>
    <w:rsid w:val="3A8DF3E8"/>
    <w:rsid w:val="3A902AFD"/>
    <w:rsid w:val="3A907EF9"/>
    <w:rsid w:val="3A90EE2E"/>
    <w:rsid w:val="3A92A604"/>
    <w:rsid w:val="3A93094B"/>
    <w:rsid w:val="3A9689EB"/>
    <w:rsid w:val="3A9A9CE5"/>
    <w:rsid w:val="3A9D2B85"/>
    <w:rsid w:val="3A9EBE70"/>
    <w:rsid w:val="3AA0F60B"/>
    <w:rsid w:val="3AA3588F"/>
    <w:rsid w:val="3AA48FFD"/>
    <w:rsid w:val="3AAFD306"/>
    <w:rsid w:val="3ABD6207"/>
    <w:rsid w:val="3ABD9A1D"/>
    <w:rsid w:val="3ABDAB47"/>
    <w:rsid w:val="3AC84203"/>
    <w:rsid w:val="3AC9AF69"/>
    <w:rsid w:val="3ACD57F0"/>
    <w:rsid w:val="3AD31E20"/>
    <w:rsid w:val="3AD4297C"/>
    <w:rsid w:val="3AD458E4"/>
    <w:rsid w:val="3AD513C3"/>
    <w:rsid w:val="3AD557E7"/>
    <w:rsid w:val="3AD7976F"/>
    <w:rsid w:val="3ADCC43B"/>
    <w:rsid w:val="3AE8851F"/>
    <w:rsid w:val="3AE91D78"/>
    <w:rsid w:val="3AECDD09"/>
    <w:rsid w:val="3AF2B864"/>
    <w:rsid w:val="3B069114"/>
    <w:rsid w:val="3B084523"/>
    <w:rsid w:val="3B0CF50B"/>
    <w:rsid w:val="3B1175BE"/>
    <w:rsid w:val="3B187EE5"/>
    <w:rsid w:val="3B189302"/>
    <w:rsid w:val="3B1B945C"/>
    <w:rsid w:val="3B202CBE"/>
    <w:rsid w:val="3B2982C3"/>
    <w:rsid w:val="3B2AA11B"/>
    <w:rsid w:val="3B2EEE77"/>
    <w:rsid w:val="3B3419C9"/>
    <w:rsid w:val="3B38E2E5"/>
    <w:rsid w:val="3B3A3D39"/>
    <w:rsid w:val="3B416AFA"/>
    <w:rsid w:val="3B439352"/>
    <w:rsid w:val="3B448220"/>
    <w:rsid w:val="3B44C136"/>
    <w:rsid w:val="3B4567EA"/>
    <w:rsid w:val="3B470387"/>
    <w:rsid w:val="3B53FD40"/>
    <w:rsid w:val="3B54E6AD"/>
    <w:rsid w:val="3B56F423"/>
    <w:rsid w:val="3B5AFB61"/>
    <w:rsid w:val="3B5D3D1D"/>
    <w:rsid w:val="3B619C46"/>
    <w:rsid w:val="3B6278FA"/>
    <w:rsid w:val="3B6296BE"/>
    <w:rsid w:val="3B669E5F"/>
    <w:rsid w:val="3B68C3EA"/>
    <w:rsid w:val="3B6C2085"/>
    <w:rsid w:val="3B6D115D"/>
    <w:rsid w:val="3B721EB1"/>
    <w:rsid w:val="3B81466A"/>
    <w:rsid w:val="3B828E1C"/>
    <w:rsid w:val="3B9AA18D"/>
    <w:rsid w:val="3B9E9A7B"/>
    <w:rsid w:val="3BA23568"/>
    <w:rsid w:val="3BA32E0F"/>
    <w:rsid w:val="3BA93572"/>
    <w:rsid w:val="3BB0F6CE"/>
    <w:rsid w:val="3BB317EA"/>
    <w:rsid w:val="3BBC0D7D"/>
    <w:rsid w:val="3BC248C5"/>
    <w:rsid w:val="3BC272C9"/>
    <w:rsid w:val="3BC80F4C"/>
    <w:rsid w:val="3BC96F4F"/>
    <w:rsid w:val="3BD0348D"/>
    <w:rsid w:val="3BD6DE0A"/>
    <w:rsid w:val="3BD8A561"/>
    <w:rsid w:val="3BE19ADA"/>
    <w:rsid w:val="3BE6297C"/>
    <w:rsid w:val="3BE68566"/>
    <w:rsid w:val="3BE7B825"/>
    <w:rsid w:val="3BF285BE"/>
    <w:rsid w:val="3BF846A5"/>
    <w:rsid w:val="3BF846D1"/>
    <w:rsid w:val="3BF8DAA8"/>
    <w:rsid w:val="3BFBC9FB"/>
    <w:rsid w:val="3BFEC5A7"/>
    <w:rsid w:val="3C009C79"/>
    <w:rsid w:val="3C00DA39"/>
    <w:rsid w:val="3C024766"/>
    <w:rsid w:val="3C02BB1E"/>
    <w:rsid w:val="3C06D045"/>
    <w:rsid w:val="3C089CDD"/>
    <w:rsid w:val="3C0EBE79"/>
    <w:rsid w:val="3C14FF5E"/>
    <w:rsid w:val="3C1A193C"/>
    <w:rsid w:val="3C1EE5DF"/>
    <w:rsid w:val="3C1F92E6"/>
    <w:rsid w:val="3C2091C1"/>
    <w:rsid w:val="3C227203"/>
    <w:rsid w:val="3C238D46"/>
    <w:rsid w:val="3C31DDD8"/>
    <w:rsid w:val="3C34692A"/>
    <w:rsid w:val="3C3BFADA"/>
    <w:rsid w:val="3C3E9281"/>
    <w:rsid w:val="3C4FB81C"/>
    <w:rsid w:val="3C4FE26F"/>
    <w:rsid w:val="3C545C74"/>
    <w:rsid w:val="3C5BACB8"/>
    <w:rsid w:val="3C61D96E"/>
    <w:rsid w:val="3C63EED7"/>
    <w:rsid w:val="3C63FFBA"/>
    <w:rsid w:val="3C654F07"/>
    <w:rsid w:val="3C6C288A"/>
    <w:rsid w:val="3C6DDCA8"/>
    <w:rsid w:val="3C7C0CCD"/>
    <w:rsid w:val="3C7D9D3C"/>
    <w:rsid w:val="3C85E692"/>
    <w:rsid w:val="3C86BB84"/>
    <w:rsid w:val="3C8C5311"/>
    <w:rsid w:val="3C8E2958"/>
    <w:rsid w:val="3C8E7C74"/>
    <w:rsid w:val="3C8F932A"/>
    <w:rsid w:val="3C90145D"/>
    <w:rsid w:val="3C959306"/>
    <w:rsid w:val="3C964591"/>
    <w:rsid w:val="3C96E540"/>
    <w:rsid w:val="3C9C9AD7"/>
    <w:rsid w:val="3C9D8EEB"/>
    <w:rsid w:val="3C9E15A5"/>
    <w:rsid w:val="3C9FDCA9"/>
    <w:rsid w:val="3CA53CEB"/>
    <w:rsid w:val="3CA8F1F3"/>
    <w:rsid w:val="3CAC11D6"/>
    <w:rsid w:val="3CAD5BA0"/>
    <w:rsid w:val="3CADAE8D"/>
    <w:rsid w:val="3CB87C93"/>
    <w:rsid w:val="3CB8A105"/>
    <w:rsid w:val="3CBA71F9"/>
    <w:rsid w:val="3CC0CCA0"/>
    <w:rsid w:val="3CC1FB97"/>
    <w:rsid w:val="3CC4C232"/>
    <w:rsid w:val="3CCB790A"/>
    <w:rsid w:val="3CCC6EFF"/>
    <w:rsid w:val="3CCEDFEC"/>
    <w:rsid w:val="3CD098F6"/>
    <w:rsid w:val="3CD717DA"/>
    <w:rsid w:val="3CDFD2E3"/>
    <w:rsid w:val="3CE3C091"/>
    <w:rsid w:val="3CE9138B"/>
    <w:rsid w:val="3CE91C93"/>
    <w:rsid w:val="3CF3E557"/>
    <w:rsid w:val="3CF834E8"/>
    <w:rsid w:val="3CFE449C"/>
    <w:rsid w:val="3D03F2E9"/>
    <w:rsid w:val="3D04DD3E"/>
    <w:rsid w:val="3D07DA2F"/>
    <w:rsid w:val="3D0C388D"/>
    <w:rsid w:val="3D0D542A"/>
    <w:rsid w:val="3D0DB8BE"/>
    <w:rsid w:val="3D148362"/>
    <w:rsid w:val="3D1BF084"/>
    <w:rsid w:val="3D2471BE"/>
    <w:rsid w:val="3D24797C"/>
    <w:rsid w:val="3D265216"/>
    <w:rsid w:val="3D2CDE31"/>
    <w:rsid w:val="3D2EAAC9"/>
    <w:rsid w:val="3D2F3F04"/>
    <w:rsid w:val="3D30FC12"/>
    <w:rsid w:val="3D36E100"/>
    <w:rsid w:val="3D418BC9"/>
    <w:rsid w:val="3D473183"/>
    <w:rsid w:val="3D4758A8"/>
    <w:rsid w:val="3D49CA74"/>
    <w:rsid w:val="3D4FD11A"/>
    <w:rsid w:val="3D53005F"/>
    <w:rsid w:val="3D56E57A"/>
    <w:rsid w:val="3D56FEC0"/>
    <w:rsid w:val="3D5A3579"/>
    <w:rsid w:val="3D6146F6"/>
    <w:rsid w:val="3D6296EF"/>
    <w:rsid w:val="3D633289"/>
    <w:rsid w:val="3D64B6BC"/>
    <w:rsid w:val="3D68E89B"/>
    <w:rsid w:val="3D6A8C93"/>
    <w:rsid w:val="3D74DF48"/>
    <w:rsid w:val="3D75297C"/>
    <w:rsid w:val="3D7ACCA3"/>
    <w:rsid w:val="3D7B4CF8"/>
    <w:rsid w:val="3D7D0C63"/>
    <w:rsid w:val="3D811D48"/>
    <w:rsid w:val="3D83E3E9"/>
    <w:rsid w:val="3D86C3D7"/>
    <w:rsid w:val="3D86C60C"/>
    <w:rsid w:val="3D93EB56"/>
    <w:rsid w:val="3D945918"/>
    <w:rsid w:val="3D94B6E1"/>
    <w:rsid w:val="3D961D58"/>
    <w:rsid w:val="3D9784A6"/>
    <w:rsid w:val="3D97F451"/>
    <w:rsid w:val="3D9CD86C"/>
    <w:rsid w:val="3DA938B1"/>
    <w:rsid w:val="3DAAC8C9"/>
    <w:rsid w:val="3DAF6552"/>
    <w:rsid w:val="3DAFC8C7"/>
    <w:rsid w:val="3DB2ACBE"/>
    <w:rsid w:val="3DB78125"/>
    <w:rsid w:val="3DC9A285"/>
    <w:rsid w:val="3DC9BA59"/>
    <w:rsid w:val="3DD20B0B"/>
    <w:rsid w:val="3DD94442"/>
    <w:rsid w:val="3DDD386F"/>
    <w:rsid w:val="3DE38D5E"/>
    <w:rsid w:val="3DE508A9"/>
    <w:rsid w:val="3DE59A4A"/>
    <w:rsid w:val="3DE5DAC8"/>
    <w:rsid w:val="3DE88932"/>
    <w:rsid w:val="3DEA72F0"/>
    <w:rsid w:val="3DEA984A"/>
    <w:rsid w:val="3DEB8806"/>
    <w:rsid w:val="3DED7241"/>
    <w:rsid w:val="3DEF4B0E"/>
    <w:rsid w:val="3DF243AE"/>
    <w:rsid w:val="3DF35F12"/>
    <w:rsid w:val="3DF4C1CC"/>
    <w:rsid w:val="3DF59C92"/>
    <w:rsid w:val="3DF69832"/>
    <w:rsid w:val="3E015F92"/>
    <w:rsid w:val="3E0349A0"/>
    <w:rsid w:val="3E046E9F"/>
    <w:rsid w:val="3E05A846"/>
    <w:rsid w:val="3E0AC8E8"/>
    <w:rsid w:val="3E13403B"/>
    <w:rsid w:val="3E15B453"/>
    <w:rsid w:val="3E1CAED7"/>
    <w:rsid w:val="3E22312F"/>
    <w:rsid w:val="3E279117"/>
    <w:rsid w:val="3E280439"/>
    <w:rsid w:val="3E2B43EF"/>
    <w:rsid w:val="3E2B97FB"/>
    <w:rsid w:val="3E2F32AD"/>
    <w:rsid w:val="3E309C51"/>
    <w:rsid w:val="3E318BFB"/>
    <w:rsid w:val="3E38084F"/>
    <w:rsid w:val="3E38AB31"/>
    <w:rsid w:val="3E4AED28"/>
    <w:rsid w:val="3E4C6E90"/>
    <w:rsid w:val="3E4DF954"/>
    <w:rsid w:val="3E4F3859"/>
    <w:rsid w:val="3E5274E4"/>
    <w:rsid w:val="3E527569"/>
    <w:rsid w:val="3E57BCE9"/>
    <w:rsid w:val="3E61B852"/>
    <w:rsid w:val="3E6D4A0D"/>
    <w:rsid w:val="3E6D7E7F"/>
    <w:rsid w:val="3E72D6B1"/>
    <w:rsid w:val="3E730CE5"/>
    <w:rsid w:val="3E794E0B"/>
    <w:rsid w:val="3E897C8B"/>
    <w:rsid w:val="3E8AD8B4"/>
    <w:rsid w:val="3E9B3676"/>
    <w:rsid w:val="3E9C73C1"/>
    <w:rsid w:val="3E9F4DE6"/>
    <w:rsid w:val="3EA1ABE2"/>
    <w:rsid w:val="3EA27B12"/>
    <w:rsid w:val="3EA5A0A0"/>
    <w:rsid w:val="3EA6CB39"/>
    <w:rsid w:val="3EA6FBFB"/>
    <w:rsid w:val="3EB17271"/>
    <w:rsid w:val="3EB63B70"/>
    <w:rsid w:val="3EC075C5"/>
    <w:rsid w:val="3EC28E67"/>
    <w:rsid w:val="3EC86F18"/>
    <w:rsid w:val="3EC945B1"/>
    <w:rsid w:val="3ECB3A91"/>
    <w:rsid w:val="3ECD7843"/>
    <w:rsid w:val="3ED2C964"/>
    <w:rsid w:val="3ED32B78"/>
    <w:rsid w:val="3ED4054E"/>
    <w:rsid w:val="3ED619CA"/>
    <w:rsid w:val="3EE2A9B7"/>
    <w:rsid w:val="3EE8B6F7"/>
    <w:rsid w:val="3EE9D0C4"/>
    <w:rsid w:val="3EEAC64D"/>
    <w:rsid w:val="3EF5F1C5"/>
    <w:rsid w:val="3EFDEF72"/>
    <w:rsid w:val="3F0EFE7A"/>
    <w:rsid w:val="3F12283E"/>
    <w:rsid w:val="3F15504C"/>
    <w:rsid w:val="3F18F52B"/>
    <w:rsid w:val="3F1FDC0A"/>
    <w:rsid w:val="3F206B2A"/>
    <w:rsid w:val="3F21EF0B"/>
    <w:rsid w:val="3F25BD10"/>
    <w:rsid w:val="3F271D57"/>
    <w:rsid w:val="3F280AF3"/>
    <w:rsid w:val="3F292EA2"/>
    <w:rsid w:val="3F3117C4"/>
    <w:rsid w:val="3F31859F"/>
    <w:rsid w:val="3F32B2F6"/>
    <w:rsid w:val="3F354C3C"/>
    <w:rsid w:val="3F3A6899"/>
    <w:rsid w:val="3F3D9891"/>
    <w:rsid w:val="3F3E5DDD"/>
    <w:rsid w:val="3F3FE6C7"/>
    <w:rsid w:val="3F42CAA2"/>
    <w:rsid w:val="3F4715BA"/>
    <w:rsid w:val="3F4C321E"/>
    <w:rsid w:val="3F4D626C"/>
    <w:rsid w:val="3F50A6F4"/>
    <w:rsid w:val="3F531A14"/>
    <w:rsid w:val="3F5454D6"/>
    <w:rsid w:val="3F5626CB"/>
    <w:rsid w:val="3F5816BA"/>
    <w:rsid w:val="3F5983FE"/>
    <w:rsid w:val="3F5E8C1F"/>
    <w:rsid w:val="3F5F4FE7"/>
    <w:rsid w:val="3F68D087"/>
    <w:rsid w:val="3F69FBAC"/>
    <w:rsid w:val="3F6B118E"/>
    <w:rsid w:val="3F6BA227"/>
    <w:rsid w:val="3F6C7B59"/>
    <w:rsid w:val="3F6CE7CB"/>
    <w:rsid w:val="3F6E2997"/>
    <w:rsid w:val="3F715013"/>
    <w:rsid w:val="3F77AFB9"/>
    <w:rsid w:val="3F788531"/>
    <w:rsid w:val="3F82BDB8"/>
    <w:rsid w:val="3F85F441"/>
    <w:rsid w:val="3F94A46F"/>
    <w:rsid w:val="3F96C02F"/>
    <w:rsid w:val="3F9D57A0"/>
    <w:rsid w:val="3FA4B420"/>
    <w:rsid w:val="3FA5D3A7"/>
    <w:rsid w:val="3FAD81B0"/>
    <w:rsid w:val="3FB6C989"/>
    <w:rsid w:val="3FBBA687"/>
    <w:rsid w:val="3FBC8F8B"/>
    <w:rsid w:val="3FC36715"/>
    <w:rsid w:val="3FC61D5D"/>
    <w:rsid w:val="3FC9B7E3"/>
    <w:rsid w:val="3FCE8346"/>
    <w:rsid w:val="3FDC8291"/>
    <w:rsid w:val="3FDDD558"/>
    <w:rsid w:val="3FDDDF23"/>
    <w:rsid w:val="3FE16848"/>
    <w:rsid w:val="3FE8331C"/>
    <w:rsid w:val="3FEC1112"/>
    <w:rsid w:val="3FF6C1DC"/>
    <w:rsid w:val="3FF94909"/>
    <w:rsid w:val="3FF9B8BB"/>
    <w:rsid w:val="400444B2"/>
    <w:rsid w:val="4005F556"/>
    <w:rsid w:val="4006513F"/>
    <w:rsid w:val="4007E289"/>
    <w:rsid w:val="4008EA8B"/>
    <w:rsid w:val="400D255F"/>
    <w:rsid w:val="400FE13B"/>
    <w:rsid w:val="401472B1"/>
    <w:rsid w:val="4017994D"/>
    <w:rsid w:val="4019601A"/>
    <w:rsid w:val="401A4112"/>
    <w:rsid w:val="401ADC54"/>
    <w:rsid w:val="40274449"/>
    <w:rsid w:val="402764F9"/>
    <w:rsid w:val="40299489"/>
    <w:rsid w:val="402A017A"/>
    <w:rsid w:val="403325C0"/>
    <w:rsid w:val="40337CDB"/>
    <w:rsid w:val="4038ECD9"/>
    <w:rsid w:val="40427EAA"/>
    <w:rsid w:val="404769E0"/>
    <w:rsid w:val="404A7B2E"/>
    <w:rsid w:val="404C78FF"/>
    <w:rsid w:val="404D3364"/>
    <w:rsid w:val="404E1097"/>
    <w:rsid w:val="404EA5C4"/>
    <w:rsid w:val="4050D3B8"/>
    <w:rsid w:val="4052ECA7"/>
    <w:rsid w:val="40560156"/>
    <w:rsid w:val="40564A7A"/>
    <w:rsid w:val="405783A6"/>
    <w:rsid w:val="405B73CD"/>
    <w:rsid w:val="406014E0"/>
    <w:rsid w:val="406AB26C"/>
    <w:rsid w:val="406E902B"/>
    <w:rsid w:val="4073C5EA"/>
    <w:rsid w:val="40780541"/>
    <w:rsid w:val="407A2AAA"/>
    <w:rsid w:val="407BF61F"/>
    <w:rsid w:val="407CA0C5"/>
    <w:rsid w:val="407D7970"/>
    <w:rsid w:val="40804CBE"/>
    <w:rsid w:val="4085FC6F"/>
    <w:rsid w:val="408BDE68"/>
    <w:rsid w:val="40930265"/>
    <w:rsid w:val="40935CE5"/>
    <w:rsid w:val="40952ABB"/>
    <w:rsid w:val="4095A8F5"/>
    <w:rsid w:val="409C25E6"/>
    <w:rsid w:val="409E4BBD"/>
    <w:rsid w:val="409FA2BB"/>
    <w:rsid w:val="40A1C052"/>
    <w:rsid w:val="40A26215"/>
    <w:rsid w:val="40A67C25"/>
    <w:rsid w:val="40A87AB4"/>
    <w:rsid w:val="40A97B68"/>
    <w:rsid w:val="40AC784C"/>
    <w:rsid w:val="40B1585F"/>
    <w:rsid w:val="40B66CF4"/>
    <w:rsid w:val="40B81676"/>
    <w:rsid w:val="40B9CC13"/>
    <w:rsid w:val="40BA895D"/>
    <w:rsid w:val="40BFCAD2"/>
    <w:rsid w:val="40CDCD4F"/>
    <w:rsid w:val="40CEDA2F"/>
    <w:rsid w:val="40D1D1E6"/>
    <w:rsid w:val="40D8C1A3"/>
    <w:rsid w:val="40D9BAC8"/>
    <w:rsid w:val="40DB894B"/>
    <w:rsid w:val="40DBFC85"/>
    <w:rsid w:val="40DD42A0"/>
    <w:rsid w:val="40E392AE"/>
    <w:rsid w:val="40E6AAFB"/>
    <w:rsid w:val="40E79C48"/>
    <w:rsid w:val="40E80E78"/>
    <w:rsid w:val="40EA8169"/>
    <w:rsid w:val="40ECA2E0"/>
    <w:rsid w:val="40F363CD"/>
    <w:rsid w:val="40F3A70B"/>
    <w:rsid w:val="40F8FF9F"/>
    <w:rsid w:val="40FF3D2B"/>
    <w:rsid w:val="41038DEE"/>
    <w:rsid w:val="4103BDF2"/>
    <w:rsid w:val="41068C7A"/>
    <w:rsid w:val="410760DC"/>
    <w:rsid w:val="410E67CB"/>
    <w:rsid w:val="4116984F"/>
    <w:rsid w:val="411B2269"/>
    <w:rsid w:val="411D006F"/>
    <w:rsid w:val="4123C018"/>
    <w:rsid w:val="4130B9EC"/>
    <w:rsid w:val="413340AF"/>
    <w:rsid w:val="41348D5A"/>
    <w:rsid w:val="4138E233"/>
    <w:rsid w:val="413A95E3"/>
    <w:rsid w:val="4146B5EC"/>
    <w:rsid w:val="41496B7D"/>
    <w:rsid w:val="414BC2A5"/>
    <w:rsid w:val="414FABD3"/>
    <w:rsid w:val="414FE2C9"/>
    <w:rsid w:val="41529A7B"/>
    <w:rsid w:val="41567B38"/>
    <w:rsid w:val="415D3D50"/>
    <w:rsid w:val="41630DAA"/>
    <w:rsid w:val="41647C2A"/>
    <w:rsid w:val="416898FC"/>
    <w:rsid w:val="416C8CE9"/>
    <w:rsid w:val="416DC468"/>
    <w:rsid w:val="4174B357"/>
    <w:rsid w:val="41758621"/>
    <w:rsid w:val="417726C8"/>
    <w:rsid w:val="4178656E"/>
    <w:rsid w:val="4179ED73"/>
    <w:rsid w:val="417D13D0"/>
    <w:rsid w:val="4184BD93"/>
    <w:rsid w:val="41869932"/>
    <w:rsid w:val="4190AB7F"/>
    <w:rsid w:val="4190FDBC"/>
    <w:rsid w:val="41AAFE22"/>
    <w:rsid w:val="41B0942C"/>
    <w:rsid w:val="41B1E5DE"/>
    <w:rsid w:val="41B1F133"/>
    <w:rsid w:val="41B21B3D"/>
    <w:rsid w:val="41B60252"/>
    <w:rsid w:val="41B9756B"/>
    <w:rsid w:val="41BA45CB"/>
    <w:rsid w:val="41BEFF3A"/>
    <w:rsid w:val="41C9A62B"/>
    <w:rsid w:val="41CA2B73"/>
    <w:rsid w:val="41CB2883"/>
    <w:rsid w:val="41CB6350"/>
    <w:rsid w:val="41CBB663"/>
    <w:rsid w:val="41CDCC54"/>
    <w:rsid w:val="41D016BC"/>
    <w:rsid w:val="41D42280"/>
    <w:rsid w:val="41D99145"/>
    <w:rsid w:val="41DA88C9"/>
    <w:rsid w:val="41DCAF17"/>
    <w:rsid w:val="41E3206A"/>
    <w:rsid w:val="41EC1755"/>
    <w:rsid w:val="41EC3197"/>
    <w:rsid w:val="41ECB3FE"/>
    <w:rsid w:val="41EEAC24"/>
    <w:rsid w:val="41F0C2A4"/>
    <w:rsid w:val="41F60C99"/>
    <w:rsid w:val="4201C157"/>
    <w:rsid w:val="4203C4E0"/>
    <w:rsid w:val="42065F7B"/>
    <w:rsid w:val="42074B10"/>
    <w:rsid w:val="420AD61A"/>
    <w:rsid w:val="420CC5BA"/>
    <w:rsid w:val="4216AFE8"/>
    <w:rsid w:val="421B8F05"/>
    <w:rsid w:val="421C83B7"/>
    <w:rsid w:val="421CD79F"/>
    <w:rsid w:val="421CEB61"/>
    <w:rsid w:val="4223F769"/>
    <w:rsid w:val="422D1BF7"/>
    <w:rsid w:val="422DBEFA"/>
    <w:rsid w:val="4231303F"/>
    <w:rsid w:val="4231830D"/>
    <w:rsid w:val="4236A25C"/>
    <w:rsid w:val="42379381"/>
    <w:rsid w:val="4237BF11"/>
    <w:rsid w:val="4239118C"/>
    <w:rsid w:val="423FB56F"/>
    <w:rsid w:val="4245DB32"/>
    <w:rsid w:val="4247D342"/>
    <w:rsid w:val="424A2AE7"/>
    <w:rsid w:val="424B52C3"/>
    <w:rsid w:val="424E14DE"/>
    <w:rsid w:val="42521DB0"/>
    <w:rsid w:val="4252E9C1"/>
    <w:rsid w:val="42552744"/>
    <w:rsid w:val="4255B83E"/>
    <w:rsid w:val="42578ECF"/>
    <w:rsid w:val="425A97C1"/>
    <w:rsid w:val="426C238D"/>
    <w:rsid w:val="4273291B"/>
    <w:rsid w:val="42766B09"/>
    <w:rsid w:val="4278A319"/>
    <w:rsid w:val="427A7656"/>
    <w:rsid w:val="427EF187"/>
    <w:rsid w:val="42815A4A"/>
    <w:rsid w:val="428F4CF8"/>
    <w:rsid w:val="429410E6"/>
    <w:rsid w:val="42965AC4"/>
    <w:rsid w:val="4297466E"/>
    <w:rsid w:val="4298B489"/>
    <w:rsid w:val="429B0345"/>
    <w:rsid w:val="429B8E56"/>
    <w:rsid w:val="42A0902F"/>
    <w:rsid w:val="42A299F6"/>
    <w:rsid w:val="42A2FB49"/>
    <w:rsid w:val="42A91B8C"/>
    <w:rsid w:val="42A9AC1A"/>
    <w:rsid w:val="42AADB5C"/>
    <w:rsid w:val="42B1409E"/>
    <w:rsid w:val="42B44CBE"/>
    <w:rsid w:val="42B4957A"/>
    <w:rsid w:val="42BC44C0"/>
    <w:rsid w:val="42BCDF1A"/>
    <w:rsid w:val="42BD8BE5"/>
    <w:rsid w:val="42C9ED92"/>
    <w:rsid w:val="42CBCE6A"/>
    <w:rsid w:val="42CE9933"/>
    <w:rsid w:val="42E0A428"/>
    <w:rsid w:val="42E3C0D9"/>
    <w:rsid w:val="42F686E8"/>
    <w:rsid w:val="42F88B88"/>
    <w:rsid w:val="4302EADF"/>
    <w:rsid w:val="430BC183"/>
    <w:rsid w:val="430CB41A"/>
    <w:rsid w:val="430F557F"/>
    <w:rsid w:val="430FDF71"/>
    <w:rsid w:val="4315CC50"/>
    <w:rsid w:val="431AAE78"/>
    <w:rsid w:val="432882CB"/>
    <w:rsid w:val="43310DB2"/>
    <w:rsid w:val="4331AF3B"/>
    <w:rsid w:val="4331CE1E"/>
    <w:rsid w:val="43365707"/>
    <w:rsid w:val="433A40FB"/>
    <w:rsid w:val="433B56A4"/>
    <w:rsid w:val="433CA1F9"/>
    <w:rsid w:val="433F01DF"/>
    <w:rsid w:val="43422758"/>
    <w:rsid w:val="43424110"/>
    <w:rsid w:val="43475426"/>
    <w:rsid w:val="43475AA9"/>
    <w:rsid w:val="434B6E69"/>
    <w:rsid w:val="434EDD03"/>
    <w:rsid w:val="4353DDDA"/>
    <w:rsid w:val="4354A29D"/>
    <w:rsid w:val="4355D28E"/>
    <w:rsid w:val="4357DA89"/>
    <w:rsid w:val="435EF2CD"/>
    <w:rsid w:val="435F1C40"/>
    <w:rsid w:val="4366CBEF"/>
    <w:rsid w:val="436A6EC6"/>
    <w:rsid w:val="436F4F8D"/>
    <w:rsid w:val="4373B8EF"/>
    <w:rsid w:val="43748CF8"/>
    <w:rsid w:val="43756283"/>
    <w:rsid w:val="4375C14B"/>
    <w:rsid w:val="4375F748"/>
    <w:rsid w:val="437661EC"/>
    <w:rsid w:val="437E32B7"/>
    <w:rsid w:val="43838DF2"/>
    <w:rsid w:val="4383DECF"/>
    <w:rsid w:val="43857BF6"/>
    <w:rsid w:val="4387894C"/>
    <w:rsid w:val="43906EC1"/>
    <w:rsid w:val="4391773A"/>
    <w:rsid w:val="439D4B73"/>
    <w:rsid w:val="43A09521"/>
    <w:rsid w:val="43A1DB3D"/>
    <w:rsid w:val="43A3A100"/>
    <w:rsid w:val="43A4E5F3"/>
    <w:rsid w:val="43A8EF9B"/>
    <w:rsid w:val="43A9878B"/>
    <w:rsid w:val="43A9CB2C"/>
    <w:rsid w:val="43B2FC0D"/>
    <w:rsid w:val="43C23FFC"/>
    <w:rsid w:val="43C29DAD"/>
    <w:rsid w:val="43D12634"/>
    <w:rsid w:val="43D267ED"/>
    <w:rsid w:val="43E3A973"/>
    <w:rsid w:val="43E68032"/>
    <w:rsid w:val="43E7D3E2"/>
    <w:rsid w:val="43ECC22D"/>
    <w:rsid w:val="43ED7AB9"/>
    <w:rsid w:val="43F28646"/>
    <w:rsid w:val="43F35710"/>
    <w:rsid w:val="43F35E94"/>
    <w:rsid w:val="43F40CB4"/>
    <w:rsid w:val="43F9FFE8"/>
    <w:rsid w:val="43FB2C47"/>
    <w:rsid w:val="43FE882F"/>
    <w:rsid w:val="43FFDA5E"/>
    <w:rsid w:val="44069108"/>
    <w:rsid w:val="4406B67B"/>
    <w:rsid w:val="440807A1"/>
    <w:rsid w:val="440B1D0E"/>
    <w:rsid w:val="4411874E"/>
    <w:rsid w:val="4415E7CD"/>
    <w:rsid w:val="441AED55"/>
    <w:rsid w:val="441E7FD1"/>
    <w:rsid w:val="442069B7"/>
    <w:rsid w:val="4420BE87"/>
    <w:rsid w:val="4423CAA7"/>
    <w:rsid w:val="442452FC"/>
    <w:rsid w:val="4425F85C"/>
    <w:rsid w:val="4429EAEE"/>
    <w:rsid w:val="442B2501"/>
    <w:rsid w:val="4431D8CC"/>
    <w:rsid w:val="44331EA2"/>
    <w:rsid w:val="443DF297"/>
    <w:rsid w:val="4442E46B"/>
    <w:rsid w:val="4445529F"/>
    <w:rsid w:val="44489BA8"/>
    <w:rsid w:val="44498538"/>
    <w:rsid w:val="44501F5B"/>
    <w:rsid w:val="44528DE4"/>
    <w:rsid w:val="44541F3F"/>
    <w:rsid w:val="4456393B"/>
    <w:rsid w:val="445E6C0E"/>
    <w:rsid w:val="445F0739"/>
    <w:rsid w:val="446133CA"/>
    <w:rsid w:val="44684033"/>
    <w:rsid w:val="4472F88E"/>
    <w:rsid w:val="4475FDEF"/>
    <w:rsid w:val="447DDB30"/>
    <w:rsid w:val="448B2879"/>
    <w:rsid w:val="44930DC8"/>
    <w:rsid w:val="4495C872"/>
    <w:rsid w:val="449DCC32"/>
    <w:rsid w:val="449F393A"/>
    <w:rsid w:val="44A07891"/>
    <w:rsid w:val="44A2233A"/>
    <w:rsid w:val="44A60878"/>
    <w:rsid w:val="44A70EDA"/>
    <w:rsid w:val="44B34D4E"/>
    <w:rsid w:val="44B3C1F1"/>
    <w:rsid w:val="44BB9D99"/>
    <w:rsid w:val="44C04A10"/>
    <w:rsid w:val="44C10EBB"/>
    <w:rsid w:val="44C2500F"/>
    <w:rsid w:val="44C264E5"/>
    <w:rsid w:val="44C27B20"/>
    <w:rsid w:val="44C62AB7"/>
    <w:rsid w:val="44CA7F55"/>
    <w:rsid w:val="44CE3B6C"/>
    <w:rsid w:val="44D4C121"/>
    <w:rsid w:val="44D7D3D8"/>
    <w:rsid w:val="44D82163"/>
    <w:rsid w:val="44DE0520"/>
    <w:rsid w:val="44DF89D3"/>
    <w:rsid w:val="44E4FCFB"/>
    <w:rsid w:val="44E5498C"/>
    <w:rsid w:val="44E598ED"/>
    <w:rsid w:val="44ED7A8B"/>
    <w:rsid w:val="44F8AD72"/>
    <w:rsid w:val="44F95199"/>
    <w:rsid w:val="44FB06EB"/>
    <w:rsid w:val="4500ABB7"/>
    <w:rsid w:val="4504C347"/>
    <w:rsid w:val="4504E45C"/>
    <w:rsid w:val="4506057C"/>
    <w:rsid w:val="450926AE"/>
    <w:rsid w:val="4509DB88"/>
    <w:rsid w:val="450C3016"/>
    <w:rsid w:val="450F2763"/>
    <w:rsid w:val="4511BEFB"/>
    <w:rsid w:val="4513E25F"/>
    <w:rsid w:val="451579A2"/>
    <w:rsid w:val="45176DE8"/>
    <w:rsid w:val="451C7FE9"/>
    <w:rsid w:val="45262212"/>
    <w:rsid w:val="452CC389"/>
    <w:rsid w:val="452F88A1"/>
    <w:rsid w:val="453182DD"/>
    <w:rsid w:val="45355B16"/>
    <w:rsid w:val="4536A39B"/>
    <w:rsid w:val="4536FD52"/>
    <w:rsid w:val="45388064"/>
    <w:rsid w:val="4539D50D"/>
    <w:rsid w:val="453E6590"/>
    <w:rsid w:val="453F8822"/>
    <w:rsid w:val="4542EADA"/>
    <w:rsid w:val="454A2A92"/>
    <w:rsid w:val="454D42EF"/>
    <w:rsid w:val="455002EB"/>
    <w:rsid w:val="4553C27B"/>
    <w:rsid w:val="4558EFC0"/>
    <w:rsid w:val="455F1C00"/>
    <w:rsid w:val="45609B5F"/>
    <w:rsid w:val="4560CA43"/>
    <w:rsid w:val="45622B41"/>
    <w:rsid w:val="4562B463"/>
    <w:rsid w:val="45666A0C"/>
    <w:rsid w:val="456EB850"/>
    <w:rsid w:val="456F78FA"/>
    <w:rsid w:val="4574A790"/>
    <w:rsid w:val="457553CD"/>
    <w:rsid w:val="45759AA9"/>
    <w:rsid w:val="4576196D"/>
    <w:rsid w:val="457B5023"/>
    <w:rsid w:val="457EFECE"/>
    <w:rsid w:val="457FC5A7"/>
    <w:rsid w:val="45820E4F"/>
    <w:rsid w:val="45846292"/>
    <w:rsid w:val="4588EA52"/>
    <w:rsid w:val="458EE738"/>
    <w:rsid w:val="45908E92"/>
    <w:rsid w:val="4595EB3A"/>
    <w:rsid w:val="459B2C50"/>
    <w:rsid w:val="459FF303"/>
    <w:rsid w:val="45A59844"/>
    <w:rsid w:val="45A7EDAA"/>
    <w:rsid w:val="45AB0445"/>
    <w:rsid w:val="45AEE622"/>
    <w:rsid w:val="45B09BF7"/>
    <w:rsid w:val="45B35B00"/>
    <w:rsid w:val="45B4CB11"/>
    <w:rsid w:val="45BC5F2B"/>
    <w:rsid w:val="45BE03DA"/>
    <w:rsid w:val="45C2C003"/>
    <w:rsid w:val="45C6E84E"/>
    <w:rsid w:val="45C7867B"/>
    <w:rsid w:val="45D8BC21"/>
    <w:rsid w:val="45DB218D"/>
    <w:rsid w:val="45DEBAF9"/>
    <w:rsid w:val="45EEF70F"/>
    <w:rsid w:val="45EF5881"/>
    <w:rsid w:val="45F5AE5C"/>
    <w:rsid w:val="460F1856"/>
    <w:rsid w:val="460F410B"/>
    <w:rsid w:val="4616D6C7"/>
    <w:rsid w:val="46191CF7"/>
    <w:rsid w:val="461F40A0"/>
    <w:rsid w:val="46202830"/>
    <w:rsid w:val="4621F429"/>
    <w:rsid w:val="462A49A5"/>
    <w:rsid w:val="4632702E"/>
    <w:rsid w:val="46386128"/>
    <w:rsid w:val="463B361C"/>
    <w:rsid w:val="463CF2F4"/>
    <w:rsid w:val="4644AB76"/>
    <w:rsid w:val="464DE051"/>
    <w:rsid w:val="46504839"/>
    <w:rsid w:val="4650E72E"/>
    <w:rsid w:val="4652DB1E"/>
    <w:rsid w:val="4656C486"/>
    <w:rsid w:val="466A4821"/>
    <w:rsid w:val="466B351F"/>
    <w:rsid w:val="466EC3AA"/>
    <w:rsid w:val="467D28D6"/>
    <w:rsid w:val="468C83D6"/>
    <w:rsid w:val="468FAC22"/>
    <w:rsid w:val="4695D277"/>
    <w:rsid w:val="46971627"/>
    <w:rsid w:val="469CFBDC"/>
    <w:rsid w:val="46A02DE4"/>
    <w:rsid w:val="46A62B8C"/>
    <w:rsid w:val="46AE2438"/>
    <w:rsid w:val="46AE347D"/>
    <w:rsid w:val="46B183E1"/>
    <w:rsid w:val="46B6E872"/>
    <w:rsid w:val="46CF69A3"/>
    <w:rsid w:val="46D11A50"/>
    <w:rsid w:val="46D22F12"/>
    <w:rsid w:val="46D2F086"/>
    <w:rsid w:val="46D34CBE"/>
    <w:rsid w:val="46D6DB00"/>
    <w:rsid w:val="46D7DB29"/>
    <w:rsid w:val="46D8AC36"/>
    <w:rsid w:val="46E4E872"/>
    <w:rsid w:val="46E5A1C5"/>
    <w:rsid w:val="46E73024"/>
    <w:rsid w:val="46E9FE21"/>
    <w:rsid w:val="46F13A55"/>
    <w:rsid w:val="46F161ED"/>
    <w:rsid w:val="46F2E6CB"/>
    <w:rsid w:val="46F5BFEB"/>
    <w:rsid w:val="46F83C67"/>
    <w:rsid w:val="46FE3CB3"/>
    <w:rsid w:val="46FF77F5"/>
    <w:rsid w:val="46FFB38B"/>
    <w:rsid w:val="4700D9ED"/>
    <w:rsid w:val="470EB441"/>
    <w:rsid w:val="4710A681"/>
    <w:rsid w:val="4711D682"/>
    <w:rsid w:val="47137595"/>
    <w:rsid w:val="4713CB57"/>
    <w:rsid w:val="471468DB"/>
    <w:rsid w:val="47163461"/>
    <w:rsid w:val="47172770"/>
    <w:rsid w:val="4717F74D"/>
    <w:rsid w:val="47189E48"/>
    <w:rsid w:val="471973DC"/>
    <w:rsid w:val="471C799B"/>
    <w:rsid w:val="471D980E"/>
    <w:rsid w:val="471DEB81"/>
    <w:rsid w:val="472116A4"/>
    <w:rsid w:val="472174E7"/>
    <w:rsid w:val="472AD003"/>
    <w:rsid w:val="472DC2F9"/>
    <w:rsid w:val="4733BCAD"/>
    <w:rsid w:val="4736A400"/>
    <w:rsid w:val="4745B07A"/>
    <w:rsid w:val="47469297"/>
    <w:rsid w:val="4748DDE1"/>
    <w:rsid w:val="474B29B4"/>
    <w:rsid w:val="474F12F9"/>
    <w:rsid w:val="4754261B"/>
    <w:rsid w:val="475A8C3F"/>
    <w:rsid w:val="4766C433"/>
    <w:rsid w:val="4766F78F"/>
    <w:rsid w:val="47686E4C"/>
    <w:rsid w:val="477160B9"/>
    <w:rsid w:val="4771EDF8"/>
    <w:rsid w:val="47734752"/>
    <w:rsid w:val="4777ACC0"/>
    <w:rsid w:val="477D59D3"/>
    <w:rsid w:val="478A2506"/>
    <w:rsid w:val="478D6ADE"/>
    <w:rsid w:val="478E96B0"/>
    <w:rsid w:val="47948B5E"/>
    <w:rsid w:val="4794F7E1"/>
    <w:rsid w:val="47987AD4"/>
    <w:rsid w:val="479E25AF"/>
    <w:rsid w:val="47A0450B"/>
    <w:rsid w:val="47AA36AB"/>
    <w:rsid w:val="47B692FE"/>
    <w:rsid w:val="47BAA3F6"/>
    <w:rsid w:val="47C26183"/>
    <w:rsid w:val="47C72470"/>
    <w:rsid w:val="47C75A47"/>
    <w:rsid w:val="47C85F89"/>
    <w:rsid w:val="47CD27D2"/>
    <w:rsid w:val="47D1F3DA"/>
    <w:rsid w:val="47D34A47"/>
    <w:rsid w:val="47D67D4F"/>
    <w:rsid w:val="47D6E7A3"/>
    <w:rsid w:val="47D7002E"/>
    <w:rsid w:val="47D86DFA"/>
    <w:rsid w:val="47DA7EA3"/>
    <w:rsid w:val="47DCBE71"/>
    <w:rsid w:val="47DF3A53"/>
    <w:rsid w:val="47DFE7C1"/>
    <w:rsid w:val="47EFB18F"/>
    <w:rsid w:val="47EFDF1A"/>
    <w:rsid w:val="47F01BAD"/>
    <w:rsid w:val="47F0C176"/>
    <w:rsid w:val="47F6EBE8"/>
    <w:rsid w:val="48016FB9"/>
    <w:rsid w:val="4804FE0B"/>
    <w:rsid w:val="4805BB4F"/>
    <w:rsid w:val="480C5320"/>
    <w:rsid w:val="48251C4A"/>
    <w:rsid w:val="4827B12C"/>
    <w:rsid w:val="482F6895"/>
    <w:rsid w:val="48321D7D"/>
    <w:rsid w:val="4836F463"/>
    <w:rsid w:val="4837CA87"/>
    <w:rsid w:val="483B418A"/>
    <w:rsid w:val="48429BD2"/>
    <w:rsid w:val="4848A80A"/>
    <w:rsid w:val="484B6811"/>
    <w:rsid w:val="484D0CCB"/>
    <w:rsid w:val="484F7585"/>
    <w:rsid w:val="4852B005"/>
    <w:rsid w:val="4853BB90"/>
    <w:rsid w:val="485AE463"/>
    <w:rsid w:val="485E9213"/>
    <w:rsid w:val="485EBD6C"/>
    <w:rsid w:val="48615816"/>
    <w:rsid w:val="4863E0F0"/>
    <w:rsid w:val="486416BA"/>
    <w:rsid w:val="48670524"/>
    <w:rsid w:val="48673D6B"/>
    <w:rsid w:val="487039E5"/>
    <w:rsid w:val="48722057"/>
    <w:rsid w:val="48736993"/>
    <w:rsid w:val="48749DC8"/>
    <w:rsid w:val="48785E91"/>
    <w:rsid w:val="4879CEC2"/>
    <w:rsid w:val="487C7C7D"/>
    <w:rsid w:val="487E38CF"/>
    <w:rsid w:val="487EAB6E"/>
    <w:rsid w:val="48878A62"/>
    <w:rsid w:val="4888C6E8"/>
    <w:rsid w:val="4888E48F"/>
    <w:rsid w:val="48897F39"/>
    <w:rsid w:val="488C7871"/>
    <w:rsid w:val="489B3822"/>
    <w:rsid w:val="489F756E"/>
    <w:rsid w:val="48A110D3"/>
    <w:rsid w:val="48A1312A"/>
    <w:rsid w:val="48A55AF4"/>
    <w:rsid w:val="48A77068"/>
    <w:rsid w:val="48A8DE23"/>
    <w:rsid w:val="48ABF75A"/>
    <w:rsid w:val="48AC5CF7"/>
    <w:rsid w:val="48BA870E"/>
    <w:rsid w:val="48BD6A03"/>
    <w:rsid w:val="48BEF8D4"/>
    <w:rsid w:val="48C07E32"/>
    <w:rsid w:val="48C12D7F"/>
    <w:rsid w:val="48C2EAE1"/>
    <w:rsid w:val="48C32B8D"/>
    <w:rsid w:val="48C3C85C"/>
    <w:rsid w:val="48C4ADD6"/>
    <w:rsid w:val="48CDB2CA"/>
    <w:rsid w:val="48D2FA3C"/>
    <w:rsid w:val="48DFD580"/>
    <w:rsid w:val="48E1C5A4"/>
    <w:rsid w:val="48E4DACD"/>
    <w:rsid w:val="48E510B9"/>
    <w:rsid w:val="48EA4970"/>
    <w:rsid w:val="48F20689"/>
    <w:rsid w:val="48F5E0D2"/>
    <w:rsid w:val="48F6580E"/>
    <w:rsid w:val="48FF5735"/>
    <w:rsid w:val="490030CD"/>
    <w:rsid w:val="49011B40"/>
    <w:rsid w:val="4907BA3E"/>
    <w:rsid w:val="490962C6"/>
    <w:rsid w:val="4918762B"/>
    <w:rsid w:val="49194EFC"/>
    <w:rsid w:val="491AA799"/>
    <w:rsid w:val="491E6504"/>
    <w:rsid w:val="49200741"/>
    <w:rsid w:val="4922938B"/>
    <w:rsid w:val="492473CC"/>
    <w:rsid w:val="49255A6A"/>
    <w:rsid w:val="4934AC86"/>
    <w:rsid w:val="493521AC"/>
    <w:rsid w:val="49362E0C"/>
    <w:rsid w:val="493BD324"/>
    <w:rsid w:val="4940F1CF"/>
    <w:rsid w:val="49415082"/>
    <w:rsid w:val="49437A53"/>
    <w:rsid w:val="49466D0E"/>
    <w:rsid w:val="494887E7"/>
    <w:rsid w:val="494B0FB0"/>
    <w:rsid w:val="494B5CAF"/>
    <w:rsid w:val="494EEA66"/>
    <w:rsid w:val="494FFDE3"/>
    <w:rsid w:val="4954A3B0"/>
    <w:rsid w:val="49570511"/>
    <w:rsid w:val="495897CB"/>
    <w:rsid w:val="4958CD7F"/>
    <w:rsid w:val="495ADC17"/>
    <w:rsid w:val="495C0BF6"/>
    <w:rsid w:val="495D4004"/>
    <w:rsid w:val="49623D0C"/>
    <w:rsid w:val="4964519D"/>
    <w:rsid w:val="4966C93B"/>
    <w:rsid w:val="4969AED0"/>
    <w:rsid w:val="496DD776"/>
    <w:rsid w:val="49786F42"/>
    <w:rsid w:val="497A3463"/>
    <w:rsid w:val="497F68A4"/>
    <w:rsid w:val="4984A23C"/>
    <w:rsid w:val="49865803"/>
    <w:rsid w:val="498B0260"/>
    <w:rsid w:val="498E238C"/>
    <w:rsid w:val="4991A46B"/>
    <w:rsid w:val="49953D67"/>
    <w:rsid w:val="49970C56"/>
    <w:rsid w:val="499710A9"/>
    <w:rsid w:val="499BA0A5"/>
    <w:rsid w:val="499E142E"/>
    <w:rsid w:val="49A14D62"/>
    <w:rsid w:val="49A571B8"/>
    <w:rsid w:val="49AAC803"/>
    <w:rsid w:val="49ABF60F"/>
    <w:rsid w:val="49B24206"/>
    <w:rsid w:val="49B39A00"/>
    <w:rsid w:val="49B57D51"/>
    <w:rsid w:val="49B9EE2E"/>
    <w:rsid w:val="49BA3C5D"/>
    <w:rsid w:val="49C35B81"/>
    <w:rsid w:val="49C4370C"/>
    <w:rsid w:val="49CB8DED"/>
    <w:rsid w:val="49CB964D"/>
    <w:rsid w:val="49CD4E50"/>
    <w:rsid w:val="49CF62C1"/>
    <w:rsid w:val="49D023E3"/>
    <w:rsid w:val="49D94AB2"/>
    <w:rsid w:val="49DD0596"/>
    <w:rsid w:val="49DD8300"/>
    <w:rsid w:val="49DEF8C5"/>
    <w:rsid w:val="49E809DE"/>
    <w:rsid w:val="49E9C24B"/>
    <w:rsid w:val="49EABA85"/>
    <w:rsid w:val="49EC0289"/>
    <w:rsid w:val="49FBE88F"/>
    <w:rsid w:val="49FCEE6B"/>
    <w:rsid w:val="4A002044"/>
    <w:rsid w:val="4A006D59"/>
    <w:rsid w:val="4A04E1B0"/>
    <w:rsid w:val="4A05AB08"/>
    <w:rsid w:val="4A08F531"/>
    <w:rsid w:val="4A0BD817"/>
    <w:rsid w:val="4A100853"/>
    <w:rsid w:val="4A11C66A"/>
    <w:rsid w:val="4A13574A"/>
    <w:rsid w:val="4A13E846"/>
    <w:rsid w:val="4A159476"/>
    <w:rsid w:val="4A24688B"/>
    <w:rsid w:val="4A250618"/>
    <w:rsid w:val="4A295F7C"/>
    <w:rsid w:val="4A2CD806"/>
    <w:rsid w:val="4A2E0D55"/>
    <w:rsid w:val="4A31451B"/>
    <w:rsid w:val="4A31F8A2"/>
    <w:rsid w:val="4A354CA5"/>
    <w:rsid w:val="4A35E41B"/>
    <w:rsid w:val="4A36DC87"/>
    <w:rsid w:val="4A3A905F"/>
    <w:rsid w:val="4A3B4B36"/>
    <w:rsid w:val="4A3EB8CE"/>
    <w:rsid w:val="4A436BA1"/>
    <w:rsid w:val="4A453558"/>
    <w:rsid w:val="4A4B100E"/>
    <w:rsid w:val="4A4EEAFA"/>
    <w:rsid w:val="4A4F50AF"/>
    <w:rsid w:val="4A56EE0A"/>
    <w:rsid w:val="4A5CD3DC"/>
    <w:rsid w:val="4A6126B4"/>
    <w:rsid w:val="4A6EF6B9"/>
    <w:rsid w:val="4A704A9E"/>
    <w:rsid w:val="4A70E137"/>
    <w:rsid w:val="4A711953"/>
    <w:rsid w:val="4A72CC12"/>
    <w:rsid w:val="4A748E7D"/>
    <w:rsid w:val="4A7600B0"/>
    <w:rsid w:val="4A770F46"/>
    <w:rsid w:val="4A81415F"/>
    <w:rsid w:val="4A84D035"/>
    <w:rsid w:val="4A84EF8E"/>
    <w:rsid w:val="4A88B807"/>
    <w:rsid w:val="4A8D4449"/>
    <w:rsid w:val="4A92B7F1"/>
    <w:rsid w:val="4A939DDE"/>
    <w:rsid w:val="4A93DDA8"/>
    <w:rsid w:val="4A9958D9"/>
    <w:rsid w:val="4A9D0FD5"/>
    <w:rsid w:val="4A9E3B25"/>
    <w:rsid w:val="4AA0F28A"/>
    <w:rsid w:val="4AA5C693"/>
    <w:rsid w:val="4AB33129"/>
    <w:rsid w:val="4AB5A361"/>
    <w:rsid w:val="4AB661AA"/>
    <w:rsid w:val="4AB72894"/>
    <w:rsid w:val="4ABB1A16"/>
    <w:rsid w:val="4AC28671"/>
    <w:rsid w:val="4AC3172C"/>
    <w:rsid w:val="4AC6C07E"/>
    <w:rsid w:val="4AC827F7"/>
    <w:rsid w:val="4ACED873"/>
    <w:rsid w:val="4AD1835A"/>
    <w:rsid w:val="4AD45A0D"/>
    <w:rsid w:val="4AD6C281"/>
    <w:rsid w:val="4AD875D0"/>
    <w:rsid w:val="4AD8D938"/>
    <w:rsid w:val="4ADC7E58"/>
    <w:rsid w:val="4ADCD8E4"/>
    <w:rsid w:val="4AE0A2D7"/>
    <w:rsid w:val="4AE1450E"/>
    <w:rsid w:val="4AE4482C"/>
    <w:rsid w:val="4AE5CBA4"/>
    <w:rsid w:val="4AE900DC"/>
    <w:rsid w:val="4AEB92D6"/>
    <w:rsid w:val="4AEF43C3"/>
    <w:rsid w:val="4AF2F3BF"/>
    <w:rsid w:val="4AF359D3"/>
    <w:rsid w:val="4AF64E38"/>
    <w:rsid w:val="4B042F3D"/>
    <w:rsid w:val="4B053C90"/>
    <w:rsid w:val="4B0F45B9"/>
    <w:rsid w:val="4B0F8274"/>
    <w:rsid w:val="4B109382"/>
    <w:rsid w:val="4B177D1F"/>
    <w:rsid w:val="4B18D322"/>
    <w:rsid w:val="4B1A5C17"/>
    <w:rsid w:val="4B255076"/>
    <w:rsid w:val="4B255284"/>
    <w:rsid w:val="4B2AC4B0"/>
    <w:rsid w:val="4B2D175E"/>
    <w:rsid w:val="4B2ED173"/>
    <w:rsid w:val="4B339917"/>
    <w:rsid w:val="4B38E39E"/>
    <w:rsid w:val="4B3E462B"/>
    <w:rsid w:val="4B440654"/>
    <w:rsid w:val="4B44BD2E"/>
    <w:rsid w:val="4B48670F"/>
    <w:rsid w:val="4B48C469"/>
    <w:rsid w:val="4B4E26D5"/>
    <w:rsid w:val="4B579A88"/>
    <w:rsid w:val="4B664942"/>
    <w:rsid w:val="4B66D0D4"/>
    <w:rsid w:val="4B688570"/>
    <w:rsid w:val="4B6CC243"/>
    <w:rsid w:val="4B6E9C38"/>
    <w:rsid w:val="4B6F5487"/>
    <w:rsid w:val="4B717741"/>
    <w:rsid w:val="4B7761A4"/>
    <w:rsid w:val="4B79509D"/>
    <w:rsid w:val="4B7FBDD2"/>
    <w:rsid w:val="4B80F7F2"/>
    <w:rsid w:val="4B8769BE"/>
    <w:rsid w:val="4B87856C"/>
    <w:rsid w:val="4B87C364"/>
    <w:rsid w:val="4B8EE9EB"/>
    <w:rsid w:val="4B9678D9"/>
    <w:rsid w:val="4B9A100D"/>
    <w:rsid w:val="4B9D7A25"/>
    <w:rsid w:val="4BA51EF1"/>
    <w:rsid w:val="4BA7CDE2"/>
    <w:rsid w:val="4BAACADD"/>
    <w:rsid w:val="4BAD0915"/>
    <w:rsid w:val="4BAF63E7"/>
    <w:rsid w:val="4BB815A5"/>
    <w:rsid w:val="4BB9650E"/>
    <w:rsid w:val="4BBE390A"/>
    <w:rsid w:val="4BC829F7"/>
    <w:rsid w:val="4BC9B24A"/>
    <w:rsid w:val="4BCEF114"/>
    <w:rsid w:val="4BD25AFE"/>
    <w:rsid w:val="4BD264A3"/>
    <w:rsid w:val="4BDB3B0C"/>
    <w:rsid w:val="4BDD5F0D"/>
    <w:rsid w:val="4BE3842D"/>
    <w:rsid w:val="4BE58D11"/>
    <w:rsid w:val="4BE61E66"/>
    <w:rsid w:val="4BF26490"/>
    <w:rsid w:val="4BF617BB"/>
    <w:rsid w:val="4BF97EEF"/>
    <w:rsid w:val="4BFBFB1D"/>
    <w:rsid w:val="4C035959"/>
    <w:rsid w:val="4C046381"/>
    <w:rsid w:val="4C06C921"/>
    <w:rsid w:val="4C0E4ED8"/>
    <w:rsid w:val="4C19CF3E"/>
    <w:rsid w:val="4C1B69A5"/>
    <w:rsid w:val="4C227D32"/>
    <w:rsid w:val="4C2A4827"/>
    <w:rsid w:val="4C3076AE"/>
    <w:rsid w:val="4C30C830"/>
    <w:rsid w:val="4C3244C1"/>
    <w:rsid w:val="4C3332F4"/>
    <w:rsid w:val="4C360623"/>
    <w:rsid w:val="4C377C39"/>
    <w:rsid w:val="4C3FA9EB"/>
    <w:rsid w:val="4C3FC0CE"/>
    <w:rsid w:val="4C48F72D"/>
    <w:rsid w:val="4C4AF72E"/>
    <w:rsid w:val="4C51E607"/>
    <w:rsid w:val="4C5504C1"/>
    <w:rsid w:val="4C592AFD"/>
    <w:rsid w:val="4C5A3445"/>
    <w:rsid w:val="4C5D290C"/>
    <w:rsid w:val="4C5F6D96"/>
    <w:rsid w:val="4C604A08"/>
    <w:rsid w:val="4C60C51A"/>
    <w:rsid w:val="4C640AB9"/>
    <w:rsid w:val="4C7021CE"/>
    <w:rsid w:val="4C736969"/>
    <w:rsid w:val="4C791828"/>
    <w:rsid w:val="4C7EC738"/>
    <w:rsid w:val="4C816663"/>
    <w:rsid w:val="4C825D2D"/>
    <w:rsid w:val="4C837890"/>
    <w:rsid w:val="4C83BE62"/>
    <w:rsid w:val="4C856506"/>
    <w:rsid w:val="4C8C09F7"/>
    <w:rsid w:val="4C8F92E3"/>
    <w:rsid w:val="4C929E70"/>
    <w:rsid w:val="4C94F0C3"/>
    <w:rsid w:val="4C95D983"/>
    <w:rsid w:val="4C97DCB0"/>
    <w:rsid w:val="4C9E79B2"/>
    <w:rsid w:val="4CA05683"/>
    <w:rsid w:val="4CA80EF3"/>
    <w:rsid w:val="4CA86422"/>
    <w:rsid w:val="4CA94F91"/>
    <w:rsid w:val="4CAB32CF"/>
    <w:rsid w:val="4CAF842D"/>
    <w:rsid w:val="4CB04B7F"/>
    <w:rsid w:val="4CB46AD6"/>
    <w:rsid w:val="4CB78520"/>
    <w:rsid w:val="4CB842A1"/>
    <w:rsid w:val="4CBA0246"/>
    <w:rsid w:val="4CBA5BD2"/>
    <w:rsid w:val="4CC0F960"/>
    <w:rsid w:val="4CC4FAAA"/>
    <w:rsid w:val="4CC85C40"/>
    <w:rsid w:val="4CCACC7A"/>
    <w:rsid w:val="4CCB74C3"/>
    <w:rsid w:val="4CD11BB1"/>
    <w:rsid w:val="4CD1F0F8"/>
    <w:rsid w:val="4CD55894"/>
    <w:rsid w:val="4CDF7C5F"/>
    <w:rsid w:val="4CE2D5FC"/>
    <w:rsid w:val="4CE70CA5"/>
    <w:rsid w:val="4CECC8AA"/>
    <w:rsid w:val="4CED6EEA"/>
    <w:rsid w:val="4CF11E1A"/>
    <w:rsid w:val="4CFA19DB"/>
    <w:rsid w:val="4CFCA0C6"/>
    <w:rsid w:val="4D02408C"/>
    <w:rsid w:val="4D02B3FB"/>
    <w:rsid w:val="4D02CC43"/>
    <w:rsid w:val="4D030155"/>
    <w:rsid w:val="4D03EEF1"/>
    <w:rsid w:val="4D054CBF"/>
    <w:rsid w:val="4D05593D"/>
    <w:rsid w:val="4D0C2D92"/>
    <w:rsid w:val="4D0CF14B"/>
    <w:rsid w:val="4D11C138"/>
    <w:rsid w:val="4D16CB45"/>
    <w:rsid w:val="4D17344C"/>
    <w:rsid w:val="4D18D2D4"/>
    <w:rsid w:val="4D1B76AD"/>
    <w:rsid w:val="4D1CB8EF"/>
    <w:rsid w:val="4D20CCAF"/>
    <w:rsid w:val="4D2331B0"/>
    <w:rsid w:val="4D27A3A5"/>
    <w:rsid w:val="4D28057C"/>
    <w:rsid w:val="4D2C22A4"/>
    <w:rsid w:val="4D371442"/>
    <w:rsid w:val="4D3B6DA2"/>
    <w:rsid w:val="4D3D01D9"/>
    <w:rsid w:val="4D3FC180"/>
    <w:rsid w:val="4D410CC9"/>
    <w:rsid w:val="4D4292A2"/>
    <w:rsid w:val="4D468E14"/>
    <w:rsid w:val="4D482795"/>
    <w:rsid w:val="4D4A09F4"/>
    <w:rsid w:val="4D4D83D5"/>
    <w:rsid w:val="4D578A04"/>
    <w:rsid w:val="4D5814E1"/>
    <w:rsid w:val="4D5A5F2E"/>
    <w:rsid w:val="4D67A20A"/>
    <w:rsid w:val="4D686582"/>
    <w:rsid w:val="4D6A2237"/>
    <w:rsid w:val="4D6D48E8"/>
    <w:rsid w:val="4D7154A1"/>
    <w:rsid w:val="4D75D502"/>
    <w:rsid w:val="4D77E413"/>
    <w:rsid w:val="4D785318"/>
    <w:rsid w:val="4D7A408C"/>
    <w:rsid w:val="4D7F6179"/>
    <w:rsid w:val="4D830AA2"/>
    <w:rsid w:val="4D897174"/>
    <w:rsid w:val="4D89FD03"/>
    <w:rsid w:val="4D8A1754"/>
    <w:rsid w:val="4D91D67C"/>
    <w:rsid w:val="4D953712"/>
    <w:rsid w:val="4D99E0DC"/>
    <w:rsid w:val="4D9A3772"/>
    <w:rsid w:val="4D9F11DA"/>
    <w:rsid w:val="4DA7D0D1"/>
    <w:rsid w:val="4DAE7B8F"/>
    <w:rsid w:val="4DB439AB"/>
    <w:rsid w:val="4DB43E53"/>
    <w:rsid w:val="4DB51733"/>
    <w:rsid w:val="4DBB88C7"/>
    <w:rsid w:val="4DC00D7B"/>
    <w:rsid w:val="4DC14BEE"/>
    <w:rsid w:val="4DC15B69"/>
    <w:rsid w:val="4DC910ED"/>
    <w:rsid w:val="4DCC008F"/>
    <w:rsid w:val="4DCC9949"/>
    <w:rsid w:val="4DCD2A5C"/>
    <w:rsid w:val="4DCFB78C"/>
    <w:rsid w:val="4DD7CFDE"/>
    <w:rsid w:val="4DD9B7AC"/>
    <w:rsid w:val="4DDB438C"/>
    <w:rsid w:val="4DE968E3"/>
    <w:rsid w:val="4DE9902E"/>
    <w:rsid w:val="4DEE1CB3"/>
    <w:rsid w:val="4DF1E8E0"/>
    <w:rsid w:val="4DFDB554"/>
    <w:rsid w:val="4E18BC20"/>
    <w:rsid w:val="4E19031D"/>
    <w:rsid w:val="4E1B345D"/>
    <w:rsid w:val="4E1FF554"/>
    <w:rsid w:val="4E2FE01F"/>
    <w:rsid w:val="4E302D6D"/>
    <w:rsid w:val="4E362888"/>
    <w:rsid w:val="4E399CFA"/>
    <w:rsid w:val="4E3B47CC"/>
    <w:rsid w:val="4E3F711A"/>
    <w:rsid w:val="4E42A2E2"/>
    <w:rsid w:val="4E484D2B"/>
    <w:rsid w:val="4E4D4456"/>
    <w:rsid w:val="4E4DF180"/>
    <w:rsid w:val="4E4F74A5"/>
    <w:rsid w:val="4E518DE6"/>
    <w:rsid w:val="4E52C334"/>
    <w:rsid w:val="4E5A32F5"/>
    <w:rsid w:val="4E6124FD"/>
    <w:rsid w:val="4E626502"/>
    <w:rsid w:val="4E62852B"/>
    <w:rsid w:val="4E640ECA"/>
    <w:rsid w:val="4E6B414D"/>
    <w:rsid w:val="4E707B2D"/>
    <w:rsid w:val="4E78384B"/>
    <w:rsid w:val="4E798D06"/>
    <w:rsid w:val="4E849922"/>
    <w:rsid w:val="4E8A8ED6"/>
    <w:rsid w:val="4E91FAE9"/>
    <w:rsid w:val="4E935AC7"/>
    <w:rsid w:val="4E98B4F0"/>
    <w:rsid w:val="4E9F4AA8"/>
    <w:rsid w:val="4EA108F3"/>
    <w:rsid w:val="4EA6D1E4"/>
    <w:rsid w:val="4EAAE557"/>
    <w:rsid w:val="4EAE2A8E"/>
    <w:rsid w:val="4EB21DF6"/>
    <w:rsid w:val="4EB5A590"/>
    <w:rsid w:val="4EB99FE2"/>
    <w:rsid w:val="4EBDB2EB"/>
    <w:rsid w:val="4EBFD78C"/>
    <w:rsid w:val="4EC4B08F"/>
    <w:rsid w:val="4EC9902A"/>
    <w:rsid w:val="4ECB6D42"/>
    <w:rsid w:val="4ECC0359"/>
    <w:rsid w:val="4ECF7EF5"/>
    <w:rsid w:val="4ED92AAE"/>
    <w:rsid w:val="4EDA8E4A"/>
    <w:rsid w:val="4EE33CBB"/>
    <w:rsid w:val="4EED7BC8"/>
    <w:rsid w:val="4EEE667E"/>
    <w:rsid w:val="4EF17B16"/>
    <w:rsid w:val="4EF64105"/>
    <w:rsid w:val="4EF8B9DB"/>
    <w:rsid w:val="4EFBAC4D"/>
    <w:rsid w:val="4EFBD0C5"/>
    <w:rsid w:val="4F15D04F"/>
    <w:rsid w:val="4F1627E7"/>
    <w:rsid w:val="4F1F8C97"/>
    <w:rsid w:val="4F1FCB32"/>
    <w:rsid w:val="4F20A7DC"/>
    <w:rsid w:val="4F223CC7"/>
    <w:rsid w:val="4F366D6D"/>
    <w:rsid w:val="4F3BE3A6"/>
    <w:rsid w:val="4F3F0470"/>
    <w:rsid w:val="4F3F1755"/>
    <w:rsid w:val="4F3FAA37"/>
    <w:rsid w:val="4F4488FE"/>
    <w:rsid w:val="4F4A0B8E"/>
    <w:rsid w:val="4F4A7BC2"/>
    <w:rsid w:val="4F4ACE7C"/>
    <w:rsid w:val="4F4BCFA2"/>
    <w:rsid w:val="4F4DFAC8"/>
    <w:rsid w:val="4F4E8727"/>
    <w:rsid w:val="4F4FEC63"/>
    <w:rsid w:val="4F51BBFE"/>
    <w:rsid w:val="4F5292F7"/>
    <w:rsid w:val="4F57C5ED"/>
    <w:rsid w:val="4F5A4906"/>
    <w:rsid w:val="4F5A605E"/>
    <w:rsid w:val="4F5D559E"/>
    <w:rsid w:val="4F6019F6"/>
    <w:rsid w:val="4F6470F9"/>
    <w:rsid w:val="4F6981E5"/>
    <w:rsid w:val="4F6B46B5"/>
    <w:rsid w:val="4F6E8929"/>
    <w:rsid w:val="4F7FE613"/>
    <w:rsid w:val="4F848EBD"/>
    <w:rsid w:val="4F87ABD3"/>
    <w:rsid w:val="4F88C7AE"/>
    <w:rsid w:val="4F88DF19"/>
    <w:rsid w:val="4F8D55DF"/>
    <w:rsid w:val="4F8F70A8"/>
    <w:rsid w:val="4F960B59"/>
    <w:rsid w:val="4F987644"/>
    <w:rsid w:val="4F98931B"/>
    <w:rsid w:val="4F99F2F1"/>
    <w:rsid w:val="4F9D8B97"/>
    <w:rsid w:val="4FA00858"/>
    <w:rsid w:val="4FA1C7C7"/>
    <w:rsid w:val="4FA4F7BA"/>
    <w:rsid w:val="4FA8D2A5"/>
    <w:rsid w:val="4FB0A92D"/>
    <w:rsid w:val="4FB39C1C"/>
    <w:rsid w:val="4FB79B21"/>
    <w:rsid w:val="4FB9CDE4"/>
    <w:rsid w:val="4FBAF755"/>
    <w:rsid w:val="4FC14103"/>
    <w:rsid w:val="4FC567D3"/>
    <w:rsid w:val="4FC7B635"/>
    <w:rsid w:val="4FCC1C37"/>
    <w:rsid w:val="4FCC792F"/>
    <w:rsid w:val="4FCF3F55"/>
    <w:rsid w:val="4FCFC069"/>
    <w:rsid w:val="4FD13C35"/>
    <w:rsid w:val="4FD32091"/>
    <w:rsid w:val="4FD931C3"/>
    <w:rsid w:val="4FDDEBCD"/>
    <w:rsid w:val="4FE0F927"/>
    <w:rsid w:val="4FF09D22"/>
    <w:rsid w:val="4FF31012"/>
    <w:rsid w:val="4FF9792D"/>
    <w:rsid w:val="4FFA3DA3"/>
    <w:rsid w:val="50020DE8"/>
    <w:rsid w:val="5003AAEF"/>
    <w:rsid w:val="500A068B"/>
    <w:rsid w:val="500B8051"/>
    <w:rsid w:val="50176DCF"/>
    <w:rsid w:val="502A7E60"/>
    <w:rsid w:val="502BF9CF"/>
    <w:rsid w:val="502D01B1"/>
    <w:rsid w:val="503877EA"/>
    <w:rsid w:val="503D2F64"/>
    <w:rsid w:val="5041F3E3"/>
    <w:rsid w:val="5043B281"/>
    <w:rsid w:val="504709F9"/>
    <w:rsid w:val="504A8C31"/>
    <w:rsid w:val="505026C3"/>
    <w:rsid w:val="50565998"/>
    <w:rsid w:val="50631610"/>
    <w:rsid w:val="5065D081"/>
    <w:rsid w:val="5065F6F1"/>
    <w:rsid w:val="5066A223"/>
    <w:rsid w:val="50678D05"/>
    <w:rsid w:val="506C6097"/>
    <w:rsid w:val="506CFDBF"/>
    <w:rsid w:val="5074813E"/>
    <w:rsid w:val="507551B6"/>
    <w:rsid w:val="5076CF7E"/>
    <w:rsid w:val="507A0E03"/>
    <w:rsid w:val="507B263E"/>
    <w:rsid w:val="507D2C94"/>
    <w:rsid w:val="507F3AE1"/>
    <w:rsid w:val="5082498E"/>
    <w:rsid w:val="50911134"/>
    <w:rsid w:val="5092612A"/>
    <w:rsid w:val="50946527"/>
    <w:rsid w:val="50968601"/>
    <w:rsid w:val="509B2648"/>
    <w:rsid w:val="509C7C6F"/>
    <w:rsid w:val="50A0F036"/>
    <w:rsid w:val="50A18981"/>
    <w:rsid w:val="50A1DC2D"/>
    <w:rsid w:val="50A33B39"/>
    <w:rsid w:val="50A71549"/>
    <w:rsid w:val="50ABE01D"/>
    <w:rsid w:val="50AFD523"/>
    <w:rsid w:val="50AFDE65"/>
    <w:rsid w:val="50B38B74"/>
    <w:rsid w:val="50B57747"/>
    <w:rsid w:val="50BA9544"/>
    <w:rsid w:val="50C134A5"/>
    <w:rsid w:val="50C59B4D"/>
    <w:rsid w:val="50C7AB92"/>
    <w:rsid w:val="50C7E0F9"/>
    <w:rsid w:val="50CBB4D1"/>
    <w:rsid w:val="50CCF00B"/>
    <w:rsid w:val="50D6F358"/>
    <w:rsid w:val="50E5ECFB"/>
    <w:rsid w:val="50EC3A02"/>
    <w:rsid w:val="50F23F24"/>
    <w:rsid w:val="50F3F78B"/>
    <w:rsid w:val="50FD79C3"/>
    <w:rsid w:val="50FF2427"/>
    <w:rsid w:val="5108C48B"/>
    <w:rsid w:val="5109627A"/>
    <w:rsid w:val="510D6E76"/>
    <w:rsid w:val="5110178B"/>
    <w:rsid w:val="5110B16A"/>
    <w:rsid w:val="51174E0B"/>
    <w:rsid w:val="51175CBC"/>
    <w:rsid w:val="511A7105"/>
    <w:rsid w:val="511B5723"/>
    <w:rsid w:val="511BB2AF"/>
    <w:rsid w:val="51215034"/>
    <w:rsid w:val="512709EA"/>
    <w:rsid w:val="512783D6"/>
    <w:rsid w:val="512ECC13"/>
    <w:rsid w:val="512F2C36"/>
    <w:rsid w:val="5134C1EE"/>
    <w:rsid w:val="513992B2"/>
    <w:rsid w:val="513A3375"/>
    <w:rsid w:val="513C5874"/>
    <w:rsid w:val="513DD3DB"/>
    <w:rsid w:val="5144CF6C"/>
    <w:rsid w:val="514AA005"/>
    <w:rsid w:val="514B4395"/>
    <w:rsid w:val="51505349"/>
    <w:rsid w:val="5160C94F"/>
    <w:rsid w:val="51683664"/>
    <w:rsid w:val="516A198B"/>
    <w:rsid w:val="516AEE65"/>
    <w:rsid w:val="516C053D"/>
    <w:rsid w:val="516C5A57"/>
    <w:rsid w:val="51716B61"/>
    <w:rsid w:val="5173086D"/>
    <w:rsid w:val="51741E69"/>
    <w:rsid w:val="51765B42"/>
    <w:rsid w:val="517E6775"/>
    <w:rsid w:val="5180B6C2"/>
    <w:rsid w:val="518122FE"/>
    <w:rsid w:val="5184EEC9"/>
    <w:rsid w:val="518625C9"/>
    <w:rsid w:val="519334B1"/>
    <w:rsid w:val="519474E4"/>
    <w:rsid w:val="51A21283"/>
    <w:rsid w:val="51A22520"/>
    <w:rsid w:val="51A28161"/>
    <w:rsid w:val="51A28AA8"/>
    <w:rsid w:val="51A723C0"/>
    <w:rsid w:val="51ACBDE2"/>
    <w:rsid w:val="51B1362C"/>
    <w:rsid w:val="51B2A497"/>
    <w:rsid w:val="51B4CA67"/>
    <w:rsid w:val="51B4ED13"/>
    <w:rsid w:val="51B783F5"/>
    <w:rsid w:val="51B8BC52"/>
    <w:rsid w:val="51BB467B"/>
    <w:rsid w:val="51BC269D"/>
    <w:rsid w:val="51BDCC29"/>
    <w:rsid w:val="51BE054F"/>
    <w:rsid w:val="51BE6E00"/>
    <w:rsid w:val="51C0A9A3"/>
    <w:rsid w:val="51C29181"/>
    <w:rsid w:val="51C3E75D"/>
    <w:rsid w:val="51C6C3F2"/>
    <w:rsid w:val="51CB9CC5"/>
    <w:rsid w:val="51CDD08E"/>
    <w:rsid w:val="51D134CD"/>
    <w:rsid w:val="51D3F040"/>
    <w:rsid w:val="51D5F18B"/>
    <w:rsid w:val="51D86E3B"/>
    <w:rsid w:val="51D9968A"/>
    <w:rsid w:val="51E37057"/>
    <w:rsid w:val="51E9AC1E"/>
    <w:rsid w:val="51ECDD2E"/>
    <w:rsid w:val="51EFBFB4"/>
    <w:rsid w:val="51F21469"/>
    <w:rsid w:val="51F9C866"/>
    <w:rsid w:val="520D7419"/>
    <w:rsid w:val="52179D29"/>
    <w:rsid w:val="5218A276"/>
    <w:rsid w:val="521A08FA"/>
    <w:rsid w:val="52235012"/>
    <w:rsid w:val="522480D3"/>
    <w:rsid w:val="52293267"/>
    <w:rsid w:val="522D4B60"/>
    <w:rsid w:val="5235EBD5"/>
    <w:rsid w:val="52384299"/>
    <w:rsid w:val="52388050"/>
    <w:rsid w:val="523F874A"/>
    <w:rsid w:val="5242AA26"/>
    <w:rsid w:val="52431919"/>
    <w:rsid w:val="5243797A"/>
    <w:rsid w:val="5246279E"/>
    <w:rsid w:val="5252AFDE"/>
    <w:rsid w:val="5254E7E3"/>
    <w:rsid w:val="525631B8"/>
    <w:rsid w:val="5256A6FB"/>
    <w:rsid w:val="52580CAD"/>
    <w:rsid w:val="52628278"/>
    <w:rsid w:val="52644B96"/>
    <w:rsid w:val="526996F7"/>
    <w:rsid w:val="527E09A6"/>
    <w:rsid w:val="5299A66F"/>
    <w:rsid w:val="529E4520"/>
    <w:rsid w:val="52A1859A"/>
    <w:rsid w:val="52A5682D"/>
    <w:rsid w:val="52A748D2"/>
    <w:rsid w:val="52A7CF32"/>
    <w:rsid w:val="52BE27EF"/>
    <w:rsid w:val="52C38FCE"/>
    <w:rsid w:val="52C3C09A"/>
    <w:rsid w:val="52C66FB5"/>
    <w:rsid w:val="52C6EE92"/>
    <w:rsid w:val="52C7B367"/>
    <w:rsid w:val="52D0EA7B"/>
    <w:rsid w:val="52D1A665"/>
    <w:rsid w:val="52D1B49E"/>
    <w:rsid w:val="52D21FAB"/>
    <w:rsid w:val="52D574C1"/>
    <w:rsid w:val="52D7610B"/>
    <w:rsid w:val="52D76E74"/>
    <w:rsid w:val="52DAEEEE"/>
    <w:rsid w:val="52DC7259"/>
    <w:rsid w:val="52E215E4"/>
    <w:rsid w:val="52E37C38"/>
    <w:rsid w:val="52E79C46"/>
    <w:rsid w:val="52EE7704"/>
    <w:rsid w:val="52EEACA6"/>
    <w:rsid w:val="52F0A915"/>
    <w:rsid w:val="52FEB412"/>
    <w:rsid w:val="5300DB2A"/>
    <w:rsid w:val="5303D4D2"/>
    <w:rsid w:val="5309253B"/>
    <w:rsid w:val="530C884C"/>
    <w:rsid w:val="531633E7"/>
    <w:rsid w:val="53212099"/>
    <w:rsid w:val="53247ED0"/>
    <w:rsid w:val="53282D65"/>
    <w:rsid w:val="53286316"/>
    <w:rsid w:val="532957D3"/>
    <w:rsid w:val="53336693"/>
    <w:rsid w:val="534264F8"/>
    <w:rsid w:val="53479135"/>
    <w:rsid w:val="534906FA"/>
    <w:rsid w:val="534AA3E5"/>
    <w:rsid w:val="535B5FD3"/>
    <w:rsid w:val="536D5301"/>
    <w:rsid w:val="536F8994"/>
    <w:rsid w:val="537120CD"/>
    <w:rsid w:val="5376E2C2"/>
    <w:rsid w:val="53818C47"/>
    <w:rsid w:val="538865E5"/>
    <w:rsid w:val="538BD6FC"/>
    <w:rsid w:val="5391183E"/>
    <w:rsid w:val="53939A0F"/>
    <w:rsid w:val="53A54C20"/>
    <w:rsid w:val="53A6F4C3"/>
    <w:rsid w:val="53A9AAE7"/>
    <w:rsid w:val="53AD6618"/>
    <w:rsid w:val="53BA4E44"/>
    <w:rsid w:val="53BA705F"/>
    <w:rsid w:val="53BCEC52"/>
    <w:rsid w:val="53C40835"/>
    <w:rsid w:val="53C9480C"/>
    <w:rsid w:val="53CBDB9A"/>
    <w:rsid w:val="53CD4387"/>
    <w:rsid w:val="53CE627B"/>
    <w:rsid w:val="53D4BD3A"/>
    <w:rsid w:val="53E53BEF"/>
    <w:rsid w:val="53E8BC15"/>
    <w:rsid w:val="53EB76C8"/>
    <w:rsid w:val="53EDB9E6"/>
    <w:rsid w:val="53EFFB2B"/>
    <w:rsid w:val="53F4A3ED"/>
    <w:rsid w:val="53F8B79F"/>
    <w:rsid w:val="53F91318"/>
    <w:rsid w:val="53FF1C2C"/>
    <w:rsid w:val="54007FF2"/>
    <w:rsid w:val="54013A8F"/>
    <w:rsid w:val="54059604"/>
    <w:rsid w:val="540662CF"/>
    <w:rsid w:val="540794E5"/>
    <w:rsid w:val="5409E498"/>
    <w:rsid w:val="540AC401"/>
    <w:rsid w:val="540C3CD6"/>
    <w:rsid w:val="54120D08"/>
    <w:rsid w:val="541F7B10"/>
    <w:rsid w:val="542370E5"/>
    <w:rsid w:val="54305320"/>
    <w:rsid w:val="54326446"/>
    <w:rsid w:val="543C56F5"/>
    <w:rsid w:val="543D006A"/>
    <w:rsid w:val="543DDAD8"/>
    <w:rsid w:val="543E7FEA"/>
    <w:rsid w:val="54475A9C"/>
    <w:rsid w:val="544791AA"/>
    <w:rsid w:val="54492E27"/>
    <w:rsid w:val="544FC153"/>
    <w:rsid w:val="544FCAE2"/>
    <w:rsid w:val="545017F5"/>
    <w:rsid w:val="54505A3B"/>
    <w:rsid w:val="5453BB43"/>
    <w:rsid w:val="5453D5FD"/>
    <w:rsid w:val="5454D30A"/>
    <w:rsid w:val="54582EFD"/>
    <w:rsid w:val="545F4E26"/>
    <w:rsid w:val="5460992B"/>
    <w:rsid w:val="5462F144"/>
    <w:rsid w:val="54636141"/>
    <w:rsid w:val="54676B18"/>
    <w:rsid w:val="546E9467"/>
    <w:rsid w:val="54706E61"/>
    <w:rsid w:val="547A9C06"/>
    <w:rsid w:val="54841BDE"/>
    <w:rsid w:val="5484391B"/>
    <w:rsid w:val="5486CC9E"/>
    <w:rsid w:val="5492392F"/>
    <w:rsid w:val="54935480"/>
    <w:rsid w:val="5493EFE4"/>
    <w:rsid w:val="549CD2D7"/>
    <w:rsid w:val="54A47CBB"/>
    <w:rsid w:val="54A561A4"/>
    <w:rsid w:val="54A834DD"/>
    <w:rsid w:val="54A888F6"/>
    <w:rsid w:val="54B7CD8E"/>
    <w:rsid w:val="54BC2321"/>
    <w:rsid w:val="54C1CFE7"/>
    <w:rsid w:val="54C6B2E6"/>
    <w:rsid w:val="54C7FD95"/>
    <w:rsid w:val="54D069BE"/>
    <w:rsid w:val="54E1F5C1"/>
    <w:rsid w:val="54E347C5"/>
    <w:rsid w:val="54E7DEA5"/>
    <w:rsid w:val="54EDD2F2"/>
    <w:rsid w:val="54EF4165"/>
    <w:rsid w:val="54F40BB6"/>
    <w:rsid w:val="54F51B04"/>
    <w:rsid w:val="54FF0C2C"/>
    <w:rsid w:val="5500E389"/>
    <w:rsid w:val="5501469A"/>
    <w:rsid w:val="5506AB7B"/>
    <w:rsid w:val="550F79EF"/>
    <w:rsid w:val="551988C3"/>
    <w:rsid w:val="5522C00C"/>
    <w:rsid w:val="5524C579"/>
    <w:rsid w:val="552771A9"/>
    <w:rsid w:val="5528C26C"/>
    <w:rsid w:val="552C4CAE"/>
    <w:rsid w:val="553174F6"/>
    <w:rsid w:val="553A23ED"/>
    <w:rsid w:val="553A8C5C"/>
    <w:rsid w:val="553C8EDD"/>
    <w:rsid w:val="5542B164"/>
    <w:rsid w:val="55430805"/>
    <w:rsid w:val="554AE5B5"/>
    <w:rsid w:val="554B3BC4"/>
    <w:rsid w:val="554B97E4"/>
    <w:rsid w:val="554BDBF9"/>
    <w:rsid w:val="555C1A00"/>
    <w:rsid w:val="556BAD22"/>
    <w:rsid w:val="556C536B"/>
    <w:rsid w:val="5570520A"/>
    <w:rsid w:val="5573B6CC"/>
    <w:rsid w:val="557552BA"/>
    <w:rsid w:val="5579E60A"/>
    <w:rsid w:val="557C319D"/>
    <w:rsid w:val="557E6ABF"/>
    <w:rsid w:val="558D096B"/>
    <w:rsid w:val="55939A03"/>
    <w:rsid w:val="559A0688"/>
    <w:rsid w:val="559C3FC3"/>
    <w:rsid w:val="55A6AFAB"/>
    <w:rsid w:val="55AD9039"/>
    <w:rsid w:val="55AEF72A"/>
    <w:rsid w:val="55AFDEB6"/>
    <w:rsid w:val="55B52001"/>
    <w:rsid w:val="55B709EF"/>
    <w:rsid w:val="55BA80B2"/>
    <w:rsid w:val="55BCE70C"/>
    <w:rsid w:val="55C39946"/>
    <w:rsid w:val="55C5EB50"/>
    <w:rsid w:val="55C703D7"/>
    <w:rsid w:val="55CAD81E"/>
    <w:rsid w:val="55CF1902"/>
    <w:rsid w:val="55D149C0"/>
    <w:rsid w:val="55D159DC"/>
    <w:rsid w:val="55D46EC7"/>
    <w:rsid w:val="55EBDBFE"/>
    <w:rsid w:val="55EDCE08"/>
    <w:rsid w:val="55F2AF05"/>
    <w:rsid w:val="55F451BB"/>
    <w:rsid w:val="55F6E90A"/>
    <w:rsid w:val="55F807B2"/>
    <w:rsid w:val="55FAAF40"/>
    <w:rsid w:val="55FBDADE"/>
    <w:rsid w:val="55FCD69A"/>
    <w:rsid w:val="55FD049C"/>
    <w:rsid w:val="55FF3868"/>
    <w:rsid w:val="5602CD95"/>
    <w:rsid w:val="5608A5B4"/>
    <w:rsid w:val="5618357F"/>
    <w:rsid w:val="561EEBD5"/>
    <w:rsid w:val="56212A79"/>
    <w:rsid w:val="562B1736"/>
    <w:rsid w:val="562B32C9"/>
    <w:rsid w:val="562D33DA"/>
    <w:rsid w:val="562E0A57"/>
    <w:rsid w:val="562FCBB2"/>
    <w:rsid w:val="56325870"/>
    <w:rsid w:val="56359352"/>
    <w:rsid w:val="563629B3"/>
    <w:rsid w:val="563897BF"/>
    <w:rsid w:val="563A9F66"/>
    <w:rsid w:val="563C2362"/>
    <w:rsid w:val="563E6190"/>
    <w:rsid w:val="563EC78E"/>
    <w:rsid w:val="5640923B"/>
    <w:rsid w:val="564130AC"/>
    <w:rsid w:val="56459A0B"/>
    <w:rsid w:val="5648A6A7"/>
    <w:rsid w:val="564B1E18"/>
    <w:rsid w:val="5650CD55"/>
    <w:rsid w:val="56510514"/>
    <w:rsid w:val="56550B04"/>
    <w:rsid w:val="56599E73"/>
    <w:rsid w:val="5659F252"/>
    <w:rsid w:val="565A18B1"/>
    <w:rsid w:val="565A27BA"/>
    <w:rsid w:val="565BB198"/>
    <w:rsid w:val="56618452"/>
    <w:rsid w:val="566432E6"/>
    <w:rsid w:val="5667D2EF"/>
    <w:rsid w:val="5675ED26"/>
    <w:rsid w:val="567823F8"/>
    <w:rsid w:val="567A91AF"/>
    <w:rsid w:val="56816538"/>
    <w:rsid w:val="56834103"/>
    <w:rsid w:val="5687A205"/>
    <w:rsid w:val="56891A53"/>
    <w:rsid w:val="568BFE81"/>
    <w:rsid w:val="568C6914"/>
    <w:rsid w:val="568F30EA"/>
    <w:rsid w:val="56991FA5"/>
    <w:rsid w:val="5699BFF5"/>
    <w:rsid w:val="569CEAF5"/>
    <w:rsid w:val="56A2D84D"/>
    <w:rsid w:val="56A63FF2"/>
    <w:rsid w:val="56A7D0E7"/>
    <w:rsid w:val="56AC7F3D"/>
    <w:rsid w:val="56AF8333"/>
    <w:rsid w:val="56B43B23"/>
    <w:rsid w:val="56B6653E"/>
    <w:rsid w:val="56B68A97"/>
    <w:rsid w:val="56BAB70B"/>
    <w:rsid w:val="56BB6322"/>
    <w:rsid w:val="56BB6803"/>
    <w:rsid w:val="56C55D85"/>
    <w:rsid w:val="56CBDA0A"/>
    <w:rsid w:val="56D24C3E"/>
    <w:rsid w:val="56DA8BCF"/>
    <w:rsid w:val="56DC368E"/>
    <w:rsid w:val="56DEA0AF"/>
    <w:rsid w:val="56E258E7"/>
    <w:rsid w:val="56E9E047"/>
    <w:rsid w:val="56EA8F0D"/>
    <w:rsid w:val="56EDF97E"/>
    <w:rsid w:val="56F07E03"/>
    <w:rsid w:val="56F23548"/>
    <w:rsid w:val="56F49E21"/>
    <w:rsid w:val="56F5C085"/>
    <w:rsid w:val="56F964B3"/>
    <w:rsid w:val="56F9D394"/>
    <w:rsid w:val="56FE1349"/>
    <w:rsid w:val="56FF16A3"/>
    <w:rsid w:val="5700CC73"/>
    <w:rsid w:val="5704A614"/>
    <w:rsid w:val="570581F2"/>
    <w:rsid w:val="57059E40"/>
    <w:rsid w:val="5707FE28"/>
    <w:rsid w:val="5709482A"/>
    <w:rsid w:val="570B29A2"/>
    <w:rsid w:val="570BECD8"/>
    <w:rsid w:val="570D2D85"/>
    <w:rsid w:val="5710C566"/>
    <w:rsid w:val="57157F94"/>
    <w:rsid w:val="5723BA59"/>
    <w:rsid w:val="5729ECF0"/>
    <w:rsid w:val="573C8D24"/>
    <w:rsid w:val="573CEA8A"/>
    <w:rsid w:val="573D5188"/>
    <w:rsid w:val="57412402"/>
    <w:rsid w:val="5747E07C"/>
    <w:rsid w:val="574BBBCD"/>
    <w:rsid w:val="574C8A6C"/>
    <w:rsid w:val="574D5D19"/>
    <w:rsid w:val="575C8EF8"/>
    <w:rsid w:val="57615BD9"/>
    <w:rsid w:val="57641989"/>
    <w:rsid w:val="576C7960"/>
    <w:rsid w:val="576FDC0F"/>
    <w:rsid w:val="57700BE0"/>
    <w:rsid w:val="57716D10"/>
    <w:rsid w:val="5775552C"/>
    <w:rsid w:val="57780A8A"/>
    <w:rsid w:val="577E1AF8"/>
    <w:rsid w:val="577E8851"/>
    <w:rsid w:val="5780966C"/>
    <w:rsid w:val="5781895D"/>
    <w:rsid w:val="5786BDB0"/>
    <w:rsid w:val="57876A0D"/>
    <w:rsid w:val="578AFEA8"/>
    <w:rsid w:val="579BF59B"/>
    <w:rsid w:val="579CF292"/>
    <w:rsid w:val="57A3CBFD"/>
    <w:rsid w:val="57A51E52"/>
    <w:rsid w:val="57A9BE6A"/>
    <w:rsid w:val="57AC4410"/>
    <w:rsid w:val="57B12676"/>
    <w:rsid w:val="57BB03B1"/>
    <w:rsid w:val="57BF88A5"/>
    <w:rsid w:val="57C4BBF8"/>
    <w:rsid w:val="57D77776"/>
    <w:rsid w:val="57DAF198"/>
    <w:rsid w:val="57EDE0A2"/>
    <w:rsid w:val="57F06E10"/>
    <w:rsid w:val="57F23A07"/>
    <w:rsid w:val="57FDF5D3"/>
    <w:rsid w:val="57FED70F"/>
    <w:rsid w:val="57FF7CE6"/>
    <w:rsid w:val="58015DFB"/>
    <w:rsid w:val="580CFFD3"/>
    <w:rsid w:val="580EC1AB"/>
    <w:rsid w:val="5815D122"/>
    <w:rsid w:val="582A08F8"/>
    <w:rsid w:val="582B84D1"/>
    <w:rsid w:val="582C0A5E"/>
    <w:rsid w:val="5830FA15"/>
    <w:rsid w:val="58341B62"/>
    <w:rsid w:val="583E5F78"/>
    <w:rsid w:val="583F0021"/>
    <w:rsid w:val="58409943"/>
    <w:rsid w:val="58413C26"/>
    <w:rsid w:val="58434242"/>
    <w:rsid w:val="584470EC"/>
    <w:rsid w:val="584766EF"/>
    <w:rsid w:val="5847B43E"/>
    <w:rsid w:val="584A1A01"/>
    <w:rsid w:val="584EA50B"/>
    <w:rsid w:val="58509BB6"/>
    <w:rsid w:val="585247F4"/>
    <w:rsid w:val="58543DF1"/>
    <w:rsid w:val="58552783"/>
    <w:rsid w:val="585CBCAF"/>
    <w:rsid w:val="585F34C9"/>
    <w:rsid w:val="5867B135"/>
    <w:rsid w:val="58686EBF"/>
    <w:rsid w:val="58690272"/>
    <w:rsid w:val="586D55DE"/>
    <w:rsid w:val="5870ADBB"/>
    <w:rsid w:val="5871CD87"/>
    <w:rsid w:val="587BBF58"/>
    <w:rsid w:val="587D1F8F"/>
    <w:rsid w:val="588434CA"/>
    <w:rsid w:val="58852F96"/>
    <w:rsid w:val="58877053"/>
    <w:rsid w:val="589159EB"/>
    <w:rsid w:val="589ABC68"/>
    <w:rsid w:val="589BBEB4"/>
    <w:rsid w:val="58A00895"/>
    <w:rsid w:val="58A3E286"/>
    <w:rsid w:val="58A5DFA7"/>
    <w:rsid w:val="58AF0592"/>
    <w:rsid w:val="58B18A9B"/>
    <w:rsid w:val="58C2B7F0"/>
    <w:rsid w:val="58C9B285"/>
    <w:rsid w:val="58CB0D5B"/>
    <w:rsid w:val="58CE2EDB"/>
    <w:rsid w:val="58D32865"/>
    <w:rsid w:val="58D36452"/>
    <w:rsid w:val="58D4E8AF"/>
    <w:rsid w:val="58D9D287"/>
    <w:rsid w:val="58DBF380"/>
    <w:rsid w:val="58E243EF"/>
    <w:rsid w:val="58E5772B"/>
    <w:rsid w:val="58EE457F"/>
    <w:rsid w:val="58EE975B"/>
    <w:rsid w:val="58F32EE0"/>
    <w:rsid w:val="58F55E30"/>
    <w:rsid w:val="58F90578"/>
    <w:rsid w:val="5901C221"/>
    <w:rsid w:val="5902E5AF"/>
    <w:rsid w:val="5903FD3D"/>
    <w:rsid w:val="5904F362"/>
    <w:rsid w:val="59054B4D"/>
    <w:rsid w:val="59097C95"/>
    <w:rsid w:val="59114A18"/>
    <w:rsid w:val="5915A983"/>
    <w:rsid w:val="5918E8A8"/>
    <w:rsid w:val="591E69E0"/>
    <w:rsid w:val="591F57AE"/>
    <w:rsid w:val="5921F80A"/>
    <w:rsid w:val="5922A9B2"/>
    <w:rsid w:val="592B2708"/>
    <w:rsid w:val="5930356D"/>
    <w:rsid w:val="59310AE3"/>
    <w:rsid w:val="59331615"/>
    <w:rsid w:val="59345AE4"/>
    <w:rsid w:val="593AB0F9"/>
    <w:rsid w:val="5940557A"/>
    <w:rsid w:val="5942CFFF"/>
    <w:rsid w:val="594443D2"/>
    <w:rsid w:val="5944D991"/>
    <w:rsid w:val="5948814E"/>
    <w:rsid w:val="59490CA3"/>
    <w:rsid w:val="59497DA3"/>
    <w:rsid w:val="594D1F38"/>
    <w:rsid w:val="595E7B74"/>
    <w:rsid w:val="59699962"/>
    <w:rsid w:val="59765537"/>
    <w:rsid w:val="597E4874"/>
    <w:rsid w:val="598401BF"/>
    <w:rsid w:val="598B77A5"/>
    <w:rsid w:val="598F5485"/>
    <w:rsid w:val="5994ACB1"/>
    <w:rsid w:val="5996E679"/>
    <w:rsid w:val="599DE7F1"/>
    <w:rsid w:val="599F8FCA"/>
    <w:rsid w:val="59A08C65"/>
    <w:rsid w:val="59A8AEAC"/>
    <w:rsid w:val="59ACCC79"/>
    <w:rsid w:val="59B3658B"/>
    <w:rsid w:val="59B778DC"/>
    <w:rsid w:val="59BB28AD"/>
    <w:rsid w:val="59C31DAF"/>
    <w:rsid w:val="59C3E628"/>
    <w:rsid w:val="59C3FC38"/>
    <w:rsid w:val="59C60FA0"/>
    <w:rsid w:val="59C663CB"/>
    <w:rsid w:val="59C6847E"/>
    <w:rsid w:val="59C8AC6C"/>
    <w:rsid w:val="59CB7A7A"/>
    <w:rsid w:val="59CE60CD"/>
    <w:rsid w:val="59CFF5D6"/>
    <w:rsid w:val="59D1DB3F"/>
    <w:rsid w:val="59D25675"/>
    <w:rsid w:val="59D5DC09"/>
    <w:rsid w:val="59DCE8B2"/>
    <w:rsid w:val="59DF4851"/>
    <w:rsid w:val="59E9DBF0"/>
    <w:rsid w:val="59EAEF89"/>
    <w:rsid w:val="59F1D9B2"/>
    <w:rsid w:val="59F6121B"/>
    <w:rsid w:val="5A00A720"/>
    <w:rsid w:val="5A0D3154"/>
    <w:rsid w:val="5A1FF17F"/>
    <w:rsid w:val="5A234BBA"/>
    <w:rsid w:val="5A23E7EB"/>
    <w:rsid w:val="5A2E5FB9"/>
    <w:rsid w:val="5A31FD4F"/>
    <w:rsid w:val="5A33378E"/>
    <w:rsid w:val="5A347E6C"/>
    <w:rsid w:val="5A3E1A89"/>
    <w:rsid w:val="5A3F1530"/>
    <w:rsid w:val="5A41518D"/>
    <w:rsid w:val="5A4B5CB7"/>
    <w:rsid w:val="5A4F2C78"/>
    <w:rsid w:val="5A4F7651"/>
    <w:rsid w:val="5A530DA8"/>
    <w:rsid w:val="5A5E7F2A"/>
    <w:rsid w:val="5A5FCE6F"/>
    <w:rsid w:val="5A603FBA"/>
    <w:rsid w:val="5A6214FC"/>
    <w:rsid w:val="5A6A8684"/>
    <w:rsid w:val="5A6C47BF"/>
    <w:rsid w:val="5A6F4EEE"/>
    <w:rsid w:val="5A70BAE6"/>
    <w:rsid w:val="5A7113F1"/>
    <w:rsid w:val="5A7A6D07"/>
    <w:rsid w:val="5A7BE828"/>
    <w:rsid w:val="5A7D3244"/>
    <w:rsid w:val="5A825D81"/>
    <w:rsid w:val="5A867E6D"/>
    <w:rsid w:val="5A87C049"/>
    <w:rsid w:val="5A8B09D8"/>
    <w:rsid w:val="5A8C1B22"/>
    <w:rsid w:val="5A92D58A"/>
    <w:rsid w:val="5A93F34F"/>
    <w:rsid w:val="5A987C22"/>
    <w:rsid w:val="5AAF42A3"/>
    <w:rsid w:val="5AB51449"/>
    <w:rsid w:val="5AB5D52F"/>
    <w:rsid w:val="5AB6955A"/>
    <w:rsid w:val="5AB77C34"/>
    <w:rsid w:val="5AC0A0D7"/>
    <w:rsid w:val="5AC1FB50"/>
    <w:rsid w:val="5AC8E743"/>
    <w:rsid w:val="5AD0CD3A"/>
    <w:rsid w:val="5AD47AB2"/>
    <w:rsid w:val="5AD8AF78"/>
    <w:rsid w:val="5ADF948B"/>
    <w:rsid w:val="5ADFB8DD"/>
    <w:rsid w:val="5ADFD1E5"/>
    <w:rsid w:val="5AE065D5"/>
    <w:rsid w:val="5AE0BE36"/>
    <w:rsid w:val="5AE13C60"/>
    <w:rsid w:val="5AE1B143"/>
    <w:rsid w:val="5AE309CD"/>
    <w:rsid w:val="5AE3321D"/>
    <w:rsid w:val="5AE406B1"/>
    <w:rsid w:val="5AE829FA"/>
    <w:rsid w:val="5AE83584"/>
    <w:rsid w:val="5AEB32DE"/>
    <w:rsid w:val="5AECFBB6"/>
    <w:rsid w:val="5AED86CF"/>
    <w:rsid w:val="5AEFB024"/>
    <w:rsid w:val="5AF4856E"/>
    <w:rsid w:val="5AFCD3A2"/>
    <w:rsid w:val="5AFD57F5"/>
    <w:rsid w:val="5AFFDE43"/>
    <w:rsid w:val="5B0469E7"/>
    <w:rsid w:val="5B07C805"/>
    <w:rsid w:val="5B0842CA"/>
    <w:rsid w:val="5B0B3665"/>
    <w:rsid w:val="5B0E51B1"/>
    <w:rsid w:val="5B182E01"/>
    <w:rsid w:val="5B259037"/>
    <w:rsid w:val="5B33BB8F"/>
    <w:rsid w:val="5B449A87"/>
    <w:rsid w:val="5B45C04E"/>
    <w:rsid w:val="5B47F75F"/>
    <w:rsid w:val="5B4D4236"/>
    <w:rsid w:val="5B539E6B"/>
    <w:rsid w:val="5B566DBD"/>
    <w:rsid w:val="5B614854"/>
    <w:rsid w:val="5B66F223"/>
    <w:rsid w:val="5B6845CE"/>
    <w:rsid w:val="5B6D44A4"/>
    <w:rsid w:val="5B6E1110"/>
    <w:rsid w:val="5B718A40"/>
    <w:rsid w:val="5B7A7EB3"/>
    <w:rsid w:val="5B8937DF"/>
    <w:rsid w:val="5B8DB7CB"/>
    <w:rsid w:val="5B8F9251"/>
    <w:rsid w:val="5B975EAB"/>
    <w:rsid w:val="5B9D502A"/>
    <w:rsid w:val="5B9F2A7B"/>
    <w:rsid w:val="5B9FA27A"/>
    <w:rsid w:val="5BA5B658"/>
    <w:rsid w:val="5BA70744"/>
    <w:rsid w:val="5BABB759"/>
    <w:rsid w:val="5BAD9BD6"/>
    <w:rsid w:val="5BAEAAD6"/>
    <w:rsid w:val="5BB15669"/>
    <w:rsid w:val="5BB4F9D8"/>
    <w:rsid w:val="5BB5A393"/>
    <w:rsid w:val="5BB652C1"/>
    <w:rsid w:val="5BB65358"/>
    <w:rsid w:val="5BB84A81"/>
    <w:rsid w:val="5BBB568A"/>
    <w:rsid w:val="5BBD630E"/>
    <w:rsid w:val="5BBE7F40"/>
    <w:rsid w:val="5BC1D193"/>
    <w:rsid w:val="5BC3DA6A"/>
    <w:rsid w:val="5BCB1BE3"/>
    <w:rsid w:val="5BCD66EA"/>
    <w:rsid w:val="5BCEC1E2"/>
    <w:rsid w:val="5BD41E81"/>
    <w:rsid w:val="5BD45B5E"/>
    <w:rsid w:val="5BDB0279"/>
    <w:rsid w:val="5BDBD6E3"/>
    <w:rsid w:val="5BDC07AF"/>
    <w:rsid w:val="5BE45C8C"/>
    <w:rsid w:val="5BE4BEBC"/>
    <w:rsid w:val="5BE5C3A3"/>
    <w:rsid w:val="5BE7C978"/>
    <w:rsid w:val="5BFBD144"/>
    <w:rsid w:val="5BFDBB21"/>
    <w:rsid w:val="5BFED3FA"/>
    <w:rsid w:val="5BFF141A"/>
    <w:rsid w:val="5C06BE3F"/>
    <w:rsid w:val="5C09C224"/>
    <w:rsid w:val="5C0D85A1"/>
    <w:rsid w:val="5C1239C9"/>
    <w:rsid w:val="5C13A764"/>
    <w:rsid w:val="5C163972"/>
    <w:rsid w:val="5C23D1EA"/>
    <w:rsid w:val="5C25F8F5"/>
    <w:rsid w:val="5C263E9F"/>
    <w:rsid w:val="5C2686D9"/>
    <w:rsid w:val="5C2A4E22"/>
    <w:rsid w:val="5C2EAB42"/>
    <w:rsid w:val="5C349137"/>
    <w:rsid w:val="5C3C7179"/>
    <w:rsid w:val="5C3DEAFD"/>
    <w:rsid w:val="5C446E99"/>
    <w:rsid w:val="5C461BF0"/>
    <w:rsid w:val="5C4A61C0"/>
    <w:rsid w:val="5C4E5C6E"/>
    <w:rsid w:val="5C526374"/>
    <w:rsid w:val="5C52E9E1"/>
    <w:rsid w:val="5C5D52BB"/>
    <w:rsid w:val="5C5DBE39"/>
    <w:rsid w:val="5C606EF6"/>
    <w:rsid w:val="5C62266A"/>
    <w:rsid w:val="5C6471C1"/>
    <w:rsid w:val="5C68D9D1"/>
    <w:rsid w:val="5C6A1AA7"/>
    <w:rsid w:val="5C6B6453"/>
    <w:rsid w:val="5C6E6909"/>
    <w:rsid w:val="5C70C9F0"/>
    <w:rsid w:val="5C79AAD4"/>
    <w:rsid w:val="5C7DD9C5"/>
    <w:rsid w:val="5C7E450B"/>
    <w:rsid w:val="5C880FE3"/>
    <w:rsid w:val="5C893AE3"/>
    <w:rsid w:val="5C925C62"/>
    <w:rsid w:val="5C92990B"/>
    <w:rsid w:val="5C96AA33"/>
    <w:rsid w:val="5C9ADCC2"/>
    <w:rsid w:val="5CA11F10"/>
    <w:rsid w:val="5CAC29DF"/>
    <w:rsid w:val="5CBD2137"/>
    <w:rsid w:val="5CBE2A76"/>
    <w:rsid w:val="5CBF5002"/>
    <w:rsid w:val="5CC4FE21"/>
    <w:rsid w:val="5CC63C16"/>
    <w:rsid w:val="5CC804E4"/>
    <w:rsid w:val="5CCE9857"/>
    <w:rsid w:val="5CDBCAE3"/>
    <w:rsid w:val="5CDEA877"/>
    <w:rsid w:val="5CDF739C"/>
    <w:rsid w:val="5CDFCC16"/>
    <w:rsid w:val="5CE31D6B"/>
    <w:rsid w:val="5CE5E7AD"/>
    <w:rsid w:val="5CE7D1CA"/>
    <w:rsid w:val="5CE963C7"/>
    <w:rsid w:val="5CE97DFB"/>
    <w:rsid w:val="5CE999B4"/>
    <w:rsid w:val="5CEAE568"/>
    <w:rsid w:val="5CFBA5A1"/>
    <w:rsid w:val="5CFC247E"/>
    <w:rsid w:val="5CFD4CCD"/>
    <w:rsid w:val="5D0644A2"/>
    <w:rsid w:val="5D071385"/>
    <w:rsid w:val="5D08015B"/>
    <w:rsid w:val="5D143EB8"/>
    <w:rsid w:val="5D146D92"/>
    <w:rsid w:val="5D15ED69"/>
    <w:rsid w:val="5D1D1D3A"/>
    <w:rsid w:val="5D2115E1"/>
    <w:rsid w:val="5D21AF14"/>
    <w:rsid w:val="5D2C188A"/>
    <w:rsid w:val="5D2D2CD0"/>
    <w:rsid w:val="5D2FACEE"/>
    <w:rsid w:val="5D32157A"/>
    <w:rsid w:val="5D363EFC"/>
    <w:rsid w:val="5D36D056"/>
    <w:rsid w:val="5D379EC1"/>
    <w:rsid w:val="5D429EEB"/>
    <w:rsid w:val="5D4A7478"/>
    <w:rsid w:val="5D4BE801"/>
    <w:rsid w:val="5D50DEBA"/>
    <w:rsid w:val="5D521B50"/>
    <w:rsid w:val="5D5279D6"/>
    <w:rsid w:val="5D5AC119"/>
    <w:rsid w:val="5D5AEC23"/>
    <w:rsid w:val="5D617949"/>
    <w:rsid w:val="5D63A646"/>
    <w:rsid w:val="5D67A052"/>
    <w:rsid w:val="5D698DD7"/>
    <w:rsid w:val="5D6FB801"/>
    <w:rsid w:val="5D781CE4"/>
    <w:rsid w:val="5D7C1B55"/>
    <w:rsid w:val="5D7E0E2A"/>
    <w:rsid w:val="5D8C1F2E"/>
    <w:rsid w:val="5D8E6D39"/>
    <w:rsid w:val="5D9046C6"/>
    <w:rsid w:val="5D90ADF8"/>
    <w:rsid w:val="5D97E866"/>
    <w:rsid w:val="5D9CDD17"/>
    <w:rsid w:val="5D9E3FB8"/>
    <w:rsid w:val="5DAB7D2D"/>
    <w:rsid w:val="5DABDB6D"/>
    <w:rsid w:val="5DAF8CC1"/>
    <w:rsid w:val="5DB9AFB0"/>
    <w:rsid w:val="5DBB6AF0"/>
    <w:rsid w:val="5DBD6CCB"/>
    <w:rsid w:val="5DBE2C30"/>
    <w:rsid w:val="5DC1E815"/>
    <w:rsid w:val="5DC3FFEE"/>
    <w:rsid w:val="5DC41DC5"/>
    <w:rsid w:val="5DC6E832"/>
    <w:rsid w:val="5DC7AED7"/>
    <w:rsid w:val="5DC933D7"/>
    <w:rsid w:val="5DD1BF26"/>
    <w:rsid w:val="5DD68925"/>
    <w:rsid w:val="5DDBA221"/>
    <w:rsid w:val="5DE8242D"/>
    <w:rsid w:val="5DF08042"/>
    <w:rsid w:val="5DF09E34"/>
    <w:rsid w:val="5DF4AEF6"/>
    <w:rsid w:val="5DF7600A"/>
    <w:rsid w:val="5DF77440"/>
    <w:rsid w:val="5DF80D44"/>
    <w:rsid w:val="5DFC7133"/>
    <w:rsid w:val="5E010F2F"/>
    <w:rsid w:val="5E06A25C"/>
    <w:rsid w:val="5E08B507"/>
    <w:rsid w:val="5E09C5A3"/>
    <w:rsid w:val="5E0DE3A8"/>
    <w:rsid w:val="5E10CD09"/>
    <w:rsid w:val="5E136465"/>
    <w:rsid w:val="5E1400B3"/>
    <w:rsid w:val="5E14FBF1"/>
    <w:rsid w:val="5E16057F"/>
    <w:rsid w:val="5E17145D"/>
    <w:rsid w:val="5E1787CD"/>
    <w:rsid w:val="5E18DDA9"/>
    <w:rsid w:val="5E1AA16B"/>
    <w:rsid w:val="5E2AA035"/>
    <w:rsid w:val="5E2ABC19"/>
    <w:rsid w:val="5E2D8DA6"/>
    <w:rsid w:val="5E2DF910"/>
    <w:rsid w:val="5E374110"/>
    <w:rsid w:val="5E3A9969"/>
    <w:rsid w:val="5E4671DB"/>
    <w:rsid w:val="5E4F2867"/>
    <w:rsid w:val="5E518F67"/>
    <w:rsid w:val="5E5281B9"/>
    <w:rsid w:val="5E567650"/>
    <w:rsid w:val="5E5A8EA0"/>
    <w:rsid w:val="5E612E8D"/>
    <w:rsid w:val="5E623D45"/>
    <w:rsid w:val="5E625101"/>
    <w:rsid w:val="5E645CBE"/>
    <w:rsid w:val="5E652740"/>
    <w:rsid w:val="5E65A62B"/>
    <w:rsid w:val="5E678BE1"/>
    <w:rsid w:val="5E6ACA69"/>
    <w:rsid w:val="5E6C88BB"/>
    <w:rsid w:val="5E6FB0EE"/>
    <w:rsid w:val="5E70BF62"/>
    <w:rsid w:val="5E7129D7"/>
    <w:rsid w:val="5E731B5F"/>
    <w:rsid w:val="5E789C25"/>
    <w:rsid w:val="5E7B196A"/>
    <w:rsid w:val="5E82A3E4"/>
    <w:rsid w:val="5E89D39D"/>
    <w:rsid w:val="5E8A0D25"/>
    <w:rsid w:val="5E8A6F34"/>
    <w:rsid w:val="5E8BFD43"/>
    <w:rsid w:val="5E8C18E1"/>
    <w:rsid w:val="5E915F5B"/>
    <w:rsid w:val="5E964A09"/>
    <w:rsid w:val="5E999EA2"/>
    <w:rsid w:val="5EA33380"/>
    <w:rsid w:val="5EA7215F"/>
    <w:rsid w:val="5EB5D1C7"/>
    <w:rsid w:val="5EB9DBAA"/>
    <w:rsid w:val="5EBDC584"/>
    <w:rsid w:val="5EC1533F"/>
    <w:rsid w:val="5EC269FC"/>
    <w:rsid w:val="5EC963F6"/>
    <w:rsid w:val="5ECD142B"/>
    <w:rsid w:val="5ECDDB6B"/>
    <w:rsid w:val="5ED28CED"/>
    <w:rsid w:val="5ED3A7A3"/>
    <w:rsid w:val="5ED46F37"/>
    <w:rsid w:val="5EDA552B"/>
    <w:rsid w:val="5EDCBFBC"/>
    <w:rsid w:val="5EDE3CAD"/>
    <w:rsid w:val="5EDF4FA8"/>
    <w:rsid w:val="5EE1D2A7"/>
    <w:rsid w:val="5EE26B7F"/>
    <w:rsid w:val="5EE5227F"/>
    <w:rsid w:val="5EEC1497"/>
    <w:rsid w:val="5EF1BFF5"/>
    <w:rsid w:val="5F04A356"/>
    <w:rsid w:val="5F083C8C"/>
    <w:rsid w:val="5F0C7791"/>
    <w:rsid w:val="5F110FAF"/>
    <w:rsid w:val="5F12D4E9"/>
    <w:rsid w:val="5F149CF1"/>
    <w:rsid w:val="5F19E537"/>
    <w:rsid w:val="5F1C739A"/>
    <w:rsid w:val="5F1C7540"/>
    <w:rsid w:val="5F2215E4"/>
    <w:rsid w:val="5F249E69"/>
    <w:rsid w:val="5F26B13D"/>
    <w:rsid w:val="5F2A982D"/>
    <w:rsid w:val="5F2AA68A"/>
    <w:rsid w:val="5F2E1514"/>
    <w:rsid w:val="5F2EED9B"/>
    <w:rsid w:val="5F2F2DC1"/>
    <w:rsid w:val="5F30A8B6"/>
    <w:rsid w:val="5F39BE12"/>
    <w:rsid w:val="5F3B3939"/>
    <w:rsid w:val="5F3B64A3"/>
    <w:rsid w:val="5F41086E"/>
    <w:rsid w:val="5F458352"/>
    <w:rsid w:val="5F462158"/>
    <w:rsid w:val="5F492587"/>
    <w:rsid w:val="5F4E6229"/>
    <w:rsid w:val="5F4F02A7"/>
    <w:rsid w:val="5F551B22"/>
    <w:rsid w:val="5F589279"/>
    <w:rsid w:val="5F690E6D"/>
    <w:rsid w:val="5F6F8A00"/>
    <w:rsid w:val="5F70BB16"/>
    <w:rsid w:val="5F725759"/>
    <w:rsid w:val="5F727FB4"/>
    <w:rsid w:val="5F7781F8"/>
    <w:rsid w:val="5F7A79FA"/>
    <w:rsid w:val="5F7AAD1A"/>
    <w:rsid w:val="5F7AE1B3"/>
    <w:rsid w:val="5F7EDAB5"/>
    <w:rsid w:val="5F7F978C"/>
    <w:rsid w:val="5F82F71D"/>
    <w:rsid w:val="5F843782"/>
    <w:rsid w:val="5F845F04"/>
    <w:rsid w:val="5F854861"/>
    <w:rsid w:val="5F858F5C"/>
    <w:rsid w:val="5F877709"/>
    <w:rsid w:val="5F8B2C0D"/>
    <w:rsid w:val="5F8C1EC9"/>
    <w:rsid w:val="5F8D4656"/>
    <w:rsid w:val="5F98E8C8"/>
    <w:rsid w:val="5F9C435F"/>
    <w:rsid w:val="5FA1F1F5"/>
    <w:rsid w:val="5FA2D7FE"/>
    <w:rsid w:val="5FA3400D"/>
    <w:rsid w:val="5FA3E0C3"/>
    <w:rsid w:val="5FA431B4"/>
    <w:rsid w:val="5FA73596"/>
    <w:rsid w:val="5FA78E76"/>
    <w:rsid w:val="5FAA99D6"/>
    <w:rsid w:val="5FB2D5ED"/>
    <w:rsid w:val="5FB4676F"/>
    <w:rsid w:val="5FC499A9"/>
    <w:rsid w:val="5FC8FF4E"/>
    <w:rsid w:val="5FC92330"/>
    <w:rsid w:val="5FCAE39D"/>
    <w:rsid w:val="5FCBD2E5"/>
    <w:rsid w:val="5FCF16F0"/>
    <w:rsid w:val="5FD28AB8"/>
    <w:rsid w:val="5FD4D947"/>
    <w:rsid w:val="5FD57B9D"/>
    <w:rsid w:val="5FD89B2D"/>
    <w:rsid w:val="5FE14960"/>
    <w:rsid w:val="5FE15ECA"/>
    <w:rsid w:val="5FE346DC"/>
    <w:rsid w:val="5FE48A45"/>
    <w:rsid w:val="5FE4AEF3"/>
    <w:rsid w:val="5FE5D308"/>
    <w:rsid w:val="5FE8DDE1"/>
    <w:rsid w:val="5FEA57F2"/>
    <w:rsid w:val="5FFA7990"/>
    <w:rsid w:val="5FFCC03C"/>
    <w:rsid w:val="6002DE46"/>
    <w:rsid w:val="600E7C59"/>
    <w:rsid w:val="60134CDC"/>
    <w:rsid w:val="60207735"/>
    <w:rsid w:val="60260BFF"/>
    <w:rsid w:val="6028DBBD"/>
    <w:rsid w:val="602B7198"/>
    <w:rsid w:val="602F31F7"/>
    <w:rsid w:val="60340AB5"/>
    <w:rsid w:val="6034BF4C"/>
    <w:rsid w:val="6034F74A"/>
    <w:rsid w:val="6037F522"/>
    <w:rsid w:val="603B1CD4"/>
    <w:rsid w:val="603CCCAC"/>
    <w:rsid w:val="60421F7F"/>
    <w:rsid w:val="6042BDA3"/>
    <w:rsid w:val="6046C983"/>
    <w:rsid w:val="6049359B"/>
    <w:rsid w:val="60494490"/>
    <w:rsid w:val="604BB8BA"/>
    <w:rsid w:val="604C2F0F"/>
    <w:rsid w:val="605A8E97"/>
    <w:rsid w:val="605B876D"/>
    <w:rsid w:val="605BFB8D"/>
    <w:rsid w:val="605CADE9"/>
    <w:rsid w:val="605D3A02"/>
    <w:rsid w:val="60657A0F"/>
    <w:rsid w:val="606A6E68"/>
    <w:rsid w:val="60745E02"/>
    <w:rsid w:val="6077E3D9"/>
    <w:rsid w:val="6078ED53"/>
    <w:rsid w:val="6078EF23"/>
    <w:rsid w:val="60826D3E"/>
    <w:rsid w:val="6087D984"/>
    <w:rsid w:val="608FE6E5"/>
    <w:rsid w:val="609192AF"/>
    <w:rsid w:val="60996B53"/>
    <w:rsid w:val="609EB861"/>
    <w:rsid w:val="609F4A87"/>
    <w:rsid w:val="60A5B46F"/>
    <w:rsid w:val="60AC1464"/>
    <w:rsid w:val="60AEA0DA"/>
    <w:rsid w:val="60B2FD13"/>
    <w:rsid w:val="60B45E26"/>
    <w:rsid w:val="60B50A26"/>
    <w:rsid w:val="60B5ADAF"/>
    <w:rsid w:val="60BA9816"/>
    <w:rsid w:val="60BD044F"/>
    <w:rsid w:val="60C02502"/>
    <w:rsid w:val="60C3B54B"/>
    <w:rsid w:val="60C745D5"/>
    <w:rsid w:val="60C7DBA6"/>
    <w:rsid w:val="60CBF42F"/>
    <w:rsid w:val="60CD9374"/>
    <w:rsid w:val="60CE9F98"/>
    <w:rsid w:val="60D49880"/>
    <w:rsid w:val="60D4A79C"/>
    <w:rsid w:val="60D4C157"/>
    <w:rsid w:val="60D6E68D"/>
    <w:rsid w:val="60E042DC"/>
    <w:rsid w:val="60E13758"/>
    <w:rsid w:val="60E1FCE9"/>
    <w:rsid w:val="60E2C92D"/>
    <w:rsid w:val="60E9AD5C"/>
    <w:rsid w:val="60EB4D1B"/>
    <w:rsid w:val="60EBC776"/>
    <w:rsid w:val="60F1BE9B"/>
    <w:rsid w:val="60F1E9AF"/>
    <w:rsid w:val="60F24EB9"/>
    <w:rsid w:val="60F4729B"/>
    <w:rsid w:val="60F591BC"/>
    <w:rsid w:val="60F8B755"/>
    <w:rsid w:val="60F8CF7D"/>
    <w:rsid w:val="60FA2E37"/>
    <w:rsid w:val="60FEF243"/>
    <w:rsid w:val="61033E5B"/>
    <w:rsid w:val="610699BC"/>
    <w:rsid w:val="610D629B"/>
    <w:rsid w:val="610DE8D3"/>
    <w:rsid w:val="610F9561"/>
    <w:rsid w:val="611077A8"/>
    <w:rsid w:val="6110A3E5"/>
    <w:rsid w:val="611E4FF5"/>
    <w:rsid w:val="61257401"/>
    <w:rsid w:val="6126A876"/>
    <w:rsid w:val="612993E6"/>
    <w:rsid w:val="612B18E7"/>
    <w:rsid w:val="612D77D3"/>
    <w:rsid w:val="612FA672"/>
    <w:rsid w:val="61356A25"/>
    <w:rsid w:val="613866E3"/>
    <w:rsid w:val="61397FC0"/>
    <w:rsid w:val="613E3E0D"/>
    <w:rsid w:val="61417307"/>
    <w:rsid w:val="6144B705"/>
    <w:rsid w:val="61465457"/>
    <w:rsid w:val="614C0823"/>
    <w:rsid w:val="614D2072"/>
    <w:rsid w:val="6150A190"/>
    <w:rsid w:val="6153F5BE"/>
    <w:rsid w:val="615840FA"/>
    <w:rsid w:val="6170416A"/>
    <w:rsid w:val="6183505D"/>
    <w:rsid w:val="6187D6DC"/>
    <w:rsid w:val="618DFB30"/>
    <w:rsid w:val="618E2F64"/>
    <w:rsid w:val="61945D3C"/>
    <w:rsid w:val="6195E09F"/>
    <w:rsid w:val="6195F743"/>
    <w:rsid w:val="6198F9CE"/>
    <w:rsid w:val="619E9046"/>
    <w:rsid w:val="61A1CFD5"/>
    <w:rsid w:val="61A94E6A"/>
    <w:rsid w:val="61AAAE3E"/>
    <w:rsid w:val="61AB5931"/>
    <w:rsid w:val="61B21905"/>
    <w:rsid w:val="61BBA3D7"/>
    <w:rsid w:val="61BCC1DA"/>
    <w:rsid w:val="61C085A1"/>
    <w:rsid w:val="61C8719C"/>
    <w:rsid w:val="61CD8DC4"/>
    <w:rsid w:val="61D32402"/>
    <w:rsid w:val="61D3B181"/>
    <w:rsid w:val="61D655E0"/>
    <w:rsid w:val="61D67094"/>
    <w:rsid w:val="61D7855C"/>
    <w:rsid w:val="61D8D05C"/>
    <w:rsid w:val="61DCF241"/>
    <w:rsid w:val="61E0FEBC"/>
    <w:rsid w:val="61E265C1"/>
    <w:rsid w:val="61EFC148"/>
    <w:rsid w:val="61F16BCF"/>
    <w:rsid w:val="61F3DE59"/>
    <w:rsid w:val="61F53F60"/>
    <w:rsid w:val="61F72B79"/>
    <w:rsid w:val="61FDAC4C"/>
    <w:rsid w:val="6200478C"/>
    <w:rsid w:val="620663F2"/>
    <w:rsid w:val="620FF255"/>
    <w:rsid w:val="6211CAD2"/>
    <w:rsid w:val="621838B2"/>
    <w:rsid w:val="6219CB21"/>
    <w:rsid w:val="621FFF4B"/>
    <w:rsid w:val="623092D1"/>
    <w:rsid w:val="62310320"/>
    <w:rsid w:val="6238811E"/>
    <w:rsid w:val="6238C6D7"/>
    <w:rsid w:val="623F167B"/>
    <w:rsid w:val="624118C8"/>
    <w:rsid w:val="624604CD"/>
    <w:rsid w:val="624D2344"/>
    <w:rsid w:val="624D42C5"/>
    <w:rsid w:val="624EF1A6"/>
    <w:rsid w:val="6258DFE0"/>
    <w:rsid w:val="62593F96"/>
    <w:rsid w:val="625F5BE9"/>
    <w:rsid w:val="6261A01F"/>
    <w:rsid w:val="626753CB"/>
    <w:rsid w:val="6268D919"/>
    <w:rsid w:val="626A4B4E"/>
    <w:rsid w:val="626B1526"/>
    <w:rsid w:val="626E14DF"/>
    <w:rsid w:val="6273AE32"/>
    <w:rsid w:val="6273C286"/>
    <w:rsid w:val="627BF88B"/>
    <w:rsid w:val="62810DED"/>
    <w:rsid w:val="62861DE3"/>
    <w:rsid w:val="6289C6D3"/>
    <w:rsid w:val="628C94B0"/>
    <w:rsid w:val="6295E9BB"/>
    <w:rsid w:val="629B1B5B"/>
    <w:rsid w:val="62A242EC"/>
    <w:rsid w:val="62CA4D1C"/>
    <w:rsid w:val="62DA3E39"/>
    <w:rsid w:val="62E1863A"/>
    <w:rsid w:val="62E4C99C"/>
    <w:rsid w:val="62EE57EE"/>
    <w:rsid w:val="62F3ACCC"/>
    <w:rsid w:val="62F4C8A7"/>
    <w:rsid w:val="62F4FFE4"/>
    <w:rsid w:val="62FA520F"/>
    <w:rsid w:val="62FA5375"/>
    <w:rsid w:val="62FAA0A1"/>
    <w:rsid w:val="62FACBFA"/>
    <w:rsid w:val="62FACFCF"/>
    <w:rsid w:val="62FF0D7B"/>
    <w:rsid w:val="6303CD9B"/>
    <w:rsid w:val="630643E5"/>
    <w:rsid w:val="6307494C"/>
    <w:rsid w:val="6307DE08"/>
    <w:rsid w:val="630F5D90"/>
    <w:rsid w:val="6311146B"/>
    <w:rsid w:val="6312C878"/>
    <w:rsid w:val="631383AB"/>
    <w:rsid w:val="63172064"/>
    <w:rsid w:val="6318B094"/>
    <w:rsid w:val="631DBBB7"/>
    <w:rsid w:val="631E143A"/>
    <w:rsid w:val="632071AE"/>
    <w:rsid w:val="6322DFA0"/>
    <w:rsid w:val="632308F7"/>
    <w:rsid w:val="632D42F4"/>
    <w:rsid w:val="63304FBD"/>
    <w:rsid w:val="633118F1"/>
    <w:rsid w:val="63377DAB"/>
    <w:rsid w:val="633C5A4C"/>
    <w:rsid w:val="633D56FD"/>
    <w:rsid w:val="6341052B"/>
    <w:rsid w:val="63431B21"/>
    <w:rsid w:val="63439242"/>
    <w:rsid w:val="6344B88D"/>
    <w:rsid w:val="63485CD2"/>
    <w:rsid w:val="634B8C81"/>
    <w:rsid w:val="6350ECE7"/>
    <w:rsid w:val="635149A0"/>
    <w:rsid w:val="6355B46A"/>
    <w:rsid w:val="6359A9EE"/>
    <w:rsid w:val="635C592D"/>
    <w:rsid w:val="635D6760"/>
    <w:rsid w:val="6360A670"/>
    <w:rsid w:val="6360BD27"/>
    <w:rsid w:val="6361B515"/>
    <w:rsid w:val="6362EBCF"/>
    <w:rsid w:val="6371D63E"/>
    <w:rsid w:val="63727F83"/>
    <w:rsid w:val="63733FAF"/>
    <w:rsid w:val="637626D6"/>
    <w:rsid w:val="6377B872"/>
    <w:rsid w:val="63803669"/>
    <w:rsid w:val="6381D82E"/>
    <w:rsid w:val="63825618"/>
    <w:rsid w:val="638427A9"/>
    <w:rsid w:val="6384D042"/>
    <w:rsid w:val="638503B2"/>
    <w:rsid w:val="638C5E44"/>
    <w:rsid w:val="638F7D04"/>
    <w:rsid w:val="63960AF9"/>
    <w:rsid w:val="63977653"/>
    <w:rsid w:val="63985BC3"/>
    <w:rsid w:val="63996E93"/>
    <w:rsid w:val="639D21E1"/>
    <w:rsid w:val="639D4D09"/>
    <w:rsid w:val="639EFDD8"/>
    <w:rsid w:val="63A00A65"/>
    <w:rsid w:val="63A34B43"/>
    <w:rsid w:val="63A6845E"/>
    <w:rsid w:val="63BD5AAD"/>
    <w:rsid w:val="63C3420F"/>
    <w:rsid w:val="63CBF826"/>
    <w:rsid w:val="63D34605"/>
    <w:rsid w:val="63D4BF54"/>
    <w:rsid w:val="63D62AFE"/>
    <w:rsid w:val="63D6AA97"/>
    <w:rsid w:val="63DA6D17"/>
    <w:rsid w:val="63DF42D1"/>
    <w:rsid w:val="63E2BCE9"/>
    <w:rsid w:val="63E418A0"/>
    <w:rsid w:val="63E8A130"/>
    <w:rsid w:val="63EBCDE0"/>
    <w:rsid w:val="63EE519A"/>
    <w:rsid w:val="63F2FC89"/>
    <w:rsid w:val="63F9598D"/>
    <w:rsid w:val="63FEB192"/>
    <w:rsid w:val="6400478C"/>
    <w:rsid w:val="640A960F"/>
    <w:rsid w:val="640B0314"/>
    <w:rsid w:val="6410CACE"/>
    <w:rsid w:val="641142B3"/>
    <w:rsid w:val="64167E09"/>
    <w:rsid w:val="64177D80"/>
    <w:rsid w:val="6417F48D"/>
    <w:rsid w:val="641D8D91"/>
    <w:rsid w:val="641F9E25"/>
    <w:rsid w:val="642102F3"/>
    <w:rsid w:val="6428FF88"/>
    <w:rsid w:val="642C7EB6"/>
    <w:rsid w:val="643050F8"/>
    <w:rsid w:val="6432D342"/>
    <w:rsid w:val="6435C48D"/>
    <w:rsid w:val="6439B088"/>
    <w:rsid w:val="64443359"/>
    <w:rsid w:val="644AA2F8"/>
    <w:rsid w:val="644D824D"/>
    <w:rsid w:val="644E4CE8"/>
    <w:rsid w:val="644E8E83"/>
    <w:rsid w:val="6450EC0C"/>
    <w:rsid w:val="6451700F"/>
    <w:rsid w:val="6455D048"/>
    <w:rsid w:val="64604852"/>
    <w:rsid w:val="64678C6F"/>
    <w:rsid w:val="646FF981"/>
    <w:rsid w:val="6473AD17"/>
    <w:rsid w:val="647832D4"/>
    <w:rsid w:val="648360EF"/>
    <w:rsid w:val="6486FBBF"/>
    <w:rsid w:val="648C9B90"/>
    <w:rsid w:val="6490E667"/>
    <w:rsid w:val="6492D1E9"/>
    <w:rsid w:val="6493EA57"/>
    <w:rsid w:val="6499DB34"/>
    <w:rsid w:val="6499EAEE"/>
    <w:rsid w:val="649F5F5A"/>
    <w:rsid w:val="64A2F0D0"/>
    <w:rsid w:val="64A645D4"/>
    <w:rsid w:val="64B2C1B7"/>
    <w:rsid w:val="64B53CE8"/>
    <w:rsid w:val="64B57AB5"/>
    <w:rsid w:val="64BCAEF5"/>
    <w:rsid w:val="64BEA1ED"/>
    <w:rsid w:val="64C172C3"/>
    <w:rsid w:val="64C60540"/>
    <w:rsid w:val="64C8909E"/>
    <w:rsid w:val="64D18630"/>
    <w:rsid w:val="64D5341C"/>
    <w:rsid w:val="64D67260"/>
    <w:rsid w:val="64DCB1D5"/>
    <w:rsid w:val="64E03EE0"/>
    <w:rsid w:val="64E9791E"/>
    <w:rsid w:val="64EF7942"/>
    <w:rsid w:val="64F95DEA"/>
    <w:rsid w:val="650501DA"/>
    <w:rsid w:val="650D8F90"/>
    <w:rsid w:val="650F954D"/>
    <w:rsid w:val="6513390B"/>
    <w:rsid w:val="651493D4"/>
    <w:rsid w:val="65253F03"/>
    <w:rsid w:val="6527A379"/>
    <w:rsid w:val="6527BD42"/>
    <w:rsid w:val="652A71C9"/>
    <w:rsid w:val="65300E9F"/>
    <w:rsid w:val="6533E41B"/>
    <w:rsid w:val="6535F090"/>
    <w:rsid w:val="6541B1F2"/>
    <w:rsid w:val="6542E1B9"/>
    <w:rsid w:val="654409D4"/>
    <w:rsid w:val="6545CFFE"/>
    <w:rsid w:val="654CC3B7"/>
    <w:rsid w:val="654DF71B"/>
    <w:rsid w:val="655172CF"/>
    <w:rsid w:val="65561C36"/>
    <w:rsid w:val="6556A5D0"/>
    <w:rsid w:val="655F5FC4"/>
    <w:rsid w:val="655FC408"/>
    <w:rsid w:val="6565DAAB"/>
    <w:rsid w:val="6567B48F"/>
    <w:rsid w:val="656C1FC8"/>
    <w:rsid w:val="65770E33"/>
    <w:rsid w:val="657C86EE"/>
    <w:rsid w:val="657C9D57"/>
    <w:rsid w:val="657D7BC3"/>
    <w:rsid w:val="65829E0A"/>
    <w:rsid w:val="658BC7F7"/>
    <w:rsid w:val="658C92D2"/>
    <w:rsid w:val="658D43AD"/>
    <w:rsid w:val="658F0BDB"/>
    <w:rsid w:val="658F6AA8"/>
    <w:rsid w:val="659F7F81"/>
    <w:rsid w:val="659F95E5"/>
    <w:rsid w:val="65A0C22A"/>
    <w:rsid w:val="65A1FC2F"/>
    <w:rsid w:val="65A45A74"/>
    <w:rsid w:val="65A7CB46"/>
    <w:rsid w:val="65AF7E0F"/>
    <w:rsid w:val="65B42DCE"/>
    <w:rsid w:val="65C0190D"/>
    <w:rsid w:val="65C1EF19"/>
    <w:rsid w:val="65C46502"/>
    <w:rsid w:val="65CA0E61"/>
    <w:rsid w:val="65CC1FA7"/>
    <w:rsid w:val="65CEC7D8"/>
    <w:rsid w:val="65D2D70B"/>
    <w:rsid w:val="65D66926"/>
    <w:rsid w:val="65D76F50"/>
    <w:rsid w:val="65DAD9A5"/>
    <w:rsid w:val="65EB0194"/>
    <w:rsid w:val="65EF7128"/>
    <w:rsid w:val="65F17535"/>
    <w:rsid w:val="65F441C3"/>
    <w:rsid w:val="65F62A7D"/>
    <w:rsid w:val="66039B33"/>
    <w:rsid w:val="66041E33"/>
    <w:rsid w:val="66060A8B"/>
    <w:rsid w:val="660F81EE"/>
    <w:rsid w:val="66148F12"/>
    <w:rsid w:val="661514D4"/>
    <w:rsid w:val="6618F59E"/>
    <w:rsid w:val="661BDCD9"/>
    <w:rsid w:val="661DD67F"/>
    <w:rsid w:val="66204414"/>
    <w:rsid w:val="6624181E"/>
    <w:rsid w:val="6626E453"/>
    <w:rsid w:val="6629DBBB"/>
    <w:rsid w:val="662D337A"/>
    <w:rsid w:val="662E38D4"/>
    <w:rsid w:val="6634053F"/>
    <w:rsid w:val="6636B215"/>
    <w:rsid w:val="6638D12E"/>
    <w:rsid w:val="663AE475"/>
    <w:rsid w:val="663E55A0"/>
    <w:rsid w:val="6643AB4A"/>
    <w:rsid w:val="6643D2D5"/>
    <w:rsid w:val="6646EFDC"/>
    <w:rsid w:val="6649223B"/>
    <w:rsid w:val="66557635"/>
    <w:rsid w:val="665E9E83"/>
    <w:rsid w:val="666098DF"/>
    <w:rsid w:val="6660C082"/>
    <w:rsid w:val="6660ECB4"/>
    <w:rsid w:val="6661EE3C"/>
    <w:rsid w:val="6664E2DD"/>
    <w:rsid w:val="666A5E4D"/>
    <w:rsid w:val="666C984B"/>
    <w:rsid w:val="667DC780"/>
    <w:rsid w:val="667E557D"/>
    <w:rsid w:val="667E929B"/>
    <w:rsid w:val="667EA954"/>
    <w:rsid w:val="6682A9E5"/>
    <w:rsid w:val="668723BA"/>
    <w:rsid w:val="668EF4D1"/>
    <w:rsid w:val="66907E15"/>
    <w:rsid w:val="669362CD"/>
    <w:rsid w:val="66973419"/>
    <w:rsid w:val="669740A8"/>
    <w:rsid w:val="6697CD70"/>
    <w:rsid w:val="66998EAC"/>
    <w:rsid w:val="6699EE4C"/>
    <w:rsid w:val="669BFDEA"/>
    <w:rsid w:val="669D0FC4"/>
    <w:rsid w:val="669E863B"/>
    <w:rsid w:val="66A61BBE"/>
    <w:rsid w:val="66B19779"/>
    <w:rsid w:val="66BA6699"/>
    <w:rsid w:val="66BF1E79"/>
    <w:rsid w:val="66C09791"/>
    <w:rsid w:val="66C2807D"/>
    <w:rsid w:val="66C96073"/>
    <w:rsid w:val="66C97434"/>
    <w:rsid w:val="66CC48E1"/>
    <w:rsid w:val="66CFFA49"/>
    <w:rsid w:val="66D0B8A1"/>
    <w:rsid w:val="66D3642A"/>
    <w:rsid w:val="66D44928"/>
    <w:rsid w:val="66D9998E"/>
    <w:rsid w:val="66E226C3"/>
    <w:rsid w:val="66E64596"/>
    <w:rsid w:val="66E69D67"/>
    <w:rsid w:val="66E79C8A"/>
    <w:rsid w:val="66EB4BF1"/>
    <w:rsid w:val="66F13371"/>
    <w:rsid w:val="66F6E137"/>
    <w:rsid w:val="66FDC313"/>
    <w:rsid w:val="6702D78C"/>
    <w:rsid w:val="6703B007"/>
    <w:rsid w:val="670C8929"/>
    <w:rsid w:val="67111D88"/>
    <w:rsid w:val="67137736"/>
    <w:rsid w:val="6717D851"/>
    <w:rsid w:val="671B40FB"/>
    <w:rsid w:val="671C83CB"/>
    <w:rsid w:val="671ECD0C"/>
    <w:rsid w:val="671FA022"/>
    <w:rsid w:val="6723F81F"/>
    <w:rsid w:val="672B1DCC"/>
    <w:rsid w:val="672CD360"/>
    <w:rsid w:val="672D9DF5"/>
    <w:rsid w:val="67335000"/>
    <w:rsid w:val="67379BF9"/>
    <w:rsid w:val="67419B32"/>
    <w:rsid w:val="67450E08"/>
    <w:rsid w:val="67459D18"/>
    <w:rsid w:val="6745A519"/>
    <w:rsid w:val="674A1495"/>
    <w:rsid w:val="674E3533"/>
    <w:rsid w:val="674E7AD9"/>
    <w:rsid w:val="67605D4C"/>
    <w:rsid w:val="67626233"/>
    <w:rsid w:val="6765079C"/>
    <w:rsid w:val="6768CE0D"/>
    <w:rsid w:val="676F9AE2"/>
    <w:rsid w:val="677CE84D"/>
    <w:rsid w:val="677D8A8D"/>
    <w:rsid w:val="6788FC9C"/>
    <w:rsid w:val="67917189"/>
    <w:rsid w:val="679937B3"/>
    <w:rsid w:val="67994171"/>
    <w:rsid w:val="679A4325"/>
    <w:rsid w:val="679CE45A"/>
    <w:rsid w:val="679D3FE8"/>
    <w:rsid w:val="679F878E"/>
    <w:rsid w:val="67A54B36"/>
    <w:rsid w:val="67A8FC82"/>
    <w:rsid w:val="67ADF53D"/>
    <w:rsid w:val="67B24B35"/>
    <w:rsid w:val="67B3333D"/>
    <w:rsid w:val="67B48FDD"/>
    <w:rsid w:val="67B633A1"/>
    <w:rsid w:val="67B94303"/>
    <w:rsid w:val="67BAC9D3"/>
    <w:rsid w:val="67BC195E"/>
    <w:rsid w:val="67BDB270"/>
    <w:rsid w:val="67BE9191"/>
    <w:rsid w:val="67BF08CF"/>
    <w:rsid w:val="67C101F4"/>
    <w:rsid w:val="67C6629D"/>
    <w:rsid w:val="67C78E37"/>
    <w:rsid w:val="67CCFA76"/>
    <w:rsid w:val="67D07A7C"/>
    <w:rsid w:val="67D2B686"/>
    <w:rsid w:val="67D7A127"/>
    <w:rsid w:val="67D7A30C"/>
    <w:rsid w:val="67DC0D04"/>
    <w:rsid w:val="67DDC574"/>
    <w:rsid w:val="67EB420C"/>
    <w:rsid w:val="67EC4CE3"/>
    <w:rsid w:val="67F50DD3"/>
    <w:rsid w:val="67F6DB48"/>
    <w:rsid w:val="67F7D81E"/>
    <w:rsid w:val="67F9484C"/>
    <w:rsid w:val="67FB9E83"/>
    <w:rsid w:val="67FDB736"/>
    <w:rsid w:val="67FF6527"/>
    <w:rsid w:val="68028F5A"/>
    <w:rsid w:val="6803516F"/>
    <w:rsid w:val="6804A5AD"/>
    <w:rsid w:val="6804BACF"/>
    <w:rsid w:val="6804F4C7"/>
    <w:rsid w:val="6807236D"/>
    <w:rsid w:val="680DCDEC"/>
    <w:rsid w:val="680E3635"/>
    <w:rsid w:val="680FD076"/>
    <w:rsid w:val="681083DE"/>
    <w:rsid w:val="6810DAEE"/>
    <w:rsid w:val="6813CFD2"/>
    <w:rsid w:val="6813E5FB"/>
    <w:rsid w:val="6816A323"/>
    <w:rsid w:val="6817C584"/>
    <w:rsid w:val="6819F4EF"/>
    <w:rsid w:val="681E8B51"/>
    <w:rsid w:val="6822D1A5"/>
    <w:rsid w:val="6823A265"/>
    <w:rsid w:val="682457B4"/>
    <w:rsid w:val="6829A921"/>
    <w:rsid w:val="6830A857"/>
    <w:rsid w:val="6830F2F5"/>
    <w:rsid w:val="683835E6"/>
    <w:rsid w:val="6839E9D4"/>
    <w:rsid w:val="683BA448"/>
    <w:rsid w:val="684394EC"/>
    <w:rsid w:val="684DADFE"/>
    <w:rsid w:val="68519DA4"/>
    <w:rsid w:val="6852107D"/>
    <w:rsid w:val="68582904"/>
    <w:rsid w:val="685A790A"/>
    <w:rsid w:val="685C5BBA"/>
    <w:rsid w:val="685E6F01"/>
    <w:rsid w:val="685FDFD5"/>
    <w:rsid w:val="686722B5"/>
    <w:rsid w:val="686D8145"/>
    <w:rsid w:val="6872EB49"/>
    <w:rsid w:val="6879A9BB"/>
    <w:rsid w:val="687C4236"/>
    <w:rsid w:val="687C7BBD"/>
    <w:rsid w:val="687DCCC5"/>
    <w:rsid w:val="6880F32D"/>
    <w:rsid w:val="68827197"/>
    <w:rsid w:val="688A4F0E"/>
    <w:rsid w:val="6891A2DF"/>
    <w:rsid w:val="68942021"/>
    <w:rsid w:val="6896665D"/>
    <w:rsid w:val="689B4133"/>
    <w:rsid w:val="68A14D4F"/>
    <w:rsid w:val="68A1EA10"/>
    <w:rsid w:val="68A34CEB"/>
    <w:rsid w:val="68A4CBF3"/>
    <w:rsid w:val="68B4A65B"/>
    <w:rsid w:val="68B4D0DD"/>
    <w:rsid w:val="68BA09C2"/>
    <w:rsid w:val="68BAAC11"/>
    <w:rsid w:val="68BC8D7E"/>
    <w:rsid w:val="68BD1C6F"/>
    <w:rsid w:val="68CA6F71"/>
    <w:rsid w:val="68CE9510"/>
    <w:rsid w:val="68CEB20E"/>
    <w:rsid w:val="68CF58CE"/>
    <w:rsid w:val="68DB96A2"/>
    <w:rsid w:val="68DE694B"/>
    <w:rsid w:val="68DF54A5"/>
    <w:rsid w:val="68E072F9"/>
    <w:rsid w:val="68E24339"/>
    <w:rsid w:val="68EBDB8C"/>
    <w:rsid w:val="68ED39BB"/>
    <w:rsid w:val="68ED78AC"/>
    <w:rsid w:val="68EDC0B5"/>
    <w:rsid w:val="68EECC77"/>
    <w:rsid w:val="68F15E9D"/>
    <w:rsid w:val="68FC223A"/>
    <w:rsid w:val="68FC4672"/>
    <w:rsid w:val="68FCF18A"/>
    <w:rsid w:val="68FD07F4"/>
    <w:rsid w:val="68FEECAB"/>
    <w:rsid w:val="68FFF9D4"/>
    <w:rsid w:val="6903C58F"/>
    <w:rsid w:val="6909E5A1"/>
    <w:rsid w:val="69132B29"/>
    <w:rsid w:val="691B2A40"/>
    <w:rsid w:val="691FF535"/>
    <w:rsid w:val="69316CA5"/>
    <w:rsid w:val="69376E57"/>
    <w:rsid w:val="693C0600"/>
    <w:rsid w:val="693CF0C1"/>
    <w:rsid w:val="6941E09D"/>
    <w:rsid w:val="694D01F9"/>
    <w:rsid w:val="694F362F"/>
    <w:rsid w:val="694F4718"/>
    <w:rsid w:val="695538C1"/>
    <w:rsid w:val="6955D246"/>
    <w:rsid w:val="6957D375"/>
    <w:rsid w:val="6958D356"/>
    <w:rsid w:val="695A8C9B"/>
    <w:rsid w:val="695F23F8"/>
    <w:rsid w:val="6960E6EA"/>
    <w:rsid w:val="6965479D"/>
    <w:rsid w:val="696980BA"/>
    <w:rsid w:val="696D9074"/>
    <w:rsid w:val="6974FF1F"/>
    <w:rsid w:val="69793A9C"/>
    <w:rsid w:val="697A98D7"/>
    <w:rsid w:val="697F216F"/>
    <w:rsid w:val="69850BA3"/>
    <w:rsid w:val="69851A54"/>
    <w:rsid w:val="698815B0"/>
    <w:rsid w:val="698896E4"/>
    <w:rsid w:val="6991850A"/>
    <w:rsid w:val="6994A380"/>
    <w:rsid w:val="69999E20"/>
    <w:rsid w:val="69A5D09B"/>
    <w:rsid w:val="69A8C383"/>
    <w:rsid w:val="69A9A043"/>
    <w:rsid w:val="69AB9B7C"/>
    <w:rsid w:val="69ACE1AE"/>
    <w:rsid w:val="69B1067B"/>
    <w:rsid w:val="69B4C470"/>
    <w:rsid w:val="69B5D4F7"/>
    <w:rsid w:val="69B6122D"/>
    <w:rsid w:val="69B94B47"/>
    <w:rsid w:val="69BA5BCE"/>
    <w:rsid w:val="69C3DE29"/>
    <w:rsid w:val="69C3E514"/>
    <w:rsid w:val="69CE460E"/>
    <w:rsid w:val="69D1FFBB"/>
    <w:rsid w:val="69D7A4E4"/>
    <w:rsid w:val="69DC97C5"/>
    <w:rsid w:val="69E10791"/>
    <w:rsid w:val="69E38386"/>
    <w:rsid w:val="69E736E0"/>
    <w:rsid w:val="69E9B692"/>
    <w:rsid w:val="69EAA495"/>
    <w:rsid w:val="69EB5B9E"/>
    <w:rsid w:val="69EF374B"/>
    <w:rsid w:val="69F1BFFD"/>
    <w:rsid w:val="69F6B7AA"/>
    <w:rsid w:val="69F73102"/>
    <w:rsid w:val="69F82386"/>
    <w:rsid w:val="69FBC531"/>
    <w:rsid w:val="6A01A3E4"/>
    <w:rsid w:val="6A031B72"/>
    <w:rsid w:val="6A0468F6"/>
    <w:rsid w:val="6A0B58A0"/>
    <w:rsid w:val="6A0C3E33"/>
    <w:rsid w:val="6A12120D"/>
    <w:rsid w:val="6A145B6C"/>
    <w:rsid w:val="6A14E01E"/>
    <w:rsid w:val="6A186D4E"/>
    <w:rsid w:val="6A189201"/>
    <w:rsid w:val="6A18ABDB"/>
    <w:rsid w:val="6A202296"/>
    <w:rsid w:val="6A21A9FF"/>
    <w:rsid w:val="6A2528EA"/>
    <w:rsid w:val="6A276DA2"/>
    <w:rsid w:val="6A2812EA"/>
    <w:rsid w:val="6A297FBB"/>
    <w:rsid w:val="6A2AF324"/>
    <w:rsid w:val="6A2BB957"/>
    <w:rsid w:val="6A319A45"/>
    <w:rsid w:val="6A32A13D"/>
    <w:rsid w:val="6A383A35"/>
    <w:rsid w:val="6A3864D2"/>
    <w:rsid w:val="6A3C3BB6"/>
    <w:rsid w:val="6A3DD116"/>
    <w:rsid w:val="6A498545"/>
    <w:rsid w:val="6A4AC6D8"/>
    <w:rsid w:val="6A4B047D"/>
    <w:rsid w:val="6A4E9A36"/>
    <w:rsid w:val="6A505D5F"/>
    <w:rsid w:val="6A55D890"/>
    <w:rsid w:val="6A598A19"/>
    <w:rsid w:val="6A5EEABB"/>
    <w:rsid w:val="6A616279"/>
    <w:rsid w:val="6A66DFAC"/>
    <w:rsid w:val="6A6919CC"/>
    <w:rsid w:val="6A696FD7"/>
    <w:rsid w:val="6A700412"/>
    <w:rsid w:val="6A72D5B7"/>
    <w:rsid w:val="6A76993B"/>
    <w:rsid w:val="6A7A2CA2"/>
    <w:rsid w:val="6A7D907E"/>
    <w:rsid w:val="6A80F90D"/>
    <w:rsid w:val="6A8D8B61"/>
    <w:rsid w:val="6A902736"/>
    <w:rsid w:val="6A919FE1"/>
    <w:rsid w:val="6A950D7F"/>
    <w:rsid w:val="6A96009C"/>
    <w:rsid w:val="6A9E0915"/>
    <w:rsid w:val="6AA20A84"/>
    <w:rsid w:val="6AA95279"/>
    <w:rsid w:val="6AAD7B85"/>
    <w:rsid w:val="6ABDD9EC"/>
    <w:rsid w:val="6ABDE465"/>
    <w:rsid w:val="6ABFBA09"/>
    <w:rsid w:val="6AC50E4A"/>
    <w:rsid w:val="6AC6486C"/>
    <w:rsid w:val="6ACDD315"/>
    <w:rsid w:val="6ACFD84F"/>
    <w:rsid w:val="6AD1A03D"/>
    <w:rsid w:val="6AD1DA8F"/>
    <w:rsid w:val="6AD209E7"/>
    <w:rsid w:val="6AE3A4E1"/>
    <w:rsid w:val="6AE6A776"/>
    <w:rsid w:val="6AE81606"/>
    <w:rsid w:val="6AE8D3D3"/>
    <w:rsid w:val="6AE93FDF"/>
    <w:rsid w:val="6AEA21C7"/>
    <w:rsid w:val="6AF3EE5D"/>
    <w:rsid w:val="6AF6EBF0"/>
    <w:rsid w:val="6AF988FF"/>
    <w:rsid w:val="6AFA9C3A"/>
    <w:rsid w:val="6AFAB8E9"/>
    <w:rsid w:val="6AFAEB16"/>
    <w:rsid w:val="6AFFF5C9"/>
    <w:rsid w:val="6B01142D"/>
    <w:rsid w:val="6B02CB98"/>
    <w:rsid w:val="6B0697E2"/>
    <w:rsid w:val="6B0A9743"/>
    <w:rsid w:val="6B0BFA88"/>
    <w:rsid w:val="6B0EF7A6"/>
    <w:rsid w:val="6B120B66"/>
    <w:rsid w:val="6B15EFC7"/>
    <w:rsid w:val="6B1D3943"/>
    <w:rsid w:val="6B20A214"/>
    <w:rsid w:val="6B22C25B"/>
    <w:rsid w:val="6B23B87C"/>
    <w:rsid w:val="6B2A14B1"/>
    <w:rsid w:val="6B2C1D34"/>
    <w:rsid w:val="6B2E8F35"/>
    <w:rsid w:val="6B318B1E"/>
    <w:rsid w:val="6B31FE0E"/>
    <w:rsid w:val="6B352970"/>
    <w:rsid w:val="6B36C1CB"/>
    <w:rsid w:val="6B37F977"/>
    <w:rsid w:val="6B3EC33E"/>
    <w:rsid w:val="6B41FE48"/>
    <w:rsid w:val="6B43AF5E"/>
    <w:rsid w:val="6B477620"/>
    <w:rsid w:val="6B4B8C9C"/>
    <w:rsid w:val="6B56C357"/>
    <w:rsid w:val="6B576A27"/>
    <w:rsid w:val="6B5C1D17"/>
    <w:rsid w:val="6B5FFAAC"/>
    <w:rsid w:val="6B62256D"/>
    <w:rsid w:val="6B66A6BB"/>
    <w:rsid w:val="6B6879BD"/>
    <w:rsid w:val="6B688784"/>
    <w:rsid w:val="6B68E68B"/>
    <w:rsid w:val="6B698E63"/>
    <w:rsid w:val="6B718221"/>
    <w:rsid w:val="6B719495"/>
    <w:rsid w:val="6B82CF69"/>
    <w:rsid w:val="6B862D6A"/>
    <w:rsid w:val="6B872AAA"/>
    <w:rsid w:val="6B929E4D"/>
    <w:rsid w:val="6B992335"/>
    <w:rsid w:val="6B9E3581"/>
    <w:rsid w:val="6B9FD985"/>
    <w:rsid w:val="6BA20E75"/>
    <w:rsid w:val="6BA21EE4"/>
    <w:rsid w:val="6BA54CA7"/>
    <w:rsid w:val="6BA6097A"/>
    <w:rsid w:val="6BA952AA"/>
    <w:rsid w:val="6BA9E477"/>
    <w:rsid w:val="6BB8506A"/>
    <w:rsid w:val="6BBC6705"/>
    <w:rsid w:val="6BC4A6B1"/>
    <w:rsid w:val="6BC5A173"/>
    <w:rsid w:val="6BCB2805"/>
    <w:rsid w:val="6BCEACC8"/>
    <w:rsid w:val="6BD1A473"/>
    <w:rsid w:val="6BD5085D"/>
    <w:rsid w:val="6BD6F66E"/>
    <w:rsid w:val="6BD8B04F"/>
    <w:rsid w:val="6BDB7344"/>
    <w:rsid w:val="6BE15245"/>
    <w:rsid w:val="6BE5147E"/>
    <w:rsid w:val="6BE6B0E2"/>
    <w:rsid w:val="6BF0B1DF"/>
    <w:rsid w:val="6BF6C901"/>
    <w:rsid w:val="6BF6CA81"/>
    <w:rsid w:val="6BFD77D7"/>
    <w:rsid w:val="6BFFF531"/>
    <w:rsid w:val="6C068662"/>
    <w:rsid w:val="6C07DE43"/>
    <w:rsid w:val="6C088E92"/>
    <w:rsid w:val="6C0BF0D3"/>
    <w:rsid w:val="6C1040BB"/>
    <w:rsid w:val="6C146FBE"/>
    <w:rsid w:val="6C17E012"/>
    <w:rsid w:val="6C1A5C9F"/>
    <w:rsid w:val="6C1AEF00"/>
    <w:rsid w:val="6C1D34B3"/>
    <w:rsid w:val="6C1EF490"/>
    <w:rsid w:val="6C20FBF4"/>
    <w:rsid w:val="6C24A038"/>
    <w:rsid w:val="6C2A045F"/>
    <w:rsid w:val="6C35039D"/>
    <w:rsid w:val="6C39C5FC"/>
    <w:rsid w:val="6C3FB743"/>
    <w:rsid w:val="6C405008"/>
    <w:rsid w:val="6C4888F3"/>
    <w:rsid w:val="6C492D48"/>
    <w:rsid w:val="6C4D953D"/>
    <w:rsid w:val="6C5665CE"/>
    <w:rsid w:val="6C580CDE"/>
    <w:rsid w:val="6C5962E2"/>
    <w:rsid w:val="6C5E4915"/>
    <w:rsid w:val="6C62390F"/>
    <w:rsid w:val="6C626EA2"/>
    <w:rsid w:val="6C63A2BE"/>
    <w:rsid w:val="6C68F138"/>
    <w:rsid w:val="6C70080B"/>
    <w:rsid w:val="6C77480A"/>
    <w:rsid w:val="6C7D49B2"/>
    <w:rsid w:val="6C820230"/>
    <w:rsid w:val="6C832F12"/>
    <w:rsid w:val="6C8AE273"/>
    <w:rsid w:val="6C9057FC"/>
    <w:rsid w:val="6C92E821"/>
    <w:rsid w:val="6C9B170B"/>
    <w:rsid w:val="6C9EB25E"/>
    <w:rsid w:val="6CA7844E"/>
    <w:rsid w:val="6CAC59BC"/>
    <w:rsid w:val="6CB3E9E5"/>
    <w:rsid w:val="6CB875A2"/>
    <w:rsid w:val="6CBA1FF8"/>
    <w:rsid w:val="6CBEE657"/>
    <w:rsid w:val="6CBF6DB5"/>
    <w:rsid w:val="6CC18C99"/>
    <w:rsid w:val="6CD1B881"/>
    <w:rsid w:val="6CD24A39"/>
    <w:rsid w:val="6CD25BB2"/>
    <w:rsid w:val="6CD703F2"/>
    <w:rsid w:val="6CDBB015"/>
    <w:rsid w:val="6CDBDA6C"/>
    <w:rsid w:val="6CDC895E"/>
    <w:rsid w:val="6CDCA9AF"/>
    <w:rsid w:val="6CDFA210"/>
    <w:rsid w:val="6CE07665"/>
    <w:rsid w:val="6CE15FA2"/>
    <w:rsid w:val="6CE4D1A8"/>
    <w:rsid w:val="6CEA2A9E"/>
    <w:rsid w:val="6CF116C8"/>
    <w:rsid w:val="6CF22B42"/>
    <w:rsid w:val="6CF23304"/>
    <w:rsid w:val="6CF27F4E"/>
    <w:rsid w:val="6CF31E0D"/>
    <w:rsid w:val="6CF33400"/>
    <w:rsid w:val="6CF3626C"/>
    <w:rsid w:val="6CFBC007"/>
    <w:rsid w:val="6CFD1E1A"/>
    <w:rsid w:val="6CFFE702"/>
    <w:rsid w:val="6D04FCB9"/>
    <w:rsid w:val="6D07148E"/>
    <w:rsid w:val="6D0FB82A"/>
    <w:rsid w:val="6D12C9AA"/>
    <w:rsid w:val="6D16BCA0"/>
    <w:rsid w:val="6D18A5F3"/>
    <w:rsid w:val="6D19432A"/>
    <w:rsid w:val="6D287A7E"/>
    <w:rsid w:val="6D2DA697"/>
    <w:rsid w:val="6D3009B1"/>
    <w:rsid w:val="6D36CDFA"/>
    <w:rsid w:val="6D40B390"/>
    <w:rsid w:val="6D41CD50"/>
    <w:rsid w:val="6D467A10"/>
    <w:rsid w:val="6D494FCF"/>
    <w:rsid w:val="6D4AD190"/>
    <w:rsid w:val="6D51961E"/>
    <w:rsid w:val="6D53DC8B"/>
    <w:rsid w:val="6D5456DF"/>
    <w:rsid w:val="6D55DF8D"/>
    <w:rsid w:val="6D57E99C"/>
    <w:rsid w:val="6D58E9F8"/>
    <w:rsid w:val="6D5CA93D"/>
    <w:rsid w:val="6D636CCD"/>
    <w:rsid w:val="6D63885C"/>
    <w:rsid w:val="6D65192C"/>
    <w:rsid w:val="6D697A28"/>
    <w:rsid w:val="6D70E47E"/>
    <w:rsid w:val="6D7A1E6C"/>
    <w:rsid w:val="6D7BC63F"/>
    <w:rsid w:val="6D7CEA6A"/>
    <w:rsid w:val="6D7D5E27"/>
    <w:rsid w:val="6D821000"/>
    <w:rsid w:val="6D825203"/>
    <w:rsid w:val="6D864603"/>
    <w:rsid w:val="6D8B5EBC"/>
    <w:rsid w:val="6D8D4191"/>
    <w:rsid w:val="6D952C6D"/>
    <w:rsid w:val="6D97783D"/>
    <w:rsid w:val="6D9C5A1A"/>
    <w:rsid w:val="6D9D491D"/>
    <w:rsid w:val="6DAD4E2A"/>
    <w:rsid w:val="6DB6C4C1"/>
    <w:rsid w:val="6DB7CCDB"/>
    <w:rsid w:val="6DBA935A"/>
    <w:rsid w:val="6DBCF016"/>
    <w:rsid w:val="6DBE8003"/>
    <w:rsid w:val="6DCC3525"/>
    <w:rsid w:val="6DD533CD"/>
    <w:rsid w:val="6DD5370C"/>
    <w:rsid w:val="6DD60066"/>
    <w:rsid w:val="6DDE068F"/>
    <w:rsid w:val="6DDE13EA"/>
    <w:rsid w:val="6DE083A1"/>
    <w:rsid w:val="6DE260AF"/>
    <w:rsid w:val="6DE701F7"/>
    <w:rsid w:val="6DE9E9F6"/>
    <w:rsid w:val="6DED5A41"/>
    <w:rsid w:val="6DF1144F"/>
    <w:rsid w:val="6DF374EC"/>
    <w:rsid w:val="6DF44B99"/>
    <w:rsid w:val="6DF6802E"/>
    <w:rsid w:val="6DFFAB1E"/>
    <w:rsid w:val="6E01313A"/>
    <w:rsid w:val="6E04F017"/>
    <w:rsid w:val="6E06BC7F"/>
    <w:rsid w:val="6E08FAD0"/>
    <w:rsid w:val="6E0C28C2"/>
    <w:rsid w:val="6E0EDCB4"/>
    <w:rsid w:val="6E113CE2"/>
    <w:rsid w:val="6E15EDFD"/>
    <w:rsid w:val="6E176B0E"/>
    <w:rsid w:val="6E1BB05F"/>
    <w:rsid w:val="6E1F1811"/>
    <w:rsid w:val="6E215BF5"/>
    <w:rsid w:val="6E23B76D"/>
    <w:rsid w:val="6E28A424"/>
    <w:rsid w:val="6E2E6680"/>
    <w:rsid w:val="6E313CAE"/>
    <w:rsid w:val="6E32DB84"/>
    <w:rsid w:val="6E35DD04"/>
    <w:rsid w:val="6E3BFB7D"/>
    <w:rsid w:val="6E43F287"/>
    <w:rsid w:val="6E4AE2EE"/>
    <w:rsid w:val="6E5BF9E5"/>
    <w:rsid w:val="6E690471"/>
    <w:rsid w:val="6E69FEEE"/>
    <w:rsid w:val="6E6C7813"/>
    <w:rsid w:val="6E6CFA81"/>
    <w:rsid w:val="6E6ED954"/>
    <w:rsid w:val="6E804F8B"/>
    <w:rsid w:val="6E8088D2"/>
    <w:rsid w:val="6E825E5D"/>
    <w:rsid w:val="6E864CCF"/>
    <w:rsid w:val="6E8A674C"/>
    <w:rsid w:val="6E8E7009"/>
    <w:rsid w:val="6E93FC39"/>
    <w:rsid w:val="6E9595F1"/>
    <w:rsid w:val="6E97EE40"/>
    <w:rsid w:val="6EAC2074"/>
    <w:rsid w:val="6EB0E452"/>
    <w:rsid w:val="6EB251A4"/>
    <w:rsid w:val="6EB4EAA5"/>
    <w:rsid w:val="6EB789FB"/>
    <w:rsid w:val="6EC358EF"/>
    <w:rsid w:val="6ECE6D25"/>
    <w:rsid w:val="6ECF8ECC"/>
    <w:rsid w:val="6ED094BE"/>
    <w:rsid w:val="6ED1E39E"/>
    <w:rsid w:val="6ED1E810"/>
    <w:rsid w:val="6ED41DD6"/>
    <w:rsid w:val="6ED5BDBC"/>
    <w:rsid w:val="6EE4CAB7"/>
    <w:rsid w:val="6EEAB1E1"/>
    <w:rsid w:val="6EF7F81D"/>
    <w:rsid w:val="6EFA093A"/>
    <w:rsid w:val="6F0338BA"/>
    <w:rsid w:val="6F03ECC0"/>
    <w:rsid w:val="6F056591"/>
    <w:rsid w:val="6F0FD63B"/>
    <w:rsid w:val="6F11250E"/>
    <w:rsid w:val="6F1579E7"/>
    <w:rsid w:val="6F1B7269"/>
    <w:rsid w:val="6F1C6483"/>
    <w:rsid w:val="6F20C880"/>
    <w:rsid w:val="6F288EE9"/>
    <w:rsid w:val="6F2892E6"/>
    <w:rsid w:val="6F294293"/>
    <w:rsid w:val="6F358A0C"/>
    <w:rsid w:val="6F3D1B0C"/>
    <w:rsid w:val="6F409D8C"/>
    <w:rsid w:val="6F42051B"/>
    <w:rsid w:val="6F450483"/>
    <w:rsid w:val="6F46E828"/>
    <w:rsid w:val="6F4AA938"/>
    <w:rsid w:val="6F4F9A1B"/>
    <w:rsid w:val="6F591ACD"/>
    <w:rsid w:val="6F60077D"/>
    <w:rsid w:val="6F6045C4"/>
    <w:rsid w:val="6F63402E"/>
    <w:rsid w:val="6F6948AD"/>
    <w:rsid w:val="6F6D2E33"/>
    <w:rsid w:val="6F6F9575"/>
    <w:rsid w:val="6F7926ED"/>
    <w:rsid w:val="6F7D613D"/>
    <w:rsid w:val="6F89F161"/>
    <w:rsid w:val="6F8BAF63"/>
    <w:rsid w:val="6F8ED9F0"/>
    <w:rsid w:val="6F94DCBF"/>
    <w:rsid w:val="6F9D9946"/>
    <w:rsid w:val="6FA4B5AD"/>
    <w:rsid w:val="6FA60FA4"/>
    <w:rsid w:val="6FAAD579"/>
    <w:rsid w:val="6FAB52AE"/>
    <w:rsid w:val="6FAEA586"/>
    <w:rsid w:val="6FB49B26"/>
    <w:rsid w:val="6FB8225B"/>
    <w:rsid w:val="6FC3BC29"/>
    <w:rsid w:val="6FC60F8E"/>
    <w:rsid w:val="6FCD4DE5"/>
    <w:rsid w:val="6FCE44C5"/>
    <w:rsid w:val="6FCE9F5E"/>
    <w:rsid w:val="6FD4BFDE"/>
    <w:rsid w:val="6FE00504"/>
    <w:rsid w:val="6FE3A0F4"/>
    <w:rsid w:val="6FE7BDFD"/>
    <w:rsid w:val="6FE83E63"/>
    <w:rsid w:val="6FED6D2B"/>
    <w:rsid w:val="6FED85ED"/>
    <w:rsid w:val="6FEE2621"/>
    <w:rsid w:val="6FF4ED23"/>
    <w:rsid w:val="6FF59E60"/>
    <w:rsid w:val="7009E8B1"/>
    <w:rsid w:val="7009F8FF"/>
    <w:rsid w:val="700D4A1C"/>
    <w:rsid w:val="700F8EA5"/>
    <w:rsid w:val="701BE3CB"/>
    <w:rsid w:val="70242040"/>
    <w:rsid w:val="70289E4A"/>
    <w:rsid w:val="702E3C48"/>
    <w:rsid w:val="702FDF61"/>
    <w:rsid w:val="70305DE4"/>
    <w:rsid w:val="70343DFD"/>
    <w:rsid w:val="7037E519"/>
    <w:rsid w:val="7039737F"/>
    <w:rsid w:val="703ACDAB"/>
    <w:rsid w:val="7043B6E3"/>
    <w:rsid w:val="7048E9DA"/>
    <w:rsid w:val="7050F380"/>
    <w:rsid w:val="705C14C9"/>
    <w:rsid w:val="705DE749"/>
    <w:rsid w:val="705F413C"/>
    <w:rsid w:val="70644703"/>
    <w:rsid w:val="706591A3"/>
    <w:rsid w:val="7069D3A9"/>
    <w:rsid w:val="706E8F67"/>
    <w:rsid w:val="707223B7"/>
    <w:rsid w:val="70724605"/>
    <w:rsid w:val="70816572"/>
    <w:rsid w:val="70855078"/>
    <w:rsid w:val="7089EA2A"/>
    <w:rsid w:val="708DEC0B"/>
    <w:rsid w:val="7091FA98"/>
    <w:rsid w:val="70950C91"/>
    <w:rsid w:val="70995B77"/>
    <w:rsid w:val="709E70F9"/>
    <w:rsid w:val="70A27190"/>
    <w:rsid w:val="70B8BE22"/>
    <w:rsid w:val="70BF9977"/>
    <w:rsid w:val="70C57391"/>
    <w:rsid w:val="70CE3F7F"/>
    <w:rsid w:val="70D20D65"/>
    <w:rsid w:val="70D48FDA"/>
    <w:rsid w:val="70DE4FA0"/>
    <w:rsid w:val="70DEE2DF"/>
    <w:rsid w:val="70E039F3"/>
    <w:rsid w:val="70E58FA5"/>
    <w:rsid w:val="70F29D59"/>
    <w:rsid w:val="70F7178D"/>
    <w:rsid w:val="70FB726F"/>
    <w:rsid w:val="71017AE2"/>
    <w:rsid w:val="7103E3ED"/>
    <w:rsid w:val="710950B6"/>
    <w:rsid w:val="710D00C7"/>
    <w:rsid w:val="710D45DB"/>
    <w:rsid w:val="710E3458"/>
    <w:rsid w:val="7110F3DA"/>
    <w:rsid w:val="7112086A"/>
    <w:rsid w:val="7112201D"/>
    <w:rsid w:val="71141628"/>
    <w:rsid w:val="71167351"/>
    <w:rsid w:val="711AEECF"/>
    <w:rsid w:val="711DEDC6"/>
    <w:rsid w:val="711EB0BD"/>
    <w:rsid w:val="7122A79F"/>
    <w:rsid w:val="71243490"/>
    <w:rsid w:val="712CEC0E"/>
    <w:rsid w:val="7139CC51"/>
    <w:rsid w:val="7139D648"/>
    <w:rsid w:val="713B88DC"/>
    <w:rsid w:val="71415DD6"/>
    <w:rsid w:val="71456C7D"/>
    <w:rsid w:val="7147AF28"/>
    <w:rsid w:val="714E03BF"/>
    <w:rsid w:val="715A0D95"/>
    <w:rsid w:val="715E5FC5"/>
    <w:rsid w:val="715F46E2"/>
    <w:rsid w:val="715F5CDE"/>
    <w:rsid w:val="7160CDAA"/>
    <w:rsid w:val="71634E4E"/>
    <w:rsid w:val="71655BCE"/>
    <w:rsid w:val="71687613"/>
    <w:rsid w:val="7168E97B"/>
    <w:rsid w:val="716A9063"/>
    <w:rsid w:val="716D80E7"/>
    <w:rsid w:val="71712153"/>
    <w:rsid w:val="7173BE11"/>
    <w:rsid w:val="7178D353"/>
    <w:rsid w:val="717AA6A1"/>
    <w:rsid w:val="717F514A"/>
    <w:rsid w:val="7186F65E"/>
    <w:rsid w:val="71939F03"/>
    <w:rsid w:val="71942F91"/>
    <w:rsid w:val="71997481"/>
    <w:rsid w:val="719EC617"/>
    <w:rsid w:val="71AA19D7"/>
    <w:rsid w:val="71AC958A"/>
    <w:rsid w:val="71B46B50"/>
    <w:rsid w:val="71C24A89"/>
    <w:rsid w:val="71C31C62"/>
    <w:rsid w:val="71C4AEAF"/>
    <w:rsid w:val="71C72D00"/>
    <w:rsid w:val="71CEA056"/>
    <w:rsid w:val="71D17A2F"/>
    <w:rsid w:val="71D3320F"/>
    <w:rsid w:val="71DD9C54"/>
    <w:rsid w:val="71DE172B"/>
    <w:rsid w:val="71E21EF6"/>
    <w:rsid w:val="71E84952"/>
    <w:rsid w:val="71EAF26D"/>
    <w:rsid w:val="71ED9EC4"/>
    <w:rsid w:val="71F0277E"/>
    <w:rsid w:val="71F21CE2"/>
    <w:rsid w:val="71F4D559"/>
    <w:rsid w:val="71F65BD5"/>
    <w:rsid w:val="71F90BE4"/>
    <w:rsid w:val="71F9801A"/>
    <w:rsid w:val="71F9AF73"/>
    <w:rsid w:val="71FA8698"/>
    <w:rsid w:val="721791A0"/>
    <w:rsid w:val="72207DF4"/>
    <w:rsid w:val="72215443"/>
    <w:rsid w:val="7221937F"/>
    <w:rsid w:val="722757BC"/>
    <w:rsid w:val="7227838B"/>
    <w:rsid w:val="722C4FFF"/>
    <w:rsid w:val="7232D75E"/>
    <w:rsid w:val="72369A1B"/>
    <w:rsid w:val="723CD6DC"/>
    <w:rsid w:val="723D2801"/>
    <w:rsid w:val="723D4F0B"/>
    <w:rsid w:val="723E9A63"/>
    <w:rsid w:val="724637E7"/>
    <w:rsid w:val="724A6822"/>
    <w:rsid w:val="724AA910"/>
    <w:rsid w:val="725FC781"/>
    <w:rsid w:val="726187EA"/>
    <w:rsid w:val="7267F5DA"/>
    <w:rsid w:val="726AC838"/>
    <w:rsid w:val="726D0D51"/>
    <w:rsid w:val="72719FFB"/>
    <w:rsid w:val="7271B023"/>
    <w:rsid w:val="727A05F5"/>
    <w:rsid w:val="727C3F0E"/>
    <w:rsid w:val="72819EE1"/>
    <w:rsid w:val="7281CC85"/>
    <w:rsid w:val="729334DC"/>
    <w:rsid w:val="7293DE52"/>
    <w:rsid w:val="7295274B"/>
    <w:rsid w:val="72965DCA"/>
    <w:rsid w:val="72970297"/>
    <w:rsid w:val="72973FAC"/>
    <w:rsid w:val="72987DEA"/>
    <w:rsid w:val="729FA94B"/>
    <w:rsid w:val="72A0CDA0"/>
    <w:rsid w:val="72A2CBEC"/>
    <w:rsid w:val="72A98F90"/>
    <w:rsid w:val="72AE4AF1"/>
    <w:rsid w:val="72B021A1"/>
    <w:rsid w:val="72B18735"/>
    <w:rsid w:val="72BA7943"/>
    <w:rsid w:val="72BA853A"/>
    <w:rsid w:val="72BB9978"/>
    <w:rsid w:val="72BC74DE"/>
    <w:rsid w:val="72C46E65"/>
    <w:rsid w:val="72C4745D"/>
    <w:rsid w:val="72C4BADA"/>
    <w:rsid w:val="72C6C1A6"/>
    <w:rsid w:val="72C9024B"/>
    <w:rsid w:val="72C909C6"/>
    <w:rsid w:val="72C944AF"/>
    <w:rsid w:val="72CC2613"/>
    <w:rsid w:val="72CE0EB9"/>
    <w:rsid w:val="72D57178"/>
    <w:rsid w:val="72D7A875"/>
    <w:rsid w:val="72D877AA"/>
    <w:rsid w:val="72E04CD2"/>
    <w:rsid w:val="72E19608"/>
    <w:rsid w:val="72E1B975"/>
    <w:rsid w:val="72E49C1F"/>
    <w:rsid w:val="72EE7A2A"/>
    <w:rsid w:val="72EF2E8F"/>
    <w:rsid w:val="72F0DBCF"/>
    <w:rsid w:val="72F9F3A1"/>
    <w:rsid w:val="72FC7E3E"/>
    <w:rsid w:val="72FD1C57"/>
    <w:rsid w:val="72FD4F6E"/>
    <w:rsid w:val="72FE5958"/>
    <w:rsid w:val="73006B54"/>
    <w:rsid w:val="730C4184"/>
    <w:rsid w:val="730CC4C1"/>
    <w:rsid w:val="730F75DB"/>
    <w:rsid w:val="73104828"/>
    <w:rsid w:val="73106E03"/>
    <w:rsid w:val="73134338"/>
    <w:rsid w:val="73184869"/>
    <w:rsid w:val="731F3B58"/>
    <w:rsid w:val="73273F09"/>
    <w:rsid w:val="7327C0FB"/>
    <w:rsid w:val="732E4B87"/>
    <w:rsid w:val="7333DC8D"/>
    <w:rsid w:val="733ABCE6"/>
    <w:rsid w:val="733C4D1E"/>
    <w:rsid w:val="733D4F3D"/>
    <w:rsid w:val="734237EF"/>
    <w:rsid w:val="73440473"/>
    <w:rsid w:val="7346120F"/>
    <w:rsid w:val="73462399"/>
    <w:rsid w:val="734C01E4"/>
    <w:rsid w:val="734D8D76"/>
    <w:rsid w:val="735469CE"/>
    <w:rsid w:val="7355706C"/>
    <w:rsid w:val="7355A733"/>
    <w:rsid w:val="735955C6"/>
    <w:rsid w:val="735A9427"/>
    <w:rsid w:val="735DA67E"/>
    <w:rsid w:val="735F384C"/>
    <w:rsid w:val="735F7B87"/>
    <w:rsid w:val="7367C673"/>
    <w:rsid w:val="736864F1"/>
    <w:rsid w:val="73689836"/>
    <w:rsid w:val="736CA142"/>
    <w:rsid w:val="736CCAA1"/>
    <w:rsid w:val="736D3406"/>
    <w:rsid w:val="736DF0DF"/>
    <w:rsid w:val="737384F3"/>
    <w:rsid w:val="737421A5"/>
    <w:rsid w:val="7374765E"/>
    <w:rsid w:val="73751397"/>
    <w:rsid w:val="73785981"/>
    <w:rsid w:val="73805CC6"/>
    <w:rsid w:val="7387AE03"/>
    <w:rsid w:val="738A34EF"/>
    <w:rsid w:val="738AE27B"/>
    <w:rsid w:val="738B02E7"/>
    <w:rsid w:val="738B277C"/>
    <w:rsid w:val="738B3430"/>
    <w:rsid w:val="738C03E9"/>
    <w:rsid w:val="73901D17"/>
    <w:rsid w:val="7392C307"/>
    <w:rsid w:val="73991197"/>
    <w:rsid w:val="739D28F8"/>
    <w:rsid w:val="73B73336"/>
    <w:rsid w:val="73B9CE69"/>
    <w:rsid w:val="73BA5F4C"/>
    <w:rsid w:val="73C1D736"/>
    <w:rsid w:val="73C44660"/>
    <w:rsid w:val="73C48056"/>
    <w:rsid w:val="73C681F1"/>
    <w:rsid w:val="73CD0F1A"/>
    <w:rsid w:val="73CD3199"/>
    <w:rsid w:val="73DAE20C"/>
    <w:rsid w:val="73E3191F"/>
    <w:rsid w:val="73EB3563"/>
    <w:rsid w:val="73EDE38C"/>
    <w:rsid w:val="73F00A0C"/>
    <w:rsid w:val="73F76AF5"/>
    <w:rsid w:val="73F7CA83"/>
    <w:rsid w:val="73FBD362"/>
    <w:rsid w:val="73FC69C9"/>
    <w:rsid w:val="73FCD554"/>
    <w:rsid w:val="73FFFCBE"/>
    <w:rsid w:val="74004FDD"/>
    <w:rsid w:val="74024C88"/>
    <w:rsid w:val="74029F74"/>
    <w:rsid w:val="74034F66"/>
    <w:rsid w:val="7406B209"/>
    <w:rsid w:val="740C7981"/>
    <w:rsid w:val="7413A097"/>
    <w:rsid w:val="741BCBAE"/>
    <w:rsid w:val="741D0400"/>
    <w:rsid w:val="7424A565"/>
    <w:rsid w:val="742BE0FF"/>
    <w:rsid w:val="7446DFE4"/>
    <w:rsid w:val="744823F9"/>
    <w:rsid w:val="744B8340"/>
    <w:rsid w:val="744D7F70"/>
    <w:rsid w:val="744DCF94"/>
    <w:rsid w:val="744DD82A"/>
    <w:rsid w:val="744F934A"/>
    <w:rsid w:val="745A9DD4"/>
    <w:rsid w:val="745DAEEA"/>
    <w:rsid w:val="746212AB"/>
    <w:rsid w:val="7464F3EE"/>
    <w:rsid w:val="746BF285"/>
    <w:rsid w:val="746CF2F6"/>
    <w:rsid w:val="74763238"/>
    <w:rsid w:val="7479CA61"/>
    <w:rsid w:val="747CE191"/>
    <w:rsid w:val="747EF914"/>
    <w:rsid w:val="747F04AB"/>
    <w:rsid w:val="747F8B3C"/>
    <w:rsid w:val="748287C0"/>
    <w:rsid w:val="748DF089"/>
    <w:rsid w:val="74913382"/>
    <w:rsid w:val="7496CFD8"/>
    <w:rsid w:val="749AAAAF"/>
    <w:rsid w:val="749BE324"/>
    <w:rsid w:val="74A5B8A0"/>
    <w:rsid w:val="74A969C2"/>
    <w:rsid w:val="74AA6A35"/>
    <w:rsid w:val="74AC2736"/>
    <w:rsid w:val="74AFD950"/>
    <w:rsid w:val="74B3F254"/>
    <w:rsid w:val="74B8122F"/>
    <w:rsid w:val="74BDA740"/>
    <w:rsid w:val="74BDC453"/>
    <w:rsid w:val="74C2B4A9"/>
    <w:rsid w:val="74C50B96"/>
    <w:rsid w:val="74CB3E0F"/>
    <w:rsid w:val="74CD1FDB"/>
    <w:rsid w:val="74D52CEE"/>
    <w:rsid w:val="74D8CCED"/>
    <w:rsid w:val="74DFBA43"/>
    <w:rsid w:val="74EF378F"/>
    <w:rsid w:val="74EF3F93"/>
    <w:rsid w:val="74EF5B5F"/>
    <w:rsid w:val="74EF6856"/>
    <w:rsid w:val="74F1088A"/>
    <w:rsid w:val="74F5855E"/>
    <w:rsid w:val="74F847C1"/>
    <w:rsid w:val="74F99552"/>
    <w:rsid w:val="74F9A46A"/>
    <w:rsid w:val="74FE55CD"/>
    <w:rsid w:val="74FFA545"/>
    <w:rsid w:val="75020DE2"/>
    <w:rsid w:val="750763B5"/>
    <w:rsid w:val="75079232"/>
    <w:rsid w:val="750BAB96"/>
    <w:rsid w:val="750C9C6D"/>
    <w:rsid w:val="75123177"/>
    <w:rsid w:val="751256AA"/>
    <w:rsid w:val="751534B1"/>
    <w:rsid w:val="75166FDE"/>
    <w:rsid w:val="75171DA7"/>
    <w:rsid w:val="751BA4B9"/>
    <w:rsid w:val="751C0688"/>
    <w:rsid w:val="752483DB"/>
    <w:rsid w:val="75251BFB"/>
    <w:rsid w:val="752B9C03"/>
    <w:rsid w:val="752CBFBB"/>
    <w:rsid w:val="752E3A9B"/>
    <w:rsid w:val="75311D54"/>
    <w:rsid w:val="75325491"/>
    <w:rsid w:val="7536CED6"/>
    <w:rsid w:val="7538ECB3"/>
    <w:rsid w:val="753939AD"/>
    <w:rsid w:val="7539AB69"/>
    <w:rsid w:val="7546BD9E"/>
    <w:rsid w:val="754B67AB"/>
    <w:rsid w:val="75533024"/>
    <w:rsid w:val="755403EC"/>
    <w:rsid w:val="7555B1CB"/>
    <w:rsid w:val="75574890"/>
    <w:rsid w:val="755C6C31"/>
    <w:rsid w:val="756C5E84"/>
    <w:rsid w:val="756D394B"/>
    <w:rsid w:val="75786DFE"/>
    <w:rsid w:val="75791227"/>
    <w:rsid w:val="757F74E1"/>
    <w:rsid w:val="75831C41"/>
    <w:rsid w:val="7583B4E7"/>
    <w:rsid w:val="7589AE0A"/>
    <w:rsid w:val="758E24D9"/>
    <w:rsid w:val="75954702"/>
    <w:rsid w:val="759AD20A"/>
    <w:rsid w:val="759EB0F6"/>
    <w:rsid w:val="75A1D656"/>
    <w:rsid w:val="75A59090"/>
    <w:rsid w:val="75A8F7E1"/>
    <w:rsid w:val="75B140EE"/>
    <w:rsid w:val="75B1A55E"/>
    <w:rsid w:val="75B1FFF9"/>
    <w:rsid w:val="75B7A4AF"/>
    <w:rsid w:val="75BC825D"/>
    <w:rsid w:val="75BE7714"/>
    <w:rsid w:val="75BFB2E1"/>
    <w:rsid w:val="75C18876"/>
    <w:rsid w:val="75C1BFA4"/>
    <w:rsid w:val="75C48628"/>
    <w:rsid w:val="75CEC9DB"/>
    <w:rsid w:val="75D18D3E"/>
    <w:rsid w:val="75D18F27"/>
    <w:rsid w:val="75D247A2"/>
    <w:rsid w:val="75D589DF"/>
    <w:rsid w:val="75D5A1F9"/>
    <w:rsid w:val="75D7AF19"/>
    <w:rsid w:val="75D8F063"/>
    <w:rsid w:val="75DCF3D2"/>
    <w:rsid w:val="75E46DD2"/>
    <w:rsid w:val="75EA6CAE"/>
    <w:rsid w:val="75EB2140"/>
    <w:rsid w:val="75ECBEBF"/>
    <w:rsid w:val="75EE23A5"/>
    <w:rsid w:val="75F586A9"/>
    <w:rsid w:val="75F7E33D"/>
    <w:rsid w:val="75F7E66F"/>
    <w:rsid w:val="75FA172B"/>
    <w:rsid w:val="7601D157"/>
    <w:rsid w:val="76038A54"/>
    <w:rsid w:val="760737A2"/>
    <w:rsid w:val="760A04AF"/>
    <w:rsid w:val="760A412E"/>
    <w:rsid w:val="7611C62E"/>
    <w:rsid w:val="7614B96A"/>
    <w:rsid w:val="7617F80D"/>
    <w:rsid w:val="76181333"/>
    <w:rsid w:val="7619D809"/>
    <w:rsid w:val="761FFFFB"/>
    <w:rsid w:val="7624DE84"/>
    <w:rsid w:val="76269A8B"/>
    <w:rsid w:val="7628BCDD"/>
    <w:rsid w:val="76299B24"/>
    <w:rsid w:val="762FC74D"/>
    <w:rsid w:val="7631565B"/>
    <w:rsid w:val="76334272"/>
    <w:rsid w:val="763427E9"/>
    <w:rsid w:val="76348D5F"/>
    <w:rsid w:val="76397293"/>
    <w:rsid w:val="76404E1E"/>
    <w:rsid w:val="76410544"/>
    <w:rsid w:val="7651C5B4"/>
    <w:rsid w:val="7654D319"/>
    <w:rsid w:val="7658F457"/>
    <w:rsid w:val="7659FD82"/>
    <w:rsid w:val="7660AD17"/>
    <w:rsid w:val="7663C57A"/>
    <w:rsid w:val="7666F608"/>
    <w:rsid w:val="766883AF"/>
    <w:rsid w:val="76768BAC"/>
    <w:rsid w:val="767E17C3"/>
    <w:rsid w:val="76801E23"/>
    <w:rsid w:val="7687D330"/>
    <w:rsid w:val="768EF776"/>
    <w:rsid w:val="768F8270"/>
    <w:rsid w:val="76912B8B"/>
    <w:rsid w:val="7691FD67"/>
    <w:rsid w:val="76927EC4"/>
    <w:rsid w:val="7694488F"/>
    <w:rsid w:val="7699D374"/>
    <w:rsid w:val="769DCD40"/>
    <w:rsid w:val="769F1E61"/>
    <w:rsid w:val="76A13C72"/>
    <w:rsid w:val="76AAEFBD"/>
    <w:rsid w:val="76B31365"/>
    <w:rsid w:val="76B35BC0"/>
    <w:rsid w:val="76BE331B"/>
    <w:rsid w:val="76C0D961"/>
    <w:rsid w:val="76CCC226"/>
    <w:rsid w:val="76CE4DE9"/>
    <w:rsid w:val="76D31A6A"/>
    <w:rsid w:val="76D3EDE4"/>
    <w:rsid w:val="76E6E9A9"/>
    <w:rsid w:val="76E7CE33"/>
    <w:rsid w:val="76EE22E5"/>
    <w:rsid w:val="76EFD403"/>
    <w:rsid w:val="770039C8"/>
    <w:rsid w:val="770113CB"/>
    <w:rsid w:val="770530D6"/>
    <w:rsid w:val="770A9F14"/>
    <w:rsid w:val="770B5052"/>
    <w:rsid w:val="770BCBA4"/>
    <w:rsid w:val="771CEDE7"/>
    <w:rsid w:val="772B6EF6"/>
    <w:rsid w:val="772BB2E8"/>
    <w:rsid w:val="772D60A7"/>
    <w:rsid w:val="772F68DB"/>
    <w:rsid w:val="772FE6ED"/>
    <w:rsid w:val="7731B2E5"/>
    <w:rsid w:val="7733F008"/>
    <w:rsid w:val="773534F6"/>
    <w:rsid w:val="773BBF2E"/>
    <w:rsid w:val="7742D1F7"/>
    <w:rsid w:val="77445212"/>
    <w:rsid w:val="77445AAB"/>
    <w:rsid w:val="77470144"/>
    <w:rsid w:val="774AE31E"/>
    <w:rsid w:val="774D69B0"/>
    <w:rsid w:val="774F9DD2"/>
    <w:rsid w:val="774FF2A2"/>
    <w:rsid w:val="7754F520"/>
    <w:rsid w:val="7758665C"/>
    <w:rsid w:val="775A33FC"/>
    <w:rsid w:val="775EA982"/>
    <w:rsid w:val="775FA3E9"/>
    <w:rsid w:val="7760346A"/>
    <w:rsid w:val="7762CE25"/>
    <w:rsid w:val="7766DE93"/>
    <w:rsid w:val="77686AB1"/>
    <w:rsid w:val="77686EDA"/>
    <w:rsid w:val="776B9FF7"/>
    <w:rsid w:val="7771A03E"/>
    <w:rsid w:val="77763672"/>
    <w:rsid w:val="777A643F"/>
    <w:rsid w:val="777AE7BB"/>
    <w:rsid w:val="77821153"/>
    <w:rsid w:val="7785C53D"/>
    <w:rsid w:val="778D5DC7"/>
    <w:rsid w:val="77913D65"/>
    <w:rsid w:val="779417B1"/>
    <w:rsid w:val="7795B77E"/>
    <w:rsid w:val="7796E13D"/>
    <w:rsid w:val="77982967"/>
    <w:rsid w:val="77989CBC"/>
    <w:rsid w:val="779E57BE"/>
    <w:rsid w:val="779FEF78"/>
    <w:rsid w:val="77A10742"/>
    <w:rsid w:val="77A2FD08"/>
    <w:rsid w:val="77A39FEC"/>
    <w:rsid w:val="77A4E04F"/>
    <w:rsid w:val="77A9F5F2"/>
    <w:rsid w:val="77AAE648"/>
    <w:rsid w:val="77B6A8C1"/>
    <w:rsid w:val="77B82D3A"/>
    <w:rsid w:val="77C58835"/>
    <w:rsid w:val="77C625EF"/>
    <w:rsid w:val="77CA42D1"/>
    <w:rsid w:val="77D35C39"/>
    <w:rsid w:val="77D4ECC8"/>
    <w:rsid w:val="77D54868"/>
    <w:rsid w:val="77D68669"/>
    <w:rsid w:val="77DAFA6A"/>
    <w:rsid w:val="77DBA416"/>
    <w:rsid w:val="77DC41A0"/>
    <w:rsid w:val="77DEA386"/>
    <w:rsid w:val="77ECC6BC"/>
    <w:rsid w:val="77EF0029"/>
    <w:rsid w:val="77F229A5"/>
    <w:rsid w:val="77F74148"/>
    <w:rsid w:val="77F8FAC3"/>
    <w:rsid w:val="78026E41"/>
    <w:rsid w:val="78042898"/>
    <w:rsid w:val="780A2659"/>
    <w:rsid w:val="780B1122"/>
    <w:rsid w:val="780BDA08"/>
    <w:rsid w:val="780C7A66"/>
    <w:rsid w:val="78125FC0"/>
    <w:rsid w:val="7815D2FD"/>
    <w:rsid w:val="7817C8B1"/>
    <w:rsid w:val="7819CCC9"/>
    <w:rsid w:val="781EF103"/>
    <w:rsid w:val="7823672A"/>
    <w:rsid w:val="782D463D"/>
    <w:rsid w:val="782F6677"/>
    <w:rsid w:val="783251EF"/>
    <w:rsid w:val="7839A1A2"/>
    <w:rsid w:val="783B464D"/>
    <w:rsid w:val="783EF7C5"/>
    <w:rsid w:val="784153B8"/>
    <w:rsid w:val="78466CCD"/>
    <w:rsid w:val="784B5319"/>
    <w:rsid w:val="784BD3D6"/>
    <w:rsid w:val="784D982D"/>
    <w:rsid w:val="784E90A9"/>
    <w:rsid w:val="784F2DDC"/>
    <w:rsid w:val="785018FA"/>
    <w:rsid w:val="785BD0A2"/>
    <w:rsid w:val="785D3457"/>
    <w:rsid w:val="78669DD6"/>
    <w:rsid w:val="7868E9F8"/>
    <w:rsid w:val="786DBAC5"/>
    <w:rsid w:val="787AB8DE"/>
    <w:rsid w:val="787D3A9B"/>
    <w:rsid w:val="787D4AC0"/>
    <w:rsid w:val="7885F3C9"/>
    <w:rsid w:val="7887D0F4"/>
    <w:rsid w:val="788C1689"/>
    <w:rsid w:val="788CE981"/>
    <w:rsid w:val="788E4BD6"/>
    <w:rsid w:val="78906F1E"/>
    <w:rsid w:val="7893E4D2"/>
    <w:rsid w:val="7895E185"/>
    <w:rsid w:val="78964AE3"/>
    <w:rsid w:val="78A7B115"/>
    <w:rsid w:val="78A7CAE7"/>
    <w:rsid w:val="78AD12B9"/>
    <w:rsid w:val="78B8765A"/>
    <w:rsid w:val="78B94681"/>
    <w:rsid w:val="78BBF1A9"/>
    <w:rsid w:val="78C3BDBA"/>
    <w:rsid w:val="78C4F415"/>
    <w:rsid w:val="78C7F2A9"/>
    <w:rsid w:val="78C9C506"/>
    <w:rsid w:val="78CF0AAC"/>
    <w:rsid w:val="78CFA113"/>
    <w:rsid w:val="78D04DA6"/>
    <w:rsid w:val="78D3E080"/>
    <w:rsid w:val="78D59A12"/>
    <w:rsid w:val="78DC569B"/>
    <w:rsid w:val="78DD8C99"/>
    <w:rsid w:val="78E0C1CB"/>
    <w:rsid w:val="78E29E00"/>
    <w:rsid w:val="78E79769"/>
    <w:rsid w:val="78EBDB90"/>
    <w:rsid w:val="78F06774"/>
    <w:rsid w:val="78F334DF"/>
    <w:rsid w:val="78F80D30"/>
    <w:rsid w:val="78F8B8A3"/>
    <w:rsid w:val="78FE824A"/>
    <w:rsid w:val="79013DEA"/>
    <w:rsid w:val="79018CA4"/>
    <w:rsid w:val="79035FA2"/>
    <w:rsid w:val="7904EA3A"/>
    <w:rsid w:val="790888D8"/>
    <w:rsid w:val="790AA207"/>
    <w:rsid w:val="790C6C6D"/>
    <w:rsid w:val="7912C8BA"/>
    <w:rsid w:val="7915CF1A"/>
    <w:rsid w:val="791F1466"/>
    <w:rsid w:val="79207142"/>
    <w:rsid w:val="792FB487"/>
    <w:rsid w:val="7930238C"/>
    <w:rsid w:val="793ADE54"/>
    <w:rsid w:val="79427CD2"/>
    <w:rsid w:val="794649A9"/>
    <w:rsid w:val="7946F6C0"/>
    <w:rsid w:val="794BD660"/>
    <w:rsid w:val="794CC957"/>
    <w:rsid w:val="794FB13C"/>
    <w:rsid w:val="795548C8"/>
    <w:rsid w:val="7955A777"/>
    <w:rsid w:val="7957B48B"/>
    <w:rsid w:val="7958F166"/>
    <w:rsid w:val="795BEF33"/>
    <w:rsid w:val="795C9885"/>
    <w:rsid w:val="795E0E95"/>
    <w:rsid w:val="796540B5"/>
    <w:rsid w:val="796E849E"/>
    <w:rsid w:val="796EC555"/>
    <w:rsid w:val="7973FDAF"/>
    <w:rsid w:val="7975B03E"/>
    <w:rsid w:val="79771A4A"/>
    <w:rsid w:val="797926D8"/>
    <w:rsid w:val="798142F3"/>
    <w:rsid w:val="79830D45"/>
    <w:rsid w:val="7985ACE8"/>
    <w:rsid w:val="7985C023"/>
    <w:rsid w:val="798621C1"/>
    <w:rsid w:val="79884269"/>
    <w:rsid w:val="798DC759"/>
    <w:rsid w:val="7992A5BE"/>
    <w:rsid w:val="7994CB04"/>
    <w:rsid w:val="799554CC"/>
    <w:rsid w:val="79958C51"/>
    <w:rsid w:val="7996BF10"/>
    <w:rsid w:val="79A062D0"/>
    <w:rsid w:val="79A10173"/>
    <w:rsid w:val="79A21703"/>
    <w:rsid w:val="79A2432D"/>
    <w:rsid w:val="79A62032"/>
    <w:rsid w:val="79A8F090"/>
    <w:rsid w:val="79AB22B0"/>
    <w:rsid w:val="79AD1B8F"/>
    <w:rsid w:val="79AD64C8"/>
    <w:rsid w:val="79AEDB9F"/>
    <w:rsid w:val="79B01BB1"/>
    <w:rsid w:val="79B879B2"/>
    <w:rsid w:val="79BB2FBD"/>
    <w:rsid w:val="79BDF32B"/>
    <w:rsid w:val="79C0BE0D"/>
    <w:rsid w:val="79C60712"/>
    <w:rsid w:val="79C94B7E"/>
    <w:rsid w:val="79CB1EEB"/>
    <w:rsid w:val="79D1C1B9"/>
    <w:rsid w:val="79D40D98"/>
    <w:rsid w:val="79DFA3B6"/>
    <w:rsid w:val="79ECA5C5"/>
    <w:rsid w:val="79EEBA60"/>
    <w:rsid w:val="79F7EBF4"/>
    <w:rsid w:val="79FBD8AE"/>
    <w:rsid w:val="7A041E15"/>
    <w:rsid w:val="7A04773B"/>
    <w:rsid w:val="7A06308A"/>
    <w:rsid w:val="7A06CC08"/>
    <w:rsid w:val="7A0A225C"/>
    <w:rsid w:val="7A0A272C"/>
    <w:rsid w:val="7A0B7FD1"/>
    <w:rsid w:val="7A0BF3FD"/>
    <w:rsid w:val="7A0F3129"/>
    <w:rsid w:val="7A12FFDC"/>
    <w:rsid w:val="7A14C53F"/>
    <w:rsid w:val="7A17F7B1"/>
    <w:rsid w:val="7A1885D5"/>
    <w:rsid w:val="7A1D6384"/>
    <w:rsid w:val="7A1FAAE5"/>
    <w:rsid w:val="7A24DE9D"/>
    <w:rsid w:val="7A250234"/>
    <w:rsid w:val="7A2C5D8F"/>
    <w:rsid w:val="7A30DC20"/>
    <w:rsid w:val="7A328146"/>
    <w:rsid w:val="7A3446EF"/>
    <w:rsid w:val="7A34D6F6"/>
    <w:rsid w:val="7A35E718"/>
    <w:rsid w:val="7A381948"/>
    <w:rsid w:val="7A3A685E"/>
    <w:rsid w:val="7A423D98"/>
    <w:rsid w:val="7A47420C"/>
    <w:rsid w:val="7A478CBE"/>
    <w:rsid w:val="7A49DCE6"/>
    <w:rsid w:val="7A4B331C"/>
    <w:rsid w:val="7A4FF73B"/>
    <w:rsid w:val="7A5302F6"/>
    <w:rsid w:val="7A54C4B6"/>
    <w:rsid w:val="7A56E83D"/>
    <w:rsid w:val="7A5D356D"/>
    <w:rsid w:val="7A63CF3A"/>
    <w:rsid w:val="7A6561E6"/>
    <w:rsid w:val="7A659863"/>
    <w:rsid w:val="7A67F692"/>
    <w:rsid w:val="7A6868D0"/>
    <w:rsid w:val="7A70080B"/>
    <w:rsid w:val="7A71D99B"/>
    <w:rsid w:val="7A793327"/>
    <w:rsid w:val="7A83AB5D"/>
    <w:rsid w:val="7A84680B"/>
    <w:rsid w:val="7A86D20B"/>
    <w:rsid w:val="7A888623"/>
    <w:rsid w:val="7A8D45A6"/>
    <w:rsid w:val="7A979C44"/>
    <w:rsid w:val="7A981F8C"/>
    <w:rsid w:val="7A9C57CA"/>
    <w:rsid w:val="7AA2E1A0"/>
    <w:rsid w:val="7AA864C3"/>
    <w:rsid w:val="7AA8988D"/>
    <w:rsid w:val="7AA93F1F"/>
    <w:rsid w:val="7AA9FE0D"/>
    <w:rsid w:val="7AB9B7C7"/>
    <w:rsid w:val="7AC3213A"/>
    <w:rsid w:val="7AC46051"/>
    <w:rsid w:val="7AC5DA9C"/>
    <w:rsid w:val="7AC5F09A"/>
    <w:rsid w:val="7AD4907B"/>
    <w:rsid w:val="7AD95640"/>
    <w:rsid w:val="7AD98D7C"/>
    <w:rsid w:val="7ADC4F30"/>
    <w:rsid w:val="7AEEC2A1"/>
    <w:rsid w:val="7AF031EA"/>
    <w:rsid w:val="7AF17055"/>
    <w:rsid w:val="7AF63F14"/>
    <w:rsid w:val="7AFA3A7C"/>
    <w:rsid w:val="7AFC39CC"/>
    <w:rsid w:val="7B03D0B6"/>
    <w:rsid w:val="7B06FBD5"/>
    <w:rsid w:val="7B07AF5C"/>
    <w:rsid w:val="7B14B6D7"/>
    <w:rsid w:val="7B16048C"/>
    <w:rsid w:val="7B17DC8B"/>
    <w:rsid w:val="7B182DC1"/>
    <w:rsid w:val="7B1F14F2"/>
    <w:rsid w:val="7B23DA61"/>
    <w:rsid w:val="7B245187"/>
    <w:rsid w:val="7B30AD42"/>
    <w:rsid w:val="7B3B939D"/>
    <w:rsid w:val="7B41333A"/>
    <w:rsid w:val="7B433E63"/>
    <w:rsid w:val="7B44BCC7"/>
    <w:rsid w:val="7B475CDA"/>
    <w:rsid w:val="7B4A3DFB"/>
    <w:rsid w:val="7B4E1406"/>
    <w:rsid w:val="7B4E63CB"/>
    <w:rsid w:val="7B5047EF"/>
    <w:rsid w:val="7B506DA5"/>
    <w:rsid w:val="7B5416F3"/>
    <w:rsid w:val="7B567119"/>
    <w:rsid w:val="7B57828A"/>
    <w:rsid w:val="7B5EB8AF"/>
    <w:rsid w:val="7B5F2B45"/>
    <w:rsid w:val="7B67E0E5"/>
    <w:rsid w:val="7B6F65A4"/>
    <w:rsid w:val="7B745201"/>
    <w:rsid w:val="7B75F376"/>
    <w:rsid w:val="7B7757B1"/>
    <w:rsid w:val="7B7EA399"/>
    <w:rsid w:val="7B80FF9B"/>
    <w:rsid w:val="7B83D8EE"/>
    <w:rsid w:val="7B840AA3"/>
    <w:rsid w:val="7B8806E2"/>
    <w:rsid w:val="7B8EA40C"/>
    <w:rsid w:val="7B900340"/>
    <w:rsid w:val="7B92B76D"/>
    <w:rsid w:val="7B93F787"/>
    <w:rsid w:val="7B976537"/>
    <w:rsid w:val="7B9992A4"/>
    <w:rsid w:val="7B9A106C"/>
    <w:rsid w:val="7BA047F2"/>
    <w:rsid w:val="7BA1BECE"/>
    <w:rsid w:val="7BA531D1"/>
    <w:rsid w:val="7BA8806C"/>
    <w:rsid w:val="7BB524AA"/>
    <w:rsid w:val="7BC7DE9E"/>
    <w:rsid w:val="7BD31A6D"/>
    <w:rsid w:val="7BD6C2D7"/>
    <w:rsid w:val="7BD6D5A0"/>
    <w:rsid w:val="7BE17415"/>
    <w:rsid w:val="7BE2AD34"/>
    <w:rsid w:val="7BE8F5A6"/>
    <w:rsid w:val="7BE9CAED"/>
    <w:rsid w:val="7BEBA40A"/>
    <w:rsid w:val="7BF45DC8"/>
    <w:rsid w:val="7BF8DD35"/>
    <w:rsid w:val="7BFA422A"/>
    <w:rsid w:val="7BFC6F1A"/>
    <w:rsid w:val="7BFCFCA8"/>
    <w:rsid w:val="7C0157F9"/>
    <w:rsid w:val="7C01CB1C"/>
    <w:rsid w:val="7C0C1680"/>
    <w:rsid w:val="7C0D2C94"/>
    <w:rsid w:val="7C12994A"/>
    <w:rsid w:val="7C149C26"/>
    <w:rsid w:val="7C19C80A"/>
    <w:rsid w:val="7C1F2665"/>
    <w:rsid w:val="7C21DC1F"/>
    <w:rsid w:val="7C29984B"/>
    <w:rsid w:val="7C2CF03B"/>
    <w:rsid w:val="7C2E9E09"/>
    <w:rsid w:val="7C32E7A6"/>
    <w:rsid w:val="7C353A3C"/>
    <w:rsid w:val="7C3D32EC"/>
    <w:rsid w:val="7C406C8A"/>
    <w:rsid w:val="7C4093A3"/>
    <w:rsid w:val="7C431C4C"/>
    <w:rsid w:val="7C4ADE03"/>
    <w:rsid w:val="7C52BF8D"/>
    <w:rsid w:val="7C5367D2"/>
    <w:rsid w:val="7C63F478"/>
    <w:rsid w:val="7C682111"/>
    <w:rsid w:val="7C6AFDF2"/>
    <w:rsid w:val="7C6C0697"/>
    <w:rsid w:val="7C6F39C6"/>
    <w:rsid w:val="7C729101"/>
    <w:rsid w:val="7C736734"/>
    <w:rsid w:val="7C773DF4"/>
    <w:rsid w:val="7C7B06FC"/>
    <w:rsid w:val="7C7CAB45"/>
    <w:rsid w:val="7C87E958"/>
    <w:rsid w:val="7C89E3A9"/>
    <w:rsid w:val="7C8D3C6B"/>
    <w:rsid w:val="7C8DACC7"/>
    <w:rsid w:val="7C8DE85B"/>
    <w:rsid w:val="7C915544"/>
    <w:rsid w:val="7C919943"/>
    <w:rsid w:val="7C92158B"/>
    <w:rsid w:val="7C9B95EC"/>
    <w:rsid w:val="7C9DF538"/>
    <w:rsid w:val="7CA17218"/>
    <w:rsid w:val="7CA4A96B"/>
    <w:rsid w:val="7CA67205"/>
    <w:rsid w:val="7CA68FC1"/>
    <w:rsid w:val="7CA7E3B5"/>
    <w:rsid w:val="7CAE96FD"/>
    <w:rsid w:val="7CB9C797"/>
    <w:rsid w:val="7CBA09D8"/>
    <w:rsid w:val="7CBD4A0C"/>
    <w:rsid w:val="7CC42BA3"/>
    <w:rsid w:val="7CC6B6A9"/>
    <w:rsid w:val="7CC782FA"/>
    <w:rsid w:val="7CCBDA8A"/>
    <w:rsid w:val="7CDE486D"/>
    <w:rsid w:val="7CDED902"/>
    <w:rsid w:val="7CE23193"/>
    <w:rsid w:val="7CE489B7"/>
    <w:rsid w:val="7CED2271"/>
    <w:rsid w:val="7CF2A389"/>
    <w:rsid w:val="7CFA55C5"/>
    <w:rsid w:val="7CFBC94F"/>
    <w:rsid w:val="7CFC8105"/>
    <w:rsid w:val="7D03418F"/>
    <w:rsid w:val="7D05D49C"/>
    <w:rsid w:val="7D06EA23"/>
    <w:rsid w:val="7D089DA5"/>
    <w:rsid w:val="7D0BB372"/>
    <w:rsid w:val="7D0E3B6E"/>
    <w:rsid w:val="7D0F1632"/>
    <w:rsid w:val="7D10ECA9"/>
    <w:rsid w:val="7D126614"/>
    <w:rsid w:val="7D18E143"/>
    <w:rsid w:val="7D1BABC3"/>
    <w:rsid w:val="7D1D6CE7"/>
    <w:rsid w:val="7D1E49CF"/>
    <w:rsid w:val="7D21D757"/>
    <w:rsid w:val="7D236040"/>
    <w:rsid w:val="7D24C690"/>
    <w:rsid w:val="7D2C8A9A"/>
    <w:rsid w:val="7D32996C"/>
    <w:rsid w:val="7D36A097"/>
    <w:rsid w:val="7D4577DA"/>
    <w:rsid w:val="7D535F2C"/>
    <w:rsid w:val="7D561499"/>
    <w:rsid w:val="7D61947D"/>
    <w:rsid w:val="7D64625D"/>
    <w:rsid w:val="7D64E95B"/>
    <w:rsid w:val="7D653868"/>
    <w:rsid w:val="7D659F64"/>
    <w:rsid w:val="7D65D13C"/>
    <w:rsid w:val="7D679ECC"/>
    <w:rsid w:val="7D681135"/>
    <w:rsid w:val="7D685B88"/>
    <w:rsid w:val="7D6BC0B7"/>
    <w:rsid w:val="7D6E23D7"/>
    <w:rsid w:val="7D73BB6E"/>
    <w:rsid w:val="7D756475"/>
    <w:rsid w:val="7D7795C0"/>
    <w:rsid w:val="7D7A7566"/>
    <w:rsid w:val="7D7AD28C"/>
    <w:rsid w:val="7D85312D"/>
    <w:rsid w:val="7D860BE5"/>
    <w:rsid w:val="7D925ECB"/>
    <w:rsid w:val="7D92A97B"/>
    <w:rsid w:val="7D935E71"/>
    <w:rsid w:val="7D99BC2A"/>
    <w:rsid w:val="7D9B5486"/>
    <w:rsid w:val="7DA09074"/>
    <w:rsid w:val="7DA0DDF6"/>
    <w:rsid w:val="7DA17C08"/>
    <w:rsid w:val="7DAA9D2A"/>
    <w:rsid w:val="7DAE81AA"/>
    <w:rsid w:val="7DB0FEB9"/>
    <w:rsid w:val="7DB4E344"/>
    <w:rsid w:val="7DB7F6B6"/>
    <w:rsid w:val="7DC0C232"/>
    <w:rsid w:val="7DC5EA51"/>
    <w:rsid w:val="7DC87505"/>
    <w:rsid w:val="7DCCD786"/>
    <w:rsid w:val="7DCD918F"/>
    <w:rsid w:val="7DD3285D"/>
    <w:rsid w:val="7DD7B36B"/>
    <w:rsid w:val="7DDD9090"/>
    <w:rsid w:val="7DE224DD"/>
    <w:rsid w:val="7DE3B253"/>
    <w:rsid w:val="7DEA70C6"/>
    <w:rsid w:val="7DEAC6BB"/>
    <w:rsid w:val="7DEB2F48"/>
    <w:rsid w:val="7DEBA549"/>
    <w:rsid w:val="7DEF2C70"/>
    <w:rsid w:val="7DF4518B"/>
    <w:rsid w:val="7DF46FDE"/>
    <w:rsid w:val="7DF5409D"/>
    <w:rsid w:val="7DF815AF"/>
    <w:rsid w:val="7DFC3A58"/>
    <w:rsid w:val="7DFD3E11"/>
    <w:rsid w:val="7E008F32"/>
    <w:rsid w:val="7E0E18EE"/>
    <w:rsid w:val="7E12D67E"/>
    <w:rsid w:val="7E1ACB44"/>
    <w:rsid w:val="7E1E5188"/>
    <w:rsid w:val="7E28996E"/>
    <w:rsid w:val="7E29D5DF"/>
    <w:rsid w:val="7E2ADF66"/>
    <w:rsid w:val="7E2BA337"/>
    <w:rsid w:val="7E2E0388"/>
    <w:rsid w:val="7E335C76"/>
    <w:rsid w:val="7E37BB65"/>
    <w:rsid w:val="7E387F86"/>
    <w:rsid w:val="7E396192"/>
    <w:rsid w:val="7E3AFD32"/>
    <w:rsid w:val="7E3C12B8"/>
    <w:rsid w:val="7E3EFC4F"/>
    <w:rsid w:val="7E3F9F6D"/>
    <w:rsid w:val="7E42B883"/>
    <w:rsid w:val="7E436E14"/>
    <w:rsid w:val="7E469B4D"/>
    <w:rsid w:val="7E473E29"/>
    <w:rsid w:val="7E5148CA"/>
    <w:rsid w:val="7E5BC66F"/>
    <w:rsid w:val="7E5C55FD"/>
    <w:rsid w:val="7E5CEA95"/>
    <w:rsid w:val="7E5F05CB"/>
    <w:rsid w:val="7E64C6AE"/>
    <w:rsid w:val="7E695FBC"/>
    <w:rsid w:val="7E6A9DA2"/>
    <w:rsid w:val="7E6AE604"/>
    <w:rsid w:val="7E6C7CA5"/>
    <w:rsid w:val="7E6E2452"/>
    <w:rsid w:val="7E70672F"/>
    <w:rsid w:val="7E70F981"/>
    <w:rsid w:val="7E763995"/>
    <w:rsid w:val="7E776E49"/>
    <w:rsid w:val="7E801503"/>
    <w:rsid w:val="7E80774D"/>
    <w:rsid w:val="7E83D389"/>
    <w:rsid w:val="7E8B1624"/>
    <w:rsid w:val="7E95958B"/>
    <w:rsid w:val="7E965CF3"/>
    <w:rsid w:val="7EA29B60"/>
    <w:rsid w:val="7EAEB1DF"/>
    <w:rsid w:val="7EB4BBC6"/>
    <w:rsid w:val="7EB6CF03"/>
    <w:rsid w:val="7EBFA023"/>
    <w:rsid w:val="7EC26479"/>
    <w:rsid w:val="7EC77F2B"/>
    <w:rsid w:val="7EC9E393"/>
    <w:rsid w:val="7ECA5526"/>
    <w:rsid w:val="7ECBCB51"/>
    <w:rsid w:val="7ED138C5"/>
    <w:rsid w:val="7ED846EB"/>
    <w:rsid w:val="7EDA0333"/>
    <w:rsid w:val="7EDDCA98"/>
    <w:rsid w:val="7EDE1661"/>
    <w:rsid w:val="7EDE4D18"/>
    <w:rsid w:val="7EDEDE9F"/>
    <w:rsid w:val="7EE22D24"/>
    <w:rsid w:val="7EEB587A"/>
    <w:rsid w:val="7EEDE50A"/>
    <w:rsid w:val="7EF2E244"/>
    <w:rsid w:val="7EF45D13"/>
    <w:rsid w:val="7EF61154"/>
    <w:rsid w:val="7EFB319B"/>
    <w:rsid w:val="7EFC8755"/>
    <w:rsid w:val="7EFED7B9"/>
    <w:rsid w:val="7F03E04F"/>
    <w:rsid w:val="7F045D55"/>
    <w:rsid w:val="7F07C8F3"/>
    <w:rsid w:val="7F087713"/>
    <w:rsid w:val="7F0885CC"/>
    <w:rsid w:val="7F10AF33"/>
    <w:rsid w:val="7F1376E6"/>
    <w:rsid w:val="7F18BE46"/>
    <w:rsid w:val="7F194504"/>
    <w:rsid w:val="7F20F454"/>
    <w:rsid w:val="7F212DF7"/>
    <w:rsid w:val="7F27D06D"/>
    <w:rsid w:val="7F2A7930"/>
    <w:rsid w:val="7F2E1CE2"/>
    <w:rsid w:val="7F2E4781"/>
    <w:rsid w:val="7F2F227C"/>
    <w:rsid w:val="7F304DA9"/>
    <w:rsid w:val="7F3339B3"/>
    <w:rsid w:val="7F339B8C"/>
    <w:rsid w:val="7F363276"/>
    <w:rsid w:val="7F385651"/>
    <w:rsid w:val="7F3A1037"/>
    <w:rsid w:val="7F3B92E2"/>
    <w:rsid w:val="7F4583F6"/>
    <w:rsid w:val="7F48FFEF"/>
    <w:rsid w:val="7F4FD64C"/>
    <w:rsid w:val="7F5055B4"/>
    <w:rsid w:val="7F51025D"/>
    <w:rsid w:val="7F52397D"/>
    <w:rsid w:val="7F5D93F8"/>
    <w:rsid w:val="7F66AD62"/>
    <w:rsid w:val="7F680F01"/>
    <w:rsid w:val="7F71A063"/>
    <w:rsid w:val="7F7E4FC3"/>
    <w:rsid w:val="7F84F303"/>
    <w:rsid w:val="7F85D96B"/>
    <w:rsid w:val="7F8962D4"/>
    <w:rsid w:val="7F8C06AF"/>
    <w:rsid w:val="7F8E93F7"/>
    <w:rsid w:val="7F8F130E"/>
    <w:rsid w:val="7F924168"/>
    <w:rsid w:val="7F95C6CD"/>
    <w:rsid w:val="7F98FC5D"/>
    <w:rsid w:val="7F9B99F8"/>
    <w:rsid w:val="7FA25273"/>
    <w:rsid w:val="7FA2B3DD"/>
    <w:rsid w:val="7FA2C64F"/>
    <w:rsid w:val="7FA2D10B"/>
    <w:rsid w:val="7FA342F5"/>
    <w:rsid w:val="7FA73395"/>
    <w:rsid w:val="7FA93C3C"/>
    <w:rsid w:val="7FAA2C2D"/>
    <w:rsid w:val="7FAD174D"/>
    <w:rsid w:val="7FAF0B15"/>
    <w:rsid w:val="7FB16462"/>
    <w:rsid w:val="7FB1FA61"/>
    <w:rsid w:val="7FB6B914"/>
    <w:rsid w:val="7FB8EFCE"/>
    <w:rsid w:val="7FBE4F7E"/>
    <w:rsid w:val="7FCF9896"/>
    <w:rsid w:val="7FD18586"/>
    <w:rsid w:val="7FD483A3"/>
    <w:rsid w:val="7FD4FD90"/>
    <w:rsid w:val="7FDD0052"/>
    <w:rsid w:val="7FDFB440"/>
    <w:rsid w:val="7FE6A678"/>
    <w:rsid w:val="7FEC0FE4"/>
    <w:rsid w:val="7FF38225"/>
    <w:rsid w:val="7FFA6F66"/>
    <w:rsid w:val="7FFE88F9"/>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E548F1"/>
  <w15:chartTrackingRefBased/>
  <w15:docId w15:val="{768AAAE7-5667-4D7B-9494-ABA3FC187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4E362888"/>
  </w:style>
  <w:style w:type="paragraph" w:styleId="Heading1">
    <w:name w:val="heading 1"/>
    <w:basedOn w:val="Normal"/>
    <w:next w:val="Normal"/>
    <w:link w:val="Heading1Char"/>
    <w:uiPriority w:val="9"/>
    <w:qFormat/>
    <w:rsid w:val="001A573E"/>
    <w:pPr>
      <w:keepNext/>
      <w:keepLines/>
      <w:numPr>
        <w:numId w:val="31"/>
      </w:numPr>
      <w:spacing w:before="240" w:after="120"/>
      <w:outlineLvl w:val="0"/>
    </w:pPr>
    <w:rPr>
      <w:rFonts w:ascii="Times New Roman" w:eastAsiaTheme="majorEastAsia" w:hAnsi="Times New Roman" w:cstheme="majorBidi"/>
      <w:b/>
      <w:sz w:val="28"/>
      <w:szCs w:val="32"/>
    </w:rPr>
  </w:style>
  <w:style w:type="paragraph" w:styleId="Heading2">
    <w:name w:val="heading 2"/>
    <w:basedOn w:val="Normal"/>
    <w:next w:val="Normal"/>
    <w:uiPriority w:val="9"/>
    <w:unhideWhenUsed/>
    <w:qFormat/>
    <w:rsid w:val="00CD036E"/>
    <w:pPr>
      <w:keepNext/>
      <w:keepLines/>
      <w:numPr>
        <w:ilvl w:val="1"/>
        <w:numId w:val="32"/>
      </w:numPr>
      <w:spacing w:before="40" w:after="120"/>
      <w:outlineLvl w:val="1"/>
    </w:pPr>
    <w:rPr>
      <w:rFonts w:ascii="Times New Roman" w:eastAsiaTheme="majorEastAsia" w:hAnsi="Times New Roman" w:cstheme="majorBidi"/>
      <w:b/>
      <w:sz w:val="24"/>
      <w:szCs w:val="26"/>
    </w:rPr>
  </w:style>
  <w:style w:type="paragraph" w:styleId="Heading3">
    <w:name w:val="heading 3"/>
    <w:basedOn w:val="Normal"/>
    <w:next w:val="Normal"/>
    <w:uiPriority w:val="9"/>
    <w:unhideWhenUsed/>
    <w:qFormat/>
    <w:rsid w:val="00FE6559"/>
    <w:pPr>
      <w:keepNext/>
      <w:keepLines/>
      <w:numPr>
        <w:ilvl w:val="1"/>
        <w:numId w:val="28"/>
      </w:numPr>
      <w:spacing w:before="40" w:after="120"/>
      <w:outlineLvl w:val="2"/>
    </w:pPr>
    <w:rPr>
      <w:rFonts w:ascii="Times New Roman" w:eastAsiaTheme="majorEastAsia" w:hAnsi="Times New Roman" w:cstheme="majorBidi"/>
      <w:b/>
      <w:sz w:val="24"/>
      <w:szCs w:val="24"/>
    </w:rPr>
  </w:style>
  <w:style w:type="paragraph" w:styleId="Heading4">
    <w:name w:val="heading 4"/>
    <w:basedOn w:val="Normal"/>
    <w:next w:val="Normal"/>
    <w:uiPriority w:val="9"/>
    <w:unhideWhenUsed/>
    <w:qFormat/>
    <w:rsid w:val="00537103"/>
    <w:pPr>
      <w:keepNext/>
      <w:keepLines/>
      <w:numPr>
        <w:ilvl w:val="1"/>
        <w:numId w:val="30"/>
      </w:numPr>
      <w:spacing w:before="40" w:after="0"/>
      <w:outlineLvl w:val="3"/>
    </w:pPr>
    <w:rPr>
      <w:rFonts w:ascii="Times New Roman" w:eastAsiaTheme="majorEastAsia" w:hAnsi="Times New Roman" w:cstheme="majorBidi"/>
      <w:b/>
      <w:iCs/>
      <w:sz w:val="24"/>
    </w:rPr>
  </w:style>
  <w:style w:type="paragraph" w:styleId="Heading5">
    <w:name w:val="heading 5"/>
    <w:basedOn w:val="Normal"/>
    <w:next w:val="Normal"/>
    <w:uiPriority w:val="9"/>
    <w:unhideWhenUsed/>
    <w:qFormat/>
    <w:rsid w:val="008B1FDB"/>
    <w:pPr>
      <w:keepNext/>
      <w:keepLines/>
      <w:numPr>
        <w:ilvl w:val="1"/>
        <w:numId w:val="31"/>
      </w:numPr>
      <w:spacing w:before="40" w:after="0"/>
      <w:outlineLvl w:val="4"/>
    </w:pPr>
    <w:rPr>
      <w:rFonts w:ascii="Times New Roman" w:eastAsiaTheme="majorEastAsia" w:hAnsi="Times New Roman" w:cstheme="majorBidi"/>
      <w:b/>
      <w:sz w:val="24"/>
    </w:rPr>
  </w:style>
  <w:style w:type="paragraph" w:styleId="Heading6">
    <w:name w:val="heading 6"/>
    <w:basedOn w:val="Normal"/>
    <w:next w:val="Normal"/>
    <w:uiPriority w:val="9"/>
    <w:unhideWhenUsed/>
    <w:qFormat/>
    <w:rsid w:val="4E362888"/>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uiPriority w:val="9"/>
    <w:unhideWhenUsed/>
    <w:qFormat/>
    <w:rsid w:val="4E362888"/>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4E362888"/>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4E362888"/>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CB1"/>
    <w:rPr>
      <w:rFonts w:ascii="Times New Roman" w:eastAsiaTheme="majorEastAsia" w:hAnsi="Times New Roman" w:cstheme="majorBidi"/>
      <w:b/>
      <w:sz w:val="28"/>
      <w:szCs w:val="32"/>
      <w:lang w:val="fr-FR"/>
    </w:rPr>
  </w:style>
  <w:style w:type="character" w:customStyle="1" w:styleId="Marker">
    <w:name w:val="Marker"/>
    <w:basedOn w:val="DefaultParagraphFont"/>
    <w:rsid w:val="00C23CB1"/>
    <w:rPr>
      <w:color w:val="0000FF"/>
      <w:shd w:val="clear" w:color="auto" w:fill="auto"/>
    </w:rPr>
  </w:style>
  <w:style w:type="paragraph" w:styleId="Header">
    <w:name w:val="header"/>
    <w:basedOn w:val="Normal"/>
    <w:link w:val="HeaderChar"/>
    <w:uiPriority w:val="99"/>
    <w:unhideWhenUsed/>
    <w:rsid w:val="4E362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CB1"/>
    <w:rPr>
      <w:lang w:val="fr-FR"/>
    </w:rPr>
  </w:style>
  <w:style w:type="paragraph" w:styleId="Footer">
    <w:name w:val="footer"/>
    <w:basedOn w:val="Normal"/>
    <w:link w:val="FooterChar"/>
    <w:uiPriority w:val="99"/>
    <w:unhideWhenUsed/>
    <w:rsid w:val="4E362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CB1"/>
    <w:rPr>
      <w:lang w:val="fr-FR"/>
    </w:rPr>
  </w:style>
  <w:style w:type="paragraph" w:customStyle="1" w:styleId="Pagedecouverture">
    <w:name w:val="Page de couverture"/>
    <w:basedOn w:val="Normal"/>
    <w:next w:val="Normal"/>
    <w:uiPriority w:val="1"/>
    <w:rsid w:val="4E362888"/>
    <w:pPr>
      <w:spacing w:after="0" w:line="240" w:lineRule="auto"/>
      <w:jc w:val="both"/>
    </w:pPr>
    <w:rPr>
      <w:rFonts w:ascii="Times New Roman" w:hAnsi="Times New Roman" w:cs="Times New Roman"/>
      <w:sz w:val="24"/>
      <w:szCs w:val="24"/>
    </w:rPr>
  </w:style>
  <w:style w:type="paragraph" w:customStyle="1" w:styleId="FooterCoverPage">
    <w:name w:val="Footer Cover Page"/>
    <w:basedOn w:val="Normal"/>
    <w:link w:val="FooterCoverPageChar"/>
    <w:rsid w:val="4E36288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23CB1"/>
    <w:rPr>
      <w:rFonts w:ascii="Times New Roman" w:hAnsi="Times New Roman" w:cs="Times New Roman"/>
      <w:sz w:val="24"/>
    </w:rPr>
  </w:style>
  <w:style w:type="paragraph" w:customStyle="1" w:styleId="FooterSensitivity">
    <w:name w:val="Footer Sensitivity"/>
    <w:basedOn w:val="Normal"/>
    <w:link w:val="FooterSensitivityChar"/>
    <w:rsid w:val="4E36288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23CB1"/>
    <w:rPr>
      <w:rFonts w:ascii="Times New Roman" w:hAnsi="Times New Roman" w:cs="Times New Roman"/>
      <w:b/>
      <w:sz w:val="32"/>
    </w:rPr>
  </w:style>
  <w:style w:type="paragraph" w:customStyle="1" w:styleId="HeaderCoverPage">
    <w:name w:val="Header Cover Page"/>
    <w:basedOn w:val="Normal"/>
    <w:link w:val="HeaderCoverPageChar"/>
    <w:rsid w:val="4E36288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23CB1"/>
    <w:rPr>
      <w:rFonts w:ascii="Times New Roman" w:hAnsi="Times New Roman" w:cs="Times New Roman"/>
      <w:sz w:val="24"/>
    </w:rPr>
  </w:style>
  <w:style w:type="paragraph" w:customStyle="1" w:styleId="HeaderSensitivity">
    <w:name w:val="Header Sensitivity"/>
    <w:basedOn w:val="Normal"/>
    <w:link w:val="HeaderSensitivityChar"/>
    <w:rsid w:val="4E36288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23CB1"/>
    <w:rPr>
      <w:rFonts w:ascii="Times New Roman" w:hAnsi="Times New Roman" w:cs="Times New Roman"/>
      <w:b/>
      <w:sz w:val="32"/>
    </w:rPr>
  </w:style>
  <w:style w:type="paragraph" w:customStyle="1" w:styleId="HeaderSensitivityRight">
    <w:name w:val="Header Sensitivity Right"/>
    <w:basedOn w:val="Normal"/>
    <w:link w:val="HeaderSensitivityRightChar"/>
    <w:rsid w:val="4E36288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23CB1"/>
    <w:rPr>
      <w:rFonts w:ascii="Times New Roman" w:hAnsi="Times New Roman" w:cs="Times New Roman"/>
      <w:sz w:val="28"/>
    </w:rPr>
  </w:style>
  <w:style w:type="paragraph" w:styleId="ListParagraph">
    <w:name w:val="List Paragraph"/>
    <w:basedOn w:val="Normal"/>
    <w:link w:val="ListParagraphChar"/>
    <w:uiPriority w:val="34"/>
    <w:qFormat/>
    <w:rsid w:val="4E362888"/>
    <w:pPr>
      <w:ind w:left="720"/>
      <w:contextualSpacing/>
    </w:pPr>
  </w:style>
  <w:style w:type="table" w:styleId="TableGrid">
    <w:name w:val="Table Grid"/>
    <w:basedOn w:val="TableNormal"/>
    <w:rsid w:val="00C23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1"/>
    <w:rsid w:val="4E362888"/>
    <w:pPr>
      <w:spacing w:beforeAutospacing="1" w:afterAutospacing="1" w:line="240" w:lineRule="auto"/>
    </w:pPr>
    <w:rPr>
      <w:rFonts w:ascii="Calibri" w:hAnsi="Calibri" w:cs="Calibri"/>
      <w:lang w:eastAsia="en-IE"/>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iPriority w:val="99"/>
    <w:unhideWhenUsed/>
    <w:qFormat/>
    <w:rsid w:val="4E362888"/>
    <w:pPr>
      <w:spacing w:after="120" w:line="240" w:lineRule="auto"/>
      <w:ind w:left="357" w:hanging="357"/>
      <w:jc w:val="both"/>
    </w:pPr>
    <w:rPr>
      <w:rFonts w:ascii="Times New Roman" w:eastAsia="Times New Roman" w:hAnsi="Times New Roman" w:cs="Times New Roman"/>
      <w:sz w:val="20"/>
      <w:szCs w:val="20"/>
      <w:lang w:eastAsia="en-IE"/>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uiPriority w:val="99"/>
    <w:qFormat/>
    <w:rsid w:val="00C23CB1"/>
    <w:rPr>
      <w:rFonts w:ascii="Times New Roman" w:eastAsia="Times New Roman" w:hAnsi="Times New Roman" w:cs="Times New Roman"/>
      <w:sz w:val="20"/>
      <w:szCs w:val="20"/>
      <w:lang w:val="fr-FR" w:eastAsia="en-IE"/>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sid w:val="00C23CB1"/>
    <w:rPr>
      <w:vertAlign w:val="superscript"/>
    </w:rPr>
  </w:style>
  <w:style w:type="character" w:styleId="Hyperlink">
    <w:name w:val="Hyperlink"/>
    <w:basedOn w:val="DefaultParagraphFont"/>
    <w:uiPriority w:val="99"/>
    <w:unhideWhenUsed/>
    <w:qFormat/>
    <w:rsid w:val="00C23CB1"/>
    <w:rPr>
      <w:color w:val="0000FF"/>
      <w:u w:val="single"/>
    </w:rPr>
  </w:style>
  <w:style w:type="character" w:styleId="Strong">
    <w:name w:val="Strong"/>
    <w:basedOn w:val="DefaultParagraphFont"/>
    <w:uiPriority w:val="22"/>
    <w:qFormat/>
    <w:rsid w:val="00C23CB1"/>
    <w:rPr>
      <w:b/>
      <w:bCs/>
    </w:rPr>
  </w:style>
  <w:style w:type="character" w:customStyle="1" w:styleId="normaltextrun">
    <w:name w:val="normaltextrun"/>
    <w:basedOn w:val="DefaultParagraphFont"/>
    <w:rsid w:val="00C23CB1"/>
  </w:style>
  <w:style w:type="character" w:styleId="CommentReference">
    <w:name w:val="annotation reference"/>
    <w:basedOn w:val="DefaultParagraphFont"/>
    <w:uiPriority w:val="99"/>
    <w:semiHidden/>
    <w:unhideWhenUsed/>
    <w:rsid w:val="00C23CB1"/>
    <w:rPr>
      <w:sz w:val="16"/>
      <w:szCs w:val="16"/>
    </w:rPr>
  </w:style>
  <w:style w:type="paragraph" w:styleId="CommentText">
    <w:name w:val="annotation text"/>
    <w:basedOn w:val="Normal"/>
    <w:link w:val="CommentTextChar"/>
    <w:uiPriority w:val="99"/>
    <w:unhideWhenUsed/>
    <w:rsid w:val="4E362888"/>
    <w:pPr>
      <w:spacing w:line="240" w:lineRule="auto"/>
    </w:pPr>
    <w:rPr>
      <w:sz w:val="20"/>
      <w:szCs w:val="20"/>
    </w:rPr>
  </w:style>
  <w:style w:type="character" w:customStyle="1" w:styleId="CommentTextChar">
    <w:name w:val="Comment Text Char"/>
    <w:basedOn w:val="DefaultParagraphFont"/>
    <w:link w:val="CommentText"/>
    <w:uiPriority w:val="99"/>
    <w:rsid w:val="00C23CB1"/>
    <w:rPr>
      <w:sz w:val="20"/>
      <w:szCs w:val="20"/>
      <w:lang w:val="fr-FR"/>
    </w:rPr>
  </w:style>
  <w:style w:type="paragraph" w:styleId="CommentSubject">
    <w:name w:val="annotation subject"/>
    <w:basedOn w:val="CommentText"/>
    <w:next w:val="CommentText"/>
    <w:link w:val="CommentSubjectChar"/>
    <w:uiPriority w:val="99"/>
    <w:semiHidden/>
    <w:unhideWhenUsed/>
    <w:rsid w:val="00C23CB1"/>
    <w:rPr>
      <w:b/>
      <w:bCs/>
    </w:rPr>
  </w:style>
  <w:style w:type="character" w:customStyle="1" w:styleId="CommentSubjectChar">
    <w:name w:val="Comment Subject Char"/>
    <w:basedOn w:val="CommentTextChar"/>
    <w:link w:val="CommentSubject"/>
    <w:uiPriority w:val="99"/>
    <w:semiHidden/>
    <w:rsid w:val="00C23CB1"/>
    <w:rPr>
      <w:b/>
      <w:bCs/>
      <w:sz w:val="20"/>
      <w:szCs w:val="20"/>
      <w:lang w:val="fr-FR"/>
    </w:rPr>
  </w:style>
  <w:style w:type="character" w:customStyle="1" w:styleId="ListParagraphChar">
    <w:name w:val="List Paragraph Char"/>
    <w:basedOn w:val="DefaultParagraphFont"/>
    <w:link w:val="ListParagraph"/>
    <w:uiPriority w:val="34"/>
    <w:qFormat/>
    <w:locked/>
    <w:rsid w:val="00C23CB1"/>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4E362888"/>
    <w:pPr>
      <w:spacing w:after="0" w:line="240" w:lineRule="exact"/>
      <w:jc w:val="both"/>
    </w:pPr>
    <w:rPr>
      <w:vertAlign w:val="superscript"/>
    </w:rPr>
  </w:style>
  <w:style w:type="paragraph" w:styleId="NormalWeb">
    <w:name w:val="Normal (Web)"/>
    <w:basedOn w:val="Normal"/>
    <w:uiPriority w:val="99"/>
    <w:unhideWhenUsed/>
    <w:rsid w:val="4E362888"/>
    <w:pPr>
      <w:spacing w:beforeAutospacing="1" w:afterAutospacing="1" w:line="240" w:lineRule="auto"/>
    </w:pPr>
    <w:rPr>
      <w:rFonts w:ascii="Times New Roman" w:eastAsia="Times New Roman" w:hAnsi="Times New Roman" w:cs="Times New Roman"/>
      <w:sz w:val="24"/>
      <w:szCs w:val="24"/>
      <w:lang w:eastAsia="en-GB"/>
    </w:rPr>
  </w:style>
  <w:style w:type="table" w:styleId="GridTable5Dark-Accent1">
    <w:name w:val="Grid Table 5 Dark Accent 1"/>
    <w:basedOn w:val="TableNormal"/>
    <w:uiPriority w:val="50"/>
    <w:rsid w:val="00C23CB1"/>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aragraph">
    <w:name w:val="paragraph"/>
    <w:basedOn w:val="Normal"/>
    <w:rsid w:val="4E362888"/>
    <w:pPr>
      <w:spacing w:beforeAutospacing="1" w:afterAutospacing="1" w:line="240" w:lineRule="auto"/>
    </w:pPr>
    <w:rPr>
      <w:rFonts w:ascii="Calibri" w:hAnsi="Calibri" w:cs="Calibri"/>
      <w:lang w:eastAsia="en-IE"/>
    </w:rPr>
  </w:style>
  <w:style w:type="character" w:customStyle="1" w:styleId="eop">
    <w:name w:val="eop"/>
    <w:basedOn w:val="DefaultParagraphFont"/>
    <w:rsid w:val="00C23CB1"/>
  </w:style>
  <w:style w:type="character" w:customStyle="1" w:styleId="superscript">
    <w:name w:val="superscript"/>
    <w:basedOn w:val="DefaultParagraphFont"/>
    <w:rsid w:val="00C23CB1"/>
  </w:style>
  <w:style w:type="paragraph" w:styleId="Revision">
    <w:name w:val="Revision"/>
    <w:hidden/>
    <w:uiPriority w:val="99"/>
    <w:semiHidden/>
    <w:rsid w:val="00C23CB1"/>
    <w:pPr>
      <w:spacing w:after="0" w:line="240" w:lineRule="auto"/>
    </w:pPr>
  </w:style>
  <w:style w:type="character" w:customStyle="1" w:styleId="css-901oao">
    <w:name w:val="css-901oao"/>
    <w:basedOn w:val="DefaultParagraphFont"/>
    <w:rsid w:val="00C23CB1"/>
  </w:style>
  <w:style w:type="character" w:styleId="FollowedHyperlink">
    <w:name w:val="FollowedHyperlink"/>
    <w:basedOn w:val="DefaultParagraphFont"/>
    <w:uiPriority w:val="99"/>
    <w:semiHidden/>
    <w:unhideWhenUsed/>
    <w:rsid w:val="00C23CB1"/>
    <w:rPr>
      <w:color w:val="954F72" w:themeColor="followedHyperlink"/>
      <w:u w:val="single"/>
    </w:rPr>
  </w:style>
  <w:style w:type="table" w:customStyle="1" w:styleId="TableGrid1">
    <w:name w:val="Table Grid1"/>
    <w:basedOn w:val="TableNormal"/>
    <w:next w:val="TableGrid"/>
    <w:uiPriority w:val="39"/>
    <w:rsid w:val="00C23CB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23CB1"/>
    <w:rPr>
      <w:rFonts w:ascii="Segoe UI" w:hAnsi="Segoe UI" w:cs="Segoe UI" w:hint="default"/>
      <w:sz w:val="18"/>
      <w:szCs w:val="18"/>
    </w:rPr>
  </w:style>
  <w:style w:type="paragraph" w:styleId="PlainText">
    <w:name w:val="Plain Text"/>
    <w:basedOn w:val="Normal"/>
    <w:link w:val="PlainTextChar"/>
    <w:uiPriority w:val="99"/>
    <w:semiHidden/>
    <w:unhideWhenUsed/>
    <w:rsid w:val="4E362888"/>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C23CB1"/>
    <w:rPr>
      <w:rFonts w:ascii="Calibri" w:hAnsi="Calibri" w:cs="Calibri"/>
      <w:lang w:val="fr-FR"/>
    </w:rPr>
  </w:style>
  <w:style w:type="character" w:customStyle="1" w:styleId="findhit">
    <w:name w:val="findhit"/>
    <w:basedOn w:val="DefaultParagraphFont"/>
    <w:rsid w:val="00C23CB1"/>
  </w:style>
  <w:style w:type="paragraph" w:styleId="Caption">
    <w:name w:val="caption"/>
    <w:basedOn w:val="Normal"/>
    <w:next w:val="Normal"/>
    <w:uiPriority w:val="35"/>
    <w:unhideWhenUsed/>
    <w:qFormat/>
    <w:rsid w:val="4E362888"/>
    <w:pPr>
      <w:spacing w:after="200" w:line="240" w:lineRule="auto"/>
    </w:pPr>
    <w:rPr>
      <w:i/>
      <w:iCs/>
      <w:color w:val="44546A" w:themeColor="text2"/>
      <w:sz w:val="18"/>
      <w:szCs w:val="18"/>
    </w:rPr>
  </w:style>
  <w:style w:type="paragraph" w:customStyle="1" w:styleId="Insertcaption">
    <w:name w:val="Insert caption"/>
    <w:basedOn w:val="Caption"/>
    <w:rsid w:val="00C23CB1"/>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C23CB1"/>
    <w:rPr>
      <w:color w:val="605E5C"/>
      <w:shd w:val="clear" w:color="auto" w:fill="E1DFDD"/>
    </w:rPr>
  </w:style>
  <w:style w:type="paragraph" w:styleId="BalloonText">
    <w:name w:val="Balloon Text"/>
    <w:basedOn w:val="Normal"/>
    <w:link w:val="BalloonTextChar"/>
    <w:uiPriority w:val="99"/>
    <w:semiHidden/>
    <w:unhideWhenUsed/>
    <w:rsid w:val="4E362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CB1"/>
    <w:rPr>
      <w:rFonts w:ascii="Segoe UI" w:hAnsi="Segoe UI" w:cs="Segoe UI"/>
      <w:sz w:val="18"/>
      <w:szCs w:val="18"/>
      <w:lang w:val="fr-FR"/>
    </w:rPr>
  </w:style>
  <w:style w:type="character" w:customStyle="1" w:styleId="UnresolvedMention2">
    <w:name w:val="Unresolved Mention2"/>
    <w:basedOn w:val="DefaultParagraphFont"/>
    <w:uiPriority w:val="99"/>
    <w:semiHidden/>
    <w:unhideWhenUsed/>
    <w:rsid w:val="00C23CB1"/>
    <w:rPr>
      <w:color w:val="605E5C"/>
      <w:shd w:val="clear" w:color="auto" w:fill="E1DFDD"/>
    </w:rPr>
  </w:style>
  <w:style w:type="paragraph" w:customStyle="1" w:styleId="title-bold">
    <w:name w:val="title-bold"/>
    <w:basedOn w:val="Normal"/>
    <w:uiPriority w:val="1"/>
    <w:rsid w:val="4E362888"/>
    <w:pPr>
      <w:spacing w:beforeAutospacing="1" w:afterAutospacing="1" w:line="240" w:lineRule="auto"/>
    </w:pPr>
    <w:rPr>
      <w:rFonts w:ascii="Times New Roman" w:eastAsia="Times New Roman" w:hAnsi="Times New Roman" w:cs="Times New Roman"/>
      <w:sz w:val="24"/>
      <w:szCs w:val="24"/>
      <w:lang w:eastAsia="en-IE"/>
    </w:rPr>
  </w:style>
  <w:style w:type="character" w:customStyle="1" w:styleId="UnresolvedMention">
    <w:name w:val="Unresolved Mention"/>
    <w:basedOn w:val="DefaultParagraphFont"/>
    <w:uiPriority w:val="99"/>
    <w:semiHidden/>
    <w:unhideWhenUsed/>
    <w:rsid w:val="00C23CB1"/>
    <w:rPr>
      <w:color w:val="605E5C"/>
      <w:shd w:val="clear" w:color="auto" w:fill="E1DFDD"/>
    </w:rPr>
  </w:style>
  <w:style w:type="paragraph" w:customStyle="1" w:styleId="BodyText">
    <w:name w:val="BodyText"/>
    <w:basedOn w:val="Normal"/>
    <w:link w:val="BodyTextChar"/>
    <w:uiPriority w:val="1"/>
    <w:qFormat/>
    <w:rsid w:val="4E362888"/>
    <w:pPr>
      <w:jc w:val="both"/>
    </w:pPr>
    <w:rPr>
      <w:rFonts w:eastAsia="Times New Roman" w:cs="Times New Roman"/>
      <w:sz w:val="18"/>
      <w:szCs w:val="18"/>
      <w:lang w:eastAsia="en-GB"/>
    </w:rPr>
  </w:style>
  <w:style w:type="character" w:customStyle="1" w:styleId="BodyTextChar">
    <w:name w:val="BodyText Char"/>
    <w:aliases w:val="Základní text Char,Document Char,Doc Char,Body Text2 Char,doc Char,Standard paragraph Char,(Norm) Char,Body Text 12 Char,bt Char,gl Char,uvlaka 2 Char,heading3 Char,Body Text - Level 2 Char,1body Char,BodText Char,body text Char,- TF Char"/>
    <w:basedOn w:val="DefaultParagraphFont"/>
    <w:link w:val="BodyText"/>
    <w:rsid w:val="00C23CB1"/>
    <w:rPr>
      <w:rFonts w:eastAsia="Times New Roman" w:cs="Times New Roman"/>
      <w:sz w:val="18"/>
      <w:lang w:val="fr-FR" w:eastAsia="en-GB"/>
    </w:rPr>
  </w:style>
  <w:style w:type="character" w:customStyle="1" w:styleId="gmail-msofootnotereference">
    <w:name w:val="gmail-msofootnotereference"/>
    <w:basedOn w:val="DefaultParagraphFont"/>
    <w:rsid w:val="00C23CB1"/>
  </w:style>
  <w:style w:type="paragraph" w:customStyle="1" w:styleId="P68B1DB1-Normal2">
    <w:name w:val="P68B1DB1-Normal2"/>
    <w:basedOn w:val="Normal"/>
    <w:uiPriority w:val="1"/>
    <w:rsid w:val="4E362888"/>
    <w:pPr>
      <w:spacing w:after="0" w:line="240" w:lineRule="auto"/>
    </w:pPr>
    <w:rPr>
      <w:rFonts w:eastAsia="Times New Roman"/>
      <w:sz w:val="36"/>
      <w:szCs w:val="36"/>
      <w:lang w:eastAsia="en-IE"/>
    </w:rPr>
  </w:style>
  <w:style w:type="paragraph" w:styleId="NoSpacing">
    <w:name w:val="No Spacing"/>
    <w:link w:val="NoSpacingChar"/>
    <w:uiPriority w:val="1"/>
    <w:qFormat/>
    <w:rsid w:val="00C23CB1"/>
    <w:pPr>
      <w:spacing w:after="0" w:line="240" w:lineRule="auto"/>
    </w:pPr>
    <w:rPr>
      <w:rFonts w:eastAsiaTheme="minorEastAsia"/>
    </w:rPr>
  </w:style>
  <w:style w:type="character" w:customStyle="1" w:styleId="NoSpacingChar">
    <w:name w:val="No Spacing Char"/>
    <w:basedOn w:val="DefaultParagraphFont"/>
    <w:link w:val="NoSpacing"/>
    <w:uiPriority w:val="1"/>
    <w:rsid w:val="00C23CB1"/>
    <w:rPr>
      <w:rFonts w:eastAsiaTheme="minorEastAsia"/>
      <w:lang w:val="fr-FR"/>
    </w:rPr>
  </w:style>
  <w:style w:type="character" w:customStyle="1" w:styleId="Mention">
    <w:name w:val="Mention"/>
    <w:basedOn w:val="DefaultParagraphFont"/>
    <w:uiPriority w:val="99"/>
    <w:unhideWhenUsed/>
    <w:rsid w:val="00C23CB1"/>
    <w:rPr>
      <w:color w:val="2B579A"/>
      <w:shd w:val="clear" w:color="auto" w:fill="E1DFDD"/>
    </w:rPr>
  </w:style>
  <w:style w:type="paragraph" w:customStyle="1" w:styleId="Typedudocument">
    <w:name w:val="Type du document"/>
    <w:basedOn w:val="Normal"/>
    <w:next w:val="Normal"/>
    <w:uiPriority w:val="1"/>
    <w:rsid w:val="4E362888"/>
    <w:pPr>
      <w:spacing w:before="360" w:after="0" w:line="240" w:lineRule="auto"/>
      <w:jc w:val="center"/>
    </w:pPr>
    <w:rPr>
      <w:rFonts w:ascii="Times New Roman" w:hAnsi="Times New Roman" w:cs="Times New Roman"/>
      <w:b/>
      <w:bCs/>
      <w:sz w:val="24"/>
      <w:szCs w:val="24"/>
    </w:rPr>
  </w:style>
  <w:style w:type="paragraph" w:customStyle="1" w:styleId="Titreobjet">
    <w:name w:val="Titre objet"/>
    <w:basedOn w:val="Normal"/>
    <w:next w:val="Normal"/>
    <w:uiPriority w:val="1"/>
    <w:rsid w:val="4E362888"/>
    <w:pPr>
      <w:spacing w:before="360" w:after="360" w:line="240" w:lineRule="auto"/>
      <w:jc w:val="center"/>
    </w:pPr>
    <w:rPr>
      <w:rFonts w:ascii="Times New Roman" w:hAnsi="Times New Roman" w:cs="Times New Roman"/>
      <w:b/>
      <w:bCs/>
      <w:sz w:val="24"/>
      <w:szCs w:val="24"/>
    </w:rPr>
  </w:style>
  <w:style w:type="paragraph" w:customStyle="1" w:styleId="LegalNumPar">
    <w:name w:val="LegalNumPar"/>
    <w:basedOn w:val="Normal"/>
    <w:uiPriority w:val="1"/>
    <w:rsid w:val="4E362888"/>
    <w:pPr>
      <w:numPr>
        <w:numId w:val="3"/>
      </w:numPr>
      <w:spacing w:line="360" w:lineRule="auto"/>
    </w:pPr>
    <w:rPr>
      <w:sz w:val="24"/>
      <w:szCs w:val="24"/>
    </w:rPr>
  </w:style>
  <w:style w:type="paragraph" w:customStyle="1" w:styleId="LegalNumPar2">
    <w:name w:val="LegalNumPar2"/>
    <w:basedOn w:val="Normal"/>
    <w:uiPriority w:val="1"/>
    <w:rsid w:val="4E362888"/>
    <w:pPr>
      <w:numPr>
        <w:ilvl w:val="1"/>
        <w:numId w:val="3"/>
      </w:numPr>
      <w:spacing w:line="360" w:lineRule="auto"/>
    </w:pPr>
    <w:rPr>
      <w:sz w:val="24"/>
      <w:szCs w:val="24"/>
    </w:rPr>
  </w:style>
  <w:style w:type="paragraph" w:customStyle="1" w:styleId="LegalNumPar3">
    <w:name w:val="LegalNumPar3"/>
    <w:basedOn w:val="Normal"/>
    <w:uiPriority w:val="1"/>
    <w:rsid w:val="4E362888"/>
    <w:pPr>
      <w:numPr>
        <w:ilvl w:val="2"/>
        <w:numId w:val="3"/>
      </w:numPr>
      <w:spacing w:line="360" w:lineRule="auto"/>
    </w:pPr>
    <w:rPr>
      <w:sz w:val="24"/>
      <w:szCs w:val="24"/>
    </w:rPr>
  </w:style>
  <w:style w:type="paragraph" w:customStyle="1" w:styleId="Text1">
    <w:name w:val="Text 1"/>
    <w:basedOn w:val="Normal"/>
    <w:qFormat/>
    <w:rsid w:val="4E362888"/>
    <w:pPr>
      <w:spacing w:after="240" w:line="240" w:lineRule="auto"/>
      <w:ind w:left="482"/>
      <w:jc w:val="both"/>
    </w:pPr>
    <w:rPr>
      <w:rFonts w:ascii="Times New Roman" w:eastAsia="Times New Roman" w:hAnsi="Times New Roman" w:cs="Times New Roman"/>
      <w:sz w:val="24"/>
      <w:szCs w:val="24"/>
      <w:lang w:eastAsia="en-GB"/>
    </w:rPr>
  </w:style>
  <w:style w:type="paragraph" w:customStyle="1" w:styleId="Briefinglist1">
    <w:name w:val="Briefing list 1"/>
    <w:basedOn w:val="Normal"/>
    <w:link w:val="Briefinglist1Char"/>
    <w:uiPriority w:val="1"/>
    <w:qFormat/>
    <w:rsid w:val="4E362888"/>
    <w:pPr>
      <w:keepLines/>
      <w:tabs>
        <w:tab w:val="num" w:pos="360"/>
      </w:tabs>
      <w:spacing w:after="120" w:line="240" w:lineRule="auto"/>
      <w:jc w:val="both"/>
    </w:pPr>
    <w:rPr>
      <w:rFonts w:eastAsiaTheme="minorEastAsia"/>
    </w:rPr>
  </w:style>
  <w:style w:type="character" w:customStyle="1" w:styleId="Briefinglist1Char">
    <w:name w:val="Briefing list 1 Char"/>
    <w:basedOn w:val="DefaultParagraphFont"/>
    <w:link w:val="Briefinglist1"/>
    <w:uiPriority w:val="1"/>
    <w:rsid w:val="009F2C96"/>
    <w:rPr>
      <w:rFonts w:eastAsiaTheme="minorEastAsia"/>
      <w:lang w:val="fr-FR"/>
    </w:rPr>
  </w:style>
  <w:style w:type="paragraph" w:styleId="Title">
    <w:name w:val="Title"/>
    <w:basedOn w:val="Normal"/>
    <w:next w:val="Normal"/>
    <w:uiPriority w:val="10"/>
    <w:qFormat/>
    <w:rsid w:val="4E362888"/>
    <w:pPr>
      <w:spacing w:after="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4E362888"/>
    <w:rPr>
      <w:rFonts w:eastAsiaTheme="minorEastAsia"/>
      <w:color w:val="5A5A5A"/>
    </w:rPr>
  </w:style>
  <w:style w:type="paragraph" w:styleId="Quote">
    <w:name w:val="Quote"/>
    <w:basedOn w:val="Normal"/>
    <w:next w:val="Normal"/>
    <w:uiPriority w:val="29"/>
    <w:qFormat/>
    <w:rsid w:val="4E362888"/>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4E36288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TOC1">
    <w:name w:val="toc 1"/>
    <w:basedOn w:val="Normal"/>
    <w:next w:val="Normal"/>
    <w:uiPriority w:val="39"/>
    <w:unhideWhenUsed/>
    <w:rsid w:val="4E362888"/>
    <w:pPr>
      <w:spacing w:after="100"/>
    </w:pPr>
  </w:style>
  <w:style w:type="paragraph" w:styleId="TOC2">
    <w:name w:val="toc 2"/>
    <w:basedOn w:val="Normal"/>
    <w:next w:val="Normal"/>
    <w:uiPriority w:val="39"/>
    <w:unhideWhenUsed/>
    <w:rsid w:val="4E362888"/>
    <w:pPr>
      <w:spacing w:after="100"/>
      <w:ind w:left="220"/>
    </w:pPr>
  </w:style>
  <w:style w:type="paragraph" w:styleId="TOC3">
    <w:name w:val="toc 3"/>
    <w:basedOn w:val="Normal"/>
    <w:next w:val="Normal"/>
    <w:uiPriority w:val="39"/>
    <w:unhideWhenUsed/>
    <w:rsid w:val="4E362888"/>
    <w:pPr>
      <w:spacing w:after="100"/>
      <w:ind w:left="440"/>
    </w:pPr>
  </w:style>
  <w:style w:type="paragraph" w:styleId="TOC4">
    <w:name w:val="toc 4"/>
    <w:basedOn w:val="Normal"/>
    <w:next w:val="Normal"/>
    <w:uiPriority w:val="39"/>
    <w:unhideWhenUsed/>
    <w:rsid w:val="4E362888"/>
    <w:pPr>
      <w:spacing w:after="100"/>
      <w:ind w:left="660"/>
    </w:pPr>
  </w:style>
  <w:style w:type="paragraph" w:styleId="TOC5">
    <w:name w:val="toc 5"/>
    <w:basedOn w:val="Normal"/>
    <w:next w:val="Normal"/>
    <w:uiPriority w:val="39"/>
    <w:unhideWhenUsed/>
    <w:rsid w:val="4E362888"/>
    <w:pPr>
      <w:spacing w:after="100"/>
      <w:ind w:left="880"/>
    </w:pPr>
  </w:style>
  <w:style w:type="paragraph" w:styleId="TOC6">
    <w:name w:val="toc 6"/>
    <w:basedOn w:val="Normal"/>
    <w:next w:val="Normal"/>
    <w:uiPriority w:val="39"/>
    <w:unhideWhenUsed/>
    <w:rsid w:val="4E362888"/>
    <w:pPr>
      <w:spacing w:after="100"/>
      <w:ind w:left="1100"/>
    </w:pPr>
  </w:style>
  <w:style w:type="paragraph" w:styleId="TOC7">
    <w:name w:val="toc 7"/>
    <w:basedOn w:val="Normal"/>
    <w:next w:val="Normal"/>
    <w:uiPriority w:val="39"/>
    <w:unhideWhenUsed/>
    <w:rsid w:val="4E362888"/>
    <w:pPr>
      <w:spacing w:after="100"/>
      <w:ind w:left="1320"/>
    </w:pPr>
  </w:style>
  <w:style w:type="paragraph" w:styleId="TOC8">
    <w:name w:val="toc 8"/>
    <w:basedOn w:val="Normal"/>
    <w:next w:val="Normal"/>
    <w:uiPriority w:val="39"/>
    <w:unhideWhenUsed/>
    <w:rsid w:val="4E362888"/>
    <w:pPr>
      <w:spacing w:after="100"/>
      <w:ind w:left="1540"/>
    </w:pPr>
  </w:style>
  <w:style w:type="paragraph" w:styleId="TOC9">
    <w:name w:val="toc 9"/>
    <w:basedOn w:val="Normal"/>
    <w:next w:val="Normal"/>
    <w:uiPriority w:val="39"/>
    <w:unhideWhenUsed/>
    <w:rsid w:val="4E362888"/>
    <w:pPr>
      <w:spacing w:after="100"/>
      <w:ind w:left="1760"/>
    </w:pPr>
  </w:style>
  <w:style w:type="paragraph" w:styleId="EndnoteText">
    <w:name w:val="endnote text"/>
    <w:basedOn w:val="Normal"/>
    <w:uiPriority w:val="99"/>
    <w:semiHidden/>
    <w:unhideWhenUsed/>
    <w:rsid w:val="4E362888"/>
    <w:pPr>
      <w:spacing w:after="0" w:line="240" w:lineRule="auto"/>
    </w:pPr>
    <w:rPr>
      <w:sz w:val="20"/>
      <w:szCs w:val="20"/>
    </w:rPr>
  </w:style>
  <w:style w:type="character" w:styleId="EndnoteReference">
    <w:name w:val="endnote reference"/>
    <w:basedOn w:val="DefaultParagraphFont"/>
    <w:uiPriority w:val="99"/>
    <w:semiHidden/>
    <w:unhideWhenUsed/>
    <w:rsid w:val="00077CCF"/>
    <w:rPr>
      <w:vertAlign w:val="superscript"/>
    </w:rPr>
  </w:style>
  <w:style w:type="paragraph" w:customStyle="1" w:styleId="CharCharChar">
    <w:name w:val="Char Char Char"/>
    <w:basedOn w:val="Normal"/>
    <w:uiPriority w:val="99"/>
    <w:rsid w:val="00124A4E"/>
    <w:pPr>
      <w:spacing w:after="12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9945">
      <w:bodyDiv w:val="1"/>
      <w:marLeft w:val="0"/>
      <w:marRight w:val="0"/>
      <w:marTop w:val="0"/>
      <w:marBottom w:val="0"/>
      <w:divBdr>
        <w:top w:val="none" w:sz="0" w:space="0" w:color="auto"/>
        <w:left w:val="none" w:sz="0" w:space="0" w:color="auto"/>
        <w:bottom w:val="none" w:sz="0" w:space="0" w:color="auto"/>
        <w:right w:val="none" w:sz="0" w:space="0" w:color="auto"/>
      </w:divBdr>
      <w:divsChild>
        <w:div w:id="521893247">
          <w:marLeft w:val="0"/>
          <w:marRight w:val="0"/>
          <w:marTop w:val="0"/>
          <w:marBottom w:val="0"/>
          <w:divBdr>
            <w:top w:val="none" w:sz="0" w:space="0" w:color="auto"/>
            <w:left w:val="none" w:sz="0" w:space="0" w:color="auto"/>
            <w:bottom w:val="none" w:sz="0" w:space="0" w:color="auto"/>
            <w:right w:val="none" w:sz="0" w:space="0" w:color="auto"/>
          </w:divBdr>
        </w:div>
      </w:divsChild>
    </w:div>
    <w:div w:id="188642968">
      <w:bodyDiv w:val="1"/>
      <w:marLeft w:val="0"/>
      <w:marRight w:val="0"/>
      <w:marTop w:val="0"/>
      <w:marBottom w:val="0"/>
      <w:divBdr>
        <w:top w:val="none" w:sz="0" w:space="0" w:color="auto"/>
        <w:left w:val="none" w:sz="0" w:space="0" w:color="auto"/>
        <w:bottom w:val="none" w:sz="0" w:space="0" w:color="auto"/>
        <w:right w:val="none" w:sz="0" w:space="0" w:color="auto"/>
      </w:divBdr>
    </w:div>
    <w:div w:id="247857689">
      <w:bodyDiv w:val="1"/>
      <w:marLeft w:val="0"/>
      <w:marRight w:val="0"/>
      <w:marTop w:val="0"/>
      <w:marBottom w:val="0"/>
      <w:divBdr>
        <w:top w:val="none" w:sz="0" w:space="0" w:color="auto"/>
        <w:left w:val="none" w:sz="0" w:space="0" w:color="auto"/>
        <w:bottom w:val="none" w:sz="0" w:space="0" w:color="auto"/>
        <w:right w:val="none" w:sz="0" w:space="0" w:color="auto"/>
      </w:divBdr>
    </w:div>
    <w:div w:id="249897970">
      <w:bodyDiv w:val="1"/>
      <w:marLeft w:val="0"/>
      <w:marRight w:val="0"/>
      <w:marTop w:val="0"/>
      <w:marBottom w:val="0"/>
      <w:divBdr>
        <w:top w:val="none" w:sz="0" w:space="0" w:color="auto"/>
        <w:left w:val="none" w:sz="0" w:space="0" w:color="auto"/>
        <w:bottom w:val="none" w:sz="0" w:space="0" w:color="auto"/>
        <w:right w:val="none" w:sz="0" w:space="0" w:color="auto"/>
      </w:divBdr>
    </w:div>
    <w:div w:id="306858949">
      <w:bodyDiv w:val="1"/>
      <w:marLeft w:val="0"/>
      <w:marRight w:val="0"/>
      <w:marTop w:val="0"/>
      <w:marBottom w:val="0"/>
      <w:divBdr>
        <w:top w:val="none" w:sz="0" w:space="0" w:color="auto"/>
        <w:left w:val="none" w:sz="0" w:space="0" w:color="auto"/>
        <w:bottom w:val="none" w:sz="0" w:space="0" w:color="auto"/>
        <w:right w:val="none" w:sz="0" w:space="0" w:color="auto"/>
      </w:divBdr>
    </w:div>
    <w:div w:id="368917962">
      <w:bodyDiv w:val="1"/>
      <w:marLeft w:val="0"/>
      <w:marRight w:val="0"/>
      <w:marTop w:val="0"/>
      <w:marBottom w:val="0"/>
      <w:divBdr>
        <w:top w:val="none" w:sz="0" w:space="0" w:color="auto"/>
        <w:left w:val="none" w:sz="0" w:space="0" w:color="auto"/>
        <w:bottom w:val="none" w:sz="0" w:space="0" w:color="auto"/>
        <w:right w:val="none" w:sz="0" w:space="0" w:color="auto"/>
      </w:divBdr>
    </w:div>
    <w:div w:id="379133330">
      <w:bodyDiv w:val="1"/>
      <w:marLeft w:val="0"/>
      <w:marRight w:val="0"/>
      <w:marTop w:val="0"/>
      <w:marBottom w:val="0"/>
      <w:divBdr>
        <w:top w:val="none" w:sz="0" w:space="0" w:color="auto"/>
        <w:left w:val="none" w:sz="0" w:space="0" w:color="auto"/>
        <w:bottom w:val="none" w:sz="0" w:space="0" w:color="auto"/>
        <w:right w:val="none" w:sz="0" w:space="0" w:color="auto"/>
      </w:divBdr>
    </w:div>
    <w:div w:id="404492999">
      <w:bodyDiv w:val="1"/>
      <w:marLeft w:val="0"/>
      <w:marRight w:val="0"/>
      <w:marTop w:val="0"/>
      <w:marBottom w:val="0"/>
      <w:divBdr>
        <w:top w:val="none" w:sz="0" w:space="0" w:color="auto"/>
        <w:left w:val="none" w:sz="0" w:space="0" w:color="auto"/>
        <w:bottom w:val="none" w:sz="0" w:space="0" w:color="auto"/>
        <w:right w:val="none" w:sz="0" w:space="0" w:color="auto"/>
      </w:divBdr>
    </w:div>
    <w:div w:id="416443043">
      <w:bodyDiv w:val="1"/>
      <w:marLeft w:val="0"/>
      <w:marRight w:val="0"/>
      <w:marTop w:val="0"/>
      <w:marBottom w:val="0"/>
      <w:divBdr>
        <w:top w:val="none" w:sz="0" w:space="0" w:color="auto"/>
        <w:left w:val="none" w:sz="0" w:space="0" w:color="auto"/>
        <w:bottom w:val="none" w:sz="0" w:space="0" w:color="auto"/>
        <w:right w:val="none" w:sz="0" w:space="0" w:color="auto"/>
      </w:divBdr>
    </w:div>
    <w:div w:id="425229460">
      <w:bodyDiv w:val="1"/>
      <w:marLeft w:val="0"/>
      <w:marRight w:val="0"/>
      <w:marTop w:val="0"/>
      <w:marBottom w:val="0"/>
      <w:divBdr>
        <w:top w:val="none" w:sz="0" w:space="0" w:color="auto"/>
        <w:left w:val="none" w:sz="0" w:space="0" w:color="auto"/>
        <w:bottom w:val="none" w:sz="0" w:space="0" w:color="auto"/>
        <w:right w:val="none" w:sz="0" w:space="0" w:color="auto"/>
      </w:divBdr>
      <w:divsChild>
        <w:div w:id="308746947">
          <w:marLeft w:val="0"/>
          <w:marRight w:val="0"/>
          <w:marTop w:val="0"/>
          <w:marBottom w:val="0"/>
          <w:divBdr>
            <w:top w:val="none" w:sz="0" w:space="0" w:color="auto"/>
            <w:left w:val="none" w:sz="0" w:space="0" w:color="auto"/>
            <w:bottom w:val="none" w:sz="0" w:space="0" w:color="auto"/>
            <w:right w:val="none" w:sz="0" w:space="0" w:color="auto"/>
          </w:divBdr>
        </w:div>
        <w:div w:id="1063911485">
          <w:marLeft w:val="0"/>
          <w:marRight w:val="0"/>
          <w:marTop w:val="0"/>
          <w:marBottom w:val="0"/>
          <w:divBdr>
            <w:top w:val="none" w:sz="0" w:space="0" w:color="auto"/>
            <w:left w:val="none" w:sz="0" w:space="0" w:color="auto"/>
            <w:bottom w:val="none" w:sz="0" w:space="0" w:color="auto"/>
            <w:right w:val="none" w:sz="0" w:space="0" w:color="auto"/>
          </w:divBdr>
        </w:div>
      </w:divsChild>
    </w:div>
    <w:div w:id="428279185">
      <w:bodyDiv w:val="1"/>
      <w:marLeft w:val="0"/>
      <w:marRight w:val="0"/>
      <w:marTop w:val="0"/>
      <w:marBottom w:val="0"/>
      <w:divBdr>
        <w:top w:val="none" w:sz="0" w:space="0" w:color="auto"/>
        <w:left w:val="none" w:sz="0" w:space="0" w:color="auto"/>
        <w:bottom w:val="none" w:sz="0" w:space="0" w:color="auto"/>
        <w:right w:val="none" w:sz="0" w:space="0" w:color="auto"/>
      </w:divBdr>
    </w:div>
    <w:div w:id="433328737">
      <w:bodyDiv w:val="1"/>
      <w:marLeft w:val="0"/>
      <w:marRight w:val="0"/>
      <w:marTop w:val="0"/>
      <w:marBottom w:val="0"/>
      <w:divBdr>
        <w:top w:val="none" w:sz="0" w:space="0" w:color="auto"/>
        <w:left w:val="none" w:sz="0" w:space="0" w:color="auto"/>
        <w:bottom w:val="none" w:sz="0" w:space="0" w:color="auto"/>
        <w:right w:val="none" w:sz="0" w:space="0" w:color="auto"/>
      </w:divBdr>
    </w:div>
    <w:div w:id="439841807">
      <w:bodyDiv w:val="1"/>
      <w:marLeft w:val="0"/>
      <w:marRight w:val="0"/>
      <w:marTop w:val="0"/>
      <w:marBottom w:val="0"/>
      <w:divBdr>
        <w:top w:val="none" w:sz="0" w:space="0" w:color="auto"/>
        <w:left w:val="none" w:sz="0" w:space="0" w:color="auto"/>
        <w:bottom w:val="none" w:sz="0" w:space="0" w:color="auto"/>
        <w:right w:val="none" w:sz="0" w:space="0" w:color="auto"/>
      </w:divBdr>
    </w:div>
    <w:div w:id="445196344">
      <w:bodyDiv w:val="1"/>
      <w:marLeft w:val="0"/>
      <w:marRight w:val="0"/>
      <w:marTop w:val="0"/>
      <w:marBottom w:val="0"/>
      <w:divBdr>
        <w:top w:val="none" w:sz="0" w:space="0" w:color="auto"/>
        <w:left w:val="none" w:sz="0" w:space="0" w:color="auto"/>
        <w:bottom w:val="none" w:sz="0" w:space="0" w:color="auto"/>
        <w:right w:val="none" w:sz="0" w:space="0" w:color="auto"/>
      </w:divBdr>
    </w:div>
    <w:div w:id="461583371">
      <w:bodyDiv w:val="1"/>
      <w:marLeft w:val="0"/>
      <w:marRight w:val="0"/>
      <w:marTop w:val="0"/>
      <w:marBottom w:val="0"/>
      <w:divBdr>
        <w:top w:val="none" w:sz="0" w:space="0" w:color="auto"/>
        <w:left w:val="none" w:sz="0" w:space="0" w:color="auto"/>
        <w:bottom w:val="none" w:sz="0" w:space="0" w:color="auto"/>
        <w:right w:val="none" w:sz="0" w:space="0" w:color="auto"/>
      </w:divBdr>
    </w:div>
    <w:div w:id="465586646">
      <w:bodyDiv w:val="1"/>
      <w:marLeft w:val="0"/>
      <w:marRight w:val="0"/>
      <w:marTop w:val="0"/>
      <w:marBottom w:val="0"/>
      <w:divBdr>
        <w:top w:val="none" w:sz="0" w:space="0" w:color="auto"/>
        <w:left w:val="none" w:sz="0" w:space="0" w:color="auto"/>
        <w:bottom w:val="none" w:sz="0" w:space="0" w:color="auto"/>
        <w:right w:val="none" w:sz="0" w:space="0" w:color="auto"/>
      </w:divBdr>
    </w:div>
    <w:div w:id="473370100">
      <w:bodyDiv w:val="1"/>
      <w:marLeft w:val="0"/>
      <w:marRight w:val="0"/>
      <w:marTop w:val="0"/>
      <w:marBottom w:val="0"/>
      <w:divBdr>
        <w:top w:val="none" w:sz="0" w:space="0" w:color="auto"/>
        <w:left w:val="none" w:sz="0" w:space="0" w:color="auto"/>
        <w:bottom w:val="none" w:sz="0" w:space="0" w:color="auto"/>
        <w:right w:val="none" w:sz="0" w:space="0" w:color="auto"/>
      </w:divBdr>
    </w:div>
    <w:div w:id="492063421">
      <w:bodyDiv w:val="1"/>
      <w:marLeft w:val="0"/>
      <w:marRight w:val="0"/>
      <w:marTop w:val="0"/>
      <w:marBottom w:val="0"/>
      <w:divBdr>
        <w:top w:val="none" w:sz="0" w:space="0" w:color="auto"/>
        <w:left w:val="none" w:sz="0" w:space="0" w:color="auto"/>
        <w:bottom w:val="none" w:sz="0" w:space="0" w:color="auto"/>
        <w:right w:val="none" w:sz="0" w:space="0" w:color="auto"/>
      </w:divBdr>
    </w:div>
    <w:div w:id="527256760">
      <w:bodyDiv w:val="1"/>
      <w:marLeft w:val="0"/>
      <w:marRight w:val="0"/>
      <w:marTop w:val="0"/>
      <w:marBottom w:val="0"/>
      <w:divBdr>
        <w:top w:val="none" w:sz="0" w:space="0" w:color="auto"/>
        <w:left w:val="none" w:sz="0" w:space="0" w:color="auto"/>
        <w:bottom w:val="none" w:sz="0" w:space="0" w:color="auto"/>
        <w:right w:val="none" w:sz="0" w:space="0" w:color="auto"/>
      </w:divBdr>
    </w:div>
    <w:div w:id="575286091">
      <w:bodyDiv w:val="1"/>
      <w:marLeft w:val="0"/>
      <w:marRight w:val="0"/>
      <w:marTop w:val="0"/>
      <w:marBottom w:val="0"/>
      <w:divBdr>
        <w:top w:val="none" w:sz="0" w:space="0" w:color="auto"/>
        <w:left w:val="none" w:sz="0" w:space="0" w:color="auto"/>
        <w:bottom w:val="none" w:sz="0" w:space="0" w:color="auto"/>
        <w:right w:val="none" w:sz="0" w:space="0" w:color="auto"/>
      </w:divBdr>
    </w:div>
    <w:div w:id="591662649">
      <w:bodyDiv w:val="1"/>
      <w:marLeft w:val="0"/>
      <w:marRight w:val="0"/>
      <w:marTop w:val="0"/>
      <w:marBottom w:val="0"/>
      <w:divBdr>
        <w:top w:val="none" w:sz="0" w:space="0" w:color="auto"/>
        <w:left w:val="none" w:sz="0" w:space="0" w:color="auto"/>
        <w:bottom w:val="none" w:sz="0" w:space="0" w:color="auto"/>
        <w:right w:val="none" w:sz="0" w:space="0" w:color="auto"/>
      </w:divBdr>
    </w:div>
    <w:div w:id="611134826">
      <w:bodyDiv w:val="1"/>
      <w:marLeft w:val="0"/>
      <w:marRight w:val="0"/>
      <w:marTop w:val="0"/>
      <w:marBottom w:val="0"/>
      <w:divBdr>
        <w:top w:val="none" w:sz="0" w:space="0" w:color="auto"/>
        <w:left w:val="none" w:sz="0" w:space="0" w:color="auto"/>
        <w:bottom w:val="none" w:sz="0" w:space="0" w:color="auto"/>
        <w:right w:val="none" w:sz="0" w:space="0" w:color="auto"/>
      </w:divBdr>
    </w:div>
    <w:div w:id="655838037">
      <w:bodyDiv w:val="1"/>
      <w:marLeft w:val="0"/>
      <w:marRight w:val="0"/>
      <w:marTop w:val="0"/>
      <w:marBottom w:val="0"/>
      <w:divBdr>
        <w:top w:val="none" w:sz="0" w:space="0" w:color="auto"/>
        <w:left w:val="none" w:sz="0" w:space="0" w:color="auto"/>
        <w:bottom w:val="none" w:sz="0" w:space="0" w:color="auto"/>
        <w:right w:val="none" w:sz="0" w:space="0" w:color="auto"/>
      </w:divBdr>
    </w:div>
    <w:div w:id="746263827">
      <w:bodyDiv w:val="1"/>
      <w:marLeft w:val="0"/>
      <w:marRight w:val="0"/>
      <w:marTop w:val="0"/>
      <w:marBottom w:val="0"/>
      <w:divBdr>
        <w:top w:val="none" w:sz="0" w:space="0" w:color="auto"/>
        <w:left w:val="none" w:sz="0" w:space="0" w:color="auto"/>
        <w:bottom w:val="none" w:sz="0" w:space="0" w:color="auto"/>
        <w:right w:val="none" w:sz="0" w:space="0" w:color="auto"/>
      </w:divBdr>
      <w:divsChild>
        <w:div w:id="1623803986">
          <w:marLeft w:val="0"/>
          <w:marRight w:val="0"/>
          <w:marTop w:val="0"/>
          <w:marBottom w:val="0"/>
          <w:divBdr>
            <w:top w:val="none" w:sz="0" w:space="0" w:color="auto"/>
            <w:left w:val="none" w:sz="0" w:space="0" w:color="auto"/>
            <w:bottom w:val="none" w:sz="0" w:space="0" w:color="auto"/>
            <w:right w:val="none" w:sz="0" w:space="0" w:color="auto"/>
          </w:divBdr>
        </w:div>
      </w:divsChild>
    </w:div>
    <w:div w:id="782922762">
      <w:bodyDiv w:val="1"/>
      <w:marLeft w:val="0"/>
      <w:marRight w:val="0"/>
      <w:marTop w:val="0"/>
      <w:marBottom w:val="0"/>
      <w:divBdr>
        <w:top w:val="none" w:sz="0" w:space="0" w:color="auto"/>
        <w:left w:val="none" w:sz="0" w:space="0" w:color="auto"/>
        <w:bottom w:val="none" w:sz="0" w:space="0" w:color="auto"/>
        <w:right w:val="none" w:sz="0" w:space="0" w:color="auto"/>
      </w:divBdr>
    </w:div>
    <w:div w:id="827596859">
      <w:bodyDiv w:val="1"/>
      <w:marLeft w:val="0"/>
      <w:marRight w:val="0"/>
      <w:marTop w:val="0"/>
      <w:marBottom w:val="0"/>
      <w:divBdr>
        <w:top w:val="none" w:sz="0" w:space="0" w:color="auto"/>
        <w:left w:val="none" w:sz="0" w:space="0" w:color="auto"/>
        <w:bottom w:val="none" w:sz="0" w:space="0" w:color="auto"/>
        <w:right w:val="none" w:sz="0" w:space="0" w:color="auto"/>
      </w:divBdr>
    </w:div>
    <w:div w:id="850870629">
      <w:bodyDiv w:val="1"/>
      <w:marLeft w:val="0"/>
      <w:marRight w:val="0"/>
      <w:marTop w:val="0"/>
      <w:marBottom w:val="0"/>
      <w:divBdr>
        <w:top w:val="none" w:sz="0" w:space="0" w:color="auto"/>
        <w:left w:val="none" w:sz="0" w:space="0" w:color="auto"/>
        <w:bottom w:val="none" w:sz="0" w:space="0" w:color="auto"/>
        <w:right w:val="none" w:sz="0" w:space="0" w:color="auto"/>
      </w:divBdr>
    </w:div>
    <w:div w:id="871069542">
      <w:bodyDiv w:val="1"/>
      <w:marLeft w:val="0"/>
      <w:marRight w:val="0"/>
      <w:marTop w:val="0"/>
      <w:marBottom w:val="0"/>
      <w:divBdr>
        <w:top w:val="none" w:sz="0" w:space="0" w:color="auto"/>
        <w:left w:val="none" w:sz="0" w:space="0" w:color="auto"/>
        <w:bottom w:val="none" w:sz="0" w:space="0" w:color="auto"/>
        <w:right w:val="none" w:sz="0" w:space="0" w:color="auto"/>
      </w:divBdr>
    </w:div>
    <w:div w:id="913928617">
      <w:bodyDiv w:val="1"/>
      <w:marLeft w:val="0"/>
      <w:marRight w:val="0"/>
      <w:marTop w:val="0"/>
      <w:marBottom w:val="0"/>
      <w:divBdr>
        <w:top w:val="none" w:sz="0" w:space="0" w:color="auto"/>
        <w:left w:val="none" w:sz="0" w:space="0" w:color="auto"/>
        <w:bottom w:val="none" w:sz="0" w:space="0" w:color="auto"/>
        <w:right w:val="none" w:sz="0" w:space="0" w:color="auto"/>
      </w:divBdr>
    </w:div>
    <w:div w:id="959994319">
      <w:bodyDiv w:val="1"/>
      <w:marLeft w:val="0"/>
      <w:marRight w:val="0"/>
      <w:marTop w:val="0"/>
      <w:marBottom w:val="0"/>
      <w:divBdr>
        <w:top w:val="none" w:sz="0" w:space="0" w:color="auto"/>
        <w:left w:val="none" w:sz="0" w:space="0" w:color="auto"/>
        <w:bottom w:val="none" w:sz="0" w:space="0" w:color="auto"/>
        <w:right w:val="none" w:sz="0" w:space="0" w:color="auto"/>
      </w:divBdr>
    </w:div>
    <w:div w:id="1003970410">
      <w:bodyDiv w:val="1"/>
      <w:marLeft w:val="0"/>
      <w:marRight w:val="0"/>
      <w:marTop w:val="0"/>
      <w:marBottom w:val="0"/>
      <w:divBdr>
        <w:top w:val="none" w:sz="0" w:space="0" w:color="auto"/>
        <w:left w:val="none" w:sz="0" w:space="0" w:color="auto"/>
        <w:bottom w:val="none" w:sz="0" w:space="0" w:color="auto"/>
        <w:right w:val="none" w:sz="0" w:space="0" w:color="auto"/>
      </w:divBdr>
    </w:div>
    <w:div w:id="1020738906">
      <w:bodyDiv w:val="1"/>
      <w:marLeft w:val="0"/>
      <w:marRight w:val="0"/>
      <w:marTop w:val="0"/>
      <w:marBottom w:val="0"/>
      <w:divBdr>
        <w:top w:val="none" w:sz="0" w:space="0" w:color="auto"/>
        <w:left w:val="none" w:sz="0" w:space="0" w:color="auto"/>
        <w:bottom w:val="none" w:sz="0" w:space="0" w:color="auto"/>
        <w:right w:val="none" w:sz="0" w:space="0" w:color="auto"/>
      </w:divBdr>
      <w:divsChild>
        <w:div w:id="2002584232">
          <w:marLeft w:val="0"/>
          <w:marRight w:val="0"/>
          <w:marTop w:val="0"/>
          <w:marBottom w:val="0"/>
          <w:divBdr>
            <w:top w:val="none" w:sz="0" w:space="0" w:color="auto"/>
            <w:left w:val="none" w:sz="0" w:space="0" w:color="auto"/>
            <w:bottom w:val="none" w:sz="0" w:space="0" w:color="auto"/>
            <w:right w:val="none" w:sz="0" w:space="0" w:color="auto"/>
          </w:divBdr>
        </w:div>
      </w:divsChild>
    </w:div>
    <w:div w:id="1043212603">
      <w:bodyDiv w:val="1"/>
      <w:marLeft w:val="0"/>
      <w:marRight w:val="0"/>
      <w:marTop w:val="0"/>
      <w:marBottom w:val="0"/>
      <w:divBdr>
        <w:top w:val="none" w:sz="0" w:space="0" w:color="auto"/>
        <w:left w:val="none" w:sz="0" w:space="0" w:color="auto"/>
        <w:bottom w:val="none" w:sz="0" w:space="0" w:color="auto"/>
        <w:right w:val="none" w:sz="0" w:space="0" w:color="auto"/>
      </w:divBdr>
    </w:div>
    <w:div w:id="1052457950">
      <w:bodyDiv w:val="1"/>
      <w:marLeft w:val="0"/>
      <w:marRight w:val="0"/>
      <w:marTop w:val="0"/>
      <w:marBottom w:val="0"/>
      <w:divBdr>
        <w:top w:val="none" w:sz="0" w:space="0" w:color="auto"/>
        <w:left w:val="none" w:sz="0" w:space="0" w:color="auto"/>
        <w:bottom w:val="none" w:sz="0" w:space="0" w:color="auto"/>
        <w:right w:val="none" w:sz="0" w:space="0" w:color="auto"/>
      </w:divBdr>
    </w:div>
    <w:div w:id="1086264955">
      <w:bodyDiv w:val="1"/>
      <w:marLeft w:val="0"/>
      <w:marRight w:val="0"/>
      <w:marTop w:val="0"/>
      <w:marBottom w:val="0"/>
      <w:divBdr>
        <w:top w:val="none" w:sz="0" w:space="0" w:color="auto"/>
        <w:left w:val="none" w:sz="0" w:space="0" w:color="auto"/>
        <w:bottom w:val="none" w:sz="0" w:space="0" w:color="auto"/>
        <w:right w:val="none" w:sz="0" w:space="0" w:color="auto"/>
      </w:divBdr>
    </w:div>
    <w:div w:id="1136214804">
      <w:bodyDiv w:val="1"/>
      <w:marLeft w:val="0"/>
      <w:marRight w:val="0"/>
      <w:marTop w:val="0"/>
      <w:marBottom w:val="0"/>
      <w:divBdr>
        <w:top w:val="none" w:sz="0" w:space="0" w:color="auto"/>
        <w:left w:val="none" w:sz="0" w:space="0" w:color="auto"/>
        <w:bottom w:val="none" w:sz="0" w:space="0" w:color="auto"/>
        <w:right w:val="none" w:sz="0" w:space="0" w:color="auto"/>
      </w:divBdr>
    </w:div>
    <w:div w:id="1167288738">
      <w:bodyDiv w:val="1"/>
      <w:marLeft w:val="0"/>
      <w:marRight w:val="0"/>
      <w:marTop w:val="0"/>
      <w:marBottom w:val="0"/>
      <w:divBdr>
        <w:top w:val="none" w:sz="0" w:space="0" w:color="auto"/>
        <w:left w:val="none" w:sz="0" w:space="0" w:color="auto"/>
        <w:bottom w:val="none" w:sz="0" w:space="0" w:color="auto"/>
        <w:right w:val="none" w:sz="0" w:space="0" w:color="auto"/>
      </w:divBdr>
    </w:div>
    <w:div w:id="1169128597">
      <w:bodyDiv w:val="1"/>
      <w:marLeft w:val="0"/>
      <w:marRight w:val="0"/>
      <w:marTop w:val="0"/>
      <w:marBottom w:val="0"/>
      <w:divBdr>
        <w:top w:val="none" w:sz="0" w:space="0" w:color="auto"/>
        <w:left w:val="none" w:sz="0" w:space="0" w:color="auto"/>
        <w:bottom w:val="none" w:sz="0" w:space="0" w:color="auto"/>
        <w:right w:val="none" w:sz="0" w:space="0" w:color="auto"/>
      </w:divBdr>
    </w:div>
    <w:div w:id="1263688753">
      <w:bodyDiv w:val="1"/>
      <w:marLeft w:val="0"/>
      <w:marRight w:val="0"/>
      <w:marTop w:val="0"/>
      <w:marBottom w:val="0"/>
      <w:divBdr>
        <w:top w:val="none" w:sz="0" w:space="0" w:color="auto"/>
        <w:left w:val="none" w:sz="0" w:space="0" w:color="auto"/>
        <w:bottom w:val="none" w:sz="0" w:space="0" w:color="auto"/>
        <w:right w:val="none" w:sz="0" w:space="0" w:color="auto"/>
      </w:divBdr>
    </w:div>
    <w:div w:id="1341350430">
      <w:bodyDiv w:val="1"/>
      <w:marLeft w:val="0"/>
      <w:marRight w:val="0"/>
      <w:marTop w:val="0"/>
      <w:marBottom w:val="0"/>
      <w:divBdr>
        <w:top w:val="none" w:sz="0" w:space="0" w:color="auto"/>
        <w:left w:val="none" w:sz="0" w:space="0" w:color="auto"/>
        <w:bottom w:val="none" w:sz="0" w:space="0" w:color="auto"/>
        <w:right w:val="none" w:sz="0" w:space="0" w:color="auto"/>
      </w:divBdr>
    </w:div>
    <w:div w:id="1411735510">
      <w:bodyDiv w:val="1"/>
      <w:marLeft w:val="0"/>
      <w:marRight w:val="0"/>
      <w:marTop w:val="0"/>
      <w:marBottom w:val="0"/>
      <w:divBdr>
        <w:top w:val="none" w:sz="0" w:space="0" w:color="auto"/>
        <w:left w:val="none" w:sz="0" w:space="0" w:color="auto"/>
        <w:bottom w:val="none" w:sz="0" w:space="0" w:color="auto"/>
        <w:right w:val="none" w:sz="0" w:space="0" w:color="auto"/>
      </w:divBdr>
    </w:div>
    <w:div w:id="1413894301">
      <w:bodyDiv w:val="1"/>
      <w:marLeft w:val="0"/>
      <w:marRight w:val="0"/>
      <w:marTop w:val="0"/>
      <w:marBottom w:val="0"/>
      <w:divBdr>
        <w:top w:val="none" w:sz="0" w:space="0" w:color="auto"/>
        <w:left w:val="none" w:sz="0" w:space="0" w:color="auto"/>
        <w:bottom w:val="none" w:sz="0" w:space="0" w:color="auto"/>
        <w:right w:val="none" w:sz="0" w:space="0" w:color="auto"/>
      </w:divBdr>
    </w:div>
    <w:div w:id="1414084645">
      <w:bodyDiv w:val="1"/>
      <w:marLeft w:val="0"/>
      <w:marRight w:val="0"/>
      <w:marTop w:val="0"/>
      <w:marBottom w:val="0"/>
      <w:divBdr>
        <w:top w:val="none" w:sz="0" w:space="0" w:color="auto"/>
        <w:left w:val="none" w:sz="0" w:space="0" w:color="auto"/>
        <w:bottom w:val="none" w:sz="0" w:space="0" w:color="auto"/>
        <w:right w:val="none" w:sz="0" w:space="0" w:color="auto"/>
      </w:divBdr>
    </w:div>
    <w:div w:id="1441727209">
      <w:bodyDiv w:val="1"/>
      <w:marLeft w:val="0"/>
      <w:marRight w:val="0"/>
      <w:marTop w:val="0"/>
      <w:marBottom w:val="0"/>
      <w:divBdr>
        <w:top w:val="none" w:sz="0" w:space="0" w:color="auto"/>
        <w:left w:val="none" w:sz="0" w:space="0" w:color="auto"/>
        <w:bottom w:val="none" w:sz="0" w:space="0" w:color="auto"/>
        <w:right w:val="none" w:sz="0" w:space="0" w:color="auto"/>
      </w:divBdr>
      <w:divsChild>
        <w:div w:id="1905332411">
          <w:marLeft w:val="0"/>
          <w:marRight w:val="0"/>
          <w:marTop w:val="0"/>
          <w:marBottom w:val="0"/>
          <w:divBdr>
            <w:top w:val="none" w:sz="0" w:space="0" w:color="auto"/>
            <w:left w:val="none" w:sz="0" w:space="0" w:color="auto"/>
            <w:bottom w:val="none" w:sz="0" w:space="0" w:color="auto"/>
            <w:right w:val="none" w:sz="0" w:space="0" w:color="auto"/>
          </w:divBdr>
          <w:divsChild>
            <w:div w:id="1578250019">
              <w:marLeft w:val="0"/>
              <w:marRight w:val="0"/>
              <w:marTop w:val="150"/>
              <w:marBottom w:val="0"/>
              <w:divBdr>
                <w:top w:val="none" w:sz="0" w:space="0" w:color="auto"/>
                <w:left w:val="none" w:sz="0" w:space="0" w:color="auto"/>
                <w:bottom w:val="none" w:sz="0" w:space="0" w:color="auto"/>
                <w:right w:val="none" w:sz="0" w:space="0" w:color="auto"/>
              </w:divBdr>
              <w:divsChild>
                <w:div w:id="1728453993">
                  <w:marLeft w:val="0"/>
                  <w:marRight w:val="0"/>
                  <w:marTop w:val="0"/>
                  <w:marBottom w:val="0"/>
                  <w:divBdr>
                    <w:top w:val="none" w:sz="0" w:space="0" w:color="auto"/>
                    <w:left w:val="none" w:sz="0" w:space="0" w:color="auto"/>
                    <w:bottom w:val="none" w:sz="0" w:space="0" w:color="auto"/>
                    <w:right w:val="none" w:sz="0" w:space="0" w:color="auto"/>
                  </w:divBdr>
                  <w:divsChild>
                    <w:div w:id="184944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8632">
      <w:bodyDiv w:val="1"/>
      <w:marLeft w:val="0"/>
      <w:marRight w:val="0"/>
      <w:marTop w:val="0"/>
      <w:marBottom w:val="0"/>
      <w:divBdr>
        <w:top w:val="none" w:sz="0" w:space="0" w:color="auto"/>
        <w:left w:val="none" w:sz="0" w:space="0" w:color="auto"/>
        <w:bottom w:val="none" w:sz="0" w:space="0" w:color="auto"/>
        <w:right w:val="none" w:sz="0" w:space="0" w:color="auto"/>
      </w:divBdr>
    </w:div>
    <w:div w:id="1480462763">
      <w:bodyDiv w:val="1"/>
      <w:marLeft w:val="0"/>
      <w:marRight w:val="0"/>
      <w:marTop w:val="0"/>
      <w:marBottom w:val="0"/>
      <w:divBdr>
        <w:top w:val="none" w:sz="0" w:space="0" w:color="auto"/>
        <w:left w:val="none" w:sz="0" w:space="0" w:color="auto"/>
        <w:bottom w:val="none" w:sz="0" w:space="0" w:color="auto"/>
        <w:right w:val="none" w:sz="0" w:space="0" w:color="auto"/>
      </w:divBdr>
    </w:div>
    <w:div w:id="1509828141">
      <w:bodyDiv w:val="1"/>
      <w:marLeft w:val="0"/>
      <w:marRight w:val="0"/>
      <w:marTop w:val="0"/>
      <w:marBottom w:val="0"/>
      <w:divBdr>
        <w:top w:val="none" w:sz="0" w:space="0" w:color="auto"/>
        <w:left w:val="none" w:sz="0" w:space="0" w:color="auto"/>
        <w:bottom w:val="none" w:sz="0" w:space="0" w:color="auto"/>
        <w:right w:val="none" w:sz="0" w:space="0" w:color="auto"/>
      </w:divBdr>
    </w:div>
    <w:div w:id="1578856139">
      <w:bodyDiv w:val="1"/>
      <w:marLeft w:val="0"/>
      <w:marRight w:val="0"/>
      <w:marTop w:val="0"/>
      <w:marBottom w:val="0"/>
      <w:divBdr>
        <w:top w:val="none" w:sz="0" w:space="0" w:color="auto"/>
        <w:left w:val="none" w:sz="0" w:space="0" w:color="auto"/>
        <w:bottom w:val="none" w:sz="0" w:space="0" w:color="auto"/>
        <w:right w:val="none" w:sz="0" w:space="0" w:color="auto"/>
      </w:divBdr>
    </w:div>
    <w:div w:id="1875582725">
      <w:bodyDiv w:val="1"/>
      <w:marLeft w:val="0"/>
      <w:marRight w:val="0"/>
      <w:marTop w:val="0"/>
      <w:marBottom w:val="0"/>
      <w:divBdr>
        <w:top w:val="none" w:sz="0" w:space="0" w:color="auto"/>
        <w:left w:val="none" w:sz="0" w:space="0" w:color="auto"/>
        <w:bottom w:val="none" w:sz="0" w:space="0" w:color="auto"/>
        <w:right w:val="none" w:sz="0" w:space="0" w:color="auto"/>
      </w:divBdr>
      <w:divsChild>
        <w:div w:id="1815176872">
          <w:marLeft w:val="0"/>
          <w:marRight w:val="0"/>
          <w:marTop w:val="0"/>
          <w:marBottom w:val="0"/>
          <w:divBdr>
            <w:top w:val="none" w:sz="0" w:space="0" w:color="auto"/>
            <w:left w:val="none" w:sz="0" w:space="0" w:color="auto"/>
            <w:bottom w:val="none" w:sz="0" w:space="0" w:color="auto"/>
            <w:right w:val="none" w:sz="0" w:space="0" w:color="auto"/>
          </w:divBdr>
        </w:div>
      </w:divsChild>
    </w:div>
    <w:div w:id="2005621014">
      <w:bodyDiv w:val="1"/>
      <w:marLeft w:val="0"/>
      <w:marRight w:val="0"/>
      <w:marTop w:val="0"/>
      <w:marBottom w:val="0"/>
      <w:divBdr>
        <w:top w:val="none" w:sz="0" w:space="0" w:color="auto"/>
        <w:left w:val="none" w:sz="0" w:space="0" w:color="auto"/>
        <w:bottom w:val="none" w:sz="0" w:space="0" w:color="auto"/>
        <w:right w:val="none" w:sz="0" w:space="0" w:color="auto"/>
      </w:divBdr>
      <w:divsChild>
        <w:div w:id="935866554">
          <w:marLeft w:val="0"/>
          <w:marRight w:val="0"/>
          <w:marTop w:val="0"/>
          <w:marBottom w:val="0"/>
          <w:divBdr>
            <w:top w:val="none" w:sz="0" w:space="0" w:color="auto"/>
            <w:left w:val="none" w:sz="0" w:space="0" w:color="auto"/>
            <w:bottom w:val="none" w:sz="0" w:space="0" w:color="auto"/>
            <w:right w:val="none" w:sz="0" w:space="0" w:color="auto"/>
          </w:divBdr>
          <w:divsChild>
            <w:div w:id="1412653918">
              <w:marLeft w:val="0"/>
              <w:marRight w:val="0"/>
              <w:marTop w:val="150"/>
              <w:marBottom w:val="0"/>
              <w:divBdr>
                <w:top w:val="none" w:sz="0" w:space="0" w:color="auto"/>
                <w:left w:val="none" w:sz="0" w:space="0" w:color="auto"/>
                <w:bottom w:val="none" w:sz="0" w:space="0" w:color="auto"/>
                <w:right w:val="none" w:sz="0" w:space="0" w:color="auto"/>
              </w:divBdr>
              <w:divsChild>
                <w:div w:id="1933394947">
                  <w:marLeft w:val="0"/>
                  <w:marRight w:val="0"/>
                  <w:marTop w:val="0"/>
                  <w:marBottom w:val="0"/>
                  <w:divBdr>
                    <w:top w:val="none" w:sz="0" w:space="0" w:color="auto"/>
                    <w:left w:val="none" w:sz="0" w:space="0" w:color="auto"/>
                    <w:bottom w:val="none" w:sz="0" w:space="0" w:color="auto"/>
                    <w:right w:val="none" w:sz="0" w:space="0" w:color="auto"/>
                  </w:divBdr>
                  <w:divsChild>
                    <w:div w:id="16062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chart" Target="charts/chart1.xm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competition-policy.ec.europa.eu/state-aid/ipcei/approved-ipceis_fr"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4.xml"/><Relationship Id="rId32" Type="http://schemas.openxmlformats.org/officeDocument/2006/relationships/footer" Target="footer5.xm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3.xml"/><Relationship Id="rId28" Type="http://schemas.openxmlformats.org/officeDocument/2006/relationships/chart" Target="charts/chart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chart" Target="charts/chart2.xml"/><Relationship Id="rId27" Type="http://schemas.openxmlformats.org/officeDocument/2006/relationships/chart" Target="charts/chart6.xml"/><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ec.europa.eu/docsroom/documents/20362" TargetMode="External"/><Relationship Id="rId21" Type="http://schemas.openxmlformats.org/officeDocument/2006/relationships/hyperlink" Target="https://www.ecb.europa.eu/press/economic-bulletin/focus/2024/html/ecb.ebbox202406_01~9c8418b554.en.html" TargetMode="External"/><Relationship Id="rId42" Type="http://schemas.openxmlformats.org/officeDocument/2006/relationships/hyperlink" Target="https://unctadstat.unctad.org/datacentre/dataviewer/shared-report/3e6c6e96-b85c-487e-a7a4-9ca93db9ef44" TargetMode="External"/><Relationship Id="rId47" Type="http://schemas.openxmlformats.org/officeDocument/2006/relationships/hyperlink" Target="https://single-market-economy.ec.europa.eu/smes/sme-strategy-and-sme-friendly-business-conditions/sme-performance-review_en" TargetMode="External"/><Relationship Id="rId63" Type="http://schemas.openxmlformats.org/officeDocument/2006/relationships/hyperlink" Target="https://commission.europa.eu/topics/strengthening-european-competitiveness/eu-competitiveness-looking-ahead_en" TargetMode="External"/><Relationship Id="rId68" Type="http://schemas.openxmlformats.org/officeDocument/2006/relationships/hyperlink" Target="https://ifr.org/ifr-press-releases/news/global-robot-density-in-factories-doubled-in-seven-years" TargetMode="External"/><Relationship Id="rId84" Type="http://schemas.openxmlformats.org/officeDocument/2006/relationships/hyperlink" Target="https://research-and-innovation.ec.europa.eu/strategy/strategy-research-and-innovation/our-digital-future/open-science_en?prefLang=fr" TargetMode="External"/><Relationship Id="rId89" Type="http://schemas.openxmlformats.org/officeDocument/2006/relationships/hyperlink" Target="https://ec.europa.eu/eurostat/web/energy/" TargetMode="External"/><Relationship Id="rId7" Type="http://schemas.openxmlformats.org/officeDocument/2006/relationships/hyperlink" Target="https://eur-lex.europa.eu/legal-content/FR/ALL/?uri=CELEX:52023DC0162" TargetMode="External"/><Relationship Id="rId71" Type="http://schemas.openxmlformats.org/officeDocument/2006/relationships/hyperlink" Target="https://ec.europa.eu/eurostat/databrowser/view/lfsi_emp_a/default/table?lang=fr" TargetMode="External"/><Relationship Id="rId92" Type="http://schemas.openxmlformats.org/officeDocument/2006/relationships/hyperlink" Target="https://www.eca.europa.eu/fr/publications?ref=sr-2023-17" TargetMode="External"/><Relationship Id="rId2" Type="http://schemas.openxmlformats.org/officeDocument/2006/relationships/hyperlink" Target="https://commission.europa.eu/topics/strengthening-european-competitiveness/eu-competitiveness-looking-ahead_en" TargetMode="External"/><Relationship Id="rId16" Type="http://schemas.openxmlformats.org/officeDocument/2006/relationships/hyperlink" Target="https://single-market-scoreboard.ec.europa.eu/_en" TargetMode="External"/><Relationship Id="rId29" Type="http://schemas.openxmlformats.org/officeDocument/2006/relationships/hyperlink" Target="https://ec.europa.eu/growth/tools-databases/regprof/home" TargetMode="External"/><Relationship Id="rId11" Type="http://schemas.openxmlformats.org/officeDocument/2006/relationships/hyperlink" Target="https://fosmo.youreurope.europa.eu/?lang=fr" TargetMode="External"/><Relationship Id="rId24" Type="http://schemas.openxmlformats.org/officeDocument/2006/relationships/hyperlink" Target="https://www.businesseurope.eu/publications/examples-single-market-barriers-businesses-2023" TargetMode="External"/><Relationship Id="rId32" Type="http://schemas.openxmlformats.org/officeDocument/2006/relationships/hyperlink" Target="https://eur-lex.europa.eu/eli/reg/2023/1542/oj?eliuri=eli%3Areg%3A2023%3A1542%3Aoj&amp;locale=fr" TargetMode="External"/><Relationship Id="rId37" Type="http://schemas.openxmlformats.org/officeDocument/2006/relationships/hyperlink" Target="https://eur-lex.europa.eu/legal-content/FR/TXT/?uri=CELEX%3A52024XC01364" TargetMode="External"/><Relationship Id="rId40" Type="http://schemas.openxmlformats.org/officeDocument/2006/relationships/hyperlink" Target="https://www.ey.com/en_gl/foreign-direct-investment-surveys/ey-europe-attractiveness-survey" TargetMode="External"/><Relationship Id="rId45" Type="http://schemas.openxmlformats.org/officeDocument/2006/relationships/hyperlink" Target="https://eur-lex.europa.eu/legal-content/FR/TXT/?uri=CELEX%3A32014L0055" TargetMode="External"/><Relationship Id="rId53" Type="http://schemas.openxmlformats.org/officeDocument/2006/relationships/hyperlink" Target="https://neighbourhood-enlargement.ec.europa.eu/enlargement-policy/growth-plan-western-balkans_en" TargetMode="External"/><Relationship Id="rId58" Type="http://schemas.openxmlformats.org/officeDocument/2006/relationships/hyperlink" Target="https://op.europa.eu/s/zXFX" TargetMode="External"/><Relationship Id="rId66" Type="http://schemas.openxmlformats.org/officeDocument/2006/relationships/hyperlink" Target="https://publications.jrc.ec.europa.eu/repository/handle/JRC133565" TargetMode="External"/><Relationship Id="rId74" Type="http://schemas.openxmlformats.org/officeDocument/2006/relationships/hyperlink" Target="https://digital-strategy.ec.europa.eu/fr/policies/digital-skills-and-jobs" TargetMode="External"/><Relationship Id="rId79" Type="http://schemas.openxmlformats.org/officeDocument/2006/relationships/hyperlink" Target="https://finance.ec.europa.eu/publications/list-indicators-monitor-progress-towards-cmu-objectives_fr" TargetMode="External"/><Relationship Id="rId87" Type="http://schemas.openxmlformats.org/officeDocument/2006/relationships/hyperlink" Target="https://www.ey.com/en_us/foreign-direct-investment-surveys/ey-europe-attractiveness-survey" TargetMode="External"/><Relationship Id="rId102" Type="http://schemas.openxmlformats.org/officeDocument/2006/relationships/hyperlink" Target="https://www.eib.org/en/publications/20240238-econ-eibis-2024-eu" TargetMode="External"/><Relationship Id="rId5" Type="http://schemas.openxmlformats.org/officeDocument/2006/relationships/hyperlink" Target="https://commission.europa.eu/document/download/5bb2881f-9e29-42f2-8b77-8739b19d047c_en?filename=2024_Niinisto-report_Book_VF.pdf" TargetMode="External"/><Relationship Id="rId61" Type="http://schemas.openxmlformats.org/officeDocument/2006/relationships/hyperlink" Target="https://commission.europa.eu/topics/strengthening-european-competitiveness/eu-competitiveness-looking-ahead_en" TargetMode="External"/><Relationship Id="rId82" Type="http://schemas.openxmlformats.org/officeDocument/2006/relationships/hyperlink" Target="https://www.consilium.europa.eu/media/ny3j24sm/much-more-than-a-market-report-by-enrico-letta.pdf" TargetMode="External"/><Relationship Id="rId90" Type="http://schemas.openxmlformats.org/officeDocument/2006/relationships/hyperlink" Target="https://eur-lex.europa.eu/resource.html?uri=cellar:6c154426-c5a6-11ee-95d9-01aa75ed71a1.0001.02/DOC_3&amp;format=PDF" TargetMode="External"/><Relationship Id="rId95" Type="http://schemas.openxmlformats.org/officeDocument/2006/relationships/hyperlink" Target="https://www.eea.europa.eu/en/analysis/indicators/europes-material-footprint" TargetMode="External"/><Relationship Id="rId19" Type="http://schemas.openxmlformats.org/officeDocument/2006/relationships/hyperlink" Target="https://eur-lex.europa.eu/legal-content/FR/TXT/?uri=CELEX%3A32024R2747" TargetMode="External"/><Relationship Id="rId14" Type="http://schemas.openxmlformats.org/officeDocument/2006/relationships/hyperlink" Target="https://ec.europa.eu/internal_market/smet/reports/index_en.htm" TargetMode="External"/><Relationship Id="rId22" Type="http://schemas.openxmlformats.org/officeDocument/2006/relationships/hyperlink" Target="https://ec.europa.eu/eurostat/statistics-explained/index.php?title=Productivity_trends_using_key_national_accounts_indicators" TargetMode="External"/><Relationship Id="rId27" Type="http://schemas.openxmlformats.org/officeDocument/2006/relationships/hyperlink" Target="https://single-market-scoreboard.ec.europa.eu/business-framework-conditions/services-markets_en" TargetMode="External"/><Relationship Id="rId30" Type="http://schemas.openxmlformats.org/officeDocument/2006/relationships/hyperlink" Target="https://ec.europa.eu/commission/presscorner/detail/fr/ip_24_5784" TargetMode="External"/><Relationship Id="rId35" Type="http://schemas.openxmlformats.org/officeDocument/2006/relationships/hyperlink" Target="https://eur-lex.europa.eu/legal-content/FR/TXT/?uri=celex%3A32019R1020" TargetMode="External"/><Relationship Id="rId43" Type="http://schemas.openxmlformats.org/officeDocument/2006/relationships/hyperlink" Target="https://www.eib.org/fr/publications/20240238-econ-eibis-2024-eu" TargetMode="External"/><Relationship Id="rId48" Type="http://schemas.openxmlformats.org/officeDocument/2006/relationships/hyperlink" Target="https://www.oecd.org/fr/about/programmes/helping-smes-scale-up.html" TargetMode="External"/><Relationship Id="rId56" Type="http://schemas.openxmlformats.org/officeDocument/2006/relationships/hyperlink" Target="https://donnees.banquemondiale.org/indicateur/GB.XPD.RSDV.GD.ZS" TargetMode="External"/><Relationship Id="rId64" Type="http://schemas.openxmlformats.org/officeDocument/2006/relationships/hyperlink" Target="https://commission.europa.eu/strategy-and-policy/priorities-2019-2024/europe-fit-digital-age/europes-digital-decade-digital-targets-2030_fr" TargetMode="External"/><Relationship Id="rId69" Type="http://schemas.openxmlformats.org/officeDocument/2006/relationships/hyperlink" Target="https://www.europarl.europa.eu/RegData/etudes/ATAG/2024/760392/EPRS_ATA(2024)760392_EN.pdf" TargetMode="External"/><Relationship Id="rId77" Type="http://schemas.openxmlformats.org/officeDocument/2006/relationships/hyperlink" Target="https://europa.eu/eurobarometer/surveys/detail/2994" TargetMode="External"/><Relationship Id="rId100" Type="http://schemas.openxmlformats.org/officeDocument/2006/relationships/hyperlink" Target="https://single-market-economy.ec.europa.eu/publications/supply-chain-tectonics-empirics-how-eu-plotting-its-path-through-global-trade-fragmentation_en" TargetMode="External"/><Relationship Id="rId105" Type="http://schemas.openxmlformats.org/officeDocument/2006/relationships/hyperlink" Target="https://commission.europa.eu/strategy-and-policy/priorities-2019-2024/stronger-europe-world/global-gateway_fr" TargetMode="External"/><Relationship Id="rId8" Type="http://schemas.openxmlformats.org/officeDocument/2006/relationships/hyperlink" Target="https://www.consilium.europa.eu/fr/meetings/european-council/2022/12/15/" TargetMode="External"/><Relationship Id="rId51" Type="http://schemas.openxmlformats.org/officeDocument/2006/relationships/hyperlink" Target="https://ec.europa.eu/commission/presscorner/detail/fr/ip_24_1568" TargetMode="External"/><Relationship Id="rId72" Type="http://schemas.openxmlformats.org/officeDocument/2006/relationships/hyperlink" Target="https://data-explorer.oecd.org/vis?df%5bds%5d=DisseminateFinalDMZ&amp;df%5bid%5d=DSD_LFS%40DF_IALFS_LF_WAP_Q&amp;df%5bag%5d=OECD.SDD.TPS&amp;df%5bvs%5d=1.0&amp;dq=.LF_WAP.._Z.Y._T.Y15T64..Q&amp;lom=LASTNPERIODS&amp;lo=7&amp;to%5bTIME_PERIOD%5d=false&amp;vw=tb&amp;lc=fr&amp;pg=0" TargetMode="External"/><Relationship Id="rId80" Type="http://schemas.openxmlformats.org/officeDocument/2006/relationships/hyperlink" Target="https://www.eib.org/attachments/lucalli/20240130_the_scale_up_gap_en.pdf" TargetMode="External"/><Relationship Id="rId85" Type="http://schemas.openxmlformats.org/officeDocument/2006/relationships/hyperlink" Target="https://ec.europa.eu/economy_finance/recovery-and-resilience-scoreboard/disbursements.html?lang=en" TargetMode="External"/><Relationship Id="rId93" Type="http://schemas.openxmlformats.org/officeDocument/2006/relationships/hyperlink" Target="https://www.eca.europa.eu/fr/publications?ref=sr-2023-17" TargetMode="External"/><Relationship Id="rId98" Type="http://schemas.openxmlformats.org/officeDocument/2006/relationships/hyperlink" Target="https://ec.europa.eu/eurostat/databrowser/view/ext_ser_mos__custom_14711273/default/table?lang=fr" TargetMode="External"/><Relationship Id="rId3" Type="http://schemas.openxmlformats.org/officeDocument/2006/relationships/hyperlink" Target="https://www.consilium.europa.eu/media/ny3j24sm/much-more-than-a-market-report-by-enrico-letta.pdf" TargetMode="External"/><Relationship Id="rId12" Type="http://schemas.openxmlformats.org/officeDocument/2006/relationships/hyperlink" Target="https://ert.eu/wp-content/uploads/2024/02/Single-Market-Compendium-of-obstacles-13-Feb-2024.pdf" TargetMode="External"/><Relationship Id="rId17" Type="http://schemas.openxmlformats.org/officeDocument/2006/relationships/hyperlink" Target="https://single-market-scoreboard.ec.europa.eu/_en" TargetMode="External"/><Relationship Id="rId25" Type="http://schemas.openxmlformats.org/officeDocument/2006/relationships/hyperlink" Target="https://ec.europa.eu/growth/tools-databases/regprof/home" TargetMode="External"/><Relationship Id="rId33" Type="http://schemas.openxmlformats.org/officeDocument/2006/relationships/hyperlink" Target="https://eur-lex.europa.eu/eli/reg/2023/1230/oj?eliuri=eli%3Areg%3A2023%3A1230%3Aoj&amp;locale=fr" TargetMode="External"/><Relationship Id="rId38" Type="http://schemas.openxmlformats.org/officeDocument/2006/relationships/hyperlink" Target="https://single-market-economy.ec.europa.eu/sectors/textiles-ecosystem/regulation-eu-10072011_en" TargetMode="External"/><Relationship Id="rId46" Type="http://schemas.openxmlformats.org/officeDocument/2006/relationships/hyperlink" Target="https://commission.europa.eu/publications/interoperable-europe-act-proposal_en" TargetMode="External"/><Relationship Id="rId59" Type="http://schemas.openxmlformats.org/officeDocument/2006/relationships/hyperlink" Target="https://iri.jrc.ec.europa.eu/scoreboard/2023-eu-industrial-rd-investment-scoreboard" TargetMode="External"/><Relationship Id="rId67" Type="http://schemas.openxmlformats.org/officeDocument/2006/relationships/hyperlink" Target="https://ec.europa.eu/eurostat/web/interactive-publications/digitalisation-2024" TargetMode="External"/><Relationship Id="rId103" Type="http://schemas.openxmlformats.org/officeDocument/2006/relationships/hyperlink" Target="https://www.eib.org/en/publications/20240179-navigating-supply-chain-disruptions" TargetMode="External"/><Relationship Id="rId20" Type="http://schemas.openxmlformats.org/officeDocument/2006/relationships/hyperlink" Target="https://single-market-scoreboard.ec.europa.eu/business-framework-conditions/services-markets_en" TargetMode="External"/><Relationship Id="rId41" Type="http://schemas.openxmlformats.org/officeDocument/2006/relationships/hyperlink" Target="https://single-market-scoreboard.ec.europa.eu/_en" TargetMode="External"/><Relationship Id="rId54" Type="http://schemas.openxmlformats.org/officeDocument/2006/relationships/hyperlink" Target="https://link.epo.org/web/publications/studies/en-patents-trade-marks-and-startup-finance-study.pdf" TargetMode="External"/><Relationship Id="rId62" Type="http://schemas.openxmlformats.org/officeDocument/2006/relationships/hyperlink" Target="https://publications.jrc.ec.europa.eu/repository/handle/JRC139092" TargetMode="External"/><Relationship Id="rId70" Type="http://schemas.openxmlformats.org/officeDocument/2006/relationships/hyperlink" Target="https://www.europarl.europa.eu/RegData/etudes/ATAG/2024/760392/EPRS_ATA(2024)760392_EN.pdf" TargetMode="External"/><Relationship Id="rId75" Type="http://schemas.openxmlformats.org/officeDocument/2006/relationships/hyperlink" Target="https://op.europa.eu/en/publication-detail/-/publication/680d6391-2142-11ee-94cb-01aa75ed71a1/language-fr" TargetMode="External"/><Relationship Id="rId83" Type="http://schemas.openxmlformats.org/officeDocument/2006/relationships/hyperlink" Target="https://www.statista.com/statistics/188884/foreign-direct-investment-from-europe-in-the-us-since-1990/" TargetMode="External"/><Relationship Id="rId88" Type="http://schemas.openxmlformats.org/officeDocument/2006/relationships/hyperlink" Target="https://data.europa.eu/data/datasets/information-on-energy-markets-in-eu-countries-with-national-energy-profiles?locale=fr" TargetMode="External"/><Relationship Id="rId91" Type="http://schemas.openxmlformats.org/officeDocument/2006/relationships/hyperlink" Target="https://www.iea.org/reports/energy-technology-perspectives-2024" TargetMode="External"/><Relationship Id="rId96" Type="http://schemas.openxmlformats.org/officeDocument/2006/relationships/hyperlink" Target="https://rmis.jrc.ec.europa.eu/rmp/" TargetMode="External"/><Relationship Id="rId1" Type="http://schemas.openxmlformats.org/officeDocument/2006/relationships/hyperlink" Target="https://commission.europa.eu/topics/strengthening-european-competitiveness/eu-competitiveness-looking-ahead_en" TargetMode="External"/><Relationship Id="rId6" Type="http://schemas.openxmlformats.org/officeDocument/2006/relationships/hyperlink" Target="https://antwerp-declaration.eu/" TargetMode="External"/><Relationship Id="rId15" Type="http://schemas.openxmlformats.org/officeDocument/2006/relationships/hyperlink" Target="https://ec.europa.eu/internal_market/smet/reports/index_en.htm" TargetMode="External"/><Relationship Id="rId23" Type="http://schemas.openxmlformats.org/officeDocument/2006/relationships/hyperlink" Target="https://single-market-economy.ec.europa.eu/publications/30-years-single-market-taking-stock-and-looking-ahead_en" TargetMode="External"/><Relationship Id="rId28" Type="http://schemas.openxmlformats.org/officeDocument/2006/relationships/hyperlink" Target="https://single-market-economy.ec.europa.eu/single-market/services/free-movement-professionals/recognition-professional-qualifications-practice_en" TargetMode="External"/><Relationship Id="rId36" Type="http://schemas.openxmlformats.org/officeDocument/2006/relationships/hyperlink" Target="https://eur-lex.europa.eu/legal-content/FR/TXT/?uri=CELEX%3A32023R0988" TargetMode="External"/><Relationship Id="rId49" Type="http://schemas.openxmlformats.org/officeDocument/2006/relationships/hyperlink" Target="https://www.oecd.org/fr/about/programmes/helping-smes-scale-up.html" TargetMode="External"/><Relationship Id="rId57" Type="http://schemas.openxmlformats.org/officeDocument/2006/relationships/hyperlink" Target="https://donnees.banquemondiale.org/indicateur/GB.XPD.RSDV.GD.ZS" TargetMode="External"/><Relationship Id="rId10" Type="http://schemas.openxmlformats.org/officeDocument/2006/relationships/hyperlink" Target="https://eur-lex.europa.eu/legal-content/FR/TXT/PDF/?uri=CELEX:32018R1724" TargetMode="External"/><Relationship Id="rId31" Type="http://schemas.openxmlformats.org/officeDocument/2006/relationships/hyperlink" Target="https://single-market-economy.ec.europa.eu/sectors/postal-services_en" TargetMode="External"/><Relationship Id="rId44" Type="http://schemas.openxmlformats.org/officeDocument/2006/relationships/hyperlink" Target="https://www.eurochambres.eu/wp-content/uploads/2024/01/2024-Eurochambres-Single-Market-Survey-Full-Report.pdf" TargetMode="External"/><Relationship Id="rId52" Type="http://schemas.openxmlformats.org/officeDocument/2006/relationships/hyperlink" Target="https://www.consilium.europa.eu/fr/press/press-releases/2024/05/14/ukraine-plan-council-greenlights-regular-payments-under-the-ukraine-facility/" TargetMode="External"/><Relationship Id="rId60" Type="http://schemas.openxmlformats.org/officeDocument/2006/relationships/hyperlink" Target="https://publications.jrc.ec.europa.eu/repository/handle/JRC137117" TargetMode="External"/><Relationship Id="rId65" Type="http://schemas.openxmlformats.org/officeDocument/2006/relationships/hyperlink" Target="https://www.statista.com/statistics/263801/global-market-share-held-by-selected-countries-in-the-ict-market/" TargetMode="External"/><Relationship Id="rId73" Type="http://schemas.openxmlformats.org/officeDocument/2006/relationships/hyperlink" Target="https://www.oecd.org/en/publications/pisa-2022-results-volume-i_53f23881-en.html" TargetMode="External"/><Relationship Id="rId78" Type="http://schemas.openxmlformats.org/officeDocument/2006/relationships/hyperlink" Target="https://ec.europa.eu/eurostat/statistics-explained/index.php?title=ICT_specialists_in_employment" TargetMode="External"/><Relationship Id="rId81" Type="http://schemas.openxmlformats.org/officeDocument/2006/relationships/hyperlink" Target="https://research-and-innovation.ec.europa.eu/strategy/strategy-research-and-innovation/our-digital-future/open-science_en?prefLang=fr" TargetMode="External"/><Relationship Id="rId86" Type="http://schemas.openxmlformats.org/officeDocument/2006/relationships/hyperlink" Target="https://single-market-scoreboard.ec.europa.eu/_en" TargetMode="External"/><Relationship Id="rId94" Type="http://schemas.openxmlformats.org/officeDocument/2006/relationships/hyperlink" Target="https://ec.europa.eu/eurostat/web/environment/information-data/material-flows-resource-productivity" TargetMode="External"/><Relationship Id="rId99" Type="http://schemas.openxmlformats.org/officeDocument/2006/relationships/hyperlink" Target="https://single-market-economy.ec.europa.eu/publications/supply-chain-tectonics-empirics-how-eu-plotting-its-path-through-global-trade-fragmentation_en" TargetMode="External"/><Relationship Id="rId101" Type="http://schemas.openxmlformats.org/officeDocument/2006/relationships/hyperlink" Target="https://eur-lex.europa.eu/legal-content/FR/TXT/PDF/?uri=CELEX:52024DC0385" TargetMode="External"/><Relationship Id="rId4" Type="http://schemas.openxmlformats.org/officeDocument/2006/relationships/hyperlink" Target="https://commission.europa.eu/topics/strengthening-european-competitiveness/eu-competitiveness-looking-ahead_en" TargetMode="External"/><Relationship Id="rId9" Type="http://schemas.openxmlformats.org/officeDocument/2006/relationships/hyperlink" Target="https://eur-lex.europa.eu/legal-content/FR/TXT/?uri=CELEX%3A52023DC0168" TargetMode="External"/><Relationship Id="rId13" Type="http://schemas.openxmlformats.org/officeDocument/2006/relationships/hyperlink" Target="https://www.eurochambres.eu/wp-content/uploads/2024/01/2024-Eurochambres-Single-Market-Survey-Full-Report.pdf" TargetMode="External"/><Relationship Id="rId18" Type="http://schemas.openxmlformats.org/officeDocument/2006/relationships/hyperlink" Target="https://single-market-scoreboard.ec.europa.eu/enforcement-tools/transposition_en" TargetMode="External"/><Relationship Id="rId39" Type="http://schemas.openxmlformats.org/officeDocument/2006/relationships/hyperlink" Target="https://www.eib.org/attachments/lucalli/20230330_investment_barriers_in_the_eu_2023_en.pdf" TargetMode="External"/><Relationship Id="rId34" Type="http://schemas.openxmlformats.org/officeDocument/2006/relationships/hyperlink" Target="https://eur-lex.europa.eu/legal-content/FR/TXT/?uri=uriserv%3AOJ.L_.2016.081.01.0051.01.ENG&amp;toc=OJ%3AL%3A2016%3A081%3ATOC" TargetMode="External"/><Relationship Id="rId50" Type="http://schemas.openxmlformats.org/officeDocument/2006/relationships/hyperlink" Target="https://single-market-economy.ec.europa.eu/smes/sme-strategy-and-sme-friendly-business-conditions/sme-performance-review_en" TargetMode="External"/><Relationship Id="rId55" Type="http://schemas.openxmlformats.org/officeDocument/2006/relationships/hyperlink" Target="https://ec.europa.eu/eurostat/statistics-explained/index.php?oldid=551418" TargetMode="External"/><Relationship Id="rId76" Type="http://schemas.openxmlformats.org/officeDocument/2006/relationships/hyperlink" Target="https://ec.europa.eu/eurostat/web/interactive-publications/digitalisation-2024" TargetMode="External"/><Relationship Id="rId97" Type="http://schemas.openxmlformats.org/officeDocument/2006/relationships/hyperlink" Target="https://ec.europa.eu/eurostat/cache/metadata/en/ext_go_detail_sims.htm" TargetMode="External"/><Relationship Id="rId104" Type="http://schemas.openxmlformats.org/officeDocument/2006/relationships/hyperlink" Target="https://single-market-economy.ec.europa.eu/sectors/raw-materials/areas-specific-interest/raw-materials-diplomacy_fr"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dossiers.dgt.cec.eu.int\dossiers\GROW\GROW-2025-00019\GROW-2025-00019-00-00-FR-SRC-20.20250203094758675933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ossiers.dgt.cec.eu.int\dossiers\GROW\GROW-2025-00019\GROW-2025-00019-00-00-FR-SRC-20.202502030947586759331.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2.xml"/><Relationship Id="rId4" Type="http://schemas.openxmlformats.org/officeDocument/2006/relationships/oleObject" Target="file:///\\dossiers.dgt.cec.eu.int\dossiers\GROW\GROW-2025-00019\GROW-2025-00019-00-00-FR-SRC-20.202502030947586759331.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3.xml"/><Relationship Id="rId4" Type="http://schemas.openxmlformats.org/officeDocument/2006/relationships/oleObject" Target="file:///\\dossiers.dgt.cec.eu.int\dossiers\GROW\GROW-2025-00019\GROW-2025-00019-00-00-FR-SRC-20.202502030947586759331.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4.xml"/><Relationship Id="rId4" Type="http://schemas.openxmlformats.org/officeDocument/2006/relationships/oleObject" Target="file:///\\dossiers.dgt.cec.eu.int\dossiers\GROW\GROW-2025-00019\GROW-2025-00019-00-00-FR-SRC-20.202502030947586759331.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5.xml"/><Relationship Id="rId4" Type="http://schemas.openxmlformats.org/officeDocument/2006/relationships/oleObject" Target="file:///\\dossiers.dgt.cec.eu.int\dossiers\GROW\GROW-2025-00019\GROW-2025-00019-00-00-FR-SRC-20.202502030947586759331.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dossiers.dgt.cec.eu.int\dossiers\GROW\GROW-2025-00019\GROW-2025-00019-00-00-FR-SRC-20.20250203094758675933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470146231721034"/>
          <c:y val="6.6924610295026804E-2"/>
          <c:w val="0.82339377577802775"/>
          <c:h val="0.76787425700473766"/>
        </c:manualLayout>
      </c:layout>
      <c:lineChart>
        <c:grouping val="standard"/>
        <c:varyColors val="0"/>
        <c:ser>
          <c:idx val="0"/>
          <c:order val="0"/>
          <c:tx>
            <c:strRef>
              <c:f>Fig4_hh_savings!$A$5</c:f>
              <c:strCache>
                <c:ptCount val="1"/>
                <c:pt idx="0">
                  <c:v>UE</c:v>
                </c:pt>
              </c:strCache>
            </c:strRef>
          </c:tx>
          <c:spPr>
            <a:ln w="28575" cap="rnd">
              <a:solidFill>
                <a:schemeClr val="accent1"/>
              </a:solidFill>
              <a:round/>
            </a:ln>
            <a:effectLst/>
          </c:spPr>
          <c:marker>
            <c:symbol val="none"/>
          </c:marker>
          <c:cat>
            <c:numRef>
              <c:f>(Fig4_hh_savings!$B$4,Fig4_hh_savings!$D$4,Fig4_hh_savings!$F$4,Fig4_hh_savings!$H$4,Fig4_hh_savings!$J$4,Fig4_hh_savings!$L$4,Fig4_hh_savings!$N$4)</c:f>
              <c:numCache>
                <c:formatCode>General</c:formatCode>
                <c:ptCount val="7"/>
                <c:pt idx="0">
                  <c:v>2011</c:v>
                </c:pt>
                <c:pt idx="1">
                  <c:v>2013</c:v>
                </c:pt>
                <c:pt idx="2">
                  <c:v>2015</c:v>
                </c:pt>
                <c:pt idx="3">
                  <c:v>2017</c:v>
                </c:pt>
                <c:pt idx="4">
                  <c:v>2019</c:v>
                </c:pt>
                <c:pt idx="5">
                  <c:v>2021</c:v>
                </c:pt>
                <c:pt idx="6">
                  <c:v>2023</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(Fig4_hh_savings!$B$5,Fig4_hh_savings!$D$5,Fig4_hh_savings!$F$5,Fig4_hh_savings!$H$5,Fig4_hh_savings!$J$5,Fig4_hh_savings!$L$5,Fig4_hh_savings!$N$5)</c:f>
              <c:numCache>
                <c:formatCode>0</c:formatCode>
                <c:ptCount val="7"/>
                <c:pt idx="0">
                  <c:v>45.187395612858637</c:v>
                </c:pt>
                <c:pt idx="1">
                  <c:v>45.552333628575006</c:v>
                </c:pt>
                <c:pt idx="2">
                  <c:v>45.481091140399798</c:v>
                </c:pt>
                <c:pt idx="3">
                  <c:v>45.35754139347862</c:v>
                </c:pt>
                <c:pt idx="4">
                  <c:v>46.338507981965321</c:v>
                </c:pt>
                <c:pt idx="5">
                  <c:v>45.190803013678774</c:v>
                </c:pt>
                <c:pt idx="6">
                  <c:v>42.941842841521748</c:v>
                </c:pt>
              </c:numCache>
              <c:extLst xmlns:c16r3="http://schemas.microsoft.com/office/drawing/2017/03/chart" xmlns:c16="http://schemas.microsoft.com/office/drawing/2014/chart" xmlns:c14="http://schemas.microsoft.com/office/drawing/2007/8/2/chart" xmlns:mc="http://schemas.openxmlformats.org/markup-compatibility/2006"/>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176-4DA4-A904-3D548E62B693}"/>
            </c:ext>
          </c:extLst>
        </c:ser>
        <c:ser>
          <c:idx val="1"/>
          <c:order val="1"/>
          <c:tx>
            <c:strRef>
              <c:f>Fig4_hh_savings!$A$6</c:f>
              <c:strCache>
                <c:ptCount val="1"/>
                <c:pt idx="0">
                  <c:v>États-Unis</c:v>
                </c:pt>
              </c:strCache>
            </c:strRef>
          </c:tx>
          <c:spPr>
            <a:ln w="28575" cap="rnd">
              <a:solidFill>
                <a:srgbClr val="FFC000"/>
              </a:solidFill>
              <a:round/>
            </a:ln>
            <a:effectLst/>
          </c:spPr>
          <c:marker>
            <c:symbol val="none"/>
          </c:marker>
          <c:cat>
            <c:numRef>
              <c:f>(Fig4_hh_savings!$B$4,Fig4_hh_savings!$D$4,Fig4_hh_savings!$F$4,Fig4_hh_savings!$H$4,Fig4_hh_savings!$J$4,Fig4_hh_savings!$L$4,Fig4_hh_savings!$N$4)</c:f>
              <c:numCache>
                <c:formatCode>General</c:formatCode>
                <c:ptCount val="7"/>
                <c:pt idx="0">
                  <c:v>2011</c:v>
                </c:pt>
                <c:pt idx="1">
                  <c:v>2013</c:v>
                </c:pt>
                <c:pt idx="2">
                  <c:v>2015</c:v>
                </c:pt>
                <c:pt idx="3">
                  <c:v>2017</c:v>
                </c:pt>
                <c:pt idx="4">
                  <c:v>2019</c:v>
                </c:pt>
                <c:pt idx="5">
                  <c:v>2021</c:v>
                </c:pt>
                <c:pt idx="6">
                  <c:v>2023</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(Fig4_hh_savings!$B$6,Fig4_hh_savings!$D$6,Fig4_hh_savings!$F$6,Fig4_hh_savings!$H$6,Fig4_hh_savings!$J$6,Fig4_hh_savings!$L$6,Fig4_hh_savings!$N$6)</c:f>
              <c:numCache>
                <c:formatCode>0</c:formatCode>
                <c:ptCount val="7"/>
                <c:pt idx="0">
                  <c:v>70.501185951131419</c:v>
                </c:pt>
                <c:pt idx="1">
                  <c:v>71.887024806832969</c:v>
                </c:pt>
                <c:pt idx="2">
                  <c:v>70.58711851875789</c:v>
                </c:pt>
                <c:pt idx="3">
                  <c:v>71.697558872175676</c:v>
                </c:pt>
                <c:pt idx="4">
                  <c:v>72.608134046250299</c:v>
                </c:pt>
                <c:pt idx="5">
                  <c:v>71.486074889397699</c:v>
                </c:pt>
                <c:pt idx="6">
                  <c:v>72.269561781654076</c:v>
                </c:pt>
              </c:numCache>
              <c:extLst xmlns:c16r3="http://schemas.microsoft.com/office/drawing/2017/03/chart" xmlns:c16="http://schemas.microsoft.com/office/drawing/2014/chart" xmlns:c14="http://schemas.microsoft.com/office/drawing/2007/8/2/chart" xmlns:mc="http://schemas.openxmlformats.org/markup-compatibility/2006"/>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176-4DA4-A904-3D548E62B693}"/>
            </c:ext>
          </c:extLst>
        </c:ser>
        <c:ser>
          <c:idx val="2"/>
          <c:order val="2"/>
          <c:tx>
            <c:strRef>
              <c:f>Fig4_hh_savings!$A$7</c:f>
              <c:strCache>
                <c:ptCount val="1"/>
                <c:pt idx="0">
                  <c:v>Royaume-Uni</c:v>
                </c:pt>
              </c:strCache>
            </c:strRef>
          </c:tx>
          <c:spPr>
            <a:ln w="28575" cap="rnd">
              <a:solidFill>
                <a:srgbClr val="00B050"/>
              </a:solidFill>
              <a:round/>
            </a:ln>
            <a:effectLst/>
          </c:spPr>
          <c:marker>
            <c:symbol val="none"/>
          </c:marker>
          <c:cat>
            <c:numRef>
              <c:f>(Fig4_hh_savings!$B$4,Fig4_hh_savings!$D$4,Fig4_hh_savings!$F$4,Fig4_hh_savings!$H$4,Fig4_hh_savings!$J$4,Fig4_hh_savings!$L$4,Fig4_hh_savings!$N$4)</c:f>
              <c:numCache>
                <c:formatCode>General</c:formatCode>
                <c:ptCount val="7"/>
                <c:pt idx="0">
                  <c:v>2011</c:v>
                </c:pt>
                <c:pt idx="1">
                  <c:v>2013</c:v>
                </c:pt>
                <c:pt idx="2">
                  <c:v>2015</c:v>
                </c:pt>
                <c:pt idx="3">
                  <c:v>2017</c:v>
                </c:pt>
                <c:pt idx="4">
                  <c:v>2019</c:v>
                </c:pt>
                <c:pt idx="5">
                  <c:v>2021</c:v>
                </c:pt>
                <c:pt idx="6">
                  <c:v>2023</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(Fig4_hh_savings!$B$7,Fig4_hh_savings!$D$7,Fig4_hh_savings!$F$7,Fig4_hh_savings!$H$7,Fig4_hh_savings!$J$7,Fig4_hh_savings!$L$7,Fig4_hh_savings!$N$7)</c:f>
              <c:numCache>
                <c:formatCode>0</c:formatCode>
                <c:ptCount val="7"/>
                <c:pt idx="0">
                  <c:v>65.299850134198678</c:v>
                </c:pt>
                <c:pt idx="1">
                  <c:v>64.314409630835073</c:v>
                </c:pt>
                <c:pt idx="2">
                  <c:v>65.229831831185649</c:v>
                </c:pt>
                <c:pt idx="3">
                  <c:v>66.542824292664321</c:v>
                </c:pt>
                <c:pt idx="4">
                  <c:v>65.97251711310787</c:v>
                </c:pt>
                <c:pt idx="5">
                  <c:v>63.170349223494384</c:v>
                </c:pt>
                <c:pt idx="6">
                  <c:v>55.450023465166609</c:v>
                </c:pt>
              </c:numCache>
              <c:extLst xmlns:c16r3="http://schemas.microsoft.com/office/drawing/2017/03/chart" xmlns:c16="http://schemas.microsoft.com/office/drawing/2014/chart" xmlns:c14="http://schemas.microsoft.com/office/drawing/2007/8/2/chart" xmlns:mc="http://schemas.openxmlformats.org/markup-compatibility/2006"/>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F176-4DA4-A904-3D548E62B693}"/>
            </c:ext>
          </c:extLst>
        </c:ser>
        <c:dLbls>
          <c:showLegendKey val="0"/>
          <c:showVal val="0"/>
          <c:showCatName val="0"/>
          <c:showSerName val="0"/>
          <c:showPercent val="0"/>
          <c:showBubbleSize val="0"/>
        </c:dLbls>
        <c:smooth val="0"/>
        <c:axId val="657666288"/>
        <c:axId val="657666768"/>
      </c:lineChart>
      <c:catAx>
        <c:axId val="65766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57666768"/>
        <c:crosses val="autoZero"/>
        <c:auto val="1"/>
        <c:lblAlgn val="ctr"/>
        <c:lblOffset val="100"/>
        <c:noMultiLvlLbl val="0"/>
      </c:catAx>
      <c:valAx>
        <c:axId val="657666768"/>
        <c:scaling>
          <c:orientation val="minMax"/>
          <c:max val="10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57666288"/>
        <c:crosses val="autoZero"/>
        <c:crossBetween val="between"/>
      </c:valAx>
      <c:spPr>
        <a:noFill/>
        <a:ln>
          <a:noFill/>
        </a:ln>
        <a:effectLst/>
      </c:spPr>
    </c:plotArea>
    <c:legend>
      <c:legendPos val="b"/>
      <c:layout>
        <c:manualLayout>
          <c:xMode val="edge"/>
          <c:yMode val="edge"/>
          <c:x val="0.11042664983745624"/>
          <c:y val="0.74590421505622806"/>
          <c:w val="0.86945498308517588"/>
          <c:h val="7.19365683765618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a:solidFill>
              <a:srgbClr val="0070C0"/>
            </a:solidFill>
            <a:ln>
              <a:noFill/>
            </a:ln>
          </c:spPr>
          <c:dPt>
            <c:idx val="0"/>
            <c:bubble3D val="0"/>
            <c:spPr>
              <a:solidFill>
                <a:srgbClr val="0070C0"/>
              </a:solidFill>
              <a:ln w="19050">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20C-4075-B4D4-FA86C7DB8666}"/>
              </c:ext>
            </c:extLst>
          </c:dPt>
          <c:dPt>
            <c:idx val="1"/>
            <c:bubble3D val="0"/>
            <c:spPr>
              <a:solidFill>
                <a:srgbClr val="FFFF00"/>
              </a:solidFill>
              <a:ln w="19050">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320C-4075-B4D4-FA86C7DB8666}"/>
              </c:ext>
            </c:extLst>
          </c:dPt>
          <c:dPt>
            <c:idx val="2"/>
            <c:bubble3D val="0"/>
            <c:spPr>
              <a:solidFill>
                <a:srgbClr val="FFC000"/>
              </a:solidFill>
              <a:ln w="19050">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320C-4075-B4D4-FA86C7DB8666}"/>
              </c:ext>
            </c:extLst>
          </c:dPt>
          <c:dPt>
            <c:idx val="3"/>
            <c:bubble3D val="0"/>
            <c:spPr>
              <a:solidFill>
                <a:srgbClr val="00B050"/>
              </a:solidFill>
              <a:ln w="19050">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320C-4075-B4D4-FA86C7DB8666}"/>
              </c:ext>
            </c:extLst>
          </c:dPt>
          <c:dPt>
            <c:idx val="4"/>
            <c:bubble3D val="0"/>
            <c:spPr>
              <a:solidFill>
                <a:srgbClr val="92D050"/>
              </a:solidFill>
              <a:ln w="19050">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320C-4075-B4D4-FA86C7DB8666}"/>
              </c:ext>
            </c:extLst>
          </c:dPt>
          <c:dPt>
            <c:idx val="5"/>
            <c:bubble3D val="0"/>
            <c:spPr>
              <a:solidFill>
                <a:srgbClr val="00B0F0"/>
              </a:solidFill>
              <a:ln w="19050">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320C-4075-B4D4-FA86C7DB8666}"/>
              </c:ext>
            </c:extLst>
          </c:dPt>
          <c:dLbls>
            <c:dLbl>
              <c:idx val="0"/>
              <c:layout>
                <c:manualLayout>
                  <c:x val="-0.16613423322084739"/>
                  <c:y val="-0.41850082299034652"/>
                </c:manualLayout>
              </c:layout>
              <c:dLblPos val="bestFit"/>
              <c:showLegendKey val="0"/>
              <c:showVal val="0"/>
              <c:showCatName val="0"/>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320C-4075-B4D4-FA86C7DB8666}"/>
                </c:ext>
              </c:extLst>
            </c:dLbl>
            <c:dLbl>
              <c:idx val="1"/>
              <c:layout>
                <c:manualLayout>
                  <c:x val="2.5299779141560584E-2"/>
                  <c:y val="1.4093814868308836E-2"/>
                </c:manualLayout>
              </c:layout>
              <c:dLblPos val="bestFit"/>
              <c:showLegendKey val="0"/>
              <c:showVal val="0"/>
              <c:showCatName val="0"/>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320C-4075-B4D4-FA86C7DB8666}"/>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'Fig5_Relevant sources fin'!$B$5:$B$10</c:f>
              <c:strCache>
                <c:ptCount val="6"/>
                <c:pt idx="0">
                  <c:v>Financement bancaire</c:v>
                </c:pt>
                <c:pt idx="1">
                  <c:v>Capitaux propres</c:v>
                </c:pt>
                <c:pt idx="2">
                  <c:v>Affacturage</c:v>
                </c:pt>
                <c:pt idx="3">
                  <c:v>Crédit commercial</c:v>
                </c:pt>
                <c:pt idx="4">
                  <c:v>Subventions ou prêt bancaire subventionné</c:v>
                </c:pt>
                <c:pt idx="5">
                  <c:v>Fonds internes (résultats non distribués ou vente d’actifs)</c:v>
                </c:pt>
              </c:strCache>
            </c:strRef>
          </c:cat>
          <c:val>
            <c:numRef>
              <c:f>'Fig5_Relevant sources fin'!$C$5:$C$10</c:f>
              <c:numCache>
                <c:formatCode>General</c:formatCode>
                <c:ptCount val="6"/>
                <c:pt idx="0">
                  <c:v>66</c:v>
                </c:pt>
                <c:pt idx="1">
                  <c:v>1</c:v>
                </c:pt>
                <c:pt idx="2">
                  <c:v>6</c:v>
                </c:pt>
                <c:pt idx="3">
                  <c:v>16</c:v>
                </c:pt>
                <c:pt idx="4">
                  <c:v>9</c:v>
                </c:pt>
                <c:pt idx="5">
                  <c:v>17</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C-320C-4075-B4D4-FA86C7DB8666}"/>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3444319460067491"/>
          <c:y val="1.0602784821388846E-2"/>
          <c:w val="0.45857381463680674"/>
          <c:h val="0.9847235197295253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500399202159924"/>
          <c:y val="5.1976545485005875E-2"/>
          <c:w val="0.69076813266489301"/>
          <c:h val="0.77208063885631328"/>
        </c:manualLayout>
      </c:layout>
      <c:lineChart>
        <c:grouping val="standard"/>
        <c:varyColors val="0"/>
        <c:ser>
          <c:idx val="0"/>
          <c:order val="0"/>
          <c:tx>
            <c:strRef>
              <c:f>'Fig6_MFI_new loans'!$C$8</c:f>
              <c:strCache>
                <c:ptCount val="1"/>
                <c:pt idx="0">
                  <c:v>jusqu’à 0,25 Mio EUR</c:v>
                </c:pt>
              </c:strCache>
            </c:strRef>
          </c:tx>
          <c:spPr>
            <a:ln w="28575" cap="rnd">
              <a:solidFill>
                <a:schemeClr val="accent1">
                  <a:shade val="76000"/>
                </a:schemeClr>
              </a:solidFill>
              <a:round/>
            </a:ln>
            <a:effectLst/>
          </c:spPr>
          <c:marker>
            <c:symbol val="none"/>
          </c:marker>
          <c:cat>
            <c:numRef>
              <c:f>'Fig6_MFI_new loans'!$B$9:$B$18</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'Fig6_MFI_new loans'!$C$9:$C$18</c:f>
              <c:numCache>
                <c:formatCode>_-* #,##0_-;\-* #,##0_-;_-* "-"??_-;_-@_-</c:formatCode>
                <c:ptCount val="10"/>
                <c:pt idx="0">
                  <c:v>58.536999999999999</c:v>
                </c:pt>
                <c:pt idx="1">
                  <c:v>70.778000000000006</c:v>
                </c:pt>
                <c:pt idx="2">
                  <c:v>82.801000000000002</c:v>
                </c:pt>
                <c:pt idx="3">
                  <c:v>91.697999999999993</c:v>
                </c:pt>
                <c:pt idx="4">
                  <c:v>89.001000000000005</c:v>
                </c:pt>
                <c:pt idx="5">
                  <c:v>94.52</c:v>
                </c:pt>
                <c:pt idx="6">
                  <c:v>142.68100000000001</c:v>
                </c:pt>
                <c:pt idx="7">
                  <c:v>100.718</c:v>
                </c:pt>
                <c:pt idx="8">
                  <c:v>92.968999999999994</c:v>
                </c:pt>
                <c:pt idx="9">
                  <c:v>92.448999999999998</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025-4A04-89CC-43099D1D3599}"/>
            </c:ext>
          </c:extLst>
        </c:ser>
        <c:ser>
          <c:idx val="1"/>
          <c:order val="1"/>
          <c:tx>
            <c:strRef>
              <c:f>'Fig6_MFI_new loans'!$D$8</c:f>
              <c:strCache>
                <c:ptCount val="1"/>
                <c:pt idx="0">
                  <c:v>jusqu’à 1 Mio EUR</c:v>
                </c:pt>
              </c:strCache>
            </c:strRef>
          </c:tx>
          <c:spPr>
            <a:ln w="28575" cap="rnd">
              <a:solidFill>
                <a:srgbClr val="00B0F0"/>
              </a:solidFill>
              <a:round/>
            </a:ln>
            <a:effectLst/>
          </c:spPr>
          <c:marker>
            <c:symbol val="none"/>
          </c:marker>
          <c:cat>
            <c:numRef>
              <c:f>'Fig6_MFI_new loans'!$B$9:$B$18</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'Fig6_MFI_new loans'!$D$9:$D$18</c:f>
              <c:numCache>
                <c:formatCode>_-* #,##0_-;\-* #,##0_-;_-* "-"??_-;_-@_-</c:formatCode>
                <c:ptCount val="10"/>
                <c:pt idx="0">
                  <c:v>103.922</c:v>
                </c:pt>
                <c:pt idx="1">
                  <c:v>132.29300000000001</c:v>
                </c:pt>
                <c:pt idx="2">
                  <c:v>155.541</c:v>
                </c:pt>
                <c:pt idx="3">
                  <c:v>177.566</c:v>
                </c:pt>
                <c:pt idx="4">
                  <c:v>172.441</c:v>
                </c:pt>
                <c:pt idx="5">
                  <c:v>182.09200000000001</c:v>
                </c:pt>
                <c:pt idx="6">
                  <c:v>278.94900000000001</c:v>
                </c:pt>
                <c:pt idx="7">
                  <c:v>200.381</c:v>
                </c:pt>
                <c:pt idx="8">
                  <c:v>184.80600000000001</c:v>
                </c:pt>
                <c:pt idx="9">
                  <c:v>165.39500000000001</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025-4A04-89CC-43099D1D3599}"/>
            </c:ext>
          </c:extLst>
        </c:ser>
        <c:dLbls>
          <c:showLegendKey val="0"/>
          <c:showVal val="0"/>
          <c:showCatName val="0"/>
          <c:showSerName val="0"/>
          <c:showPercent val="0"/>
          <c:showBubbleSize val="0"/>
        </c:dLbls>
        <c:smooth val="0"/>
        <c:axId val="739139776"/>
        <c:axId val="894589408"/>
      </c:lineChart>
      <c:catAx>
        <c:axId val="73913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94589408"/>
        <c:crosses val="autoZero"/>
        <c:auto val="1"/>
        <c:lblAlgn val="ctr"/>
        <c:lblOffset val="100"/>
        <c:noMultiLvlLbl val="0"/>
      </c:catAx>
      <c:valAx>
        <c:axId val="894589408"/>
        <c:scaling>
          <c:orientation val="minMax"/>
        </c:scaling>
        <c:delete val="0"/>
        <c:axPos val="l"/>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39139776"/>
        <c:crosses val="autoZero"/>
        <c:crossBetween val="between"/>
      </c:valAx>
      <c:spPr>
        <a:noFill/>
        <a:ln>
          <a:noFill/>
        </a:ln>
        <a:effectLst/>
      </c:spPr>
    </c:plotArea>
    <c:legend>
      <c:legendPos val="t"/>
      <c:layout>
        <c:manualLayout>
          <c:xMode val="edge"/>
          <c:yMode val="edge"/>
          <c:x val="0.12597060960600262"/>
          <c:y val="0.74255702573260818"/>
          <c:w val="0.65607942039029976"/>
          <c:h val="7.6624539579611378E-2"/>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445000716085273E-2"/>
          <c:y val="4.6374077892074067E-2"/>
          <c:w val="0.90356756404098726"/>
          <c:h val="0.67163175633686456"/>
        </c:manualLayout>
      </c:layout>
      <c:barChart>
        <c:barDir val="col"/>
        <c:grouping val="clustered"/>
        <c:varyColors val="0"/>
        <c:ser>
          <c:idx val="0"/>
          <c:order val="0"/>
          <c:tx>
            <c:strRef>
              <c:f>Fig7_IPCEIs!$B$3</c:f>
              <c:strCache>
                <c:ptCount val="1"/>
                <c:pt idx="0">
                  <c:v>Aides d’État approuvées</c:v>
                </c:pt>
              </c:strCache>
            </c:strRef>
          </c:tx>
          <c:spPr>
            <a:solidFill>
              <a:srgbClr val="00B0F0"/>
            </a:solidFill>
            <a:ln>
              <a:noFill/>
            </a:ln>
            <a:effectLst/>
          </c:spPr>
          <c:invertIfNegative val="0"/>
          <c:dLbls>
            <c:delete val="1"/>
          </c:dLbls>
          <c:cat>
            <c:strRef>
              <c:f>Fig7_IPCEIs!$A$4:$A$13</c:f>
              <c:strCache>
                <c:ptCount val="10"/>
                <c:pt idx="0">
                  <c:v>1er projet microélectronique</c:v>
                </c:pt>
                <c:pt idx="1">
                  <c:v>1er projet batteries</c:v>
                </c:pt>
                <c:pt idx="2">
                  <c:v>2e projet batteries — EuBatIn</c:v>
                </c:pt>
                <c:pt idx="3">
                  <c:v>1er projet hydrogène — Hy2Tech</c:v>
                </c:pt>
                <c:pt idx="4">
                  <c:v>2e projet hydrogène — Hy2Use</c:v>
                </c:pt>
                <c:pt idx="5">
                  <c:v>2e projet microélectronique</c:v>
                </c:pt>
                <c:pt idx="6">
                  <c:v>Infrastructures en nuage</c:v>
                </c:pt>
                <c:pt idx="7">
                  <c:v>3e projet hydrogène — hy2Infra</c:v>
                </c:pt>
                <c:pt idx="8">
                  <c:v>4e projet hydrogène </c:v>
                </c:pt>
                <c:pt idx="9">
                  <c:v> MedCure</c:v>
                </c:pt>
              </c:strCache>
            </c:strRef>
          </c:cat>
          <c:val>
            <c:numRef>
              <c:f>Fig7_IPCEIs!$B$4:$B$13</c:f>
              <c:numCache>
                <c:formatCode>General</c:formatCode>
                <c:ptCount val="10"/>
                <c:pt idx="0">
                  <c:v>1.9</c:v>
                </c:pt>
                <c:pt idx="1">
                  <c:v>3.2</c:v>
                </c:pt>
                <c:pt idx="2">
                  <c:v>2.9</c:v>
                </c:pt>
                <c:pt idx="3">
                  <c:v>5.4</c:v>
                </c:pt>
                <c:pt idx="4">
                  <c:v>5.2</c:v>
                </c:pt>
                <c:pt idx="5">
                  <c:v>8.1</c:v>
                </c:pt>
                <c:pt idx="6">
                  <c:v>1.2</c:v>
                </c:pt>
                <c:pt idx="7">
                  <c:v>6.9</c:v>
                </c:pt>
                <c:pt idx="8">
                  <c:v>1.4</c:v>
                </c:pt>
                <c:pt idx="9">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F4B-4358-965A-1037F9E7BE75}"/>
            </c:ext>
          </c:extLst>
        </c:ser>
        <c:ser>
          <c:idx val="1"/>
          <c:order val="1"/>
          <c:tx>
            <c:strRef>
              <c:f>Fig7_IPCEIs!$C$3</c:f>
              <c:strCache>
                <c:ptCount val="1"/>
                <c:pt idx="0">
                  <c:v>Investissements privés escomptés</c:v>
                </c:pt>
              </c:strCache>
            </c:strRef>
          </c:tx>
          <c:spPr>
            <a:solidFill>
              <a:schemeClr val="accent1">
                <a:shade val="76000"/>
              </a:schemeClr>
            </a:solidFill>
            <a:ln>
              <a:noFill/>
            </a:ln>
            <a:effectLst/>
          </c:spPr>
          <c:invertIfNegative val="0"/>
          <c:dLbls>
            <c:delete val="1"/>
          </c:dLbls>
          <c:cat>
            <c:strRef>
              <c:f>Fig7_IPCEIs!$A$4:$A$13</c:f>
              <c:strCache>
                <c:ptCount val="10"/>
                <c:pt idx="0">
                  <c:v>1er projet microélectronique</c:v>
                </c:pt>
                <c:pt idx="1">
                  <c:v>1er projet batteries</c:v>
                </c:pt>
                <c:pt idx="2">
                  <c:v>2e projet batteries — EuBatIn</c:v>
                </c:pt>
                <c:pt idx="3">
                  <c:v>1er projet hydrogène — Hy2Tech</c:v>
                </c:pt>
                <c:pt idx="4">
                  <c:v>2e projet hydrogène — Hy2Use</c:v>
                </c:pt>
                <c:pt idx="5">
                  <c:v>2e projet microélectronique</c:v>
                </c:pt>
                <c:pt idx="6">
                  <c:v>Infrastructures en nuage</c:v>
                </c:pt>
                <c:pt idx="7">
                  <c:v>3e projet hydrogène — hy2Infra</c:v>
                </c:pt>
                <c:pt idx="8">
                  <c:v>4e projet hydrogène </c:v>
                </c:pt>
                <c:pt idx="9">
                  <c:v> MedCure</c:v>
                </c:pt>
              </c:strCache>
            </c:strRef>
          </c:cat>
          <c:val>
            <c:numRef>
              <c:f>Fig7_IPCEIs!$C$4:$C$13</c:f>
              <c:numCache>
                <c:formatCode>General</c:formatCode>
                <c:ptCount val="10"/>
                <c:pt idx="0">
                  <c:v>6.5</c:v>
                </c:pt>
                <c:pt idx="1">
                  <c:v>5</c:v>
                </c:pt>
                <c:pt idx="2">
                  <c:v>9</c:v>
                </c:pt>
                <c:pt idx="3">
                  <c:v>8.8000000000000007</c:v>
                </c:pt>
                <c:pt idx="4">
                  <c:v>7</c:v>
                </c:pt>
                <c:pt idx="5">
                  <c:v>13.7</c:v>
                </c:pt>
                <c:pt idx="6">
                  <c:v>1.4</c:v>
                </c:pt>
                <c:pt idx="7">
                  <c:v>5.4</c:v>
                </c:pt>
                <c:pt idx="8">
                  <c:v>3.3</c:v>
                </c:pt>
                <c:pt idx="9">
                  <c:v>5.9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F4B-4358-965A-1037F9E7BE75}"/>
            </c:ext>
          </c:extLst>
        </c:ser>
        <c:dLbls>
          <c:showLegendKey val="0"/>
          <c:showVal val="1"/>
          <c:showCatName val="0"/>
          <c:showSerName val="0"/>
          <c:showPercent val="0"/>
          <c:showBubbleSize val="0"/>
        </c:dLbls>
        <c:gapWidth val="75"/>
        <c:axId val="1872633279"/>
        <c:axId val="1872627039"/>
      </c:barChart>
      <c:catAx>
        <c:axId val="1872633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28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72627039"/>
        <c:crosses val="autoZero"/>
        <c:auto val="1"/>
        <c:lblAlgn val="ctr"/>
        <c:lblOffset val="100"/>
        <c:noMultiLvlLbl val="0"/>
      </c:catAx>
      <c:valAx>
        <c:axId val="1872627039"/>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72633279"/>
        <c:crosses val="autoZero"/>
        <c:crossBetween val="between"/>
      </c:valAx>
      <c:spPr>
        <a:noFill/>
        <a:ln>
          <a:noFill/>
        </a:ln>
        <a:effectLst/>
      </c:spPr>
    </c:plotArea>
    <c:legend>
      <c:legendPos val="t"/>
      <c:layout>
        <c:manualLayout>
          <c:xMode val="edge"/>
          <c:yMode val="edge"/>
          <c:x val="0.65209236681905292"/>
          <c:y val="4.130431417252467E-2"/>
          <c:w val="0.34790763318094708"/>
          <c:h val="0.2010189748698568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92482365897791E-2"/>
          <c:y val="3.0742954739538857E-2"/>
          <c:w val="0.91651422940048322"/>
          <c:h val="0.81322969129285827"/>
        </c:manualLayout>
      </c:layout>
      <c:lineChart>
        <c:grouping val="standard"/>
        <c:varyColors val="0"/>
        <c:ser>
          <c:idx val="0"/>
          <c:order val="0"/>
          <c:tx>
            <c:strRef>
              <c:f>Fig8_electricity_prices!$B$2</c:f>
              <c:strCache>
                <c:ptCount val="1"/>
                <c:pt idx="0">
                  <c:v>Tranche IC de l’UE</c:v>
                </c:pt>
              </c:strCache>
            </c:strRef>
          </c:tx>
          <c:spPr>
            <a:ln w="28575" cap="rnd">
              <a:solidFill>
                <a:srgbClr val="00B0F0"/>
              </a:solidFill>
              <a:round/>
            </a:ln>
            <a:effectLst/>
          </c:spPr>
          <c:marker>
            <c:symbol val="none"/>
          </c:marker>
          <c:cat>
            <c:numRef>
              <c:f>Fig8_electricity_prices!$A$3:$A$12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Fig8_electricity_prices!$B$3:$B$12</c:f>
              <c:numCache>
                <c:formatCode>General</c:formatCode>
                <c:ptCount val="10"/>
                <c:pt idx="0">
                  <c:v>0.12</c:v>
                </c:pt>
                <c:pt idx="1">
                  <c:v>0.11</c:v>
                </c:pt>
                <c:pt idx="2">
                  <c:v>0.11</c:v>
                </c:pt>
                <c:pt idx="3">
                  <c:v>0.11</c:v>
                </c:pt>
                <c:pt idx="4">
                  <c:v>0.12</c:v>
                </c:pt>
                <c:pt idx="5">
                  <c:v>0.13</c:v>
                </c:pt>
                <c:pt idx="6">
                  <c:v>0.13</c:v>
                </c:pt>
                <c:pt idx="7">
                  <c:v>0.18</c:v>
                </c:pt>
                <c:pt idx="8">
                  <c:v>0.21</c:v>
                </c:pt>
                <c:pt idx="9">
                  <c:v>0.19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A70-411E-A9BB-729A3315049B}"/>
            </c:ext>
          </c:extLst>
        </c:ser>
        <c:ser>
          <c:idx val="1"/>
          <c:order val="1"/>
          <c:tx>
            <c:strRef>
              <c:f>Fig8_electricity_prices!$C$2</c:f>
              <c:strCache>
                <c:ptCount val="1"/>
                <c:pt idx="0">
                  <c:v>Tranche ID de l’UE</c:v>
                </c:pt>
              </c:strCache>
            </c:strRef>
          </c:tx>
          <c:spPr>
            <a:ln w="28575" cap="rnd">
              <a:solidFill>
                <a:srgbClr val="0070C0"/>
              </a:solidFill>
              <a:round/>
            </a:ln>
            <a:effectLst/>
          </c:spPr>
          <c:marker>
            <c:symbol val="none"/>
          </c:marker>
          <c:cat>
            <c:numRef>
              <c:f>Fig8_electricity_prices!$A$3:$A$12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Fig8_electricity_prices!$C$3:$C$12</c:f>
              <c:numCache>
                <c:formatCode>General</c:formatCode>
                <c:ptCount val="10"/>
                <c:pt idx="0">
                  <c:v>0.1</c:v>
                </c:pt>
                <c:pt idx="1">
                  <c:v>0.1</c:v>
                </c:pt>
                <c:pt idx="2">
                  <c:v>0.1</c:v>
                </c:pt>
                <c:pt idx="3">
                  <c:v>0.1</c:v>
                </c:pt>
                <c:pt idx="4">
                  <c:v>0.1</c:v>
                </c:pt>
                <c:pt idx="5">
                  <c:v>0.11</c:v>
                </c:pt>
                <c:pt idx="6">
                  <c:v>0.11</c:v>
                </c:pt>
                <c:pt idx="7">
                  <c:v>0.18</c:v>
                </c:pt>
                <c:pt idx="8">
                  <c:v>0.2</c:v>
                </c:pt>
                <c:pt idx="9">
                  <c:v>0.16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A70-411E-A9BB-729A3315049B}"/>
            </c:ext>
          </c:extLst>
        </c:ser>
        <c:ser>
          <c:idx val="2"/>
          <c:order val="2"/>
          <c:tx>
            <c:strRef>
              <c:f>Fig8_electricity_prices!$D$2</c:f>
              <c:strCache>
                <c:ptCount val="1"/>
                <c:pt idx="0">
                  <c:v>Royaume-Uni</c:v>
                </c:pt>
              </c:strCache>
            </c:strRef>
          </c:tx>
          <c:spPr>
            <a:ln w="28575" cap="rnd">
              <a:solidFill>
                <a:srgbClr val="00B050"/>
              </a:solidFill>
              <a:round/>
            </a:ln>
            <a:effectLst/>
          </c:spPr>
          <c:marker>
            <c:symbol val="none"/>
          </c:marker>
          <c:cat>
            <c:numRef>
              <c:f>Fig8_electricity_prices!$A$3:$A$12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Fig8_electricity_prices!$D$3:$D$12</c:f>
              <c:numCache>
                <c:formatCode>General</c:formatCode>
                <c:ptCount val="10"/>
                <c:pt idx="0">
                  <c:v>0.13</c:v>
                </c:pt>
                <c:pt idx="1">
                  <c:v>0.12</c:v>
                </c:pt>
                <c:pt idx="2">
                  <c:v>0.12</c:v>
                </c:pt>
                <c:pt idx="3">
                  <c:v>0.12</c:v>
                </c:pt>
                <c:pt idx="4">
                  <c:v>0.13</c:v>
                </c:pt>
                <c:pt idx="5">
                  <c:v>0.14000000000000001</c:v>
                </c:pt>
                <c:pt idx="6">
                  <c:v>0.14000000000000001</c:v>
                </c:pt>
                <c:pt idx="7">
                  <c:v>0.21</c:v>
                </c:pt>
                <c:pt idx="8">
                  <c:v>0.28000000000000003</c:v>
                </c:pt>
                <c:pt idx="9">
                  <c:v>0.34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0A70-411E-A9BB-729A3315049B}"/>
            </c:ext>
          </c:extLst>
        </c:ser>
        <c:ser>
          <c:idx val="3"/>
          <c:order val="3"/>
          <c:tx>
            <c:strRef>
              <c:f>Fig8_electricity_prices!$E$2</c:f>
              <c:strCache>
                <c:ptCount val="1"/>
                <c:pt idx="0">
                  <c:v>États-Unis</c:v>
                </c:pt>
              </c:strCache>
            </c:strRef>
          </c:tx>
          <c:spPr>
            <a:ln w="28575" cap="rnd">
              <a:solidFill>
                <a:schemeClr val="accent4"/>
              </a:solidFill>
              <a:round/>
            </a:ln>
            <a:effectLst/>
          </c:spPr>
          <c:marker>
            <c:symbol val="none"/>
          </c:marker>
          <c:cat>
            <c:numRef>
              <c:f>Fig8_electricity_prices!$A$3:$A$12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Fig8_electricity_prices!$E$3:$E$12</c:f>
              <c:numCache>
                <c:formatCode>General</c:formatCode>
                <c:ptCount val="10"/>
                <c:pt idx="0">
                  <c:v>0.06</c:v>
                </c:pt>
                <c:pt idx="1">
                  <c:v>0.06</c:v>
                </c:pt>
                <c:pt idx="2">
                  <c:v>0.06</c:v>
                </c:pt>
                <c:pt idx="3">
                  <c:v>0.06</c:v>
                </c:pt>
                <c:pt idx="4">
                  <c:v>0.06</c:v>
                </c:pt>
                <c:pt idx="5">
                  <c:v>0.06</c:v>
                </c:pt>
                <c:pt idx="6">
                  <c:v>0.06</c:v>
                </c:pt>
                <c:pt idx="7">
                  <c:v>7.0000000000000007E-2</c:v>
                </c:pt>
                <c:pt idx="8">
                  <c:v>7.0000000000000007E-2</c:v>
                </c:pt>
                <c:pt idx="9">
                  <c:v>7.0000000000000007E-2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A70-411E-A9BB-729A3315049B}"/>
            </c:ext>
          </c:extLst>
        </c:ser>
        <c:ser>
          <c:idx val="4"/>
          <c:order val="4"/>
          <c:tx>
            <c:strRef>
              <c:f>Fig8_electricity_prices!$F$2</c:f>
              <c:strCache>
                <c:ptCount val="1"/>
                <c:pt idx="0">
                  <c:v>Japon</c:v>
                </c:pt>
              </c:strCache>
            </c:strRef>
          </c:tx>
          <c:spPr>
            <a:ln w="28575" cap="rnd">
              <a:solidFill>
                <a:srgbClr val="92D050"/>
              </a:solidFill>
              <a:round/>
            </a:ln>
            <a:effectLst/>
          </c:spPr>
          <c:marker>
            <c:symbol val="none"/>
          </c:marker>
          <c:cat>
            <c:numRef>
              <c:f>Fig8_electricity_prices!$A$3:$A$12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Fig8_electricity_prices!$F$3:$F$12</c:f>
              <c:numCache>
                <c:formatCode>General</c:formatCode>
                <c:ptCount val="10"/>
                <c:pt idx="0">
                  <c:v>0.15</c:v>
                </c:pt>
                <c:pt idx="1">
                  <c:v>0.15</c:v>
                </c:pt>
                <c:pt idx="2">
                  <c:v>0.14000000000000001</c:v>
                </c:pt>
                <c:pt idx="3">
                  <c:v>0.15</c:v>
                </c:pt>
                <c:pt idx="4">
                  <c:v>0.16</c:v>
                </c:pt>
                <c:pt idx="5">
                  <c:v>0.15</c:v>
                </c:pt>
                <c:pt idx="6">
                  <c:v>0.14000000000000001</c:v>
                </c:pt>
                <c:pt idx="7">
                  <c:v>0.16</c:v>
                </c:pt>
                <c:pt idx="8">
                  <c:v>0.18</c:v>
                </c:pt>
                <c:pt idx="9">
                  <c:v>0.13</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0A70-411E-A9BB-729A3315049B}"/>
            </c:ext>
          </c:extLst>
        </c:ser>
        <c:dLbls>
          <c:showLegendKey val="0"/>
          <c:showVal val="0"/>
          <c:showCatName val="0"/>
          <c:showSerName val="0"/>
          <c:showPercent val="0"/>
          <c:showBubbleSize val="0"/>
        </c:dLbls>
        <c:smooth val="0"/>
        <c:axId val="954804095"/>
        <c:axId val="954805055"/>
      </c:lineChart>
      <c:catAx>
        <c:axId val="954804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4805055"/>
        <c:crosses val="autoZero"/>
        <c:auto val="1"/>
        <c:lblAlgn val="ctr"/>
        <c:lblOffset val="100"/>
        <c:noMultiLvlLbl val="0"/>
      </c:catAx>
      <c:valAx>
        <c:axId val="954805055"/>
        <c:scaling>
          <c:orientation val="minMax"/>
        </c:scaling>
        <c:delete val="0"/>
        <c:axPos val="l"/>
        <c:numFmt formatCode="&quot;€&quot;#,##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4804095"/>
        <c:crosses val="autoZero"/>
        <c:crossBetween val="between"/>
      </c:valAx>
      <c:spPr>
        <a:noFill/>
        <a:ln>
          <a:noFill/>
        </a:ln>
        <a:effectLst/>
      </c:spPr>
    </c:plotArea>
    <c:legend>
      <c:legendPos val="t"/>
      <c:layout>
        <c:manualLayout>
          <c:xMode val="edge"/>
          <c:yMode val="edge"/>
          <c:x val="9.5675353641612351E-2"/>
          <c:y val="5.1754713655247815E-2"/>
          <c:w val="0.85821729910879785"/>
          <c:h val="0.10716068070049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53011637998099"/>
          <c:y val="5.7713631323505356E-2"/>
          <c:w val="0.81802703196832072"/>
          <c:h val="0.74190509855754039"/>
        </c:manualLayout>
      </c:layout>
      <c:lineChart>
        <c:grouping val="standard"/>
        <c:varyColors val="0"/>
        <c:ser>
          <c:idx val="0"/>
          <c:order val="0"/>
          <c:tx>
            <c:strRef>
              <c:f>Fig10_exports_GDP!$C$3</c:f>
              <c:strCache>
                <c:ptCount val="1"/>
                <c:pt idx="0">
                  <c:v>Services (extra-UE)</c:v>
                </c:pt>
              </c:strCache>
            </c:strRef>
          </c:tx>
          <c:spPr>
            <a:ln w="28575" cap="rnd">
              <a:solidFill>
                <a:srgbClr val="00B0F0"/>
              </a:solidFill>
              <a:round/>
            </a:ln>
            <a:effectLst/>
          </c:spPr>
          <c:marker>
            <c:symbol val="none"/>
          </c:marker>
          <c:cat>
            <c:numRef>
              <c:f>Fig10_exports_GDP!$A$4:$A$12</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Fig10_exports_GDP!$C$4:$C$12</c:f>
              <c:numCache>
                <c:formatCode>0.00%</c:formatCode>
                <c:ptCount val="9"/>
                <c:pt idx="0">
                  <c:v>5.4399999999999997E-2</c:v>
                </c:pt>
                <c:pt idx="1">
                  <c:v>5.3699999999999998E-2</c:v>
                </c:pt>
                <c:pt idx="2">
                  <c:v>5.5100000000000003E-2</c:v>
                </c:pt>
                <c:pt idx="3">
                  <c:v>5.6099999999999997E-2</c:v>
                </c:pt>
                <c:pt idx="4">
                  <c:v>6.1400000000000003E-2</c:v>
                </c:pt>
                <c:pt idx="5">
                  <c:v>6.7900000000000002E-2</c:v>
                </c:pt>
                <c:pt idx="6">
                  <c:v>6.93E-2</c:v>
                </c:pt>
                <c:pt idx="7">
                  <c:v>7.8299999999999995E-2</c:v>
                </c:pt>
                <c:pt idx="8">
                  <c:v>7.3599999999999999E-2</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5AA-4FE5-9534-5A3F44CD5A57}"/>
            </c:ext>
          </c:extLst>
        </c:ser>
        <c:ser>
          <c:idx val="1"/>
          <c:order val="1"/>
          <c:tx>
            <c:strRef>
              <c:f>Fig10_exports_GDP!$B$3</c:f>
              <c:strCache>
                <c:ptCount val="1"/>
                <c:pt idx="0">
                  <c:v>Biens (extra-UE)</c:v>
                </c:pt>
              </c:strCache>
            </c:strRef>
          </c:tx>
          <c:spPr>
            <a:ln w="28575" cap="rnd">
              <a:solidFill>
                <a:srgbClr val="0070C0"/>
              </a:solidFill>
              <a:round/>
            </a:ln>
            <a:effectLst/>
          </c:spPr>
          <c:marker>
            <c:symbol val="none"/>
          </c:marker>
          <c:cat>
            <c:numRef>
              <c:f>Fig10_exports_GDP!$A$4:$A$12</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Fig10_exports_GDP!$B$4:$B$12</c:f>
              <c:numCache>
                <c:formatCode>0.00%</c:formatCode>
                <c:ptCount val="9"/>
                <c:pt idx="0">
                  <c:v>0.1177</c:v>
                </c:pt>
                <c:pt idx="1">
                  <c:v>0.11459999999999999</c:v>
                </c:pt>
                <c:pt idx="2">
                  <c:v>0.1203</c:v>
                </c:pt>
                <c:pt idx="3">
                  <c:v>0.123</c:v>
                </c:pt>
                <c:pt idx="4">
                  <c:v>0.1232</c:v>
                </c:pt>
                <c:pt idx="5">
                  <c:v>0.13469999999999999</c:v>
                </c:pt>
                <c:pt idx="6">
                  <c:v>0.1459</c:v>
                </c:pt>
                <c:pt idx="7">
                  <c:v>0.17349999999999999</c:v>
                </c:pt>
                <c:pt idx="8">
                  <c:v>0.14829999999999999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C5AA-4FE5-9534-5A3F44CD5A57}"/>
            </c:ext>
          </c:extLst>
        </c:ser>
        <c:dLbls>
          <c:showLegendKey val="0"/>
          <c:showVal val="0"/>
          <c:showCatName val="0"/>
          <c:showSerName val="0"/>
          <c:showPercent val="0"/>
          <c:showBubbleSize val="0"/>
        </c:dLbls>
        <c:smooth val="0"/>
        <c:axId val="2010892032"/>
        <c:axId val="2010894912"/>
      </c:lineChart>
      <c:catAx>
        <c:axId val="201089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10894912"/>
        <c:crosses val="autoZero"/>
        <c:auto val="1"/>
        <c:lblAlgn val="ctr"/>
        <c:lblOffset val="100"/>
        <c:noMultiLvlLbl val="0"/>
      </c:catAx>
      <c:valAx>
        <c:axId val="2010894912"/>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10892032"/>
        <c:crosses val="autoZero"/>
        <c:crossBetween val="between"/>
        <c:majorUnit val="5.000000000000001E-2"/>
      </c:valAx>
      <c:spPr>
        <a:noFill/>
        <a:ln w="25400">
          <a:noFill/>
        </a:ln>
        <a:effectLst/>
      </c:spPr>
    </c:plotArea>
    <c:legend>
      <c:legendPos val="b"/>
      <c:layout>
        <c:manualLayout>
          <c:xMode val="edge"/>
          <c:yMode val="edge"/>
          <c:x val="0.14470288780777743"/>
          <c:y val="0.66951250394408801"/>
          <c:w val="0.79702740349114054"/>
          <c:h val="6.82141033818269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80376945501739"/>
          <c:y val="4.8404840484048403E-2"/>
          <c:w val="0.80153606260472055"/>
          <c:h val="0.76463709363062293"/>
        </c:manualLayout>
      </c:layout>
      <c:lineChart>
        <c:grouping val="standard"/>
        <c:varyColors val="0"/>
        <c:ser>
          <c:idx val="0"/>
          <c:order val="0"/>
          <c:tx>
            <c:strRef>
              <c:f>Fig9_exports_RoW!$B$2</c:f>
              <c:strCache>
                <c:ptCount val="1"/>
                <c:pt idx="0">
                  <c:v>UE (biens)</c:v>
                </c:pt>
              </c:strCache>
            </c:strRef>
          </c:tx>
          <c:spPr>
            <a:ln w="28575" cap="rnd">
              <a:solidFill>
                <a:srgbClr val="0070C0"/>
              </a:solidFill>
              <a:round/>
            </a:ln>
            <a:effectLst/>
          </c:spPr>
          <c:marker>
            <c:symbol val="none"/>
          </c:marker>
          <c:cat>
            <c:numRef>
              <c:f>Fig9_exports_RoW!$A$3:$A$11</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Fig9_exports_RoW!$B$3:$B$11</c:f>
              <c:numCache>
                <c:formatCode>0.00%</c:formatCode>
                <c:ptCount val="9"/>
                <c:pt idx="0">
                  <c:v>0.18</c:v>
                </c:pt>
                <c:pt idx="1">
                  <c:v>0.18290000000000001</c:v>
                </c:pt>
                <c:pt idx="2">
                  <c:v>0.18140000000000001</c:v>
                </c:pt>
                <c:pt idx="3">
                  <c:v>0.18</c:v>
                </c:pt>
                <c:pt idx="4">
                  <c:v>0.18210000000000001</c:v>
                </c:pt>
                <c:pt idx="5">
                  <c:v>0.1777</c:v>
                </c:pt>
                <c:pt idx="6">
                  <c:v>0.16669999999999999</c:v>
                </c:pt>
                <c:pt idx="7">
                  <c:v>0.16120000000000001</c:v>
                </c:pt>
                <c:pt idx="8">
                  <c:v>0.20399999999999999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B24-4B34-BAA1-6CC7DB302AC4}"/>
            </c:ext>
          </c:extLst>
        </c:ser>
        <c:ser>
          <c:idx val="1"/>
          <c:order val="1"/>
          <c:tx>
            <c:strRef>
              <c:f>Fig9_exports_RoW!$C$2</c:f>
              <c:strCache>
                <c:ptCount val="1"/>
                <c:pt idx="0">
                  <c:v>UE (services)</c:v>
                </c:pt>
              </c:strCache>
            </c:strRef>
          </c:tx>
          <c:spPr>
            <a:ln w="28575" cap="rnd">
              <a:solidFill>
                <a:srgbClr val="00B0F0"/>
              </a:solidFill>
              <a:round/>
            </a:ln>
            <a:effectLst/>
          </c:spPr>
          <c:marker>
            <c:symbol val="none"/>
          </c:marker>
          <c:cat>
            <c:numRef>
              <c:f>Fig9_exports_RoW!$A$3:$A$11</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Fig9_exports_RoW!$C$3:$C$11</c:f>
              <c:numCache>
                <c:formatCode>0.00%</c:formatCode>
                <c:ptCount val="9"/>
                <c:pt idx="0">
                  <c:v>0.24460000000000001</c:v>
                </c:pt>
                <c:pt idx="1">
                  <c:v>0.2452</c:v>
                </c:pt>
                <c:pt idx="2">
                  <c:v>0.25</c:v>
                </c:pt>
                <c:pt idx="3">
                  <c:v>0.2555</c:v>
                </c:pt>
                <c:pt idx="4">
                  <c:v>0.26040000000000002</c:v>
                </c:pt>
                <c:pt idx="5">
                  <c:v>0.34670000000000001</c:v>
                </c:pt>
                <c:pt idx="6">
                  <c:v>0.36080000000000001</c:v>
                </c:pt>
                <c:pt idx="7">
                  <c:v>0.3352</c:v>
                </c:pt>
                <c:pt idx="8">
                  <c:v>0.31879999999999997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B24-4B34-BAA1-6CC7DB302AC4}"/>
            </c:ext>
          </c:extLst>
        </c:ser>
        <c:dLbls>
          <c:showLegendKey val="0"/>
          <c:showVal val="0"/>
          <c:showCatName val="0"/>
          <c:showSerName val="0"/>
          <c:showPercent val="0"/>
          <c:showBubbleSize val="0"/>
        </c:dLbls>
        <c:smooth val="0"/>
        <c:axId val="554332559"/>
        <c:axId val="554333999"/>
      </c:lineChart>
      <c:catAx>
        <c:axId val="554332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54333999"/>
        <c:crosses val="autoZero"/>
        <c:auto val="1"/>
        <c:lblAlgn val="ctr"/>
        <c:lblOffset val="100"/>
        <c:noMultiLvlLbl val="0"/>
      </c:catAx>
      <c:valAx>
        <c:axId val="554333999"/>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54332559"/>
        <c:crosses val="autoZero"/>
        <c:crossBetween val="between"/>
        <c:majorUnit val="0.1"/>
      </c:valAx>
      <c:spPr>
        <a:noFill/>
        <a:ln>
          <a:noFill/>
        </a:ln>
        <a:effectLst/>
      </c:spPr>
    </c:plotArea>
    <c:legend>
      <c:legendPos val="b"/>
      <c:layout>
        <c:manualLayout>
          <c:xMode val="edge"/>
          <c:yMode val="edge"/>
          <c:x val="0.15246535142516779"/>
          <c:y val="0.68203702259989774"/>
          <c:w val="0.74591006382504776"/>
          <c:h val="5.84833513000783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withinLinearReversed" id="21">
  <a:schemeClr val="accent1"/>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0.11428</cdr:x>
      <cdr:y>0.01841</cdr:y>
    </cdr:from>
    <cdr:to>
      <cdr:x>0.36349</cdr:x>
      <cdr:y>0.16005</cdr:y>
    </cdr:to>
    <cdr:sp macro="" textlink="">
      <cdr:nvSpPr>
        <cdr:cNvPr id="2" name="TextBox 1">
          <a:extLst xmlns:a="http://schemas.openxmlformats.org/drawingml/2006/main">
            <a:ext uri="{FF2B5EF4-FFF2-40B4-BE49-F238E27FC236}">
              <a16:creationId xmlns:a16="http://schemas.microsoft.com/office/drawing/2014/main" id="{8E84D9E5-82B7-E02D-1800-F7BF8AC9EC85}"/>
            </a:ext>
          </a:extLst>
        </cdr:cNvPr>
        <cdr:cNvSpPr txBox="1"/>
      </cdr:nvSpPr>
      <cdr:spPr>
        <a:xfrm xmlns:a="http://schemas.openxmlformats.org/drawingml/2006/main">
          <a:off x="306018" y="41568"/>
          <a:ext cx="667334" cy="3197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000">
              <a:solidFill>
                <a:schemeClr val="tx1">
                  <a:lumMod val="65000"/>
                  <a:lumOff val="35000"/>
                </a:schemeClr>
              </a:solidFill>
              <a:latin typeface="Times New Roman" panose="02020603050405020304" pitchFamily="18" charset="0"/>
              <a:cs typeface="Times New Roman" panose="02020603050405020304" pitchFamily="18" charset="0"/>
            </a:rPr>
            <a:t>% </a:t>
          </a:r>
        </a:p>
      </cdr:txBody>
    </cdr:sp>
  </cdr:relSizeAnchor>
</c:userShapes>
</file>

<file path=word/drawings/drawing2.xml><?xml version="1.0" encoding="utf-8"?>
<c:userShapes xmlns:c="http://schemas.openxmlformats.org/drawingml/2006/chart">
  <cdr:relSizeAnchor xmlns:cdr="http://schemas.openxmlformats.org/drawingml/2006/chartDrawing">
    <cdr:from>
      <cdr:x>0.08076</cdr:x>
      <cdr:y>0.01128</cdr:y>
    </cdr:from>
    <cdr:to>
      <cdr:x>0.51718</cdr:x>
      <cdr:y>0.19046</cdr:y>
    </cdr:to>
    <cdr:sp macro="" textlink="">
      <cdr:nvSpPr>
        <cdr:cNvPr id="2" name="TextBox 1">
          <a:extLst xmlns:a="http://schemas.openxmlformats.org/drawingml/2006/main">
            <a:ext uri="{FF2B5EF4-FFF2-40B4-BE49-F238E27FC236}">
              <a16:creationId xmlns:a16="http://schemas.microsoft.com/office/drawing/2014/main" id="{90C447C2-0194-1B58-B92E-959C83336D68}"/>
            </a:ext>
          </a:extLst>
        </cdr:cNvPr>
        <cdr:cNvSpPr txBox="1"/>
      </cdr:nvSpPr>
      <cdr:spPr>
        <a:xfrm xmlns:a="http://schemas.openxmlformats.org/drawingml/2006/main">
          <a:off x="272309" y="25241"/>
          <a:ext cx="1471542" cy="4010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fr-FR" sz="800" b="0" i="0" baseline="0">
              <a:solidFill>
                <a:schemeClr val="tx1">
                  <a:lumMod val="65000"/>
                  <a:lumOff val="35000"/>
                </a:schemeClr>
              </a:solidFill>
              <a:effectLst/>
              <a:latin typeface="Times New Roman" panose="02020603050405020304" pitchFamily="18" charset="0"/>
              <a:ea typeface="+mn-ea"/>
              <a:cs typeface="Times New Roman" panose="02020603050405020304" pitchFamily="18" charset="0"/>
            </a:rPr>
            <a:t>Mrd EUR</a:t>
          </a:r>
        </a:p>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0.12292</cdr:x>
      <cdr:y>0.01324</cdr:y>
    </cdr:from>
    <cdr:to>
      <cdr:x>0.31564</cdr:x>
      <cdr:y>0.07897</cdr:y>
    </cdr:to>
    <cdr:sp macro="" textlink="">
      <cdr:nvSpPr>
        <cdr:cNvPr id="2" name="TextBox 1">
          <a:extLst xmlns:a="http://schemas.openxmlformats.org/drawingml/2006/main">
            <a:ext uri="{FF2B5EF4-FFF2-40B4-BE49-F238E27FC236}">
              <a16:creationId xmlns:a16="http://schemas.microsoft.com/office/drawing/2014/main" id="{2967F161-E592-D29B-D38B-2B43ADD110E9}"/>
            </a:ext>
          </a:extLst>
        </cdr:cNvPr>
        <cdr:cNvSpPr txBox="1"/>
      </cdr:nvSpPr>
      <cdr:spPr>
        <a:xfrm xmlns:a="http://schemas.openxmlformats.org/drawingml/2006/main">
          <a:off x="704589" y="47056"/>
          <a:ext cx="1104699" cy="2335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050" baseline="0">
              <a:solidFill>
                <a:schemeClr val="bg2">
                  <a:lumMod val="50000"/>
                </a:schemeClr>
              </a:solidFill>
            </a:rPr>
            <a:t> </a:t>
          </a:r>
          <a:r>
            <a:rPr lang="fr-FR" sz="1050" baseline="0">
              <a:solidFill>
                <a:schemeClr val="bg2">
                  <a:lumMod val="50000"/>
                </a:schemeClr>
              </a:solidFill>
              <a:latin typeface="Times New Roman" panose="02020603050405020304" pitchFamily="18" charset="0"/>
              <a:cs typeface="Times New Roman" panose="02020603050405020304" pitchFamily="18" charset="0"/>
            </a:rPr>
            <a:t>Mrd EUR</a:t>
          </a:r>
        </a:p>
        <a:p xmlns:a="http://schemas.openxmlformats.org/drawingml/2006/main">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0.05539</cdr:x>
      <cdr:y>3.23435E-7</cdr:y>
    </cdr:from>
    <cdr:to>
      <cdr:x>0.19109</cdr:x>
      <cdr:y>0.09858</cdr:y>
    </cdr:to>
    <cdr:sp macro="" textlink="">
      <cdr:nvSpPr>
        <cdr:cNvPr id="2" name="TextBox 2">
          <a:extLst xmlns:a="http://schemas.openxmlformats.org/drawingml/2006/main">
            <a:ext uri="{FF2B5EF4-FFF2-40B4-BE49-F238E27FC236}">
              <a16:creationId xmlns:a16="http://schemas.microsoft.com/office/drawing/2014/main" id="{15155E9F-4080-1B01-6123-9D3C947DE4D0}"/>
            </a:ext>
          </a:extLst>
        </cdr:cNvPr>
        <cdr:cNvSpPr txBox="1"/>
      </cdr:nvSpPr>
      <cdr:spPr>
        <a:xfrm xmlns:a="http://schemas.openxmlformats.org/drawingml/2006/main">
          <a:off x="317501" y="1"/>
          <a:ext cx="777874" cy="3048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fr-FR" sz="1100">
              <a:solidFill>
                <a:schemeClr val="tx1">
                  <a:lumMod val="50000"/>
                  <a:lumOff val="50000"/>
                </a:schemeClr>
              </a:solidFill>
              <a:latin typeface="Times New Roman" panose="02020603050405020304" pitchFamily="18" charset="0"/>
              <a:cs typeface="Times New Roman" panose="02020603050405020304" pitchFamily="18" charset="0"/>
            </a:rPr>
            <a:t>EUR/kWh</a:t>
          </a:r>
        </a:p>
      </cdr:txBody>
    </cdr:sp>
  </cdr:relSizeAnchor>
</c:userShapes>
</file>

<file path=word/drawings/drawing5.xml><?xml version="1.0" encoding="utf-8"?>
<c:userShapes xmlns:c="http://schemas.openxmlformats.org/drawingml/2006/chart">
  <cdr:relSizeAnchor xmlns:cdr="http://schemas.openxmlformats.org/drawingml/2006/chartDrawing">
    <cdr:from>
      <cdr:x>0.09534</cdr:x>
      <cdr:y>0.00512</cdr:y>
    </cdr:from>
    <cdr:to>
      <cdr:x>0.60672</cdr:x>
      <cdr:y>0.10223</cdr:y>
    </cdr:to>
    <cdr:sp macro="" textlink="">
      <cdr:nvSpPr>
        <cdr:cNvPr id="2" name="TextBox 1">
          <a:extLst xmlns:a="http://schemas.openxmlformats.org/drawingml/2006/main">
            <a:ext uri="{FF2B5EF4-FFF2-40B4-BE49-F238E27FC236}">
              <a16:creationId xmlns:a16="http://schemas.microsoft.com/office/drawing/2014/main" id="{133FE020-FC44-4BC7-9397-E2AAC2C1AFCE}"/>
            </a:ext>
          </a:extLst>
        </cdr:cNvPr>
        <cdr:cNvSpPr txBox="1"/>
      </cdr:nvSpPr>
      <cdr:spPr>
        <a:xfrm xmlns:a="http://schemas.openxmlformats.org/drawingml/2006/main">
          <a:off x="279514" y="13539"/>
          <a:ext cx="1499244" cy="256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IE" sz="1100">
            <a:solidFill>
              <a:schemeClr val="tx1">
                <a:lumMod val="65000"/>
                <a:lumOff val="35000"/>
              </a:schemeClr>
            </a:solidFill>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190C3C4CBCD34A84FC9B4F2F7A4A9F" ma:contentTypeVersion="4" ma:contentTypeDescription="Create a new document." ma:contentTypeScope="" ma:versionID="b62b06f8d585e5ccf5a8f05bb850f1be">
  <xsd:schema xmlns:xsd="http://www.w3.org/2001/XMLSchema" xmlns:xs="http://www.w3.org/2001/XMLSchema" xmlns:p="http://schemas.microsoft.com/office/2006/metadata/properties" xmlns:ns2="65204a53-0484-4062-8c6d-2c01e3a454ab" targetNamespace="http://schemas.microsoft.com/office/2006/metadata/properties" ma:root="true" ma:fieldsID="22949fd5c4915e90525d83e8d14af767" ns2:_="">
    <xsd:import namespace="65204a53-0484-4062-8c6d-2c01e3a454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04a53-0484-4062-8c6d-2c01e3a454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E6690-617A-40BC-B3C7-4B1E6942B01F}">
  <ds:schemaRefs>
    <ds:schemaRef ds:uri="http://schemas.microsoft.com/sharepoint/v3/contenttype/forms"/>
  </ds:schemaRefs>
</ds:datastoreItem>
</file>

<file path=customXml/itemProps2.xml><?xml version="1.0" encoding="utf-8"?>
<ds:datastoreItem xmlns:ds="http://schemas.openxmlformats.org/officeDocument/2006/customXml" ds:itemID="{1B841982-C812-4221-A408-90BCB2951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04a53-0484-4062-8c6d-2c01e3a45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777F56-E366-4CAD-A23C-8536EECF3E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112C8E-6B19-4E4A-95F6-C715B6259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11</Pages>
  <Words>12951</Words>
  <Characters>73824</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86602</CharactersWithSpaces>
  <SharedDoc>false</SharedDoc>
  <HLinks>
    <vt:vector size="612" baseType="variant">
      <vt:variant>
        <vt:i4>5898351</vt:i4>
      </vt:variant>
      <vt:variant>
        <vt:i4>0</vt:i4>
      </vt:variant>
      <vt:variant>
        <vt:i4>0</vt:i4>
      </vt:variant>
      <vt:variant>
        <vt:i4>5</vt:i4>
      </vt:variant>
      <vt:variant>
        <vt:lpwstr>https://competition-policy.ec.europa.eu/state-aid/ipcei/approved-ipceis_en</vt:lpwstr>
      </vt:variant>
      <vt:variant>
        <vt:lpwstr/>
      </vt:variant>
      <vt:variant>
        <vt:i4>5963899</vt:i4>
      </vt:variant>
      <vt:variant>
        <vt:i4>303</vt:i4>
      </vt:variant>
      <vt:variant>
        <vt:i4>0</vt:i4>
      </vt:variant>
      <vt:variant>
        <vt:i4>5</vt:i4>
      </vt:variant>
      <vt:variant>
        <vt:lpwstr>https://commission.europa.eu/strategy-and-policy/priorities-2019-2024/stronger-europe-world/global-gateway_en</vt:lpwstr>
      </vt:variant>
      <vt:variant>
        <vt:lpwstr/>
      </vt:variant>
      <vt:variant>
        <vt:i4>6291461</vt:i4>
      </vt:variant>
      <vt:variant>
        <vt:i4>300</vt:i4>
      </vt:variant>
      <vt:variant>
        <vt:i4>0</vt:i4>
      </vt:variant>
      <vt:variant>
        <vt:i4>5</vt:i4>
      </vt:variant>
      <vt:variant>
        <vt:lpwstr>https://single-market-economy.ec.europa.eu/sectors/raw-materials/areas-specific-interest/raw-materials-diplomacy_en</vt:lpwstr>
      </vt:variant>
      <vt:variant>
        <vt:lpwstr/>
      </vt:variant>
      <vt:variant>
        <vt:i4>5242968</vt:i4>
      </vt:variant>
      <vt:variant>
        <vt:i4>297</vt:i4>
      </vt:variant>
      <vt:variant>
        <vt:i4>0</vt:i4>
      </vt:variant>
      <vt:variant>
        <vt:i4>5</vt:i4>
      </vt:variant>
      <vt:variant>
        <vt:lpwstr>https://www.eib.org/en/publications/20240179-navigating-supply-chain-disruptions</vt:lpwstr>
      </vt:variant>
      <vt:variant>
        <vt:lpwstr/>
      </vt:variant>
      <vt:variant>
        <vt:i4>7012461</vt:i4>
      </vt:variant>
      <vt:variant>
        <vt:i4>294</vt:i4>
      </vt:variant>
      <vt:variant>
        <vt:i4>0</vt:i4>
      </vt:variant>
      <vt:variant>
        <vt:i4>5</vt:i4>
      </vt:variant>
      <vt:variant>
        <vt:lpwstr>https://www.eib.org/en/publications/20240238-econ-eibis-2024-eu</vt:lpwstr>
      </vt:variant>
      <vt:variant>
        <vt:lpwstr/>
      </vt:variant>
      <vt:variant>
        <vt:i4>1966168</vt:i4>
      </vt:variant>
      <vt:variant>
        <vt:i4>291</vt:i4>
      </vt:variant>
      <vt:variant>
        <vt:i4>0</vt:i4>
      </vt:variant>
      <vt:variant>
        <vt:i4>5</vt:i4>
      </vt:variant>
      <vt:variant>
        <vt:lpwstr>https://eur-lex.europa.eu/legal-content/EN/TXT/PDF/?uri=CELEX:52024DC0385</vt:lpwstr>
      </vt:variant>
      <vt:variant>
        <vt:lpwstr/>
      </vt:variant>
      <vt:variant>
        <vt:i4>5243005</vt:i4>
      </vt:variant>
      <vt:variant>
        <vt:i4>288</vt:i4>
      </vt:variant>
      <vt:variant>
        <vt:i4>0</vt:i4>
      </vt:variant>
      <vt:variant>
        <vt:i4>5</vt:i4>
      </vt:variant>
      <vt:variant>
        <vt:lpwstr>https://single-market-economy.ec.europa.eu/publications/supply-chain-tectonics-empirics-how-eu-plotting-its-path-through-global-trade-fragmentation_en</vt:lpwstr>
      </vt:variant>
      <vt:variant>
        <vt:lpwstr/>
      </vt:variant>
      <vt:variant>
        <vt:i4>3211334</vt:i4>
      </vt:variant>
      <vt:variant>
        <vt:i4>285</vt:i4>
      </vt:variant>
      <vt:variant>
        <vt:i4>0</vt:i4>
      </vt:variant>
      <vt:variant>
        <vt:i4>5</vt:i4>
      </vt:variant>
      <vt:variant>
        <vt:lpwstr>https://ec.europa.eu/eurostat/databrowser/view/ext_ser_mos__custom_14711273/default/table?lang=en</vt:lpwstr>
      </vt:variant>
      <vt:variant>
        <vt:lpwstr/>
      </vt:variant>
      <vt:variant>
        <vt:i4>8192008</vt:i4>
      </vt:variant>
      <vt:variant>
        <vt:i4>282</vt:i4>
      </vt:variant>
      <vt:variant>
        <vt:i4>0</vt:i4>
      </vt:variant>
      <vt:variant>
        <vt:i4>5</vt:i4>
      </vt:variant>
      <vt:variant>
        <vt:lpwstr>https://ec.europa.eu/eurostat/cache/metadata/en/ext_go_detail_sims.htm</vt:lpwstr>
      </vt:variant>
      <vt:variant>
        <vt:lpwstr/>
      </vt:variant>
      <vt:variant>
        <vt:i4>4063348</vt:i4>
      </vt:variant>
      <vt:variant>
        <vt:i4>279</vt:i4>
      </vt:variant>
      <vt:variant>
        <vt:i4>0</vt:i4>
      </vt:variant>
      <vt:variant>
        <vt:i4>5</vt:i4>
      </vt:variant>
      <vt:variant>
        <vt:lpwstr>https://rmis.jrc.ec.europa.eu/rmp/</vt:lpwstr>
      </vt:variant>
      <vt:variant>
        <vt:lpwstr/>
      </vt:variant>
      <vt:variant>
        <vt:i4>2949172</vt:i4>
      </vt:variant>
      <vt:variant>
        <vt:i4>276</vt:i4>
      </vt:variant>
      <vt:variant>
        <vt:i4>0</vt:i4>
      </vt:variant>
      <vt:variant>
        <vt:i4>5</vt:i4>
      </vt:variant>
      <vt:variant>
        <vt:lpwstr>https://www.eea.europa.eu/en/analysis/indicators/europes-material-footprint</vt:lpwstr>
      </vt:variant>
      <vt:variant>
        <vt:lpwstr/>
      </vt:variant>
      <vt:variant>
        <vt:i4>2097211</vt:i4>
      </vt:variant>
      <vt:variant>
        <vt:i4>273</vt:i4>
      </vt:variant>
      <vt:variant>
        <vt:i4>0</vt:i4>
      </vt:variant>
      <vt:variant>
        <vt:i4>5</vt:i4>
      </vt:variant>
      <vt:variant>
        <vt:lpwstr>https://ec.europa.eu/eurostat/web/environment/information-data/material-flows-resource-productivity</vt:lpwstr>
      </vt:variant>
      <vt:variant>
        <vt:lpwstr/>
      </vt:variant>
      <vt:variant>
        <vt:i4>4718680</vt:i4>
      </vt:variant>
      <vt:variant>
        <vt:i4>270</vt:i4>
      </vt:variant>
      <vt:variant>
        <vt:i4>0</vt:i4>
      </vt:variant>
      <vt:variant>
        <vt:i4>5</vt:i4>
      </vt:variant>
      <vt:variant>
        <vt:lpwstr>https://www.eca.europa.eu/en/publications?ref=SR-2023-17</vt:lpwstr>
      </vt:variant>
      <vt:variant>
        <vt:lpwstr/>
      </vt:variant>
      <vt:variant>
        <vt:i4>3604605</vt:i4>
      </vt:variant>
      <vt:variant>
        <vt:i4>267</vt:i4>
      </vt:variant>
      <vt:variant>
        <vt:i4>0</vt:i4>
      </vt:variant>
      <vt:variant>
        <vt:i4>5</vt:i4>
      </vt:variant>
      <vt:variant>
        <vt:lpwstr>https://www.iea.org/reports/energy-technology-perspectives-2024</vt:lpwstr>
      </vt:variant>
      <vt:variant>
        <vt:lpwstr/>
      </vt:variant>
      <vt:variant>
        <vt:i4>6881356</vt:i4>
      </vt:variant>
      <vt:variant>
        <vt:i4>264</vt:i4>
      </vt:variant>
      <vt:variant>
        <vt:i4>0</vt:i4>
      </vt:variant>
      <vt:variant>
        <vt:i4>5</vt:i4>
      </vt:variant>
      <vt:variant>
        <vt:lpwstr>https://eur-lex.europa.eu/resource.html?uri=cellar:6c154426-c5a6-11ee-95d9-01aa75ed71a1.0001.02/DOC_3&amp;format=PDF</vt:lpwstr>
      </vt:variant>
      <vt:variant>
        <vt:lpwstr/>
      </vt:variant>
      <vt:variant>
        <vt:i4>4915282</vt:i4>
      </vt:variant>
      <vt:variant>
        <vt:i4>261</vt:i4>
      </vt:variant>
      <vt:variant>
        <vt:i4>0</vt:i4>
      </vt:variant>
      <vt:variant>
        <vt:i4>5</vt:i4>
      </vt:variant>
      <vt:variant>
        <vt:lpwstr>https://ec.europa.eu/eurostat/web/energy</vt:lpwstr>
      </vt:variant>
      <vt:variant>
        <vt:lpwstr/>
      </vt:variant>
      <vt:variant>
        <vt:i4>2949176</vt:i4>
      </vt:variant>
      <vt:variant>
        <vt:i4>258</vt:i4>
      </vt:variant>
      <vt:variant>
        <vt:i4>0</vt:i4>
      </vt:variant>
      <vt:variant>
        <vt:i4>5</vt:i4>
      </vt:variant>
      <vt:variant>
        <vt:lpwstr>https://data.europa.eu/data/datasets/information-on-energy-markets-in-eu-countries-with-national-energy-profiles?locale=en</vt:lpwstr>
      </vt:variant>
      <vt:variant>
        <vt:lpwstr/>
      </vt:variant>
      <vt:variant>
        <vt:i4>5177464</vt:i4>
      </vt:variant>
      <vt:variant>
        <vt:i4>255</vt:i4>
      </vt:variant>
      <vt:variant>
        <vt:i4>0</vt:i4>
      </vt:variant>
      <vt:variant>
        <vt:i4>5</vt:i4>
      </vt:variant>
      <vt:variant>
        <vt:lpwstr>https://www.ey.com/en_us/foreign-direct-investment-surveys/ey-europe-attractiveness-survey</vt:lpwstr>
      </vt:variant>
      <vt:variant>
        <vt:lpwstr/>
      </vt:variant>
      <vt:variant>
        <vt:i4>4456488</vt:i4>
      </vt:variant>
      <vt:variant>
        <vt:i4>252</vt:i4>
      </vt:variant>
      <vt:variant>
        <vt:i4>0</vt:i4>
      </vt:variant>
      <vt:variant>
        <vt:i4>5</vt:i4>
      </vt:variant>
      <vt:variant>
        <vt:lpwstr>https://single-market-scoreboard.ec.europa.eu/_en</vt:lpwstr>
      </vt:variant>
      <vt:variant>
        <vt:lpwstr/>
      </vt:variant>
      <vt:variant>
        <vt:i4>6619226</vt:i4>
      </vt:variant>
      <vt:variant>
        <vt:i4>249</vt:i4>
      </vt:variant>
      <vt:variant>
        <vt:i4>0</vt:i4>
      </vt:variant>
      <vt:variant>
        <vt:i4>5</vt:i4>
      </vt:variant>
      <vt:variant>
        <vt:lpwstr>https://ec.europa.eu/economy_finance/recovery-and-resilience-scoreboard/disbursements.html?lang=en</vt:lpwstr>
      </vt:variant>
      <vt:variant>
        <vt:lpwstr/>
      </vt:variant>
      <vt:variant>
        <vt:i4>4653108</vt:i4>
      </vt:variant>
      <vt:variant>
        <vt:i4>246</vt:i4>
      </vt:variant>
      <vt:variant>
        <vt:i4>0</vt:i4>
      </vt:variant>
      <vt:variant>
        <vt:i4>5</vt:i4>
      </vt:variant>
      <vt:variant>
        <vt:lpwstr>https://commission.europa.eu/topics/strengthening-european-competitiveness/eu-competitiveness-looking-ahead_en</vt:lpwstr>
      </vt:variant>
      <vt:variant>
        <vt:lpwstr/>
      </vt:variant>
      <vt:variant>
        <vt:i4>7340144</vt:i4>
      </vt:variant>
      <vt:variant>
        <vt:i4>243</vt:i4>
      </vt:variant>
      <vt:variant>
        <vt:i4>0</vt:i4>
      </vt:variant>
      <vt:variant>
        <vt:i4>5</vt:i4>
      </vt:variant>
      <vt:variant>
        <vt:lpwstr>https://www.statista.com/statistics/188884/foreign-direct-investment-from-europe-in-the-us-since-1990/</vt:lpwstr>
      </vt:variant>
      <vt:variant>
        <vt:lpwstr/>
      </vt:variant>
      <vt:variant>
        <vt:i4>6225928</vt:i4>
      </vt:variant>
      <vt:variant>
        <vt:i4>240</vt:i4>
      </vt:variant>
      <vt:variant>
        <vt:i4>0</vt:i4>
      </vt:variant>
      <vt:variant>
        <vt:i4>5</vt:i4>
      </vt:variant>
      <vt:variant>
        <vt:lpwstr>https://www.consilium.europa.eu/media/ny3j24sm/much-more-than-a-market-report-by-enrico-letta.pdf</vt:lpwstr>
      </vt:variant>
      <vt:variant>
        <vt:lpwstr/>
      </vt:variant>
      <vt:variant>
        <vt:i4>4653108</vt:i4>
      </vt:variant>
      <vt:variant>
        <vt:i4>237</vt:i4>
      </vt:variant>
      <vt:variant>
        <vt:i4>0</vt:i4>
      </vt:variant>
      <vt:variant>
        <vt:i4>5</vt:i4>
      </vt:variant>
      <vt:variant>
        <vt:lpwstr>https://commission.europa.eu/topics/strengthening-european-competitiveness/eu-competitiveness-looking-ahead_en</vt:lpwstr>
      </vt:variant>
      <vt:variant>
        <vt:lpwstr/>
      </vt:variant>
      <vt:variant>
        <vt:i4>4784176</vt:i4>
      </vt:variant>
      <vt:variant>
        <vt:i4>234</vt:i4>
      </vt:variant>
      <vt:variant>
        <vt:i4>0</vt:i4>
      </vt:variant>
      <vt:variant>
        <vt:i4>5</vt:i4>
      </vt:variant>
      <vt:variant>
        <vt:lpwstr>https://www.eib.org/attachments/lucalli/20240130_the_scale_up_gap_en.pdf</vt:lpwstr>
      </vt:variant>
      <vt:variant>
        <vt:lpwstr/>
      </vt:variant>
      <vt:variant>
        <vt:i4>6881345</vt:i4>
      </vt:variant>
      <vt:variant>
        <vt:i4>231</vt:i4>
      </vt:variant>
      <vt:variant>
        <vt:i4>0</vt:i4>
      </vt:variant>
      <vt:variant>
        <vt:i4>5</vt:i4>
      </vt:variant>
      <vt:variant>
        <vt:lpwstr>https://finance.ec.europa.eu/publications/list-indicators-monitor-progress-towards-cmu-objectives_en</vt:lpwstr>
      </vt:variant>
      <vt:variant>
        <vt:lpwstr/>
      </vt:variant>
      <vt:variant>
        <vt:i4>3276807</vt:i4>
      </vt:variant>
      <vt:variant>
        <vt:i4>228</vt:i4>
      </vt:variant>
      <vt:variant>
        <vt:i4>0</vt:i4>
      </vt:variant>
      <vt:variant>
        <vt:i4>5</vt:i4>
      </vt:variant>
      <vt:variant>
        <vt:lpwstr>https://ec.europa.eu/eurostat/statistics-explained/index.php?title=ICT_specialists_in_employment</vt:lpwstr>
      </vt:variant>
      <vt:variant>
        <vt:lpwstr/>
      </vt:variant>
      <vt:variant>
        <vt:i4>2949224</vt:i4>
      </vt:variant>
      <vt:variant>
        <vt:i4>225</vt:i4>
      </vt:variant>
      <vt:variant>
        <vt:i4>0</vt:i4>
      </vt:variant>
      <vt:variant>
        <vt:i4>5</vt:i4>
      </vt:variant>
      <vt:variant>
        <vt:lpwstr>https://europa.eu/eurobarometer/surveys/detail/2994</vt:lpwstr>
      </vt:variant>
      <vt:variant>
        <vt:lpwstr/>
      </vt:variant>
      <vt:variant>
        <vt:i4>2293865</vt:i4>
      </vt:variant>
      <vt:variant>
        <vt:i4>222</vt:i4>
      </vt:variant>
      <vt:variant>
        <vt:i4>0</vt:i4>
      </vt:variant>
      <vt:variant>
        <vt:i4>5</vt:i4>
      </vt:variant>
      <vt:variant>
        <vt:lpwstr>https://ec.europa.eu/eurostat/web/interactive-publications/digitalisation-2024</vt:lpwstr>
      </vt:variant>
      <vt:variant>
        <vt:lpwstr/>
      </vt:variant>
      <vt:variant>
        <vt:i4>1441822</vt:i4>
      </vt:variant>
      <vt:variant>
        <vt:i4>219</vt:i4>
      </vt:variant>
      <vt:variant>
        <vt:i4>0</vt:i4>
      </vt:variant>
      <vt:variant>
        <vt:i4>5</vt:i4>
      </vt:variant>
      <vt:variant>
        <vt:lpwstr>https://op.europa.eu/en/publication-detail/-/publication/680d6391-2142-11ee-94cb-01aa75ed71a1/language-en</vt:lpwstr>
      </vt:variant>
      <vt:variant>
        <vt:lpwstr/>
      </vt:variant>
      <vt:variant>
        <vt:i4>4194306</vt:i4>
      </vt:variant>
      <vt:variant>
        <vt:i4>216</vt:i4>
      </vt:variant>
      <vt:variant>
        <vt:i4>0</vt:i4>
      </vt:variant>
      <vt:variant>
        <vt:i4>5</vt:i4>
      </vt:variant>
      <vt:variant>
        <vt:lpwstr>https://digital-strategy.ec.europa.eu/en/policies/digital-skills-and-jobs</vt:lpwstr>
      </vt:variant>
      <vt:variant>
        <vt:lpwstr/>
      </vt:variant>
      <vt:variant>
        <vt:i4>7667719</vt:i4>
      </vt:variant>
      <vt:variant>
        <vt:i4>213</vt:i4>
      </vt:variant>
      <vt:variant>
        <vt:i4>0</vt:i4>
      </vt:variant>
      <vt:variant>
        <vt:i4>5</vt:i4>
      </vt:variant>
      <vt:variant>
        <vt:lpwstr>https://www.oecd.org/en/publications/pisa-2022-results-volume-i_53f23881-en.html</vt:lpwstr>
      </vt:variant>
      <vt:variant>
        <vt:lpwstr/>
      </vt:variant>
      <vt:variant>
        <vt:i4>6684742</vt:i4>
      </vt:variant>
      <vt:variant>
        <vt:i4>210</vt:i4>
      </vt:variant>
      <vt:variant>
        <vt:i4>0</vt:i4>
      </vt:variant>
      <vt:variant>
        <vt:i4>5</vt:i4>
      </vt:variant>
      <vt:variant>
        <vt:lpwstr>https://data-explorer.oecd.org/vis?df%5bds%5d=DisseminateFinalDMZ&amp;df%5bid%5d=DSD_LFS%40DF_IALFS_LF_WAP_Q&amp;df%5bag%5d=OECD.SDD.TPS&amp;df%5bvs%5d=1.0&amp;dq=.LF_WAP.._Z.Y._T.Y15T64..Q&amp;lom=LASTNPERIODS&amp;lo=7&amp;to%5bTIME_PERIOD%5d=false&amp;vw=tb</vt:lpwstr>
      </vt:variant>
      <vt:variant>
        <vt:lpwstr/>
      </vt:variant>
      <vt:variant>
        <vt:i4>8257588</vt:i4>
      </vt:variant>
      <vt:variant>
        <vt:i4>207</vt:i4>
      </vt:variant>
      <vt:variant>
        <vt:i4>0</vt:i4>
      </vt:variant>
      <vt:variant>
        <vt:i4>5</vt:i4>
      </vt:variant>
      <vt:variant>
        <vt:lpwstr>https://ec.europa.eu/eurostat/databrowser/view/lfsi_emp_a/default/table?lang=en</vt:lpwstr>
      </vt:variant>
      <vt:variant>
        <vt:lpwstr/>
      </vt:variant>
      <vt:variant>
        <vt:i4>3014779</vt:i4>
      </vt:variant>
      <vt:variant>
        <vt:i4>204</vt:i4>
      </vt:variant>
      <vt:variant>
        <vt:i4>0</vt:i4>
      </vt:variant>
      <vt:variant>
        <vt:i4>5</vt:i4>
      </vt:variant>
      <vt:variant>
        <vt:lpwstr>https://www.europarl.europa.eu/RegData/etudes/ATAG/2024/760392/EPRS_ATA(2024)760392_EN.pdf</vt:lpwstr>
      </vt:variant>
      <vt:variant>
        <vt:lpwstr/>
      </vt:variant>
      <vt:variant>
        <vt:i4>589906</vt:i4>
      </vt:variant>
      <vt:variant>
        <vt:i4>201</vt:i4>
      </vt:variant>
      <vt:variant>
        <vt:i4>0</vt:i4>
      </vt:variant>
      <vt:variant>
        <vt:i4>5</vt:i4>
      </vt:variant>
      <vt:variant>
        <vt:lpwstr>https://ifr.org/ifr-press-releases/news/global-robot-density-in-factories-doubled-in-seven-years</vt:lpwstr>
      </vt:variant>
      <vt:variant>
        <vt:lpwstr/>
      </vt:variant>
      <vt:variant>
        <vt:i4>2293865</vt:i4>
      </vt:variant>
      <vt:variant>
        <vt:i4>198</vt:i4>
      </vt:variant>
      <vt:variant>
        <vt:i4>0</vt:i4>
      </vt:variant>
      <vt:variant>
        <vt:i4>5</vt:i4>
      </vt:variant>
      <vt:variant>
        <vt:lpwstr>https://ec.europa.eu/eurostat/web/interactive-publications/digitalisation-2024</vt:lpwstr>
      </vt:variant>
      <vt:variant>
        <vt:lpwstr/>
      </vt:variant>
      <vt:variant>
        <vt:i4>393287</vt:i4>
      </vt:variant>
      <vt:variant>
        <vt:i4>195</vt:i4>
      </vt:variant>
      <vt:variant>
        <vt:i4>0</vt:i4>
      </vt:variant>
      <vt:variant>
        <vt:i4>5</vt:i4>
      </vt:variant>
      <vt:variant>
        <vt:lpwstr>https://publications.jrc.ec.europa.eu/repository/handle/JRC133565</vt:lpwstr>
      </vt:variant>
      <vt:variant>
        <vt:lpwstr/>
      </vt:variant>
      <vt:variant>
        <vt:i4>6684785</vt:i4>
      </vt:variant>
      <vt:variant>
        <vt:i4>192</vt:i4>
      </vt:variant>
      <vt:variant>
        <vt:i4>0</vt:i4>
      </vt:variant>
      <vt:variant>
        <vt:i4>5</vt:i4>
      </vt:variant>
      <vt:variant>
        <vt:lpwstr>https://www.statista.com/statistics/263801/global-market-share-held-by-selected-countries-in-the-ict-market/</vt:lpwstr>
      </vt:variant>
      <vt:variant>
        <vt:lpwstr>:~:text=Ranking%20as%20one%20of%20the,almost%20six%20trillion%20by%202023.</vt:lpwstr>
      </vt:variant>
      <vt:variant>
        <vt:i4>7077916</vt:i4>
      </vt:variant>
      <vt:variant>
        <vt:i4>189</vt:i4>
      </vt:variant>
      <vt:variant>
        <vt:i4>0</vt:i4>
      </vt:variant>
      <vt:variant>
        <vt:i4>5</vt:i4>
      </vt:variant>
      <vt:variant>
        <vt:lpwstr>https://commission.europa.eu/strategy-and-policy/priorities-2019-2024/europe-fit-digital-age/europes-digital-decade-digital-targets-2030_en</vt:lpwstr>
      </vt:variant>
      <vt:variant>
        <vt:lpwstr/>
      </vt:variant>
      <vt:variant>
        <vt:i4>4653108</vt:i4>
      </vt:variant>
      <vt:variant>
        <vt:i4>186</vt:i4>
      </vt:variant>
      <vt:variant>
        <vt:i4>0</vt:i4>
      </vt:variant>
      <vt:variant>
        <vt:i4>5</vt:i4>
      </vt:variant>
      <vt:variant>
        <vt:lpwstr>https://commission.europa.eu/topics/strengthening-european-competitiveness/eu-competitiveness-looking-ahead_en</vt:lpwstr>
      </vt:variant>
      <vt:variant>
        <vt:lpwstr/>
      </vt:variant>
      <vt:variant>
        <vt:i4>196674</vt:i4>
      </vt:variant>
      <vt:variant>
        <vt:i4>183</vt:i4>
      </vt:variant>
      <vt:variant>
        <vt:i4>0</vt:i4>
      </vt:variant>
      <vt:variant>
        <vt:i4>5</vt:i4>
      </vt:variant>
      <vt:variant>
        <vt:lpwstr>https://publications.jrc.ec.europa.eu/repository/handle/JRC139092</vt:lpwstr>
      </vt:variant>
      <vt:variant>
        <vt:lpwstr/>
      </vt:variant>
      <vt:variant>
        <vt:i4>4653108</vt:i4>
      </vt:variant>
      <vt:variant>
        <vt:i4>180</vt:i4>
      </vt:variant>
      <vt:variant>
        <vt:i4>0</vt:i4>
      </vt:variant>
      <vt:variant>
        <vt:i4>5</vt:i4>
      </vt:variant>
      <vt:variant>
        <vt:lpwstr>https://commission.europa.eu/topics/strengthening-european-competitiveness/eu-competitiveness-looking-ahead_en</vt:lpwstr>
      </vt:variant>
      <vt:variant>
        <vt:lpwstr/>
      </vt:variant>
      <vt:variant>
        <vt:i4>327747</vt:i4>
      </vt:variant>
      <vt:variant>
        <vt:i4>177</vt:i4>
      </vt:variant>
      <vt:variant>
        <vt:i4>0</vt:i4>
      </vt:variant>
      <vt:variant>
        <vt:i4>5</vt:i4>
      </vt:variant>
      <vt:variant>
        <vt:lpwstr>https://publications.jrc.ec.europa.eu/repository/handle/JRC137117</vt:lpwstr>
      </vt:variant>
      <vt:variant>
        <vt:lpwstr/>
      </vt:variant>
      <vt:variant>
        <vt:i4>7405673</vt:i4>
      </vt:variant>
      <vt:variant>
        <vt:i4>174</vt:i4>
      </vt:variant>
      <vt:variant>
        <vt:i4>0</vt:i4>
      </vt:variant>
      <vt:variant>
        <vt:i4>5</vt:i4>
      </vt:variant>
      <vt:variant>
        <vt:lpwstr>https://iri.jrc.ec.europa.eu/scoreboard/2023-eu-industrial-rd-investment-scoreboard</vt:lpwstr>
      </vt:variant>
      <vt:variant>
        <vt:lpwstr/>
      </vt:variant>
      <vt:variant>
        <vt:i4>3276903</vt:i4>
      </vt:variant>
      <vt:variant>
        <vt:i4>171</vt:i4>
      </vt:variant>
      <vt:variant>
        <vt:i4>0</vt:i4>
      </vt:variant>
      <vt:variant>
        <vt:i4>5</vt:i4>
      </vt:variant>
      <vt:variant>
        <vt:lpwstr>https://op.europa.eu/s/zXFX</vt:lpwstr>
      </vt:variant>
      <vt:variant>
        <vt:lpwstr/>
      </vt:variant>
      <vt:variant>
        <vt:i4>3276924</vt:i4>
      </vt:variant>
      <vt:variant>
        <vt:i4>168</vt:i4>
      </vt:variant>
      <vt:variant>
        <vt:i4>0</vt:i4>
      </vt:variant>
      <vt:variant>
        <vt:i4>5</vt:i4>
      </vt:variant>
      <vt:variant>
        <vt:lpwstr>https://data.worldbank.org/indicator/GB.XPD.RSDV.GD.ZS</vt:lpwstr>
      </vt:variant>
      <vt:variant>
        <vt:lpwstr/>
      </vt:variant>
      <vt:variant>
        <vt:i4>6029341</vt:i4>
      </vt:variant>
      <vt:variant>
        <vt:i4>165</vt:i4>
      </vt:variant>
      <vt:variant>
        <vt:i4>0</vt:i4>
      </vt:variant>
      <vt:variant>
        <vt:i4>5</vt:i4>
      </vt:variant>
      <vt:variant>
        <vt:lpwstr>https://ec.europa.eu/eurostat/statistics-explained/index.php?oldid=551418</vt:lpwstr>
      </vt:variant>
      <vt:variant>
        <vt:lpwstr/>
      </vt:variant>
      <vt:variant>
        <vt:i4>8257571</vt:i4>
      </vt:variant>
      <vt:variant>
        <vt:i4>162</vt:i4>
      </vt:variant>
      <vt:variant>
        <vt:i4>0</vt:i4>
      </vt:variant>
      <vt:variant>
        <vt:i4>5</vt:i4>
      </vt:variant>
      <vt:variant>
        <vt:lpwstr>https://link.epo.org/web/publications/studies/en-patents-trade-marks-and-startup-finance-study.pdf</vt:lpwstr>
      </vt:variant>
      <vt:variant>
        <vt:lpwstr/>
      </vt:variant>
      <vt:variant>
        <vt:i4>2162768</vt:i4>
      </vt:variant>
      <vt:variant>
        <vt:i4>156</vt:i4>
      </vt:variant>
      <vt:variant>
        <vt:i4>0</vt:i4>
      </vt:variant>
      <vt:variant>
        <vt:i4>5</vt:i4>
      </vt:variant>
      <vt:variant>
        <vt:lpwstr>https://neighbourhood-enlargement.ec.europa.eu/enlargement-policy/growth-plan-western-balkans_en</vt:lpwstr>
      </vt:variant>
      <vt:variant>
        <vt:lpwstr/>
      </vt:variant>
      <vt:variant>
        <vt:i4>1507344</vt:i4>
      </vt:variant>
      <vt:variant>
        <vt:i4>153</vt:i4>
      </vt:variant>
      <vt:variant>
        <vt:i4>0</vt:i4>
      </vt:variant>
      <vt:variant>
        <vt:i4>5</vt:i4>
      </vt:variant>
      <vt:variant>
        <vt:lpwstr>https://www.consilium.europa.eu/en/press/press-releases/2024/05/14/ukraine-plan-council-greenlights-regular-payments-under-the-ukraine-facility/</vt:lpwstr>
      </vt:variant>
      <vt:variant>
        <vt:lpwstr/>
      </vt:variant>
      <vt:variant>
        <vt:i4>7471204</vt:i4>
      </vt:variant>
      <vt:variant>
        <vt:i4>150</vt:i4>
      </vt:variant>
      <vt:variant>
        <vt:i4>0</vt:i4>
      </vt:variant>
      <vt:variant>
        <vt:i4>5</vt:i4>
      </vt:variant>
      <vt:variant>
        <vt:lpwstr>https://ec.europa.eu/commission/presscorner/detail/en/ip_24_1568</vt:lpwstr>
      </vt:variant>
      <vt:variant>
        <vt:lpwstr/>
      </vt:variant>
      <vt:variant>
        <vt:i4>3735643</vt:i4>
      </vt:variant>
      <vt:variant>
        <vt:i4>147</vt:i4>
      </vt:variant>
      <vt:variant>
        <vt:i4>0</vt:i4>
      </vt:variant>
      <vt:variant>
        <vt:i4>5</vt:i4>
      </vt:variant>
      <vt:variant>
        <vt:lpwstr>https://single-market-economy.ec.europa.eu/smes/sme-strategy-and-sme-friendly-business-conditions/sme-performance-review_en</vt:lpwstr>
      </vt:variant>
      <vt:variant>
        <vt:lpwstr/>
      </vt:variant>
      <vt:variant>
        <vt:i4>4128881</vt:i4>
      </vt:variant>
      <vt:variant>
        <vt:i4>144</vt:i4>
      </vt:variant>
      <vt:variant>
        <vt:i4>0</vt:i4>
      </vt:variant>
      <vt:variant>
        <vt:i4>5</vt:i4>
      </vt:variant>
      <vt:variant>
        <vt:lpwstr>https://www.oecd.org/en/about/programmes/helping-smes-scale-up.html</vt:lpwstr>
      </vt:variant>
      <vt:variant>
        <vt:lpwstr/>
      </vt:variant>
      <vt:variant>
        <vt:i4>4128881</vt:i4>
      </vt:variant>
      <vt:variant>
        <vt:i4>141</vt:i4>
      </vt:variant>
      <vt:variant>
        <vt:i4>0</vt:i4>
      </vt:variant>
      <vt:variant>
        <vt:i4>5</vt:i4>
      </vt:variant>
      <vt:variant>
        <vt:lpwstr>https://www.oecd.org/en/about/programmes/helping-smes-scale-up.html</vt:lpwstr>
      </vt:variant>
      <vt:variant>
        <vt:lpwstr/>
      </vt:variant>
      <vt:variant>
        <vt:i4>3735643</vt:i4>
      </vt:variant>
      <vt:variant>
        <vt:i4>138</vt:i4>
      </vt:variant>
      <vt:variant>
        <vt:i4>0</vt:i4>
      </vt:variant>
      <vt:variant>
        <vt:i4>5</vt:i4>
      </vt:variant>
      <vt:variant>
        <vt:lpwstr>https://single-market-economy.ec.europa.eu/smes/sme-strategy-and-sme-friendly-business-conditions/sme-performance-review_en</vt:lpwstr>
      </vt:variant>
      <vt:variant>
        <vt:lpwstr/>
      </vt:variant>
      <vt:variant>
        <vt:i4>131104</vt:i4>
      </vt:variant>
      <vt:variant>
        <vt:i4>135</vt:i4>
      </vt:variant>
      <vt:variant>
        <vt:i4>0</vt:i4>
      </vt:variant>
      <vt:variant>
        <vt:i4>5</vt:i4>
      </vt:variant>
      <vt:variant>
        <vt:lpwstr>https://commission.europa.eu/publications/interoperable-europe-act-proposal_en</vt:lpwstr>
      </vt:variant>
      <vt:variant>
        <vt:lpwstr/>
      </vt:variant>
      <vt:variant>
        <vt:i4>7340147</vt:i4>
      </vt:variant>
      <vt:variant>
        <vt:i4>132</vt:i4>
      </vt:variant>
      <vt:variant>
        <vt:i4>0</vt:i4>
      </vt:variant>
      <vt:variant>
        <vt:i4>5</vt:i4>
      </vt:variant>
      <vt:variant>
        <vt:lpwstr>https://eur-lex.europa.eu/legal-content/EN/TXT/?uri=CELEX%3A32014L0055</vt:lpwstr>
      </vt:variant>
      <vt:variant>
        <vt:lpwstr/>
      </vt:variant>
      <vt:variant>
        <vt:i4>1966098</vt:i4>
      </vt:variant>
      <vt:variant>
        <vt:i4>129</vt:i4>
      </vt:variant>
      <vt:variant>
        <vt:i4>0</vt:i4>
      </vt:variant>
      <vt:variant>
        <vt:i4>5</vt:i4>
      </vt:variant>
      <vt:variant>
        <vt:lpwstr>https://www.eurochambres.eu/wp-content/uploads/2024/01/2024-Eurochambres-Single-Market-Survey-Full-Report.pdf</vt:lpwstr>
      </vt:variant>
      <vt:variant>
        <vt:lpwstr/>
      </vt:variant>
      <vt:variant>
        <vt:i4>7012461</vt:i4>
      </vt:variant>
      <vt:variant>
        <vt:i4>126</vt:i4>
      </vt:variant>
      <vt:variant>
        <vt:i4>0</vt:i4>
      </vt:variant>
      <vt:variant>
        <vt:i4>5</vt:i4>
      </vt:variant>
      <vt:variant>
        <vt:lpwstr>https://www.eib.org/en/publications/20240238-econ-eibis-2024-eu</vt:lpwstr>
      </vt:variant>
      <vt:variant>
        <vt:lpwstr/>
      </vt:variant>
      <vt:variant>
        <vt:i4>8192124</vt:i4>
      </vt:variant>
      <vt:variant>
        <vt:i4>123</vt:i4>
      </vt:variant>
      <vt:variant>
        <vt:i4>0</vt:i4>
      </vt:variant>
      <vt:variant>
        <vt:i4>5</vt:i4>
      </vt:variant>
      <vt:variant>
        <vt:lpwstr>https://unctadstat.unctad.org/datacentre/dataviewer/shared-report/3e6c6e96-b85c-487e-a7a4-9ca93db9ef44</vt:lpwstr>
      </vt:variant>
      <vt:variant>
        <vt:lpwstr/>
      </vt:variant>
      <vt:variant>
        <vt:i4>4456488</vt:i4>
      </vt:variant>
      <vt:variant>
        <vt:i4>120</vt:i4>
      </vt:variant>
      <vt:variant>
        <vt:i4>0</vt:i4>
      </vt:variant>
      <vt:variant>
        <vt:i4>5</vt:i4>
      </vt:variant>
      <vt:variant>
        <vt:lpwstr>https://single-market-scoreboard.ec.europa.eu/_en</vt:lpwstr>
      </vt:variant>
      <vt:variant>
        <vt:lpwstr/>
      </vt:variant>
      <vt:variant>
        <vt:i4>5242986</vt:i4>
      </vt:variant>
      <vt:variant>
        <vt:i4>117</vt:i4>
      </vt:variant>
      <vt:variant>
        <vt:i4>0</vt:i4>
      </vt:variant>
      <vt:variant>
        <vt:i4>5</vt:i4>
      </vt:variant>
      <vt:variant>
        <vt:lpwstr>https://www.ey.com/en_gl/foreign-direct-investment-surveys/ey-europe-attractiveness-survey</vt:lpwstr>
      </vt:variant>
      <vt:variant>
        <vt:lpwstr/>
      </vt:variant>
      <vt:variant>
        <vt:i4>2097228</vt:i4>
      </vt:variant>
      <vt:variant>
        <vt:i4>114</vt:i4>
      </vt:variant>
      <vt:variant>
        <vt:i4>0</vt:i4>
      </vt:variant>
      <vt:variant>
        <vt:i4>5</vt:i4>
      </vt:variant>
      <vt:variant>
        <vt:lpwstr>https://www.eib.org/attachments/lucalli/20230330_investment_barriers_in_the_eu_2023_en.pdf</vt:lpwstr>
      </vt:variant>
      <vt:variant>
        <vt:lpwstr/>
      </vt:variant>
      <vt:variant>
        <vt:i4>6881355</vt:i4>
      </vt:variant>
      <vt:variant>
        <vt:i4>111</vt:i4>
      </vt:variant>
      <vt:variant>
        <vt:i4>0</vt:i4>
      </vt:variant>
      <vt:variant>
        <vt:i4>5</vt:i4>
      </vt:variant>
      <vt:variant>
        <vt:lpwstr>https://single-market-economy.ec.europa.eu/sectors/textiles-ecosystem/regulation-eu-10072011_en</vt:lpwstr>
      </vt:variant>
      <vt:variant>
        <vt:lpwstr/>
      </vt:variant>
      <vt:variant>
        <vt:i4>3932168</vt:i4>
      </vt:variant>
      <vt:variant>
        <vt:i4>108</vt:i4>
      </vt:variant>
      <vt:variant>
        <vt:i4>0</vt:i4>
      </vt:variant>
      <vt:variant>
        <vt:i4>5</vt:i4>
      </vt:variant>
      <vt:variant>
        <vt:lpwstr>https://single-market-economy.ec.europa.eu/publications/annual-union-work-programme-european-standardisation-2024_en</vt:lpwstr>
      </vt:variant>
      <vt:variant>
        <vt:lpwstr/>
      </vt:variant>
      <vt:variant>
        <vt:i4>5701726</vt:i4>
      </vt:variant>
      <vt:variant>
        <vt:i4>105</vt:i4>
      </vt:variant>
      <vt:variant>
        <vt:i4>0</vt:i4>
      </vt:variant>
      <vt:variant>
        <vt:i4>5</vt:i4>
      </vt:variant>
      <vt:variant>
        <vt:lpwstr>https://eur-lex.europa.eu/eli/reg/2023/988/oj</vt:lpwstr>
      </vt:variant>
      <vt:variant>
        <vt:lpwstr/>
      </vt:variant>
      <vt:variant>
        <vt:i4>7012472</vt:i4>
      </vt:variant>
      <vt:variant>
        <vt:i4>102</vt:i4>
      </vt:variant>
      <vt:variant>
        <vt:i4>0</vt:i4>
      </vt:variant>
      <vt:variant>
        <vt:i4>5</vt:i4>
      </vt:variant>
      <vt:variant>
        <vt:lpwstr>https://eur-lex.europa.eu/legal-content/EN/TXT/?uri=celex%3A32019R1020</vt:lpwstr>
      </vt:variant>
      <vt:variant>
        <vt:lpwstr/>
      </vt:variant>
      <vt:variant>
        <vt:i4>983102</vt:i4>
      </vt:variant>
      <vt:variant>
        <vt:i4>99</vt:i4>
      </vt:variant>
      <vt:variant>
        <vt:i4>0</vt:i4>
      </vt:variant>
      <vt:variant>
        <vt:i4>5</vt:i4>
      </vt:variant>
      <vt:variant>
        <vt:lpwstr>https://eur-lex.europa.eu/legal-content/EN/TXT/?uri=uriserv%3AOJ.L_.2016.081.01.0051.01.ENG&amp;toc=OJ%3AL%3A2016%3A081%3ATOC</vt:lpwstr>
      </vt:variant>
      <vt:variant>
        <vt:lpwstr/>
      </vt:variant>
      <vt:variant>
        <vt:i4>8257572</vt:i4>
      </vt:variant>
      <vt:variant>
        <vt:i4>96</vt:i4>
      </vt:variant>
      <vt:variant>
        <vt:i4>0</vt:i4>
      </vt:variant>
      <vt:variant>
        <vt:i4>5</vt:i4>
      </vt:variant>
      <vt:variant>
        <vt:lpwstr>https://eur-lex.europa.eu/eli/reg/2023/1230/oj</vt:lpwstr>
      </vt:variant>
      <vt:variant>
        <vt:lpwstr/>
      </vt:variant>
      <vt:variant>
        <vt:i4>7929889</vt:i4>
      </vt:variant>
      <vt:variant>
        <vt:i4>93</vt:i4>
      </vt:variant>
      <vt:variant>
        <vt:i4>0</vt:i4>
      </vt:variant>
      <vt:variant>
        <vt:i4>5</vt:i4>
      </vt:variant>
      <vt:variant>
        <vt:lpwstr>https://eur-lex.europa.eu/eli/reg/2023/1542/oj</vt:lpwstr>
      </vt:variant>
      <vt:variant>
        <vt:lpwstr/>
      </vt:variant>
      <vt:variant>
        <vt:i4>1638509</vt:i4>
      </vt:variant>
      <vt:variant>
        <vt:i4>90</vt:i4>
      </vt:variant>
      <vt:variant>
        <vt:i4>0</vt:i4>
      </vt:variant>
      <vt:variant>
        <vt:i4>5</vt:i4>
      </vt:variant>
      <vt:variant>
        <vt:lpwstr>https://single-market-economy.ec.europa.eu/sectors/postal-services_en</vt:lpwstr>
      </vt:variant>
      <vt:variant>
        <vt:lpwstr/>
      </vt:variant>
      <vt:variant>
        <vt:i4>8126574</vt:i4>
      </vt:variant>
      <vt:variant>
        <vt:i4>87</vt:i4>
      </vt:variant>
      <vt:variant>
        <vt:i4>0</vt:i4>
      </vt:variant>
      <vt:variant>
        <vt:i4>5</vt:i4>
      </vt:variant>
      <vt:variant>
        <vt:lpwstr>https://ec.europa.eu/commission/presscorner/detail/en/ip_24_5784</vt:lpwstr>
      </vt:variant>
      <vt:variant>
        <vt:lpwstr/>
      </vt:variant>
      <vt:variant>
        <vt:i4>4653129</vt:i4>
      </vt:variant>
      <vt:variant>
        <vt:i4>84</vt:i4>
      </vt:variant>
      <vt:variant>
        <vt:i4>0</vt:i4>
      </vt:variant>
      <vt:variant>
        <vt:i4>5</vt:i4>
      </vt:variant>
      <vt:variant>
        <vt:lpwstr>https://ec.europa.eu/growth/tools-databases/regprof/home</vt:lpwstr>
      </vt:variant>
      <vt:variant>
        <vt:lpwstr/>
      </vt:variant>
      <vt:variant>
        <vt:i4>4194407</vt:i4>
      </vt:variant>
      <vt:variant>
        <vt:i4>81</vt:i4>
      </vt:variant>
      <vt:variant>
        <vt:i4>0</vt:i4>
      </vt:variant>
      <vt:variant>
        <vt:i4>5</vt:i4>
      </vt:variant>
      <vt:variant>
        <vt:lpwstr>https://single-market-economy.ec.europa.eu/single-market/services/free-movement-professionals/recognition-professional-qualifications-practice_en</vt:lpwstr>
      </vt:variant>
      <vt:variant>
        <vt:lpwstr/>
      </vt:variant>
      <vt:variant>
        <vt:i4>7208963</vt:i4>
      </vt:variant>
      <vt:variant>
        <vt:i4>78</vt:i4>
      </vt:variant>
      <vt:variant>
        <vt:i4>0</vt:i4>
      </vt:variant>
      <vt:variant>
        <vt:i4>5</vt:i4>
      </vt:variant>
      <vt:variant>
        <vt:lpwstr>https://single-market-scoreboard.ec.europa.eu/business-framework-conditions/services-markets_en</vt:lpwstr>
      </vt:variant>
      <vt:variant>
        <vt:lpwstr/>
      </vt:variant>
      <vt:variant>
        <vt:i4>5832786</vt:i4>
      </vt:variant>
      <vt:variant>
        <vt:i4>75</vt:i4>
      </vt:variant>
      <vt:variant>
        <vt:i4>0</vt:i4>
      </vt:variant>
      <vt:variant>
        <vt:i4>5</vt:i4>
      </vt:variant>
      <vt:variant>
        <vt:lpwstr>https://ec.europa.eu/docsroom/documents/20362</vt:lpwstr>
      </vt:variant>
      <vt:variant>
        <vt:lpwstr/>
      </vt:variant>
      <vt:variant>
        <vt:i4>4653129</vt:i4>
      </vt:variant>
      <vt:variant>
        <vt:i4>72</vt:i4>
      </vt:variant>
      <vt:variant>
        <vt:i4>0</vt:i4>
      </vt:variant>
      <vt:variant>
        <vt:i4>5</vt:i4>
      </vt:variant>
      <vt:variant>
        <vt:lpwstr>https://ec.europa.eu/growth/tools-databases/regprof/home</vt:lpwstr>
      </vt:variant>
      <vt:variant>
        <vt:lpwstr/>
      </vt:variant>
      <vt:variant>
        <vt:i4>2555957</vt:i4>
      </vt:variant>
      <vt:variant>
        <vt:i4>69</vt:i4>
      </vt:variant>
      <vt:variant>
        <vt:i4>0</vt:i4>
      </vt:variant>
      <vt:variant>
        <vt:i4>5</vt:i4>
      </vt:variant>
      <vt:variant>
        <vt:lpwstr>https://www.businesseurope.eu/publications/examples-single-market-barriers-businesses-2023</vt:lpwstr>
      </vt:variant>
      <vt:variant>
        <vt:lpwstr/>
      </vt:variant>
      <vt:variant>
        <vt:i4>2949147</vt:i4>
      </vt:variant>
      <vt:variant>
        <vt:i4>66</vt:i4>
      </vt:variant>
      <vt:variant>
        <vt:i4>0</vt:i4>
      </vt:variant>
      <vt:variant>
        <vt:i4>5</vt:i4>
      </vt:variant>
      <vt:variant>
        <vt:lpwstr>https://single-market-economy.ec.europa.eu/publications/30-years-single-market-taking-stock-and-looking-ahead_en</vt:lpwstr>
      </vt:variant>
      <vt:variant>
        <vt:lpwstr/>
      </vt:variant>
      <vt:variant>
        <vt:i4>1310749</vt:i4>
      </vt:variant>
      <vt:variant>
        <vt:i4>63</vt:i4>
      </vt:variant>
      <vt:variant>
        <vt:i4>0</vt:i4>
      </vt:variant>
      <vt:variant>
        <vt:i4>5</vt:i4>
      </vt:variant>
      <vt:variant>
        <vt:lpwstr>https://ec.europa.eu/eurostat/statistics-explained/index.php?title=Productivity_trends_using_key_national_accounts_indicators</vt:lpwstr>
      </vt:variant>
      <vt:variant>
        <vt:lpwstr/>
      </vt:variant>
      <vt:variant>
        <vt:i4>1245227</vt:i4>
      </vt:variant>
      <vt:variant>
        <vt:i4>60</vt:i4>
      </vt:variant>
      <vt:variant>
        <vt:i4>0</vt:i4>
      </vt:variant>
      <vt:variant>
        <vt:i4>5</vt:i4>
      </vt:variant>
      <vt:variant>
        <vt:lpwstr>https://www.ecb.europa.eu/press/economic-bulletin/focus/2024/html/ecb.ebbox202406_01~9c8418b554.en.html</vt:lpwstr>
      </vt:variant>
      <vt:variant>
        <vt:lpwstr/>
      </vt:variant>
      <vt:variant>
        <vt:i4>7208963</vt:i4>
      </vt:variant>
      <vt:variant>
        <vt:i4>57</vt:i4>
      </vt:variant>
      <vt:variant>
        <vt:i4>0</vt:i4>
      </vt:variant>
      <vt:variant>
        <vt:i4>5</vt:i4>
      </vt:variant>
      <vt:variant>
        <vt:lpwstr>https://single-market-scoreboard.ec.europa.eu/business-framework-conditions/services-markets_en</vt:lpwstr>
      </vt:variant>
      <vt:variant>
        <vt:lpwstr/>
      </vt:variant>
      <vt:variant>
        <vt:i4>2228237</vt:i4>
      </vt:variant>
      <vt:variant>
        <vt:i4>54</vt:i4>
      </vt:variant>
      <vt:variant>
        <vt:i4>0</vt:i4>
      </vt:variant>
      <vt:variant>
        <vt:i4>5</vt:i4>
      </vt:variant>
      <vt:variant>
        <vt:lpwstr>https://single-market-economy.ec.europa.eu/single-market/internal-market-emergency-and-resilience-act_en</vt:lpwstr>
      </vt:variant>
      <vt:variant>
        <vt:lpwstr/>
      </vt:variant>
      <vt:variant>
        <vt:i4>7602200</vt:i4>
      </vt:variant>
      <vt:variant>
        <vt:i4>51</vt:i4>
      </vt:variant>
      <vt:variant>
        <vt:i4>0</vt:i4>
      </vt:variant>
      <vt:variant>
        <vt:i4>5</vt:i4>
      </vt:variant>
      <vt:variant>
        <vt:lpwstr>https://single-market-scoreboard.ec.europa.eu/enforcement-tools/transposition_en</vt:lpwstr>
      </vt:variant>
      <vt:variant>
        <vt:lpwstr/>
      </vt:variant>
      <vt:variant>
        <vt:i4>4456488</vt:i4>
      </vt:variant>
      <vt:variant>
        <vt:i4>48</vt:i4>
      </vt:variant>
      <vt:variant>
        <vt:i4>0</vt:i4>
      </vt:variant>
      <vt:variant>
        <vt:i4>5</vt:i4>
      </vt:variant>
      <vt:variant>
        <vt:lpwstr>https://single-market-scoreboard.ec.europa.eu/_en</vt:lpwstr>
      </vt:variant>
      <vt:variant>
        <vt:lpwstr/>
      </vt:variant>
      <vt:variant>
        <vt:i4>4456488</vt:i4>
      </vt:variant>
      <vt:variant>
        <vt:i4>45</vt:i4>
      </vt:variant>
      <vt:variant>
        <vt:i4>0</vt:i4>
      </vt:variant>
      <vt:variant>
        <vt:i4>5</vt:i4>
      </vt:variant>
      <vt:variant>
        <vt:lpwstr>https://single-market-scoreboard.ec.europa.eu/_en</vt:lpwstr>
      </vt:variant>
      <vt:variant>
        <vt:lpwstr/>
      </vt:variant>
      <vt:variant>
        <vt:i4>3538998</vt:i4>
      </vt:variant>
      <vt:variant>
        <vt:i4>42</vt:i4>
      </vt:variant>
      <vt:variant>
        <vt:i4>0</vt:i4>
      </vt:variant>
      <vt:variant>
        <vt:i4>5</vt:i4>
      </vt:variant>
      <vt:variant>
        <vt:lpwstr>https://ec.europa.eu/internal_market/smet/reports/index_en.htm</vt:lpwstr>
      </vt:variant>
      <vt:variant>
        <vt:lpwstr/>
      </vt:variant>
      <vt:variant>
        <vt:i4>3538998</vt:i4>
      </vt:variant>
      <vt:variant>
        <vt:i4>39</vt:i4>
      </vt:variant>
      <vt:variant>
        <vt:i4>0</vt:i4>
      </vt:variant>
      <vt:variant>
        <vt:i4>5</vt:i4>
      </vt:variant>
      <vt:variant>
        <vt:lpwstr>https://ec.europa.eu/internal_market/smet/reports/index_en.htm</vt:lpwstr>
      </vt:variant>
      <vt:variant>
        <vt:lpwstr/>
      </vt:variant>
      <vt:variant>
        <vt:i4>1966098</vt:i4>
      </vt:variant>
      <vt:variant>
        <vt:i4>36</vt:i4>
      </vt:variant>
      <vt:variant>
        <vt:i4>0</vt:i4>
      </vt:variant>
      <vt:variant>
        <vt:i4>5</vt:i4>
      </vt:variant>
      <vt:variant>
        <vt:lpwstr>https://www.eurochambres.eu/wp-content/uploads/2024/01/2024-Eurochambres-Single-Market-Survey-Full-Report.pdf</vt:lpwstr>
      </vt:variant>
      <vt:variant>
        <vt:lpwstr/>
      </vt:variant>
      <vt:variant>
        <vt:i4>3932208</vt:i4>
      </vt:variant>
      <vt:variant>
        <vt:i4>33</vt:i4>
      </vt:variant>
      <vt:variant>
        <vt:i4>0</vt:i4>
      </vt:variant>
      <vt:variant>
        <vt:i4>5</vt:i4>
      </vt:variant>
      <vt:variant>
        <vt:lpwstr>https://ert.eu/wp-content/uploads/2024/02/Single-Market-Compendium-of-obstacles-13-Feb-2024.pdf</vt:lpwstr>
      </vt:variant>
      <vt:variant>
        <vt:lpwstr/>
      </vt:variant>
      <vt:variant>
        <vt:i4>4128881</vt:i4>
      </vt:variant>
      <vt:variant>
        <vt:i4>30</vt:i4>
      </vt:variant>
      <vt:variant>
        <vt:i4>0</vt:i4>
      </vt:variant>
      <vt:variant>
        <vt:i4>5</vt:i4>
      </vt:variant>
      <vt:variant>
        <vt:lpwstr>https://fosmo.youreurope.europa.eu/?lang=en</vt:lpwstr>
      </vt:variant>
      <vt:variant>
        <vt:lpwstr/>
      </vt:variant>
      <vt:variant>
        <vt:i4>1</vt:i4>
      </vt:variant>
      <vt:variant>
        <vt:i4>27</vt:i4>
      </vt:variant>
      <vt:variant>
        <vt:i4>0</vt:i4>
      </vt:variant>
      <vt:variant>
        <vt:i4>5</vt:i4>
      </vt:variant>
      <vt:variant>
        <vt:lpwstr>https://eur-lex.europa.eu/legal-content/EN/TXT/PDF/?uri=CELEX:32018R1724</vt:lpwstr>
      </vt:variant>
      <vt:variant>
        <vt:lpwstr/>
      </vt:variant>
      <vt:variant>
        <vt:i4>7864344</vt:i4>
      </vt:variant>
      <vt:variant>
        <vt:i4>24</vt:i4>
      </vt:variant>
      <vt:variant>
        <vt:i4>0</vt:i4>
      </vt:variant>
      <vt:variant>
        <vt:i4>5</vt:i4>
      </vt:variant>
      <vt:variant>
        <vt:lpwstr>https://commission.europa.eu/system/files/2023-03/Communication_Long-term-competitiveness.pdf</vt:lpwstr>
      </vt:variant>
      <vt:variant>
        <vt:lpwstr/>
      </vt:variant>
      <vt:variant>
        <vt:i4>1966111</vt:i4>
      </vt:variant>
      <vt:variant>
        <vt:i4>21</vt:i4>
      </vt:variant>
      <vt:variant>
        <vt:i4>0</vt:i4>
      </vt:variant>
      <vt:variant>
        <vt:i4>5</vt:i4>
      </vt:variant>
      <vt:variant>
        <vt:lpwstr>https://www.consilium.europa.eu/en/meetings/european-council/2022/12/15/</vt:lpwstr>
      </vt:variant>
      <vt:variant>
        <vt:lpwstr/>
      </vt:variant>
      <vt:variant>
        <vt:i4>6750296</vt:i4>
      </vt:variant>
      <vt:variant>
        <vt:i4>18</vt:i4>
      </vt:variant>
      <vt:variant>
        <vt:i4>0</vt:i4>
      </vt:variant>
      <vt:variant>
        <vt:i4>5</vt:i4>
      </vt:variant>
      <vt:variant>
        <vt:lpwstr>https://single-market-economy.ec.europa.eu/publications/single-market-30_en</vt:lpwstr>
      </vt:variant>
      <vt:variant>
        <vt:lpwstr/>
      </vt:variant>
      <vt:variant>
        <vt:i4>7077925</vt:i4>
      </vt:variant>
      <vt:variant>
        <vt:i4>15</vt:i4>
      </vt:variant>
      <vt:variant>
        <vt:i4>0</vt:i4>
      </vt:variant>
      <vt:variant>
        <vt:i4>5</vt:i4>
      </vt:variant>
      <vt:variant>
        <vt:lpwstr>https://antwerp-declaration.eu/</vt:lpwstr>
      </vt:variant>
      <vt:variant>
        <vt:lpwstr/>
      </vt:variant>
      <vt:variant>
        <vt:i4>4325401</vt:i4>
      </vt:variant>
      <vt:variant>
        <vt:i4>12</vt:i4>
      </vt:variant>
      <vt:variant>
        <vt:i4>0</vt:i4>
      </vt:variant>
      <vt:variant>
        <vt:i4>5</vt:i4>
      </vt:variant>
      <vt:variant>
        <vt:lpwstr>https://commission.europa.eu/document/download/5bb2881f-9e29-42f2-8b77-8739b19d047c_en?filename=2024_Niinisto-report_Book_VF.pdf</vt:lpwstr>
      </vt:variant>
      <vt:variant>
        <vt:lpwstr/>
      </vt:variant>
      <vt:variant>
        <vt:i4>4653108</vt:i4>
      </vt:variant>
      <vt:variant>
        <vt:i4>9</vt:i4>
      </vt:variant>
      <vt:variant>
        <vt:i4>0</vt:i4>
      </vt:variant>
      <vt:variant>
        <vt:i4>5</vt:i4>
      </vt:variant>
      <vt:variant>
        <vt:lpwstr>https://commission.europa.eu/topics/strengthening-european-competitiveness/eu-competitiveness-looking-ahead_en</vt:lpwstr>
      </vt:variant>
      <vt:variant>
        <vt:lpwstr/>
      </vt:variant>
      <vt:variant>
        <vt:i4>6225928</vt:i4>
      </vt:variant>
      <vt:variant>
        <vt:i4>6</vt:i4>
      </vt:variant>
      <vt:variant>
        <vt:i4>0</vt:i4>
      </vt:variant>
      <vt:variant>
        <vt:i4>5</vt:i4>
      </vt:variant>
      <vt:variant>
        <vt:lpwstr>https://www.consilium.europa.eu/media/ny3j24sm/much-more-than-a-market-report-by-enrico-letta.pdf</vt:lpwstr>
      </vt:variant>
      <vt:variant>
        <vt:lpwstr/>
      </vt:variant>
      <vt:variant>
        <vt:i4>4653108</vt:i4>
      </vt:variant>
      <vt:variant>
        <vt:i4>3</vt:i4>
      </vt:variant>
      <vt:variant>
        <vt:i4>0</vt:i4>
      </vt:variant>
      <vt:variant>
        <vt:i4>5</vt:i4>
      </vt:variant>
      <vt:variant>
        <vt:lpwstr>https://commission.europa.eu/topics/strengthening-european-competitiveness/eu-competitiveness-looking-ahead_en</vt:lpwstr>
      </vt:variant>
      <vt:variant>
        <vt:lpwstr/>
      </vt:variant>
      <vt:variant>
        <vt:i4>4653108</vt:i4>
      </vt:variant>
      <vt:variant>
        <vt:i4>0</vt:i4>
      </vt:variant>
      <vt:variant>
        <vt:i4>0</vt:i4>
      </vt:variant>
      <vt:variant>
        <vt:i4>5</vt:i4>
      </vt:variant>
      <vt:variant>
        <vt:lpwstr>https://commission.europa.eu/topics/strengthening-european-competitiveness/eu-competitiveness-looking-ahead_en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cp:revision>
  <cp:lastPrinted>2025-01-07T22:59:00Z</cp:lastPrinted>
  <dcterms:created xsi:type="dcterms:W3CDTF">2025-02-03T13:33:00Z</dcterms:created>
  <dcterms:modified xsi:type="dcterms:W3CDTF">2025-02-06T09:50:00Z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2024-02-09T10:42:15Z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14a0fbfb-a8e4-4ee1-8cad-75569007197f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Last edited using">
    <vt:lpwstr>LW 9.1, Build 20240808</vt:lpwstr>
  </property>
  <property fmtid="{D5CDD505-2E9C-101B-9397-08002B2CF9AE}" pid="14" name="Created using">
    <vt:lpwstr>LW 9.0, Build 20230317</vt:lpwstr>
  </property>
  <property fmtid="{D5CDD505-2E9C-101B-9397-08002B2CF9AE}" pid="15" name="ContentTypeId">
    <vt:lpwstr>0x010100CF190C3C4CBCD34A84FC9B4F2F7A4A9F</vt:lpwstr>
  </property>
  <property fmtid="{D5CDD505-2E9C-101B-9397-08002B2CF9AE}" pid="16" name="DocStatus">
    <vt:lpwstr>Green</vt:lpwstr>
  </property>
  <property name="OP_sanitized" fmtid="{D5CDD505-2E9C-101B-9397-08002B2CF9AE}" pid="17">
    <vt:lpwstr>True</vt:lpwstr>
  </property>
</Properties>
</file>