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4AC7F" w14:textId="69A78593" w:rsidR="00B54742" w:rsidRPr="00A56B91" w:rsidRDefault="00E41C79" w:rsidP="00E41C79">
      <w:pPr>
        <w:pStyle w:val="Pagedecouverture"/>
        <w:rPr>
          <w:noProof/>
          <w:lang w:val="en-IE"/>
        </w:rPr>
      </w:pPr>
      <w:bookmarkStart w:id="0" w:name="LW_BM_COVERPAGE"/>
      <w:r>
        <w:rPr>
          <w:noProof/>
          <w:lang w:val="en-IE"/>
        </w:rPr>
        <w:pict w14:anchorId="6B6AFE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2FD198D6-49C4-461A-B334-67B2BBCB6486" style="width:455.25pt;height:324pt">
            <v:imagedata r:id="rId11" o:title=""/>
          </v:shape>
        </w:pict>
      </w:r>
    </w:p>
    <w:bookmarkEnd w:id="0"/>
    <w:p w14:paraId="23759573" w14:textId="77777777" w:rsidR="00B54742" w:rsidRPr="00A56B91" w:rsidRDefault="00B54742" w:rsidP="00D8269C">
      <w:pPr>
        <w:spacing w:after="240" w:line="240" w:lineRule="auto"/>
        <w:rPr>
          <w:rFonts w:ascii="Times New Roman" w:hAnsi="Times New Roman" w:cs="Times New Roman"/>
          <w:noProof/>
          <w:sz w:val="24"/>
          <w:lang w:val="en-IE"/>
        </w:rPr>
        <w:sectPr w:rsidR="00B54742" w:rsidRPr="00A56B91" w:rsidSect="00E41C79">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280C7516" w14:textId="77777777" w:rsidR="001549C4" w:rsidRPr="00C67017" w:rsidRDefault="001549C4" w:rsidP="001549C4">
      <w:pPr>
        <w:pStyle w:val="Heading1"/>
      </w:pPr>
      <w:bookmarkStart w:id="1" w:name="_GoBack"/>
      <w:bookmarkEnd w:id="1"/>
      <w:r>
        <w:lastRenderedPageBreak/>
        <w:t>INTRODUCTION</w:t>
      </w:r>
    </w:p>
    <w:p w14:paraId="00F48677"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 xml:space="preserve">Dans toute l’Europe, les citoyens vivent plus longtemps et en meilleure santé. </w:t>
      </w:r>
      <w:r w:rsidRPr="001549C4">
        <w:rPr>
          <w:rFonts w:ascii="Times New Roman" w:hAnsi="Times New Roman"/>
          <w:noProof/>
          <w:sz w:val="24"/>
          <w:lang w:val="fr-BE"/>
        </w:rPr>
        <w:t>L’espérance de vie augmente grâce aux importants progrès sociaux et économiques enregistrés en Europe au cours des dernières décennies, notamment en ce qui concerne le niveau de vie, l’accès à l’éducation et à la formation, ainsi que les soins de santé et la médecine. À mesure que l’espérance de vie augmente, l’Europe doit mettre en place une «société de la longévité» qui valorise l’allongement de la durée de vie des personnes âgées, donne des moyens d’agir aux citoyens âgés et favorise la prospérité et le bien</w:t>
      </w:r>
      <w:r w:rsidRPr="001549C4">
        <w:rPr>
          <w:rFonts w:ascii="Times New Roman" w:hAnsi="Times New Roman"/>
          <w:noProof/>
          <w:sz w:val="24"/>
          <w:lang w:val="fr-BE"/>
        </w:rPr>
        <w:noBreakHyphen/>
        <w:t>être des générations actuelles et futures.</w:t>
      </w:r>
    </w:p>
    <w:p w14:paraId="3FD742EB"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Toutefois, l’évolution démographique a une incidence directe sur le capital humain de l’UE et sur sa compétitivité.</w:t>
      </w:r>
      <w:r w:rsidRPr="001549C4">
        <w:rPr>
          <w:rFonts w:ascii="Times New Roman" w:hAnsi="Times New Roman"/>
          <w:noProof/>
          <w:sz w:val="24"/>
          <w:lang w:val="fr-BE"/>
        </w:rPr>
        <w:t xml:space="preserve"> Le vieillissement de la population et la diminution de la population en âge de travailler vont sans doute exacerber les pénuries de main</w:t>
      </w:r>
      <w:r w:rsidRPr="001549C4">
        <w:rPr>
          <w:rFonts w:ascii="Times New Roman" w:hAnsi="Times New Roman"/>
          <w:noProof/>
          <w:sz w:val="24"/>
          <w:lang w:val="fr-BE"/>
        </w:rPr>
        <w:noBreakHyphen/>
        <w:t xml:space="preserve">d’œuvre et accroître la pression sur les budgets publics. Le vieillissement de la population devrait également avoir une incidence profonde sur les investissements, la productivité et l’activité entrepreneuriale. En outre, certains États membres ou régions étant plus touchés que d’autres, l’évolution démographique affecte la cohésion sociale, territoriale et intergénérationnelle de nos sociétés démocratiques. </w:t>
      </w:r>
    </w:p>
    <w:p w14:paraId="402F1A59"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Dans ses conclusions de juin 2023, le Conseil européen a appelé de ses vœux la création d’une boîte à outils pour faire face aux défis démographiques, et notamment à leur incidence sur l’avantage concurrentiel de l’Europe.</w:t>
      </w:r>
      <w:r w:rsidRPr="001549C4">
        <w:rPr>
          <w:rFonts w:ascii="Times New Roman" w:hAnsi="Times New Roman"/>
          <w:noProof/>
          <w:sz w:val="24"/>
          <w:lang w:val="fr-BE"/>
        </w:rPr>
        <w:t xml:space="preserve"> Les citoyens attendent que l’UE et leurs gouvernements nationaux agissent conjointement pour gérer l’évolution démographique et ses conséquences. Il est important que leurs mesures politiques en la matière soient guidées par les principes d’égalité entre les hommes et les femmes et d’équité intergénérationnelle</w:t>
      </w:r>
      <w:r>
        <w:rPr>
          <w:rStyle w:val="FootnoteReference"/>
          <w:rFonts w:ascii="Times New Roman" w:hAnsi="Times New Roman" w:cs="Times New Roman"/>
          <w:noProof/>
          <w:sz w:val="24"/>
          <w:lang w:val="en-IE"/>
        </w:rPr>
        <w:footnoteReference w:id="2"/>
      </w:r>
      <w:r w:rsidRPr="001549C4">
        <w:rPr>
          <w:rFonts w:ascii="Times New Roman" w:hAnsi="Times New Roman"/>
          <w:noProof/>
          <w:sz w:val="24"/>
          <w:lang w:val="fr-BE"/>
        </w:rPr>
        <w:t>, qu’elles soient fondées sur des réalités locales qui tiennent compte des régions rurales et reculées, et qu’elles s’inscrivent dans d’autres grandes tendances mondiales telles que la double transition écologique et numérique. L’ampleur de la tâche nécessite une approche pangouvernementale coordonnée qui associe tous les acteurs de l’économie et de la société, de manière démocratique et inclusive. Les tendances démographiques pourront alors être gérées de manière à renforcer la résilience de l’Europe dans son ensemble, conformément aux attentes exprimées par les citoyens de l’UE dans le contexte de la conférence sur l’avenir de l’Europe</w:t>
      </w:r>
      <w:r>
        <w:rPr>
          <w:rStyle w:val="FootnoteReference"/>
          <w:rFonts w:ascii="Times New Roman" w:hAnsi="Times New Roman" w:cs="Times New Roman"/>
          <w:noProof/>
          <w:sz w:val="24"/>
          <w:lang w:val="en-IE"/>
        </w:rPr>
        <w:footnoteReference w:id="3"/>
      </w:r>
      <w:r w:rsidRPr="001549C4">
        <w:rPr>
          <w:rFonts w:ascii="Times New Roman" w:hAnsi="Times New Roman"/>
          <w:noProof/>
          <w:sz w:val="24"/>
          <w:lang w:val="fr-BE"/>
        </w:rPr>
        <w:t>.</w:t>
      </w:r>
    </w:p>
    <w:p w14:paraId="6A1299A1"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 xml:space="preserve">L’évolution démographique est principalement déterminée par les choix de vie des individus et des familles. </w:t>
      </w:r>
      <w:r w:rsidRPr="001549C4">
        <w:rPr>
          <w:rFonts w:ascii="Times New Roman" w:hAnsi="Times New Roman"/>
          <w:noProof/>
          <w:sz w:val="24"/>
          <w:lang w:val="fr-BE"/>
        </w:rPr>
        <w:t>Toutefois, les politiques européennes et nationales devraient contribuer à faire en sorte que les citoyens européens puissent concrétiser leurs aspirations. À cette fin, il convient d’adapter les politiques et les aides publiques au niveau pertinent pour:</w:t>
      </w:r>
    </w:p>
    <w:p w14:paraId="669C9266" w14:textId="77777777" w:rsidR="001549C4" w:rsidRPr="001549C4" w:rsidRDefault="001549C4" w:rsidP="001549C4">
      <w:pPr>
        <w:pStyle w:val="ListParagraph"/>
        <w:rPr>
          <w:noProof/>
          <w:lang w:val="fr-BE"/>
        </w:rPr>
      </w:pPr>
      <w:r w:rsidRPr="001549C4">
        <w:rPr>
          <w:noProof/>
          <w:lang w:val="fr-BE"/>
        </w:rPr>
        <w:t xml:space="preserve">mieux concilier </w:t>
      </w:r>
      <w:r w:rsidRPr="001549C4">
        <w:rPr>
          <w:b/>
          <w:noProof/>
          <w:lang w:val="fr-BE"/>
        </w:rPr>
        <w:t>vie de famille et travail rémunéré</w:t>
      </w:r>
      <w:r w:rsidRPr="001549C4">
        <w:rPr>
          <w:noProof/>
          <w:lang w:val="fr-BE"/>
        </w:rPr>
        <w:t xml:space="preserve">, en garantissant notamment l’accès à des services de garde d’enfants de qualité ainsi qu’un bon équilibre entre vie professionnelle et vie privée, en vue de favoriser l’égalité entre les hommes et les femmes; </w:t>
      </w:r>
    </w:p>
    <w:p w14:paraId="1FA935E3" w14:textId="77777777" w:rsidR="001549C4" w:rsidRPr="001549C4" w:rsidRDefault="001549C4" w:rsidP="001549C4">
      <w:pPr>
        <w:pStyle w:val="ListParagraph"/>
        <w:rPr>
          <w:noProof/>
          <w:lang w:val="fr-BE"/>
        </w:rPr>
      </w:pPr>
      <w:r w:rsidRPr="001549C4">
        <w:rPr>
          <w:noProof/>
          <w:lang w:val="fr-BE"/>
        </w:rPr>
        <w:t xml:space="preserve">soutenir </w:t>
      </w:r>
      <w:r w:rsidRPr="001549C4">
        <w:rPr>
          <w:b/>
          <w:noProof/>
          <w:lang w:val="fr-BE"/>
        </w:rPr>
        <w:t>les jeunes générations</w:t>
      </w:r>
      <w:r w:rsidRPr="001549C4">
        <w:rPr>
          <w:noProof/>
          <w:lang w:val="fr-BE"/>
        </w:rPr>
        <w:t xml:space="preserve"> et leur donner les moyens de prospérer et de développer leurs compétences, et leur faciliter l’accès au marché du travail et à un logement abordable; </w:t>
      </w:r>
    </w:p>
    <w:p w14:paraId="39850F58" w14:textId="77777777" w:rsidR="001549C4" w:rsidRPr="001549C4" w:rsidRDefault="001549C4" w:rsidP="001549C4">
      <w:pPr>
        <w:pStyle w:val="ListParagraph"/>
        <w:rPr>
          <w:noProof/>
          <w:lang w:val="fr-BE"/>
        </w:rPr>
      </w:pPr>
      <w:r w:rsidRPr="001549C4">
        <w:rPr>
          <w:noProof/>
          <w:lang w:val="fr-BE"/>
        </w:rPr>
        <w:t xml:space="preserve">donner </w:t>
      </w:r>
      <w:r w:rsidRPr="001549C4">
        <w:rPr>
          <w:b/>
          <w:noProof/>
          <w:lang w:val="fr-BE"/>
        </w:rPr>
        <w:t>aux générations plus âgées</w:t>
      </w:r>
      <w:r w:rsidRPr="001549C4">
        <w:rPr>
          <w:noProof/>
          <w:lang w:val="fr-BE"/>
        </w:rPr>
        <w:t xml:space="preserve"> les moyens d’agir et préserver leur prospérité, en menant des réformes combinées à des politiques appropriées concernant le marché de l’emploi et les lieux de travail; </w:t>
      </w:r>
    </w:p>
    <w:p w14:paraId="40AA808E" w14:textId="77777777" w:rsidR="001549C4" w:rsidRPr="001549C4" w:rsidRDefault="001549C4" w:rsidP="001549C4">
      <w:pPr>
        <w:pStyle w:val="ListParagraph"/>
        <w:rPr>
          <w:noProof/>
          <w:lang w:val="fr-BE"/>
        </w:rPr>
      </w:pPr>
      <w:r w:rsidRPr="001549C4">
        <w:rPr>
          <w:noProof/>
          <w:lang w:val="fr-BE"/>
        </w:rPr>
        <w:t xml:space="preserve">s’il y a lieu, remédier aux pénuries de main-d’œuvre grâce à une </w:t>
      </w:r>
      <w:r w:rsidRPr="001549C4">
        <w:rPr>
          <w:b/>
          <w:noProof/>
          <w:lang w:val="fr-BE"/>
        </w:rPr>
        <w:t>migration légale gérée</w:t>
      </w:r>
      <w:r w:rsidRPr="001549C4">
        <w:rPr>
          <w:noProof/>
          <w:lang w:val="fr-BE"/>
        </w:rPr>
        <w:t xml:space="preserve">, en pleine complémentarité avec la mise à profit des talents de l’UE. </w:t>
      </w:r>
    </w:p>
    <w:p w14:paraId="68129C67"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noProof/>
          <w:sz w:val="24"/>
          <w:lang w:val="fr-BE"/>
        </w:rPr>
        <w:t xml:space="preserve">Les outils de l’UE (instruments réglementaires, cadres d’action et financements) devraient être efficacement combinés avec les politiques nationales et régionales afin de soutenir toutes les générations et de leur donner les moyens d’agir, de concrétiser leurs choix de vie et de réaliser leur potentiel dans l’économie et la société au sens large. </w:t>
      </w:r>
    </w:p>
    <w:p w14:paraId="2D070CF0" w14:textId="77777777" w:rsidR="001549C4" w:rsidRPr="001549C4" w:rsidRDefault="001549C4" w:rsidP="001549C4">
      <w:pPr>
        <w:pStyle w:val="Heading1"/>
        <w:rPr>
          <w:lang w:val="fr-BE"/>
        </w:rPr>
      </w:pPr>
      <w:r w:rsidRPr="001549C4">
        <w:rPr>
          <w:lang w:val="fr-BE"/>
        </w:rPr>
        <w:t xml:space="preserve">L’ÉVOLUTION DÉMOGRAPHIQUE EST EN TRAIN DE REMODELER NOS ÉCONOMIES ET NOS SOCIÉTÉS </w:t>
      </w:r>
    </w:p>
    <w:p w14:paraId="02880DC9"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Au cours des prochaines années, la réduction et le vieillissement continu de la population européenne risquent d’avoir une incidence négative sur la compétitivité à long terme de l’UE.</w:t>
      </w:r>
      <w:r w:rsidRPr="001549C4">
        <w:rPr>
          <w:rFonts w:ascii="Times New Roman" w:hAnsi="Times New Roman"/>
          <w:noProof/>
          <w:sz w:val="24"/>
          <w:lang w:val="fr-BE"/>
        </w:rPr>
        <w:t xml:space="preserve"> Au niveau mondial, la population devrait continuer à augmenter tout au long du 21</w:t>
      </w:r>
      <w:r w:rsidRPr="001549C4">
        <w:rPr>
          <w:rFonts w:ascii="Times New Roman" w:hAnsi="Times New Roman"/>
          <w:noProof/>
          <w:sz w:val="24"/>
          <w:vertAlign w:val="superscript"/>
          <w:lang w:val="fr-BE"/>
        </w:rPr>
        <w:t>e</w:t>
      </w:r>
      <w:r w:rsidRPr="001549C4">
        <w:rPr>
          <w:rFonts w:ascii="Times New Roman" w:hAnsi="Times New Roman"/>
          <w:noProof/>
          <w:sz w:val="24"/>
          <w:lang w:val="fr-BE"/>
        </w:rPr>
        <w:t> siècle et le vieillissement sera une tendance démographique de plus en plus marquée à l’échelle de la planète</w:t>
      </w:r>
      <w:r>
        <w:rPr>
          <w:rStyle w:val="FootnoteReference"/>
          <w:rFonts w:ascii="Times New Roman" w:hAnsi="Times New Roman" w:cs="Times New Roman"/>
          <w:noProof/>
          <w:sz w:val="24"/>
        </w:rPr>
        <w:footnoteReference w:id="4"/>
      </w:r>
      <w:r w:rsidRPr="001549C4">
        <w:rPr>
          <w:rFonts w:ascii="Times New Roman" w:hAnsi="Times New Roman"/>
          <w:noProof/>
          <w:sz w:val="24"/>
          <w:lang w:val="fr-BE"/>
        </w:rPr>
        <w:t xml:space="preserve">. L’orientation et le rythme de l’évolution démographique varient d’un pays à l’autre et une grande partie de la croissance démographique mondiale devrait avoir lieu dans les pays à faible revenu. Au sein de l’UE, en raison du vieillissement de la population et de la baisse des taux de natalité, la population culminera vers 2026 puis diminuera progressivement au cours des décennies suivantes. </w:t>
      </w:r>
      <w:bookmarkStart w:id="2" w:name="_Hlk147516040"/>
      <w:r w:rsidRPr="001549C4">
        <w:rPr>
          <w:rFonts w:ascii="Times New Roman" w:hAnsi="Times New Roman"/>
          <w:noProof/>
          <w:sz w:val="24"/>
          <w:lang w:val="fr-BE"/>
        </w:rPr>
        <w:t>La population de l’UE en âge de travailler devrait diminuer (de 57,4 millions d’habitants d’ici à 2100) et le taux de dépendance des personnes âgées devrait augmenter (et passer de 33 % à 60 % d’ici à 2100)</w:t>
      </w:r>
      <w:r>
        <w:rPr>
          <w:rStyle w:val="FootnoteReference"/>
          <w:rFonts w:ascii="Times New Roman" w:hAnsi="Times New Roman" w:cs="Times New Roman"/>
          <w:noProof/>
          <w:sz w:val="24"/>
        </w:rPr>
        <w:footnoteReference w:id="5"/>
      </w:r>
      <w:r w:rsidRPr="001549C4">
        <w:rPr>
          <w:rFonts w:ascii="Times New Roman" w:hAnsi="Times New Roman"/>
          <w:noProof/>
          <w:sz w:val="24"/>
          <w:lang w:val="fr-BE"/>
        </w:rPr>
        <w:t xml:space="preserve">. </w:t>
      </w:r>
      <w:bookmarkEnd w:id="2"/>
      <w:r w:rsidRPr="001549C4">
        <w:rPr>
          <w:rFonts w:ascii="Times New Roman" w:hAnsi="Times New Roman"/>
          <w:noProof/>
          <w:sz w:val="24"/>
          <w:lang w:val="fr-BE"/>
        </w:rPr>
        <w:t>Conformément à ces tendances, la part de l’UE dans la population mondiale continuera de baisser (de 6 % aujourd’hui à moins de 4 % en 2070</w:t>
      </w:r>
      <w:r>
        <w:rPr>
          <w:rStyle w:val="FootnoteReference"/>
          <w:rFonts w:ascii="Times New Roman" w:hAnsi="Times New Roman" w:cs="Times New Roman"/>
          <w:noProof/>
          <w:sz w:val="24"/>
        </w:rPr>
        <w:footnoteReference w:id="6"/>
      </w:r>
      <w:r w:rsidRPr="001549C4">
        <w:rPr>
          <w:rFonts w:ascii="Times New Roman" w:hAnsi="Times New Roman"/>
          <w:noProof/>
          <w:sz w:val="24"/>
          <w:lang w:val="fr-BE"/>
        </w:rPr>
        <w:t xml:space="preserve">), ce qui pourrait réduire le poids relatif du marché unique dans l’économie mondiale et diminuer l’influence géopolitique de l’UE. </w:t>
      </w:r>
    </w:p>
    <w:p w14:paraId="38858D25" w14:textId="77777777" w:rsidR="001549C4" w:rsidRPr="001549C4" w:rsidRDefault="001549C4" w:rsidP="001549C4">
      <w:pPr>
        <w:pStyle w:val="Subtitle"/>
        <w:rPr>
          <w:rFonts w:ascii="Times New Roman" w:hAnsi="Times New Roman"/>
          <w:noProof/>
          <w:sz w:val="24"/>
          <w:szCs w:val="24"/>
          <w:lang w:val="fr-BE"/>
        </w:rPr>
      </w:pPr>
      <w:r w:rsidRPr="001549C4">
        <w:rPr>
          <w:rFonts w:ascii="Times New Roman" w:hAnsi="Times New Roman"/>
          <w:noProof/>
          <w:sz w:val="24"/>
          <w:lang w:val="fr-BE"/>
        </w:rPr>
        <w:t>Parts estimées et prévues de la population mondiale PAR CONTINENT, 1960-2100 (en %)</w:t>
      </w:r>
    </w:p>
    <w:p w14:paraId="768495F6" w14:textId="4996776F" w:rsidR="001549C4" w:rsidRPr="001549C4" w:rsidRDefault="00767368" w:rsidP="001549C4">
      <w:pPr>
        <w:jc w:val="center"/>
        <w:rPr>
          <w:rFonts w:ascii="Times New Roman" w:hAnsi="Times New Roman" w:cs="Times New Roman"/>
          <w:i/>
          <w:noProof/>
          <w:sz w:val="24"/>
          <w:lang w:val="fr-BE"/>
        </w:rPr>
      </w:pPr>
      <w:r w:rsidRPr="00767368">
        <w:rPr>
          <w:noProof/>
          <w:lang w:val="en-GB" w:eastAsia="en-GB"/>
        </w:rPr>
        <w:drawing>
          <wp:inline distT="0" distB="0" distL="0" distR="0" wp14:anchorId="2C70AA34" wp14:editId="7D69F2C3">
            <wp:extent cx="5943600" cy="285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854960"/>
                    </a:xfrm>
                    <a:prstGeom prst="rect">
                      <a:avLst/>
                    </a:prstGeom>
                  </pic:spPr>
                </pic:pic>
              </a:graphicData>
            </a:graphic>
          </wp:inline>
        </w:drawing>
      </w:r>
      <w:r w:rsidR="001549C4" w:rsidRPr="001549C4">
        <w:rPr>
          <w:rFonts w:ascii="Times New Roman" w:hAnsi="Times New Roman"/>
          <w:i/>
          <w:noProof/>
          <w:sz w:val="24"/>
          <w:lang w:val="fr-BE"/>
        </w:rPr>
        <w:t xml:space="preserve"> </w:t>
      </w:r>
    </w:p>
    <w:p w14:paraId="577A072F" w14:textId="77777777" w:rsidR="001549C4" w:rsidRPr="001549C4" w:rsidRDefault="001549C4" w:rsidP="001549C4">
      <w:pPr>
        <w:pStyle w:val="pf0"/>
        <w:spacing w:after="160" w:afterAutospacing="0" w:line="259" w:lineRule="auto"/>
        <w:rPr>
          <w:noProof/>
          <w:sz w:val="24"/>
          <w:lang w:val="fr-BE"/>
        </w:rPr>
      </w:pPr>
      <w:r w:rsidRPr="001549C4">
        <w:rPr>
          <w:b/>
          <w:noProof/>
          <w:sz w:val="24"/>
          <w:lang w:val="fr-BE"/>
        </w:rPr>
        <w:t>Si rien n’est fait, l’évolution démographique risque d’exacerber encore davantage les pénuries de main</w:t>
      </w:r>
      <w:r w:rsidRPr="001549C4">
        <w:rPr>
          <w:b/>
          <w:noProof/>
          <w:sz w:val="24"/>
          <w:lang w:val="fr-BE"/>
        </w:rPr>
        <w:noBreakHyphen/>
        <w:t>d’œuvre et de créer des goulets d’étranglement dans l’économie.</w:t>
      </w:r>
      <w:r w:rsidRPr="001549C4">
        <w:rPr>
          <w:noProof/>
          <w:sz w:val="24"/>
          <w:lang w:val="fr-BE"/>
        </w:rPr>
        <w:t xml:space="preserve"> Les pénuries de main</w:t>
      </w:r>
      <w:r w:rsidRPr="001549C4">
        <w:rPr>
          <w:noProof/>
          <w:sz w:val="24"/>
          <w:lang w:val="fr-BE"/>
        </w:rPr>
        <w:noBreakHyphen/>
        <w:t>d’œuvre dans l’UE atteignent d’ores et déjà des niveaux records, notamment en raison de la diminution de la population en âge de travailler. La demande de professionnels dans les domaines des STIM (sciences, technologies, ingénierie et mathématiques), des TIC (technologies de l’information et de la communication), de la construction, des soins et des transports (notamment les conducteurs de camions et d’autocars) est particulièrement forte dans plusieurs États membres et dans certaines régions</w:t>
      </w:r>
      <w:r>
        <w:rPr>
          <w:rStyle w:val="FootnoteReference"/>
          <w:bCs/>
          <w:noProof/>
          <w:sz w:val="24"/>
        </w:rPr>
        <w:footnoteReference w:id="7"/>
      </w:r>
      <w:r w:rsidRPr="001549C4">
        <w:rPr>
          <w:noProof/>
          <w:sz w:val="24"/>
          <w:lang w:val="fr-BE"/>
        </w:rPr>
        <w:t>. Si les tendances ne s’inversent pas, les pénuries de main</w:t>
      </w:r>
      <w:r w:rsidRPr="001549C4">
        <w:rPr>
          <w:noProof/>
          <w:sz w:val="24"/>
          <w:lang w:val="fr-BE"/>
        </w:rPr>
        <w:noBreakHyphen/>
        <w:t>d’œuvre dans les métiers hautement qualifiés comme dans les métiers peu qualifiés devraient augmenter considérablement à mesure que les «babyboomers» (nés entre le milieu des années 1940 et le milieu des années 1960) partiront à la retraite, jusqu’au milieu des années 2030. Les mesures d’activation de l’emploi et l’augmentation des salaires dans les professions particulièrement touchées peuvent certes atténuer les pénuries de main</w:t>
      </w:r>
      <w:r w:rsidRPr="001549C4">
        <w:rPr>
          <w:noProof/>
          <w:sz w:val="24"/>
          <w:lang w:val="fr-BE"/>
        </w:rPr>
        <w:noBreakHyphen/>
        <w:t>d’œuvre. Toutefois, si elle n’est pas soutenue par des augmentations de la productivité, la hausse des coûts de la main</w:t>
      </w:r>
      <w:r w:rsidRPr="001549C4">
        <w:rPr>
          <w:noProof/>
          <w:sz w:val="24"/>
          <w:lang w:val="fr-BE"/>
        </w:rPr>
        <w:noBreakHyphen/>
        <w:t xml:space="preserve">d’œuvre peut également avoir une incidence sur la compétitivité des entreprises de l’UE par rapport à leurs concurrents dans d’autres grandes économies. </w:t>
      </w:r>
    </w:p>
    <w:p w14:paraId="7F7289FC" w14:textId="77777777" w:rsidR="001549C4" w:rsidRPr="001549C4" w:rsidRDefault="001549C4" w:rsidP="001549C4">
      <w:pPr>
        <w:rPr>
          <w:rFonts w:ascii="Times New Roman" w:hAnsi="Times New Roman" w:cs="Times New Roman"/>
          <w:b/>
          <w:noProof/>
          <w:sz w:val="24"/>
          <w:lang w:val="fr-BE"/>
        </w:rPr>
      </w:pPr>
      <w:r w:rsidRPr="001549C4">
        <w:rPr>
          <w:rFonts w:ascii="Times New Roman" w:hAnsi="Times New Roman"/>
          <w:b/>
          <w:noProof/>
          <w:sz w:val="24"/>
          <w:lang w:val="fr-BE"/>
        </w:rPr>
        <w:t xml:space="preserve">L’évolution démographique peut créer de nouvelles possibilités dans différents secteurs, mais elle accroît également certains risques de dépendances stratégiques. </w:t>
      </w:r>
      <w:r w:rsidRPr="001549C4">
        <w:rPr>
          <w:rFonts w:ascii="Times New Roman" w:hAnsi="Times New Roman"/>
          <w:noProof/>
          <w:sz w:val="24"/>
          <w:lang w:val="fr-BE"/>
        </w:rPr>
        <w:t>Le vieillissement de la population européenne porte le potentiel de l’«économie des seniors» à 28,1 % du PIB de l’UE en 2025</w:t>
      </w:r>
      <w:r>
        <w:rPr>
          <w:rStyle w:val="FootnoteReference"/>
          <w:rFonts w:ascii="Times New Roman" w:hAnsi="Times New Roman" w:cs="Times New Roman"/>
          <w:noProof/>
          <w:sz w:val="24"/>
          <w:lang w:val="en-GB"/>
        </w:rPr>
        <w:footnoteReference w:id="8"/>
      </w:r>
      <w:r w:rsidRPr="001549C4">
        <w:rPr>
          <w:rFonts w:ascii="Times New Roman" w:hAnsi="Times New Roman"/>
          <w:noProof/>
          <w:sz w:val="24"/>
          <w:lang w:val="fr-BE"/>
        </w:rPr>
        <w:t>. Dans une «société de la longévité», des possibilités apparaissent dans divers secteurs et domaines tels que la technologie, la santé et les soins, la médecine, la nutrition et le bien</w:t>
      </w:r>
      <w:r w:rsidRPr="001549C4">
        <w:rPr>
          <w:rFonts w:ascii="Times New Roman" w:hAnsi="Times New Roman"/>
          <w:noProof/>
          <w:sz w:val="24"/>
          <w:lang w:val="fr-BE"/>
        </w:rPr>
        <w:noBreakHyphen/>
        <w:t>être, l’éducation et l’apprentissage tout au long de la vie, les transports et les services financiers, ainsi que l’économie sociale. Les changements démographiques ont également des effets sur l’accès à certains médicaments critiques, car ils augmentent la demande de médicaments destinés aux maladies liées à l’âge et aux soins gériatriques, et influencent dès lors les priorités du secteur pharmaceutique en matière de R&amp;D. En outre, les pénuries de main</w:t>
      </w:r>
      <w:r w:rsidRPr="001549C4">
        <w:rPr>
          <w:rFonts w:ascii="Times New Roman" w:hAnsi="Times New Roman"/>
          <w:noProof/>
          <w:sz w:val="24"/>
          <w:lang w:val="fr-BE"/>
        </w:rPr>
        <w:noBreakHyphen/>
        <w:t>d’œuvre peuvent mettre un frein aux ambitions d’augmenter la production locale.</w:t>
      </w:r>
      <w:r w:rsidRPr="001549C4">
        <w:rPr>
          <w:rFonts w:ascii="Times New Roman" w:hAnsi="Times New Roman"/>
          <w:b/>
          <w:noProof/>
          <w:sz w:val="24"/>
          <w:lang w:val="fr-BE"/>
        </w:rPr>
        <w:t xml:space="preserve"> </w:t>
      </w:r>
    </w:p>
    <w:p w14:paraId="682488AC"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L’évolution démographique aggrave le problème de productivité.</w:t>
      </w:r>
      <w:r w:rsidRPr="001549C4">
        <w:rPr>
          <w:rFonts w:ascii="Times New Roman" w:hAnsi="Times New Roman"/>
          <w:noProof/>
          <w:sz w:val="24"/>
          <w:lang w:val="fr-BE"/>
        </w:rPr>
        <w:t xml:space="preserve"> L’augmentation de la productivité, due en partie à l’innovation et à l’automatisation (l’utilisation de la robotique ou de l’intelligence artificielle, par exemple), ainsi que l’accumulation de salaires liée à ces évolutions peuvent offrir un «dividende de longévité» qui contribue à contrebalancer le déclin de la population en âge de travailler. Toutefois, l’augmentation continue de la productivité peut se révéler délicate, en particulier parce que les taux d’épargne inférieurs des générations plus âgées orientent les ressources vers la consommation plutôt que vers les investissements productifs. Les travailleurs âgés sont également plus susceptibles de devoir mettre à jour leurs compétences. En outre, le vieillissement de la population entraîne une réduction de l’activité entrepreneuriale, étant donné que les cohortes d’âge supérieur sont moins susceptibles de créer une nouvelle entreprise et que le transfert intergénérationnel des entreprises devient plus complexe et moins fréquent.</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56"/>
      </w:tblGrid>
      <w:tr w:rsidR="001549C4" w:rsidRPr="001549C4" w14:paraId="1641726B" w14:textId="77777777" w:rsidTr="00317A8D">
        <w:trPr>
          <w:trHeight w:val="416"/>
        </w:trPr>
        <w:tc>
          <w:tcPr>
            <w:tcW w:w="9356" w:type="dxa"/>
            <w:shd w:val="clear" w:color="auto" w:fill="FFF2CC" w:themeFill="accent1" w:themeFillTint="33"/>
          </w:tcPr>
          <w:p w14:paraId="5C9C1FB3" w14:textId="77777777" w:rsidR="001549C4" w:rsidRPr="001549C4" w:rsidRDefault="001549C4" w:rsidP="00317A8D">
            <w:pPr>
              <w:pStyle w:val="Boxtitle"/>
              <w:rPr>
                <w:rFonts w:ascii="Times New Roman" w:hAnsi="Times New Roman"/>
                <w:noProof/>
                <w:lang w:val="fr-BE"/>
              </w:rPr>
            </w:pPr>
            <w:r w:rsidRPr="001549C4">
              <w:rPr>
                <w:rFonts w:ascii="Times New Roman" w:hAnsi="Times New Roman"/>
                <w:noProof/>
                <w:lang w:val="fr-BE"/>
              </w:rPr>
              <w:t>Comment les Européens perçoivent-ils l’évolution démographique et ses conséquences?</w:t>
            </w:r>
          </w:p>
          <w:p w14:paraId="6C790179" w14:textId="77777777" w:rsidR="001549C4" w:rsidRPr="001549C4" w:rsidRDefault="001549C4" w:rsidP="00317A8D">
            <w:pPr>
              <w:pStyle w:val="Boxbody"/>
              <w:rPr>
                <w:rFonts w:ascii="Times New Roman" w:hAnsi="Times New Roman"/>
                <w:noProof/>
                <w:sz w:val="24"/>
                <w:szCs w:val="24"/>
                <w:lang w:val="fr-BE"/>
              </w:rPr>
            </w:pPr>
            <w:r w:rsidRPr="001549C4">
              <w:rPr>
                <w:rFonts w:ascii="Times New Roman" w:hAnsi="Times New Roman"/>
                <w:noProof/>
                <w:sz w:val="24"/>
                <w:lang w:val="fr-BE"/>
              </w:rPr>
              <w:t xml:space="preserve">Selon les nouveaux résultats d’une enquête Eurobaromètre, 7 Européens sur 10 estiment que les tendances démographiques mettent en péril </w:t>
            </w:r>
            <w:r w:rsidRPr="001549C4">
              <w:rPr>
                <w:rFonts w:ascii="Times New Roman" w:hAnsi="Times New Roman"/>
                <w:b/>
                <w:noProof/>
                <w:sz w:val="24"/>
                <w:lang w:val="fr-BE"/>
              </w:rPr>
              <w:t>la prospérité économique et la compétitivité</w:t>
            </w:r>
            <w:r w:rsidRPr="001549C4">
              <w:rPr>
                <w:rFonts w:ascii="Times New Roman" w:hAnsi="Times New Roman"/>
                <w:noProof/>
                <w:sz w:val="24"/>
                <w:lang w:val="fr-BE"/>
              </w:rPr>
              <w:t xml:space="preserve"> à long terme de l’UE. </w:t>
            </w:r>
          </w:p>
          <w:p w14:paraId="793A6AED" w14:textId="2EA97808" w:rsidR="001549C4" w:rsidRPr="00A56B91" w:rsidRDefault="00767368" w:rsidP="00317A8D">
            <w:pPr>
              <w:pStyle w:val="Boxbody"/>
              <w:jc w:val="center"/>
              <w:rPr>
                <w:rFonts w:ascii="Times New Roman" w:hAnsi="Times New Roman"/>
                <w:noProof/>
                <w:sz w:val="24"/>
                <w:szCs w:val="24"/>
              </w:rPr>
            </w:pPr>
            <w:r w:rsidRPr="00767368">
              <w:rPr>
                <w:rFonts w:ascii="Times New Roman" w:hAnsi="Times New Roman"/>
                <w:noProof/>
                <w:sz w:val="24"/>
                <w:szCs w:val="24"/>
                <w:lang w:val="en-GB" w:eastAsia="en-GB"/>
              </w:rPr>
              <w:drawing>
                <wp:inline distT="0" distB="0" distL="0" distR="0" wp14:anchorId="15E5341D" wp14:editId="0A20FD7E">
                  <wp:extent cx="5460365" cy="3597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0365" cy="3597275"/>
                          </a:xfrm>
                          <a:prstGeom prst="rect">
                            <a:avLst/>
                          </a:prstGeom>
                          <a:noFill/>
                          <a:ln>
                            <a:noFill/>
                          </a:ln>
                        </pic:spPr>
                      </pic:pic>
                    </a:graphicData>
                  </a:graphic>
                </wp:inline>
              </w:drawing>
            </w:r>
          </w:p>
          <w:p w14:paraId="5124FC8F" w14:textId="77777777" w:rsidR="001549C4" w:rsidRPr="001549C4" w:rsidRDefault="001549C4" w:rsidP="00317A8D">
            <w:pPr>
              <w:pStyle w:val="Boxbody"/>
              <w:rPr>
                <w:rFonts w:ascii="Times New Roman" w:hAnsi="Times New Roman"/>
                <w:noProof/>
                <w:sz w:val="24"/>
                <w:szCs w:val="24"/>
                <w:lang w:val="fr-BE"/>
              </w:rPr>
            </w:pPr>
            <w:r w:rsidRPr="001549C4">
              <w:rPr>
                <w:rFonts w:ascii="Times New Roman" w:hAnsi="Times New Roman"/>
                <w:noProof/>
                <w:sz w:val="24"/>
                <w:lang w:val="fr-BE"/>
              </w:rPr>
              <w:t xml:space="preserve">La majorité des Européens (51 %) estiment que la gestion de l’évolution démographique devrait </w:t>
            </w:r>
            <w:r w:rsidRPr="001549C4">
              <w:rPr>
                <w:rFonts w:ascii="Times New Roman" w:hAnsi="Times New Roman"/>
                <w:b/>
                <w:noProof/>
                <w:sz w:val="24"/>
                <w:lang w:val="fr-BE"/>
              </w:rPr>
              <w:t>rester une priorité politique</w:t>
            </w:r>
            <w:r w:rsidRPr="001549C4">
              <w:rPr>
                <w:rFonts w:ascii="Times New Roman" w:hAnsi="Times New Roman"/>
                <w:noProof/>
                <w:sz w:val="24"/>
                <w:lang w:val="fr-BE"/>
              </w:rPr>
              <w:t xml:space="preserve">, tant pour l’UE que pour les États membres, et une large majorité (85 %) convient que cela nécessite </w:t>
            </w:r>
            <w:r w:rsidRPr="001549C4">
              <w:rPr>
                <w:rFonts w:ascii="Times New Roman" w:hAnsi="Times New Roman"/>
                <w:b/>
                <w:noProof/>
                <w:sz w:val="24"/>
                <w:lang w:val="fr-BE"/>
              </w:rPr>
              <w:t>une coopération étroite entre tous les niveaux de pouvoir</w:t>
            </w:r>
            <w:r w:rsidRPr="001549C4">
              <w:rPr>
                <w:rFonts w:ascii="Times New Roman" w:hAnsi="Times New Roman"/>
                <w:noProof/>
                <w:sz w:val="24"/>
                <w:lang w:val="fr-BE"/>
              </w:rPr>
              <w:t>.</w:t>
            </w:r>
          </w:p>
          <w:p w14:paraId="12F9DA89" w14:textId="77777777" w:rsidR="001549C4" w:rsidRPr="001549C4" w:rsidRDefault="001549C4" w:rsidP="00317A8D">
            <w:pPr>
              <w:pStyle w:val="Boxbody"/>
              <w:spacing w:after="0"/>
              <w:rPr>
                <w:rFonts w:ascii="Times New Roman" w:hAnsi="Times New Roman"/>
                <w:b/>
                <w:noProof/>
                <w:sz w:val="24"/>
                <w:szCs w:val="24"/>
                <w:lang w:val="fr-BE"/>
              </w:rPr>
            </w:pPr>
            <w:r w:rsidRPr="001549C4">
              <w:rPr>
                <w:rFonts w:ascii="Times New Roman" w:hAnsi="Times New Roman"/>
                <w:noProof/>
                <w:sz w:val="24"/>
                <w:lang w:val="fr-BE"/>
              </w:rPr>
              <w:t xml:space="preserve">Lorsqu’ils sont interrogés sur les solutions à mettre en place pour faire face au vieillissement de la population, les citoyens privilégient les mesures consistant à garantir des </w:t>
            </w:r>
            <w:r w:rsidRPr="001549C4">
              <w:rPr>
                <w:rFonts w:ascii="Times New Roman" w:hAnsi="Times New Roman"/>
                <w:b/>
                <w:noProof/>
                <w:sz w:val="24"/>
                <w:lang w:val="fr-BE"/>
              </w:rPr>
              <w:t>pensions de retraite</w:t>
            </w:r>
            <w:r w:rsidRPr="001549C4">
              <w:rPr>
                <w:rFonts w:ascii="Times New Roman" w:hAnsi="Times New Roman"/>
                <w:noProof/>
                <w:sz w:val="24"/>
                <w:lang w:val="fr-BE"/>
              </w:rPr>
              <w:t xml:space="preserve"> adéquates qui restent abordables pour les </w:t>
            </w:r>
            <w:r w:rsidRPr="001549C4">
              <w:rPr>
                <w:rFonts w:ascii="Times New Roman" w:hAnsi="Times New Roman"/>
                <w:b/>
                <w:noProof/>
                <w:sz w:val="24"/>
                <w:lang w:val="fr-BE"/>
              </w:rPr>
              <w:t>générations futures</w:t>
            </w:r>
            <w:r w:rsidRPr="001549C4">
              <w:rPr>
                <w:rFonts w:ascii="Times New Roman" w:hAnsi="Times New Roman"/>
                <w:noProof/>
                <w:sz w:val="24"/>
                <w:lang w:val="fr-BE"/>
              </w:rPr>
              <w:t xml:space="preserve"> (49 %), ainsi qu’à fournir des services de </w:t>
            </w:r>
            <w:r w:rsidRPr="001549C4">
              <w:rPr>
                <w:rFonts w:ascii="Times New Roman" w:hAnsi="Times New Roman"/>
                <w:b/>
                <w:noProof/>
                <w:sz w:val="24"/>
                <w:lang w:val="fr-BE"/>
              </w:rPr>
              <w:t>soins de santé</w:t>
            </w:r>
            <w:r w:rsidRPr="001549C4">
              <w:rPr>
                <w:rFonts w:ascii="Times New Roman" w:hAnsi="Times New Roman"/>
                <w:noProof/>
                <w:sz w:val="24"/>
                <w:lang w:val="fr-BE"/>
              </w:rPr>
              <w:t xml:space="preserve"> de qualité et financièrement accessibles abordables (49 %). En ce qui concerne le marché du travail, les citoyens considèrent que les actions visant à lutter contre le </w:t>
            </w:r>
            <w:r w:rsidRPr="001549C4">
              <w:rPr>
                <w:rFonts w:ascii="Times New Roman" w:hAnsi="Times New Roman"/>
                <w:b/>
                <w:noProof/>
                <w:sz w:val="24"/>
                <w:lang w:val="fr-BE"/>
              </w:rPr>
              <w:t>chômage des jeunes</w:t>
            </w:r>
            <w:r w:rsidRPr="001549C4">
              <w:rPr>
                <w:rFonts w:ascii="Times New Roman" w:hAnsi="Times New Roman"/>
                <w:noProof/>
                <w:sz w:val="24"/>
                <w:lang w:val="fr-BE"/>
              </w:rPr>
              <w:t xml:space="preserve"> sont les plus efficaces (61 %), suivies par les politiques en faveur de l’</w:t>
            </w:r>
            <w:r w:rsidRPr="001549C4">
              <w:rPr>
                <w:rFonts w:ascii="Times New Roman" w:hAnsi="Times New Roman"/>
                <w:b/>
                <w:noProof/>
                <w:sz w:val="24"/>
                <w:lang w:val="fr-BE"/>
              </w:rPr>
              <w:t>équilibre entre vie professionnelle et vie privée</w:t>
            </w:r>
            <w:r w:rsidRPr="001549C4">
              <w:rPr>
                <w:rFonts w:ascii="Times New Roman" w:hAnsi="Times New Roman"/>
                <w:noProof/>
                <w:sz w:val="24"/>
                <w:lang w:val="fr-BE"/>
              </w:rPr>
              <w:t xml:space="preserve"> (48 %)</w:t>
            </w:r>
            <w:r>
              <w:rPr>
                <w:rStyle w:val="FootnoteReference"/>
                <w:rFonts w:ascii="Times New Roman" w:hAnsi="Times New Roman"/>
                <w:noProof/>
                <w:sz w:val="24"/>
                <w:szCs w:val="24"/>
              </w:rPr>
              <w:footnoteReference w:id="9"/>
            </w:r>
            <w:r w:rsidRPr="001549C4">
              <w:rPr>
                <w:rFonts w:ascii="Times New Roman" w:hAnsi="Times New Roman"/>
                <w:noProof/>
                <w:sz w:val="24"/>
                <w:lang w:val="fr-BE"/>
              </w:rPr>
              <w:t>.</w:t>
            </w:r>
          </w:p>
        </w:tc>
      </w:tr>
    </w:tbl>
    <w:p w14:paraId="67CF32A2" w14:textId="77777777" w:rsidR="001549C4" w:rsidRPr="001549C4" w:rsidRDefault="001549C4" w:rsidP="001549C4">
      <w:pPr>
        <w:pStyle w:val="pf0"/>
        <w:spacing w:before="160" w:beforeAutospacing="0" w:after="160" w:afterAutospacing="0" w:line="259" w:lineRule="auto"/>
        <w:rPr>
          <w:noProof/>
          <w:sz w:val="24"/>
          <w:lang w:val="fr-BE"/>
        </w:rPr>
      </w:pPr>
      <w:r w:rsidRPr="001549C4">
        <w:rPr>
          <w:b/>
          <w:noProof/>
          <w:sz w:val="24"/>
          <w:lang w:val="fr-BE"/>
        </w:rPr>
        <w:t xml:space="preserve">Le vieillissement de la population exerce une pression accrue sur les budgets publics. </w:t>
      </w:r>
      <w:r w:rsidRPr="001549C4">
        <w:rPr>
          <w:noProof/>
          <w:sz w:val="24"/>
          <w:lang w:val="fr-BE"/>
        </w:rPr>
        <w:t>Le déclin de la population en âge de travailler exerce une pression à la baisse sur les recettes provenant de l’impôt sur le revenu des personnes physiques et des cotisations de sécurité sociale. À l’inverse, avec le vieillissement de la population, les dépenses consacrées aux soins de santé, aux soins de longue durée et aux pensions de retraite devraient passer de 24,6 % du PIB en 2019 à près de 27 % en 2040</w:t>
      </w:r>
      <w:r>
        <w:rPr>
          <w:rStyle w:val="FootnoteReference"/>
          <w:noProof/>
          <w:sz w:val="24"/>
          <w:lang w:val="en-GB"/>
        </w:rPr>
        <w:footnoteReference w:id="10"/>
      </w:r>
      <w:r w:rsidRPr="001549C4">
        <w:rPr>
          <w:noProof/>
          <w:sz w:val="24"/>
          <w:lang w:val="fr-BE"/>
        </w:rPr>
        <w:t>. En conséquence, la pression qui s’exercera sur les budgets publics pourrait réduire les marges de manœuvre budgétaires disponibles pour investir dans d’autres domaines d’action prioritaires tels que la double transition écologique et numérique. En outre, une société vieillissante a besoin d’investissements dans des solutions de mobilité et d’infrastructure adaptées</w:t>
      </w:r>
      <w:r>
        <w:rPr>
          <w:rStyle w:val="FootnoteReference"/>
          <w:bCs/>
          <w:noProof/>
          <w:sz w:val="24"/>
          <w:lang w:val="en-GB"/>
        </w:rPr>
        <w:footnoteReference w:id="11"/>
      </w:r>
      <w:r w:rsidRPr="001549C4">
        <w:rPr>
          <w:noProof/>
          <w:sz w:val="24"/>
          <w:lang w:val="fr-BE"/>
        </w:rPr>
        <w:t xml:space="preserve"> pouvant bénéficier à l’ensemble de la population et être mises en œuvre de manière écologique et compatible avec le numérique. </w:t>
      </w:r>
    </w:p>
    <w:p w14:paraId="12D660CC" w14:textId="77777777" w:rsidR="001549C4" w:rsidRPr="001549C4" w:rsidRDefault="001549C4" w:rsidP="001549C4">
      <w:pPr>
        <w:pStyle w:val="pf0"/>
        <w:spacing w:before="0" w:beforeAutospacing="0" w:after="160" w:afterAutospacing="0" w:line="259" w:lineRule="auto"/>
        <w:rPr>
          <w:noProof/>
          <w:sz w:val="24"/>
          <w:lang w:val="fr-BE"/>
        </w:rPr>
      </w:pPr>
      <w:r w:rsidRPr="001549C4">
        <w:rPr>
          <w:b/>
          <w:noProof/>
          <w:sz w:val="24"/>
          <w:lang w:val="fr-BE"/>
        </w:rPr>
        <w:t xml:space="preserve">La transformation démographique de l’UE interagit avec d’autres grandes tendances mondiales telles que la double transition écologique et numérique. </w:t>
      </w:r>
      <w:r w:rsidRPr="001549C4">
        <w:rPr>
          <w:noProof/>
          <w:sz w:val="24"/>
          <w:lang w:val="fr-BE"/>
        </w:rPr>
        <w:t xml:space="preserve">Les émissions de carbone sont étroitement liées au niveau de revenu, mais aussi à l’âge des consommateurs. Bien qu’elles consomment moins en termes absolus, les personnes âgées ont tendance à vivre au sein de ménages plus petits et consomment davantage d’énergie, ce qui se traduit par une augmentation des émissions par habitant. Elles sont également plus représentées dans les zones rurales, où la dépendance à la voiture est plus élevée. Étant donné que la part des personnes âgées dans la population augmente, on estime que, d’ici à 2060, jusqu’à 39 % des émissions seront générées par les personnes âgées de plus de 65 ans. Dans le même temps, le changement climatique et la pollution atmosphérique ont des effets néfastes sur la mortalité et la morbidité de la population, en particulier des groupes plus vulnérables, dont les personnes âgées. </w:t>
      </w:r>
      <w:bookmarkStart w:id="3" w:name="_Hlk147512185"/>
      <w:r w:rsidRPr="001549C4">
        <w:rPr>
          <w:noProof/>
          <w:sz w:val="24"/>
          <w:lang w:val="fr-BE"/>
        </w:rPr>
        <w:t>La crise climatique et la dégradation de l’environnement peuvent également jouer un rôle dans le choix d’avoir ou non des enfants.</w:t>
      </w:r>
      <w:bookmarkEnd w:id="3"/>
      <w:r w:rsidRPr="001549C4">
        <w:rPr>
          <w:noProof/>
          <w:sz w:val="24"/>
          <w:lang w:val="fr-BE"/>
        </w:rPr>
        <w:t xml:space="preserve"> Dans le contexte de la transition numérique, les technologies peuvent rendre les soins de santé et les soins de longue durée plus efficaces au regard des coûts et améliorer l’accès aux services et leur qualité, notamment dans les régions rurales et isolées et pour les personnes handicapées ou à mobilité réduite. Pourtant, des infrastructures numériques insuffisantes et un faible niveau de compétences numériques peuvent exacerber les fractures entre les régions, les groupes et les générations.</w:t>
      </w:r>
    </w:p>
    <w:p w14:paraId="454C33D2" w14:textId="77777777" w:rsidR="001549C4" w:rsidRPr="00A56B91" w:rsidRDefault="001549C4" w:rsidP="001549C4">
      <w:pPr>
        <w:pStyle w:val="Subtitle"/>
        <w:rPr>
          <w:rFonts w:ascii="Times New Roman" w:hAnsi="Times New Roman"/>
          <w:noProof/>
          <w:sz w:val="24"/>
          <w:szCs w:val="24"/>
        </w:rPr>
      </w:pPr>
      <w:r>
        <w:rPr>
          <w:rFonts w:ascii="Times New Roman" w:hAnsi="Times New Roman"/>
          <w:noProof/>
          <w:sz w:val="24"/>
        </w:rPr>
        <w:t>Évolution de la population, 2021-2050</w:t>
      </w:r>
    </w:p>
    <w:p w14:paraId="176CE498" w14:textId="67BBC1F7" w:rsidR="001549C4" w:rsidRPr="00A56B91" w:rsidRDefault="00385BB3" w:rsidP="001549C4">
      <w:pPr>
        <w:spacing w:after="240" w:line="240" w:lineRule="auto"/>
        <w:jc w:val="center"/>
        <w:rPr>
          <w:rFonts w:ascii="Times New Roman" w:hAnsi="Times New Roman" w:cs="Times New Roman"/>
          <w:noProof/>
          <w:sz w:val="24"/>
        </w:rPr>
      </w:pPr>
      <w:r w:rsidRPr="00385BB3">
        <w:rPr>
          <w:noProof/>
          <w:lang w:val="en-GB" w:eastAsia="en-GB"/>
        </w:rPr>
        <w:drawing>
          <wp:inline distT="0" distB="0" distL="0" distR="0" wp14:anchorId="64B36937" wp14:editId="5145AE3F">
            <wp:extent cx="5943600" cy="3683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683635"/>
                    </a:xfrm>
                    <a:prstGeom prst="rect">
                      <a:avLst/>
                    </a:prstGeom>
                    <a:noFill/>
                    <a:ln>
                      <a:noFill/>
                    </a:ln>
                  </pic:spPr>
                </pic:pic>
              </a:graphicData>
            </a:graphic>
          </wp:inline>
        </w:drawing>
      </w:r>
    </w:p>
    <w:p w14:paraId="478A64E0" w14:textId="77777777" w:rsidR="001549C4" w:rsidRPr="001549C4" w:rsidRDefault="001549C4" w:rsidP="001549C4">
      <w:pPr>
        <w:rPr>
          <w:rFonts w:ascii="Times New Roman" w:hAnsi="Times New Roman" w:cs="Times New Roman"/>
          <w:noProof/>
          <w:sz w:val="24"/>
          <w:lang w:val="fr-BE"/>
        </w:rPr>
      </w:pPr>
      <w:bookmarkStart w:id="4" w:name="_Hlk147511025"/>
      <w:r w:rsidRPr="001549C4">
        <w:rPr>
          <w:rFonts w:ascii="Times New Roman" w:hAnsi="Times New Roman"/>
          <w:b/>
          <w:noProof/>
          <w:sz w:val="24"/>
          <w:lang w:val="fr-BE"/>
        </w:rPr>
        <w:t>Les disparités territoriales risquent d’augmenter au sein des États membres et entre eux.</w:t>
      </w:r>
      <w:r w:rsidRPr="001549C4">
        <w:rPr>
          <w:rFonts w:ascii="Times New Roman" w:hAnsi="Times New Roman"/>
          <w:noProof/>
          <w:sz w:val="24"/>
          <w:lang w:val="fr-BE"/>
        </w:rPr>
        <w:t xml:space="preserve"> Certaines régions sont confrontées aux défis combinés du vieillissement de la population, d’une proportion faible et stagnante de personnes diplômées de l’enseignement supérieur, et de l’émigration des jeunes et des personnes instruites. Cela risque de les placer dans un piège de développement des talents et de limiter leur capacité à bâtir des économies durables, compétitives et fondées sur la connaissance</w:t>
      </w:r>
      <w:r>
        <w:rPr>
          <w:rStyle w:val="FootnoteReference"/>
          <w:rFonts w:ascii="Times New Roman" w:hAnsi="Times New Roman" w:cs="Times New Roman"/>
          <w:noProof/>
          <w:sz w:val="24"/>
          <w:lang w:val="en-GB"/>
        </w:rPr>
        <w:footnoteReference w:id="12"/>
      </w:r>
      <w:r w:rsidRPr="001549C4">
        <w:rPr>
          <w:rFonts w:ascii="Times New Roman" w:hAnsi="Times New Roman"/>
          <w:noProof/>
          <w:sz w:val="24"/>
          <w:lang w:val="fr-BE"/>
        </w:rPr>
        <w:t xml:space="preserve">. </w:t>
      </w:r>
      <w:bookmarkEnd w:id="4"/>
      <w:r w:rsidRPr="001549C4">
        <w:rPr>
          <w:rFonts w:ascii="Times New Roman" w:hAnsi="Times New Roman"/>
          <w:noProof/>
          <w:sz w:val="24"/>
          <w:lang w:val="fr-BE"/>
        </w:rPr>
        <w:t>En raison des changements démographiques et des transformations structurelles, de nombreuses régions moins développées et rurales sont de plus en plus confrontées à des pénuries de main</w:t>
      </w:r>
      <w:r w:rsidRPr="001549C4">
        <w:rPr>
          <w:rFonts w:ascii="Times New Roman" w:hAnsi="Times New Roman"/>
          <w:noProof/>
          <w:sz w:val="24"/>
          <w:lang w:val="fr-BE"/>
        </w:rPr>
        <w:noBreakHyphen/>
        <w:t>d’œuvre et de compétences, ainsi qu’à une faible compétitivité régionale et à une faible capacité à attirer les investissements. On constate par ailleurs des clivages entre zones urbaines et rurales dans certains pays</w:t>
      </w:r>
      <w:r>
        <w:rPr>
          <w:rStyle w:val="FootnoteReference"/>
          <w:rFonts w:ascii="Times New Roman" w:hAnsi="Times New Roman" w:cs="Times New Roman"/>
          <w:noProof/>
          <w:sz w:val="24"/>
          <w:lang w:val="en-GB"/>
        </w:rPr>
        <w:footnoteReference w:id="13"/>
      </w:r>
      <w:r w:rsidRPr="001549C4">
        <w:rPr>
          <w:rFonts w:ascii="Times New Roman" w:hAnsi="Times New Roman"/>
          <w:noProof/>
          <w:sz w:val="24"/>
          <w:lang w:val="fr-BE"/>
        </w:rPr>
        <w:t>. Ces disparités territoriales nuisent également à la cohésion sociale et à la confiance dans les institutions et processus démocratiques en Europe</w:t>
      </w:r>
      <w:r>
        <w:rPr>
          <w:rStyle w:val="FootnoteReference"/>
          <w:rFonts w:ascii="Times New Roman" w:hAnsi="Times New Roman" w:cs="Times New Roman"/>
          <w:noProof/>
          <w:sz w:val="24"/>
          <w:lang w:val="en-GB"/>
        </w:rPr>
        <w:footnoteReference w:id="14"/>
      </w:r>
      <w:r w:rsidRPr="001549C4">
        <w:rPr>
          <w:rFonts w:ascii="Times New Roman" w:hAnsi="Times New Roman"/>
          <w:noProof/>
          <w:sz w:val="24"/>
          <w:lang w:val="fr-BE"/>
        </w:rPr>
        <w:t xml:space="preserve">. </w:t>
      </w:r>
    </w:p>
    <w:p w14:paraId="234CAE0F" w14:textId="77777777" w:rsidR="001549C4" w:rsidRPr="001549C4" w:rsidRDefault="001549C4" w:rsidP="001549C4">
      <w:pPr>
        <w:pStyle w:val="Heading1"/>
        <w:rPr>
          <w:lang w:val="fr-BE"/>
        </w:rPr>
      </w:pPr>
      <w:r w:rsidRPr="001549C4">
        <w:rPr>
          <w:lang w:val="fr-BE"/>
        </w:rPr>
        <w:t>LES MOYENS D’ACTION: FAIRE FACE À L’ÉVOLUTION DÉMOGRAPHIQUE ET LA GÉRER</w:t>
      </w:r>
    </w:p>
    <w:p w14:paraId="4FBE3044"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Les décideurs politiques à tous les niveaux doivent créer un environnement qui permette aux citoyens de toute l’Union de concrétiser leurs choix de vie et de concilier vie de famille et vie professionnelle.</w:t>
      </w:r>
      <w:r w:rsidRPr="001549C4">
        <w:rPr>
          <w:rFonts w:ascii="Times New Roman" w:hAnsi="Times New Roman"/>
          <w:noProof/>
          <w:sz w:val="24"/>
          <w:lang w:val="fr-BE"/>
        </w:rPr>
        <w:t xml:space="preserve"> En complément de ces efforts, la migration légale et l’intégration effective des ressortissants de pays tiers résidant légalement dans l’UE peuvent contribuer à atténuer les pressions sur le marché du travail et à stimuler davantage l’innovation et l’esprit d’entreprise. L’UE dispose déjà d’un ensemble complet de moyens d’action pour aider les États membres à gérer l’évolution démographique et ses conséquences. La «boîte à outils» dévoilée dans la présente communication s’appuie sur les bonnes pratiques et les pratiques prometteuses de toute l’Union; elle complète les actions menées au niveau national. Cette panoplie d’instruments reconnaît la nécessité de prendre en compte la dimension territoriale des changements démographiques, en particulier dans les régions confrontées aux phénomènes de baisse de la population et de mobilité sortante importante des jeunes travailleurs («fuite des cerveaux»). </w:t>
      </w:r>
    </w:p>
    <w:p w14:paraId="4E4E9118" w14:textId="77777777" w:rsidR="001549C4" w:rsidRPr="001549C4" w:rsidRDefault="001549C4" w:rsidP="001549C4">
      <w:pPr>
        <w:pStyle w:val="Subtitle"/>
        <w:rPr>
          <w:rFonts w:ascii="Times New Roman" w:hAnsi="Times New Roman"/>
          <w:noProof/>
          <w:sz w:val="24"/>
          <w:szCs w:val="24"/>
          <w:lang w:val="fr-BE"/>
        </w:rPr>
      </w:pPr>
      <w:r w:rsidRPr="001549C4">
        <w:rPr>
          <w:rFonts w:ascii="Times New Roman" w:hAnsi="Times New Roman"/>
          <w:noProof/>
          <w:sz w:val="24"/>
          <w:lang w:val="fr-BE"/>
        </w:rPr>
        <w:t>Une approche globale de l’évolution démographique</w:t>
      </w:r>
    </w:p>
    <w:p w14:paraId="3721313E" w14:textId="557102B3" w:rsidR="001549C4" w:rsidRPr="00A56B91" w:rsidRDefault="00DD71F6" w:rsidP="001549C4">
      <w:pPr>
        <w:spacing w:after="0" w:line="240" w:lineRule="auto"/>
        <w:jc w:val="center"/>
        <w:rPr>
          <w:rFonts w:ascii="Times New Roman" w:hAnsi="Times New Roman" w:cs="Times New Roman"/>
          <w:noProof/>
          <w:sz w:val="24"/>
        </w:rPr>
      </w:pPr>
      <w:r w:rsidRPr="00DD71F6">
        <w:rPr>
          <w:noProof/>
          <w:lang w:val="en-GB" w:eastAsia="en-GB"/>
        </w:rPr>
        <w:drawing>
          <wp:inline distT="0" distB="0" distL="0" distR="0" wp14:anchorId="12D2F7B6" wp14:editId="412A9B37">
            <wp:extent cx="5943600" cy="30568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056890"/>
                    </a:xfrm>
                    <a:prstGeom prst="rect">
                      <a:avLst/>
                    </a:prstGeom>
                    <a:noFill/>
                    <a:ln>
                      <a:noFill/>
                    </a:ln>
                  </pic:spPr>
                </pic:pic>
              </a:graphicData>
            </a:graphic>
          </wp:inline>
        </w:drawing>
      </w:r>
    </w:p>
    <w:p w14:paraId="0F6AE41A" w14:textId="77777777" w:rsidR="001549C4" w:rsidRPr="001549C4" w:rsidRDefault="001549C4" w:rsidP="001549C4">
      <w:pPr>
        <w:pStyle w:val="Heading2"/>
        <w:rPr>
          <w:noProof/>
          <w:lang w:val="fr-BE"/>
        </w:rPr>
      </w:pPr>
      <w:r w:rsidRPr="001549C4">
        <w:rPr>
          <w:noProof/>
          <w:lang w:val="fr-BE"/>
        </w:rPr>
        <w:t>Concilier la vie de famille et le travail rémunéré</w:t>
      </w:r>
    </w:p>
    <w:p w14:paraId="12BD855A"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Tout le monde devrait pouvoir bénéficier d’un soutien pour ne pas avoir à choisir entre sa carrière et sa famille.</w:t>
      </w:r>
      <w:r w:rsidRPr="001549C4">
        <w:rPr>
          <w:rFonts w:ascii="Times New Roman" w:hAnsi="Times New Roman"/>
          <w:noProof/>
          <w:sz w:val="24"/>
          <w:lang w:val="fr-BE"/>
        </w:rPr>
        <w:t xml:space="preserve"> Le choix d’avoir des enfants est personnel. Toutefois, la qualité de vie, la disponibilité de soins et de logements, ainsi que les possibilités d’emploi et des revenus adéquats peuvent influencer ce choix. Les jeunes ont de plus en plus tendance à reporter la décision de fonder une famille ou à en limiter la taille. Pourtant, lorsqu’on les interroge, nombre d’entre eux, particulièrement les femmes ayant un niveau d’éducation élevé, indiquent qu’ils souhaiteraient avoir plus d’enfants qu’ils n'en ont réellement. Parmi les principaux éléments expliquant l’écart entre la taille réelle et la taille souhaitée de la famille figurent la difficulté de concilier les responsabilités professionnelles et familiales, les inégalités persistantes entre hommes et femmes, ainsi que l’insécurité économique et sociale liée aux perspectives d’emploi, au coût de la vie et au logement. </w:t>
      </w:r>
    </w:p>
    <w:p w14:paraId="0BB18140" w14:textId="77777777" w:rsidR="001549C4" w:rsidRPr="001549C4" w:rsidRDefault="001549C4" w:rsidP="001549C4">
      <w:pPr>
        <w:pStyle w:val="Subtitle"/>
        <w:spacing w:before="240" w:after="0"/>
        <w:rPr>
          <w:rFonts w:ascii="Times New Roman" w:hAnsi="Times New Roman"/>
          <w:noProof/>
          <w:sz w:val="24"/>
          <w:szCs w:val="24"/>
          <w:lang w:val="fr-BE"/>
        </w:rPr>
      </w:pPr>
      <w:r w:rsidRPr="001549C4">
        <w:rPr>
          <w:rFonts w:ascii="Times New Roman" w:hAnsi="Times New Roman"/>
          <w:noProof/>
          <w:sz w:val="24"/>
          <w:lang w:val="fr-BE"/>
        </w:rPr>
        <w:t>Taux d’emploi des femmes et taux de fécondité dans l’UE</w:t>
      </w:r>
    </w:p>
    <w:p w14:paraId="33B82687" w14:textId="6104BA5A" w:rsidR="001549C4" w:rsidRPr="00A56B91" w:rsidRDefault="00DD71F6" w:rsidP="001549C4">
      <w:pPr>
        <w:rPr>
          <w:rFonts w:ascii="Times New Roman" w:hAnsi="Times New Roman" w:cs="Times New Roman"/>
          <w:noProof/>
          <w:sz w:val="24"/>
        </w:rPr>
      </w:pPr>
      <w:r w:rsidRPr="00DD71F6">
        <w:rPr>
          <w:noProof/>
          <w:lang w:val="en-GB" w:eastAsia="en-GB"/>
        </w:rPr>
        <w:drawing>
          <wp:inline distT="0" distB="0" distL="0" distR="0" wp14:anchorId="6E7A9627" wp14:editId="487287BE">
            <wp:extent cx="5943600" cy="34937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493770"/>
                    </a:xfrm>
                    <a:prstGeom prst="rect">
                      <a:avLst/>
                    </a:prstGeom>
                    <a:noFill/>
                    <a:ln>
                      <a:noFill/>
                    </a:ln>
                  </pic:spPr>
                </pic:pic>
              </a:graphicData>
            </a:graphic>
          </wp:inline>
        </w:drawing>
      </w:r>
    </w:p>
    <w:p w14:paraId="3AAADE50"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Pour atteindre l’objectif de l’UE en matière de taux d’emploi à l’horizon 2030</w:t>
      </w:r>
      <w:r>
        <w:rPr>
          <w:rStyle w:val="FootnoteReference"/>
          <w:rFonts w:ascii="Times New Roman" w:hAnsi="Times New Roman" w:cs="Times New Roman"/>
          <w:b/>
          <w:bCs/>
          <w:noProof/>
          <w:sz w:val="24"/>
          <w:lang w:val="en-IE"/>
        </w:rPr>
        <w:footnoteReference w:id="15"/>
      </w:r>
      <w:r w:rsidRPr="001549C4">
        <w:rPr>
          <w:rFonts w:ascii="Times New Roman" w:hAnsi="Times New Roman"/>
          <w:b/>
          <w:noProof/>
          <w:sz w:val="24"/>
          <w:lang w:val="fr-BE"/>
        </w:rPr>
        <w:t xml:space="preserve">, nous devons nous efforcer de réduire au moins de moitié l’écart entre les hommes et les femmes en matière d’emploi par rapport à 2019. </w:t>
      </w:r>
      <w:r w:rsidRPr="001549C4">
        <w:rPr>
          <w:rFonts w:ascii="Times New Roman" w:hAnsi="Times New Roman"/>
          <w:noProof/>
          <w:sz w:val="24"/>
          <w:lang w:val="fr-BE"/>
        </w:rPr>
        <w:t>Une plus grande participation des femmes au marché du travail pourrait être l’une des solutions les plus efficaces aux conséquences négatives du vieillissement de la population</w:t>
      </w:r>
      <w:r>
        <w:rPr>
          <w:rStyle w:val="FootnoteReference"/>
          <w:rFonts w:ascii="Times New Roman" w:hAnsi="Times New Roman" w:cs="Times New Roman"/>
          <w:noProof/>
          <w:sz w:val="24"/>
        </w:rPr>
        <w:footnoteReference w:id="16"/>
      </w:r>
      <w:r w:rsidRPr="001549C4">
        <w:rPr>
          <w:rFonts w:ascii="Times New Roman" w:hAnsi="Times New Roman"/>
          <w:noProof/>
          <w:sz w:val="24"/>
          <w:lang w:val="fr-BE"/>
        </w:rPr>
        <w:t>.</w:t>
      </w:r>
      <w:r w:rsidRPr="001549C4">
        <w:rPr>
          <w:rFonts w:ascii="Times New Roman" w:hAnsi="Times New Roman"/>
          <w:b/>
          <w:noProof/>
          <w:sz w:val="24"/>
          <w:lang w:val="fr-BE"/>
        </w:rPr>
        <w:t xml:space="preserve"> </w:t>
      </w:r>
      <w:r w:rsidRPr="001549C4">
        <w:rPr>
          <w:rFonts w:ascii="Times New Roman" w:hAnsi="Times New Roman"/>
          <w:noProof/>
          <w:sz w:val="24"/>
          <w:lang w:val="fr-BE"/>
        </w:rPr>
        <w:t>Si des améliorations ont bien eu lieu au cours des dernières décennies, la participation des femmes au marché du travail reste inférieure à celle des hommes.</w:t>
      </w:r>
      <w:r w:rsidRPr="001549C4">
        <w:rPr>
          <w:rFonts w:ascii="Times New Roman" w:hAnsi="Times New Roman"/>
          <w:b/>
          <w:noProof/>
          <w:sz w:val="24"/>
          <w:lang w:val="fr-BE"/>
        </w:rPr>
        <w:t xml:space="preserve"> </w:t>
      </w:r>
      <w:r w:rsidRPr="001549C4">
        <w:rPr>
          <w:rFonts w:ascii="Times New Roman" w:hAnsi="Times New Roman"/>
          <w:noProof/>
          <w:sz w:val="24"/>
          <w:lang w:val="fr-BE"/>
        </w:rPr>
        <w:t>Dans l’UE, le taux d’emploi des femmes reste inférieur de 10,7 points de pourcentage à celui des hommes et varie considérablement d’un État membre à l’autre (allant de 20,1 points de pourcentage en Roumanie à 1,4 point de pourcentage en Lituanie).</w:t>
      </w:r>
      <w:r w:rsidRPr="001549C4">
        <w:rPr>
          <w:rStyle w:val="FootnoteReference"/>
          <w:rFonts w:ascii="Times New Roman" w:hAnsi="Times New Roman"/>
          <w:noProof/>
          <w:sz w:val="24"/>
          <w:lang w:val="fr-BE"/>
        </w:rPr>
        <w:t xml:space="preserve"> </w:t>
      </w:r>
      <w:r>
        <w:rPr>
          <w:rStyle w:val="FootnoteReference"/>
          <w:rFonts w:ascii="Times New Roman" w:hAnsi="Times New Roman" w:cs="Times New Roman"/>
          <w:noProof/>
          <w:sz w:val="24"/>
          <w:lang w:val="en-GB"/>
        </w:rPr>
        <w:footnoteReference w:id="17"/>
      </w:r>
      <w:r w:rsidRPr="001549C4">
        <w:rPr>
          <w:rFonts w:ascii="Times New Roman" w:hAnsi="Times New Roman"/>
          <w:noProof/>
          <w:sz w:val="24"/>
          <w:lang w:val="fr-BE"/>
        </w:rPr>
        <w:t xml:space="preserve"> Certains États membres, comme </w:t>
      </w:r>
      <w:r w:rsidRPr="001549C4">
        <w:rPr>
          <w:rFonts w:ascii="Times New Roman" w:hAnsi="Times New Roman"/>
          <w:b/>
          <w:noProof/>
          <w:sz w:val="24"/>
          <w:lang w:val="fr-BE"/>
        </w:rPr>
        <w:t>la Suède et le Danemark</w:t>
      </w:r>
      <w:r w:rsidRPr="001549C4">
        <w:rPr>
          <w:rFonts w:ascii="Times New Roman" w:hAnsi="Times New Roman"/>
          <w:noProof/>
          <w:sz w:val="24"/>
          <w:lang w:val="fr-BE"/>
        </w:rPr>
        <w:t>, parviennent à afficher des taux d’emploi relativement élevés de plus de 75 % chez les femmes (ainsi que des écarts hommes-femmes en matière d’emploi inférieurs à la moyenne), tandis que leurs taux de fécondité sont également relativement élevés par rapport à ceux de l’UE. Toutefois, dans presque tous les États membres, y compris ceux mentionnés ci</w:t>
      </w:r>
      <w:r w:rsidRPr="001549C4">
        <w:rPr>
          <w:rFonts w:ascii="Times New Roman" w:hAnsi="Times New Roman"/>
          <w:noProof/>
          <w:sz w:val="24"/>
          <w:lang w:val="fr-BE"/>
        </w:rPr>
        <w:noBreakHyphen/>
        <w:t>dessus, les femmes travaillent plus souvent à temps partiel que les hommes et l’écart de rémunération entre les hommes et les femmes reste important, en particulier pour les femmes ayant des enfants, avec des différences considérables entre les États membres</w:t>
      </w:r>
      <w:r>
        <w:rPr>
          <w:rStyle w:val="FootnoteReference"/>
          <w:rFonts w:ascii="Times New Roman" w:hAnsi="Times New Roman" w:cs="Times New Roman"/>
          <w:noProof/>
          <w:sz w:val="24"/>
          <w:lang w:val="en-GB"/>
        </w:rPr>
        <w:footnoteReference w:id="18"/>
      </w:r>
      <w:r w:rsidRPr="001549C4">
        <w:rPr>
          <w:rFonts w:ascii="Times New Roman" w:hAnsi="Times New Roman"/>
          <w:noProof/>
          <w:sz w:val="24"/>
          <w:lang w:val="fr-BE"/>
        </w:rPr>
        <w:t>.</w:t>
      </w:r>
    </w:p>
    <w:p w14:paraId="481F71AA"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On estime que les responsabilités familiales non rémunérées empêchent quelque 7,7 millions de femmes dans l’UE de rejoindre le marché du travail.</w:t>
      </w:r>
      <w:r w:rsidRPr="001549C4">
        <w:rPr>
          <w:rFonts w:ascii="Times New Roman" w:hAnsi="Times New Roman"/>
          <w:noProof/>
          <w:sz w:val="24"/>
          <w:lang w:val="fr-BE"/>
        </w:rPr>
        <w:t xml:space="preserve"> À titre de comparaison, on estime le nombre d’hommes dans la même situation à 450 000 seulement</w:t>
      </w:r>
      <w:r>
        <w:rPr>
          <w:rStyle w:val="FootnoteReference"/>
          <w:rFonts w:ascii="Times New Roman" w:hAnsi="Times New Roman" w:cs="Times New Roman"/>
          <w:noProof/>
          <w:sz w:val="24"/>
          <w:lang w:val="en-GB"/>
        </w:rPr>
        <w:footnoteReference w:id="19"/>
      </w:r>
      <w:r w:rsidRPr="001549C4">
        <w:rPr>
          <w:rFonts w:ascii="Times New Roman" w:hAnsi="Times New Roman"/>
          <w:noProof/>
          <w:sz w:val="24"/>
          <w:lang w:val="fr-BE"/>
        </w:rPr>
        <w:t>. La participation au marché du travail des mères ayant des enfants en bas âge s’est même détériorée au cours des deux dernières décennies</w:t>
      </w:r>
      <w:r>
        <w:rPr>
          <w:rStyle w:val="FootnoteReference"/>
          <w:rFonts w:ascii="Times New Roman" w:hAnsi="Times New Roman" w:cs="Times New Roman"/>
          <w:noProof/>
          <w:sz w:val="24"/>
          <w:lang w:val="en-IE"/>
        </w:rPr>
        <w:footnoteReference w:id="20"/>
      </w:r>
      <w:r w:rsidRPr="001549C4">
        <w:rPr>
          <w:rFonts w:ascii="Times New Roman" w:hAnsi="Times New Roman"/>
          <w:noProof/>
          <w:sz w:val="24"/>
          <w:lang w:val="fr-BE"/>
        </w:rPr>
        <w:t>, ce qui a souvent une incidence sur leur carrière et leurs revenus pendant des années. L’intensité des soins compte également: 35 % à peine des aidants informels qui assurent plus de 40 heures de soins par semaine ont un emploi, alors que ce chiffre est de 71 % chez ceux qui assurent moins de 10 heures de soins par semaine</w:t>
      </w:r>
      <w:r>
        <w:rPr>
          <w:rStyle w:val="FootnoteReference"/>
          <w:rFonts w:ascii="Times New Roman" w:hAnsi="Times New Roman" w:cs="Times New Roman"/>
          <w:noProof/>
          <w:sz w:val="24"/>
          <w:lang w:val="en-IE"/>
        </w:rPr>
        <w:footnoteReference w:id="21"/>
      </w:r>
      <w:r w:rsidRPr="001549C4">
        <w:rPr>
          <w:rFonts w:ascii="Times New Roman" w:hAnsi="Times New Roman"/>
          <w:noProof/>
          <w:sz w:val="24"/>
          <w:lang w:val="fr-BE"/>
        </w:rPr>
        <w:t>. Les femmes restent fortement sous-représentées dans de nombreuses professions en pénurie telles que les TIC. Cette situation exacerbe les pénuries de main</w:t>
      </w:r>
      <w:r w:rsidRPr="001549C4">
        <w:rPr>
          <w:rFonts w:ascii="Times New Roman" w:hAnsi="Times New Roman"/>
          <w:noProof/>
          <w:sz w:val="24"/>
          <w:lang w:val="fr-BE"/>
        </w:rPr>
        <w:noBreakHyphen/>
        <w:t>d’œuvre et le taux de dépendance des personnes âgées, puisque moins de personnes sont économiquement actives aujourd’hui et le seront demain. Les nouvelles augmentations des besoins en soins dues au vieillissement peuvent affecter les femmes de manière disproportionnée, étant donné que la charge des soins informels reste inégale.</w:t>
      </w:r>
    </w:p>
    <w:p w14:paraId="79584EFC" w14:textId="77777777" w:rsidR="001549C4" w:rsidRPr="001549C4" w:rsidRDefault="00E41C79" w:rsidP="001549C4">
      <w:pPr>
        <w:rPr>
          <w:rFonts w:ascii="Times New Roman" w:hAnsi="Times New Roman" w:cs="Times New Roman"/>
          <w:noProof/>
          <w:sz w:val="24"/>
          <w:lang w:val="fr-BE"/>
        </w:rPr>
      </w:pPr>
      <w:r>
        <w:rPr>
          <w:rFonts w:ascii="Times New Roman" w:hAnsi="Times New Roman"/>
          <w:noProof/>
          <w:sz w:val="24"/>
        </w:rPr>
        <w:pict w14:anchorId="12427897">
          <v:roundrect id="_x0000_s2094" style="position:absolute;left:0;text-align:left;margin-left:248.15pt;margin-top:12.6pt;width:218.55pt;height:177.35pt;z-index:251664385;visibility:visible;mso-wrap-distance-left:14.2pt;mso-wrap-distance-right:14.2pt;mso-wrap-distance-bottom:14.2pt;mso-position-horizontal-relative:margin;mso-width-relative:margin;mso-height-relative:margin;v-text-anchor:middle" arcsize="4560f" fillcolor="#def8f8 [664]" strokecolor="#5fdfdc [3208]" strokeweight="2.5pt">
            <v:stroke joinstyle="miter"/>
            <v:shadow color="#868686"/>
            <v:textbox style="mso-next-textbox:#_x0000_s2094" inset=",5mm,,5mm">
              <w:txbxContent>
                <w:p w14:paraId="1B18F8C6" w14:textId="77777777" w:rsidR="001549C4" w:rsidRPr="001549C4" w:rsidRDefault="001549C4" w:rsidP="001549C4">
                  <w:pPr>
                    <w:pStyle w:val="Framebody"/>
                    <w:rPr>
                      <w:sz w:val="24"/>
                      <w:szCs w:val="24"/>
                      <w:lang w:val="fr-BE"/>
                    </w:rPr>
                  </w:pPr>
                  <w:r w:rsidRPr="001549C4">
                    <w:rPr>
                      <w:sz w:val="24"/>
                      <w:lang w:val="fr-BE"/>
                    </w:rPr>
                    <w:t xml:space="preserve">Dans son PRR, la </w:t>
                  </w:r>
                  <w:r w:rsidRPr="001549C4">
                    <w:rPr>
                      <w:b/>
                      <w:sz w:val="24"/>
                      <w:lang w:val="fr-BE"/>
                    </w:rPr>
                    <w:t>Croatie</w:t>
                  </w:r>
                  <w:r w:rsidRPr="001549C4">
                    <w:rPr>
                      <w:sz w:val="24"/>
                      <w:lang w:val="fr-BE"/>
                    </w:rPr>
                    <w:t xml:space="preserve"> vise à développer l’EAJE en y investissant environ 215 millions d’EUR. Elle a pour objectif de garantir à tous les enfants de plus de quatre ans une place dans l’EAJE, notamment en créant 22 500 nouvelles places grâce à des investissements dans la construction et la rénovation, afin de réduire les inégalités régionales.</w:t>
                  </w:r>
                </w:p>
              </w:txbxContent>
            </v:textbox>
            <w10:wrap type="square" anchorx="margin"/>
          </v:roundrect>
        </w:pict>
      </w:r>
      <w:r w:rsidR="001549C4" w:rsidRPr="001549C4">
        <w:rPr>
          <w:rFonts w:ascii="Times New Roman" w:hAnsi="Times New Roman"/>
          <w:b/>
          <w:noProof/>
          <w:sz w:val="24"/>
          <w:lang w:val="fr-BE"/>
        </w:rPr>
        <w:t>Des services de garde d’enfants abordables, accessibles et de qualité permettent aux parents de concilier travail rémunéré et vie de famille.</w:t>
      </w:r>
      <w:r w:rsidR="001549C4" w:rsidRPr="001549C4">
        <w:rPr>
          <w:rFonts w:ascii="Times New Roman" w:hAnsi="Times New Roman"/>
          <w:noProof/>
          <w:sz w:val="24"/>
          <w:lang w:val="fr-BE"/>
        </w:rPr>
        <w:t xml:space="preserve"> La stratégie de l’UE sur les droits de l’enfant</w:t>
      </w:r>
      <w:r w:rsidR="001549C4">
        <w:rPr>
          <w:rStyle w:val="FootnoteReference"/>
          <w:rFonts w:ascii="Times New Roman" w:hAnsi="Times New Roman" w:cs="Times New Roman"/>
          <w:noProof/>
          <w:sz w:val="24"/>
          <w:lang w:val="en-IE"/>
        </w:rPr>
        <w:footnoteReference w:id="22"/>
      </w:r>
      <w:r w:rsidR="001549C4" w:rsidRPr="001549C4">
        <w:rPr>
          <w:rFonts w:ascii="Times New Roman" w:hAnsi="Times New Roman"/>
          <w:noProof/>
          <w:sz w:val="24"/>
          <w:lang w:val="fr-BE"/>
        </w:rPr>
        <w:t xml:space="preserve"> a souligné qu’il convient de garantir l’accès à une éducation de qualité à la fois inclusive et sans ségrégation. En 2022, à peine plus d’un tiers des enfants de moins de trois ans (35,7 %) dans l’UE ont bénéficié d’une éducation et d’un accueil formels des jeunes enfants (EAJE), avec des différences importantes au sein des pays et d’un pays à l’autre et des taux de participation nettement plus faibles pour les enfants en situation défavorisée. Seuls neuf États membres ont atteint l’objectif révisé de Barcelone pour 2030, à savoir un taux de participation à l’EAJE de 45 %. La garde d’enfants à temps presque plein n’est une réalité pour la majorité des enfants âgés de moins de trois ans qu’au </w:t>
      </w:r>
      <w:r w:rsidR="001549C4" w:rsidRPr="001549C4">
        <w:rPr>
          <w:rFonts w:ascii="Times New Roman" w:hAnsi="Times New Roman"/>
          <w:b/>
          <w:noProof/>
          <w:sz w:val="24"/>
          <w:lang w:val="fr-BE"/>
        </w:rPr>
        <w:t>Danemark</w:t>
      </w:r>
      <w:r w:rsidR="001549C4" w:rsidRPr="001549C4">
        <w:rPr>
          <w:rFonts w:ascii="Times New Roman" w:hAnsi="Times New Roman"/>
          <w:noProof/>
          <w:sz w:val="24"/>
          <w:lang w:val="fr-BE"/>
        </w:rPr>
        <w:t xml:space="preserve">. Le développement de services de soins abordables et de qualité, comme le prévoit, par exemple, de manière significative le plan pour la reprise et la résilience (PRR) du </w:t>
      </w:r>
      <w:r w:rsidR="001549C4" w:rsidRPr="001549C4">
        <w:rPr>
          <w:rFonts w:ascii="Times New Roman" w:hAnsi="Times New Roman"/>
          <w:b/>
          <w:noProof/>
          <w:sz w:val="24"/>
          <w:lang w:val="fr-BE"/>
        </w:rPr>
        <w:t>Portugal</w:t>
      </w:r>
      <w:r w:rsidR="001549C4" w:rsidRPr="001549C4">
        <w:rPr>
          <w:rFonts w:ascii="Times New Roman" w:hAnsi="Times New Roman"/>
          <w:noProof/>
          <w:sz w:val="24"/>
          <w:lang w:val="fr-BE"/>
        </w:rPr>
        <w:t>, peut avoir un effet positif sur l’emploi des femmes, en particulier dans les pays où le taux de participation des femmes au marché du travail est actuellement faible et où la part de l’offre de soins formels est réduite. Les régions rurales et isolées, où la disponibilité des services de soins est faible, bénéficieraient grandement d’un développement des infrastructures sociales. Quant aux services de garde d’enfants accessibles, abordables et de qualité, ils permettent aux parents d’élever une famille tout en restant actifs afin de bénéficier d’un revenu indépendant et de poursuivre leur carrière.</w:t>
      </w:r>
    </w:p>
    <w:p w14:paraId="4BDB1DA5" w14:textId="77777777" w:rsidR="001549C4" w:rsidRPr="001549C4" w:rsidRDefault="001549C4" w:rsidP="001549C4">
      <w:pPr>
        <w:pStyle w:val="Subtitle"/>
        <w:rPr>
          <w:rFonts w:ascii="Times New Roman" w:hAnsi="Times New Roman"/>
          <w:noProof/>
          <w:sz w:val="24"/>
          <w:szCs w:val="24"/>
          <w:lang w:val="fr-BE"/>
        </w:rPr>
      </w:pPr>
      <w:r w:rsidRPr="001549C4">
        <w:rPr>
          <w:rFonts w:ascii="Times New Roman" w:hAnsi="Times New Roman"/>
          <w:noProof/>
          <w:sz w:val="24"/>
          <w:lang w:val="fr-BE"/>
        </w:rPr>
        <w:t>Enfants fréquentant des structures formelles d’accueil</w:t>
      </w:r>
      <w:r w:rsidRPr="001549C4">
        <w:rPr>
          <w:noProof/>
          <w:lang w:val="fr-BE"/>
        </w:rPr>
        <w:t xml:space="preserve"> </w:t>
      </w:r>
      <w:r w:rsidRPr="001549C4">
        <w:rPr>
          <w:noProof/>
          <w:lang w:val="fr-BE"/>
        </w:rPr>
        <w:br/>
      </w:r>
      <w:r w:rsidRPr="001549C4">
        <w:rPr>
          <w:rFonts w:ascii="Times New Roman" w:hAnsi="Times New Roman"/>
          <w:noProof/>
          <w:sz w:val="24"/>
          <w:lang w:val="fr-BE"/>
        </w:rPr>
        <w:t>(part des enfants âgés de moins de 3 ans, en %)</w:t>
      </w:r>
    </w:p>
    <w:p w14:paraId="300D25C6" w14:textId="66533722" w:rsidR="001549C4" w:rsidRPr="00A56B91" w:rsidRDefault="00DD71F6" w:rsidP="001549C4">
      <w:pPr>
        <w:jc w:val="center"/>
        <w:rPr>
          <w:rFonts w:ascii="Times New Roman" w:hAnsi="Times New Roman" w:cs="Times New Roman"/>
          <w:noProof/>
          <w:sz w:val="24"/>
        </w:rPr>
      </w:pPr>
      <w:r w:rsidRPr="00DD71F6">
        <w:rPr>
          <w:noProof/>
          <w:lang w:val="en-GB" w:eastAsia="en-GB"/>
        </w:rPr>
        <w:drawing>
          <wp:inline distT="0" distB="0" distL="0" distR="0" wp14:anchorId="5B372CF1" wp14:editId="337AE172">
            <wp:extent cx="5943600" cy="24358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435860"/>
                    </a:xfrm>
                    <a:prstGeom prst="rect">
                      <a:avLst/>
                    </a:prstGeom>
                    <a:noFill/>
                    <a:ln>
                      <a:noFill/>
                    </a:ln>
                  </pic:spPr>
                </pic:pic>
              </a:graphicData>
            </a:graphic>
          </wp:inline>
        </w:drawing>
      </w:r>
    </w:p>
    <w:p w14:paraId="036EE6D0"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L’assouplissement des formules de travail et les politiques en faveur de l’équilibre entre vie professionnelle et vie privée peuvent alléger la charge des soins pour les femmes.</w:t>
      </w:r>
      <w:r w:rsidRPr="001549C4">
        <w:rPr>
          <w:rFonts w:ascii="Times New Roman" w:hAnsi="Times New Roman"/>
          <w:noProof/>
          <w:sz w:val="24"/>
          <w:lang w:val="fr-BE"/>
        </w:rPr>
        <w:t xml:space="preserve"> Des expériences recueillies dans les États membres montrent que diverses mesures peuvent avoir des effets durables sur le rééquilibrage de la charge des soins entre les parents, y compris les formules de travail flexibles, les droits à congé adéquats, en particulier le congé de paternité et le congé parental non transférable et indemnisé correctement, en combinaison avec des mesures visant à accroître leur utilisation. Dans l’UE, les pères ont droit à au moins 10 jours de congé de paternité indemnisé et à quatre mois de congé parental indemnisé, mais ces droits ont été transposés de différentes manières en fonction des pays. Par exemple, l’</w:t>
      </w:r>
      <w:r w:rsidRPr="001549C4">
        <w:rPr>
          <w:rFonts w:ascii="Times New Roman" w:hAnsi="Times New Roman"/>
          <w:b/>
          <w:noProof/>
          <w:sz w:val="24"/>
          <w:lang w:val="fr-BE"/>
        </w:rPr>
        <w:t>Espagne</w:t>
      </w:r>
      <w:r w:rsidRPr="001549C4">
        <w:rPr>
          <w:rFonts w:ascii="Times New Roman" w:hAnsi="Times New Roman"/>
          <w:noProof/>
          <w:sz w:val="24"/>
          <w:lang w:val="fr-BE"/>
        </w:rPr>
        <w:t xml:space="preserve"> et la </w:t>
      </w:r>
      <w:r w:rsidRPr="001549C4">
        <w:rPr>
          <w:rFonts w:ascii="Times New Roman" w:hAnsi="Times New Roman"/>
          <w:b/>
          <w:noProof/>
          <w:sz w:val="24"/>
          <w:lang w:val="fr-BE"/>
        </w:rPr>
        <w:t>Finlande</w:t>
      </w:r>
      <w:r w:rsidRPr="001549C4">
        <w:rPr>
          <w:rFonts w:ascii="Times New Roman" w:hAnsi="Times New Roman"/>
          <w:noProof/>
          <w:sz w:val="24"/>
          <w:lang w:val="fr-BE"/>
        </w:rPr>
        <w:t xml:space="preserve"> offrent des durées de congé de paternité relativement longues</w:t>
      </w:r>
      <w:r>
        <w:rPr>
          <w:rStyle w:val="FootnoteReference"/>
          <w:rFonts w:ascii="Times New Roman" w:hAnsi="Times New Roman" w:cs="Times New Roman"/>
          <w:noProof/>
          <w:sz w:val="24"/>
          <w:lang w:val="en-IE"/>
        </w:rPr>
        <w:footnoteReference w:id="23"/>
      </w:r>
      <w:r w:rsidRPr="001549C4">
        <w:rPr>
          <w:rFonts w:ascii="Times New Roman" w:hAnsi="Times New Roman"/>
          <w:noProof/>
          <w:sz w:val="24"/>
          <w:lang w:val="fr-BE"/>
        </w:rPr>
        <w:t xml:space="preserve">. Pourtant, le recours au congé parental des pères reste généralement faible. Le congé d’aidant, tel qu’il est accordé généreusement aux </w:t>
      </w:r>
      <w:r w:rsidRPr="001549C4">
        <w:rPr>
          <w:rFonts w:ascii="Times New Roman" w:hAnsi="Times New Roman"/>
          <w:b/>
          <w:noProof/>
          <w:sz w:val="24"/>
          <w:lang w:val="fr-BE"/>
        </w:rPr>
        <w:t>Pays</w:t>
      </w:r>
      <w:r w:rsidRPr="001549C4">
        <w:rPr>
          <w:rFonts w:ascii="Times New Roman" w:hAnsi="Times New Roman"/>
          <w:b/>
          <w:noProof/>
          <w:sz w:val="24"/>
          <w:lang w:val="fr-BE"/>
        </w:rPr>
        <w:noBreakHyphen/>
        <w:t>Bas</w:t>
      </w:r>
      <w:r w:rsidRPr="001549C4">
        <w:rPr>
          <w:rFonts w:ascii="Times New Roman" w:hAnsi="Times New Roman"/>
          <w:noProof/>
          <w:sz w:val="24"/>
          <w:lang w:val="fr-BE"/>
        </w:rPr>
        <w:t xml:space="preserve">, par exemple, peut également aider ceux qui assument des responsabilités en matière de soins  à l’égard d’autres proches dépendants à rester sur le marché du travail. L’assouplissement des formules de travail peut permettre d’adapter le temps de travail en fonction des responsabilités familiales, notamment avec un travail à temps partiel bien équilibré entre les hommes et les femmes. Le recours au télétravail, dans la mesure du possible et dans de bonnes conditions, peut également contribuer à mieux concilier la vie de famille et la vie professionnelle. </w:t>
      </w:r>
    </w:p>
    <w:p w14:paraId="509970C9" w14:textId="77777777" w:rsidR="001549C4" w:rsidRPr="001549C4" w:rsidRDefault="001549C4" w:rsidP="001549C4">
      <w:pPr>
        <w:rPr>
          <w:rFonts w:ascii="Times New Roman" w:hAnsi="Times New Roman" w:cs="Times New Roman"/>
          <w:noProof/>
          <w:sz w:val="24"/>
          <w:lang w:val="fr-BE"/>
        </w:rPr>
      </w:pPr>
      <w:r w:rsidRPr="001549C4">
        <w:rPr>
          <w:rFonts w:ascii="Times New Roman" w:hAnsi="Times New Roman"/>
          <w:b/>
          <w:noProof/>
          <w:sz w:val="24"/>
          <w:lang w:val="fr-BE"/>
        </w:rPr>
        <w:t>Des réformes ciblées en matière de fiscalité et de prestations sociales peuvent faire en sorte que le travail paie.</w:t>
      </w:r>
      <w:r w:rsidRPr="001549C4">
        <w:rPr>
          <w:rFonts w:ascii="Times New Roman" w:hAnsi="Times New Roman"/>
          <w:noProof/>
          <w:sz w:val="24"/>
          <w:lang w:val="fr-BE"/>
        </w:rPr>
        <w:t xml:space="preserve"> En moyenne, une mère célibataire à faibles revenus qui occupe un emploi dans l’UE perd environ deux tiers de son salaire brut, en raison de la combinaison des frais de grade d’enfant, des impôts et des prestations non perçues</w:t>
      </w:r>
      <w:r>
        <w:rPr>
          <w:rFonts w:ascii="Times New Roman" w:hAnsi="Times New Roman" w:cs="Times New Roman"/>
          <w:noProof/>
          <w:sz w:val="24"/>
          <w:vertAlign w:val="superscript"/>
          <w:lang w:val="en-GB"/>
        </w:rPr>
        <w:footnoteReference w:id="24"/>
      </w:r>
      <w:r w:rsidRPr="001549C4">
        <w:rPr>
          <w:rFonts w:ascii="Times New Roman" w:hAnsi="Times New Roman"/>
          <w:noProof/>
          <w:sz w:val="24"/>
          <w:lang w:val="fr-BE"/>
        </w:rPr>
        <w:t xml:space="preserve">. Des systèmes de prélèvements et de prestations bien conçus,  qui suppriment par exemple les freins fiscaux pour les deuxièmes apporteurs de revenus des ménages, garantissent que tant les individus que leurs familles sont financièrement mieux lotis lorsqu’ils accèdent à un emploi rémunéré. Réduire l’impôt sur le revenu des personnes physiques et introduire ou étendre les crédits d’impôt sur le revenu pour les personnes à faibles revenus peut favoriser l’emploi rémunéré, tout en préservant la progressivité de la fiscalité directe afin de garantir le financement de la protection sociale et des investissements publics. Les allocations familiales peuvent constituer une incitation temporaire à fonder une famille. Il importe toutefois de veiller à ce qu’elles soient conçues de manière ciblée et qu’elles ne dissuadent pas les femmes d’accepter un travail rémunéré, comme c’est le cas, par exemple, de l’«allocation de soins flexible» proposée en </w:t>
      </w:r>
      <w:r w:rsidRPr="001549C4">
        <w:rPr>
          <w:rFonts w:ascii="Times New Roman" w:hAnsi="Times New Roman"/>
          <w:b/>
          <w:noProof/>
          <w:sz w:val="24"/>
          <w:lang w:val="fr-BE"/>
        </w:rPr>
        <w:t>Finlande</w:t>
      </w:r>
      <w:r w:rsidRPr="001549C4">
        <w:rPr>
          <w:rFonts w:ascii="Times New Roman" w:hAnsi="Times New Roman"/>
          <w:noProof/>
          <w:sz w:val="24"/>
          <w:lang w:val="fr-BE"/>
        </w:rPr>
        <w:t>.</w:t>
      </w:r>
    </w:p>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90"/>
      </w:tblGrid>
      <w:tr w:rsidR="001549C4" w:rsidRPr="001549C4" w14:paraId="137EB4C3" w14:textId="77777777" w:rsidTr="00317A8D">
        <w:tc>
          <w:tcPr>
            <w:tcW w:w="9390" w:type="dxa"/>
            <w:shd w:val="clear" w:color="auto" w:fill="FFF2CC" w:themeFill="accent1" w:themeFillTint="33"/>
          </w:tcPr>
          <w:p w14:paraId="2988A3D7" w14:textId="77777777" w:rsidR="001549C4" w:rsidRPr="001549C4" w:rsidRDefault="001549C4" w:rsidP="00317A8D">
            <w:pPr>
              <w:pStyle w:val="Boxtitle"/>
              <w:jc w:val="both"/>
              <w:rPr>
                <w:rFonts w:ascii="Times New Roman" w:hAnsi="Times New Roman"/>
                <w:noProof/>
                <w:lang w:val="fr-BE"/>
              </w:rPr>
            </w:pPr>
            <w:r w:rsidRPr="001549C4">
              <w:rPr>
                <w:rFonts w:ascii="Times New Roman" w:hAnsi="Times New Roman"/>
                <w:noProof/>
                <w:lang w:val="fr-BE"/>
              </w:rPr>
              <w:t>Principaux instruments au niveau de l’UE:</w:t>
            </w:r>
          </w:p>
          <w:p w14:paraId="7A023A41" w14:textId="77777777" w:rsidR="001549C4" w:rsidRPr="001549C4" w:rsidRDefault="001549C4" w:rsidP="00317A8D">
            <w:pPr>
              <w:pStyle w:val="Paragraphedelistebullets"/>
              <w:jc w:val="both"/>
              <w:rPr>
                <w:noProof/>
                <w:lang w:val="fr-BE"/>
              </w:rPr>
            </w:pPr>
            <w:r w:rsidRPr="001549C4">
              <w:rPr>
                <w:noProof/>
                <w:lang w:val="fr-BE"/>
              </w:rPr>
              <w:t xml:space="preserve">La </w:t>
            </w:r>
            <w:r w:rsidRPr="001549C4">
              <w:rPr>
                <w:b/>
                <w:noProof/>
                <w:lang w:val="fr-BE"/>
              </w:rPr>
              <w:t>directive concernant l’équilibre entre vie professionnelle et vie privée</w:t>
            </w:r>
            <w:r>
              <w:rPr>
                <w:rStyle w:val="FootnoteReference"/>
                <w:noProof/>
              </w:rPr>
              <w:footnoteReference w:id="25"/>
            </w:r>
            <w:r w:rsidRPr="001549C4">
              <w:rPr>
                <w:noProof/>
                <w:lang w:val="fr-BE"/>
              </w:rPr>
              <w:t xml:space="preserve"> a introduit le droit à un congé de paternité indemnisé, un congé parental indemnisé, un droit au congé d’aidant et un droit à demander des formules souples de travail pour tous les parents qui travaillent (au moins jusqu’aux 8 ans de l’enfant).</w:t>
            </w:r>
          </w:p>
          <w:p w14:paraId="4281D6EF" w14:textId="77777777" w:rsidR="001549C4" w:rsidRPr="001549C4" w:rsidRDefault="001549C4" w:rsidP="00317A8D">
            <w:pPr>
              <w:pStyle w:val="Paragraphedelistebullets"/>
              <w:ind w:left="312" w:right="0" w:hanging="238"/>
              <w:jc w:val="both"/>
              <w:rPr>
                <w:noProof/>
                <w:lang w:val="fr-BE"/>
              </w:rPr>
            </w:pPr>
            <w:r w:rsidRPr="001549C4">
              <w:rPr>
                <w:noProof/>
                <w:lang w:val="fr-BE"/>
              </w:rPr>
              <w:t xml:space="preserve">Parmi les autres protections juridiques figurent notamment la </w:t>
            </w:r>
            <w:r w:rsidRPr="001549C4">
              <w:rPr>
                <w:b/>
                <w:bCs/>
                <w:noProof/>
                <w:lang w:val="fr-BE"/>
              </w:rPr>
              <w:t>directive sur les travailleuses enceintes</w:t>
            </w:r>
            <w:r>
              <w:rPr>
                <w:rStyle w:val="FootnoteReference"/>
                <w:noProof/>
              </w:rPr>
              <w:footnoteReference w:id="26"/>
            </w:r>
            <w:r w:rsidRPr="001549C4">
              <w:rPr>
                <w:noProof/>
                <w:lang w:val="fr-BE"/>
              </w:rPr>
              <w:t xml:space="preserve"> (droit à un congé minimal de maternité et protection contre le licenciement pendant ledit congé) et la </w:t>
            </w:r>
            <w:r w:rsidRPr="001549C4">
              <w:rPr>
                <w:b/>
                <w:noProof/>
                <w:lang w:val="fr-BE"/>
              </w:rPr>
              <w:t>directive sur l’égalité des chances et l’égalité de traitement entre hommes et femmes en matière d’emploi et de travail</w:t>
            </w:r>
            <w:r>
              <w:rPr>
                <w:rStyle w:val="FootnoteReference"/>
                <w:noProof/>
              </w:rPr>
              <w:footnoteReference w:id="27"/>
            </w:r>
            <w:r w:rsidRPr="001549C4">
              <w:rPr>
                <w:noProof/>
                <w:lang w:val="fr-BE"/>
              </w:rPr>
              <w:t xml:space="preserve"> (protection contre le licenciement pendant le congé de paternité et le congé d’adoption).</w:t>
            </w:r>
          </w:p>
          <w:p w14:paraId="0A1F6A77" w14:textId="77777777" w:rsidR="001549C4" w:rsidRPr="001549C4" w:rsidRDefault="001549C4" w:rsidP="00317A8D">
            <w:pPr>
              <w:pStyle w:val="Paragraphedelistebullets"/>
              <w:jc w:val="both"/>
              <w:rPr>
                <w:noProof/>
                <w:lang w:val="fr-BE"/>
              </w:rPr>
            </w:pPr>
            <w:r w:rsidRPr="001549C4">
              <w:rPr>
                <w:noProof/>
                <w:lang w:val="fr-BE"/>
              </w:rPr>
              <w:t xml:space="preserve">La </w:t>
            </w:r>
            <w:r w:rsidRPr="001549C4">
              <w:rPr>
                <w:b/>
                <w:noProof/>
                <w:lang w:val="fr-BE"/>
              </w:rPr>
              <w:t>recommandation du Conseil concernant l’éducation et l’accueil de la petite enfance</w:t>
            </w:r>
            <w:r>
              <w:rPr>
                <w:rStyle w:val="FootnoteReference"/>
                <w:noProof/>
              </w:rPr>
              <w:footnoteReference w:id="28"/>
            </w:r>
            <w:r w:rsidRPr="001549C4">
              <w:rPr>
                <w:noProof/>
                <w:lang w:val="fr-BE"/>
              </w:rPr>
              <w:t xml:space="preserve"> encourage les États membres à accroître la participation à ces services en fixant des objectifs ambitieux et soutient la prestation de services de qualité, abordables et accessibles, qui accordent une attention particulière à l’inclusion des enfants issus de milieux défavorisés.</w:t>
            </w:r>
          </w:p>
          <w:p w14:paraId="72441053" w14:textId="77777777" w:rsidR="001549C4" w:rsidRPr="001549C4" w:rsidRDefault="001549C4" w:rsidP="00317A8D">
            <w:pPr>
              <w:pStyle w:val="Paragraphedelistebullets"/>
              <w:jc w:val="both"/>
              <w:rPr>
                <w:noProof/>
                <w:lang w:val="fr-BE"/>
              </w:rPr>
            </w:pPr>
            <w:r w:rsidRPr="001549C4">
              <w:rPr>
                <w:noProof/>
                <w:lang w:val="fr-BE"/>
              </w:rPr>
              <w:t xml:space="preserve">La </w:t>
            </w:r>
            <w:r w:rsidRPr="001549C4">
              <w:rPr>
                <w:b/>
                <w:noProof/>
                <w:lang w:val="fr-BE"/>
              </w:rPr>
              <w:t>déclaration sur les femmes dans le numérique</w:t>
            </w:r>
            <w:r w:rsidRPr="001549C4">
              <w:rPr>
                <w:noProof/>
                <w:lang w:val="fr-BE"/>
              </w:rPr>
              <w:t xml:space="preserve"> engage les États membres à renforcer la participation des femmes au monde numérique, en collaborant avec les secteurs public et privé et la société civile afin de parvenir à l’égalité dans le domaine des technologies.</w:t>
            </w:r>
          </w:p>
          <w:p w14:paraId="383329BA" w14:textId="77777777" w:rsidR="001549C4" w:rsidRPr="004934AD" w:rsidRDefault="001549C4" w:rsidP="00317A8D">
            <w:pPr>
              <w:pStyle w:val="Boxtitle"/>
              <w:jc w:val="both"/>
              <w:rPr>
                <w:rFonts w:ascii="Times New Roman" w:hAnsi="Times New Roman"/>
                <w:noProof/>
              </w:rPr>
            </w:pPr>
            <w:r>
              <w:rPr>
                <w:rFonts w:ascii="Times New Roman" w:hAnsi="Times New Roman"/>
                <w:noProof/>
              </w:rPr>
              <w:t>Prochaines étapes importantes:</w:t>
            </w:r>
          </w:p>
          <w:p w14:paraId="1DD49BDD" w14:textId="77777777" w:rsidR="001549C4" w:rsidRPr="001549C4" w:rsidRDefault="001549C4" w:rsidP="00317A8D">
            <w:pPr>
              <w:pStyle w:val="Paragraphedelistebullets"/>
              <w:jc w:val="both"/>
              <w:rPr>
                <w:noProof/>
                <w:lang w:val="fr-BE"/>
              </w:rPr>
            </w:pPr>
            <w:r w:rsidRPr="001549C4">
              <w:rPr>
                <w:noProof/>
                <w:lang w:val="fr-BE"/>
              </w:rPr>
              <w:t xml:space="preserve">La révision de la </w:t>
            </w:r>
            <w:r w:rsidRPr="001549C4">
              <w:rPr>
                <w:b/>
                <w:noProof/>
                <w:lang w:val="fr-BE"/>
              </w:rPr>
              <w:t>directive concernant l’équilibre entre vie professionnelle et vie privée</w:t>
            </w:r>
            <w:r w:rsidRPr="001549C4">
              <w:rPr>
                <w:noProof/>
                <w:lang w:val="fr-BE"/>
              </w:rPr>
              <w:t xml:space="preserve"> en 2027 sera l’occasion d’évaluer si les règles sont toujours adaptées à l’évolution des pratiques de travail.</w:t>
            </w:r>
          </w:p>
          <w:p w14:paraId="006C3838" w14:textId="77777777" w:rsidR="001549C4" w:rsidRPr="001549C4" w:rsidRDefault="001549C4" w:rsidP="00317A8D">
            <w:pPr>
              <w:pStyle w:val="Paragraphedelistebullets"/>
              <w:jc w:val="both"/>
              <w:rPr>
                <w:noProof/>
                <w:lang w:val="fr-BE"/>
              </w:rPr>
            </w:pPr>
            <w:r w:rsidRPr="001549C4">
              <w:rPr>
                <w:noProof/>
                <w:lang w:val="fr-BE"/>
              </w:rPr>
              <w:t xml:space="preserve">Dans le cadre de sa stratégie en faveur de l’égalité entre les hommes et les femmes, la Commission organisera une </w:t>
            </w:r>
            <w:r w:rsidRPr="001549C4">
              <w:rPr>
                <w:b/>
                <w:noProof/>
                <w:lang w:val="fr-BE"/>
              </w:rPr>
              <w:t>campagne sur les droits en matière d’équilibre entre vie professionnelle et vie privée</w:t>
            </w:r>
            <w:r w:rsidRPr="001549C4">
              <w:rPr>
                <w:noProof/>
                <w:lang w:val="fr-BE"/>
              </w:rPr>
              <w:t xml:space="preserve"> afin de sensibiliser les parents et les aidants qui travaillent à leurs droits et lancera un appel dans le cadre du </w:t>
            </w:r>
            <w:r w:rsidRPr="001549C4">
              <w:rPr>
                <w:b/>
                <w:noProof/>
                <w:lang w:val="fr-BE"/>
              </w:rPr>
              <w:t>programme «Citoyenneté, égalité, droits et valeurs»</w:t>
            </w:r>
            <w:r w:rsidRPr="001549C4">
              <w:rPr>
                <w:noProof/>
                <w:lang w:val="fr-BE"/>
              </w:rPr>
              <w:t xml:space="preserve"> pour des projets visant à promouvoir des formules de temps de travail favorables à la famille et à faire reconnaître la valeur des soins.</w:t>
            </w:r>
          </w:p>
          <w:p w14:paraId="52B56208" w14:textId="77777777" w:rsidR="001549C4" w:rsidRPr="001549C4" w:rsidRDefault="001549C4" w:rsidP="00317A8D">
            <w:pPr>
              <w:pStyle w:val="Paragraphedelistebullets"/>
              <w:jc w:val="both"/>
              <w:rPr>
                <w:noProof/>
                <w:lang w:val="fr-BE"/>
              </w:rPr>
            </w:pPr>
            <w:r w:rsidRPr="001549C4">
              <w:rPr>
                <w:noProof/>
                <w:lang w:val="fr-BE"/>
              </w:rPr>
              <w:t xml:space="preserve">D’ici juin 2024, les États membres devraient informer la Commission des mesures mises en œuvre ou prévues au titre de la </w:t>
            </w:r>
            <w:r w:rsidRPr="001549C4">
              <w:rPr>
                <w:b/>
                <w:noProof/>
                <w:lang w:val="fr-BE"/>
              </w:rPr>
              <w:t>recommandation du Conseil concernant l’éducation et l’accueil de la petite enfance</w:t>
            </w:r>
            <w:r w:rsidRPr="001549C4">
              <w:rPr>
                <w:noProof/>
                <w:lang w:val="fr-BE"/>
              </w:rPr>
              <w:t xml:space="preserve"> en vue d’atteindre les objectifs fixés pour 2030.</w:t>
            </w:r>
          </w:p>
        </w:tc>
      </w:tr>
    </w:tbl>
    <w:p w14:paraId="7EE95256" w14:textId="77777777" w:rsidR="001549C4" w:rsidRPr="001549C4" w:rsidRDefault="001549C4" w:rsidP="001549C4">
      <w:pPr>
        <w:pStyle w:val="Heading2"/>
        <w:rPr>
          <w:noProof/>
          <w:lang w:val="fr-BE"/>
        </w:rPr>
      </w:pPr>
      <w:r w:rsidRPr="001549C4">
        <w:rPr>
          <w:noProof/>
          <w:lang w:val="fr-BE"/>
        </w:rPr>
        <w:t>Soutenir les jeunes générations et leur donner les moyens de prospérer</w:t>
      </w:r>
    </w:p>
    <w:p w14:paraId="5808A19B" w14:textId="77777777" w:rsidR="001549C4" w:rsidRPr="001549C4" w:rsidRDefault="001549C4" w:rsidP="001549C4">
      <w:pPr>
        <w:rPr>
          <w:rFonts w:ascii="Times New Roman" w:hAnsi="Times New Roman" w:cs="Times New Roman"/>
          <w:noProof/>
          <w:color w:val="000000" w:themeColor="text1"/>
          <w:sz w:val="24"/>
          <w:lang w:val="fr-BE"/>
        </w:rPr>
      </w:pPr>
      <w:r w:rsidRPr="001549C4">
        <w:rPr>
          <w:rFonts w:ascii="Times New Roman" w:hAnsi="Times New Roman"/>
          <w:b/>
          <w:noProof/>
          <w:sz w:val="24"/>
          <w:lang w:val="fr-BE"/>
        </w:rPr>
        <w:t>Le potentiel des jeunes en Europe doit encore être exploité pleinement.</w:t>
      </w:r>
      <w:r w:rsidRPr="001549C4">
        <w:rPr>
          <w:rFonts w:ascii="Times New Roman" w:hAnsi="Times New Roman"/>
          <w:noProof/>
          <w:sz w:val="24"/>
          <w:lang w:val="fr-BE"/>
        </w:rPr>
        <w:t xml:space="preserve"> En 2022, plus d’un jeune sur dix âgé de 15 à 29 ans dans l’UE ne travaillait pas et ne suivait ni études ni formation (NEET)</w:t>
      </w:r>
      <w:r>
        <w:rPr>
          <w:rStyle w:val="FootnoteReference"/>
          <w:rFonts w:ascii="Times New Roman" w:hAnsi="Times New Roman" w:cs="Times New Roman"/>
          <w:noProof/>
          <w:sz w:val="24"/>
          <w:lang w:val="en-IE"/>
        </w:rPr>
        <w:footnoteReference w:id="29"/>
      </w:r>
      <w:r w:rsidRPr="001549C4">
        <w:rPr>
          <w:rFonts w:ascii="Times New Roman" w:hAnsi="Times New Roman"/>
          <w:noProof/>
          <w:sz w:val="24"/>
          <w:lang w:val="fr-BE"/>
        </w:rPr>
        <w:t xml:space="preserve">, notamment 13,1 % des jeunes femmes, 20 % des jeunes nés en dehors de l’UE et 56 % des jeunes Roms âgés de 16 à 24 ans. Ces chiffres présentent d’importantes disparités territoriales dans l’ensemble de l’UE, les taux de NEET étant particulièrement élevés dans les régions du sud et de l’est de l’UE, ainsi que dans les régions ultrapériphériques de la France. Dans certaines de ces régions, plus d’un quart des jeunes étaient concernés. Les jeunes issus de familles défavorisées, dont les parents ont un faible niveau d’éducation, par exemple, ont tendance à obtenir de moins bonnes notes et ont un plus grand risque de décrochage scolaire. L’abandon scolaire et le chômage empêchent les jeunes d’acquérir de l’expérience et d’apprendre sur leur lieu de travail, ce qui peut avoir une incidence sur leurs perspectives d’emploi à long terme. </w:t>
      </w:r>
      <w:r w:rsidRPr="001549C4">
        <w:rPr>
          <w:rFonts w:ascii="Times New Roman" w:hAnsi="Times New Roman"/>
          <w:noProof/>
          <w:color w:val="000000" w:themeColor="text1"/>
          <w:sz w:val="24"/>
          <w:lang w:val="fr-BE"/>
        </w:rPr>
        <w:t>Ces facteurs influencent négativement les rapports de dépendance entre  la population active occupée et la population non active.</w:t>
      </w:r>
    </w:p>
    <w:p w14:paraId="5E2C9498" w14:textId="77777777" w:rsidR="001549C4" w:rsidRPr="001549C4" w:rsidRDefault="001549C4" w:rsidP="001549C4">
      <w:pPr>
        <w:pStyle w:val="Subtitle"/>
        <w:rPr>
          <w:rFonts w:ascii="Times New Roman" w:hAnsi="Times New Roman"/>
          <w:noProof/>
          <w:sz w:val="24"/>
          <w:szCs w:val="24"/>
          <w:lang w:val="fr-BE"/>
        </w:rPr>
      </w:pPr>
      <w:r w:rsidRPr="001549C4">
        <w:rPr>
          <w:rFonts w:ascii="Times New Roman" w:hAnsi="Times New Roman"/>
          <w:noProof/>
          <w:sz w:val="24"/>
          <w:lang w:val="fr-BE"/>
        </w:rPr>
        <w:t>Jeunes de 15 à 29 ans qui ne travaillent pas et qui ne suivent ni études ni formation, en 2022</w:t>
      </w:r>
    </w:p>
    <w:p w14:paraId="6F4D6A86" w14:textId="20309284" w:rsidR="001549C4" w:rsidRPr="001549C4" w:rsidRDefault="00DD71F6" w:rsidP="00DD71F6">
      <w:pPr>
        <w:keepNext/>
        <w:keepLines/>
        <w:widowControl w:val="0"/>
        <w:rPr>
          <w:rFonts w:ascii="Times New Roman" w:hAnsi="Times New Roman" w:cs="Times New Roman"/>
          <w:noProof/>
          <w:sz w:val="24"/>
          <w:lang w:val="fr-BE"/>
        </w:rPr>
      </w:pPr>
      <w:r w:rsidRPr="00DD71F6">
        <w:rPr>
          <w:noProof/>
          <w:lang w:val="en-GB" w:eastAsia="en-GB"/>
        </w:rPr>
        <w:drawing>
          <wp:inline distT="0" distB="0" distL="0" distR="0" wp14:anchorId="73E085FD" wp14:editId="6E3BEB65">
            <wp:extent cx="5943600" cy="19723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972310"/>
                    </a:xfrm>
                    <a:prstGeom prst="rect">
                      <a:avLst/>
                    </a:prstGeom>
                    <a:noFill/>
                    <a:ln>
                      <a:noFill/>
                    </a:ln>
                  </pic:spPr>
                </pic:pic>
              </a:graphicData>
            </a:graphic>
          </wp:inline>
        </w:drawing>
      </w:r>
      <w:r w:rsidR="001549C4" w:rsidRPr="001549C4">
        <w:rPr>
          <w:rFonts w:ascii="Times New Roman" w:hAnsi="Times New Roman"/>
          <w:b/>
          <w:noProof/>
          <w:sz w:val="24"/>
          <w:lang w:val="fr-BE"/>
        </w:rPr>
        <w:t xml:space="preserve">Pour donner aux jeunes les moyens d’agir, il faut d’abord promouvoir un environnement propice à l’épanouissement de tous les enfants. </w:t>
      </w:r>
      <w:r w:rsidR="001549C4" w:rsidRPr="001549C4">
        <w:rPr>
          <w:rFonts w:ascii="Times New Roman" w:hAnsi="Times New Roman"/>
          <w:noProof/>
          <w:sz w:val="24"/>
          <w:lang w:val="fr-BE"/>
        </w:rPr>
        <w:t>Il convient de protéger les enfants, de les soutenir et de les autonomiser. Cela est particulièrement important pendant les premières années de la vie d’un enfant.</w:t>
      </w:r>
      <w:r w:rsidR="001549C4" w:rsidRPr="001549C4">
        <w:rPr>
          <w:rFonts w:ascii="Times New Roman" w:hAnsi="Times New Roman"/>
          <w:b/>
          <w:noProof/>
          <w:sz w:val="24"/>
          <w:lang w:val="fr-BE"/>
        </w:rPr>
        <w:t xml:space="preserve"> </w:t>
      </w:r>
      <w:r w:rsidR="001549C4" w:rsidRPr="001549C4">
        <w:rPr>
          <w:rFonts w:ascii="Times New Roman" w:hAnsi="Times New Roman"/>
          <w:noProof/>
          <w:sz w:val="24"/>
          <w:lang w:val="fr-BE"/>
        </w:rPr>
        <w:t xml:space="preserve">Outre le soutien au revenu des parents, les principales solutions consistent notamment à garantir l’accès des enfants à des services inclusifs et de qualité, en particulier l’éducation et l’accueil des jeunes enfants, l’éducation de base (y compris les activités à l’école), les soins de santé et la nutrition. Par exemple, la </w:t>
      </w:r>
      <w:r w:rsidR="001549C4" w:rsidRPr="001549C4">
        <w:rPr>
          <w:rFonts w:ascii="Times New Roman" w:hAnsi="Times New Roman"/>
          <w:b/>
          <w:noProof/>
          <w:sz w:val="24"/>
          <w:lang w:val="fr-BE"/>
        </w:rPr>
        <w:t>Bulgarie</w:t>
      </w:r>
      <w:r w:rsidR="001549C4" w:rsidRPr="001549C4">
        <w:rPr>
          <w:rFonts w:ascii="Times New Roman" w:hAnsi="Times New Roman"/>
          <w:noProof/>
          <w:sz w:val="24"/>
          <w:lang w:val="fr-BE"/>
        </w:rPr>
        <w:t xml:space="preserve"> investit 245 millions d’EUR au titre de la facilité pour la reprise et la résilience (FRR) pour moderniser les outils d’enseignement et améliorer l’apprentissage des STIM dans les écoles grâce à la création d’un centre national et de trois centres régionaux dans le domaine des STIM, ainsi que de plus de 2 200 laboratoires spécialisés dans les STIM et salles de classe de haute technologie. Les jeunes présentant des vulnérabilités diverses ou multiples, tels que les jeunes en décrochage scolaire, les jeunes handicapés ou les jeunes qui souffrent de problèmes de santé, devraient bénéficier d’un soutien sur mesure. </w:t>
      </w:r>
    </w:p>
    <w:p w14:paraId="07FC98AF" w14:textId="77777777" w:rsidR="001549C4" w:rsidRPr="001549C4" w:rsidRDefault="001549C4" w:rsidP="001549C4">
      <w:pPr>
        <w:spacing w:after="0" w:line="240" w:lineRule="auto"/>
        <w:rPr>
          <w:rFonts w:ascii="Times New Roman" w:hAnsi="Times New Roman" w:cs="Times New Roman"/>
          <w:noProof/>
          <w:sz w:val="24"/>
          <w:lang w:val="fr-BE"/>
        </w:rPr>
      </w:pPr>
      <w:r w:rsidRPr="001549C4">
        <w:rPr>
          <w:rFonts w:ascii="Times New Roman" w:hAnsi="Times New Roman"/>
          <w:b/>
          <w:noProof/>
          <w:sz w:val="24"/>
          <w:lang w:val="fr-BE"/>
        </w:rPr>
        <w:t>Il est essentiel pour leurs perspectives à long terme de promouvoir l’accès des jeunes à des emplois de qualité, à un logement abordable et à un niveau de vie décent.</w:t>
      </w:r>
      <w:r w:rsidRPr="001549C4">
        <w:rPr>
          <w:rFonts w:ascii="Times New Roman" w:hAnsi="Times New Roman"/>
          <w:noProof/>
          <w:sz w:val="24"/>
          <w:lang w:val="fr-BE"/>
        </w:rPr>
        <w:t xml:space="preserve"> Les investissements dans l’éducation et la formation sont déterminants pour mobiliser les jeunes et les doter de compétences de base ainsi que de compétences durables, telles que celles qui sont nécessaires à la double transition écologique et numérique, comme cela a été fait en </w:t>
      </w:r>
      <w:r w:rsidRPr="001549C4">
        <w:rPr>
          <w:rFonts w:ascii="Times New Roman" w:hAnsi="Times New Roman"/>
          <w:b/>
          <w:noProof/>
          <w:sz w:val="24"/>
          <w:lang w:val="fr-BE"/>
        </w:rPr>
        <w:t>Italie</w:t>
      </w:r>
      <w:r w:rsidRPr="001549C4">
        <w:rPr>
          <w:rFonts w:ascii="Times New Roman" w:hAnsi="Times New Roman"/>
          <w:noProof/>
          <w:sz w:val="24"/>
          <w:lang w:val="fr-BE"/>
        </w:rPr>
        <w:t xml:space="preserve"> avec l’initiative «School 4.0», qui vise à transformer 100 000 classes en espaces d’apprentissage innovants. Comme le souligne le rapport de prospective stratégique 2023, afin de gérer l’évolution démographique, l’UE a besoin d’outils solides pour prévoir de manière détaillée les besoins en compétences et en main</w:t>
      </w:r>
      <w:r w:rsidRPr="001549C4">
        <w:rPr>
          <w:rFonts w:ascii="Times New Roman" w:hAnsi="Times New Roman"/>
          <w:noProof/>
          <w:sz w:val="24"/>
          <w:lang w:val="fr-BE"/>
        </w:rPr>
        <w:noBreakHyphen/>
        <w:t xml:space="preserve">d’œuvre dans les secteurs clés. </w:t>
      </w:r>
      <w:r w:rsidRPr="001549C4">
        <w:rPr>
          <w:rFonts w:ascii="Times New Roman" w:hAnsi="Times New Roman"/>
          <w:noProof/>
          <w:color w:val="000000" w:themeColor="text1"/>
          <w:sz w:val="24"/>
          <w:lang w:val="fr-BE"/>
        </w:rPr>
        <w:t xml:space="preserve">En outre, pour faciliter les transitions entre l’école et le monde du travail, il est fondamental de sensibiliser les jeunes, comme le fait par exemple la </w:t>
      </w:r>
      <w:r w:rsidRPr="001549C4">
        <w:rPr>
          <w:rFonts w:ascii="Times New Roman" w:hAnsi="Times New Roman"/>
          <w:b/>
          <w:bCs/>
          <w:noProof/>
          <w:color w:val="000000" w:themeColor="text1"/>
          <w:sz w:val="24"/>
          <w:lang w:val="fr-BE"/>
        </w:rPr>
        <w:t>Slovénie</w:t>
      </w:r>
      <w:r w:rsidRPr="001549C4">
        <w:rPr>
          <w:rFonts w:ascii="Times New Roman" w:hAnsi="Times New Roman"/>
          <w:noProof/>
          <w:color w:val="000000" w:themeColor="text1"/>
          <w:sz w:val="24"/>
          <w:lang w:val="fr-BE"/>
        </w:rPr>
        <w:t xml:space="preserve"> avec ses «ambassadeurs» de la jeunesse locale, qui informent leurs pairs des possibilités offertes par la garantie pour la jeunesse, ainsi que des stages et des possibilités d’enseignement et de formation professionnels de qualité, y compris des apprentissages.</w:t>
      </w:r>
      <w:r w:rsidRPr="001549C4">
        <w:rPr>
          <w:rFonts w:ascii="Times New Roman" w:hAnsi="Times New Roman"/>
          <w:noProof/>
          <w:sz w:val="24"/>
          <w:lang w:val="fr-BE"/>
        </w:rPr>
        <w:t xml:space="preserve"> La mobilité temporaire à des fins d’apprentissage entre les régions et entre les pays peut améliorer les possibilités offertes aux jeunes. En plus d’améliorer l’intégration sur le marché du travail, l’accès aux services de base (y compris aux services de santé mentale) et à des logements abordables et économes en énergie détermine les possibilités pour les jeunes de fonder une famille. En </w:t>
      </w:r>
      <w:r w:rsidRPr="001549C4">
        <w:rPr>
          <w:rFonts w:ascii="Times New Roman" w:hAnsi="Times New Roman"/>
          <w:b/>
          <w:noProof/>
          <w:sz w:val="24"/>
          <w:lang w:val="fr-BE"/>
        </w:rPr>
        <w:t>Hongrie</w:t>
      </w:r>
      <w:r w:rsidRPr="001549C4">
        <w:rPr>
          <w:rFonts w:ascii="Times New Roman" w:hAnsi="Times New Roman"/>
          <w:noProof/>
          <w:sz w:val="24"/>
          <w:lang w:val="fr-BE"/>
        </w:rPr>
        <w:t>, l’aide au logement des familles est une subvention publique non remboursable pour les familles élevant au moins un enfant, y compris les couples de même sexe, destinée à l’achat ou à l’agrandissement d’un appartement ou d’une maison. Les familles vivant dans de petites localités peuvent bénéficier de l’aide au logement des familles rurales, qui doit contribuer au maintien de la population dans ces zones rurales. Les régions qui se trouvent dans un «piège de développement des talents» (ou qui sont exposées au risque d’un tel piège) ont besoin d’un soutien ciblé et territorialisé pour favoriser la revitalisation économique, les possibilités d’éducation et un meilleur accès aux services et au logement.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22"/>
      </w:tblGrid>
      <w:tr w:rsidR="001549C4" w:rsidRPr="001549C4" w14:paraId="39747DC2" w14:textId="77777777" w:rsidTr="00317A8D">
        <w:tc>
          <w:tcPr>
            <w:tcW w:w="9322" w:type="dxa"/>
            <w:shd w:val="clear" w:color="auto" w:fill="FFF2CC" w:themeFill="accent1" w:themeFillTint="33"/>
          </w:tcPr>
          <w:p w14:paraId="007A2AC0" w14:textId="77777777" w:rsidR="001549C4" w:rsidRPr="001549C4" w:rsidRDefault="001549C4" w:rsidP="00317A8D">
            <w:pPr>
              <w:pStyle w:val="Boxtitle"/>
              <w:jc w:val="both"/>
              <w:rPr>
                <w:rFonts w:ascii="Times New Roman" w:hAnsi="Times New Roman"/>
                <w:noProof/>
                <w:lang w:val="fr-BE"/>
              </w:rPr>
            </w:pPr>
            <w:r w:rsidRPr="001549C4">
              <w:rPr>
                <w:rFonts w:ascii="Times New Roman" w:hAnsi="Times New Roman"/>
                <w:noProof/>
                <w:lang w:val="fr-BE"/>
              </w:rPr>
              <w:t>Principaux instruments au niveau de l’UE:</w:t>
            </w:r>
          </w:p>
          <w:p w14:paraId="69C6AB90" w14:textId="77777777" w:rsidR="001549C4" w:rsidRPr="001549C4" w:rsidRDefault="001549C4" w:rsidP="00317A8D">
            <w:pPr>
              <w:pStyle w:val="Paragraphedelistebullets"/>
              <w:jc w:val="both"/>
              <w:rPr>
                <w:noProof/>
                <w:lang w:val="fr-BE"/>
              </w:rPr>
            </w:pPr>
            <w:r w:rsidRPr="001549C4">
              <w:rPr>
                <w:noProof/>
                <w:lang w:val="fr-BE"/>
              </w:rPr>
              <w:t xml:space="preserve">Dans le cadre de la stratégie de l’UE sur les droits de l’enfant, la </w:t>
            </w:r>
            <w:r w:rsidRPr="001549C4">
              <w:rPr>
                <w:b/>
                <w:noProof/>
                <w:lang w:val="fr-BE"/>
              </w:rPr>
              <w:t>garantie européenne pour l’enfance</w:t>
            </w:r>
            <w:r>
              <w:rPr>
                <w:rStyle w:val="FootnoteReference"/>
                <w:noProof/>
              </w:rPr>
              <w:footnoteReference w:id="30"/>
            </w:r>
            <w:r w:rsidRPr="001549C4">
              <w:rPr>
                <w:noProof/>
                <w:lang w:val="fr-BE"/>
              </w:rPr>
              <w:t xml:space="preserve"> vise à lutter contre l’exclusion sociale en garantissant aux enfants dans le besoin un accès effectif à des services essentiels, y compris des services gratuits d’éducation et d’accueil des jeunes enfants. </w:t>
            </w:r>
          </w:p>
          <w:p w14:paraId="05B0ACC7" w14:textId="77777777" w:rsidR="001549C4" w:rsidRPr="001549C4" w:rsidRDefault="001549C4" w:rsidP="00317A8D">
            <w:pPr>
              <w:pStyle w:val="Paragraphedelistebullets"/>
              <w:jc w:val="both"/>
              <w:rPr>
                <w:noProof/>
                <w:lang w:val="fr-BE"/>
              </w:rPr>
            </w:pPr>
            <w:r w:rsidRPr="001549C4">
              <w:rPr>
                <w:noProof/>
                <w:lang w:val="fr-BE"/>
              </w:rPr>
              <w:t>L’</w:t>
            </w:r>
            <w:r w:rsidRPr="001549C4">
              <w:rPr>
                <w:b/>
                <w:bCs/>
                <w:noProof/>
                <w:lang w:val="fr-BE"/>
              </w:rPr>
              <w:t>espace européen de l’éducation</w:t>
            </w:r>
            <w:r w:rsidRPr="001549C4">
              <w:rPr>
                <w:noProof/>
                <w:lang w:val="fr-BE"/>
              </w:rPr>
              <w:t xml:space="preserve"> fixe sept objectifs pour 2025 et 2030</w:t>
            </w:r>
            <w:r>
              <w:rPr>
                <w:rStyle w:val="FootnoteReference"/>
                <w:noProof/>
              </w:rPr>
              <w:footnoteReference w:id="31"/>
            </w:r>
            <w:r w:rsidRPr="001549C4">
              <w:rPr>
                <w:noProof/>
                <w:lang w:val="fr-BE"/>
              </w:rPr>
              <w:t>, notamment en ce qui concerne la participation à l’EAJE, le décrochage scolaire et les performances insuffisantes des élèves.</w:t>
            </w:r>
          </w:p>
          <w:p w14:paraId="65E0F7BA" w14:textId="77777777" w:rsidR="001549C4" w:rsidRPr="001549C4" w:rsidRDefault="001549C4" w:rsidP="00317A8D">
            <w:pPr>
              <w:pStyle w:val="Paragraphedelistebullets"/>
              <w:jc w:val="both"/>
              <w:rPr>
                <w:noProof/>
                <w:lang w:val="fr-BE"/>
              </w:rPr>
            </w:pPr>
            <w:r w:rsidRPr="001549C4">
              <w:rPr>
                <w:noProof/>
                <w:lang w:val="fr-BE"/>
              </w:rPr>
              <w:t xml:space="preserve">Le </w:t>
            </w:r>
            <w:r w:rsidRPr="001549C4">
              <w:rPr>
                <w:b/>
                <w:noProof/>
                <w:lang w:val="fr-BE"/>
              </w:rPr>
              <w:t>train de mesures de soutien à l’emploi des jeunes</w:t>
            </w:r>
            <w:r>
              <w:rPr>
                <w:rStyle w:val="FootnoteReference"/>
                <w:noProof/>
              </w:rPr>
              <w:footnoteReference w:id="32"/>
            </w:r>
            <w:r w:rsidRPr="001549C4">
              <w:rPr>
                <w:noProof/>
                <w:lang w:val="fr-BE"/>
              </w:rPr>
              <w:t xml:space="preserve"> renforce la </w:t>
            </w:r>
            <w:r w:rsidRPr="001549C4">
              <w:rPr>
                <w:b/>
                <w:noProof/>
                <w:lang w:val="fr-BE"/>
              </w:rPr>
              <w:t>garantie pour la jeunesse</w:t>
            </w:r>
            <w:r>
              <w:rPr>
                <w:rStyle w:val="FootnoteReference"/>
                <w:noProof/>
              </w:rPr>
              <w:footnoteReference w:id="33"/>
            </w:r>
            <w:r w:rsidRPr="001549C4">
              <w:rPr>
                <w:noProof/>
                <w:lang w:val="fr-BE"/>
              </w:rPr>
              <w:t>, en améliorant l’intégration des jeunes sur le marché du travail, notamment en renforçant les compétences pour la double transition écologique et numérique.</w:t>
            </w:r>
          </w:p>
          <w:p w14:paraId="028C8592" w14:textId="77777777" w:rsidR="001549C4" w:rsidRPr="001549C4" w:rsidRDefault="001549C4" w:rsidP="00317A8D">
            <w:pPr>
              <w:pStyle w:val="Paragraphedelistebullets"/>
              <w:jc w:val="both"/>
              <w:rPr>
                <w:noProof/>
                <w:lang w:val="fr-BE"/>
              </w:rPr>
            </w:pPr>
            <w:r w:rsidRPr="001549C4">
              <w:rPr>
                <w:noProof/>
                <w:lang w:val="fr-BE"/>
              </w:rPr>
              <w:t xml:space="preserve">La </w:t>
            </w:r>
            <w:r w:rsidRPr="001549C4">
              <w:rPr>
                <w:b/>
                <w:noProof/>
                <w:lang w:val="fr-BE"/>
              </w:rPr>
              <w:t>recommandation du Conseil en matière d’enseignement et de formation professionnels (EFP)</w:t>
            </w:r>
            <w:r w:rsidRPr="001549C4">
              <w:rPr>
                <w:noProof/>
                <w:lang w:val="fr-BE"/>
              </w:rPr>
              <w:t xml:space="preserve"> vise à moderniser l’EFP et à donner un nouvel élan à l’apprentissage et au cadre européen pour un apprentissage efficace et de qualité.</w:t>
            </w:r>
          </w:p>
          <w:p w14:paraId="63ECF433" w14:textId="77777777" w:rsidR="001549C4" w:rsidRPr="001549C4" w:rsidRDefault="001549C4" w:rsidP="00317A8D">
            <w:pPr>
              <w:pStyle w:val="Paragraphedelistebullets"/>
              <w:jc w:val="both"/>
              <w:rPr>
                <w:noProof/>
                <w:lang w:val="fr-BE"/>
              </w:rPr>
            </w:pPr>
            <w:r w:rsidRPr="001549C4">
              <w:rPr>
                <w:noProof/>
                <w:lang w:val="fr-BE"/>
              </w:rPr>
              <w:t>L’</w:t>
            </w:r>
            <w:r w:rsidRPr="001549C4">
              <w:rPr>
                <w:b/>
                <w:noProof/>
                <w:lang w:val="fr-BE"/>
              </w:rPr>
              <w:t>initiative ALMA</w:t>
            </w:r>
            <w:r w:rsidRPr="001549C4">
              <w:rPr>
                <w:noProof/>
                <w:lang w:val="fr-BE"/>
              </w:rPr>
              <w:t xml:space="preserve"> («Aim, Learn, Master, Achieve» – Orientation, Apprentissage, Maîtrise, Réussite) est un programme de mobilité transfrontière pour la jeunesse destiné à aider les jeunes et les NEET à s’intégrer sur le marché du travail.</w:t>
            </w:r>
          </w:p>
          <w:p w14:paraId="14613148" w14:textId="77777777" w:rsidR="001549C4" w:rsidRPr="001549C4" w:rsidRDefault="001549C4" w:rsidP="00317A8D">
            <w:pPr>
              <w:pStyle w:val="Paragraphedelistebullets"/>
              <w:jc w:val="both"/>
              <w:rPr>
                <w:noProof/>
                <w:lang w:val="fr-BE"/>
              </w:rPr>
            </w:pPr>
            <w:r w:rsidRPr="001549C4">
              <w:rPr>
                <w:noProof/>
                <w:lang w:val="fr-BE"/>
              </w:rPr>
              <w:t xml:space="preserve">Le </w:t>
            </w:r>
            <w:r w:rsidRPr="001549C4">
              <w:rPr>
                <w:b/>
                <w:noProof/>
                <w:lang w:val="fr-BE"/>
              </w:rPr>
              <w:t>programme pour une Europe numérique</w:t>
            </w:r>
            <w:r w:rsidRPr="001549C4">
              <w:rPr>
                <w:noProof/>
                <w:lang w:val="fr-BE"/>
              </w:rPr>
              <w:t xml:space="preserve"> soutient des programmes éducatifs spécialisés dans le domaine des compétences numériques avancées ainsi que le renforcement des compétences numériques des jeunes, en particulier des filles, grâce par exemple à la </w:t>
            </w:r>
            <w:r w:rsidRPr="001549C4">
              <w:rPr>
                <w:b/>
                <w:noProof/>
                <w:lang w:val="fr-BE"/>
              </w:rPr>
              <w:t>Semaine européenne du code</w:t>
            </w:r>
            <w:r w:rsidRPr="001549C4">
              <w:rPr>
                <w:noProof/>
                <w:lang w:val="fr-BE"/>
              </w:rPr>
              <w:t>.</w:t>
            </w:r>
          </w:p>
          <w:p w14:paraId="6FAC5F16" w14:textId="77777777" w:rsidR="001549C4" w:rsidRPr="001549C4" w:rsidRDefault="001549C4" w:rsidP="00317A8D">
            <w:pPr>
              <w:pStyle w:val="Paragraphedelistebullets"/>
              <w:jc w:val="both"/>
              <w:rPr>
                <w:noProof/>
                <w:szCs w:val="24"/>
                <w:lang w:val="fr-BE"/>
              </w:rPr>
            </w:pPr>
            <w:r w:rsidRPr="001549C4">
              <w:rPr>
                <w:noProof/>
                <w:lang w:val="fr-BE"/>
              </w:rPr>
              <w:t xml:space="preserve">La </w:t>
            </w:r>
            <w:r w:rsidRPr="001549C4">
              <w:rPr>
                <w:b/>
                <w:noProof/>
                <w:lang w:val="fr-BE"/>
              </w:rPr>
              <w:t>stratégie de mobilité durable et intelligente</w:t>
            </w:r>
            <w:r w:rsidRPr="001549C4">
              <w:rPr>
                <w:noProof/>
                <w:lang w:val="fr-BE"/>
              </w:rPr>
              <w:t xml:space="preserve"> soutient le développement de solutions de mobilité intelligente qui contribuent à prévenir la baisse de la population et permettent aux jeunes d’avoir accès aux services de base (santé et éducation) et aux possibilités d’emploi.</w:t>
            </w:r>
          </w:p>
          <w:p w14:paraId="42C8B738" w14:textId="77777777" w:rsidR="001549C4" w:rsidRPr="001549C4" w:rsidRDefault="001549C4" w:rsidP="00317A8D">
            <w:pPr>
              <w:pStyle w:val="Paragraphedelistebullets"/>
              <w:jc w:val="both"/>
              <w:rPr>
                <w:noProof/>
                <w:lang w:val="fr-BE"/>
              </w:rPr>
            </w:pPr>
            <w:r w:rsidRPr="001549C4">
              <w:rPr>
                <w:noProof/>
                <w:lang w:val="fr-BE"/>
              </w:rPr>
              <w:t xml:space="preserve">La </w:t>
            </w:r>
            <w:r w:rsidRPr="001549C4">
              <w:rPr>
                <w:b/>
                <w:noProof/>
                <w:lang w:val="fr-BE"/>
              </w:rPr>
              <w:t>stratégie pour une vague de rénovations</w:t>
            </w:r>
            <w:r>
              <w:rPr>
                <w:rStyle w:val="FootnoteReference"/>
                <w:noProof/>
              </w:rPr>
              <w:footnoteReference w:id="34"/>
            </w:r>
            <w:r w:rsidRPr="001549C4">
              <w:rPr>
                <w:noProof/>
                <w:lang w:val="fr-BE"/>
              </w:rPr>
              <w:t xml:space="preserve"> vise à doubler les taux annuels de rénovation énergétique au cours des 10 prochaines années. L’</w:t>
            </w:r>
            <w:r w:rsidRPr="001549C4">
              <w:rPr>
                <w:b/>
                <w:noProof/>
                <w:lang w:val="fr-BE"/>
              </w:rPr>
              <w:t>initiative en faveur du logement abordable</w:t>
            </w:r>
            <w:r w:rsidRPr="001549C4">
              <w:rPr>
                <w:noProof/>
                <w:lang w:val="fr-BE"/>
              </w:rPr>
              <w:t xml:space="preserve"> vise à améliorer l’accès à un logement abordable en renforçant les capacités techniques et les capacités d’innovation pour les projets locaux.</w:t>
            </w:r>
          </w:p>
          <w:p w14:paraId="2929AC4C" w14:textId="77777777" w:rsidR="001549C4" w:rsidRPr="001549C4" w:rsidRDefault="001549C4" w:rsidP="00317A8D">
            <w:pPr>
              <w:pStyle w:val="Paragraphedelistebullets"/>
              <w:jc w:val="both"/>
              <w:rPr>
                <w:noProof/>
                <w:lang w:val="fr-BE"/>
              </w:rPr>
            </w:pPr>
            <w:r w:rsidRPr="001549C4">
              <w:rPr>
                <w:rStyle w:val="normaltextrun"/>
                <w:noProof/>
                <w:lang w:val="fr-BE"/>
              </w:rPr>
              <w:t xml:space="preserve">Le </w:t>
            </w:r>
            <w:r w:rsidRPr="001549C4">
              <w:rPr>
                <w:rStyle w:val="normaltextrun"/>
                <w:b/>
                <w:noProof/>
                <w:lang w:val="fr-BE"/>
              </w:rPr>
              <w:t>mécanisme de valorisation des talents</w:t>
            </w:r>
            <w:r w:rsidRPr="001549C4">
              <w:rPr>
                <w:rStyle w:val="normaltextrun"/>
                <w:noProof/>
                <w:lang w:val="fr-BE"/>
              </w:rPr>
              <w:t xml:space="preserve"> aide les régions de l’UE à former, à retenir et à attirer des personnes et à faire face aux conséquences de la transition démographique.</w:t>
            </w:r>
            <w:r w:rsidRPr="001549C4">
              <w:rPr>
                <w:noProof/>
                <w:lang w:val="fr-BE"/>
              </w:rPr>
              <w:t xml:space="preserve"> </w:t>
            </w:r>
          </w:p>
          <w:p w14:paraId="3EC3A7FE" w14:textId="77777777" w:rsidR="001549C4" w:rsidRPr="001549C4" w:rsidRDefault="001549C4" w:rsidP="00317A8D">
            <w:pPr>
              <w:pStyle w:val="Paragraphedelistebullets"/>
              <w:jc w:val="both"/>
              <w:rPr>
                <w:noProof/>
                <w:lang w:val="fr-BE"/>
              </w:rPr>
            </w:pPr>
            <w:r w:rsidRPr="001549C4">
              <w:rPr>
                <w:noProof/>
                <w:lang w:val="fr-BE"/>
              </w:rPr>
              <w:t xml:space="preserve">Le </w:t>
            </w:r>
            <w:r w:rsidRPr="001549C4">
              <w:rPr>
                <w:b/>
                <w:noProof/>
                <w:lang w:val="fr-BE"/>
              </w:rPr>
              <w:t>cadre commun UE/OCDE-INFE de compétences financières pour les enfants et les jeunes dans l’Union européenne</w:t>
            </w:r>
            <w:r w:rsidRPr="001549C4">
              <w:rPr>
                <w:noProof/>
                <w:lang w:val="fr-BE"/>
              </w:rPr>
              <w:t xml:space="preserve"> vise à doter ces derniers d’une meilleure culture financière afin de leur permettre de prendre, y compris plus tard au cours de leur vie, des décisions financières qui servent au mieux leurs intérêts. </w:t>
            </w:r>
          </w:p>
          <w:p w14:paraId="73108094" w14:textId="77777777" w:rsidR="001549C4" w:rsidRPr="0018291D" w:rsidRDefault="001549C4" w:rsidP="00317A8D">
            <w:pPr>
              <w:pStyle w:val="Boxtitle"/>
              <w:jc w:val="both"/>
              <w:rPr>
                <w:rFonts w:ascii="Times New Roman" w:hAnsi="Times New Roman"/>
                <w:noProof/>
              </w:rPr>
            </w:pPr>
            <w:r>
              <w:rPr>
                <w:rFonts w:ascii="Times New Roman" w:hAnsi="Times New Roman"/>
                <w:noProof/>
              </w:rPr>
              <w:t>Prochaines étapes importantes:</w:t>
            </w:r>
          </w:p>
          <w:p w14:paraId="5B21AEA4" w14:textId="77777777" w:rsidR="001549C4" w:rsidRPr="001549C4" w:rsidRDefault="001549C4" w:rsidP="00317A8D">
            <w:pPr>
              <w:pStyle w:val="Paragraphedelistebullets"/>
              <w:jc w:val="both"/>
              <w:rPr>
                <w:noProof/>
                <w:szCs w:val="24"/>
                <w:lang w:val="fr-BE"/>
              </w:rPr>
            </w:pPr>
            <w:r w:rsidRPr="001549C4">
              <w:rPr>
                <w:noProof/>
                <w:lang w:val="fr-BE"/>
              </w:rPr>
              <w:t xml:space="preserve">Début 2024, la Commission mettra à jour le </w:t>
            </w:r>
            <w:r w:rsidRPr="001549C4">
              <w:rPr>
                <w:b/>
                <w:noProof/>
                <w:lang w:val="fr-BE"/>
              </w:rPr>
              <w:t>cadre de qualité pour les stages</w:t>
            </w:r>
            <w:r w:rsidRPr="001549C4">
              <w:rPr>
                <w:noProof/>
                <w:lang w:val="fr-BE"/>
              </w:rPr>
              <w:t>, qui aide les jeunes à passer des études ou du chômage à l’emploi grâce à des stages de qualité.</w:t>
            </w:r>
          </w:p>
          <w:p w14:paraId="3635B39A" w14:textId="77777777" w:rsidR="001549C4" w:rsidRPr="001549C4" w:rsidRDefault="001549C4" w:rsidP="00317A8D">
            <w:pPr>
              <w:pStyle w:val="Paragraphedelistebullets"/>
              <w:jc w:val="both"/>
              <w:rPr>
                <w:noProof/>
                <w:lang w:val="fr-BE"/>
              </w:rPr>
            </w:pPr>
            <w:r w:rsidRPr="001549C4">
              <w:rPr>
                <w:noProof/>
                <w:lang w:val="fr-BE"/>
              </w:rPr>
              <w:t xml:space="preserve">Dans le cadre de la </w:t>
            </w:r>
            <w:r w:rsidRPr="001549C4">
              <w:rPr>
                <w:b/>
                <w:noProof/>
                <w:lang w:val="fr-BE"/>
              </w:rPr>
              <w:t>garantie européenne pour l’enfance</w:t>
            </w:r>
            <w:r w:rsidRPr="001549C4">
              <w:rPr>
                <w:noProof/>
                <w:lang w:val="fr-BE"/>
              </w:rPr>
              <w:t xml:space="preserve">, 24 États membres ont présenté des plans d’action nationaux. Les États membres rendront compte de leurs progrès en matière de mise en œuvre tous les 2 ans (à partir de mars 2024) et la Commission examinera les progrès globaux accomplis en 2026. </w:t>
            </w:r>
          </w:p>
          <w:p w14:paraId="4537F59C" w14:textId="77777777" w:rsidR="001549C4" w:rsidRPr="006260B2" w:rsidRDefault="001549C4" w:rsidP="00317A8D">
            <w:pPr>
              <w:pStyle w:val="Paragraphedelistebullets"/>
              <w:jc w:val="both"/>
              <w:rPr>
                <w:noProof/>
              </w:rPr>
            </w:pPr>
            <w:r w:rsidRPr="001549C4">
              <w:rPr>
                <w:noProof/>
                <w:lang w:val="fr-BE"/>
              </w:rPr>
              <w:t>En 2023, l’</w:t>
            </w:r>
            <w:r w:rsidRPr="001549C4">
              <w:rPr>
                <w:b/>
                <w:noProof/>
                <w:lang w:val="fr-BE"/>
              </w:rPr>
              <w:t>espace européen de l’éducation (EEE)</w:t>
            </w:r>
            <w:r w:rsidRPr="001549C4">
              <w:rPr>
                <w:noProof/>
                <w:lang w:val="fr-BE"/>
              </w:rPr>
              <w:t xml:space="preserve"> fait l’objet d’un processus de réflexion à mi-parcours visant à soutenir sa mise en œuvre. </w:t>
            </w:r>
            <w:r>
              <w:rPr>
                <w:noProof/>
              </w:rPr>
              <w:t>En 2025, la Commission publiera un rapport final sur l’EEE.</w:t>
            </w:r>
          </w:p>
          <w:p w14:paraId="0ED63346" w14:textId="77777777" w:rsidR="001549C4" w:rsidRPr="001549C4" w:rsidRDefault="001549C4" w:rsidP="00317A8D">
            <w:pPr>
              <w:pStyle w:val="Paragraphedelistebullets"/>
              <w:jc w:val="both"/>
              <w:rPr>
                <w:noProof/>
                <w:lang w:val="fr-BE"/>
              </w:rPr>
            </w:pPr>
            <w:r w:rsidRPr="001549C4">
              <w:rPr>
                <w:noProof/>
                <w:lang w:val="fr-BE"/>
              </w:rPr>
              <w:t xml:space="preserve">La Commission suit les progrès accomplis dans la réalisation des objectifs fixés pour 2025 dans la </w:t>
            </w:r>
            <w:r w:rsidRPr="001549C4">
              <w:rPr>
                <w:b/>
                <w:noProof/>
                <w:lang w:val="fr-BE"/>
              </w:rPr>
              <w:t>stratégie européenne en matière de compétences</w:t>
            </w:r>
            <w:r w:rsidRPr="001549C4">
              <w:rPr>
                <w:noProof/>
                <w:lang w:val="fr-BE"/>
              </w:rPr>
              <w:t>.</w:t>
            </w:r>
          </w:p>
          <w:p w14:paraId="4A79B07D" w14:textId="77777777" w:rsidR="001549C4" w:rsidRPr="001549C4" w:rsidRDefault="001549C4" w:rsidP="00317A8D">
            <w:pPr>
              <w:pStyle w:val="Paragraphedelistebullets"/>
              <w:jc w:val="both"/>
              <w:rPr>
                <w:noProof/>
                <w:lang w:val="fr-BE"/>
              </w:rPr>
            </w:pPr>
            <w:r w:rsidRPr="001549C4">
              <w:rPr>
                <w:noProof/>
                <w:lang w:val="fr-BE"/>
              </w:rPr>
              <w:t xml:space="preserve">Les récentes propositions de </w:t>
            </w:r>
            <w:r w:rsidRPr="001549C4">
              <w:rPr>
                <w:b/>
                <w:bCs/>
                <w:noProof/>
                <w:lang w:val="fr-BE"/>
              </w:rPr>
              <w:t>recommandations du Conseil</w:t>
            </w:r>
            <w:r w:rsidRPr="001549C4">
              <w:rPr>
                <w:noProof/>
                <w:lang w:val="fr-BE"/>
              </w:rPr>
              <w:t xml:space="preserve"> présentées par la Commission, si elles sont approuvées par les États membres, aideront les autorités nationales et le secteur de l’éducation et de la formation à fournir </w:t>
            </w:r>
            <w:r w:rsidRPr="001549C4">
              <w:rPr>
                <w:b/>
                <w:bCs/>
                <w:noProof/>
                <w:lang w:val="fr-BE"/>
              </w:rPr>
              <w:t>une éducation et une formation numériques</w:t>
            </w:r>
            <w:r w:rsidRPr="001549C4">
              <w:rPr>
                <w:noProof/>
                <w:lang w:val="fr-BE"/>
              </w:rPr>
              <w:t xml:space="preserve"> de qualité, inclusives et accessibles afin de développer les </w:t>
            </w:r>
            <w:r w:rsidRPr="001549C4">
              <w:rPr>
                <w:b/>
                <w:bCs/>
                <w:noProof/>
                <w:lang w:val="fr-BE"/>
              </w:rPr>
              <w:t>compétences numériques</w:t>
            </w:r>
            <w:r w:rsidRPr="001549C4">
              <w:rPr>
                <w:noProof/>
                <w:lang w:val="fr-BE"/>
              </w:rPr>
              <w:t xml:space="preserve"> des citoyens européens.</w:t>
            </w:r>
          </w:p>
        </w:tc>
      </w:tr>
    </w:tbl>
    <w:p w14:paraId="59D099C5" w14:textId="77777777" w:rsidR="00CE20E1" w:rsidRPr="00CE20E1" w:rsidRDefault="00CE20E1" w:rsidP="00CE20E1">
      <w:pPr>
        <w:pStyle w:val="Heading2"/>
        <w:rPr>
          <w:noProof/>
          <w:lang w:val="fr-BE"/>
        </w:rPr>
      </w:pPr>
      <w:r w:rsidRPr="00CE20E1">
        <w:rPr>
          <w:noProof/>
          <w:lang w:val="fr-BE"/>
        </w:rPr>
        <w:t>Donner aux générations plus âgées les moyens d’agir et préserver leur bien-être</w:t>
      </w:r>
    </w:p>
    <w:p w14:paraId="32A81201" w14:textId="77777777" w:rsidR="00CE20E1" w:rsidRPr="00CE20E1" w:rsidRDefault="00CE20E1" w:rsidP="00CE20E1">
      <w:pPr>
        <w:rPr>
          <w:rStyle w:val="normaltextrun"/>
          <w:rFonts w:ascii="Times New Roman" w:hAnsi="Times New Roman" w:cs="Times New Roman"/>
          <w:b/>
          <w:bCs/>
          <w:noProof/>
          <w:color w:val="000000"/>
          <w:sz w:val="24"/>
          <w:shd w:val="clear" w:color="auto" w:fill="FFFFFF"/>
          <w:lang w:val="fr-BE"/>
        </w:rPr>
      </w:pPr>
      <w:r w:rsidRPr="00CE20E1">
        <w:rPr>
          <w:rStyle w:val="normaltextrun"/>
          <w:rFonts w:ascii="Times New Roman" w:hAnsi="Times New Roman"/>
          <w:b/>
          <w:noProof/>
          <w:color w:val="000000"/>
          <w:sz w:val="24"/>
          <w:shd w:val="clear" w:color="auto" w:fill="FFFFFF"/>
          <w:lang w:val="fr-BE"/>
        </w:rPr>
        <w:t xml:space="preserve">Dans une société vieillissante, il est essentiel de donner aux travailleurs âgés les moyens de rester actifs plus longtemps. </w:t>
      </w:r>
      <w:r w:rsidRPr="00CE20E1">
        <w:rPr>
          <w:rFonts w:ascii="Times New Roman" w:hAnsi="Times New Roman"/>
          <w:noProof/>
          <w:sz w:val="24"/>
          <w:lang w:val="fr-BE"/>
        </w:rPr>
        <w:t>Le taux d’emploi moyen des travailleurs âgés de 55 à 64 ans est passé de 45 % en 2011 à 60,5 % en 2021. Toutefois, les disparités entre les États membres dans ce domaine demeurent considérables, ce qui indique que des améliorations sont encore possibles.</w:t>
      </w:r>
      <w:r w:rsidRPr="00CE20E1">
        <w:rPr>
          <w:rStyle w:val="normaltextrun"/>
          <w:rFonts w:ascii="Times New Roman" w:hAnsi="Times New Roman"/>
          <w:b/>
          <w:noProof/>
          <w:color w:val="000000"/>
          <w:sz w:val="24"/>
          <w:shd w:val="clear" w:color="auto" w:fill="FFFFFF"/>
          <w:lang w:val="fr-BE"/>
        </w:rPr>
        <w:t xml:space="preserve"> </w:t>
      </w:r>
      <w:r w:rsidRPr="00CE20E1">
        <w:rPr>
          <w:rFonts w:ascii="Times New Roman" w:hAnsi="Times New Roman"/>
          <w:noProof/>
          <w:sz w:val="24"/>
          <w:lang w:val="fr-BE"/>
        </w:rPr>
        <w:t xml:space="preserve">L’allongement de la vie active peut permettre aux personnes de mettre à jour leurs compétences sur le lieu de travail et de rester actives, aidant ainsi les employeurs à retenir leur personnel, tout en favorisant les transferts de connaissances au sein d’une main-d’œuvre multigénérationnelle. Les formules plus souples d’aménagement du temps de travail, comme les horaires de travail flexibles ou réduits, favorisent le maintien des travailleurs âgés dans l’emploi, , et permettent aux personnes de rester plus longtemps sur le marché du travail si elles le souhaitent. Le droit des travailleurs au travail flexible (tel qu’il est accordé, par exemple, en </w:t>
      </w:r>
      <w:r w:rsidRPr="00CE20E1">
        <w:rPr>
          <w:rFonts w:ascii="Times New Roman" w:hAnsi="Times New Roman"/>
          <w:b/>
          <w:noProof/>
          <w:sz w:val="24"/>
          <w:lang w:val="fr-BE"/>
        </w:rPr>
        <w:t>Belgique, en France, en Allemagne et aux Pays-Bas</w:t>
      </w:r>
      <w:r w:rsidRPr="00CE20E1">
        <w:rPr>
          <w:rFonts w:ascii="Times New Roman" w:hAnsi="Times New Roman"/>
          <w:noProof/>
          <w:sz w:val="24"/>
          <w:lang w:val="fr-BE"/>
        </w:rPr>
        <w:t>) peut contribuer à une évolution culturelle vers des pratiques de travail et des lieux de travail plus inclusifs.</w:t>
      </w:r>
    </w:p>
    <w:p w14:paraId="74C7785E" w14:textId="77777777" w:rsidR="00CE20E1" w:rsidRPr="00CE20E1" w:rsidRDefault="00CE20E1" w:rsidP="00CE20E1">
      <w:pPr>
        <w:pStyle w:val="Subtitle"/>
        <w:spacing w:before="240"/>
        <w:rPr>
          <w:rStyle w:val="SubtitleChar"/>
          <w:rFonts w:ascii="Times New Roman" w:hAnsi="Times New Roman"/>
          <w:b/>
          <w:bCs/>
          <w:caps/>
          <w:noProof/>
          <w:sz w:val="24"/>
          <w:szCs w:val="24"/>
          <w:lang w:val="fr-BE"/>
        </w:rPr>
      </w:pPr>
      <w:r w:rsidRPr="00CE20E1">
        <w:rPr>
          <w:rFonts w:ascii="Times New Roman" w:hAnsi="Times New Roman"/>
          <w:noProof/>
          <w:sz w:val="24"/>
          <w:lang w:val="fr-BE"/>
        </w:rPr>
        <w:t xml:space="preserve">Taux d'emploi par </w:t>
      </w:r>
      <w:r w:rsidRPr="00CE20E1">
        <w:rPr>
          <w:rStyle w:val="SubtitleChar"/>
          <w:rFonts w:ascii="Times New Roman" w:hAnsi="Times New Roman"/>
          <w:b/>
          <w:caps/>
          <w:noProof/>
          <w:sz w:val="24"/>
          <w:lang w:val="fr-BE"/>
        </w:rPr>
        <w:t>tranche d'âge (%)</w:t>
      </w:r>
    </w:p>
    <w:p w14:paraId="23619D58" w14:textId="2A1BB571" w:rsidR="00CE20E1" w:rsidRPr="00A56B91" w:rsidRDefault="00CE20E1" w:rsidP="00CE20E1">
      <w:pPr>
        <w:rPr>
          <w:rFonts w:ascii="Times New Roman" w:hAnsi="Times New Roman" w:cs="Times New Roman"/>
          <w:noProof/>
          <w:sz w:val="24"/>
        </w:rPr>
      </w:pPr>
      <w:r>
        <w:rPr>
          <w:noProof/>
          <w:lang w:val="en-GB" w:eastAsia="en-GB"/>
        </w:rPr>
        <w:drawing>
          <wp:inline distT="0" distB="0" distL="0" distR="0" wp14:anchorId="040C7B5C" wp14:editId="0CAD338E">
            <wp:extent cx="5780525" cy="27086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81018" cy="2708925"/>
                    </a:xfrm>
                    <a:prstGeom prst="rect">
                      <a:avLst/>
                    </a:prstGeom>
                  </pic:spPr>
                </pic:pic>
              </a:graphicData>
            </a:graphic>
          </wp:inline>
        </w:drawing>
      </w:r>
    </w:p>
    <w:p w14:paraId="72DE01B9" w14:textId="77777777" w:rsidR="00CE20E1" w:rsidRDefault="00CE20E1" w:rsidP="00CE20E1">
      <w:pPr>
        <w:rPr>
          <w:rFonts w:ascii="Times New Roman" w:hAnsi="Times New Roman" w:cs="Times New Roman"/>
          <w:b/>
          <w:noProof/>
          <w:sz w:val="24"/>
          <w:lang w:val="en-IE"/>
        </w:rPr>
      </w:pPr>
    </w:p>
    <w:p w14:paraId="49F4FE5B"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Les entreprises et les travailleurs doivent travailler ensemble pour adapter les pratiques de travail et modifier les idées reçues et les stéréotypes sur les générations.</w:t>
      </w:r>
      <w:r w:rsidRPr="00CE20E1">
        <w:rPr>
          <w:rFonts w:ascii="Times New Roman" w:hAnsi="Times New Roman"/>
          <w:noProof/>
          <w:sz w:val="24"/>
          <w:lang w:val="fr-BE"/>
        </w:rPr>
        <w:t xml:space="preserve"> Le respect des personnes âgées et de leur bien-être est l'une des pierres angulaires d’une «société de la longévité» au sens large florissante. Les stratégies adoptées par la Commission dans le cadre de l’Union de l’égalité en 2020 et 2021</w:t>
      </w:r>
      <w:r>
        <w:rPr>
          <w:rStyle w:val="FootnoteReference"/>
          <w:rFonts w:ascii="Times New Roman" w:hAnsi="Times New Roman" w:cs="Times New Roman"/>
          <w:noProof/>
          <w:sz w:val="24"/>
          <w:lang w:val="en-GB"/>
        </w:rPr>
        <w:footnoteReference w:id="35"/>
      </w:r>
      <w:r w:rsidRPr="00CE20E1">
        <w:rPr>
          <w:rFonts w:ascii="Times New Roman" w:hAnsi="Times New Roman"/>
          <w:noProof/>
          <w:sz w:val="24"/>
          <w:lang w:val="fr-BE"/>
        </w:rPr>
        <w:t xml:space="preserve"> soulignent, chacune pour ce qui la concerne, la nécessité de lutter contre les stéréotypes et contre la discrimination fondée sur l’âge, de promouvoir la diversité et l’inclusion sur le lieu de travail et de donner à chacun les mêmes chances de contribuer à la société et de s’épanouir. Les possibilités de recourir à la technologie pour créer un espace de travail adapté à l’évolution des besoins tout au long de la vie devraient être pleinement exploitée (par exemple, disponibilité accrue de postes de travail ergonomiques, ou utilisation de «cobots» ou de systèmes hybrides d’assemblage homme-machine pour réduire le risque de lésions attribuables au travail répétitif). </w:t>
      </w:r>
    </w:p>
    <w:p w14:paraId="56CED57B"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Le vieillissement de la population fera augmenter la demande de planification du cycle de vie financier. </w:t>
      </w:r>
      <w:r w:rsidRPr="00CE20E1">
        <w:rPr>
          <w:rFonts w:ascii="Times New Roman" w:hAnsi="Times New Roman"/>
          <w:noProof/>
          <w:sz w:val="24"/>
          <w:lang w:val="fr-BE"/>
        </w:rPr>
        <w:t>Une participation accrue aux régimes complémentaires de retraite professionnelle et d'épargne-retraite individuelle, notamment grâce à des structures visant à accroître l’inscription aux régimes de retraite professionnels ou au produit paneuropéen d’épargne-retraite individuelle, peut compléter les revenus de retraite</w:t>
      </w:r>
      <w:r>
        <w:rPr>
          <w:rStyle w:val="FootnoteReference"/>
          <w:rFonts w:ascii="Times New Roman" w:hAnsi="Times New Roman" w:cs="Times New Roman"/>
          <w:noProof/>
          <w:sz w:val="24"/>
          <w:lang w:val="en-GB"/>
        </w:rPr>
        <w:footnoteReference w:id="36"/>
      </w:r>
      <w:r w:rsidRPr="00CE20E1">
        <w:rPr>
          <w:rFonts w:ascii="Times New Roman" w:hAnsi="Times New Roman"/>
          <w:noProof/>
          <w:sz w:val="24"/>
          <w:lang w:val="fr-BE"/>
        </w:rPr>
        <w:t>. Obtenir de meilleurs résultats pour les citoyens qui investissent pour se préparer à des événements futurs (tels que la retraite, l’éducation des enfants ou l’accès au logement) est un objectif clé de l’union des marchés des capitaux</w:t>
      </w:r>
      <w:r>
        <w:rPr>
          <w:rStyle w:val="FootnoteReference"/>
          <w:rFonts w:ascii="Times New Roman" w:hAnsi="Times New Roman"/>
          <w:noProof/>
          <w:sz w:val="24"/>
        </w:rPr>
        <w:footnoteReference w:id="37"/>
      </w:r>
      <w:r w:rsidRPr="00CE20E1">
        <w:rPr>
          <w:rFonts w:ascii="Times New Roman" w:hAnsi="Times New Roman"/>
          <w:noProof/>
          <w:sz w:val="24"/>
          <w:lang w:val="fr-BE"/>
        </w:rPr>
        <w:t xml:space="preserve">. L’intégration transfrontière des services financiers peut également améliorer l'offre d’instruments financiers pertinents, tels que l’assurance pour les soins de longue durée. Une meilleure éducation financière peut donner aux citoyens les moyens d’agir à cet égard. Parallèlement, les efforts visant à promouvoir un accès inclusif aux services de paiement et aux services bancaires peuvent garantir que personne ne soit laissé pour compte, en particulier les personnes âgées. </w:t>
      </w:r>
    </w:p>
    <w:p w14:paraId="57E0A327"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La promotion de la santé et la prévention des maladies sont des facteurs essentiels d’une longévité en bonne santé.</w:t>
      </w:r>
      <w:r w:rsidRPr="00CE20E1">
        <w:rPr>
          <w:rFonts w:ascii="Times New Roman" w:hAnsi="Times New Roman"/>
          <w:noProof/>
          <w:sz w:val="24"/>
          <w:lang w:val="fr-BE"/>
        </w:rPr>
        <w:t xml:space="preserve"> Avec l’allongement de l’espérance de vie, la charge que représentent les maladies non transmissibles s’alourdit. Cela vaut notamment pour le cancer qui touche de manière disproportionnée les personnes âgées. Face à ce constat, il convient d’améliorer la disponibilité de services de prévention des maladies, de diagnostic et de traitement des maladies non transmissibles, ainsi que l'accès à ceux-ci. Un mode de vie sain nécessite une approche globale des services de soins et d’aide centrée sur la personne, qui favorise le passage d'une démarche axée sur le traitement à une démarche de promotion de la santé et de prévention des maladies, l’intégration et la coordination des services dans le cadre d'un continuum entre soins, autonomie et vie indépendante, et la promotion, pour toutes les générations, d’un mode de vie actif et sain associé à une bonne santé mentale et au bien-être, ce qui peut inclure des services communautaires et des activités de bénévolat. Par exemple, en </w:t>
      </w:r>
      <w:r w:rsidRPr="00CE20E1">
        <w:rPr>
          <w:rFonts w:ascii="Times New Roman" w:hAnsi="Times New Roman"/>
          <w:b/>
          <w:noProof/>
          <w:sz w:val="24"/>
          <w:lang w:val="fr-BE"/>
        </w:rPr>
        <w:t>Roumanie</w:t>
      </w:r>
      <w:r w:rsidRPr="00CE20E1">
        <w:rPr>
          <w:rFonts w:ascii="Times New Roman" w:hAnsi="Times New Roman"/>
          <w:noProof/>
          <w:sz w:val="24"/>
          <w:lang w:val="fr-BE"/>
        </w:rPr>
        <w:t>, avec l’aide de la FRR, le développement du système de santé en ligne et de télémédecine contribue à améliorer l’accès à un large éventail de services de soins de santé, en particulier dans les zones rurales et les petites villes.</w:t>
      </w:r>
    </w:p>
    <w:p w14:paraId="5FDFF658"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Les soins de santé et les soins de longue durée doivent être renforcés et devenir plus efficaces au regard des coûts, mais il faut aussi réduire la pauvreté des personnes âgées, qui touche particulièrement les femmes.</w:t>
      </w:r>
      <w:r w:rsidRPr="00CE20E1">
        <w:rPr>
          <w:rFonts w:ascii="Times New Roman" w:hAnsi="Times New Roman"/>
          <w:noProof/>
          <w:sz w:val="24"/>
          <w:lang w:val="fr-BE"/>
        </w:rPr>
        <w:t xml:space="preserve"> En particulier, des services de soins abordables et de qualité peuvent réduire la charge qui pèse sur les quelque 53 millions d’aidants informels dans l’UE, dont seulement 65 % travaillent à temps plein. Il est important d’investir dans les soins pour attirer et retenir les talents dans le secteur. Les aidants professionnels doivent bénéficier de meilleurs salaires et de meilleures conditions de travail ainsi que de formations adéquates, et les professions concernées doivent devenir plus attrayantes, comme le prévoit par exemple la feuille de route de la </w:t>
      </w:r>
      <w:r w:rsidRPr="00CE20E1">
        <w:rPr>
          <w:rFonts w:ascii="Times New Roman" w:hAnsi="Times New Roman"/>
          <w:b/>
          <w:noProof/>
          <w:sz w:val="24"/>
          <w:lang w:val="fr-BE"/>
        </w:rPr>
        <w:t>France</w:t>
      </w:r>
      <w:r w:rsidRPr="00CE20E1">
        <w:rPr>
          <w:rFonts w:ascii="Times New Roman" w:hAnsi="Times New Roman"/>
          <w:noProof/>
          <w:sz w:val="24"/>
          <w:lang w:val="fr-BE"/>
        </w:rPr>
        <w:t xml:space="preserve"> pour l’accompagnement des citoyens français souhaitant vieillir à domicile</w:t>
      </w:r>
      <w:r>
        <w:rPr>
          <w:rStyle w:val="FootnoteReference"/>
          <w:rFonts w:ascii="Times New Roman" w:hAnsi="Times New Roman" w:cs="Times New Roman"/>
          <w:noProof/>
          <w:sz w:val="24"/>
          <w:lang w:val="en-GB"/>
        </w:rPr>
        <w:footnoteReference w:id="38"/>
      </w:r>
      <w:r w:rsidRPr="00CE20E1">
        <w:rPr>
          <w:rFonts w:ascii="Times New Roman" w:hAnsi="Times New Roman"/>
          <w:noProof/>
          <w:sz w:val="24"/>
          <w:lang w:val="fr-BE"/>
        </w:rPr>
        <w:t xml:space="preserve">. Le personnel de santé est également confronté à des déséquilibres liés au vieillissement des travailleurs, au manque de relève dans les formations médicales et à une forte concurrence internationale pour les médecins et les infirmières. Ces déséquilibres sont exacerbés au niveau territorial compte tenu de la nécessité de rationaliser la prestation de services de santé dans les régions en déclin démographique. À condition que les utilisateurs, ainsi que les professionnels de la santé et des soins possèdent les compétences numériques nécessaires, les technologies numériques peuvent faciliter la mise en place de services efficaces au regard des coûts et de meilleure qualité, grâce aux outils de santé numériques et aux technologies d’assistance. En outre, ces outils et technologies peuvent faciliter les contacts sociaux et réduire ainsi la solitude, ce qui a également une incidence sur la santé mentale. </w:t>
      </w:r>
    </w:p>
    <w:p w14:paraId="2DFA6C61" w14:textId="77777777" w:rsidR="00CE20E1" w:rsidRPr="00CE20E1" w:rsidRDefault="00E41C79" w:rsidP="00CE20E1">
      <w:pPr>
        <w:rPr>
          <w:rFonts w:ascii="Times New Roman" w:hAnsi="Times New Roman" w:cs="Times New Roman"/>
          <w:b/>
          <w:bCs/>
          <w:noProof/>
          <w:sz w:val="24"/>
          <w:lang w:val="fr-BE"/>
        </w:rPr>
      </w:pPr>
      <w:r>
        <w:rPr>
          <w:rFonts w:ascii="Times New Roman" w:hAnsi="Times New Roman"/>
          <w:b/>
          <w:noProof/>
          <w:color w:val="000000"/>
          <w:sz w:val="24"/>
        </w:rPr>
        <w:pict w14:anchorId="2B8A6BAF">
          <v:roundrect id="_x0000_s2091" style="position:absolute;left:0;text-align:left;margin-left:276.55pt;margin-top:6.7pt;width:193.9pt;height:186.55pt;z-index:251662337;visibility:visible;mso-wrap-distance-left:14.2pt;mso-wrap-distance-right:14.2pt;mso-wrap-distance-bottom:14.2pt;mso-position-horizontal-relative:margin;mso-width-relative:margin;mso-height-relative:margin;v-text-anchor:middle" arcsize="3477f" fillcolor="#def8f8 [664]" strokecolor="#5fdfdc [3208]" strokeweight="2.5pt">
            <v:stroke joinstyle="miter"/>
            <v:shadow color="#868686"/>
            <v:textbox style="mso-next-textbox:#_x0000_s2091">
              <w:txbxContent>
                <w:p w14:paraId="24233807" w14:textId="77777777" w:rsidR="00CE20E1" w:rsidRPr="00CE20E1" w:rsidRDefault="00CE20E1" w:rsidP="00CE20E1">
                  <w:pPr>
                    <w:pStyle w:val="Framebody"/>
                    <w:rPr>
                      <w:sz w:val="24"/>
                      <w:szCs w:val="24"/>
                      <w:lang w:val="fr-BE"/>
                    </w:rPr>
                  </w:pPr>
                  <w:r w:rsidRPr="00CE20E1">
                    <w:rPr>
                      <w:sz w:val="24"/>
                      <w:lang w:val="fr-BE"/>
                    </w:rPr>
                    <w:t xml:space="preserve">En </w:t>
                  </w:r>
                  <w:r w:rsidRPr="00CE20E1">
                    <w:rPr>
                      <w:b/>
                      <w:sz w:val="24"/>
                      <w:lang w:val="fr-BE"/>
                    </w:rPr>
                    <w:t>Italie</w:t>
                  </w:r>
                  <w:r w:rsidRPr="00CE20E1">
                    <w:rPr>
                      <w:sz w:val="24"/>
                      <w:lang w:val="fr-BE"/>
                    </w:rPr>
                    <w:t xml:space="preserve">, </w:t>
                  </w:r>
                  <w:r w:rsidRPr="00CE20E1">
                    <w:rPr>
                      <w:b/>
                      <w:sz w:val="24"/>
                      <w:lang w:val="fr-BE"/>
                    </w:rPr>
                    <w:t>la garantie d’employabilité des travailleurs</w:t>
                  </w:r>
                  <w:r w:rsidRPr="00CE20E1">
                    <w:rPr>
                      <w:sz w:val="24"/>
                      <w:lang w:val="fr-BE"/>
                    </w:rPr>
                    <w:t xml:space="preserve"> vise à aider les personnes à s’intégrer sur le marché du travail, et cible particulièrement les femmes, les chômeurs de longue durée, les travailleurs handicapés, les jeunes ainsi que les travailleurs âgés. Un budget de 4,4 milliards d’euros provenant de NextGenerationEU a été alloué à cette initiative. </w:t>
                  </w:r>
                </w:p>
              </w:txbxContent>
            </v:textbox>
            <w10:wrap type="square" anchorx="margin"/>
          </v:roundrect>
        </w:pict>
      </w:r>
      <w:r w:rsidR="00CE20E1" w:rsidRPr="00CE20E1">
        <w:rPr>
          <w:rStyle w:val="normaltextrun"/>
          <w:rFonts w:ascii="Times New Roman" w:hAnsi="Times New Roman"/>
          <w:b/>
          <w:noProof/>
          <w:color w:val="000000"/>
          <w:sz w:val="24"/>
          <w:shd w:val="clear" w:color="auto" w:fill="FFFFFF"/>
          <w:lang w:val="fr-BE"/>
        </w:rPr>
        <w:t xml:space="preserve">Pour garantir des pensions de retraite adéquates et viables, les réformes des retraites doivent être accompagnées de politiques de soutien du marché du travail. </w:t>
      </w:r>
      <w:r w:rsidR="00CE20E1" w:rsidRPr="00CE20E1">
        <w:rPr>
          <w:rFonts w:ascii="Times New Roman" w:hAnsi="Times New Roman"/>
          <w:noProof/>
          <w:sz w:val="24"/>
          <w:lang w:val="fr-BE"/>
        </w:rPr>
        <w:t>De nombreux États membres ont mis en œuvre des réformes des retraites au cours des deux dernières décennies, relevant l’âge légal de départ à la retraite et adaptant les conditions pour pouvoir bénéficier de celle-ci. Certains États membres restent toutefois à la traîne</w:t>
      </w:r>
      <w:r w:rsidR="00CE20E1">
        <w:rPr>
          <w:rStyle w:val="FootnoteReference"/>
          <w:rFonts w:ascii="Times New Roman" w:hAnsi="Times New Roman" w:cs="Times New Roman"/>
          <w:noProof/>
          <w:sz w:val="24"/>
          <w:lang w:val="en-GB"/>
        </w:rPr>
        <w:footnoteReference w:id="39"/>
      </w:r>
      <w:r w:rsidR="00CE20E1" w:rsidRPr="00CE20E1">
        <w:rPr>
          <w:rFonts w:ascii="Times New Roman" w:hAnsi="Times New Roman"/>
          <w:noProof/>
          <w:sz w:val="24"/>
          <w:lang w:val="fr-BE"/>
        </w:rPr>
        <w:t>, et pour qu’elles portent leurs fruits, les réformes des retraites nécessitent des mesures d’accompagnement,  telles que des réformes du marché du travail visant à offrir une assistance sur mesure et des possibilités d’apprentissage tout au long de la vie, à encourager les démarches actives de recherche d’emploi et à proposer des subventions à l’emploi pour les travailleurs âgés, comme le fait l’</w:t>
      </w:r>
      <w:r w:rsidR="00CE20E1" w:rsidRPr="00CE20E1">
        <w:rPr>
          <w:rFonts w:ascii="Times New Roman" w:hAnsi="Times New Roman"/>
          <w:b/>
          <w:noProof/>
          <w:sz w:val="24"/>
          <w:lang w:val="fr-BE"/>
        </w:rPr>
        <w:t>Autriche</w:t>
      </w:r>
      <w:r w:rsidR="00CE20E1" w:rsidRPr="00CE20E1">
        <w:rPr>
          <w:rFonts w:ascii="Times New Roman" w:hAnsi="Times New Roman"/>
          <w:noProof/>
          <w:sz w:val="24"/>
          <w:lang w:val="fr-BE"/>
        </w:rPr>
        <w:t xml:space="preserve"> avec son «initiative ciblée pour l’emploi des 50+». Ces politiques actives du marché du travail sont essentielles pour aider les chômeurs de longue durée à rester sur le marché de l'emploi tout en respectant leurs divers besoins. Les personnes âgées qui souhaitent travailler au-delà de l’âge de la retraite devraient être soutenues dans leur démarche. Les politiques devraient être ajustées de manière à prévoir des options attrayantes pour retarder les départs à la retraite et supprimer les limites de revenus et autres obstacles.</w:t>
      </w:r>
    </w:p>
    <w:p w14:paraId="7B1C99FB"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La viabilité et l’adéquation des finances publiques peuvent être renforcées en optimisant la composition des finances publiques et l’assiette des recettes des systèmes de protection sociale. </w:t>
      </w:r>
      <w:r w:rsidRPr="00CE20E1">
        <w:rPr>
          <w:rFonts w:ascii="Times New Roman" w:hAnsi="Times New Roman"/>
          <w:noProof/>
          <w:sz w:val="24"/>
          <w:lang w:val="fr-BE"/>
        </w:rPr>
        <w:t>Alors que les revenus du travail</w:t>
      </w:r>
      <w:r>
        <w:rPr>
          <w:rStyle w:val="FootnoteReference"/>
          <w:rFonts w:ascii="Times New Roman" w:hAnsi="Times New Roman" w:cs="Times New Roman"/>
          <w:noProof/>
          <w:sz w:val="24"/>
        </w:rPr>
        <w:footnoteReference w:id="40"/>
      </w:r>
      <w:r w:rsidRPr="00CE20E1">
        <w:rPr>
          <w:rFonts w:ascii="Times New Roman" w:hAnsi="Times New Roman"/>
          <w:noProof/>
          <w:sz w:val="24"/>
          <w:lang w:val="fr-BE"/>
        </w:rPr>
        <w:t xml:space="preserve"> continueront de jouer un rôle dans le financement de l’État-providence, une réflexion plus globale s’impose sur le bouquet fiscal optimal compte tenu des tendances démographiques. Il convient notamment d'évaluer la possibilité d’augmenter l’imposition du capital pour compenser la diminution de la part des impôts sur le travail. En outre, la composition des finances publiques peut être rendue plus favorable à la croissance, à l’emploi et à l’environnement en déplaçant la charge fiscale pesant sur le travail</w:t>
      </w:r>
      <w:r>
        <w:rPr>
          <w:rStyle w:val="FootnoteReference"/>
          <w:rFonts w:ascii="Times New Roman" w:eastAsia="Calibri" w:hAnsi="Times New Roman" w:cs="Times New Roman"/>
          <w:noProof/>
          <w:sz w:val="24"/>
          <w:lang w:val="en-GB"/>
        </w:rPr>
        <w:footnoteReference w:id="41"/>
      </w:r>
      <w:r w:rsidRPr="00CE20E1">
        <w:rPr>
          <w:rFonts w:ascii="Times New Roman" w:hAnsi="Times New Roman"/>
          <w:noProof/>
          <w:sz w:val="24"/>
          <w:lang w:val="fr-BE"/>
        </w:rPr>
        <w:t xml:space="preserve"> vers l’énergie et l’environnement. Depuis 2022, la Commission organise chaque année un symposium fiscal réunissant des décideurs politiques, des universitaires, des entreprises et la société civile afin de réfléchir à la manière d’adapter notre bouquet fiscal d’ici 2050. Enfin, la réduction des dépenses peu prioritaires ou inefficaces peut contribuer à établir un ordre de priorité budgétaire et à améliorer l'efficience des budgets publics.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56"/>
      </w:tblGrid>
      <w:tr w:rsidR="00CE20E1" w:rsidRPr="001549C4" w14:paraId="44D0ABFF" w14:textId="77777777" w:rsidTr="00317A8D">
        <w:tc>
          <w:tcPr>
            <w:tcW w:w="9356" w:type="dxa"/>
            <w:shd w:val="clear" w:color="auto" w:fill="FFF2CC" w:themeFill="accent1" w:themeFillTint="33"/>
          </w:tcPr>
          <w:p w14:paraId="134C1CBC" w14:textId="77777777" w:rsidR="00CE20E1" w:rsidRPr="00CE20E1" w:rsidRDefault="00CE20E1" w:rsidP="00317A8D">
            <w:pPr>
              <w:pStyle w:val="Boxtitle"/>
              <w:jc w:val="both"/>
              <w:rPr>
                <w:rFonts w:ascii="Times New Roman" w:hAnsi="Times New Roman"/>
                <w:noProof/>
                <w:lang w:val="fr-BE"/>
              </w:rPr>
            </w:pPr>
            <w:r w:rsidRPr="00CE20E1">
              <w:rPr>
                <w:rFonts w:ascii="Times New Roman" w:hAnsi="Times New Roman"/>
                <w:noProof/>
                <w:lang w:val="fr-BE"/>
              </w:rPr>
              <w:t>Principaux instruments au niveau de l’UE:</w:t>
            </w:r>
          </w:p>
          <w:p w14:paraId="69F71729" w14:textId="77777777" w:rsidR="00CE20E1" w:rsidRPr="00CE20E1" w:rsidRDefault="00CE20E1" w:rsidP="00317A8D">
            <w:pPr>
              <w:pStyle w:val="Paragraphedelistebullets"/>
              <w:jc w:val="both"/>
              <w:rPr>
                <w:noProof/>
                <w:lang w:val="fr-BE"/>
              </w:rPr>
            </w:pPr>
            <w:r w:rsidRPr="00CE20E1">
              <w:rPr>
                <w:noProof/>
                <w:lang w:val="fr-BE"/>
              </w:rPr>
              <w:t xml:space="preserve">La </w:t>
            </w:r>
            <w:r w:rsidRPr="00CE20E1">
              <w:rPr>
                <w:b/>
                <w:noProof/>
                <w:lang w:val="fr-BE"/>
              </w:rPr>
              <w:t>directive-cadre de l’UE sur la sécurité et la santé au travail</w:t>
            </w:r>
            <w:r>
              <w:rPr>
                <w:rStyle w:val="FootnoteReference"/>
                <w:noProof/>
              </w:rPr>
              <w:footnoteReference w:id="42"/>
            </w:r>
            <w:r w:rsidRPr="00CE20E1">
              <w:rPr>
                <w:noProof/>
                <w:lang w:val="fr-BE"/>
              </w:rPr>
              <w:t xml:space="preserve"> vise à garantir la sécurité et la santé des personnes sur le lieu de travail.</w:t>
            </w:r>
          </w:p>
          <w:p w14:paraId="474068F2" w14:textId="77777777" w:rsidR="00CE20E1" w:rsidRPr="00CE20E1" w:rsidRDefault="00CE20E1" w:rsidP="00317A8D">
            <w:pPr>
              <w:pStyle w:val="Paragraphedelistebullets"/>
              <w:jc w:val="both"/>
              <w:rPr>
                <w:noProof/>
                <w:lang w:val="fr-BE"/>
              </w:rPr>
            </w:pPr>
            <w:r w:rsidRPr="00CE20E1">
              <w:rPr>
                <w:noProof/>
                <w:lang w:val="fr-BE"/>
              </w:rPr>
              <w:t xml:space="preserve">La </w:t>
            </w:r>
            <w:r w:rsidRPr="00CE20E1">
              <w:rPr>
                <w:b/>
                <w:noProof/>
                <w:lang w:val="fr-BE"/>
              </w:rPr>
              <w:t>directive sur l’égalité en matière d’emploi</w:t>
            </w:r>
            <w:r>
              <w:rPr>
                <w:rStyle w:val="FootnoteReference"/>
                <w:noProof/>
                <w:szCs w:val="24"/>
              </w:rPr>
              <w:footnoteReference w:id="43"/>
            </w:r>
            <w:r w:rsidRPr="00CE20E1">
              <w:rPr>
                <w:noProof/>
                <w:lang w:val="fr-BE"/>
              </w:rPr>
              <w:t xml:space="preserve"> protège contre la discrimination fondée sur l’âge au travail. </w:t>
            </w:r>
          </w:p>
          <w:p w14:paraId="0D06D8B8" w14:textId="77777777" w:rsidR="00CE20E1" w:rsidRPr="00CE20E1" w:rsidRDefault="00CE20E1" w:rsidP="00317A8D">
            <w:pPr>
              <w:pStyle w:val="Paragraphedelistebullets"/>
              <w:jc w:val="both"/>
              <w:rPr>
                <w:noProof/>
                <w:lang w:val="fr-BE"/>
              </w:rPr>
            </w:pPr>
            <w:r w:rsidRPr="00CE20E1">
              <w:rPr>
                <w:noProof/>
                <w:lang w:val="fr-BE"/>
              </w:rPr>
              <w:t xml:space="preserve">La </w:t>
            </w:r>
            <w:r w:rsidRPr="00CE20E1">
              <w:rPr>
                <w:b/>
                <w:noProof/>
                <w:lang w:val="fr-BE"/>
              </w:rPr>
              <w:t>recommandation du Conseil relative à l’intégration des chômeurs de longue durée</w:t>
            </w:r>
            <w:r w:rsidRPr="00CE20E1">
              <w:rPr>
                <w:noProof/>
                <w:lang w:val="fr-BE"/>
              </w:rPr>
              <w:t xml:space="preserve"> sur le marché du travail</w:t>
            </w:r>
            <w:r>
              <w:rPr>
                <w:rStyle w:val="FootnoteReference"/>
                <w:noProof/>
              </w:rPr>
              <w:footnoteReference w:id="44"/>
            </w:r>
            <w:r w:rsidRPr="00CE20E1">
              <w:rPr>
                <w:noProof/>
                <w:lang w:val="fr-BE"/>
              </w:rPr>
              <w:t xml:space="preserve"> fournit des lignes générales d’action pour les mesures d’activation au niveau national.</w:t>
            </w:r>
          </w:p>
          <w:p w14:paraId="5AB4C549" w14:textId="77777777" w:rsidR="00CE20E1" w:rsidRPr="00CE20E1" w:rsidRDefault="00CE20E1" w:rsidP="00317A8D">
            <w:pPr>
              <w:pStyle w:val="Paragraphedelistebullets"/>
              <w:jc w:val="both"/>
              <w:rPr>
                <w:noProof/>
                <w:lang w:val="fr-BE"/>
              </w:rPr>
            </w:pPr>
            <w:r w:rsidRPr="00CE20E1">
              <w:rPr>
                <w:noProof/>
                <w:lang w:val="fr-BE"/>
              </w:rPr>
              <w:t xml:space="preserve">Dans le cadre de la stratégie européenne en matière de soins, la </w:t>
            </w:r>
            <w:r w:rsidRPr="00CE20E1">
              <w:rPr>
                <w:b/>
                <w:noProof/>
                <w:lang w:val="fr-BE"/>
              </w:rPr>
              <w:t>recommandation du Conseil sur l’accès à des soins de longue durée abordables et de haute qualité</w:t>
            </w:r>
            <w:r>
              <w:rPr>
                <w:rStyle w:val="FootnoteReference"/>
                <w:noProof/>
              </w:rPr>
              <w:footnoteReference w:id="45"/>
            </w:r>
            <w:r w:rsidRPr="00CE20E1">
              <w:rPr>
                <w:noProof/>
                <w:lang w:val="fr-BE"/>
              </w:rPr>
              <w:t xml:space="preserve"> fournit des orientations aux États membres pour renforcer l’adéquation, la disponibilité et la qualité des soins de longue durée pour tous ceux qui en ont besoin et pour améliorer les conditions de travail des aidants.</w:t>
            </w:r>
          </w:p>
          <w:p w14:paraId="6401756F" w14:textId="77777777" w:rsidR="00CE20E1" w:rsidRPr="00CE20E1" w:rsidRDefault="00CE20E1" w:rsidP="00317A8D">
            <w:pPr>
              <w:pStyle w:val="Paragraphedelistebullets"/>
              <w:jc w:val="both"/>
              <w:rPr>
                <w:noProof/>
                <w:lang w:val="fr-BE"/>
              </w:rPr>
            </w:pPr>
            <w:r w:rsidRPr="00CE20E1">
              <w:rPr>
                <w:noProof/>
                <w:lang w:val="fr-BE"/>
              </w:rPr>
              <w:t xml:space="preserve">La </w:t>
            </w:r>
            <w:r w:rsidRPr="00CE20E1">
              <w:rPr>
                <w:b/>
                <w:noProof/>
                <w:lang w:val="fr-BE"/>
              </w:rPr>
              <w:t>recommandation du Conseil relative à un revenu minimum adéquat pour garantir une inclusion active</w:t>
            </w:r>
            <w:r>
              <w:rPr>
                <w:rStyle w:val="FootnoteReference"/>
                <w:noProof/>
              </w:rPr>
              <w:footnoteReference w:id="46"/>
            </w:r>
            <w:r w:rsidRPr="00CE20E1">
              <w:rPr>
                <w:noProof/>
                <w:lang w:val="fr-BE"/>
              </w:rPr>
              <w:t xml:space="preserve"> aide les États membres à réformer leurs filets de sécurité sociale en promouvant une aide au revenu adéquate, une couverture et une utilisation adéquates, l’accès aux services et l’intégration sur le marché du travail.</w:t>
            </w:r>
          </w:p>
          <w:p w14:paraId="2702FD17" w14:textId="77777777" w:rsidR="00CE20E1" w:rsidRPr="00CE20E1" w:rsidRDefault="00CE20E1" w:rsidP="00317A8D">
            <w:pPr>
              <w:pStyle w:val="Paragraphedelistebullets"/>
              <w:jc w:val="both"/>
              <w:rPr>
                <w:noProof/>
                <w:lang w:val="fr-BE"/>
              </w:rPr>
            </w:pPr>
            <w:r w:rsidRPr="00CE20E1">
              <w:rPr>
                <w:noProof/>
                <w:lang w:val="fr-BE"/>
              </w:rPr>
              <w:t>L’</w:t>
            </w:r>
            <w:r w:rsidRPr="00CE20E1">
              <w:rPr>
                <w:b/>
                <w:noProof/>
                <w:lang w:val="fr-BE"/>
              </w:rPr>
              <w:t>acte législatif européen sur l’accessibilité</w:t>
            </w:r>
            <w:r>
              <w:rPr>
                <w:rStyle w:val="FootnoteReference"/>
                <w:noProof/>
              </w:rPr>
              <w:footnoteReference w:id="47"/>
            </w:r>
            <w:r w:rsidRPr="00CE20E1">
              <w:rPr>
                <w:noProof/>
                <w:lang w:val="fr-BE"/>
              </w:rPr>
              <w:t xml:space="preserve"> rend les produits et services essentiels plus accessibles aux personnes âgées et aux personnes handicapées, y compris les services en ligne et certains éléments des services de transport.</w:t>
            </w:r>
          </w:p>
          <w:p w14:paraId="38B4260F" w14:textId="77777777" w:rsidR="00CE20E1" w:rsidRPr="00CE20E1" w:rsidRDefault="00CE20E1" w:rsidP="00317A8D">
            <w:pPr>
              <w:pStyle w:val="Paragraphedelistebullets"/>
              <w:jc w:val="both"/>
              <w:rPr>
                <w:noProof/>
                <w:lang w:val="fr-BE"/>
              </w:rPr>
            </w:pPr>
            <w:r w:rsidRPr="00CE20E1">
              <w:rPr>
                <w:noProof/>
                <w:lang w:val="fr-BE"/>
              </w:rPr>
              <w:t>L’</w:t>
            </w:r>
            <w:r w:rsidRPr="00CE20E1">
              <w:rPr>
                <w:b/>
                <w:noProof/>
                <w:lang w:val="fr-BE"/>
              </w:rPr>
              <w:t>initiative «Vivre ensemble en bonne santé»</w:t>
            </w:r>
            <w:r w:rsidRPr="00CE20E1">
              <w:rPr>
                <w:noProof/>
                <w:lang w:val="fr-BE"/>
              </w:rPr>
              <w:t xml:space="preserve"> aide les pays de l’UE à réduire la charge que représentent les grandes maladies et à améliorer la santé et le bien-être des citoyens et contribue ainsi à un vieillissement en bonne santé. </w:t>
            </w:r>
          </w:p>
          <w:p w14:paraId="7224EAF5" w14:textId="77777777" w:rsidR="00CE20E1" w:rsidRPr="00CE20E1" w:rsidRDefault="00CE20E1" w:rsidP="00317A8D">
            <w:pPr>
              <w:pStyle w:val="Paragraphedelistebullets"/>
              <w:jc w:val="both"/>
              <w:rPr>
                <w:noProof/>
                <w:lang w:val="fr-BE"/>
              </w:rPr>
            </w:pPr>
            <w:r w:rsidRPr="00CE20E1">
              <w:rPr>
                <w:noProof/>
                <w:lang w:val="fr-BE"/>
              </w:rPr>
              <w:t>L’</w:t>
            </w:r>
            <w:r w:rsidRPr="00CE20E1">
              <w:rPr>
                <w:b/>
                <w:noProof/>
                <w:lang w:val="fr-BE"/>
              </w:rPr>
              <w:t>approche globale en matière de santé mentale</w:t>
            </w:r>
            <w:r w:rsidRPr="00CE20E1">
              <w:rPr>
                <w:noProof/>
                <w:lang w:val="fr-BE"/>
              </w:rPr>
              <w:t xml:space="preserve"> propose 20 initiatives phares et une aide de 1,23 milliard d’EUR en faveur d’activités visant à promouvoir une bonne santé mentale au sein de toutes les générations, en mettant l’accent sur les groupes vulnérables.</w:t>
            </w:r>
          </w:p>
          <w:p w14:paraId="0D56AD39" w14:textId="77777777" w:rsidR="00CE20E1" w:rsidRPr="00CE20E1" w:rsidRDefault="00CE20E1" w:rsidP="00317A8D">
            <w:pPr>
              <w:pStyle w:val="Paragraphedelistebullets"/>
              <w:jc w:val="both"/>
              <w:rPr>
                <w:noProof/>
                <w:lang w:val="fr-BE"/>
              </w:rPr>
            </w:pPr>
            <w:r w:rsidRPr="00CE20E1">
              <w:rPr>
                <w:noProof/>
                <w:lang w:val="fr-BE"/>
              </w:rPr>
              <w:t xml:space="preserve">Le </w:t>
            </w:r>
            <w:r w:rsidRPr="00CE20E1">
              <w:rPr>
                <w:b/>
                <w:noProof/>
                <w:lang w:val="fr-BE"/>
              </w:rPr>
              <w:t>plan européen pour vaincre le cancer</w:t>
            </w:r>
            <w:r w:rsidRPr="00CE20E1">
              <w:rPr>
                <w:noProof/>
                <w:lang w:val="fr-BE"/>
              </w:rPr>
              <w:t xml:space="preserve"> soutient, coordonne et complète les actions des États membres visant à réduire la charge que représente le cancer sur l’ensemble du parcours de la maladie, y compris avec la </w:t>
            </w:r>
            <w:r w:rsidRPr="00CE20E1">
              <w:rPr>
                <w:b/>
                <w:noProof/>
                <w:lang w:val="fr-BE"/>
              </w:rPr>
              <w:t>recommandation du Conseil relative à une nouvelle approche de l’UE en matière de dépistage du cancer</w:t>
            </w:r>
            <w:r>
              <w:rPr>
                <w:rStyle w:val="FootnoteReference"/>
                <w:noProof/>
                <w:szCs w:val="24"/>
              </w:rPr>
              <w:footnoteReference w:id="48"/>
            </w:r>
            <w:r w:rsidRPr="00CE20E1">
              <w:rPr>
                <w:noProof/>
                <w:lang w:val="fr-BE"/>
              </w:rPr>
              <w:t>.</w:t>
            </w:r>
          </w:p>
          <w:p w14:paraId="51400CB1" w14:textId="77777777" w:rsidR="00CE20E1" w:rsidRPr="00CE20E1" w:rsidRDefault="00CE20E1" w:rsidP="00317A8D">
            <w:pPr>
              <w:pStyle w:val="Paragraphedelistebullets"/>
              <w:jc w:val="both"/>
              <w:rPr>
                <w:noProof/>
                <w:lang w:val="fr-BE"/>
              </w:rPr>
            </w:pPr>
            <w:r w:rsidRPr="00CE20E1">
              <w:rPr>
                <w:noProof/>
                <w:lang w:val="fr-BE"/>
              </w:rPr>
              <w:t xml:space="preserve">Le </w:t>
            </w:r>
            <w:r w:rsidRPr="00CE20E1">
              <w:rPr>
                <w:b/>
                <w:noProof/>
                <w:lang w:val="fr-BE"/>
              </w:rPr>
              <w:t>produit paneuropéen d’épargne-retraite individuelle</w:t>
            </w:r>
            <w:r w:rsidRPr="00CE20E1">
              <w:rPr>
                <w:noProof/>
                <w:lang w:val="fr-BE"/>
              </w:rPr>
              <w:t xml:space="preserve"> est un régime volontaire d’épargne-retraite individuelle proposé par les institutions financières pour offrir aux citoyens une nouvelle possibilité d’épargner pour leur retraite. </w:t>
            </w:r>
          </w:p>
          <w:p w14:paraId="2133C9DB" w14:textId="77777777" w:rsidR="00CE20E1" w:rsidRPr="00CE20E1" w:rsidRDefault="00CE20E1" w:rsidP="00317A8D">
            <w:pPr>
              <w:pStyle w:val="Paragraphedelistebullets"/>
              <w:jc w:val="both"/>
              <w:rPr>
                <w:noProof/>
                <w:lang w:val="fr-BE"/>
              </w:rPr>
            </w:pPr>
            <w:r w:rsidRPr="00CE20E1">
              <w:rPr>
                <w:noProof/>
                <w:lang w:val="fr-BE"/>
              </w:rPr>
              <w:t xml:space="preserve">Le </w:t>
            </w:r>
            <w:r w:rsidRPr="00CE20E1">
              <w:rPr>
                <w:b/>
                <w:noProof/>
                <w:lang w:val="fr-BE"/>
              </w:rPr>
              <w:t>cadre commun UE/OCDE-INFE de compétences financières pour les adultes dans l’Union européenne</w:t>
            </w:r>
            <w:r w:rsidRPr="00CE20E1">
              <w:rPr>
                <w:noProof/>
                <w:lang w:val="fr-BE"/>
              </w:rPr>
              <w:t xml:space="preserve"> promeut les compétences financières des adultes en soutenant, entre autres, les programmes d’éducation financière et les échanges de bonnes pratiques.</w:t>
            </w:r>
          </w:p>
          <w:p w14:paraId="5AD38B15" w14:textId="77777777" w:rsidR="00CE20E1" w:rsidRPr="00CE20E1" w:rsidRDefault="00CE20E1" w:rsidP="00317A8D">
            <w:pPr>
              <w:pStyle w:val="Paragraphedelistebullets"/>
              <w:jc w:val="both"/>
              <w:rPr>
                <w:noProof/>
                <w:lang w:val="fr-BE"/>
              </w:rPr>
            </w:pPr>
            <w:r w:rsidRPr="00CE20E1">
              <w:rPr>
                <w:noProof/>
                <w:lang w:val="fr-BE"/>
              </w:rPr>
              <w:t xml:space="preserve">Le </w:t>
            </w:r>
            <w:r w:rsidRPr="00CE20E1">
              <w:rPr>
                <w:b/>
                <w:noProof/>
                <w:lang w:val="fr-BE"/>
              </w:rPr>
              <w:t>calculateur d’empreinte des consommateurs</w:t>
            </w:r>
            <w:r>
              <w:rPr>
                <w:rStyle w:val="FootnoteReference"/>
                <w:noProof/>
                <w:szCs w:val="24"/>
              </w:rPr>
              <w:footnoteReference w:id="49"/>
            </w:r>
            <w:r w:rsidRPr="00CE20E1">
              <w:rPr>
                <w:noProof/>
                <w:lang w:val="fr-BE"/>
              </w:rPr>
              <w:t xml:space="preserve"> permet aux citoyens d’estimer leur empreinte environnementale et propose des conseils pour changer de comportement et adopter des modèles plus durables.</w:t>
            </w:r>
          </w:p>
          <w:p w14:paraId="008B8B23" w14:textId="77777777" w:rsidR="00CE20E1" w:rsidRPr="00A56B91" w:rsidRDefault="00CE20E1" w:rsidP="00317A8D">
            <w:pPr>
              <w:pStyle w:val="Boxtitle"/>
              <w:jc w:val="both"/>
              <w:rPr>
                <w:rFonts w:ascii="Times New Roman" w:hAnsi="Times New Roman"/>
                <w:noProof/>
              </w:rPr>
            </w:pPr>
            <w:r>
              <w:rPr>
                <w:rFonts w:ascii="Times New Roman" w:hAnsi="Times New Roman"/>
                <w:noProof/>
              </w:rPr>
              <w:t xml:space="preserve">Prochaines étapes importantes: </w:t>
            </w:r>
          </w:p>
          <w:p w14:paraId="04655D6A" w14:textId="77777777" w:rsidR="00CE20E1" w:rsidRPr="00CE20E1" w:rsidRDefault="00CE20E1" w:rsidP="00317A8D">
            <w:pPr>
              <w:pStyle w:val="Paragraphedelistebullets"/>
              <w:jc w:val="both"/>
              <w:rPr>
                <w:noProof/>
                <w:lang w:val="fr-BE"/>
              </w:rPr>
            </w:pPr>
            <w:r w:rsidRPr="00CE20E1">
              <w:rPr>
                <w:noProof/>
                <w:lang w:val="fr-BE"/>
              </w:rPr>
              <w:t xml:space="preserve">La Commission appelle les colégislateurs à œuvrer pour parvenir rapidement à un accord sur ses propositions de </w:t>
            </w:r>
            <w:r w:rsidRPr="00CE20E1">
              <w:rPr>
                <w:b/>
                <w:noProof/>
                <w:lang w:val="fr-BE"/>
              </w:rPr>
              <w:t>normes applicables aux organismes pour l’égalité de traitement</w:t>
            </w:r>
            <w:r>
              <w:rPr>
                <w:rStyle w:val="FootnoteReference"/>
                <w:noProof/>
              </w:rPr>
              <w:footnoteReference w:id="50"/>
            </w:r>
            <w:r w:rsidRPr="00CE20E1">
              <w:rPr>
                <w:noProof/>
                <w:lang w:val="fr-BE"/>
              </w:rPr>
              <w:t xml:space="preserve">. </w:t>
            </w:r>
          </w:p>
          <w:p w14:paraId="3FBD589E" w14:textId="77777777" w:rsidR="00CE20E1" w:rsidRPr="00CE20E1" w:rsidRDefault="00CE20E1" w:rsidP="00317A8D">
            <w:pPr>
              <w:pStyle w:val="Paragraphedelistebullets"/>
              <w:jc w:val="both"/>
              <w:rPr>
                <w:b/>
                <w:noProof/>
                <w:lang w:val="fr-BE"/>
              </w:rPr>
            </w:pPr>
            <w:r w:rsidRPr="00CE20E1">
              <w:rPr>
                <w:noProof/>
                <w:lang w:val="fr-BE"/>
              </w:rPr>
              <w:t xml:space="preserve">Le </w:t>
            </w:r>
            <w:r w:rsidRPr="00CE20E1">
              <w:rPr>
                <w:b/>
                <w:noProof/>
                <w:lang w:val="fr-BE"/>
              </w:rPr>
              <w:t>groupe de haut niveau sur la non-discrimination, l’égalité et la diversité</w:t>
            </w:r>
            <w:r w:rsidRPr="00CE20E1">
              <w:rPr>
                <w:noProof/>
                <w:lang w:val="fr-BE"/>
              </w:rPr>
              <w:t xml:space="preserve"> encourage les échanges de pratiques en matière d’égalité entre les tranches d’âge et de lutte contre l’âgisme, et publiera un document récapitulatif au printemps 2024.</w:t>
            </w:r>
          </w:p>
          <w:p w14:paraId="5DFD71B5" w14:textId="77777777" w:rsidR="00CE20E1" w:rsidRPr="00CE20E1" w:rsidRDefault="00CE20E1" w:rsidP="00317A8D">
            <w:pPr>
              <w:pStyle w:val="Paragraphedelistebullets"/>
              <w:jc w:val="both"/>
              <w:rPr>
                <w:b/>
                <w:noProof/>
                <w:u w:val="single"/>
                <w:lang w:val="fr-BE"/>
              </w:rPr>
            </w:pPr>
            <w:r w:rsidRPr="00CE20E1">
              <w:rPr>
                <w:noProof/>
                <w:lang w:val="fr-BE"/>
              </w:rPr>
              <w:t xml:space="preserve">D’ici juin 2024, il est recommandé aux États membres d’informer la Commission des mesures mises en œuvre ou prévues au titre de la </w:t>
            </w:r>
            <w:r w:rsidRPr="00CE20E1">
              <w:rPr>
                <w:b/>
                <w:noProof/>
                <w:lang w:val="fr-BE"/>
              </w:rPr>
              <w:t>recommandation du Conseil sur l’accès à des soins de longue durée abordables et de haute qualité</w:t>
            </w:r>
            <w:r w:rsidRPr="00CE20E1">
              <w:rPr>
                <w:noProof/>
                <w:lang w:val="fr-BE"/>
              </w:rPr>
              <w:t>, en complément du suivi et du soutien continus des réformes nationales.</w:t>
            </w:r>
          </w:p>
          <w:p w14:paraId="5F001235" w14:textId="77777777" w:rsidR="00CE20E1" w:rsidRPr="00CE20E1" w:rsidRDefault="00CE20E1" w:rsidP="00317A8D">
            <w:pPr>
              <w:pStyle w:val="Paragraphedelistebullets"/>
              <w:jc w:val="both"/>
              <w:rPr>
                <w:noProof/>
                <w:lang w:val="fr-BE"/>
              </w:rPr>
            </w:pPr>
            <w:r w:rsidRPr="00CE20E1">
              <w:rPr>
                <w:noProof/>
                <w:lang w:val="fr-BE"/>
              </w:rPr>
              <w:t>Les lauréats de l’</w:t>
            </w:r>
            <w:r w:rsidRPr="00CE20E1">
              <w:rPr>
                <w:b/>
                <w:noProof/>
                <w:lang w:val="fr-BE"/>
              </w:rPr>
              <w:t>Access City Award 2024</w:t>
            </w:r>
            <w:r w:rsidRPr="00CE20E1">
              <w:rPr>
                <w:noProof/>
                <w:lang w:val="fr-BE"/>
              </w:rPr>
              <w:t xml:space="preserve"> seront annoncés lors de la conférence qui aura lieu à l’occasion de la Journée internationale des personnes handicapées en décembre 2023. </w:t>
            </w:r>
          </w:p>
          <w:p w14:paraId="20C752D9" w14:textId="77777777" w:rsidR="00CE20E1" w:rsidRPr="00CE20E1" w:rsidRDefault="00CE20E1" w:rsidP="00317A8D">
            <w:pPr>
              <w:pStyle w:val="Paragraphedelistebullets"/>
              <w:jc w:val="both"/>
              <w:rPr>
                <w:noProof/>
                <w:lang w:val="fr-BE"/>
              </w:rPr>
            </w:pPr>
            <w:r w:rsidRPr="00CE20E1">
              <w:rPr>
                <w:noProof/>
                <w:lang w:val="fr-BE"/>
              </w:rPr>
              <w:t xml:space="preserve">En 2024, la Commission publiera le </w:t>
            </w:r>
            <w:r w:rsidRPr="00CE20E1">
              <w:rPr>
                <w:b/>
                <w:noProof/>
                <w:lang w:val="fr-BE"/>
              </w:rPr>
              <w:t>rapport sur l’adéquation des retraites</w:t>
            </w:r>
            <w:r w:rsidRPr="00CE20E1">
              <w:rPr>
                <w:noProof/>
                <w:lang w:val="fr-BE"/>
              </w:rPr>
              <w:t xml:space="preserve"> (conjointement avec le comité de la protection sociale) et le </w:t>
            </w:r>
            <w:r w:rsidRPr="00CE20E1">
              <w:rPr>
                <w:b/>
                <w:noProof/>
                <w:lang w:val="fr-BE"/>
              </w:rPr>
              <w:t>rapport sur le vieillissement</w:t>
            </w:r>
            <w:r w:rsidRPr="00CE20E1">
              <w:rPr>
                <w:noProof/>
                <w:lang w:val="fr-BE"/>
              </w:rPr>
              <w:t xml:space="preserve"> (conjointement avec le groupe sur le vieillissement).</w:t>
            </w:r>
          </w:p>
          <w:p w14:paraId="19C20F46" w14:textId="77777777" w:rsidR="00CE20E1" w:rsidRPr="00CE20E1" w:rsidRDefault="00CE20E1" w:rsidP="00317A8D">
            <w:pPr>
              <w:pStyle w:val="Paragraphedelistebullets"/>
              <w:jc w:val="both"/>
              <w:rPr>
                <w:noProof/>
                <w:lang w:val="fr-BE"/>
              </w:rPr>
            </w:pPr>
            <w:r w:rsidRPr="00CE20E1">
              <w:rPr>
                <w:noProof/>
                <w:lang w:val="fr-BE"/>
              </w:rPr>
              <w:t xml:space="preserve">D’ici décembre 2025, il est recommandé aux États membres de rendre compte de la mise en œuvre de la </w:t>
            </w:r>
            <w:r w:rsidRPr="00CE20E1">
              <w:rPr>
                <w:b/>
                <w:noProof/>
                <w:lang w:val="fr-BE"/>
              </w:rPr>
              <w:t>recommandation du Conseil relative à une nouvelle approche de l’UE en matière de dépistage du cancer</w:t>
            </w:r>
            <w:r w:rsidRPr="00CE20E1">
              <w:rPr>
                <w:noProof/>
                <w:lang w:val="fr-BE"/>
              </w:rPr>
              <w:t>.</w:t>
            </w:r>
          </w:p>
        </w:tc>
      </w:tr>
    </w:tbl>
    <w:p w14:paraId="14633EFD" w14:textId="77777777" w:rsidR="00CE20E1" w:rsidRPr="00CE20E1" w:rsidRDefault="00CE20E1" w:rsidP="00CE20E1">
      <w:pPr>
        <w:pStyle w:val="Heading2"/>
        <w:rPr>
          <w:noProof/>
          <w:lang w:val="fr-BE"/>
        </w:rPr>
      </w:pPr>
      <w:r w:rsidRPr="00CE20E1">
        <w:rPr>
          <w:noProof/>
          <w:lang w:val="fr-BE"/>
        </w:rPr>
        <w:t>Pénuries de main-d’œuvre et migration légale gérée</w:t>
      </w:r>
    </w:p>
    <w:p w14:paraId="3E743239"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En 2022, les pénuries de main-d’œuvre ont atteint un niveau historiquement élevé dans l’UE. </w:t>
      </w:r>
      <w:r w:rsidRPr="00CE20E1">
        <w:rPr>
          <w:rFonts w:ascii="Times New Roman" w:hAnsi="Times New Roman"/>
          <w:noProof/>
          <w:sz w:val="24"/>
          <w:lang w:val="fr-BE"/>
        </w:rPr>
        <w:t>Alors que le taux d’emploi dans l’UE a atteint un nouveau record, environ 30 % des entreprises ont fait état de pénuries de main-d’œuvre</w:t>
      </w:r>
      <w:r>
        <w:rPr>
          <w:rStyle w:val="FootnoteReference"/>
          <w:rFonts w:ascii="Times New Roman" w:hAnsi="Times New Roman" w:cs="Times New Roman"/>
          <w:noProof/>
          <w:sz w:val="24"/>
        </w:rPr>
        <w:footnoteReference w:id="51"/>
      </w:r>
      <w:r w:rsidRPr="00CE20E1">
        <w:rPr>
          <w:rFonts w:ascii="Times New Roman" w:hAnsi="Times New Roman"/>
          <w:noProof/>
          <w:sz w:val="24"/>
          <w:lang w:val="fr-BE"/>
        </w:rPr>
        <w:t xml:space="preserve"> et 74 % des PME affirment manquer de main-d’œuvre qualifiée</w:t>
      </w:r>
      <w:r>
        <w:rPr>
          <w:rStyle w:val="FootnoteReference"/>
          <w:rFonts w:ascii="Times New Roman" w:hAnsi="Times New Roman" w:cs="Times New Roman"/>
          <w:noProof/>
          <w:sz w:val="24"/>
        </w:rPr>
        <w:footnoteReference w:id="52"/>
      </w:r>
      <w:r w:rsidRPr="00CE20E1">
        <w:rPr>
          <w:rFonts w:ascii="Times New Roman" w:hAnsi="Times New Roman"/>
          <w:noProof/>
          <w:sz w:val="24"/>
          <w:lang w:val="fr-BE"/>
        </w:rPr>
        <w:t>. On observe des pénuries de main-d’œuvre dans divers secteurs et professions à tous les niveaux de compétences, et ce phénomène devrait se renforcer. Bien que l’activation des personnes en âge de travailler, en particulier des femmes, des jeunes et des personnes âgées, la réduction des pénuries de compétences, l’amélioration des conditions de travail dans certains secteurs et la mobilité au sein de l’Union soient essentielles pour atténuer les pénuries de main-d’œuvre, elles ne suffiront pas à répondre aux besoins de toutes les professions en pénurie</w:t>
      </w:r>
      <w:r>
        <w:rPr>
          <w:rStyle w:val="FootnoteReference"/>
          <w:rFonts w:ascii="Times New Roman" w:eastAsia="Times New Roman" w:hAnsi="Times New Roman" w:cs="Times New Roman"/>
          <w:noProof/>
          <w:color w:val="000000" w:themeColor="text1"/>
          <w:sz w:val="24"/>
          <w:lang w:val="en-IE"/>
        </w:rPr>
        <w:footnoteReference w:id="53"/>
      </w:r>
      <w:r w:rsidRPr="00CE20E1">
        <w:rPr>
          <w:rFonts w:ascii="Times New Roman" w:hAnsi="Times New Roman"/>
          <w:noProof/>
          <w:sz w:val="24"/>
          <w:lang w:val="fr-BE"/>
        </w:rPr>
        <w:t>.</w:t>
      </w:r>
      <w:r w:rsidRPr="00CE20E1">
        <w:rPr>
          <w:rFonts w:ascii="Times New Roman" w:hAnsi="Times New Roman"/>
          <w:b/>
          <w:noProof/>
          <w:sz w:val="24"/>
          <w:lang w:val="fr-BE"/>
        </w:rPr>
        <w:t xml:space="preserve"> </w:t>
      </w:r>
      <w:r w:rsidRPr="00CE20E1">
        <w:rPr>
          <w:rFonts w:ascii="Times New Roman" w:hAnsi="Times New Roman"/>
          <w:noProof/>
          <w:sz w:val="24"/>
          <w:lang w:val="fr-BE"/>
        </w:rPr>
        <w:t>La migration légale en provenance de pays tiers peut également aider les employeurs à pourvoir les emplois vacants à tous les niveaux de compétences, par exemple dans les professions jouant un rôle essentiel pour l’économie de l’UE et ses transitions écologique et numérique dans le cadre du plan industriel du pacte vert. Compte tenu de la taille de son marché du travail, la migration de main-d’œuvre vers l’UE reste faible par rapport à la situation sur le plan international</w:t>
      </w:r>
      <w:r>
        <w:rPr>
          <w:rStyle w:val="FootnoteReference"/>
          <w:rFonts w:ascii="Times New Roman" w:eastAsia="Times New Roman" w:hAnsi="Times New Roman" w:cs="Times New Roman"/>
          <w:noProof/>
          <w:color w:val="000000" w:themeColor="text1"/>
          <w:sz w:val="24"/>
          <w:lang w:val="en-IE"/>
        </w:rPr>
        <w:footnoteReference w:id="54"/>
      </w:r>
      <w:r w:rsidRPr="00CE20E1">
        <w:rPr>
          <w:rFonts w:ascii="Times New Roman" w:hAnsi="Times New Roman"/>
          <w:noProof/>
          <w:sz w:val="24"/>
          <w:lang w:val="fr-BE"/>
        </w:rPr>
        <w:t xml:space="preserve">. </w:t>
      </w:r>
    </w:p>
    <w:p w14:paraId="0AB78509" w14:textId="37AD3FD7" w:rsidR="00CE20E1" w:rsidRPr="00CE20E1" w:rsidRDefault="00CE20E1" w:rsidP="00CE20E1">
      <w:pPr>
        <w:pStyle w:val="Subtitle"/>
        <w:rPr>
          <w:rStyle w:val="SubtitleChar"/>
          <w:rFonts w:ascii="Times New Roman" w:hAnsi="Times New Roman"/>
          <w:b/>
          <w:caps/>
          <w:noProof/>
          <w:sz w:val="24"/>
          <w:lang w:val="fr-BE"/>
        </w:rPr>
      </w:pPr>
      <w:r w:rsidRPr="00CE20E1">
        <w:rPr>
          <w:rFonts w:ascii="Times New Roman" w:hAnsi="Times New Roman"/>
          <w:noProof/>
          <w:sz w:val="24"/>
          <w:lang w:val="fr-BE"/>
        </w:rPr>
        <w:t xml:space="preserve">PME confrontées à des pénuries de compétences </w:t>
      </w:r>
      <w:r w:rsidRPr="00CE20E1">
        <w:rPr>
          <w:rStyle w:val="SubtitleChar"/>
          <w:rFonts w:ascii="Times New Roman" w:hAnsi="Times New Roman"/>
          <w:b/>
          <w:caps/>
          <w:noProof/>
          <w:sz w:val="24"/>
          <w:lang w:val="fr-BE"/>
        </w:rPr>
        <w:t>(%)</w:t>
      </w:r>
    </w:p>
    <w:p w14:paraId="3D7752F5" w14:textId="6DBF03BA" w:rsidR="00CE20E1" w:rsidRPr="006D289C" w:rsidRDefault="00CE20E1" w:rsidP="00CE20E1">
      <w:pPr>
        <w:rPr>
          <w:noProof/>
        </w:rPr>
      </w:pPr>
      <w:r w:rsidRPr="00CE20E1">
        <w:rPr>
          <w:noProof/>
          <w:lang w:val="en-GB" w:eastAsia="en-GB"/>
        </w:rPr>
        <w:drawing>
          <wp:inline distT="0" distB="0" distL="0" distR="0" wp14:anchorId="53FEEC5B" wp14:editId="1A4CB856">
            <wp:extent cx="5943600" cy="1988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988185"/>
                    </a:xfrm>
                    <a:prstGeom prst="rect">
                      <a:avLst/>
                    </a:prstGeom>
                  </pic:spPr>
                </pic:pic>
              </a:graphicData>
            </a:graphic>
          </wp:inline>
        </w:drawing>
      </w:r>
    </w:p>
    <w:p w14:paraId="25B64CAF" w14:textId="77777777" w:rsidR="00CE20E1" w:rsidRPr="00CE20E1" w:rsidRDefault="00E41C79" w:rsidP="00CE20E1">
      <w:pPr>
        <w:autoSpaceDE w:val="0"/>
        <w:autoSpaceDN w:val="0"/>
        <w:rPr>
          <w:rFonts w:ascii="Times New Roman" w:hAnsi="Times New Roman"/>
          <w:i/>
          <w:noProof/>
          <w:sz w:val="24"/>
          <w:u w:val="single"/>
          <w:lang w:val="fr-BE"/>
        </w:rPr>
      </w:pPr>
      <w:r>
        <w:rPr>
          <w:rFonts w:ascii="Times New Roman" w:hAnsi="Times New Roman"/>
          <w:noProof/>
          <w:sz w:val="24"/>
        </w:rPr>
        <w:pict w14:anchorId="7851DDF4">
          <v:roundrect id="Rectangle: Rounded Corners 12" o:spid="_x0000_s2089" style="position:absolute;left:0;text-align:left;margin-left:297.4pt;margin-top:102.5pt;width:168.8pt;height:154.6pt;z-index:251660289;visibility:visible;mso-wrap-distance-left:14.2pt;mso-wrap-distance-right:14.2pt;mso-wrap-distance-bottom:11.35pt;mso-position-horizontal-relative:margin;mso-width-relative:margin;mso-height-relative:margin;v-text-anchor:middle" arcsize="5273f" fillcolor="#def8f8 [664]" strokecolor="#5fdfdc [3208]" strokeweight="2.5pt">
            <v:stroke joinstyle="miter"/>
            <v:shadow color="#868686"/>
            <v:textbox style="mso-next-textbox:#Rectangle: Rounded Corners 12">
              <w:txbxContent>
                <w:p w14:paraId="76292042" w14:textId="77777777" w:rsidR="00CE20E1" w:rsidRPr="00CE20E1" w:rsidRDefault="00CE20E1" w:rsidP="00CE20E1">
                  <w:pPr>
                    <w:pStyle w:val="Framebody"/>
                    <w:rPr>
                      <w:sz w:val="24"/>
                      <w:szCs w:val="24"/>
                      <w:lang w:val="fr-BE"/>
                    </w:rPr>
                  </w:pPr>
                  <w:r w:rsidRPr="00CE20E1">
                    <w:rPr>
                      <w:sz w:val="24"/>
                      <w:lang w:val="fr-BE"/>
                    </w:rPr>
                    <w:t xml:space="preserve">La </w:t>
                  </w:r>
                  <w:r w:rsidRPr="00CE20E1">
                    <w:rPr>
                      <w:b/>
                      <w:sz w:val="24"/>
                      <w:lang w:val="fr-BE"/>
                    </w:rPr>
                    <w:t>Suède</w:t>
                  </w:r>
                  <w:r w:rsidRPr="00CE20E1">
                    <w:rPr>
                      <w:sz w:val="24"/>
                      <w:lang w:val="fr-BE"/>
                    </w:rPr>
                    <w:t xml:space="preserve"> attire et retient les talents internationaux grâce à un </w:t>
                  </w:r>
                  <w:r w:rsidRPr="00CE20E1">
                    <w:rPr>
                      <w:b/>
                      <w:sz w:val="24"/>
                      <w:lang w:val="fr-BE"/>
                    </w:rPr>
                    <w:t>nouveau permis de séjour pour les ressortissants hautement qualifiés de pays tiers</w:t>
                  </w:r>
                  <w:r w:rsidRPr="00CE20E1">
                    <w:rPr>
                      <w:sz w:val="24"/>
                      <w:lang w:val="fr-BE"/>
                    </w:rPr>
                    <w:t xml:space="preserve"> et à des mesures de contrôle renforcées pour lutter contre l’utilisation abusive des routes migratoires.</w:t>
                  </w:r>
                </w:p>
              </w:txbxContent>
            </v:textbox>
            <w10:wrap type="square" anchorx="margin"/>
          </v:roundrect>
        </w:pict>
      </w:r>
      <w:r w:rsidR="00CE20E1" w:rsidRPr="00CE20E1">
        <w:rPr>
          <w:rFonts w:ascii="Times New Roman" w:hAnsi="Times New Roman"/>
          <w:b/>
          <w:noProof/>
          <w:sz w:val="24"/>
          <w:lang w:val="fr-BE"/>
        </w:rPr>
        <w:t>L’amélioration des voies de migration légales vers l’UE peut contribuer à pourvoir les emplois vacants, tout en bénéficiant également aux pays d’origine.</w:t>
      </w:r>
      <w:r w:rsidR="00CE20E1" w:rsidRPr="00CE20E1">
        <w:rPr>
          <w:rFonts w:ascii="Times New Roman" w:hAnsi="Times New Roman"/>
          <w:noProof/>
          <w:sz w:val="24"/>
          <w:lang w:val="fr-BE"/>
        </w:rPr>
        <w:t xml:space="preserve"> L’industrie de l’UE appelle constamment à faire de l’Europe une destination plus attrayante pour les talents des pays tiers. Pour ce faire, il est nécessaire de prendre des mesures proactives pour rapprocher employeurs et travailleurs. Plusieurs États membres reconnaissent cet état de fait, comme en témoigne le nombre croissant de permis de travail délivrés à des ressortissants de pays tiers à des fins d’emploi</w:t>
      </w:r>
      <w:r w:rsidR="00CE20E1">
        <w:rPr>
          <w:rStyle w:val="FootnoteReference"/>
          <w:rFonts w:ascii="Times New Roman" w:eastAsia="Times New Roman" w:hAnsi="Times New Roman" w:cs="Times New Roman"/>
          <w:noProof/>
          <w:sz w:val="24"/>
          <w:lang w:val="en-IE"/>
        </w:rPr>
        <w:footnoteReference w:id="55"/>
      </w:r>
      <w:r w:rsidR="00CE20E1" w:rsidRPr="00CE20E1">
        <w:rPr>
          <w:rFonts w:ascii="Times New Roman" w:hAnsi="Times New Roman"/>
          <w:noProof/>
          <w:sz w:val="24"/>
          <w:lang w:val="fr-BE"/>
        </w:rPr>
        <w:t xml:space="preserve">. </w:t>
      </w:r>
      <w:r w:rsidR="00CE20E1" w:rsidRPr="00CE20E1">
        <w:rPr>
          <w:rFonts w:ascii="Times New Roman" w:hAnsi="Times New Roman"/>
          <w:noProof/>
          <w:color w:val="000000" w:themeColor="text1"/>
          <w:sz w:val="24"/>
          <w:lang w:val="fr-BE"/>
        </w:rPr>
        <w:t xml:space="preserve">L’UE s’efforce d’aider les pays d’origine à renforcer leur base économique et leur capital humain en établissant des partenariats destinés à attirer les talents. </w:t>
      </w:r>
      <w:r w:rsidR="00CE20E1" w:rsidRPr="00CE20E1">
        <w:rPr>
          <w:rFonts w:ascii="Times New Roman" w:hAnsi="Times New Roman"/>
          <w:noProof/>
          <w:sz w:val="24"/>
          <w:lang w:val="fr-BE"/>
        </w:rPr>
        <w:t>Pour attirer les talents à l’échelle mondiale, il faut lancer des initiatives ciblées en matière de migration de main-d’œuvre afin de remédier aux pénuries qui ne peuvent être comblées par la main-d’œuvre nationale, tout en tenant compte des aspirations des ressortissants de pays tiers eux-mêmes et des priorités des pays d’origine. Les partenariats destinés à attirer les talents entre l’UE et les pays tiers conjuguent, d'une part, soutien direct aux programmes de mobilité pour le travail ou la formation et, d'autre part, renforcement des capacités et investissement dans le capital humain</w:t>
      </w:r>
      <w:r w:rsidR="00CE20E1">
        <w:rPr>
          <w:rStyle w:val="FootnoteReference"/>
          <w:rFonts w:ascii="Times New Roman" w:hAnsi="Times New Roman" w:cs="Times New Roman"/>
          <w:noProof/>
          <w:sz w:val="24"/>
        </w:rPr>
        <w:footnoteReference w:id="56"/>
      </w:r>
      <w:r w:rsidR="00CE20E1" w:rsidRPr="00CE20E1">
        <w:rPr>
          <w:rFonts w:ascii="Times New Roman" w:hAnsi="Times New Roman"/>
          <w:noProof/>
          <w:sz w:val="24"/>
          <w:lang w:val="fr-BE"/>
        </w:rPr>
        <w:t xml:space="preserve"> afin de garantir que les États membres, les pays partenaires, les entreprises des deux côtés et les personnes qui bénéficient de ces partenariats en tirent tous des avantages équivalents. Selon l’OCDE, seuls quatre États membres de l’UE</w:t>
      </w:r>
      <w:r w:rsidR="00CE20E1">
        <w:rPr>
          <w:rStyle w:val="FootnoteReference"/>
          <w:rFonts w:ascii="Times New Roman" w:eastAsia="Times New Roman" w:hAnsi="Times New Roman" w:cs="Times New Roman"/>
          <w:noProof/>
          <w:sz w:val="24"/>
          <w:lang w:val="en-IE"/>
        </w:rPr>
        <w:footnoteReference w:id="57"/>
      </w:r>
      <w:r w:rsidR="00CE20E1" w:rsidRPr="00CE20E1">
        <w:rPr>
          <w:rFonts w:ascii="Times New Roman" w:hAnsi="Times New Roman"/>
          <w:noProof/>
          <w:sz w:val="24"/>
          <w:lang w:val="fr-BE"/>
        </w:rPr>
        <w:t xml:space="preserve"> figurent parmi les 10 pays les plus susceptibles d’attirer des talents et des entrepreneurs hautement qualifiés de l’étranger, parmi lesquels la Suède, qui offre des conditions de visa favorables pour les entrepreneurs ainsi qu’un environnement inclusif et favorable à la vie de famille</w:t>
      </w:r>
      <w:r w:rsidR="00CE20E1">
        <w:rPr>
          <w:rStyle w:val="FootnoteReference"/>
          <w:rFonts w:ascii="Times New Roman" w:eastAsia="Times New Roman" w:hAnsi="Times New Roman" w:cs="Times New Roman"/>
          <w:noProof/>
          <w:sz w:val="24"/>
          <w:lang w:val="en-IE"/>
        </w:rPr>
        <w:footnoteReference w:id="58"/>
      </w:r>
      <w:r w:rsidR="00CE20E1" w:rsidRPr="00CE20E1">
        <w:rPr>
          <w:rFonts w:ascii="Times New Roman" w:hAnsi="Times New Roman"/>
          <w:noProof/>
          <w:sz w:val="24"/>
          <w:lang w:val="fr-BE"/>
        </w:rPr>
        <w:t>.</w:t>
      </w:r>
      <w:r w:rsidR="00CE20E1" w:rsidRPr="00CE20E1">
        <w:rPr>
          <w:rStyle w:val="FootnoteReference"/>
          <w:rFonts w:ascii="Times New Roman" w:hAnsi="Times New Roman"/>
          <w:noProof/>
          <w:sz w:val="24"/>
          <w:lang w:val="fr-BE"/>
        </w:rPr>
        <w:t xml:space="preserve"> </w:t>
      </w:r>
      <w:r w:rsidR="00CE20E1" w:rsidRPr="00CE20E1">
        <w:rPr>
          <w:rFonts w:ascii="Times New Roman" w:hAnsi="Times New Roman"/>
          <w:noProof/>
          <w:sz w:val="24"/>
          <w:lang w:val="fr-BE"/>
        </w:rPr>
        <w:t>Les politiques doivent également faciliter la bonne intégration des ressortissants de pays tiers dans les sociétés européennes, l’intégration et le respect des valeurs et principes fondamentaux de l’UE étant à la fois un droit et un devoir.</w:t>
      </w:r>
    </w:p>
    <w:p w14:paraId="5DA89A95"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La mise en adéquation de l’offre et de la demande d’emploi et la recherche de voies légales d’accès sont souvent fastidieuses et coûteuses tant pour les migrants que pour les employeurs. </w:t>
      </w:r>
      <w:r w:rsidRPr="00CE20E1">
        <w:rPr>
          <w:rFonts w:ascii="Times New Roman" w:hAnsi="Times New Roman"/>
          <w:noProof/>
          <w:sz w:val="24"/>
          <w:lang w:val="fr-BE"/>
        </w:rPr>
        <w:t xml:space="preserve">L’accès au marché du travail devrait être facilité en garantissant aux migrants en situation régulière des conditions de travail équitables, grâce à la reconnaissance rapide des qualifications étrangères et à un soutien pour surmonter les obstacles administratifs et linguistiques. Par exemple, la </w:t>
      </w:r>
      <w:r w:rsidRPr="00CE20E1">
        <w:rPr>
          <w:rFonts w:ascii="Times New Roman" w:hAnsi="Times New Roman"/>
          <w:b/>
          <w:noProof/>
          <w:sz w:val="24"/>
          <w:lang w:val="fr-BE"/>
        </w:rPr>
        <w:t>Tchéquie</w:t>
      </w:r>
      <w:r w:rsidRPr="00CE20E1">
        <w:rPr>
          <w:rFonts w:ascii="Times New Roman" w:hAnsi="Times New Roman"/>
          <w:noProof/>
          <w:sz w:val="24"/>
          <w:lang w:val="fr-BE"/>
        </w:rPr>
        <w:t xml:space="preserve"> a mis en place un outil informatique spécifique pour évaluer les besoins de main-d’œuvre qui pourraient être satisfaits grâce à la migration et la </w:t>
      </w:r>
      <w:r w:rsidRPr="00CE20E1">
        <w:rPr>
          <w:rFonts w:ascii="Times New Roman" w:hAnsi="Times New Roman"/>
          <w:b/>
          <w:bCs/>
          <w:noProof/>
          <w:sz w:val="24"/>
          <w:lang w:val="fr-BE"/>
        </w:rPr>
        <w:t>Grèce</w:t>
      </w:r>
      <w:r w:rsidRPr="00CE20E1">
        <w:rPr>
          <w:rFonts w:ascii="Times New Roman" w:hAnsi="Times New Roman"/>
          <w:noProof/>
          <w:sz w:val="24"/>
          <w:lang w:val="fr-BE"/>
        </w:rPr>
        <w:t xml:space="preserve"> dispose d’une plateforme en ligne conviviale pour mieux mettre en adéquation l’offre et la demande de compétences. Il convient d’encourager une approche plus coordonnée pour rapprocher les besoins des employeurs à la recherche de travailleurs dans l’UE et de ceux qui sont à la recherche d’un emploi. Les migrants occupent souvent des emplois qui ne correspondent pas à leurs compétences, près de 40 % d’entre eux étant surqualifiés pour les emplois qu’ils occupent (contre 20 % des citoyens de l’UE). Les ressortissants de pays tiers et les personnes issues de l’immigration souffrent également souvent de discriminations et de mauvaises conditions de travail et peuvent manquer des compétences linguistiques appropriées. En conséquence, les ressortissants de pays tiers ont un taux d’emploi inférieur à celui des ressortissants nationaux ou des autres citoyens de l’UE dans les États membres, y compris parmi les jeunes</w:t>
      </w:r>
      <w:r>
        <w:rPr>
          <w:rStyle w:val="FootnoteReference"/>
          <w:rFonts w:ascii="Times New Roman" w:eastAsia="Times New Roman" w:hAnsi="Times New Roman" w:cs="Times New Roman"/>
          <w:noProof/>
          <w:color w:val="000000" w:themeColor="text1"/>
          <w:sz w:val="24"/>
          <w:lang w:val="en-IE"/>
        </w:rPr>
        <w:footnoteReference w:id="59"/>
      </w:r>
      <w:r w:rsidRPr="00CE20E1">
        <w:rPr>
          <w:rFonts w:ascii="Times New Roman" w:hAnsi="Times New Roman"/>
          <w:noProof/>
          <w:sz w:val="24"/>
          <w:lang w:val="fr-BE"/>
        </w:rPr>
        <w:t>. Cela justifie d'autant plus la nécessité de disposer de canaux ordonnés et bien organisés pour la migration de la main-d’œuvre vers l’UE.</w:t>
      </w: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498"/>
      </w:tblGrid>
      <w:tr w:rsidR="00CE20E1" w:rsidRPr="001549C4" w14:paraId="08E87684" w14:textId="77777777" w:rsidTr="00317A8D">
        <w:trPr>
          <w:trHeight w:val="274"/>
        </w:trPr>
        <w:tc>
          <w:tcPr>
            <w:tcW w:w="9498" w:type="dxa"/>
            <w:shd w:val="clear" w:color="auto" w:fill="FFF2CC" w:themeFill="accent1" w:themeFillTint="33"/>
          </w:tcPr>
          <w:p w14:paraId="283F2B22" w14:textId="77777777" w:rsidR="00CE20E1" w:rsidRPr="00CE20E1" w:rsidRDefault="00CE20E1" w:rsidP="00317A8D">
            <w:pPr>
              <w:pStyle w:val="Boxtitle"/>
              <w:jc w:val="both"/>
              <w:rPr>
                <w:rFonts w:ascii="Times New Roman" w:hAnsi="Times New Roman"/>
                <w:noProof/>
                <w:lang w:val="fr-BE"/>
              </w:rPr>
            </w:pPr>
            <w:r w:rsidRPr="00CE20E1">
              <w:rPr>
                <w:rFonts w:ascii="Times New Roman" w:hAnsi="Times New Roman"/>
                <w:noProof/>
                <w:lang w:val="fr-BE"/>
              </w:rPr>
              <w:t>Principaux instruments au niveau de l’UE:</w:t>
            </w:r>
          </w:p>
          <w:p w14:paraId="1A668B80" w14:textId="77777777" w:rsidR="00CE20E1" w:rsidRPr="00CE20E1" w:rsidRDefault="00CE20E1" w:rsidP="00317A8D">
            <w:pPr>
              <w:pStyle w:val="Paragraphedelistebullets"/>
              <w:jc w:val="both"/>
              <w:rPr>
                <w:rStyle w:val="eop"/>
                <w:rFonts w:ascii="EC Square Sans Pro" w:hAnsi="EC Square Sans Pro"/>
                <w:b/>
                <w:noProof/>
                <w:color w:val="5FDFDC" w:themeColor="accent5"/>
                <w:lang w:val="fr-BE"/>
              </w:rPr>
            </w:pPr>
            <w:r w:rsidRPr="00CE20E1">
              <w:rPr>
                <w:rStyle w:val="normaltextrun"/>
                <w:noProof/>
                <w:lang w:val="fr-BE"/>
              </w:rPr>
              <w:t>La directive «</w:t>
            </w:r>
            <w:r w:rsidRPr="00CE20E1">
              <w:rPr>
                <w:rStyle w:val="normaltextrun"/>
                <w:b/>
                <w:noProof/>
                <w:lang w:val="fr-BE"/>
              </w:rPr>
              <w:t>carte bleue européenne</w:t>
            </w:r>
            <w:r w:rsidRPr="00CE20E1">
              <w:rPr>
                <w:rStyle w:val="normaltextrun"/>
                <w:noProof/>
                <w:lang w:val="fr-BE"/>
              </w:rPr>
              <w:t>» révisée</w:t>
            </w:r>
            <w:r>
              <w:rPr>
                <w:rStyle w:val="FootnoteReference"/>
                <w:noProof/>
              </w:rPr>
              <w:footnoteReference w:id="60"/>
            </w:r>
            <w:r w:rsidRPr="00CE20E1">
              <w:rPr>
                <w:rStyle w:val="normaltextrun"/>
                <w:noProof/>
                <w:lang w:val="fr-BE"/>
              </w:rPr>
              <w:t>, qui s’appliquera à partir du 19 novembre 2023, facilitera le recrutement de travailleurs hautement qualifiés dans l’UE.</w:t>
            </w:r>
            <w:r w:rsidRPr="00CE20E1">
              <w:rPr>
                <w:rStyle w:val="eop"/>
                <w:rFonts w:ascii="Calibri" w:hAnsi="Calibri"/>
                <w:noProof/>
                <w:color w:val="000000" w:themeColor="text1"/>
                <w:lang w:val="fr-BE"/>
              </w:rPr>
              <w:t xml:space="preserve"> </w:t>
            </w:r>
          </w:p>
          <w:p w14:paraId="6B02604D" w14:textId="77777777" w:rsidR="00CE20E1" w:rsidRPr="00CE20E1" w:rsidRDefault="00CE20E1" w:rsidP="00317A8D">
            <w:pPr>
              <w:pStyle w:val="Paragraphedelistebullets"/>
              <w:jc w:val="both"/>
              <w:rPr>
                <w:rStyle w:val="normaltextrun"/>
                <w:rFonts w:ascii="EC Square Sans Pro" w:hAnsi="EC Square Sans Pro"/>
                <w:noProof/>
                <w:sz w:val="22"/>
                <w:lang w:val="fr-BE"/>
              </w:rPr>
            </w:pPr>
            <w:r w:rsidRPr="00CE20E1">
              <w:rPr>
                <w:rStyle w:val="normaltextrun"/>
                <w:noProof/>
                <w:lang w:val="fr-BE"/>
              </w:rPr>
              <w:t xml:space="preserve">La </w:t>
            </w:r>
            <w:r w:rsidRPr="00CE20E1">
              <w:rPr>
                <w:rStyle w:val="normaltextrun"/>
                <w:b/>
                <w:bCs/>
                <w:noProof/>
                <w:lang w:val="fr-BE"/>
              </w:rPr>
              <w:t>directive «permis unique»</w:t>
            </w:r>
            <w:r>
              <w:rPr>
                <w:rStyle w:val="FootnoteReference"/>
                <w:noProof/>
              </w:rPr>
              <w:footnoteReference w:id="61"/>
            </w:r>
            <w:r w:rsidRPr="00CE20E1">
              <w:rPr>
                <w:rStyle w:val="FootnoteReference"/>
                <w:noProof/>
                <w:lang w:val="fr-BE"/>
              </w:rPr>
              <w:t xml:space="preserve"> </w:t>
            </w:r>
            <w:r w:rsidRPr="00CE20E1">
              <w:rPr>
                <w:rStyle w:val="normaltextrun"/>
                <w:noProof/>
                <w:lang w:val="fr-BE"/>
              </w:rPr>
              <w:t xml:space="preserve"> établit un permis unique pour le droit de travailler et prévoit un ensemble de droits pour les travailleurs issus de pays tiers, tandis que la </w:t>
            </w:r>
            <w:r w:rsidRPr="00CE20E1">
              <w:rPr>
                <w:rStyle w:val="normaltextrun"/>
                <w:b/>
                <w:bCs/>
                <w:noProof/>
                <w:lang w:val="fr-BE"/>
              </w:rPr>
              <w:t>directive «résidents de longue durée»</w:t>
            </w:r>
            <w:r>
              <w:rPr>
                <w:rStyle w:val="FootnoteReference"/>
                <w:noProof/>
              </w:rPr>
              <w:footnoteReference w:id="62"/>
            </w:r>
            <w:r w:rsidRPr="00CE20E1">
              <w:rPr>
                <w:rStyle w:val="normaltextrun"/>
                <w:noProof/>
                <w:lang w:val="fr-BE"/>
              </w:rPr>
              <w:t xml:space="preserve"> définit les règles d’acquisition du statut de résident de longue durée de l’UE. </w:t>
            </w:r>
            <w:r w:rsidRPr="00CE20E1">
              <w:rPr>
                <w:noProof/>
                <w:lang w:val="fr-BE"/>
              </w:rPr>
              <w:t>Les deux directives sont en cours de révision, le but étant de rationaliser et de faciliter l’intégration des ressortissants de pays tiers et de renforcer leurs droits.</w:t>
            </w:r>
            <w:r w:rsidRPr="00CE20E1">
              <w:rPr>
                <w:rStyle w:val="normaltextrun"/>
                <w:noProof/>
                <w:lang w:val="fr-BE"/>
              </w:rPr>
              <w:t xml:space="preserve"> </w:t>
            </w:r>
          </w:p>
          <w:p w14:paraId="553549A8" w14:textId="77777777" w:rsidR="00CE20E1" w:rsidRPr="00CE20E1" w:rsidRDefault="00CE20E1" w:rsidP="00317A8D">
            <w:pPr>
              <w:pStyle w:val="Paragraphedelistebullets"/>
              <w:jc w:val="both"/>
              <w:rPr>
                <w:rStyle w:val="eop"/>
                <w:rFonts w:ascii="EC Square Sans Pro" w:hAnsi="EC Square Sans Pro"/>
                <w:noProof/>
                <w:sz w:val="22"/>
                <w:lang w:val="fr-BE"/>
              </w:rPr>
            </w:pPr>
            <w:r w:rsidRPr="00CE20E1">
              <w:rPr>
                <w:rStyle w:val="normaltextrun"/>
                <w:noProof/>
                <w:lang w:val="fr-BE"/>
              </w:rPr>
              <w:t xml:space="preserve">Les </w:t>
            </w:r>
            <w:r w:rsidRPr="00CE20E1">
              <w:rPr>
                <w:rStyle w:val="normaltextrun"/>
                <w:b/>
                <w:noProof/>
                <w:lang w:val="fr-BE"/>
              </w:rPr>
              <w:t>partenariats destinés à attirer les talents</w:t>
            </w:r>
            <w:r w:rsidRPr="00CE20E1">
              <w:rPr>
                <w:rStyle w:val="normaltextrun"/>
                <w:noProof/>
                <w:lang w:val="fr-BE"/>
              </w:rPr>
              <w:t xml:space="preserve"> établis avec certains pays tiers (actuellement avec le Maroc, la Tunisie, l'Égypte, le Bangladesh, le Pakistan</w:t>
            </w:r>
            <w:r>
              <w:rPr>
                <w:rStyle w:val="FootnoteReference"/>
                <w:noProof/>
              </w:rPr>
              <w:footnoteReference w:id="63"/>
            </w:r>
            <w:r w:rsidRPr="00CE20E1">
              <w:rPr>
                <w:rStyle w:val="normaltextrun"/>
                <w:noProof/>
                <w:lang w:val="fr-BE"/>
              </w:rPr>
              <w:t>) améliorent les voies légales de mobilité internationale de la main-d’œuvre et développent les talents d’une manière mutuellement bénéfique, en respectant les préoccupations éventuelles des pays partenaires.</w:t>
            </w:r>
          </w:p>
          <w:p w14:paraId="78578A38" w14:textId="77777777" w:rsidR="00CE20E1" w:rsidRPr="00CE20E1" w:rsidRDefault="00CE20E1" w:rsidP="00317A8D">
            <w:pPr>
              <w:pStyle w:val="Paragraphedelistebullets"/>
              <w:jc w:val="both"/>
              <w:rPr>
                <w:noProof/>
                <w:lang w:val="fr-BE"/>
              </w:rPr>
            </w:pPr>
            <w:r w:rsidRPr="00CE20E1">
              <w:rPr>
                <w:noProof/>
                <w:lang w:val="fr-BE"/>
              </w:rPr>
              <w:t xml:space="preserve">Le </w:t>
            </w:r>
            <w:r w:rsidRPr="00CE20E1">
              <w:rPr>
                <w:b/>
                <w:noProof/>
                <w:lang w:val="fr-BE"/>
              </w:rPr>
              <w:t>plan d’action en faveur de l’intégration et de l’inclusion pour la période 2021-2027</w:t>
            </w:r>
            <w:r>
              <w:rPr>
                <w:rStyle w:val="FootnoteReference"/>
                <w:noProof/>
              </w:rPr>
              <w:footnoteReference w:id="64"/>
            </w:r>
            <w:r w:rsidRPr="00CE20E1">
              <w:rPr>
                <w:noProof/>
                <w:lang w:val="fr-BE"/>
              </w:rPr>
              <w:t xml:space="preserve"> propose de soutenir les États membres au moyen d’actions visant notamment à améliorer les possibilités d’emploi et la reconnaissance des qualifications des migrants ou à développer une éducation et une formation inclusives. </w:t>
            </w:r>
          </w:p>
          <w:p w14:paraId="515E7E87" w14:textId="77777777" w:rsidR="00CE20E1" w:rsidRPr="00CE20E1" w:rsidRDefault="00CE20E1" w:rsidP="00317A8D">
            <w:pPr>
              <w:pStyle w:val="Paragraphedelistebullets"/>
              <w:jc w:val="both"/>
              <w:rPr>
                <w:noProof/>
                <w:lang w:val="fr-BE"/>
              </w:rPr>
            </w:pPr>
            <w:r w:rsidRPr="00CE20E1">
              <w:rPr>
                <w:noProof/>
                <w:lang w:val="fr-BE"/>
              </w:rPr>
              <w:t xml:space="preserve">Les </w:t>
            </w:r>
            <w:r w:rsidRPr="00CE20E1">
              <w:rPr>
                <w:b/>
                <w:bCs/>
                <w:noProof/>
                <w:lang w:val="fr-BE"/>
              </w:rPr>
              <w:t>accords de libre-échange</w:t>
            </w:r>
            <w:r w:rsidRPr="00CE20E1">
              <w:rPr>
                <w:noProof/>
                <w:lang w:val="fr-BE"/>
              </w:rPr>
              <w:t xml:space="preserve"> avec des pays tiers, y compris ceux en cours de négociation avec l’Australie, l’Indonésie, l’Inde et la Thaïlande, devraient comprendre des dispositions visant à soutenir la circulation des professionnels qualifiés.</w:t>
            </w:r>
          </w:p>
          <w:p w14:paraId="3128E85F" w14:textId="77777777" w:rsidR="00CE20E1" w:rsidRPr="00A56B91" w:rsidRDefault="00CE20E1" w:rsidP="00317A8D">
            <w:pPr>
              <w:pStyle w:val="Boxtitle"/>
              <w:jc w:val="both"/>
              <w:rPr>
                <w:rFonts w:ascii="Times New Roman" w:hAnsi="Times New Roman"/>
                <w:noProof/>
              </w:rPr>
            </w:pPr>
            <w:r>
              <w:rPr>
                <w:rFonts w:ascii="Times New Roman" w:hAnsi="Times New Roman"/>
                <w:noProof/>
              </w:rPr>
              <w:t>Prochaines étapes importantes:</w:t>
            </w:r>
          </w:p>
          <w:p w14:paraId="09674A80" w14:textId="77777777" w:rsidR="00CE20E1" w:rsidRPr="00CE20E1" w:rsidRDefault="00CE20E1" w:rsidP="00317A8D">
            <w:pPr>
              <w:pStyle w:val="Paragraphedelistebullets"/>
              <w:jc w:val="both"/>
              <w:rPr>
                <w:noProof/>
                <w:lang w:val="fr-BE"/>
              </w:rPr>
            </w:pPr>
            <w:r w:rsidRPr="00CE20E1">
              <w:rPr>
                <w:noProof/>
                <w:lang w:val="fr-BE"/>
              </w:rPr>
              <w:t xml:space="preserve">La Commission présentera en novembre 2023 un </w:t>
            </w:r>
            <w:r w:rsidRPr="00CE20E1">
              <w:rPr>
                <w:b/>
                <w:noProof/>
                <w:lang w:val="fr-BE"/>
              </w:rPr>
              <w:t>train de mesures sur la mobilité des talents</w:t>
            </w:r>
            <w:r w:rsidRPr="00CE20E1">
              <w:rPr>
                <w:noProof/>
                <w:lang w:val="fr-BE"/>
              </w:rPr>
              <w:t>, comprenant une proposition relative à un réservoir européen de talents se présentant sous la forme d'une plateforme informatique destinée à faciliter la mise en relation des employeurs de l’UE et des demandeurs d’emploi des pays tiers, une recommandation de la Commission relative à la reconnaissance des qualifications des ressortissants de pays tiers et une proposition de recommandation du Conseil relative à un cadre de mobilité à des fins d’apprentissage.</w:t>
            </w:r>
          </w:p>
          <w:p w14:paraId="5AA1B6A3" w14:textId="77777777" w:rsidR="00CE20E1" w:rsidRPr="00CE20E1" w:rsidRDefault="00CE20E1" w:rsidP="00317A8D">
            <w:pPr>
              <w:pStyle w:val="Paragraphedelistebullets"/>
              <w:jc w:val="both"/>
              <w:rPr>
                <w:noProof/>
                <w:lang w:val="fr-BE"/>
              </w:rPr>
            </w:pPr>
            <w:r w:rsidRPr="00CE20E1">
              <w:rPr>
                <w:noProof/>
                <w:lang w:val="fr-BE"/>
              </w:rPr>
              <w:t xml:space="preserve">Par l’intermédiaire de la </w:t>
            </w:r>
            <w:r w:rsidRPr="00CE20E1">
              <w:rPr>
                <w:b/>
                <w:noProof/>
                <w:lang w:val="fr-BE"/>
              </w:rPr>
              <w:t>plateforme pour la migration de la main-d’œuvre</w:t>
            </w:r>
            <w:r w:rsidRPr="00CE20E1">
              <w:rPr>
                <w:noProof/>
                <w:lang w:val="fr-BE"/>
              </w:rPr>
              <w:t xml:space="preserve">, les États membres et la Commission renforceront encore la coopération en matière de facilitation des migrations en vue de combler les pénuries régionales de main-d’œuvre dans tous les États membres. </w:t>
            </w:r>
          </w:p>
        </w:tc>
      </w:tr>
    </w:tbl>
    <w:p w14:paraId="59175DA0" w14:textId="77777777" w:rsidR="00CE20E1" w:rsidRPr="00CE20E1" w:rsidRDefault="00CE20E1" w:rsidP="00CE20E1">
      <w:pPr>
        <w:pStyle w:val="Heading1"/>
        <w:rPr>
          <w:lang w:val="fr-BE"/>
        </w:rPr>
      </w:pPr>
      <w:r w:rsidRPr="00CE20E1">
        <w:rPr>
          <w:lang w:val="fr-BE"/>
        </w:rPr>
        <w:t xml:space="preserve">LA MISE EN ŒUVRE DE LA BOÎTE À OUTILS «DÉMOGRAPHIE» </w:t>
      </w:r>
    </w:p>
    <w:p w14:paraId="706F9B63"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La boîte à outils «démographie» peut contribuer à mobiliser les politiques au niveau de l’UE et au niveau national. </w:t>
      </w:r>
      <w:r w:rsidRPr="00CE20E1">
        <w:rPr>
          <w:rFonts w:ascii="Times New Roman" w:hAnsi="Times New Roman"/>
          <w:noProof/>
          <w:sz w:val="24"/>
          <w:lang w:val="fr-BE"/>
        </w:rPr>
        <w:t>La Commission invite les États membres à élaborer et à mettre en œuvre des politiques intégrées pour faire face à l’évolution démographique et à intégrer les préoccupations démographiques dans tous les domaines d’action. Les États membres sont encouragés à utiliser les outils disponibles au niveau de l’UE en combinaison avec les politiques nationales. Dans le cadre du processus du Semestre européen, les États membres ont reçu des recommandations par pays concernant des domaines pertinents tels que les pensions de retraite, les soins de santé et les soins de longue durée (y compris leur adéquation et leur viabilité), les services de garde d’enfants, la fiscalité, le logement social, les compétences, l’éducation et la formation des adultes et les politiques de l’emploi. Les actions visant à faire face à l’évolution démographique et à ses conséquences contribuent également à des progrès sociétaux plus larges, conformément aux objectifs de développement durable.</w:t>
      </w:r>
    </w:p>
    <w:p w14:paraId="04A9241F" w14:textId="77777777" w:rsidR="00CE20E1" w:rsidRPr="00CE20E1" w:rsidRDefault="00E41C79" w:rsidP="00CE20E1">
      <w:pPr>
        <w:rPr>
          <w:rFonts w:ascii="Times New Roman" w:hAnsi="Times New Roman" w:cs="Times New Roman"/>
          <w:noProof/>
          <w:sz w:val="24"/>
          <w:lang w:val="fr-BE"/>
        </w:rPr>
      </w:pPr>
      <w:r>
        <w:rPr>
          <w:rFonts w:ascii="Times New Roman" w:hAnsi="Times New Roman"/>
          <w:noProof/>
          <w:sz w:val="24"/>
        </w:rPr>
        <w:pict w14:anchorId="77BCE17C">
          <v:roundrect id="_x0000_s2090" style="position:absolute;left:0;text-align:left;margin-left:272.05pt;margin-top:86.45pt;width:194.25pt;height:146.85pt;z-index:251661313;visibility:visible;mso-wrap-distance-left:14.2pt;mso-wrap-distance-right:14.2pt;mso-wrap-distance-bottom:11.35pt;mso-position-horizontal-relative:margin;mso-width-relative:margin;mso-height-relative:margin;v-text-anchor:middle" arcsize="5124f" fillcolor="#def8f8 [664]" strokecolor="#5fdfdc [3208]" strokeweight="2.5pt">
            <v:stroke joinstyle="miter"/>
            <v:shadow color="#868686"/>
            <v:textbox style="mso-next-textbox:#_x0000_s2090;mso-fit-shape-to-text:t" inset=",2.5mm,,2.5mm">
              <w:txbxContent>
                <w:p w14:paraId="22C77B44" w14:textId="77777777" w:rsidR="00CE20E1" w:rsidRPr="00CE20E1" w:rsidRDefault="00CE20E1" w:rsidP="00CE20E1">
                  <w:pPr>
                    <w:pStyle w:val="Framebody"/>
                    <w:rPr>
                      <w:sz w:val="24"/>
                      <w:szCs w:val="24"/>
                      <w:lang w:val="fr-BE"/>
                    </w:rPr>
                  </w:pPr>
                  <w:r w:rsidRPr="00CE20E1">
                    <w:rPr>
                      <w:sz w:val="24"/>
                      <w:lang w:val="fr-BE"/>
                    </w:rPr>
                    <w:t>Depuis 2006, l’</w:t>
                  </w:r>
                  <w:r w:rsidRPr="00CE20E1">
                    <w:rPr>
                      <w:b/>
                      <w:sz w:val="24"/>
                      <w:lang w:val="fr-BE"/>
                    </w:rPr>
                    <w:t>Allemagne</w:t>
                  </w:r>
                  <w:r w:rsidRPr="00CE20E1">
                    <w:rPr>
                      <w:sz w:val="24"/>
                      <w:lang w:val="fr-BE"/>
                    </w:rPr>
                    <w:t xml:space="preserve"> a créé plus de </w:t>
                  </w:r>
                  <w:r w:rsidRPr="00CE20E1">
                    <w:rPr>
                      <w:b/>
                      <w:sz w:val="24"/>
                      <w:lang w:val="fr-BE"/>
                    </w:rPr>
                    <w:t>540 maisons multigénérationnelles</w:t>
                  </w:r>
                  <w:r w:rsidRPr="00CE20E1">
                    <w:rPr>
                      <w:sz w:val="24"/>
                      <w:lang w:val="fr-BE"/>
                    </w:rPr>
                    <w:t xml:space="preserve"> servant de «lieux de rencontre centraux» afin de promouvoir la cohésion sociale entre les générations. Ces centres aident les communautés environnantes à relever les défis de l’évolution démographique au niveau local.</w:t>
                  </w:r>
                </w:p>
              </w:txbxContent>
            </v:textbox>
            <w10:wrap type="square" anchorx="margin"/>
          </v:roundrect>
        </w:pict>
      </w:r>
      <w:r w:rsidR="00CE20E1" w:rsidRPr="00CE20E1">
        <w:rPr>
          <w:rFonts w:ascii="Times New Roman" w:hAnsi="Times New Roman"/>
          <w:b/>
          <w:noProof/>
          <w:sz w:val="24"/>
          <w:lang w:val="fr-BE"/>
        </w:rPr>
        <w:t xml:space="preserve">L’égalité entre les hommes et les femmes, l’absence de discrimination et l’équité intergénérationnelle doivent être au cœur des choix en matière de politiques. </w:t>
      </w:r>
      <w:r w:rsidR="00CE20E1" w:rsidRPr="00CE20E1">
        <w:rPr>
          <w:rFonts w:ascii="Times New Roman" w:hAnsi="Times New Roman"/>
          <w:noProof/>
          <w:sz w:val="24"/>
          <w:lang w:val="fr-BE"/>
        </w:rPr>
        <w:t>Il est impératif que les combinaisons de mesures retenues garantissent à tout moment l’égalité entre les hommes et les femmes et l’égalité des chances et y contribuent, notamment en améliorant l’accès effectif des femmes au marché du travail et en permettant aux citoyens européens de concrétiser leurs aspirations et choix personnels. À cet égard, une offre officielle importante de services de garde d’enfants et de soins de longue durée abordables et de qualité constitue une solution essentielle. Dans le même temps, des solutions qui profitent mutuellement à plusieurs ou à toutes les générations sont actuellement mises en œuvre et devraient être soutenues dans divers domaines d’action, tels que l’éducation et la formation (par exemple, l’apprentissage intergénérationnel qui favorise les connaissances et l'acquisition conjointe de compétences), le logement et les soins (par exemple, la cohabitation intergénérationnelle et les services de soins de proximité, y compris les services de jour pour adultes), ainsi que sur le lieu de travail (par exemple, une main-d’œuvre multigénérationnelle répondant à des besoins divers et investissant dans des transferts réciproques de connaissances et de compétences entre les générations).</w:t>
      </w:r>
    </w:p>
    <w:p w14:paraId="67DB762D" w14:textId="77777777" w:rsidR="00CE20E1" w:rsidRPr="00CE20E1" w:rsidRDefault="00CE20E1" w:rsidP="00CE20E1">
      <w:pPr>
        <w:rPr>
          <w:rFonts w:ascii="Times New Roman" w:hAnsi="Times New Roman" w:cs="Times New Roman"/>
          <w:bCs/>
          <w:noProof/>
          <w:sz w:val="24"/>
          <w:lang w:val="fr-BE"/>
        </w:rPr>
      </w:pPr>
      <w:r w:rsidRPr="00CE20E1">
        <w:rPr>
          <w:rFonts w:ascii="Times New Roman" w:hAnsi="Times New Roman"/>
          <w:b/>
          <w:noProof/>
          <w:sz w:val="24"/>
          <w:lang w:val="fr-BE"/>
        </w:rPr>
        <w:t xml:space="preserve">Il importe que les politiques des États membres visant à faire face à l’évolution démographique soient fondées sur les réalités locales. </w:t>
      </w:r>
      <w:r w:rsidRPr="00CE20E1">
        <w:rPr>
          <w:rFonts w:ascii="Times New Roman" w:hAnsi="Times New Roman"/>
          <w:noProof/>
          <w:sz w:val="24"/>
          <w:lang w:val="fr-BE"/>
        </w:rPr>
        <w:t xml:space="preserve">Les défis variant d’un État membre à l’autre et d’une région à l’autre, les mesures prises en conséquence devraient être conçues et mises en œuvre dans le cadre d’un effort concerté, avec la participation active des autorités régionales et locales. Les services publics de l’emploi, les partenaires sociaux et les organisations de la société civile ont également un rôle à jouer. La Commission est prête à soutenir les États membres dans cet exercice, notamment en facilitant l’apprentissage mutuel et l’échange de bonnes pratiques à tous les niveaux, par exemple dans le cadre du mécanisme de valorisation des talents, qui aide les régions de l’UE à faire face aux conséquences de la transition démographique. </w:t>
      </w:r>
      <w:bookmarkStart w:id="5" w:name="_Hlk147483407"/>
      <w:r w:rsidRPr="00CE20E1">
        <w:rPr>
          <w:rFonts w:ascii="Times New Roman" w:hAnsi="Times New Roman"/>
          <w:noProof/>
          <w:sz w:val="24"/>
          <w:lang w:val="fr-BE"/>
        </w:rPr>
        <w:t>La Commission accordera également une attention particulière aux défis spécifiques liés à la démographie des zones rurales dans son prochain rapport sur la mise en œuvre de la vision à long terme pour les zones rurales, dont la publication est prévue début 2024.</w:t>
      </w:r>
    </w:p>
    <w:bookmarkEnd w:id="5"/>
    <w:p w14:paraId="69519009" w14:textId="77777777" w:rsidR="00CE20E1" w:rsidRPr="00CE20E1" w:rsidRDefault="00CE20E1" w:rsidP="00CE20E1">
      <w:pPr>
        <w:pStyle w:val="Subtitle"/>
        <w:spacing w:after="0"/>
        <w:rPr>
          <w:rFonts w:ascii="Times New Roman" w:hAnsi="Times New Roman"/>
          <w:noProof/>
          <w:sz w:val="24"/>
          <w:szCs w:val="24"/>
          <w:lang w:val="fr-BE"/>
        </w:rPr>
      </w:pPr>
      <w:r w:rsidRPr="00CE20E1">
        <w:rPr>
          <w:rFonts w:ascii="Times New Roman" w:hAnsi="Times New Roman"/>
          <w:noProof/>
          <w:sz w:val="24"/>
          <w:lang w:val="fr-BE"/>
        </w:rPr>
        <w:t xml:space="preserve">Boîte à outils «démographie»:  </w:t>
      </w:r>
    </w:p>
    <w:p w14:paraId="790F947D" w14:textId="133E0F3A" w:rsidR="00CE20E1" w:rsidRPr="001549C4" w:rsidRDefault="00CE20E1" w:rsidP="00CE20E1">
      <w:pPr>
        <w:pStyle w:val="Subtitle"/>
        <w:rPr>
          <w:rFonts w:ascii="Times New Roman" w:hAnsi="Times New Roman"/>
          <w:noProof/>
          <w:sz w:val="24"/>
          <w:szCs w:val="24"/>
          <w:lang w:val="fr-BE"/>
        </w:rPr>
      </w:pPr>
      <w:r w:rsidRPr="00CE20E1">
        <w:rPr>
          <w:rFonts w:ascii="Times New Roman" w:hAnsi="Times New Roman"/>
          <w:noProof/>
          <w:sz w:val="24"/>
          <w:lang w:val="fr-BE"/>
        </w:rPr>
        <w:t xml:space="preserve">principaux outils mis à la disposition des États membres au niveau de l’UE </w:t>
      </w:r>
      <w:r w:rsidR="009241F0" w:rsidRPr="009241F0">
        <w:rPr>
          <w:noProof/>
          <w:lang w:val="en-GB" w:eastAsia="en-GB"/>
        </w:rPr>
        <w:drawing>
          <wp:inline distT="0" distB="0" distL="0" distR="0" wp14:anchorId="4EDAD30D" wp14:editId="0610AC67">
            <wp:extent cx="5943600" cy="41567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156710"/>
                    </a:xfrm>
                    <a:prstGeom prst="rect">
                      <a:avLst/>
                    </a:prstGeom>
                  </pic:spPr>
                </pic:pic>
              </a:graphicData>
            </a:graphic>
          </wp:inline>
        </w:drawing>
      </w:r>
    </w:p>
    <w:p w14:paraId="65C07CD7"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Les technologies numériques sont à même de renforcer l’avantage concurrentiel de l’Europe et de contribuer à compenser les effets de l’évolution démographique.</w:t>
      </w:r>
      <w:r w:rsidRPr="00CE20E1">
        <w:rPr>
          <w:rFonts w:ascii="Times New Roman" w:hAnsi="Times New Roman"/>
          <w:noProof/>
          <w:sz w:val="24"/>
          <w:lang w:val="fr-BE"/>
        </w:rPr>
        <w:t xml:space="preserve"> L’intelligence artificielle et l’automatisation sont déjà en train de remodeler l’économie et les marchés du travail en Europe. Si elles sont bien conçues et mises en œuvre, les mesures visant à promouvoir l’innovation et l’application à plus grande échelle des technologies peuvent contribuer à compenser les effets de l’évolution démographique sur la productivité et la viabilité budgétaire. La technologie peut également rendre les soins de santé et les soins de longue durée plus efficaces au regard des coûts et améliorer l’accès et la qualité dans ce domaine, y compris dans les régions rurales et reculées, pour les personnes âgées et pour les personnes handicapées ou à mobilité réduite. En outre, les outils numériques peuvent contribuer au bien-être d’une population vieillissante, en favorisant une vie plus saine et plus active. Ils peuvent également faciliter l’engagement social, en atténuant l’isolement social des personnes âgées, en particulier lorsqu'ils sont utilisés pour faciliter de véritables interactions interpersonnelles.</w:t>
      </w:r>
    </w:p>
    <w:p w14:paraId="248220A5" w14:textId="77777777" w:rsidR="00CE20E1" w:rsidRPr="00CE20E1" w:rsidRDefault="00CE20E1" w:rsidP="00CE20E1">
      <w:pPr>
        <w:rPr>
          <w:rStyle w:val="normaltextrun"/>
          <w:rFonts w:ascii="Times New Roman" w:hAnsi="Times New Roman" w:cs="Times New Roman"/>
          <w:noProof/>
          <w:sz w:val="24"/>
          <w:highlight w:val="green"/>
          <w:lang w:val="fr-BE"/>
        </w:rPr>
      </w:pPr>
      <w:r w:rsidRPr="00CE20E1">
        <w:rPr>
          <w:rFonts w:ascii="Times New Roman" w:hAnsi="Times New Roman"/>
          <w:b/>
          <w:noProof/>
          <w:sz w:val="24"/>
          <w:lang w:val="fr-BE"/>
        </w:rPr>
        <w:t>Outre les instruments réglementaires et les cadres d’action mentionnés ci-dessus, un certain nombre d’instruments de financement sont disponibles au niveau de l’UE pour soutenir les États membres.</w:t>
      </w:r>
      <w:r w:rsidRPr="00CE20E1">
        <w:rPr>
          <w:rFonts w:ascii="Times New Roman" w:hAnsi="Times New Roman"/>
          <w:noProof/>
          <w:sz w:val="24"/>
          <w:lang w:val="fr-BE"/>
        </w:rPr>
        <w:t xml:space="preserve"> La facilité pour la reprise et la résilience stimule les réformes et les investissements dans les quatre piliers de la boîte à outils, notamment avec environ 8 milliards d’EUR alloués à l’éducation et à l’accueil des jeunes enfants</w:t>
      </w:r>
      <w:r>
        <w:rPr>
          <w:rStyle w:val="FootnoteReference"/>
          <w:rFonts w:ascii="Times New Roman" w:hAnsi="Times New Roman" w:cs="Times New Roman"/>
          <w:noProof/>
          <w:sz w:val="24"/>
        </w:rPr>
        <w:footnoteReference w:id="65"/>
      </w:r>
      <w:r w:rsidRPr="00CE20E1">
        <w:rPr>
          <w:rFonts w:ascii="Times New Roman" w:hAnsi="Times New Roman"/>
          <w:noProof/>
          <w:sz w:val="24"/>
          <w:lang w:val="fr-BE"/>
        </w:rPr>
        <w:t>, environ 43,2 milliards d’EUR à l’éducation</w:t>
      </w:r>
      <w:r>
        <w:rPr>
          <w:rStyle w:val="FootnoteReference"/>
          <w:rFonts w:ascii="Times New Roman" w:hAnsi="Times New Roman" w:cs="Times New Roman"/>
          <w:noProof/>
          <w:sz w:val="24"/>
        </w:rPr>
        <w:footnoteReference w:id="66"/>
      </w:r>
      <w:r w:rsidRPr="00CE20E1">
        <w:rPr>
          <w:rFonts w:ascii="Times New Roman" w:hAnsi="Times New Roman"/>
          <w:noProof/>
          <w:sz w:val="24"/>
          <w:lang w:val="fr-BE"/>
        </w:rPr>
        <w:t>, environ 41,7 milliards d’EUR au perfectionnement et à la reconversion professionnels</w:t>
      </w:r>
      <w:r>
        <w:rPr>
          <w:rStyle w:val="FootnoteReference"/>
          <w:rFonts w:ascii="Times New Roman" w:hAnsi="Times New Roman" w:cs="Times New Roman"/>
          <w:noProof/>
          <w:sz w:val="24"/>
        </w:rPr>
        <w:footnoteReference w:id="67"/>
      </w:r>
      <w:r w:rsidRPr="00CE20E1">
        <w:rPr>
          <w:rFonts w:ascii="Times New Roman" w:hAnsi="Times New Roman"/>
          <w:noProof/>
          <w:sz w:val="24"/>
          <w:lang w:val="fr-BE"/>
        </w:rPr>
        <w:t>, environ 48,2 milliards d’EUR aux soins de santé et aux soins de longue durée</w:t>
      </w:r>
      <w:r>
        <w:rPr>
          <w:rStyle w:val="FootnoteReference"/>
          <w:rFonts w:ascii="Times New Roman" w:hAnsi="Times New Roman" w:cs="Times New Roman"/>
          <w:noProof/>
          <w:sz w:val="24"/>
        </w:rPr>
        <w:footnoteReference w:id="68"/>
      </w:r>
      <w:r w:rsidRPr="00CE20E1">
        <w:rPr>
          <w:rFonts w:ascii="Times New Roman" w:hAnsi="Times New Roman"/>
          <w:noProof/>
          <w:sz w:val="24"/>
          <w:lang w:val="fr-BE"/>
        </w:rPr>
        <w:t>, et environ 15,1 milliards d’EUR au logement social et aux infrastructures sociales</w:t>
      </w:r>
      <w:r>
        <w:rPr>
          <w:rStyle w:val="FootnoteReference"/>
          <w:rFonts w:ascii="Times New Roman" w:hAnsi="Times New Roman" w:cs="Times New Roman"/>
          <w:noProof/>
          <w:sz w:val="24"/>
        </w:rPr>
        <w:footnoteReference w:id="69"/>
      </w:r>
      <w:r w:rsidRPr="00CE20E1">
        <w:rPr>
          <w:rFonts w:ascii="Times New Roman" w:hAnsi="Times New Roman"/>
          <w:noProof/>
          <w:sz w:val="24"/>
          <w:lang w:val="fr-BE"/>
        </w:rPr>
        <w:t xml:space="preserve">. Dans les accords de partenariat 2021-2027, 26 États membres ont identifié la démographie comme un défi majeur pour leurs territoires à relever avec le soutien des fonds de la politique de cohésion. Le Fonds social européen plus (FSE+), le principal instrument européen d'investissement dans le capital humain, gère, avec les États membres, une enveloppe de près de 7 milliards d’EUR pour promouvoir l'équilibre entre les hommes et les femmes dans le monde du travail, l’égalité des conditions de travail et un meilleur équilibre entre vie professionnelle et vie privée, et une enveloppe de 427 millions d’EUR pour soutenir le vieillissement actif et en bonne santé des travailleurs. </w:t>
      </w:r>
      <w:r w:rsidRPr="00CE20E1">
        <w:rPr>
          <w:rStyle w:val="normaltextrun"/>
          <w:rFonts w:ascii="Times New Roman" w:hAnsi="Times New Roman"/>
          <w:noProof/>
          <w:sz w:val="24"/>
          <w:lang w:val="fr-BE"/>
        </w:rPr>
        <w:t>Le prochain examen à mi-parcours des programmes de la politique de cohésion</w:t>
      </w:r>
      <w:r>
        <w:rPr>
          <w:rStyle w:val="FootnoteReference"/>
          <w:rFonts w:ascii="Times New Roman" w:hAnsi="Times New Roman" w:cs="Times New Roman"/>
          <w:noProof/>
          <w:sz w:val="24"/>
        </w:rPr>
        <w:footnoteReference w:id="70"/>
      </w:r>
      <w:r w:rsidRPr="00CE20E1">
        <w:rPr>
          <w:rStyle w:val="normaltextrun"/>
          <w:rFonts w:ascii="Times New Roman" w:hAnsi="Times New Roman"/>
          <w:noProof/>
          <w:sz w:val="24"/>
          <w:lang w:val="fr-BE"/>
        </w:rPr>
        <w:t xml:space="preserve">, qui doit être achevé pour la mi-2025 et est guidé par les recommandations par pays adoptées en 2024, sera l’occasion d’évaluer la situation de ces régions et d’adapter, si nécessaire, la programmation des fonds de la politique de cohésion. </w:t>
      </w:r>
      <w:r w:rsidRPr="00CE20E1">
        <w:rPr>
          <w:rFonts w:ascii="Times New Roman" w:hAnsi="Times New Roman"/>
          <w:noProof/>
          <w:sz w:val="24"/>
          <w:lang w:val="fr-BE"/>
        </w:rPr>
        <w:t>En outre, Horizon Europe finance la recherche pour réduire les pénuries et les inadéquations de compétences (43 millions d’EUR), ainsi que pour faire face aux conséquences socio-économiques de l’évolution démographique (27 millions d’EUR).</w:t>
      </w:r>
    </w:p>
    <w:p w14:paraId="2F2B19EE"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Une gestion efficace de l’évolution démographique nécessite de recueillir des données exhaustives, détaillées et de grande qualité, mais aussi de mettre en place des capacités au niveau de l’UE et au niveau national pour rassembler et évaluer les données et l'expertise nécessaires en vue de fournir des analyses et des orientations sur les solutions appropriées.</w:t>
      </w:r>
      <w:r w:rsidRPr="00CE20E1">
        <w:rPr>
          <w:rFonts w:ascii="Times New Roman" w:hAnsi="Times New Roman"/>
          <w:noProof/>
          <w:sz w:val="24"/>
          <w:lang w:val="fr-BE"/>
        </w:rPr>
        <w:t xml:space="preserve"> La coordination des efforts constituera également un élément déterminant. Au niveau national, certains États membres ont réalisé ou lancent des évaluations de l’évolution démographique et de ses conséquences, par exemple les </w:t>
      </w:r>
      <w:r w:rsidRPr="00CE20E1">
        <w:rPr>
          <w:rFonts w:ascii="Times New Roman" w:hAnsi="Times New Roman"/>
          <w:b/>
          <w:noProof/>
          <w:sz w:val="24"/>
          <w:lang w:val="fr-BE"/>
        </w:rPr>
        <w:t>Pays-Bas</w:t>
      </w:r>
      <w:r w:rsidRPr="00CE20E1">
        <w:rPr>
          <w:rFonts w:ascii="Times New Roman" w:hAnsi="Times New Roman"/>
          <w:noProof/>
          <w:sz w:val="24"/>
          <w:lang w:val="fr-BE"/>
        </w:rPr>
        <w:t xml:space="preserve"> par l’intermédiaire du nouveau «comité national sur l’évolution démographique à l'horizon 2050». En complément de ces activités, les statistiques européennes sur la population et les migrations et l’«atlas de la démographie» au niveau de l’UE fournissent déjà un ensemble sans précédent de données, ainsi que de cartes et de graphiques interactifs dans ce domaine, en plus d’autres outils, tels que l’observatoire rural de l’Union européenne. Néanmoins, une plus grande attention devra être accordée à la constitution de la base factuelle et à la mise en place des capacités de collecte nécessaires pour pouvoir évaluer et anticiper davantage les tendances démographiques et leurs implications, y compris la manière de mieux concevoir les politiques pour faire face à l’évolution de la cohorte des seniors dans nos sociétés. La proposition de règlement relatif aux statistiques européennes sur la population et le logement</w:t>
      </w:r>
      <w:r>
        <w:rPr>
          <w:rStyle w:val="FootnoteReference"/>
          <w:rFonts w:ascii="Times New Roman" w:hAnsi="Times New Roman" w:cs="Times New Roman"/>
          <w:noProof/>
          <w:sz w:val="24"/>
        </w:rPr>
        <w:footnoteReference w:id="71"/>
      </w:r>
      <w:r w:rsidRPr="00CE20E1">
        <w:rPr>
          <w:rFonts w:ascii="Times New Roman" w:hAnsi="Times New Roman"/>
          <w:noProof/>
          <w:sz w:val="24"/>
          <w:lang w:val="fr-BE"/>
        </w:rPr>
        <w:t>, qui vise à moderniser et à intégrer les statistiques sur la démographie, la migration internationale et le recensement de la population et du logement constitue un pas important dans cette direction.</w:t>
      </w:r>
    </w:p>
    <w:p w14:paraId="238E9DF3" w14:textId="77777777" w:rsidR="00CE20E1" w:rsidRPr="00CE20E1" w:rsidRDefault="00CE20E1" w:rsidP="00CE20E1">
      <w:pPr>
        <w:jc w:val="left"/>
        <w:rPr>
          <w:rFonts w:ascii="Times New Roman" w:hAnsi="Times New Roman" w:cs="Times New Roman"/>
          <w:noProof/>
          <w:sz w:val="24"/>
          <w:lang w:val="fr-BE"/>
        </w:rPr>
      </w:pPr>
      <w:r w:rsidRPr="00CE20E1">
        <w:rPr>
          <w:noProof/>
          <w:lang w:val="fr-BE"/>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434"/>
      </w:tblGrid>
      <w:tr w:rsidR="00CE20E1" w:rsidRPr="001549C4" w14:paraId="5875BAA3" w14:textId="77777777" w:rsidTr="00317A8D">
        <w:tc>
          <w:tcPr>
            <w:tcW w:w="9434" w:type="dxa"/>
            <w:shd w:val="clear" w:color="auto" w:fill="FFF2CC" w:themeFill="accent1" w:themeFillTint="33"/>
          </w:tcPr>
          <w:p w14:paraId="314E28A1" w14:textId="77777777" w:rsidR="00CE20E1" w:rsidRPr="00CE20E1" w:rsidRDefault="00CE20E1" w:rsidP="00317A8D">
            <w:pPr>
              <w:pStyle w:val="Boxtitle"/>
              <w:rPr>
                <w:rFonts w:ascii="Times New Roman" w:hAnsi="Times New Roman"/>
                <w:noProof/>
                <w:lang w:val="fr-BE"/>
              </w:rPr>
            </w:pPr>
            <w:r w:rsidRPr="00CE20E1">
              <w:rPr>
                <w:rFonts w:ascii="Times New Roman" w:hAnsi="Times New Roman"/>
                <w:noProof/>
                <w:lang w:val="fr-BE"/>
              </w:rPr>
              <w:t xml:space="preserve">En vue d’améliorer les outils disponibles, la Commission: </w:t>
            </w:r>
          </w:p>
          <w:p w14:paraId="1E79688E" w14:textId="77777777" w:rsidR="00CE20E1" w:rsidRPr="00CE20E1" w:rsidRDefault="00CE20E1" w:rsidP="00317A8D">
            <w:pPr>
              <w:pStyle w:val="Framesubtitle"/>
              <w:rPr>
                <w:rFonts w:ascii="Times New Roman" w:hAnsi="Times New Roman"/>
                <w:noProof/>
                <w:sz w:val="24"/>
                <w:szCs w:val="24"/>
                <w:lang w:val="fr-BE"/>
              </w:rPr>
            </w:pPr>
            <w:r w:rsidRPr="00CE20E1">
              <w:rPr>
                <w:rFonts w:ascii="Times New Roman" w:hAnsi="Times New Roman"/>
                <w:noProof/>
                <w:sz w:val="24"/>
                <w:lang w:val="fr-BE"/>
              </w:rPr>
              <w:t>étoffera les bases de données et les bases factuelles disponibles</w:t>
            </w:r>
          </w:p>
          <w:p w14:paraId="32ACCEAD" w14:textId="77777777" w:rsidR="00CE20E1" w:rsidRPr="00CE20E1" w:rsidRDefault="00CE20E1" w:rsidP="00317A8D">
            <w:pPr>
              <w:pStyle w:val="Paragraphedelistebullets"/>
              <w:jc w:val="both"/>
              <w:rPr>
                <w:noProof/>
                <w:lang w:val="fr-BE"/>
              </w:rPr>
            </w:pPr>
            <w:r w:rsidRPr="00CE20E1">
              <w:rPr>
                <w:noProof/>
                <w:lang w:val="fr-BE"/>
              </w:rPr>
              <w:t>transformera l’</w:t>
            </w:r>
            <w:r w:rsidRPr="00CE20E1">
              <w:rPr>
                <w:b/>
                <w:noProof/>
                <w:lang w:val="fr-BE"/>
              </w:rPr>
              <w:t>atlas de la démographie</w:t>
            </w:r>
            <w:r w:rsidRPr="00CE20E1">
              <w:rPr>
                <w:noProof/>
                <w:lang w:val="fr-BE"/>
              </w:rPr>
              <w:t xml:space="preserve"> en une plateforme dynamique pour la création et la diffusion de connaissances sur la démographie au niveau de l’UE, ce qui facilitera les échanges entre les États membres </w:t>
            </w:r>
          </w:p>
          <w:p w14:paraId="2A819A71" w14:textId="77777777" w:rsidR="00CE20E1" w:rsidRPr="00CE20E1" w:rsidRDefault="00CE20E1" w:rsidP="00317A8D">
            <w:pPr>
              <w:pStyle w:val="Paragraphedelistebullets"/>
              <w:jc w:val="both"/>
              <w:rPr>
                <w:noProof/>
                <w:lang w:val="fr-BE"/>
              </w:rPr>
            </w:pPr>
            <w:r w:rsidRPr="00CE20E1">
              <w:rPr>
                <w:noProof/>
                <w:lang w:val="fr-BE"/>
              </w:rPr>
              <w:t xml:space="preserve">aidera, dans le cadre du système statistique européen, les États membres à </w:t>
            </w:r>
            <w:r w:rsidRPr="00CE20E1">
              <w:rPr>
                <w:b/>
                <w:noProof/>
                <w:lang w:val="fr-BE"/>
              </w:rPr>
              <w:t>améliorer leurs statistiques sur la population et le logement</w:t>
            </w:r>
            <w:r w:rsidRPr="00CE20E1">
              <w:rPr>
                <w:noProof/>
                <w:lang w:val="fr-BE"/>
              </w:rPr>
              <w:t xml:space="preserve"> et à mettre en œuvre des actions innovantes, sur la base du futur cadre réglementaire pour les statistiques européennes sur la population et le logement</w:t>
            </w:r>
          </w:p>
          <w:p w14:paraId="490EA17D" w14:textId="77777777" w:rsidR="00CE20E1" w:rsidRPr="00CE20E1" w:rsidRDefault="00CE20E1" w:rsidP="00317A8D">
            <w:pPr>
              <w:pStyle w:val="Paragraphedelistebullets"/>
              <w:jc w:val="both"/>
              <w:rPr>
                <w:noProof/>
                <w:lang w:val="fr-BE"/>
              </w:rPr>
            </w:pPr>
            <w:r w:rsidRPr="00CE20E1">
              <w:rPr>
                <w:noProof/>
                <w:lang w:val="fr-BE"/>
              </w:rPr>
              <w:t xml:space="preserve">soutiendra, en 2024, des activités d’analyse au titre du volet du </w:t>
            </w:r>
            <w:r w:rsidRPr="00CE20E1">
              <w:rPr>
                <w:b/>
                <w:noProof/>
                <w:lang w:val="fr-BE"/>
              </w:rPr>
              <w:t>FSE+ relatif à l’emploi et à l’innovation sociale (EaSI)</w:t>
            </w:r>
            <w:r w:rsidRPr="00CE20E1">
              <w:rPr>
                <w:noProof/>
                <w:lang w:val="fr-BE"/>
              </w:rPr>
              <w:t>, lesquelles porteront sur des aspects essentiels de l’évolution démographique ayant trait, en particulier, à la longévité, au vieillissement et aux soins de longue durée</w:t>
            </w:r>
          </w:p>
          <w:p w14:paraId="51561A57" w14:textId="77777777" w:rsidR="00CE20E1" w:rsidRPr="00CE20E1" w:rsidRDefault="00CE20E1" w:rsidP="00317A8D">
            <w:pPr>
              <w:pStyle w:val="Paragraphedelistebullets"/>
              <w:jc w:val="both"/>
              <w:rPr>
                <w:noProof/>
                <w:lang w:val="fr-BE"/>
              </w:rPr>
            </w:pPr>
            <w:r w:rsidRPr="00CE20E1">
              <w:rPr>
                <w:noProof/>
                <w:lang w:val="fr-BE"/>
              </w:rPr>
              <w:t xml:space="preserve">soutiendra </w:t>
            </w:r>
            <w:r w:rsidRPr="00CE20E1">
              <w:rPr>
                <w:b/>
                <w:noProof/>
                <w:lang w:val="fr-BE"/>
              </w:rPr>
              <w:t>la recherche dans le cadre d’Horizon Europe</w:t>
            </w:r>
            <w:r w:rsidRPr="00CE20E1">
              <w:rPr>
                <w:noProof/>
                <w:lang w:val="fr-BE"/>
              </w:rPr>
              <w:t xml:space="preserve"> sur les mesures envisageables pour répondre aux défis démographiques, y compris une étude sur les implications de l’augmentation des besoins en soins de longue durée («flambée des besoins»), qui doit être publiée d’ici à 2025</w:t>
            </w:r>
          </w:p>
          <w:p w14:paraId="6F3D64F4" w14:textId="77777777" w:rsidR="00CE20E1" w:rsidRPr="00CE20E1" w:rsidRDefault="00CE20E1" w:rsidP="00317A8D">
            <w:pPr>
              <w:pStyle w:val="Framesubtitle"/>
              <w:rPr>
                <w:rFonts w:ascii="Times New Roman" w:hAnsi="Times New Roman"/>
                <w:noProof/>
                <w:sz w:val="24"/>
                <w:szCs w:val="24"/>
                <w:lang w:val="fr-BE"/>
              </w:rPr>
            </w:pPr>
            <w:r w:rsidRPr="00CE20E1">
              <w:rPr>
                <w:rFonts w:ascii="Times New Roman" w:hAnsi="Times New Roman"/>
                <w:noProof/>
                <w:sz w:val="24"/>
                <w:lang w:val="fr-BE"/>
              </w:rPr>
              <w:t>soutiendra le réexamen et la mise à niveau des politiques liées à la démographie à tous les niveaux</w:t>
            </w:r>
          </w:p>
          <w:p w14:paraId="2156CD51" w14:textId="77777777" w:rsidR="00CE20E1" w:rsidRPr="00CE20E1" w:rsidRDefault="00CE20E1" w:rsidP="00317A8D">
            <w:pPr>
              <w:pStyle w:val="Paragraphedelistebullets"/>
              <w:jc w:val="both"/>
              <w:rPr>
                <w:noProof/>
                <w:lang w:val="fr-BE"/>
              </w:rPr>
            </w:pPr>
            <w:r w:rsidRPr="00CE20E1">
              <w:rPr>
                <w:noProof/>
                <w:lang w:val="fr-BE"/>
              </w:rPr>
              <w:t xml:space="preserve">encouragera, en coopération avec la présidence, </w:t>
            </w:r>
            <w:r w:rsidRPr="00CE20E1">
              <w:rPr>
                <w:b/>
                <w:noProof/>
                <w:lang w:val="fr-BE"/>
              </w:rPr>
              <w:t>des dialogues et des échanges réguliers</w:t>
            </w:r>
            <w:r w:rsidRPr="00CE20E1">
              <w:rPr>
                <w:noProof/>
                <w:lang w:val="fr-BE"/>
              </w:rPr>
              <w:t xml:space="preserve"> avec les États membres sur la démographie dans toutes ses dimensions, au moyen de structures et de ressources spécifiques</w:t>
            </w:r>
          </w:p>
          <w:p w14:paraId="1A0F6CD4" w14:textId="77777777" w:rsidR="00CE20E1" w:rsidRPr="00CE20E1" w:rsidRDefault="00CE20E1" w:rsidP="00317A8D">
            <w:pPr>
              <w:pStyle w:val="Paragraphedelistebullets"/>
              <w:jc w:val="both"/>
              <w:rPr>
                <w:noProof/>
                <w:lang w:val="fr-BE"/>
              </w:rPr>
            </w:pPr>
            <w:r w:rsidRPr="00CE20E1">
              <w:rPr>
                <w:noProof/>
                <w:lang w:val="fr-BE"/>
              </w:rPr>
              <w:t>utilisera l’</w:t>
            </w:r>
            <w:r w:rsidRPr="00CE20E1">
              <w:rPr>
                <w:b/>
                <w:noProof/>
                <w:lang w:val="fr-BE"/>
              </w:rPr>
              <w:t>instrument d’appui technique</w:t>
            </w:r>
            <w:r w:rsidRPr="00CE20E1">
              <w:rPr>
                <w:noProof/>
                <w:lang w:val="fr-BE"/>
              </w:rPr>
              <w:t xml:space="preserve"> pour fournir, à leur demande, une assistance aux autorités nationales en vue de l'élaboration ou de la mise à jour de stratégies nationales visant à faire face à l’évolution démographique, notamment dans le contexte des initiatives phares «Youth First», «Compétences», «Surmonter les obstacles au développement régional» et «Intégration des migrants et attraction de talents»</w:t>
            </w:r>
          </w:p>
          <w:p w14:paraId="5CCEB0AB" w14:textId="77777777" w:rsidR="00CE20E1" w:rsidRPr="00CE20E1" w:rsidRDefault="00CE20E1" w:rsidP="00317A8D">
            <w:pPr>
              <w:pStyle w:val="Paragraphedelistebullets"/>
              <w:jc w:val="both"/>
              <w:rPr>
                <w:b/>
                <w:noProof/>
                <w:lang w:val="fr-BE"/>
              </w:rPr>
            </w:pPr>
            <w:r w:rsidRPr="00CE20E1">
              <w:rPr>
                <w:noProof/>
                <w:lang w:val="fr-BE"/>
              </w:rPr>
              <w:t xml:space="preserve">publiera, début 2024, le </w:t>
            </w:r>
            <w:r w:rsidRPr="00CE20E1">
              <w:rPr>
                <w:b/>
                <w:noProof/>
                <w:lang w:val="fr-BE"/>
              </w:rPr>
              <w:t>9</w:t>
            </w:r>
            <w:r w:rsidRPr="00CE20E1">
              <w:rPr>
                <w:b/>
                <w:noProof/>
                <w:vertAlign w:val="superscript"/>
                <w:lang w:val="fr-BE"/>
              </w:rPr>
              <w:t>e</w:t>
            </w:r>
            <w:r w:rsidRPr="00CE20E1">
              <w:rPr>
                <w:b/>
                <w:noProof/>
                <w:lang w:val="fr-BE"/>
              </w:rPr>
              <w:t xml:space="preserve"> rapport sur la cohésion</w:t>
            </w:r>
            <w:r w:rsidRPr="00CE20E1">
              <w:rPr>
                <w:noProof/>
                <w:lang w:val="fr-BE"/>
              </w:rPr>
              <w:t>, qui sera l’occasion de réfléchir à la manière dont la politique de cohésion aide les États membres à relever les défis démographiques</w:t>
            </w:r>
          </w:p>
          <w:p w14:paraId="005C7E0C" w14:textId="77777777" w:rsidR="00CE20E1" w:rsidRPr="00CE20E1" w:rsidRDefault="00CE20E1" w:rsidP="00317A8D">
            <w:pPr>
              <w:pStyle w:val="Paragraphedelistebullets"/>
              <w:jc w:val="both"/>
              <w:rPr>
                <w:noProof/>
                <w:lang w:val="fr-BE"/>
              </w:rPr>
            </w:pPr>
            <w:r w:rsidRPr="00CE20E1">
              <w:rPr>
                <w:b/>
                <w:noProof/>
                <w:lang w:val="fr-BE"/>
              </w:rPr>
              <w:t>intégrera les préoccupations démographiques</w:t>
            </w:r>
            <w:r w:rsidRPr="00CE20E1">
              <w:rPr>
                <w:noProof/>
                <w:lang w:val="fr-BE"/>
              </w:rPr>
              <w:t xml:space="preserve"> dans les propositions d’action pertinentes </w:t>
            </w:r>
            <w:r w:rsidRPr="00CE20E1">
              <w:rPr>
                <w:b/>
                <w:noProof/>
                <w:lang w:val="fr-BE"/>
              </w:rPr>
              <w:t>au niveau de l’UE</w:t>
            </w:r>
            <w:r w:rsidRPr="00CE20E1">
              <w:rPr>
                <w:noProof/>
                <w:lang w:val="fr-BE"/>
              </w:rPr>
              <w:t xml:space="preserve"> et, s'il y a lieu, dans les analyses d’impact qui les accompagnent</w:t>
            </w:r>
          </w:p>
          <w:p w14:paraId="775C3160" w14:textId="77777777" w:rsidR="00CE20E1" w:rsidRPr="00CE20E1" w:rsidRDefault="00CE20E1" w:rsidP="00317A8D">
            <w:pPr>
              <w:pStyle w:val="Paragraphedelistebullets"/>
              <w:jc w:val="both"/>
              <w:rPr>
                <w:noProof/>
                <w:lang w:val="fr-BE"/>
              </w:rPr>
            </w:pPr>
            <w:r w:rsidRPr="00CE20E1">
              <w:rPr>
                <w:b/>
                <w:bCs/>
                <w:noProof/>
                <w:lang w:val="fr-BE"/>
              </w:rPr>
              <w:t>organisera une conférence thématique dans le courant du premier semestre de 2024</w:t>
            </w:r>
            <w:r w:rsidRPr="00CE20E1">
              <w:rPr>
                <w:noProof/>
                <w:lang w:val="fr-BE"/>
              </w:rPr>
              <w:t xml:space="preserve"> afin de réfléchir à la manière dont les systèmes et les politiques peuvent résister à la longévité en Europe, en s’appuyant sur les principales conclusions des rapports sur l’adéquation des retraites et le vieillissement</w:t>
            </w:r>
          </w:p>
          <w:p w14:paraId="26DF37B9" w14:textId="77777777" w:rsidR="00CE20E1" w:rsidRPr="00CE20E1" w:rsidRDefault="00CE20E1" w:rsidP="00317A8D">
            <w:pPr>
              <w:pStyle w:val="Framesubtitle"/>
              <w:rPr>
                <w:rFonts w:ascii="Times New Roman" w:hAnsi="Times New Roman"/>
                <w:noProof/>
                <w:sz w:val="24"/>
                <w:szCs w:val="24"/>
                <w:lang w:val="fr-BE"/>
              </w:rPr>
            </w:pPr>
            <w:r w:rsidRPr="00CE20E1">
              <w:rPr>
                <w:rFonts w:ascii="Times New Roman" w:hAnsi="Times New Roman"/>
                <w:noProof/>
                <w:sz w:val="24"/>
                <w:lang w:val="fr-BE"/>
              </w:rPr>
              <w:t>veillera à ce qu’aucune région de l’UE ne soit laissée pour compte</w:t>
            </w:r>
          </w:p>
          <w:p w14:paraId="5C698235" w14:textId="77777777" w:rsidR="00CE20E1" w:rsidRPr="00CE20E1" w:rsidRDefault="00CE20E1" w:rsidP="00317A8D">
            <w:pPr>
              <w:pStyle w:val="Paragraphedelistebullets"/>
              <w:jc w:val="both"/>
              <w:rPr>
                <w:b/>
                <w:i/>
                <w:noProof/>
                <w:lang w:val="fr-BE"/>
              </w:rPr>
            </w:pPr>
            <w:r w:rsidRPr="00CE20E1">
              <w:rPr>
                <w:noProof/>
                <w:lang w:val="fr-BE"/>
              </w:rPr>
              <w:t xml:space="preserve">lancera officiellement la </w:t>
            </w:r>
            <w:r w:rsidRPr="00CE20E1">
              <w:rPr>
                <w:b/>
                <w:noProof/>
                <w:lang w:val="fr-BE"/>
              </w:rPr>
              <w:t>plateforme «Harnessing talent»</w:t>
            </w:r>
            <w:r w:rsidRPr="00CE20E1">
              <w:rPr>
                <w:noProof/>
                <w:lang w:val="fr-BE"/>
              </w:rPr>
              <w:t xml:space="preserve"> (Mettre à profit les talents) les 23 et 24 novembre 2023 et procédera à d’autres appels au titre du mécanisme de valorisation des talents </w:t>
            </w:r>
          </w:p>
          <w:p w14:paraId="56B50877" w14:textId="77777777" w:rsidR="00CE20E1" w:rsidRPr="00CE20E1" w:rsidRDefault="00CE20E1" w:rsidP="00317A8D">
            <w:pPr>
              <w:pStyle w:val="Paragraphedelistebullets"/>
              <w:jc w:val="both"/>
              <w:rPr>
                <w:noProof/>
                <w:lang w:val="fr-BE"/>
              </w:rPr>
            </w:pPr>
            <w:bookmarkStart w:id="6" w:name="_Hlk147483384"/>
            <w:r w:rsidRPr="00CE20E1">
              <w:rPr>
                <w:noProof/>
                <w:lang w:val="fr-BE"/>
              </w:rPr>
              <w:t xml:space="preserve">accordera une attention particulière aux défis spécifiques liés à la démographie des zones rurales dans le prochain </w:t>
            </w:r>
            <w:r w:rsidRPr="00CE20E1">
              <w:rPr>
                <w:b/>
                <w:noProof/>
                <w:lang w:val="fr-BE"/>
              </w:rPr>
              <w:t>rapport sur la mise en œuvre de la vision à long terme pour les zones rurales</w:t>
            </w:r>
            <w:r w:rsidRPr="00CE20E1">
              <w:rPr>
                <w:noProof/>
                <w:lang w:val="fr-BE"/>
              </w:rPr>
              <w:t>.</w:t>
            </w:r>
          </w:p>
          <w:bookmarkEnd w:id="6"/>
          <w:p w14:paraId="7A129591" w14:textId="77777777" w:rsidR="00CE20E1" w:rsidRPr="00CE20E1" w:rsidRDefault="00CE20E1" w:rsidP="00317A8D">
            <w:pPr>
              <w:pStyle w:val="Paragraphedelistebullets"/>
              <w:jc w:val="both"/>
              <w:rPr>
                <w:b/>
                <w:i/>
                <w:noProof/>
                <w:lang w:val="fr-BE"/>
              </w:rPr>
            </w:pPr>
            <w:r w:rsidRPr="00CE20E1">
              <w:rPr>
                <w:noProof/>
                <w:lang w:val="fr-BE"/>
              </w:rPr>
              <w:t xml:space="preserve">soutiendra la création de </w:t>
            </w:r>
            <w:r w:rsidRPr="00CE20E1">
              <w:rPr>
                <w:b/>
                <w:bCs/>
                <w:noProof/>
                <w:lang w:val="fr-BE"/>
              </w:rPr>
              <w:t>100 vallées régionales de l’innovation</w:t>
            </w:r>
            <w:r w:rsidRPr="00CE20E1">
              <w:rPr>
                <w:noProof/>
                <w:lang w:val="fr-BE"/>
              </w:rPr>
              <w:t xml:space="preserve"> associant des régions de l’UE affichant de moins bonnes performances en matière d’innovation, grâce à un financement de 100 millions d’EUR provenant d’Horizon Europe et de 70 millions d’EUR au titre de l’instrument «Investissements interrégionaux en matière d’innovation» (I3) relevant du FEDER</w:t>
            </w:r>
          </w:p>
          <w:p w14:paraId="3600E1CC" w14:textId="77777777" w:rsidR="00CE20E1" w:rsidRPr="00CE20E1" w:rsidRDefault="00CE20E1" w:rsidP="00317A8D">
            <w:pPr>
              <w:pStyle w:val="Paragraphedelistebullets"/>
              <w:jc w:val="both"/>
              <w:rPr>
                <w:noProof/>
                <w:lang w:val="fr-BE"/>
              </w:rPr>
            </w:pPr>
            <w:r w:rsidRPr="00CE20E1">
              <w:rPr>
                <w:noProof/>
                <w:lang w:val="fr-BE"/>
              </w:rPr>
              <w:t xml:space="preserve">tiendra un dialogue régulier, au sein du </w:t>
            </w:r>
            <w:r w:rsidRPr="00CE20E1">
              <w:rPr>
                <w:b/>
                <w:bCs/>
                <w:noProof/>
                <w:lang w:val="fr-BE"/>
              </w:rPr>
              <w:t>groupe d’experts compétent de la Commission</w:t>
            </w:r>
            <w:r w:rsidRPr="00CE20E1">
              <w:rPr>
                <w:noProof/>
                <w:lang w:val="fr-BE"/>
              </w:rPr>
              <w:t xml:space="preserve"> chargé des fonds de la politique de cohésion</w:t>
            </w:r>
            <w:r>
              <w:rPr>
                <w:rStyle w:val="FootnoteReference"/>
                <w:noProof/>
                <w:szCs w:val="24"/>
              </w:rPr>
              <w:footnoteReference w:id="72"/>
            </w:r>
            <w:r w:rsidRPr="00CE20E1">
              <w:rPr>
                <w:noProof/>
                <w:lang w:val="fr-BE"/>
              </w:rPr>
              <w:t>, sur les défis démographiques et le soutien apporté par les fonds concernés, afin de veiller à ce que ces défis soient relevés de manière adéquate tout au long de la programmation et de la mise en œuvre desdits fonds</w:t>
            </w:r>
          </w:p>
          <w:p w14:paraId="5AE32E58" w14:textId="77777777" w:rsidR="00CE20E1" w:rsidRPr="00CE20E1" w:rsidRDefault="00CE20E1" w:rsidP="00317A8D">
            <w:pPr>
              <w:pStyle w:val="Paragraphedelistebullets"/>
              <w:jc w:val="both"/>
              <w:rPr>
                <w:noProof/>
                <w:lang w:val="fr-BE"/>
              </w:rPr>
            </w:pPr>
            <w:r w:rsidRPr="00CE20E1">
              <w:rPr>
                <w:noProof/>
                <w:lang w:val="fr-BE"/>
              </w:rPr>
              <w:t xml:space="preserve">invitera les États membres à profiter du prochain </w:t>
            </w:r>
            <w:r w:rsidRPr="00CE20E1">
              <w:rPr>
                <w:b/>
                <w:noProof/>
                <w:lang w:val="fr-BE"/>
              </w:rPr>
              <w:t>examen à mi-parcours des programmes de la politique de cohésion</w:t>
            </w:r>
            <w:r w:rsidRPr="00CE20E1">
              <w:rPr>
                <w:noProof/>
                <w:lang w:val="fr-BE"/>
              </w:rPr>
              <w:t xml:space="preserve"> pour adapter, s'il y a lieu, les programmes aux besoins engendrés par les défis démographiques.</w:t>
            </w:r>
            <w:r w:rsidRPr="00CE20E1">
              <w:rPr>
                <w:b/>
                <w:i/>
                <w:noProof/>
                <w:lang w:val="fr-BE"/>
              </w:rPr>
              <w:t xml:space="preserve"> </w:t>
            </w:r>
          </w:p>
        </w:tc>
      </w:tr>
    </w:tbl>
    <w:p w14:paraId="3785E2CC" w14:textId="77777777" w:rsidR="00CE20E1" w:rsidRPr="00C67017" w:rsidRDefault="00CE20E1" w:rsidP="00CE20E1">
      <w:pPr>
        <w:pStyle w:val="Heading1"/>
      </w:pPr>
      <w:r>
        <w:t>CONCLUSION</w:t>
      </w:r>
    </w:p>
    <w:p w14:paraId="265A6EF3"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L’évolution démographique a une incidence profonde sur notre vie et sur la compétitivité de notre économie. </w:t>
      </w:r>
      <w:r w:rsidRPr="00CE20E1">
        <w:rPr>
          <w:rFonts w:ascii="Times New Roman" w:hAnsi="Times New Roman"/>
          <w:noProof/>
          <w:sz w:val="24"/>
          <w:lang w:val="fr-BE"/>
        </w:rPr>
        <w:t>Si la «société de la longévité» peut nous aider à nous adapter et à tirer parti de nouvelles possibilités, le vieillissement de la population et la diminution de la population en âge de travailler risquent d’aggraver les défis existants liés à la pénurie de main-d’œuvre, à la productivité et aux budgets publics, ce qui aura des répercussions négatives sur l’économie et la société dans son ensemble. Les tendances démographiques peuvent également contribuer à creuser les disparités entre les régions et les pays, ce qui risque d’ébranler la cohésion sociale et la confiance dans la capacité de nos institutions démocratiques à garantir une prospérité et un bien-être généralisés.</w:t>
      </w:r>
    </w:p>
    <w:p w14:paraId="765F14A6"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L’Europe doit adopter une approche globale qui donne à toutes les générations les moyens de concrétiser leurs talents et leurs aspirations. </w:t>
      </w:r>
      <w:r w:rsidRPr="00CE20E1">
        <w:rPr>
          <w:rFonts w:ascii="Times New Roman" w:hAnsi="Times New Roman"/>
          <w:noProof/>
          <w:sz w:val="24"/>
          <w:lang w:val="fr-BE"/>
        </w:rPr>
        <w:t>Les dirigeants de l’UE ont exprimé à Grenade leur détermination à investir dans les compétences de demain et à relever les défis démographiques.</w:t>
      </w:r>
      <w:r w:rsidRPr="00CE20E1">
        <w:rPr>
          <w:rFonts w:ascii="Times New Roman" w:hAnsi="Times New Roman"/>
          <w:b/>
          <w:noProof/>
          <w:sz w:val="24"/>
          <w:lang w:val="fr-BE"/>
        </w:rPr>
        <w:t xml:space="preserve"> </w:t>
      </w:r>
      <w:r w:rsidRPr="00CE20E1">
        <w:rPr>
          <w:rFonts w:ascii="Times New Roman" w:hAnsi="Times New Roman"/>
          <w:noProof/>
          <w:sz w:val="24"/>
          <w:lang w:val="fr-BE"/>
        </w:rPr>
        <w:t>Pour construire une économie résiliente et durable au service des personnes et une société dans laquelle chacun peut s'épanouir pleinement, il est essentiel d’équilibrer soigneusement les différents objectifs d'action. Les politiques européennes et nationales devraient permettre aux citoyens de toute l’Europe de concilier vie de famille et travail rémunéré. L’égalité entre les hommes et les femmes, l’absence de discrimination, le respect des droits fondamentaux et l’équité intergénérationnelle doivent guider nos efforts à tout moment. Face aux graves pénuries de main-d’œuvre qui pèsent sur les entreprises dans l’ensemble de l’UE, la migration légale et l’intégration effective des ressortissants de pays tiers sont également essentielles, en complément de la mise à profit des talents de l’Union. Le sommet des partenaires sociaux qui se tiendra au château de Val Duchesse (Bruxelles) dans le courant du premier semestre de 2024 sera l’occasion de s’attaquer plus avant au problème urgent des pénuries de main-d’œuvre et de compétences. Pour aborder la question de la compétitivité dans son ensemble, la présidente de la Commission a chargé Mario Draghi, ancien président de la BCE et chef du gouvernement italien, d’élaborer un rapport sur l’avenir de la compétitivité de l’UE d’ici à l’été 2024.</w:t>
      </w:r>
    </w:p>
    <w:p w14:paraId="38A8233C" w14:textId="77777777" w:rsidR="00CE20E1" w:rsidRPr="00CE20E1" w:rsidRDefault="00CE20E1" w:rsidP="00CE20E1">
      <w:pPr>
        <w:rPr>
          <w:rFonts w:ascii="Times New Roman" w:hAnsi="Times New Roman" w:cs="Times New Roman"/>
          <w:noProof/>
          <w:sz w:val="24"/>
          <w:lang w:val="fr-BE"/>
        </w:rPr>
      </w:pPr>
      <w:r w:rsidRPr="00CE20E1">
        <w:rPr>
          <w:rFonts w:ascii="Times New Roman" w:hAnsi="Times New Roman"/>
          <w:b/>
          <w:noProof/>
          <w:sz w:val="24"/>
          <w:lang w:val="fr-BE"/>
        </w:rPr>
        <w:t xml:space="preserve">En travaillant ensemble, nous pouvons progresser vers une Europe forte, dynamique, compétitive et unie. </w:t>
      </w:r>
      <w:r w:rsidRPr="00CE20E1">
        <w:rPr>
          <w:rFonts w:ascii="Times New Roman" w:hAnsi="Times New Roman"/>
          <w:noProof/>
          <w:sz w:val="24"/>
          <w:lang w:val="fr-BE"/>
        </w:rPr>
        <w:t>La présente communication met en avant les réformes et les investissements essentiels nécessaires pour faire face à l’évolution démographique en Europe et la gérer. Comme indiqué ci-dessus, les décideurs politiques des États membres devraient les appliquer dans leur contexte national et régional dans le cadre d’une approche pangouvernementale. La Commission est déterminée à aider les États membres à utiliser efficacement les outils disponibles et, à cette fin, à continuer de les développer. Dans le cadre de leurs efforts, les décideurs politiques devraient également promouvoir la participation active des citoyens et associer tous les acteurs - partenaires sociaux, organisations de la société civile, etc. - en fondant leurs politiques sur les réalités locales. De cette manière, nous contribuons à offrir aux citoyens et à leurs communautés un cadre de vie épanouissant, favorisant la prospérité et le bien-être des générations actuelles et futures.</w:t>
      </w:r>
    </w:p>
    <w:sectPr w:rsidR="00CE20E1" w:rsidRPr="00CE20E1" w:rsidSect="00637EF0">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851" w:left="1440" w:header="708" w:footer="5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76B7B" w14:textId="77777777" w:rsidR="006260B2" w:rsidRDefault="006260B2" w:rsidP="00B54742">
      <w:pPr>
        <w:spacing w:after="0" w:line="240" w:lineRule="auto"/>
      </w:pPr>
      <w:r>
        <w:separator/>
      </w:r>
    </w:p>
    <w:p w14:paraId="2BE30428" w14:textId="77777777" w:rsidR="006260B2" w:rsidRDefault="006260B2"/>
  </w:endnote>
  <w:endnote w:type="continuationSeparator" w:id="0">
    <w:p w14:paraId="488346B1" w14:textId="77777777" w:rsidR="006260B2" w:rsidRDefault="006260B2" w:rsidP="00B54742">
      <w:pPr>
        <w:spacing w:after="0" w:line="240" w:lineRule="auto"/>
      </w:pPr>
      <w:r>
        <w:continuationSeparator/>
      </w:r>
    </w:p>
    <w:p w14:paraId="6F3BD182" w14:textId="77777777" w:rsidR="006260B2" w:rsidRDefault="006260B2"/>
  </w:endnote>
  <w:endnote w:type="continuationNotice" w:id="1">
    <w:p w14:paraId="3636984C" w14:textId="77777777" w:rsidR="006260B2" w:rsidRDefault="006260B2">
      <w:pPr>
        <w:spacing w:after="0" w:line="240" w:lineRule="auto"/>
      </w:pPr>
    </w:p>
    <w:p w14:paraId="677D5B4C" w14:textId="77777777" w:rsidR="006260B2" w:rsidRDefault="00626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EC Square Sans Pro">
    <w:altName w:val="Calibri"/>
    <w:charset w:val="00"/>
    <w:family w:val="swiss"/>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C Square Sans Cond Pro Medium">
    <w:charset w:val="00"/>
    <w:family w:val="swiss"/>
    <w:pitch w:val="variable"/>
    <w:sig w:usb0="20000287" w:usb1="00000001" w:usb2="00000000" w:usb3="00000000" w:csb0="0000019F" w:csb1="00000000"/>
  </w:font>
  <w:font w:name="EC Square Sans Pro Medium">
    <w:altName w:val="Corbel"/>
    <w:charset w:val="00"/>
    <w:family w:val="swiss"/>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09907" w14:textId="45B6E7C5" w:rsidR="00C04D33" w:rsidRPr="00E41C79" w:rsidRDefault="00C04D33" w:rsidP="00E41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87394" w14:textId="52C33FB5" w:rsidR="00C04D33" w:rsidRPr="00E41C79" w:rsidRDefault="00E41C79" w:rsidP="00E41C79">
    <w:pPr>
      <w:pStyle w:val="FooterCoverPage"/>
      <w:rPr>
        <w:rFonts w:ascii="Arial" w:hAnsi="Arial" w:cs="Arial"/>
        <w:b/>
        <w:sz w:val="48"/>
      </w:rPr>
    </w:pPr>
    <w:r w:rsidRPr="00E41C79">
      <w:rPr>
        <w:rFonts w:ascii="Arial" w:hAnsi="Arial" w:cs="Arial"/>
        <w:b/>
        <w:sz w:val="48"/>
      </w:rPr>
      <w:t>FR</w:t>
    </w:r>
    <w:r w:rsidRPr="00E41C79">
      <w:rPr>
        <w:rFonts w:ascii="Arial" w:hAnsi="Arial" w:cs="Arial"/>
        <w:b/>
        <w:sz w:val="48"/>
      </w:rPr>
      <w:tab/>
    </w:r>
    <w:r w:rsidRPr="00E41C79">
      <w:rPr>
        <w:rFonts w:ascii="Arial" w:hAnsi="Arial" w:cs="Arial"/>
        <w:b/>
        <w:sz w:val="48"/>
      </w:rPr>
      <w:tab/>
    </w:r>
    <w:r w:rsidRPr="00E41C79">
      <w:tab/>
    </w:r>
    <w:r w:rsidRPr="00E41C79">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2AC0B" w14:textId="77777777" w:rsidR="00E41C79" w:rsidRPr="00E41C79" w:rsidRDefault="00E41C79" w:rsidP="00E41C79">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0930" w14:textId="77777777" w:rsidR="00B54742" w:rsidRDefault="00B54742">
    <w:pPr>
      <w:pStyle w:val="Footer"/>
    </w:pPr>
  </w:p>
  <w:p w14:paraId="0CF0CFAF" w14:textId="77777777" w:rsidR="001723BE" w:rsidRDefault="001723BE"/>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441347337"/>
      <w:docPartObj>
        <w:docPartGallery w:val="Page Numbers (Bottom of Page)"/>
        <w:docPartUnique/>
      </w:docPartObj>
    </w:sdtPr>
    <w:sdtEndPr>
      <w:rPr>
        <w:noProof/>
      </w:rPr>
    </w:sdtEndPr>
    <w:sdtContent>
      <w:p w14:paraId="0A4ECC06" w14:textId="1D3BC3E0" w:rsidR="005363DA" w:rsidRPr="005363DA" w:rsidRDefault="005363DA">
        <w:pPr>
          <w:pStyle w:val="Footer"/>
          <w:jc w:val="center"/>
          <w:rPr>
            <w:rFonts w:ascii="Times New Roman" w:hAnsi="Times New Roman" w:cs="Times New Roman"/>
            <w:sz w:val="24"/>
          </w:rPr>
        </w:pPr>
        <w:r w:rsidRPr="005363DA">
          <w:rPr>
            <w:rFonts w:ascii="Times New Roman" w:hAnsi="Times New Roman" w:cs="Times New Roman"/>
            <w:sz w:val="24"/>
          </w:rPr>
          <w:fldChar w:fldCharType="begin"/>
        </w:r>
        <w:r w:rsidRPr="005363DA">
          <w:rPr>
            <w:rFonts w:ascii="Times New Roman" w:hAnsi="Times New Roman" w:cs="Times New Roman"/>
            <w:sz w:val="24"/>
          </w:rPr>
          <w:instrText xml:space="preserve"> PAGE   \* MERGEFORMAT </w:instrText>
        </w:r>
        <w:r w:rsidRPr="005363DA">
          <w:rPr>
            <w:rFonts w:ascii="Times New Roman" w:hAnsi="Times New Roman" w:cs="Times New Roman"/>
            <w:sz w:val="24"/>
          </w:rPr>
          <w:fldChar w:fldCharType="separate"/>
        </w:r>
        <w:r w:rsidR="00E41C79" w:rsidRPr="00E41C79">
          <w:rPr>
            <w:rFonts w:ascii="Times New Roman" w:hAnsi="Times New Roman" w:cs="Times New Roman"/>
            <w:noProof/>
          </w:rPr>
          <w:t>1</w:t>
        </w:r>
        <w:r w:rsidRPr="005363DA">
          <w:rPr>
            <w:rFonts w:ascii="Times New Roman" w:hAnsi="Times New Roman" w:cs="Times New Roman"/>
            <w:noProof/>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AC84" w14:textId="77777777" w:rsidR="00B54742" w:rsidRDefault="00B54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26454" w14:textId="77777777" w:rsidR="006260B2" w:rsidRPr="00E963CF" w:rsidRDefault="006260B2" w:rsidP="00E963CF">
      <w:pPr>
        <w:spacing w:after="0" w:line="240" w:lineRule="auto"/>
        <w:rPr>
          <w:b/>
          <w:color w:val="FFC000" w:themeColor="accent1"/>
          <w:sz w:val="28"/>
          <w:szCs w:val="28"/>
        </w:rPr>
      </w:pPr>
      <w:r w:rsidRPr="00E963CF">
        <w:rPr>
          <w:b/>
          <w:color w:val="FFC000" w:themeColor="accent1"/>
          <w:sz w:val="28"/>
          <w:szCs w:val="28"/>
        </w:rPr>
        <w:separator/>
      </w:r>
    </w:p>
  </w:footnote>
  <w:footnote w:type="continuationSeparator" w:id="0">
    <w:p w14:paraId="50CD148E" w14:textId="77777777" w:rsidR="006260B2" w:rsidRDefault="006260B2" w:rsidP="00B54742">
      <w:pPr>
        <w:spacing w:after="0" w:line="240" w:lineRule="auto"/>
      </w:pPr>
      <w:r>
        <w:continuationSeparator/>
      </w:r>
    </w:p>
    <w:p w14:paraId="669A6E44" w14:textId="77777777" w:rsidR="006260B2" w:rsidRDefault="006260B2"/>
  </w:footnote>
  <w:footnote w:type="continuationNotice" w:id="1">
    <w:p w14:paraId="0729EFDB" w14:textId="77777777" w:rsidR="006260B2" w:rsidRPr="00637EF0" w:rsidRDefault="006260B2" w:rsidP="00637EF0">
      <w:pPr>
        <w:pStyle w:val="Footer"/>
      </w:pPr>
    </w:p>
  </w:footnote>
  <w:footnote w:id="2">
    <w:p w14:paraId="617413AA" w14:textId="77777777" w:rsidR="001549C4" w:rsidRPr="001549C4" w:rsidRDefault="001549C4" w:rsidP="001549C4">
      <w:pPr>
        <w:pStyle w:val="FootnoteText"/>
        <w:rPr>
          <w:rFonts w:ascii="Times New Roman" w:hAnsi="Times New Roman" w:cs="Times New Roman"/>
          <w:lang w:val="fr-BE"/>
        </w:rPr>
      </w:pPr>
      <w:r>
        <w:rPr>
          <w:rStyle w:val="FootnoteReference"/>
          <w:rFonts w:ascii="Times New Roman" w:hAnsi="Times New Roman" w:cs="Times New Roman"/>
          <w:sz w:val="16"/>
          <w:szCs w:val="16"/>
        </w:rPr>
        <w:footnoteRef/>
      </w:r>
      <w:r w:rsidRPr="001549C4">
        <w:rPr>
          <w:rFonts w:ascii="Times New Roman" w:hAnsi="Times New Roman"/>
          <w:lang w:val="fr-BE"/>
        </w:rPr>
        <w:t xml:space="preserve"> </w:t>
      </w:r>
      <w:r w:rsidRPr="001549C4">
        <w:rPr>
          <w:rFonts w:ascii="Times New Roman" w:hAnsi="Times New Roman"/>
          <w:sz w:val="16"/>
          <w:lang w:val="fr-BE"/>
        </w:rPr>
        <w:t>L’équité intergénérationnelle est l’idée d’équité ou de justice entre les générations. Cette notion peut s’appliquer aux dynamiques qui s’établissent entre les enfants, les jeunes, les adultes et les seniors, ainsi qu’entre les générations actuelles et les générations futures. Elle porte sur plusieurs domaines et recouvre des sujets tels que l’équité économique ou sociale, le niveau de vie ou le changement climatique.</w:t>
      </w:r>
    </w:p>
  </w:footnote>
  <w:footnote w:id="3">
    <w:p w14:paraId="3D2354D2"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Conférence sur l’avenir de l’Europe, Rapport sur les résultats finaux, mai 2022, (15. Proposition: Transition démographique).</w:t>
      </w:r>
    </w:p>
  </w:footnote>
  <w:footnote w:id="4">
    <w:p w14:paraId="0F79E3FE"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Nations unies, Département des affaires économiques et sociales, Division de la population, Perspectives de la population mondiale 2022.</w:t>
      </w:r>
    </w:p>
  </w:footnote>
  <w:footnote w:id="5">
    <w:p w14:paraId="522C49BC" w14:textId="77777777" w:rsidR="001549C4" w:rsidRPr="001549C4" w:rsidRDefault="001549C4" w:rsidP="001549C4">
      <w:pPr>
        <w:pStyle w:val="FootnoteText"/>
        <w:rPr>
          <w:rFonts w:ascii="Times New Roman" w:hAnsi="Times New Roman" w:cs="Times New Roman"/>
          <w:sz w:val="16"/>
          <w:szCs w:val="16"/>
          <w:lang w:val="fr-BE"/>
        </w:rPr>
      </w:pPr>
      <w:r>
        <w:rPr>
          <w:rStyle w:val="FootnoteReference"/>
          <w:rFonts w:ascii="Times New Roman" w:hAnsi="Times New Roman" w:cs="Times New Roman"/>
          <w:sz w:val="16"/>
          <w:szCs w:val="16"/>
        </w:rPr>
        <w:footnoteRef/>
      </w:r>
      <w:r w:rsidRPr="001549C4">
        <w:rPr>
          <w:rFonts w:ascii="Times New Roman" w:hAnsi="Times New Roman"/>
          <w:sz w:val="16"/>
          <w:lang w:val="fr-BE"/>
        </w:rPr>
        <w:t xml:space="preserve"> Rapport annuel sur l’évolution de l’emploi et de la situation sociale en Europe, SWD(2023) 248 final.</w:t>
      </w:r>
    </w:p>
  </w:footnote>
  <w:footnote w:id="6">
    <w:p w14:paraId="08158F8F"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Voir le rapport sur les conséquences de l’évolution démographique, COM(2020) 241 final. Les conséquences de l’évolution démographique dans un environnement en mutation, SWD(2023) 21 final.</w:t>
      </w:r>
    </w:p>
  </w:footnote>
  <w:footnote w:id="7">
    <w:p w14:paraId="3E3127C2" w14:textId="77777777" w:rsidR="001549C4" w:rsidRPr="001549C4" w:rsidRDefault="001549C4" w:rsidP="001549C4">
      <w:pPr>
        <w:pStyle w:val="FootnoteText"/>
        <w:rPr>
          <w:rFonts w:ascii="Times New Roman" w:hAnsi="Times New Roman" w:cs="Times New Roman"/>
          <w:sz w:val="16"/>
          <w:szCs w:val="16"/>
          <w:lang w:val="fr-BE"/>
        </w:rPr>
      </w:pPr>
      <w:r>
        <w:rPr>
          <w:rStyle w:val="FootnoteReference"/>
          <w:rFonts w:ascii="Times New Roman" w:hAnsi="Times New Roman" w:cs="Times New Roman"/>
          <w:sz w:val="16"/>
          <w:szCs w:val="16"/>
        </w:rPr>
        <w:footnoteRef/>
      </w:r>
      <w:r w:rsidRPr="001549C4">
        <w:rPr>
          <w:rFonts w:ascii="Times New Roman" w:hAnsi="Times New Roman"/>
          <w:sz w:val="16"/>
          <w:lang w:val="fr-BE"/>
        </w:rPr>
        <w:t xml:space="preserve"> Rapport annuel sur l’évolution de l’emploi et de la situation sociale en Europe, SWD(2023) 248 final.</w:t>
      </w:r>
    </w:p>
  </w:footnote>
  <w:footnote w:id="8">
    <w:p w14:paraId="7ECF09E6"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Dans une «économie des seniors», l’activité économique sert les besoins des personnes âgées de 50 ans et plus, par exemple grâce aux produits et services achetés et aussi à l’activité économique supplémentaire générée par leurs dépenses. Commission européenne (2018), The silver economy (L’économie des seniors) – rapport final, Office des publications de l’Union européenne, Luxembourg.</w:t>
      </w:r>
    </w:p>
  </w:footnote>
  <w:footnote w:id="9">
    <w:p w14:paraId="67BBC73F"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Eurobaromètre Flash 534, Demographic change in Europe (Fieldwork: 1/9 – 14/9/2023) (L’évolution démographique en Europe, Travaux de terrain: 1/9 – 14/9/2023)</w:t>
      </w:r>
      <w:r w:rsidRPr="001549C4">
        <w:rPr>
          <w:lang w:val="fr-BE"/>
        </w:rPr>
        <w:t>.</w:t>
      </w:r>
    </w:p>
  </w:footnote>
  <w:footnote w:id="10">
    <w:p w14:paraId="29D79E1F"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Commission européenne (2021), The 2021 Ageing Report. Economic &amp; Budgetary Projections for the EU Member States (2019-2070) [Rapport de 2021 sur le vieillissement: projections économiques et budgétaires pour les États membres de l’UE (2019-2070)].</w:t>
      </w:r>
    </w:p>
  </w:footnote>
  <w:footnote w:id="11">
    <w:p w14:paraId="4FD9C3C2" w14:textId="77777777" w:rsidR="001549C4" w:rsidRPr="001549C4" w:rsidRDefault="001549C4" w:rsidP="001549C4">
      <w:pPr>
        <w:pStyle w:val="FootnoteText"/>
        <w:rPr>
          <w:rFonts w:ascii="Times New Roman" w:hAnsi="Times New Roman" w:cs="Times New Roman"/>
          <w:sz w:val="16"/>
          <w:szCs w:val="16"/>
          <w:lang w:val="fr-BE"/>
        </w:rPr>
      </w:pPr>
      <w:r>
        <w:rPr>
          <w:rStyle w:val="FootnoteReference"/>
          <w:rFonts w:ascii="Times New Roman" w:hAnsi="Times New Roman" w:cs="Times New Roman"/>
          <w:sz w:val="16"/>
          <w:szCs w:val="16"/>
        </w:rPr>
        <w:footnoteRef/>
      </w:r>
      <w:r w:rsidRPr="001549C4">
        <w:rPr>
          <w:lang w:val="fr-BE"/>
        </w:rPr>
        <w:t> </w:t>
      </w:r>
      <w:r w:rsidRPr="001549C4">
        <w:rPr>
          <w:rFonts w:ascii="Times New Roman" w:hAnsi="Times New Roman"/>
          <w:sz w:val="16"/>
          <w:lang w:val="fr-BE"/>
        </w:rPr>
        <w:t>Voir le rapport final du groupe de haut niveau sur l’avenir de la protection sociale et de l’État-providence dans l’UE (2023).</w:t>
      </w:r>
    </w:p>
  </w:footnote>
  <w:footnote w:id="12">
    <w:p w14:paraId="7037C1AA"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Communication de la Commission au Parlement européen, au Conseil, au Comité économique et social européen et au Comité des régions sur la mise à profit des talents dans les régions d’Europe, COM(2023) 32 final. </w:t>
      </w:r>
    </w:p>
  </w:footnote>
  <w:footnote w:id="13">
    <w:p w14:paraId="260D8EF2"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«Cohésion en Europe à l’horizon 2050», 8</w:t>
      </w:r>
      <w:r w:rsidRPr="001549C4">
        <w:rPr>
          <w:rFonts w:ascii="Times New Roman" w:hAnsi="Times New Roman"/>
          <w:sz w:val="16"/>
          <w:vertAlign w:val="superscript"/>
          <w:lang w:val="fr-BE"/>
        </w:rPr>
        <w:t>e</w:t>
      </w:r>
      <w:r w:rsidRPr="001549C4">
        <w:rPr>
          <w:rFonts w:ascii="Times New Roman" w:hAnsi="Times New Roman"/>
          <w:sz w:val="16"/>
          <w:lang w:val="fr-BE"/>
        </w:rPr>
        <w:t> rapport sur la cohésion économique, sociale et territoriale, SWD(2022) 24 final.</w:t>
      </w:r>
    </w:p>
  </w:footnote>
  <w:footnote w:id="14">
    <w:p w14:paraId="71319AE0"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Commission européenne (2021), The Demographic Landscape of EU Territories (Le paysage démographique des territoires de l’UE), Office des publications de l’Union européenne, Luxembourg.</w:t>
      </w:r>
    </w:p>
  </w:footnote>
  <w:footnote w:id="15">
    <w:p w14:paraId="170F6FB9"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Lors du sommet social de Porto en 2021, les chefs d’État ou de gouvernement de l’UE ont soutenu, entre autres, le grand objectif concernant l’emploi à l’horizon 2030 du plan d’action sur le socle européen des droits sociaux, aspirant à atteindre un taux d’emploi d’au moins 78 % de la population âgée de 20 à 64 ans d’ici à 2030.</w:t>
      </w:r>
    </w:p>
  </w:footnote>
  <w:footnote w:id="16">
    <w:p w14:paraId="463DD8DC"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Commission européenne (2019), «Scénarios démographiques de l’UE – Migration, population et éducation», Office des publications de l’Union européenne, Luxembourg.</w:t>
      </w:r>
    </w:p>
  </w:footnote>
  <w:footnote w:id="17">
    <w:p w14:paraId="4DB542CB"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Voir le tableau de bord social pour le socle européen des droits sociaux.</w:t>
      </w:r>
    </w:p>
  </w:footnote>
  <w:footnote w:id="18">
    <w:p w14:paraId="3DD03B8A" w14:textId="77777777" w:rsidR="001549C4" w:rsidRPr="001549C4" w:rsidRDefault="001549C4" w:rsidP="001549C4">
      <w:pPr>
        <w:pStyle w:val="FootnoteText"/>
        <w:rPr>
          <w:rFonts w:ascii="Times New Roman" w:hAnsi="Times New Roman" w:cs="Times New Roman"/>
          <w:sz w:val="16"/>
          <w:szCs w:val="16"/>
          <w:lang w:val="fr-BE"/>
        </w:rPr>
      </w:pPr>
      <w:r>
        <w:rPr>
          <w:rStyle w:val="FootnoteReference"/>
          <w:rFonts w:ascii="Times New Roman" w:hAnsi="Times New Roman" w:cs="Times New Roman"/>
          <w:sz w:val="16"/>
          <w:szCs w:val="16"/>
        </w:rPr>
        <w:footnoteRef/>
      </w:r>
      <w:r w:rsidRPr="001549C4">
        <w:rPr>
          <w:lang w:val="fr-BE"/>
        </w:rPr>
        <w:t xml:space="preserve"> </w:t>
      </w:r>
      <w:r w:rsidRPr="001549C4">
        <w:rPr>
          <w:rFonts w:ascii="Times New Roman" w:hAnsi="Times New Roman"/>
          <w:sz w:val="16"/>
          <w:lang w:val="fr-BE"/>
        </w:rPr>
        <w:t>En 2021, le salaire horaire brut des femmes était en moyenne inférieur de 12,7 % à celui des hommes; le plus grand écart de rémunération entre les hommes et les femmes était constaté en Estonie (20,5 %) et le plus petit au Luxembourg (-0,2 %).</w:t>
      </w:r>
    </w:p>
  </w:footnote>
  <w:footnote w:id="19">
    <w:p w14:paraId="7888F625"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Institut européen pour l’égalité entre les hommes et les femmes (2020), Gender inequalities in care and consequences for the labour market (Les inégalités de genre dans les soins et leurs conséquences sur le marché du travail).</w:t>
      </w:r>
    </w:p>
  </w:footnote>
  <w:footnote w:id="20">
    <w:p w14:paraId="3957E18D"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Rapport annuel sur l’évolution de l’emploi et de la situation sociale en Europe, SWD(2023) 248 final.</w:t>
      </w:r>
    </w:p>
  </w:footnote>
  <w:footnote w:id="21">
    <w:p w14:paraId="7B74BEA7"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nl-BE"/>
        </w:rPr>
        <w:t xml:space="preserve"> Van der Ende, M. </w:t>
      </w:r>
      <w:r w:rsidRPr="001549C4">
        <w:rPr>
          <w:rFonts w:ascii="Times New Roman" w:hAnsi="Times New Roman"/>
          <w:i/>
          <w:iCs/>
          <w:sz w:val="16"/>
          <w:lang w:val="nl-BE"/>
        </w:rPr>
        <w:t>et al</w:t>
      </w:r>
      <w:r w:rsidRPr="001549C4">
        <w:rPr>
          <w:rFonts w:ascii="Times New Roman" w:hAnsi="Times New Roman"/>
          <w:sz w:val="16"/>
          <w:lang w:val="nl-BE"/>
        </w:rPr>
        <w:t xml:space="preserve">. </w:t>
      </w:r>
      <w:r w:rsidRPr="001549C4">
        <w:rPr>
          <w:rFonts w:ascii="Times New Roman" w:hAnsi="Times New Roman"/>
          <w:sz w:val="16"/>
          <w:lang w:val="fr-BE"/>
        </w:rPr>
        <w:t>(2021), Study on exploring the incidence and costs of informal long-term care in the EU (Étude sur l’incidence et les coûts des soins informels de longue durée dans l’UE), Office des publications de l’Union européenne, Luxembourg.</w:t>
      </w:r>
    </w:p>
  </w:footnote>
  <w:footnote w:id="22">
    <w:p w14:paraId="48C3041A"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Communication de la Commission au Parlement européen, au Conseil, au Comité économique et social européen et au Comité des régions – Stratégie de l’UE sur les droits de l’enfant, COM(2021) 142 final.</w:t>
      </w:r>
    </w:p>
  </w:footnote>
  <w:footnote w:id="23">
    <w:p w14:paraId="7C8147F6"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Commission européenne (2022), The transposition of the Work-Life Balance Directive in EU Member States: A long way ahead (La transposition de la directive sur l’équilibre entre vie professionnelle et vie privée dans les États membres de l’UE: un long chemin à parcourir), Office des publications de l’Union européenne, Luxembourg.</w:t>
      </w:r>
    </w:p>
  </w:footnote>
  <w:footnote w:id="24">
    <w:p w14:paraId="06B2A580"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OCDE (2022), Net childcare costs in EU countries, 2021 (Les frais nets de garde d’enfants dans les pays de l’UE en 2021).</w:t>
      </w:r>
    </w:p>
  </w:footnote>
  <w:footnote w:id="25">
    <w:p w14:paraId="0E83E02B"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Directive (UE) 2019/1158 du Parlement européen et du Conseil du 20 juin 2019 concernant l’équilibre entre vie professionnelle et vie privée des parents et des aidants et abrogeant la directive 2010/18/UE du Conseil.</w:t>
      </w:r>
    </w:p>
  </w:footnote>
  <w:footnote w:id="26">
    <w:p w14:paraId="743B7BBA"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Directive 92/85/CEE du Conseil, du 19 octobre 1992, concernant la mise en œuvre de mesures visant à promouvoir l’amélioration de la sécurité et de la santé des travailleuses enceintes, accouchées ou allaitantes au travail.</w:t>
      </w:r>
    </w:p>
  </w:footnote>
  <w:footnote w:id="27">
    <w:p w14:paraId="290691EC"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Directive 2006/54/CE du Parlement européen et du Conseil du 5 juillet 2006 relative à la mise en œuvre du principe de l’égalité des chances et de l’égalité de traitement entre hommes et femmes en matière d’emploi et de travail (refonte).</w:t>
      </w:r>
    </w:p>
  </w:footnote>
  <w:footnote w:id="28">
    <w:p w14:paraId="7C18CE3E" w14:textId="77777777" w:rsidR="001549C4" w:rsidRPr="001549C4" w:rsidRDefault="001549C4" w:rsidP="001549C4">
      <w:pPr>
        <w:pStyle w:val="FootnoteText"/>
        <w:tabs>
          <w:tab w:val="left" w:pos="1020"/>
        </w:tabs>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Recommandation du Conseil du 8 décembre 2022 concernant l’éducation et l’accueil de la petite enfance: les objectifs de Barcelone pour 2030 (2022/C 484/01).</w:t>
      </w:r>
    </w:p>
  </w:footnote>
  <w:footnote w:id="29">
    <w:p w14:paraId="5EAD139D"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lang w:val="fr-BE"/>
        </w:rPr>
        <w:t xml:space="preserve"> </w:t>
      </w:r>
      <w:r w:rsidRPr="001549C4">
        <w:rPr>
          <w:rFonts w:ascii="Times New Roman" w:hAnsi="Times New Roman"/>
          <w:sz w:val="16"/>
          <w:lang w:val="fr-BE"/>
        </w:rPr>
        <w:t>Voir le tableau de bord social pour le socle européen des droits sociaux.</w:t>
      </w:r>
    </w:p>
  </w:footnote>
  <w:footnote w:id="30">
    <w:p w14:paraId="30D647E0"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Recommandation (UE) 2021/1004 du Conseil du 14 juin 2021 établissant une garantie européenne pour l’enfance.</w:t>
      </w:r>
    </w:p>
  </w:footnote>
  <w:footnote w:id="31">
    <w:p w14:paraId="27902E0C"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Pour de plus amples informations, voir la résolution du Conseil relative à un cadre stratégique pour la coopération européenne dans le domaine de l’éducation et de la formation, dans la perspective de l’espace européen de l’éducation et au</w:t>
      </w:r>
      <w:r w:rsidRPr="001549C4">
        <w:rPr>
          <w:rFonts w:ascii="Times New Roman" w:hAnsi="Times New Roman"/>
          <w:sz w:val="16"/>
          <w:lang w:val="fr-BE"/>
        </w:rPr>
        <w:noBreakHyphen/>
        <w:t>delà (2021-2030), 2021/C 66/01.</w:t>
      </w:r>
    </w:p>
  </w:footnote>
  <w:footnote w:id="32">
    <w:p w14:paraId="61435BBF"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Communication de la Commission au Parlement européen, au Conseil, au Comité économique et social européen et au Comité des régions, «Soutenir l’emploi des jeunes: un pont vers l’emploi pour la prochaine génération», COM(2020) 276 final.</w:t>
      </w:r>
    </w:p>
  </w:footnote>
  <w:footnote w:id="33">
    <w:p w14:paraId="7023A2F9" w14:textId="77777777" w:rsidR="001549C4" w:rsidRPr="001549C4" w:rsidRDefault="001549C4" w:rsidP="001549C4">
      <w:pPr>
        <w:pStyle w:val="FootnoteText"/>
        <w:rPr>
          <w:rFonts w:ascii="Times New Roman" w:hAnsi="Times New Roman"/>
          <w:sz w:val="16"/>
          <w:lang w:val="fr-BE"/>
        </w:rPr>
      </w:pPr>
      <w:r>
        <w:rPr>
          <w:rStyle w:val="FootnoteReference"/>
          <w:rFonts w:ascii="Times New Roman" w:hAnsi="Times New Roman"/>
          <w:sz w:val="16"/>
        </w:rPr>
        <w:footnoteRef/>
      </w:r>
      <w:r w:rsidRPr="001549C4">
        <w:rPr>
          <w:rFonts w:ascii="Times New Roman" w:hAnsi="Times New Roman"/>
          <w:sz w:val="16"/>
          <w:lang w:val="fr-BE"/>
        </w:rPr>
        <w:t xml:space="preserve"> Recommandation du Conseil du 30 octobre 2020 relative à «Un pont vers l’emploi – Renforcer la garantie pour la jeunesse» et remplaçant la recommandation du Conseil du 22 avril 2013 sur l’établissement d’une garantie pour la jeunesse (2020/C 372/01).</w:t>
      </w:r>
    </w:p>
  </w:footnote>
  <w:footnote w:id="34">
    <w:p w14:paraId="22301C93" w14:textId="77777777" w:rsidR="001549C4" w:rsidRPr="001549C4" w:rsidRDefault="001549C4" w:rsidP="001549C4">
      <w:pPr>
        <w:pStyle w:val="title-bold"/>
        <w:shd w:val="clear" w:color="auto" w:fill="FFFFFF"/>
        <w:spacing w:before="0" w:beforeAutospacing="0" w:after="75" w:afterAutospacing="0"/>
        <w:jc w:val="both"/>
        <w:rPr>
          <w:lang w:val="fr-BE"/>
        </w:rPr>
      </w:pPr>
      <w:r>
        <w:rPr>
          <w:rStyle w:val="FootnoteReference"/>
          <w:rFonts w:eastAsiaTheme="minorEastAsia"/>
          <w:sz w:val="16"/>
          <w:lang w:val="en-US"/>
        </w:rPr>
        <w:footnoteRef/>
      </w:r>
      <w:r w:rsidRPr="001549C4">
        <w:rPr>
          <w:sz w:val="16"/>
          <w:lang w:val="fr-BE"/>
        </w:rPr>
        <w:t xml:space="preserve"> Communication de la Commission au Parlement européen, au Conseil, au Comité économique et social européen, au Comité des régions – «Une vague de rénovations pour l’Europe: verdir nos bâtiments, créer des emplois, améliorer la qualité de vie», COM(2020) 662 final.</w:t>
      </w:r>
    </w:p>
  </w:footnote>
  <w:footnote w:id="35">
    <w:p w14:paraId="701E4EAF"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Stratégie en faveur de l’égalité entre les hommes et les femmes 2020-2025, stratégie en faveur de l'égalité de traitement à l'égard des personnes LGBTIQ pour la période 2020-2025, cadre stratégique de l'UE pour les Roms 2020-2030, plan d’action de l’UE contre le racisme 2020-2025 et stratégie en faveur des droits des personnes handicapées 2021-2030.</w:t>
      </w:r>
    </w:p>
  </w:footnote>
  <w:footnote w:id="36">
    <w:p w14:paraId="55BD8177" w14:textId="77777777" w:rsidR="00CE20E1" w:rsidRPr="00CE20E1" w:rsidRDefault="00CE20E1" w:rsidP="00CE20E1">
      <w:pPr>
        <w:pStyle w:val="FootnoteText"/>
        <w:rPr>
          <w:rFonts w:ascii="Times New Roman" w:hAnsi="Times New Roman" w:cs="Times New Roman"/>
          <w:sz w:val="16"/>
          <w:szCs w:val="16"/>
          <w:lang w:val="fr-BE"/>
        </w:rPr>
      </w:pPr>
      <w:r>
        <w:rPr>
          <w:rStyle w:val="FootnoteReference"/>
          <w:rFonts w:ascii="Times New Roman" w:hAnsi="Times New Roman" w:cs="Times New Roman"/>
          <w:sz w:val="16"/>
          <w:szCs w:val="16"/>
        </w:rPr>
        <w:footnoteRef/>
      </w:r>
      <w:r w:rsidRPr="00CE20E1">
        <w:rPr>
          <w:rFonts w:ascii="Times New Roman" w:hAnsi="Times New Roman"/>
          <w:sz w:val="16"/>
          <w:lang w:val="fr-BE"/>
        </w:rPr>
        <w:t xml:space="preserve"> Voir également le rapport final du groupe d’experts de haut niveau sur les retraites (2019).</w:t>
      </w:r>
    </w:p>
  </w:footnote>
  <w:footnote w:id="37">
    <w:p w14:paraId="621C8FAA" w14:textId="77777777" w:rsidR="00CE20E1" w:rsidRPr="00CE20E1" w:rsidRDefault="00CE20E1" w:rsidP="00CE20E1">
      <w:pPr>
        <w:pStyle w:val="FootnoteText"/>
        <w:rPr>
          <w:lang w:val="fr-BE"/>
        </w:rPr>
      </w:pPr>
      <w:r>
        <w:rPr>
          <w:rStyle w:val="FootnoteReference"/>
          <w:rFonts w:ascii="Times New Roman" w:hAnsi="Times New Roman"/>
          <w:sz w:val="16"/>
        </w:rPr>
        <w:footnoteRef/>
      </w:r>
      <w:r w:rsidRPr="00CE20E1">
        <w:rPr>
          <w:rFonts w:ascii="Times New Roman" w:hAnsi="Times New Roman"/>
          <w:sz w:val="16"/>
          <w:lang w:val="fr-BE"/>
        </w:rPr>
        <w:t xml:space="preserve"> Proposition de directive du Parlement européen et du Conseil modifiant les directives 2009/65/CE, 2009/138/CE, 2011/61/UE, 2014/65/UE et (UE) 2016/97 en ce qui concerne les règles de l’Union en matière de protection des investisseurs de détail et proposition de règlement du Parlement européen et du Conseil modifiant le règlement (UE) nº 1286/2014 en ce qui concerne la modernisation du document d’informations clés, COM(2023) 279 final.</w:t>
      </w:r>
    </w:p>
  </w:footnote>
  <w:footnote w:id="38">
    <w:p w14:paraId="7CC05A00"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Communication de la Commission au Parlement européen, au Conseil, au Comité économique et social européen et au Comité des régions sur la stratégie européenne en matière de soins, COM(2022) 440 final.</w:t>
      </w:r>
    </w:p>
  </w:footnote>
  <w:footnote w:id="39">
    <w:p w14:paraId="7A49ABC1" w14:textId="77777777" w:rsidR="00CE20E1" w:rsidRPr="00CE20E1" w:rsidRDefault="00CE20E1" w:rsidP="00CE20E1">
      <w:pPr>
        <w:pStyle w:val="FootnoteText"/>
        <w:rPr>
          <w:lang w:val="fr-BE"/>
        </w:rPr>
      </w:pPr>
      <w:r>
        <w:rPr>
          <w:rStyle w:val="FootnoteReference"/>
          <w:rFonts w:ascii="Times New Roman" w:hAnsi="Times New Roman"/>
          <w:sz w:val="16"/>
        </w:rPr>
        <w:footnoteRef/>
      </w:r>
      <w:r w:rsidRPr="00CE20E1">
        <w:rPr>
          <w:rStyle w:val="FootnoteReference"/>
          <w:rFonts w:ascii="Times New Roman" w:hAnsi="Times New Roman"/>
          <w:sz w:val="16"/>
          <w:lang w:val="fr-BE"/>
        </w:rPr>
        <w:t xml:space="preserve"> </w:t>
      </w:r>
      <w:r w:rsidRPr="00CE20E1">
        <w:rPr>
          <w:rFonts w:ascii="Times New Roman" w:hAnsi="Times New Roman"/>
          <w:sz w:val="16"/>
          <w:lang w:val="fr-BE"/>
        </w:rPr>
        <w:t>En 2023, cinq États membres ont reçu des recommandations par pays concernant la viabilité à long terme de leurs systèmes de retraite et le vieillissement actif (Tchéquie, Allemagne, Irlande, Luxembourg, Pologne).</w:t>
      </w:r>
    </w:p>
  </w:footnote>
  <w:footnote w:id="40">
    <w:p w14:paraId="774F11C2"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La fiscalité du travail représentait 51,4 % du total des recettes fiscales dans l’UE en 2021.</w:t>
      </w:r>
    </w:p>
  </w:footnote>
  <w:footnote w:id="41">
    <w:p w14:paraId="2F69290D"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En particulier en réduisant le coin fiscal pour les personnes à revenu faible et intermédiaire, afin d’encourager le travail rémunéré.</w:t>
      </w:r>
    </w:p>
  </w:footnote>
  <w:footnote w:id="42">
    <w:p w14:paraId="7058AF03"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Directive 89/391/CEE du Conseil du 12 juin 1989 concernant la mise en œuvre de mesures visant à promouvoir l’amélioration de la sécurité et de la santé des travailleurs au travail.</w:t>
      </w:r>
    </w:p>
  </w:footnote>
  <w:footnote w:id="43">
    <w:p w14:paraId="153EF762" w14:textId="77777777" w:rsidR="00CE20E1" w:rsidRPr="00CE20E1" w:rsidRDefault="00CE20E1" w:rsidP="00CE20E1">
      <w:pPr>
        <w:pStyle w:val="FootnoteText"/>
        <w:rPr>
          <w:rFonts w:ascii="Times New Roman" w:hAnsi="Times New Roman" w:cs="Times New Roman"/>
          <w:lang w:val="fr-BE"/>
        </w:rPr>
      </w:pPr>
      <w:r>
        <w:rPr>
          <w:rStyle w:val="FootnoteReference"/>
          <w:rFonts w:ascii="Times New Roman" w:hAnsi="Times New Roman" w:cs="Times New Roman"/>
          <w:sz w:val="16"/>
          <w:szCs w:val="16"/>
        </w:rPr>
        <w:footnoteRef/>
      </w:r>
      <w:r w:rsidRPr="00CE20E1">
        <w:rPr>
          <w:rFonts w:ascii="Times New Roman" w:hAnsi="Times New Roman"/>
          <w:sz w:val="16"/>
          <w:lang w:val="fr-BE"/>
        </w:rPr>
        <w:t xml:space="preserve"> Directive 2000/78/CE du Conseil du 27 novembre 2000 portant création d'un cadre général en faveur de l'égalité de traitement en matière d'emploi et de travail.</w:t>
      </w:r>
    </w:p>
  </w:footnote>
  <w:footnote w:id="44">
    <w:p w14:paraId="2BA536A8"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Recommandation du Conseil du 15 février 2016 relative à l’intégration des chômeurs de longue durée sur le marché du travail (2016/C 67/01).</w:t>
      </w:r>
    </w:p>
  </w:footnote>
  <w:footnote w:id="45">
    <w:p w14:paraId="7C2E8C84"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Recommandation du Conseil du 8 décembre 2022 sur l’accès à des soins de longue durée abordables et de haute qualité (2022/C 476/01).</w:t>
      </w:r>
    </w:p>
  </w:footnote>
  <w:footnote w:id="46">
    <w:p w14:paraId="20D19AB7"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Recommandation du Conseil du 30 janvier 2023 relative à un revenu minimum adéquat pour garantir une inclusion active (2023/C 41/01).</w:t>
      </w:r>
    </w:p>
  </w:footnote>
  <w:footnote w:id="47">
    <w:p w14:paraId="24293493"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Directive (UE) 2019/882 du 17 avril 2019 relative aux exigences en matière d’accessibilité applicables aux produits et services.</w:t>
      </w:r>
    </w:p>
  </w:footnote>
  <w:footnote w:id="48">
    <w:p w14:paraId="5BD2B9ED" w14:textId="77777777" w:rsidR="00CE20E1" w:rsidRPr="00CE20E1" w:rsidRDefault="00CE20E1" w:rsidP="00CE20E1">
      <w:pPr>
        <w:pStyle w:val="FootnoteText"/>
        <w:rPr>
          <w:rFonts w:ascii="Times New Roman" w:hAnsi="Times New Roman" w:cs="Times New Roman"/>
          <w:lang w:val="fr-BE"/>
        </w:rPr>
      </w:pPr>
      <w:r>
        <w:rPr>
          <w:rFonts w:ascii="Times New Roman" w:hAnsi="Times New Roman" w:cs="Times New Roman"/>
          <w:sz w:val="16"/>
          <w:szCs w:val="16"/>
          <w:vertAlign w:val="superscript"/>
        </w:rPr>
        <w:footnoteRef/>
      </w:r>
      <w:r w:rsidRPr="00CE20E1">
        <w:rPr>
          <w:rFonts w:ascii="Times New Roman" w:hAnsi="Times New Roman"/>
          <w:sz w:val="16"/>
          <w:vertAlign w:val="superscript"/>
          <w:lang w:val="fr-BE"/>
        </w:rPr>
        <w:t xml:space="preserve"> </w:t>
      </w:r>
      <w:r w:rsidRPr="00CE20E1">
        <w:rPr>
          <w:rFonts w:ascii="Times New Roman" w:hAnsi="Times New Roman"/>
          <w:sz w:val="16"/>
          <w:lang w:val="fr-BE"/>
        </w:rPr>
        <w:t>Recommandation du Conseil du 9 décembre 2022 sur le renforcement de la prévention par la détection précoce: une nouvelle approche de l'Union européenne en matière de dépistage du cancer remplaçant la recommandation 2003/878/CE du Conseil (2022/C 473/01).</w:t>
      </w:r>
    </w:p>
  </w:footnote>
  <w:footnote w:id="49">
    <w:p w14:paraId="3E33A0B9" w14:textId="77777777" w:rsidR="00CE20E1" w:rsidRPr="00CE20E1" w:rsidRDefault="00CE20E1" w:rsidP="00CE20E1">
      <w:pPr>
        <w:pStyle w:val="FootnoteText"/>
        <w:rPr>
          <w:rFonts w:ascii="Times New Roman" w:hAnsi="Times New Roman" w:cs="Times New Roman"/>
          <w:lang w:val="fr-BE"/>
        </w:rPr>
      </w:pPr>
      <w:r>
        <w:rPr>
          <w:rStyle w:val="FootnoteReference"/>
          <w:rFonts w:ascii="Times New Roman" w:hAnsi="Times New Roman" w:cs="Times New Roman"/>
          <w:sz w:val="16"/>
          <w:szCs w:val="16"/>
        </w:rPr>
        <w:footnoteRef/>
      </w:r>
      <w:r w:rsidRPr="00CE20E1">
        <w:rPr>
          <w:rFonts w:ascii="Times New Roman" w:hAnsi="Times New Roman"/>
          <w:sz w:val="16"/>
          <w:lang w:val="fr-BE"/>
        </w:rPr>
        <w:t xml:space="preserve"> </w:t>
      </w:r>
      <w:hyperlink r:id="rId1" w:history="1">
        <w:r w:rsidRPr="00CE20E1">
          <w:rPr>
            <w:rStyle w:val="Hyperlink"/>
            <w:rFonts w:ascii="Times New Roman" w:hAnsi="Times New Roman"/>
            <w:sz w:val="16"/>
            <w:lang w:val="fr-BE"/>
          </w:rPr>
          <w:t>https://knowsdgs.jrc.ec.europa.eu/cfc</w:t>
        </w:r>
      </w:hyperlink>
      <w:r w:rsidRPr="00CE20E1">
        <w:rPr>
          <w:rFonts w:ascii="Times New Roman" w:hAnsi="Times New Roman"/>
          <w:sz w:val="16"/>
          <w:lang w:val="fr-BE"/>
        </w:rPr>
        <w:t xml:space="preserve"> </w:t>
      </w:r>
    </w:p>
  </w:footnote>
  <w:footnote w:id="50">
    <w:p w14:paraId="5DA9BB10"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Proposition de directive du Conseil relative aux normes applicables aux organismes pour l’égalité de traitement dans les domaines de l’égalité de traitement entre les personnes sans distinction de race ou d’origine ethnique, de l’égalité de traitement entre les personnes en matière d’emploi et de travail sans distinction de religion ou de convictions, de handicap, d’âge ou d’orientation sexuelle et de l’égalité de traitement entre les femmes et les hommes en matière de sécurité sociale ainsi que dans l’accès à des biens et services et la fourniture de biens et services, et supprimant l’article 13 de la directive 2000/43/CE et l’article 12 de la directive 2004/113/CE, COM/2022/689 final, et proposition de directive du Parlement européen et du Conseil relative aux normes applicables aux organismes pour l’égalité de traitement dans le domaine de l’égalité de traitement et de l’égalité des chances entre les femmes et les hommes en matière d’emploi et de travail, et supprimant l’article 20 de la directive 2006/54/CE et l’article 11 de la directive 2010/41/UE, COM(2022) 688 final.</w:t>
      </w:r>
    </w:p>
  </w:footnote>
  <w:footnote w:id="51">
    <w:p w14:paraId="537A3731"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Enquête auprès des entreprises et des consommateurs, Commission européenne.</w:t>
      </w:r>
    </w:p>
  </w:footnote>
  <w:footnote w:id="52">
    <w:p w14:paraId="12A43F9A"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Eurobaromètre Flash 529 (2023).</w:t>
      </w:r>
    </w:p>
  </w:footnote>
  <w:footnote w:id="53">
    <w:p w14:paraId="4228A088"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Commission européenne (2023), Annual Report on Intra-EU Labour Mobility 2022 (Rapport annuel 2022 sur la mobilité de la main-d’œuvre à l’intérieur de l’UE), Office des publications de l’Union européenne, Luxembourg.</w:t>
      </w:r>
    </w:p>
  </w:footnote>
  <w:footnote w:id="54">
    <w:p w14:paraId="2BA353FB"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Par exemple, par rapport à l’Australie, au Canada et aux États-Unis. OCDE (2019), Building an EU Talent Pool: A New Approach to Migration Management‎ for Europe (Construire un réservoir européen de talents – Une nouvelle approche de la gestion des migrations pour l’Europe), Éditions OCDE, Paris.</w:t>
      </w:r>
    </w:p>
  </w:footnote>
  <w:footnote w:id="55">
    <w:p w14:paraId="33D97E1B"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Le nombre de permis de séjour délivrés pour des raisons professionnelles en 2022 est estimé à 1,6 million.</w:t>
      </w:r>
    </w:p>
  </w:footnote>
  <w:footnote w:id="56">
    <w:p w14:paraId="39C794F2" w14:textId="77777777" w:rsidR="00CE20E1" w:rsidRPr="00CE20E1" w:rsidRDefault="00CE20E1" w:rsidP="00CE20E1">
      <w:pPr>
        <w:pStyle w:val="FootnoteText"/>
        <w:rPr>
          <w:rFonts w:ascii="Times New Roman" w:hAnsi="Times New Roman" w:cs="Times New Roman"/>
          <w:sz w:val="16"/>
          <w:szCs w:val="16"/>
          <w:lang w:val="fr-BE"/>
        </w:rPr>
      </w:pPr>
      <w:r>
        <w:rPr>
          <w:rStyle w:val="FootnoteReference"/>
          <w:rFonts w:ascii="Times New Roman" w:hAnsi="Times New Roman" w:cs="Times New Roman"/>
          <w:sz w:val="16"/>
          <w:szCs w:val="16"/>
        </w:rPr>
        <w:footnoteRef/>
      </w:r>
      <w:r w:rsidRPr="00CE20E1">
        <w:rPr>
          <w:rFonts w:ascii="Times New Roman" w:hAnsi="Times New Roman"/>
          <w:sz w:val="16"/>
          <w:lang w:val="fr-BE"/>
        </w:rPr>
        <w:t xml:space="preserve"> Notamment par le développement des compétences, l’enseignement et la formation professionnels et la mise en œuvre des programmes d’échanges professionnels.</w:t>
      </w:r>
    </w:p>
  </w:footnote>
  <w:footnote w:id="57">
    <w:p w14:paraId="38A9D82A"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Pays-Bas, Suède, Luxembourg et Danemark.</w:t>
      </w:r>
    </w:p>
  </w:footnote>
  <w:footnote w:id="58">
    <w:p w14:paraId="66D68B56"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Indicateurs de l’OCDE sur la capacité à attirer des talents.</w:t>
      </w:r>
    </w:p>
  </w:footnote>
  <w:footnote w:id="59">
    <w:p w14:paraId="4FAC5867"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Réseau européen des migrations (2019), Rapport sur l’intégration des ressortissants de pays tiers sur le marché du travail dans les États membres de l’UE.</w:t>
      </w:r>
    </w:p>
  </w:footnote>
  <w:footnote w:id="60">
    <w:p w14:paraId="21C8526B"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Directive (UE) 2021/1883 du Parlement européen et du Conseil du 20 octobre 2021 établissant les conditions d’entrée et de séjour des ressortissants de pays tiers aux fins d’un emploi hautement qualifié, et abrogeant la directive 2009/50/CE du Conseil.</w:t>
      </w:r>
    </w:p>
  </w:footnote>
  <w:footnote w:id="61">
    <w:p w14:paraId="1D0E9509"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Directive 2011/98/UE du Parlement européen et du Conseil du 13 décembre 2011 établissant une procédure de demande unique en vue de la délivrance d’un permis unique autorisant les ressortissants de pays tiers à résider et à travailler sur le territoire d’un État membre et établissant un socle commun de droits pour les travailleurs issus de pays tiers qui résident légalement dans un État membre.</w:t>
      </w:r>
    </w:p>
  </w:footnote>
  <w:footnote w:id="62">
    <w:p w14:paraId="53783CA8"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Directive 2003/109/CE du Conseil du 25 novembre 2003 relative au statut des ressortissants de pays tiers résidents de longue durée.</w:t>
      </w:r>
    </w:p>
  </w:footnote>
  <w:footnote w:id="63">
    <w:p w14:paraId="46BBD053"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Des partenariats destinés à attirer les talents font également l’objet de discussions avec le Nigeria et le Sénégal. </w:t>
      </w:r>
    </w:p>
  </w:footnote>
  <w:footnote w:id="64">
    <w:p w14:paraId="2E33CB15"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Communication de la Commission au Parlement européen, au Conseil, au Comité économique et social européen et au Comité des régions: «Plan d’action en faveur de l’intégration et de l’inclusion pour la période 2021-2027», COM(2020) 758 final</w:t>
      </w:r>
      <w:r w:rsidRPr="00CE20E1">
        <w:rPr>
          <w:lang w:val="fr-BE"/>
        </w:rPr>
        <w:t>.</w:t>
      </w:r>
    </w:p>
    <w:p w14:paraId="1402B0AF" w14:textId="77777777" w:rsidR="00CE20E1" w:rsidRPr="00FC5A08" w:rsidRDefault="00CE20E1" w:rsidP="00CE20E1">
      <w:pPr>
        <w:pStyle w:val="FootnoteText"/>
        <w:rPr>
          <w:rFonts w:ascii="Times New Roman" w:hAnsi="Times New Roman"/>
          <w:sz w:val="16"/>
          <w:lang w:val="fr-BE"/>
        </w:rPr>
      </w:pPr>
    </w:p>
  </w:footnote>
  <w:footnote w:id="65">
    <w:p w14:paraId="4640EB10"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Chiffres au 28 septembre 2023. Ces données se fondent sur la méthode du balisage des piliers utilisée dans le tableau de bord pour la reprise et la résilience et correspondent aux mesures allouées au domaine d’action «éducation et accueil des jeunes enfants» en tant que domaine d’action primaire ou secondaire. Pour des informations et des chiffres plus récents sur la FRR, veuillez également consulter le rapport de la Commission au Parlement européen et au Conseil sur la mise en œuvre de la facilité pour la reprise et la résilience intitulé «Moving forward», COM(2023) 545 final/2.</w:t>
      </w:r>
    </w:p>
  </w:footnote>
  <w:footnote w:id="66">
    <w:p w14:paraId="43869536"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Ibid. Ces données correspondent aux mesures allouées au domaine d’action «Enseignement général, professionnel et supérieur» en tant que domaine d’action primaire ou secondaire.</w:t>
      </w:r>
    </w:p>
  </w:footnote>
  <w:footnote w:id="67">
    <w:p w14:paraId="1D170EA3"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Ibid. Ces données correspondent aux mesures allouées au domaine d’action «Éducation et formation des adultes», «Compétences et emplois verts» et/ou «Capital humain dans la numérisation» en tant que domaines d’action primaires ou secondaires.</w:t>
      </w:r>
    </w:p>
  </w:footnote>
  <w:footnote w:id="68">
    <w:p w14:paraId="18994AC6"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Ibid. Ces données correspondent aux mesures allouées aux domaines d’action «Soins de santé» et/ou «Soins de longue durée» en tant que domaines d’action primaires ou secondaires.</w:t>
      </w:r>
    </w:p>
  </w:footnote>
  <w:footnote w:id="69">
    <w:p w14:paraId="4BD65350" w14:textId="77777777" w:rsidR="00CE20E1" w:rsidRPr="00CE20E1" w:rsidRDefault="00CE20E1" w:rsidP="00CE20E1">
      <w:pPr>
        <w:pStyle w:val="FootnoteText"/>
        <w:rPr>
          <w:rFonts w:ascii="Times New Roman" w:hAnsi="Times New Roman" w:cs="Times New Roman"/>
          <w:lang w:val="fr-BE"/>
        </w:rPr>
      </w:pPr>
      <w:r>
        <w:rPr>
          <w:rFonts w:ascii="Times New Roman" w:hAnsi="Times New Roman" w:cs="Times New Roman"/>
          <w:sz w:val="16"/>
          <w:szCs w:val="16"/>
          <w:vertAlign w:val="superscript"/>
        </w:rPr>
        <w:footnoteRef/>
      </w:r>
      <w:r w:rsidRPr="00CE20E1">
        <w:rPr>
          <w:rFonts w:ascii="Times New Roman" w:hAnsi="Times New Roman"/>
          <w:sz w:val="16"/>
          <w:lang w:val="fr-BE"/>
        </w:rPr>
        <w:t xml:space="preserve"> Chiffres au 5 octobre 2023. Ces données correspondent aux mesures allouées au domaine d’action «Logement social et autres infrastructures sociales» en tant que domaine d’action primaire ou secondaire.</w:t>
      </w:r>
    </w:p>
  </w:footnote>
  <w:footnote w:id="70">
    <w:p w14:paraId="7847058B"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Fonds européen de développement régional, Fonds social européen plus, Fonds de cohésion et Fonds pour une transition juste.</w:t>
      </w:r>
    </w:p>
  </w:footnote>
  <w:footnote w:id="71">
    <w:p w14:paraId="57AC8B66" w14:textId="77777777" w:rsidR="00CE20E1" w:rsidRPr="00CE20E1" w:rsidRDefault="00CE20E1" w:rsidP="00CE20E1">
      <w:pPr>
        <w:pStyle w:val="FootnoteText"/>
        <w:rPr>
          <w:rFonts w:ascii="Times New Roman" w:hAnsi="Times New Roman"/>
          <w:sz w:val="16"/>
          <w:lang w:val="fr-BE"/>
        </w:rPr>
      </w:pPr>
      <w:r>
        <w:rPr>
          <w:rStyle w:val="FootnoteReference"/>
          <w:rFonts w:ascii="Times New Roman" w:hAnsi="Times New Roman"/>
          <w:sz w:val="16"/>
        </w:rPr>
        <w:footnoteRef/>
      </w:r>
      <w:r w:rsidRPr="00CE20E1">
        <w:rPr>
          <w:rFonts w:ascii="Times New Roman" w:hAnsi="Times New Roman"/>
          <w:sz w:val="16"/>
          <w:lang w:val="fr-BE"/>
        </w:rPr>
        <w:t xml:space="preserve"> Proposition de règlement du Parlement européen et du Conseil relatif aux statistiques européennes sur la population et le logement, modifiant le règlement (CE) nº 862/2007 et abrogeant les règlements (CE) nº 763/2008 et (UE) nº 1260/2013, COM(2023) 31 final.</w:t>
      </w:r>
    </w:p>
  </w:footnote>
  <w:footnote w:id="72">
    <w:p w14:paraId="116CA319" w14:textId="77777777" w:rsidR="00CE20E1" w:rsidRPr="00CE20E1" w:rsidRDefault="00CE20E1" w:rsidP="00CE20E1">
      <w:pPr>
        <w:pStyle w:val="FootnoteText"/>
        <w:rPr>
          <w:rFonts w:ascii="Times New Roman" w:hAnsi="Times New Roman" w:cs="Times New Roman"/>
          <w:lang w:val="fr-BE"/>
        </w:rPr>
      </w:pPr>
      <w:r>
        <w:rPr>
          <w:rStyle w:val="FootnoteReference"/>
          <w:rFonts w:ascii="Times New Roman" w:hAnsi="Times New Roman"/>
          <w:sz w:val="16"/>
        </w:rPr>
        <w:footnoteRef/>
      </w:r>
      <w:r w:rsidRPr="00CE20E1">
        <w:rPr>
          <w:rFonts w:ascii="Times New Roman" w:hAnsi="Times New Roman"/>
          <w:lang w:val="fr-BE"/>
        </w:rPr>
        <w:t xml:space="preserve"> </w:t>
      </w:r>
      <w:r w:rsidRPr="00CE20E1">
        <w:rPr>
          <w:rFonts w:ascii="Times New Roman" w:hAnsi="Times New Roman"/>
          <w:sz w:val="16"/>
          <w:lang w:val="fr-BE"/>
        </w:rPr>
        <w:t>Groupe d’experts sur les Fonds du règlement portant dispositions communes (groupe d’experts RPDC), voir C(2021) 7888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7A070" w14:textId="77777777" w:rsidR="00E41C79" w:rsidRPr="00E41C79" w:rsidRDefault="00E41C79" w:rsidP="00E41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02205" w14:textId="77777777" w:rsidR="00E41C79" w:rsidRPr="00E41C79" w:rsidRDefault="00E41C79" w:rsidP="00E41C79">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45116" w14:textId="77777777" w:rsidR="00E41C79" w:rsidRPr="00E41C79" w:rsidRDefault="00E41C79" w:rsidP="00E41C79">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41D40" w14:textId="77777777" w:rsidR="00B54742" w:rsidRDefault="00B54742">
    <w:pPr>
      <w:pStyle w:val="Header"/>
    </w:pPr>
  </w:p>
  <w:p w14:paraId="5CEDCF22" w14:textId="77777777" w:rsidR="001723BE" w:rsidRDefault="001723B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88039" w14:textId="77777777" w:rsidR="00B54742" w:rsidRDefault="00B54742">
    <w:pPr>
      <w:pStyle w:val="Header"/>
    </w:pPr>
  </w:p>
  <w:p w14:paraId="77492D1E" w14:textId="77777777" w:rsidR="001723BE" w:rsidRDefault="001723B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3060" w14:textId="77777777" w:rsidR="00B54742" w:rsidRDefault="00B54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D5F"/>
    <w:multiLevelType w:val="hybridMultilevel"/>
    <w:tmpl w:val="C826E3B4"/>
    <w:lvl w:ilvl="0" w:tplc="0BF29EC4">
      <w:start w:val="1"/>
      <w:numFmt w:val="bullet"/>
      <w:lvlText w:val=""/>
      <w:lvlJc w:val="left"/>
      <w:pPr>
        <w:ind w:left="720" w:hanging="360"/>
      </w:pPr>
      <w:rPr>
        <w:rFonts w:ascii="Symbol" w:hAnsi="Symbol"/>
      </w:rPr>
    </w:lvl>
    <w:lvl w:ilvl="1" w:tplc="771E5520">
      <w:start w:val="1"/>
      <w:numFmt w:val="bullet"/>
      <w:lvlText w:val=""/>
      <w:lvlJc w:val="left"/>
      <w:pPr>
        <w:ind w:left="720" w:hanging="360"/>
      </w:pPr>
      <w:rPr>
        <w:rFonts w:ascii="Symbol" w:hAnsi="Symbol"/>
      </w:rPr>
    </w:lvl>
    <w:lvl w:ilvl="2" w:tplc="26F04B74">
      <w:start w:val="1"/>
      <w:numFmt w:val="bullet"/>
      <w:lvlText w:val=""/>
      <w:lvlJc w:val="left"/>
      <w:pPr>
        <w:ind w:left="720" w:hanging="360"/>
      </w:pPr>
      <w:rPr>
        <w:rFonts w:ascii="Symbol" w:hAnsi="Symbol"/>
      </w:rPr>
    </w:lvl>
    <w:lvl w:ilvl="3" w:tplc="2572DC66">
      <w:start w:val="1"/>
      <w:numFmt w:val="bullet"/>
      <w:lvlText w:val=""/>
      <w:lvlJc w:val="left"/>
      <w:pPr>
        <w:ind w:left="720" w:hanging="360"/>
      </w:pPr>
      <w:rPr>
        <w:rFonts w:ascii="Symbol" w:hAnsi="Symbol"/>
      </w:rPr>
    </w:lvl>
    <w:lvl w:ilvl="4" w:tplc="CF74307C">
      <w:start w:val="1"/>
      <w:numFmt w:val="bullet"/>
      <w:lvlText w:val=""/>
      <w:lvlJc w:val="left"/>
      <w:pPr>
        <w:ind w:left="720" w:hanging="360"/>
      </w:pPr>
      <w:rPr>
        <w:rFonts w:ascii="Symbol" w:hAnsi="Symbol"/>
      </w:rPr>
    </w:lvl>
    <w:lvl w:ilvl="5" w:tplc="587C2550">
      <w:start w:val="1"/>
      <w:numFmt w:val="bullet"/>
      <w:lvlText w:val=""/>
      <w:lvlJc w:val="left"/>
      <w:pPr>
        <w:ind w:left="720" w:hanging="360"/>
      </w:pPr>
      <w:rPr>
        <w:rFonts w:ascii="Symbol" w:hAnsi="Symbol"/>
      </w:rPr>
    </w:lvl>
    <w:lvl w:ilvl="6" w:tplc="C42A02FC">
      <w:start w:val="1"/>
      <w:numFmt w:val="bullet"/>
      <w:lvlText w:val=""/>
      <w:lvlJc w:val="left"/>
      <w:pPr>
        <w:ind w:left="720" w:hanging="360"/>
      </w:pPr>
      <w:rPr>
        <w:rFonts w:ascii="Symbol" w:hAnsi="Symbol"/>
      </w:rPr>
    </w:lvl>
    <w:lvl w:ilvl="7" w:tplc="B89E091A">
      <w:start w:val="1"/>
      <w:numFmt w:val="bullet"/>
      <w:lvlText w:val=""/>
      <w:lvlJc w:val="left"/>
      <w:pPr>
        <w:ind w:left="720" w:hanging="360"/>
      </w:pPr>
      <w:rPr>
        <w:rFonts w:ascii="Symbol" w:hAnsi="Symbol"/>
      </w:rPr>
    </w:lvl>
    <w:lvl w:ilvl="8" w:tplc="9AC85D10">
      <w:start w:val="1"/>
      <w:numFmt w:val="bullet"/>
      <w:lvlText w:val=""/>
      <w:lvlJc w:val="left"/>
      <w:pPr>
        <w:ind w:left="720" w:hanging="360"/>
      </w:pPr>
      <w:rPr>
        <w:rFonts w:ascii="Symbol" w:hAnsi="Symbol"/>
      </w:rPr>
    </w:lvl>
  </w:abstractNum>
  <w:abstractNum w:abstractNumId="1" w15:restartNumberingAfterBreak="0">
    <w:nsid w:val="012E6E03"/>
    <w:multiLevelType w:val="hybridMultilevel"/>
    <w:tmpl w:val="9E20DCC4"/>
    <w:lvl w:ilvl="0" w:tplc="9280A05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7D75F9"/>
    <w:multiLevelType w:val="multilevel"/>
    <w:tmpl w:val="53D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B12C4"/>
    <w:multiLevelType w:val="hybridMultilevel"/>
    <w:tmpl w:val="28F6EE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553A48"/>
    <w:multiLevelType w:val="hybridMultilevel"/>
    <w:tmpl w:val="161C70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8E4DCD"/>
    <w:multiLevelType w:val="hybridMultilevel"/>
    <w:tmpl w:val="02140740"/>
    <w:lvl w:ilvl="0" w:tplc="6EF2B222">
      <w:start w:val="1"/>
      <w:numFmt w:val="bullet"/>
      <w:lvlText w:val=""/>
      <w:lvlJc w:val="left"/>
      <w:pPr>
        <w:ind w:left="720" w:hanging="360"/>
      </w:pPr>
      <w:rPr>
        <w:rFonts w:ascii="Symbol" w:hAnsi="Symbol"/>
      </w:rPr>
    </w:lvl>
    <w:lvl w:ilvl="1" w:tplc="390ABCC6">
      <w:start w:val="1"/>
      <w:numFmt w:val="bullet"/>
      <w:lvlText w:val=""/>
      <w:lvlJc w:val="left"/>
      <w:pPr>
        <w:ind w:left="720" w:hanging="360"/>
      </w:pPr>
      <w:rPr>
        <w:rFonts w:ascii="Symbol" w:hAnsi="Symbol"/>
      </w:rPr>
    </w:lvl>
    <w:lvl w:ilvl="2" w:tplc="8B2A3748">
      <w:start w:val="1"/>
      <w:numFmt w:val="bullet"/>
      <w:lvlText w:val=""/>
      <w:lvlJc w:val="left"/>
      <w:pPr>
        <w:ind w:left="720" w:hanging="360"/>
      </w:pPr>
      <w:rPr>
        <w:rFonts w:ascii="Symbol" w:hAnsi="Symbol"/>
      </w:rPr>
    </w:lvl>
    <w:lvl w:ilvl="3" w:tplc="37A41B8E">
      <w:start w:val="1"/>
      <w:numFmt w:val="bullet"/>
      <w:lvlText w:val=""/>
      <w:lvlJc w:val="left"/>
      <w:pPr>
        <w:ind w:left="720" w:hanging="360"/>
      </w:pPr>
      <w:rPr>
        <w:rFonts w:ascii="Symbol" w:hAnsi="Symbol"/>
      </w:rPr>
    </w:lvl>
    <w:lvl w:ilvl="4" w:tplc="5B52BC34">
      <w:start w:val="1"/>
      <w:numFmt w:val="bullet"/>
      <w:lvlText w:val=""/>
      <w:lvlJc w:val="left"/>
      <w:pPr>
        <w:ind w:left="720" w:hanging="360"/>
      </w:pPr>
      <w:rPr>
        <w:rFonts w:ascii="Symbol" w:hAnsi="Symbol"/>
      </w:rPr>
    </w:lvl>
    <w:lvl w:ilvl="5" w:tplc="B10C8640">
      <w:start w:val="1"/>
      <w:numFmt w:val="bullet"/>
      <w:lvlText w:val=""/>
      <w:lvlJc w:val="left"/>
      <w:pPr>
        <w:ind w:left="720" w:hanging="360"/>
      </w:pPr>
      <w:rPr>
        <w:rFonts w:ascii="Symbol" w:hAnsi="Symbol"/>
      </w:rPr>
    </w:lvl>
    <w:lvl w:ilvl="6" w:tplc="B95A6948">
      <w:start w:val="1"/>
      <w:numFmt w:val="bullet"/>
      <w:lvlText w:val=""/>
      <w:lvlJc w:val="left"/>
      <w:pPr>
        <w:ind w:left="720" w:hanging="360"/>
      </w:pPr>
      <w:rPr>
        <w:rFonts w:ascii="Symbol" w:hAnsi="Symbol"/>
      </w:rPr>
    </w:lvl>
    <w:lvl w:ilvl="7" w:tplc="8168D0A8">
      <w:start w:val="1"/>
      <w:numFmt w:val="bullet"/>
      <w:lvlText w:val=""/>
      <w:lvlJc w:val="left"/>
      <w:pPr>
        <w:ind w:left="720" w:hanging="360"/>
      </w:pPr>
      <w:rPr>
        <w:rFonts w:ascii="Symbol" w:hAnsi="Symbol"/>
      </w:rPr>
    </w:lvl>
    <w:lvl w:ilvl="8" w:tplc="5AF4A78C">
      <w:start w:val="1"/>
      <w:numFmt w:val="bullet"/>
      <w:lvlText w:val=""/>
      <w:lvlJc w:val="left"/>
      <w:pPr>
        <w:ind w:left="720" w:hanging="360"/>
      </w:pPr>
      <w:rPr>
        <w:rFonts w:ascii="Symbol" w:hAnsi="Symbol"/>
      </w:rPr>
    </w:lvl>
  </w:abstractNum>
  <w:abstractNum w:abstractNumId="6" w15:restartNumberingAfterBreak="0">
    <w:nsid w:val="100968B0"/>
    <w:multiLevelType w:val="hybridMultilevel"/>
    <w:tmpl w:val="FD36B6A4"/>
    <w:lvl w:ilvl="0" w:tplc="A5727230">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88661D"/>
    <w:multiLevelType w:val="multilevel"/>
    <w:tmpl w:val="A05EA8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FD4C00"/>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20756C5"/>
    <w:multiLevelType w:val="hybridMultilevel"/>
    <w:tmpl w:val="001C9C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E80DA0"/>
    <w:multiLevelType w:val="hybridMultilevel"/>
    <w:tmpl w:val="95CAFB98"/>
    <w:lvl w:ilvl="0" w:tplc="1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482775B"/>
    <w:multiLevelType w:val="multilevel"/>
    <w:tmpl w:val="BB3456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701493B"/>
    <w:multiLevelType w:val="hybridMultilevel"/>
    <w:tmpl w:val="484602A0"/>
    <w:lvl w:ilvl="0" w:tplc="2438CF40">
      <w:start w:val="1"/>
      <w:numFmt w:val="bullet"/>
      <w:lvlText w:val=""/>
      <w:lvlJc w:val="left"/>
      <w:pPr>
        <w:ind w:left="720" w:hanging="360"/>
      </w:pPr>
      <w:rPr>
        <w:rFonts w:ascii="Symbol" w:hAnsi="Symbol"/>
      </w:rPr>
    </w:lvl>
    <w:lvl w:ilvl="1" w:tplc="6E90E4C8">
      <w:start w:val="1"/>
      <w:numFmt w:val="bullet"/>
      <w:lvlText w:val=""/>
      <w:lvlJc w:val="left"/>
      <w:pPr>
        <w:ind w:left="720" w:hanging="360"/>
      </w:pPr>
      <w:rPr>
        <w:rFonts w:ascii="Symbol" w:hAnsi="Symbol"/>
      </w:rPr>
    </w:lvl>
    <w:lvl w:ilvl="2" w:tplc="91EA4188">
      <w:start w:val="1"/>
      <w:numFmt w:val="bullet"/>
      <w:lvlText w:val=""/>
      <w:lvlJc w:val="left"/>
      <w:pPr>
        <w:ind w:left="720" w:hanging="360"/>
      </w:pPr>
      <w:rPr>
        <w:rFonts w:ascii="Symbol" w:hAnsi="Symbol"/>
      </w:rPr>
    </w:lvl>
    <w:lvl w:ilvl="3" w:tplc="7FF0A106">
      <w:start w:val="1"/>
      <w:numFmt w:val="bullet"/>
      <w:lvlText w:val=""/>
      <w:lvlJc w:val="left"/>
      <w:pPr>
        <w:ind w:left="720" w:hanging="360"/>
      </w:pPr>
      <w:rPr>
        <w:rFonts w:ascii="Symbol" w:hAnsi="Symbol"/>
      </w:rPr>
    </w:lvl>
    <w:lvl w:ilvl="4" w:tplc="CDF84BA6">
      <w:start w:val="1"/>
      <w:numFmt w:val="bullet"/>
      <w:lvlText w:val=""/>
      <w:lvlJc w:val="left"/>
      <w:pPr>
        <w:ind w:left="720" w:hanging="360"/>
      </w:pPr>
      <w:rPr>
        <w:rFonts w:ascii="Symbol" w:hAnsi="Symbol"/>
      </w:rPr>
    </w:lvl>
    <w:lvl w:ilvl="5" w:tplc="A6022E4A">
      <w:start w:val="1"/>
      <w:numFmt w:val="bullet"/>
      <w:lvlText w:val=""/>
      <w:lvlJc w:val="left"/>
      <w:pPr>
        <w:ind w:left="720" w:hanging="360"/>
      </w:pPr>
      <w:rPr>
        <w:rFonts w:ascii="Symbol" w:hAnsi="Symbol"/>
      </w:rPr>
    </w:lvl>
    <w:lvl w:ilvl="6" w:tplc="195C6358">
      <w:start w:val="1"/>
      <w:numFmt w:val="bullet"/>
      <w:lvlText w:val=""/>
      <w:lvlJc w:val="left"/>
      <w:pPr>
        <w:ind w:left="720" w:hanging="360"/>
      </w:pPr>
      <w:rPr>
        <w:rFonts w:ascii="Symbol" w:hAnsi="Symbol"/>
      </w:rPr>
    </w:lvl>
    <w:lvl w:ilvl="7" w:tplc="BA34157C">
      <w:start w:val="1"/>
      <w:numFmt w:val="bullet"/>
      <w:lvlText w:val=""/>
      <w:lvlJc w:val="left"/>
      <w:pPr>
        <w:ind w:left="720" w:hanging="360"/>
      </w:pPr>
      <w:rPr>
        <w:rFonts w:ascii="Symbol" w:hAnsi="Symbol"/>
      </w:rPr>
    </w:lvl>
    <w:lvl w:ilvl="8" w:tplc="8F9A8AF2">
      <w:start w:val="1"/>
      <w:numFmt w:val="bullet"/>
      <w:lvlText w:val=""/>
      <w:lvlJc w:val="left"/>
      <w:pPr>
        <w:ind w:left="720" w:hanging="360"/>
      </w:pPr>
      <w:rPr>
        <w:rFonts w:ascii="Symbol" w:hAnsi="Symbol"/>
      </w:rPr>
    </w:lvl>
  </w:abstractNum>
  <w:abstractNum w:abstractNumId="13" w15:restartNumberingAfterBreak="0">
    <w:nsid w:val="1CF63109"/>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1F095E91"/>
    <w:multiLevelType w:val="hybridMultilevel"/>
    <w:tmpl w:val="591C10FA"/>
    <w:lvl w:ilvl="0" w:tplc="8974D19E">
      <w:start w:val="1"/>
      <w:numFmt w:val="bullet"/>
      <w:lvlText w:val=""/>
      <w:lvlJc w:val="left"/>
      <w:pPr>
        <w:ind w:left="1440" w:hanging="360"/>
      </w:pPr>
      <w:rPr>
        <w:rFonts w:ascii="Symbol" w:hAnsi="Symbol"/>
      </w:rPr>
    </w:lvl>
    <w:lvl w:ilvl="1" w:tplc="4D0ADF72">
      <w:start w:val="1"/>
      <w:numFmt w:val="bullet"/>
      <w:lvlText w:val=""/>
      <w:lvlJc w:val="left"/>
      <w:pPr>
        <w:ind w:left="1440" w:hanging="360"/>
      </w:pPr>
      <w:rPr>
        <w:rFonts w:ascii="Symbol" w:hAnsi="Symbol"/>
      </w:rPr>
    </w:lvl>
    <w:lvl w:ilvl="2" w:tplc="B24C801C">
      <w:start w:val="1"/>
      <w:numFmt w:val="bullet"/>
      <w:lvlText w:val=""/>
      <w:lvlJc w:val="left"/>
      <w:pPr>
        <w:ind w:left="1440" w:hanging="360"/>
      </w:pPr>
      <w:rPr>
        <w:rFonts w:ascii="Symbol" w:hAnsi="Symbol"/>
      </w:rPr>
    </w:lvl>
    <w:lvl w:ilvl="3" w:tplc="58DA1F26">
      <w:start w:val="1"/>
      <w:numFmt w:val="bullet"/>
      <w:lvlText w:val=""/>
      <w:lvlJc w:val="left"/>
      <w:pPr>
        <w:ind w:left="1440" w:hanging="360"/>
      </w:pPr>
      <w:rPr>
        <w:rFonts w:ascii="Symbol" w:hAnsi="Symbol"/>
      </w:rPr>
    </w:lvl>
    <w:lvl w:ilvl="4" w:tplc="56F0A4AE">
      <w:start w:val="1"/>
      <w:numFmt w:val="bullet"/>
      <w:lvlText w:val=""/>
      <w:lvlJc w:val="left"/>
      <w:pPr>
        <w:ind w:left="1440" w:hanging="360"/>
      </w:pPr>
      <w:rPr>
        <w:rFonts w:ascii="Symbol" w:hAnsi="Symbol"/>
      </w:rPr>
    </w:lvl>
    <w:lvl w:ilvl="5" w:tplc="4F667608">
      <w:start w:val="1"/>
      <w:numFmt w:val="bullet"/>
      <w:lvlText w:val=""/>
      <w:lvlJc w:val="left"/>
      <w:pPr>
        <w:ind w:left="1440" w:hanging="360"/>
      </w:pPr>
      <w:rPr>
        <w:rFonts w:ascii="Symbol" w:hAnsi="Symbol"/>
      </w:rPr>
    </w:lvl>
    <w:lvl w:ilvl="6" w:tplc="93D2707E">
      <w:start w:val="1"/>
      <w:numFmt w:val="bullet"/>
      <w:lvlText w:val=""/>
      <w:lvlJc w:val="left"/>
      <w:pPr>
        <w:ind w:left="1440" w:hanging="360"/>
      </w:pPr>
      <w:rPr>
        <w:rFonts w:ascii="Symbol" w:hAnsi="Symbol"/>
      </w:rPr>
    </w:lvl>
    <w:lvl w:ilvl="7" w:tplc="10F27AEE">
      <w:start w:val="1"/>
      <w:numFmt w:val="bullet"/>
      <w:lvlText w:val=""/>
      <w:lvlJc w:val="left"/>
      <w:pPr>
        <w:ind w:left="1440" w:hanging="360"/>
      </w:pPr>
      <w:rPr>
        <w:rFonts w:ascii="Symbol" w:hAnsi="Symbol"/>
      </w:rPr>
    </w:lvl>
    <w:lvl w:ilvl="8" w:tplc="9E36FF3E">
      <w:start w:val="1"/>
      <w:numFmt w:val="bullet"/>
      <w:lvlText w:val=""/>
      <w:lvlJc w:val="left"/>
      <w:pPr>
        <w:ind w:left="1440" w:hanging="360"/>
      </w:pPr>
      <w:rPr>
        <w:rFonts w:ascii="Symbol" w:hAnsi="Symbol"/>
      </w:rPr>
    </w:lvl>
  </w:abstractNum>
  <w:abstractNum w:abstractNumId="15" w15:restartNumberingAfterBreak="0">
    <w:nsid w:val="1FC32976"/>
    <w:multiLevelType w:val="hybridMultilevel"/>
    <w:tmpl w:val="9106FF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FF9451F"/>
    <w:multiLevelType w:val="multilevel"/>
    <w:tmpl w:val="E7CA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E44A20"/>
    <w:multiLevelType w:val="multilevel"/>
    <w:tmpl w:val="062E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8E4182"/>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2C6E3EDE"/>
    <w:multiLevelType w:val="hybridMultilevel"/>
    <w:tmpl w:val="14DEC5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4C4568"/>
    <w:multiLevelType w:val="hybridMultilevel"/>
    <w:tmpl w:val="9A202668"/>
    <w:lvl w:ilvl="0" w:tplc="775C5EE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A02130A"/>
    <w:multiLevelType w:val="hybridMultilevel"/>
    <w:tmpl w:val="290883CE"/>
    <w:lvl w:ilvl="0" w:tplc="0ED428DC">
      <w:start w:val="1"/>
      <w:numFmt w:val="bullet"/>
      <w:pStyle w:val="Paragraphedelistebullets"/>
      <w:lvlText w:val=""/>
      <w:lvlJc w:val="left"/>
      <w:pPr>
        <w:ind w:left="558" w:hanging="360"/>
      </w:pPr>
      <w:rPr>
        <w:rFonts w:ascii="Wingdings" w:hAnsi="Wingdings" w:hint="default"/>
        <w:color w:val="1A8482" w:themeColor="accent5" w:themeShade="80"/>
        <w:position w:val="-4"/>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EA75D63"/>
    <w:multiLevelType w:val="hybridMultilevel"/>
    <w:tmpl w:val="D5F814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2F20962"/>
    <w:multiLevelType w:val="hybridMultilevel"/>
    <w:tmpl w:val="50D221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3C0B858"/>
    <w:multiLevelType w:val="hybridMultilevel"/>
    <w:tmpl w:val="FFFFFFFF"/>
    <w:lvl w:ilvl="0" w:tplc="AA8C5022">
      <w:start w:val="1"/>
      <w:numFmt w:val="bullet"/>
      <w:lvlText w:val="-"/>
      <w:lvlJc w:val="left"/>
      <w:pPr>
        <w:ind w:left="720" w:hanging="360"/>
      </w:pPr>
      <w:rPr>
        <w:rFonts w:ascii="Calibri" w:hAnsi="Calibri" w:hint="default"/>
      </w:rPr>
    </w:lvl>
    <w:lvl w:ilvl="1" w:tplc="8F3EC3CC">
      <w:start w:val="1"/>
      <w:numFmt w:val="bullet"/>
      <w:lvlText w:val="o"/>
      <w:lvlJc w:val="left"/>
      <w:pPr>
        <w:ind w:left="1440" w:hanging="360"/>
      </w:pPr>
      <w:rPr>
        <w:rFonts w:ascii="Courier New" w:hAnsi="Courier New" w:hint="default"/>
      </w:rPr>
    </w:lvl>
    <w:lvl w:ilvl="2" w:tplc="06485E9C">
      <w:start w:val="1"/>
      <w:numFmt w:val="bullet"/>
      <w:lvlText w:val=""/>
      <w:lvlJc w:val="left"/>
      <w:pPr>
        <w:ind w:left="2160" w:hanging="360"/>
      </w:pPr>
      <w:rPr>
        <w:rFonts w:ascii="Wingdings" w:hAnsi="Wingdings" w:hint="default"/>
      </w:rPr>
    </w:lvl>
    <w:lvl w:ilvl="3" w:tplc="EA544D6E">
      <w:start w:val="1"/>
      <w:numFmt w:val="bullet"/>
      <w:lvlText w:val=""/>
      <w:lvlJc w:val="left"/>
      <w:pPr>
        <w:ind w:left="2880" w:hanging="360"/>
      </w:pPr>
      <w:rPr>
        <w:rFonts w:ascii="Symbol" w:hAnsi="Symbol" w:hint="default"/>
      </w:rPr>
    </w:lvl>
    <w:lvl w:ilvl="4" w:tplc="CD4C680A">
      <w:start w:val="1"/>
      <w:numFmt w:val="bullet"/>
      <w:lvlText w:val="o"/>
      <w:lvlJc w:val="left"/>
      <w:pPr>
        <w:ind w:left="3600" w:hanging="360"/>
      </w:pPr>
      <w:rPr>
        <w:rFonts w:ascii="Courier New" w:hAnsi="Courier New" w:hint="default"/>
      </w:rPr>
    </w:lvl>
    <w:lvl w:ilvl="5" w:tplc="C1624760">
      <w:start w:val="1"/>
      <w:numFmt w:val="bullet"/>
      <w:lvlText w:val=""/>
      <w:lvlJc w:val="left"/>
      <w:pPr>
        <w:ind w:left="4320" w:hanging="360"/>
      </w:pPr>
      <w:rPr>
        <w:rFonts w:ascii="Wingdings" w:hAnsi="Wingdings" w:hint="default"/>
      </w:rPr>
    </w:lvl>
    <w:lvl w:ilvl="6" w:tplc="AAE6DA8E">
      <w:start w:val="1"/>
      <w:numFmt w:val="bullet"/>
      <w:lvlText w:val=""/>
      <w:lvlJc w:val="left"/>
      <w:pPr>
        <w:ind w:left="5040" w:hanging="360"/>
      </w:pPr>
      <w:rPr>
        <w:rFonts w:ascii="Symbol" w:hAnsi="Symbol" w:hint="default"/>
      </w:rPr>
    </w:lvl>
    <w:lvl w:ilvl="7" w:tplc="2C2AAEBE">
      <w:start w:val="1"/>
      <w:numFmt w:val="bullet"/>
      <w:lvlText w:val="o"/>
      <w:lvlJc w:val="left"/>
      <w:pPr>
        <w:ind w:left="5760" w:hanging="360"/>
      </w:pPr>
      <w:rPr>
        <w:rFonts w:ascii="Courier New" w:hAnsi="Courier New" w:hint="default"/>
      </w:rPr>
    </w:lvl>
    <w:lvl w:ilvl="8" w:tplc="2F72B89E">
      <w:start w:val="1"/>
      <w:numFmt w:val="bullet"/>
      <w:lvlText w:val=""/>
      <w:lvlJc w:val="left"/>
      <w:pPr>
        <w:ind w:left="6480" w:hanging="360"/>
      </w:pPr>
      <w:rPr>
        <w:rFonts w:ascii="Wingdings" w:hAnsi="Wingdings" w:hint="default"/>
      </w:rPr>
    </w:lvl>
  </w:abstractNum>
  <w:abstractNum w:abstractNumId="25" w15:restartNumberingAfterBreak="0">
    <w:nsid w:val="49465920"/>
    <w:multiLevelType w:val="multilevel"/>
    <w:tmpl w:val="E5D4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6A5D4C"/>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4D284556"/>
    <w:multiLevelType w:val="multilevel"/>
    <w:tmpl w:val="4930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F60484"/>
    <w:multiLevelType w:val="hybridMultilevel"/>
    <w:tmpl w:val="81C010BC"/>
    <w:lvl w:ilvl="0" w:tplc="286ADFF6">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0300BB2"/>
    <w:multiLevelType w:val="hybridMultilevel"/>
    <w:tmpl w:val="ACEA2C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3220555"/>
    <w:multiLevelType w:val="hybridMultilevel"/>
    <w:tmpl w:val="28824A88"/>
    <w:lvl w:ilvl="0" w:tplc="C172B388">
      <w:start w:val="1"/>
      <w:numFmt w:val="lowerRoman"/>
      <w:pStyle w:val="ListParagraph"/>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485EDE"/>
    <w:multiLevelType w:val="hybridMultilevel"/>
    <w:tmpl w:val="FFFFFFFF"/>
    <w:lvl w:ilvl="0" w:tplc="E206B59E">
      <w:start w:val="1"/>
      <w:numFmt w:val="bullet"/>
      <w:lvlText w:val="-"/>
      <w:lvlJc w:val="left"/>
      <w:pPr>
        <w:ind w:left="720" w:hanging="360"/>
      </w:pPr>
      <w:rPr>
        <w:rFonts w:ascii="Calibri" w:hAnsi="Calibri" w:hint="default"/>
      </w:rPr>
    </w:lvl>
    <w:lvl w:ilvl="1" w:tplc="E99A66CC">
      <w:start w:val="1"/>
      <w:numFmt w:val="bullet"/>
      <w:lvlText w:val="o"/>
      <w:lvlJc w:val="left"/>
      <w:pPr>
        <w:ind w:left="1440" w:hanging="360"/>
      </w:pPr>
      <w:rPr>
        <w:rFonts w:ascii="Courier New" w:hAnsi="Courier New" w:hint="default"/>
      </w:rPr>
    </w:lvl>
    <w:lvl w:ilvl="2" w:tplc="FBD4909A">
      <w:start w:val="1"/>
      <w:numFmt w:val="bullet"/>
      <w:lvlText w:val=""/>
      <w:lvlJc w:val="left"/>
      <w:pPr>
        <w:ind w:left="2160" w:hanging="360"/>
      </w:pPr>
      <w:rPr>
        <w:rFonts w:ascii="Wingdings" w:hAnsi="Wingdings" w:hint="default"/>
      </w:rPr>
    </w:lvl>
    <w:lvl w:ilvl="3" w:tplc="F17EFE38">
      <w:start w:val="1"/>
      <w:numFmt w:val="bullet"/>
      <w:lvlText w:val=""/>
      <w:lvlJc w:val="left"/>
      <w:pPr>
        <w:ind w:left="2880" w:hanging="360"/>
      </w:pPr>
      <w:rPr>
        <w:rFonts w:ascii="Symbol" w:hAnsi="Symbol" w:hint="default"/>
      </w:rPr>
    </w:lvl>
    <w:lvl w:ilvl="4" w:tplc="56627850">
      <w:start w:val="1"/>
      <w:numFmt w:val="bullet"/>
      <w:lvlText w:val="o"/>
      <w:lvlJc w:val="left"/>
      <w:pPr>
        <w:ind w:left="3600" w:hanging="360"/>
      </w:pPr>
      <w:rPr>
        <w:rFonts w:ascii="Courier New" w:hAnsi="Courier New" w:hint="default"/>
      </w:rPr>
    </w:lvl>
    <w:lvl w:ilvl="5" w:tplc="F800A090">
      <w:start w:val="1"/>
      <w:numFmt w:val="bullet"/>
      <w:lvlText w:val=""/>
      <w:lvlJc w:val="left"/>
      <w:pPr>
        <w:ind w:left="4320" w:hanging="360"/>
      </w:pPr>
      <w:rPr>
        <w:rFonts w:ascii="Wingdings" w:hAnsi="Wingdings" w:hint="default"/>
      </w:rPr>
    </w:lvl>
    <w:lvl w:ilvl="6" w:tplc="2F205C98">
      <w:start w:val="1"/>
      <w:numFmt w:val="bullet"/>
      <w:lvlText w:val=""/>
      <w:lvlJc w:val="left"/>
      <w:pPr>
        <w:ind w:left="5040" w:hanging="360"/>
      </w:pPr>
      <w:rPr>
        <w:rFonts w:ascii="Symbol" w:hAnsi="Symbol" w:hint="default"/>
      </w:rPr>
    </w:lvl>
    <w:lvl w:ilvl="7" w:tplc="BF08229A">
      <w:start w:val="1"/>
      <w:numFmt w:val="bullet"/>
      <w:lvlText w:val="o"/>
      <w:lvlJc w:val="left"/>
      <w:pPr>
        <w:ind w:left="5760" w:hanging="360"/>
      </w:pPr>
      <w:rPr>
        <w:rFonts w:ascii="Courier New" w:hAnsi="Courier New" w:hint="default"/>
      </w:rPr>
    </w:lvl>
    <w:lvl w:ilvl="8" w:tplc="DF229C5E">
      <w:start w:val="1"/>
      <w:numFmt w:val="bullet"/>
      <w:lvlText w:val=""/>
      <w:lvlJc w:val="left"/>
      <w:pPr>
        <w:ind w:left="6480" w:hanging="360"/>
      </w:pPr>
      <w:rPr>
        <w:rFonts w:ascii="Wingdings" w:hAnsi="Wingdings" w:hint="default"/>
      </w:rPr>
    </w:lvl>
  </w:abstractNum>
  <w:abstractNum w:abstractNumId="32" w15:restartNumberingAfterBreak="0">
    <w:nsid w:val="573731C8"/>
    <w:multiLevelType w:val="multilevel"/>
    <w:tmpl w:val="FA46087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872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DF1F7D"/>
    <w:multiLevelType w:val="hybridMultilevel"/>
    <w:tmpl w:val="68760860"/>
    <w:lvl w:ilvl="0" w:tplc="ABFC8224">
      <w:start w:val="1"/>
      <w:numFmt w:val="bullet"/>
      <w:lvlText w:val=""/>
      <w:lvlJc w:val="left"/>
      <w:pPr>
        <w:ind w:left="1440" w:hanging="360"/>
      </w:pPr>
      <w:rPr>
        <w:rFonts w:ascii="Symbol" w:hAnsi="Symbol"/>
      </w:rPr>
    </w:lvl>
    <w:lvl w:ilvl="1" w:tplc="05F0004E">
      <w:start w:val="1"/>
      <w:numFmt w:val="bullet"/>
      <w:lvlText w:val=""/>
      <w:lvlJc w:val="left"/>
      <w:pPr>
        <w:ind w:left="1440" w:hanging="360"/>
      </w:pPr>
      <w:rPr>
        <w:rFonts w:ascii="Symbol" w:hAnsi="Symbol"/>
      </w:rPr>
    </w:lvl>
    <w:lvl w:ilvl="2" w:tplc="03A62F3E">
      <w:start w:val="1"/>
      <w:numFmt w:val="bullet"/>
      <w:lvlText w:val=""/>
      <w:lvlJc w:val="left"/>
      <w:pPr>
        <w:ind w:left="1440" w:hanging="360"/>
      </w:pPr>
      <w:rPr>
        <w:rFonts w:ascii="Symbol" w:hAnsi="Symbol"/>
      </w:rPr>
    </w:lvl>
    <w:lvl w:ilvl="3" w:tplc="C6A0891C">
      <w:start w:val="1"/>
      <w:numFmt w:val="bullet"/>
      <w:lvlText w:val=""/>
      <w:lvlJc w:val="left"/>
      <w:pPr>
        <w:ind w:left="1440" w:hanging="360"/>
      </w:pPr>
      <w:rPr>
        <w:rFonts w:ascii="Symbol" w:hAnsi="Symbol"/>
      </w:rPr>
    </w:lvl>
    <w:lvl w:ilvl="4" w:tplc="685E6ADA">
      <w:start w:val="1"/>
      <w:numFmt w:val="bullet"/>
      <w:lvlText w:val=""/>
      <w:lvlJc w:val="left"/>
      <w:pPr>
        <w:ind w:left="1440" w:hanging="360"/>
      </w:pPr>
      <w:rPr>
        <w:rFonts w:ascii="Symbol" w:hAnsi="Symbol"/>
      </w:rPr>
    </w:lvl>
    <w:lvl w:ilvl="5" w:tplc="A55A014C">
      <w:start w:val="1"/>
      <w:numFmt w:val="bullet"/>
      <w:lvlText w:val=""/>
      <w:lvlJc w:val="left"/>
      <w:pPr>
        <w:ind w:left="1440" w:hanging="360"/>
      </w:pPr>
      <w:rPr>
        <w:rFonts w:ascii="Symbol" w:hAnsi="Symbol"/>
      </w:rPr>
    </w:lvl>
    <w:lvl w:ilvl="6" w:tplc="244A7DCC">
      <w:start w:val="1"/>
      <w:numFmt w:val="bullet"/>
      <w:lvlText w:val=""/>
      <w:lvlJc w:val="left"/>
      <w:pPr>
        <w:ind w:left="1440" w:hanging="360"/>
      </w:pPr>
      <w:rPr>
        <w:rFonts w:ascii="Symbol" w:hAnsi="Symbol"/>
      </w:rPr>
    </w:lvl>
    <w:lvl w:ilvl="7" w:tplc="61C43978">
      <w:start w:val="1"/>
      <w:numFmt w:val="bullet"/>
      <w:lvlText w:val=""/>
      <w:lvlJc w:val="left"/>
      <w:pPr>
        <w:ind w:left="1440" w:hanging="360"/>
      </w:pPr>
      <w:rPr>
        <w:rFonts w:ascii="Symbol" w:hAnsi="Symbol"/>
      </w:rPr>
    </w:lvl>
    <w:lvl w:ilvl="8" w:tplc="06CE7C44">
      <w:start w:val="1"/>
      <w:numFmt w:val="bullet"/>
      <w:lvlText w:val=""/>
      <w:lvlJc w:val="left"/>
      <w:pPr>
        <w:ind w:left="1440" w:hanging="360"/>
      </w:pPr>
      <w:rPr>
        <w:rFonts w:ascii="Symbol" w:hAnsi="Symbol"/>
      </w:rPr>
    </w:lvl>
  </w:abstractNum>
  <w:abstractNum w:abstractNumId="34" w15:restartNumberingAfterBreak="0">
    <w:nsid w:val="5D61132C"/>
    <w:multiLevelType w:val="hybridMultilevel"/>
    <w:tmpl w:val="7DF6A2AC"/>
    <w:lvl w:ilvl="0" w:tplc="2FF0658C">
      <w:start w:val="1"/>
      <w:numFmt w:val="bullet"/>
      <w:lvlText w:val=""/>
      <w:lvlJc w:val="left"/>
      <w:pPr>
        <w:ind w:left="720" w:hanging="360"/>
      </w:pPr>
      <w:rPr>
        <w:rFonts w:ascii="Symbol" w:hAnsi="Symbol"/>
      </w:rPr>
    </w:lvl>
    <w:lvl w:ilvl="1" w:tplc="3D58DE80">
      <w:start w:val="1"/>
      <w:numFmt w:val="bullet"/>
      <w:lvlText w:val=""/>
      <w:lvlJc w:val="left"/>
      <w:pPr>
        <w:ind w:left="720" w:hanging="360"/>
      </w:pPr>
      <w:rPr>
        <w:rFonts w:ascii="Symbol" w:hAnsi="Symbol"/>
      </w:rPr>
    </w:lvl>
    <w:lvl w:ilvl="2" w:tplc="69402EE6">
      <w:start w:val="1"/>
      <w:numFmt w:val="bullet"/>
      <w:lvlText w:val=""/>
      <w:lvlJc w:val="left"/>
      <w:pPr>
        <w:ind w:left="720" w:hanging="360"/>
      </w:pPr>
      <w:rPr>
        <w:rFonts w:ascii="Symbol" w:hAnsi="Symbol"/>
      </w:rPr>
    </w:lvl>
    <w:lvl w:ilvl="3" w:tplc="AC0026D6">
      <w:start w:val="1"/>
      <w:numFmt w:val="bullet"/>
      <w:lvlText w:val=""/>
      <w:lvlJc w:val="left"/>
      <w:pPr>
        <w:ind w:left="720" w:hanging="360"/>
      </w:pPr>
      <w:rPr>
        <w:rFonts w:ascii="Symbol" w:hAnsi="Symbol"/>
      </w:rPr>
    </w:lvl>
    <w:lvl w:ilvl="4" w:tplc="5A84FC74">
      <w:start w:val="1"/>
      <w:numFmt w:val="bullet"/>
      <w:lvlText w:val=""/>
      <w:lvlJc w:val="left"/>
      <w:pPr>
        <w:ind w:left="720" w:hanging="360"/>
      </w:pPr>
      <w:rPr>
        <w:rFonts w:ascii="Symbol" w:hAnsi="Symbol"/>
      </w:rPr>
    </w:lvl>
    <w:lvl w:ilvl="5" w:tplc="AC0CF556">
      <w:start w:val="1"/>
      <w:numFmt w:val="bullet"/>
      <w:lvlText w:val=""/>
      <w:lvlJc w:val="left"/>
      <w:pPr>
        <w:ind w:left="720" w:hanging="360"/>
      </w:pPr>
      <w:rPr>
        <w:rFonts w:ascii="Symbol" w:hAnsi="Symbol"/>
      </w:rPr>
    </w:lvl>
    <w:lvl w:ilvl="6" w:tplc="6DC813CA">
      <w:start w:val="1"/>
      <w:numFmt w:val="bullet"/>
      <w:lvlText w:val=""/>
      <w:lvlJc w:val="left"/>
      <w:pPr>
        <w:ind w:left="720" w:hanging="360"/>
      </w:pPr>
      <w:rPr>
        <w:rFonts w:ascii="Symbol" w:hAnsi="Symbol"/>
      </w:rPr>
    </w:lvl>
    <w:lvl w:ilvl="7" w:tplc="A7609E3E">
      <w:start w:val="1"/>
      <w:numFmt w:val="bullet"/>
      <w:lvlText w:val=""/>
      <w:lvlJc w:val="left"/>
      <w:pPr>
        <w:ind w:left="720" w:hanging="360"/>
      </w:pPr>
      <w:rPr>
        <w:rFonts w:ascii="Symbol" w:hAnsi="Symbol"/>
      </w:rPr>
    </w:lvl>
    <w:lvl w:ilvl="8" w:tplc="2A2E6BA4">
      <w:start w:val="1"/>
      <w:numFmt w:val="bullet"/>
      <w:lvlText w:val=""/>
      <w:lvlJc w:val="left"/>
      <w:pPr>
        <w:ind w:left="720" w:hanging="360"/>
      </w:pPr>
      <w:rPr>
        <w:rFonts w:ascii="Symbol" w:hAnsi="Symbol"/>
      </w:rPr>
    </w:lvl>
  </w:abstractNum>
  <w:abstractNum w:abstractNumId="35" w15:restartNumberingAfterBreak="0">
    <w:nsid w:val="5DF36C39"/>
    <w:multiLevelType w:val="hybridMultilevel"/>
    <w:tmpl w:val="B0FA19A0"/>
    <w:lvl w:ilvl="0" w:tplc="6CF2177E">
      <w:start w:val="31"/>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D61ECF"/>
    <w:multiLevelType w:val="hybridMultilevel"/>
    <w:tmpl w:val="AC8E6D34"/>
    <w:lvl w:ilvl="0" w:tplc="4294B9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33C50E5"/>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8" w15:restartNumberingAfterBreak="0">
    <w:nsid w:val="65AE1930"/>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65C16138"/>
    <w:multiLevelType w:val="hybridMultilevel"/>
    <w:tmpl w:val="DC0A0508"/>
    <w:lvl w:ilvl="0" w:tplc="18090005">
      <w:start w:val="1"/>
      <w:numFmt w:val="bullet"/>
      <w:lvlText w:val=""/>
      <w:lvlJc w:val="left"/>
      <w:pPr>
        <w:ind w:left="1037" w:hanging="360"/>
      </w:pPr>
      <w:rPr>
        <w:rFonts w:ascii="Wingdings" w:hAnsi="Wingdings" w:hint="default"/>
      </w:rPr>
    </w:lvl>
    <w:lvl w:ilvl="1" w:tplc="18090003" w:tentative="1">
      <w:start w:val="1"/>
      <w:numFmt w:val="bullet"/>
      <w:lvlText w:val="o"/>
      <w:lvlJc w:val="left"/>
      <w:pPr>
        <w:ind w:left="1757" w:hanging="360"/>
      </w:pPr>
      <w:rPr>
        <w:rFonts w:ascii="Courier New" w:hAnsi="Courier New" w:cs="Courier New" w:hint="default"/>
      </w:rPr>
    </w:lvl>
    <w:lvl w:ilvl="2" w:tplc="18090005" w:tentative="1">
      <w:start w:val="1"/>
      <w:numFmt w:val="bullet"/>
      <w:lvlText w:val=""/>
      <w:lvlJc w:val="left"/>
      <w:pPr>
        <w:ind w:left="2477" w:hanging="360"/>
      </w:pPr>
      <w:rPr>
        <w:rFonts w:ascii="Wingdings" w:hAnsi="Wingdings" w:hint="default"/>
      </w:rPr>
    </w:lvl>
    <w:lvl w:ilvl="3" w:tplc="18090001" w:tentative="1">
      <w:start w:val="1"/>
      <w:numFmt w:val="bullet"/>
      <w:lvlText w:val=""/>
      <w:lvlJc w:val="left"/>
      <w:pPr>
        <w:ind w:left="3197" w:hanging="360"/>
      </w:pPr>
      <w:rPr>
        <w:rFonts w:ascii="Symbol" w:hAnsi="Symbol" w:hint="default"/>
      </w:rPr>
    </w:lvl>
    <w:lvl w:ilvl="4" w:tplc="18090003" w:tentative="1">
      <w:start w:val="1"/>
      <w:numFmt w:val="bullet"/>
      <w:lvlText w:val="o"/>
      <w:lvlJc w:val="left"/>
      <w:pPr>
        <w:ind w:left="3917" w:hanging="360"/>
      </w:pPr>
      <w:rPr>
        <w:rFonts w:ascii="Courier New" w:hAnsi="Courier New" w:cs="Courier New" w:hint="default"/>
      </w:rPr>
    </w:lvl>
    <w:lvl w:ilvl="5" w:tplc="18090005" w:tentative="1">
      <w:start w:val="1"/>
      <w:numFmt w:val="bullet"/>
      <w:lvlText w:val=""/>
      <w:lvlJc w:val="left"/>
      <w:pPr>
        <w:ind w:left="4637" w:hanging="360"/>
      </w:pPr>
      <w:rPr>
        <w:rFonts w:ascii="Wingdings" w:hAnsi="Wingdings" w:hint="default"/>
      </w:rPr>
    </w:lvl>
    <w:lvl w:ilvl="6" w:tplc="18090001" w:tentative="1">
      <w:start w:val="1"/>
      <w:numFmt w:val="bullet"/>
      <w:lvlText w:val=""/>
      <w:lvlJc w:val="left"/>
      <w:pPr>
        <w:ind w:left="5357" w:hanging="360"/>
      </w:pPr>
      <w:rPr>
        <w:rFonts w:ascii="Symbol" w:hAnsi="Symbol" w:hint="default"/>
      </w:rPr>
    </w:lvl>
    <w:lvl w:ilvl="7" w:tplc="18090003" w:tentative="1">
      <w:start w:val="1"/>
      <w:numFmt w:val="bullet"/>
      <w:lvlText w:val="o"/>
      <w:lvlJc w:val="left"/>
      <w:pPr>
        <w:ind w:left="6077" w:hanging="360"/>
      </w:pPr>
      <w:rPr>
        <w:rFonts w:ascii="Courier New" w:hAnsi="Courier New" w:cs="Courier New" w:hint="default"/>
      </w:rPr>
    </w:lvl>
    <w:lvl w:ilvl="8" w:tplc="18090005" w:tentative="1">
      <w:start w:val="1"/>
      <w:numFmt w:val="bullet"/>
      <w:lvlText w:val=""/>
      <w:lvlJc w:val="left"/>
      <w:pPr>
        <w:ind w:left="6797" w:hanging="360"/>
      </w:pPr>
      <w:rPr>
        <w:rFonts w:ascii="Wingdings" w:hAnsi="Wingdings" w:hint="default"/>
      </w:rPr>
    </w:lvl>
  </w:abstractNum>
  <w:abstractNum w:abstractNumId="40" w15:restartNumberingAfterBreak="0">
    <w:nsid w:val="767F16C3"/>
    <w:multiLevelType w:val="hybridMultilevel"/>
    <w:tmpl w:val="FFFFFFFF"/>
    <w:lvl w:ilvl="0" w:tplc="FFFFFFFF">
      <w:start w:val="1"/>
      <w:numFmt w:val="bullet"/>
      <w:lvlText w:val=""/>
      <w:lvlJc w:val="left"/>
      <w:pPr>
        <w:ind w:left="720" w:hanging="360"/>
      </w:pPr>
      <w:rPr>
        <w:rFonts w:ascii="Symbol" w:hAnsi="Symbol" w:hint="default"/>
      </w:rPr>
    </w:lvl>
    <w:lvl w:ilvl="1" w:tplc="D5D60D5E">
      <w:start w:val="1"/>
      <w:numFmt w:val="bullet"/>
      <w:lvlText w:val="o"/>
      <w:lvlJc w:val="left"/>
      <w:pPr>
        <w:ind w:left="1440" w:hanging="360"/>
      </w:pPr>
      <w:rPr>
        <w:rFonts w:ascii="Courier New" w:hAnsi="Courier New" w:hint="default"/>
      </w:rPr>
    </w:lvl>
    <w:lvl w:ilvl="2" w:tplc="362EE67E">
      <w:start w:val="1"/>
      <w:numFmt w:val="bullet"/>
      <w:lvlText w:val=""/>
      <w:lvlJc w:val="left"/>
      <w:pPr>
        <w:ind w:left="2160" w:hanging="360"/>
      </w:pPr>
      <w:rPr>
        <w:rFonts w:ascii="Wingdings" w:hAnsi="Wingdings" w:hint="default"/>
      </w:rPr>
    </w:lvl>
    <w:lvl w:ilvl="3" w:tplc="267E0864">
      <w:start w:val="1"/>
      <w:numFmt w:val="bullet"/>
      <w:lvlText w:val=""/>
      <w:lvlJc w:val="left"/>
      <w:pPr>
        <w:ind w:left="2880" w:hanging="360"/>
      </w:pPr>
      <w:rPr>
        <w:rFonts w:ascii="Symbol" w:hAnsi="Symbol" w:hint="default"/>
      </w:rPr>
    </w:lvl>
    <w:lvl w:ilvl="4" w:tplc="42C4B648">
      <w:start w:val="1"/>
      <w:numFmt w:val="bullet"/>
      <w:lvlText w:val="o"/>
      <w:lvlJc w:val="left"/>
      <w:pPr>
        <w:ind w:left="3600" w:hanging="360"/>
      </w:pPr>
      <w:rPr>
        <w:rFonts w:ascii="Courier New" w:hAnsi="Courier New" w:hint="default"/>
      </w:rPr>
    </w:lvl>
    <w:lvl w:ilvl="5" w:tplc="81C4DC72">
      <w:start w:val="1"/>
      <w:numFmt w:val="bullet"/>
      <w:lvlText w:val=""/>
      <w:lvlJc w:val="left"/>
      <w:pPr>
        <w:ind w:left="4320" w:hanging="360"/>
      </w:pPr>
      <w:rPr>
        <w:rFonts w:ascii="Wingdings" w:hAnsi="Wingdings" w:hint="default"/>
      </w:rPr>
    </w:lvl>
    <w:lvl w:ilvl="6" w:tplc="C544354E">
      <w:start w:val="1"/>
      <w:numFmt w:val="bullet"/>
      <w:lvlText w:val=""/>
      <w:lvlJc w:val="left"/>
      <w:pPr>
        <w:ind w:left="5040" w:hanging="360"/>
      </w:pPr>
      <w:rPr>
        <w:rFonts w:ascii="Symbol" w:hAnsi="Symbol" w:hint="default"/>
      </w:rPr>
    </w:lvl>
    <w:lvl w:ilvl="7" w:tplc="7F4C1132">
      <w:start w:val="1"/>
      <w:numFmt w:val="bullet"/>
      <w:lvlText w:val="o"/>
      <w:lvlJc w:val="left"/>
      <w:pPr>
        <w:ind w:left="5760" w:hanging="360"/>
      </w:pPr>
      <w:rPr>
        <w:rFonts w:ascii="Courier New" w:hAnsi="Courier New" w:hint="default"/>
      </w:rPr>
    </w:lvl>
    <w:lvl w:ilvl="8" w:tplc="F7D08B4E">
      <w:start w:val="1"/>
      <w:numFmt w:val="bullet"/>
      <w:lvlText w:val=""/>
      <w:lvlJc w:val="left"/>
      <w:pPr>
        <w:ind w:left="6480" w:hanging="360"/>
      </w:pPr>
      <w:rPr>
        <w:rFonts w:ascii="Wingdings" w:hAnsi="Wingdings" w:hint="default"/>
      </w:rPr>
    </w:lvl>
  </w:abstractNum>
  <w:abstractNum w:abstractNumId="41" w15:restartNumberingAfterBreak="0">
    <w:nsid w:val="795A3677"/>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7B9E38E8"/>
    <w:multiLevelType w:val="hybridMultilevel"/>
    <w:tmpl w:val="B96E3C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E597B24"/>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E666D54"/>
    <w:multiLevelType w:val="hybridMultilevel"/>
    <w:tmpl w:val="94CAA9C8"/>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E8759A9"/>
    <w:multiLevelType w:val="hybridMultilevel"/>
    <w:tmpl w:val="E2B270C2"/>
    <w:lvl w:ilvl="0" w:tplc="85B611C4">
      <w:start w:val="1"/>
      <w:numFmt w:val="bullet"/>
      <w:pStyle w:val="Tickbullets"/>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29"/>
  </w:num>
  <w:num w:numId="4">
    <w:abstractNumId w:val="9"/>
  </w:num>
  <w:num w:numId="5">
    <w:abstractNumId w:val="35"/>
  </w:num>
  <w:num w:numId="6">
    <w:abstractNumId w:val="28"/>
  </w:num>
  <w:num w:numId="7">
    <w:abstractNumId w:val="25"/>
  </w:num>
  <w:num w:numId="8">
    <w:abstractNumId w:val="40"/>
  </w:num>
  <w:num w:numId="9">
    <w:abstractNumId w:val="3"/>
  </w:num>
  <w:num w:numId="10">
    <w:abstractNumId w:val="19"/>
  </w:num>
  <w:num w:numId="11">
    <w:abstractNumId w:val="6"/>
  </w:num>
  <w:num w:numId="12">
    <w:abstractNumId w:val="1"/>
  </w:num>
  <w:num w:numId="13">
    <w:abstractNumId w:val="23"/>
  </w:num>
  <w:num w:numId="14">
    <w:abstractNumId w:val="10"/>
  </w:num>
  <w:num w:numId="15">
    <w:abstractNumId w:val="30"/>
  </w:num>
  <w:num w:numId="16">
    <w:abstractNumId w:val="36"/>
  </w:num>
  <w:num w:numId="17">
    <w:abstractNumId w:val="27"/>
  </w:num>
  <w:num w:numId="18">
    <w:abstractNumId w:val="16"/>
  </w:num>
  <w:num w:numId="19">
    <w:abstractNumId w:val="2"/>
  </w:num>
  <w:num w:numId="20">
    <w:abstractNumId w:val="17"/>
  </w:num>
  <w:num w:numId="21">
    <w:abstractNumId w:val="41"/>
  </w:num>
  <w:num w:numId="22">
    <w:abstractNumId w:val="18"/>
  </w:num>
  <w:num w:numId="23">
    <w:abstractNumId w:val="37"/>
  </w:num>
  <w:num w:numId="24">
    <w:abstractNumId w:val="13"/>
  </w:num>
  <w:num w:numId="25">
    <w:abstractNumId w:val="43"/>
  </w:num>
  <w:num w:numId="26">
    <w:abstractNumId w:val="26"/>
  </w:num>
  <w:num w:numId="27">
    <w:abstractNumId w:val="8"/>
  </w:num>
  <w:num w:numId="28">
    <w:abstractNumId w:val="38"/>
  </w:num>
  <w:num w:numId="29">
    <w:abstractNumId w:val="4"/>
  </w:num>
  <w:num w:numId="30">
    <w:abstractNumId w:val="15"/>
  </w:num>
  <w:num w:numId="31">
    <w:abstractNumId w:val="42"/>
  </w:num>
  <w:num w:numId="32">
    <w:abstractNumId w:val="22"/>
  </w:num>
  <w:num w:numId="33">
    <w:abstractNumId w:val="44"/>
  </w:num>
  <w:num w:numId="34">
    <w:abstractNumId w:val="24"/>
  </w:num>
  <w:num w:numId="35">
    <w:abstractNumId w:val="31"/>
  </w:num>
  <w:num w:numId="36">
    <w:abstractNumId w:val="21"/>
  </w:num>
  <w:num w:numId="37">
    <w:abstractNumId w:val="45"/>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20"/>
  </w:num>
  <w:num w:numId="48">
    <w:abstractNumId w:val="11"/>
  </w:num>
  <w:num w:numId="49">
    <w:abstractNumId w:val="21"/>
  </w:num>
  <w:num w:numId="50">
    <w:abstractNumId w:val="45"/>
  </w:num>
  <w:num w:numId="51">
    <w:abstractNumId w:val="5"/>
  </w:num>
  <w:num w:numId="52">
    <w:abstractNumId w:val="12"/>
  </w:num>
  <w:num w:numId="53">
    <w:abstractNumId w:val="34"/>
  </w:num>
  <w:num w:numId="54">
    <w:abstractNumId w:val="14"/>
  </w:num>
  <w:num w:numId="55">
    <w:abstractNumId w:val="33"/>
  </w:num>
  <w:num w:numId="56">
    <w:abstractNumId w:val="0"/>
  </w:num>
  <w:num w:numId="57">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97" style="mso-position-horizontal-relative:margin;mso-width-relative:margin;mso-height-relative:margin;v-text-anchor:middle" fillcolor="none [664]" stroke="f">
      <v:fill color="none [664]"/>
      <v:stroke weight="1pt" on="f"/>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docVars>
    <w:docVar w:name="DocStatus" w:val="Green"/>
    <w:docVar w:name="LW_CORRIGENDUM" w:val="&lt;UNUSED&gt;"/>
    <w:docVar w:name="LW_COVERPAGE_EXISTS" w:val="True"/>
    <w:docVar w:name="LW_COVERPAGE_GUID" w:val="2FD198D6-49C4-461A-B334-67B2BBCB6486"/>
    <w:docVar w:name="LW_COVERPAGE_TYPE" w:val="1"/>
    <w:docVar w:name="LW_CROSSREFERENCE" w:val="&lt;UNUSED&gt;"/>
    <w:docVar w:name="LW_DocType" w:val="NORMAL"/>
    <w:docVar w:name="LW_EMISSION" w:val="11.10.2023"/>
    <w:docVar w:name="LW_EMISSION_ISODATE" w:val="2023-10-11"/>
    <w:docVar w:name="LW_EMISSION_LOCATION" w:val="BRX"/>
    <w:docVar w:name="LW_EMISSION_PREFIX" w:val="Bruxelles, le "/>
    <w:docVar w:name="LW_EMISSION_SUFFIX" w:val=" "/>
    <w:docVar w:name="LW_ID_DOCTYPE_NONLW" w:val="CP-014"/>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3) 57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évolution démographique en Europe: une panoplie d’instruments d’action"/>
    <w:docVar w:name="LW_TYPE.DOC.CP" w:val="COMMUNICATION DE LA COMMISSION AU PARLEMENT EUROPÉEN, AU CONSEIL, AU COMITÉ ÉCONOMIQUE ET SOCIAL EUROPÉEN ET AU COMITÉ DES RÉGIONS"/>
    <w:docVar w:name="LW_TYPE.DOC.CP.USERTEXT" w:val="&lt;EMPTY&gt;"/>
    <w:docVar w:name="LwApiVersions" w:val="LW4CoDe 1.23.2.0; LW 8.0, Build 20211117"/>
  </w:docVars>
  <w:rsids>
    <w:rsidRoot w:val="00B54742"/>
    <w:rsid w:val="0000011F"/>
    <w:rsid w:val="000003EF"/>
    <w:rsid w:val="00000454"/>
    <w:rsid w:val="00000646"/>
    <w:rsid w:val="00000783"/>
    <w:rsid w:val="000009D2"/>
    <w:rsid w:val="00000B14"/>
    <w:rsid w:val="00000CC2"/>
    <w:rsid w:val="00000EDE"/>
    <w:rsid w:val="00000F63"/>
    <w:rsid w:val="00000FBB"/>
    <w:rsid w:val="000010E4"/>
    <w:rsid w:val="000011B3"/>
    <w:rsid w:val="00001387"/>
    <w:rsid w:val="00001790"/>
    <w:rsid w:val="000017EB"/>
    <w:rsid w:val="000018FC"/>
    <w:rsid w:val="00001B34"/>
    <w:rsid w:val="00001BDF"/>
    <w:rsid w:val="00001D7E"/>
    <w:rsid w:val="00002017"/>
    <w:rsid w:val="0000208D"/>
    <w:rsid w:val="000020D8"/>
    <w:rsid w:val="000020F3"/>
    <w:rsid w:val="00002242"/>
    <w:rsid w:val="0000233F"/>
    <w:rsid w:val="0000248D"/>
    <w:rsid w:val="00002881"/>
    <w:rsid w:val="00003252"/>
    <w:rsid w:val="00003322"/>
    <w:rsid w:val="000034B6"/>
    <w:rsid w:val="000034C5"/>
    <w:rsid w:val="00003547"/>
    <w:rsid w:val="000039C2"/>
    <w:rsid w:val="00003AA9"/>
    <w:rsid w:val="00003BAD"/>
    <w:rsid w:val="00003C06"/>
    <w:rsid w:val="00003DD9"/>
    <w:rsid w:val="00003E4C"/>
    <w:rsid w:val="00003E89"/>
    <w:rsid w:val="000042A8"/>
    <w:rsid w:val="00004498"/>
    <w:rsid w:val="000046DF"/>
    <w:rsid w:val="00004780"/>
    <w:rsid w:val="000047C8"/>
    <w:rsid w:val="000048D4"/>
    <w:rsid w:val="00004A7B"/>
    <w:rsid w:val="00004C50"/>
    <w:rsid w:val="00004C6D"/>
    <w:rsid w:val="00004DA1"/>
    <w:rsid w:val="00004DC1"/>
    <w:rsid w:val="000050F6"/>
    <w:rsid w:val="00005143"/>
    <w:rsid w:val="00005147"/>
    <w:rsid w:val="00005209"/>
    <w:rsid w:val="000052C2"/>
    <w:rsid w:val="000052FD"/>
    <w:rsid w:val="00005356"/>
    <w:rsid w:val="000055F5"/>
    <w:rsid w:val="00005798"/>
    <w:rsid w:val="000057AE"/>
    <w:rsid w:val="0000594F"/>
    <w:rsid w:val="00005A68"/>
    <w:rsid w:val="00005EDF"/>
    <w:rsid w:val="00005F72"/>
    <w:rsid w:val="000060D7"/>
    <w:rsid w:val="00006112"/>
    <w:rsid w:val="0000632D"/>
    <w:rsid w:val="0000661E"/>
    <w:rsid w:val="000069F2"/>
    <w:rsid w:val="00006B42"/>
    <w:rsid w:val="00006C50"/>
    <w:rsid w:val="00006EEC"/>
    <w:rsid w:val="000071C8"/>
    <w:rsid w:val="0000721B"/>
    <w:rsid w:val="00007625"/>
    <w:rsid w:val="000076A4"/>
    <w:rsid w:val="00007734"/>
    <w:rsid w:val="0000777C"/>
    <w:rsid w:val="000077CD"/>
    <w:rsid w:val="00007C72"/>
    <w:rsid w:val="00007CB5"/>
    <w:rsid w:val="00007D76"/>
    <w:rsid w:val="00007E1E"/>
    <w:rsid w:val="00007E3D"/>
    <w:rsid w:val="00010115"/>
    <w:rsid w:val="000101C2"/>
    <w:rsid w:val="00010303"/>
    <w:rsid w:val="0001032B"/>
    <w:rsid w:val="000103E2"/>
    <w:rsid w:val="0001061D"/>
    <w:rsid w:val="0001079D"/>
    <w:rsid w:val="000108D4"/>
    <w:rsid w:val="000109E2"/>
    <w:rsid w:val="00010AA4"/>
    <w:rsid w:val="00010BB3"/>
    <w:rsid w:val="00010C39"/>
    <w:rsid w:val="00010E39"/>
    <w:rsid w:val="00010EFC"/>
    <w:rsid w:val="00011064"/>
    <w:rsid w:val="0001106E"/>
    <w:rsid w:val="0001163F"/>
    <w:rsid w:val="00011670"/>
    <w:rsid w:val="00011882"/>
    <w:rsid w:val="00011A40"/>
    <w:rsid w:val="00011C6A"/>
    <w:rsid w:val="00011C86"/>
    <w:rsid w:val="00011D27"/>
    <w:rsid w:val="00011E57"/>
    <w:rsid w:val="00011EA3"/>
    <w:rsid w:val="0001205D"/>
    <w:rsid w:val="0001257A"/>
    <w:rsid w:val="000126FA"/>
    <w:rsid w:val="000127CF"/>
    <w:rsid w:val="0001297A"/>
    <w:rsid w:val="00012A4B"/>
    <w:rsid w:val="00012A92"/>
    <w:rsid w:val="00012B66"/>
    <w:rsid w:val="00012B70"/>
    <w:rsid w:val="00012D3D"/>
    <w:rsid w:val="000134D9"/>
    <w:rsid w:val="00013C83"/>
    <w:rsid w:val="00013CFD"/>
    <w:rsid w:val="00013D87"/>
    <w:rsid w:val="00013DB6"/>
    <w:rsid w:val="00013EC9"/>
    <w:rsid w:val="00013EE7"/>
    <w:rsid w:val="00014166"/>
    <w:rsid w:val="0001447F"/>
    <w:rsid w:val="000146F7"/>
    <w:rsid w:val="000147C5"/>
    <w:rsid w:val="000148AD"/>
    <w:rsid w:val="00014A28"/>
    <w:rsid w:val="00014CD9"/>
    <w:rsid w:val="00014D7F"/>
    <w:rsid w:val="00014DCD"/>
    <w:rsid w:val="00014E2C"/>
    <w:rsid w:val="00015166"/>
    <w:rsid w:val="000154C2"/>
    <w:rsid w:val="00015728"/>
    <w:rsid w:val="00015A3A"/>
    <w:rsid w:val="00015E63"/>
    <w:rsid w:val="00015F12"/>
    <w:rsid w:val="00016004"/>
    <w:rsid w:val="000163A2"/>
    <w:rsid w:val="0001652B"/>
    <w:rsid w:val="0001659A"/>
    <w:rsid w:val="00016641"/>
    <w:rsid w:val="0001670A"/>
    <w:rsid w:val="0001672E"/>
    <w:rsid w:val="00016731"/>
    <w:rsid w:val="0001686F"/>
    <w:rsid w:val="0001687A"/>
    <w:rsid w:val="00016894"/>
    <w:rsid w:val="0001697F"/>
    <w:rsid w:val="00016B9F"/>
    <w:rsid w:val="00016CE8"/>
    <w:rsid w:val="00016D68"/>
    <w:rsid w:val="00016E04"/>
    <w:rsid w:val="00016E8D"/>
    <w:rsid w:val="0001710E"/>
    <w:rsid w:val="00017193"/>
    <w:rsid w:val="000173BA"/>
    <w:rsid w:val="000175E3"/>
    <w:rsid w:val="000178E4"/>
    <w:rsid w:val="00017C48"/>
    <w:rsid w:val="00020093"/>
    <w:rsid w:val="0002019B"/>
    <w:rsid w:val="000203D8"/>
    <w:rsid w:val="000205D9"/>
    <w:rsid w:val="00020702"/>
    <w:rsid w:val="0002076E"/>
    <w:rsid w:val="00020881"/>
    <w:rsid w:val="00020A8D"/>
    <w:rsid w:val="00020E35"/>
    <w:rsid w:val="00020FA8"/>
    <w:rsid w:val="00020FC7"/>
    <w:rsid w:val="00020FD4"/>
    <w:rsid w:val="00020FEA"/>
    <w:rsid w:val="0002100C"/>
    <w:rsid w:val="00021161"/>
    <w:rsid w:val="00021307"/>
    <w:rsid w:val="00021333"/>
    <w:rsid w:val="0002138C"/>
    <w:rsid w:val="00021737"/>
    <w:rsid w:val="00021779"/>
    <w:rsid w:val="00021818"/>
    <w:rsid w:val="0002193D"/>
    <w:rsid w:val="00021CF4"/>
    <w:rsid w:val="00021F16"/>
    <w:rsid w:val="00021F91"/>
    <w:rsid w:val="00022050"/>
    <w:rsid w:val="00022135"/>
    <w:rsid w:val="0002283D"/>
    <w:rsid w:val="00022965"/>
    <w:rsid w:val="000229BB"/>
    <w:rsid w:val="00022C96"/>
    <w:rsid w:val="00022D1F"/>
    <w:rsid w:val="00022D53"/>
    <w:rsid w:val="00023053"/>
    <w:rsid w:val="000230D9"/>
    <w:rsid w:val="00023100"/>
    <w:rsid w:val="000231BB"/>
    <w:rsid w:val="00023263"/>
    <w:rsid w:val="0002326F"/>
    <w:rsid w:val="000233AA"/>
    <w:rsid w:val="0002340A"/>
    <w:rsid w:val="0002357A"/>
    <w:rsid w:val="0002369E"/>
    <w:rsid w:val="0002372C"/>
    <w:rsid w:val="000239A2"/>
    <w:rsid w:val="00023AB8"/>
    <w:rsid w:val="00023C85"/>
    <w:rsid w:val="00023CB2"/>
    <w:rsid w:val="00023CF2"/>
    <w:rsid w:val="00023DDF"/>
    <w:rsid w:val="00023FBF"/>
    <w:rsid w:val="00024061"/>
    <w:rsid w:val="00024139"/>
    <w:rsid w:val="00024344"/>
    <w:rsid w:val="0002444A"/>
    <w:rsid w:val="0002449F"/>
    <w:rsid w:val="000245F0"/>
    <w:rsid w:val="00024673"/>
    <w:rsid w:val="0002468D"/>
    <w:rsid w:val="00024946"/>
    <w:rsid w:val="00024A1C"/>
    <w:rsid w:val="00024C3C"/>
    <w:rsid w:val="00024CC2"/>
    <w:rsid w:val="00024E29"/>
    <w:rsid w:val="0002500E"/>
    <w:rsid w:val="0002508C"/>
    <w:rsid w:val="000250D5"/>
    <w:rsid w:val="000251D6"/>
    <w:rsid w:val="0002546C"/>
    <w:rsid w:val="0002560A"/>
    <w:rsid w:val="00025BB3"/>
    <w:rsid w:val="00025CCC"/>
    <w:rsid w:val="00025EAC"/>
    <w:rsid w:val="00025F78"/>
    <w:rsid w:val="000261EE"/>
    <w:rsid w:val="000263A9"/>
    <w:rsid w:val="000265D9"/>
    <w:rsid w:val="00026745"/>
    <w:rsid w:val="00026763"/>
    <w:rsid w:val="00026833"/>
    <w:rsid w:val="00026951"/>
    <w:rsid w:val="00026ABC"/>
    <w:rsid w:val="0002710D"/>
    <w:rsid w:val="0002725C"/>
    <w:rsid w:val="000272ED"/>
    <w:rsid w:val="00027714"/>
    <w:rsid w:val="000279EC"/>
    <w:rsid w:val="00027C8F"/>
    <w:rsid w:val="00027CA1"/>
    <w:rsid w:val="00027E17"/>
    <w:rsid w:val="00027E46"/>
    <w:rsid w:val="00030121"/>
    <w:rsid w:val="00030245"/>
    <w:rsid w:val="000302B0"/>
    <w:rsid w:val="000302DF"/>
    <w:rsid w:val="000302FE"/>
    <w:rsid w:val="0003037B"/>
    <w:rsid w:val="000303B3"/>
    <w:rsid w:val="00030699"/>
    <w:rsid w:val="0003073C"/>
    <w:rsid w:val="000307BC"/>
    <w:rsid w:val="00030911"/>
    <w:rsid w:val="00030A3F"/>
    <w:rsid w:val="00030CCB"/>
    <w:rsid w:val="00030CD8"/>
    <w:rsid w:val="00030E46"/>
    <w:rsid w:val="0003107E"/>
    <w:rsid w:val="0003124C"/>
    <w:rsid w:val="00031592"/>
    <w:rsid w:val="00031593"/>
    <w:rsid w:val="00031882"/>
    <w:rsid w:val="000318A1"/>
    <w:rsid w:val="00031A4E"/>
    <w:rsid w:val="00031A8C"/>
    <w:rsid w:val="00031A98"/>
    <w:rsid w:val="00031B82"/>
    <w:rsid w:val="00031BE6"/>
    <w:rsid w:val="00031DE3"/>
    <w:rsid w:val="00031F0D"/>
    <w:rsid w:val="00031F26"/>
    <w:rsid w:val="0003213D"/>
    <w:rsid w:val="00032187"/>
    <w:rsid w:val="00032378"/>
    <w:rsid w:val="0003254B"/>
    <w:rsid w:val="00032713"/>
    <w:rsid w:val="000329A1"/>
    <w:rsid w:val="00032A51"/>
    <w:rsid w:val="00032B33"/>
    <w:rsid w:val="00032BF6"/>
    <w:rsid w:val="00032C87"/>
    <w:rsid w:val="00032F0D"/>
    <w:rsid w:val="00032FFD"/>
    <w:rsid w:val="000336C7"/>
    <w:rsid w:val="0003379F"/>
    <w:rsid w:val="000339B4"/>
    <w:rsid w:val="00033CB5"/>
    <w:rsid w:val="00033E1A"/>
    <w:rsid w:val="00033E68"/>
    <w:rsid w:val="000340C2"/>
    <w:rsid w:val="00034121"/>
    <w:rsid w:val="000342B3"/>
    <w:rsid w:val="00034356"/>
    <w:rsid w:val="00034392"/>
    <w:rsid w:val="000343BC"/>
    <w:rsid w:val="00034582"/>
    <w:rsid w:val="000345C3"/>
    <w:rsid w:val="00034953"/>
    <w:rsid w:val="00034B87"/>
    <w:rsid w:val="00034C73"/>
    <w:rsid w:val="00034C7C"/>
    <w:rsid w:val="000352D9"/>
    <w:rsid w:val="00035308"/>
    <w:rsid w:val="00035566"/>
    <w:rsid w:val="000357E7"/>
    <w:rsid w:val="0003589A"/>
    <w:rsid w:val="00035B7D"/>
    <w:rsid w:val="00035C4E"/>
    <w:rsid w:val="00035C95"/>
    <w:rsid w:val="00035E8D"/>
    <w:rsid w:val="00036047"/>
    <w:rsid w:val="0003607B"/>
    <w:rsid w:val="00036225"/>
    <w:rsid w:val="00036592"/>
    <w:rsid w:val="00036642"/>
    <w:rsid w:val="0003678A"/>
    <w:rsid w:val="0003696C"/>
    <w:rsid w:val="00036FB6"/>
    <w:rsid w:val="000370EE"/>
    <w:rsid w:val="00037304"/>
    <w:rsid w:val="000373AA"/>
    <w:rsid w:val="000373AE"/>
    <w:rsid w:val="000374B6"/>
    <w:rsid w:val="000375EE"/>
    <w:rsid w:val="00037710"/>
    <w:rsid w:val="0003779D"/>
    <w:rsid w:val="00037A81"/>
    <w:rsid w:val="00037AB0"/>
    <w:rsid w:val="00037BC7"/>
    <w:rsid w:val="00037BD9"/>
    <w:rsid w:val="00037E57"/>
    <w:rsid w:val="00037F41"/>
    <w:rsid w:val="00037F43"/>
    <w:rsid w:val="00037F4C"/>
    <w:rsid w:val="00040045"/>
    <w:rsid w:val="0004008C"/>
    <w:rsid w:val="0004012A"/>
    <w:rsid w:val="0004036F"/>
    <w:rsid w:val="0004048F"/>
    <w:rsid w:val="000405C0"/>
    <w:rsid w:val="00040A69"/>
    <w:rsid w:val="00040A99"/>
    <w:rsid w:val="00040C39"/>
    <w:rsid w:val="00040D85"/>
    <w:rsid w:val="00040E9D"/>
    <w:rsid w:val="00041189"/>
    <w:rsid w:val="000411D1"/>
    <w:rsid w:val="0004125B"/>
    <w:rsid w:val="000415DD"/>
    <w:rsid w:val="00041943"/>
    <w:rsid w:val="00041AFB"/>
    <w:rsid w:val="00041ED7"/>
    <w:rsid w:val="00041F7E"/>
    <w:rsid w:val="000420E4"/>
    <w:rsid w:val="000421AA"/>
    <w:rsid w:val="000421CA"/>
    <w:rsid w:val="00042283"/>
    <w:rsid w:val="000423F7"/>
    <w:rsid w:val="0004284E"/>
    <w:rsid w:val="00042924"/>
    <w:rsid w:val="0004299A"/>
    <w:rsid w:val="000429B8"/>
    <w:rsid w:val="00042F8E"/>
    <w:rsid w:val="00043003"/>
    <w:rsid w:val="000430CE"/>
    <w:rsid w:val="0004336D"/>
    <w:rsid w:val="0004348A"/>
    <w:rsid w:val="00043614"/>
    <w:rsid w:val="00043701"/>
    <w:rsid w:val="00043952"/>
    <w:rsid w:val="000439D2"/>
    <w:rsid w:val="00043C32"/>
    <w:rsid w:val="00043EB4"/>
    <w:rsid w:val="00043F86"/>
    <w:rsid w:val="00044002"/>
    <w:rsid w:val="000441F8"/>
    <w:rsid w:val="0004429F"/>
    <w:rsid w:val="00044442"/>
    <w:rsid w:val="000445AA"/>
    <w:rsid w:val="00044803"/>
    <w:rsid w:val="00044937"/>
    <w:rsid w:val="00044939"/>
    <w:rsid w:val="00044A24"/>
    <w:rsid w:val="00044DE9"/>
    <w:rsid w:val="00045000"/>
    <w:rsid w:val="0004501C"/>
    <w:rsid w:val="00045084"/>
    <w:rsid w:val="000450BB"/>
    <w:rsid w:val="00045255"/>
    <w:rsid w:val="00045569"/>
    <w:rsid w:val="000455E6"/>
    <w:rsid w:val="00045602"/>
    <w:rsid w:val="000456EC"/>
    <w:rsid w:val="00045B3E"/>
    <w:rsid w:val="00045BA7"/>
    <w:rsid w:val="00045F12"/>
    <w:rsid w:val="0004608D"/>
    <w:rsid w:val="0004619D"/>
    <w:rsid w:val="000461AF"/>
    <w:rsid w:val="00046256"/>
    <w:rsid w:val="0004629B"/>
    <w:rsid w:val="000462B4"/>
    <w:rsid w:val="0004638E"/>
    <w:rsid w:val="0004641D"/>
    <w:rsid w:val="000464A0"/>
    <w:rsid w:val="000465BB"/>
    <w:rsid w:val="000465E4"/>
    <w:rsid w:val="00046654"/>
    <w:rsid w:val="00046C35"/>
    <w:rsid w:val="00046DBD"/>
    <w:rsid w:val="00046F82"/>
    <w:rsid w:val="000470CC"/>
    <w:rsid w:val="000473C1"/>
    <w:rsid w:val="0004748F"/>
    <w:rsid w:val="00047660"/>
    <w:rsid w:val="000476A5"/>
    <w:rsid w:val="000477A6"/>
    <w:rsid w:val="00047A40"/>
    <w:rsid w:val="00047CD6"/>
    <w:rsid w:val="00047E84"/>
    <w:rsid w:val="00050372"/>
    <w:rsid w:val="00050667"/>
    <w:rsid w:val="00050946"/>
    <w:rsid w:val="00050E9C"/>
    <w:rsid w:val="000511B7"/>
    <w:rsid w:val="000517E3"/>
    <w:rsid w:val="00051CC4"/>
    <w:rsid w:val="00051F49"/>
    <w:rsid w:val="00051F54"/>
    <w:rsid w:val="00051F77"/>
    <w:rsid w:val="00051FD6"/>
    <w:rsid w:val="0005208E"/>
    <w:rsid w:val="0005219F"/>
    <w:rsid w:val="000525D1"/>
    <w:rsid w:val="00052680"/>
    <w:rsid w:val="000526D6"/>
    <w:rsid w:val="00052803"/>
    <w:rsid w:val="0005282E"/>
    <w:rsid w:val="00052850"/>
    <w:rsid w:val="00052866"/>
    <w:rsid w:val="00052AC2"/>
    <w:rsid w:val="00052B50"/>
    <w:rsid w:val="00052DC2"/>
    <w:rsid w:val="00052E41"/>
    <w:rsid w:val="000530C9"/>
    <w:rsid w:val="0005318E"/>
    <w:rsid w:val="000531E4"/>
    <w:rsid w:val="00053353"/>
    <w:rsid w:val="00053368"/>
    <w:rsid w:val="000533FB"/>
    <w:rsid w:val="00053419"/>
    <w:rsid w:val="00053682"/>
    <w:rsid w:val="0005394C"/>
    <w:rsid w:val="00053B18"/>
    <w:rsid w:val="00054087"/>
    <w:rsid w:val="000540AD"/>
    <w:rsid w:val="00054139"/>
    <w:rsid w:val="00054A87"/>
    <w:rsid w:val="00054A98"/>
    <w:rsid w:val="00054B55"/>
    <w:rsid w:val="00054BAC"/>
    <w:rsid w:val="00054E51"/>
    <w:rsid w:val="00054ED0"/>
    <w:rsid w:val="00055134"/>
    <w:rsid w:val="0005513F"/>
    <w:rsid w:val="0005515B"/>
    <w:rsid w:val="000553C8"/>
    <w:rsid w:val="000556D5"/>
    <w:rsid w:val="0005577E"/>
    <w:rsid w:val="000557E7"/>
    <w:rsid w:val="0005583B"/>
    <w:rsid w:val="00055928"/>
    <w:rsid w:val="00055A5F"/>
    <w:rsid w:val="00055AA6"/>
    <w:rsid w:val="00055EB3"/>
    <w:rsid w:val="00055EDC"/>
    <w:rsid w:val="00055F88"/>
    <w:rsid w:val="00055FEC"/>
    <w:rsid w:val="000561E1"/>
    <w:rsid w:val="00056362"/>
    <w:rsid w:val="000563DD"/>
    <w:rsid w:val="000564A3"/>
    <w:rsid w:val="00056518"/>
    <w:rsid w:val="000567F0"/>
    <w:rsid w:val="000569DD"/>
    <w:rsid w:val="00056E2B"/>
    <w:rsid w:val="00056ED5"/>
    <w:rsid w:val="00056ED7"/>
    <w:rsid w:val="00056EDC"/>
    <w:rsid w:val="00056F09"/>
    <w:rsid w:val="0005705F"/>
    <w:rsid w:val="000571C8"/>
    <w:rsid w:val="0005721A"/>
    <w:rsid w:val="0005726D"/>
    <w:rsid w:val="00057419"/>
    <w:rsid w:val="0005742B"/>
    <w:rsid w:val="000575A6"/>
    <w:rsid w:val="00057856"/>
    <w:rsid w:val="0005786B"/>
    <w:rsid w:val="00057907"/>
    <w:rsid w:val="000579D0"/>
    <w:rsid w:val="00057AB6"/>
    <w:rsid w:val="00057C68"/>
    <w:rsid w:val="00057C8E"/>
    <w:rsid w:val="00060451"/>
    <w:rsid w:val="00060467"/>
    <w:rsid w:val="0006048D"/>
    <w:rsid w:val="0006068E"/>
    <w:rsid w:val="000606DF"/>
    <w:rsid w:val="000606FA"/>
    <w:rsid w:val="00060719"/>
    <w:rsid w:val="00060836"/>
    <w:rsid w:val="00060A6E"/>
    <w:rsid w:val="00060CD9"/>
    <w:rsid w:val="00061018"/>
    <w:rsid w:val="0006109F"/>
    <w:rsid w:val="0006118D"/>
    <w:rsid w:val="0006149E"/>
    <w:rsid w:val="000614C3"/>
    <w:rsid w:val="0006154E"/>
    <w:rsid w:val="000615E6"/>
    <w:rsid w:val="00061713"/>
    <w:rsid w:val="00061969"/>
    <w:rsid w:val="000619E2"/>
    <w:rsid w:val="00061C23"/>
    <w:rsid w:val="00062017"/>
    <w:rsid w:val="0006241D"/>
    <w:rsid w:val="0006297D"/>
    <w:rsid w:val="000629D1"/>
    <w:rsid w:val="00062C0C"/>
    <w:rsid w:val="00062C3F"/>
    <w:rsid w:val="00062CB5"/>
    <w:rsid w:val="00062D7C"/>
    <w:rsid w:val="00062EE3"/>
    <w:rsid w:val="00063058"/>
    <w:rsid w:val="000631F2"/>
    <w:rsid w:val="000634AA"/>
    <w:rsid w:val="000634BA"/>
    <w:rsid w:val="00063524"/>
    <w:rsid w:val="000637DC"/>
    <w:rsid w:val="000638AA"/>
    <w:rsid w:val="00063951"/>
    <w:rsid w:val="00063A08"/>
    <w:rsid w:val="00063B14"/>
    <w:rsid w:val="00064183"/>
    <w:rsid w:val="00064235"/>
    <w:rsid w:val="00064296"/>
    <w:rsid w:val="0006444B"/>
    <w:rsid w:val="0006497C"/>
    <w:rsid w:val="00064A98"/>
    <w:rsid w:val="00064B01"/>
    <w:rsid w:val="00064CB1"/>
    <w:rsid w:val="00064CED"/>
    <w:rsid w:val="00064D21"/>
    <w:rsid w:val="00064F1E"/>
    <w:rsid w:val="000654B5"/>
    <w:rsid w:val="00065903"/>
    <w:rsid w:val="00065BB1"/>
    <w:rsid w:val="00065EEA"/>
    <w:rsid w:val="00065EF6"/>
    <w:rsid w:val="00066001"/>
    <w:rsid w:val="00066133"/>
    <w:rsid w:val="000661AA"/>
    <w:rsid w:val="0006642F"/>
    <w:rsid w:val="000664E2"/>
    <w:rsid w:val="000666C0"/>
    <w:rsid w:val="000668A8"/>
    <w:rsid w:val="000668D7"/>
    <w:rsid w:val="000668E2"/>
    <w:rsid w:val="00066A4E"/>
    <w:rsid w:val="00066B74"/>
    <w:rsid w:val="00066BAC"/>
    <w:rsid w:val="00066BF8"/>
    <w:rsid w:val="00066C80"/>
    <w:rsid w:val="00066CC9"/>
    <w:rsid w:val="00066E3C"/>
    <w:rsid w:val="00066E6A"/>
    <w:rsid w:val="00066EDE"/>
    <w:rsid w:val="000670BD"/>
    <w:rsid w:val="00067268"/>
    <w:rsid w:val="00067618"/>
    <w:rsid w:val="00067868"/>
    <w:rsid w:val="00067948"/>
    <w:rsid w:val="00067FA1"/>
    <w:rsid w:val="00070080"/>
    <w:rsid w:val="00070095"/>
    <w:rsid w:val="0007009F"/>
    <w:rsid w:val="000700EE"/>
    <w:rsid w:val="0007015B"/>
    <w:rsid w:val="00070291"/>
    <w:rsid w:val="000702E9"/>
    <w:rsid w:val="0007031C"/>
    <w:rsid w:val="000703D2"/>
    <w:rsid w:val="00070423"/>
    <w:rsid w:val="00070483"/>
    <w:rsid w:val="00070568"/>
    <w:rsid w:val="000706B7"/>
    <w:rsid w:val="00070824"/>
    <w:rsid w:val="00070A3D"/>
    <w:rsid w:val="00070AED"/>
    <w:rsid w:val="00070DAE"/>
    <w:rsid w:val="00070DB2"/>
    <w:rsid w:val="00070DD5"/>
    <w:rsid w:val="00070E9D"/>
    <w:rsid w:val="00070FC5"/>
    <w:rsid w:val="000710EF"/>
    <w:rsid w:val="00071349"/>
    <w:rsid w:val="0007135B"/>
    <w:rsid w:val="000717C3"/>
    <w:rsid w:val="00071866"/>
    <w:rsid w:val="000719A8"/>
    <w:rsid w:val="00071AF6"/>
    <w:rsid w:val="00071B13"/>
    <w:rsid w:val="00071D1E"/>
    <w:rsid w:val="00071D27"/>
    <w:rsid w:val="00071D89"/>
    <w:rsid w:val="00071E7A"/>
    <w:rsid w:val="00071EBC"/>
    <w:rsid w:val="00071F35"/>
    <w:rsid w:val="0007221A"/>
    <w:rsid w:val="000722C6"/>
    <w:rsid w:val="000722C8"/>
    <w:rsid w:val="00072423"/>
    <w:rsid w:val="00072569"/>
    <w:rsid w:val="000725DD"/>
    <w:rsid w:val="0007276C"/>
    <w:rsid w:val="00072788"/>
    <w:rsid w:val="00072CC2"/>
    <w:rsid w:val="00072E58"/>
    <w:rsid w:val="00072E5B"/>
    <w:rsid w:val="00072F3E"/>
    <w:rsid w:val="000732CD"/>
    <w:rsid w:val="00073429"/>
    <w:rsid w:val="000734F3"/>
    <w:rsid w:val="0007388A"/>
    <w:rsid w:val="000739AA"/>
    <w:rsid w:val="00073A9A"/>
    <w:rsid w:val="00073D2F"/>
    <w:rsid w:val="00073DAC"/>
    <w:rsid w:val="00073E00"/>
    <w:rsid w:val="00073F16"/>
    <w:rsid w:val="00074139"/>
    <w:rsid w:val="00074334"/>
    <w:rsid w:val="00074561"/>
    <w:rsid w:val="000745C8"/>
    <w:rsid w:val="00074701"/>
    <w:rsid w:val="0007474D"/>
    <w:rsid w:val="00074ADE"/>
    <w:rsid w:val="00074C78"/>
    <w:rsid w:val="00075201"/>
    <w:rsid w:val="00075253"/>
    <w:rsid w:val="000752BE"/>
    <w:rsid w:val="00075444"/>
    <w:rsid w:val="00075809"/>
    <w:rsid w:val="0007582B"/>
    <w:rsid w:val="00075A86"/>
    <w:rsid w:val="00075ABA"/>
    <w:rsid w:val="00075AC3"/>
    <w:rsid w:val="00075ACE"/>
    <w:rsid w:val="00075B0C"/>
    <w:rsid w:val="00075CA5"/>
    <w:rsid w:val="00075F9F"/>
    <w:rsid w:val="00076303"/>
    <w:rsid w:val="000763BA"/>
    <w:rsid w:val="0007671D"/>
    <w:rsid w:val="0007679E"/>
    <w:rsid w:val="0007699A"/>
    <w:rsid w:val="000769B6"/>
    <w:rsid w:val="00076AFB"/>
    <w:rsid w:val="00076CE8"/>
    <w:rsid w:val="00076EDA"/>
    <w:rsid w:val="00077555"/>
    <w:rsid w:val="00077573"/>
    <w:rsid w:val="00077691"/>
    <w:rsid w:val="00077789"/>
    <w:rsid w:val="00077976"/>
    <w:rsid w:val="000779CB"/>
    <w:rsid w:val="00077B8C"/>
    <w:rsid w:val="00077D3A"/>
    <w:rsid w:val="00077D79"/>
    <w:rsid w:val="00077E97"/>
    <w:rsid w:val="00077F04"/>
    <w:rsid w:val="00080132"/>
    <w:rsid w:val="00080227"/>
    <w:rsid w:val="000803BC"/>
    <w:rsid w:val="00080409"/>
    <w:rsid w:val="0008053E"/>
    <w:rsid w:val="00080592"/>
    <w:rsid w:val="000805B2"/>
    <w:rsid w:val="000808AC"/>
    <w:rsid w:val="000808DA"/>
    <w:rsid w:val="00080A2B"/>
    <w:rsid w:val="00080BF4"/>
    <w:rsid w:val="00080C42"/>
    <w:rsid w:val="00080CD5"/>
    <w:rsid w:val="00080DB3"/>
    <w:rsid w:val="00080ED6"/>
    <w:rsid w:val="00080FB6"/>
    <w:rsid w:val="00081075"/>
    <w:rsid w:val="000811CA"/>
    <w:rsid w:val="000816D1"/>
    <w:rsid w:val="000816EC"/>
    <w:rsid w:val="000817B2"/>
    <w:rsid w:val="0008186D"/>
    <w:rsid w:val="00081D9F"/>
    <w:rsid w:val="00081DDD"/>
    <w:rsid w:val="00081EC1"/>
    <w:rsid w:val="00081FFA"/>
    <w:rsid w:val="0008214F"/>
    <w:rsid w:val="0008237C"/>
    <w:rsid w:val="000823B9"/>
    <w:rsid w:val="0008240B"/>
    <w:rsid w:val="00082547"/>
    <w:rsid w:val="00082992"/>
    <w:rsid w:val="00082AE9"/>
    <w:rsid w:val="00082B0D"/>
    <w:rsid w:val="00082BF6"/>
    <w:rsid w:val="00082C07"/>
    <w:rsid w:val="00082DF4"/>
    <w:rsid w:val="00082F47"/>
    <w:rsid w:val="0008306A"/>
    <w:rsid w:val="0008309B"/>
    <w:rsid w:val="0008322F"/>
    <w:rsid w:val="0008324A"/>
    <w:rsid w:val="000835B7"/>
    <w:rsid w:val="00083768"/>
    <w:rsid w:val="0008383E"/>
    <w:rsid w:val="000838C7"/>
    <w:rsid w:val="000838CB"/>
    <w:rsid w:val="00083942"/>
    <w:rsid w:val="00083958"/>
    <w:rsid w:val="00083AB5"/>
    <w:rsid w:val="00083C5E"/>
    <w:rsid w:val="00083FA0"/>
    <w:rsid w:val="00083FEF"/>
    <w:rsid w:val="000840A9"/>
    <w:rsid w:val="00084134"/>
    <w:rsid w:val="0008426B"/>
    <w:rsid w:val="000842BE"/>
    <w:rsid w:val="000842D0"/>
    <w:rsid w:val="000845D6"/>
    <w:rsid w:val="00084685"/>
    <w:rsid w:val="00084877"/>
    <w:rsid w:val="0008494F"/>
    <w:rsid w:val="00084B79"/>
    <w:rsid w:val="00084BBC"/>
    <w:rsid w:val="00084C90"/>
    <w:rsid w:val="00084D3C"/>
    <w:rsid w:val="00084EA0"/>
    <w:rsid w:val="00084FB3"/>
    <w:rsid w:val="00084FCF"/>
    <w:rsid w:val="0008514D"/>
    <w:rsid w:val="000851F1"/>
    <w:rsid w:val="00085460"/>
    <w:rsid w:val="00085655"/>
    <w:rsid w:val="000856AC"/>
    <w:rsid w:val="000856AF"/>
    <w:rsid w:val="000857D0"/>
    <w:rsid w:val="000857DE"/>
    <w:rsid w:val="00085840"/>
    <w:rsid w:val="000858ED"/>
    <w:rsid w:val="00085A24"/>
    <w:rsid w:val="00085A8A"/>
    <w:rsid w:val="00085AA7"/>
    <w:rsid w:val="00085C52"/>
    <w:rsid w:val="00085CDD"/>
    <w:rsid w:val="00085E1C"/>
    <w:rsid w:val="00085FF0"/>
    <w:rsid w:val="00086072"/>
    <w:rsid w:val="0008609B"/>
    <w:rsid w:val="000861B2"/>
    <w:rsid w:val="000863AF"/>
    <w:rsid w:val="000864D8"/>
    <w:rsid w:val="00086502"/>
    <w:rsid w:val="000866C3"/>
    <w:rsid w:val="00086912"/>
    <w:rsid w:val="00086B0B"/>
    <w:rsid w:val="00086B82"/>
    <w:rsid w:val="00086BF3"/>
    <w:rsid w:val="0008715E"/>
    <w:rsid w:val="0008731B"/>
    <w:rsid w:val="0008744C"/>
    <w:rsid w:val="00087518"/>
    <w:rsid w:val="0008759B"/>
    <w:rsid w:val="000877AF"/>
    <w:rsid w:val="000878B1"/>
    <w:rsid w:val="000879C0"/>
    <w:rsid w:val="00087B8F"/>
    <w:rsid w:val="00087DBF"/>
    <w:rsid w:val="00087DF3"/>
    <w:rsid w:val="00087DFD"/>
    <w:rsid w:val="00087E0C"/>
    <w:rsid w:val="00087E1C"/>
    <w:rsid w:val="00087EDF"/>
    <w:rsid w:val="00090081"/>
    <w:rsid w:val="000904D9"/>
    <w:rsid w:val="000905CE"/>
    <w:rsid w:val="000905FE"/>
    <w:rsid w:val="00090611"/>
    <w:rsid w:val="000906F9"/>
    <w:rsid w:val="00090703"/>
    <w:rsid w:val="0009092A"/>
    <w:rsid w:val="00090C06"/>
    <w:rsid w:val="00090CF7"/>
    <w:rsid w:val="00090E46"/>
    <w:rsid w:val="00090FDD"/>
    <w:rsid w:val="00090FFF"/>
    <w:rsid w:val="00091067"/>
    <w:rsid w:val="00091130"/>
    <w:rsid w:val="000911F5"/>
    <w:rsid w:val="0009128A"/>
    <w:rsid w:val="00091343"/>
    <w:rsid w:val="00091345"/>
    <w:rsid w:val="00091347"/>
    <w:rsid w:val="00091460"/>
    <w:rsid w:val="0009156B"/>
    <w:rsid w:val="00091719"/>
    <w:rsid w:val="0009172A"/>
    <w:rsid w:val="0009177D"/>
    <w:rsid w:val="00091A3C"/>
    <w:rsid w:val="00091BFA"/>
    <w:rsid w:val="00091CE9"/>
    <w:rsid w:val="00091DF9"/>
    <w:rsid w:val="00091F56"/>
    <w:rsid w:val="000920AA"/>
    <w:rsid w:val="00092115"/>
    <w:rsid w:val="00092128"/>
    <w:rsid w:val="0009218B"/>
    <w:rsid w:val="00092302"/>
    <w:rsid w:val="00092580"/>
    <w:rsid w:val="00092671"/>
    <w:rsid w:val="00092680"/>
    <w:rsid w:val="00092867"/>
    <w:rsid w:val="00092A2D"/>
    <w:rsid w:val="00092B85"/>
    <w:rsid w:val="00092BB5"/>
    <w:rsid w:val="00092E58"/>
    <w:rsid w:val="00092F61"/>
    <w:rsid w:val="0009302D"/>
    <w:rsid w:val="00093319"/>
    <w:rsid w:val="00093709"/>
    <w:rsid w:val="000937BA"/>
    <w:rsid w:val="00093C28"/>
    <w:rsid w:val="00093E9F"/>
    <w:rsid w:val="0009418C"/>
    <w:rsid w:val="0009424F"/>
    <w:rsid w:val="00094301"/>
    <w:rsid w:val="0009430B"/>
    <w:rsid w:val="0009433D"/>
    <w:rsid w:val="0009439B"/>
    <w:rsid w:val="0009444A"/>
    <w:rsid w:val="00094478"/>
    <w:rsid w:val="000944BA"/>
    <w:rsid w:val="00094561"/>
    <w:rsid w:val="00094750"/>
    <w:rsid w:val="000947C2"/>
    <w:rsid w:val="00094A6A"/>
    <w:rsid w:val="00094A6E"/>
    <w:rsid w:val="00094B29"/>
    <w:rsid w:val="00094BE3"/>
    <w:rsid w:val="00094D62"/>
    <w:rsid w:val="00094E37"/>
    <w:rsid w:val="00094E98"/>
    <w:rsid w:val="00095138"/>
    <w:rsid w:val="0009519E"/>
    <w:rsid w:val="000951D7"/>
    <w:rsid w:val="00095616"/>
    <w:rsid w:val="000956AA"/>
    <w:rsid w:val="000957C9"/>
    <w:rsid w:val="0009585A"/>
    <w:rsid w:val="00095A88"/>
    <w:rsid w:val="00095C44"/>
    <w:rsid w:val="00095C89"/>
    <w:rsid w:val="00095E68"/>
    <w:rsid w:val="00095EC1"/>
    <w:rsid w:val="00095F88"/>
    <w:rsid w:val="0009608C"/>
    <w:rsid w:val="00096209"/>
    <w:rsid w:val="0009620B"/>
    <w:rsid w:val="00096224"/>
    <w:rsid w:val="000965D2"/>
    <w:rsid w:val="000968B5"/>
    <w:rsid w:val="000968E6"/>
    <w:rsid w:val="00096C8D"/>
    <w:rsid w:val="00096E51"/>
    <w:rsid w:val="00096E5C"/>
    <w:rsid w:val="00096EFD"/>
    <w:rsid w:val="000971DE"/>
    <w:rsid w:val="0009758E"/>
    <w:rsid w:val="000975E7"/>
    <w:rsid w:val="0009765F"/>
    <w:rsid w:val="0009769C"/>
    <w:rsid w:val="00097798"/>
    <w:rsid w:val="00097838"/>
    <w:rsid w:val="00097B28"/>
    <w:rsid w:val="00097BAE"/>
    <w:rsid w:val="00097C57"/>
    <w:rsid w:val="00097C86"/>
    <w:rsid w:val="00097CFF"/>
    <w:rsid w:val="00097D83"/>
    <w:rsid w:val="00097E32"/>
    <w:rsid w:val="00097E5A"/>
    <w:rsid w:val="0009F8AD"/>
    <w:rsid w:val="000A0093"/>
    <w:rsid w:val="000A0112"/>
    <w:rsid w:val="000A0127"/>
    <w:rsid w:val="000A01C5"/>
    <w:rsid w:val="000A0489"/>
    <w:rsid w:val="000A07F1"/>
    <w:rsid w:val="000A08F4"/>
    <w:rsid w:val="000A09DA"/>
    <w:rsid w:val="000A0B95"/>
    <w:rsid w:val="000A0C64"/>
    <w:rsid w:val="000A0CD0"/>
    <w:rsid w:val="000A0EF2"/>
    <w:rsid w:val="000A0FEF"/>
    <w:rsid w:val="000A10A8"/>
    <w:rsid w:val="000A111D"/>
    <w:rsid w:val="000A115C"/>
    <w:rsid w:val="000A1288"/>
    <w:rsid w:val="000A1460"/>
    <w:rsid w:val="000A1618"/>
    <w:rsid w:val="000A1B98"/>
    <w:rsid w:val="000A1DF0"/>
    <w:rsid w:val="000A1E9C"/>
    <w:rsid w:val="000A212B"/>
    <w:rsid w:val="000A21B3"/>
    <w:rsid w:val="000A2226"/>
    <w:rsid w:val="000A2452"/>
    <w:rsid w:val="000A2483"/>
    <w:rsid w:val="000A272D"/>
    <w:rsid w:val="000A28F5"/>
    <w:rsid w:val="000A2966"/>
    <w:rsid w:val="000A29AD"/>
    <w:rsid w:val="000A2A5C"/>
    <w:rsid w:val="000A2A8A"/>
    <w:rsid w:val="000A2B90"/>
    <w:rsid w:val="000A2CD5"/>
    <w:rsid w:val="000A2CEE"/>
    <w:rsid w:val="000A2D02"/>
    <w:rsid w:val="000A2E4C"/>
    <w:rsid w:val="000A2F5C"/>
    <w:rsid w:val="000A30A5"/>
    <w:rsid w:val="000A357A"/>
    <w:rsid w:val="000A371A"/>
    <w:rsid w:val="000A380A"/>
    <w:rsid w:val="000A39C7"/>
    <w:rsid w:val="000A3BF4"/>
    <w:rsid w:val="000A3E3E"/>
    <w:rsid w:val="000A404A"/>
    <w:rsid w:val="000A40A6"/>
    <w:rsid w:val="000A4542"/>
    <w:rsid w:val="000A458D"/>
    <w:rsid w:val="000A4730"/>
    <w:rsid w:val="000A48E9"/>
    <w:rsid w:val="000A4A86"/>
    <w:rsid w:val="000A4AB3"/>
    <w:rsid w:val="000A4AF8"/>
    <w:rsid w:val="000A4C0F"/>
    <w:rsid w:val="000A4F86"/>
    <w:rsid w:val="000A50E1"/>
    <w:rsid w:val="000A51C4"/>
    <w:rsid w:val="000A5521"/>
    <w:rsid w:val="000A55E8"/>
    <w:rsid w:val="000A57F4"/>
    <w:rsid w:val="000A5959"/>
    <w:rsid w:val="000A5A79"/>
    <w:rsid w:val="000A5AB0"/>
    <w:rsid w:val="000A5C43"/>
    <w:rsid w:val="000A5DE0"/>
    <w:rsid w:val="000A5ECF"/>
    <w:rsid w:val="000A605E"/>
    <w:rsid w:val="000A60B7"/>
    <w:rsid w:val="000A6156"/>
    <w:rsid w:val="000A6174"/>
    <w:rsid w:val="000A6307"/>
    <w:rsid w:val="000A6739"/>
    <w:rsid w:val="000A67DB"/>
    <w:rsid w:val="000A693F"/>
    <w:rsid w:val="000A6CF0"/>
    <w:rsid w:val="000A7110"/>
    <w:rsid w:val="000A7213"/>
    <w:rsid w:val="000A7353"/>
    <w:rsid w:val="000A73C7"/>
    <w:rsid w:val="000A75F0"/>
    <w:rsid w:val="000A764B"/>
    <w:rsid w:val="000A7658"/>
    <w:rsid w:val="000A768A"/>
    <w:rsid w:val="000A7832"/>
    <w:rsid w:val="000A7AC5"/>
    <w:rsid w:val="000A7BD7"/>
    <w:rsid w:val="000A7C01"/>
    <w:rsid w:val="000A7CF7"/>
    <w:rsid w:val="000A7D4A"/>
    <w:rsid w:val="000A7D5F"/>
    <w:rsid w:val="000A7D9B"/>
    <w:rsid w:val="000A7E16"/>
    <w:rsid w:val="000A7ED5"/>
    <w:rsid w:val="000A7FC7"/>
    <w:rsid w:val="000B02E2"/>
    <w:rsid w:val="000B02F4"/>
    <w:rsid w:val="000B0329"/>
    <w:rsid w:val="000B03B4"/>
    <w:rsid w:val="000B04D1"/>
    <w:rsid w:val="000B0647"/>
    <w:rsid w:val="000B09BE"/>
    <w:rsid w:val="000B0C27"/>
    <w:rsid w:val="000B0C70"/>
    <w:rsid w:val="000B0E84"/>
    <w:rsid w:val="000B0FC9"/>
    <w:rsid w:val="000B10C4"/>
    <w:rsid w:val="000B1192"/>
    <w:rsid w:val="000B13D9"/>
    <w:rsid w:val="000B1765"/>
    <w:rsid w:val="000B176A"/>
    <w:rsid w:val="000B17B8"/>
    <w:rsid w:val="000B185F"/>
    <w:rsid w:val="000B1D27"/>
    <w:rsid w:val="000B1DEB"/>
    <w:rsid w:val="000B1E9F"/>
    <w:rsid w:val="000B1EAC"/>
    <w:rsid w:val="000B1EC2"/>
    <w:rsid w:val="000B1F28"/>
    <w:rsid w:val="000B1F35"/>
    <w:rsid w:val="000B209F"/>
    <w:rsid w:val="000B2124"/>
    <w:rsid w:val="000B21A5"/>
    <w:rsid w:val="000B21F0"/>
    <w:rsid w:val="000B23DE"/>
    <w:rsid w:val="000B23FC"/>
    <w:rsid w:val="000B241F"/>
    <w:rsid w:val="000B25C3"/>
    <w:rsid w:val="000B28E0"/>
    <w:rsid w:val="000B2C18"/>
    <w:rsid w:val="000B2C26"/>
    <w:rsid w:val="000B2C96"/>
    <w:rsid w:val="000B2D35"/>
    <w:rsid w:val="000B2E6F"/>
    <w:rsid w:val="000B2EA2"/>
    <w:rsid w:val="000B2F75"/>
    <w:rsid w:val="000B34A3"/>
    <w:rsid w:val="000B36A4"/>
    <w:rsid w:val="000B3729"/>
    <w:rsid w:val="000B379D"/>
    <w:rsid w:val="000B37A1"/>
    <w:rsid w:val="000B39E4"/>
    <w:rsid w:val="000B3AAB"/>
    <w:rsid w:val="000B3B53"/>
    <w:rsid w:val="000B3CBB"/>
    <w:rsid w:val="000B3F69"/>
    <w:rsid w:val="000B4088"/>
    <w:rsid w:val="000B4119"/>
    <w:rsid w:val="000B4129"/>
    <w:rsid w:val="000B43DE"/>
    <w:rsid w:val="000B4690"/>
    <w:rsid w:val="000B46C2"/>
    <w:rsid w:val="000B46C6"/>
    <w:rsid w:val="000B49DD"/>
    <w:rsid w:val="000B4A20"/>
    <w:rsid w:val="000B4A21"/>
    <w:rsid w:val="000B4C0B"/>
    <w:rsid w:val="000B5100"/>
    <w:rsid w:val="000B51CA"/>
    <w:rsid w:val="000B5256"/>
    <w:rsid w:val="000B53F6"/>
    <w:rsid w:val="000B590F"/>
    <w:rsid w:val="000B59EE"/>
    <w:rsid w:val="000B5C3F"/>
    <w:rsid w:val="000B5C6F"/>
    <w:rsid w:val="000B5CE0"/>
    <w:rsid w:val="000B5CF1"/>
    <w:rsid w:val="000B5ECB"/>
    <w:rsid w:val="000B6119"/>
    <w:rsid w:val="000B61C9"/>
    <w:rsid w:val="000B6249"/>
    <w:rsid w:val="000B6518"/>
    <w:rsid w:val="000B66B3"/>
    <w:rsid w:val="000B66C2"/>
    <w:rsid w:val="000B6807"/>
    <w:rsid w:val="000B689A"/>
    <w:rsid w:val="000B68FF"/>
    <w:rsid w:val="000B698F"/>
    <w:rsid w:val="000B6AC2"/>
    <w:rsid w:val="000B6C4D"/>
    <w:rsid w:val="000B727A"/>
    <w:rsid w:val="000B742D"/>
    <w:rsid w:val="000B759D"/>
    <w:rsid w:val="000B773D"/>
    <w:rsid w:val="000B78D8"/>
    <w:rsid w:val="000B7995"/>
    <w:rsid w:val="000B7A19"/>
    <w:rsid w:val="000B7A26"/>
    <w:rsid w:val="000B7ACD"/>
    <w:rsid w:val="000B7C1A"/>
    <w:rsid w:val="000B7D40"/>
    <w:rsid w:val="000B7D4C"/>
    <w:rsid w:val="000B7D81"/>
    <w:rsid w:val="000C001B"/>
    <w:rsid w:val="000C002F"/>
    <w:rsid w:val="000C03D7"/>
    <w:rsid w:val="000C0660"/>
    <w:rsid w:val="000C074B"/>
    <w:rsid w:val="000C0A16"/>
    <w:rsid w:val="000C0A57"/>
    <w:rsid w:val="000C0CDA"/>
    <w:rsid w:val="000C0D0F"/>
    <w:rsid w:val="000C1262"/>
    <w:rsid w:val="000C1396"/>
    <w:rsid w:val="000C15D2"/>
    <w:rsid w:val="000C16DB"/>
    <w:rsid w:val="000C1B5F"/>
    <w:rsid w:val="000C1B79"/>
    <w:rsid w:val="000C1BDF"/>
    <w:rsid w:val="000C1C48"/>
    <w:rsid w:val="000C1D02"/>
    <w:rsid w:val="000C1DE0"/>
    <w:rsid w:val="000C1E5E"/>
    <w:rsid w:val="000C1FE5"/>
    <w:rsid w:val="000C22C9"/>
    <w:rsid w:val="000C2316"/>
    <w:rsid w:val="000C2402"/>
    <w:rsid w:val="000C2575"/>
    <w:rsid w:val="000C2693"/>
    <w:rsid w:val="000C2839"/>
    <w:rsid w:val="000C2907"/>
    <w:rsid w:val="000C2A2E"/>
    <w:rsid w:val="000C2BB1"/>
    <w:rsid w:val="000C2BD1"/>
    <w:rsid w:val="000C2C13"/>
    <w:rsid w:val="000C2DC6"/>
    <w:rsid w:val="000C327A"/>
    <w:rsid w:val="000C328F"/>
    <w:rsid w:val="000C336F"/>
    <w:rsid w:val="000C35A9"/>
    <w:rsid w:val="000C376B"/>
    <w:rsid w:val="000C385B"/>
    <w:rsid w:val="000C391D"/>
    <w:rsid w:val="000C3A1A"/>
    <w:rsid w:val="000C3A92"/>
    <w:rsid w:val="000C4157"/>
    <w:rsid w:val="000C4160"/>
    <w:rsid w:val="000C42A6"/>
    <w:rsid w:val="000C44CB"/>
    <w:rsid w:val="000C4612"/>
    <w:rsid w:val="000C4801"/>
    <w:rsid w:val="000C4893"/>
    <w:rsid w:val="000C4BE1"/>
    <w:rsid w:val="000C4CBF"/>
    <w:rsid w:val="000C4CD7"/>
    <w:rsid w:val="000C4D49"/>
    <w:rsid w:val="000C4DDB"/>
    <w:rsid w:val="000C4E74"/>
    <w:rsid w:val="000C4FA9"/>
    <w:rsid w:val="000C5254"/>
    <w:rsid w:val="000C5272"/>
    <w:rsid w:val="000C52AC"/>
    <w:rsid w:val="000C5490"/>
    <w:rsid w:val="000C549F"/>
    <w:rsid w:val="000C5CF8"/>
    <w:rsid w:val="000C5E2D"/>
    <w:rsid w:val="000C5FD1"/>
    <w:rsid w:val="000C62C3"/>
    <w:rsid w:val="000C63A4"/>
    <w:rsid w:val="000C63C3"/>
    <w:rsid w:val="000C65CF"/>
    <w:rsid w:val="000C6777"/>
    <w:rsid w:val="000C6834"/>
    <w:rsid w:val="000C68B4"/>
    <w:rsid w:val="000C6A48"/>
    <w:rsid w:val="000C6ABA"/>
    <w:rsid w:val="000C6C8D"/>
    <w:rsid w:val="000C6CC1"/>
    <w:rsid w:val="000C6D63"/>
    <w:rsid w:val="000C6F42"/>
    <w:rsid w:val="000C7136"/>
    <w:rsid w:val="000C7142"/>
    <w:rsid w:val="000C74E0"/>
    <w:rsid w:val="000C74F5"/>
    <w:rsid w:val="000C759F"/>
    <w:rsid w:val="000C75A3"/>
    <w:rsid w:val="000C75EA"/>
    <w:rsid w:val="000C776A"/>
    <w:rsid w:val="000C7937"/>
    <w:rsid w:val="000C7AEE"/>
    <w:rsid w:val="000C7B4E"/>
    <w:rsid w:val="000C7B4F"/>
    <w:rsid w:val="000C7BB4"/>
    <w:rsid w:val="000C7F9F"/>
    <w:rsid w:val="000C7FDD"/>
    <w:rsid w:val="000D026D"/>
    <w:rsid w:val="000D040D"/>
    <w:rsid w:val="000D08D6"/>
    <w:rsid w:val="000D0967"/>
    <w:rsid w:val="000D0A86"/>
    <w:rsid w:val="000D0AA1"/>
    <w:rsid w:val="000D0B1F"/>
    <w:rsid w:val="000D0C53"/>
    <w:rsid w:val="000D0C57"/>
    <w:rsid w:val="000D0D2E"/>
    <w:rsid w:val="000D0D47"/>
    <w:rsid w:val="000D0DDD"/>
    <w:rsid w:val="000D100C"/>
    <w:rsid w:val="000D1092"/>
    <w:rsid w:val="000D1106"/>
    <w:rsid w:val="000D1190"/>
    <w:rsid w:val="000D11DF"/>
    <w:rsid w:val="000D127F"/>
    <w:rsid w:val="000D1493"/>
    <w:rsid w:val="000D14E7"/>
    <w:rsid w:val="000D1514"/>
    <w:rsid w:val="000D17BC"/>
    <w:rsid w:val="000D1803"/>
    <w:rsid w:val="000D18DC"/>
    <w:rsid w:val="000D18E3"/>
    <w:rsid w:val="000D1988"/>
    <w:rsid w:val="000D1F28"/>
    <w:rsid w:val="000D2012"/>
    <w:rsid w:val="000D20C2"/>
    <w:rsid w:val="000D22CB"/>
    <w:rsid w:val="000D232C"/>
    <w:rsid w:val="000D23F6"/>
    <w:rsid w:val="000D25AE"/>
    <w:rsid w:val="000D2836"/>
    <w:rsid w:val="000D288B"/>
    <w:rsid w:val="000D29FF"/>
    <w:rsid w:val="000D2ABE"/>
    <w:rsid w:val="000D2BF1"/>
    <w:rsid w:val="000D2D7A"/>
    <w:rsid w:val="000D2D8E"/>
    <w:rsid w:val="000D2E74"/>
    <w:rsid w:val="000D2E84"/>
    <w:rsid w:val="000D2EA7"/>
    <w:rsid w:val="000D2F3C"/>
    <w:rsid w:val="000D3285"/>
    <w:rsid w:val="000D3787"/>
    <w:rsid w:val="000D37C6"/>
    <w:rsid w:val="000D3A59"/>
    <w:rsid w:val="000D3B30"/>
    <w:rsid w:val="000D40AB"/>
    <w:rsid w:val="000D4110"/>
    <w:rsid w:val="000D415D"/>
    <w:rsid w:val="000D4355"/>
    <w:rsid w:val="000D43DA"/>
    <w:rsid w:val="000D4420"/>
    <w:rsid w:val="000D442C"/>
    <w:rsid w:val="000D460C"/>
    <w:rsid w:val="000D492A"/>
    <w:rsid w:val="000D494F"/>
    <w:rsid w:val="000D49D8"/>
    <w:rsid w:val="000D4A1B"/>
    <w:rsid w:val="000D4B66"/>
    <w:rsid w:val="000D4B6B"/>
    <w:rsid w:val="000D4BAD"/>
    <w:rsid w:val="000D4C16"/>
    <w:rsid w:val="000D4DB5"/>
    <w:rsid w:val="000D4E2C"/>
    <w:rsid w:val="000D4EB0"/>
    <w:rsid w:val="000D5358"/>
    <w:rsid w:val="000D53D9"/>
    <w:rsid w:val="000D5585"/>
    <w:rsid w:val="000D56B2"/>
    <w:rsid w:val="000D5775"/>
    <w:rsid w:val="000D5811"/>
    <w:rsid w:val="000D5CAD"/>
    <w:rsid w:val="000D5D0E"/>
    <w:rsid w:val="000D5D5C"/>
    <w:rsid w:val="000D5DDA"/>
    <w:rsid w:val="000D5EBD"/>
    <w:rsid w:val="000D5F79"/>
    <w:rsid w:val="000D600E"/>
    <w:rsid w:val="000D6052"/>
    <w:rsid w:val="000D618C"/>
    <w:rsid w:val="000D6197"/>
    <w:rsid w:val="000D61C8"/>
    <w:rsid w:val="000D64BE"/>
    <w:rsid w:val="000D6662"/>
    <w:rsid w:val="000D67DA"/>
    <w:rsid w:val="000D6A21"/>
    <w:rsid w:val="000D7007"/>
    <w:rsid w:val="000D7046"/>
    <w:rsid w:val="000D712D"/>
    <w:rsid w:val="000D727B"/>
    <w:rsid w:val="000D72DE"/>
    <w:rsid w:val="000D741E"/>
    <w:rsid w:val="000D776B"/>
    <w:rsid w:val="000D78A2"/>
    <w:rsid w:val="000D7913"/>
    <w:rsid w:val="000D7B70"/>
    <w:rsid w:val="000D7BBC"/>
    <w:rsid w:val="000D7CAF"/>
    <w:rsid w:val="000D7CBF"/>
    <w:rsid w:val="000D7D5B"/>
    <w:rsid w:val="000D7FB6"/>
    <w:rsid w:val="000D7FFA"/>
    <w:rsid w:val="000E00ED"/>
    <w:rsid w:val="000E0109"/>
    <w:rsid w:val="000E0183"/>
    <w:rsid w:val="000E0184"/>
    <w:rsid w:val="000E0652"/>
    <w:rsid w:val="000E07AA"/>
    <w:rsid w:val="000E0891"/>
    <w:rsid w:val="000E0B52"/>
    <w:rsid w:val="000E0C90"/>
    <w:rsid w:val="000E0D15"/>
    <w:rsid w:val="000E0D23"/>
    <w:rsid w:val="000E114A"/>
    <w:rsid w:val="000E114B"/>
    <w:rsid w:val="000E12DF"/>
    <w:rsid w:val="000E1328"/>
    <w:rsid w:val="000E16E9"/>
    <w:rsid w:val="000E1758"/>
    <w:rsid w:val="000E175E"/>
    <w:rsid w:val="000E17B9"/>
    <w:rsid w:val="000E1881"/>
    <w:rsid w:val="000E18E1"/>
    <w:rsid w:val="000E1976"/>
    <w:rsid w:val="000E19BD"/>
    <w:rsid w:val="000E1BF3"/>
    <w:rsid w:val="000E1E17"/>
    <w:rsid w:val="000E1F12"/>
    <w:rsid w:val="000E1F96"/>
    <w:rsid w:val="000E1FC9"/>
    <w:rsid w:val="000E215F"/>
    <w:rsid w:val="000E244F"/>
    <w:rsid w:val="000E249C"/>
    <w:rsid w:val="000E24A5"/>
    <w:rsid w:val="000E27C3"/>
    <w:rsid w:val="000E28BC"/>
    <w:rsid w:val="000E29A7"/>
    <w:rsid w:val="000E2A4E"/>
    <w:rsid w:val="000E2B6F"/>
    <w:rsid w:val="000E2BB1"/>
    <w:rsid w:val="000E2C88"/>
    <w:rsid w:val="000E2CB4"/>
    <w:rsid w:val="000E2E24"/>
    <w:rsid w:val="000E3083"/>
    <w:rsid w:val="000E337D"/>
    <w:rsid w:val="000E33B5"/>
    <w:rsid w:val="000E3448"/>
    <w:rsid w:val="000E3680"/>
    <w:rsid w:val="000E369D"/>
    <w:rsid w:val="000E36BE"/>
    <w:rsid w:val="000E36EA"/>
    <w:rsid w:val="000E3707"/>
    <w:rsid w:val="000E37DC"/>
    <w:rsid w:val="000E39FC"/>
    <w:rsid w:val="000E3BFE"/>
    <w:rsid w:val="000E3CC3"/>
    <w:rsid w:val="000E3F49"/>
    <w:rsid w:val="000E405C"/>
    <w:rsid w:val="000E4084"/>
    <w:rsid w:val="000E40A3"/>
    <w:rsid w:val="000E41C4"/>
    <w:rsid w:val="000E41D3"/>
    <w:rsid w:val="000E4246"/>
    <w:rsid w:val="000E44AC"/>
    <w:rsid w:val="000E4590"/>
    <w:rsid w:val="000E46CB"/>
    <w:rsid w:val="000E476B"/>
    <w:rsid w:val="000E481D"/>
    <w:rsid w:val="000E4820"/>
    <w:rsid w:val="000E4AFB"/>
    <w:rsid w:val="000E4BC4"/>
    <w:rsid w:val="000E4C9F"/>
    <w:rsid w:val="000E4CCA"/>
    <w:rsid w:val="000E4D90"/>
    <w:rsid w:val="000E4F7F"/>
    <w:rsid w:val="000E5086"/>
    <w:rsid w:val="000E5207"/>
    <w:rsid w:val="000E53DE"/>
    <w:rsid w:val="000E54FF"/>
    <w:rsid w:val="000E5AC6"/>
    <w:rsid w:val="000E5CE6"/>
    <w:rsid w:val="000E60CD"/>
    <w:rsid w:val="000E64BC"/>
    <w:rsid w:val="000E6742"/>
    <w:rsid w:val="000E685F"/>
    <w:rsid w:val="000E6E19"/>
    <w:rsid w:val="000E6E72"/>
    <w:rsid w:val="000E6F1E"/>
    <w:rsid w:val="000E6F73"/>
    <w:rsid w:val="000E710A"/>
    <w:rsid w:val="000E7196"/>
    <w:rsid w:val="000E7309"/>
    <w:rsid w:val="000E7365"/>
    <w:rsid w:val="000E7819"/>
    <w:rsid w:val="000E78DB"/>
    <w:rsid w:val="000E79F3"/>
    <w:rsid w:val="000E7D99"/>
    <w:rsid w:val="000E7E49"/>
    <w:rsid w:val="000E7EF0"/>
    <w:rsid w:val="000E7F01"/>
    <w:rsid w:val="000F00C7"/>
    <w:rsid w:val="000F0112"/>
    <w:rsid w:val="000F01F9"/>
    <w:rsid w:val="000F0391"/>
    <w:rsid w:val="000F0403"/>
    <w:rsid w:val="000F0D31"/>
    <w:rsid w:val="000F101B"/>
    <w:rsid w:val="000F10D7"/>
    <w:rsid w:val="000F11FB"/>
    <w:rsid w:val="000F1274"/>
    <w:rsid w:val="000F13AF"/>
    <w:rsid w:val="000F13DE"/>
    <w:rsid w:val="000F13FD"/>
    <w:rsid w:val="000F141F"/>
    <w:rsid w:val="000F14DA"/>
    <w:rsid w:val="000F15CB"/>
    <w:rsid w:val="000F176C"/>
    <w:rsid w:val="000F18DC"/>
    <w:rsid w:val="000F1C7E"/>
    <w:rsid w:val="000F1D17"/>
    <w:rsid w:val="000F1DFD"/>
    <w:rsid w:val="000F1ED8"/>
    <w:rsid w:val="000F1FFF"/>
    <w:rsid w:val="000F2043"/>
    <w:rsid w:val="000F2210"/>
    <w:rsid w:val="000F22B4"/>
    <w:rsid w:val="000F2306"/>
    <w:rsid w:val="000F24D9"/>
    <w:rsid w:val="000F27F9"/>
    <w:rsid w:val="000F29EF"/>
    <w:rsid w:val="000F2A12"/>
    <w:rsid w:val="000F2A21"/>
    <w:rsid w:val="000F2A3B"/>
    <w:rsid w:val="000F2B23"/>
    <w:rsid w:val="000F2B4F"/>
    <w:rsid w:val="000F2D54"/>
    <w:rsid w:val="000F2DA7"/>
    <w:rsid w:val="000F2DD8"/>
    <w:rsid w:val="000F2E46"/>
    <w:rsid w:val="000F2E48"/>
    <w:rsid w:val="000F2E91"/>
    <w:rsid w:val="000F2EF0"/>
    <w:rsid w:val="000F3093"/>
    <w:rsid w:val="000F3376"/>
    <w:rsid w:val="000F345C"/>
    <w:rsid w:val="000F349A"/>
    <w:rsid w:val="000F35EC"/>
    <w:rsid w:val="000F3701"/>
    <w:rsid w:val="000F3989"/>
    <w:rsid w:val="000F3A24"/>
    <w:rsid w:val="000F3E0E"/>
    <w:rsid w:val="000F3E54"/>
    <w:rsid w:val="000F3F33"/>
    <w:rsid w:val="000F4189"/>
    <w:rsid w:val="000F4413"/>
    <w:rsid w:val="000F4455"/>
    <w:rsid w:val="000F445C"/>
    <w:rsid w:val="000F463B"/>
    <w:rsid w:val="000F48DF"/>
    <w:rsid w:val="000F4918"/>
    <w:rsid w:val="000F4974"/>
    <w:rsid w:val="000F4C2F"/>
    <w:rsid w:val="000F4CB2"/>
    <w:rsid w:val="000F4D1F"/>
    <w:rsid w:val="000F4E54"/>
    <w:rsid w:val="000F5018"/>
    <w:rsid w:val="000F51CA"/>
    <w:rsid w:val="000F5341"/>
    <w:rsid w:val="000F53CB"/>
    <w:rsid w:val="000F55D4"/>
    <w:rsid w:val="000F56FC"/>
    <w:rsid w:val="000F5779"/>
    <w:rsid w:val="000F5966"/>
    <w:rsid w:val="000F5E58"/>
    <w:rsid w:val="000F60C4"/>
    <w:rsid w:val="000F61CF"/>
    <w:rsid w:val="000F61D8"/>
    <w:rsid w:val="000F649A"/>
    <w:rsid w:val="000F66CA"/>
    <w:rsid w:val="000F6756"/>
    <w:rsid w:val="000F679C"/>
    <w:rsid w:val="000F6B5F"/>
    <w:rsid w:val="000F6B9E"/>
    <w:rsid w:val="000F6E16"/>
    <w:rsid w:val="000F6F22"/>
    <w:rsid w:val="000F731C"/>
    <w:rsid w:val="000F77AF"/>
    <w:rsid w:val="000F7851"/>
    <w:rsid w:val="000F7888"/>
    <w:rsid w:val="000F788A"/>
    <w:rsid w:val="000F7A66"/>
    <w:rsid w:val="000F7AEE"/>
    <w:rsid w:val="000F7B28"/>
    <w:rsid w:val="000F7C77"/>
    <w:rsid w:val="000F7C8D"/>
    <w:rsid w:val="001001D2"/>
    <w:rsid w:val="001002F4"/>
    <w:rsid w:val="001005AF"/>
    <w:rsid w:val="001005FA"/>
    <w:rsid w:val="00100638"/>
    <w:rsid w:val="001008CF"/>
    <w:rsid w:val="00100B08"/>
    <w:rsid w:val="00100B5F"/>
    <w:rsid w:val="00100C25"/>
    <w:rsid w:val="00100C69"/>
    <w:rsid w:val="00100E9F"/>
    <w:rsid w:val="00100EBB"/>
    <w:rsid w:val="00100FE9"/>
    <w:rsid w:val="00101033"/>
    <w:rsid w:val="001012D6"/>
    <w:rsid w:val="00101377"/>
    <w:rsid w:val="0010137E"/>
    <w:rsid w:val="001014E8"/>
    <w:rsid w:val="00101539"/>
    <w:rsid w:val="00101AB3"/>
    <w:rsid w:val="00101DFD"/>
    <w:rsid w:val="00101F9F"/>
    <w:rsid w:val="00101FED"/>
    <w:rsid w:val="00102221"/>
    <w:rsid w:val="00102550"/>
    <w:rsid w:val="00102604"/>
    <w:rsid w:val="00102A76"/>
    <w:rsid w:val="00102CE4"/>
    <w:rsid w:val="00102FD8"/>
    <w:rsid w:val="0010307C"/>
    <w:rsid w:val="001030EA"/>
    <w:rsid w:val="0010322A"/>
    <w:rsid w:val="00103276"/>
    <w:rsid w:val="001035F5"/>
    <w:rsid w:val="001036B8"/>
    <w:rsid w:val="0010397F"/>
    <w:rsid w:val="00103C47"/>
    <w:rsid w:val="00103D9F"/>
    <w:rsid w:val="00103DF2"/>
    <w:rsid w:val="00103F7D"/>
    <w:rsid w:val="00103FC4"/>
    <w:rsid w:val="00104003"/>
    <w:rsid w:val="001041BE"/>
    <w:rsid w:val="0010432C"/>
    <w:rsid w:val="0010489A"/>
    <w:rsid w:val="00104C6C"/>
    <w:rsid w:val="00104E5B"/>
    <w:rsid w:val="00104EAF"/>
    <w:rsid w:val="001050E1"/>
    <w:rsid w:val="00105113"/>
    <w:rsid w:val="001052AE"/>
    <w:rsid w:val="00105379"/>
    <w:rsid w:val="00105686"/>
    <w:rsid w:val="00105708"/>
    <w:rsid w:val="001057E9"/>
    <w:rsid w:val="00105A36"/>
    <w:rsid w:val="00105AE9"/>
    <w:rsid w:val="00105CC9"/>
    <w:rsid w:val="00105E2A"/>
    <w:rsid w:val="00105F79"/>
    <w:rsid w:val="00106082"/>
    <w:rsid w:val="0010609C"/>
    <w:rsid w:val="0010618F"/>
    <w:rsid w:val="001061DD"/>
    <w:rsid w:val="00106584"/>
    <w:rsid w:val="00106675"/>
    <w:rsid w:val="00106CE9"/>
    <w:rsid w:val="00106D25"/>
    <w:rsid w:val="00106D3D"/>
    <w:rsid w:val="00107075"/>
    <w:rsid w:val="0010752E"/>
    <w:rsid w:val="00107590"/>
    <w:rsid w:val="001075F4"/>
    <w:rsid w:val="00107A2A"/>
    <w:rsid w:val="00107AE9"/>
    <w:rsid w:val="00107C07"/>
    <w:rsid w:val="00107CDC"/>
    <w:rsid w:val="00107D07"/>
    <w:rsid w:val="00107D3F"/>
    <w:rsid w:val="00107EBD"/>
    <w:rsid w:val="001100F2"/>
    <w:rsid w:val="001101D5"/>
    <w:rsid w:val="0011078E"/>
    <w:rsid w:val="0011084A"/>
    <w:rsid w:val="00110893"/>
    <w:rsid w:val="00110A41"/>
    <w:rsid w:val="00110C30"/>
    <w:rsid w:val="00110C3A"/>
    <w:rsid w:val="00110CE1"/>
    <w:rsid w:val="00110E92"/>
    <w:rsid w:val="00110EA6"/>
    <w:rsid w:val="00110F6A"/>
    <w:rsid w:val="001111E3"/>
    <w:rsid w:val="001112DD"/>
    <w:rsid w:val="001113E0"/>
    <w:rsid w:val="001114E9"/>
    <w:rsid w:val="00111642"/>
    <w:rsid w:val="00111777"/>
    <w:rsid w:val="00111B35"/>
    <w:rsid w:val="00111D11"/>
    <w:rsid w:val="00111D7C"/>
    <w:rsid w:val="00111DE2"/>
    <w:rsid w:val="00111E21"/>
    <w:rsid w:val="00111E76"/>
    <w:rsid w:val="00111EB9"/>
    <w:rsid w:val="00111EEF"/>
    <w:rsid w:val="00111F39"/>
    <w:rsid w:val="00112120"/>
    <w:rsid w:val="00112372"/>
    <w:rsid w:val="0011243A"/>
    <w:rsid w:val="001125DF"/>
    <w:rsid w:val="00112666"/>
    <w:rsid w:val="001127B7"/>
    <w:rsid w:val="001129E0"/>
    <w:rsid w:val="00112B70"/>
    <w:rsid w:val="00112CB8"/>
    <w:rsid w:val="00112CDF"/>
    <w:rsid w:val="00112DDE"/>
    <w:rsid w:val="00112DE8"/>
    <w:rsid w:val="00112F1B"/>
    <w:rsid w:val="00112F30"/>
    <w:rsid w:val="00112F7A"/>
    <w:rsid w:val="0011301F"/>
    <w:rsid w:val="00113543"/>
    <w:rsid w:val="001135E3"/>
    <w:rsid w:val="001136C1"/>
    <w:rsid w:val="001139A4"/>
    <w:rsid w:val="00113E1B"/>
    <w:rsid w:val="00113FDA"/>
    <w:rsid w:val="001140C2"/>
    <w:rsid w:val="0011421F"/>
    <w:rsid w:val="0011428E"/>
    <w:rsid w:val="0011429B"/>
    <w:rsid w:val="00114547"/>
    <w:rsid w:val="00114614"/>
    <w:rsid w:val="001146A6"/>
    <w:rsid w:val="00114756"/>
    <w:rsid w:val="001147FD"/>
    <w:rsid w:val="00114834"/>
    <w:rsid w:val="00114969"/>
    <w:rsid w:val="001149F9"/>
    <w:rsid w:val="00114AA1"/>
    <w:rsid w:val="00114ACB"/>
    <w:rsid w:val="00114B7B"/>
    <w:rsid w:val="00114EF8"/>
    <w:rsid w:val="00114F42"/>
    <w:rsid w:val="001150B3"/>
    <w:rsid w:val="001152C0"/>
    <w:rsid w:val="001153D6"/>
    <w:rsid w:val="0011550A"/>
    <w:rsid w:val="00115575"/>
    <w:rsid w:val="001158E1"/>
    <w:rsid w:val="00115A96"/>
    <w:rsid w:val="00115C4A"/>
    <w:rsid w:val="00115C8E"/>
    <w:rsid w:val="00115CFD"/>
    <w:rsid w:val="00115D98"/>
    <w:rsid w:val="00115ED4"/>
    <w:rsid w:val="00116696"/>
    <w:rsid w:val="00116A12"/>
    <w:rsid w:val="00116A1B"/>
    <w:rsid w:val="00116C0A"/>
    <w:rsid w:val="00116D7C"/>
    <w:rsid w:val="00116F2A"/>
    <w:rsid w:val="00117375"/>
    <w:rsid w:val="00117397"/>
    <w:rsid w:val="001176EE"/>
    <w:rsid w:val="00117756"/>
    <w:rsid w:val="001178C5"/>
    <w:rsid w:val="00117994"/>
    <w:rsid w:val="001179BF"/>
    <w:rsid w:val="001179E1"/>
    <w:rsid w:val="00117A67"/>
    <w:rsid w:val="00117EBC"/>
    <w:rsid w:val="00120092"/>
    <w:rsid w:val="0012040E"/>
    <w:rsid w:val="00120442"/>
    <w:rsid w:val="00120558"/>
    <w:rsid w:val="001205FD"/>
    <w:rsid w:val="00120ACB"/>
    <w:rsid w:val="00120BC6"/>
    <w:rsid w:val="00120C2D"/>
    <w:rsid w:val="00120CFA"/>
    <w:rsid w:val="00120E7F"/>
    <w:rsid w:val="00120E84"/>
    <w:rsid w:val="00120E94"/>
    <w:rsid w:val="00120EA5"/>
    <w:rsid w:val="00120F58"/>
    <w:rsid w:val="0012114E"/>
    <w:rsid w:val="001211F1"/>
    <w:rsid w:val="001211F7"/>
    <w:rsid w:val="00121432"/>
    <w:rsid w:val="001214BD"/>
    <w:rsid w:val="0012151E"/>
    <w:rsid w:val="0012152E"/>
    <w:rsid w:val="0012164A"/>
    <w:rsid w:val="00121ADD"/>
    <w:rsid w:val="00121B98"/>
    <w:rsid w:val="00121D7B"/>
    <w:rsid w:val="00121E0B"/>
    <w:rsid w:val="00122216"/>
    <w:rsid w:val="00122227"/>
    <w:rsid w:val="0012231C"/>
    <w:rsid w:val="00122334"/>
    <w:rsid w:val="001225C1"/>
    <w:rsid w:val="0012262A"/>
    <w:rsid w:val="0012266A"/>
    <w:rsid w:val="00122758"/>
    <w:rsid w:val="0012276F"/>
    <w:rsid w:val="00122797"/>
    <w:rsid w:val="00122872"/>
    <w:rsid w:val="001228C9"/>
    <w:rsid w:val="00122B0A"/>
    <w:rsid w:val="00122B38"/>
    <w:rsid w:val="00122C54"/>
    <w:rsid w:val="00122E5E"/>
    <w:rsid w:val="00123006"/>
    <w:rsid w:val="0012302F"/>
    <w:rsid w:val="001230AE"/>
    <w:rsid w:val="00123425"/>
    <w:rsid w:val="00123490"/>
    <w:rsid w:val="001237E5"/>
    <w:rsid w:val="0012389A"/>
    <w:rsid w:val="00123C40"/>
    <w:rsid w:val="00123DDD"/>
    <w:rsid w:val="00123DF7"/>
    <w:rsid w:val="00123E22"/>
    <w:rsid w:val="00123E48"/>
    <w:rsid w:val="00123E56"/>
    <w:rsid w:val="00123EB2"/>
    <w:rsid w:val="00123EFB"/>
    <w:rsid w:val="00123F64"/>
    <w:rsid w:val="00124026"/>
    <w:rsid w:val="0012410F"/>
    <w:rsid w:val="00124121"/>
    <w:rsid w:val="0012436F"/>
    <w:rsid w:val="001243B4"/>
    <w:rsid w:val="001244B8"/>
    <w:rsid w:val="001245DC"/>
    <w:rsid w:val="001246F0"/>
    <w:rsid w:val="001248F6"/>
    <w:rsid w:val="00124ABC"/>
    <w:rsid w:val="00124BBB"/>
    <w:rsid w:val="00124E33"/>
    <w:rsid w:val="00124FE5"/>
    <w:rsid w:val="00125226"/>
    <w:rsid w:val="001252DD"/>
    <w:rsid w:val="0012531A"/>
    <w:rsid w:val="0012548C"/>
    <w:rsid w:val="00125547"/>
    <w:rsid w:val="00125557"/>
    <w:rsid w:val="0012585B"/>
    <w:rsid w:val="00125934"/>
    <w:rsid w:val="00125B2C"/>
    <w:rsid w:val="00125B96"/>
    <w:rsid w:val="00125CF6"/>
    <w:rsid w:val="00125FC7"/>
    <w:rsid w:val="00125FD3"/>
    <w:rsid w:val="0012601E"/>
    <w:rsid w:val="001260EC"/>
    <w:rsid w:val="001263E4"/>
    <w:rsid w:val="00126650"/>
    <w:rsid w:val="00126932"/>
    <w:rsid w:val="00126BE5"/>
    <w:rsid w:val="00126C13"/>
    <w:rsid w:val="00126F41"/>
    <w:rsid w:val="001271E0"/>
    <w:rsid w:val="0012740A"/>
    <w:rsid w:val="001275D8"/>
    <w:rsid w:val="0012781E"/>
    <w:rsid w:val="00127A94"/>
    <w:rsid w:val="00127D39"/>
    <w:rsid w:val="00127E52"/>
    <w:rsid w:val="001302AE"/>
    <w:rsid w:val="00130337"/>
    <w:rsid w:val="001307CC"/>
    <w:rsid w:val="0013083E"/>
    <w:rsid w:val="001308A4"/>
    <w:rsid w:val="00130A34"/>
    <w:rsid w:val="00130AB6"/>
    <w:rsid w:val="00130C8B"/>
    <w:rsid w:val="00130EAE"/>
    <w:rsid w:val="001311E4"/>
    <w:rsid w:val="00131273"/>
    <w:rsid w:val="001315B0"/>
    <w:rsid w:val="0013184D"/>
    <w:rsid w:val="0013195A"/>
    <w:rsid w:val="00131998"/>
    <w:rsid w:val="00131A72"/>
    <w:rsid w:val="00131A85"/>
    <w:rsid w:val="00131F09"/>
    <w:rsid w:val="00132060"/>
    <w:rsid w:val="0013213F"/>
    <w:rsid w:val="00132268"/>
    <w:rsid w:val="0013250F"/>
    <w:rsid w:val="00132657"/>
    <w:rsid w:val="0013265A"/>
    <w:rsid w:val="001326E6"/>
    <w:rsid w:val="00132831"/>
    <w:rsid w:val="00132B6C"/>
    <w:rsid w:val="00132C53"/>
    <w:rsid w:val="00132D0D"/>
    <w:rsid w:val="00132D3E"/>
    <w:rsid w:val="00132DCC"/>
    <w:rsid w:val="00132E52"/>
    <w:rsid w:val="0013306A"/>
    <w:rsid w:val="0013339C"/>
    <w:rsid w:val="001335EC"/>
    <w:rsid w:val="001335FE"/>
    <w:rsid w:val="00133644"/>
    <w:rsid w:val="00133873"/>
    <w:rsid w:val="00133907"/>
    <w:rsid w:val="0013392F"/>
    <w:rsid w:val="0013397D"/>
    <w:rsid w:val="001339C9"/>
    <w:rsid w:val="00133A33"/>
    <w:rsid w:val="00133C1B"/>
    <w:rsid w:val="00133C65"/>
    <w:rsid w:val="00133D06"/>
    <w:rsid w:val="00134096"/>
    <w:rsid w:val="001343C2"/>
    <w:rsid w:val="00134860"/>
    <w:rsid w:val="00134A97"/>
    <w:rsid w:val="00134B8A"/>
    <w:rsid w:val="00134B98"/>
    <w:rsid w:val="00135222"/>
    <w:rsid w:val="001352EB"/>
    <w:rsid w:val="001354BA"/>
    <w:rsid w:val="001355DB"/>
    <w:rsid w:val="00135600"/>
    <w:rsid w:val="001356A6"/>
    <w:rsid w:val="0013583C"/>
    <w:rsid w:val="001358DF"/>
    <w:rsid w:val="00135BDF"/>
    <w:rsid w:val="00135FEF"/>
    <w:rsid w:val="00135FF1"/>
    <w:rsid w:val="001360E3"/>
    <w:rsid w:val="001363AB"/>
    <w:rsid w:val="00136407"/>
    <w:rsid w:val="0013654D"/>
    <w:rsid w:val="001366B0"/>
    <w:rsid w:val="001368B5"/>
    <w:rsid w:val="0013690F"/>
    <w:rsid w:val="00136A1D"/>
    <w:rsid w:val="00136C1A"/>
    <w:rsid w:val="00136C76"/>
    <w:rsid w:val="00136CC0"/>
    <w:rsid w:val="00136F70"/>
    <w:rsid w:val="00137017"/>
    <w:rsid w:val="001370B9"/>
    <w:rsid w:val="00137203"/>
    <w:rsid w:val="0013733A"/>
    <w:rsid w:val="00137361"/>
    <w:rsid w:val="001374E4"/>
    <w:rsid w:val="00137730"/>
    <w:rsid w:val="0013773B"/>
    <w:rsid w:val="00137B2F"/>
    <w:rsid w:val="00137B9C"/>
    <w:rsid w:val="00137C8A"/>
    <w:rsid w:val="00137E28"/>
    <w:rsid w:val="00137E9E"/>
    <w:rsid w:val="00137EA6"/>
    <w:rsid w:val="00137F18"/>
    <w:rsid w:val="00137FC9"/>
    <w:rsid w:val="0014008E"/>
    <w:rsid w:val="00140096"/>
    <w:rsid w:val="00140100"/>
    <w:rsid w:val="00140224"/>
    <w:rsid w:val="0014061C"/>
    <w:rsid w:val="0014088F"/>
    <w:rsid w:val="00140A67"/>
    <w:rsid w:val="00140A9F"/>
    <w:rsid w:val="00140C4D"/>
    <w:rsid w:val="00140CE4"/>
    <w:rsid w:val="00140D73"/>
    <w:rsid w:val="00140E52"/>
    <w:rsid w:val="00140EB3"/>
    <w:rsid w:val="00140FB9"/>
    <w:rsid w:val="001414A7"/>
    <w:rsid w:val="001418A7"/>
    <w:rsid w:val="00141BE8"/>
    <w:rsid w:val="00141D43"/>
    <w:rsid w:val="00141D6A"/>
    <w:rsid w:val="00141D86"/>
    <w:rsid w:val="00141F3F"/>
    <w:rsid w:val="001421B5"/>
    <w:rsid w:val="001427A1"/>
    <w:rsid w:val="00142866"/>
    <w:rsid w:val="001429A3"/>
    <w:rsid w:val="00142A13"/>
    <w:rsid w:val="00142A2F"/>
    <w:rsid w:val="00142A58"/>
    <w:rsid w:val="00142B95"/>
    <w:rsid w:val="00142EA3"/>
    <w:rsid w:val="00142EC0"/>
    <w:rsid w:val="00142FBF"/>
    <w:rsid w:val="00142FF7"/>
    <w:rsid w:val="001430AD"/>
    <w:rsid w:val="0014342B"/>
    <w:rsid w:val="00143485"/>
    <w:rsid w:val="001435A5"/>
    <w:rsid w:val="001435B0"/>
    <w:rsid w:val="001436A7"/>
    <w:rsid w:val="00143755"/>
    <w:rsid w:val="0014383D"/>
    <w:rsid w:val="001438B3"/>
    <w:rsid w:val="00143998"/>
    <w:rsid w:val="001439A2"/>
    <w:rsid w:val="00143DAC"/>
    <w:rsid w:val="00143E0E"/>
    <w:rsid w:val="00143EF9"/>
    <w:rsid w:val="0014488A"/>
    <w:rsid w:val="00144927"/>
    <w:rsid w:val="00144995"/>
    <w:rsid w:val="00144A53"/>
    <w:rsid w:val="00144A59"/>
    <w:rsid w:val="00144B36"/>
    <w:rsid w:val="00144B4F"/>
    <w:rsid w:val="00144B59"/>
    <w:rsid w:val="00144B62"/>
    <w:rsid w:val="00145067"/>
    <w:rsid w:val="001452E3"/>
    <w:rsid w:val="00145964"/>
    <w:rsid w:val="00145AF0"/>
    <w:rsid w:val="00145E68"/>
    <w:rsid w:val="00145EE6"/>
    <w:rsid w:val="00146001"/>
    <w:rsid w:val="00146282"/>
    <w:rsid w:val="00146383"/>
    <w:rsid w:val="00146498"/>
    <w:rsid w:val="001464D8"/>
    <w:rsid w:val="00146504"/>
    <w:rsid w:val="001465A6"/>
    <w:rsid w:val="00146610"/>
    <w:rsid w:val="00146945"/>
    <w:rsid w:val="00146BCA"/>
    <w:rsid w:val="00146E3A"/>
    <w:rsid w:val="00146EC8"/>
    <w:rsid w:val="00147253"/>
    <w:rsid w:val="00147285"/>
    <w:rsid w:val="00147558"/>
    <w:rsid w:val="001475CB"/>
    <w:rsid w:val="00147694"/>
    <w:rsid w:val="001476CA"/>
    <w:rsid w:val="00147705"/>
    <w:rsid w:val="0014772C"/>
    <w:rsid w:val="00147A1C"/>
    <w:rsid w:val="00147AE8"/>
    <w:rsid w:val="00147E3C"/>
    <w:rsid w:val="00147EEE"/>
    <w:rsid w:val="00147FDF"/>
    <w:rsid w:val="00150362"/>
    <w:rsid w:val="001505FC"/>
    <w:rsid w:val="0015079C"/>
    <w:rsid w:val="00150850"/>
    <w:rsid w:val="0015088B"/>
    <w:rsid w:val="001508B7"/>
    <w:rsid w:val="00150A0D"/>
    <w:rsid w:val="00150A2E"/>
    <w:rsid w:val="00150A7A"/>
    <w:rsid w:val="00150C1F"/>
    <w:rsid w:val="00150EEA"/>
    <w:rsid w:val="00150F1F"/>
    <w:rsid w:val="001510E6"/>
    <w:rsid w:val="001512B6"/>
    <w:rsid w:val="0015143B"/>
    <w:rsid w:val="0015158B"/>
    <w:rsid w:val="001515F3"/>
    <w:rsid w:val="0015164F"/>
    <w:rsid w:val="001516FB"/>
    <w:rsid w:val="00151745"/>
    <w:rsid w:val="0015180A"/>
    <w:rsid w:val="00151AA5"/>
    <w:rsid w:val="00151B52"/>
    <w:rsid w:val="00151C76"/>
    <w:rsid w:val="00151D43"/>
    <w:rsid w:val="00151D61"/>
    <w:rsid w:val="00151DEE"/>
    <w:rsid w:val="00151E89"/>
    <w:rsid w:val="00151FE5"/>
    <w:rsid w:val="0015224A"/>
    <w:rsid w:val="0015229F"/>
    <w:rsid w:val="00152557"/>
    <w:rsid w:val="0015256E"/>
    <w:rsid w:val="001525B6"/>
    <w:rsid w:val="0015261D"/>
    <w:rsid w:val="00152B2A"/>
    <w:rsid w:val="00152B3B"/>
    <w:rsid w:val="00152E2A"/>
    <w:rsid w:val="00152EB6"/>
    <w:rsid w:val="00152FBD"/>
    <w:rsid w:val="0015312F"/>
    <w:rsid w:val="001531AF"/>
    <w:rsid w:val="001531B7"/>
    <w:rsid w:val="0015325B"/>
    <w:rsid w:val="00153290"/>
    <w:rsid w:val="001532ED"/>
    <w:rsid w:val="001534D2"/>
    <w:rsid w:val="0015369A"/>
    <w:rsid w:val="00153743"/>
    <w:rsid w:val="001539C0"/>
    <w:rsid w:val="00153A21"/>
    <w:rsid w:val="00153A80"/>
    <w:rsid w:val="00153ABF"/>
    <w:rsid w:val="00153AC6"/>
    <w:rsid w:val="00153C4A"/>
    <w:rsid w:val="001540F6"/>
    <w:rsid w:val="00154315"/>
    <w:rsid w:val="0015447B"/>
    <w:rsid w:val="001544F6"/>
    <w:rsid w:val="00154552"/>
    <w:rsid w:val="00154688"/>
    <w:rsid w:val="00154710"/>
    <w:rsid w:val="001549C4"/>
    <w:rsid w:val="00154BEE"/>
    <w:rsid w:val="00154C4A"/>
    <w:rsid w:val="00154D0D"/>
    <w:rsid w:val="00154F64"/>
    <w:rsid w:val="00154FEF"/>
    <w:rsid w:val="00155008"/>
    <w:rsid w:val="001554C5"/>
    <w:rsid w:val="001555EA"/>
    <w:rsid w:val="0015564C"/>
    <w:rsid w:val="00155676"/>
    <w:rsid w:val="001556C9"/>
    <w:rsid w:val="001556FD"/>
    <w:rsid w:val="0015588C"/>
    <w:rsid w:val="00155892"/>
    <w:rsid w:val="00155C98"/>
    <w:rsid w:val="00155D00"/>
    <w:rsid w:val="00156085"/>
    <w:rsid w:val="00156110"/>
    <w:rsid w:val="00156126"/>
    <w:rsid w:val="0015614E"/>
    <w:rsid w:val="0015632F"/>
    <w:rsid w:val="001566E7"/>
    <w:rsid w:val="0015679A"/>
    <w:rsid w:val="001568F8"/>
    <w:rsid w:val="00156910"/>
    <w:rsid w:val="00156AD8"/>
    <w:rsid w:val="00156B08"/>
    <w:rsid w:val="00156CEB"/>
    <w:rsid w:val="00156D66"/>
    <w:rsid w:val="00156E5B"/>
    <w:rsid w:val="00156F93"/>
    <w:rsid w:val="00157163"/>
    <w:rsid w:val="00157279"/>
    <w:rsid w:val="0015755D"/>
    <w:rsid w:val="0015759D"/>
    <w:rsid w:val="001575D8"/>
    <w:rsid w:val="0015764F"/>
    <w:rsid w:val="00157691"/>
    <w:rsid w:val="001576C2"/>
    <w:rsid w:val="00157882"/>
    <w:rsid w:val="00157A01"/>
    <w:rsid w:val="00157B3B"/>
    <w:rsid w:val="00157D31"/>
    <w:rsid w:val="00160086"/>
    <w:rsid w:val="001600C0"/>
    <w:rsid w:val="001603EA"/>
    <w:rsid w:val="00160557"/>
    <w:rsid w:val="00160572"/>
    <w:rsid w:val="00160785"/>
    <w:rsid w:val="00160820"/>
    <w:rsid w:val="00160B2A"/>
    <w:rsid w:val="00160BDA"/>
    <w:rsid w:val="00160CB3"/>
    <w:rsid w:val="00160EB7"/>
    <w:rsid w:val="00160EBD"/>
    <w:rsid w:val="0016116F"/>
    <w:rsid w:val="0016117D"/>
    <w:rsid w:val="001612FD"/>
    <w:rsid w:val="0016154C"/>
    <w:rsid w:val="00161650"/>
    <w:rsid w:val="00161665"/>
    <w:rsid w:val="001616B2"/>
    <w:rsid w:val="00161899"/>
    <w:rsid w:val="001619CF"/>
    <w:rsid w:val="00161C44"/>
    <w:rsid w:val="00161E8F"/>
    <w:rsid w:val="00161F0A"/>
    <w:rsid w:val="00161F34"/>
    <w:rsid w:val="00162029"/>
    <w:rsid w:val="001620BA"/>
    <w:rsid w:val="0016244A"/>
    <w:rsid w:val="00162573"/>
    <w:rsid w:val="0016268D"/>
    <w:rsid w:val="00162690"/>
    <w:rsid w:val="0016278B"/>
    <w:rsid w:val="001629F7"/>
    <w:rsid w:val="00162AE6"/>
    <w:rsid w:val="00162C0D"/>
    <w:rsid w:val="00162C31"/>
    <w:rsid w:val="00162E38"/>
    <w:rsid w:val="00163251"/>
    <w:rsid w:val="00163331"/>
    <w:rsid w:val="00163371"/>
    <w:rsid w:val="0016343B"/>
    <w:rsid w:val="001634CF"/>
    <w:rsid w:val="00163554"/>
    <w:rsid w:val="00163597"/>
    <w:rsid w:val="001636D3"/>
    <w:rsid w:val="00163769"/>
    <w:rsid w:val="00163867"/>
    <w:rsid w:val="00163CB4"/>
    <w:rsid w:val="00164017"/>
    <w:rsid w:val="001640D5"/>
    <w:rsid w:val="00164145"/>
    <w:rsid w:val="00164163"/>
    <w:rsid w:val="00164421"/>
    <w:rsid w:val="00164645"/>
    <w:rsid w:val="0016472F"/>
    <w:rsid w:val="00164860"/>
    <w:rsid w:val="00164982"/>
    <w:rsid w:val="00164C2A"/>
    <w:rsid w:val="00164ECE"/>
    <w:rsid w:val="00164F75"/>
    <w:rsid w:val="0016545F"/>
    <w:rsid w:val="00165541"/>
    <w:rsid w:val="00165644"/>
    <w:rsid w:val="00165658"/>
    <w:rsid w:val="0016587F"/>
    <w:rsid w:val="00165A3F"/>
    <w:rsid w:val="00165AAD"/>
    <w:rsid w:val="00165B27"/>
    <w:rsid w:val="00165B43"/>
    <w:rsid w:val="00165C5B"/>
    <w:rsid w:val="00166186"/>
    <w:rsid w:val="00166459"/>
    <w:rsid w:val="001664AD"/>
    <w:rsid w:val="00166642"/>
    <w:rsid w:val="001666E9"/>
    <w:rsid w:val="00166781"/>
    <w:rsid w:val="001667DF"/>
    <w:rsid w:val="00166875"/>
    <w:rsid w:val="00166AD5"/>
    <w:rsid w:val="00166B40"/>
    <w:rsid w:val="00166C1C"/>
    <w:rsid w:val="00166DD3"/>
    <w:rsid w:val="00166F19"/>
    <w:rsid w:val="00166FA5"/>
    <w:rsid w:val="00167057"/>
    <w:rsid w:val="001670B5"/>
    <w:rsid w:val="001675A3"/>
    <w:rsid w:val="00167853"/>
    <w:rsid w:val="001679AA"/>
    <w:rsid w:val="00167C18"/>
    <w:rsid w:val="00167D30"/>
    <w:rsid w:val="00167DE4"/>
    <w:rsid w:val="00167E29"/>
    <w:rsid w:val="0017003D"/>
    <w:rsid w:val="001700A3"/>
    <w:rsid w:val="00170102"/>
    <w:rsid w:val="001701A8"/>
    <w:rsid w:val="001702F8"/>
    <w:rsid w:val="0017039C"/>
    <w:rsid w:val="001707C8"/>
    <w:rsid w:val="00170913"/>
    <w:rsid w:val="00170995"/>
    <w:rsid w:val="001709BB"/>
    <w:rsid w:val="001709F0"/>
    <w:rsid w:val="00170C32"/>
    <w:rsid w:val="00170E7B"/>
    <w:rsid w:val="00170EAC"/>
    <w:rsid w:val="00171328"/>
    <w:rsid w:val="00171732"/>
    <w:rsid w:val="001717C2"/>
    <w:rsid w:val="00171910"/>
    <w:rsid w:val="0017196C"/>
    <w:rsid w:val="00171A80"/>
    <w:rsid w:val="00171B1F"/>
    <w:rsid w:val="00171B38"/>
    <w:rsid w:val="00171CD4"/>
    <w:rsid w:val="00171EB5"/>
    <w:rsid w:val="0017200F"/>
    <w:rsid w:val="001722CA"/>
    <w:rsid w:val="0017238A"/>
    <w:rsid w:val="001723BE"/>
    <w:rsid w:val="001724F2"/>
    <w:rsid w:val="001725C8"/>
    <w:rsid w:val="001725E4"/>
    <w:rsid w:val="0017265F"/>
    <w:rsid w:val="0017277F"/>
    <w:rsid w:val="001729CD"/>
    <w:rsid w:val="00172A4E"/>
    <w:rsid w:val="00172A81"/>
    <w:rsid w:val="00172AFA"/>
    <w:rsid w:val="00172BA5"/>
    <w:rsid w:val="00172FB2"/>
    <w:rsid w:val="00172FB3"/>
    <w:rsid w:val="0017309D"/>
    <w:rsid w:val="0017312C"/>
    <w:rsid w:val="001731F6"/>
    <w:rsid w:val="0017326C"/>
    <w:rsid w:val="00173513"/>
    <w:rsid w:val="0017353D"/>
    <w:rsid w:val="00173687"/>
    <w:rsid w:val="001736AD"/>
    <w:rsid w:val="001737E1"/>
    <w:rsid w:val="00173985"/>
    <w:rsid w:val="00173A65"/>
    <w:rsid w:val="00173CBC"/>
    <w:rsid w:val="00173CD9"/>
    <w:rsid w:val="00173D4A"/>
    <w:rsid w:val="001742CB"/>
    <w:rsid w:val="001743C9"/>
    <w:rsid w:val="0017442E"/>
    <w:rsid w:val="00174479"/>
    <w:rsid w:val="001744E5"/>
    <w:rsid w:val="0017463E"/>
    <w:rsid w:val="001749A0"/>
    <w:rsid w:val="00174AE7"/>
    <w:rsid w:val="00174CE7"/>
    <w:rsid w:val="00174CF4"/>
    <w:rsid w:val="00174EF5"/>
    <w:rsid w:val="00174F19"/>
    <w:rsid w:val="001751B3"/>
    <w:rsid w:val="0017551F"/>
    <w:rsid w:val="00175594"/>
    <w:rsid w:val="0017565D"/>
    <w:rsid w:val="0017565F"/>
    <w:rsid w:val="0017585D"/>
    <w:rsid w:val="0017596E"/>
    <w:rsid w:val="00175BFA"/>
    <w:rsid w:val="00175D12"/>
    <w:rsid w:val="00175E17"/>
    <w:rsid w:val="00176053"/>
    <w:rsid w:val="00176264"/>
    <w:rsid w:val="001764D0"/>
    <w:rsid w:val="00176723"/>
    <w:rsid w:val="001767D3"/>
    <w:rsid w:val="001768EE"/>
    <w:rsid w:val="001769F8"/>
    <w:rsid w:val="00176D16"/>
    <w:rsid w:val="00176D23"/>
    <w:rsid w:val="00176D4B"/>
    <w:rsid w:val="00176D95"/>
    <w:rsid w:val="00176E62"/>
    <w:rsid w:val="00176F9B"/>
    <w:rsid w:val="00177006"/>
    <w:rsid w:val="001770A6"/>
    <w:rsid w:val="001770D9"/>
    <w:rsid w:val="00177193"/>
    <w:rsid w:val="0017734B"/>
    <w:rsid w:val="001773DE"/>
    <w:rsid w:val="00177C79"/>
    <w:rsid w:val="00177CA0"/>
    <w:rsid w:val="00177E41"/>
    <w:rsid w:val="00177EAA"/>
    <w:rsid w:val="00177EBC"/>
    <w:rsid w:val="00177F61"/>
    <w:rsid w:val="00180137"/>
    <w:rsid w:val="00180207"/>
    <w:rsid w:val="00180318"/>
    <w:rsid w:val="001803AB"/>
    <w:rsid w:val="00180450"/>
    <w:rsid w:val="00180472"/>
    <w:rsid w:val="001804A1"/>
    <w:rsid w:val="00180513"/>
    <w:rsid w:val="0018053B"/>
    <w:rsid w:val="001805C1"/>
    <w:rsid w:val="001806BC"/>
    <w:rsid w:val="00180B5A"/>
    <w:rsid w:val="00180BCE"/>
    <w:rsid w:val="00180E68"/>
    <w:rsid w:val="00180E72"/>
    <w:rsid w:val="00180EAE"/>
    <w:rsid w:val="00180EEC"/>
    <w:rsid w:val="00180FB8"/>
    <w:rsid w:val="00180FD6"/>
    <w:rsid w:val="0018127F"/>
    <w:rsid w:val="00181310"/>
    <w:rsid w:val="001813D8"/>
    <w:rsid w:val="0018176F"/>
    <w:rsid w:val="0018194C"/>
    <w:rsid w:val="00181A69"/>
    <w:rsid w:val="00181BC8"/>
    <w:rsid w:val="00181BE0"/>
    <w:rsid w:val="00181CB9"/>
    <w:rsid w:val="00181E4C"/>
    <w:rsid w:val="00181E9B"/>
    <w:rsid w:val="00181F79"/>
    <w:rsid w:val="00181FA3"/>
    <w:rsid w:val="00182007"/>
    <w:rsid w:val="00182092"/>
    <w:rsid w:val="0018219B"/>
    <w:rsid w:val="00182209"/>
    <w:rsid w:val="00182211"/>
    <w:rsid w:val="00182319"/>
    <w:rsid w:val="0018253F"/>
    <w:rsid w:val="0018269F"/>
    <w:rsid w:val="00182861"/>
    <w:rsid w:val="001828C4"/>
    <w:rsid w:val="001828E3"/>
    <w:rsid w:val="0018291D"/>
    <w:rsid w:val="00182936"/>
    <w:rsid w:val="001829D9"/>
    <w:rsid w:val="00182BA8"/>
    <w:rsid w:val="00182C12"/>
    <w:rsid w:val="00182CAE"/>
    <w:rsid w:val="00182D69"/>
    <w:rsid w:val="00182E8A"/>
    <w:rsid w:val="00182E8B"/>
    <w:rsid w:val="00182EB4"/>
    <w:rsid w:val="001830B9"/>
    <w:rsid w:val="001830C1"/>
    <w:rsid w:val="001831D8"/>
    <w:rsid w:val="00183342"/>
    <w:rsid w:val="00183670"/>
    <w:rsid w:val="001837FB"/>
    <w:rsid w:val="00183A38"/>
    <w:rsid w:val="00183CBE"/>
    <w:rsid w:val="00183FDD"/>
    <w:rsid w:val="00184249"/>
    <w:rsid w:val="001843F4"/>
    <w:rsid w:val="001843FB"/>
    <w:rsid w:val="0018454F"/>
    <w:rsid w:val="001845CC"/>
    <w:rsid w:val="001845CD"/>
    <w:rsid w:val="00184AD1"/>
    <w:rsid w:val="00184AD6"/>
    <w:rsid w:val="00184AF7"/>
    <w:rsid w:val="00184CE7"/>
    <w:rsid w:val="00184EB0"/>
    <w:rsid w:val="00184F0C"/>
    <w:rsid w:val="00184F74"/>
    <w:rsid w:val="001851A0"/>
    <w:rsid w:val="00185276"/>
    <w:rsid w:val="001852EB"/>
    <w:rsid w:val="0018543E"/>
    <w:rsid w:val="00185540"/>
    <w:rsid w:val="0018567C"/>
    <w:rsid w:val="001857C7"/>
    <w:rsid w:val="00185889"/>
    <w:rsid w:val="001858A6"/>
    <w:rsid w:val="0018591A"/>
    <w:rsid w:val="00185939"/>
    <w:rsid w:val="00185CC9"/>
    <w:rsid w:val="00185FAE"/>
    <w:rsid w:val="00185FE1"/>
    <w:rsid w:val="001860BE"/>
    <w:rsid w:val="00186133"/>
    <w:rsid w:val="00186228"/>
    <w:rsid w:val="001863C4"/>
    <w:rsid w:val="00186440"/>
    <w:rsid w:val="00186551"/>
    <w:rsid w:val="00186595"/>
    <w:rsid w:val="00186679"/>
    <w:rsid w:val="00186AAE"/>
    <w:rsid w:val="00186C11"/>
    <w:rsid w:val="00186DAC"/>
    <w:rsid w:val="00186E7B"/>
    <w:rsid w:val="00186ED4"/>
    <w:rsid w:val="00186F0A"/>
    <w:rsid w:val="00186F6C"/>
    <w:rsid w:val="0018718F"/>
    <w:rsid w:val="00187262"/>
    <w:rsid w:val="001872D1"/>
    <w:rsid w:val="00187436"/>
    <w:rsid w:val="0018760B"/>
    <w:rsid w:val="0018762F"/>
    <w:rsid w:val="00187692"/>
    <w:rsid w:val="00187822"/>
    <w:rsid w:val="00187A58"/>
    <w:rsid w:val="00187DD5"/>
    <w:rsid w:val="00187F94"/>
    <w:rsid w:val="001900C1"/>
    <w:rsid w:val="00190335"/>
    <w:rsid w:val="00190597"/>
    <w:rsid w:val="0019059E"/>
    <w:rsid w:val="0019067E"/>
    <w:rsid w:val="001906E6"/>
    <w:rsid w:val="0019085D"/>
    <w:rsid w:val="0019095F"/>
    <w:rsid w:val="001909F7"/>
    <w:rsid w:val="00190AE2"/>
    <w:rsid w:val="00190BA9"/>
    <w:rsid w:val="00190BCB"/>
    <w:rsid w:val="00190CD2"/>
    <w:rsid w:val="00190CF4"/>
    <w:rsid w:val="00191047"/>
    <w:rsid w:val="00191048"/>
    <w:rsid w:val="0019122B"/>
    <w:rsid w:val="00191346"/>
    <w:rsid w:val="001913D5"/>
    <w:rsid w:val="00191550"/>
    <w:rsid w:val="0019158E"/>
    <w:rsid w:val="001915E3"/>
    <w:rsid w:val="001917BD"/>
    <w:rsid w:val="00191849"/>
    <w:rsid w:val="00191A84"/>
    <w:rsid w:val="00191E0B"/>
    <w:rsid w:val="00191F38"/>
    <w:rsid w:val="00191FE6"/>
    <w:rsid w:val="001921CF"/>
    <w:rsid w:val="00192350"/>
    <w:rsid w:val="001924A8"/>
    <w:rsid w:val="0019254B"/>
    <w:rsid w:val="00192701"/>
    <w:rsid w:val="0019284E"/>
    <w:rsid w:val="00192ADB"/>
    <w:rsid w:val="00192BC0"/>
    <w:rsid w:val="00192C6D"/>
    <w:rsid w:val="00192D59"/>
    <w:rsid w:val="00192F79"/>
    <w:rsid w:val="0019300F"/>
    <w:rsid w:val="00193022"/>
    <w:rsid w:val="0019308A"/>
    <w:rsid w:val="0019340F"/>
    <w:rsid w:val="0019346C"/>
    <w:rsid w:val="00193792"/>
    <w:rsid w:val="0019383B"/>
    <w:rsid w:val="0019396C"/>
    <w:rsid w:val="00193AA1"/>
    <w:rsid w:val="00193AD9"/>
    <w:rsid w:val="00193B82"/>
    <w:rsid w:val="00193C6D"/>
    <w:rsid w:val="00193E5A"/>
    <w:rsid w:val="00193FAA"/>
    <w:rsid w:val="001940B5"/>
    <w:rsid w:val="00194177"/>
    <w:rsid w:val="0019419E"/>
    <w:rsid w:val="0019427E"/>
    <w:rsid w:val="001944BD"/>
    <w:rsid w:val="00194635"/>
    <w:rsid w:val="00194881"/>
    <w:rsid w:val="00194D89"/>
    <w:rsid w:val="00194DB7"/>
    <w:rsid w:val="00195036"/>
    <w:rsid w:val="0019507C"/>
    <w:rsid w:val="00195414"/>
    <w:rsid w:val="0019550C"/>
    <w:rsid w:val="001959B9"/>
    <w:rsid w:val="00195A3F"/>
    <w:rsid w:val="00195A76"/>
    <w:rsid w:val="00195BBF"/>
    <w:rsid w:val="00195C39"/>
    <w:rsid w:val="00195F49"/>
    <w:rsid w:val="00196022"/>
    <w:rsid w:val="001961CC"/>
    <w:rsid w:val="0019625A"/>
    <w:rsid w:val="0019644E"/>
    <w:rsid w:val="0019666F"/>
    <w:rsid w:val="00196799"/>
    <w:rsid w:val="00196870"/>
    <w:rsid w:val="001968D5"/>
    <w:rsid w:val="001969B9"/>
    <w:rsid w:val="00196A03"/>
    <w:rsid w:val="00196AA6"/>
    <w:rsid w:val="00196AA9"/>
    <w:rsid w:val="00196B26"/>
    <w:rsid w:val="00196B2B"/>
    <w:rsid w:val="00196C2F"/>
    <w:rsid w:val="00196C3E"/>
    <w:rsid w:val="00196E06"/>
    <w:rsid w:val="00196EB2"/>
    <w:rsid w:val="00196F7C"/>
    <w:rsid w:val="00197236"/>
    <w:rsid w:val="00197599"/>
    <w:rsid w:val="001977B1"/>
    <w:rsid w:val="0019781A"/>
    <w:rsid w:val="0019781C"/>
    <w:rsid w:val="00197848"/>
    <w:rsid w:val="00197AC8"/>
    <w:rsid w:val="00197C72"/>
    <w:rsid w:val="00197C8D"/>
    <w:rsid w:val="00197C9E"/>
    <w:rsid w:val="00197CBC"/>
    <w:rsid w:val="00197D54"/>
    <w:rsid w:val="001A038B"/>
    <w:rsid w:val="001A03E4"/>
    <w:rsid w:val="001A0704"/>
    <w:rsid w:val="001A0717"/>
    <w:rsid w:val="001A08CF"/>
    <w:rsid w:val="001A0B77"/>
    <w:rsid w:val="001A0EDD"/>
    <w:rsid w:val="001A10DE"/>
    <w:rsid w:val="001A13E5"/>
    <w:rsid w:val="001A166E"/>
    <w:rsid w:val="001A16C6"/>
    <w:rsid w:val="001A1778"/>
    <w:rsid w:val="001A1A79"/>
    <w:rsid w:val="001A1CBB"/>
    <w:rsid w:val="001A1E51"/>
    <w:rsid w:val="001A1F63"/>
    <w:rsid w:val="001A21B6"/>
    <w:rsid w:val="001A22C1"/>
    <w:rsid w:val="001A23EC"/>
    <w:rsid w:val="001A24B3"/>
    <w:rsid w:val="001A2565"/>
    <w:rsid w:val="001A267C"/>
    <w:rsid w:val="001A2748"/>
    <w:rsid w:val="001A276A"/>
    <w:rsid w:val="001A2903"/>
    <w:rsid w:val="001A295E"/>
    <w:rsid w:val="001A29D8"/>
    <w:rsid w:val="001A2A74"/>
    <w:rsid w:val="001A2DFB"/>
    <w:rsid w:val="001A2EB8"/>
    <w:rsid w:val="001A301A"/>
    <w:rsid w:val="001A351B"/>
    <w:rsid w:val="001A35C9"/>
    <w:rsid w:val="001A3704"/>
    <w:rsid w:val="001A3D66"/>
    <w:rsid w:val="001A3EA5"/>
    <w:rsid w:val="001A41E2"/>
    <w:rsid w:val="001A434D"/>
    <w:rsid w:val="001A45B4"/>
    <w:rsid w:val="001A45BF"/>
    <w:rsid w:val="001A48E4"/>
    <w:rsid w:val="001A4901"/>
    <w:rsid w:val="001A4A2C"/>
    <w:rsid w:val="001A4AD5"/>
    <w:rsid w:val="001A4EAF"/>
    <w:rsid w:val="001A4F21"/>
    <w:rsid w:val="001A501B"/>
    <w:rsid w:val="001A50B5"/>
    <w:rsid w:val="001A512A"/>
    <w:rsid w:val="001A520C"/>
    <w:rsid w:val="001A521D"/>
    <w:rsid w:val="001A56E0"/>
    <w:rsid w:val="001A5849"/>
    <w:rsid w:val="001A5973"/>
    <w:rsid w:val="001A599E"/>
    <w:rsid w:val="001A5AE0"/>
    <w:rsid w:val="001A5B34"/>
    <w:rsid w:val="001A5C50"/>
    <w:rsid w:val="001A5D55"/>
    <w:rsid w:val="001A5E49"/>
    <w:rsid w:val="001A5EB6"/>
    <w:rsid w:val="001A6047"/>
    <w:rsid w:val="001A6061"/>
    <w:rsid w:val="001A60BD"/>
    <w:rsid w:val="001A62A1"/>
    <w:rsid w:val="001A6309"/>
    <w:rsid w:val="001A6320"/>
    <w:rsid w:val="001A635D"/>
    <w:rsid w:val="001A64BD"/>
    <w:rsid w:val="001A6664"/>
    <w:rsid w:val="001A6716"/>
    <w:rsid w:val="001A69EA"/>
    <w:rsid w:val="001A6AB6"/>
    <w:rsid w:val="001A6BA2"/>
    <w:rsid w:val="001A6CA8"/>
    <w:rsid w:val="001A6D2D"/>
    <w:rsid w:val="001A6E32"/>
    <w:rsid w:val="001A6F48"/>
    <w:rsid w:val="001A6F63"/>
    <w:rsid w:val="001A6FF5"/>
    <w:rsid w:val="001A71DF"/>
    <w:rsid w:val="001A7459"/>
    <w:rsid w:val="001A75C0"/>
    <w:rsid w:val="001A76AE"/>
    <w:rsid w:val="001A76C9"/>
    <w:rsid w:val="001A76D9"/>
    <w:rsid w:val="001A786C"/>
    <w:rsid w:val="001A793C"/>
    <w:rsid w:val="001A7C17"/>
    <w:rsid w:val="001A7E12"/>
    <w:rsid w:val="001B01B6"/>
    <w:rsid w:val="001B01DD"/>
    <w:rsid w:val="001B034C"/>
    <w:rsid w:val="001B03DB"/>
    <w:rsid w:val="001B04DF"/>
    <w:rsid w:val="001B051A"/>
    <w:rsid w:val="001B056A"/>
    <w:rsid w:val="001B0861"/>
    <w:rsid w:val="001B0953"/>
    <w:rsid w:val="001B09E6"/>
    <w:rsid w:val="001B0B1E"/>
    <w:rsid w:val="001B0D73"/>
    <w:rsid w:val="001B0E7D"/>
    <w:rsid w:val="001B0EAE"/>
    <w:rsid w:val="001B1573"/>
    <w:rsid w:val="001B15F3"/>
    <w:rsid w:val="001B1789"/>
    <w:rsid w:val="001B17FE"/>
    <w:rsid w:val="001B194F"/>
    <w:rsid w:val="001B19C0"/>
    <w:rsid w:val="001B1A64"/>
    <w:rsid w:val="001B1BAA"/>
    <w:rsid w:val="001B1C5A"/>
    <w:rsid w:val="001B1D69"/>
    <w:rsid w:val="001B1E75"/>
    <w:rsid w:val="001B2159"/>
    <w:rsid w:val="001B21A3"/>
    <w:rsid w:val="001B23A3"/>
    <w:rsid w:val="001B2455"/>
    <w:rsid w:val="001B24B9"/>
    <w:rsid w:val="001B2654"/>
    <w:rsid w:val="001B27B3"/>
    <w:rsid w:val="001B27B7"/>
    <w:rsid w:val="001B28AB"/>
    <w:rsid w:val="001B296A"/>
    <w:rsid w:val="001B2A15"/>
    <w:rsid w:val="001B2A5C"/>
    <w:rsid w:val="001B2AEC"/>
    <w:rsid w:val="001B2C19"/>
    <w:rsid w:val="001B2F11"/>
    <w:rsid w:val="001B323E"/>
    <w:rsid w:val="001B344A"/>
    <w:rsid w:val="001B3554"/>
    <w:rsid w:val="001B378A"/>
    <w:rsid w:val="001B3AE0"/>
    <w:rsid w:val="001B3B8E"/>
    <w:rsid w:val="001B40A2"/>
    <w:rsid w:val="001B4320"/>
    <w:rsid w:val="001B4467"/>
    <w:rsid w:val="001B449D"/>
    <w:rsid w:val="001B44AC"/>
    <w:rsid w:val="001B460D"/>
    <w:rsid w:val="001B4B00"/>
    <w:rsid w:val="001B4FA1"/>
    <w:rsid w:val="001B50E3"/>
    <w:rsid w:val="001B51AA"/>
    <w:rsid w:val="001B522A"/>
    <w:rsid w:val="001B5318"/>
    <w:rsid w:val="001B5377"/>
    <w:rsid w:val="001B5398"/>
    <w:rsid w:val="001B53F7"/>
    <w:rsid w:val="001B586A"/>
    <w:rsid w:val="001B58C2"/>
    <w:rsid w:val="001B5B3B"/>
    <w:rsid w:val="001B5CED"/>
    <w:rsid w:val="001B6055"/>
    <w:rsid w:val="001B60B3"/>
    <w:rsid w:val="001B6245"/>
    <w:rsid w:val="001B6282"/>
    <w:rsid w:val="001B63AB"/>
    <w:rsid w:val="001B6575"/>
    <w:rsid w:val="001B6692"/>
    <w:rsid w:val="001B67E6"/>
    <w:rsid w:val="001B6864"/>
    <w:rsid w:val="001B688F"/>
    <w:rsid w:val="001B691C"/>
    <w:rsid w:val="001B699A"/>
    <w:rsid w:val="001B6A7F"/>
    <w:rsid w:val="001B6AE9"/>
    <w:rsid w:val="001B6D36"/>
    <w:rsid w:val="001B707E"/>
    <w:rsid w:val="001B72D1"/>
    <w:rsid w:val="001B737A"/>
    <w:rsid w:val="001B7582"/>
    <w:rsid w:val="001B7638"/>
    <w:rsid w:val="001B76B3"/>
    <w:rsid w:val="001B7856"/>
    <w:rsid w:val="001B78BC"/>
    <w:rsid w:val="001B78D5"/>
    <w:rsid w:val="001B7A3D"/>
    <w:rsid w:val="001B7A89"/>
    <w:rsid w:val="001B7B08"/>
    <w:rsid w:val="001B7B94"/>
    <w:rsid w:val="001B7CF4"/>
    <w:rsid w:val="001B7CF7"/>
    <w:rsid w:val="001B7E7F"/>
    <w:rsid w:val="001B7E8A"/>
    <w:rsid w:val="001C007F"/>
    <w:rsid w:val="001C0114"/>
    <w:rsid w:val="001C02B5"/>
    <w:rsid w:val="001C04B2"/>
    <w:rsid w:val="001C07CC"/>
    <w:rsid w:val="001C0B97"/>
    <w:rsid w:val="001C0C8A"/>
    <w:rsid w:val="001C0DCF"/>
    <w:rsid w:val="001C114C"/>
    <w:rsid w:val="001C1596"/>
    <w:rsid w:val="001C1960"/>
    <w:rsid w:val="001C19FA"/>
    <w:rsid w:val="001C1A4D"/>
    <w:rsid w:val="001C1A7E"/>
    <w:rsid w:val="001C1BD7"/>
    <w:rsid w:val="001C1CA4"/>
    <w:rsid w:val="001C2252"/>
    <w:rsid w:val="001C22ED"/>
    <w:rsid w:val="001C2336"/>
    <w:rsid w:val="001C2496"/>
    <w:rsid w:val="001C285A"/>
    <w:rsid w:val="001C2883"/>
    <w:rsid w:val="001C28BB"/>
    <w:rsid w:val="001C2A47"/>
    <w:rsid w:val="001C2AAF"/>
    <w:rsid w:val="001C2F01"/>
    <w:rsid w:val="001C3153"/>
    <w:rsid w:val="001C31D6"/>
    <w:rsid w:val="001C3347"/>
    <w:rsid w:val="001C33CF"/>
    <w:rsid w:val="001C342E"/>
    <w:rsid w:val="001C3484"/>
    <w:rsid w:val="001C355C"/>
    <w:rsid w:val="001C35A5"/>
    <w:rsid w:val="001C35C6"/>
    <w:rsid w:val="001C3A3D"/>
    <w:rsid w:val="001C3D10"/>
    <w:rsid w:val="001C3D9C"/>
    <w:rsid w:val="001C3FC4"/>
    <w:rsid w:val="001C4012"/>
    <w:rsid w:val="001C4101"/>
    <w:rsid w:val="001C424B"/>
    <w:rsid w:val="001C42A8"/>
    <w:rsid w:val="001C4364"/>
    <w:rsid w:val="001C448F"/>
    <w:rsid w:val="001C44E7"/>
    <w:rsid w:val="001C478A"/>
    <w:rsid w:val="001C492A"/>
    <w:rsid w:val="001C49B5"/>
    <w:rsid w:val="001C4B87"/>
    <w:rsid w:val="001C4C1E"/>
    <w:rsid w:val="001C4CA5"/>
    <w:rsid w:val="001C526E"/>
    <w:rsid w:val="001C539A"/>
    <w:rsid w:val="001C5485"/>
    <w:rsid w:val="001C54E3"/>
    <w:rsid w:val="001C56F3"/>
    <w:rsid w:val="001C57B4"/>
    <w:rsid w:val="001C5853"/>
    <w:rsid w:val="001C58D9"/>
    <w:rsid w:val="001C5C08"/>
    <w:rsid w:val="001C5FC6"/>
    <w:rsid w:val="001C6109"/>
    <w:rsid w:val="001C6174"/>
    <w:rsid w:val="001C61A7"/>
    <w:rsid w:val="001C625F"/>
    <w:rsid w:val="001C632A"/>
    <w:rsid w:val="001C663C"/>
    <w:rsid w:val="001C664D"/>
    <w:rsid w:val="001C67BF"/>
    <w:rsid w:val="001C6B9F"/>
    <w:rsid w:val="001C6D47"/>
    <w:rsid w:val="001C6D66"/>
    <w:rsid w:val="001C6EDC"/>
    <w:rsid w:val="001C7046"/>
    <w:rsid w:val="001C7547"/>
    <w:rsid w:val="001C76E8"/>
    <w:rsid w:val="001C77D7"/>
    <w:rsid w:val="001C7AE3"/>
    <w:rsid w:val="001C7D47"/>
    <w:rsid w:val="001C7D4C"/>
    <w:rsid w:val="001C7E82"/>
    <w:rsid w:val="001D0025"/>
    <w:rsid w:val="001D0106"/>
    <w:rsid w:val="001D0698"/>
    <w:rsid w:val="001D06FA"/>
    <w:rsid w:val="001D0810"/>
    <w:rsid w:val="001D0B25"/>
    <w:rsid w:val="001D0CA7"/>
    <w:rsid w:val="001D0E05"/>
    <w:rsid w:val="001D0E48"/>
    <w:rsid w:val="001D0EB1"/>
    <w:rsid w:val="001D118A"/>
    <w:rsid w:val="001D11C1"/>
    <w:rsid w:val="001D1397"/>
    <w:rsid w:val="001D14A3"/>
    <w:rsid w:val="001D1682"/>
    <w:rsid w:val="001D1A09"/>
    <w:rsid w:val="001D1B07"/>
    <w:rsid w:val="001D1B12"/>
    <w:rsid w:val="001D1C81"/>
    <w:rsid w:val="001D1CA4"/>
    <w:rsid w:val="001D1CAF"/>
    <w:rsid w:val="001D1D6C"/>
    <w:rsid w:val="001D1EEF"/>
    <w:rsid w:val="001D1FC0"/>
    <w:rsid w:val="001D200A"/>
    <w:rsid w:val="001D250C"/>
    <w:rsid w:val="001D2560"/>
    <w:rsid w:val="001D26FF"/>
    <w:rsid w:val="001D28CF"/>
    <w:rsid w:val="001D2A5E"/>
    <w:rsid w:val="001D2AFF"/>
    <w:rsid w:val="001D2B8C"/>
    <w:rsid w:val="001D2BAB"/>
    <w:rsid w:val="001D2BC8"/>
    <w:rsid w:val="001D2BD3"/>
    <w:rsid w:val="001D3144"/>
    <w:rsid w:val="001D3151"/>
    <w:rsid w:val="001D32B6"/>
    <w:rsid w:val="001D33D9"/>
    <w:rsid w:val="001D349D"/>
    <w:rsid w:val="001D3893"/>
    <w:rsid w:val="001D39A5"/>
    <w:rsid w:val="001D39CA"/>
    <w:rsid w:val="001D3AF5"/>
    <w:rsid w:val="001D3B4C"/>
    <w:rsid w:val="001D3DBD"/>
    <w:rsid w:val="001D3DCF"/>
    <w:rsid w:val="001D3EF7"/>
    <w:rsid w:val="001D407B"/>
    <w:rsid w:val="001D4311"/>
    <w:rsid w:val="001D4393"/>
    <w:rsid w:val="001D4586"/>
    <w:rsid w:val="001D4791"/>
    <w:rsid w:val="001D4839"/>
    <w:rsid w:val="001D4908"/>
    <w:rsid w:val="001D4A62"/>
    <w:rsid w:val="001D4F25"/>
    <w:rsid w:val="001D5281"/>
    <w:rsid w:val="001D5470"/>
    <w:rsid w:val="001D5513"/>
    <w:rsid w:val="001D56CE"/>
    <w:rsid w:val="001D57DD"/>
    <w:rsid w:val="001D5B74"/>
    <w:rsid w:val="001D5BD7"/>
    <w:rsid w:val="001D5CA1"/>
    <w:rsid w:val="001D5D35"/>
    <w:rsid w:val="001D5F97"/>
    <w:rsid w:val="001D6212"/>
    <w:rsid w:val="001D6334"/>
    <w:rsid w:val="001D65D7"/>
    <w:rsid w:val="001D67EE"/>
    <w:rsid w:val="001D6839"/>
    <w:rsid w:val="001D6AB2"/>
    <w:rsid w:val="001D6AF0"/>
    <w:rsid w:val="001D6B7B"/>
    <w:rsid w:val="001D6C51"/>
    <w:rsid w:val="001D6D21"/>
    <w:rsid w:val="001D6E44"/>
    <w:rsid w:val="001D6FCE"/>
    <w:rsid w:val="001D7165"/>
    <w:rsid w:val="001D73D1"/>
    <w:rsid w:val="001D75E6"/>
    <w:rsid w:val="001D7AD3"/>
    <w:rsid w:val="001D7C77"/>
    <w:rsid w:val="001D7D3C"/>
    <w:rsid w:val="001E00E8"/>
    <w:rsid w:val="001E0191"/>
    <w:rsid w:val="001E030D"/>
    <w:rsid w:val="001E0438"/>
    <w:rsid w:val="001E046C"/>
    <w:rsid w:val="001E0755"/>
    <w:rsid w:val="001E081D"/>
    <w:rsid w:val="001E08C3"/>
    <w:rsid w:val="001E08F6"/>
    <w:rsid w:val="001E091E"/>
    <w:rsid w:val="001E0B06"/>
    <w:rsid w:val="001E0B71"/>
    <w:rsid w:val="001E0C5A"/>
    <w:rsid w:val="001E0D0D"/>
    <w:rsid w:val="001E0D13"/>
    <w:rsid w:val="001E0E21"/>
    <w:rsid w:val="001E1094"/>
    <w:rsid w:val="001E1095"/>
    <w:rsid w:val="001E13F6"/>
    <w:rsid w:val="001E1576"/>
    <w:rsid w:val="001E16B2"/>
    <w:rsid w:val="001E18BA"/>
    <w:rsid w:val="001E18DC"/>
    <w:rsid w:val="001E1A0F"/>
    <w:rsid w:val="001E1C58"/>
    <w:rsid w:val="001E1DC7"/>
    <w:rsid w:val="001E1E37"/>
    <w:rsid w:val="001E1E38"/>
    <w:rsid w:val="001E1EBB"/>
    <w:rsid w:val="001E1F01"/>
    <w:rsid w:val="001E1FFE"/>
    <w:rsid w:val="001E2310"/>
    <w:rsid w:val="001E258D"/>
    <w:rsid w:val="001E271D"/>
    <w:rsid w:val="001E2757"/>
    <w:rsid w:val="001E27CF"/>
    <w:rsid w:val="001E2E84"/>
    <w:rsid w:val="001E2FCC"/>
    <w:rsid w:val="001E3037"/>
    <w:rsid w:val="001E328C"/>
    <w:rsid w:val="001E33FB"/>
    <w:rsid w:val="001E347A"/>
    <w:rsid w:val="001E3778"/>
    <w:rsid w:val="001E3C5E"/>
    <w:rsid w:val="001E3C7B"/>
    <w:rsid w:val="001E3E5E"/>
    <w:rsid w:val="001E3F4A"/>
    <w:rsid w:val="001E41DC"/>
    <w:rsid w:val="001E4438"/>
    <w:rsid w:val="001E45CD"/>
    <w:rsid w:val="001E460B"/>
    <w:rsid w:val="001E47E6"/>
    <w:rsid w:val="001E487A"/>
    <w:rsid w:val="001E49C2"/>
    <w:rsid w:val="001E4A6B"/>
    <w:rsid w:val="001E4A71"/>
    <w:rsid w:val="001E4AB0"/>
    <w:rsid w:val="001E4B94"/>
    <w:rsid w:val="001E4C74"/>
    <w:rsid w:val="001E4C94"/>
    <w:rsid w:val="001E4F23"/>
    <w:rsid w:val="001E4F3D"/>
    <w:rsid w:val="001E50BF"/>
    <w:rsid w:val="001E51B6"/>
    <w:rsid w:val="001E52F1"/>
    <w:rsid w:val="001E5369"/>
    <w:rsid w:val="001E53F8"/>
    <w:rsid w:val="001E547A"/>
    <w:rsid w:val="001E55E9"/>
    <w:rsid w:val="001E5658"/>
    <w:rsid w:val="001E590C"/>
    <w:rsid w:val="001E5B25"/>
    <w:rsid w:val="001E5C14"/>
    <w:rsid w:val="001E5C7A"/>
    <w:rsid w:val="001E5CD1"/>
    <w:rsid w:val="001E607D"/>
    <w:rsid w:val="001E609B"/>
    <w:rsid w:val="001E609D"/>
    <w:rsid w:val="001E6406"/>
    <w:rsid w:val="001E6635"/>
    <w:rsid w:val="001E6650"/>
    <w:rsid w:val="001E6852"/>
    <w:rsid w:val="001E685D"/>
    <w:rsid w:val="001E68CE"/>
    <w:rsid w:val="001E6B98"/>
    <w:rsid w:val="001E6C41"/>
    <w:rsid w:val="001E6C80"/>
    <w:rsid w:val="001E6CB0"/>
    <w:rsid w:val="001E7356"/>
    <w:rsid w:val="001E7359"/>
    <w:rsid w:val="001E7364"/>
    <w:rsid w:val="001E736D"/>
    <w:rsid w:val="001E74E0"/>
    <w:rsid w:val="001E74E7"/>
    <w:rsid w:val="001E776B"/>
    <w:rsid w:val="001E7798"/>
    <w:rsid w:val="001E78E7"/>
    <w:rsid w:val="001E78EA"/>
    <w:rsid w:val="001E7C0B"/>
    <w:rsid w:val="001E7C5A"/>
    <w:rsid w:val="001E7CD3"/>
    <w:rsid w:val="001E7E93"/>
    <w:rsid w:val="001E7F76"/>
    <w:rsid w:val="001E7FA1"/>
    <w:rsid w:val="001F001A"/>
    <w:rsid w:val="001F003E"/>
    <w:rsid w:val="001F0170"/>
    <w:rsid w:val="001F017D"/>
    <w:rsid w:val="001F0491"/>
    <w:rsid w:val="001F054A"/>
    <w:rsid w:val="001F06E2"/>
    <w:rsid w:val="001F0728"/>
    <w:rsid w:val="001F0803"/>
    <w:rsid w:val="001F0938"/>
    <w:rsid w:val="001F0D1E"/>
    <w:rsid w:val="001F0DCE"/>
    <w:rsid w:val="001F10FD"/>
    <w:rsid w:val="001F1120"/>
    <w:rsid w:val="001F13DC"/>
    <w:rsid w:val="001F1545"/>
    <w:rsid w:val="001F15B7"/>
    <w:rsid w:val="001F1644"/>
    <w:rsid w:val="001F175C"/>
    <w:rsid w:val="001F1772"/>
    <w:rsid w:val="001F17AD"/>
    <w:rsid w:val="001F17B8"/>
    <w:rsid w:val="001F1841"/>
    <w:rsid w:val="001F1AA1"/>
    <w:rsid w:val="001F1BE5"/>
    <w:rsid w:val="001F1C65"/>
    <w:rsid w:val="001F1F8C"/>
    <w:rsid w:val="001F2003"/>
    <w:rsid w:val="001F200C"/>
    <w:rsid w:val="001F212F"/>
    <w:rsid w:val="001F22FC"/>
    <w:rsid w:val="001F27CC"/>
    <w:rsid w:val="001F28BE"/>
    <w:rsid w:val="001F2BA6"/>
    <w:rsid w:val="001F2CB6"/>
    <w:rsid w:val="001F2D06"/>
    <w:rsid w:val="001F2EDB"/>
    <w:rsid w:val="001F2F95"/>
    <w:rsid w:val="001F30B4"/>
    <w:rsid w:val="001F317E"/>
    <w:rsid w:val="001F31C8"/>
    <w:rsid w:val="001F333C"/>
    <w:rsid w:val="001F33C1"/>
    <w:rsid w:val="001F3410"/>
    <w:rsid w:val="001F342F"/>
    <w:rsid w:val="001F34DB"/>
    <w:rsid w:val="001F3587"/>
    <w:rsid w:val="001F3671"/>
    <w:rsid w:val="001F36D4"/>
    <w:rsid w:val="001F3860"/>
    <w:rsid w:val="001F388A"/>
    <w:rsid w:val="001F3AFA"/>
    <w:rsid w:val="001F3DA8"/>
    <w:rsid w:val="001F4008"/>
    <w:rsid w:val="001F40E7"/>
    <w:rsid w:val="001F41A6"/>
    <w:rsid w:val="001F41FD"/>
    <w:rsid w:val="001F4352"/>
    <w:rsid w:val="001F4421"/>
    <w:rsid w:val="001F4492"/>
    <w:rsid w:val="001F4555"/>
    <w:rsid w:val="001F47C3"/>
    <w:rsid w:val="001F48B0"/>
    <w:rsid w:val="001F496D"/>
    <w:rsid w:val="001F4A1C"/>
    <w:rsid w:val="001F4B79"/>
    <w:rsid w:val="001F4DD0"/>
    <w:rsid w:val="001F4E6D"/>
    <w:rsid w:val="001F4E89"/>
    <w:rsid w:val="001F4F79"/>
    <w:rsid w:val="001F500A"/>
    <w:rsid w:val="001F51E9"/>
    <w:rsid w:val="001F531E"/>
    <w:rsid w:val="001F53F6"/>
    <w:rsid w:val="001F53FE"/>
    <w:rsid w:val="001F5453"/>
    <w:rsid w:val="001F570E"/>
    <w:rsid w:val="001F5801"/>
    <w:rsid w:val="001F582E"/>
    <w:rsid w:val="001F58D1"/>
    <w:rsid w:val="001F5965"/>
    <w:rsid w:val="001F59D9"/>
    <w:rsid w:val="001F5A2E"/>
    <w:rsid w:val="001F5BC8"/>
    <w:rsid w:val="001F5CF4"/>
    <w:rsid w:val="001F5DB5"/>
    <w:rsid w:val="001F5E18"/>
    <w:rsid w:val="001F5E2B"/>
    <w:rsid w:val="001F60D6"/>
    <w:rsid w:val="001F62D8"/>
    <w:rsid w:val="001F6482"/>
    <w:rsid w:val="001F64C6"/>
    <w:rsid w:val="001F683C"/>
    <w:rsid w:val="001F69F0"/>
    <w:rsid w:val="001F6B9D"/>
    <w:rsid w:val="001F6EBE"/>
    <w:rsid w:val="001F6F5E"/>
    <w:rsid w:val="001F7000"/>
    <w:rsid w:val="001F7002"/>
    <w:rsid w:val="001F70BB"/>
    <w:rsid w:val="001F7196"/>
    <w:rsid w:val="001F7285"/>
    <w:rsid w:val="001F73BB"/>
    <w:rsid w:val="001F73DD"/>
    <w:rsid w:val="001F7460"/>
    <w:rsid w:val="001F7462"/>
    <w:rsid w:val="001F7A8A"/>
    <w:rsid w:val="001F7E04"/>
    <w:rsid w:val="001F7E8D"/>
    <w:rsid w:val="001F7EB1"/>
    <w:rsid w:val="001F7F0C"/>
    <w:rsid w:val="00200002"/>
    <w:rsid w:val="0020000F"/>
    <w:rsid w:val="00200185"/>
    <w:rsid w:val="002001E4"/>
    <w:rsid w:val="002003A3"/>
    <w:rsid w:val="0020044E"/>
    <w:rsid w:val="002004D9"/>
    <w:rsid w:val="00200775"/>
    <w:rsid w:val="002007EC"/>
    <w:rsid w:val="00200897"/>
    <w:rsid w:val="0020091C"/>
    <w:rsid w:val="002009D5"/>
    <w:rsid w:val="002009DA"/>
    <w:rsid w:val="00200C2C"/>
    <w:rsid w:val="00200EED"/>
    <w:rsid w:val="0020125A"/>
    <w:rsid w:val="002013EC"/>
    <w:rsid w:val="00201784"/>
    <w:rsid w:val="002017F3"/>
    <w:rsid w:val="00201811"/>
    <w:rsid w:val="002018CA"/>
    <w:rsid w:val="00201B58"/>
    <w:rsid w:val="00201DD1"/>
    <w:rsid w:val="002025B7"/>
    <w:rsid w:val="002025D2"/>
    <w:rsid w:val="00202657"/>
    <w:rsid w:val="0020267D"/>
    <w:rsid w:val="00202798"/>
    <w:rsid w:val="002027F0"/>
    <w:rsid w:val="002028A5"/>
    <w:rsid w:val="00202A56"/>
    <w:rsid w:val="00202B5D"/>
    <w:rsid w:val="00202E1C"/>
    <w:rsid w:val="00203242"/>
    <w:rsid w:val="002032C7"/>
    <w:rsid w:val="00203528"/>
    <w:rsid w:val="00203659"/>
    <w:rsid w:val="002036CF"/>
    <w:rsid w:val="00203867"/>
    <w:rsid w:val="0020389F"/>
    <w:rsid w:val="002038F9"/>
    <w:rsid w:val="002038FF"/>
    <w:rsid w:val="00203D03"/>
    <w:rsid w:val="00203E31"/>
    <w:rsid w:val="0020400B"/>
    <w:rsid w:val="00204110"/>
    <w:rsid w:val="00204130"/>
    <w:rsid w:val="00204366"/>
    <w:rsid w:val="00204528"/>
    <w:rsid w:val="00204639"/>
    <w:rsid w:val="00204725"/>
    <w:rsid w:val="002047A5"/>
    <w:rsid w:val="00204814"/>
    <w:rsid w:val="00204A21"/>
    <w:rsid w:val="00204CB9"/>
    <w:rsid w:val="00204DB8"/>
    <w:rsid w:val="00204DEF"/>
    <w:rsid w:val="0020526C"/>
    <w:rsid w:val="002053A4"/>
    <w:rsid w:val="0020581C"/>
    <w:rsid w:val="00205951"/>
    <w:rsid w:val="002059C0"/>
    <w:rsid w:val="002059EA"/>
    <w:rsid w:val="00205AC4"/>
    <w:rsid w:val="00205BA9"/>
    <w:rsid w:val="00205BE5"/>
    <w:rsid w:val="00205C30"/>
    <w:rsid w:val="00205EC5"/>
    <w:rsid w:val="002061D2"/>
    <w:rsid w:val="0020623A"/>
    <w:rsid w:val="0020640F"/>
    <w:rsid w:val="002064DC"/>
    <w:rsid w:val="00206553"/>
    <w:rsid w:val="00206587"/>
    <w:rsid w:val="0020666F"/>
    <w:rsid w:val="00206855"/>
    <w:rsid w:val="00206A00"/>
    <w:rsid w:val="00206A64"/>
    <w:rsid w:val="00206A8E"/>
    <w:rsid w:val="00206E06"/>
    <w:rsid w:val="00206F9A"/>
    <w:rsid w:val="0020706F"/>
    <w:rsid w:val="00207070"/>
    <w:rsid w:val="002072D5"/>
    <w:rsid w:val="002073E5"/>
    <w:rsid w:val="002074B4"/>
    <w:rsid w:val="0020752C"/>
    <w:rsid w:val="00207607"/>
    <w:rsid w:val="00207782"/>
    <w:rsid w:val="00207795"/>
    <w:rsid w:val="002077D3"/>
    <w:rsid w:val="00207878"/>
    <w:rsid w:val="002078DA"/>
    <w:rsid w:val="00207C27"/>
    <w:rsid w:val="00207C52"/>
    <w:rsid w:val="00207D5A"/>
    <w:rsid w:val="00207F5E"/>
    <w:rsid w:val="002101AE"/>
    <w:rsid w:val="0021026A"/>
    <w:rsid w:val="002103AD"/>
    <w:rsid w:val="002103D3"/>
    <w:rsid w:val="002104D3"/>
    <w:rsid w:val="0021056F"/>
    <w:rsid w:val="002105AB"/>
    <w:rsid w:val="002105D6"/>
    <w:rsid w:val="002108C2"/>
    <w:rsid w:val="002108F9"/>
    <w:rsid w:val="00210A0D"/>
    <w:rsid w:val="00210B57"/>
    <w:rsid w:val="00210D14"/>
    <w:rsid w:val="00211001"/>
    <w:rsid w:val="002111A6"/>
    <w:rsid w:val="002112C2"/>
    <w:rsid w:val="0021146D"/>
    <w:rsid w:val="00211511"/>
    <w:rsid w:val="00211607"/>
    <w:rsid w:val="002116AA"/>
    <w:rsid w:val="00211767"/>
    <w:rsid w:val="00211ACE"/>
    <w:rsid w:val="00211EC2"/>
    <w:rsid w:val="00211EF0"/>
    <w:rsid w:val="002120B1"/>
    <w:rsid w:val="002121B8"/>
    <w:rsid w:val="0021225A"/>
    <w:rsid w:val="0021250E"/>
    <w:rsid w:val="0021252E"/>
    <w:rsid w:val="00212633"/>
    <w:rsid w:val="00212B8D"/>
    <w:rsid w:val="00212FA4"/>
    <w:rsid w:val="00212FCC"/>
    <w:rsid w:val="002132A2"/>
    <w:rsid w:val="002133CD"/>
    <w:rsid w:val="0021343D"/>
    <w:rsid w:val="00213447"/>
    <w:rsid w:val="002136C2"/>
    <w:rsid w:val="0021376E"/>
    <w:rsid w:val="00213B64"/>
    <w:rsid w:val="00213C06"/>
    <w:rsid w:val="00213C3E"/>
    <w:rsid w:val="00213CB6"/>
    <w:rsid w:val="00213E0A"/>
    <w:rsid w:val="00214000"/>
    <w:rsid w:val="0021408D"/>
    <w:rsid w:val="002140DC"/>
    <w:rsid w:val="00214271"/>
    <w:rsid w:val="00214365"/>
    <w:rsid w:val="00214399"/>
    <w:rsid w:val="00214568"/>
    <w:rsid w:val="0021459F"/>
    <w:rsid w:val="0021488E"/>
    <w:rsid w:val="00214AF5"/>
    <w:rsid w:val="00214DF8"/>
    <w:rsid w:val="00214F97"/>
    <w:rsid w:val="00215086"/>
    <w:rsid w:val="00215118"/>
    <w:rsid w:val="002153B2"/>
    <w:rsid w:val="002157BF"/>
    <w:rsid w:val="002158E7"/>
    <w:rsid w:val="00215C25"/>
    <w:rsid w:val="00215D5E"/>
    <w:rsid w:val="00215EB0"/>
    <w:rsid w:val="00215EE6"/>
    <w:rsid w:val="00215FF7"/>
    <w:rsid w:val="00216375"/>
    <w:rsid w:val="00216382"/>
    <w:rsid w:val="00216505"/>
    <w:rsid w:val="0021660F"/>
    <w:rsid w:val="002166CF"/>
    <w:rsid w:val="0021687D"/>
    <w:rsid w:val="00216A27"/>
    <w:rsid w:val="00216B5E"/>
    <w:rsid w:val="00216B91"/>
    <w:rsid w:val="00216C8D"/>
    <w:rsid w:val="00216CB5"/>
    <w:rsid w:val="0021709B"/>
    <w:rsid w:val="002172DF"/>
    <w:rsid w:val="00217407"/>
    <w:rsid w:val="00217578"/>
    <w:rsid w:val="002175B0"/>
    <w:rsid w:val="00217849"/>
    <w:rsid w:val="00217A5C"/>
    <w:rsid w:val="00217BD3"/>
    <w:rsid w:val="00217DD9"/>
    <w:rsid w:val="00217E54"/>
    <w:rsid w:val="00217FC2"/>
    <w:rsid w:val="00217FEE"/>
    <w:rsid w:val="002201A5"/>
    <w:rsid w:val="002201CB"/>
    <w:rsid w:val="002201F1"/>
    <w:rsid w:val="00220362"/>
    <w:rsid w:val="00220550"/>
    <w:rsid w:val="0022089C"/>
    <w:rsid w:val="002208A3"/>
    <w:rsid w:val="00220B35"/>
    <w:rsid w:val="00220E76"/>
    <w:rsid w:val="00221255"/>
    <w:rsid w:val="00221792"/>
    <w:rsid w:val="002217C4"/>
    <w:rsid w:val="00221AFA"/>
    <w:rsid w:val="00221FEB"/>
    <w:rsid w:val="002222D9"/>
    <w:rsid w:val="002224D9"/>
    <w:rsid w:val="002224EC"/>
    <w:rsid w:val="00222656"/>
    <w:rsid w:val="00222708"/>
    <w:rsid w:val="002227C5"/>
    <w:rsid w:val="00222862"/>
    <w:rsid w:val="00222951"/>
    <w:rsid w:val="00222A32"/>
    <w:rsid w:val="00222BE6"/>
    <w:rsid w:val="00222D89"/>
    <w:rsid w:val="00222EC4"/>
    <w:rsid w:val="00222FA2"/>
    <w:rsid w:val="0022323B"/>
    <w:rsid w:val="002233DA"/>
    <w:rsid w:val="002235B5"/>
    <w:rsid w:val="00223631"/>
    <w:rsid w:val="002236EF"/>
    <w:rsid w:val="002237B2"/>
    <w:rsid w:val="002238B7"/>
    <w:rsid w:val="00223957"/>
    <w:rsid w:val="00223D6E"/>
    <w:rsid w:val="00223D9D"/>
    <w:rsid w:val="0022427C"/>
    <w:rsid w:val="00224291"/>
    <w:rsid w:val="0022431B"/>
    <w:rsid w:val="00224695"/>
    <w:rsid w:val="00224713"/>
    <w:rsid w:val="002248F8"/>
    <w:rsid w:val="00224911"/>
    <w:rsid w:val="00224C14"/>
    <w:rsid w:val="00224E1D"/>
    <w:rsid w:val="00224E69"/>
    <w:rsid w:val="00224EB5"/>
    <w:rsid w:val="00224ECB"/>
    <w:rsid w:val="00225340"/>
    <w:rsid w:val="002253A7"/>
    <w:rsid w:val="0022542D"/>
    <w:rsid w:val="002254D6"/>
    <w:rsid w:val="002257CC"/>
    <w:rsid w:val="00225806"/>
    <w:rsid w:val="002258FD"/>
    <w:rsid w:val="00225BF0"/>
    <w:rsid w:val="00225CF7"/>
    <w:rsid w:val="00225DDB"/>
    <w:rsid w:val="00225F72"/>
    <w:rsid w:val="002260E2"/>
    <w:rsid w:val="00226358"/>
    <w:rsid w:val="00226597"/>
    <w:rsid w:val="002269C8"/>
    <w:rsid w:val="00226A9D"/>
    <w:rsid w:val="00226AD7"/>
    <w:rsid w:val="00226C4B"/>
    <w:rsid w:val="00226CCF"/>
    <w:rsid w:val="00226E14"/>
    <w:rsid w:val="00226FF7"/>
    <w:rsid w:val="00227055"/>
    <w:rsid w:val="002271C0"/>
    <w:rsid w:val="002272E5"/>
    <w:rsid w:val="00227828"/>
    <w:rsid w:val="00227882"/>
    <w:rsid w:val="002278BC"/>
    <w:rsid w:val="0022792A"/>
    <w:rsid w:val="002279BE"/>
    <w:rsid w:val="00227AF4"/>
    <w:rsid w:val="00227B42"/>
    <w:rsid w:val="00227C6F"/>
    <w:rsid w:val="00227F22"/>
    <w:rsid w:val="00227F62"/>
    <w:rsid w:val="00227FE3"/>
    <w:rsid w:val="002302E6"/>
    <w:rsid w:val="00230358"/>
    <w:rsid w:val="002303BC"/>
    <w:rsid w:val="00230535"/>
    <w:rsid w:val="002306B3"/>
    <w:rsid w:val="002306CB"/>
    <w:rsid w:val="002306DB"/>
    <w:rsid w:val="00230965"/>
    <w:rsid w:val="00230A57"/>
    <w:rsid w:val="00230AC9"/>
    <w:rsid w:val="00230AD9"/>
    <w:rsid w:val="00230CDF"/>
    <w:rsid w:val="00230CE4"/>
    <w:rsid w:val="00230FF7"/>
    <w:rsid w:val="002311A7"/>
    <w:rsid w:val="002311DD"/>
    <w:rsid w:val="002312A3"/>
    <w:rsid w:val="00231388"/>
    <w:rsid w:val="00231832"/>
    <w:rsid w:val="00231988"/>
    <w:rsid w:val="00231B22"/>
    <w:rsid w:val="00232057"/>
    <w:rsid w:val="0023211D"/>
    <w:rsid w:val="002321E6"/>
    <w:rsid w:val="002323D3"/>
    <w:rsid w:val="0023288B"/>
    <w:rsid w:val="00232A61"/>
    <w:rsid w:val="00232A66"/>
    <w:rsid w:val="00232AC4"/>
    <w:rsid w:val="00232B3F"/>
    <w:rsid w:val="00232E2B"/>
    <w:rsid w:val="002333FB"/>
    <w:rsid w:val="002334D6"/>
    <w:rsid w:val="0023370C"/>
    <w:rsid w:val="00233746"/>
    <w:rsid w:val="00233777"/>
    <w:rsid w:val="002337A3"/>
    <w:rsid w:val="0023384C"/>
    <w:rsid w:val="0023398F"/>
    <w:rsid w:val="00233DD2"/>
    <w:rsid w:val="00233EE6"/>
    <w:rsid w:val="00233FA1"/>
    <w:rsid w:val="0023401B"/>
    <w:rsid w:val="0023412C"/>
    <w:rsid w:val="00234340"/>
    <w:rsid w:val="002343F1"/>
    <w:rsid w:val="002344A2"/>
    <w:rsid w:val="00234CC2"/>
    <w:rsid w:val="00234D51"/>
    <w:rsid w:val="00234EAF"/>
    <w:rsid w:val="00235163"/>
    <w:rsid w:val="00235174"/>
    <w:rsid w:val="00235304"/>
    <w:rsid w:val="00235418"/>
    <w:rsid w:val="00235619"/>
    <w:rsid w:val="00235643"/>
    <w:rsid w:val="0023574C"/>
    <w:rsid w:val="00235A53"/>
    <w:rsid w:val="00235A99"/>
    <w:rsid w:val="00235AA3"/>
    <w:rsid w:val="00235AC4"/>
    <w:rsid w:val="00235BAD"/>
    <w:rsid w:val="00235BCB"/>
    <w:rsid w:val="00235C29"/>
    <w:rsid w:val="00235CEC"/>
    <w:rsid w:val="00236134"/>
    <w:rsid w:val="00236342"/>
    <w:rsid w:val="00236429"/>
    <w:rsid w:val="0023670A"/>
    <w:rsid w:val="00236AC2"/>
    <w:rsid w:val="00236F67"/>
    <w:rsid w:val="00236FDC"/>
    <w:rsid w:val="0023776D"/>
    <w:rsid w:val="00237B14"/>
    <w:rsid w:val="00237C14"/>
    <w:rsid w:val="00237E34"/>
    <w:rsid w:val="00237F3A"/>
    <w:rsid w:val="00237FCA"/>
    <w:rsid w:val="002400CE"/>
    <w:rsid w:val="00240211"/>
    <w:rsid w:val="0024027D"/>
    <w:rsid w:val="0024036C"/>
    <w:rsid w:val="00240501"/>
    <w:rsid w:val="0024093C"/>
    <w:rsid w:val="00240A6A"/>
    <w:rsid w:val="00241384"/>
    <w:rsid w:val="002413A0"/>
    <w:rsid w:val="002414F2"/>
    <w:rsid w:val="00241632"/>
    <w:rsid w:val="00241762"/>
    <w:rsid w:val="00241796"/>
    <w:rsid w:val="00241823"/>
    <w:rsid w:val="00241AFF"/>
    <w:rsid w:val="00241B8A"/>
    <w:rsid w:val="00241BE2"/>
    <w:rsid w:val="00241DE9"/>
    <w:rsid w:val="00241F0D"/>
    <w:rsid w:val="002420A7"/>
    <w:rsid w:val="002420B1"/>
    <w:rsid w:val="00242106"/>
    <w:rsid w:val="00242126"/>
    <w:rsid w:val="00242489"/>
    <w:rsid w:val="002424AD"/>
    <w:rsid w:val="0024259F"/>
    <w:rsid w:val="002425C7"/>
    <w:rsid w:val="00242733"/>
    <w:rsid w:val="0024282A"/>
    <w:rsid w:val="00242979"/>
    <w:rsid w:val="0024298C"/>
    <w:rsid w:val="00243448"/>
    <w:rsid w:val="00243515"/>
    <w:rsid w:val="0024353C"/>
    <w:rsid w:val="002435B0"/>
    <w:rsid w:val="00243B19"/>
    <w:rsid w:val="00243BA2"/>
    <w:rsid w:val="00243CB5"/>
    <w:rsid w:val="00243D0A"/>
    <w:rsid w:val="00243D1A"/>
    <w:rsid w:val="002440B5"/>
    <w:rsid w:val="002440FE"/>
    <w:rsid w:val="002442BE"/>
    <w:rsid w:val="002442F6"/>
    <w:rsid w:val="00244579"/>
    <w:rsid w:val="002445A9"/>
    <w:rsid w:val="00244649"/>
    <w:rsid w:val="002446C2"/>
    <w:rsid w:val="002446F1"/>
    <w:rsid w:val="002447C6"/>
    <w:rsid w:val="002448E3"/>
    <w:rsid w:val="00244906"/>
    <w:rsid w:val="00244BA9"/>
    <w:rsid w:val="00244DE0"/>
    <w:rsid w:val="00245060"/>
    <w:rsid w:val="0024512F"/>
    <w:rsid w:val="00245185"/>
    <w:rsid w:val="0024531F"/>
    <w:rsid w:val="0024548E"/>
    <w:rsid w:val="0024560D"/>
    <w:rsid w:val="00245634"/>
    <w:rsid w:val="0024566B"/>
    <w:rsid w:val="002456C7"/>
    <w:rsid w:val="00245838"/>
    <w:rsid w:val="0024592C"/>
    <w:rsid w:val="00245A07"/>
    <w:rsid w:val="00245C44"/>
    <w:rsid w:val="00245EBD"/>
    <w:rsid w:val="00245ED8"/>
    <w:rsid w:val="00246087"/>
    <w:rsid w:val="00246347"/>
    <w:rsid w:val="00246655"/>
    <w:rsid w:val="00246876"/>
    <w:rsid w:val="00246991"/>
    <w:rsid w:val="00246C61"/>
    <w:rsid w:val="00246D4B"/>
    <w:rsid w:val="00247054"/>
    <w:rsid w:val="002470D4"/>
    <w:rsid w:val="00247191"/>
    <w:rsid w:val="0024725F"/>
    <w:rsid w:val="0024727B"/>
    <w:rsid w:val="002473DA"/>
    <w:rsid w:val="00247861"/>
    <w:rsid w:val="002479A6"/>
    <w:rsid w:val="002479E0"/>
    <w:rsid w:val="00247D68"/>
    <w:rsid w:val="00247EE6"/>
    <w:rsid w:val="0024E73B"/>
    <w:rsid w:val="00250031"/>
    <w:rsid w:val="00250074"/>
    <w:rsid w:val="0025007D"/>
    <w:rsid w:val="002500E6"/>
    <w:rsid w:val="002501FB"/>
    <w:rsid w:val="0025039E"/>
    <w:rsid w:val="00250427"/>
    <w:rsid w:val="00250659"/>
    <w:rsid w:val="002508B6"/>
    <w:rsid w:val="00250A88"/>
    <w:rsid w:val="00250AF7"/>
    <w:rsid w:val="00250CD6"/>
    <w:rsid w:val="00250D07"/>
    <w:rsid w:val="00250DE8"/>
    <w:rsid w:val="00250E0F"/>
    <w:rsid w:val="00250E98"/>
    <w:rsid w:val="0025108D"/>
    <w:rsid w:val="0025127D"/>
    <w:rsid w:val="002512C8"/>
    <w:rsid w:val="0025152B"/>
    <w:rsid w:val="00251612"/>
    <w:rsid w:val="0025176E"/>
    <w:rsid w:val="00251863"/>
    <w:rsid w:val="00251A56"/>
    <w:rsid w:val="00251AD8"/>
    <w:rsid w:val="00251D0A"/>
    <w:rsid w:val="00251F49"/>
    <w:rsid w:val="00251FED"/>
    <w:rsid w:val="00251FF2"/>
    <w:rsid w:val="00252153"/>
    <w:rsid w:val="002521B5"/>
    <w:rsid w:val="002521E2"/>
    <w:rsid w:val="0025220D"/>
    <w:rsid w:val="00252324"/>
    <w:rsid w:val="00252344"/>
    <w:rsid w:val="0025244F"/>
    <w:rsid w:val="0025246B"/>
    <w:rsid w:val="002526EF"/>
    <w:rsid w:val="00252738"/>
    <w:rsid w:val="002527F9"/>
    <w:rsid w:val="002528FB"/>
    <w:rsid w:val="002529EF"/>
    <w:rsid w:val="00252A48"/>
    <w:rsid w:val="00252B42"/>
    <w:rsid w:val="00252D8D"/>
    <w:rsid w:val="00252EA9"/>
    <w:rsid w:val="0025306F"/>
    <w:rsid w:val="00253196"/>
    <w:rsid w:val="002532CF"/>
    <w:rsid w:val="002533F0"/>
    <w:rsid w:val="002535A8"/>
    <w:rsid w:val="00253605"/>
    <w:rsid w:val="00253889"/>
    <w:rsid w:val="00253A81"/>
    <w:rsid w:val="00253B8F"/>
    <w:rsid w:val="00253CD7"/>
    <w:rsid w:val="00253CEA"/>
    <w:rsid w:val="00253DB4"/>
    <w:rsid w:val="0025402F"/>
    <w:rsid w:val="00254106"/>
    <w:rsid w:val="00254538"/>
    <w:rsid w:val="0025456D"/>
    <w:rsid w:val="002545B6"/>
    <w:rsid w:val="0025468D"/>
    <w:rsid w:val="0025491E"/>
    <w:rsid w:val="00254C4F"/>
    <w:rsid w:val="00254D54"/>
    <w:rsid w:val="00254E81"/>
    <w:rsid w:val="00254EA4"/>
    <w:rsid w:val="00254F23"/>
    <w:rsid w:val="00255059"/>
    <w:rsid w:val="00255060"/>
    <w:rsid w:val="002551A1"/>
    <w:rsid w:val="00255200"/>
    <w:rsid w:val="00255408"/>
    <w:rsid w:val="002556FC"/>
    <w:rsid w:val="0025578E"/>
    <w:rsid w:val="00255B05"/>
    <w:rsid w:val="00255B60"/>
    <w:rsid w:val="00255E0D"/>
    <w:rsid w:val="00255FAD"/>
    <w:rsid w:val="00255FD9"/>
    <w:rsid w:val="00256172"/>
    <w:rsid w:val="002561EF"/>
    <w:rsid w:val="0025654C"/>
    <w:rsid w:val="0025655A"/>
    <w:rsid w:val="00256621"/>
    <w:rsid w:val="00256905"/>
    <w:rsid w:val="002569EA"/>
    <w:rsid w:val="00256A11"/>
    <w:rsid w:val="00256A5C"/>
    <w:rsid w:val="00256D29"/>
    <w:rsid w:val="00256EAC"/>
    <w:rsid w:val="00256EB5"/>
    <w:rsid w:val="00256EF8"/>
    <w:rsid w:val="00256F31"/>
    <w:rsid w:val="00257018"/>
    <w:rsid w:val="0025703A"/>
    <w:rsid w:val="0025706E"/>
    <w:rsid w:val="0025707B"/>
    <w:rsid w:val="0025711B"/>
    <w:rsid w:val="002571FB"/>
    <w:rsid w:val="00257270"/>
    <w:rsid w:val="00257399"/>
    <w:rsid w:val="0025758D"/>
    <w:rsid w:val="00257672"/>
    <w:rsid w:val="00257808"/>
    <w:rsid w:val="002579DB"/>
    <w:rsid w:val="002579F3"/>
    <w:rsid w:val="00257DB4"/>
    <w:rsid w:val="00257E03"/>
    <w:rsid w:val="00257E6D"/>
    <w:rsid w:val="0026000E"/>
    <w:rsid w:val="002601DE"/>
    <w:rsid w:val="00260852"/>
    <w:rsid w:val="002609C3"/>
    <w:rsid w:val="00260C44"/>
    <w:rsid w:val="00260EF5"/>
    <w:rsid w:val="00260F6D"/>
    <w:rsid w:val="00261035"/>
    <w:rsid w:val="00261196"/>
    <w:rsid w:val="002611D1"/>
    <w:rsid w:val="00261268"/>
    <w:rsid w:val="002612FD"/>
    <w:rsid w:val="002616AC"/>
    <w:rsid w:val="002616E5"/>
    <w:rsid w:val="002616FD"/>
    <w:rsid w:val="002617A2"/>
    <w:rsid w:val="0026181E"/>
    <w:rsid w:val="0026184C"/>
    <w:rsid w:val="00261B83"/>
    <w:rsid w:val="00261F0E"/>
    <w:rsid w:val="00261FDE"/>
    <w:rsid w:val="002624E4"/>
    <w:rsid w:val="00262740"/>
    <w:rsid w:val="002627B0"/>
    <w:rsid w:val="00262803"/>
    <w:rsid w:val="00262936"/>
    <w:rsid w:val="00262A2E"/>
    <w:rsid w:val="00262D4F"/>
    <w:rsid w:val="00262E04"/>
    <w:rsid w:val="00262E06"/>
    <w:rsid w:val="00262E96"/>
    <w:rsid w:val="00263027"/>
    <w:rsid w:val="002631D6"/>
    <w:rsid w:val="002633D1"/>
    <w:rsid w:val="002634C8"/>
    <w:rsid w:val="00263AAD"/>
    <w:rsid w:val="00263BB1"/>
    <w:rsid w:val="00263D6B"/>
    <w:rsid w:val="00263D6C"/>
    <w:rsid w:val="00263ED2"/>
    <w:rsid w:val="0026425D"/>
    <w:rsid w:val="002645BF"/>
    <w:rsid w:val="00264753"/>
    <w:rsid w:val="00264BAE"/>
    <w:rsid w:val="00264C1B"/>
    <w:rsid w:val="00264C1D"/>
    <w:rsid w:val="00264D53"/>
    <w:rsid w:val="00264EA7"/>
    <w:rsid w:val="00265106"/>
    <w:rsid w:val="00265BF3"/>
    <w:rsid w:val="00265ED8"/>
    <w:rsid w:val="00266072"/>
    <w:rsid w:val="002661CF"/>
    <w:rsid w:val="00266476"/>
    <w:rsid w:val="002664A9"/>
    <w:rsid w:val="0026668C"/>
    <w:rsid w:val="002666DA"/>
    <w:rsid w:val="00266865"/>
    <w:rsid w:val="00266903"/>
    <w:rsid w:val="00266BB6"/>
    <w:rsid w:val="00266D48"/>
    <w:rsid w:val="00266E32"/>
    <w:rsid w:val="00267015"/>
    <w:rsid w:val="00267096"/>
    <w:rsid w:val="0026714C"/>
    <w:rsid w:val="00267231"/>
    <w:rsid w:val="002672F9"/>
    <w:rsid w:val="0026755F"/>
    <w:rsid w:val="002675AE"/>
    <w:rsid w:val="002677A0"/>
    <w:rsid w:val="002677B3"/>
    <w:rsid w:val="00267803"/>
    <w:rsid w:val="002678F6"/>
    <w:rsid w:val="00267D55"/>
    <w:rsid w:val="00267F2B"/>
    <w:rsid w:val="00267FDC"/>
    <w:rsid w:val="00270165"/>
    <w:rsid w:val="00270318"/>
    <w:rsid w:val="00270334"/>
    <w:rsid w:val="002704FE"/>
    <w:rsid w:val="002706B8"/>
    <w:rsid w:val="002707CA"/>
    <w:rsid w:val="00270833"/>
    <w:rsid w:val="002709E5"/>
    <w:rsid w:val="00270ADF"/>
    <w:rsid w:val="00270AF4"/>
    <w:rsid w:val="00270F30"/>
    <w:rsid w:val="00270F88"/>
    <w:rsid w:val="0027101E"/>
    <w:rsid w:val="0027104C"/>
    <w:rsid w:val="002710E6"/>
    <w:rsid w:val="0027183F"/>
    <w:rsid w:val="002719F2"/>
    <w:rsid w:val="00271A65"/>
    <w:rsid w:val="00271ABF"/>
    <w:rsid w:val="00271C37"/>
    <w:rsid w:val="00271E4B"/>
    <w:rsid w:val="00272151"/>
    <w:rsid w:val="00272195"/>
    <w:rsid w:val="0027219D"/>
    <w:rsid w:val="00272296"/>
    <w:rsid w:val="0027230A"/>
    <w:rsid w:val="00272360"/>
    <w:rsid w:val="00272481"/>
    <w:rsid w:val="00272585"/>
    <w:rsid w:val="002727BF"/>
    <w:rsid w:val="00272880"/>
    <w:rsid w:val="002728CA"/>
    <w:rsid w:val="00272A45"/>
    <w:rsid w:val="00272E79"/>
    <w:rsid w:val="002730D6"/>
    <w:rsid w:val="00273115"/>
    <w:rsid w:val="0027328F"/>
    <w:rsid w:val="002732D0"/>
    <w:rsid w:val="00273480"/>
    <w:rsid w:val="00273586"/>
    <w:rsid w:val="00273B5F"/>
    <w:rsid w:val="00273C45"/>
    <w:rsid w:val="00273DDA"/>
    <w:rsid w:val="00273F93"/>
    <w:rsid w:val="00273F98"/>
    <w:rsid w:val="00274026"/>
    <w:rsid w:val="00274038"/>
    <w:rsid w:val="00274066"/>
    <w:rsid w:val="002740BF"/>
    <w:rsid w:val="002743EA"/>
    <w:rsid w:val="00274C28"/>
    <w:rsid w:val="00274C29"/>
    <w:rsid w:val="00274E46"/>
    <w:rsid w:val="00274FBD"/>
    <w:rsid w:val="002750B0"/>
    <w:rsid w:val="00275101"/>
    <w:rsid w:val="00275113"/>
    <w:rsid w:val="0027513E"/>
    <w:rsid w:val="00275227"/>
    <w:rsid w:val="0027541A"/>
    <w:rsid w:val="00275511"/>
    <w:rsid w:val="00275AC6"/>
    <w:rsid w:val="00275B7D"/>
    <w:rsid w:val="00275BA9"/>
    <w:rsid w:val="00275C84"/>
    <w:rsid w:val="00275CC8"/>
    <w:rsid w:val="00275FD0"/>
    <w:rsid w:val="0027600F"/>
    <w:rsid w:val="00276115"/>
    <w:rsid w:val="002762DC"/>
    <w:rsid w:val="002763C5"/>
    <w:rsid w:val="00276417"/>
    <w:rsid w:val="002764A0"/>
    <w:rsid w:val="002764B9"/>
    <w:rsid w:val="0027659E"/>
    <w:rsid w:val="0027671E"/>
    <w:rsid w:val="002767C4"/>
    <w:rsid w:val="00276820"/>
    <w:rsid w:val="0027684A"/>
    <w:rsid w:val="002769FA"/>
    <w:rsid w:val="00276A3A"/>
    <w:rsid w:val="00276AA8"/>
    <w:rsid w:val="00276AC1"/>
    <w:rsid w:val="00276CCE"/>
    <w:rsid w:val="00276D7F"/>
    <w:rsid w:val="00277047"/>
    <w:rsid w:val="002770F0"/>
    <w:rsid w:val="0027715A"/>
    <w:rsid w:val="00277356"/>
    <w:rsid w:val="002773A1"/>
    <w:rsid w:val="0027745A"/>
    <w:rsid w:val="00277659"/>
    <w:rsid w:val="00277B3B"/>
    <w:rsid w:val="00277CE1"/>
    <w:rsid w:val="00280165"/>
    <w:rsid w:val="002802F7"/>
    <w:rsid w:val="00280368"/>
    <w:rsid w:val="00280830"/>
    <w:rsid w:val="00280921"/>
    <w:rsid w:val="00280C29"/>
    <w:rsid w:val="00280E88"/>
    <w:rsid w:val="0028100B"/>
    <w:rsid w:val="002811CF"/>
    <w:rsid w:val="0028136B"/>
    <w:rsid w:val="00281496"/>
    <w:rsid w:val="002816CC"/>
    <w:rsid w:val="0028181F"/>
    <w:rsid w:val="0028194C"/>
    <w:rsid w:val="00281D42"/>
    <w:rsid w:val="00281E83"/>
    <w:rsid w:val="00282202"/>
    <w:rsid w:val="00282224"/>
    <w:rsid w:val="002822B3"/>
    <w:rsid w:val="002822B9"/>
    <w:rsid w:val="002822C3"/>
    <w:rsid w:val="00282521"/>
    <w:rsid w:val="00282670"/>
    <w:rsid w:val="00282A6F"/>
    <w:rsid w:val="00282B57"/>
    <w:rsid w:val="00283156"/>
    <w:rsid w:val="0028324C"/>
    <w:rsid w:val="0028334C"/>
    <w:rsid w:val="00283367"/>
    <w:rsid w:val="002833AE"/>
    <w:rsid w:val="00283409"/>
    <w:rsid w:val="00283621"/>
    <w:rsid w:val="00283623"/>
    <w:rsid w:val="002838E8"/>
    <w:rsid w:val="00283C03"/>
    <w:rsid w:val="00283E36"/>
    <w:rsid w:val="00283EDA"/>
    <w:rsid w:val="00284093"/>
    <w:rsid w:val="002842F4"/>
    <w:rsid w:val="002843B7"/>
    <w:rsid w:val="00284573"/>
    <w:rsid w:val="002845FB"/>
    <w:rsid w:val="002848B4"/>
    <w:rsid w:val="00284CFE"/>
    <w:rsid w:val="00284EA9"/>
    <w:rsid w:val="00284EBA"/>
    <w:rsid w:val="00284FB4"/>
    <w:rsid w:val="0028505B"/>
    <w:rsid w:val="002850A2"/>
    <w:rsid w:val="002853FC"/>
    <w:rsid w:val="00285487"/>
    <w:rsid w:val="0028550F"/>
    <w:rsid w:val="002856F2"/>
    <w:rsid w:val="00285723"/>
    <w:rsid w:val="002857DB"/>
    <w:rsid w:val="00285841"/>
    <w:rsid w:val="002859FE"/>
    <w:rsid w:val="00285A4A"/>
    <w:rsid w:val="00285D30"/>
    <w:rsid w:val="00285DB3"/>
    <w:rsid w:val="00285DD0"/>
    <w:rsid w:val="0028619D"/>
    <w:rsid w:val="00286453"/>
    <w:rsid w:val="002864AF"/>
    <w:rsid w:val="002864B7"/>
    <w:rsid w:val="0028663C"/>
    <w:rsid w:val="0028671A"/>
    <w:rsid w:val="002869E4"/>
    <w:rsid w:val="00286A6B"/>
    <w:rsid w:val="00286B1F"/>
    <w:rsid w:val="00286BA4"/>
    <w:rsid w:val="00286CEA"/>
    <w:rsid w:val="00286D14"/>
    <w:rsid w:val="0028734F"/>
    <w:rsid w:val="00287536"/>
    <w:rsid w:val="00287642"/>
    <w:rsid w:val="00287937"/>
    <w:rsid w:val="00287A40"/>
    <w:rsid w:val="00287B7D"/>
    <w:rsid w:val="00287C59"/>
    <w:rsid w:val="00287CD3"/>
    <w:rsid w:val="00287D37"/>
    <w:rsid w:val="00287E39"/>
    <w:rsid w:val="00290075"/>
    <w:rsid w:val="00290124"/>
    <w:rsid w:val="002901C1"/>
    <w:rsid w:val="00290391"/>
    <w:rsid w:val="00290437"/>
    <w:rsid w:val="0029083E"/>
    <w:rsid w:val="00290BF2"/>
    <w:rsid w:val="00290DFB"/>
    <w:rsid w:val="00290EAD"/>
    <w:rsid w:val="00290ED9"/>
    <w:rsid w:val="0029118A"/>
    <w:rsid w:val="0029130D"/>
    <w:rsid w:val="002913FF"/>
    <w:rsid w:val="0029159B"/>
    <w:rsid w:val="00291794"/>
    <w:rsid w:val="00291839"/>
    <w:rsid w:val="00291A00"/>
    <w:rsid w:val="00291A72"/>
    <w:rsid w:val="00291A9D"/>
    <w:rsid w:val="00291C20"/>
    <w:rsid w:val="00291E4C"/>
    <w:rsid w:val="00291E75"/>
    <w:rsid w:val="00292114"/>
    <w:rsid w:val="00292195"/>
    <w:rsid w:val="002921A5"/>
    <w:rsid w:val="00292238"/>
    <w:rsid w:val="00292435"/>
    <w:rsid w:val="0029244C"/>
    <w:rsid w:val="00292512"/>
    <w:rsid w:val="00292635"/>
    <w:rsid w:val="002928D5"/>
    <w:rsid w:val="00292919"/>
    <w:rsid w:val="00292A4C"/>
    <w:rsid w:val="00292AF3"/>
    <w:rsid w:val="00292F98"/>
    <w:rsid w:val="00293043"/>
    <w:rsid w:val="00293082"/>
    <w:rsid w:val="00293225"/>
    <w:rsid w:val="002932F9"/>
    <w:rsid w:val="002933A6"/>
    <w:rsid w:val="002933B6"/>
    <w:rsid w:val="0029347D"/>
    <w:rsid w:val="00293605"/>
    <w:rsid w:val="0029374D"/>
    <w:rsid w:val="00293788"/>
    <w:rsid w:val="0029380C"/>
    <w:rsid w:val="0029389F"/>
    <w:rsid w:val="00293934"/>
    <w:rsid w:val="0029393F"/>
    <w:rsid w:val="00293975"/>
    <w:rsid w:val="00293AC6"/>
    <w:rsid w:val="00293B87"/>
    <w:rsid w:val="00293FED"/>
    <w:rsid w:val="0029405A"/>
    <w:rsid w:val="00294340"/>
    <w:rsid w:val="00294498"/>
    <w:rsid w:val="0029456A"/>
    <w:rsid w:val="0029489F"/>
    <w:rsid w:val="00294965"/>
    <w:rsid w:val="00294A0D"/>
    <w:rsid w:val="00294AA1"/>
    <w:rsid w:val="00294B95"/>
    <w:rsid w:val="00294BCC"/>
    <w:rsid w:val="00294D11"/>
    <w:rsid w:val="00294D31"/>
    <w:rsid w:val="00294E26"/>
    <w:rsid w:val="00294EEE"/>
    <w:rsid w:val="00295380"/>
    <w:rsid w:val="0029541F"/>
    <w:rsid w:val="002954CD"/>
    <w:rsid w:val="0029554F"/>
    <w:rsid w:val="002956BF"/>
    <w:rsid w:val="00295867"/>
    <w:rsid w:val="002958C8"/>
    <w:rsid w:val="00295BF5"/>
    <w:rsid w:val="00295C82"/>
    <w:rsid w:val="00295E33"/>
    <w:rsid w:val="00295F73"/>
    <w:rsid w:val="00295FA3"/>
    <w:rsid w:val="002960C4"/>
    <w:rsid w:val="002960D4"/>
    <w:rsid w:val="00296116"/>
    <w:rsid w:val="002961C4"/>
    <w:rsid w:val="00296494"/>
    <w:rsid w:val="0029673D"/>
    <w:rsid w:val="002968F9"/>
    <w:rsid w:val="00296927"/>
    <w:rsid w:val="002969DE"/>
    <w:rsid w:val="00296DE1"/>
    <w:rsid w:val="00296F21"/>
    <w:rsid w:val="002971CF"/>
    <w:rsid w:val="002971D0"/>
    <w:rsid w:val="00297609"/>
    <w:rsid w:val="00297631"/>
    <w:rsid w:val="0029765D"/>
    <w:rsid w:val="00297AC8"/>
    <w:rsid w:val="00297D03"/>
    <w:rsid w:val="00297DC9"/>
    <w:rsid w:val="00297E06"/>
    <w:rsid w:val="00297FF7"/>
    <w:rsid w:val="002A0014"/>
    <w:rsid w:val="002A0239"/>
    <w:rsid w:val="002A0291"/>
    <w:rsid w:val="002A03B1"/>
    <w:rsid w:val="002A03F7"/>
    <w:rsid w:val="002A046A"/>
    <w:rsid w:val="002A0694"/>
    <w:rsid w:val="002A0955"/>
    <w:rsid w:val="002A09BA"/>
    <w:rsid w:val="002A0A03"/>
    <w:rsid w:val="002A0B47"/>
    <w:rsid w:val="002A0BE2"/>
    <w:rsid w:val="002A0C15"/>
    <w:rsid w:val="002A0E32"/>
    <w:rsid w:val="002A0EA1"/>
    <w:rsid w:val="002A1132"/>
    <w:rsid w:val="002A115F"/>
    <w:rsid w:val="002A1241"/>
    <w:rsid w:val="002A1616"/>
    <w:rsid w:val="002A1702"/>
    <w:rsid w:val="002A1812"/>
    <w:rsid w:val="002A1903"/>
    <w:rsid w:val="002A1B63"/>
    <w:rsid w:val="002A1BB0"/>
    <w:rsid w:val="002A1D55"/>
    <w:rsid w:val="002A1D92"/>
    <w:rsid w:val="002A1DCA"/>
    <w:rsid w:val="002A1E0D"/>
    <w:rsid w:val="002A2027"/>
    <w:rsid w:val="002A206A"/>
    <w:rsid w:val="002A2378"/>
    <w:rsid w:val="002A247A"/>
    <w:rsid w:val="002A24A5"/>
    <w:rsid w:val="002A2619"/>
    <w:rsid w:val="002A280F"/>
    <w:rsid w:val="002A2CC1"/>
    <w:rsid w:val="002A2F97"/>
    <w:rsid w:val="002A2FE3"/>
    <w:rsid w:val="002A3159"/>
    <w:rsid w:val="002A31C3"/>
    <w:rsid w:val="002A3399"/>
    <w:rsid w:val="002A33ED"/>
    <w:rsid w:val="002A34A3"/>
    <w:rsid w:val="002A34E6"/>
    <w:rsid w:val="002A3525"/>
    <w:rsid w:val="002A3641"/>
    <w:rsid w:val="002A3A3F"/>
    <w:rsid w:val="002A3F7C"/>
    <w:rsid w:val="002A401F"/>
    <w:rsid w:val="002A4098"/>
    <w:rsid w:val="002A40A6"/>
    <w:rsid w:val="002A418D"/>
    <w:rsid w:val="002A4246"/>
    <w:rsid w:val="002A4283"/>
    <w:rsid w:val="002A4300"/>
    <w:rsid w:val="002A46B5"/>
    <w:rsid w:val="002A4A42"/>
    <w:rsid w:val="002A4A50"/>
    <w:rsid w:val="002A4A79"/>
    <w:rsid w:val="002A4B95"/>
    <w:rsid w:val="002A4BE3"/>
    <w:rsid w:val="002A4CBB"/>
    <w:rsid w:val="002A4D2D"/>
    <w:rsid w:val="002A4FC7"/>
    <w:rsid w:val="002A50AD"/>
    <w:rsid w:val="002A5104"/>
    <w:rsid w:val="002A5274"/>
    <w:rsid w:val="002A53BF"/>
    <w:rsid w:val="002A5523"/>
    <w:rsid w:val="002A55D7"/>
    <w:rsid w:val="002A55FD"/>
    <w:rsid w:val="002A56B1"/>
    <w:rsid w:val="002A5818"/>
    <w:rsid w:val="002A5897"/>
    <w:rsid w:val="002A5A9A"/>
    <w:rsid w:val="002A5AD4"/>
    <w:rsid w:val="002A5B52"/>
    <w:rsid w:val="002A5B6A"/>
    <w:rsid w:val="002A5D01"/>
    <w:rsid w:val="002A5DAD"/>
    <w:rsid w:val="002A5DB0"/>
    <w:rsid w:val="002A5DFA"/>
    <w:rsid w:val="002A605B"/>
    <w:rsid w:val="002A623F"/>
    <w:rsid w:val="002A6481"/>
    <w:rsid w:val="002A6619"/>
    <w:rsid w:val="002A6686"/>
    <w:rsid w:val="002A66B5"/>
    <w:rsid w:val="002A6703"/>
    <w:rsid w:val="002A6809"/>
    <w:rsid w:val="002A6B24"/>
    <w:rsid w:val="002A6BC8"/>
    <w:rsid w:val="002A6DDE"/>
    <w:rsid w:val="002A6E29"/>
    <w:rsid w:val="002A6F31"/>
    <w:rsid w:val="002A6F66"/>
    <w:rsid w:val="002A6F6D"/>
    <w:rsid w:val="002A7028"/>
    <w:rsid w:val="002A70A0"/>
    <w:rsid w:val="002A73EE"/>
    <w:rsid w:val="002A74F6"/>
    <w:rsid w:val="002A7549"/>
    <w:rsid w:val="002A7A3C"/>
    <w:rsid w:val="002A7A98"/>
    <w:rsid w:val="002A7C23"/>
    <w:rsid w:val="002A7CAF"/>
    <w:rsid w:val="002A7D61"/>
    <w:rsid w:val="002A7D64"/>
    <w:rsid w:val="002A7DBB"/>
    <w:rsid w:val="002A7E12"/>
    <w:rsid w:val="002A7EE4"/>
    <w:rsid w:val="002B0223"/>
    <w:rsid w:val="002B0364"/>
    <w:rsid w:val="002B04A0"/>
    <w:rsid w:val="002B052D"/>
    <w:rsid w:val="002B0541"/>
    <w:rsid w:val="002B05B5"/>
    <w:rsid w:val="002B067E"/>
    <w:rsid w:val="002B097D"/>
    <w:rsid w:val="002B0A71"/>
    <w:rsid w:val="002B0B1E"/>
    <w:rsid w:val="002B0DEE"/>
    <w:rsid w:val="002B0E28"/>
    <w:rsid w:val="002B0EBB"/>
    <w:rsid w:val="002B0EDA"/>
    <w:rsid w:val="002B0F50"/>
    <w:rsid w:val="002B12E4"/>
    <w:rsid w:val="002B14D0"/>
    <w:rsid w:val="002B14E2"/>
    <w:rsid w:val="002B166A"/>
    <w:rsid w:val="002B1870"/>
    <w:rsid w:val="002B1935"/>
    <w:rsid w:val="002B1963"/>
    <w:rsid w:val="002B1A9E"/>
    <w:rsid w:val="002B1CEB"/>
    <w:rsid w:val="002B1CF7"/>
    <w:rsid w:val="002B1F3C"/>
    <w:rsid w:val="002B1F66"/>
    <w:rsid w:val="002B2146"/>
    <w:rsid w:val="002B22E9"/>
    <w:rsid w:val="002B24CE"/>
    <w:rsid w:val="002B273B"/>
    <w:rsid w:val="002B2B2C"/>
    <w:rsid w:val="002B2BF5"/>
    <w:rsid w:val="002B2C84"/>
    <w:rsid w:val="002B2DE1"/>
    <w:rsid w:val="002B2E73"/>
    <w:rsid w:val="002B2F4A"/>
    <w:rsid w:val="002B2F8A"/>
    <w:rsid w:val="002B324F"/>
    <w:rsid w:val="002B3290"/>
    <w:rsid w:val="002B32EC"/>
    <w:rsid w:val="002B352E"/>
    <w:rsid w:val="002B359D"/>
    <w:rsid w:val="002B365B"/>
    <w:rsid w:val="002B3789"/>
    <w:rsid w:val="002B3997"/>
    <w:rsid w:val="002B3B7F"/>
    <w:rsid w:val="002B3D93"/>
    <w:rsid w:val="002B40BE"/>
    <w:rsid w:val="002B43FE"/>
    <w:rsid w:val="002B45BB"/>
    <w:rsid w:val="002B4628"/>
    <w:rsid w:val="002B46C6"/>
    <w:rsid w:val="002B46DA"/>
    <w:rsid w:val="002B47E8"/>
    <w:rsid w:val="002B47F1"/>
    <w:rsid w:val="002B4948"/>
    <w:rsid w:val="002B49EE"/>
    <w:rsid w:val="002B4BA8"/>
    <w:rsid w:val="002B4D09"/>
    <w:rsid w:val="002B4FB5"/>
    <w:rsid w:val="002B50A2"/>
    <w:rsid w:val="002B551D"/>
    <w:rsid w:val="002B5658"/>
    <w:rsid w:val="002B5659"/>
    <w:rsid w:val="002B588C"/>
    <w:rsid w:val="002B5935"/>
    <w:rsid w:val="002B594E"/>
    <w:rsid w:val="002B597E"/>
    <w:rsid w:val="002B5A1E"/>
    <w:rsid w:val="002B5A51"/>
    <w:rsid w:val="002B5A9C"/>
    <w:rsid w:val="002B5EA3"/>
    <w:rsid w:val="002B5F97"/>
    <w:rsid w:val="002B5FAB"/>
    <w:rsid w:val="002B6399"/>
    <w:rsid w:val="002B6657"/>
    <w:rsid w:val="002B67C0"/>
    <w:rsid w:val="002B6844"/>
    <w:rsid w:val="002B68E0"/>
    <w:rsid w:val="002B6A3A"/>
    <w:rsid w:val="002B6A64"/>
    <w:rsid w:val="002B6B62"/>
    <w:rsid w:val="002B6FA8"/>
    <w:rsid w:val="002B7039"/>
    <w:rsid w:val="002B7167"/>
    <w:rsid w:val="002B717D"/>
    <w:rsid w:val="002B730B"/>
    <w:rsid w:val="002B78A0"/>
    <w:rsid w:val="002B7DDA"/>
    <w:rsid w:val="002B7E23"/>
    <w:rsid w:val="002C0086"/>
    <w:rsid w:val="002C009F"/>
    <w:rsid w:val="002C01F6"/>
    <w:rsid w:val="002C04AC"/>
    <w:rsid w:val="002C0520"/>
    <w:rsid w:val="002C05A1"/>
    <w:rsid w:val="002C07A6"/>
    <w:rsid w:val="002C08E6"/>
    <w:rsid w:val="002C08F9"/>
    <w:rsid w:val="002C0B10"/>
    <w:rsid w:val="002C0D92"/>
    <w:rsid w:val="002C0F62"/>
    <w:rsid w:val="002C10E5"/>
    <w:rsid w:val="002C1502"/>
    <w:rsid w:val="002C17DF"/>
    <w:rsid w:val="002C1803"/>
    <w:rsid w:val="002C18C2"/>
    <w:rsid w:val="002C19E2"/>
    <w:rsid w:val="002C1A56"/>
    <w:rsid w:val="002C1B9B"/>
    <w:rsid w:val="002C1E66"/>
    <w:rsid w:val="002C1FB1"/>
    <w:rsid w:val="002C2067"/>
    <w:rsid w:val="002C2183"/>
    <w:rsid w:val="002C22CE"/>
    <w:rsid w:val="002C23A5"/>
    <w:rsid w:val="002C24C9"/>
    <w:rsid w:val="002C255C"/>
    <w:rsid w:val="002C26F1"/>
    <w:rsid w:val="002C27A0"/>
    <w:rsid w:val="002C28D9"/>
    <w:rsid w:val="002C2AA5"/>
    <w:rsid w:val="002C2F10"/>
    <w:rsid w:val="002C2F9F"/>
    <w:rsid w:val="002C2FBA"/>
    <w:rsid w:val="002C33F7"/>
    <w:rsid w:val="002C343E"/>
    <w:rsid w:val="002C35B7"/>
    <w:rsid w:val="002C3635"/>
    <w:rsid w:val="002C3677"/>
    <w:rsid w:val="002C3749"/>
    <w:rsid w:val="002C37A0"/>
    <w:rsid w:val="002C3B73"/>
    <w:rsid w:val="002C3D6B"/>
    <w:rsid w:val="002C3E1C"/>
    <w:rsid w:val="002C40CB"/>
    <w:rsid w:val="002C414B"/>
    <w:rsid w:val="002C4467"/>
    <w:rsid w:val="002C45C8"/>
    <w:rsid w:val="002C45F9"/>
    <w:rsid w:val="002C4628"/>
    <w:rsid w:val="002C467C"/>
    <w:rsid w:val="002C47E6"/>
    <w:rsid w:val="002C49C0"/>
    <w:rsid w:val="002C4B1F"/>
    <w:rsid w:val="002C4C59"/>
    <w:rsid w:val="002C4CAE"/>
    <w:rsid w:val="002C4D24"/>
    <w:rsid w:val="002C4E0E"/>
    <w:rsid w:val="002C5188"/>
    <w:rsid w:val="002C528E"/>
    <w:rsid w:val="002C537D"/>
    <w:rsid w:val="002C55BF"/>
    <w:rsid w:val="002C5809"/>
    <w:rsid w:val="002C594D"/>
    <w:rsid w:val="002C596A"/>
    <w:rsid w:val="002C5BCF"/>
    <w:rsid w:val="002C5DC2"/>
    <w:rsid w:val="002C5ED2"/>
    <w:rsid w:val="002C60D1"/>
    <w:rsid w:val="002C6124"/>
    <w:rsid w:val="002C620A"/>
    <w:rsid w:val="002C66E3"/>
    <w:rsid w:val="002C66E9"/>
    <w:rsid w:val="002C67FE"/>
    <w:rsid w:val="002C680C"/>
    <w:rsid w:val="002C6936"/>
    <w:rsid w:val="002C6A74"/>
    <w:rsid w:val="002C6A84"/>
    <w:rsid w:val="002C6BB4"/>
    <w:rsid w:val="002C6CA7"/>
    <w:rsid w:val="002C6DF9"/>
    <w:rsid w:val="002C6E15"/>
    <w:rsid w:val="002C71FC"/>
    <w:rsid w:val="002C722A"/>
    <w:rsid w:val="002C7260"/>
    <w:rsid w:val="002C74A4"/>
    <w:rsid w:val="002C7622"/>
    <w:rsid w:val="002C78ED"/>
    <w:rsid w:val="002C7A25"/>
    <w:rsid w:val="002C7AAE"/>
    <w:rsid w:val="002C7AED"/>
    <w:rsid w:val="002C7BBC"/>
    <w:rsid w:val="002C7BEC"/>
    <w:rsid w:val="002C7DB7"/>
    <w:rsid w:val="002C7FBD"/>
    <w:rsid w:val="002C7FC2"/>
    <w:rsid w:val="002D0290"/>
    <w:rsid w:val="002D04DB"/>
    <w:rsid w:val="002D0717"/>
    <w:rsid w:val="002D0A9F"/>
    <w:rsid w:val="002D0F8B"/>
    <w:rsid w:val="002D103E"/>
    <w:rsid w:val="002D11E5"/>
    <w:rsid w:val="002D1223"/>
    <w:rsid w:val="002D1234"/>
    <w:rsid w:val="002D1295"/>
    <w:rsid w:val="002D1354"/>
    <w:rsid w:val="002D1634"/>
    <w:rsid w:val="002D1790"/>
    <w:rsid w:val="002D1832"/>
    <w:rsid w:val="002D18C2"/>
    <w:rsid w:val="002D1B3B"/>
    <w:rsid w:val="002D1BA8"/>
    <w:rsid w:val="002D1D6C"/>
    <w:rsid w:val="002D1E49"/>
    <w:rsid w:val="002D20F2"/>
    <w:rsid w:val="002D21F4"/>
    <w:rsid w:val="002D2202"/>
    <w:rsid w:val="002D22C3"/>
    <w:rsid w:val="002D2449"/>
    <w:rsid w:val="002D247B"/>
    <w:rsid w:val="002D26D8"/>
    <w:rsid w:val="002D28C5"/>
    <w:rsid w:val="002D28E0"/>
    <w:rsid w:val="002D2A0D"/>
    <w:rsid w:val="002D2A74"/>
    <w:rsid w:val="002D2F79"/>
    <w:rsid w:val="002D335B"/>
    <w:rsid w:val="002D3400"/>
    <w:rsid w:val="002D349C"/>
    <w:rsid w:val="002D35E1"/>
    <w:rsid w:val="002D3664"/>
    <w:rsid w:val="002D3710"/>
    <w:rsid w:val="002D3C48"/>
    <w:rsid w:val="002D3E3B"/>
    <w:rsid w:val="002D400D"/>
    <w:rsid w:val="002D40F5"/>
    <w:rsid w:val="002D4222"/>
    <w:rsid w:val="002D4438"/>
    <w:rsid w:val="002D473B"/>
    <w:rsid w:val="002D4838"/>
    <w:rsid w:val="002D4994"/>
    <w:rsid w:val="002D49AB"/>
    <w:rsid w:val="002D4A54"/>
    <w:rsid w:val="002D4B58"/>
    <w:rsid w:val="002D4BDF"/>
    <w:rsid w:val="002D4E3D"/>
    <w:rsid w:val="002D4E81"/>
    <w:rsid w:val="002D4EAC"/>
    <w:rsid w:val="002D4F1E"/>
    <w:rsid w:val="002D4F8D"/>
    <w:rsid w:val="002D504F"/>
    <w:rsid w:val="002D5067"/>
    <w:rsid w:val="002D50A2"/>
    <w:rsid w:val="002D5214"/>
    <w:rsid w:val="002D53A9"/>
    <w:rsid w:val="002D54B9"/>
    <w:rsid w:val="002D5686"/>
    <w:rsid w:val="002D57AA"/>
    <w:rsid w:val="002D595C"/>
    <w:rsid w:val="002D5A0D"/>
    <w:rsid w:val="002D5AFE"/>
    <w:rsid w:val="002D5FF8"/>
    <w:rsid w:val="002D6021"/>
    <w:rsid w:val="002D614D"/>
    <w:rsid w:val="002D6344"/>
    <w:rsid w:val="002D6694"/>
    <w:rsid w:val="002D67C8"/>
    <w:rsid w:val="002D693A"/>
    <w:rsid w:val="002D6AEF"/>
    <w:rsid w:val="002D6B5C"/>
    <w:rsid w:val="002D6C5C"/>
    <w:rsid w:val="002D6CB8"/>
    <w:rsid w:val="002D6EEF"/>
    <w:rsid w:val="002D6FE8"/>
    <w:rsid w:val="002D6FF0"/>
    <w:rsid w:val="002D71E5"/>
    <w:rsid w:val="002D71F1"/>
    <w:rsid w:val="002D7347"/>
    <w:rsid w:val="002D76F7"/>
    <w:rsid w:val="002D772C"/>
    <w:rsid w:val="002D7771"/>
    <w:rsid w:val="002D77B1"/>
    <w:rsid w:val="002D78A1"/>
    <w:rsid w:val="002D7A45"/>
    <w:rsid w:val="002D7CEE"/>
    <w:rsid w:val="002D7D82"/>
    <w:rsid w:val="002D7DCB"/>
    <w:rsid w:val="002D7E95"/>
    <w:rsid w:val="002E006C"/>
    <w:rsid w:val="002E02A2"/>
    <w:rsid w:val="002E030D"/>
    <w:rsid w:val="002E0562"/>
    <w:rsid w:val="002E071E"/>
    <w:rsid w:val="002E095D"/>
    <w:rsid w:val="002E0983"/>
    <w:rsid w:val="002E0AAF"/>
    <w:rsid w:val="002E0B70"/>
    <w:rsid w:val="002E0BB1"/>
    <w:rsid w:val="002E0C1A"/>
    <w:rsid w:val="002E0C5D"/>
    <w:rsid w:val="002E0FF4"/>
    <w:rsid w:val="002E128B"/>
    <w:rsid w:val="002E1690"/>
    <w:rsid w:val="002E169E"/>
    <w:rsid w:val="002E172D"/>
    <w:rsid w:val="002E1783"/>
    <w:rsid w:val="002E17ED"/>
    <w:rsid w:val="002E1820"/>
    <w:rsid w:val="002E19B5"/>
    <w:rsid w:val="002E1AB4"/>
    <w:rsid w:val="002E1D48"/>
    <w:rsid w:val="002E1D59"/>
    <w:rsid w:val="002E1EC8"/>
    <w:rsid w:val="002E204B"/>
    <w:rsid w:val="002E228E"/>
    <w:rsid w:val="002E23D3"/>
    <w:rsid w:val="002E247B"/>
    <w:rsid w:val="002E24C5"/>
    <w:rsid w:val="002E2506"/>
    <w:rsid w:val="002E25B3"/>
    <w:rsid w:val="002E2915"/>
    <w:rsid w:val="002E2A8D"/>
    <w:rsid w:val="002E2ABB"/>
    <w:rsid w:val="002E2B7E"/>
    <w:rsid w:val="002E2D77"/>
    <w:rsid w:val="002E2F71"/>
    <w:rsid w:val="002E32A8"/>
    <w:rsid w:val="002E32BF"/>
    <w:rsid w:val="002E3378"/>
    <w:rsid w:val="002E35AA"/>
    <w:rsid w:val="002E3A3A"/>
    <w:rsid w:val="002E3B0C"/>
    <w:rsid w:val="002E3CB9"/>
    <w:rsid w:val="002E3D13"/>
    <w:rsid w:val="002E3D4D"/>
    <w:rsid w:val="002E3EBB"/>
    <w:rsid w:val="002E3F2A"/>
    <w:rsid w:val="002E3F84"/>
    <w:rsid w:val="002E404C"/>
    <w:rsid w:val="002E4436"/>
    <w:rsid w:val="002E468A"/>
    <w:rsid w:val="002E4769"/>
    <w:rsid w:val="002E4823"/>
    <w:rsid w:val="002E483F"/>
    <w:rsid w:val="002E4948"/>
    <w:rsid w:val="002E49A2"/>
    <w:rsid w:val="002E4A44"/>
    <w:rsid w:val="002E4D24"/>
    <w:rsid w:val="002E50B2"/>
    <w:rsid w:val="002E51A0"/>
    <w:rsid w:val="002E55D0"/>
    <w:rsid w:val="002E56AE"/>
    <w:rsid w:val="002E5720"/>
    <w:rsid w:val="002E577F"/>
    <w:rsid w:val="002E5821"/>
    <w:rsid w:val="002E58F6"/>
    <w:rsid w:val="002E59E4"/>
    <w:rsid w:val="002E5A46"/>
    <w:rsid w:val="002E5A95"/>
    <w:rsid w:val="002E5B0F"/>
    <w:rsid w:val="002E5BAE"/>
    <w:rsid w:val="002E5C91"/>
    <w:rsid w:val="002E5EE3"/>
    <w:rsid w:val="002E5F54"/>
    <w:rsid w:val="002E5F65"/>
    <w:rsid w:val="002E62D0"/>
    <w:rsid w:val="002E64CC"/>
    <w:rsid w:val="002E6627"/>
    <w:rsid w:val="002E6709"/>
    <w:rsid w:val="002E695D"/>
    <w:rsid w:val="002E69DB"/>
    <w:rsid w:val="002E6A21"/>
    <w:rsid w:val="002E6CD0"/>
    <w:rsid w:val="002E6EB2"/>
    <w:rsid w:val="002E70B4"/>
    <w:rsid w:val="002E70D4"/>
    <w:rsid w:val="002E7277"/>
    <w:rsid w:val="002E727D"/>
    <w:rsid w:val="002E743A"/>
    <w:rsid w:val="002E75B3"/>
    <w:rsid w:val="002E784D"/>
    <w:rsid w:val="002E78F8"/>
    <w:rsid w:val="002E7B01"/>
    <w:rsid w:val="002E7C28"/>
    <w:rsid w:val="002E7C9F"/>
    <w:rsid w:val="002E7E8A"/>
    <w:rsid w:val="002E7F93"/>
    <w:rsid w:val="002E7FE5"/>
    <w:rsid w:val="002F0181"/>
    <w:rsid w:val="002F022C"/>
    <w:rsid w:val="002F022E"/>
    <w:rsid w:val="002F0254"/>
    <w:rsid w:val="002F03E1"/>
    <w:rsid w:val="002F06F1"/>
    <w:rsid w:val="002F0788"/>
    <w:rsid w:val="002F07DE"/>
    <w:rsid w:val="002F0B34"/>
    <w:rsid w:val="002F0BA6"/>
    <w:rsid w:val="002F0BE4"/>
    <w:rsid w:val="002F0D74"/>
    <w:rsid w:val="002F1026"/>
    <w:rsid w:val="002F1032"/>
    <w:rsid w:val="002F10D9"/>
    <w:rsid w:val="002F142E"/>
    <w:rsid w:val="002F143A"/>
    <w:rsid w:val="002F144E"/>
    <w:rsid w:val="002F146A"/>
    <w:rsid w:val="002F14E0"/>
    <w:rsid w:val="002F15EA"/>
    <w:rsid w:val="002F174A"/>
    <w:rsid w:val="002F1781"/>
    <w:rsid w:val="002F1A78"/>
    <w:rsid w:val="002F1A94"/>
    <w:rsid w:val="002F1AFD"/>
    <w:rsid w:val="002F1BF7"/>
    <w:rsid w:val="002F1C58"/>
    <w:rsid w:val="002F1CED"/>
    <w:rsid w:val="002F20A9"/>
    <w:rsid w:val="002F20B2"/>
    <w:rsid w:val="002F210C"/>
    <w:rsid w:val="002F2199"/>
    <w:rsid w:val="002F2296"/>
    <w:rsid w:val="002F22DD"/>
    <w:rsid w:val="002F24E4"/>
    <w:rsid w:val="002F2531"/>
    <w:rsid w:val="002F27BE"/>
    <w:rsid w:val="002F2C9E"/>
    <w:rsid w:val="002F2E2A"/>
    <w:rsid w:val="002F3253"/>
    <w:rsid w:val="002F32C9"/>
    <w:rsid w:val="002F34D9"/>
    <w:rsid w:val="002F36EC"/>
    <w:rsid w:val="002F3885"/>
    <w:rsid w:val="002F38EF"/>
    <w:rsid w:val="002F3B91"/>
    <w:rsid w:val="002F3D15"/>
    <w:rsid w:val="002F3D8B"/>
    <w:rsid w:val="002F3FCC"/>
    <w:rsid w:val="002F4299"/>
    <w:rsid w:val="002F4725"/>
    <w:rsid w:val="002F4741"/>
    <w:rsid w:val="002F481B"/>
    <w:rsid w:val="002F48AC"/>
    <w:rsid w:val="002F491A"/>
    <w:rsid w:val="002F4A03"/>
    <w:rsid w:val="002F4A0C"/>
    <w:rsid w:val="002F4F05"/>
    <w:rsid w:val="002F4F7F"/>
    <w:rsid w:val="002F5003"/>
    <w:rsid w:val="002F50A7"/>
    <w:rsid w:val="002F5159"/>
    <w:rsid w:val="002F52CF"/>
    <w:rsid w:val="002F52DA"/>
    <w:rsid w:val="002F552A"/>
    <w:rsid w:val="002F5541"/>
    <w:rsid w:val="002F56F3"/>
    <w:rsid w:val="002F591A"/>
    <w:rsid w:val="002F5D4C"/>
    <w:rsid w:val="002F5D61"/>
    <w:rsid w:val="002F5FBB"/>
    <w:rsid w:val="002F60ED"/>
    <w:rsid w:val="002F6428"/>
    <w:rsid w:val="002F6484"/>
    <w:rsid w:val="002F64BF"/>
    <w:rsid w:val="002F6500"/>
    <w:rsid w:val="002F651F"/>
    <w:rsid w:val="002F6538"/>
    <w:rsid w:val="002F6600"/>
    <w:rsid w:val="002F66BD"/>
    <w:rsid w:val="002F6AA6"/>
    <w:rsid w:val="002F6F4D"/>
    <w:rsid w:val="002F6FCE"/>
    <w:rsid w:val="002F712F"/>
    <w:rsid w:val="002F7406"/>
    <w:rsid w:val="002F74DF"/>
    <w:rsid w:val="002F7893"/>
    <w:rsid w:val="002F79DA"/>
    <w:rsid w:val="002F7AAD"/>
    <w:rsid w:val="002F7C98"/>
    <w:rsid w:val="002F7D20"/>
    <w:rsid w:val="002F7E76"/>
    <w:rsid w:val="00300070"/>
    <w:rsid w:val="003000FA"/>
    <w:rsid w:val="00300132"/>
    <w:rsid w:val="00300152"/>
    <w:rsid w:val="00300915"/>
    <w:rsid w:val="00300984"/>
    <w:rsid w:val="00300B44"/>
    <w:rsid w:val="00300BD4"/>
    <w:rsid w:val="00300D16"/>
    <w:rsid w:val="00300E9C"/>
    <w:rsid w:val="00300F84"/>
    <w:rsid w:val="003010E5"/>
    <w:rsid w:val="003012C0"/>
    <w:rsid w:val="003012D0"/>
    <w:rsid w:val="00301487"/>
    <w:rsid w:val="00301629"/>
    <w:rsid w:val="00301714"/>
    <w:rsid w:val="00301919"/>
    <w:rsid w:val="00301989"/>
    <w:rsid w:val="003019B6"/>
    <w:rsid w:val="00301C72"/>
    <w:rsid w:val="00301D3B"/>
    <w:rsid w:val="003020EA"/>
    <w:rsid w:val="00302172"/>
    <w:rsid w:val="00302259"/>
    <w:rsid w:val="003022F7"/>
    <w:rsid w:val="003022FA"/>
    <w:rsid w:val="00302375"/>
    <w:rsid w:val="00302609"/>
    <w:rsid w:val="003026FE"/>
    <w:rsid w:val="00302D00"/>
    <w:rsid w:val="00302D80"/>
    <w:rsid w:val="00302DB4"/>
    <w:rsid w:val="00302E74"/>
    <w:rsid w:val="00302EAE"/>
    <w:rsid w:val="00302F17"/>
    <w:rsid w:val="00302F46"/>
    <w:rsid w:val="00303160"/>
    <w:rsid w:val="003034BA"/>
    <w:rsid w:val="003034C5"/>
    <w:rsid w:val="003035EF"/>
    <w:rsid w:val="0030369A"/>
    <w:rsid w:val="003036A3"/>
    <w:rsid w:val="003039E4"/>
    <w:rsid w:val="003039E9"/>
    <w:rsid w:val="00303A39"/>
    <w:rsid w:val="00303C77"/>
    <w:rsid w:val="00303CCB"/>
    <w:rsid w:val="0030416A"/>
    <w:rsid w:val="003041B2"/>
    <w:rsid w:val="00304366"/>
    <w:rsid w:val="00304620"/>
    <w:rsid w:val="00304664"/>
    <w:rsid w:val="00304721"/>
    <w:rsid w:val="0030478A"/>
    <w:rsid w:val="00304A35"/>
    <w:rsid w:val="00304DCE"/>
    <w:rsid w:val="003050C1"/>
    <w:rsid w:val="003050CB"/>
    <w:rsid w:val="003051E1"/>
    <w:rsid w:val="00305206"/>
    <w:rsid w:val="003057B3"/>
    <w:rsid w:val="0030584C"/>
    <w:rsid w:val="003059E4"/>
    <w:rsid w:val="00305AB6"/>
    <w:rsid w:val="00305AEA"/>
    <w:rsid w:val="00305C15"/>
    <w:rsid w:val="00305C25"/>
    <w:rsid w:val="00305CB6"/>
    <w:rsid w:val="00305CE7"/>
    <w:rsid w:val="00305E92"/>
    <w:rsid w:val="00306151"/>
    <w:rsid w:val="00306367"/>
    <w:rsid w:val="00306373"/>
    <w:rsid w:val="003063A9"/>
    <w:rsid w:val="0030641A"/>
    <w:rsid w:val="003064A5"/>
    <w:rsid w:val="00306592"/>
    <w:rsid w:val="003065C5"/>
    <w:rsid w:val="00306800"/>
    <w:rsid w:val="00306872"/>
    <w:rsid w:val="00306AEA"/>
    <w:rsid w:val="00306C48"/>
    <w:rsid w:val="00306D2F"/>
    <w:rsid w:val="00306D39"/>
    <w:rsid w:val="00306DD7"/>
    <w:rsid w:val="003070D3"/>
    <w:rsid w:val="003071C5"/>
    <w:rsid w:val="003071F0"/>
    <w:rsid w:val="003075A9"/>
    <w:rsid w:val="003075E5"/>
    <w:rsid w:val="00307676"/>
    <w:rsid w:val="00307994"/>
    <w:rsid w:val="003079E9"/>
    <w:rsid w:val="00307BC1"/>
    <w:rsid w:val="00307C7E"/>
    <w:rsid w:val="00307D6B"/>
    <w:rsid w:val="00307D9A"/>
    <w:rsid w:val="00307E6B"/>
    <w:rsid w:val="003100BB"/>
    <w:rsid w:val="0031013C"/>
    <w:rsid w:val="00310221"/>
    <w:rsid w:val="003102FB"/>
    <w:rsid w:val="00310412"/>
    <w:rsid w:val="00310607"/>
    <w:rsid w:val="00310775"/>
    <w:rsid w:val="003107EC"/>
    <w:rsid w:val="00310823"/>
    <w:rsid w:val="00310885"/>
    <w:rsid w:val="00310914"/>
    <w:rsid w:val="00310B64"/>
    <w:rsid w:val="003112B4"/>
    <w:rsid w:val="0031134F"/>
    <w:rsid w:val="00311365"/>
    <w:rsid w:val="0031164C"/>
    <w:rsid w:val="00311B15"/>
    <w:rsid w:val="00311B1C"/>
    <w:rsid w:val="00311C5A"/>
    <w:rsid w:val="00311F70"/>
    <w:rsid w:val="00312091"/>
    <w:rsid w:val="003121BD"/>
    <w:rsid w:val="003121CA"/>
    <w:rsid w:val="00312334"/>
    <w:rsid w:val="003127C1"/>
    <w:rsid w:val="0031296E"/>
    <w:rsid w:val="00312A68"/>
    <w:rsid w:val="00312C4C"/>
    <w:rsid w:val="00312C58"/>
    <w:rsid w:val="00312E66"/>
    <w:rsid w:val="00312F39"/>
    <w:rsid w:val="00312FE7"/>
    <w:rsid w:val="00313085"/>
    <w:rsid w:val="003130EF"/>
    <w:rsid w:val="0031324B"/>
    <w:rsid w:val="003132FB"/>
    <w:rsid w:val="00313BAF"/>
    <w:rsid w:val="00313CB1"/>
    <w:rsid w:val="00313D7F"/>
    <w:rsid w:val="00313F06"/>
    <w:rsid w:val="00313F10"/>
    <w:rsid w:val="00314258"/>
    <w:rsid w:val="003142FE"/>
    <w:rsid w:val="00314436"/>
    <w:rsid w:val="00314443"/>
    <w:rsid w:val="003147B7"/>
    <w:rsid w:val="00314819"/>
    <w:rsid w:val="003148ED"/>
    <w:rsid w:val="003148F8"/>
    <w:rsid w:val="003149D6"/>
    <w:rsid w:val="00314B56"/>
    <w:rsid w:val="00314D3D"/>
    <w:rsid w:val="00314D8A"/>
    <w:rsid w:val="00314D9B"/>
    <w:rsid w:val="00314F16"/>
    <w:rsid w:val="00314F45"/>
    <w:rsid w:val="00314FD9"/>
    <w:rsid w:val="003151C9"/>
    <w:rsid w:val="00315293"/>
    <w:rsid w:val="003153AD"/>
    <w:rsid w:val="003154FE"/>
    <w:rsid w:val="0031556A"/>
    <w:rsid w:val="00315628"/>
    <w:rsid w:val="00315699"/>
    <w:rsid w:val="003158A9"/>
    <w:rsid w:val="00315CF1"/>
    <w:rsid w:val="00315D61"/>
    <w:rsid w:val="00315DEB"/>
    <w:rsid w:val="00315E40"/>
    <w:rsid w:val="00315F0A"/>
    <w:rsid w:val="00315F0E"/>
    <w:rsid w:val="0031613F"/>
    <w:rsid w:val="0031618A"/>
    <w:rsid w:val="003161BE"/>
    <w:rsid w:val="0031635E"/>
    <w:rsid w:val="00316424"/>
    <w:rsid w:val="00316514"/>
    <w:rsid w:val="0031653A"/>
    <w:rsid w:val="00316BD9"/>
    <w:rsid w:val="00316BDD"/>
    <w:rsid w:val="00316CA3"/>
    <w:rsid w:val="00316CD5"/>
    <w:rsid w:val="00316CE9"/>
    <w:rsid w:val="00316E7F"/>
    <w:rsid w:val="00317310"/>
    <w:rsid w:val="00317324"/>
    <w:rsid w:val="00317337"/>
    <w:rsid w:val="0031739A"/>
    <w:rsid w:val="003178B6"/>
    <w:rsid w:val="00317B6F"/>
    <w:rsid w:val="00317DD4"/>
    <w:rsid w:val="00317E4F"/>
    <w:rsid w:val="00317E51"/>
    <w:rsid w:val="00317F84"/>
    <w:rsid w:val="0032010D"/>
    <w:rsid w:val="003202C4"/>
    <w:rsid w:val="003204D5"/>
    <w:rsid w:val="003208F0"/>
    <w:rsid w:val="00320C57"/>
    <w:rsid w:val="00320C64"/>
    <w:rsid w:val="00320C86"/>
    <w:rsid w:val="00320DA6"/>
    <w:rsid w:val="00320E45"/>
    <w:rsid w:val="00320F28"/>
    <w:rsid w:val="00320FD9"/>
    <w:rsid w:val="00321210"/>
    <w:rsid w:val="003212D2"/>
    <w:rsid w:val="003217F0"/>
    <w:rsid w:val="003218C4"/>
    <w:rsid w:val="00321947"/>
    <w:rsid w:val="00321BF8"/>
    <w:rsid w:val="00321D61"/>
    <w:rsid w:val="00322012"/>
    <w:rsid w:val="0032201B"/>
    <w:rsid w:val="003224DF"/>
    <w:rsid w:val="003227A8"/>
    <w:rsid w:val="00322852"/>
    <w:rsid w:val="003228DA"/>
    <w:rsid w:val="0032293E"/>
    <w:rsid w:val="00322B29"/>
    <w:rsid w:val="0032343D"/>
    <w:rsid w:val="00323640"/>
    <w:rsid w:val="00323ABE"/>
    <w:rsid w:val="00323B02"/>
    <w:rsid w:val="00323B65"/>
    <w:rsid w:val="00323C36"/>
    <w:rsid w:val="00323C79"/>
    <w:rsid w:val="00323D45"/>
    <w:rsid w:val="00323F30"/>
    <w:rsid w:val="00323F8F"/>
    <w:rsid w:val="003240D6"/>
    <w:rsid w:val="0032417D"/>
    <w:rsid w:val="00324273"/>
    <w:rsid w:val="003242D2"/>
    <w:rsid w:val="00324452"/>
    <w:rsid w:val="003245D4"/>
    <w:rsid w:val="00324AA3"/>
    <w:rsid w:val="00324AD2"/>
    <w:rsid w:val="00324ADE"/>
    <w:rsid w:val="00324CEF"/>
    <w:rsid w:val="00324E33"/>
    <w:rsid w:val="00324EDA"/>
    <w:rsid w:val="00325084"/>
    <w:rsid w:val="003250B6"/>
    <w:rsid w:val="003250DC"/>
    <w:rsid w:val="00325110"/>
    <w:rsid w:val="00325121"/>
    <w:rsid w:val="003253A5"/>
    <w:rsid w:val="003253E3"/>
    <w:rsid w:val="003255BC"/>
    <w:rsid w:val="003255FC"/>
    <w:rsid w:val="003258B1"/>
    <w:rsid w:val="00325CF6"/>
    <w:rsid w:val="00325D63"/>
    <w:rsid w:val="0032603B"/>
    <w:rsid w:val="00326092"/>
    <w:rsid w:val="0032618A"/>
    <w:rsid w:val="00326279"/>
    <w:rsid w:val="003262A0"/>
    <w:rsid w:val="003263AA"/>
    <w:rsid w:val="003264D5"/>
    <w:rsid w:val="003265CC"/>
    <w:rsid w:val="003266E0"/>
    <w:rsid w:val="00326887"/>
    <w:rsid w:val="003268E9"/>
    <w:rsid w:val="00326A46"/>
    <w:rsid w:val="00326C07"/>
    <w:rsid w:val="00326C59"/>
    <w:rsid w:val="00326C64"/>
    <w:rsid w:val="00326C78"/>
    <w:rsid w:val="00326CFB"/>
    <w:rsid w:val="00326D2C"/>
    <w:rsid w:val="00326F0F"/>
    <w:rsid w:val="003273F7"/>
    <w:rsid w:val="003274D3"/>
    <w:rsid w:val="003274DA"/>
    <w:rsid w:val="00327514"/>
    <w:rsid w:val="003275DE"/>
    <w:rsid w:val="00327680"/>
    <w:rsid w:val="00327839"/>
    <w:rsid w:val="003278AB"/>
    <w:rsid w:val="00327A36"/>
    <w:rsid w:val="00327A95"/>
    <w:rsid w:val="00327B97"/>
    <w:rsid w:val="00327C16"/>
    <w:rsid w:val="00327CD3"/>
    <w:rsid w:val="00327CF0"/>
    <w:rsid w:val="0033038C"/>
    <w:rsid w:val="003303DF"/>
    <w:rsid w:val="003305A0"/>
    <w:rsid w:val="00330858"/>
    <w:rsid w:val="00330918"/>
    <w:rsid w:val="00330B31"/>
    <w:rsid w:val="00330EEF"/>
    <w:rsid w:val="003311EF"/>
    <w:rsid w:val="00331491"/>
    <w:rsid w:val="003315A6"/>
    <w:rsid w:val="0033173D"/>
    <w:rsid w:val="00331AD1"/>
    <w:rsid w:val="00331B5A"/>
    <w:rsid w:val="00331BBF"/>
    <w:rsid w:val="00331E2F"/>
    <w:rsid w:val="00331F94"/>
    <w:rsid w:val="0033204B"/>
    <w:rsid w:val="003320F8"/>
    <w:rsid w:val="003322B9"/>
    <w:rsid w:val="00332493"/>
    <w:rsid w:val="00332554"/>
    <w:rsid w:val="0033259A"/>
    <w:rsid w:val="0033265B"/>
    <w:rsid w:val="003326E3"/>
    <w:rsid w:val="0033275A"/>
    <w:rsid w:val="003327D4"/>
    <w:rsid w:val="00332D83"/>
    <w:rsid w:val="00332D9F"/>
    <w:rsid w:val="00332EAA"/>
    <w:rsid w:val="00332EBD"/>
    <w:rsid w:val="00332EBE"/>
    <w:rsid w:val="00332F6F"/>
    <w:rsid w:val="0033323C"/>
    <w:rsid w:val="00333251"/>
    <w:rsid w:val="003332F0"/>
    <w:rsid w:val="0033346A"/>
    <w:rsid w:val="00333528"/>
    <w:rsid w:val="0033354F"/>
    <w:rsid w:val="003335F7"/>
    <w:rsid w:val="003336A6"/>
    <w:rsid w:val="00333876"/>
    <w:rsid w:val="00333891"/>
    <w:rsid w:val="003339E4"/>
    <w:rsid w:val="003339EB"/>
    <w:rsid w:val="003339FA"/>
    <w:rsid w:val="00333B1A"/>
    <w:rsid w:val="00333BDA"/>
    <w:rsid w:val="00333D01"/>
    <w:rsid w:val="00333E58"/>
    <w:rsid w:val="00333E65"/>
    <w:rsid w:val="00333FF4"/>
    <w:rsid w:val="0033405A"/>
    <w:rsid w:val="003340FB"/>
    <w:rsid w:val="00334493"/>
    <w:rsid w:val="00334509"/>
    <w:rsid w:val="003345FA"/>
    <w:rsid w:val="0033468C"/>
    <w:rsid w:val="00334693"/>
    <w:rsid w:val="00334749"/>
    <w:rsid w:val="003347F3"/>
    <w:rsid w:val="003348A6"/>
    <w:rsid w:val="00334904"/>
    <w:rsid w:val="00334AC2"/>
    <w:rsid w:val="00334CF2"/>
    <w:rsid w:val="00334D52"/>
    <w:rsid w:val="00334DBD"/>
    <w:rsid w:val="00334E03"/>
    <w:rsid w:val="00334ECA"/>
    <w:rsid w:val="003351A1"/>
    <w:rsid w:val="003353AE"/>
    <w:rsid w:val="003354AD"/>
    <w:rsid w:val="0033554D"/>
    <w:rsid w:val="003357E9"/>
    <w:rsid w:val="00335A9E"/>
    <w:rsid w:val="00335C8E"/>
    <w:rsid w:val="0033605B"/>
    <w:rsid w:val="0033627D"/>
    <w:rsid w:val="00336283"/>
    <w:rsid w:val="00336445"/>
    <w:rsid w:val="00336638"/>
    <w:rsid w:val="0033671E"/>
    <w:rsid w:val="00336746"/>
    <w:rsid w:val="003367F3"/>
    <w:rsid w:val="00336874"/>
    <w:rsid w:val="00336AB0"/>
    <w:rsid w:val="00336B04"/>
    <w:rsid w:val="00336CE8"/>
    <w:rsid w:val="00336DB1"/>
    <w:rsid w:val="00336FBC"/>
    <w:rsid w:val="00337112"/>
    <w:rsid w:val="0033714F"/>
    <w:rsid w:val="003371C8"/>
    <w:rsid w:val="0033733B"/>
    <w:rsid w:val="00337496"/>
    <w:rsid w:val="003374B0"/>
    <w:rsid w:val="003376B7"/>
    <w:rsid w:val="003376D2"/>
    <w:rsid w:val="003377BA"/>
    <w:rsid w:val="00337893"/>
    <w:rsid w:val="0033792A"/>
    <w:rsid w:val="00337CF2"/>
    <w:rsid w:val="00337ED6"/>
    <w:rsid w:val="00340132"/>
    <w:rsid w:val="0034049F"/>
    <w:rsid w:val="00340884"/>
    <w:rsid w:val="003408D1"/>
    <w:rsid w:val="00340A23"/>
    <w:rsid w:val="00340A43"/>
    <w:rsid w:val="00340BF6"/>
    <w:rsid w:val="00340BFA"/>
    <w:rsid w:val="00340C2E"/>
    <w:rsid w:val="00340C6F"/>
    <w:rsid w:val="00340CFC"/>
    <w:rsid w:val="00340D8E"/>
    <w:rsid w:val="00341191"/>
    <w:rsid w:val="00341295"/>
    <w:rsid w:val="003412C0"/>
    <w:rsid w:val="003414FA"/>
    <w:rsid w:val="003415C9"/>
    <w:rsid w:val="00341646"/>
    <w:rsid w:val="0034184C"/>
    <w:rsid w:val="00341872"/>
    <w:rsid w:val="003419F1"/>
    <w:rsid w:val="00341C8A"/>
    <w:rsid w:val="00341CF7"/>
    <w:rsid w:val="00341F26"/>
    <w:rsid w:val="003420E2"/>
    <w:rsid w:val="0034210F"/>
    <w:rsid w:val="0034211D"/>
    <w:rsid w:val="0034223A"/>
    <w:rsid w:val="003425F5"/>
    <w:rsid w:val="0034265E"/>
    <w:rsid w:val="003428F6"/>
    <w:rsid w:val="00342B02"/>
    <w:rsid w:val="00343118"/>
    <w:rsid w:val="00343261"/>
    <w:rsid w:val="003432BD"/>
    <w:rsid w:val="00343486"/>
    <w:rsid w:val="00343499"/>
    <w:rsid w:val="00343520"/>
    <w:rsid w:val="00343619"/>
    <w:rsid w:val="00343679"/>
    <w:rsid w:val="00343873"/>
    <w:rsid w:val="0034392C"/>
    <w:rsid w:val="003439FE"/>
    <w:rsid w:val="00343B07"/>
    <w:rsid w:val="00343B73"/>
    <w:rsid w:val="00343D94"/>
    <w:rsid w:val="00343DAE"/>
    <w:rsid w:val="00343EA1"/>
    <w:rsid w:val="00343ED6"/>
    <w:rsid w:val="00343F0B"/>
    <w:rsid w:val="00343F7C"/>
    <w:rsid w:val="003441D1"/>
    <w:rsid w:val="00344360"/>
    <w:rsid w:val="003444FF"/>
    <w:rsid w:val="003446E8"/>
    <w:rsid w:val="00344752"/>
    <w:rsid w:val="00344947"/>
    <w:rsid w:val="00344975"/>
    <w:rsid w:val="00344A58"/>
    <w:rsid w:val="00344AF3"/>
    <w:rsid w:val="00344D30"/>
    <w:rsid w:val="00344F26"/>
    <w:rsid w:val="003450CB"/>
    <w:rsid w:val="00345155"/>
    <w:rsid w:val="00345378"/>
    <w:rsid w:val="00345B16"/>
    <w:rsid w:val="00345C3F"/>
    <w:rsid w:val="00345D08"/>
    <w:rsid w:val="00345FF3"/>
    <w:rsid w:val="003460CD"/>
    <w:rsid w:val="00346623"/>
    <w:rsid w:val="00346722"/>
    <w:rsid w:val="00346810"/>
    <w:rsid w:val="00346A51"/>
    <w:rsid w:val="00346CC2"/>
    <w:rsid w:val="00346EA4"/>
    <w:rsid w:val="00346F49"/>
    <w:rsid w:val="00347086"/>
    <w:rsid w:val="003470A2"/>
    <w:rsid w:val="00347266"/>
    <w:rsid w:val="003472FF"/>
    <w:rsid w:val="003473E0"/>
    <w:rsid w:val="003473EB"/>
    <w:rsid w:val="0034757A"/>
    <w:rsid w:val="003475FF"/>
    <w:rsid w:val="0034771B"/>
    <w:rsid w:val="003479A4"/>
    <w:rsid w:val="00347D7C"/>
    <w:rsid w:val="00347EEC"/>
    <w:rsid w:val="00347F30"/>
    <w:rsid w:val="00350398"/>
    <w:rsid w:val="003503D8"/>
    <w:rsid w:val="0035044D"/>
    <w:rsid w:val="00350B5B"/>
    <w:rsid w:val="00350DBA"/>
    <w:rsid w:val="00350E45"/>
    <w:rsid w:val="00350E97"/>
    <w:rsid w:val="00350EB3"/>
    <w:rsid w:val="0035101C"/>
    <w:rsid w:val="003513DD"/>
    <w:rsid w:val="003514F4"/>
    <w:rsid w:val="0035154C"/>
    <w:rsid w:val="003516DE"/>
    <w:rsid w:val="00351754"/>
    <w:rsid w:val="0035175D"/>
    <w:rsid w:val="00351891"/>
    <w:rsid w:val="00351ABE"/>
    <w:rsid w:val="00351B4A"/>
    <w:rsid w:val="00351B4D"/>
    <w:rsid w:val="00351C5D"/>
    <w:rsid w:val="00351C82"/>
    <w:rsid w:val="00351CB5"/>
    <w:rsid w:val="00351D15"/>
    <w:rsid w:val="00351F51"/>
    <w:rsid w:val="003522B9"/>
    <w:rsid w:val="0035234A"/>
    <w:rsid w:val="003523AA"/>
    <w:rsid w:val="0035264B"/>
    <w:rsid w:val="0035283E"/>
    <w:rsid w:val="003529B0"/>
    <w:rsid w:val="00352B58"/>
    <w:rsid w:val="00352BC6"/>
    <w:rsid w:val="00352F3D"/>
    <w:rsid w:val="0035322F"/>
    <w:rsid w:val="003533A2"/>
    <w:rsid w:val="0035359D"/>
    <w:rsid w:val="003537AF"/>
    <w:rsid w:val="00353963"/>
    <w:rsid w:val="00353B17"/>
    <w:rsid w:val="00353B57"/>
    <w:rsid w:val="00353BDE"/>
    <w:rsid w:val="00353E57"/>
    <w:rsid w:val="00353FC5"/>
    <w:rsid w:val="0035401C"/>
    <w:rsid w:val="00354077"/>
    <w:rsid w:val="0035416A"/>
    <w:rsid w:val="00354262"/>
    <w:rsid w:val="003543E0"/>
    <w:rsid w:val="0035480F"/>
    <w:rsid w:val="00354AAC"/>
    <w:rsid w:val="00354B21"/>
    <w:rsid w:val="00354F29"/>
    <w:rsid w:val="00354FEF"/>
    <w:rsid w:val="0035501F"/>
    <w:rsid w:val="00355025"/>
    <w:rsid w:val="00355338"/>
    <w:rsid w:val="003553B6"/>
    <w:rsid w:val="003554C2"/>
    <w:rsid w:val="0035556F"/>
    <w:rsid w:val="00355A50"/>
    <w:rsid w:val="00355EC1"/>
    <w:rsid w:val="00355F66"/>
    <w:rsid w:val="00356036"/>
    <w:rsid w:val="0035607C"/>
    <w:rsid w:val="00356272"/>
    <w:rsid w:val="003562D8"/>
    <w:rsid w:val="00356576"/>
    <w:rsid w:val="00356861"/>
    <w:rsid w:val="003569E9"/>
    <w:rsid w:val="00356CCD"/>
    <w:rsid w:val="00356DAE"/>
    <w:rsid w:val="00356F4B"/>
    <w:rsid w:val="00356FDB"/>
    <w:rsid w:val="0035735B"/>
    <w:rsid w:val="003573CE"/>
    <w:rsid w:val="003574FE"/>
    <w:rsid w:val="00357522"/>
    <w:rsid w:val="00357985"/>
    <w:rsid w:val="003579BB"/>
    <w:rsid w:val="00357AEF"/>
    <w:rsid w:val="00357B6D"/>
    <w:rsid w:val="00357D7C"/>
    <w:rsid w:val="00357EF9"/>
    <w:rsid w:val="00360124"/>
    <w:rsid w:val="00360197"/>
    <w:rsid w:val="003601E3"/>
    <w:rsid w:val="00360211"/>
    <w:rsid w:val="00360274"/>
    <w:rsid w:val="003603EB"/>
    <w:rsid w:val="00360617"/>
    <w:rsid w:val="00360659"/>
    <w:rsid w:val="003606E7"/>
    <w:rsid w:val="00360832"/>
    <w:rsid w:val="00360846"/>
    <w:rsid w:val="00360A30"/>
    <w:rsid w:val="00360A43"/>
    <w:rsid w:val="00360A80"/>
    <w:rsid w:val="00360B2C"/>
    <w:rsid w:val="00360CA2"/>
    <w:rsid w:val="00360CA4"/>
    <w:rsid w:val="0036112D"/>
    <w:rsid w:val="003611A0"/>
    <w:rsid w:val="0036120D"/>
    <w:rsid w:val="003614CC"/>
    <w:rsid w:val="003616E3"/>
    <w:rsid w:val="00361867"/>
    <w:rsid w:val="00361892"/>
    <w:rsid w:val="0036189F"/>
    <w:rsid w:val="003618BE"/>
    <w:rsid w:val="00361960"/>
    <w:rsid w:val="00361D10"/>
    <w:rsid w:val="00361D47"/>
    <w:rsid w:val="00361DB0"/>
    <w:rsid w:val="00361E96"/>
    <w:rsid w:val="00361EB5"/>
    <w:rsid w:val="00361FC2"/>
    <w:rsid w:val="00362125"/>
    <w:rsid w:val="003622A3"/>
    <w:rsid w:val="0036239B"/>
    <w:rsid w:val="00362520"/>
    <w:rsid w:val="003626CA"/>
    <w:rsid w:val="00362839"/>
    <w:rsid w:val="0036291B"/>
    <w:rsid w:val="0036295E"/>
    <w:rsid w:val="00362A4F"/>
    <w:rsid w:val="00362B0F"/>
    <w:rsid w:val="00362B23"/>
    <w:rsid w:val="00362ED9"/>
    <w:rsid w:val="00362F31"/>
    <w:rsid w:val="00363101"/>
    <w:rsid w:val="003634F7"/>
    <w:rsid w:val="00363A55"/>
    <w:rsid w:val="00363BE7"/>
    <w:rsid w:val="003640AC"/>
    <w:rsid w:val="0036425B"/>
    <w:rsid w:val="00364368"/>
    <w:rsid w:val="0036438E"/>
    <w:rsid w:val="00364489"/>
    <w:rsid w:val="0036473F"/>
    <w:rsid w:val="00364816"/>
    <w:rsid w:val="0036497F"/>
    <w:rsid w:val="00364987"/>
    <w:rsid w:val="00364AD9"/>
    <w:rsid w:val="00364B14"/>
    <w:rsid w:val="00364C1C"/>
    <w:rsid w:val="00364E18"/>
    <w:rsid w:val="00364EA0"/>
    <w:rsid w:val="00364ED1"/>
    <w:rsid w:val="00364F0D"/>
    <w:rsid w:val="0036504E"/>
    <w:rsid w:val="00365359"/>
    <w:rsid w:val="003655CF"/>
    <w:rsid w:val="00365840"/>
    <w:rsid w:val="0036585B"/>
    <w:rsid w:val="00365BC3"/>
    <w:rsid w:val="00365DF7"/>
    <w:rsid w:val="00366414"/>
    <w:rsid w:val="00366A8F"/>
    <w:rsid w:val="00366D10"/>
    <w:rsid w:val="00366DD7"/>
    <w:rsid w:val="00366E8D"/>
    <w:rsid w:val="00366FFA"/>
    <w:rsid w:val="00367336"/>
    <w:rsid w:val="003674B3"/>
    <w:rsid w:val="003677EA"/>
    <w:rsid w:val="0036789A"/>
    <w:rsid w:val="003678A5"/>
    <w:rsid w:val="003678AE"/>
    <w:rsid w:val="003678B1"/>
    <w:rsid w:val="0036798D"/>
    <w:rsid w:val="003679B5"/>
    <w:rsid w:val="00367C0D"/>
    <w:rsid w:val="00367F17"/>
    <w:rsid w:val="003704C2"/>
    <w:rsid w:val="003705D1"/>
    <w:rsid w:val="003705FF"/>
    <w:rsid w:val="0037071F"/>
    <w:rsid w:val="00370823"/>
    <w:rsid w:val="0037082F"/>
    <w:rsid w:val="003708A7"/>
    <w:rsid w:val="0037097C"/>
    <w:rsid w:val="00370A39"/>
    <w:rsid w:val="00370A4D"/>
    <w:rsid w:val="00370C02"/>
    <w:rsid w:val="00370CD4"/>
    <w:rsid w:val="00370F36"/>
    <w:rsid w:val="00371015"/>
    <w:rsid w:val="00371299"/>
    <w:rsid w:val="00371445"/>
    <w:rsid w:val="00371451"/>
    <w:rsid w:val="0037161A"/>
    <w:rsid w:val="0037170E"/>
    <w:rsid w:val="003719F1"/>
    <w:rsid w:val="00371A1A"/>
    <w:rsid w:val="00371B53"/>
    <w:rsid w:val="00371D77"/>
    <w:rsid w:val="00371DEA"/>
    <w:rsid w:val="00371E12"/>
    <w:rsid w:val="00371E57"/>
    <w:rsid w:val="00371FF7"/>
    <w:rsid w:val="00372069"/>
    <w:rsid w:val="003720EA"/>
    <w:rsid w:val="0037216D"/>
    <w:rsid w:val="003722BB"/>
    <w:rsid w:val="0037233C"/>
    <w:rsid w:val="00372396"/>
    <w:rsid w:val="0037243C"/>
    <w:rsid w:val="00372443"/>
    <w:rsid w:val="00372554"/>
    <w:rsid w:val="003725B6"/>
    <w:rsid w:val="00372666"/>
    <w:rsid w:val="00372A5B"/>
    <w:rsid w:val="00372A74"/>
    <w:rsid w:val="00372BB2"/>
    <w:rsid w:val="00372C41"/>
    <w:rsid w:val="00372CDA"/>
    <w:rsid w:val="00372DD9"/>
    <w:rsid w:val="00372E28"/>
    <w:rsid w:val="00372EAF"/>
    <w:rsid w:val="00372EFC"/>
    <w:rsid w:val="0037327A"/>
    <w:rsid w:val="00373369"/>
    <w:rsid w:val="003735F7"/>
    <w:rsid w:val="00373692"/>
    <w:rsid w:val="00373C83"/>
    <w:rsid w:val="00373C96"/>
    <w:rsid w:val="00373CDC"/>
    <w:rsid w:val="00373DA7"/>
    <w:rsid w:val="00373E54"/>
    <w:rsid w:val="0037404A"/>
    <w:rsid w:val="003740B6"/>
    <w:rsid w:val="00374115"/>
    <w:rsid w:val="0037447D"/>
    <w:rsid w:val="003745B0"/>
    <w:rsid w:val="00374627"/>
    <w:rsid w:val="003747B8"/>
    <w:rsid w:val="00374844"/>
    <w:rsid w:val="003749ED"/>
    <w:rsid w:val="00374AE8"/>
    <w:rsid w:val="00374B35"/>
    <w:rsid w:val="00374C7F"/>
    <w:rsid w:val="00374F82"/>
    <w:rsid w:val="00374FCD"/>
    <w:rsid w:val="00375151"/>
    <w:rsid w:val="00375221"/>
    <w:rsid w:val="00375222"/>
    <w:rsid w:val="003755EB"/>
    <w:rsid w:val="0037560D"/>
    <w:rsid w:val="003757FC"/>
    <w:rsid w:val="00375A0A"/>
    <w:rsid w:val="00375D86"/>
    <w:rsid w:val="00375DC4"/>
    <w:rsid w:val="00375E2F"/>
    <w:rsid w:val="00375F84"/>
    <w:rsid w:val="0037601E"/>
    <w:rsid w:val="0037613B"/>
    <w:rsid w:val="0037648C"/>
    <w:rsid w:val="003766D8"/>
    <w:rsid w:val="00376751"/>
    <w:rsid w:val="0037675B"/>
    <w:rsid w:val="00376BEC"/>
    <w:rsid w:val="00377263"/>
    <w:rsid w:val="0037728D"/>
    <w:rsid w:val="003773EF"/>
    <w:rsid w:val="0037750D"/>
    <w:rsid w:val="00377533"/>
    <w:rsid w:val="003776BD"/>
    <w:rsid w:val="003776D8"/>
    <w:rsid w:val="00377896"/>
    <w:rsid w:val="00377976"/>
    <w:rsid w:val="00377A64"/>
    <w:rsid w:val="00377D0B"/>
    <w:rsid w:val="003800C9"/>
    <w:rsid w:val="00380163"/>
    <w:rsid w:val="003802ED"/>
    <w:rsid w:val="003803BA"/>
    <w:rsid w:val="0038060B"/>
    <w:rsid w:val="0038063C"/>
    <w:rsid w:val="00380722"/>
    <w:rsid w:val="00380828"/>
    <w:rsid w:val="00380856"/>
    <w:rsid w:val="00380996"/>
    <w:rsid w:val="00380A99"/>
    <w:rsid w:val="00380B5D"/>
    <w:rsid w:val="00380C7B"/>
    <w:rsid w:val="00380F35"/>
    <w:rsid w:val="00380FB5"/>
    <w:rsid w:val="003810FA"/>
    <w:rsid w:val="0038137B"/>
    <w:rsid w:val="00381513"/>
    <w:rsid w:val="00381553"/>
    <w:rsid w:val="003815BA"/>
    <w:rsid w:val="00381656"/>
    <w:rsid w:val="003818AC"/>
    <w:rsid w:val="00381AF2"/>
    <w:rsid w:val="00381BC5"/>
    <w:rsid w:val="00381C39"/>
    <w:rsid w:val="00381C61"/>
    <w:rsid w:val="00382029"/>
    <w:rsid w:val="0038206C"/>
    <w:rsid w:val="0038206E"/>
    <w:rsid w:val="003820B2"/>
    <w:rsid w:val="003820BB"/>
    <w:rsid w:val="0038230E"/>
    <w:rsid w:val="003823CD"/>
    <w:rsid w:val="00382410"/>
    <w:rsid w:val="003826CD"/>
    <w:rsid w:val="003827E3"/>
    <w:rsid w:val="00382AC8"/>
    <w:rsid w:val="00382D93"/>
    <w:rsid w:val="00383071"/>
    <w:rsid w:val="00383137"/>
    <w:rsid w:val="003831DC"/>
    <w:rsid w:val="0038333F"/>
    <w:rsid w:val="003834A3"/>
    <w:rsid w:val="003837EB"/>
    <w:rsid w:val="00383A09"/>
    <w:rsid w:val="00383B1F"/>
    <w:rsid w:val="00383EC0"/>
    <w:rsid w:val="0038400D"/>
    <w:rsid w:val="003841C2"/>
    <w:rsid w:val="00384432"/>
    <w:rsid w:val="0038471A"/>
    <w:rsid w:val="0038497F"/>
    <w:rsid w:val="003849F3"/>
    <w:rsid w:val="00384CAA"/>
    <w:rsid w:val="00384DE2"/>
    <w:rsid w:val="00384E89"/>
    <w:rsid w:val="00384F03"/>
    <w:rsid w:val="00384FAE"/>
    <w:rsid w:val="0038506D"/>
    <w:rsid w:val="003850BA"/>
    <w:rsid w:val="003852CD"/>
    <w:rsid w:val="0038530F"/>
    <w:rsid w:val="00385382"/>
    <w:rsid w:val="003853E3"/>
    <w:rsid w:val="003853EF"/>
    <w:rsid w:val="0038555C"/>
    <w:rsid w:val="003857C9"/>
    <w:rsid w:val="003859A6"/>
    <w:rsid w:val="00385BB3"/>
    <w:rsid w:val="00385BE9"/>
    <w:rsid w:val="00385CE3"/>
    <w:rsid w:val="00385E93"/>
    <w:rsid w:val="00385EA7"/>
    <w:rsid w:val="0038605D"/>
    <w:rsid w:val="0038619E"/>
    <w:rsid w:val="0038627C"/>
    <w:rsid w:val="00386282"/>
    <w:rsid w:val="003865E9"/>
    <w:rsid w:val="00386614"/>
    <w:rsid w:val="003866AC"/>
    <w:rsid w:val="00386742"/>
    <w:rsid w:val="00386904"/>
    <w:rsid w:val="00386984"/>
    <w:rsid w:val="00386AF7"/>
    <w:rsid w:val="00386C1D"/>
    <w:rsid w:val="00386C38"/>
    <w:rsid w:val="00386C90"/>
    <w:rsid w:val="00386D46"/>
    <w:rsid w:val="00386EC0"/>
    <w:rsid w:val="00386F5F"/>
    <w:rsid w:val="00386F69"/>
    <w:rsid w:val="00387082"/>
    <w:rsid w:val="0038727F"/>
    <w:rsid w:val="003872B4"/>
    <w:rsid w:val="0038739D"/>
    <w:rsid w:val="0038759B"/>
    <w:rsid w:val="00387672"/>
    <w:rsid w:val="0038798F"/>
    <w:rsid w:val="00387AE8"/>
    <w:rsid w:val="00387DB5"/>
    <w:rsid w:val="00387E9A"/>
    <w:rsid w:val="0039014A"/>
    <w:rsid w:val="0039014B"/>
    <w:rsid w:val="003901BE"/>
    <w:rsid w:val="0039078C"/>
    <w:rsid w:val="00390ABF"/>
    <w:rsid w:val="00390B57"/>
    <w:rsid w:val="00390DF7"/>
    <w:rsid w:val="00391348"/>
    <w:rsid w:val="00391435"/>
    <w:rsid w:val="0039163A"/>
    <w:rsid w:val="0039172D"/>
    <w:rsid w:val="00391A4C"/>
    <w:rsid w:val="00391BFA"/>
    <w:rsid w:val="00391CA0"/>
    <w:rsid w:val="00391D55"/>
    <w:rsid w:val="00391F3F"/>
    <w:rsid w:val="00392202"/>
    <w:rsid w:val="003922C8"/>
    <w:rsid w:val="003924D0"/>
    <w:rsid w:val="003925D5"/>
    <w:rsid w:val="0039268C"/>
    <w:rsid w:val="003926E4"/>
    <w:rsid w:val="00392778"/>
    <w:rsid w:val="00392783"/>
    <w:rsid w:val="00392A4E"/>
    <w:rsid w:val="00392B5E"/>
    <w:rsid w:val="00392BB5"/>
    <w:rsid w:val="00392D6D"/>
    <w:rsid w:val="00393028"/>
    <w:rsid w:val="0039323C"/>
    <w:rsid w:val="0039326B"/>
    <w:rsid w:val="00393407"/>
    <w:rsid w:val="0039345A"/>
    <w:rsid w:val="00393530"/>
    <w:rsid w:val="0039374C"/>
    <w:rsid w:val="00393872"/>
    <w:rsid w:val="0039395C"/>
    <w:rsid w:val="003939E1"/>
    <w:rsid w:val="00393E12"/>
    <w:rsid w:val="00393E79"/>
    <w:rsid w:val="00393EA3"/>
    <w:rsid w:val="00393F27"/>
    <w:rsid w:val="00394058"/>
    <w:rsid w:val="003941A9"/>
    <w:rsid w:val="00394460"/>
    <w:rsid w:val="0039456F"/>
    <w:rsid w:val="0039485C"/>
    <w:rsid w:val="0039498F"/>
    <w:rsid w:val="00394ACE"/>
    <w:rsid w:val="00394B16"/>
    <w:rsid w:val="00394D59"/>
    <w:rsid w:val="00394DDE"/>
    <w:rsid w:val="00394F16"/>
    <w:rsid w:val="003950C2"/>
    <w:rsid w:val="00395115"/>
    <w:rsid w:val="00395378"/>
    <w:rsid w:val="003953F6"/>
    <w:rsid w:val="00395458"/>
    <w:rsid w:val="0039558E"/>
    <w:rsid w:val="00395591"/>
    <w:rsid w:val="003955E1"/>
    <w:rsid w:val="003956E3"/>
    <w:rsid w:val="00395A82"/>
    <w:rsid w:val="00395B1B"/>
    <w:rsid w:val="00395C5B"/>
    <w:rsid w:val="0039639B"/>
    <w:rsid w:val="00396570"/>
    <w:rsid w:val="003966A7"/>
    <w:rsid w:val="003966B2"/>
    <w:rsid w:val="003966C5"/>
    <w:rsid w:val="003967F0"/>
    <w:rsid w:val="00396827"/>
    <w:rsid w:val="00396A82"/>
    <w:rsid w:val="00396B17"/>
    <w:rsid w:val="00396BDB"/>
    <w:rsid w:val="00396C6F"/>
    <w:rsid w:val="00396E07"/>
    <w:rsid w:val="00396F5B"/>
    <w:rsid w:val="003970EE"/>
    <w:rsid w:val="0039712D"/>
    <w:rsid w:val="00397295"/>
    <w:rsid w:val="0039730D"/>
    <w:rsid w:val="0039736C"/>
    <w:rsid w:val="0039756F"/>
    <w:rsid w:val="00397677"/>
    <w:rsid w:val="003979BA"/>
    <w:rsid w:val="00397B1B"/>
    <w:rsid w:val="00397CC0"/>
    <w:rsid w:val="00397E03"/>
    <w:rsid w:val="00397E0B"/>
    <w:rsid w:val="00397EC3"/>
    <w:rsid w:val="00397F9D"/>
    <w:rsid w:val="003A0115"/>
    <w:rsid w:val="003A01B6"/>
    <w:rsid w:val="003A01CD"/>
    <w:rsid w:val="003A04E9"/>
    <w:rsid w:val="003A0618"/>
    <w:rsid w:val="003A0675"/>
    <w:rsid w:val="003A080C"/>
    <w:rsid w:val="003A0A0B"/>
    <w:rsid w:val="003A0A7F"/>
    <w:rsid w:val="003A0D19"/>
    <w:rsid w:val="003A0DB9"/>
    <w:rsid w:val="003A1060"/>
    <w:rsid w:val="003A10C9"/>
    <w:rsid w:val="003A124E"/>
    <w:rsid w:val="003A12C4"/>
    <w:rsid w:val="003A1315"/>
    <w:rsid w:val="003A144A"/>
    <w:rsid w:val="003A1705"/>
    <w:rsid w:val="003A1785"/>
    <w:rsid w:val="003A180E"/>
    <w:rsid w:val="003A1883"/>
    <w:rsid w:val="003A18B3"/>
    <w:rsid w:val="003A18C0"/>
    <w:rsid w:val="003A197A"/>
    <w:rsid w:val="003A19BE"/>
    <w:rsid w:val="003A1ED9"/>
    <w:rsid w:val="003A2569"/>
    <w:rsid w:val="003A25A5"/>
    <w:rsid w:val="003A2819"/>
    <w:rsid w:val="003A298C"/>
    <w:rsid w:val="003A29E0"/>
    <w:rsid w:val="003A2BCA"/>
    <w:rsid w:val="003A2C50"/>
    <w:rsid w:val="003A2C55"/>
    <w:rsid w:val="003A2C9D"/>
    <w:rsid w:val="003A2D69"/>
    <w:rsid w:val="003A2D7B"/>
    <w:rsid w:val="003A2DA0"/>
    <w:rsid w:val="003A2DB5"/>
    <w:rsid w:val="003A2E9A"/>
    <w:rsid w:val="003A3097"/>
    <w:rsid w:val="003A3395"/>
    <w:rsid w:val="003A3552"/>
    <w:rsid w:val="003A3636"/>
    <w:rsid w:val="003A38EF"/>
    <w:rsid w:val="003A3CE6"/>
    <w:rsid w:val="003A3E70"/>
    <w:rsid w:val="003A3EFC"/>
    <w:rsid w:val="003A3F4B"/>
    <w:rsid w:val="003A403A"/>
    <w:rsid w:val="003A40C2"/>
    <w:rsid w:val="003A418F"/>
    <w:rsid w:val="003A4231"/>
    <w:rsid w:val="003A4307"/>
    <w:rsid w:val="003A45DD"/>
    <w:rsid w:val="003A49A2"/>
    <w:rsid w:val="003A49DC"/>
    <w:rsid w:val="003A4B05"/>
    <w:rsid w:val="003A4BA8"/>
    <w:rsid w:val="003A4BE2"/>
    <w:rsid w:val="003A4D9C"/>
    <w:rsid w:val="003A53BE"/>
    <w:rsid w:val="003A5493"/>
    <w:rsid w:val="003A5664"/>
    <w:rsid w:val="003A5836"/>
    <w:rsid w:val="003A58E6"/>
    <w:rsid w:val="003A59A1"/>
    <w:rsid w:val="003A59D6"/>
    <w:rsid w:val="003A59F0"/>
    <w:rsid w:val="003A5AB1"/>
    <w:rsid w:val="003A5B20"/>
    <w:rsid w:val="003A5C5F"/>
    <w:rsid w:val="003A5C86"/>
    <w:rsid w:val="003A5CD5"/>
    <w:rsid w:val="003A5E4C"/>
    <w:rsid w:val="003A6017"/>
    <w:rsid w:val="003A6023"/>
    <w:rsid w:val="003A6034"/>
    <w:rsid w:val="003A6182"/>
    <w:rsid w:val="003A628A"/>
    <w:rsid w:val="003A62CC"/>
    <w:rsid w:val="003A631B"/>
    <w:rsid w:val="003A6355"/>
    <w:rsid w:val="003A668A"/>
    <w:rsid w:val="003A6878"/>
    <w:rsid w:val="003A68AC"/>
    <w:rsid w:val="003A6A16"/>
    <w:rsid w:val="003A6AFC"/>
    <w:rsid w:val="003A6D7E"/>
    <w:rsid w:val="003A6E2D"/>
    <w:rsid w:val="003A7129"/>
    <w:rsid w:val="003A718A"/>
    <w:rsid w:val="003A75D6"/>
    <w:rsid w:val="003A7A17"/>
    <w:rsid w:val="003A7A7F"/>
    <w:rsid w:val="003A7CC5"/>
    <w:rsid w:val="003B0220"/>
    <w:rsid w:val="003B02A5"/>
    <w:rsid w:val="003B034A"/>
    <w:rsid w:val="003B07E4"/>
    <w:rsid w:val="003B0A4D"/>
    <w:rsid w:val="003B0ACB"/>
    <w:rsid w:val="003B0C24"/>
    <w:rsid w:val="003B0E4B"/>
    <w:rsid w:val="003B10DB"/>
    <w:rsid w:val="003B1187"/>
    <w:rsid w:val="003B1269"/>
    <w:rsid w:val="003B141E"/>
    <w:rsid w:val="003B1589"/>
    <w:rsid w:val="003B15B1"/>
    <w:rsid w:val="003B18AF"/>
    <w:rsid w:val="003B194D"/>
    <w:rsid w:val="003B1C48"/>
    <w:rsid w:val="003B1D94"/>
    <w:rsid w:val="003B1E46"/>
    <w:rsid w:val="003B1F7C"/>
    <w:rsid w:val="003B223C"/>
    <w:rsid w:val="003B24D5"/>
    <w:rsid w:val="003B2540"/>
    <w:rsid w:val="003B2753"/>
    <w:rsid w:val="003B2880"/>
    <w:rsid w:val="003B2AB7"/>
    <w:rsid w:val="003B2B40"/>
    <w:rsid w:val="003B2B43"/>
    <w:rsid w:val="003B2D4A"/>
    <w:rsid w:val="003B3030"/>
    <w:rsid w:val="003B31B8"/>
    <w:rsid w:val="003B32B6"/>
    <w:rsid w:val="003B36C6"/>
    <w:rsid w:val="003B393F"/>
    <w:rsid w:val="003B3A2C"/>
    <w:rsid w:val="003B3A54"/>
    <w:rsid w:val="003B3C89"/>
    <w:rsid w:val="003B3DBA"/>
    <w:rsid w:val="003B409B"/>
    <w:rsid w:val="003B4372"/>
    <w:rsid w:val="003B45B3"/>
    <w:rsid w:val="003B460F"/>
    <w:rsid w:val="003B4A19"/>
    <w:rsid w:val="003B4A75"/>
    <w:rsid w:val="003B4BA0"/>
    <w:rsid w:val="003B4BB7"/>
    <w:rsid w:val="003B4E24"/>
    <w:rsid w:val="003B4F77"/>
    <w:rsid w:val="003B50F4"/>
    <w:rsid w:val="003B5229"/>
    <w:rsid w:val="003B5247"/>
    <w:rsid w:val="003B52DC"/>
    <w:rsid w:val="003B5515"/>
    <w:rsid w:val="003B57A9"/>
    <w:rsid w:val="003B585D"/>
    <w:rsid w:val="003B5A45"/>
    <w:rsid w:val="003B5B40"/>
    <w:rsid w:val="003B5B87"/>
    <w:rsid w:val="003B5C5C"/>
    <w:rsid w:val="003B5DB7"/>
    <w:rsid w:val="003B5DBD"/>
    <w:rsid w:val="003B5E16"/>
    <w:rsid w:val="003B5F4C"/>
    <w:rsid w:val="003B5FC2"/>
    <w:rsid w:val="003B5FED"/>
    <w:rsid w:val="003B60CB"/>
    <w:rsid w:val="003B6134"/>
    <w:rsid w:val="003B6145"/>
    <w:rsid w:val="003B62AD"/>
    <w:rsid w:val="003B640F"/>
    <w:rsid w:val="003B648F"/>
    <w:rsid w:val="003B64FB"/>
    <w:rsid w:val="003B657D"/>
    <w:rsid w:val="003B6AB8"/>
    <w:rsid w:val="003B6B99"/>
    <w:rsid w:val="003B6C6A"/>
    <w:rsid w:val="003B6CFD"/>
    <w:rsid w:val="003B6D11"/>
    <w:rsid w:val="003B6DA5"/>
    <w:rsid w:val="003B6E2B"/>
    <w:rsid w:val="003B7008"/>
    <w:rsid w:val="003B7074"/>
    <w:rsid w:val="003B70B8"/>
    <w:rsid w:val="003B72B0"/>
    <w:rsid w:val="003B7374"/>
    <w:rsid w:val="003B737E"/>
    <w:rsid w:val="003B73FE"/>
    <w:rsid w:val="003B743B"/>
    <w:rsid w:val="003B75B4"/>
    <w:rsid w:val="003B7615"/>
    <w:rsid w:val="003B7B2C"/>
    <w:rsid w:val="003B7B6A"/>
    <w:rsid w:val="003B7BD9"/>
    <w:rsid w:val="003B7BEB"/>
    <w:rsid w:val="003B7CCE"/>
    <w:rsid w:val="003B7DDB"/>
    <w:rsid w:val="003B7DFC"/>
    <w:rsid w:val="003B7E9D"/>
    <w:rsid w:val="003B7FBC"/>
    <w:rsid w:val="003C00BE"/>
    <w:rsid w:val="003C00EC"/>
    <w:rsid w:val="003C016F"/>
    <w:rsid w:val="003C0362"/>
    <w:rsid w:val="003C04FF"/>
    <w:rsid w:val="003C07B9"/>
    <w:rsid w:val="003C093D"/>
    <w:rsid w:val="003C095A"/>
    <w:rsid w:val="003C09C3"/>
    <w:rsid w:val="003C0E04"/>
    <w:rsid w:val="003C0E18"/>
    <w:rsid w:val="003C1019"/>
    <w:rsid w:val="003C109A"/>
    <w:rsid w:val="003C10BD"/>
    <w:rsid w:val="003C1169"/>
    <w:rsid w:val="003C1313"/>
    <w:rsid w:val="003C142A"/>
    <w:rsid w:val="003C1503"/>
    <w:rsid w:val="003C1844"/>
    <w:rsid w:val="003C1F63"/>
    <w:rsid w:val="003C1FF2"/>
    <w:rsid w:val="003C2027"/>
    <w:rsid w:val="003C2062"/>
    <w:rsid w:val="003C21A6"/>
    <w:rsid w:val="003C2261"/>
    <w:rsid w:val="003C23EE"/>
    <w:rsid w:val="003C249F"/>
    <w:rsid w:val="003C2506"/>
    <w:rsid w:val="003C2B8F"/>
    <w:rsid w:val="003C2D5E"/>
    <w:rsid w:val="003C2E26"/>
    <w:rsid w:val="003C2F9A"/>
    <w:rsid w:val="003C306C"/>
    <w:rsid w:val="003C323B"/>
    <w:rsid w:val="003C336D"/>
    <w:rsid w:val="003C34A9"/>
    <w:rsid w:val="003C34FF"/>
    <w:rsid w:val="003C3597"/>
    <w:rsid w:val="003C3602"/>
    <w:rsid w:val="003C3639"/>
    <w:rsid w:val="003C366D"/>
    <w:rsid w:val="003C36A6"/>
    <w:rsid w:val="003C379F"/>
    <w:rsid w:val="003C3966"/>
    <w:rsid w:val="003C39FD"/>
    <w:rsid w:val="003C3A3D"/>
    <w:rsid w:val="003C3A86"/>
    <w:rsid w:val="003C3C93"/>
    <w:rsid w:val="003C4127"/>
    <w:rsid w:val="003C425B"/>
    <w:rsid w:val="003C4265"/>
    <w:rsid w:val="003C4328"/>
    <w:rsid w:val="003C45CC"/>
    <w:rsid w:val="003C4730"/>
    <w:rsid w:val="003C4747"/>
    <w:rsid w:val="003C4975"/>
    <w:rsid w:val="003C4A7C"/>
    <w:rsid w:val="003C4A9C"/>
    <w:rsid w:val="003C4AFA"/>
    <w:rsid w:val="003C4CDE"/>
    <w:rsid w:val="003C5157"/>
    <w:rsid w:val="003C5588"/>
    <w:rsid w:val="003C5605"/>
    <w:rsid w:val="003C569D"/>
    <w:rsid w:val="003C56B1"/>
    <w:rsid w:val="003C5863"/>
    <w:rsid w:val="003C59C8"/>
    <w:rsid w:val="003C5A05"/>
    <w:rsid w:val="003C5C7C"/>
    <w:rsid w:val="003C5CF8"/>
    <w:rsid w:val="003C5E0C"/>
    <w:rsid w:val="003C5E93"/>
    <w:rsid w:val="003C5EB4"/>
    <w:rsid w:val="003C5EC2"/>
    <w:rsid w:val="003C6084"/>
    <w:rsid w:val="003C6108"/>
    <w:rsid w:val="003C6499"/>
    <w:rsid w:val="003C681B"/>
    <w:rsid w:val="003C6915"/>
    <w:rsid w:val="003C6BEA"/>
    <w:rsid w:val="003C6D38"/>
    <w:rsid w:val="003C6F88"/>
    <w:rsid w:val="003C70A0"/>
    <w:rsid w:val="003C72BC"/>
    <w:rsid w:val="003C73B3"/>
    <w:rsid w:val="003C75C4"/>
    <w:rsid w:val="003C7667"/>
    <w:rsid w:val="003C798E"/>
    <w:rsid w:val="003C79BC"/>
    <w:rsid w:val="003C7BB6"/>
    <w:rsid w:val="003C7BC2"/>
    <w:rsid w:val="003C7BE0"/>
    <w:rsid w:val="003C7C11"/>
    <w:rsid w:val="003C7C65"/>
    <w:rsid w:val="003C7F33"/>
    <w:rsid w:val="003C7FA9"/>
    <w:rsid w:val="003D05BB"/>
    <w:rsid w:val="003D0643"/>
    <w:rsid w:val="003D06A4"/>
    <w:rsid w:val="003D076F"/>
    <w:rsid w:val="003D0789"/>
    <w:rsid w:val="003D08AE"/>
    <w:rsid w:val="003D095C"/>
    <w:rsid w:val="003D0A32"/>
    <w:rsid w:val="003D0A35"/>
    <w:rsid w:val="003D0BCC"/>
    <w:rsid w:val="003D0D92"/>
    <w:rsid w:val="003D0E81"/>
    <w:rsid w:val="003D0EDE"/>
    <w:rsid w:val="003D1239"/>
    <w:rsid w:val="003D156C"/>
    <w:rsid w:val="003D1649"/>
    <w:rsid w:val="003D19A8"/>
    <w:rsid w:val="003D1A27"/>
    <w:rsid w:val="003D1B40"/>
    <w:rsid w:val="003D1BE7"/>
    <w:rsid w:val="003D1BF0"/>
    <w:rsid w:val="003D206C"/>
    <w:rsid w:val="003D231C"/>
    <w:rsid w:val="003D2426"/>
    <w:rsid w:val="003D266D"/>
    <w:rsid w:val="003D26B6"/>
    <w:rsid w:val="003D26F7"/>
    <w:rsid w:val="003D2880"/>
    <w:rsid w:val="003D2A3E"/>
    <w:rsid w:val="003D2B63"/>
    <w:rsid w:val="003D2C05"/>
    <w:rsid w:val="003D2C2A"/>
    <w:rsid w:val="003D2CDE"/>
    <w:rsid w:val="003D3381"/>
    <w:rsid w:val="003D3681"/>
    <w:rsid w:val="003D36F1"/>
    <w:rsid w:val="003D3744"/>
    <w:rsid w:val="003D37D0"/>
    <w:rsid w:val="003D3A00"/>
    <w:rsid w:val="003D3A83"/>
    <w:rsid w:val="003D3AB2"/>
    <w:rsid w:val="003D3CBF"/>
    <w:rsid w:val="003D3D48"/>
    <w:rsid w:val="003D3DF4"/>
    <w:rsid w:val="003D3FD3"/>
    <w:rsid w:val="003D40A9"/>
    <w:rsid w:val="003D41E9"/>
    <w:rsid w:val="003D4284"/>
    <w:rsid w:val="003D42D0"/>
    <w:rsid w:val="003D4467"/>
    <w:rsid w:val="003D46E6"/>
    <w:rsid w:val="003D4702"/>
    <w:rsid w:val="003D495E"/>
    <w:rsid w:val="003D4A9B"/>
    <w:rsid w:val="003D4CDF"/>
    <w:rsid w:val="003D4E27"/>
    <w:rsid w:val="003D4E37"/>
    <w:rsid w:val="003D5179"/>
    <w:rsid w:val="003D5377"/>
    <w:rsid w:val="003D5390"/>
    <w:rsid w:val="003D5505"/>
    <w:rsid w:val="003D552D"/>
    <w:rsid w:val="003D5542"/>
    <w:rsid w:val="003D56D6"/>
    <w:rsid w:val="003D56E0"/>
    <w:rsid w:val="003D5763"/>
    <w:rsid w:val="003D57D7"/>
    <w:rsid w:val="003D5830"/>
    <w:rsid w:val="003D5902"/>
    <w:rsid w:val="003D596E"/>
    <w:rsid w:val="003D5DBF"/>
    <w:rsid w:val="003D5F4B"/>
    <w:rsid w:val="003D6907"/>
    <w:rsid w:val="003D6B0E"/>
    <w:rsid w:val="003D6CA8"/>
    <w:rsid w:val="003D6DEB"/>
    <w:rsid w:val="003D6EAA"/>
    <w:rsid w:val="003D6EBB"/>
    <w:rsid w:val="003D7127"/>
    <w:rsid w:val="003D7239"/>
    <w:rsid w:val="003D734B"/>
    <w:rsid w:val="003D7360"/>
    <w:rsid w:val="003D75D2"/>
    <w:rsid w:val="003D7820"/>
    <w:rsid w:val="003D7836"/>
    <w:rsid w:val="003D7992"/>
    <w:rsid w:val="003D7A45"/>
    <w:rsid w:val="003D7A80"/>
    <w:rsid w:val="003D7B48"/>
    <w:rsid w:val="003D7DF7"/>
    <w:rsid w:val="003D7EC9"/>
    <w:rsid w:val="003D7F5C"/>
    <w:rsid w:val="003E032D"/>
    <w:rsid w:val="003E04BA"/>
    <w:rsid w:val="003E051D"/>
    <w:rsid w:val="003E064A"/>
    <w:rsid w:val="003E06B5"/>
    <w:rsid w:val="003E0782"/>
    <w:rsid w:val="003E0924"/>
    <w:rsid w:val="003E0A3E"/>
    <w:rsid w:val="003E0AFB"/>
    <w:rsid w:val="003E0DCD"/>
    <w:rsid w:val="003E0E49"/>
    <w:rsid w:val="003E0FA4"/>
    <w:rsid w:val="003E1072"/>
    <w:rsid w:val="003E1304"/>
    <w:rsid w:val="003E139C"/>
    <w:rsid w:val="003E13A6"/>
    <w:rsid w:val="003E147E"/>
    <w:rsid w:val="003E15FA"/>
    <w:rsid w:val="003E1677"/>
    <w:rsid w:val="003E18BA"/>
    <w:rsid w:val="003E1949"/>
    <w:rsid w:val="003E1992"/>
    <w:rsid w:val="003E1C8F"/>
    <w:rsid w:val="003E1DE7"/>
    <w:rsid w:val="003E1E2D"/>
    <w:rsid w:val="003E21D8"/>
    <w:rsid w:val="003E2207"/>
    <w:rsid w:val="003E2215"/>
    <w:rsid w:val="003E24D4"/>
    <w:rsid w:val="003E267C"/>
    <w:rsid w:val="003E2713"/>
    <w:rsid w:val="003E2934"/>
    <w:rsid w:val="003E299A"/>
    <w:rsid w:val="003E29F1"/>
    <w:rsid w:val="003E2EEA"/>
    <w:rsid w:val="003E2F4E"/>
    <w:rsid w:val="003E3605"/>
    <w:rsid w:val="003E3658"/>
    <w:rsid w:val="003E37A6"/>
    <w:rsid w:val="003E3907"/>
    <w:rsid w:val="003E398E"/>
    <w:rsid w:val="003E3AAF"/>
    <w:rsid w:val="003E3C0E"/>
    <w:rsid w:val="003E3DF0"/>
    <w:rsid w:val="003E432B"/>
    <w:rsid w:val="003E43C2"/>
    <w:rsid w:val="003E450D"/>
    <w:rsid w:val="003E45F1"/>
    <w:rsid w:val="003E4A0A"/>
    <w:rsid w:val="003E4B61"/>
    <w:rsid w:val="003E4CB1"/>
    <w:rsid w:val="003E5067"/>
    <w:rsid w:val="003E51DE"/>
    <w:rsid w:val="003E54EB"/>
    <w:rsid w:val="003E5581"/>
    <w:rsid w:val="003E5639"/>
    <w:rsid w:val="003E5830"/>
    <w:rsid w:val="003E5C62"/>
    <w:rsid w:val="003E5CC4"/>
    <w:rsid w:val="003E5F49"/>
    <w:rsid w:val="003E643C"/>
    <w:rsid w:val="003E64A5"/>
    <w:rsid w:val="003E66A0"/>
    <w:rsid w:val="003E6764"/>
    <w:rsid w:val="003E690B"/>
    <w:rsid w:val="003E69EF"/>
    <w:rsid w:val="003E6B23"/>
    <w:rsid w:val="003E6B42"/>
    <w:rsid w:val="003E6B4D"/>
    <w:rsid w:val="003E6F93"/>
    <w:rsid w:val="003E6FBF"/>
    <w:rsid w:val="003E726E"/>
    <w:rsid w:val="003E7347"/>
    <w:rsid w:val="003E73DB"/>
    <w:rsid w:val="003E7438"/>
    <w:rsid w:val="003E76E5"/>
    <w:rsid w:val="003E77FD"/>
    <w:rsid w:val="003E79B7"/>
    <w:rsid w:val="003E7A22"/>
    <w:rsid w:val="003E7D1F"/>
    <w:rsid w:val="003F00B5"/>
    <w:rsid w:val="003F01B4"/>
    <w:rsid w:val="003F021C"/>
    <w:rsid w:val="003F026D"/>
    <w:rsid w:val="003F0376"/>
    <w:rsid w:val="003F03F0"/>
    <w:rsid w:val="003F05F9"/>
    <w:rsid w:val="003F0642"/>
    <w:rsid w:val="003F0719"/>
    <w:rsid w:val="003F0789"/>
    <w:rsid w:val="003F0A21"/>
    <w:rsid w:val="003F0A5A"/>
    <w:rsid w:val="003F0BEF"/>
    <w:rsid w:val="003F0C7B"/>
    <w:rsid w:val="003F0D2E"/>
    <w:rsid w:val="003F0D57"/>
    <w:rsid w:val="003F0DA5"/>
    <w:rsid w:val="003F0EEF"/>
    <w:rsid w:val="003F0F02"/>
    <w:rsid w:val="003F1150"/>
    <w:rsid w:val="003F120D"/>
    <w:rsid w:val="003F1244"/>
    <w:rsid w:val="003F1483"/>
    <w:rsid w:val="003F1559"/>
    <w:rsid w:val="003F162D"/>
    <w:rsid w:val="003F1684"/>
    <w:rsid w:val="003F17A5"/>
    <w:rsid w:val="003F1B8E"/>
    <w:rsid w:val="003F1C0C"/>
    <w:rsid w:val="003F1C8D"/>
    <w:rsid w:val="003F1CF1"/>
    <w:rsid w:val="003F1F5B"/>
    <w:rsid w:val="003F21CA"/>
    <w:rsid w:val="003F2227"/>
    <w:rsid w:val="003F246F"/>
    <w:rsid w:val="003F25D9"/>
    <w:rsid w:val="003F2947"/>
    <w:rsid w:val="003F297D"/>
    <w:rsid w:val="003F2A37"/>
    <w:rsid w:val="003F2B2C"/>
    <w:rsid w:val="003F2C9D"/>
    <w:rsid w:val="003F2CDA"/>
    <w:rsid w:val="003F2ED5"/>
    <w:rsid w:val="003F318B"/>
    <w:rsid w:val="003F31DB"/>
    <w:rsid w:val="003F3200"/>
    <w:rsid w:val="003F3298"/>
    <w:rsid w:val="003F32B9"/>
    <w:rsid w:val="003F3351"/>
    <w:rsid w:val="003F3643"/>
    <w:rsid w:val="003F3659"/>
    <w:rsid w:val="003F38E9"/>
    <w:rsid w:val="003F3943"/>
    <w:rsid w:val="003F3970"/>
    <w:rsid w:val="003F3C28"/>
    <w:rsid w:val="003F3CEF"/>
    <w:rsid w:val="003F3F95"/>
    <w:rsid w:val="003F4121"/>
    <w:rsid w:val="003F4145"/>
    <w:rsid w:val="003F41D5"/>
    <w:rsid w:val="003F42FD"/>
    <w:rsid w:val="003F45BE"/>
    <w:rsid w:val="003F4663"/>
    <w:rsid w:val="003F46BD"/>
    <w:rsid w:val="003F470E"/>
    <w:rsid w:val="003F47F4"/>
    <w:rsid w:val="003F4949"/>
    <w:rsid w:val="003F49BD"/>
    <w:rsid w:val="003F4AFD"/>
    <w:rsid w:val="003F4B59"/>
    <w:rsid w:val="003F4EBE"/>
    <w:rsid w:val="003F4F11"/>
    <w:rsid w:val="003F51F5"/>
    <w:rsid w:val="003F531B"/>
    <w:rsid w:val="003F557E"/>
    <w:rsid w:val="003F56F5"/>
    <w:rsid w:val="003F5715"/>
    <w:rsid w:val="003F57F8"/>
    <w:rsid w:val="003F58ED"/>
    <w:rsid w:val="003F5974"/>
    <w:rsid w:val="003F598A"/>
    <w:rsid w:val="003F5A66"/>
    <w:rsid w:val="003F5C36"/>
    <w:rsid w:val="003F5F2E"/>
    <w:rsid w:val="003F6117"/>
    <w:rsid w:val="003F61C6"/>
    <w:rsid w:val="003F6320"/>
    <w:rsid w:val="003F640E"/>
    <w:rsid w:val="003F6467"/>
    <w:rsid w:val="003F649A"/>
    <w:rsid w:val="003F67F0"/>
    <w:rsid w:val="003F6812"/>
    <w:rsid w:val="003F682F"/>
    <w:rsid w:val="003F6847"/>
    <w:rsid w:val="003F6885"/>
    <w:rsid w:val="003F690E"/>
    <w:rsid w:val="003F69C5"/>
    <w:rsid w:val="003F6A82"/>
    <w:rsid w:val="003F6CBD"/>
    <w:rsid w:val="003F6D44"/>
    <w:rsid w:val="003F6E81"/>
    <w:rsid w:val="003F7163"/>
    <w:rsid w:val="003F7526"/>
    <w:rsid w:val="003F7575"/>
    <w:rsid w:val="003F790D"/>
    <w:rsid w:val="003F791A"/>
    <w:rsid w:val="003F7D1C"/>
    <w:rsid w:val="004000CE"/>
    <w:rsid w:val="004000E5"/>
    <w:rsid w:val="00400174"/>
    <w:rsid w:val="004002A4"/>
    <w:rsid w:val="00400585"/>
    <w:rsid w:val="00400735"/>
    <w:rsid w:val="0040093E"/>
    <w:rsid w:val="00400987"/>
    <w:rsid w:val="004009D8"/>
    <w:rsid w:val="00400A96"/>
    <w:rsid w:val="00400B8B"/>
    <w:rsid w:val="00400D3E"/>
    <w:rsid w:val="00400F13"/>
    <w:rsid w:val="00400FA6"/>
    <w:rsid w:val="004010AA"/>
    <w:rsid w:val="004013BC"/>
    <w:rsid w:val="004013DD"/>
    <w:rsid w:val="004014B0"/>
    <w:rsid w:val="0040165D"/>
    <w:rsid w:val="004016F3"/>
    <w:rsid w:val="00401776"/>
    <w:rsid w:val="004019D5"/>
    <w:rsid w:val="00401A6A"/>
    <w:rsid w:val="00401C61"/>
    <w:rsid w:val="00401DFE"/>
    <w:rsid w:val="004025EC"/>
    <w:rsid w:val="00402734"/>
    <w:rsid w:val="004028CF"/>
    <w:rsid w:val="00402A10"/>
    <w:rsid w:val="00402AB0"/>
    <w:rsid w:val="00402AC4"/>
    <w:rsid w:val="00402D7C"/>
    <w:rsid w:val="00403071"/>
    <w:rsid w:val="004034FC"/>
    <w:rsid w:val="004035A4"/>
    <w:rsid w:val="00403645"/>
    <w:rsid w:val="00403AD1"/>
    <w:rsid w:val="00403AFF"/>
    <w:rsid w:val="00403C54"/>
    <w:rsid w:val="00403DFE"/>
    <w:rsid w:val="00403E4C"/>
    <w:rsid w:val="00403E69"/>
    <w:rsid w:val="004042AB"/>
    <w:rsid w:val="004043B7"/>
    <w:rsid w:val="004045BC"/>
    <w:rsid w:val="004045EE"/>
    <w:rsid w:val="00404771"/>
    <w:rsid w:val="00404A4F"/>
    <w:rsid w:val="00404DDD"/>
    <w:rsid w:val="00404F64"/>
    <w:rsid w:val="00404F7D"/>
    <w:rsid w:val="00405093"/>
    <w:rsid w:val="00405260"/>
    <w:rsid w:val="004053BE"/>
    <w:rsid w:val="00405544"/>
    <w:rsid w:val="0040566B"/>
    <w:rsid w:val="0040573C"/>
    <w:rsid w:val="004058C2"/>
    <w:rsid w:val="00405A3D"/>
    <w:rsid w:val="00405AA7"/>
    <w:rsid w:val="00405CAC"/>
    <w:rsid w:val="00405CCB"/>
    <w:rsid w:val="00405D7C"/>
    <w:rsid w:val="00405D8B"/>
    <w:rsid w:val="00406054"/>
    <w:rsid w:val="004060DD"/>
    <w:rsid w:val="00406124"/>
    <w:rsid w:val="00406577"/>
    <w:rsid w:val="00406592"/>
    <w:rsid w:val="00406833"/>
    <w:rsid w:val="0040691C"/>
    <w:rsid w:val="0040697C"/>
    <w:rsid w:val="00406A79"/>
    <w:rsid w:val="00406AA2"/>
    <w:rsid w:val="00406B0F"/>
    <w:rsid w:val="00406BF0"/>
    <w:rsid w:val="0040728D"/>
    <w:rsid w:val="004073B4"/>
    <w:rsid w:val="004074B5"/>
    <w:rsid w:val="00407561"/>
    <w:rsid w:val="0040763B"/>
    <w:rsid w:val="004076C1"/>
    <w:rsid w:val="00407B41"/>
    <w:rsid w:val="00407C56"/>
    <w:rsid w:val="00407C7E"/>
    <w:rsid w:val="00407D22"/>
    <w:rsid w:val="00407D7D"/>
    <w:rsid w:val="00407E26"/>
    <w:rsid w:val="00407EB9"/>
    <w:rsid w:val="004104D6"/>
    <w:rsid w:val="0041068C"/>
    <w:rsid w:val="004106EE"/>
    <w:rsid w:val="00410772"/>
    <w:rsid w:val="00410950"/>
    <w:rsid w:val="00410A97"/>
    <w:rsid w:val="00410D51"/>
    <w:rsid w:val="00410DF7"/>
    <w:rsid w:val="00410F1D"/>
    <w:rsid w:val="0041116C"/>
    <w:rsid w:val="0041135C"/>
    <w:rsid w:val="00411415"/>
    <w:rsid w:val="004114CC"/>
    <w:rsid w:val="00411535"/>
    <w:rsid w:val="00411537"/>
    <w:rsid w:val="00411593"/>
    <w:rsid w:val="00411823"/>
    <w:rsid w:val="00411843"/>
    <w:rsid w:val="00411E2C"/>
    <w:rsid w:val="00411F4B"/>
    <w:rsid w:val="004120F3"/>
    <w:rsid w:val="0041227B"/>
    <w:rsid w:val="0041246E"/>
    <w:rsid w:val="00412532"/>
    <w:rsid w:val="00412779"/>
    <w:rsid w:val="004129B9"/>
    <w:rsid w:val="00412A9B"/>
    <w:rsid w:val="00412AAA"/>
    <w:rsid w:val="00412C12"/>
    <w:rsid w:val="00412DA7"/>
    <w:rsid w:val="00412DF4"/>
    <w:rsid w:val="0041319C"/>
    <w:rsid w:val="00413572"/>
    <w:rsid w:val="00413684"/>
    <w:rsid w:val="00413C14"/>
    <w:rsid w:val="00413CD0"/>
    <w:rsid w:val="00413CEC"/>
    <w:rsid w:val="00413EA6"/>
    <w:rsid w:val="004141CE"/>
    <w:rsid w:val="004141DD"/>
    <w:rsid w:val="0041436E"/>
    <w:rsid w:val="0041448F"/>
    <w:rsid w:val="00414649"/>
    <w:rsid w:val="00414875"/>
    <w:rsid w:val="0041498A"/>
    <w:rsid w:val="00414B16"/>
    <w:rsid w:val="00414BD5"/>
    <w:rsid w:val="00414F21"/>
    <w:rsid w:val="00414F4A"/>
    <w:rsid w:val="004150F9"/>
    <w:rsid w:val="00415174"/>
    <w:rsid w:val="00415177"/>
    <w:rsid w:val="00415272"/>
    <w:rsid w:val="00415683"/>
    <w:rsid w:val="00415865"/>
    <w:rsid w:val="00415B62"/>
    <w:rsid w:val="00415BAF"/>
    <w:rsid w:val="00415BDF"/>
    <w:rsid w:val="00415CB4"/>
    <w:rsid w:val="00415E55"/>
    <w:rsid w:val="00415ED2"/>
    <w:rsid w:val="00415F1F"/>
    <w:rsid w:val="00416183"/>
    <w:rsid w:val="00416188"/>
    <w:rsid w:val="004162B8"/>
    <w:rsid w:val="00416B3E"/>
    <w:rsid w:val="00416C85"/>
    <w:rsid w:val="0041720F"/>
    <w:rsid w:val="00417304"/>
    <w:rsid w:val="00417630"/>
    <w:rsid w:val="0041787E"/>
    <w:rsid w:val="00417916"/>
    <w:rsid w:val="00417ABD"/>
    <w:rsid w:val="00417B5D"/>
    <w:rsid w:val="00417BF9"/>
    <w:rsid w:val="00417EEB"/>
    <w:rsid w:val="00417F7F"/>
    <w:rsid w:val="00417FB0"/>
    <w:rsid w:val="00420080"/>
    <w:rsid w:val="004202DD"/>
    <w:rsid w:val="0042076D"/>
    <w:rsid w:val="004208FC"/>
    <w:rsid w:val="00420927"/>
    <w:rsid w:val="00420B53"/>
    <w:rsid w:val="00420F01"/>
    <w:rsid w:val="00421761"/>
    <w:rsid w:val="00421A02"/>
    <w:rsid w:val="00421A72"/>
    <w:rsid w:val="00421C95"/>
    <w:rsid w:val="00421D1D"/>
    <w:rsid w:val="00421DCD"/>
    <w:rsid w:val="00421FB9"/>
    <w:rsid w:val="00422475"/>
    <w:rsid w:val="00422560"/>
    <w:rsid w:val="004226CC"/>
    <w:rsid w:val="0042270F"/>
    <w:rsid w:val="004227CB"/>
    <w:rsid w:val="00422811"/>
    <w:rsid w:val="00422DD9"/>
    <w:rsid w:val="00422DE4"/>
    <w:rsid w:val="00422E28"/>
    <w:rsid w:val="00422E99"/>
    <w:rsid w:val="00422FF5"/>
    <w:rsid w:val="00423167"/>
    <w:rsid w:val="004231FE"/>
    <w:rsid w:val="004232DD"/>
    <w:rsid w:val="0042335A"/>
    <w:rsid w:val="00423412"/>
    <w:rsid w:val="004235A2"/>
    <w:rsid w:val="00423721"/>
    <w:rsid w:val="00423768"/>
    <w:rsid w:val="0042391B"/>
    <w:rsid w:val="004239F5"/>
    <w:rsid w:val="00423CC4"/>
    <w:rsid w:val="00423CF0"/>
    <w:rsid w:val="00423F7A"/>
    <w:rsid w:val="0042403D"/>
    <w:rsid w:val="004242F0"/>
    <w:rsid w:val="004246DD"/>
    <w:rsid w:val="004247E7"/>
    <w:rsid w:val="0042493E"/>
    <w:rsid w:val="00424A81"/>
    <w:rsid w:val="00424BAF"/>
    <w:rsid w:val="00424D15"/>
    <w:rsid w:val="00424D30"/>
    <w:rsid w:val="00424E19"/>
    <w:rsid w:val="00425549"/>
    <w:rsid w:val="004255C0"/>
    <w:rsid w:val="004255CF"/>
    <w:rsid w:val="00425687"/>
    <w:rsid w:val="004258E5"/>
    <w:rsid w:val="00425B2E"/>
    <w:rsid w:val="00425DF9"/>
    <w:rsid w:val="0042604B"/>
    <w:rsid w:val="00426418"/>
    <w:rsid w:val="00426591"/>
    <w:rsid w:val="004267CF"/>
    <w:rsid w:val="00426871"/>
    <w:rsid w:val="00426997"/>
    <w:rsid w:val="00426A98"/>
    <w:rsid w:val="00426B78"/>
    <w:rsid w:val="00426CF3"/>
    <w:rsid w:val="00427061"/>
    <w:rsid w:val="00427130"/>
    <w:rsid w:val="004274CE"/>
    <w:rsid w:val="004279A3"/>
    <w:rsid w:val="004279D2"/>
    <w:rsid w:val="00427BC8"/>
    <w:rsid w:val="00427BF6"/>
    <w:rsid w:val="00427C6C"/>
    <w:rsid w:val="00427D76"/>
    <w:rsid w:val="00427E50"/>
    <w:rsid w:val="0043028F"/>
    <w:rsid w:val="004304CA"/>
    <w:rsid w:val="004304FA"/>
    <w:rsid w:val="00430799"/>
    <w:rsid w:val="00430A9A"/>
    <w:rsid w:val="00430B42"/>
    <w:rsid w:val="00430BC8"/>
    <w:rsid w:val="00430D20"/>
    <w:rsid w:val="00430D22"/>
    <w:rsid w:val="00430DAE"/>
    <w:rsid w:val="00430DBF"/>
    <w:rsid w:val="00430E0E"/>
    <w:rsid w:val="00430EF3"/>
    <w:rsid w:val="00430F83"/>
    <w:rsid w:val="004311AA"/>
    <w:rsid w:val="00431209"/>
    <w:rsid w:val="00431276"/>
    <w:rsid w:val="00431281"/>
    <w:rsid w:val="004312E2"/>
    <w:rsid w:val="00431574"/>
    <w:rsid w:val="0043183A"/>
    <w:rsid w:val="00431972"/>
    <w:rsid w:val="004319F9"/>
    <w:rsid w:val="00431B4C"/>
    <w:rsid w:val="00431BCE"/>
    <w:rsid w:val="00431D0E"/>
    <w:rsid w:val="00431DB6"/>
    <w:rsid w:val="00431E6B"/>
    <w:rsid w:val="0043217B"/>
    <w:rsid w:val="0043239F"/>
    <w:rsid w:val="004323E4"/>
    <w:rsid w:val="00432404"/>
    <w:rsid w:val="00432447"/>
    <w:rsid w:val="00432477"/>
    <w:rsid w:val="004325B4"/>
    <w:rsid w:val="004326E1"/>
    <w:rsid w:val="0043297D"/>
    <w:rsid w:val="00432E98"/>
    <w:rsid w:val="00432F47"/>
    <w:rsid w:val="0043302C"/>
    <w:rsid w:val="004332A7"/>
    <w:rsid w:val="00433395"/>
    <w:rsid w:val="004333B9"/>
    <w:rsid w:val="00433416"/>
    <w:rsid w:val="00433677"/>
    <w:rsid w:val="0043385F"/>
    <w:rsid w:val="00433885"/>
    <w:rsid w:val="004338F4"/>
    <w:rsid w:val="00433BAD"/>
    <w:rsid w:val="00433C61"/>
    <w:rsid w:val="00433C6D"/>
    <w:rsid w:val="00434172"/>
    <w:rsid w:val="00434361"/>
    <w:rsid w:val="00434362"/>
    <w:rsid w:val="004343C6"/>
    <w:rsid w:val="0043460C"/>
    <w:rsid w:val="004346B2"/>
    <w:rsid w:val="004346BF"/>
    <w:rsid w:val="004348BC"/>
    <w:rsid w:val="00434A7E"/>
    <w:rsid w:val="00434BE6"/>
    <w:rsid w:val="00434DCE"/>
    <w:rsid w:val="00434DDF"/>
    <w:rsid w:val="00434DFC"/>
    <w:rsid w:val="00434F6E"/>
    <w:rsid w:val="0043500D"/>
    <w:rsid w:val="004350A9"/>
    <w:rsid w:val="00435201"/>
    <w:rsid w:val="0043538D"/>
    <w:rsid w:val="004353BC"/>
    <w:rsid w:val="00435501"/>
    <w:rsid w:val="0043552E"/>
    <w:rsid w:val="004355C3"/>
    <w:rsid w:val="004357F5"/>
    <w:rsid w:val="0043591D"/>
    <w:rsid w:val="0043597B"/>
    <w:rsid w:val="00435A82"/>
    <w:rsid w:val="00435B4D"/>
    <w:rsid w:val="0043614F"/>
    <w:rsid w:val="0043629F"/>
    <w:rsid w:val="00436454"/>
    <w:rsid w:val="004366BE"/>
    <w:rsid w:val="00436722"/>
    <w:rsid w:val="0043672F"/>
    <w:rsid w:val="00436787"/>
    <w:rsid w:val="00436C83"/>
    <w:rsid w:val="00436D13"/>
    <w:rsid w:val="00436EBC"/>
    <w:rsid w:val="0043704F"/>
    <w:rsid w:val="004374AD"/>
    <w:rsid w:val="004375C4"/>
    <w:rsid w:val="00437884"/>
    <w:rsid w:val="00437918"/>
    <w:rsid w:val="00437D60"/>
    <w:rsid w:val="00440300"/>
    <w:rsid w:val="0044038A"/>
    <w:rsid w:val="0044043E"/>
    <w:rsid w:val="00440629"/>
    <w:rsid w:val="0044089F"/>
    <w:rsid w:val="00440903"/>
    <w:rsid w:val="004409B6"/>
    <w:rsid w:val="00440B54"/>
    <w:rsid w:val="00440C6B"/>
    <w:rsid w:val="00440E91"/>
    <w:rsid w:val="004411A3"/>
    <w:rsid w:val="0044120A"/>
    <w:rsid w:val="00441366"/>
    <w:rsid w:val="00441711"/>
    <w:rsid w:val="00441738"/>
    <w:rsid w:val="0044173F"/>
    <w:rsid w:val="004417AF"/>
    <w:rsid w:val="00441891"/>
    <w:rsid w:val="00441F0C"/>
    <w:rsid w:val="00441FF5"/>
    <w:rsid w:val="004426CD"/>
    <w:rsid w:val="00442BF3"/>
    <w:rsid w:val="00442C32"/>
    <w:rsid w:val="00442D78"/>
    <w:rsid w:val="00442E89"/>
    <w:rsid w:val="00442EE7"/>
    <w:rsid w:val="0044334C"/>
    <w:rsid w:val="00443464"/>
    <w:rsid w:val="004435E2"/>
    <w:rsid w:val="00443901"/>
    <w:rsid w:val="00443B66"/>
    <w:rsid w:val="00443FB9"/>
    <w:rsid w:val="004441C2"/>
    <w:rsid w:val="00444219"/>
    <w:rsid w:val="00444238"/>
    <w:rsid w:val="00444266"/>
    <w:rsid w:val="00444292"/>
    <w:rsid w:val="004444A0"/>
    <w:rsid w:val="004447FA"/>
    <w:rsid w:val="004447FF"/>
    <w:rsid w:val="00444819"/>
    <w:rsid w:val="004448EC"/>
    <w:rsid w:val="00444D79"/>
    <w:rsid w:val="00444E90"/>
    <w:rsid w:val="00444FCB"/>
    <w:rsid w:val="004451BD"/>
    <w:rsid w:val="004452AD"/>
    <w:rsid w:val="0044530F"/>
    <w:rsid w:val="00445636"/>
    <w:rsid w:val="0044571A"/>
    <w:rsid w:val="004457BC"/>
    <w:rsid w:val="00445832"/>
    <w:rsid w:val="0044598C"/>
    <w:rsid w:val="004459C6"/>
    <w:rsid w:val="00445DDF"/>
    <w:rsid w:val="00445E31"/>
    <w:rsid w:val="00445E39"/>
    <w:rsid w:val="00446047"/>
    <w:rsid w:val="0044607A"/>
    <w:rsid w:val="00446097"/>
    <w:rsid w:val="004462BF"/>
    <w:rsid w:val="0044649B"/>
    <w:rsid w:val="00446526"/>
    <w:rsid w:val="00446536"/>
    <w:rsid w:val="0044668E"/>
    <w:rsid w:val="00446857"/>
    <w:rsid w:val="0044698A"/>
    <w:rsid w:val="00446D0A"/>
    <w:rsid w:val="00446D54"/>
    <w:rsid w:val="00446DE1"/>
    <w:rsid w:val="00446E22"/>
    <w:rsid w:val="00446F63"/>
    <w:rsid w:val="00447035"/>
    <w:rsid w:val="00447575"/>
    <w:rsid w:val="00447A23"/>
    <w:rsid w:val="00447A42"/>
    <w:rsid w:val="00447DCB"/>
    <w:rsid w:val="00447E4B"/>
    <w:rsid w:val="00447EB5"/>
    <w:rsid w:val="00450560"/>
    <w:rsid w:val="004505AD"/>
    <w:rsid w:val="004505C2"/>
    <w:rsid w:val="004508DF"/>
    <w:rsid w:val="00450A7C"/>
    <w:rsid w:val="00450BC8"/>
    <w:rsid w:val="00450D40"/>
    <w:rsid w:val="00450E94"/>
    <w:rsid w:val="00451504"/>
    <w:rsid w:val="004517FD"/>
    <w:rsid w:val="00451836"/>
    <w:rsid w:val="004518E2"/>
    <w:rsid w:val="00451A17"/>
    <w:rsid w:val="00451BDC"/>
    <w:rsid w:val="00451D9A"/>
    <w:rsid w:val="00451D9F"/>
    <w:rsid w:val="00451DE2"/>
    <w:rsid w:val="0045208F"/>
    <w:rsid w:val="004520E7"/>
    <w:rsid w:val="004521ED"/>
    <w:rsid w:val="004522E1"/>
    <w:rsid w:val="00452309"/>
    <w:rsid w:val="004524A2"/>
    <w:rsid w:val="0045280F"/>
    <w:rsid w:val="0045287C"/>
    <w:rsid w:val="0045294C"/>
    <w:rsid w:val="00452A53"/>
    <w:rsid w:val="00452AB9"/>
    <w:rsid w:val="00452B11"/>
    <w:rsid w:val="00452B94"/>
    <w:rsid w:val="00452BD2"/>
    <w:rsid w:val="00452C20"/>
    <w:rsid w:val="00452F8B"/>
    <w:rsid w:val="00452FBA"/>
    <w:rsid w:val="00452FCA"/>
    <w:rsid w:val="0045318E"/>
    <w:rsid w:val="0045321F"/>
    <w:rsid w:val="004533D3"/>
    <w:rsid w:val="004534EB"/>
    <w:rsid w:val="004536B0"/>
    <w:rsid w:val="00453ACC"/>
    <w:rsid w:val="00453BE0"/>
    <w:rsid w:val="00453D54"/>
    <w:rsid w:val="00453EC2"/>
    <w:rsid w:val="00453F87"/>
    <w:rsid w:val="00454162"/>
    <w:rsid w:val="00454171"/>
    <w:rsid w:val="00454184"/>
    <w:rsid w:val="004542EF"/>
    <w:rsid w:val="00454682"/>
    <w:rsid w:val="004547C1"/>
    <w:rsid w:val="004547C5"/>
    <w:rsid w:val="00454864"/>
    <w:rsid w:val="0045493B"/>
    <w:rsid w:val="00454992"/>
    <w:rsid w:val="00454B9C"/>
    <w:rsid w:val="00454C6C"/>
    <w:rsid w:val="00454ED1"/>
    <w:rsid w:val="00454F85"/>
    <w:rsid w:val="00455045"/>
    <w:rsid w:val="004550E6"/>
    <w:rsid w:val="00455142"/>
    <w:rsid w:val="0045515F"/>
    <w:rsid w:val="00455246"/>
    <w:rsid w:val="004553A3"/>
    <w:rsid w:val="00455637"/>
    <w:rsid w:val="00455709"/>
    <w:rsid w:val="004557CA"/>
    <w:rsid w:val="00455B90"/>
    <w:rsid w:val="00455E3F"/>
    <w:rsid w:val="00455EF3"/>
    <w:rsid w:val="00455F65"/>
    <w:rsid w:val="00455FD1"/>
    <w:rsid w:val="00456020"/>
    <w:rsid w:val="00456137"/>
    <w:rsid w:val="004562A6"/>
    <w:rsid w:val="004562E4"/>
    <w:rsid w:val="00456305"/>
    <w:rsid w:val="00456DAD"/>
    <w:rsid w:val="00456FA0"/>
    <w:rsid w:val="00457131"/>
    <w:rsid w:val="004572DD"/>
    <w:rsid w:val="004573CE"/>
    <w:rsid w:val="00457DE3"/>
    <w:rsid w:val="00457DE4"/>
    <w:rsid w:val="00457DFC"/>
    <w:rsid w:val="00457E50"/>
    <w:rsid w:val="0046000D"/>
    <w:rsid w:val="00460060"/>
    <w:rsid w:val="004600B9"/>
    <w:rsid w:val="004601C3"/>
    <w:rsid w:val="00460360"/>
    <w:rsid w:val="0046039C"/>
    <w:rsid w:val="00460472"/>
    <w:rsid w:val="004607BA"/>
    <w:rsid w:val="00460BAA"/>
    <w:rsid w:val="00460C4E"/>
    <w:rsid w:val="00460C89"/>
    <w:rsid w:val="00460F53"/>
    <w:rsid w:val="004611AA"/>
    <w:rsid w:val="004611C6"/>
    <w:rsid w:val="0046125B"/>
    <w:rsid w:val="004612C5"/>
    <w:rsid w:val="0046148C"/>
    <w:rsid w:val="00461593"/>
    <w:rsid w:val="00461B1C"/>
    <w:rsid w:val="00461D61"/>
    <w:rsid w:val="0046202A"/>
    <w:rsid w:val="00462049"/>
    <w:rsid w:val="004620AF"/>
    <w:rsid w:val="004622AC"/>
    <w:rsid w:val="0046249A"/>
    <w:rsid w:val="0046291E"/>
    <w:rsid w:val="00462A24"/>
    <w:rsid w:val="00462AFF"/>
    <w:rsid w:val="00462B94"/>
    <w:rsid w:val="00462CB5"/>
    <w:rsid w:val="00462D08"/>
    <w:rsid w:val="0046307D"/>
    <w:rsid w:val="00463333"/>
    <w:rsid w:val="00463575"/>
    <w:rsid w:val="00463AD4"/>
    <w:rsid w:val="00463BEF"/>
    <w:rsid w:val="00463C10"/>
    <w:rsid w:val="00463E4E"/>
    <w:rsid w:val="00464287"/>
    <w:rsid w:val="0046451E"/>
    <w:rsid w:val="0046458E"/>
    <w:rsid w:val="00464BEC"/>
    <w:rsid w:val="00464D90"/>
    <w:rsid w:val="00464DDD"/>
    <w:rsid w:val="00464E8F"/>
    <w:rsid w:val="00464FA9"/>
    <w:rsid w:val="004651FF"/>
    <w:rsid w:val="00465594"/>
    <w:rsid w:val="0046576A"/>
    <w:rsid w:val="00465827"/>
    <w:rsid w:val="00465BB8"/>
    <w:rsid w:val="00465C1C"/>
    <w:rsid w:val="00465CBF"/>
    <w:rsid w:val="00465EB7"/>
    <w:rsid w:val="00465FAA"/>
    <w:rsid w:val="00465FC7"/>
    <w:rsid w:val="00465FC8"/>
    <w:rsid w:val="00466091"/>
    <w:rsid w:val="004661D7"/>
    <w:rsid w:val="004662BC"/>
    <w:rsid w:val="00466521"/>
    <w:rsid w:val="00466585"/>
    <w:rsid w:val="00466860"/>
    <w:rsid w:val="004668E8"/>
    <w:rsid w:val="004669FC"/>
    <w:rsid w:val="00466B86"/>
    <w:rsid w:val="00466C20"/>
    <w:rsid w:val="00466D1F"/>
    <w:rsid w:val="00467143"/>
    <w:rsid w:val="0046714A"/>
    <w:rsid w:val="004671C8"/>
    <w:rsid w:val="00467379"/>
    <w:rsid w:val="004675C3"/>
    <w:rsid w:val="00467629"/>
    <w:rsid w:val="00467691"/>
    <w:rsid w:val="0046775B"/>
    <w:rsid w:val="004677AC"/>
    <w:rsid w:val="00467826"/>
    <w:rsid w:val="00467845"/>
    <w:rsid w:val="00467B81"/>
    <w:rsid w:val="00467C10"/>
    <w:rsid w:val="00467D91"/>
    <w:rsid w:val="00467DC2"/>
    <w:rsid w:val="00467EA0"/>
    <w:rsid w:val="00470012"/>
    <w:rsid w:val="00470295"/>
    <w:rsid w:val="00470481"/>
    <w:rsid w:val="0047048F"/>
    <w:rsid w:val="004704A4"/>
    <w:rsid w:val="004708BD"/>
    <w:rsid w:val="00470A7B"/>
    <w:rsid w:val="00470AC7"/>
    <w:rsid w:val="00470AFF"/>
    <w:rsid w:val="00470BF0"/>
    <w:rsid w:val="00470CB7"/>
    <w:rsid w:val="00470CD0"/>
    <w:rsid w:val="00470D24"/>
    <w:rsid w:val="00470E59"/>
    <w:rsid w:val="00470F65"/>
    <w:rsid w:val="00471038"/>
    <w:rsid w:val="00471350"/>
    <w:rsid w:val="00471556"/>
    <w:rsid w:val="004717A7"/>
    <w:rsid w:val="0047181D"/>
    <w:rsid w:val="004719DF"/>
    <w:rsid w:val="00471EFC"/>
    <w:rsid w:val="00472038"/>
    <w:rsid w:val="0047220F"/>
    <w:rsid w:val="00472433"/>
    <w:rsid w:val="004724AB"/>
    <w:rsid w:val="004725E3"/>
    <w:rsid w:val="00472632"/>
    <w:rsid w:val="00472663"/>
    <w:rsid w:val="004727F1"/>
    <w:rsid w:val="00472AAF"/>
    <w:rsid w:val="00472B55"/>
    <w:rsid w:val="00472C5D"/>
    <w:rsid w:val="00472CF8"/>
    <w:rsid w:val="00472DDB"/>
    <w:rsid w:val="00472EBF"/>
    <w:rsid w:val="00472F73"/>
    <w:rsid w:val="00472FBB"/>
    <w:rsid w:val="00473081"/>
    <w:rsid w:val="00473410"/>
    <w:rsid w:val="004734D6"/>
    <w:rsid w:val="004735FE"/>
    <w:rsid w:val="00473667"/>
    <w:rsid w:val="00473689"/>
    <w:rsid w:val="0047371D"/>
    <w:rsid w:val="00473836"/>
    <w:rsid w:val="004739D5"/>
    <w:rsid w:val="004739FD"/>
    <w:rsid w:val="00473A76"/>
    <w:rsid w:val="00473ABA"/>
    <w:rsid w:val="00473C24"/>
    <w:rsid w:val="00473D4F"/>
    <w:rsid w:val="00473D52"/>
    <w:rsid w:val="00473D8D"/>
    <w:rsid w:val="00473DDB"/>
    <w:rsid w:val="00473DFF"/>
    <w:rsid w:val="00474168"/>
    <w:rsid w:val="004741E3"/>
    <w:rsid w:val="00474A49"/>
    <w:rsid w:val="00474B12"/>
    <w:rsid w:val="00474C09"/>
    <w:rsid w:val="00474D16"/>
    <w:rsid w:val="00474D2D"/>
    <w:rsid w:val="00474DBE"/>
    <w:rsid w:val="0047500E"/>
    <w:rsid w:val="004753D1"/>
    <w:rsid w:val="004754AD"/>
    <w:rsid w:val="004754E6"/>
    <w:rsid w:val="00475516"/>
    <w:rsid w:val="004756CA"/>
    <w:rsid w:val="0047590B"/>
    <w:rsid w:val="00475922"/>
    <w:rsid w:val="004759F0"/>
    <w:rsid w:val="00475B28"/>
    <w:rsid w:val="00475B58"/>
    <w:rsid w:val="00475DC1"/>
    <w:rsid w:val="00475E18"/>
    <w:rsid w:val="00476007"/>
    <w:rsid w:val="004760C8"/>
    <w:rsid w:val="0047626C"/>
    <w:rsid w:val="0047630D"/>
    <w:rsid w:val="00476370"/>
    <w:rsid w:val="004763A0"/>
    <w:rsid w:val="00476592"/>
    <w:rsid w:val="0047661F"/>
    <w:rsid w:val="00476728"/>
    <w:rsid w:val="004769FB"/>
    <w:rsid w:val="00476B16"/>
    <w:rsid w:val="00476BC0"/>
    <w:rsid w:val="00476CB6"/>
    <w:rsid w:val="00476CF2"/>
    <w:rsid w:val="004770EE"/>
    <w:rsid w:val="00477460"/>
    <w:rsid w:val="0047774D"/>
    <w:rsid w:val="00477886"/>
    <w:rsid w:val="004778E1"/>
    <w:rsid w:val="0047796C"/>
    <w:rsid w:val="004779CE"/>
    <w:rsid w:val="00477E6A"/>
    <w:rsid w:val="00477EC1"/>
    <w:rsid w:val="0048005D"/>
    <w:rsid w:val="00480098"/>
    <w:rsid w:val="004801A6"/>
    <w:rsid w:val="00480395"/>
    <w:rsid w:val="00480916"/>
    <w:rsid w:val="00480D37"/>
    <w:rsid w:val="00480DA3"/>
    <w:rsid w:val="00480E40"/>
    <w:rsid w:val="00480F5D"/>
    <w:rsid w:val="0048161F"/>
    <w:rsid w:val="00481BFD"/>
    <w:rsid w:val="00481C25"/>
    <w:rsid w:val="00481DA2"/>
    <w:rsid w:val="00481DA7"/>
    <w:rsid w:val="00481E88"/>
    <w:rsid w:val="00481EAB"/>
    <w:rsid w:val="00482031"/>
    <w:rsid w:val="00482407"/>
    <w:rsid w:val="004826BF"/>
    <w:rsid w:val="004826C2"/>
    <w:rsid w:val="004827B1"/>
    <w:rsid w:val="004827F7"/>
    <w:rsid w:val="00482873"/>
    <w:rsid w:val="00482887"/>
    <w:rsid w:val="00482955"/>
    <w:rsid w:val="00482A13"/>
    <w:rsid w:val="00482A42"/>
    <w:rsid w:val="00482A5D"/>
    <w:rsid w:val="00482BAF"/>
    <w:rsid w:val="00482C25"/>
    <w:rsid w:val="00482D26"/>
    <w:rsid w:val="00482DA5"/>
    <w:rsid w:val="00482DB2"/>
    <w:rsid w:val="00482E79"/>
    <w:rsid w:val="00482EA7"/>
    <w:rsid w:val="00482EDC"/>
    <w:rsid w:val="00483141"/>
    <w:rsid w:val="004833A9"/>
    <w:rsid w:val="00483607"/>
    <w:rsid w:val="004839A2"/>
    <w:rsid w:val="00483C99"/>
    <w:rsid w:val="00483DE2"/>
    <w:rsid w:val="00483E95"/>
    <w:rsid w:val="004840F6"/>
    <w:rsid w:val="00484336"/>
    <w:rsid w:val="004843F6"/>
    <w:rsid w:val="00484403"/>
    <w:rsid w:val="00484502"/>
    <w:rsid w:val="00484523"/>
    <w:rsid w:val="00484AE7"/>
    <w:rsid w:val="00484CDE"/>
    <w:rsid w:val="0048505A"/>
    <w:rsid w:val="0048511A"/>
    <w:rsid w:val="0048525A"/>
    <w:rsid w:val="004855A5"/>
    <w:rsid w:val="004855C6"/>
    <w:rsid w:val="00485618"/>
    <w:rsid w:val="00485767"/>
    <w:rsid w:val="00485789"/>
    <w:rsid w:val="00485846"/>
    <w:rsid w:val="00485B9B"/>
    <w:rsid w:val="00485C6D"/>
    <w:rsid w:val="0048612E"/>
    <w:rsid w:val="00486175"/>
    <w:rsid w:val="0048627C"/>
    <w:rsid w:val="00486336"/>
    <w:rsid w:val="00486476"/>
    <w:rsid w:val="00486599"/>
    <w:rsid w:val="0048662F"/>
    <w:rsid w:val="004868F7"/>
    <w:rsid w:val="00486C0F"/>
    <w:rsid w:val="004871A8"/>
    <w:rsid w:val="004871C6"/>
    <w:rsid w:val="0048722A"/>
    <w:rsid w:val="0048757B"/>
    <w:rsid w:val="00487618"/>
    <w:rsid w:val="00487772"/>
    <w:rsid w:val="00487822"/>
    <w:rsid w:val="004879D7"/>
    <w:rsid w:val="00487A97"/>
    <w:rsid w:val="00487E4B"/>
    <w:rsid w:val="00487EF0"/>
    <w:rsid w:val="00487EFE"/>
    <w:rsid w:val="00487F46"/>
    <w:rsid w:val="00487F55"/>
    <w:rsid w:val="00490378"/>
    <w:rsid w:val="0049056C"/>
    <w:rsid w:val="00490587"/>
    <w:rsid w:val="00490706"/>
    <w:rsid w:val="004909D3"/>
    <w:rsid w:val="00490DFB"/>
    <w:rsid w:val="004913ED"/>
    <w:rsid w:val="00491447"/>
    <w:rsid w:val="00491469"/>
    <w:rsid w:val="0049162B"/>
    <w:rsid w:val="00491706"/>
    <w:rsid w:val="004918F2"/>
    <w:rsid w:val="00491AE1"/>
    <w:rsid w:val="00491B90"/>
    <w:rsid w:val="00491DDC"/>
    <w:rsid w:val="0049219C"/>
    <w:rsid w:val="00492468"/>
    <w:rsid w:val="004924D1"/>
    <w:rsid w:val="004925A1"/>
    <w:rsid w:val="00492833"/>
    <w:rsid w:val="004929DE"/>
    <w:rsid w:val="00492CB7"/>
    <w:rsid w:val="00492D19"/>
    <w:rsid w:val="00492E75"/>
    <w:rsid w:val="004931C0"/>
    <w:rsid w:val="00493471"/>
    <w:rsid w:val="004934AD"/>
    <w:rsid w:val="0049350C"/>
    <w:rsid w:val="00493546"/>
    <w:rsid w:val="004935DC"/>
    <w:rsid w:val="00493758"/>
    <w:rsid w:val="004938AF"/>
    <w:rsid w:val="00493945"/>
    <w:rsid w:val="00493C21"/>
    <w:rsid w:val="00493D48"/>
    <w:rsid w:val="00493E80"/>
    <w:rsid w:val="00493F13"/>
    <w:rsid w:val="00494274"/>
    <w:rsid w:val="004942E4"/>
    <w:rsid w:val="00494475"/>
    <w:rsid w:val="004944C5"/>
    <w:rsid w:val="00494566"/>
    <w:rsid w:val="004945F2"/>
    <w:rsid w:val="004947F8"/>
    <w:rsid w:val="00494991"/>
    <w:rsid w:val="00494C6D"/>
    <w:rsid w:val="00494CE8"/>
    <w:rsid w:val="00494D63"/>
    <w:rsid w:val="00494DBA"/>
    <w:rsid w:val="00494E1E"/>
    <w:rsid w:val="00495124"/>
    <w:rsid w:val="00495235"/>
    <w:rsid w:val="00495331"/>
    <w:rsid w:val="0049584E"/>
    <w:rsid w:val="004959CF"/>
    <w:rsid w:val="004959E9"/>
    <w:rsid w:val="00495AE6"/>
    <w:rsid w:val="00495C81"/>
    <w:rsid w:val="00495CD6"/>
    <w:rsid w:val="00495DEE"/>
    <w:rsid w:val="00495EB0"/>
    <w:rsid w:val="00496047"/>
    <w:rsid w:val="00496073"/>
    <w:rsid w:val="00496219"/>
    <w:rsid w:val="0049631E"/>
    <w:rsid w:val="004963B1"/>
    <w:rsid w:val="00496450"/>
    <w:rsid w:val="0049645E"/>
    <w:rsid w:val="00496634"/>
    <w:rsid w:val="00496639"/>
    <w:rsid w:val="00496960"/>
    <w:rsid w:val="00496A54"/>
    <w:rsid w:val="00496A77"/>
    <w:rsid w:val="00496A83"/>
    <w:rsid w:val="00496B42"/>
    <w:rsid w:val="00496CF9"/>
    <w:rsid w:val="00496DE0"/>
    <w:rsid w:val="00496DFE"/>
    <w:rsid w:val="00496FD1"/>
    <w:rsid w:val="0049711B"/>
    <w:rsid w:val="004974B1"/>
    <w:rsid w:val="0049759F"/>
    <w:rsid w:val="004976E1"/>
    <w:rsid w:val="004979A4"/>
    <w:rsid w:val="004979BC"/>
    <w:rsid w:val="00497B20"/>
    <w:rsid w:val="00497C02"/>
    <w:rsid w:val="00497D8C"/>
    <w:rsid w:val="00497DCF"/>
    <w:rsid w:val="00497E95"/>
    <w:rsid w:val="00497EC7"/>
    <w:rsid w:val="00497FB4"/>
    <w:rsid w:val="004A00D0"/>
    <w:rsid w:val="004A0290"/>
    <w:rsid w:val="004A030B"/>
    <w:rsid w:val="004A03B3"/>
    <w:rsid w:val="004A03CE"/>
    <w:rsid w:val="004A042E"/>
    <w:rsid w:val="004A04C0"/>
    <w:rsid w:val="004A0820"/>
    <w:rsid w:val="004A0972"/>
    <w:rsid w:val="004A0AE5"/>
    <w:rsid w:val="004A0D67"/>
    <w:rsid w:val="004A0DF1"/>
    <w:rsid w:val="004A0FDB"/>
    <w:rsid w:val="004A109A"/>
    <w:rsid w:val="004A1296"/>
    <w:rsid w:val="004A1440"/>
    <w:rsid w:val="004A15D7"/>
    <w:rsid w:val="004A1972"/>
    <w:rsid w:val="004A19DA"/>
    <w:rsid w:val="004A1B2D"/>
    <w:rsid w:val="004A1D1D"/>
    <w:rsid w:val="004A1DB0"/>
    <w:rsid w:val="004A1F14"/>
    <w:rsid w:val="004A1F26"/>
    <w:rsid w:val="004A2154"/>
    <w:rsid w:val="004A21F5"/>
    <w:rsid w:val="004A222B"/>
    <w:rsid w:val="004A2338"/>
    <w:rsid w:val="004A234D"/>
    <w:rsid w:val="004A25F3"/>
    <w:rsid w:val="004A26CC"/>
    <w:rsid w:val="004A2755"/>
    <w:rsid w:val="004A2784"/>
    <w:rsid w:val="004A27A8"/>
    <w:rsid w:val="004A2806"/>
    <w:rsid w:val="004A2849"/>
    <w:rsid w:val="004A2937"/>
    <w:rsid w:val="004A2A54"/>
    <w:rsid w:val="004A2D02"/>
    <w:rsid w:val="004A2E45"/>
    <w:rsid w:val="004A2FE6"/>
    <w:rsid w:val="004A3160"/>
    <w:rsid w:val="004A3231"/>
    <w:rsid w:val="004A330C"/>
    <w:rsid w:val="004A3469"/>
    <w:rsid w:val="004A39A9"/>
    <w:rsid w:val="004A3A75"/>
    <w:rsid w:val="004A3AF1"/>
    <w:rsid w:val="004A3B10"/>
    <w:rsid w:val="004A3DC7"/>
    <w:rsid w:val="004A3DDB"/>
    <w:rsid w:val="004A3E6C"/>
    <w:rsid w:val="004A4050"/>
    <w:rsid w:val="004A441F"/>
    <w:rsid w:val="004A45F4"/>
    <w:rsid w:val="004A4799"/>
    <w:rsid w:val="004A49FC"/>
    <w:rsid w:val="004A4A8D"/>
    <w:rsid w:val="004A4CEC"/>
    <w:rsid w:val="004A4DF0"/>
    <w:rsid w:val="004A4E15"/>
    <w:rsid w:val="004A4E32"/>
    <w:rsid w:val="004A5141"/>
    <w:rsid w:val="004A515E"/>
    <w:rsid w:val="004A5190"/>
    <w:rsid w:val="004A52B0"/>
    <w:rsid w:val="004A57FC"/>
    <w:rsid w:val="004A5830"/>
    <w:rsid w:val="004A5983"/>
    <w:rsid w:val="004A5E7F"/>
    <w:rsid w:val="004A5E9C"/>
    <w:rsid w:val="004A5EC2"/>
    <w:rsid w:val="004A607A"/>
    <w:rsid w:val="004A60B8"/>
    <w:rsid w:val="004A642A"/>
    <w:rsid w:val="004A6458"/>
    <w:rsid w:val="004A64B8"/>
    <w:rsid w:val="004A6789"/>
    <w:rsid w:val="004A6A9C"/>
    <w:rsid w:val="004A6B45"/>
    <w:rsid w:val="004A6C58"/>
    <w:rsid w:val="004A6CA6"/>
    <w:rsid w:val="004A6DCF"/>
    <w:rsid w:val="004A6E35"/>
    <w:rsid w:val="004A6FBD"/>
    <w:rsid w:val="004A7060"/>
    <w:rsid w:val="004A70FC"/>
    <w:rsid w:val="004A716E"/>
    <w:rsid w:val="004A71CA"/>
    <w:rsid w:val="004A72E0"/>
    <w:rsid w:val="004A731E"/>
    <w:rsid w:val="004A73DA"/>
    <w:rsid w:val="004A7456"/>
    <w:rsid w:val="004A760D"/>
    <w:rsid w:val="004A781D"/>
    <w:rsid w:val="004A7A77"/>
    <w:rsid w:val="004A7BBF"/>
    <w:rsid w:val="004A7DAD"/>
    <w:rsid w:val="004A7DFE"/>
    <w:rsid w:val="004B030C"/>
    <w:rsid w:val="004B0429"/>
    <w:rsid w:val="004B07D2"/>
    <w:rsid w:val="004B07F3"/>
    <w:rsid w:val="004B0976"/>
    <w:rsid w:val="004B0B14"/>
    <w:rsid w:val="004B0C01"/>
    <w:rsid w:val="004B0D3F"/>
    <w:rsid w:val="004B0DCE"/>
    <w:rsid w:val="004B0E99"/>
    <w:rsid w:val="004B0EFA"/>
    <w:rsid w:val="004B0FFD"/>
    <w:rsid w:val="004B1329"/>
    <w:rsid w:val="004B1657"/>
    <w:rsid w:val="004B1686"/>
    <w:rsid w:val="004B193B"/>
    <w:rsid w:val="004B1C63"/>
    <w:rsid w:val="004B1C94"/>
    <w:rsid w:val="004B1E38"/>
    <w:rsid w:val="004B1F8B"/>
    <w:rsid w:val="004B2031"/>
    <w:rsid w:val="004B21F2"/>
    <w:rsid w:val="004B231E"/>
    <w:rsid w:val="004B26B6"/>
    <w:rsid w:val="004B2734"/>
    <w:rsid w:val="004B2884"/>
    <w:rsid w:val="004B2B6F"/>
    <w:rsid w:val="004B2BBC"/>
    <w:rsid w:val="004B2C64"/>
    <w:rsid w:val="004B2D59"/>
    <w:rsid w:val="004B2D7D"/>
    <w:rsid w:val="004B2E2B"/>
    <w:rsid w:val="004B30B9"/>
    <w:rsid w:val="004B3143"/>
    <w:rsid w:val="004B328A"/>
    <w:rsid w:val="004B354B"/>
    <w:rsid w:val="004B3669"/>
    <w:rsid w:val="004B368C"/>
    <w:rsid w:val="004B36AC"/>
    <w:rsid w:val="004B36CD"/>
    <w:rsid w:val="004B3AB4"/>
    <w:rsid w:val="004B3C47"/>
    <w:rsid w:val="004B3CED"/>
    <w:rsid w:val="004B3E6B"/>
    <w:rsid w:val="004B3E7D"/>
    <w:rsid w:val="004B410C"/>
    <w:rsid w:val="004B422F"/>
    <w:rsid w:val="004B4314"/>
    <w:rsid w:val="004B4800"/>
    <w:rsid w:val="004B493C"/>
    <w:rsid w:val="004B4A52"/>
    <w:rsid w:val="004B4B01"/>
    <w:rsid w:val="004B4B32"/>
    <w:rsid w:val="004B4B8C"/>
    <w:rsid w:val="004B4BEF"/>
    <w:rsid w:val="004B4DC1"/>
    <w:rsid w:val="004B4E37"/>
    <w:rsid w:val="004B4E89"/>
    <w:rsid w:val="004B4F9B"/>
    <w:rsid w:val="004B51CD"/>
    <w:rsid w:val="004B5242"/>
    <w:rsid w:val="004B54D0"/>
    <w:rsid w:val="004B576E"/>
    <w:rsid w:val="004B5815"/>
    <w:rsid w:val="004B5BDA"/>
    <w:rsid w:val="004B5C81"/>
    <w:rsid w:val="004B633E"/>
    <w:rsid w:val="004B634C"/>
    <w:rsid w:val="004B6435"/>
    <w:rsid w:val="004B6456"/>
    <w:rsid w:val="004B6708"/>
    <w:rsid w:val="004B67D4"/>
    <w:rsid w:val="004B6872"/>
    <w:rsid w:val="004B69EC"/>
    <w:rsid w:val="004B6BFC"/>
    <w:rsid w:val="004B6D15"/>
    <w:rsid w:val="004B6FED"/>
    <w:rsid w:val="004B7129"/>
    <w:rsid w:val="004B72B1"/>
    <w:rsid w:val="004B7432"/>
    <w:rsid w:val="004B7450"/>
    <w:rsid w:val="004B7838"/>
    <w:rsid w:val="004B7872"/>
    <w:rsid w:val="004B78E6"/>
    <w:rsid w:val="004B79A3"/>
    <w:rsid w:val="004B79AE"/>
    <w:rsid w:val="004B79C9"/>
    <w:rsid w:val="004B7A86"/>
    <w:rsid w:val="004B7ACA"/>
    <w:rsid w:val="004B7BA1"/>
    <w:rsid w:val="004B7D74"/>
    <w:rsid w:val="004B7DB5"/>
    <w:rsid w:val="004B7ECA"/>
    <w:rsid w:val="004C014B"/>
    <w:rsid w:val="004C0247"/>
    <w:rsid w:val="004C02AA"/>
    <w:rsid w:val="004C066B"/>
    <w:rsid w:val="004C0978"/>
    <w:rsid w:val="004C0C22"/>
    <w:rsid w:val="004C0C5C"/>
    <w:rsid w:val="004C0C9D"/>
    <w:rsid w:val="004C17DE"/>
    <w:rsid w:val="004C18B3"/>
    <w:rsid w:val="004C193D"/>
    <w:rsid w:val="004C194C"/>
    <w:rsid w:val="004C1955"/>
    <w:rsid w:val="004C1975"/>
    <w:rsid w:val="004C1B22"/>
    <w:rsid w:val="004C1B58"/>
    <w:rsid w:val="004C1BB4"/>
    <w:rsid w:val="004C1CE5"/>
    <w:rsid w:val="004C1E9D"/>
    <w:rsid w:val="004C2067"/>
    <w:rsid w:val="004C20E4"/>
    <w:rsid w:val="004C2197"/>
    <w:rsid w:val="004C2262"/>
    <w:rsid w:val="004C22C8"/>
    <w:rsid w:val="004C22D7"/>
    <w:rsid w:val="004C23E1"/>
    <w:rsid w:val="004C24C4"/>
    <w:rsid w:val="004C25E1"/>
    <w:rsid w:val="004C2930"/>
    <w:rsid w:val="004C2B22"/>
    <w:rsid w:val="004C2D5E"/>
    <w:rsid w:val="004C2D9A"/>
    <w:rsid w:val="004C2E23"/>
    <w:rsid w:val="004C3040"/>
    <w:rsid w:val="004C30DE"/>
    <w:rsid w:val="004C330A"/>
    <w:rsid w:val="004C3805"/>
    <w:rsid w:val="004C389C"/>
    <w:rsid w:val="004C3939"/>
    <w:rsid w:val="004C39FF"/>
    <w:rsid w:val="004C3AB0"/>
    <w:rsid w:val="004C3E7C"/>
    <w:rsid w:val="004C3FBA"/>
    <w:rsid w:val="004C4103"/>
    <w:rsid w:val="004C42B9"/>
    <w:rsid w:val="004C4487"/>
    <w:rsid w:val="004C44F3"/>
    <w:rsid w:val="004C465E"/>
    <w:rsid w:val="004C48EB"/>
    <w:rsid w:val="004C48FC"/>
    <w:rsid w:val="004C491B"/>
    <w:rsid w:val="004C4B31"/>
    <w:rsid w:val="004C4CA9"/>
    <w:rsid w:val="004C4CBF"/>
    <w:rsid w:val="004C4CDF"/>
    <w:rsid w:val="004C5218"/>
    <w:rsid w:val="004C53EE"/>
    <w:rsid w:val="004C545C"/>
    <w:rsid w:val="004C5597"/>
    <w:rsid w:val="004C5693"/>
    <w:rsid w:val="004C586F"/>
    <w:rsid w:val="004C59F9"/>
    <w:rsid w:val="004C5AEA"/>
    <w:rsid w:val="004C5D41"/>
    <w:rsid w:val="004C5FE1"/>
    <w:rsid w:val="004C6447"/>
    <w:rsid w:val="004C64F3"/>
    <w:rsid w:val="004C6544"/>
    <w:rsid w:val="004C654C"/>
    <w:rsid w:val="004C67C2"/>
    <w:rsid w:val="004C6A29"/>
    <w:rsid w:val="004C6B73"/>
    <w:rsid w:val="004C6B7D"/>
    <w:rsid w:val="004C7502"/>
    <w:rsid w:val="004C773B"/>
    <w:rsid w:val="004C777D"/>
    <w:rsid w:val="004C784A"/>
    <w:rsid w:val="004C794B"/>
    <w:rsid w:val="004C7B02"/>
    <w:rsid w:val="004C7D58"/>
    <w:rsid w:val="004C7E14"/>
    <w:rsid w:val="004C7ED9"/>
    <w:rsid w:val="004C7FCB"/>
    <w:rsid w:val="004D0069"/>
    <w:rsid w:val="004D0224"/>
    <w:rsid w:val="004D02C1"/>
    <w:rsid w:val="004D05E0"/>
    <w:rsid w:val="004D081C"/>
    <w:rsid w:val="004D0EDC"/>
    <w:rsid w:val="004D104E"/>
    <w:rsid w:val="004D1091"/>
    <w:rsid w:val="004D1515"/>
    <w:rsid w:val="004D1695"/>
    <w:rsid w:val="004D1753"/>
    <w:rsid w:val="004D183D"/>
    <w:rsid w:val="004D18E8"/>
    <w:rsid w:val="004D1AA0"/>
    <w:rsid w:val="004D1B2B"/>
    <w:rsid w:val="004D22D3"/>
    <w:rsid w:val="004D2550"/>
    <w:rsid w:val="004D2586"/>
    <w:rsid w:val="004D2785"/>
    <w:rsid w:val="004D27E0"/>
    <w:rsid w:val="004D292E"/>
    <w:rsid w:val="004D298E"/>
    <w:rsid w:val="004D29DD"/>
    <w:rsid w:val="004D2D49"/>
    <w:rsid w:val="004D2ED4"/>
    <w:rsid w:val="004D3079"/>
    <w:rsid w:val="004D30AD"/>
    <w:rsid w:val="004D314E"/>
    <w:rsid w:val="004D3213"/>
    <w:rsid w:val="004D324E"/>
    <w:rsid w:val="004D347D"/>
    <w:rsid w:val="004D356F"/>
    <w:rsid w:val="004D37C1"/>
    <w:rsid w:val="004D39EB"/>
    <w:rsid w:val="004D3B14"/>
    <w:rsid w:val="004D3B4E"/>
    <w:rsid w:val="004D3CAD"/>
    <w:rsid w:val="004D3D6B"/>
    <w:rsid w:val="004D3E30"/>
    <w:rsid w:val="004D3EF0"/>
    <w:rsid w:val="004D3EF7"/>
    <w:rsid w:val="004D3F16"/>
    <w:rsid w:val="004D3FA9"/>
    <w:rsid w:val="004D40E5"/>
    <w:rsid w:val="004D410F"/>
    <w:rsid w:val="004D4417"/>
    <w:rsid w:val="004D4490"/>
    <w:rsid w:val="004D47B1"/>
    <w:rsid w:val="004D49CF"/>
    <w:rsid w:val="004D4C86"/>
    <w:rsid w:val="004D4CE6"/>
    <w:rsid w:val="004D4D3F"/>
    <w:rsid w:val="004D4E4C"/>
    <w:rsid w:val="004D4F6A"/>
    <w:rsid w:val="004D4F89"/>
    <w:rsid w:val="004D5007"/>
    <w:rsid w:val="004D507E"/>
    <w:rsid w:val="004D531F"/>
    <w:rsid w:val="004D53B7"/>
    <w:rsid w:val="004D57C4"/>
    <w:rsid w:val="004D595C"/>
    <w:rsid w:val="004D5ABD"/>
    <w:rsid w:val="004D5AD2"/>
    <w:rsid w:val="004D5B27"/>
    <w:rsid w:val="004D5BED"/>
    <w:rsid w:val="004D5BFD"/>
    <w:rsid w:val="004D5CA1"/>
    <w:rsid w:val="004D6059"/>
    <w:rsid w:val="004D6207"/>
    <w:rsid w:val="004D62AB"/>
    <w:rsid w:val="004D62FF"/>
    <w:rsid w:val="004D6379"/>
    <w:rsid w:val="004D6450"/>
    <w:rsid w:val="004D658F"/>
    <w:rsid w:val="004D6653"/>
    <w:rsid w:val="004D67B7"/>
    <w:rsid w:val="004D680C"/>
    <w:rsid w:val="004D6B9F"/>
    <w:rsid w:val="004D6BFC"/>
    <w:rsid w:val="004D6FB4"/>
    <w:rsid w:val="004D6FFB"/>
    <w:rsid w:val="004D70A8"/>
    <w:rsid w:val="004D71F3"/>
    <w:rsid w:val="004D737E"/>
    <w:rsid w:val="004D7708"/>
    <w:rsid w:val="004D7761"/>
    <w:rsid w:val="004D77B2"/>
    <w:rsid w:val="004D77B7"/>
    <w:rsid w:val="004D7819"/>
    <w:rsid w:val="004D7850"/>
    <w:rsid w:val="004D7C2C"/>
    <w:rsid w:val="004D7E05"/>
    <w:rsid w:val="004D7EB9"/>
    <w:rsid w:val="004E0009"/>
    <w:rsid w:val="004E00CA"/>
    <w:rsid w:val="004E034A"/>
    <w:rsid w:val="004E036C"/>
    <w:rsid w:val="004E0484"/>
    <w:rsid w:val="004E0649"/>
    <w:rsid w:val="004E0899"/>
    <w:rsid w:val="004E08A0"/>
    <w:rsid w:val="004E08B6"/>
    <w:rsid w:val="004E0907"/>
    <w:rsid w:val="004E0A2C"/>
    <w:rsid w:val="004E0A41"/>
    <w:rsid w:val="004E0A5B"/>
    <w:rsid w:val="004E0AC1"/>
    <w:rsid w:val="004E0BC9"/>
    <w:rsid w:val="004E0C64"/>
    <w:rsid w:val="004E0D4C"/>
    <w:rsid w:val="004E0E34"/>
    <w:rsid w:val="004E0F1F"/>
    <w:rsid w:val="004E0F66"/>
    <w:rsid w:val="004E1168"/>
    <w:rsid w:val="004E1420"/>
    <w:rsid w:val="004E17B1"/>
    <w:rsid w:val="004E1CEF"/>
    <w:rsid w:val="004E1D12"/>
    <w:rsid w:val="004E1DBA"/>
    <w:rsid w:val="004E1EE3"/>
    <w:rsid w:val="004E215D"/>
    <w:rsid w:val="004E219B"/>
    <w:rsid w:val="004E2248"/>
    <w:rsid w:val="004E24D4"/>
    <w:rsid w:val="004E25AD"/>
    <w:rsid w:val="004E2C73"/>
    <w:rsid w:val="004E2DBE"/>
    <w:rsid w:val="004E31B9"/>
    <w:rsid w:val="004E3249"/>
    <w:rsid w:val="004E3331"/>
    <w:rsid w:val="004E33C4"/>
    <w:rsid w:val="004E347A"/>
    <w:rsid w:val="004E3566"/>
    <w:rsid w:val="004E3602"/>
    <w:rsid w:val="004E37B4"/>
    <w:rsid w:val="004E38BA"/>
    <w:rsid w:val="004E3950"/>
    <w:rsid w:val="004E3A1A"/>
    <w:rsid w:val="004E3F06"/>
    <w:rsid w:val="004E4384"/>
    <w:rsid w:val="004E46A0"/>
    <w:rsid w:val="004E46E1"/>
    <w:rsid w:val="004E4710"/>
    <w:rsid w:val="004E479C"/>
    <w:rsid w:val="004E4BFE"/>
    <w:rsid w:val="004E4E3E"/>
    <w:rsid w:val="004E4EEC"/>
    <w:rsid w:val="004E50F1"/>
    <w:rsid w:val="004E5124"/>
    <w:rsid w:val="004E51B2"/>
    <w:rsid w:val="004E51F0"/>
    <w:rsid w:val="004E5322"/>
    <w:rsid w:val="004E54ED"/>
    <w:rsid w:val="004E5570"/>
    <w:rsid w:val="004E58B2"/>
    <w:rsid w:val="004E58C5"/>
    <w:rsid w:val="004E59BD"/>
    <w:rsid w:val="004E5A3C"/>
    <w:rsid w:val="004E5B84"/>
    <w:rsid w:val="004E5B8D"/>
    <w:rsid w:val="004E5C0E"/>
    <w:rsid w:val="004E5F37"/>
    <w:rsid w:val="004E6159"/>
    <w:rsid w:val="004E6514"/>
    <w:rsid w:val="004E6541"/>
    <w:rsid w:val="004E6542"/>
    <w:rsid w:val="004E65C7"/>
    <w:rsid w:val="004E6614"/>
    <w:rsid w:val="004E6807"/>
    <w:rsid w:val="004E6916"/>
    <w:rsid w:val="004E6BB7"/>
    <w:rsid w:val="004E6C08"/>
    <w:rsid w:val="004E6D7D"/>
    <w:rsid w:val="004E6DD3"/>
    <w:rsid w:val="004E6EBF"/>
    <w:rsid w:val="004E70D7"/>
    <w:rsid w:val="004E720F"/>
    <w:rsid w:val="004E73FA"/>
    <w:rsid w:val="004E7866"/>
    <w:rsid w:val="004E7940"/>
    <w:rsid w:val="004E7A43"/>
    <w:rsid w:val="004E7B5D"/>
    <w:rsid w:val="004E7BF2"/>
    <w:rsid w:val="004E7D43"/>
    <w:rsid w:val="004E7FFC"/>
    <w:rsid w:val="004F00EC"/>
    <w:rsid w:val="004F01BE"/>
    <w:rsid w:val="004F0331"/>
    <w:rsid w:val="004F035A"/>
    <w:rsid w:val="004F03BB"/>
    <w:rsid w:val="004F07CA"/>
    <w:rsid w:val="004F09E1"/>
    <w:rsid w:val="004F0A98"/>
    <w:rsid w:val="004F0BF7"/>
    <w:rsid w:val="004F0C4A"/>
    <w:rsid w:val="004F0DED"/>
    <w:rsid w:val="004F0F30"/>
    <w:rsid w:val="004F0F90"/>
    <w:rsid w:val="004F11C0"/>
    <w:rsid w:val="004F1352"/>
    <w:rsid w:val="004F16B7"/>
    <w:rsid w:val="004F1791"/>
    <w:rsid w:val="004F17F2"/>
    <w:rsid w:val="004F1885"/>
    <w:rsid w:val="004F1ADD"/>
    <w:rsid w:val="004F1BA7"/>
    <w:rsid w:val="004F1DF3"/>
    <w:rsid w:val="004F2059"/>
    <w:rsid w:val="004F20A4"/>
    <w:rsid w:val="004F23EC"/>
    <w:rsid w:val="004F26DB"/>
    <w:rsid w:val="004F275E"/>
    <w:rsid w:val="004F2859"/>
    <w:rsid w:val="004F2A94"/>
    <w:rsid w:val="004F2AF5"/>
    <w:rsid w:val="004F2E24"/>
    <w:rsid w:val="004F2E92"/>
    <w:rsid w:val="004F2F4C"/>
    <w:rsid w:val="004F302F"/>
    <w:rsid w:val="004F3381"/>
    <w:rsid w:val="004F3393"/>
    <w:rsid w:val="004F3659"/>
    <w:rsid w:val="004F3670"/>
    <w:rsid w:val="004F391F"/>
    <w:rsid w:val="004F398B"/>
    <w:rsid w:val="004F3A22"/>
    <w:rsid w:val="004F3BA7"/>
    <w:rsid w:val="004F3E70"/>
    <w:rsid w:val="004F405B"/>
    <w:rsid w:val="004F450E"/>
    <w:rsid w:val="004F451D"/>
    <w:rsid w:val="004F4596"/>
    <w:rsid w:val="004F4652"/>
    <w:rsid w:val="004F4656"/>
    <w:rsid w:val="004F467E"/>
    <w:rsid w:val="004F49F5"/>
    <w:rsid w:val="004F4CDD"/>
    <w:rsid w:val="004F4D41"/>
    <w:rsid w:val="004F4F4A"/>
    <w:rsid w:val="004F4F65"/>
    <w:rsid w:val="004F4F75"/>
    <w:rsid w:val="004F5353"/>
    <w:rsid w:val="004F5419"/>
    <w:rsid w:val="004F561B"/>
    <w:rsid w:val="004F5694"/>
    <w:rsid w:val="004F59EC"/>
    <w:rsid w:val="004F5BF8"/>
    <w:rsid w:val="004F5C20"/>
    <w:rsid w:val="004F5CA0"/>
    <w:rsid w:val="004F5CCF"/>
    <w:rsid w:val="004F5E44"/>
    <w:rsid w:val="004F6050"/>
    <w:rsid w:val="004F6231"/>
    <w:rsid w:val="004F6346"/>
    <w:rsid w:val="004F64DA"/>
    <w:rsid w:val="004F67DC"/>
    <w:rsid w:val="004F687D"/>
    <w:rsid w:val="004F6892"/>
    <w:rsid w:val="004F6B7C"/>
    <w:rsid w:val="004F6BFE"/>
    <w:rsid w:val="004F6EBA"/>
    <w:rsid w:val="004F6EDB"/>
    <w:rsid w:val="004F7072"/>
    <w:rsid w:val="004F70C2"/>
    <w:rsid w:val="004F70CE"/>
    <w:rsid w:val="004F70F3"/>
    <w:rsid w:val="004F712F"/>
    <w:rsid w:val="004F7171"/>
    <w:rsid w:val="004F7267"/>
    <w:rsid w:val="004F7320"/>
    <w:rsid w:val="004F7615"/>
    <w:rsid w:val="004F77D1"/>
    <w:rsid w:val="004F7899"/>
    <w:rsid w:val="004F78E6"/>
    <w:rsid w:val="004F7AB4"/>
    <w:rsid w:val="004F7B89"/>
    <w:rsid w:val="004F7CD2"/>
    <w:rsid w:val="004F7CE4"/>
    <w:rsid w:val="004F7F07"/>
    <w:rsid w:val="0050017F"/>
    <w:rsid w:val="005002FC"/>
    <w:rsid w:val="005004AC"/>
    <w:rsid w:val="00500542"/>
    <w:rsid w:val="00500560"/>
    <w:rsid w:val="00500991"/>
    <w:rsid w:val="00500B77"/>
    <w:rsid w:val="00500C16"/>
    <w:rsid w:val="00500C56"/>
    <w:rsid w:val="00500DE4"/>
    <w:rsid w:val="00500DFE"/>
    <w:rsid w:val="00500F44"/>
    <w:rsid w:val="00501025"/>
    <w:rsid w:val="00501348"/>
    <w:rsid w:val="0050139B"/>
    <w:rsid w:val="0050155E"/>
    <w:rsid w:val="0050158C"/>
    <w:rsid w:val="005016B9"/>
    <w:rsid w:val="005017AC"/>
    <w:rsid w:val="00501A87"/>
    <w:rsid w:val="00501D74"/>
    <w:rsid w:val="005021C3"/>
    <w:rsid w:val="00502200"/>
    <w:rsid w:val="0050229A"/>
    <w:rsid w:val="00502400"/>
    <w:rsid w:val="00502491"/>
    <w:rsid w:val="0050254B"/>
    <w:rsid w:val="00502609"/>
    <w:rsid w:val="005026F9"/>
    <w:rsid w:val="0050278F"/>
    <w:rsid w:val="00502A14"/>
    <w:rsid w:val="00502A8F"/>
    <w:rsid w:val="00502AFB"/>
    <w:rsid w:val="00502DAE"/>
    <w:rsid w:val="00502DD5"/>
    <w:rsid w:val="0050308B"/>
    <w:rsid w:val="005031C7"/>
    <w:rsid w:val="005033F9"/>
    <w:rsid w:val="00503412"/>
    <w:rsid w:val="005034A3"/>
    <w:rsid w:val="005035E8"/>
    <w:rsid w:val="005037B7"/>
    <w:rsid w:val="005038E4"/>
    <w:rsid w:val="00503986"/>
    <w:rsid w:val="00503D76"/>
    <w:rsid w:val="00503F88"/>
    <w:rsid w:val="00504072"/>
    <w:rsid w:val="00504082"/>
    <w:rsid w:val="005041B1"/>
    <w:rsid w:val="005041CD"/>
    <w:rsid w:val="005044CB"/>
    <w:rsid w:val="0050456E"/>
    <w:rsid w:val="005049F5"/>
    <w:rsid w:val="00504A63"/>
    <w:rsid w:val="00504D28"/>
    <w:rsid w:val="00504DEC"/>
    <w:rsid w:val="00504F35"/>
    <w:rsid w:val="0050520E"/>
    <w:rsid w:val="005054F5"/>
    <w:rsid w:val="005056B5"/>
    <w:rsid w:val="005056F7"/>
    <w:rsid w:val="0050582B"/>
    <w:rsid w:val="00505875"/>
    <w:rsid w:val="00505B16"/>
    <w:rsid w:val="00505C76"/>
    <w:rsid w:val="00505F3B"/>
    <w:rsid w:val="005060D7"/>
    <w:rsid w:val="00506456"/>
    <w:rsid w:val="00506509"/>
    <w:rsid w:val="00506552"/>
    <w:rsid w:val="005069DA"/>
    <w:rsid w:val="00506A77"/>
    <w:rsid w:val="00506BA0"/>
    <w:rsid w:val="00506DE8"/>
    <w:rsid w:val="00506E46"/>
    <w:rsid w:val="00507061"/>
    <w:rsid w:val="00507067"/>
    <w:rsid w:val="005071D5"/>
    <w:rsid w:val="005072D4"/>
    <w:rsid w:val="00507386"/>
    <w:rsid w:val="005075E5"/>
    <w:rsid w:val="005079B2"/>
    <w:rsid w:val="00507B92"/>
    <w:rsid w:val="00507BD4"/>
    <w:rsid w:val="00507C63"/>
    <w:rsid w:val="00507DD0"/>
    <w:rsid w:val="00507FB4"/>
    <w:rsid w:val="00510099"/>
    <w:rsid w:val="005102CD"/>
    <w:rsid w:val="0051043F"/>
    <w:rsid w:val="0051051F"/>
    <w:rsid w:val="005108E8"/>
    <w:rsid w:val="00510942"/>
    <w:rsid w:val="005109EA"/>
    <w:rsid w:val="00510C01"/>
    <w:rsid w:val="00510C38"/>
    <w:rsid w:val="00510CD2"/>
    <w:rsid w:val="00510ED7"/>
    <w:rsid w:val="0051108A"/>
    <w:rsid w:val="005110DC"/>
    <w:rsid w:val="00511250"/>
    <w:rsid w:val="005112FB"/>
    <w:rsid w:val="005115C2"/>
    <w:rsid w:val="0051167F"/>
    <w:rsid w:val="00511786"/>
    <w:rsid w:val="0051184E"/>
    <w:rsid w:val="00511980"/>
    <w:rsid w:val="00511A42"/>
    <w:rsid w:val="00511A95"/>
    <w:rsid w:val="00511AB6"/>
    <w:rsid w:val="00511BB7"/>
    <w:rsid w:val="00511BBA"/>
    <w:rsid w:val="00511BED"/>
    <w:rsid w:val="00511DC2"/>
    <w:rsid w:val="00511E32"/>
    <w:rsid w:val="00511E3D"/>
    <w:rsid w:val="00511F0E"/>
    <w:rsid w:val="00512002"/>
    <w:rsid w:val="005122C1"/>
    <w:rsid w:val="005122C6"/>
    <w:rsid w:val="00512475"/>
    <w:rsid w:val="0051272E"/>
    <w:rsid w:val="005129D1"/>
    <w:rsid w:val="00512AC3"/>
    <w:rsid w:val="00512B7E"/>
    <w:rsid w:val="00512C20"/>
    <w:rsid w:val="0051300E"/>
    <w:rsid w:val="005132B3"/>
    <w:rsid w:val="00513422"/>
    <w:rsid w:val="0051345F"/>
    <w:rsid w:val="00513527"/>
    <w:rsid w:val="00513682"/>
    <w:rsid w:val="00513B0B"/>
    <w:rsid w:val="00513BC7"/>
    <w:rsid w:val="00513BF0"/>
    <w:rsid w:val="00513C3F"/>
    <w:rsid w:val="00513D59"/>
    <w:rsid w:val="00513DBA"/>
    <w:rsid w:val="00513EC6"/>
    <w:rsid w:val="00513F3A"/>
    <w:rsid w:val="00514006"/>
    <w:rsid w:val="00514008"/>
    <w:rsid w:val="00514186"/>
    <w:rsid w:val="0051431A"/>
    <w:rsid w:val="005145CF"/>
    <w:rsid w:val="0051490E"/>
    <w:rsid w:val="00514CA6"/>
    <w:rsid w:val="00514D33"/>
    <w:rsid w:val="00514D6E"/>
    <w:rsid w:val="00514D9A"/>
    <w:rsid w:val="0051536E"/>
    <w:rsid w:val="0051571F"/>
    <w:rsid w:val="00515845"/>
    <w:rsid w:val="005158A9"/>
    <w:rsid w:val="00515A7F"/>
    <w:rsid w:val="00515BF9"/>
    <w:rsid w:val="00515C57"/>
    <w:rsid w:val="00515C93"/>
    <w:rsid w:val="00515D66"/>
    <w:rsid w:val="00515D67"/>
    <w:rsid w:val="00515DC3"/>
    <w:rsid w:val="00515DD9"/>
    <w:rsid w:val="00515FAB"/>
    <w:rsid w:val="00516075"/>
    <w:rsid w:val="005160B4"/>
    <w:rsid w:val="005160B8"/>
    <w:rsid w:val="005160BB"/>
    <w:rsid w:val="005164FC"/>
    <w:rsid w:val="00516554"/>
    <w:rsid w:val="00516622"/>
    <w:rsid w:val="00516701"/>
    <w:rsid w:val="005167BB"/>
    <w:rsid w:val="005168B9"/>
    <w:rsid w:val="005168ED"/>
    <w:rsid w:val="00516A94"/>
    <w:rsid w:val="00516C72"/>
    <w:rsid w:val="00516D1D"/>
    <w:rsid w:val="00516E1B"/>
    <w:rsid w:val="00516E34"/>
    <w:rsid w:val="00516F21"/>
    <w:rsid w:val="00516FED"/>
    <w:rsid w:val="00517082"/>
    <w:rsid w:val="005170D3"/>
    <w:rsid w:val="005171DB"/>
    <w:rsid w:val="005172A1"/>
    <w:rsid w:val="00517323"/>
    <w:rsid w:val="00517460"/>
    <w:rsid w:val="00517480"/>
    <w:rsid w:val="005174BB"/>
    <w:rsid w:val="00517632"/>
    <w:rsid w:val="005177E8"/>
    <w:rsid w:val="005179A0"/>
    <w:rsid w:val="00517B43"/>
    <w:rsid w:val="00517BA8"/>
    <w:rsid w:val="00517BC1"/>
    <w:rsid w:val="00517D0B"/>
    <w:rsid w:val="00517D81"/>
    <w:rsid w:val="00517DAC"/>
    <w:rsid w:val="00517EFC"/>
    <w:rsid w:val="005200B8"/>
    <w:rsid w:val="00520110"/>
    <w:rsid w:val="00520129"/>
    <w:rsid w:val="0052036B"/>
    <w:rsid w:val="005206F6"/>
    <w:rsid w:val="005207ED"/>
    <w:rsid w:val="00520B0B"/>
    <w:rsid w:val="00520BDF"/>
    <w:rsid w:val="00520C7D"/>
    <w:rsid w:val="00520DF3"/>
    <w:rsid w:val="00520E6E"/>
    <w:rsid w:val="00520F20"/>
    <w:rsid w:val="00520FCA"/>
    <w:rsid w:val="005210CE"/>
    <w:rsid w:val="00521274"/>
    <w:rsid w:val="00521326"/>
    <w:rsid w:val="005213FA"/>
    <w:rsid w:val="0052144C"/>
    <w:rsid w:val="0052152A"/>
    <w:rsid w:val="0052168A"/>
    <w:rsid w:val="005216E9"/>
    <w:rsid w:val="005217A7"/>
    <w:rsid w:val="00521923"/>
    <w:rsid w:val="005219B8"/>
    <w:rsid w:val="005219BD"/>
    <w:rsid w:val="00521A08"/>
    <w:rsid w:val="00521A2A"/>
    <w:rsid w:val="00521B46"/>
    <w:rsid w:val="00521DE3"/>
    <w:rsid w:val="00521F30"/>
    <w:rsid w:val="00522779"/>
    <w:rsid w:val="005229C9"/>
    <w:rsid w:val="005229E1"/>
    <w:rsid w:val="00522C17"/>
    <w:rsid w:val="00522D6C"/>
    <w:rsid w:val="00522D78"/>
    <w:rsid w:val="00522DA4"/>
    <w:rsid w:val="00522E0C"/>
    <w:rsid w:val="0052310D"/>
    <w:rsid w:val="0052319B"/>
    <w:rsid w:val="00523567"/>
    <w:rsid w:val="0052358F"/>
    <w:rsid w:val="005237FB"/>
    <w:rsid w:val="00523854"/>
    <w:rsid w:val="0052387F"/>
    <w:rsid w:val="00523897"/>
    <w:rsid w:val="00523984"/>
    <w:rsid w:val="00523B3E"/>
    <w:rsid w:val="00523D76"/>
    <w:rsid w:val="00523E3F"/>
    <w:rsid w:val="00523F3A"/>
    <w:rsid w:val="00524352"/>
    <w:rsid w:val="00524384"/>
    <w:rsid w:val="0052455A"/>
    <w:rsid w:val="0052465A"/>
    <w:rsid w:val="00524979"/>
    <w:rsid w:val="00524B62"/>
    <w:rsid w:val="00524D57"/>
    <w:rsid w:val="00524DA0"/>
    <w:rsid w:val="00525046"/>
    <w:rsid w:val="005254B2"/>
    <w:rsid w:val="00525545"/>
    <w:rsid w:val="0052566B"/>
    <w:rsid w:val="0052569A"/>
    <w:rsid w:val="00525975"/>
    <w:rsid w:val="00525C75"/>
    <w:rsid w:val="00525D06"/>
    <w:rsid w:val="00526745"/>
    <w:rsid w:val="005268B1"/>
    <w:rsid w:val="00526BFF"/>
    <w:rsid w:val="00526C81"/>
    <w:rsid w:val="00526DC3"/>
    <w:rsid w:val="00526F9D"/>
    <w:rsid w:val="005270A9"/>
    <w:rsid w:val="00527349"/>
    <w:rsid w:val="00527454"/>
    <w:rsid w:val="00527508"/>
    <w:rsid w:val="0052799B"/>
    <w:rsid w:val="005279A7"/>
    <w:rsid w:val="00527C1C"/>
    <w:rsid w:val="00527C27"/>
    <w:rsid w:val="00527E66"/>
    <w:rsid w:val="00527FCB"/>
    <w:rsid w:val="0053010B"/>
    <w:rsid w:val="0053030D"/>
    <w:rsid w:val="005305E4"/>
    <w:rsid w:val="005306DF"/>
    <w:rsid w:val="0053086D"/>
    <w:rsid w:val="005309CD"/>
    <w:rsid w:val="005309CE"/>
    <w:rsid w:val="005309D4"/>
    <w:rsid w:val="00530A46"/>
    <w:rsid w:val="00530D4D"/>
    <w:rsid w:val="00530DC3"/>
    <w:rsid w:val="00530DF8"/>
    <w:rsid w:val="00530EBE"/>
    <w:rsid w:val="00531054"/>
    <w:rsid w:val="005310CE"/>
    <w:rsid w:val="005311CA"/>
    <w:rsid w:val="005312BB"/>
    <w:rsid w:val="005312F6"/>
    <w:rsid w:val="005312F9"/>
    <w:rsid w:val="005312FE"/>
    <w:rsid w:val="005314AD"/>
    <w:rsid w:val="00531811"/>
    <w:rsid w:val="005319F2"/>
    <w:rsid w:val="00531A4A"/>
    <w:rsid w:val="00531B20"/>
    <w:rsid w:val="00531B30"/>
    <w:rsid w:val="00531B5A"/>
    <w:rsid w:val="00531D47"/>
    <w:rsid w:val="00531E43"/>
    <w:rsid w:val="00531EA1"/>
    <w:rsid w:val="005324EA"/>
    <w:rsid w:val="00532521"/>
    <w:rsid w:val="005325A5"/>
    <w:rsid w:val="00532832"/>
    <w:rsid w:val="00532859"/>
    <w:rsid w:val="0053294A"/>
    <w:rsid w:val="00532A65"/>
    <w:rsid w:val="00532A68"/>
    <w:rsid w:val="00532BCB"/>
    <w:rsid w:val="00532BF6"/>
    <w:rsid w:val="00532FEF"/>
    <w:rsid w:val="00533384"/>
    <w:rsid w:val="005334C1"/>
    <w:rsid w:val="005336CC"/>
    <w:rsid w:val="005338A3"/>
    <w:rsid w:val="005339D0"/>
    <w:rsid w:val="00533E7A"/>
    <w:rsid w:val="00533F76"/>
    <w:rsid w:val="005342B3"/>
    <w:rsid w:val="005343E6"/>
    <w:rsid w:val="00534571"/>
    <w:rsid w:val="005345AF"/>
    <w:rsid w:val="005346E2"/>
    <w:rsid w:val="00534838"/>
    <w:rsid w:val="00534910"/>
    <w:rsid w:val="005349AA"/>
    <w:rsid w:val="00534C73"/>
    <w:rsid w:val="00534D25"/>
    <w:rsid w:val="00534E77"/>
    <w:rsid w:val="005350C1"/>
    <w:rsid w:val="00535112"/>
    <w:rsid w:val="0053522F"/>
    <w:rsid w:val="00535502"/>
    <w:rsid w:val="00535533"/>
    <w:rsid w:val="00535557"/>
    <w:rsid w:val="00535608"/>
    <w:rsid w:val="005356F6"/>
    <w:rsid w:val="0053588C"/>
    <w:rsid w:val="0053594A"/>
    <w:rsid w:val="00535972"/>
    <w:rsid w:val="005359A7"/>
    <w:rsid w:val="00535B19"/>
    <w:rsid w:val="00535C57"/>
    <w:rsid w:val="00536090"/>
    <w:rsid w:val="00536265"/>
    <w:rsid w:val="005363DA"/>
    <w:rsid w:val="00536489"/>
    <w:rsid w:val="005365C8"/>
    <w:rsid w:val="005365CD"/>
    <w:rsid w:val="00536855"/>
    <w:rsid w:val="005368D6"/>
    <w:rsid w:val="005368F2"/>
    <w:rsid w:val="00536B28"/>
    <w:rsid w:val="00536BE0"/>
    <w:rsid w:val="00536E76"/>
    <w:rsid w:val="00537174"/>
    <w:rsid w:val="005373DB"/>
    <w:rsid w:val="005375ED"/>
    <w:rsid w:val="005376E9"/>
    <w:rsid w:val="00537758"/>
    <w:rsid w:val="00537876"/>
    <w:rsid w:val="00537944"/>
    <w:rsid w:val="00537966"/>
    <w:rsid w:val="00537BAA"/>
    <w:rsid w:val="00540136"/>
    <w:rsid w:val="005401ED"/>
    <w:rsid w:val="0054037E"/>
    <w:rsid w:val="00540385"/>
    <w:rsid w:val="0054039C"/>
    <w:rsid w:val="00540866"/>
    <w:rsid w:val="0054086B"/>
    <w:rsid w:val="00540AC8"/>
    <w:rsid w:val="00540BE9"/>
    <w:rsid w:val="00540D70"/>
    <w:rsid w:val="00540D94"/>
    <w:rsid w:val="00540EF0"/>
    <w:rsid w:val="00540F7F"/>
    <w:rsid w:val="0054101C"/>
    <w:rsid w:val="00541284"/>
    <w:rsid w:val="0054131A"/>
    <w:rsid w:val="00541631"/>
    <w:rsid w:val="0054179F"/>
    <w:rsid w:val="005417DC"/>
    <w:rsid w:val="0054217E"/>
    <w:rsid w:val="0054217F"/>
    <w:rsid w:val="005421F5"/>
    <w:rsid w:val="005424DA"/>
    <w:rsid w:val="0054255D"/>
    <w:rsid w:val="005426AF"/>
    <w:rsid w:val="005426D2"/>
    <w:rsid w:val="00542722"/>
    <w:rsid w:val="005427CA"/>
    <w:rsid w:val="00542A9B"/>
    <w:rsid w:val="00542C58"/>
    <w:rsid w:val="00542C98"/>
    <w:rsid w:val="00542CA7"/>
    <w:rsid w:val="00542F8C"/>
    <w:rsid w:val="005433A1"/>
    <w:rsid w:val="0054364C"/>
    <w:rsid w:val="00543691"/>
    <w:rsid w:val="0054378B"/>
    <w:rsid w:val="00543913"/>
    <w:rsid w:val="00543A57"/>
    <w:rsid w:val="00543AD7"/>
    <w:rsid w:val="00543B8E"/>
    <w:rsid w:val="00543C9D"/>
    <w:rsid w:val="00543D86"/>
    <w:rsid w:val="00543EEF"/>
    <w:rsid w:val="00543FF5"/>
    <w:rsid w:val="00544034"/>
    <w:rsid w:val="0054403E"/>
    <w:rsid w:val="005441FE"/>
    <w:rsid w:val="00544256"/>
    <w:rsid w:val="0054436E"/>
    <w:rsid w:val="0054439B"/>
    <w:rsid w:val="00544455"/>
    <w:rsid w:val="005445CB"/>
    <w:rsid w:val="005445E1"/>
    <w:rsid w:val="00544667"/>
    <w:rsid w:val="00544751"/>
    <w:rsid w:val="00544A8D"/>
    <w:rsid w:val="00544BFA"/>
    <w:rsid w:val="00544BFE"/>
    <w:rsid w:val="00544D09"/>
    <w:rsid w:val="00544D90"/>
    <w:rsid w:val="00545266"/>
    <w:rsid w:val="005452C2"/>
    <w:rsid w:val="00545617"/>
    <w:rsid w:val="005458E3"/>
    <w:rsid w:val="00545AE1"/>
    <w:rsid w:val="00545BBB"/>
    <w:rsid w:val="00545C5B"/>
    <w:rsid w:val="00545CEA"/>
    <w:rsid w:val="00545FCF"/>
    <w:rsid w:val="00546099"/>
    <w:rsid w:val="005460EB"/>
    <w:rsid w:val="0054631E"/>
    <w:rsid w:val="005463F8"/>
    <w:rsid w:val="00546463"/>
    <w:rsid w:val="0054647B"/>
    <w:rsid w:val="005466BD"/>
    <w:rsid w:val="0054698D"/>
    <w:rsid w:val="005469D7"/>
    <w:rsid w:val="00546A6A"/>
    <w:rsid w:val="00546DA7"/>
    <w:rsid w:val="00546E65"/>
    <w:rsid w:val="00546ECC"/>
    <w:rsid w:val="0054714F"/>
    <w:rsid w:val="005471E7"/>
    <w:rsid w:val="005472C7"/>
    <w:rsid w:val="00547468"/>
    <w:rsid w:val="00547719"/>
    <w:rsid w:val="00547AFE"/>
    <w:rsid w:val="00547B6D"/>
    <w:rsid w:val="00547B84"/>
    <w:rsid w:val="00547DF3"/>
    <w:rsid w:val="00547EAB"/>
    <w:rsid w:val="00547EEB"/>
    <w:rsid w:val="00550296"/>
    <w:rsid w:val="00550381"/>
    <w:rsid w:val="005503B4"/>
    <w:rsid w:val="00550691"/>
    <w:rsid w:val="005507DC"/>
    <w:rsid w:val="005508D2"/>
    <w:rsid w:val="00550A23"/>
    <w:rsid w:val="00550DDD"/>
    <w:rsid w:val="00550F82"/>
    <w:rsid w:val="00550F84"/>
    <w:rsid w:val="005514A4"/>
    <w:rsid w:val="005514D2"/>
    <w:rsid w:val="0055153A"/>
    <w:rsid w:val="00551643"/>
    <w:rsid w:val="005517D2"/>
    <w:rsid w:val="005518E3"/>
    <w:rsid w:val="005519D0"/>
    <w:rsid w:val="00551A00"/>
    <w:rsid w:val="00551C5C"/>
    <w:rsid w:val="00551D27"/>
    <w:rsid w:val="0055206B"/>
    <w:rsid w:val="0055219D"/>
    <w:rsid w:val="005521AC"/>
    <w:rsid w:val="00552213"/>
    <w:rsid w:val="00552294"/>
    <w:rsid w:val="00552473"/>
    <w:rsid w:val="00552542"/>
    <w:rsid w:val="005527F0"/>
    <w:rsid w:val="00552821"/>
    <w:rsid w:val="00552B91"/>
    <w:rsid w:val="00552C0C"/>
    <w:rsid w:val="00552C1F"/>
    <w:rsid w:val="00552CFC"/>
    <w:rsid w:val="00552D14"/>
    <w:rsid w:val="00553161"/>
    <w:rsid w:val="005533C7"/>
    <w:rsid w:val="0055374C"/>
    <w:rsid w:val="005537CA"/>
    <w:rsid w:val="005539E8"/>
    <w:rsid w:val="00553D0A"/>
    <w:rsid w:val="00554116"/>
    <w:rsid w:val="00554194"/>
    <w:rsid w:val="005546AC"/>
    <w:rsid w:val="00554822"/>
    <w:rsid w:val="00554AEF"/>
    <w:rsid w:val="00554B05"/>
    <w:rsid w:val="00554BFE"/>
    <w:rsid w:val="00554C42"/>
    <w:rsid w:val="00554C88"/>
    <w:rsid w:val="00554E08"/>
    <w:rsid w:val="00554E21"/>
    <w:rsid w:val="0055501F"/>
    <w:rsid w:val="00555773"/>
    <w:rsid w:val="00555814"/>
    <w:rsid w:val="00555A9B"/>
    <w:rsid w:val="00555D00"/>
    <w:rsid w:val="00556324"/>
    <w:rsid w:val="00556327"/>
    <w:rsid w:val="0055655A"/>
    <w:rsid w:val="0055675E"/>
    <w:rsid w:val="0055698D"/>
    <w:rsid w:val="00556B36"/>
    <w:rsid w:val="00556BE9"/>
    <w:rsid w:val="00556CAC"/>
    <w:rsid w:val="00556CD1"/>
    <w:rsid w:val="005571D5"/>
    <w:rsid w:val="00557348"/>
    <w:rsid w:val="00557381"/>
    <w:rsid w:val="005573A4"/>
    <w:rsid w:val="005574B1"/>
    <w:rsid w:val="0055751C"/>
    <w:rsid w:val="00557733"/>
    <w:rsid w:val="005577BC"/>
    <w:rsid w:val="00557A0C"/>
    <w:rsid w:val="00557A11"/>
    <w:rsid w:val="00557A71"/>
    <w:rsid w:val="00557D3E"/>
    <w:rsid w:val="00557E87"/>
    <w:rsid w:val="00560325"/>
    <w:rsid w:val="00560394"/>
    <w:rsid w:val="005607D0"/>
    <w:rsid w:val="005608B0"/>
    <w:rsid w:val="00560AC1"/>
    <w:rsid w:val="00560B1C"/>
    <w:rsid w:val="00560C8C"/>
    <w:rsid w:val="00560D55"/>
    <w:rsid w:val="00560E4D"/>
    <w:rsid w:val="00560ECB"/>
    <w:rsid w:val="00561017"/>
    <w:rsid w:val="005611E3"/>
    <w:rsid w:val="0056131C"/>
    <w:rsid w:val="00561375"/>
    <w:rsid w:val="00561528"/>
    <w:rsid w:val="005616E7"/>
    <w:rsid w:val="005617B1"/>
    <w:rsid w:val="005618A6"/>
    <w:rsid w:val="005618E5"/>
    <w:rsid w:val="00561AA7"/>
    <w:rsid w:val="00561BBA"/>
    <w:rsid w:val="00561BC6"/>
    <w:rsid w:val="00561DF5"/>
    <w:rsid w:val="00562467"/>
    <w:rsid w:val="005624BD"/>
    <w:rsid w:val="0056263C"/>
    <w:rsid w:val="00562935"/>
    <w:rsid w:val="00562A28"/>
    <w:rsid w:val="00562BC0"/>
    <w:rsid w:val="00563020"/>
    <w:rsid w:val="00563033"/>
    <w:rsid w:val="00563117"/>
    <w:rsid w:val="005631FA"/>
    <w:rsid w:val="0056320A"/>
    <w:rsid w:val="00563232"/>
    <w:rsid w:val="005632CF"/>
    <w:rsid w:val="00563324"/>
    <w:rsid w:val="00563432"/>
    <w:rsid w:val="00563509"/>
    <w:rsid w:val="00563AF5"/>
    <w:rsid w:val="00563B20"/>
    <w:rsid w:val="00563B63"/>
    <w:rsid w:val="00563C45"/>
    <w:rsid w:val="00563C66"/>
    <w:rsid w:val="00563C9E"/>
    <w:rsid w:val="00563D70"/>
    <w:rsid w:val="00564053"/>
    <w:rsid w:val="00564354"/>
    <w:rsid w:val="00564806"/>
    <w:rsid w:val="00564845"/>
    <w:rsid w:val="0056486E"/>
    <w:rsid w:val="00564885"/>
    <w:rsid w:val="00564C9D"/>
    <w:rsid w:val="00564CC7"/>
    <w:rsid w:val="00564F0E"/>
    <w:rsid w:val="00565299"/>
    <w:rsid w:val="00565429"/>
    <w:rsid w:val="00565519"/>
    <w:rsid w:val="005658CE"/>
    <w:rsid w:val="00565985"/>
    <w:rsid w:val="00565AED"/>
    <w:rsid w:val="00565BB3"/>
    <w:rsid w:val="00565DC0"/>
    <w:rsid w:val="00565F2E"/>
    <w:rsid w:val="00565FA8"/>
    <w:rsid w:val="005660A2"/>
    <w:rsid w:val="0056618F"/>
    <w:rsid w:val="00566221"/>
    <w:rsid w:val="00566610"/>
    <w:rsid w:val="005667DF"/>
    <w:rsid w:val="005668ED"/>
    <w:rsid w:val="00566B7D"/>
    <w:rsid w:val="00566DEF"/>
    <w:rsid w:val="00566E33"/>
    <w:rsid w:val="00566F88"/>
    <w:rsid w:val="00566FCC"/>
    <w:rsid w:val="00567005"/>
    <w:rsid w:val="005670D2"/>
    <w:rsid w:val="0056723B"/>
    <w:rsid w:val="00567397"/>
    <w:rsid w:val="005675CF"/>
    <w:rsid w:val="005675DC"/>
    <w:rsid w:val="00567725"/>
    <w:rsid w:val="00567753"/>
    <w:rsid w:val="0056786C"/>
    <w:rsid w:val="005678EA"/>
    <w:rsid w:val="00567942"/>
    <w:rsid w:val="00567D48"/>
    <w:rsid w:val="00567ED6"/>
    <w:rsid w:val="0057002B"/>
    <w:rsid w:val="00570068"/>
    <w:rsid w:val="0057025A"/>
    <w:rsid w:val="005704CB"/>
    <w:rsid w:val="00570746"/>
    <w:rsid w:val="005709E6"/>
    <w:rsid w:val="00570ACF"/>
    <w:rsid w:val="00570BF6"/>
    <w:rsid w:val="00570F41"/>
    <w:rsid w:val="00570FA4"/>
    <w:rsid w:val="00571009"/>
    <w:rsid w:val="005712BB"/>
    <w:rsid w:val="005713FB"/>
    <w:rsid w:val="0057147C"/>
    <w:rsid w:val="0057155C"/>
    <w:rsid w:val="00571744"/>
    <w:rsid w:val="005717AE"/>
    <w:rsid w:val="00571A03"/>
    <w:rsid w:val="00571F72"/>
    <w:rsid w:val="005720D4"/>
    <w:rsid w:val="005720D7"/>
    <w:rsid w:val="00572121"/>
    <w:rsid w:val="00572594"/>
    <w:rsid w:val="005726CA"/>
    <w:rsid w:val="00572838"/>
    <w:rsid w:val="0057283F"/>
    <w:rsid w:val="00572AD5"/>
    <w:rsid w:val="00572C7C"/>
    <w:rsid w:val="00572D4A"/>
    <w:rsid w:val="00572DEB"/>
    <w:rsid w:val="00572E84"/>
    <w:rsid w:val="00572F02"/>
    <w:rsid w:val="005732F0"/>
    <w:rsid w:val="005732F9"/>
    <w:rsid w:val="0057330E"/>
    <w:rsid w:val="00573370"/>
    <w:rsid w:val="0057339F"/>
    <w:rsid w:val="005735E3"/>
    <w:rsid w:val="00573708"/>
    <w:rsid w:val="00573828"/>
    <w:rsid w:val="005738AA"/>
    <w:rsid w:val="0057397B"/>
    <w:rsid w:val="00573EFD"/>
    <w:rsid w:val="00573F4A"/>
    <w:rsid w:val="005743E5"/>
    <w:rsid w:val="005744AB"/>
    <w:rsid w:val="00574814"/>
    <w:rsid w:val="0057487C"/>
    <w:rsid w:val="005748B8"/>
    <w:rsid w:val="00574AA5"/>
    <w:rsid w:val="00574AB1"/>
    <w:rsid w:val="00574B2B"/>
    <w:rsid w:val="00574BF3"/>
    <w:rsid w:val="00574CCE"/>
    <w:rsid w:val="00574E22"/>
    <w:rsid w:val="00574E3F"/>
    <w:rsid w:val="00574E61"/>
    <w:rsid w:val="00574F8F"/>
    <w:rsid w:val="00575091"/>
    <w:rsid w:val="00575100"/>
    <w:rsid w:val="00575165"/>
    <w:rsid w:val="00575222"/>
    <w:rsid w:val="00575360"/>
    <w:rsid w:val="005753CD"/>
    <w:rsid w:val="00575414"/>
    <w:rsid w:val="005754EF"/>
    <w:rsid w:val="00575566"/>
    <w:rsid w:val="005755E8"/>
    <w:rsid w:val="00575672"/>
    <w:rsid w:val="00575675"/>
    <w:rsid w:val="005759F6"/>
    <w:rsid w:val="00575AEE"/>
    <w:rsid w:val="00575C7B"/>
    <w:rsid w:val="00575D59"/>
    <w:rsid w:val="00575EB6"/>
    <w:rsid w:val="00576083"/>
    <w:rsid w:val="0057610C"/>
    <w:rsid w:val="00576404"/>
    <w:rsid w:val="00576820"/>
    <w:rsid w:val="0057682E"/>
    <w:rsid w:val="005768B7"/>
    <w:rsid w:val="005769A8"/>
    <w:rsid w:val="005769ED"/>
    <w:rsid w:val="00576AAA"/>
    <w:rsid w:val="00576E72"/>
    <w:rsid w:val="00576FA9"/>
    <w:rsid w:val="005770F4"/>
    <w:rsid w:val="00577171"/>
    <w:rsid w:val="005771E8"/>
    <w:rsid w:val="005773E4"/>
    <w:rsid w:val="00577422"/>
    <w:rsid w:val="00577511"/>
    <w:rsid w:val="005775FD"/>
    <w:rsid w:val="0057769F"/>
    <w:rsid w:val="005778F9"/>
    <w:rsid w:val="00577966"/>
    <w:rsid w:val="00577A89"/>
    <w:rsid w:val="00577AA6"/>
    <w:rsid w:val="00577DAB"/>
    <w:rsid w:val="00577E09"/>
    <w:rsid w:val="00577E99"/>
    <w:rsid w:val="00577EEC"/>
    <w:rsid w:val="0058005F"/>
    <w:rsid w:val="0058024C"/>
    <w:rsid w:val="00580258"/>
    <w:rsid w:val="00580366"/>
    <w:rsid w:val="0058040A"/>
    <w:rsid w:val="00580413"/>
    <w:rsid w:val="00580447"/>
    <w:rsid w:val="0058049B"/>
    <w:rsid w:val="00580516"/>
    <w:rsid w:val="00580658"/>
    <w:rsid w:val="0058089E"/>
    <w:rsid w:val="0058091B"/>
    <w:rsid w:val="00580928"/>
    <w:rsid w:val="00580E0D"/>
    <w:rsid w:val="00580FCE"/>
    <w:rsid w:val="00580FF1"/>
    <w:rsid w:val="005810F3"/>
    <w:rsid w:val="00581146"/>
    <w:rsid w:val="00581183"/>
    <w:rsid w:val="00581217"/>
    <w:rsid w:val="00581300"/>
    <w:rsid w:val="0058158E"/>
    <w:rsid w:val="00581611"/>
    <w:rsid w:val="00581622"/>
    <w:rsid w:val="00581732"/>
    <w:rsid w:val="00581870"/>
    <w:rsid w:val="00581894"/>
    <w:rsid w:val="005819EB"/>
    <w:rsid w:val="00581BA2"/>
    <w:rsid w:val="00581DE2"/>
    <w:rsid w:val="00581DEC"/>
    <w:rsid w:val="00582012"/>
    <w:rsid w:val="00582089"/>
    <w:rsid w:val="0058217B"/>
    <w:rsid w:val="0058269A"/>
    <w:rsid w:val="00582719"/>
    <w:rsid w:val="0058290B"/>
    <w:rsid w:val="00582C9E"/>
    <w:rsid w:val="00582E6F"/>
    <w:rsid w:val="00582EC5"/>
    <w:rsid w:val="0058310C"/>
    <w:rsid w:val="00583153"/>
    <w:rsid w:val="0058318C"/>
    <w:rsid w:val="005831F1"/>
    <w:rsid w:val="005832FC"/>
    <w:rsid w:val="00583482"/>
    <w:rsid w:val="005837B2"/>
    <w:rsid w:val="00583832"/>
    <w:rsid w:val="0058388F"/>
    <w:rsid w:val="005838B4"/>
    <w:rsid w:val="00583932"/>
    <w:rsid w:val="00583A81"/>
    <w:rsid w:val="00583BF9"/>
    <w:rsid w:val="00583CAE"/>
    <w:rsid w:val="00583CE6"/>
    <w:rsid w:val="00583D45"/>
    <w:rsid w:val="00583DB8"/>
    <w:rsid w:val="00583DDE"/>
    <w:rsid w:val="00583E94"/>
    <w:rsid w:val="00583F61"/>
    <w:rsid w:val="005840CA"/>
    <w:rsid w:val="00584106"/>
    <w:rsid w:val="00584368"/>
    <w:rsid w:val="00584401"/>
    <w:rsid w:val="005846BF"/>
    <w:rsid w:val="00584875"/>
    <w:rsid w:val="005848E3"/>
    <w:rsid w:val="005848EF"/>
    <w:rsid w:val="00584B5B"/>
    <w:rsid w:val="00584E10"/>
    <w:rsid w:val="00585262"/>
    <w:rsid w:val="00585359"/>
    <w:rsid w:val="0058556C"/>
    <w:rsid w:val="005855B9"/>
    <w:rsid w:val="00585863"/>
    <w:rsid w:val="005858E7"/>
    <w:rsid w:val="005859D4"/>
    <w:rsid w:val="00585A48"/>
    <w:rsid w:val="00585B07"/>
    <w:rsid w:val="00585B0F"/>
    <w:rsid w:val="00585C73"/>
    <w:rsid w:val="00585C9C"/>
    <w:rsid w:val="00585F49"/>
    <w:rsid w:val="005861CA"/>
    <w:rsid w:val="005861CF"/>
    <w:rsid w:val="005866D3"/>
    <w:rsid w:val="00586758"/>
    <w:rsid w:val="00586A0D"/>
    <w:rsid w:val="00586AE2"/>
    <w:rsid w:val="00586B79"/>
    <w:rsid w:val="00586CB9"/>
    <w:rsid w:val="00586D24"/>
    <w:rsid w:val="00586DEC"/>
    <w:rsid w:val="00587216"/>
    <w:rsid w:val="00587266"/>
    <w:rsid w:val="0058726C"/>
    <w:rsid w:val="00587325"/>
    <w:rsid w:val="00587616"/>
    <w:rsid w:val="005877F5"/>
    <w:rsid w:val="00587DAF"/>
    <w:rsid w:val="00587E29"/>
    <w:rsid w:val="00587E33"/>
    <w:rsid w:val="0059014E"/>
    <w:rsid w:val="00590303"/>
    <w:rsid w:val="00590349"/>
    <w:rsid w:val="0059040A"/>
    <w:rsid w:val="00590433"/>
    <w:rsid w:val="005905F2"/>
    <w:rsid w:val="00590652"/>
    <w:rsid w:val="0059074C"/>
    <w:rsid w:val="005908A7"/>
    <w:rsid w:val="00590C3D"/>
    <w:rsid w:val="00590D08"/>
    <w:rsid w:val="00590DCF"/>
    <w:rsid w:val="00590EB2"/>
    <w:rsid w:val="00590F38"/>
    <w:rsid w:val="005911EE"/>
    <w:rsid w:val="00591297"/>
    <w:rsid w:val="0059146C"/>
    <w:rsid w:val="005914AE"/>
    <w:rsid w:val="005916EA"/>
    <w:rsid w:val="0059174B"/>
    <w:rsid w:val="005917B4"/>
    <w:rsid w:val="00591CAE"/>
    <w:rsid w:val="00591D97"/>
    <w:rsid w:val="00591F04"/>
    <w:rsid w:val="005920D7"/>
    <w:rsid w:val="00592154"/>
    <w:rsid w:val="005922BF"/>
    <w:rsid w:val="005923B8"/>
    <w:rsid w:val="005925B7"/>
    <w:rsid w:val="005925EE"/>
    <w:rsid w:val="005926D3"/>
    <w:rsid w:val="0059282F"/>
    <w:rsid w:val="005928B5"/>
    <w:rsid w:val="00592AF9"/>
    <w:rsid w:val="00592B70"/>
    <w:rsid w:val="00592DF5"/>
    <w:rsid w:val="00592F97"/>
    <w:rsid w:val="00593236"/>
    <w:rsid w:val="00593288"/>
    <w:rsid w:val="00593376"/>
    <w:rsid w:val="0059349D"/>
    <w:rsid w:val="005935C4"/>
    <w:rsid w:val="00593CA5"/>
    <w:rsid w:val="00593D3A"/>
    <w:rsid w:val="00593DA9"/>
    <w:rsid w:val="00593FEF"/>
    <w:rsid w:val="00594034"/>
    <w:rsid w:val="005941A7"/>
    <w:rsid w:val="0059465F"/>
    <w:rsid w:val="00594769"/>
    <w:rsid w:val="005947AA"/>
    <w:rsid w:val="005949B8"/>
    <w:rsid w:val="00594A34"/>
    <w:rsid w:val="00594AB7"/>
    <w:rsid w:val="00595094"/>
    <w:rsid w:val="005950E9"/>
    <w:rsid w:val="0059516F"/>
    <w:rsid w:val="005951FD"/>
    <w:rsid w:val="0059527A"/>
    <w:rsid w:val="00595860"/>
    <w:rsid w:val="005958E5"/>
    <w:rsid w:val="00595975"/>
    <w:rsid w:val="00595B97"/>
    <w:rsid w:val="00595C06"/>
    <w:rsid w:val="00595CFC"/>
    <w:rsid w:val="00595DF5"/>
    <w:rsid w:val="00595F02"/>
    <w:rsid w:val="00596485"/>
    <w:rsid w:val="0059659D"/>
    <w:rsid w:val="0059662D"/>
    <w:rsid w:val="005967E5"/>
    <w:rsid w:val="0059689F"/>
    <w:rsid w:val="00596ABB"/>
    <w:rsid w:val="00596B1A"/>
    <w:rsid w:val="00596BC4"/>
    <w:rsid w:val="00596CE7"/>
    <w:rsid w:val="00596EF5"/>
    <w:rsid w:val="005971DF"/>
    <w:rsid w:val="0059747C"/>
    <w:rsid w:val="0059778A"/>
    <w:rsid w:val="00597817"/>
    <w:rsid w:val="00597896"/>
    <w:rsid w:val="00597938"/>
    <w:rsid w:val="0059796A"/>
    <w:rsid w:val="005979A6"/>
    <w:rsid w:val="00597A59"/>
    <w:rsid w:val="00597BEE"/>
    <w:rsid w:val="00597D17"/>
    <w:rsid w:val="00597D21"/>
    <w:rsid w:val="00597EC4"/>
    <w:rsid w:val="00597EEB"/>
    <w:rsid w:val="005A000E"/>
    <w:rsid w:val="005A0016"/>
    <w:rsid w:val="005A018C"/>
    <w:rsid w:val="005A06EC"/>
    <w:rsid w:val="005A0851"/>
    <w:rsid w:val="005A0956"/>
    <w:rsid w:val="005A0B17"/>
    <w:rsid w:val="005A0D30"/>
    <w:rsid w:val="005A0DE8"/>
    <w:rsid w:val="005A0E8F"/>
    <w:rsid w:val="005A11DC"/>
    <w:rsid w:val="005A1234"/>
    <w:rsid w:val="005A129E"/>
    <w:rsid w:val="005A12D3"/>
    <w:rsid w:val="005A131C"/>
    <w:rsid w:val="005A13B4"/>
    <w:rsid w:val="005A13C1"/>
    <w:rsid w:val="005A14CB"/>
    <w:rsid w:val="005A1502"/>
    <w:rsid w:val="005A1667"/>
    <w:rsid w:val="005A1B63"/>
    <w:rsid w:val="005A1E95"/>
    <w:rsid w:val="005A1F69"/>
    <w:rsid w:val="005A1F74"/>
    <w:rsid w:val="005A1F83"/>
    <w:rsid w:val="005A1FC3"/>
    <w:rsid w:val="005A1FFF"/>
    <w:rsid w:val="005A2029"/>
    <w:rsid w:val="005A23A4"/>
    <w:rsid w:val="005A2441"/>
    <w:rsid w:val="005A2765"/>
    <w:rsid w:val="005A2773"/>
    <w:rsid w:val="005A2AA3"/>
    <w:rsid w:val="005A2AB5"/>
    <w:rsid w:val="005A2B34"/>
    <w:rsid w:val="005A2BAF"/>
    <w:rsid w:val="005A2CAE"/>
    <w:rsid w:val="005A2D6D"/>
    <w:rsid w:val="005A316F"/>
    <w:rsid w:val="005A31AC"/>
    <w:rsid w:val="005A31BB"/>
    <w:rsid w:val="005A3481"/>
    <w:rsid w:val="005A35A3"/>
    <w:rsid w:val="005A36B5"/>
    <w:rsid w:val="005A3743"/>
    <w:rsid w:val="005A39EF"/>
    <w:rsid w:val="005A3B28"/>
    <w:rsid w:val="005A3BAE"/>
    <w:rsid w:val="005A3BBF"/>
    <w:rsid w:val="005A3C4F"/>
    <w:rsid w:val="005A3CAC"/>
    <w:rsid w:val="005A3DF3"/>
    <w:rsid w:val="005A3EAA"/>
    <w:rsid w:val="005A425D"/>
    <w:rsid w:val="005A4470"/>
    <w:rsid w:val="005A4867"/>
    <w:rsid w:val="005A4985"/>
    <w:rsid w:val="005A4A54"/>
    <w:rsid w:val="005A4B56"/>
    <w:rsid w:val="005A4BD1"/>
    <w:rsid w:val="005A4E32"/>
    <w:rsid w:val="005A4E87"/>
    <w:rsid w:val="005A4FC9"/>
    <w:rsid w:val="005A5112"/>
    <w:rsid w:val="005A5141"/>
    <w:rsid w:val="005A5240"/>
    <w:rsid w:val="005A5283"/>
    <w:rsid w:val="005A52F1"/>
    <w:rsid w:val="005A543C"/>
    <w:rsid w:val="005A5773"/>
    <w:rsid w:val="005A57FB"/>
    <w:rsid w:val="005A59E9"/>
    <w:rsid w:val="005A5A41"/>
    <w:rsid w:val="005A5CB3"/>
    <w:rsid w:val="005A5DB7"/>
    <w:rsid w:val="005A5ED5"/>
    <w:rsid w:val="005A6028"/>
    <w:rsid w:val="005A60B4"/>
    <w:rsid w:val="005A6242"/>
    <w:rsid w:val="005A63BD"/>
    <w:rsid w:val="005A6619"/>
    <w:rsid w:val="005A6816"/>
    <w:rsid w:val="005A696E"/>
    <w:rsid w:val="005A6978"/>
    <w:rsid w:val="005A69C4"/>
    <w:rsid w:val="005A6A12"/>
    <w:rsid w:val="005A6B3D"/>
    <w:rsid w:val="005A6C2A"/>
    <w:rsid w:val="005A6CE9"/>
    <w:rsid w:val="005A6D55"/>
    <w:rsid w:val="005A6E5D"/>
    <w:rsid w:val="005A70AD"/>
    <w:rsid w:val="005A7100"/>
    <w:rsid w:val="005A7201"/>
    <w:rsid w:val="005A73EF"/>
    <w:rsid w:val="005A7457"/>
    <w:rsid w:val="005A7540"/>
    <w:rsid w:val="005A7617"/>
    <w:rsid w:val="005A7727"/>
    <w:rsid w:val="005A780C"/>
    <w:rsid w:val="005A7920"/>
    <w:rsid w:val="005A79D4"/>
    <w:rsid w:val="005A7A0C"/>
    <w:rsid w:val="005A7A11"/>
    <w:rsid w:val="005A7BCE"/>
    <w:rsid w:val="005A7BE9"/>
    <w:rsid w:val="005A7DEA"/>
    <w:rsid w:val="005B001F"/>
    <w:rsid w:val="005B0095"/>
    <w:rsid w:val="005B00CA"/>
    <w:rsid w:val="005B044B"/>
    <w:rsid w:val="005B046C"/>
    <w:rsid w:val="005B06D6"/>
    <w:rsid w:val="005B09CF"/>
    <w:rsid w:val="005B0B69"/>
    <w:rsid w:val="005B0B72"/>
    <w:rsid w:val="005B0C1A"/>
    <w:rsid w:val="005B0DCB"/>
    <w:rsid w:val="005B0E30"/>
    <w:rsid w:val="005B0F53"/>
    <w:rsid w:val="005B11F7"/>
    <w:rsid w:val="005B122C"/>
    <w:rsid w:val="005B1362"/>
    <w:rsid w:val="005B1473"/>
    <w:rsid w:val="005B152F"/>
    <w:rsid w:val="005B1598"/>
    <w:rsid w:val="005B163A"/>
    <w:rsid w:val="005B170C"/>
    <w:rsid w:val="005B196C"/>
    <w:rsid w:val="005B1AEF"/>
    <w:rsid w:val="005B1BF4"/>
    <w:rsid w:val="005B2018"/>
    <w:rsid w:val="005B20A6"/>
    <w:rsid w:val="005B222E"/>
    <w:rsid w:val="005B23F6"/>
    <w:rsid w:val="005B265F"/>
    <w:rsid w:val="005B27F1"/>
    <w:rsid w:val="005B28AB"/>
    <w:rsid w:val="005B28D3"/>
    <w:rsid w:val="005B2941"/>
    <w:rsid w:val="005B2947"/>
    <w:rsid w:val="005B2A1B"/>
    <w:rsid w:val="005B2BCD"/>
    <w:rsid w:val="005B2C14"/>
    <w:rsid w:val="005B2C6C"/>
    <w:rsid w:val="005B2D03"/>
    <w:rsid w:val="005B2E86"/>
    <w:rsid w:val="005B2EFB"/>
    <w:rsid w:val="005B2F00"/>
    <w:rsid w:val="005B3117"/>
    <w:rsid w:val="005B31BA"/>
    <w:rsid w:val="005B31BF"/>
    <w:rsid w:val="005B3226"/>
    <w:rsid w:val="005B3448"/>
    <w:rsid w:val="005B345D"/>
    <w:rsid w:val="005B35A8"/>
    <w:rsid w:val="005B37D0"/>
    <w:rsid w:val="005B3812"/>
    <w:rsid w:val="005B3AC7"/>
    <w:rsid w:val="005B3C17"/>
    <w:rsid w:val="005B3C62"/>
    <w:rsid w:val="005B3CEC"/>
    <w:rsid w:val="005B4157"/>
    <w:rsid w:val="005B415D"/>
    <w:rsid w:val="005B42C4"/>
    <w:rsid w:val="005B43DF"/>
    <w:rsid w:val="005B440A"/>
    <w:rsid w:val="005B4435"/>
    <w:rsid w:val="005B4604"/>
    <w:rsid w:val="005B4A43"/>
    <w:rsid w:val="005B4E4A"/>
    <w:rsid w:val="005B4ECA"/>
    <w:rsid w:val="005B4F03"/>
    <w:rsid w:val="005B4F85"/>
    <w:rsid w:val="005B50C9"/>
    <w:rsid w:val="005B5264"/>
    <w:rsid w:val="005B53D7"/>
    <w:rsid w:val="005B54D8"/>
    <w:rsid w:val="005B5526"/>
    <w:rsid w:val="005B55B9"/>
    <w:rsid w:val="005B5775"/>
    <w:rsid w:val="005B5BD0"/>
    <w:rsid w:val="005B5D93"/>
    <w:rsid w:val="005B5E6C"/>
    <w:rsid w:val="005B6190"/>
    <w:rsid w:val="005B65C5"/>
    <w:rsid w:val="005B66F6"/>
    <w:rsid w:val="005B6765"/>
    <w:rsid w:val="005B68A2"/>
    <w:rsid w:val="005B6938"/>
    <w:rsid w:val="005B69BF"/>
    <w:rsid w:val="005B6A44"/>
    <w:rsid w:val="005B6AE4"/>
    <w:rsid w:val="005B6C6A"/>
    <w:rsid w:val="005B6D19"/>
    <w:rsid w:val="005B6D42"/>
    <w:rsid w:val="005B6E13"/>
    <w:rsid w:val="005B6FF9"/>
    <w:rsid w:val="005B7072"/>
    <w:rsid w:val="005B746C"/>
    <w:rsid w:val="005B74DB"/>
    <w:rsid w:val="005B758B"/>
    <w:rsid w:val="005B7667"/>
    <w:rsid w:val="005B766E"/>
    <w:rsid w:val="005B7B87"/>
    <w:rsid w:val="005B7BF5"/>
    <w:rsid w:val="005B7C1B"/>
    <w:rsid w:val="005B7E82"/>
    <w:rsid w:val="005C00EB"/>
    <w:rsid w:val="005C0125"/>
    <w:rsid w:val="005C02A8"/>
    <w:rsid w:val="005C02E9"/>
    <w:rsid w:val="005C0509"/>
    <w:rsid w:val="005C066D"/>
    <w:rsid w:val="005C0692"/>
    <w:rsid w:val="005C0765"/>
    <w:rsid w:val="005C07A8"/>
    <w:rsid w:val="005C07B8"/>
    <w:rsid w:val="005C0A15"/>
    <w:rsid w:val="005C0A83"/>
    <w:rsid w:val="005C0CB0"/>
    <w:rsid w:val="005C0CF5"/>
    <w:rsid w:val="005C0EDB"/>
    <w:rsid w:val="005C0EFD"/>
    <w:rsid w:val="005C11FF"/>
    <w:rsid w:val="005C120E"/>
    <w:rsid w:val="005C128C"/>
    <w:rsid w:val="005C130F"/>
    <w:rsid w:val="005C134D"/>
    <w:rsid w:val="005C13AE"/>
    <w:rsid w:val="005C16E8"/>
    <w:rsid w:val="005C171F"/>
    <w:rsid w:val="005C1ABF"/>
    <w:rsid w:val="005C1C19"/>
    <w:rsid w:val="005C1CB7"/>
    <w:rsid w:val="005C1D6C"/>
    <w:rsid w:val="005C1F0C"/>
    <w:rsid w:val="005C21D7"/>
    <w:rsid w:val="005C24E9"/>
    <w:rsid w:val="005C26C0"/>
    <w:rsid w:val="005C2781"/>
    <w:rsid w:val="005C2EBA"/>
    <w:rsid w:val="005C2EEA"/>
    <w:rsid w:val="005C2F95"/>
    <w:rsid w:val="005C30E0"/>
    <w:rsid w:val="005C311D"/>
    <w:rsid w:val="005C313D"/>
    <w:rsid w:val="005C3447"/>
    <w:rsid w:val="005C34AA"/>
    <w:rsid w:val="005C367F"/>
    <w:rsid w:val="005C3741"/>
    <w:rsid w:val="005C3B59"/>
    <w:rsid w:val="005C3C52"/>
    <w:rsid w:val="005C3F16"/>
    <w:rsid w:val="005C3F59"/>
    <w:rsid w:val="005C3F8E"/>
    <w:rsid w:val="005C460B"/>
    <w:rsid w:val="005C478D"/>
    <w:rsid w:val="005C47DE"/>
    <w:rsid w:val="005C47F6"/>
    <w:rsid w:val="005C4B47"/>
    <w:rsid w:val="005C4C66"/>
    <w:rsid w:val="005C4D60"/>
    <w:rsid w:val="005C4E39"/>
    <w:rsid w:val="005C4E48"/>
    <w:rsid w:val="005C53BE"/>
    <w:rsid w:val="005C5749"/>
    <w:rsid w:val="005C578F"/>
    <w:rsid w:val="005C5823"/>
    <w:rsid w:val="005C5870"/>
    <w:rsid w:val="005C58D5"/>
    <w:rsid w:val="005C59E2"/>
    <w:rsid w:val="005C5BDC"/>
    <w:rsid w:val="005C5F5B"/>
    <w:rsid w:val="005C6161"/>
    <w:rsid w:val="005C64E3"/>
    <w:rsid w:val="005C6663"/>
    <w:rsid w:val="005C6680"/>
    <w:rsid w:val="005C6738"/>
    <w:rsid w:val="005C6787"/>
    <w:rsid w:val="005C68EB"/>
    <w:rsid w:val="005C6A0F"/>
    <w:rsid w:val="005C6A44"/>
    <w:rsid w:val="005C6E58"/>
    <w:rsid w:val="005C6ECB"/>
    <w:rsid w:val="005C701F"/>
    <w:rsid w:val="005C70D9"/>
    <w:rsid w:val="005C70ED"/>
    <w:rsid w:val="005C7479"/>
    <w:rsid w:val="005C748E"/>
    <w:rsid w:val="005C74C5"/>
    <w:rsid w:val="005C77C2"/>
    <w:rsid w:val="005C77DB"/>
    <w:rsid w:val="005C7890"/>
    <w:rsid w:val="005C7A20"/>
    <w:rsid w:val="005C7ADA"/>
    <w:rsid w:val="005C7C24"/>
    <w:rsid w:val="005C7E2E"/>
    <w:rsid w:val="005C7FCE"/>
    <w:rsid w:val="005D0024"/>
    <w:rsid w:val="005D018E"/>
    <w:rsid w:val="005D01D4"/>
    <w:rsid w:val="005D03CF"/>
    <w:rsid w:val="005D0662"/>
    <w:rsid w:val="005D06CF"/>
    <w:rsid w:val="005D07F9"/>
    <w:rsid w:val="005D093C"/>
    <w:rsid w:val="005D09A7"/>
    <w:rsid w:val="005D09F3"/>
    <w:rsid w:val="005D0AF3"/>
    <w:rsid w:val="005D0B1E"/>
    <w:rsid w:val="005D0C8D"/>
    <w:rsid w:val="005D0CBC"/>
    <w:rsid w:val="005D0CED"/>
    <w:rsid w:val="005D0D50"/>
    <w:rsid w:val="005D0F6A"/>
    <w:rsid w:val="005D109A"/>
    <w:rsid w:val="005D10C1"/>
    <w:rsid w:val="005D11DF"/>
    <w:rsid w:val="005D1329"/>
    <w:rsid w:val="005D156A"/>
    <w:rsid w:val="005D1771"/>
    <w:rsid w:val="005D185C"/>
    <w:rsid w:val="005D19BB"/>
    <w:rsid w:val="005D1A1F"/>
    <w:rsid w:val="005D1A49"/>
    <w:rsid w:val="005D1CD5"/>
    <w:rsid w:val="005D209F"/>
    <w:rsid w:val="005D20DF"/>
    <w:rsid w:val="005D22F7"/>
    <w:rsid w:val="005D25CE"/>
    <w:rsid w:val="005D25EB"/>
    <w:rsid w:val="005D2B5D"/>
    <w:rsid w:val="005D2BB0"/>
    <w:rsid w:val="005D2BC4"/>
    <w:rsid w:val="005D2FC5"/>
    <w:rsid w:val="005D303B"/>
    <w:rsid w:val="005D319B"/>
    <w:rsid w:val="005D343D"/>
    <w:rsid w:val="005D34FE"/>
    <w:rsid w:val="005D3558"/>
    <w:rsid w:val="005D3630"/>
    <w:rsid w:val="005D363B"/>
    <w:rsid w:val="005D3ABF"/>
    <w:rsid w:val="005D3B94"/>
    <w:rsid w:val="005D3BEE"/>
    <w:rsid w:val="005D3D6D"/>
    <w:rsid w:val="005D3ED8"/>
    <w:rsid w:val="005D413D"/>
    <w:rsid w:val="005D438F"/>
    <w:rsid w:val="005D4549"/>
    <w:rsid w:val="005D4A3E"/>
    <w:rsid w:val="005D4B44"/>
    <w:rsid w:val="005D4C05"/>
    <w:rsid w:val="005D4DE4"/>
    <w:rsid w:val="005D4E55"/>
    <w:rsid w:val="005D4ECD"/>
    <w:rsid w:val="005D4F99"/>
    <w:rsid w:val="005D4FAC"/>
    <w:rsid w:val="005D4FB7"/>
    <w:rsid w:val="005D5351"/>
    <w:rsid w:val="005D53C9"/>
    <w:rsid w:val="005D5625"/>
    <w:rsid w:val="005D572E"/>
    <w:rsid w:val="005D57C0"/>
    <w:rsid w:val="005D5922"/>
    <w:rsid w:val="005D5A82"/>
    <w:rsid w:val="005D5ACE"/>
    <w:rsid w:val="005D5BB0"/>
    <w:rsid w:val="005D5BDA"/>
    <w:rsid w:val="005D5C16"/>
    <w:rsid w:val="005D5C99"/>
    <w:rsid w:val="005D5E40"/>
    <w:rsid w:val="005D5EE9"/>
    <w:rsid w:val="005D5F15"/>
    <w:rsid w:val="005D5F75"/>
    <w:rsid w:val="005D5F90"/>
    <w:rsid w:val="005D5F9E"/>
    <w:rsid w:val="005D621F"/>
    <w:rsid w:val="005D62AD"/>
    <w:rsid w:val="005D63EE"/>
    <w:rsid w:val="005D6447"/>
    <w:rsid w:val="005D656C"/>
    <w:rsid w:val="005D659D"/>
    <w:rsid w:val="005D6621"/>
    <w:rsid w:val="005D6827"/>
    <w:rsid w:val="005D6836"/>
    <w:rsid w:val="005D69F9"/>
    <w:rsid w:val="005D6B7C"/>
    <w:rsid w:val="005D6BD8"/>
    <w:rsid w:val="005D6C44"/>
    <w:rsid w:val="005D6E28"/>
    <w:rsid w:val="005D6EA3"/>
    <w:rsid w:val="005D6F7A"/>
    <w:rsid w:val="005D71F7"/>
    <w:rsid w:val="005D72CB"/>
    <w:rsid w:val="005D72E7"/>
    <w:rsid w:val="005D7654"/>
    <w:rsid w:val="005D76CB"/>
    <w:rsid w:val="005D778C"/>
    <w:rsid w:val="005D77AA"/>
    <w:rsid w:val="005D77C8"/>
    <w:rsid w:val="005D7A71"/>
    <w:rsid w:val="005D7CBF"/>
    <w:rsid w:val="005E00E0"/>
    <w:rsid w:val="005E0158"/>
    <w:rsid w:val="005E0222"/>
    <w:rsid w:val="005E0255"/>
    <w:rsid w:val="005E03F1"/>
    <w:rsid w:val="005E04FB"/>
    <w:rsid w:val="005E051F"/>
    <w:rsid w:val="005E05B7"/>
    <w:rsid w:val="005E090B"/>
    <w:rsid w:val="005E0916"/>
    <w:rsid w:val="005E0A63"/>
    <w:rsid w:val="005E0B82"/>
    <w:rsid w:val="005E0D9E"/>
    <w:rsid w:val="005E0EE3"/>
    <w:rsid w:val="005E12BB"/>
    <w:rsid w:val="005E14F2"/>
    <w:rsid w:val="005E1574"/>
    <w:rsid w:val="005E18B2"/>
    <w:rsid w:val="005E18EB"/>
    <w:rsid w:val="005E193B"/>
    <w:rsid w:val="005E1B4F"/>
    <w:rsid w:val="005E1D3D"/>
    <w:rsid w:val="005E1D7A"/>
    <w:rsid w:val="005E229D"/>
    <w:rsid w:val="005E26F3"/>
    <w:rsid w:val="005E270D"/>
    <w:rsid w:val="005E2735"/>
    <w:rsid w:val="005E279A"/>
    <w:rsid w:val="005E27E0"/>
    <w:rsid w:val="005E2834"/>
    <w:rsid w:val="005E2A16"/>
    <w:rsid w:val="005E2A3D"/>
    <w:rsid w:val="005E2A82"/>
    <w:rsid w:val="005E31D3"/>
    <w:rsid w:val="005E33AB"/>
    <w:rsid w:val="005E3728"/>
    <w:rsid w:val="005E3762"/>
    <w:rsid w:val="005E3C81"/>
    <w:rsid w:val="005E3DA5"/>
    <w:rsid w:val="005E3F16"/>
    <w:rsid w:val="005E3FD5"/>
    <w:rsid w:val="005E4031"/>
    <w:rsid w:val="005E42A1"/>
    <w:rsid w:val="005E49FA"/>
    <w:rsid w:val="005E4A1A"/>
    <w:rsid w:val="005E4B01"/>
    <w:rsid w:val="005E4E47"/>
    <w:rsid w:val="005E4F66"/>
    <w:rsid w:val="005E50E1"/>
    <w:rsid w:val="005E538E"/>
    <w:rsid w:val="005E53FF"/>
    <w:rsid w:val="005E58D7"/>
    <w:rsid w:val="005E5A4D"/>
    <w:rsid w:val="005E5CA9"/>
    <w:rsid w:val="005E5CB2"/>
    <w:rsid w:val="005E5DBB"/>
    <w:rsid w:val="005E5ECC"/>
    <w:rsid w:val="005E60F3"/>
    <w:rsid w:val="005E61B5"/>
    <w:rsid w:val="005E623A"/>
    <w:rsid w:val="005E62DB"/>
    <w:rsid w:val="005E6304"/>
    <w:rsid w:val="005E6546"/>
    <w:rsid w:val="005E666D"/>
    <w:rsid w:val="005E66EC"/>
    <w:rsid w:val="005E68AE"/>
    <w:rsid w:val="005E69BE"/>
    <w:rsid w:val="005E6A37"/>
    <w:rsid w:val="005E6C45"/>
    <w:rsid w:val="005E6D6B"/>
    <w:rsid w:val="005E7058"/>
    <w:rsid w:val="005E70C3"/>
    <w:rsid w:val="005E733F"/>
    <w:rsid w:val="005E76DD"/>
    <w:rsid w:val="005E78BA"/>
    <w:rsid w:val="005E78DE"/>
    <w:rsid w:val="005E7A3D"/>
    <w:rsid w:val="005E7CF0"/>
    <w:rsid w:val="005E7DB0"/>
    <w:rsid w:val="005E7F99"/>
    <w:rsid w:val="005F0622"/>
    <w:rsid w:val="005F0961"/>
    <w:rsid w:val="005F0CB0"/>
    <w:rsid w:val="005F0CD0"/>
    <w:rsid w:val="005F1020"/>
    <w:rsid w:val="005F1346"/>
    <w:rsid w:val="005F1450"/>
    <w:rsid w:val="005F1813"/>
    <w:rsid w:val="005F1913"/>
    <w:rsid w:val="005F1AEF"/>
    <w:rsid w:val="005F1B5D"/>
    <w:rsid w:val="005F1C03"/>
    <w:rsid w:val="005F1D52"/>
    <w:rsid w:val="005F1E73"/>
    <w:rsid w:val="005F2068"/>
    <w:rsid w:val="005F224E"/>
    <w:rsid w:val="005F2332"/>
    <w:rsid w:val="005F249C"/>
    <w:rsid w:val="005F25FA"/>
    <w:rsid w:val="005F26FE"/>
    <w:rsid w:val="005F282D"/>
    <w:rsid w:val="005F2838"/>
    <w:rsid w:val="005F2971"/>
    <w:rsid w:val="005F2995"/>
    <w:rsid w:val="005F2A3D"/>
    <w:rsid w:val="005F2A74"/>
    <w:rsid w:val="005F2A7A"/>
    <w:rsid w:val="005F2AD4"/>
    <w:rsid w:val="005F2C33"/>
    <w:rsid w:val="005F2C41"/>
    <w:rsid w:val="005F2D45"/>
    <w:rsid w:val="005F2DBD"/>
    <w:rsid w:val="005F2F1F"/>
    <w:rsid w:val="005F33C1"/>
    <w:rsid w:val="005F369E"/>
    <w:rsid w:val="005F36D0"/>
    <w:rsid w:val="005F39AF"/>
    <w:rsid w:val="005F3AA6"/>
    <w:rsid w:val="005F3B1B"/>
    <w:rsid w:val="005F3B31"/>
    <w:rsid w:val="005F3B88"/>
    <w:rsid w:val="005F3BAA"/>
    <w:rsid w:val="005F3BAE"/>
    <w:rsid w:val="005F3BB8"/>
    <w:rsid w:val="005F3F61"/>
    <w:rsid w:val="005F42A3"/>
    <w:rsid w:val="005F430E"/>
    <w:rsid w:val="005F43B9"/>
    <w:rsid w:val="005F43D7"/>
    <w:rsid w:val="005F46F5"/>
    <w:rsid w:val="005F485A"/>
    <w:rsid w:val="005F4961"/>
    <w:rsid w:val="005F4A5D"/>
    <w:rsid w:val="005F4B8D"/>
    <w:rsid w:val="005F4BA7"/>
    <w:rsid w:val="005F4BA8"/>
    <w:rsid w:val="005F4F0F"/>
    <w:rsid w:val="005F5012"/>
    <w:rsid w:val="005F5019"/>
    <w:rsid w:val="005F50BD"/>
    <w:rsid w:val="005F51DF"/>
    <w:rsid w:val="005F5314"/>
    <w:rsid w:val="005F5541"/>
    <w:rsid w:val="005F5577"/>
    <w:rsid w:val="005F565B"/>
    <w:rsid w:val="005F59F3"/>
    <w:rsid w:val="005F5C99"/>
    <w:rsid w:val="005F5D1A"/>
    <w:rsid w:val="005F5D51"/>
    <w:rsid w:val="005F5DDB"/>
    <w:rsid w:val="005F5E7A"/>
    <w:rsid w:val="005F5F10"/>
    <w:rsid w:val="005F609A"/>
    <w:rsid w:val="005F60AC"/>
    <w:rsid w:val="005F6108"/>
    <w:rsid w:val="005F61D3"/>
    <w:rsid w:val="005F61FB"/>
    <w:rsid w:val="005F6274"/>
    <w:rsid w:val="005F6321"/>
    <w:rsid w:val="005F6B93"/>
    <w:rsid w:val="005F6BC5"/>
    <w:rsid w:val="005F6C6F"/>
    <w:rsid w:val="005F6CB1"/>
    <w:rsid w:val="005F6CFF"/>
    <w:rsid w:val="005F6E36"/>
    <w:rsid w:val="005F7053"/>
    <w:rsid w:val="005F7135"/>
    <w:rsid w:val="005F734F"/>
    <w:rsid w:val="005F7515"/>
    <w:rsid w:val="005F76CD"/>
    <w:rsid w:val="005F76F7"/>
    <w:rsid w:val="005F78C6"/>
    <w:rsid w:val="005F79E4"/>
    <w:rsid w:val="005F7A45"/>
    <w:rsid w:val="005F7B39"/>
    <w:rsid w:val="005F7E8F"/>
    <w:rsid w:val="00600201"/>
    <w:rsid w:val="0060027A"/>
    <w:rsid w:val="00600374"/>
    <w:rsid w:val="00600384"/>
    <w:rsid w:val="0060042E"/>
    <w:rsid w:val="0060056B"/>
    <w:rsid w:val="0060068B"/>
    <w:rsid w:val="006006F3"/>
    <w:rsid w:val="00600704"/>
    <w:rsid w:val="00600808"/>
    <w:rsid w:val="00600884"/>
    <w:rsid w:val="006008F2"/>
    <w:rsid w:val="0060097C"/>
    <w:rsid w:val="006009B8"/>
    <w:rsid w:val="00600A21"/>
    <w:rsid w:val="00600CEE"/>
    <w:rsid w:val="00600CF5"/>
    <w:rsid w:val="00600EF8"/>
    <w:rsid w:val="006011D0"/>
    <w:rsid w:val="00601261"/>
    <w:rsid w:val="006012A3"/>
    <w:rsid w:val="00601441"/>
    <w:rsid w:val="00601526"/>
    <w:rsid w:val="00601675"/>
    <w:rsid w:val="0060168E"/>
    <w:rsid w:val="006019E9"/>
    <w:rsid w:val="00601BB0"/>
    <w:rsid w:val="00601CD6"/>
    <w:rsid w:val="00601EE5"/>
    <w:rsid w:val="00601F8B"/>
    <w:rsid w:val="006020A8"/>
    <w:rsid w:val="006021D6"/>
    <w:rsid w:val="00602370"/>
    <w:rsid w:val="0060243A"/>
    <w:rsid w:val="006027B8"/>
    <w:rsid w:val="00602A92"/>
    <w:rsid w:val="00602AA3"/>
    <w:rsid w:val="00602D54"/>
    <w:rsid w:val="00602FF5"/>
    <w:rsid w:val="00603076"/>
    <w:rsid w:val="006032A6"/>
    <w:rsid w:val="0060343F"/>
    <w:rsid w:val="00603831"/>
    <w:rsid w:val="0060394F"/>
    <w:rsid w:val="006039BA"/>
    <w:rsid w:val="00603CA3"/>
    <w:rsid w:val="00603EEE"/>
    <w:rsid w:val="00603F21"/>
    <w:rsid w:val="006040AF"/>
    <w:rsid w:val="0060418D"/>
    <w:rsid w:val="006041BE"/>
    <w:rsid w:val="00604211"/>
    <w:rsid w:val="0060431E"/>
    <w:rsid w:val="006045E8"/>
    <w:rsid w:val="00604845"/>
    <w:rsid w:val="00604960"/>
    <w:rsid w:val="00604CA7"/>
    <w:rsid w:val="00604EEB"/>
    <w:rsid w:val="00605208"/>
    <w:rsid w:val="00605296"/>
    <w:rsid w:val="006053CD"/>
    <w:rsid w:val="006054FE"/>
    <w:rsid w:val="0060562B"/>
    <w:rsid w:val="006059A0"/>
    <w:rsid w:val="00605D1E"/>
    <w:rsid w:val="00605D25"/>
    <w:rsid w:val="00605E38"/>
    <w:rsid w:val="0060624F"/>
    <w:rsid w:val="0060678B"/>
    <w:rsid w:val="00606A9C"/>
    <w:rsid w:val="00606CC4"/>
    <w:rsid w:val="00606EEB"/>
    <w:rsid w:val="00606EFF"/>
    <w:rsid w:val="00606F8B"/>
    <w:rsid w:val="00606FDC"/>
    <w:rsid w:val="00607066"/>
    <w:rsid w:val="00607545"/>
    <w:rsid w:val="006077D6"/>
    <w:rsid w:val="006079B6"/>
    <w:rsid w:val="006079FD"/>
    <w:rsid w:val="00607B85"/>
    <w:rsid w:val="00607C2F"/>
    <w:rsid w:val="00607D4D"/>
    <w:rsid w:val="00607EDA"/>
    <w:rsid w:val="0061000E"/>
    <w:rsid w:val="00610074"/>
    <w:rsid w:val="00610234"/>
    <w:rsid w:val="006105D8"/>
    <w:rsid w:val="0061069C"/>
    <w:rsid w:val="00610852"/>
    <w:rsid w:val="00610AD9"/>
    <w:rsid w:val="00610AF2"/>
    <w:rsid w:val="00610B5F"/>
    <w:rsid w:val="00610D74"/>
    <w:rsid w:val="00610E0C"/>
    <w:rsid w:val="00610E4F"/>
    <w:rsid w:val="00610F44"/>
    <w:rsid w:val="00611132"/>
    <w:rsid w:val="006111F7"/>
    <w:rsid w:val="006111FF"/>
    <w:rsid w:val="00611329"/>
    <w:rsid w:val="00611374"/>
    <w:rsid w:val="006113F9"/>
    <w:rsid w:val="00611438"/>
    <w:rsid w:val="006115A2"/>
    <w:rsid w:val="00611602"/>
    <w:rsid w:val="00611759"/>
    <w:rsid w:val="006118FA"/>
    <w:rsid w:val="00611C23"/>
    <w:rsid w:val="00611C55"/>
    <w:rsid w:val="00611D72"/>
    <w:rsid w:val="00611DC5"/>
    <w:rsid w:val="00611DC9"/>
    <w:rsid w:val="00611E5F"/>
    <w:rsid w:val="0061208C"/>
    <w:rsid w:val="0061220C"/>
    <w:rsid w:val="0061223D"/>
    <w:rsid w:val="0061225A"/>
    <w:rsid w:val="00612356"/>
    <w:rsid w:val="0061242A"/>
    <w:rsid w:val="006124AD"/>
    <w:rsid w:val="00612739"/>
    <w:rsid w:val="0061287B"/>
    <w:rsid w:val="00612A23"/>
    <w:rsid w:val="00612C97"/>
    <w:rsid w:val="00612E3D"/>
    <w:rsid w:val="00612FE9"/>
    <w:rsid w:val="0061300C"/>
    <w:rsid w:val="006134E4"/>
    <w:rsid w:val="00613599"/>
    <w:rsid w:val="006135A0"/>
    <w:rsid w:val="0061365E"/>
    <w:rsid w:val="006136C1"/>
    <w:rsid w:val="006136C3"/>
    <w:rsid w:val="006136FE"/>
    <w:rsid w:val="00613729"/>
    <w:rsid w:val="006139CC"/>
    <w:rsid w:val="00613DF4"/>
    <w:rsid w:val="00613E4B"/>
    <w:rsid w:val="00613F95"/>
    <w:rsid w:val="0061401A"/>
    <w:rsid w:val="00614181"/>
    <w:rsid w:val="00614211"/>
    <w:rsid w:val="0061436D"/>
    <w:rsid w:val="006144F7"/>
    <w:rsid w:val="0061467B"/>
    <w:rsid w:val="00614742"/>
    <w:rsid w:val="0061496D"/>
    <w:rsid w:val="00614AC0"/>
    <w:rsid w:val="00614DCE"/>
    <w:rsid w:val="00614E2B"/>
    <w:rsid w:val="00614ED5"/>
    <w:rsid w:val="0061520D"/>
    <w:rsid w:val="0061523E"/>
    <w:rsid w:val="00615268"/>
    <w:rsid w:val="00615283"/>
    <w:rsid w:val="006152D0"/>
    <w:rsid w:val="006153C6"/>
    <w:rsid w:val="0061540C"/>
    <w:rsid w:val="006155A9"/>
    <w:rsid w:val="00615689"/>
    <w:rsid w:val="006156E5"/>
    <w:rsid w:val="00615791"/>
    <w:rsid w:val="00615807"/>
    <w:rsid w:val="0061595F"/>
    <w:rsid w:val="00615AD5"/>
    <w:rsid w:val="00615D21"/>
    <w:rsid w:val="00615D98"/>
    <w:rsid w:val="00615EE1"/>
    <w:rsid w:val="0061609F"/>
    <w:rsid w:val="0061610D"/>
    <w:rsid w:val="0061629F"/>
    <w:rsid w:val="00616438"/>
    <w:rsid w:val="006164F7"/>
    <w:rsid w:val="006165B0"/>
    <w:rsid w:val="0061685F"/>
    <w:rsid w:val="006168C7"/>
    <w:rsid w:val="006168D5"/>
    <w:rsid w:val="006169B9"/>
    <w:rsid w:val="006169CF"/>
    <w:rsid w:val="00616A60"/>
    <w:rsid w:val="00616B05"/>
    <w:rsid w:val="00616B3E"/>
    <w:rsid w:val="00616CDE"/>
    <w:rsid w:val="006173F5"/>
    <w:rsid w:val="006173FE"/>
    <w:rsid w:val="006175BA"/>
    <w:rsid w:val="006175FF"/>
    <w:rsid w:val="006177FB"/>
    <w:rsid w:val="0061784D"/>
    <w:rsid w:val="00617978"/>
    <w:rsid w:val="00617A16"/>
    <w:rsid w:val="00617D5E"/>
    <w:rsid w:val="00617DC4"/>
    <w:rsid w:val="00617E90"/>
    <w:rsid w:val="00620123"/>
    <w:rsid w:val="006201E0"/>
    <w:rsid w:val="00620216"/>
    <w:rsid w:val="00620290"/>
    <w:rsid w:val="00620361"/>
    <w:rsid w:val="0062064D"/>
    <w:rsid w:val="00620689"/>
    <w:rsid w:val="00620762"/>
    <w:rsid w:val="006209A5"/>
    <w:rsid w:val="00620CCA"/>
    <w:rsid w:val="00620E5A"/>
    <w:rsid w:val="006210E1"/>
    <w:rsid w:val="006211B4"/>
    <w:rsid w:val="0062130A"/>
    <w:rsid w:val="006214EC"/>
    <w:rsid w:val="00621640"/>
    <w:rsid w:val="00621682"/>
    <w:rsid w:val="006218A5"/>
    <w:rsid w:val="006219D4"/>
    <w:rsid w:val="00621B7D"/>
    <w:rsid w:val="00621C70"/>
    <w:rsid w:val="00621F35"/>
    <w:rsid w:val="00621F4C"/>
    <w:rsid w:val="00621F50"/>
    <w:rsid w:val="00621F51"/>
    <w:rsid w:val="006223C1"/>
    <w:rsid w:val="006223D1"/>
    <w:rsid w:val="006223D3"/>
    <w:rsid w:val="006225D7"/>
    <w:rsid w:val="0062264E"/>
    <w:rsid w:val="006227FC"/>
    <w:rsid w:val="00622845"/>
    <w:rsid w:val="006228D8"/>
    <w:rsid w:val="00622936"/>
    <w:rsid w:val="00622A9E"/>
    <w:rsid w:val="00622FE0"/>
    <w:rsid w:val="0062302B"/>
    <w:rsid w:val="006231DA"/>
    <w:rsid w:val="006232C2"/>
    <w:rsid w:val="0062346E"/>
    <w:rsid w:val="0062347C"/>
    <w:rsid w:val="00623964"/>
    <w:rsid w:val="00623B82"/>
    <w:rsid w:val="00623B87"/>
    <w:rsid w:val="00623C1F"/>
    <w:rsid w:val="00623D63"/>
    <w:rsid w:val="00624007"/>
    <w:rsid w:val="0062424F"/>
    <w:rsid w:val="0062429F"/>
    <w:rsid w:val="00624346"/>
    <w:rsid w:val="0062440E"/>
    <w:rsid w:val="006246FD"/>
    <w:rsid w:val="00624758"/>
    <w:rsid w:val="0062476A"/>
    <w:rsid w:val="00624A5B"/>
    <w:rsid w:val="00624B8B"/>
    <w:rsid w:val="00624C96"/>
    <w:rsid w:val="00624FD1"/>
    <w:rsid w:val="00624FE8"/>
    <w:rsid w:val="0062515F"/>
    <w:rsid w:val="006256EF"/>
    <w:rsid w:val="0062578A"/>
    <w:rsid w:val="00625A78"/>
    <w:rsid w:val="00625E2D"/>
    <w:rsid w:val="00625E75"/>
    <w:rsid w:val="006260B2"/>
    <w:rsid w:val="00626493"/>
    <w:rsid w:val="006265B7"/>
    <w:rsid w:val="006265BA"/>
    <w:rsid w:val="006268F6"/>
    <w:rsid w:val="00626B1C"/>
    <w:rsid w:val="00626DCC"/>
    <w:rsid w:val="0062730F"/>
    <w:rsid w:val="006275AF"/>
    <w:rsid w:val="006277E8"/>
    <w:rsid w:val="00627856"/>
    <w:rsid w:val="0062798C"/>
    <w:rsid w:val="006279BB"/>
    <w:rsid w:val="00627BBE"/>
    <w:rsid w:val="00627C68"/>
    <w:rsid w:val="00627CF4"/>
    <w:rsid w:val="00627D8E"/>
    <w:rsid w:val="00627EA0"/>
    <w:rsid w:val="00627F2F"/>
    <w:rsid w:val="00627F36"/>
    <w:rsid w:val="00627F4C"/>
    <w:rsid w:val="00630177"/>
    <w:rsid w:val="0063024A"/>
    <w:rsid w:val="006306BC"/>
    <w:rsid w:val="00630800"/>
    <w:rsid w:val="0063084E"/>
    <w:rsid w:val="006309AE"/>
    <w:rsid w:val="00630CF4"/>
    <w:rsid w:val="00630D7A"/>
    <w:rsid w:val="00630EBC"/>
    <w:rsid w:val="00630EC2"/>
    <w:rsid w:val="00630ED8"/>
    <w:rsid w:val="00631175"/>
    <w:rsid w:val="00631200"/>
    <w:rsid w:val="00631232"/>
    <w:rsid w:val="00631525"/>
    <w:rsid w:val="0063162F"/>
    <w:rsid w:val="00631637"/>
    <w:rsid w:val="00631994"/>
    <w:rsid w:val="00631A32"/>
    <w:rsid w:val="00631C03"/>
    <w:rsid w:val="0063209F"/>
    <w:rsid w:val="006320DC"/>
    <w:rsid w:val="00632176"/>
    <w:rsid w:val="006322D7"/>
    <w:rsid w:val="0063262B"/>
    <w:rsid w:val="006326D6"/>
    <w:rsid w:val="00632981"/>
    <w:rsid w:val="00632A19"/>
    <w:rsid w:val="00632ABB"/>
    <w:rsid w:val="00632BA6"/>
    <w:rsid w:val="00632C58"/>
    <w:rsid w:val="00632DAE"/>
    <w:rsid w:val="0063329E"/>
    <w:rsid w:val="0063330C"/>
    <w:rsid w:val="006334EF"/>
    <w:rsid w:val="006334F5"/>
    <w:rsid w:val="0063363F"/>
    <w:rsid w:val="0063371D"/>
    <w:rsid w:val="00633949"/>
    <w:rsid w:val="00633982"/>
    <w:rsid w:val="006339E0"/>
    <w:rsid w:val="00633A7F"/>
    <w:rsid w:val="00633AEF"/>
    <w:rsid w:val="00633D0D"/>
    <w:rsid w:val="00633E5D"/>
    <w:rsid w:val="00634075"/>
    <w:rsid w:val="00634349"/>
    <w:rsid w:val="00634466"/>
    <w:rsid w:val="0063446F"/>
    <w:rsid w:val="006344A0"/>
    <w:rsid w:val="006344B3"/>
    <w:rsid w:val="00634538"/>
    <w:rsid w:val="006345E7"/>
    <w:rsid w:val="006347BD"/>
    <w:rsid w:val="006347FE"/>
    <w:rsid w:val="006348EC"/>
    <w:rsid w:val="00634982"/>
    <w:rsid w:val="00634B74"/>
    <w:rsid w:val="00634B7B"/>
    <w:rsid w:val="00634C09"/>
    <w:rsid w:val="00634D20"/>
    <w:rsid w:val="00634D2C"/>
    <w:rsid w:val="00634DBB"/>
    <w:rsid w:val="006350BD"/>
    <w:rsid w:val="0063510D"/>
    <w:rsid w:val="006351A9"/>
    <w:rsid w:val="0063549D"/>
    <w:rsid w:val="006356A9"/>
    <w:rsid w:val="006357D6"/>
    <w:rsid w:val="006358A8"/>
    <w:rsid w:val="006359D7"/>
    <w:rsid w:val="00635BA1"/>
    <w:rsid w:val="00635C54"/>
    <w:rsid w:val="00635E66"/>
    <w:rsid w:val="00635E6D"/>
    <w:rsid w:val="00635E9A"/>
    <w:rsid w:val="00635EF3"/>
    <w:rsid w:val="00635FAA"/>
    <w:rsid w:val="0063609F"/>
    <w:rsid w:val="00636281"/>
    <w:rsid w:val="006362B9"/>
    <w:rsid w:val="00636486"/>
    <w:rsid w:val="006364FA"/>
    <w:rsid w:val="00636537"/>
    <w:rsid w:val="0063658B"/>
    <w:rsid w:val="00636812"/>
    <w:rsid w:val="00636909"/>
    <w:rsid w:val="006369C6"/>
    <w:rsid w:val="00636C85"/>
    <w:rsid w:val="00636E32"/>
    <w:rsid w:val="00636ECE"/>
    <w:rsid w:val="00636F73"/>
    <w:rsid w:val="00636F75"/>
    <w:rsid w:val="00637620"/>
    <w:rsid w:val="0063769B"/>
    <w:rsid w:val="006376DF"/>
    <w:rsid w:val="00637981"/>
    <w:rsid w:val="00637BE9"/>
    <w:rsid w:val="00637CCF"/>
    <w:rsid w:val="00637D37"/>
    <w:rsid w:val="00637EAB"/>
    <w:rsid w:val="00637EF0"/>
    <w:rsid w:val="00637FD4"/>
    <w:rsid w:val="00637FDA"/>
    <w:rsid w:val="006400FE"/>
    <w:rsid w:val="006402C7"/>
    <w:rsid w:val="006403DF"/>
    <w:rsid w:val="0064043B"/>
    <w:rsid w:val="0064043F"/>
    <w:rsid w:val="00640576"/>
    <w:rsid w:val="00640777"/>
    <w:rsid w:val="0064077E"/>
    <w:rsid w:val="006407D9"/>
    <w:rsid w:val="006408C1"/>
    <w:rsid w:val="006408FC"/>
    <w:rsid w:val="00640ADB"/>
    <w:rsid w:val="00640AE5"/>
    <w:rsid w:val="00640CF0"/>
    <w:rsid w:val="00640D02"/>
    <w:rsid w:val="00640D29"/>
    <w:rsid w:val="00640E84"/>
    <w:rsid w:val="00640F85"/>
    <w:rsid w:val="00641062"/>
    <w:rsid w:val="0064117A"/>
    <w:rsid w:val="0064125C"/>
    <w:rsid w:val="00641402"/>
    <w:rsid w:val="0064146A"/>
    <w:rsid w:val="00641682"/>
    <w:rsid w:val="006416F1"/>
    <w:rsid w:val="00641734"/>
    <w:rsid w:val="00641796"/>
    <w:rsid w:val="006418E1"/>
    <w:rsid w:val="00641B68"/>
    <w:rsid w:val="00641B69"/>
    <w:rsid w:val="00641BAF"/>
    <w:rsid w:val="00641E5E"/>
    <w:rsid w:val="00641E68"/>
    <w:rsid w:val="006422C7"/>
    <w:rsid w:val="006424E9"/>
    <w:rsid w:val="006425F3"/>
    <w:rsid w:val="00642644"/>
    <w:rsid w:val="00642682"/>
    <w:rsid w:val="006426F6"/>
    <w:rsid w:val="0064272E"/>
    <w:rsid w:val="00642B13"/>
    <w:rsid w:val="00643019"/>
    <w:rsid w:val="006430DB"/>
    <w:rsid w:val="00643195"/>
    <w:rsid w:val="006431CA"/>
    <w:rsid w:val="0064321B"/>
    <w:rsid w:val="006433D6"/>
    <w:rsid w:val="006436A2"/>
    <w:rsid w:val="00643769"/>
    <w:rsid w:val="00643FE7"/>
    <w:rsid w:val="00644125"/>
    <w:rsid w:val="0064418C"/>
    <w:rsid w:val="00644383"/>
    <w:rsid w:val="0064438A"/>
    <w:rsid w:val="006443AE"/>
    <w:rsid w:val="006443E9"/>
    <w:rsid w:val="00644496"/>
    <w:rsid w:val="006444A6"/>
    <w:rsid w:val="006446C0"/>
    <w:rsid w:val="006447EA"/>
    <w:rsid w:val="00644AB6"/>
    <w:rsid w:val="00644BF0"/>
    <w:rsid w:val="00644CB1"/>
    <w:rsid w:val="00644F7C"/>
    <w:rsid w:val="0064513C"/>
    <w:rsid w:val="0064541B"/>
    <w:rsid w:val="006456BF"/>
    <w:rsid w:val="00645811"/>
    <w:rsid w:val="00645987"/>
    <w:rsid w:val="00645A3B"/>
    <w:rsid w:val="00645AB8"/>
    <w:rsid w:val="00645D53"/>
    <w:rsid w:val="00645D56"/>
    <w:rsid w:val="006461DA"/>
    <w:rsid w:val="006463DB"/>
    <w:rsid w:val="00646510"/>
    <w:rsid w:val="006466BD"/>
    <w:rsid w:val="00646721"/>
    <w:rsid w:val="0064679B"/>
    <w:rsid w:val="00646802"/>
    <w:rsid w:val="00646B37"/>
    <w:rsid w:val="00646B9B"/>
    <w:rsid w:val="00646BC5"/>
    <w:rsid w:val="00646BEB"/>
    <w:rsid w:val="00646C47"/>
    <w:rsid w:val="00646F3C"/>
    <w:rsid w:val="00646FDB"/>
    <w:rsid w:val="006474E5"/>
    <w:rsid w:val="00647783"/>
    <w:rsid w:val="006478EC"/>
    <w:rsid w:val="00647C42"/>
    <w:rsid w:val="00647C5A"/>
    <w:rsid w:val="00647D33"/>
    <w:rsid w:val="00647F83"/>
    <w:rsid w:val="00647F90"/>
    <w:rsid w:val="006502B7"/>
    <w:rsid w:val="006503A6"/>
    <w:rsid w:val="00650416"/>
    <w:rsid w:val="0065052C"/>
    <w:rsid w:val="006507DA"/>
    <w:rsid w:val="00650933"/>
    <w:rsid w:val="00650A52"/>
    <w:rsid w:val="00650AE8"/>
    <w:rsid w:val="00650E45"/>
    <w:rsid w:val="00650EB2"/>
    <w:rsid w:val="00650F68"/>
    <w:rsid w:val="006512D8"/>
    <w:rsid w:val="00651617"/>
    <w:rsid w:val="00651712"/>
    <w:rsid w:val="0065172F"/>
    <w:rsid w:val="00651750"/>
    <w:rsid w:val="0065175B"/>
    <w:rsid w:val="006518AC"/>
    <w:rsid w:val="006518D5"/>
    <w:rsid w:val="00651963"/>
    <w:rsid w:val="00651A1D"/>
    <w:rsid w:val="00651DC6"/>
    <w:rsid w:val="00651EA0"/>
    <w:rsid w:val="00652087"/>
    <w:rsid w:val="0065236B"/>
    <w:rsid w:val="00652456"/>
    <w:rsid w:val="00652602"/>
    <w:rsid w:val="006528F0"/>
    <w:rsid w:val="0065298F"/>
    <w:rsid w:val="006529C1"/>
    <w:rsid w:val="00652A60"/>
    <w:rsid w:val="00652F48"/>
    <w:rsid w:val="006530A3"/>
    <w:rsid w:val="00653315"/>
    <w:rsid w:val="006533FF"/>
    <w:rsid w:val="0065384A"/>
    <w:rsid w:val="0065384B"/>
    <w:rsid w:val="00653C99"/>
    <w:rsid w:val="0065405E"/>
    <w:rsid w:val="006540B0"/>
    <w:rsid w:val="0065431D"/>
    <w:rsid w:val="00654349"/>
    <w:rsid w:val="00654376"/>
    <w:rsid w:val="006545A5"/>
    <w:rsid w:val="00654655"/>
    <w:rsid w:val="006546C2"/>
    <w:rsid w:val="0065482B"/>
    <w:rsid w:val="006548AD"/>
    <w:rsid w:val="00654C24"/>
    <w:rsid w:val="00654DEA"/>
    <w:rsid w:val="00655285"/>
    <w:rsid w:val="00655342"/>
    <w:rsid w:val="00655396"/>
    <w:rsid w:val="006554D9"/>
    <w:rsid w:val="0065560F"/>
    <w:rsid w:val="0065591E"/>
    <w:rsid w:val="00655B22"/>
    <w:rsid w:val="00655DFC"/>
    <w:rsid w:val="00655E26"/>
    <w:rsid w:val="00655F83"/>
    <w:rsid w:val="00655FB4"/>
    <w:rsid w:val="006560D2"/>
    <w:rsid w:val="00656208"/>
    <w:rsid w:val="00656219"/>
    <w:rsid w:val="00656415"/>
    <w:rsid w:val="00656462"/>
    <w:rsid w:val="0065664D"/>
    <w:rsid w:val="0065673A"/>
    <w:rsid w:val="006568AB"/>
    <w:rsid w:val="00656A29"/>
    <w:rsid w:val="00656E14"/>
    <w:rsid w:val="006571F8"/>
    <w:rsid w:val="006572EA"/>
    <w:rsid w:val="006573CB"/>
    <w:rsid w:val="0065765A"/>
    <w:rsid w:val="006578C6"/>
    <w:rsid w:val="00657B51"/>
    <w:rsid w:val="00657FD2"/>
    <w:rsid w:val="00660039"/>
    <w:rsid w:val="006600C7"/>
    <w:rsid w:val="00660134"/>
    <w:rsid w:val="00660356"/>
    <w:rsid w:val="0066079E"/>
    <w:rsid w:val="0066091A"/>
    <w:rsid w:val="00660A9B"/>
    <w:rsid w:val="00660DBF"/>
    <w:rsid w:val="00660E7C"/>
    <w:rsid w:val="00660E7D"/>
    <w:rsid w:val="00660E8A"/>
    <w:rsid w:val="00660F60"/>
    <w:rsid w:val="0066107D"/>
    <w:rsid w:val="006614A7"/>
    <w:rsid w:val="0066164E"/>
    <w:rsid w:val="006619A9"/>
    <w:rsid w:val="00661A3D"/>
    <w:rsid w:val="00661CE6"/>
    <w:rsid w:val="00661DD0"/>
    <w:rsid w:val="006620FA"/>
    <w:rsid w:val="006621F0"/>
    <w:rsid w:val="006622F0"/>
    <w:rsid w:val="006626A2"/>
    <w:rsid w:val="0066299F"/>
    <w:rsid w:val="006629C7"/>
    <w:rsid w:val="00662A59"/>
    <w:rsid w:val="00662A61"/>
    <w:rsid w:val="00662AD2"/>
    <w:rsid w:val="00662B76"/>
    <w:rsid w:val="00662C8B"/>
    <w:rsid w:val="00662F4E"/>
    <w:rsid w:val="006634C0"/>
    <w:rsid w:val="0066357F"/>
    <w:rsid w:val="00663829"/>
    <w:rsid w:val="006638BA"/>
    <w:rsid w:val="00663C25"/>
    <w:rsid w:val="00663DBA"/>
    <w:rsid w:val="00663F9C"/>
    <w:rsid w:val="0066434E"/>
    <w:rsid w:val="006644E5"/>
    <w:rsid w:val="00664573"/>
    <w:rsid w:val="0066458F"/>
    <w:rsid w:val="006647D8"/>
    <w:rsid w:val="00664834"/>
    <w:rsid w:val="0066493C"/>
    <w:rsid w:val="006649BC"/>
    <w:rsid w:val="006649D7"/>
    <w:rsid w:val="00664A1A"/>
    <w:rsid w:val="00664AAB"/>
    <w:rsid w:val="00664B50"/>
    <w:rsid w:val="00664CBF"/>
    <w:rsid w:val="00664E2E"/>
    <w:rsid w:val="0066501E"/>
    <w:rsid w:val="006651D1"/>
    <w:rsid w:val="00665201"/>
    <w:rsid w:val="006654D3"/>
    <w:rsid w:val="0066563D"/>
    <w:rsid w:val="00665825"/>
    <w:rsid w:val="00665AD2"/>
    <w:rsid w:val="00665B87"/>
    <w:rsid w:val="00665BC3"/>
    <w:rsid w:val="00665C62"/>
    <w:rsid w:val="00665DAD"/>
    <w:rsid w:val="00665DF6"/>
    <w:rsid w:val="00665F24"/>
    <w:rsid w:val="00666087"/>
    <w:rsid w:val="00666198"/>
    <w:rsid w:val="0066623B"/>
    <w:rsid w:val="0066650A"/>
    <w:rsid w:val="00666715"/>
    <w:rsid w:val="00666855"/>
    <w:rsid w:val="0066692C"/>
    <w:rsid w:val="00666DF9"/>
    <w:rsid w:val="00667252"/>
    <w:rsid w:val="00667257"/>
    <w:rsid w:val="006672F8"/>
    <w:rsid w:val="00667380"/>
    <w:rsid w:val="006673E7"/>
    <w:rsid w:val="00667408"/>
    <w:rsid w:val="006674D3"/>
    <w:rsid w:val="006674F2"/>
    <w:rsid w:val="00667753"/>
    <w:rsid w:val="00667849"/>
    <w:rsid w:val="00667A29"/>
    <w:rsid w:val="00667A73"/>
    <w:rsid w:val="00667BBB"/>
    <w:rsid w:val="00667C07"/>
    <w:rsid w:val="00667C92"/>
    <w:rsid w:val="00667E30"/>
    <w:rsid w:val="006701C6"/>
    <w:rsid w:val="0067022C"/>
    <w:rsid w:val="00670394"/>
    <w:rsid w:val="006703FC"/>
    <w:rsid w:val="006705B7"/>
    <w:rsid w:val="006706C4"/>
    <w:rsid w:val="0067071E"/>
    <w:rsid w:val="0067081E"/>
    <w:rsid w:val="00670847"/>
    <w:rsid w:val="00670A8C"/>
    <w:rsid w:val="00670C9F"/>
    <w:rsid w:val="00670EEC"/>
    <w:rsid w:val="00670FA2"/>
    <w:rsid w:val="0067131A"/>
    <w:rsid w:val="00671349"/>
    <w:rsid w:val="006716CE"/>
    <w:rsid w:val="00671AF5"/>
    <w:rsid w:val="00671C8B"/>
    <w:rsid w:val="00671D50"/>
    <w:rsid w:val="00671D58"/>
    <w:rsid w:val="00672078"/>
    <w:rsid w:val="00672306"/>
    <w:rsid w:val="0067251C"/>
    <w:rsid w:val="0067260C"/>
    <w:rsid w:val="006726FD"/>
    <w:rsid w:val="0067277E"/>
    <w:rsid w:val="00672BF3"/>
    <w:rsid w:val="00672CE1"/>
    <w:rsid w:val="00672F3C"/>
    <w:rsid w:val="00673024"/>
    <w:rsid w:val="006732EB"/>
    <w:rsid w:val="006734F8"/>
    <w:rsid w:val="0067370B"/>
    <w:rsid w:val="0067379D"/>
    <w:rsid w:val="00673924"/>
    <w:rsid w:val="00673A75"/>
    <w:rsid w:val="00673B29"/>
    <w:rsid w:val="00673F5C"/>
    <w:rsid w:val="006740E2"/>
    <w:rsid w:val="00674137"/>
    <w:rsid w:val="0067436C"/>
    <w:rsid w:val="00674ABD"/>
    <w:rsid w:val="00674B24"/>
    <w:rsid w:val="00674C6E"/>
    <w:rsid w:val="006753A5"/>
    <w:rsid w:val="0067552A"/>
    <w:rsid w:val="006755FE"/>
    <w:rsid w:val="006756C2"/>
    <w:rsid w:val="00675A92"/>
    <w:rsid w:val="00675B5D"/>
    <w:rsid w:val="00675BA4"/>
    <w:rsid w:val="00675CC5"/>
    <w:rsid w:val="00675CE2"/>
    <w:rsid w:val="00675DAF"/>
    <w:rsid w:val="00675E44"/>
    <w:rsid w:val="00676153"/>
    <w:rsid w:val="00676182"/>
    <w:rsid w:val="00676333"/>
    <w:rsid w:val="00676350"/>
    <w:rsid w:val="006763A6"/>
    <w:rsid w:val="0067651C"/>
    <w:rsid w:val="00676565"/>
    <w:rsid w:val="0067686E"/>
    <w:rsid w:val="00676B0A"/>
    <w:rsid w:val="00676C26"/>
    <w:rsid w:val="00676DD9"/>
    <w:rsid w:val="0067704C"/>
    <w:rsid w:val="00677099"/>
    <w:rsid w:val="0067709F"/>
    <w:rsid w:val="00677109"/>
    <w:rsid w:val="0067716B"/>
    <w:rsid w:val="006771E1"/>
    <w:rsid w:val="0067726E"/>
    <w:rsid w:val="006772A2"/>
    <w:rsid w:val="006773DE"/>
    <w:rsid w:val="006773E1"/>
    <w:rsid w:val="0067769A"/>
    <w:rsid w:val="0067770F"/>
    <w:rsid w:val="0067785E"/>
    <w:rsid w:val="0067796B"/>
    <w:rsid w:val="00677A10"/>
    <w:rsid w:val="00677A7F"/>
    <w:rsid w:val="00677BF4"/>
    <w:rsid w:val="00677CA8"/>
    <w:rsid w:val="00677CF7"/>
    <w:rsid w:val="00677D08"/>
    <w:rsid w:val="0068027C"/>
    <w:rsid w:val="006804B0"/>
    <w:rsid w:val="006804CE"/>
    <w:rsid w:val="0068050B"/>
    <w:rsid w:val="00680596"/>
    <w:rsid w:val="006805C2"/>
    <w:rsid w:val="006806C4"/>
    <w:rsid w:val="006808E2"/>
    <w:rsid w:val="00680943"/>
    <w:rsid w:val="006809AF"/>
    <w:rsid w:val="00680B65"/>
    <w:rsid w:val="00680BDE"/>
    <w:rsid w:val="00680C05"/>
    <w:rsid w:val="00680EB2"/>
    <w:rsid w:val="00680FE5"/>
    <w:rsid w:val="0068110A"/>
    <w:rsid w:val="0068136F"/>
    <w:rsid w:val="0068139D"/>
    <w:rsid w:val="006813F7"/>
    <w:rsid w:val="00681464"/>
    <w:rsid w:val="0068165E"/>
    <w:rsid w:val="00681803"/>
    <w:rsid w:val="00681948"/>
    <w:rsid w:val="0068199B"/>
    <w:rsid w:val="00681A25"/>
    <w:rsid w:val="00681A4B"/>
    <w:rsid w:val="00681A55"/>
    <w:rsid w:val="00681A9D"/>
    <w:rsid w:val="00681BE5"/>
    <w:rsid w:val="00681D19"/>
    <w:rsid w:val="00681DCD"/>
    <w:rsid w:val="00681DDE"/>
    <w:rsid w:val="00681F85"/>
    <w:rsid w:val="00682527"/>
    <w:rsid w:val="00682CA0"/>
    <w:rsid w:val="00682CF3"/>
    <w:rsid w:val="00682D3B"/>
    <w:rsid w:val="00682D76"/>
    <w:rsid w:val="00682DD2"/>
    <w:rsid w:val="00682ED5"/>
    <w:rsid w:val="00682FD6"/>
    <w:rsid w:val="00683000"/>
    <w:rsid w:val="00683030"/>
    <w:rsid w:val="0068304B"/>
    <w:rsid w:val="0068310E"/>
    <w:rsid w:val="006834E7"/>
    <w:rsid w:val="006836B3"/>
    <w:rsid w:val="006837DC"/>
    <w:rsid w:val="00683928"/>
    <w:rsid w:val="00683A00"/>
    <w:rsid w:val="00683AE8"/>
    <w:rsid w:val="00683B43"/>
    <w:rsid w:val="00683B72"/>
    <w:rsid w:val="00683BA8"/>
    <w:rsid w:val="00683D68"/>
    <w:rsid w:val="00683EDD"/>
    <w:rsid w:val="00683F2A"/>
    <w:rsid w:val="00683F60"/>
    <w:rsid w:val="00684033"/>
    <w:rsid w:val="00684091"/>
    <w:rsid w:val="006840B0"/>
    <w:rsid w:val="006840D7"/>
    <w:rsid w:val="006842B9"/>
    <w:rsid w:val="00684422"/>
    <w:rsid w:val="0068462D"/>
    <w:rsid w:val="006847DF"/>
    <w:rsid w:val="00684B26"/>
    <w:rsid w:val="00684D9A"/>
    <w:rsid w:val="00684F2D"/>
    <w:rsid w:val="0068518E"/>
    <w:rsid w:val="006851B7"/>
    <w:rsid w:val="0068527A"/>
    <w:rsid w:val="006854FC"/>
    <w:rsid w:val="00685622"/>
    <w:rsid w:val="00685740"/>
    <w:rsid w:val="00685785"/>
    <w:rsid w:val="006857DD"/>
    <w:rsid w:val="00685810"/>
    <w:rsid w:val="006858C8"/>
    <w:rsid w:val="006858EC"/>
    <w:rsid w:val="00685983"/>
    <w:rsid w:val="0068598B"/>
    <w:rsid w:val="006859C7"/>
    <w:rsid w:val="00685A76"/>
    <w:rsid w:val="00685AFD"/>
    <w:rsid w:val="00685BDD"/>
    <w:rsid w:val="00685CB6"/>
    <w:rsid w:val="00685D93"/>
    <w:rsid w:val="00685E56"/>
    <w:rsid w:val="00685F2B"/>
    <w:rsid w:val="00685F7C"/>
    <w:rsid w:val="00685F98"/>
    <w:rsid w:val="00685FE8"/>
    <w:rsid w:val="00686302"/>
    <w:rsid w:val="006863C4"/>
    <w:rsid w:val="0068688A"/>
    <w:rsid w:val="00686966"/>
    <w:rsid w:val="006869CB"/>
    <w:rsid w:val="00686C42"/>
    <w:rsid w:val="00686C9F"/>
    <w:rsid w:val="00686E6A"/>
    <w:rsid w:val="00686E80"/>
    <w:rsid w:val="0068708F"/>
    <w:rsid w:val="006876A0"/>
    <w:rsid w:val="0068779F"/>
    <w:rsid w:val="00687A2B"/>
    <w:rsid w:val="00687BC1"/>
    <w:rsid w:val="00687BDC"/>
    <w:rsid w:val="00687FDC"/>
    <w:rsid w:val="00687FEC"/>
    <w:rsid w:val="0069008C"/>
    <w:rsid w:val="006900E7"/>
    <w:rsid w:val="006902E6"/>
    <w:rsid w:val="006904C4"/>
    <w:rsid w:val="0069075A"/>
    <w:rsid w:val="0069076A"/>
    <w:rsid w:val="0069094A"/>
    <w:rsid w:val="0069098C"/>
    <w:rsid w:val="0069098F"/>
    <w:rsid w:val="00690ABA"/>
    <w:rsid w:val="00690C7F"/>
    <w:rsid w:val="00690CDE"/>
    <w:rsid w:val="00690D43"/>
    <w:rsid w:val="00690D53"/>
    <w:rsid w:val="00690DAA"/>
    <w:rsid w:val="00690E50"/>
    <w:rsid w:val="00690FCC"/>
    <w:rsid w:val="0069120D"/>
    <w:rsid w:val="006913B1"/>
    <w:rsid w:val="006913DD"/>
    <w:rsid w:val="006916AB"/>
    <w:rsid w:val="00691763"/>
    <w:rsid w:val="00691B37"/>
    <w:rsid w:val="0069200A"/>
    <w:rsid w:val="00692443"/>
    <w:rsid w:val="00692469"/>
    <w:rsid w:val="00692496"/>
    <w:rsid w:val="006928FD"/>
    <w:rsid w:val="00692AAB"/>
    <w:rsid w:val="00692ACA"/>
    <w:rsid w:val="00692B10"/>
    <w:rsid w:val="00692D5B"/>
    <w:rsid w:val="00693307"/>
    <w:rsid w:val="006934C5"/>
    <w:rsid w:val="00693543"/>
    <w:rsid w:val="00693568"/>
    <w:rsid w:val="006937A4"/>
    <w:rsid w:val="006937C3"/>
    <w:rsid w:val="00693B69"/>
    <w:rsid w:val="00693C3B"/>
    <w:rsid w:val="00693EEC"/>
    <w:rsid w:val="00693FA3"/>
    <w:rsid w:val="00694140"/>
    <w:rsid w:val="006941DF"/>
    <w:rsid w:val="00694253"/>
    <w:rsid w:val="006942DC"/>
    <w:rsid w:val="0069459B"/>
    <w:rsid w:val="006948C1"/>
    <w:rsid w:val="006948E3"/>
    <w:rsid w:val="00694BAF"/>
    <w:rsid w:val="00694BDE"/>
    <w:rsid w:val="00694C00"/>
    <w:rsid w:val="00694CBD"/>
    <w:rsid w:val="00694CC6"/>
    <w:rsid w:val="00694E9B"/>
    <w:rsid w:val="0069516C"/>
    <w:rsid w:val="00695313"/>
    <w:rsid w:val="0069535B"/>
    <w:rsid w:val="006953D3"/>
    <w:rsid w:val="0069570B"/>
    <w:rsid w:val="006959D4"/>
    <w:rsid w:val="006959D5"/>
    <w:rsid w:val="00695AB2"/>
    <w:rsid w:val="00695B05"/>
    <w:rsid w:val="00695DB2"/>
    <w:rsid w:val="00695F67"/>
    <w:rsid w:val="006962CA"/>
    <w:rsid w:val="006964D3"/>
    <w:rsid w:val="00696580"/>
    <w:rsid w:val="00696718"/>
    <w:rsid w:val="00696E11"/>
    <w:rsid w:val="00696F87"/>
    <w:rsid w:val="00696FB6"/>
    <w:rsid w:val="00697324"/>
    <w:rsid w:val="006975DC"/>
    <w:rsid w:val="0069761A"/>
    <w:rsid w:val="00697652"/>
    <w:rsid w:val="006976B9"/>
    <w:rsid w:val="006976D1"/>
    <w:rsid w:val="00697789"/>
    <w:rsid w:val="00697830"/>
    <w:rsid w:val="006978BD"/>
    <w:rsid w:val="006978C0"/>
    <w:rsid w:val="006978DC"/>
    <w:rsid w:val="00697949"/>
    <w:rsid w:val="00697994"/>
    <w:rsid w:val="006979AE"/>
    <w:rsid w:val="00697BDA"/>
    <w:rsid w:val="00697C65"/>
    <w:rsid w:val="00697D8D"/>
    <w:rsid w:val="00697DCF"/>
    <w:rsid w:val="00697E7D"/>
    <w:rsid w:val="00697EFD"/>
    <w:rsid w:val="006A0030"/>
    <w:rsid w:val="006A01B9"/>
    <w:rsid w:val="006A046E"/>
    <w:rsid w:val="006A070C"/>
    <w:rsid w:val="006A0772"/>
    <w:rsid w:val="006A08E2"/>
    <w:rsid w:val="006A096E"/>
    <w:rsid w:val="006A09E5"/>
    <w:rsid w:val="006A0B34"/>
    <w:rsid w:val="006A0B66"/>
    <w:rsid w:val="006A0B97"/>
    <w:rsid w:val="006A0BD3"/>
    <w:rsid w:val="006A0F87"/>
    <w:rsid w:val="006A1463"/>
    <w:rsid w:val="006A14D3"/>
    <w:rsid w:val="006A14D9"/>
    <w:rsid w:val="006A1620"/>
    <w:rsid w:val="006A1867"/>
    <w:rsid w:val="006A1898"/>
    <w:rsid w:val="006A18C4"/>
    <w:rsid w:val="006A1999"/>
    <w:rsid w:val="006A1A34"/>
    <w:rsid w:val="006A1B9E"/>
    <w:rsid w:val="006A1D79"/>
    <w:rsid w:val="006A1DFF"/>
    <w:rsid w:val="006A1E39"/>
    <w:rsid w:val="006A2163"/>
    <w:rsid w:val="006A21A5"/>
    <w:rsid w:val="006A21C4"/>
    <w:rsid w:val="006A22A1"/>
    <w:rsid w:val="006A26AF"/>
    <w:rsid w:val="006A2875"/>
    <w:rsid w:val="006A29E6"/>
    <w:rsid w:val="006A2A49"/>
    <w:rsid w:val="006A2DB6"/>
    <w:rsid w:val="006A2E45"/>
    <w:rsid w:val="006A2F71"/>
    <w:rsid w:val="006A323C"/>
    <w:rsid w:val="006A3336"/>
    <w:rsid w:val="006A337A"/>
    <w:rsid w:val="006A3427"/>
    <w:rsid w:val="006A3602"/>
    <w:rsid w:val="006A36DB"/>
    <w:rsid w:val="006A372C"/>
    <w:rsid w:val="006A3D67"/>
    <w:rsid w:val="006A3DCB"/>
    <w:rsid w:val="006A3E0E"/>
    <w:rsid w:val="006A3F94"/>
    <w:rsid w:val="006A3F9E"/>
    <w:rsid w:val="006A40DC"/>
    <w:rsid w:val="006A418F"/>
    <w:rsid w:val="006A4212"/>
    <w:rsid w:val="006A43AB"/>
    <w:rsid w:val="006A454C"/>
    <w:rsid w:val="006A4580"/>
    <w:rsid w:val="006A4769"/>
    <w:rsid w:val="006A47EE"/>
    <w:rsid w:val="006A4823"/>
    <w:rsid w:val="006A4B5A"/>
    <w:rsid w:val="006A4B79"/>
    <w:rsid w:val="006A4BBE"/>
    <w:rsid w:val="006A4D0C"/>
    <w:rsid w:val="006A4DF9"/>
    <w:rsid w:val="006A4FA0"/>
    <w:rsid w:val="006A5098"/>
    <w:rsid w:val="006A519B"/>
    <w:rsid w:val="006A523D"/>
    <w:rsid w:val="006A5321"/>
    <w:rsid w:val="006A5337"/>
    <w:rsid w:val="006A534D"/>
    <w:rsid w:val="006A54BA"/>
    <w:rsid w:val="006A54DA"/>
    <w:rsid w:val="006A5569"/>
    <w:rsid w:val="006A556C"/>
    <w:rsid w:val="006A5665"/>
    <w:rsid w:val="006A581B"/>
    <w:rsid w:val="006A5872"/>
    <w:rsid w:val="006A5C71"/>
    <w:rsid w:val="006A5CC9"/>
    <w:rsid w:val="006A5E3C"/>
    <w:rsid w:val="006A5E77"/>
    <w:rsid w:val="006A5EB1"/>
    <w:rsid w:val="006A5F35"/>
    <w:rsid w:val="006A5FE8"/>
    <w:rsid w:val="006A60BD"/>
    <w:rsid w:val="006A6391"/>
    <w:rsid w:val="006A63A5"/>
    <w:rsid w:val="006A6A06"/>
    <w:rsid w:val="006A6F1F"/>
    <w:rsid w:val="006A74FC"/>
    <w:rsid w:val="006A75C6"/>
    <w:rsid w:val="006A7657"/>
    <w:rsid w:val="006A76F4"/>
    <w:rsid w:val="006A77D5"/>
    <w:rsid w:val="006A7845"/>
    <w:rsid w:val="006A7BDA"/>
    <w:rsid w:val="006A7C99"/>
    <w:rsid w:val="006A7D8D"/>
    <w:rsid w:val="006A7DEF"/>
    <w:rsid w:val="006B0069"/>
    <w:rsid w:val="006B00EF"/>
    <w:rsid w:val="006B03FA"/>
    <w:rsid w:val="006B08A5"/>
    <w:rsid w:val="006B09D0"/>
    <w:rsid w:val="006B0AF9"/>
    <w:rsid w:val="006B0E29"/>
    <w:rsid w:val="006B124A"/>
    <w:rsid w:val="006B12E8"/>
    <w:rsid w:val="006B1471"/>
    <w:rsid w:val="006B1663"/>
    <w:rsid w:val="006B173F"/>
    <w:rsid w:val="006B177E"/>
    <w:rsid w:val="006B18F1"/>
    <w:rsid w:val="006B19A8"/>
    <w:rsid w:val="006B1A1F"/>
    <w:rsid w:val="006B1A6C"/>
    <w:rsid w:val="006B1C78"/>
    <w:rsid w:val="006B1D56"/>
    <w:rsid w:val="006B2018"/>
    <w:rsid w:val="006B2127"/>
    <w:rsid w:val="006B226C"/>
    <w:rsid w:val="006B228B"/>
    <w:rsid w:val="006B2624"/>
    <w:rsid w:val="006B26A9"/>
    <w:rsid w:val="006B278A"/>
    <w:rsid w:val="006B2833"/>
    <w:rsid w:val="006B298E"/>
    <w:rsid w:val="006B2B47"/>
    <w:rsid w:val="006B2B6E"/>
    <w:rsid w:val="006B2B9C"/>
    <w:rsid w:val="006B2CA2"/>
    <w:rsid w:val="006B2E85"/>
    <w:rsid w:val="006B2EE4"/>
    <w:rsid w:val="006B324A"/>
    <w:rsid w:val="006B3369"/>
    <w:rsid w:val="006B336E"/>
    <w:rsid w:val="006B3390"/>
    <w:rsid w:val="006B3454"/>
    <w:rsid w:val="006B3637"/>
    <w:rsid w:val="006B3825"/>
    <w:rsid w:val="006B3A46"/>
    <w:rsid w:val="006B3A4A"/>
    <w:rsid w:val="006B3B9A"/>
    <w:rsid w:val="006B40E0"/>
    <w:rsid w:val="006B4293"/>
    <w:rsid w:val="006B43A1"/>
    <w:rsid w:val="006B43A7"/>
    <w:rsid w:val="006B4441"/>
    <w:rsid w:val="006B4606"/>
    <w:rsid w:val="006B462B"/>
    <w:rsid w:val="006B4720"/>
    <w:rsid w:val="006B475D"/>
    <w:rsid w:val="006B48E2"/>
    <w:rsid w:val="006B4965"/>
    <w:rsid w:val="006B49B6"/>
    <w:rsid w:val="006B4B7B"/>
    <w:rsid w:val="006B4CAA"/>
    <w:rsid w:val="006B4CE4"/>
    <w:rsid w:val="006B4D5A"/>
    <w:rsid w:val="006B4EFF"/>
    <w:rsid w:val="006B4FEF"/>
    <w:rsid w:val="006B525E"/>
    <w:rsid w:val="006B52F2"/>
    <w:rsid w:val="006B534C"/>
    <w:rsid w:val="006B544B"/>
    <w:rsid w:val="006B5522"/>
    <w:rsid w:val="006B5571"/>
    <w:rsid w:val="006B560B"/>
    <w:rsid w:val="006B562F"/>
    <w:rsid w:val="006B572E"/>
    <w:rsid w:val="006B5A26"/>
    <w:rsid w:val="006B5B9C"/>
    <w:rsid w:val="006B5CEA"/>
    <w:rsid w:val="006B5DA8"/>
    <w:rsid w:val="006B5F97"/>
    <w:rsid w:val="006B5FAA"/>
    <w:rsid w:val="006B605B"/>
    <w:rsid w:val="006B60E5"/>
    <w:rsid w:val="006B628E"/>
    <w:rsid w:val="006B64BB"/>
    <w:rsid w:val="006B691D"/>
    <w:rsid w:val="006B6CD2"/>
    <w:rsid w:val="006B6CE1"/>
    <w:rsid w:val="006B75A2"/>
    <w:rsid w:val="006B761D"/>
    <w:rsid w:val="006B764F"/>
    <w:rsid w:val="006B778C"/>
    <w:rsid w:val="006B781E"/>
    <w:rsid w:val="006B7917"/>
    <w:rsid w:val="006B79DC"/>
    <w:rsid w:val="006B7BA4"/>
    <w:rsid w:val="006B7BB5"/>
    <w:rsid w:val="006B7C76"/>
    <w:rsid w:val="006B7F47"/>
    <w:rsid w:val="006C0390"/>
    <w:rsid w:val="006C0487"/>
    <w:rsid w:val="006C0525"/>
    <w:rsid w:val="006C0841"/>
    <w:rsid w:val="006C0BA7"/>
    <w:rsid w:val="006C0BFC"/>
    <w:rsid w:val="006C0D28"/>
    <w:rsid w:val="006C0EE1"/>
    <w:rsid w:val="006C0F9A"/>
    <w:rsid w:val="006C0FDF"/>
    <w:rsid w:val="006C1016"/>
    <w:rsid w:val="006C10F8"/>
    <w:rsid w:val="006C14AB"/>
    <w:rsid w:val="006C14CA"/>
    <w:rsid w:val="006C159A"/>
    <w:rsid w:val="006C1741"/>
    <w:rsid w:val="006C178D"/>
    <w:rsid w:val="006C18CF"/>
    <w:rsid w:val="006C1ABD"/>
    <w:rsid w:val="006C1B62"/>
    <w:rsid w:val="006C1B83"/>
    <w:rsid w:val="006C1C84"/>
    <w:rsid w:val="006C1E08"/>
    <w:rsid w:val="006C1E1A"/>
    <w:rsid w:val="006C1EB8"/>
    <w:rsid w:val="006C1F99"/>
    <w:rsid w:val="006C200E"/>
    <w:rsid w:val="006C22C8"/>
    <w:rsid w:val="006C2562"/>
    <w:rsid w:val="006C25EC"/>
    <w:rsid w:val="006C2609"/>
    <w:rsid w:val="006C277B"/>
    <w:rsid w:val="006C291E"/>
    <w:rsid w:val="006C2A92"/>
    <w:rsid w:val="006C2C04"/>
    <w:rsid w:val="006C2CEB"/>
    <w:rsid w:val="006C2DFF"/>
    <w:rsid w:val="006C2EDC"/>
    <w:rsid w:val="006C2F07"/>
    <w:rsid w:val="006C2F5E"/>
    <w:rsid w:val="006C2FF5"/>
    <w:rsid w:val="006C30AE"/>
    <w:rsid w:val="006C3388"/>
    <w:rsid w:val="006C33AE"/>
    <w:rsid w:val="006C3425"/>
    <w:rsid w:val="006C3428"/>
    <w:rsid w:val="006C36B5"/>
    <w:rsid w:val="006C36ED"/>
    <w:rsid w:val="006C3798"/>
    <w:rsid w:val="006C383B"/>
    <w:rsid w:val="006C3856"/>
    <w:rsid w:val="006C3CA7"/>
    <w:rsid w:val="006C3CF2"/>
    <w:rsid w:val="006C3F7E"/>
    <w:rsid w:val="006C3FF1"/>
    <w:rsid w:val="006C4035"/>
    <w:rsid w:val="006C4047"/>
    <w:rsid w:val="006C40A7"/>
    <w:rsid w:val="006C42C6"/>
    <w:rsid w:val="006C4572"/>
    <w:rsid w:val="006C4801"/>
    <w:rsid w:val="006C48E9"/>
    <w:rsid w:val="006C491D"/>
    <w:rsid w:val="006C4A7D"/>
    <w:rsid w:val="006C4C8F"/>
    <w:rsid w:val="006C4CAC"/>
    <w:rsid w:val="006C4D19"/>
    <w:rsid w:val="006C4D22"/>
    <w:rsid w:val="006C4D6A"/>
    <w:rsid w:val="006C4E14"/>
    <w:rsid w:val="006C4FDF"/>
    <w:rsid w:val="006C5041"/>
    <w:rsid w:val="006C53D5"/>
    <w:rsid w:val="006C54A2"/>
    <w:rsid w:val="006C5520"/>
    <w:rsid w:val="006C5713"/>
    <w:rsid w:val="006C5786"/>
    <w:rsid w:val="006C57CF"/>
    <w:rsid w:val="006C5982"/>
    <w:rsid w:val="006C59FB"/>
    <w:rsid w:val="006C5B26"/>
    <w:rsid w:val="006C5C48"/>
    <w:rsid w:val="006C5EA2"/>
    <w:rsid w:val="006C6230"/>
    <w:rsid w:val="006C64B7"/>
    <w:rsid w:val="006C64F7"/>
    <w:rsid w:val="006C6780"/>
    <w:rsid w:val="006C67C0"/>
    <w:rsid w:val="006C6815"/>
    <w:rsid w:val="006C6B74"/>
    <w:rsid w:val="006C6BA2"/>
    <w:rsid w:val="006C6BCC"/>
    <w:rsid w:val="006C6FD7"/>
    <w:rsid w:val="006C704A"/>
    <w:rsid w:val="006C71BF"/>
    <w:rsid w:val="006C737A"/>
    <w:rsid w:val="006C73EC"/>
    <w:rsid w:val="006C73F9"/>
    <w:rsid w:val="006C7515"/>
    <w:rsid w:val="006C7697"/>
    <w:rsid w:val="006C76B8"/>
    <w:rsid w:val="006C76BE"/>
    <w:rsid w:val="006C788C"/>
    <w:rsid w:val="006C799E"/>
    <w:rsid w:val="006C7A88"/>
    <w:rsid w:val="006C7C47"/>
    <w:rsid w:val="006C7EB2"/>
    <w:rsid w:val="006CA229"/>
    <w:rsid w:val="006D0020"/>
    <w:rsid w:val="006D00F3"/>
    <w:rsid w:val="006D068C"/>
    <w:rsid w:val="006D06E6"/>
    <w:rsid w:val="006D0779"/>
    <w:rsid w:val="006D08CF"/>
    <w:rsid w:val="006D0B2E"/>
    <w:rsid w:val="006D0D6B"/>
    <w:rsid w:val="006D0DBD"/>
    <w:rsid w:val="006D0E2C"/>
    <w:rsid w:val="006D0E3D"/>
    <w:rsid w:val="006D0FEC"/>
    <w:rsid w:val="006D10AC"/>
    <w:rsid w:val="006D11C7"/>
    <w:rsid w:val="006D11F0"/>
    <w:rsid w:val="006D14FC"/>
    <w:rsid w:val="006D1649"/>
    <w:rsid w:val="006D1651"/>
    <w:rsid w:val="006D16C9"/>
    <w:rsid w:val="006D18FB"/>
    <w:rsid w:val="006D1C1D"/>
    <w:rsid w:val="006D1C7B"/>
    <w:rsid w:val="006D1D51"/>
    <w:rsid w:val="006D1DC2"/>
    <w:rsid w:val="006D1ED1"/>
    <w:rsid w:val="006D1EDC"/>
    <w:rsid w:val="006D1FB3"/>
    <w:rsid w:val="006D2242"/>
    <w:rsid w:val="006D2276"/>
    <w:rsid w:val="006D22C0"/>
    <w:rsid w:val="006D23FF"/>
    <w:rsid w:val="006D2799"/>
    <w:rsid w:val="006D289C"/>
    <w:rsid w:val="006D2A67"/>
    <w:rsid w:val="006D2A77"/>
    <w:rsid w:val="006D2A84"/>
    <w:rsid w:val="006D2BA0"/>
    <w:rsid w:val="006D2D62"/>
    <w:rsid w:val="006D2EB7"/>
    <w:rsid w:val="006D2EF5"/>
    <w:rsid w:val="006D324B"/>
    <w:rsid w:val="006D3258"/>
    <w:rsid w:val="006D32D4"/>
    <w:rsid w:val="006D3655"/>
    <w:rsid w:val="006D3966"/>
    <w:rsid w:val="006D3A8F"/>
    <w:rsid w:val="006D3A9A"/>
    <w:rsid w:val="006D3B9B"/>
    <w:rsid w:val="006D3BC0"/>
    <w:rsid w:val="006D3C70"/>
    <w:rsid w:val="006D3CA9"/>
    <w:rsid w:val="006D3CC8"/>
    <w:rsid w:val="006D3D0F"/>
    <w:rsid w:val="006D3D3B"/>
    <w:rsid w:val="006D3FE5"/>
    <w:rsid w:val="006D3FE7"/>
    <w:rsid w:val="006D4292"/>
    <w:rsid w:val="006D43AA"/>
    <w:rsid w:val="006D4580"/>
    <w:rsid w:val="006D4651"/>
    <w:rsid w:val="006D466F"/>
    <w:rsid w:val="006D4676"/>
    <w:rsid w:val="006D4809"/>
    <w:rsid w:val="006D48D6"/>
    <w:rsid w:val="006D49BC"/>
    <w:rsid w:val="006D4C05"/>
    <w:rsid w:val="006D4D8E"/>
    <w:rsid w:val="006D4F93"/>
    <w:rsid w:val="006D52F6"/>
    <w:rsid w:val="006D5580"/>
    <w:rsid w:val="006D562C"/>
    <w:rsid w:val="006D575A"/>
    <w:rsid w:val="006D587E"/>
    <w:rsid w:val="006D59CE"/>
    <w:rsid w:val="006D5A7A"/>
    <w:rsid w:val="006D5C39"/>
    <w:rsid w:val="006D5C3B"/>
    <w:rsid w:val="006D5CC9"/>
    <w:rsid w:val="006D5CF0"/>
    <w:rsid w:val="006D5DD6"/>
    <w:rsid w:val="006D5DF5"/>
    <w:rsid w:val="006D602C"/>
    <w:rsid w:val="006D60D7"/>
    <w:rsid w:val="006D62A7"/>
    <w:rsid w:val="006D64C1"/>
    <w:rsid w:val="006D65CB"/>
    <w:rsid w:val="006D67D3"/>
    <w:rsid w:val="006D68D5"/>
    <w:rsid w:val="006D6BC2"/>
    <w:rsid w:val="006D6C29"/>
    <w:rsid w:val="006D6E17"/>
    <w:rsid w:val="006D6EF4"/>
    <w:rsid w:val="006D72B1"/>
    <w:rsid w:val="006D75B2"/>
    <w:rsid w:val="006D78B4"/>
    <w:rsid w:val="006D78C8"/>
    <w:rsid w:val="006D78D5"/>
    <w:rsid w:val="006D7E7E"/>
    <w:rsid w:val="006D7F13"/>
    <w:rsid w:val="006D7FCD"/>
    <w:rsid w:val="006E013A"/>
    <w:rsid w:val="006E0292"/>
    <w:rsid w:val="006E02C3"/>
    <w:rsid w:val="006E02DC"/>
    <w:rsid w:val="006E04B0"/>
    <w:rsid w:val="006E0510"/>
    <w:rsid w:val="006E0625"/>
    <w:rsid w:val="006E07B6"/>
    <w:rsid w:val="006E0959"/>
    <w:rsid w:val="006E09CF"/>
    <w:rsid w:val="006E0D5C"/>
    <w:rsid w:val="006E0D99"/>
    <w:rsid w:val="006E0D9C"/>
    <w:rsid w:val="006E0FBA"/>
    <w:rsid w:val="006E1360"/>
    <w:rsid w:val="006E1372"/>
    <w:rsid w:val="006E143C"/>
    <w:rsid w:val="006E17C8"/>
    <w:rsid w:val="006E17DD"/>
    <w:rsid w:val="006E1970"/>
    <w:rsid w:val="006E1A6F"/>
    <w:rsid w:val="006E1B5D"/>
    <w:rsid w:val="006E1BDF"/>
    <w:rsid w:val="006E1C56"/>
    <w:rsid w:val="006E1C81"/>
    <w:rsid w:val="006E1D3D"/>
    <w:rsid w:val="006E1F94"/>
    <w:rsid w:val="006E2083"/>
    <w:rsid w:val="006E211C"/>
    <w:rsid w:val="006E24C7"/>
    <w:rsid w:val="006E261A"/>
    <w:rsid w:val="006E26AB"/>
    <w:rsid w:val="006E276D"/>
    <w:rsid w:val="006E2A0F"/>
    <w:rsid w:val="006E2A2D"/>
    <w:rsid w:val="006E2CE3"/>
    <w:rsid w:val="006E2E77"/>
    <w:rsid w:val="006E3194"/>
    <w:rsid w:val="006E345B"/>
    <w:rsid w:val="006E37C5"/>
    <w:rsid w:val="006E3825"/>
    <w:rsid w:val="006E38CA"/>
    <w:rsid w:val="006E3B3F"/>
    <w:rsid w:val="006E3E2F"/>
    <w:rsid w:val="006E3E36"/>
    <w:rsid w:val="006E3E3B"/>
    <w:rsid w:val="006E3F8A"/>
    <w:rsid w:val="006E4033"/>
    <w:rsid w:val="006E41A1"/>
    <w:rsid w:val="006E41DE"/>
    <w:rsid w:val="006E4477"/>
    <w:rsid w:val="006E448B"/>
    <w:rsid w:val="006E4628"/>
    <w:rsid w:val="006E4674"/>
    <w:rsid w:val="006E48D5"/>
    <w:rsid w:val="006E4948"/>
    <w:rsid w:val="006E4A02"/>
    <w:rsid w:val="006E4B9F"/>
    <w:rsid w:val="006E4D3F"/>
    <w:rsid w:val="006E4E65"/>
    <w:rsid w:val="006E4EE4"/>
    <w:rsid w:val="006E4F01"/>
    <w:rsid w:val="006E535A"/>
    <w:rsid w:val="006E5386"/>
    <w:rsid w:val="006E5407"/>
    <w:rsid w:val="006E56F3"/>
    <w:rsid w:val="006E5A4B"/>
    <w:rsid w:val="006E5E8D"/>
    <w:rsid w:val="006E5F6C"/>
    <w:rsid w:val="006E6143"/>
    <w:rsid w:val="006E6164"/>
    <w:rsid w:val="006E6279"/>
    <w:rsid w:val="006E631A"/>
    <w:rsid w:val="006E6345"/>
    <w:rsid w:val="006E63A2"/>
    <w:rsid w:val="006E6413"/>
    <w:rsid w:val="006E649C"/>
    <w:rsid w:val="006E65EF"/>
    <w:rsid w:val="006E6666"/>
    <w:rsid w:val="006E677F"/>
    <w:rsid w:val="006E6B73"/>
    <w:rsid w:val="006E6C66"/>
    <w:rsid w:val="006E6C8A"/>
    <w:rsid w:val="006E6CD0"/>
    <w:rsid w:val="006E6F55"/>
    <w:rsid w:val="006E70CA"/>
    <w:rsid w:val="006E734C"/>
    <w:rsid w:val="006E735B"/>
    <w:rsid w:val="006E738F"/>
    <w:rsid w:val="006E73B6"/>
    <w:rsid w:val="006E76BA"/>
    <w:rsid w:val="006E7898"/>
    <w:rsid w:val="006F004E"/>
    <w:rsid w:val="006F01CB"/>
    <w:rsid w:val="006F0330"/>
    <w:rsid w:val="006F03C4"/>
    <w:rsid w:val="006F04EB"/>
    <w:rsid w:val="006F05F3"/>
    <w:rsid w:val="006F07EC"/>
    <w:rsid w:val="006F08C3"/>
    <w:rsid w:val="006F0B57"/>
    <w:rsid w:val="006F0B6A"/>
    <w:rsid w:val="006F0C02"/>
    <w:rsid w:val="006F0EEA"/>
    <w:rsid w:val="006F0EF5"/>
    <w:rsid w:val="006F1163"/>
    <w:rsid w:val="006F129B"/>
    <w:rsid w:val="006F132F"/>
    <w:rsid w:val="006F139D"/>
    <w:rsid w:val="006F1456"/>
    <w:rsid w:val="006F1557"/>
    <w:rsid w:val="006F1584"/>
    <w:rsid w:val="006F15E8"/>
    <w:rsid w:val="006F1611"/>
    <w:rsid w:val="006F17DD"/>
    <w:rsid w:val="006F1DDD"/>
    <w:rsid w:val="006F1DE8"/>
    <w:rsid w:val="006F1E2F"/>
    <w:rsid w:val="006F2019"/>
    <w:rsid w:val="006F22F0"/>
    <w:rsid w:val="006F24BD"/>
    <w:rsid w:val="006F26C7"/>
    <w:rsid w:val="006F2726"/>
    <w:rsid w:val="006F2807"/>
    <w:rsid w:val="006F2897"/>
    <w:rsid w:val="006F2992"/>
    <w:rsid w:val="006F2CA6"/>
    <w:rsid w:val="006F2DCF"/>
    <w:rsid w:val="006F2DE3"/>
    <w:rsid w:val="006F2DEE"/>
    <w:rsid w:val="006F2E0A"/>
    <w:rsid w:val="006F3281"/>
    <w:rsid w:val="006F346E"/>
    <w:rsid w:val="006F3484"/>
    <w:rsid w:val="006F34ED"/>
    <w:rsid w:val="006F3B65"/>
    <w:rsid w:val="006F3D03"/>
    <w:rsid w:val="006F3DA6"/>
    <w:rsid w:val="006F3E07"/>
    <w:rsid w:val="006F3E0E"/>
    <w:rsid w:val="006F3FF0"/>
    <w:rsid w:val="006F405B"/>
    <w:rsid w:val="006F4284"/>
    <w:rsid w:val="006F4531"/>
    <w:rsid w:val="006F4536"/>
    <w:rsid w:val="006F46DA"/>
    <w:rsid w:val="006F4772"/>
    <w:rsid w:val="006F47F8"/>
    <w:rsid w:val="006F4948"/>
    <w:rsid w:val="006F499E"/>
    <w:rsid w:val="006F4A5E"/>
    <w:rsid w:val="006F4AE6"/>
    <w:rsid w:val="006F4AF1"/>
    <w:rsid w:val="006F4BA3"/>
    <w:rsid w:val="006F4C6B"/>
    <w:rsid w:val="006F4D84"/>
    <w:rsid w:val="006F4DB9"/>
    <w:rsid w:val="006F4E0D"/>
    <w:rsid w:val="006F5145"/>
    <w:rsid w:val="006F51DF"/>
    <w:rsid w:val="006F5588"/>
    <w:rsid w:val="006F5AAF"/>
    <w:rsid w:val="006F5DA6"/>
    <w:rsid w:val="006F5EE0"/>
    <w:rsid w:val="006F620B"/>
    <w:rsid w:val="006F622B"/>
    <w:rsid w:val="006F63BF"/>
    <w:rsid w:val="006F654A"/>
    <w:rsid w:val="006F68A6"/>
    <w:rsid w:val="006F6ACC"/>
    <w:rsid w:val="006F6BBB"/>
    <w:rsid w:val="006F6BE5"/>
    <w:rsid w:val="006F6FDE"/>
    <w:rsid w:val="006F7002"/>
    <w:rsid w:val="006F71B7"/>
    <w:rsid w:val="006F7309"/>
    <w:rsid w:val="006F75FE"/>
    <w:rsid w:val="006F7731"/>
    <w:rsid w:val="006F78D7"/>
    <w:rsid w:val="006F7A13"/>
    <w:rsid w:val="006F7BD5"/>
    <w:rsid w:val="006F7CD2"/>
    <w:rsid w:val="006F7D97"/>
    <w:rsid w:val="006F7F85"/>
    <w:rsid w:val="00700060"/>
    <w:rsid w:val="0070019D"/>
    <w:rsid w:val="007001E3"/>
    <w:rsid w:val="00700279"/>
    <w:rsid w:val="00700412"/>
    <w:rsid w:val="0070047C"/>
    <w:rsid w:val="007004FA"/>
    <w:rsid w:val="00700597"/>
    <w:rsid w:val="00700809"/>
    <w:rsid w:val="00700835"/>
    <w:rsid w:val="007009F2"/>
    <w:rsid w:val="00700D41"/>
    <w:rsid w:val="00700E9B"/>
    <w:rsid w:val="00700EFA"/>
    <w:rsid w:val="00701264"/>
    <w:rsid w:val="00701433"/>
    <w:rsid w:val="007015C2"/>
    <w:rsid w:val="00701788"/>
    <w:rsid w:val="007018F4"/>
    <w:rsid w:val="00701C17"/>
    <w:rsid w:val="00701EB1"/>
    <w:rsid w:val="007021C0"/>
    <w:rsid w:val="00702255"/>
    <w:rsid w:val="00702288"/>
    <w:rsid w:val="007022FB"/>
    <w:rsid w:val="0070289D"/>
    <w:rsid w:val="00702AA8"/>
    <w:rsid w:val="00702D99"/>
    <w:rsid w:val="00702F20"/>
    <w:rsid w:val="007030B1"/>
    <w:rsid w:val="00703195"/>
    <w:rsid w:val="00703316"/>
    <w:rsid w:val="00703373"/>
    <w:rsid w:val="00703A2E"/>
    <w:rsid w:val="00703A43"/>
    <w:rsid w:val="00703D93"/>
    <w:rsid w:val="00703E32"/>
    <w:rsid w:val="00704174"/>
    <w:rsid w:val="00704307"/>
    <w:rsid w:val="0070441F"/>
    <w:rsid w:val="0070456E"/>
    <w:rsid w:val="00704B9E"/>
    <w:rsid w:val="00704BF9"/>
    <w:rsid w:val="00704E43"/>
    <w:rsid w:val="00704FCD"/>
    <w:rsid w:val="00704FE0"/>
    <w:rsid w:val="00705238"/>
    <w:rsid w:val="0070547E"/>
    <w:rsid w:val="007054E3"/>
    <w:rsid w:val="00705580"/>
    <w:rsid w:val="00705596"/>
    <w:rsid w:val="00705686"/>
    <w:rsid w:val="00705788"/>
    <w:rsid w:val="00705A54"/>
    <w:rsid w:val="00705E11"/>
    <w:rsid w:val="00705E8A"/>
    <w:rsid w:val="00705EB5"/>
    <w:rsid w:val="00705FD0"/>
    <w:rsid w:val="0070606F"/>
    <w:rsid w:val="0070613D"/>
    <w:rsid w:val="0070614F"/>
    <w:rsid w:val="0070657A"/>
    <w:rsid w:val="00706634"/>
    <w:rsid w:val="00706663"/>
    <w:rsid w:val="007066DD"/>
    <w:rsid w:val="00706786"/>
    <w:rsid w:val="00706BA0"/>
    <w:rsid w:val="00706D65"/>
    <w:rsid w:val="00706DB6"/>
    <w:rsid w:val="00706DB9"/>
    <w:rsid w:val="00706EFB"/>
    <w:rsid w:val="00707023"/>
    <w:rsid w:val="007070A1"/>
    <w:rsid w:val="00707A83"/>
    <w:rsid w:val="00707A89"/>
    <w:rsid w:val="00707AE9"/>
    <w:rsid w:val="00707B8F"/>
    <w:rsid w:val="00707BF6"/>
    <w:rsid w:val="00707BFC"/>
    <w:rsid w:val="00707F43"/>
    <w:rsid w:val="007101A0"/>
    <w:rsid w:val="00710289"/>
    <w:rsid w:val="00710302"/>
    <w:rsid w:val="00710420"/>
    <w:rsid w:val="00710631"/>
    <w:rsid w:val="0071063E"/>
    <w:rsid w:val="0071064E"/>
    <w:rsid w:val="007106DF"/>
    <w:rsid w:val="00710754"/>
    <w:rsid w:val="00710819"/>
    <w:rsid w:val="007108FD"/>
    <w:rsid w:val="00710970"/>
    <w:rsid w:val="00710A54"/>
    <w:rsid w:val="00710BBC"/>
    <w:rsid w:val="00710BEB"/>
    <w:rsid w:val="00710C62"/>
    <w:rsid w:val="00710E24"/>
    <w:rsid w:val="00711031"/>
    <w:rsid w:val="0071113C"/>
    <w:rsid w:val="0071126A"/>
    <w:rsid w:val="0071139F"/>
    <w:rsid w:val="00711605"/>
    <w:rsid w:val="00711641"/>
    <w:rsid w:val="007119F3"/>
    <w:rsid w:val="00711A23"/>
    <w:rsid w:val="00711A24"/>
    <w:rsid w:val="00711AE1"/>
    <w:rsid w:val="00711B2B"/>
    <w:rsid w:val="00711E9E"/>
    <w:rsid w:val="00711EDD"/>
    <w:rsid w:val="00711F7B"/>
    <w:rsid w:val="0071204A"/>
    <w:rsid w:val="00712051"/>
    <w:rsid w:val="0071220C"/>
    <w:rsid w:val="0071222E"/>
    <w:rsid w:val="007122E9"/>
    <w:rsid w:val="007123CF"/>
    <w:rsid w:val="00712408"/>
    <w:rsid w:val="0071254B"/>
    <w:rsid w:val="0071263D"/>
    <w:rsid w:val="00712821"/>
    <w:rsid w:val="007128B9"/>
    <w:rsid w:val="007129F7"/>
    <w:rsid w:val="00712A48"/>
    <w:rsid w:val="00712BFA"/>
    <w:rsid w:val="00712FFC"/>
    <w:rsid w:val="0071321C"/>
    <w:rsid w:val="007135D9"/>
    <w:rsid w:val="00713698"/>
    <w:rsid w:val="007136D8"/>
    <w:rsid w:val="0071382B"/>
    <w:rsid w:val="00713911"/>
    <w:rsid w:val="007139BF"/>
    <w:rsid w:val="007139E5"/>
    <w:rsid w:val="00713BFC"/>
    <w:rsid w:val="00713CE1"/>
    <w:rsid w:val="00713D00"/>
    <w:rsid w:val="00713FD3"/>
    <w:rsid w:val="00714082"/>
    <w:rsid w:val="00714213"/>
    <w:rsid w:val="00714359"/>
    <w:rsid w:val="007143CA"/>
    <w:rsid w:val="0071451F"/>
    <w:rsid w:val="00714682"/>
    <w:rsid w:val="00714742"/>
    <w:rsid w:val="0071478D"/>
    <w:rsid w:val="00714928"/>
    <w:rsid w:val="0071499F"/>
    <w:rsid w:val="00714C36"/>
    <w:rsid w:val="00714CB0"/>
    <w:rsid w:val="00714E40"/>
    <w:rsid w:val="00714ED0"/>
    <w:rsid w:val="00714F1F"/>
    <w:rsid w:val="00714F27"/>
    <w:rsid w:val="00715205"/>
    <w:rsid w:val="007152C2"/>
    <w:rsid w:val="00715311"/>
    <w:rsid w:val="007156A2"/>
    <w:rsid w:val="00715747"/>
    <w:rsid w:val="007157A1"/>
    <w:rsid w:val="0071589A"/>
    <w:rsid w:val="007159F1"/>
    <w:rsid w:val="00715A60"/>
    <w:rsid w:val="00715CB3"/>
    <w:rsid w:val="00715E71"/>
    <w:rsid w:val="0071616B"/>
    <w:rsid w:val="00716314"/>
    <w:rsid w:val="00716384"/>
    <w:rsid w:val="007163F8"/>
    <w:rsid w:val="00716473"/>
    <w:rsid w:val="007164B8"/>
    <w:rsid w:val="00716514"/>
    <w:rsid w:val="00716529"/>
    <w:rsid w:val="00716AEE"/>
    <w:rsid w:val="00716B0A"/>
    <w:rsid w:val="00716B5E"/>
    <w:rsid w:val="00716B9F"/>
    <w:rsid w:val="00716C12"/>
    <w:rsid w:val="00716C92"/>
    <w:rsid w:val="00716DEC"/>
    <w:rsid w:val="00716DF0"/>
    <w:rsid w:val="00716DFA"/>
    <w:rsid w:val="00716E1D"/>
    <w:rsid w:val="00716FC9"/>
    <w:rsid w:val="00716FE2"/>
    <w:rsid w:val="007170BB"/>
    <w:rsid w:val="007171D9"/>
    <w:rsid w:val="00717262"/>
    <w:rsid w:val="0071751B"/>
    <w:rsid w:val="007175BE"/>
    <w:rsid w:val="00717604"/>
    <w:rsid w:val="007179EB"/>
    <w:rsid w:val="00717A46"/>
    <w:rsid w:val="00717A64"/>
    <w:rsid w:val="00717D75"/>
    <w:rsid w:val="00717EF5"/>
    <w:rsid w:val="00717F65"/>
    <w:rsid w:val="007206C3"/>
    <w:rsid w:val="0072071C"/>
    <w:rsid w:val="00720B0E"/>
    <w:rsid w:val="00720BA4"/>
    <w:rsid w:val="00720D09"/>
    <w:rsid w:val="00720E0D"/>
    <w:rsid w:val="00721483"/>
    <w:rsid w:val="0072198D"/>
    <w:rsid w:val="00721A0E"/>
    <w:rsid w:val="00721D85"/>
    <w:rsid w:val="00721F0E"/>
    <w:rsid w:val="00722130"/>
    <w:rsid w:val="00722134"/>
    <w:rsid w:val="00722228"/>
    <w:rsid w:val="00722287"/>
    <w:rsid w:val="00722295"/>
    <w:rsid w:val="00722394"/>
    <w:rsid w:val="007225BE"/>
    <w:rsid w:val="0072278C"/>
    <w:rsid w:val="00722825"/>
    <w:rsid w:val="00722CC7"/>
    <w:rsid w:val="00722DA3"/>
    <w:rsid w:val="00722EA1"/>
    <w:rsid w:val="00722F65"/>
    <w:rsid w:val="0072301C"/>
    <w:rsid w:val="00723421"/>
    <w:rsid w:val="00723543"/>
    <w:rsid w:val="00723579"/>
    <w:rsid w:val="007238F4"/>
    <w:rsid w:val="00723A92"/>
    <w:rsid w:val="00723C35"/>
    <w:rsid w:val="00723F64"/>
    <w:rsid w:val="00723FF5"/>
    <w:rsid w:val="00724320"/>
    <w:rsid w:val="00724349"/>
    <w:rsid w:val="007249A2"/>
    <w:rsid w:val="00724A47"/>
    <w:rsid w:val="00724A85"/>
    <w:rsid w:val="00724C55"/>
    <w:rsid w:val="00724F18"/>
    <w:rsid w:val="0072502C"/>
    <w:rsid w:val="00725199"/>
    <w:rsid w:val="0072519D"/>
    <w:rsid w:val="007253C4"/>
    <w:rsid w:val="00725520"/>
    <w:rsid w:val="007255C9"/>
    <w:rsid w:val="00725656"/>
    <w:rsid w:val="007258CE"/>
    <w:rsid w:val="00725A89"/>
    <w:rsid w:val="00725B6E"/>
    <w:rsid w:val="00725C47"/>
    <w:rsid w:val="00725CD7"/>
    <w:rsid w:val="00725D32"/>
    <w:rsid w:val="00726043"/>
    <w:rsid w:val="007260E5"/>
    <w:rsid w:val="007261C1"/>
    <w:rsid w:val="0072637F"/>
    <w:rsid w:val="007263D0"/>
    <w:rsid w:val="007265CD"/>
    <w:rsid w:val="007265CE"/>
    <w:rsid w:val="0072677B"/>
    <w:rsid w:val="007267A7"/>
    <w:rsid w:val="007267E1"/>
    <w:rsid w:val="00726952"/>
    <w:rsid w:val="00726A82"/>
    <w:rsid w:val="00726C35"/>
    <w:rsid w:val="00726D00"/>
    <w:rsid w:val="00726D4E"/>
    <w:rsid w:val="00726DBE"/>
    <w:rsid w:val="00726EBA"/>
    <w:rsid w:val="00727015"/>
    <w:rsid w:val="00727144"/>
    <w:rsid w:val="0072724A"/>
    <w:rsid w:val="007273C8"/>
    <w:rsid w:val="007275C2"/>
    <w:rsid w:val="007276FA"/>
    <w:rsid w:val="00727732"/>
    <w:rsid w:val="0072779E"/>
    <w:rsid w:val="00727849"/>
    <w:rsid w:val="0072785B"/>
    <w:rsid w:val="0072788F"/>
    <w:rsid w:val="00727912"/>
    <w:rsid w:val="00727C6E"/>
    <w:rsid w:val="00727FE7"/>
    <w:rsid w:val="00730014"/>
    <w:rsid w:val="0073016E"/>
    <w:rsid w:val="0073079E"/>
    <w:rsid w:val="007308BB"/>
    <w:rsid w:val="007309DB"/>
    <w:rsid w:val="00730BB2"/>
    <w:rsid w:val="00730D5C"/>
    <w:rsid w:val="00730F27"/>
    <w:rsid w:val="0073100B"/>
    <w:rsid w:val="00731059"/>
    <w:rsid w:val="007311DC"/>
    <w:rsid w:val="00731225"/>
    <w:rsid w:val="00731289"/>
    <w:rsid w:val="00731335"/>
    <w:rsid w:val="00731503"/>
    <w:rsid w:val="00731A0D"/>
    <w:rsid w:val="00731AAC"/>
    <w:rsid w:val="00731B34"/>
    <w:rsid w:val="00731C36"/>
    <w:rsid w:val="00731CC3"/>
    <w:rsid w:val="00731D8A"/>
    <w:rsid w:val="007321E8"/>
    <w:rsid w:val="00732447"/>
    <w:rsid w:val="00732665"/>
    <w:rsid w:val="007326B6"/>
    <w:rsid w:val="007327D0"/>
    <w:rsid w:val="0073295F"/>
    <w:rsid w:val="00732B8A"/>
    <w:rsid w:val="00732C3F"/>
    <w:rsid w:val="00732C51"/>
    <w:rsid w:val="00732D45"/>
    <w:rsid w:val="00732D56"/>
    <w:rsid w:val="00732DE7"/>
    <w:rsid w:val="00732EAF"/>
    <w:rsid w:val="00732EDB"/>
    <w:rsid w:val="0073309A"/>
    <w:rsid w:val="007330BE"/>
    <w:rsid w:val="00733379"/>
    <w:rsid w:val="00733383"/>
    <w:rsid w:val="00733399"/>
    <w:rsid w:val="007335D2"/>
    <w:rsid w:val="00733743"/>
    <w:rsid w:val="007338E5"/>
    <w:rsid w:val="00733BC5"/>
    <w:rsid w:val="00733C82"/>
    <w:rsid w:val="00733CDE"/>
    <w:rsid w:val="00734366"/>
    <w:rsid w:val="00734370"/>
    <w:rsid w:val="00734479"/>
    <w:rsid w:val="0073457F"/>
    <w:rsid w:val="00734625"/>
    <w:rsid w:val="00734992"/>
    <w:rsid w:val="00734B82"/>
    <w:rsid w:val="00734C40"/>
    <w:rsid w:val="00734D40"/>
    <w:rsid w:val="00734E27"/>
    <w:rsid w:val="0073514F"/>
    <w:rsid w:val="007352C4"/>
    <w:rsid w:val="007353E1"/>
    <w:rsid w:val="00735991"/>
    <w:rsid w:val="007359EB"/>
    <w:rsid w:val="00735A3F"/>
    <w:rsid w:val="00735D2D"/>
    <w:rsid w:val="00735E1F"/>
    <w:rsid w:val="00736142"/>
    <w:rsid w:val="007364EC"/>
    <w:rsid w:val="00736532"/>
    <w:rsid w:val="007365AB"/>
    <w:rsid w:val="007366B1"/>
    <w:rsid w:val="00736755"/>
    <w:rsid w:val="00736812"/>
    <w:rsid w:val="00736873"/>
    <w:rsid w:val="007368C3"/>
    <w:rsid w:val="00736949"/>
    <w:rsid w:val="00736ED5"/>
    <w:rsid w:val="00736F02"/>
    <w:rsid w:val="007371B9"/>
    <w:rsid w:val="007377E4"/>
    <w:rsid w:val="0073781D"/>
    <w:rsid w:val="00737A4E"/>
    <w:rsid w:val="00737AFD"/>
    <w:rsid w:val="00737B8A"/>
    <w:rsid w:val="00737C17"/>
    <w:rsid w:val="00737FE9"/>
    <w:rsid w:val="00740259"/>
    <w:rsid w:val="00740283"/>
    <w:rsid w:val="007403BC"/>
    <w:rsid w:val="00740632"/>
    <w:rsid w:val="00740711"/>
    <w:rsid w:val="00740740"/>
    <w:rsid w:val="007409F1"/>
    <w:rsid w:val="00740B44"/>
    <w:rsid w:val="00740B85"/>
    <w:rsid w:val="00740EF8"/>
    <w:rsid w:val="007411C8"/>
    <w:rsid w:val="00741456"/>
    <w:rsid w:val="007415E0"/>
    <w:rsid w:val="00741643"/>
    <w:rsid w:val="00741870"/>
    <w:rsid w:val="007419FD"/>
    <w:rsid w:val="00741A7A"/>
    <w:rsid w:val="00741AC0"/>
    <w:rsid w:val="00741B92"/>
    <w:rsid w:val="00741BDD"/>
    <w:rsid w:val="00741D28"/>
    <w:rsid w:val="00741E0B"/>
    <w:rsid w:val="00741E31"/>
    <w:rsid w:val="00741FB5"/>
    <w:rsid w:val="00741FD7"/>
    <w:rsid w:val="007420F4"/>
    <w:rsid w:val="007421AE"/>
    <w:rsid w:val="00742478"/>
    <w:rsid w:val="00742513"/>
    <w:rsid w:val="0074272F"/>
    <w:rsid w:val="00742B36"/>
    <w:rsid w:val="00742EC3"/>
    <w:rsid w:val="00743009"/>
    <w:rsid w:val="00743095"/>
    <w:rsid w:val="007430B8"/>
    <w:rsid w:val="0074310C"/>
    <w:rsid w:val="00743350"/>
    <w:rsid w:val="007433C9"/>
    <w:rsid w:val="007434D9"/>
    <w:rsid w:val="007435E4"/>
    <w:rsid w:val="0074378F"/>
    <w:rsid w:val="00743844"/>
    <w:rsid w:val="00743A2A"/>
    <w:rsid w:val="00743B39"/>
    <w:rsid w:val="00743CB4"/>
    <w:rsid w:val="00743E14"/>
    <w:rsid w:val="00743E23"/>
    <w:rsid w:val="00743EA8"/>
    <w:rsid w:val="007442BD"/>
    <w:rsid w:val="00744621"/>
    <w:rsid w:val="00744639"/>
    <w:rsid w:val="007446F8"/>
    <w:rsid w:val="007448B5"/>
    <w:rsid w:val="00744B1B"/>
    <w:rsid w:val="00744C9B"/>
    <w:rsid w:val="00744DA2"/>
    <w:rsid w:val="00744E41"/>
    <w:rsid w:val="00744EFC"/>
    <w:rsid w:val="00744FE2"/>
    <w:rsid w:val="007450E3"/>
    <w:rsid w:val="00745114"/>
    <w:rsid w:val="0074518B"/>
    <w:rsid w:val="0074531D"/>
    <w:rsid w:val="007453A4"/>
    <w:rsid w:val="00745452"/>
    <w:rsid w:val="007455CB"/>
    <w:rsid w:val="0074562B"/>
    <w:rsid w:val="007456BD"/>
    <w:rsid w:val="007458AF"/>
    <w:rsid w:val="0074592E"/>
    <w:rsid w:val="00745A7C"/>
    <w:rsid w:val="00745A94"/>
    <w:rsid w:val="00745DDB"/>
    <w:rsid w:val="00745DF8"/>
    <w:rsid w:val="00745E13"/>
    <w:rsid w:val="007460A4"/>
    <w:rsid w:val="007461C3"/>
    <w:rsid w:val="007462EE"/>
    <w:rsid w:val="00746457"/>
    <w:rsid w:val="00746574"/>
    <w:rsid w:val="007466D8"/>
    <w:rsid w:val="007469C0"/>
    <w:rsid w:val="00746B02"/>
    <w:rsid w:val="00746D38"/>
    <w:rsid w:val="00746D87"/>
    <w:rsid w:val="00746E92"/>
    <w:rsid w:val="0074728B"/>
    <w:rsid w:val="007473BF"/>
    <w:rsid w:val="007473ED"/>
    <w:rsid w:val="00747522"/>
    <w:rsid w:val="00747536"/>
    <w:rsid w:val="00747571"/>
    <w:rsid w:val="00747C21"/>
    <w:rsid w:val="00747D5A"/>
    <w:rsid w:val="00747D7E"/>
    <w:rsid w:val="00747FB0"/>
    <w:rsid w:val="0075004F"/>
    <w:rsid w:val="00750163"/>
    <w:rsid w:val="00750510"/>
    <w:rsid w:val="00750D5C"/>
    <w:rsid w:val="00750E0C"/>
    <w:rsid w:val="0075113F"/>
    <w:rsid w:val="00751361"/>
    <w:rsid w:val="007516F9"/>
    <w:rsid w:val="0075171A"/>
    <w:rsid w:val="00751863"/>
    <w:rsid w:val="00751AA5"/>
    <w:rsid w:val="00751BCA"/>
    <w:rsid w:val="00751BE1"/>
    <w:rsid w:val="00751C23"/>
    <w:rsid w:val="00751C3D"/>
    <w:rsid w:val="00751FF6"/>
    <w:rsid w:val="007520AC"/>
    <w:rsid w:val="0075219B"/>
    <w:rsid w:val="00752227"/>
    <w:rsid w:val="00752296"/>
    <w:rsid w:val="007523D6"/>
    <w:rsid w:val="0075240B"/>
    <w:rsid w:val="0075241A"/>
    <w:rsid w:val="007524A5"/>
    <w:rsid w:val="007524FA"/>
    <w:rsid w:val="0075290E"/>
    <w:rsid w:val="00752983"/>
    <w:rsid w:val="00752B8C"/>
    <w:rsid w:val="00752C02"/>
    <w:rsid w:val="00752E91"/>
    <w:rsid w:val="00752F54"/>
    <w:rsid w:val="00753095"/>
    <w:rsid w:val="0075316B"/>
    <w:rsid w:val="007531A4"/>
    <w:rsid w:val="00753A9C"/>
    <w:rsid w:val="00753ACA"/>
    <w:rsid w:val="00753E52"/>
    <w:rsid w:val="00753E81"/>
    <w:rsid w:val="00753E84"/>
    <w:rsid w:val="00753F8C"/>
    <w:rsid w:val="00754114"/>
    <w:rsid w:val="00754216"/>
    <w:rsid w:val="0075431B"/>
    <w:rsid w:val="00754338"/>
    <w:rsid w:val="007543BE"/>
    <w:rsid w:val="007543DF"/>
    <w:rsid w:val="0075456C"/>
    <w:rsid w:val="00754792"/>
    <w:rsid w:val="00754908"/>
    <w:rsid w:val="00754C59"/>
    <w:rsid w:val="00755026"/>
    <w:rsid w:val="007552DB"/>
    <w:rsid w:val="007552E7"/>
    <w:rsid w:val="007552E8"/>
    <w:rsid w:val="00755514"/>
    <w:rsid w:val="0075554C"/>
    <w:rsid w:val="007555C9"/>
    <w:rsid w:val="00755666"/>
    <w:rsid w:val="0075566F"/>
    <w:rsid w:val="0075571E"/>
    <w:rsid w:val="00755863"/>
    <w:rsid w:val="00755A78"/>
    <w:rsid w:val="00755B18"/>
    <w:rsid w:val="00755E76"/>
    <w:rsid w:val="00755EA3"/>
    <w:rsid w:val="00755EE4"/>
    <w:rsid w:val="007561CB"/>
    <w:rsid w:val="007561E3"/>
    <w:rsid w:val="0075623D"/>
    <w:rsid w:val="007568BF"/>
    <w:rsid w:val="007568E0"/>
    <w:rsid w:val="00756936"/>
    <w:rsid w:val="00756AF5"/>
    <w:rsid w:val="00756C1B"/>
    <w:rsid w:val="00756CE9"/>
    <w:rsid w:val="00756E33"/>
    <w:rsid w:val="00756F7F"/>
    <w:rsid w:val="00757055"/>
    <w:rsid w:val="0075729C"/>
    <w:rsid w:val="00757314"/>
    <w:rsid w:val="00757518"/>
    <w:rsid w:val="007575F6"/>
    <w:rsid w:val="0075769C"/>
    <w:rsid w:val="0075773A"/>
    <w:rsid w:val="0075773C"/>
    <w:rsid w:val="007577E6"/>
    <w:rsid w:val="00757875"/>
    <w:rsid w:val="007579D7"/>
    <w:rsid w:val="00757B6E"/>
    <w:rsid w:val="00757BA7"/>
    <w:rsid w:val="00757C14"/>
    <w:rsid w:val="00757F72"/>
    <w:rsid w:val="0076008C"/>
    <w:rsid w:val="007601C0"/>
    <w:rsid w:val="0076023C"/>
    <w:rsid w:val="0076049F"/>
    <w:rsid w:val="00760516"/>
    <w:rsid w:val="00760704"/>
    <w:rsid w:val="007608FD"/>
    <w:rsid w:val="00760A05"/>
    <w:rsid w:val="00760C6E"/>
    <w:rsid w:val="00760D84"/>
    <w:rsid w:val="00760F76"/>
    <w:rsid w:val="0076110E"/>
    <w:rsid w:val="00761260"/>
    <w:rsid w:val="00761336"/>
    <w:rsid w:val="0076138F"/>
    <w:rsid w:val="00761673"/>
    <w:rsid w:val="0076186F"/>
    <w:rsid w:val="00761949"/>
    <w:rsid w:val="00761F19"/>
    <w:rsid w:val="00761FA8"/>
    <w:rsid w:val="00761FDB"/>
    <w:rsid w:val="00761FDC"/>
    <w:rsid w:val="00761FF3"/>
    <w:rsid w:val="0076202B"/>
    <w:rsid w:val="007621CA"/>
    <w:rsid w:val="0076224A"/>
    <w:rsid w:val="007625E2"/>
    <w:rsid w:val="00762652"/>
    <w:rsid w:val="00762871"/>
    <w:rsid w:val="007628BC"/>
    <w:rsid w:val="0076299C"/>
    <w:rsid w:val="007629B7"/>
    <w:rsid w:val="00762AFF"/>
    <w:rsid w:val="00762C7A"/>
    <w:rsid w:val="00763188"/>
    <w:rsid w:val="0076322F"/>
    <w:rsid w:val="0076324E"/>
    <w:rsid w:val="0076346D"/>
    <w:rsid w:val="007635A9"/>
    <w:rsid w:val="007636B7"/>
    <w:rsid w:val="007637F4"/>
    <w:rsid w:val="0076386E"/>
    <w:rsid w:val="00763A49"/>
    <w:rsid w:val="00763A61"/>
    <w:rsid w:val="00763A67"/>
    <w:rsid w:val="00763A90"/>
    <w:rsid w:val="00763B7A"/>
    <w:rsid w:val="00763C8B"/>
    <w:rsid w:val="00763C8E"/>
    <w:rsid w:val="00763FCD"/>
    <w:rsid w:val="007640CE"/>
    <w:rsid w:val="00764371"/>
    <w:rsid w:val="007646A4"/>
    <w:rsid w:val="007647D9"/>
    <w:rsid w:val="007647EE"/>
    <w:rsid w:val="00764860"/>
    <w:rsid w:val="00764FC5"/>
    <w:rsid w:val="00765049"/>
    <w:rsid w:val="00765082"/>
    <w:rsid w:val="00765186"/>
    <w:rsid w:val="007652B3"/>
    <w:rsid w:val="00765353"/>
    <w:rsid w:val="0076550D"/>
    <w:rsid w:val="0076562A"/>
    <w:rsid w:val="0076564C"/>
    <w:rsid w:val="0076588D"/>
    <w:rsid w:val="00765C1B"/>
    <w:rsid w:val="00765CF6"/>
    <w:rsid w:val="00765D68"/>
    <w:rsid w:val="00765DB5"/>
    <w:rsid w:val="00765DC8"/>
    <w:rsid w:val="00765E00"/>
    <w:rsid w:val="00765E08"/>
    <w:rsid w:val="00765E5D"/>
    <w:rsid w:val="00765E7E"/>
    <w:rsid w:val="00765F4E"/>
    <w:rsid w:val="00765F82"/>
    <w:rsid w:val="00766046"/>
    <w:rsid w:val="00766169"/>
    <w:rsid w:val="007662FD"/>
    <w:rsid w:val="007667CA"/>
    <w:rsid w:val="00766988"/>
    <w:rsid w:val="00766A5A"/>
    <w:rsid w:val="00766ADE"/>
    <w:rsid w:val="00766AE1"/>
    <w:rsid w:val="00766D2E"/>
    <w:rsid w:val="00766E93"/>
    <w:rsid w:val="00766FF6"/>
    <w:rsid w:val="007672D8"/>
    <w:rsid w:val="00767368"/>
    <w:rsid w:val="0076739C"/>
    <w:rsid w:val="007674BD"/>
    <w:rsid w:val="007675A0"/>
    <w:rsid w:val="00767603"/>
    <w:rsid w:val="00767B0F"/>
    <w:rsid w:val="00767C7A"/>
    <w:rsid w:val="00767D22"/>
    <w:rsid w:val="00767F14"/>
    <w:rsid w:val="00767FE7"/>
    <w:rsid w:val="00770186"/>
    <w:rsid w:val="0077023D"/>
    <w:rsid w:val="007702EF"/>
    <w:rsid w:val="00770355"/>
    <w:rsid w:val="007703E4"/>
    <w:rsid w:val="007706D7"/>
    <w:rsid w:val="00770AAE"/>
    <w:rsid w:val="00770B6A"/>
    <w:rsid w:val="00770DF0"/>
    <w:rsid w:val="00770F73"/>
    <w:rsid w:val="007712AB"/>
    <w:rsid w:val="00771321"/>
    <w:rsid w:val="007713A3"/>
    <w:rsid w:val="007714A5"/>
    <w:rsid w:val="00771689"/>
    <w:rsid w:val="00771740"/>
    <w:rsid w:val="0077184F"/>
    <w:rsid w:val="007718FB"/>
    <w:rsid w:val="0077192B"/>
    <w:rsid w:val="00771999"/>
    <w:rsid w:val="00771A63"/>
    <w:rsid w:val="00771AD4"/>
    <w:rsid w:val="00771AFE"/>
    <w:rsid w:val="00771FD1"/>
    <w:rsid w:val="007721B4"/>
    <w:rsid w:val="00772270"/>
    <w:rsid w:val="00772349"/>
    <w:rsid w:val="00772446"/>
    <w:rsid w:val="0077248C"/>
    <w:rsid w:val="007724AD"/>
    <w:rsid w:val="00772535"/>
    <w:rsid w:val="00772834"/>
    <w:rsid w:val="0077284A"/>
    <w:rsid w:val="007728E9"/>
    <w:rsid w:val="00772EBF"/>
    <w:rsid w:val="007730C0"/>
    <w:rsid w:val="00773221"/>
    <w:rsid w:val="0077325C"/>
    <w:rsid w:val="00773460"/>
    <w:rsid w:val="0077350E"/>
    <w:rsid w:val="00773990"/>
    <w:rsid w:val="00773B12"/>
    <w:rsid w:val="00773E94"/>
    <w:rsid w:val="00774268"/>
    <w:rsid w:val="00774273"/>
    <w:rsid w:val="0077440C"/>
    <w:rsid w:val="00774604"/>
    <w:rsid w:val="007747EE"/>
    <w:rsid w:val="00774AE3"/>
    <w:rsid w:val="00774B18"/>
    <w:rsid w:val="00774C0D"/>
    <w:rsid w:val="00774DE1"/>
    <w:rsid w:val="00774EAA"/>
    <w:rsid w:val="00774EB3"/>
    <w:rsid w:val="00774F48"/>
    <w:rsid w:val="007754AE"/>
    <w:rsid w:val="0077575A"/>
    <w:rsid w:val="007758F8"/>
    <w:rsid w:val="00775CEB"/>
    <w:rsid w:val="00775D81"/>
    <w:rsid w:val="00775E7A"/>
    <w:rsid w:val="0077608C"/>
    <w:rsid w:val="007762B7"/>
    <w:rsid w:val="0077640A"/>
    <w:rsid w:val="007765CC"/>
    <w:rsid w:val="00776699"/>
    <w:rsid w:val="0077676D"/>
    <w:rsid w:val="007767FC"/>
    <w:rsid w:val="00776873"/>
    <w:rsid w:val="00776945"/>
    <w:rsid w:val="007769BC"/>
    <w:rsid w:val="00776B6C"/>
    <w:rsid w:val="00776C6A"/>
    <w:rsid w:val="00776C6E"/>
    <w:rsid w:val="00776D9F"/>
    <w:rsid w:val="00776F5C"/>
    <w:rsid w:val="00777063"/>
    <w:rsid w:val="0077708F"/>
    <w:rsid w:val="007770D8"/>
    <w:rsid w:val="00777141"/>
    <w:rsid w:val="0077732E"/>
    <w:rsid w:val="00777545"/>
    <w:rsid w:val="00777653"/>
    <w:rsid w:val="00777768"/>
    <w:rsid w:val="00777A5D"/>
    <w:rsid w:val="00777C36"/>
    <w:rsid w:val="00777C47"/>
    <w:rsid w:val="00777CD7"/>
    <w:rsid w:val="00777FD2"/>
    <w:rsid w:val="00780527"/>
    <w:rsid w:val="00780747"/>
    <w:rsid w:val="0078079D"/>
    <w:rsid w:val="00780883"/>
    <w:rsid w:val="00780951"/>
    <w:rsid w:val="00780A4A"/>
    <w:rsid w:val="00780F02"/>
    <w:rsid w:val="00781045"/>
    <w:rsid w:val="007810F2"/>
    <w:rsid w:val="00781143"/>
    <w:rsid w:val="0078130F"/>
    <w:rsid w:val="0078133C"/>
    <w:rsid w:val="00781389"/>
    <w:rsid w:val="00781866"/>
    <w:rsid w:val="00781993"/>
    <w:rsid w:val="007819DC"/>
    <w:rsid w:val="00781A44"/>
    <w:rsid w:val="00781C1B"/>
    <w:rsid w:val="00781C51"/>
    <w:rsid w:val="007820C0"/>
    <w:rsid w:val="00782102"/>
    <w:rsid w:val="00782113"/>
    <w:rsid w:val="00782119"/>
    <w:rsid w:val="007827A2"/>
    <w:rsid w:val="00782866"/>
    <w:rsid w:val="007828F4"/>
    <w:rsid w:val="00782909"/>
    <w:rsid w:val="00782AB6"/>
    <w:rsid w:val="00782BDD"/>
    <w:rsid w:val="00782C21"/>
    <w:rsid w:val="00782D32"/>
    <w:rsid w:val="00782E78"/>
    <w:rsid w:val="00782F46"/>
    <w:rsid w:val="00782FB1"/>
    <w:rsid w:val="00783284"/>
    <w:rsid w:val="00783371"/>
    <w:rsid w:val="007833C0"/>
    <w:rsid w:val="0078340B"/>
    <w:rsid w:val="0078345B"/>
    <w:rsid w:val="0078376F"/>
    <w:rsid w:val="0078395B"/>
    <w:rsid w:val="007839CF"/>
    <w:rsid w:val="007839D0"/>
    <w:rsid w:val="007839DA"/>
    <w:rsid w:val="00783E42"/>
    <w:rsid w:val="00783E4D"/>
    <w:rsid w:val="0078415B"/>
    <w:rsid w:val="007841CC"/>
    <w:rsid w:val="007842AB"/>
    <w:rsid w:val="007844CD"/>
    <w:rsid w:val="007844D2"/>
    <w:rsid w:val="007845ED"/>
    <w:rsid w:val="0078469B"/>
    <w:rsid w:val="0078479E"/>
    <w:rsid w:val="00784857"/>
    <w:rsid w:val="007849AC"/>
    <w:rsid w:val="007849DB"/>
    <w:rsid w:val="00784A62"/>
    <w:rsid w:val="00784F01"/>
    <w:rsid w:val="00785029"/>
    <w:rsid w:val="0078524C"/>
    <w:rsid w:val="007853DE"/>
    <w:rsid w:val="007855A8"/>
    <w:rsid w:val="00785924"/>
    <w:rsid w:val="00785975"/>
    <w:rsid w:val="007859B2"/>
    <w:rsid w:val="007859C1"/>
    <w:rsid w:val="00785B7A"/>
    <w:rsid w:val="00785C67"/>
    <w:rsid w:val="00785EE1"/>
    <w:rsid w:val="00785F68"/>
    <w:rsid w:val="0078602C"/>
    <w:rsid w:val="007860FA"/>
    <w:rsid w:val="00786102"/>
    <w:rsid w:val="007861C9"/>
    <w:rsid w:val="0078620A"/>
    <w:rsid w:val="00786266"/>
    <w:rsid w:val="00786442"/>
    <w:rsid w:val="0078660E"/>
    <w:rsid w:val="007866AB"/>
    <w:rsid w:val="007867D5"/>
    <w:rsid w:val="00786A47"/>
    <w:rsid w:val="00786BC2"/>
    <w:rsid w:val="00786BED"/>
    <w:rsid w:val="00786DE1"/>
    <w:rsid w:val="00786E11"/>
    <w:rsid w:val="00786E63"/>
    <w:rsid w:val="00786E95"/>
    <w:rsid w:val="00786EA2"/>
    <w:rsid w:val="00786F2B"/>
    <w:rsid w:val="0078712C"/>
    <w:rsid w:val="0078715B"/>
    <w:rsid w:val="00787214"/>
    <w:rsid w:val="00787302"/>
    <w:rsid w:val="0078752C"/>
    <w:rsid w:val="007875DD"/>
    <w:rsid w:val="0078769F"/>
    <w:rsid w:val="007876D7"/>
    <w:rsid w:val="00787865"/>
    <w:rsid w:val="00787987"/>
    <w:rsid w:val="00787A0A"/>
    <w:rsid w:val="00787A44"/>
    <w:rsid w:val="00787AC8"/>
    <w:rsid w:val="00787B6F"/>
    <w:rsid w:val="00787BBD"/>
    <w:rsid w:val="00787D85"/>
    <w:rsid w:val="00787EB1"/>
    <w:rsid w:val="00787FB5"/>
    <w:rsid w:val="007900E3"/>
    <w:rsid w:val="007901B0"/>
    <w:rsid w:val="007903FC"/>
    <w:rsid w:val="00790657"/>
    <w:rsid w:val="00790930"/>
    <w:rsid w:val="007909B0"/>
    <w:rsid w:val="007909FD"/>
    <w:rsid w:val="00790A50"/>
    <w:rsid w:val="00790AC7"/>
    <w:rsid w:val="00790BE2"/>
    <w:rsid w:val="00790DD1"/>
    <w:rsid w:val="00790FE0"/>
    <w:rsid w:val="00791114"/>
    <w:rsid w:val="00791321"/>
    <w:rsid w:val="0079179B"/>
    <w:rsid w:val="0079184B"/>
    <w:rsid w:val="00791C62"/>
    <w:rsid w:val="00791D11"/>
    <w:rsid w:val="00791D88"/>
    <w:rsid w:val="00791E94"/>
    <w:rsid w:val="00792110"/>
    <w:rsid w:val="007923FB"/>
    <w:rsid w:val="007923FD"/>
    <w:rsid w:val="00792460"/>
    <w:rsid w:val="00792679"/>
    <w:rsid w:val="007927DA"/>
    <w:rsid w:val="00792920"/>
    <w:rsid w:val="00792B44"/>
    <w:rsid w:val="00792DA0"/>
    <w:rsid w:val="00792E12"/>
    <w:rsid w:val="00792E4B"/>
    <w:rsid w:val="00792ED6"/>
    <w:rsid w:val="0079346E"/>
    <w:rsid w:val="007935A1"/>
    <w:rsid w:val="0079369D"/>
    <w:rsid w:val="00793871"/>
    <w:rsid w:val="00793A71"/>
    <w:rsid w:val="00793AC4"/>
    <w:rsid w:val="00793B38"/>
    <w:rsid w:val="00793C40"/>
    <w:rsid w:val="00793DCA"/>
    <w:rsid w:val="00793EA4"/>
    <w:rsid w:val="0079408A"/>
    <w:rsid w:val="00794117"/>
    <w:rsid w:val="0079423E"/>
    <w:rsid w:val="007943C9"/>
    <w:rsid w:val="007944D1"/>
    <w:rsid w:val="00794591"/>
    <w:rsid w:val="007946AA"/>
    <w:rsid w:val="00794859"/>
    <w:rsid w:val="00794ACB"/>
    <w:rsid w:val="00794BAA"/>
    <w:rsid w:val="00794BC3"/>
    <w:rsid w:val="00794D61"/>
    <w:rsid w:val="00795374"/>
    <w:rsid w:val="0079546A"/>
    <w:rsid w:val="00795570"/>
    <w:rsid w:val="00795590"/>
    <w:rsid w:val="007955DE"/>
    <w:rsid w:val="00795678"/>
    <w:rsid w:val="007956E9"/>
    <w:rsid w:val="00795A87"/>
    <w:rsid w:val="00795C6C"/>
    <w:rsid w:val="00795DBC"/>
    <w:rsid w:val="00796213"/>
    <w:rsid w:val="00796499"/>
    <w:rsid w:val="00796AFF"/>
    <w:rsid w:val="00796B04"/>
    <w:rsid w:val="00796B2E"/>
    <w:rsid w:val="00796C07"/>
    <w:rsid w:val="00796E99"/>
    <w:rsid w:val="00796F1F"/>
    <w:rsid w:val="00796F58"/>
    <w:rsid w:val="007970B5"/>
    <w:rsid w:val="007971F7"/>
    <w:rsid w:val="00797262"/>
    <w:rsid w:val="007972A1"/>
    <w:rsid w:val="0079736F"/>
    <w:rsid w:val="007975A1"/>
    <w:rsid w:val="00797630"/>
    <w:rsid w:val="00797776"/>
    <w:rsid w:val="00797846"/>
    <w:rsid w:val="007979D3"/>
    <w:rsid w:val="00797B70"/>
    <w:rsid w:val="00797BFE"/>
    <w:rsid w:val="00797CE7"/>
    <w:rsid w:val="00797D31"/>
    <w:rsid w:val="00797E89"/>
    <w:rsid w:val="00797F5C"/>
    <w:rsid w:val="007A013F"/>
    <w:rsid w:val="007A01A9"/>
    <w:rsid w:val="007A04D7"/>
    <w:rsid w:val="007A0550"/>
    <w:rsid w:val="007A070B"/>
    <w:rsid w:val="007A0760"/>
    <w:rsid w:val="007A0BB5"/>
    <w:rsid w:val="007A10AD"/>
    <w:rsid w:val="007A1236"/>
    <w:rsid w:val="007A12AE"/>
    <w:rsid w:val="007A1471"/>
    <w:rsid w:val="007A15F9"/>
    <w:rsid w:val="007A1677"/>
    <w:rsid w:val="007A1A7F"/>
    <w:rsid w:val="007A1AA0"/>
    <w:rsid w:val="007A1AFF"/>
    <w:rsid w:val="007A1BD2"/>
    <w:rsid w:val="007A1C26"/>
    <w:rsid w:val="007A1D47"/>
    <w:rsid w:val="007A1E9A"/>
    <w:rsid w:val="007A1EFC"/>
    <w:rsid w:val="007A2193"/>
    <w:rsid w:val="007A21D4"/>
    <w:rsid w:val="007A249D"/>
    <w:rsid w:val="007A24F4"/>
    <w:rsid w:val="007A24FC"/>
    <w:rsid w:val="007A263A"/>
    <w:rsid w:val="007A277E"/>
    <w:rsid w:val="007A2859"/>
    <w:rsid w:val="007A28F2"/>
    <w:rsid w:val="007A2B5F"/>
    <w:rsid w:val="007A2E96"/>
    <w:rsid w:val="007A2F6B"/>
    <w:rsid w:val="007A302C"/>
    <w:rsid w:val="007A3065"/>
    <w:rsid w:val="007A30E0"/>
    <w:rsid w:val="007A312D"/>
    <w:rsid w:val="007A3256"/>
    <w:rsid w:val="007A32C2"/>
    <w:rsid w:val="007A3566"/>
    <w:rsid w:val="007A362B"/>
    <w:rsid w:val="007A37A1"/>
    <w:rsid w:val="007A39C6"/>
    <w:rsid w:val="007A3A40"/>
    <w:rsid w:val="007A3A6B"/>
    <w:rsid w:val="007A3CD2"/>
    <w:rsid w:val="007A3DD5"/>
    <w:rsid w:val="007A3FD7"/>
    <w:rsid w:val="007A3FD9"/>
    <w:rsid w:val="007A3FDA"/>
    <w:rsid w:val="007A4103"/>
    <w:rsid w:val="007A41F9"/>
    <w:rsid w:val="007A4202"/>
    <w:rsid w:val="007A44C6"/>
    <w:rsid w:val="007A46D8"/>
    <w:rsid w:val="007A4CB7"/>
    <w:rsid w:val="007A4D12"/>
    <w:rsid w:val="007A4D2D"/>
    <w:rsid w:val="007A4D51"/>
    <w:rsid w:val="007A549C"/>
    <w:rsid w:val="007A570A"/>
    <w:rsid w:val="007A57BC"/>
    <w:rsid w:val="007A5870"/>
    <w:rsid w:val="007A591E"/>
    <w:rsid w:val="007A592D"/>
    <w:rsid w:val="007A5B8D"/>
    <w:rsid w:val="007A5C26"/>
    <w:rsid w:val="007A5D26"/>
    <w:rsid w:val="007A5F20"/>
    <w:rsid w:val="007A5F7C"/>
    <w:rsid w:val="007A605D"/>
    <w:rsid w:val="007A6063"/>
    <w:rsid w:val="007A608B"/>
    <w:rsid w:val="007A611D"/>
    <w:rsid w:val="007A6299"/>
    <w:rsid w:val="007A63D0"/>
    <w:rsid w:val="007A648C"/>
    <w:rsid w:val="007A68BC"/>
    <w:rsid w:val="007A69A0"/>
    <w:rsid w:val="007A6A40"/>
    <w:rsid w:val="007A6B44"/>
    <w:rsid w:val="007A6E61"/>
    <w:rsid w:val="007A71F5"/>
    <w:rsid w:val="007A7293"/>
    <w:rsid w:val="007A7592"/>
    <w:rsid w:val="007A763A"/>
    <w:rsid w:val="007A765B"/>
    <w:rsid w:val="007A76B4"/>
    <w:rsid w:val="007A76D1"/>
    <w:rsid w:val="007A78D9"/>
    <w:rsid w:val="007A7957"/>
    <w:rsid w:val="007A798B"/>
    <w:rsid w:val="007A7BB9"/>
    <w:rsid w:val="007A7C74"/>
    <w:rsid w:val="007A7D79"/>
    <w:rsid w:val="007A7E2C"/>
    <w:rsid w:val="007A7E3E"/>
    <w:rsid w:val="007A7ED6"/>
    <w:rsid w:val="007A7F13"/>
    <w:rsid w:val="007B019D"/>
    <w:rsid w:val="007B0396"/>
    <w:rsid w:val="007B05C3"/>
    <w:rsid w:val="007B066B"/>
    <w:rsid w:val="007B0AD0"/>
    <w:rsid w:val="007B0BD3"/>
    <w:rsid w:val="007B0E60"/>
    <w:rsid w:val="007B0EE0"/>
    <w:rsid w:val="007B0FC9"/>
    <w:rsid w:val="007B101D"/>
    <w:rsid w:val="007B1092"/>
    <w:rsid w:val="007B11C4"/>
    <w:rsid w:val="007B124B"/>
    <w:rsid w:val="007B1253"/>
    <w:rsid w:val="007B16DC"/>
    <w:rsid w:val="007B1CB2"/>
    <w:rsid w:val="007B1DA5"/>
    <w:rsid w:val="007B1E2A"/>
    <w:rsid w:val="007B1F0C"/>
    <w:rsid w:val="007B1FE0"/>
    <w:rsid w:val="007B20A5"/>
    <w:rsid w:val="007B245E"/>
    <w:rsid w:val="007B25EC"/>
    <w:rsid w:val="007B2656"/>
    <w:rsid w:val="007B2691"/>
    <w:rsid w:val="007B27C3"/>
    <w:rsid w:val="007B2A44"/>
    <w:rsid w:val="007B2D4A"/>
    <w:rsid w:val="007B2DF7"/>
    <w:rsid w:val="007B2E20"/>
    <w:rsid w:val="007B2F7B"/>
    <w:rsid w:val="007B2FB0"/>
    <w:rsid w:val="007B3065"/>
    <w:rsid w:val="007B3355"/>
    <w:rsid w:val="007B349C"/>
    <w:rsid w:val="007B34FC"/>
    <w:rsid w:val="007B35DB"/>
    <w:rsid w:val="007B35DC"/>
    <w:rsid w:val="007B36B6"/>
    <w:rsid w:val="007B36F4"/>
    <w:rsid w:val="007B377D"/>
    <w:rsid w:val="007B3784"/>
    <w:rsid w:val="007B38D9"/>
    <w:rsid w:val="007B39D5"/>
    <w:rsid w:val="007B3BD7"/>
    <w:rsid w:val="007B3C27"/>
    <w:rsid w:val="007B3E2F"/>
    <w:rsid w:val="007B4155"/>
    <w:rsid w:val="007B441C"/>
    <w:rsid w:val="007B4466"/>
    <w:rsid w:val="007B4524"/>
    <w:rsid w:val="007B48A3"/>
    <w:rsid w:val="007B48FD"/>
    <w:rsid w:val="007B492A"/>
    <w:rsid w:val="007B4B44"/>
    <w:rsid w:val="007B4EF7"/>
    <w:rsid w:val="007B5111"/>
    <w:rsid w:val="007B53D6"/>
    <w:rsid w:val="007B5478"/>
    <w:rsid w:val="007B5500"/>
    <w:rsid w:val="007B5779"/>
    <w:rsid w:val="007B57C1"/>
    <w:rsid w:val="007B5920"/>
    <w:rsid w:val="007B5B52"/>
    <w:rsid w:val="007B5BE0"/>
    <w:rsid w:val="007B5CA0"/>
    <w:rsid w:val="007B6265"/>
    <w:rsid w:val="007B63CC"/>
    <w:rsid w:val="007B6509"/>
    <w:rsid w:val="007B6806"/>
    <w:rsid w:val="007B6936"/>
    <w:rsid w:val="007B6976"/>
    <w:rsid w:val="007B6AAE"/>
    <w:rsid w:val="007B6C9C"/>
    <w:rsid w:val="007B6D0C"/>
    <w:rsid w:val="007B7029"/>
    <w:rsid w:val="007B70FD"/>
    <w:rsid w:val="007B75A9"/>
    <w:rsid w:val="007B7691"/>
    <w:rsid w:val="007B76E9"/>
    <w:rsid w:val="007B7776"/>
    <w:rsid w:val="007B7AD0"/>
    <w:rsid w:val="007B7C37"/>
    <w:rsid w:val="007C0185"/>
    <w:rsid w:val="007C02B9"/>
    <w:rsid w:val="007C030D"/>
    <w:rsid w:val="007C0342"/>
    <w:rsid w:val="007C03D4"/>
    <w:rsid w:val="007C07B1"/>
    <w:rsid w:val="007C085D"/>
    <w:rsid w:val="007C0962"/>
    <w:rsid w:val="007C0A5A"/>
    <w:rsid w:val="007C0B5E"/>
    <w:rsid w:val="007C0B7E"/>
    <w:rsid w:val="007C0CD6"/>
    <w:rsid w:val="007C10F4"/>
    <w:rsid w:val="007C12CE"/>
    <w:rsid w:val="007C12F7"/>
    <w:rsid w:val="007C131E"/>
    <w:rsid w:val="007C13C1"/>
    <w:rsid w:val="007C15FB"/>
    <w:rsid w:val="007C1750"/>
    <w:rsid w:val="007C1889"/>
    <w:rsid w:val="007C1BDE"/>
    <w:rsid w:val="007C1DA6"/>
    <w:rsid w:val="007C1DFD"/>
    <w:rsid w:val="007C200F"/>
    <w:rsid w:val="007C20F1"/>
    <w:rsid w:val="007C224D"/>
    <w:rsid w:val="007C23EE"/>
    <w:rsid w:val="007C240E"/>
    <w:rsid w:val="007C257E"/>
    <w:rsid w:val="007C2677"/>
    <w:rsid w:val="007C2AED"/>
    <w:rsid w:val="007C2B30"/>
    <w:rsid w:val="007C2BF9"/>
    <w:rsid w:val="007C2C61"/>
    <w:rsid w:val="007C2CE1"/>
    <w:rsid w:val="007C2DAD"/>
    <w:rsid w:val="007C2DF1"/>
    <w:rsid w:val="007C2E99"/>
    <w:rsid w:val="007C2F69"/>
    <w:rsid w:val="007C2FD8"/>
    <w:rsid w:val="007C3030"/>
    <w:rsid w:val="007C325C"/>
    <w:rsid w:val="007C35D8"/>
    <w:rsid w:val="007C35DF"/>
    <w:rsid w:val="007C3686"/>
    <w:rsid w:val="007C38F7"/>
    <w:rsid w:val="007C3909"/>
    <w:rsid w:val="007C3A78"/>
    <w:rsid w:val="007C3D19"/>
    <w:rsid w:val="007C3DF9"/>
    <w:rsid w:val="007C405A"/>
    <w:rsid w:val="007C41A9"/>
    <w:rsid w:val="007C4214"/>
    <w:rsid w:val="007C42D4"/>
    <w:rsid w:val="007C43CF"/>
    <w:rsid w:val="007C4448"/>
    <w:rsid w:val="007C492C"/>
    <w:rsid w:val="007C497E"/>
    <w:rsid w:val="007C4A17"/>
    <w:rsid w:val="007C4B43"/>
    <w:rsid w:val="007C4B88"/>
    <w:rsid w:val="007C4BD6"/>
    <w:rsid w:val="007C4BF7"/>
    <w:rsid w:val="007C4C87"/>
    <w:rsid w:val="007C4F51"/>
    <w:rsid w:val="007C5252"/>
    <w:rsid w:val="007C5280"/>
    <w:rsid w:val="007C5540"/>
    <w:rsid w:val="007C561C"/>
    <w:rsid w:val="007C562B"/>
    <w:rsid w:val="007C58BA"/>
    <w:rsid w:val="007C5941"/>
    <w:rsid w:val="007C59C0"/>
    <w:rsid w:val="007C5AF2"/>
    <w:rsid w:val="007C5C4E"/>
    <w:rsid w:val="007C5E6E"/>
    <w:rsid w:val="007C5EAA"/>
    <w:rsid w:val="007C5FD1"/>
    <w:rsid w:val="007C61B7"/>
    <w:rsid w:val="007C632A"/>
    <w:rsid w:val="007C65E5"/>
    <w:rsid w:val="007C6695"/>
    <w:rsid w:val="007C66E0"/>
    <w:rsid w:val="007C68E7"/>
    <w:rsid w:val="007C6938"/>
    <w:rsid w:val="007C6C25"/>
    <w:rsid w:val="007C6D06"/>
    <w:rsid w:val="007C6ED1"/>
    <w:rsid w:val="007C706D"/>
    <w:rsid w:val="007C70C2"/>
    <w:rsid w:val="007C710B"/>
    <w:rsid w:val="007C7249"/>
    <w:rsid w:val="007C7371"/>
    <w:rsid w:val="007C73AD"/>
    <w:rsid w:val="007C74C1"/>
    <w:rsid w:val="007C7866"/>
    <w:rsid w:val="007C79E4"/>
    <w:rsid w:val="007C7A5D"/>
    <w:rsid w:val="007C7A9F"/>
    <w:rsid w:val="007C7ECD"/>
    <w:rsid w:val="007D04B6"/>
    <w:rsid w:val="007D0532"/>
    <w:rsid w:val="007D055F"/>
    <w:rsid w:val="007D071A"/>
    <w:rsid w:val="007D075C"/>
    <w:rsid w:val="007D07C4"/>
    <w:rsid w:val="007D08B9"/>
    <w:rsid w:val="007D0A8A"/>
    <w:rsid w:val="007D0B93"/>
    <w:rsid w:val="007D0C3E"/>
    <w:rsid w:val="007D0E98"/>
    <w:rsid w:val="007D0EC1"/>
    <w:rsid w:val="007D0FA7"/>
    <w:rsid w:val="007D1064"/>
    <w:rsid w:val="007D11A9"/>
    <w:rsid w:val="007D138E"/>
    <w:rsid w:val="007D16CC"/>
    <w:rsid w:val="007D1C13"/>
    <w:rsid w:val="007D2191"/>
    <w:rsid w:val="007D21B7"/>
    <w:rsid w:val="007D2A1B"/>
    <w:rsid w:val="007D2D42"/>
    <w:rsid w:val="007D2EAD"/>
    <w:rsid w:val="007D300C"/>
    <w:rsid w:val="007D3396"/>
    <w:rsid w:val="007D35EB"/>
    <w:rsid w:val="007D374C"/>
    <w:rsid w:val="007D3818"/>
    <w:rsid w:val="007D399A"/>
    <w:rsid w:val="007D39AB"/>
    <w:rsid w:val="007D3A0F"/>
    <w:rsid w:val="007D3A13"/>
    <w:rsid w:val="007D4014"/>
    <w:rsid w:val="007D408F"/>
    <w:rsid w:val="007D41DB"/>
    <w:rsid w:val="007D4230"/>
    <w:rsid w:val="007D4242"/>
    <w:rsid w:val="007D425E"/>
    <w:rsid w:val="007D43ED"/>
    <w:rsid w:val="007D44EA"/>
    <w:rsid w:val="007D44F8"/>
    <w:rsid w:val="007D4593"/>
    <w:rsid w:val="007D4633"/>
    <w:rsid w:val="007D46B5"/>
    <w:rsid w:val="007D47C4"/>
    <w:rsid w:val="007D4836"/>
    <w:rsid w:val="007D48C3"/>
    <w:rsid w:val="007D49B4"/>
    <w:rsid w:val="007D4A36"/>
    <w:rsid w:val="007D4AB8"/>
    <w:rsid w:val="007D4C8F"/>
    <w:rsid w:val="007D4DC7"/>
    <w:rsid w:val="007D517B"/>
    <w:rsid w:val="007D5212"/>
    <w:rsid w:val="007D5291"/>
    <w:rsid w:val="007D5507"/>
    <w:rsid w:val="007D55F6"/>
    <w:rsid w:val="007D5A31"/>
    <w:rsid w:val="007D5A99"/>
    <w:rsid w:val="007D5AE2"/>
    <w:rsid w:val="007D5C2A"/>
    <w:rsid w:val="007D5CFB"/>
    <w:rsid w:val="007D5E32"/>
    <w:rsid w:val="007D608A"/>
    <w:rsid w:val="007D6158"/>
    <w:rsid w:val="007D61EF"/>
    <w:rsid w:val="007D620B"/>
    <w:rsid w:val="007D62A9"/>
    <w:rsid w:val="007D63A8"/>
    <w:rsid w:val="007D649D"/>
    <w:rsid w:val="007D64B4"/>
    <w:rsid w:val="007D6504"/>
    <w:rsid w:val="007D653C"/>
    <w:rsid w:val="007D658B"/>
    <w:rsid w:val="007D6B09"/>
    <w:rsid w:val="007D6C0A"/>
    <w:rsid w:val="007D6D29"/>
    <w:rsid w:val="007D70D2"/>
    <w:rsid w:val="007D7177"/>
    <w:rsid w:val="007D7201"/>
    <w:rsid w:val="007D7226"/>
    <w:rsid w:val="007D722E"/>
    <w:rsid w:val="007D72B1"/>
    <w:rsid w:val="007D72F5"/>
    <w:rsid w:val="007D751A"/>
    <w:rsid w:val="007D757D"/>
    <w:rsid w:val="007D75A9"/>
    <w:rsid w:val="007D777B"/>
    <w:rsid w:val="007D7AC8"/>
    <w:rsid w:val="007D7B42"/>
    <w:rsid w:val="007D7BD4"/>
    <w:rsid w:val="007D7E14"/>
    <w:rsid w:val="007D7F6D"/>
    <w:rsid w:val="007DAB40"/>
    <w:rsid w:val="007E01FA"/>
    <w:rsid w:val="007E0254"/>
    <w:rsid w:val="007E03F4"/>
    <w:rsid w:val="007E0588"/>
    <w:rsid w:val="007E0748"/>
    <w:rsid w:val="007E0766"/>
    <w:rsid w:val="007E08B0"/>
    <w:rsid w:val="007E08F6"/>
    <w:rsid w:val="007E09EC"/>
    <w:rsid w:val="007E0F03"/>
    <w:rsid w:val="007E1325"/>
    <w:rsid w:val="007E15C6"/>
    <w:rsid w:val="007E1627"/>
    <w:rsid w:val="007E178A"/>
    <w:rsid w:val="007E1AF7"/>
    <w:rsid w:val="007E1C1C"/>
    <w:rsid w:val="007E1CB2"/>
    <w:rsid w:val="007E1E91"/>
    <w:rsid w:val="007E235F"/>
    <w:rsid w:val="007E2442"/>
    <w:rsid w:val="007E250C"/>
    <w:rsid w:val="007E25B8"/>
    <w:rsid w:val="007E28CA"/>
    <w:rsid w:val="007E28CB"/>
    <w:rsid w:val="007E2936"/>
    <w:rsid w:val="007E2A1F"/>
    <w:rsid w:val="007E2C5C"/>
    <w:rsid w:val="007E2C87"/>
    <w:rsid w:val="007E2D65"/>
    <w:rsid w:val="007E2DAB"/>
    <w:rsid w:val="007E2E8C"/>
    <w:rsid w:val="007E3296"/>
    <w:rsid w:val="007E3585"/>
    <w:rsid w:val="007E363D"/>
    <w:rsid w:val="007E38EC"/>
    <w:rsid w:val="007E3A30"/>
    <w:rsid w:val="007E3A8F"/>
    <w:rsid w:val="007E3BCB"/>
    <w:rsid w:val="007E3D0D"/>
    <w:rsid w:val="007E3D4E"/>
    <w:rsid w:val="007E3DE2"/>
    <w:rsid w:val="007E3F95"/>
    <w:rsid w:val="007E3F9C"/>
    <w:rsid w:val="007E421F"/>
    <w:rsid w:val="007E4954"/>
    <w:rsid w:val="007E4B8E"/>
    <w:rsid w:val="007E4BB5"/>
    <w:rsid w:val="007E5053"/>
    <w:rsid w:val="007E5057"/>
    <w:rsid w:val="007E5118"/>
    <w:rsid w:val="007E5221"/>
    <w:rsid w:val="007E522F"/>
    <w:rsid w:val="007E53EA"/>
    <w:rsid w:val="007E5492"/>
    <w:rsid w:val="007E55F7"/>
    <w:rsid w:val="007E5610"/>
    <w:rsid w:val="007E572D"/>
    <w:rsid w:val="007E5732"/>
    <w:rsid w:val="007E598E"/>
    <w:rsid w:val="007E59E3"/>
    <w:rsid w:val="007E5A70"/>
    <w:rsid w:val="007E5A9C"/>
    <w:rsid w:val="007E5C42"/>
    <w:rsid w:val="007E5CD9"/>
    <w:rsid w:val="007E5E2E"/>
    <w:rsid w:val="007E5EFC"/>
    <w:rsid w:val="007E632A"/>
    <w:rsid w:val="007E6575"/>
    <w:rsid w:val="007E66AF"/>
    <w:rsid w:val="007E6771"/>
    <w:rsid w:val="007E6AA3"/>
    <w:rsid w:val="007E6B01"/>
    <w:rsid w:val="007E6B44"/>
    <w:rsid w:val="007E6B45"/>
    <w:rsid w:val="007E6C03"/>
    <w:rsid w:val="007E6C44"/>
    <w:rsid w:val="007E6F1E"/>
    <w:rsid w:val="007E70DE"/>
    <w:rsid w:val="007E72F1"/>
    <w:rsid w:val="007E7551"/>
    <w:rsid w:val="007E760A"/>
    <w:rsid w:val="007E770A"/>
    <w:rsid w:val="007E77C6"/>
    <w:rsid w:val="007E7800"/>
    <w:rsid w:val="007E7880"/>
    <w:rsid w:val="007E798F"/>
    <w:rsid w:val="007E799B"/>
    <w:rsid w:val="007E7A8A"/>
    <w:rsid w:val="007F0138"/>
    <w:rsid w:val="007F04FA"/>
    <w:rsid w:val="007F0879"/>
    <w:rsid w:val="007F0997"/>
    <w:rsid w:val="007F09D1"/>
    <w:rsid w:val="007F0A35"/>
    <w:rsid w:val="007F0C00"/>
    <w:rsid w:val="007F0D43"/>
    <w:rsid w:val="007F0E1F"/>
    <w:rsid w:val="007F11BA"/>
    <w:rsid w:val="007F1226"/>
    <w:rsid w:val="007F122D"/>
    <w:rsid w:val="007F12EA"/>
    <w:rsid w:val="007F14D7"/>
    <w:rsid w:val="007F1601"/>
    <w:rsid w:val="007F1715"/>
    <w:rsid w:val="007F18B3"/>
    <w:rsid w:val="007F1AEC"/>
    <w:rsid w:val="007F1CAC"/>
    <w:rsid w:val="007F1DD5"/>
    <w:rsid w:val="007F1EEA"/>
    <w:rsid w:val="007F20C3"/>
    <w:rsid w:val="007F2150"/>
    <w:rsid w:val="007F238E"/>
    <w:rsid w:val="007F2538"/>
    <w:rsid w:val="007F28B8"/>
    <w:rsid w:val="007F28E7"/>
    <w:rsid w:val="007F296E"/>
    <w:rsid w:val="007F29A0"/>
    <w:rsid w:val="007F2E59"/>
    <w:rsid w:val="007F2F21"/>
    <w:rsid w:val="007F30BA"/>
    <w:rsid w:val="007F318A"/>
    <w:rsid w:val="007F31B6"/>
    <w:rsid w:val="007F334D"/>
    <w:rsid w:val="007F3386"/>
    <w:rsid w:val="007F349A"/>
    <w:rsid w:val="007F39A5"/>
    <w:rsid w:val="007F39D3"/>
    <w:rsid w:val="007F3AB7"/>
    <w:rsid w:val="007F3AEA"/>
    <w:rsid w:val="007F3BB2"/>
    <w:rsid w:val="007F3BC0"/>
    <w:rsid w:val="007F3E01"/>
    <w:rsid w:val="007F3F5B"/>
    <w:rsid w:val="007F4177"/>
    <w:rsid w:val="007F423C"/>
    <w:rsid w:val="007F428F"/>
    <w:rsid w:val="007F449A"/>
    <w:rsid w:val="007F45B6"/>
    <w:rsid w:val="007F4622"/>
    <w:rsid w:val="007F49FD"/>
    <w:rsid w:val="007F4AAA"/>
    <w:rsid w:val="007F4B05"/>
    <w:rsid w:val="007F4B70"/>
    <w:rsid w:val="007F4BA8"/>
    <w:rsid w:val="007F4BDD"/>
    <w:rsid w:val="007F4E98"/>
    <w:rsid w:val="007F4F45"/>
    <w:rsid w:val="007F541E"/>
    <w:rsid w:val="007F546C"/>
    <w:rsid w:val="007F54D4"/>
    <w:rsid w:val="007F565D"/>
    <w:rsid w:val="007F5770"/>
    <w:rsid w:val="007F580E"/>
    <w:rsid w:val="007F5822"/>
    <w:rsid w:val="007F5886"/>
    <w:rsid w:val="007F5D66"/>
    <w:rsid w:val="007F5E2F"/>
    <w:rsid w:val="007F6030"/>
    <w:rsid w:val="007F6108"/>
    <w:rsid w:val="007F6142"/>
    <w:rsid w:val="007F6606"/>
    <w:rsid w:val="007F6AC2"/>
    <w:rsid w:val="007F6D0C"/>
    <w:rsid w:val="007F6E0D"/>
    <w:rsid w:val="007F6F3D"/>
    <w:rsid w:val="007F71C0"/>
    <w:rsid w:val="007F789F"/>
    <w:rsid w:val="007F7AF5"/>
    <w:rsid w:val="0080021B"/>
    <w:rsid w:val="0080023D"/>
    <w:rsid w:val="008002AA"/>
    <w:rsid w:val="00800307"/>
    <w:rsid w:val="00800360"/>
    <w:rsid w:val="0080046A"/>
    <w:rsid w:val="0080049A"/>
    <w:rsid w:val="00800694"/>
    <w:rsid w:val="00800803"/>
    <w:rsid w:val="00800825"/>
    <w:rsid w:val="0080088D"/>
    <w:rsid w:val="00800991"/>
    <w:rsid w:val="00800B0B"/>
    <w:rsid w:val="00800B26"/>
    <w:rsid w:val="00800FF3"/>
    <w:rsid w:val="008010F1"/>
    <w:rsid w:val="008012A2"/>
    <w:rsid w:val="00801456"/>
    <w:rsid w:val="00801485"/>
    <w:rsid w:val="00801785"/>
    <w:rsid w:val="00801951"/>
    <w:rsid w:val="00801968"/>
    <w:rsid w:val="00801AC1"/>
    <w:rsid w:val="00801C0B"/>
    <w:rsid w:val="00801C34"/>
    <w:rsid w:val="00801E27"/>
    <w:rsid w:val="008022AC"/>
    <w:rsid w:val="00802598"/>
    <w:rsid w:val="008026CF"/>
    <w:rsid w:val="00802741"/>
    <w:rsid w:val="0080286B"/>
    <w:rsid w:val="00802B96"/>
    <w:rsid w:val="00802C50"/>
    <w:rsid w:val="00802C7E"/>
    <w:rsid w:val="00803067"/>
    <w:rsid w:val="0080309D"/>
    <w:rsid w:val="00803144"/>
    <w:rsid w:val="0080316A"/>
    <w:rsid w:val="008031A6"/>
    <w:rsid w:val="008031EB"/>
    <w:rsid w:val="00803563"/>
    <w:rsid w:val="0080363A"/>
    <w:rsid w:val="0080364E"/>
    <w:rsid w:val="008036D8"/>
    <w:rsid w:val="008039D6"/>
    <w:rsid w:val="00803D21"/>
    <w:rsid w:val="00803F87"/>
    <w:rsid w:val="00803FBF"/>
    <w:rsid w:val="008040B6"/>
    <w:rsid w:val="00804122"/>
    <w:rsid w:val="0080447A"/>
    <w:rsid w:val="00804621"/>
    <w:rsid w:val="00804A95"/>
    <w:rsid w:val="00804B3A"/>
    <w:rsid w:val="00804B54"/>
    <w:rsid w:val="00804C5E"/>
    <w:rsid w:val="00804CB4"/>
    <w:rsid w:val="00804E8A"/>
    <w:rsid w:val="00804E90"/>
    <w:rsid w:val="00804F0E"/>
    <w:rsid w:val="00804FD4"/>
    <w:rsid w:val="00804FE8"/>
    <w:rsid w:val="0080506B"/>
    <w:rsid w:val="0080517E"/>
    <w:rsid w:val="008051B9"/>
    <w:rsid w:val="008051C2"/>
    <w:rsid w:val="00805253"/>
    <w:rsid w:val="008052BC"/>
    <w:rsid w:val="0080541B"/>
    <w:rsid w:val="00805790"/>
    <w:rsid w:val="00805851"/>
    <w:rsid w:val="0080585E"/>
    <w:rsid w:val="0080599D"/>
    <w:rsid w:val="00805B76"/>
    <w:rsid w:val="00805F32"/>
    <w:rsid w:val="00805FAA"/>
    <w:rsid w:val="008060B2"/>
    <w:rsid w:val="0080619F"/>
    <w:rsid w:val="0080657E"/>
    <w:rsid w:val="008065E5"/>
    <w:rsid w:val="008066D4"/>
    <w:rsid w:val="00806A6F"/>
    <w:rsid w:val="00806DD2"/>
    <w:rsid w:val="00806EBB"/>
    <w:rsid w:val="00806F58"/>
    <w:rsid w:val="00806F85"/>
    <w:rsid w:val="008070AD"/>
    <w:rsid w:val="0080713A"/>
    <w:rsid w:val="008074C7"/>
    <w:rsid w:val="00807541"/>
    <w:rsid w:val="00807568"/>
    <w:rsid w:val="008075C2"/>
    <w:rsid w:val="00807770"/>
    <w:rsid w:val="008077AC"/>
    <w:rsid w:val="008078B9"/>
    <w:rsid w:val="0080799E"/>
    <w:rsid w:val="008079F6"/>
    <w:rsid w:val="00807AB3"/>
    <w:rsid w:val="00807B8E"/>
    <w:rsid w:val="00807C57"/>
    <w:rsid w:val="00807D80"/>
    <w:rsid w:val="00807DEA"/>
    <w:rsid w:val="00810036"/>
    <w:rsid w:val="008100FB"/>
    <w:rsid w:val="00810136"/>
    <w:rsid w:val="0081082F"/>
    <w:rsid w:val="0081092D"/>
    <w:rsid w:val="00810A18"/>
    <w:rsid w:val="00810A7D"/>
    <w:rsid w:val="00810A9E"/>
    <w:rsid w:val="00810BF3"/>
    <w:rsid w:val="00811186"/>
    <w:rsid w:val="00811200"/>
    <w:rsid w:val="00811253"/>
    <w:rsid w:val="008113CF"/>
    <w:rsid w:val="008116DB"/>
    <w:rsid w:val="008116E1"/>
    <w:rsid w:val="0081178D"/>
    <w:rsid w:val="00811997"/>
    <w:rsid w:val="008119FD"/>
    <w:rsid w:val="00811D6A"/>
    <w:rsid w:val="00811F64"/>
    <w:rsid w:val="00812008"/>
    <w:rsid w:val="00812027"/>
    <w:rsid w:val="00812158"/>
    <w:rsid w:val="0081215A"/>
    <w:rsid w:val="008121E1"/>
    <w:rsid w:val="008124E0"/>
    <w:rsid w:val="0081252E"/>
    <w:rsid w:val="008126DB"/>
    <w:rsid w:val="008126DD"/>
    <w:rsid w:val="008126F7"/>
    <w:rsid w:val="00812900"/>
    <w:rsid w:val="00812A5C"/>
    <w:rsid w:val="00812C15"/>
    <w:rsid w:val="00812C32"/>
    <w:rsid w:val="00812E75"/>
    <w:rsid w:val="00812FBF"/>
    <w:rsid w:val="008130C5"/>
    <w:rsid w:val="00813317"/>
    <w:rsid w:val="0081339C"/>
    <w:rsid w:val="008135FB"/>
    <w:rsid w:val="0081390E"/>
    <w:rsid w:val="0081390F"/>
    <w:rsid w:val="00813C24"/>
    <w:rsid w:val="00813DA1"/>
    <w:rsid w:val="00813E1E"/>
    <w:rsid w:val="00813E98"/>
    <w:rsid w:val="00813F6F"/>
    <w:rsid w:val="00813F99"/>
    <w:rsid w:val="008140A5"/>
    <w:rsid w:val="00814109"/>
    <w:rsid w:val="00814166"/>
    <w:rsid w:val="008141E0"/>
    <w:rsid w:val="00814310"/>
    <w:rsid w:val="008144D6"/>
    <w:rsid w:val="0081450F"/>
    <w:rsid w:val="008149C3"/>
    <w:rsid w:val="00814B0A"/>
    <w:rsid w:val="00814C8A"/>
    <w:rsid w:val="00814D04"/>
    <w:rsid w:val="00814DBB"/>
    <w:rsid w:val="00814F4E"/>
    <w:rsid w:val="00814F8F"/>
    <w:rsid w:val="0081509C"/>
    <w:rsid w:val="00815304"/>
    <w:rsid w:val="0081547A"/>
    <w:rsid w:val="00815521"/>
    <w:rsid w:val="0081572A"/>
    <w:rsid w:val="008157E9"/>
    <w:rsid w:val="00815811"/>
    <w:rsid w:val="0081598C"/>
    <w:rsid w:val="00815BFF"/>
    <w:rsid w:val="00815D96"/>
    <w:rsid w:val="00815EC5"/>
    <w:rsid w:val="00816037"/>
    <w:rsid w:val="008160B0"/>
    <w:rsid w:val="008161C8"/>
    <w:rsid w:val="00816294"/>
    <w:rsid w:val="0081638E"/>
    <w:rsid w:val="00816414"/>
    <w:rsid w:val="0081654B"/>
    <w:rsid w:val="00816599"/>
    <w:rsid w:val="00816752"/>
    <w:rsid w:val="00816790"/>
    <w:rsid w:val="00816929"/>
    <w:rsid w:val="00816B6E"/>
    <w:rsid w:val="00816CB1"/>
    <w:rsid w:val="00816D20"/>
    <w:rsid w:val="00817596"/>
    <w:rsid w:val="008178B7"/>
    <w:rsid w:val="00817941"/>
    <w:rsid w:val="00817A07"/>
    <w:rsid w:val="00817BD8"/>
    <w:rsid w:val="00817CEB"/>
    <w:rsid w:val="00817D6D"/>
    <w:rsid w:val="00817D98"/>
    <w:rsid w:val="00817DA8"/>
    <w:rsid w:val="00817DE5"/>
    <w:rsid w:val="00817FB0"/>
    <w:rsid w:val="00820220"/>
    <w:rsid w:val="00820244"/>
    <w:rsid w:val="0082033F"/>
    <w:rsid w:val="008203CE"/>
    <w:rsid w:val="0082057C"/>
    <w:rsid w:val="008206D3"/>
    <w:rsid w:val="008206FE"/>
    <w:rsid w:val="00820A81"/>
    <w:rsid w:val="00820B16"/>
    <w:rsid w:val="00820FA5"/>
    <w:rsid w:val="008210AE"/>
    <w:rsid w:val="008210D2"/>
    <w:rsid w:val="00821104"/>
    <w:rsid w:val="008213EC"/>
    <w:rsid w:val="00821488"/>
    <w:rsid w:val="008214C2"/>
    <w:rsid w:val="00821535"/>
    <w:rsid w:val="00821558"/>
    <w:rsid w:val="0082178D"/>
    <w:rsid w:val="00821925"/>
    <w:rsid w:val="0082193B"/>
    <w:rsid w:val="00821A99"/>
    <w:rsid w:val="00821AA6"/>
    <w:rsid w:val="00821C8F"/>
    <w:rsid w:val="00821D8C"/>
    <w:rsid w:val="00821F07"/>
    <w:rsid w:val="00821F89"/>
    <w:rsid w:val="008220A0"/>
    <w:rsid w:val="008221E9"/>
    <w:rsid w:val="0082224A"/>
    <w:rsid w:val="00822382"/>
    <w:rsid w:val="008223E3"/>
    <w:rsid w:val="00822707"/>
    <w:rsid w:val="00822761"/>
    <w:rsid w:val="00822CA4"/>
    <w:rsid w:val="00822D47"/>
    <w:rsid w:val="00822E93"/>
    <w:rsid w:val="00822EDE"/>
    <w:rsid w:val="00822FA7"/>
    <w:rsid w:val="0082304B"/>
    <w:rsid w:val="00823127"/>
    <w:rsid w:val="008231C8"/>
    <w:rsid w:val="008231F3"/>
    <w:rsid w:val="0082338B"/>
    <w:rsid w:val="008235D6"/>
    <w:rsid w:val="0082360C"/>
    <w:rsid w:val="008239DF"/>
    <w:rsid w:val="00823EA4"/>
    <w:rsid w:val="00823EE4"/>
    <w:rsid w:val="008246B5"/>
    <w:rsid w:val="00824778"/>
    <w:rsid w:val="008247B6"/>
    <w:rsid w:val="00824A36"/>
    <w:rsid w:val="00825009"/>
    <w:rsid w:val="00825305"/>
    <w:rsid w:val="008253E2"/>
    <w:rsid w:val="00825450"/>
    <w:rsid w:val="00825481"/>
    <w:rsid w:val="00825610"/>
    <w:rsid w:val="00825A7B"/>
    <w:rsid w:val="00825C0A"/>
    <w:rsid w:val="00825C44"/>
    <w:rsid w:val="00825C51"/>
    <w:rsid w:val="00825ECB"/>
    <w:rsid w:val="008261DD"/>
    <w:rsid w:val="0082630B"/>
    <w:rsid w:val="00826333"/>
    <w:rsid w:val="008266CB"/>
    <w:rsid w:val="00826700"/>
    <w:rsid w:val="008267A5"/>
    <w:rsid w:val="00826A4B"/>
    <w:rsid w:val="00826B7D"/>
    <w:rsid w:val="00826FF7"/>
    <w:rsid w:val="00827035"/>
    <w:rsid w:val="00827058"/>
    <w:rsid w:val="00827121"/>
    <w:rsid w:val="008271D6"/>
    <w:rsid w:val="0082747B"/>
    <w:rsid w:val="008274C6"/>
    <w:rsid w:val="008276DF"/>
    <w:rsid w:val="0082775A"/>
    <w:rsid w:val="00827800"/>
    <w:rsid w:val="00827A53"/>
    <w:rsid w:val="00827BD0"/>
    <w:rsid w:val="00827C48"/>
    <w:rsid w:val="00827C74"/>
    <w:rsid w:val="00827E05"/>
    <w:rsid w:val="00830040"/>
    <w:rsid w:val="00830280"/>
    <w:rsid w:val="0083028D"/>
    <w:rsid w:val="008302DB"/>
    <w:rsid w:val="00830433"/>
    <w:rsid w:val="008305DB"/>
    <w:rsid w:val="008306A9"/>
    <w:rsid w:val="00830822"/>
    <w:rsid w:val="0083082F"/>
    <w:rsid w:val="00830892"/>
    <w:rsid w:val="0083092D"/>
    <w:rsid w:val="008309B0"/>
    <w:rsid w:val="00830A46"/>
    <w:rsid w:val="00830D1A"/>
    <w:rsid w:val="00830D5C"/>
    <w:rsid w:val="008310DF"/>
    <w:rsid w:val="008311EC"/>
    <w:rsid w:val="008312B5"/>
    <w:rsid w:val="00831314"/>
    <w:rsid w:val="008314C8"/>
    <w:rsid w:val="008315EC"/>
    <w:rsid w:val="00831881"/>
    <w:rsid w:val="0083193F"/>
    <w:rsid w:val="00831960"/>
    <w:rsid w:val="00831B6B"/>
    <w:rsid w:val="00831C9B"/>
    <w:rsid w:val="00831DE7"/>
    <w:rsid w:val="00831E11"/>
    <w:rsid w:val="00831E99"/>
    <w:rsid w:val="0083231C"/>
    <w:rsid w:val="00832447"/>
    <w:rsid w:val="00832558"/>
    <w:rsid w:val="0083281C"/>
    <w:rsid w:val="00832ADF"/>
    <w:rsid w:val="00832F48"/>
    <w:rsid w:val="00833144"/>
    <w:rsid w:val="008331C7"/>
    <w:rsid w:val="00833202"/>
    <w:rsid w:val="00833363"/>
    <w:rsid w:val="00833378"/>
    <w:rsid w:val="008336F8"/>
    <w:rsid w:val="00833911"/>
    <w:rsid w:val="00833B40"/>
    <w:rsid w:val="00833C3E"/>
    <w:rsid w:val="00833D69"/>
    <w:rsid w:val="00833E09"/>
    <w:rsid w:val="00833ED2"/>
    <w:rsid w:val="00833F3E"/>
    <w:rsid w:val="00833FB7"/>
    <w:rsid w:val="0083404E"/>
    <w:rsid w:val="00834173"/>
    <w:rsid w:val="0083452E"/>
    <w:rsid w:val="00834601"/>
    <w:rsid w:val="0083475A"/>
    <w:rsid w:val="00834800"/>
    <w:rsid w:val="00834883"/>
    <w:rsid w:val="00834A05"/>
    <w:rsid w:val="00834B46"/>
    <w:rsid w:val="00834C07"/>
    <w:rsid w:val="00834C8E"/>
    <w:rsid w:val="00834D60"/>
    <w:rsid w:val="00834DD2"/>
    <w:rsid w:val="00834F40"/>
    <w:rsid w:val="008351F5"/>
    <w:rsid w:val="00835216"/>
    <w:rsid w:val="0083565E"/>
    <w:rsid w:val="008357AA"/>
    <w:rsid w:val="00835A14"/>
    <w:rsid w:val="00835CB7"/>
    <w:rsid w:val="00835D0C"/>
    <w:rsid w:val="00835DFB"/>
    <w:rsid w:val="00835EDA"/>
    <w:rsid w:val="00835F66"/>
    <w:rsid w:val="00835F77"/>
    <w:rsid w:val="00836078"/>
    <w:rsid w:val="008360B4"/>
    <w:rsid w:val="00836283"/>
    <w:rsid w:val="0083628F"/>
    <w:rsid w:val="00836316"/>
    <w:rsid w:val="00836333"/>
    <w:rsid w:val="00836525"/>
    <w:rsid w:val="00836598"/>
    <w:rsid w:val="00836718"/>
    <w:rsid w:val="0083674F"/>
    <w:rsid w:val="008367BA"/>
    <w:rsid w:val="00836891"/>
    <w:rsid w:val="00836AE6"/>
    <w:rsid w:val="00836C2B"/>
    <w:rsid w:val="00836CA7"/>
    <w:rsid w:val="00836D82"/>
    <w:rsid w:val="008371AE"/>
    <w:rsid w:val="008372EF"/>
    <w:rsid w:val="00837309"/>
    <w:rsid w:val="00837430"/>
    <w:rsid w:val="008375BB"/>
    <w:rsid w:val="008375E4"/>
    <w:rsid w:val="00837720"/>
    <w:rsid w:val="008379C9"/>
    <w:rsid w:val="00837EC1"/>
    <w:rsid w:val="00837FA1"/>
    <w:rsid w:val="00840019"/>
    <w:rsid w:val="0084009F"/>
    <w:rsid w:val="0084026A"/>
    <w:rsid w:val="00840325"/>
    <w:rsid w:val="008403CB"/>
    <w:rsid w:val="008403CC"/>
    <w:rsid w:val="008403E7"/>
    <w:rsid w:val="0084051A"/>
    <w:rsid w:val="00840593"/>
    <w:rsid w:val="008405FC"/>
    <w:rsid w:val="008408C7"/>
    <w:rsid w:val="00840915"/>
    <w:rsid w:val="00840973"/>
    <w:rsid w:val="00840A33"/>
    <w:rsid w:val="00840B3C"/>
    <w:rsid w:val="00840BB8"/>
    <w:rsid w:val="00840C1C"/>
    <w:rsid w:val="00840C62"/>
    <w:rsid w:val="00840D39"/>
    <w:rsid w:val="008410A4"/>
    <w:rsid w:val="00841140"/>
    <w:rsid w:val="008411C9"/>
    <w:rsid w:val="0084123F"/>
    <w:rsid w:val="008412D6"/>
    <w:rsid w:val="008415E3"/>
    <w:rsid w:val="00841A55"/>
    <w:rsid w:val="00841B46"/>
    <w:rsid w:val="00841CFD"/>
    <w:rsid w:val="00841D33"/>
    <w:rsid w:val="00841D95"/>
    <w:rsid w:val="00841DD1"/>
    <w:rsid w:val="00841EF0"/>
    <w:rsid w:val="0084203C"/>
    <w:rsid w:val="0084206C"/>
    <w:rsid w:val="008421AE"/>
    <w:rsid w:val="00842292"/>
    <w:rsid w:val="00842295"/>
    <w:rsid w:val="0084234D"/>
    <w:rsid w:val="008423D9"/>
    <w:rsid w:val="008424E5"/>
    <w:rsid w:val="0084255D"/>
    <w:rsid w:val="0084282D"/>
    <w:rsid w:val="00842A14"/>
    <w:rsid w:val="00842CDD"/>
    <w:rsid w:val="00842D9B"/>
    <w:rsid w:val="00842F0B"/>
    <w:rsid w:val="008432BE"/>
    <w:rsid w:val="008434E1"/>
    <w:rsid w:val="00843713"/>
    <w:rsid w:val="00843807"/>
    <w:rsid w:val="008438A2"/>
    <w:rsid w:val="008439B2"/>
    <w:rsid w:val="00843BBC"/>
    <w:rsid w:val="00843C31"/>
    <w:rsid w:val="00843C53"/>
    <w:rsid w:val="00843FDC"/>
    <w:rsid w:val="00844097"/>
    <w:rsid w:val="008440B1"/>
    <w:rsid w:val="0084412D"/>
    <w:rsid w:val="00844251"/>
    <w:rsid w:val="00844490"/>
    <w:rsid w:val="0084449B"/>
    <w:rsid w:val="00844511"/>
    <w:rsid w:val="00844547"/>
    <w:rsid w:val="008445D0"/>
    <w:rsid w:val="00844609"/>
    <w:rsid w:val="0084466E"/>
    <w:rsid w:val="00844684"/>
    <w:rsid w:val="00844693"/>
    <w:rsid w:val="00844787"/>
    <w:rsid w:val="008449EA"/>
    <w:rsid w:val="00844A66"/>
    <w:rsid w:val="00844E17"/>
    <w:rsid w:val="00844E41"/>
    <w:rsid w:val="00844EB3"/>
    <w:rsid w:val="008450AA"/>
    <w:rsid w:val="008452B3"/>
    <w:rsid w:val="008453DA"/>
    <w:rsid w:val="00845430"/>
    <w:rsid w:val="00845523"/>
    <w:rsid w:val="0084555C"/>
    <w:rsid w:val="00845700"/>
    <w:rsid w:val="00845856"/>
    <w:rsid w:val="008459B2"/>
    <w:rsid w:val="00845C5E"/>
    <w:rsid w:val="008462D5"/>
    <w:rsid w:val="008463ED"/>
    <w:rsid w:val="0084671E"/>
    <w:rsid w:val="00846875"/>
    <w:rsid w:val="008468A9"/>
    <w:rsid w:val="0084697C"/>
    <w:rsid w:val="008469BA"/>
    <w:rsid w:val="00846A9B"/>
    <w:rsid w:val="00846DC7"/>
    <w:rsid w:val="00846EFF"/>
    <w:rsid w:val="00847051"/>
    <w:rsid w:val="00847076"/>
    <w:rsid w:val="008471D8"/>
    <w:rsid w:val="00847290"/>
    <w:rsid w:val="008474C5"/>
    <w:rsid w:val="008478A8"/>
    <w:rsid w:val="00847A91"/>
    <w:rsid w:val="00847BF7"/>
    <w:rsid w:val="00847D3E"/>
    <w:rsid w:val="00847EDC"/>
    <w:rsid w:val="00847F23"/>
    <w:rsid w:val="00847F41"/>
    <w:rsid w:val="00847F7A"/>
    <w:rsid w:val="00850020"/>
    <w:rsid w:val="00850126"/>
    <w:rsid w:val="00850191"/>
    <w:rsid w:val="00850306"/>
    <w:rsid w:val="0085039E"/>
    <w:rsid w:val="008505A1"/>
    <w:rsid w:val="0085071B"/>
    <w:rsid w:val="00850777"/>
    <w:rsid w:val="008507FE"/>
    <w:rsid w:val="0085098E"/>
    <w:rsid w:val="008509CC"/>
    <w:rsid w:val="00850C74"/>
    <w:rsid w:val="008510D6"/>
    <w:rsid w:val="008510F3"/>
    <w:rsid w:val="0085167C"/>
    <w:rsid w:val="00851764"/>
    <w:rsid w:val="00851A24"/>
    <w:rsid w:val="00851BFD"/>
    <w:rsid w:val="00851D89"/>
    <w:rsid w:val="00851E65"/>
    <w:rsid w:val="00851EDC"/>
    <w:rsid w:val="00851F6D"/>
    <w:rsid w:val="0085217E"/>
    <w:rsid w:val="0085220B"/>
    <w:rsid w:val="00852404"/>
    <w:rsid w:val="0085257C"/>
    <w:rsid w:val="0085272D"/>
    <w:rsid w:val="00852888"/>
    <w:rsid w:val="00852A00"/>
    <w:rsid w:val="00852C23"/>
    <w:rsid w:val="00852D0C"/>
    <w:rsid w:val="00852D63"/>
    <w:rsid w:val="00852DB9"/>
    <w:rsid w:val="00852E4E"/>
    <w:rsid w:val="00853034"/>
    <w:rsid w:val="0085326C"/>
    <w:rsid w:val="0085327B"/>
    <w:rsid w:val="008532BA"/>
    <w:rsid w:val="008534D8"/>
    <w:rsid w:val="0085381C"/>
    <w:rsid w:val="00853CA3"/>
    <w:rsid w:val="00853CF4"/>
    <w:rsid w:val="00853D58"/>
    <w:rsid w:val="00853D79"/>
    <w:rsid w:val="00853EA6"/>
    <w:rsid w:val="00853F16"/>
    <w:rsid w:val="008543A4"/>
    <w:rsid w:val="00854405"/>
    <w:rsid w:val="00854426"/>
    <w:rsid w:val="0085482D"/>
    <w:rsid w:val="008548E4"/>
    <w:rsid w:val="00854D71"/>
    <w:rsid w:val="00854F98"/>
    <w:rsid w:val="0085501D"/>
    <w:rsid w:val="0085519D"/>
    <w:rsid w:val="00855238"/>
    <w:rsid w:val="008552E9"/>
    <w:rsid w:val="008553EC"/>
    <w:rsid w:val="008555BD"/>
    <w:rsid w:val="008555D7"/>
    <w:rsid w:val="00855729"/>
    <w:rsid w:val="0085572B"/>
    <w:rsid w:val="00855881"/>
    <w:rsid w:val="0085591B"/>
    <w:rsid w:val="00855B85"/>
    <w:rsid w:val="00855D46"/>
    <w:rsid w:val="00855E0C"/>
    <w:rsid w:val="00855FB7"/>
    <w:rsid w:val="00855FCA"/>
    <w:rsid w:val="00856024"/>
    <w:rsid w:val="0085638E"/>
    <w:rsid w:val="00856395"/>
    <w:rsid w:val="008563E5"/>
    <w:rsid w:val="0085643A"/>
    <w:rsid w:val="00856455"/>
    <w:rsid w:val="008564B3"/>
    <w:rsid w:val="008567CE"/>
    <w:rsid w:val="0085683A"/>
    <w:rsid w:val="008569A5"/>
    <w:rsid w:val="00856D21"/>
    <w:rsid w:val="00857306"/>
    <w:rsid w:val="00857394"/>
    <w:rsid w:val="0085742C"/>
    <w:rsid w:val="008575AC"/>
    <w:rsid w:val="0085779D"/>
    <w:rsid w:val="00857B25"/>
    <w:rsid w:val="00857BC8"/>
    <w:rsid w:val="00857C1B"/>
    <w:rsid w:val="00857EA4"/>
    <w:rsid w:val="00860209"/>
    <w:rsid w:val="008606D9"/>
    <w:rsid w:val="00860709"/>
    <w:rsid w:val="00860786"/>
    <w:rsid w:val="008607B3"/>
    <w:rsid w:val="0086091E"/>
    <w:rsid w:val="00860B92"/>
    <w:rsid w:val="00860C6F"/>
    <w:rsid w:val="00860ED4"/>
    <w:rsid w:val="00860ED8"/>
    <w:rsid w:val="00861003"/>
    <w:rsid w:val="00861021"/>
    <w:rsid w:val="008610FA"/>
    <w:rsid w:val="008612C7"/>
    <w:rsid w:val="008612F7"/>
    <w:rsid w:val="00861575"/>
    <w:rsid w:val="0086167F"/>
    <w:rsid w:val="0086179E"/>
    <w:rsid w:val="00861979"/>
    <w:rsid w:val="00861B6D"/>
    <w:rsid w:val="00861DA1"/>
    <w:rsid w:val="00861E2E"/>
    <w:rsid w:val="00861E4E"/>
    <w:rsid w:val="008624E9"/>
    <w:rsid w:val="00862512"/>
    <w:rsid w:val="008625A5"/>
    <w:rsid w:val="008625BB"/>
    <w:rsid w:val="00862754"/>
    <w:rsid w:val="0086279A"/>
    <w:rsid w:val="00862882"/>
    <w:rsid w:val="00862AC8"/>
    <w:rsid w:val="00862B07"/>
    <w:rsid w:val="00862CCE"/>
    <w:rsid w:val="00862E04"/>
    <w:rsid w:val="00862E85"/>
    <w:rsid w:val="00862F76"/>
    <w:rsid w:val="00862FBD"/>
    <w:rsid w:val="0086323D"/>
    <w:rsid w:val="008632C0"/>
    <w:rsid w:val="008636CE"/>
    <w:rsid w:val="00863751"/>
    <w:rsid w:val="008639AC"/>
    <w:rsid w:val="00863BBE"/>
    <w:rsid w:val="00863BCB"/>
    <w:rsid w:val="00863BCF"/>
    <w:rsid w:val="00863BF9"/>
    <w:rsid w:val="00863EDB"/>
    <w:rsid w:val="00863EE1"/>
    <w:rsid w:val="00863FD5"/>
    <w:rsid w:val="00864265"/>
    <w:rsid w:val="008642BA"/>
    <w:rsid w:val="00864470"/>
    <w:rsid w:val="00864535"/>
    <w:rsid w:val="00864728"/>
    <w:rsid w:val="00864855"/>
    <w:rsid w:val="00864C7B"/>
    <w:rsid w:val="00864F58"/>
    <w:rsid w:val="00865019"/>
    <w:rsid w:val="008651B0"/>
    <w:rsid w:val="008652FC"/>
    <w:rsid w:val="0086546D"/>
    <w:rsid w:val="0086586E"/>
    <w:rsid w:val="008659C5"/>
    <w:rsid w:val="00865ACD"/>
    <w:rsid w:val="00865AED"/>
    <w:rsid w:val="00865C61"/>
    <w:rsid w:val="00865D52"/>
    <w:rsid w:val="00865E82"/>
    <w:rsid w:val="00865EC7"/>
    <w:rsid w:val="00865F68"/>
    <w:rsid w:val="00866287"/>
    <w:rsid w:val="00866292"/>
    <w:rsid w:val="00866319"/>
    <w:rsid w:val="0086652F"/>
    <w:rsid w:val="0086666A"/>
    <w:rsid w:val="00866777"/>
    <w:rsid w:val="008668FD"/>
    <w:rsid w:val="00866B13"/>
    <w:rsid w:val="00866D29"/>
    <w:rsid w:val="00867113"/>
    <w:rsid w:val="008674C9"/>
    <w:rsid w:val="008677B1"/>
    <w:rsid w:val="00867863"/>
    <w:rsid w:val="00867933"/>
    <w:rsid w:val="00867990"/>
    <w:rsid w:val="00867AE7"/>
    <w:rsid w:val="00867CF0"/>
    <w:rsid w:val="008700CB"/>
    <w:rsid w:val="00870126"/>
    <w:rsid w:val="00870361"/>
    <w:rsid w:val="00870594"/>
    <w:rsid w:val="00870B8E"/>
    <w:rsid w:val="00870CC3"/>
    <w:rsid w:val="00870D44"/>
    <w:rsid w:val="00870DE2"/>
    <w:rsid w:val="00870E64"/>
    <w:rsid w:val="00870EBC"/>
    <w:rsid w:val="00870F42"/>
    <w:rsid w:val="00871022"/>
    <w:rsid w:val="008710B5"/>
    <w:rsid w:val="00871148"/>
    <w:rsid w:val="00871305"/>
    <w:rsid w:val="0087135B"/>
    <w:rsid w:val="00871549"/>
    <w:rsid w:val="00871597"/>
    <w:rsid w:val="008715BC"/>
    <w:rsid w:val="00871738"/>
    <w:rsid w:val="0087178B"/>
    <w:rsid w:val="00871A6B"/>
    <w:rsid w:val="00871A6F"/>
    <w:rsid w:val="00871CBD"/>
    <w:rsid w:val="00871D89"/>
    <w:rsid w:val="00871DED"/>
    <w:rsid w:val="00871E07"/>
    <w:rsid w:val="00871E59"/>
    <w:rsid w:val="00871F4D"/>
    <w:rsid w:val="008720D6"/>
    <w:rsid w:val="008723EA"/>
    <w:rsid w:val="00872401"/>
    <w:rsid w:val="00872678"/>
    <w:rsid w:val="0087272C"/>
    <w:rsid w:val="0087272D"/>
    <w:rsid w:val="00872A05"/>
    <w:rsid w:val="00872AC4"/>
    <w:rsid w:val="00872B48"/>
    <w:rsid w:val="00872BE5"/>
    <w:rsid w:val="00872F6E"/>
    <w:rsid w:val="00872FD6"/>
    <w:rsid w:val="00873055"/>
    <w:rsid w:val="0087305B"/>
    <w:rsid w:val="0087307A"/>
    <w:rsid w:val="00873428"/>
    <w:rsid w:val="00873495"/>
    <w:rsid w:val="008734A9"/>
    <w:rsid w:val="00873676"/>
    <w:rsid w:val="0087405A"/>
    <w:rsid w:val="008745E2"/>
    <w:rsid w:val="0087467D"/>
    <w:rsid w:val="008746D6"/>
    <w:rsid w:val="008748B5"/>
    <w:rsid w:val="00874BF5"/>
    <w:rsid w:val="00874CC7"/>
    <w:rsid w:val="00874D71"/>
    <w:rsid w:val="00875257"/>
    <w:rsid w:val="008752A6"/>
    <w:rsid w:val="00875380"/>
    <w:rsid w:val="00875668"/>
    <w:rsid w:val="008756C3"/>
    <w:rsid w:val="0087595C"/>
    <w:rsid w:val="00875AB0"/>
    <w:rsid w:val="00875B6C"/>
    <w:rsid w:val="00875C40"/>
    <w:rsid w:val="0087605C"/>
    <w:rsid w:val="008760DE"/>
    <w:rsid w:val="008761CC"/>
    <w:rsid w:val="00876376"/>
    <w:rsid w:val="008763E9"/>
    <w:rsid w:val="00876410"/>
    <w:rsid w:val="00876415"/>
    <w:rsid w:val="008764D5"/>
    <w:rsid w:val="00876598"/>
    <w:rsid w:val="008765A9"/>
    <w:rsid w:val="00876600"/>
    <w:rsid w:val="00876617"/>
    <w:rsid w:val="0087662A"/>
    <w:rsid w:val="0087664D"/>
    <w:rsid w:val="008766EF"/>
    <w:rsid w:val="00876810"/>
    <w:rsid w:val="00876900"/>
    <w:rsid w:val="008769C3"/>
    <w:rsid w:val="00876AC1"/>
    <w:rsid w:val="00876BA1"/>
    <w:rsid w:val="00876CB5"/>
    <w:rsid w:val="00876FD5"/>
    <w:rsid w:val="0087727E"/>
    <w:rsid w:val="00877315"/>
    <w:rsid w:val="0087741D"/>
    <w:rsid w:val="008776B0"/>
    <w:rsid w:val="00877782"/>
    <w:rsid w:val="0087796F"/>
    <w:rsid w:val="00877D8B"/>
    <w:rsid w:val="00877FA0"/>
    <w:rsid w:val="0088003B"/>
    <w:rsid w:val="008801B3"/>
    <w:rsid w:val="00880441"/>
    <w:rsid w:val="00880492"/>
    <w:rsid w:val="00880BA9"/>
    <w:rsid w:val="00880CE0"/>
    <w:rsid w:val="0088112D"/>
    <w:rsid w:val="00881289"/>
    <w:rsid w:val="0088140F"/>
    <w:rsid w:val="008814AB"/>
    <w:rsid w:val="0088152C"/>
    <w:rsid w:val="00881571"/>
    <w:rsid w:val="0088157E"/>
    <w:rsid w:val="00881629"/>
    <w:rsid w:val="0088162C"/>
    <w:rsid w:val="008816C7"/>
    <w:rsid w:val="00881951"/>
    <w:rsid w:val="00881A62"/>
    <w:rsid w:val="00881B2E"/>
    <w:rsid w:val="00881DD2"/>
    <w:rsid w:val="00881FA6"/>
    <w:rsid w:val="00882322"/>
    <w:rsid w:val="00882465"/>
    <w:rsid w:val="00882485"/>
    <w:rsid w:val="0088267B"/>
    <w:rsid w:val="00882787"/>
    <w:rsid w:val="008828D0"/>
    <w:rsid w:val="00882A60"/>
    <w:rsid w:val="00882C83"/>
    <w:rsid w:val="00882D73"/>
    <w:rsid w:val="00882DE4"/>
    <w:rsid w:val="00882F28"/>
    <w:rsid w:val="00882F5D"/>
    <w:rsid w:val="00882F92"/>
    <w:rsid w:val="00883393"/>
    <w:rsid w:val="00883497"/>
    <w:rsid w:val="0088356F"/>
    <w:rsid w:val="0088367B"/>
    <w:rsid w:val="0088392A"/>
    <w:rsid w:val="00883C09"/>
    <w:rsid w:val="00883C3C"/>
    <w:rsid w:val="00883CD6"/>
    <w:rsid w:val="00883CF7"/>
    <w:rsid w:val="00883EA2"/>
    <w:rsid w:val="00883EE0"/>
    <w:rsid w:val="008842AC"/>
    <w:rsid w:val="00884437"/>
    <w:rsid w:val="0088475A"/>
    <w:rsid w:val="008848FF"/>
    <w:rsid w:val="0088494C"/>
    <w:rsid w:val="00884C02"/>
    <w:rsid w:val="00884C07"/>
    <w:rsid w:val="00884EE2"/>
    <w:rsid w:val="00884FB7"/>
    <w:rsid w:val="008851C1"/>
    <w:rsid w:val="008851F2"/>
    <w:rsid w:val="008852E6"/>
    <w:rsid w:val="008853CE"/>
    <w:rsid w:val="0088545B"/>
    <w:rsid w:val="0088545E"/>
    <w:rsid w:val="0088560F"/>
    <w:rsid w:val="008856E8"/>
    <w:rsid w:val="008858EB"/>
    <w:rsid w:val="00885AF2"/>
    <w:rsid w:val="00885B77"/>
    <w:rsid w:val="00885E1B"/>
    <w:rsid w:val="00885EAE"/>
    <w:rsid w:val="00885EC3"/>
    <w:rsid w:val="00886199"/>
    <w:rsid w:val="008861DD"/>
    <w:rsid w:val="00886291"/>
    <w:rsid w:val="00886332"/>
    <w:rsid w:val="00886445"/>
    <w:rsid w:val="00886498"/>
    <w:rsid w:val="008865D1"/>
    <w:rsid w:val="0088660E"/>
    <w:rsid w:val="008867A1"/>
    <w:rsid w:val="008868BA"/>
    <w:rsid w:val="00886904"/>
    <w:rsid w:val="00886C22"/>
    <w:rsid w:val="00886C98"/>
    <w:rsid w:val="00886D02"/>
    <w:rsid w:val="00886E02"/>
    <w:rsid w:val="00886EA6"/>
    <w:rsid w:val="00886FA8"/>
    <w:rsid w:val="00887083"/>
    <w:rsid w:val="00887222"/>
    <w:rsid w:val="00887243"/>
    <w:rsid w:val="0088727F"/>
    <w:rsid w:val="00887608"/>
    <w:rsid w:val="0088782F"/>
    <w:rsid w:val="00887840"/>
    <w:rsid w:val="00887858"/>
    <w:rsid w:val="008878EB"/>
    <w:rsid w:val="00887903"/>
    <w:rsid w:val="00887935"/>
    <w:rsid w:val="00887A8A"/>
    <w:rsid w:val="00887A9C"/>
    <w:rsid w:val="00887C8A"/>
    <w:rsid w:val="00887E3C"/>
    <w:rsid w:val="008900C4"/>
    <w:rsid w:val="0089019E"/>
    <w:rsid w:val="00890230"/>
    <w:rsid w:val="008903BB"/>
    <w:rsid w:val="008906B5"/>
    <w:rsid w:val="0089085D"/>
    <w:rsid w:val="00890A92"/>
    <w:rsid w:val="00890DF6"/>
    <w:rsid w:val="00890E4D"/>
    <w:rsid w:val="00890FC8"/>
    <w:rsid w:val="008910CB"/>
    <w:rsid w:val="00891326"/>
    <w:rsid w:val="00891330"/>
    <w:rsid w:val="0089148B"/>
    <w:rsid w:val="008914B6"/>
    <w:rsid w:val="0089154F"/>
    <w:rsid w:val="0089158E"/>
    <w:rsid w:val="00891623"/>
    <w:rsid w:val="00891643"/>
    <w:rsid w:val="00891766"/>
    <w:rsid w:val="0089177F"/>
    <w:rsid w:val="00891794"/>
    <w:rsid w:val="00891902"/>
    <w:rsid w:val="00891AD9"/>
    <w:rsid w:val="00891B04"/>
    <w:rsid w:val="00891CDA"/>
    <w:rsid w:val="00891DC9"/>
    <w:rsid w:val="0089206D"/>
    <w:rsid w:val="00892273"/>
    <w:rsid w:val="0089238D"/>
    <w:rsid w:val="008925B6"/>
    <w:rsid w:val="008925C7"/>
    <w:rsid w:val="008925CD"/>
    <w:rsid w:val="008926FD"/>
    <w:rsid w:val="008928B0"/>
    <w:rsid w:val="008928EB"/>
    <w:rsid w:val="00892A62"/>
    <w:rsid w:val="00892D32"/>
    <w:rsid w:val="00892D70"/>
    <w:rsid w:val="00892EFD"/>
    <w:rsid w:val="0089301C"/>
    <w:rsid w:val="0089339A"/>
    <w:rsid w:val="008933D8"/>
    <w:rsid w:val="00893515"/>
    <w:rsid w:val="00893744"/>
    <w:rsid w:val="00893817"/>
    <w:rsid w:val="00893A4B"/>
    <w:rsid w:val="00893F44"/>
    <w:rsid w:val="00893F5A"/>
    <w:rsid w:val="00893F8A"/>
    <w:rsid w:val="0089418C"/>
    <w:rsid w:val="00894308"/>
    <w:rsid w:val="0089434B"/>
    <w:rsid w:val="008944D2"/>
    <w:rsid w:val="0089473F"/>
    <w:rsid w:val="0089480E"/>
    <w:rsid w:val="00894936"/>
    <w:rsid w:val="008949AE"/>
    <w:rsid w:val="00894ABC"/>
    <w:rsid w:val="00894ACE"/>
    <w:rsid w:val="00894C5B"/>
    <w:rsid w:val="00894D31"/>
    <w:rsid w:val="008953ED"/>
    <w:rsid w:val="00895603"/>
    <w:rsid w:val="008956A2"/>
    <w:rsid w:val="008958AD"/>
    <w:rsid w:val="008958EF"/>
    <w:rsid w:val="00895971"/>
    <w:rsid w:val="00895AC3"/>
    <w:rsid w:val="00895E8C"/>
    <w:rsid w:val="00895EB1"/>
    <w:rsid w:val="00895EF4"/>
    <w:rsid w:val="00895F6F"/>
    <w:rsid w:val="00895FF2"/>
    <w:rsid w:val="00896082"/>
    <w:rsid w:val="0089612F"/>
    <w:rsid w:val="00896162"/>
    <w:rsid w:val="00896248"/>
    <w:rsid w:val="00896497"/>
    <w:rsid w:val="0089652E"/>
    <w:rsid w:val="00896545"/>
    <w:rsid w:val="00896669"/>
    <w:rsid w:val="0089680E"/>
    <w:rsid w:val="0089681E"/>
    <w:rsid w:val="008969B9"/>
    <w:rsid w:val="00896D16"/>
    <w:rsid w:val="00896EF3"/>
    <w:rsid w:val="00896F8E"/>
    <w:rsid w:val="008970C5"/>
    <w:rsid w:val="0089717C"/>
    <w:rsid w:val="008971D5"/>
    <w:rsid w:val="00897228"/>
    <w:rsid w:val="00897356"/>
    <w:rsid w:val="00897845"/>
    <w:rsid w:val="00897F13"/>
    <w:rsid w:val="008A0002"/>
    <w:rsid w:val="008A0015"/>
    <w:rsid w:val="008A00C4"/>
    <w:rsid w:val="008A04CC"/>
    <w:rsid w:val="008A053D"/>
    <w:rsid w:val="008A0583"/>
    <w:rsid w:val="008A0864"/>
    <w:rsid w:val="008A0CCE"/>
    <w:rsid w:val="008A0E9B"/>
    <w:rsid w:val="008A111E"/>
    <w:rsid w:val="008A1508"/>
    <w:rsid w:val="008A168E"/>
    <w:rsid w:val="008A1C38"/>
    <w:rsid w:val="008A1CA8"/>
    <w:rsid w:val="008A1DC0"/>
    <w:rsid w:val="008A1DD0"/>
    <w:rsid w:val="008A1DF2"/>
    <w:rsid w:val="008A1F18"/>
    <w:rsid w:val="008A1F45"/>
    <w:rsid w:val="008A228A"/>
    <w:rsid w:val="008A234E"/>
    <w:rsid w:val="008A25F1"/>
    <w:rsid w:val="008A2940"/>
    <w:rsid w:val="008A29F1"/>
    <w:rsid w:val="008A2A0A"/>
    <w:rsid w:val="008A2B1F"/>
    <w:rsid w:val="008A3081"/>
    <w:rsid w:val="008A30C5"/>
    <w:rsid w:val="008A356F"/>
    <w:rsid w:val="008A3799"/>
    <w:rsid w:val="008A4186"/>
    <w:rsid w:val="008A41FD"/>
    <w:rsid w:val="008A4215"/>
    <w:rsid w:val="008A44BF"/>
    <w:rsid w:val="008A45B4"/>
    <w:rsid w:val="008A489F"/>
    <w:rsid w:val="008A4E16"/>
    <w:rsid w:val="008A507F"/>
    <w:rsid w:val="008A52B0"/>
    <w:rsid w:val="008A5350"/>
    <w:rsid w:val="008A56C9"/>
    <w:rsid w:val="008A56D8"/>
    <w:rsid w:val="008A579A"/>
    <w:rsid w:val="008A59A1"/>
    <w:rsid w:val="008A59F0"/>
    <w:rsid w:val="008A5A88"/>
    <w:rsid w:val="008A5B6D"/>
    <w:rsid w:val="008A5D8B"/>
    <w:rsid w:val="008A5DFF"/>
    <w:rsid w:val="008A603C"/>
    <w:rsid w:val="008A60BF"/>
    <w:rsid w:val="008A6101"/>
    <w:rsid w:val="008A62E9"/>
    <w:rsid w:val="008A64E0"/>
    <w:rsid w:val="008A655D"/>
    <w:rsid w:val="008A6665"/>
    <w:rsid w:val="008A66F7"/>
    <w:rsid w:val="008A68A2"/>
    <w:rsid w:val="008A6AF3"/>
    <w:rsid w:val="008A6EBE"/>
    <w:rsid w:val="008A6F61"/>
    <w:rsid w:val="008A707A"/>
    <w:rsid w:val="008A721B"/>
    <w:rsid w:val="008A7387"/>
    <w:rsid w:val="008A73FD"/>
    <w:rsid w:val="008A77AC"/>
    <w:rsid w:val="008A7ABF"/>
    <w:rsid w:val="008A7B01"/>
    <w:rsid w:val="008A7C9E"/>
    <w:rsid w:val="008B0048"/>
    <w:rsid w:val="008B0073"/>
    <w:rsid w:val="008B01CE"/>
    <w:rsid w:val="008B0353"/>
    <w:rsid w:val="008B0387"/>
    <w:rsid w:val="008B0729"/>
    <w:rsid w:val="008B07E8"/>
    <w:rsid w:val="008B08B7"/>
    <w:rsid w:val="008B0AA5"/>
    <w:rsid w:val="008B1188"/>
    <w:rsid w:val="008B19D3"/>
    <w:rsid w:val="008B1D97"/>
    <w:rsid w:val="008B1EF0"/>
    <w:rsid w:val="008B2029"/>
    <w:rsid w:val="008B20D3"/>
    <w:rsid w:val="008B2118"/>
    <w:rsid w:val="008B220E"/>
    <w:rsid w:val="008B2351"/>
    <w:rsid w:val="008B2365"/>
    <w:rsid w:val="008B2419"/>
    <w:rsid w:val="008B2480"/>
    <w:rsid w:val="008B24C1"/>
    <w:rsid w:val="008B24E4"/>
    <w:rsid w:val="008B26AF"/>
    <w:rsid w:val="008B27B3"/>
    <w:rsid w:val="008B28F9"/>
    <w:rsid w:val="008B2950"/>
    <w:rsid w:val="008B2BCC"/>
    <w:rsid w:val="008B2D90"/>
    <w:rsid w:val="008B2D9D"/>
    <w:rsid w:val="008B2F0C"/>
    <w:rsid w:val="008B2F29"/>
    <w:rsid w:val="008B319C"/>
    <w:rsid w:val="008B32AA"/>
    <w:rsid w:val="008B3327"/>
    <w:rsid w:val="008B344B"/>
    <w:rsid w:val="008B3512"/>
    <w:rsid w:val="008B35FB"/>
    <w:rsid w:val="008B3D1B"/>
    <w:rsid w:val="008B3D35"/>
    <w:rsid w:val="008B3D40"/>
    <w:rsid w:val="008B3E14"/>
    <w:rsid w:val="008B433B"/>
    <w:rsid w:val="008B44CE"/>
    <w:rsid w:val="008B467F"/>
    <w:rsid w:val="008B4817"/>
    <w:rsid w:val="008B4831"/>
    <w:rsid w:val="008B48EE"/>
    <w:rsid w:val="008B493B"/>
    <w:rsid w:val="008B4BDD"/>
    <w:rsid w:val="008B4D44"/>
    <w:rsid w:val="008B4D5B"/>
    <w:rsid w:val="008B4E17"/>
    <w:rsid w:val="008B4E8F"/>
    <w:rsid w:val="008B4FE0"/>
    <w:rsid w:val="008B52AD"/>
    <w:rsid w:val="008B546A"/>
    <w:rsid w:val="008B56F9"/>
    <w:rsid w:val="008B5880"/>
    <w:rsid w:val="008B5A0A"/>
    <w:rsid w:val="008B5A51"/>
    <w:rsid w:val="008B5A99"/>
    <w:rsid w:val="008B5B1E"/>
    <w:rsid w:val="008B5BE4"/>
    <w:rsid w:val="008B5EC8"/>
    <w:rsid w:val="008B5F20"/>
    <w:rsid w:val="008B5F30"/>
    <w:rsid w:val="008B6011"/>
    <w:rsid w:val="008B631A"/>
    <w:rsid w:val="008B63B8"/>
    <w:rsid w:val="008B63DA"/>
    <w:rsid w:val="008B64A3"/>
    <w:rsid w:val="008B65C6"/>
    <w:rsid w:val="008B6632"/>
    <w:rsid w:val="008B675D"/>
    <w:rsid w:val="008B6839"/>
    <w:rsid w:val="008B68A6"/>
    <w:rsid w:val="008B69E6"/>
    <w:rsid w:val="008B6BA1"/>
    <w:rsid w:val="008B6C6B"/>
    <w:rsid w:val="008B6CEE"/>
    <w:rsid w:val="008B6CF6"/>
    <w:rsid w:val="008B6D68"/>
    <w:rsid w:val="008B6D6C"/>
    <w:rsid w:val="008B6DBE"/>
    <w:rsid w:val="008B70EE"/>
    <w:rsid w:val="008B7167"/>
    <w:rsid w:val="008B73E3"/>
    <w:rsid w:val="008B749A"/>
    <w:rsid w:val="008B7603"/>
    <w:rsid w:val="008B77AA"/>
    <w:rsid w:val="008B78FE"/>
    <w:rsid w:val="008B7AE2"/>
    <w:rsid w:val="008B7CDC"/>
    <w:rsid w:val="008B7CE2"/>
    <w:rsid w:val="008B7E25"/>
    <w:rsid w:val="008C0102"/>
    <w:rsid w:val="008C023E"/>
    <w:rsid w:val="008C0549"/>
    <w:rsid w:val="008C067C"/>
    <w:rsid w:val="008C07E6"/>
    <w:rsid w:val="008C0912"/>
    <w:rsid w:val="008C0A4B"/>
    <w:rsid w:val="008C0AC7"/>
    <w:rsid w:val="008C0E2F"/>
    <w:rsid w:val="008C0F8B"/>
    <w:rsid w:val="008C1009"/>
    <w:rsid w:val="008C119D"/>
    <w:rsid w:val="008C1202"/>
    <w:rsid w:val="008C146D"/>
    <w:rsid w:val="008C173F"/>
    <w:rsid w:val="008C17D3"/>
    <w:rsid w:val="008C17EC"/>
    <w:rsid w:val="008C185C"/>
    <w:rsid w:val="008C18CD"/>
    <w:rsid w:val="008C19C9"/>
    <w:rsid w:val="008C1EA6"/>
    <w:rsid w:val="008C1FBC"/>
    <w:rsid w:val="008C22EC"/>
    <w:rsid w:val="008C2309"/>
    <w:rsid w:val="008C23D5"/>
    <w:rsid w:val="008C2400"/>
    <w:rsid w:val="008C2464"/>
    <w:rsid w:val="008C257E"/>
    <w:rsid w:val="008C2719"/>
    <w:rsid w:val="008C282D"/>
    <w:rsid w:val="008C2874"/>
    <w:rsid w:val="008C2CCA"/>
    <w:rsid w:val="008C2FCB"/>
    <w:rsid w:val="008C3160"/>
    <w:rsid w:val="008C31C2"/>
    <w:rsid w:val="008C3318"/>
    <w:rsid w:val="008C3385"/>
    <w:rsid w:val="008C3466"/>
    <w:rsid w:val="008C350C"/>
    <w:rsid w:val="008C35F3"/>
    <w:rsid w:val="008C35FF"/>
    <w:rsid w:val="008C3A7F"/>
    <w:rsid w:val="008C3BDD"/>
    <w:rsid w:val="008C3C4E"/>
    <w:rsid w:val="008C3C82"/>
    <w:rsid w:val="008C3D23"/>
    <w:rsid w:val="008C3DE8"/>
    <w:rsid w:val="008C4241"/>
    <w:rsid w:val="008C429F"/>
    <w:rsid w:val="008C483C"/>
    <w:rsid w:val="008C496F"/>
    <w:rsid w:val="008C4AB8"/>
    <w:rsid w:val="008C4B1D"/>
    <w:rsid w:val="008C4C13"/>
    <w:rsid w:val="008C4C34"/>
    <w:rsid w:val="008C4F3F"/>
    <w:rsid w:val="008C4FC8"/>
    <w:rsid w:val="008C4FF2"/>
    <w:rsid w:val="008C50D7"/>
    <w:rsid w:val="008C51A7"/>
    <w:rsid w:val="008C53E6"/>
    <w:rsid w:val="008C548F"/>
    <w:rsid w:val="008C5564"/>
    <w:rsid w:val="008C56D4"/>
    <w:rsid w:val="008C5AC6"/>
    <w:rsid w:val="008C5B27"/>
    <w:rsid w:val="008C5C2C"/>
    <w:rsid w:val="008C5EE0"/>
    <w:rsid w:val="008C60A2"/>
    <w:rsid w:val="008C60CF"/>
    <w:rsid w:val="008C6148"/>
    <w:rsid w:val="008C6298"/>
    <w:rsid w:val="008C62E7"/>
    <w:rsid w:val="008C63C3"/>
    <w:rsid w:val="008C6672"/>
    <w:rsid w:val="008C682E"/>
    <w:rsid w:val="008C6934"/>
    <w:rsid w:val="008C6935"/>
    <w:rsid w:val="008C6D94"/>
    <w:rsid w:val="008C6DCE"/>
    <w:rsid w:val="008C6E8A"/>
    <w:rsid w:val="008C70D7"/>
    <w:rsid w:val="008C716C"/>
    <w:rsid w:val="008C72C9"/>
    <w:rsid w:val="008C745F"/>
    <w:rsid w:val="008C75D4"/>
    <w:rsid w:val="008C779F"/>
    <w:rsid w:val="008C795B"/>
    <w:rsid w:val="008C79C1"/>
    <w:rsid w:val="008C79DB"/>
    <w:rsid w:val="008C7B5D"/>
    <w:rsid w:val="008C7B8B"/>
    <w:rsid w:val="008C7D40"/>
    <w:rsid w:val="008C7D45"/>
    <w:rsid w:val="008C7D5A"/>
    <w:rsid w:val="008C7D8C"/>
    <w:rsid w:val="008C7F3A"/>
    <w:rsid w:val="008D0055"/>
    <w:rsid w:val="008D0198"/>
    <w:rsid w:val="008D02D1"/>
    <w:rsid w:val="008D0441"/>
    <w:rsid w:val="008D0642"/>
    <w:rsid w:val="008D068D"/>
    <w:rsid w:val="008D06BF"/>
    <w:rsid w:val="008D06CF"/>
    <w:rsid w:val="008D0ADF"/>
    <w:rsid w:val="008D0AEF"/>
    <w:rsid w:val="008D0B31"/>
    <w:rsid w:val="008D0F75"/>
    <w:rsid w:val="008D112A"/>
    <w:rsid w:val="008D11CB"/>
    <w:rsid w:val="008D1223"/>
    <w:rsid w:val="008D132F"/>
    <w:rsid w:val="008D13D9"/>
    <w:rsid w:val="008D14B3"/>
    <w:rsid w:val="008D15D4"/>
    <w:rsid w:val="008D160B"/>
    <w:rsid w:val="008D1652"/>
    <w:rsid w:val="008D165C"/>
    <w:rsid w:val="008D1759"/>
    <w:rsid w:val="008D178D"/>
    <w:rsid w:val="008D1803"/>
    <w:rsid w:val="008D1C7B"/>
    <w:rsid w:val="008D1D2A"/>
    <w:rsid w:val="008D1EE8"/>
    <w:rsid w:val="008D1EF2"/>
    <w:rsid w:val="008D2088"/>
    <w:rsid w:val="008D2098"/>
    <w:rsid w:val="008D21A7"/>
    <w:rsid w:val="008D230D"/>
    <w:rsid w:val="008D2317"/>
    <w:rsid w:val="008D2361"/>
    <w:rsid w:val="008D249B"/>
    <w:rsid w:val="008D24A8"/>
    <w:rsid w:val="008D255D"/>
    <w:rsid w:val="008D26C4"/>
    <w:rsid w:val="008D2701"/>
    <w:rsid w:val="008D275F"/>
    <w:rsid w:val="008D29B0"/>
    <w:rsid w:val="008D2B9C"/>
    <w:rsid w:val="008D2B9E"/>
    <w:rsid w:val="008D2C28"/>
    <w:rsid w:val="008D2DB5"/>
    <w:rsid w:val="008D3095"/>
    <w:rsid w:val="008D3119"/>
    <w:rsid w:val="008D31DA"/>
    <w:rsid w:val="008D333B"/>
    <w:rsid w:val="008D33F4"/>
    <w:rsid w:val="008D35E2"/>
    <w:rsid w:val="008D3B96"/>
    <w:rsid w:val="008D3BB8"/>
    <w:rsid w:val="008D3F11"/>
    <w:rsid w:val="008D40AC"/>
    <w:rsid w:val="008D40C3"/>
    <w:rsid w:val="008D4272"/>
    <w:rsid w:val="008D4323"/>
    <w:rsid w:val="008D4730"/>
    <w:rsid w:val="008D48F6"/>
    <w:rsid w:val="008D4AC8"/>
    <w:rsid w:val="008D4D36"/>
    <w:rsid w:val="008D4E0E"/>
    <w:rsid w:val="008D5196"/>
    <w:rsid w:val="008D51AC"/>
    <w:rsid w:val="008D51EE"/>
    <w:rsid w:val="008D5235"/>
    <w:rsid w:val="008D5386"/>
    <w:rsid w:val="008D54F7"/>
    <w:rsid w:val="008D5789"/>
    <w:rsid w:val="008D580C"/>
    <w:rsid w:val="008D5AFB"/>
    <w:rsid w:val="008D5C6C"/>
    <w:rsid w:val="008D5CA9"/>
    <w:rsid w:val="008D5D03"/>
    <w:rsid w:val="008D5EF2"/>
    <w:rsid w:val="008D609B"/>
    <w:rsid w:val="008D610B"/>
    <w:rsid w:val="008D61EE"/>
    <w:rsid w:val="008D64CA"/>
    <w:rsid w:val="008D6C8C"/>
    <w:rsid w:val="008D6DD9"/>
    <w:rsid w:val="008D6DF0"/>
    <w:rsid w:val="008D7024"/>
    <w:rsid w:val="008D7194"/>
    <w:rsid w:val="008D71A2"/>
    <w:rsid w:val="008D7255"/>
    <w:rsid w:val="008D7432"/>
    <w:rsid w:val="008D75A7"/>
    <w:rsid w:val="008D7786"/>
    <w:rsid w:val="008D79BA"/>
    <w:rsid w:val="008D7A9C"/>
    <w:rsid w:val="008D7B90"/>
    <w:rsid w:val="008D7EE7"/>
    <w:rsid w:val="008E0015"/>
    <w:rsid w:val="008E002A"/>
    <w:rsid w:val="008E00E2"/>
    <w:rsid w:val="008E0429"/>
    <w:rsid w:val="008E0892"/>
    <w:rsid w:val="008E0AA4"/>
    <w:rsid w:val="008E0B2E"/>
    <w:rsid w:val="008E0D24"/>
    <w:rsid w:val="008E0DFF"/>
    <w:rsid w:val="008E0EFD"/>
    <w:rsid w:val="008E12E6"/>
    <w:rsid w:val="008E14F8"/>
    <w:rsid w:val="008E1681"/>
    <w:rsid w:val="008E16D8"/>
    <w:rsid w:val="008E174D"/>
    <w:rsid w:val="008E1790"/>
    <w:rsid w:val="008E1A5D"/>
    <w:rsid w:val="008E1AA9"/>
    <w:rsid w:val="008E1B5E"/>
    <w:rsid w:val="008E1BC7"/>
    <w:rsid w:val="008E200E"/>
    <w:rsid w:val="008E2169"/>
    <w:rsid w:val="008E222F"/>
    <w:rsid w:val="008E22BB"/>
    <w:rsid w:val="008E23EE"/>
    <w:rsid w:val="008E241F"/>
    <w:rsid w:val="008E2481"/>
    <w:rsid w:val="008E2678"/>
    <w:rsid w:val="008E27C2"/>
    <w:rsid w:val="008E27F2"/>
    <w:rsid w:val="008E28F6"/>
    <w:rsid w:val="008E293D"/>
    <w:rsid w:val="008E2979"/>
    <w:rsid w:val="008E298C"/>
    <w:rsid w:val="008E2B6D"/>
    <w:rsid w:val="008E2EF8"/>
    <w:rsid w:val="008E32B5"/>
    <w:rsid w:val="008E3314"/>
    <w:rsid w:val="008E3357"/>
    <w:rsid w:val="008E335B"/>
    <w:rsid w:val="008E3395"/>
    <w:rsid w:val="008E346E"/>
    <w:rsid w:val="008E3591"/>
    <w:rsid w:val="008E3648"/>
    <w:rsid w:val="008E3663"/>
    <w:rsid w:val="008E3803"/>
    <w:rsid w:val="008E3872"/>
    <w:rsid w:val="008E3C26"/>
    <w:rsid w:val="008E3D28"/>
    <w:rsid w:val="008E3D8F"/>
    <w:rsid w:val="008E3D92"/>
    <w:rsid w:val="008E3ECA"/>
    <w:rsid w:val="008E3EFE"/>
    <w:rsid w:val="008E46D6"/>
    <w:rsid w:val="008E4734"/>
    <w:rsid w:val="008E4DCA"/>
    <w:rsid w:val="008E4E2A"/>
    <w:rsid w:val="008E4E43"/>
    <w:rsid w:val="008E4FDE"/>
    <w:rsid w:val="008E50F7"/>
    <w:rsid w:val="008E5114"/>
    <w:rsid w:val="008E5173"/>
    <w:rsid w:val="008E549D"/>
    <w:rsid w:val="008E559D"/>
    <w:rsid w:val="008E55ED"/>
    <w:rsid w:val="008E5882"/>
    <w:rsid w:val="008E5938"/>
    <w:rsid w:val="008E5975"/>
    <w:rsid w:val="008E5B43"/>
    <w:rsid w:val="008E5D9C"/>
    <w:rsid w:val="008E6442"/>
    <w:rsid w:val="008E64E7"/>
    <w:rsid w:val="008E653A"/>
    <w:rsid w:val="008E657C"/>
    <w:rsid w:val="008E68A6"/>
    <w:rsid w:val="008E68F4"/>
    <w:rsid w:val="008E6958"/>
    <w:rsid w:val="008E6E75"/>
    <w:rsid w:val="008E6ED3"/>
    <w:rsid w:val="008E70A6"/>
    <w:rsid w:val="008E70F0"/>
    <w:rsid w:val="008E7210"/>
    <w:rsid w:val="008E7545"/>
    <w:rsid w:val="008E7743"/>
    <w:rsid w:val="008E7845"/>
    <w:rsid w:val="008E7BC3"/>
    <w:rsid w:val="008E7D4B"/>
    <w:rsid w:val="008E7D98"/>
    <w:rsid w:val="008E7DA9"/>
    <w:rsid w:val="008E7F05"/>
    <w:rsid w:val="008E7F84"/>
    <w:rsid w:val="008E7F97"/>
    <w:rsid w:val="008E7FE8"/>
    <w:rsid w:val="008F0127"/>
    <w:rsid w:val="008F0177"/>
    <w:rsid w:val="008F01E8"/>
    <w:rsid w:val="008F0338"/>
    <w:rsid w:val="008F0935"/>
    <w:rsid w:val="008F0C07"/>
    <w:rsid w:val="008F0CD1"/>
    <w:rsid w:val="008F0D45"/>
    <w:rsid w:val="008F0E42"/>
    <w:rsid w:val="008F0EA4"/>
    <w:rsid w:val="008F1004"/>
    <w:rsid w:val="008F1082"/>
    <w:rsid w:val="008F1468"/>
    <w:rsid w:val="008F1536"/>
    <w:rsid w:val="008F1940"/>
    <w:rsid w:val="008F1D59"/>
    <w:rsid w:val="008F22C2"/>
    <w:rsid w:val="008F25B6"/>
    <w:rsid w:val="008F2646"/>
    <w:rsid w:val="008F273F"/>
    <w:rsid w:val="008F2A00"/>
    <w:rsid w:val="008F2A2A"/>
    <w:rsid w:val="008F2A35"/>
    <w:rsid w:val="008F2D26"/>
    <w:rsid w:val="008F2D32"/>
    <w:rsid w:val="008F2D4C"/>
    <w:rsid w:val="008F2E81"/>
    <w:rsid w:val="008F3095"/>
    <w:rsid w:val="008F30AE"/>
    <w:rsid w:val="008F30B6"/>
    <w:rsid w:val="008F31E8"/>
    <w:rsid w:val="008F33A6"/>
    <w:rsid w:val="008F346A"/>
    <w:rsid w:val="008F36AF"/>
    <w:rsid w:val="008F36CB"/>
    <w:rsid w:val="008F36EF"/>
    <w:rsid w:val="008F37AE"/>
    <w:rsid w:val="008F3903"/>
    <w:rsid w:val="008F3BE9"/>
    <w:rsid w:val="008F3C4C"/>
    <w:rsid w:val="008F3DAE"/>
    <w:rsid w:val="008F3F40"/>
    <w:rsid w:val="008F4053"/>
    <w:rsid w:val="008F43A1"/>
    <w:rsid w:val="008F44C0"/>
    <w:rsid w:val="008F44F2"/>
    <w:rsid w:val="008F4793"/>
    <w:rsid w:val="008F4849"/>
    <w:rsid w:val="008F484A"/>
    <w:rsid w:val="008F4ACC"/>
    <w:rsid w:val="008F4C7A"/>
    <w:rsid w:val="008F4D2C"/>
    <w:rsid w:val="008F5232"/>
    <w:rsid w:val="008F526C"/>
    <w:rsid w:val="008F52BB"/>
    <w:rsid w:val="008F53E2"/>
    <w:rsid w:val="008F5534"/>
    <w:rsid w:val="008F56E7"/>
    <w:rsid w:val="008F58A0"/>
    <w:rsid w:val="008F5940"/>
    <w:rsid w:val="008F5963"/>
    <w:rsid w:val="008F5A04"/>
    <w:rsid w:val="008F5A3F"/>
    <w:rsid w:val="008F5C08"/>
    <w:rsid w:val="008F5DEC"/>
    <w:rsid w:val="008F5FC9"/>
    <w:rsid w:val="008F60DE"/>
    <w:rsid w:val="008F65EF"/>
    <w:rsid w:val="008F6673"/>
    <w:rsid w:val="008F67CF"/>
    <w:rsid w:val="008F687B"/>
    <w:rsid w:val="008F68B9"/>
    <w:rsid w:val="008F6977"/>
    <w:rsid w:val="008F6A36"/>
    <w:rsid w:val="008F6AC9"/>
    <w:rsid w:val="008F6CC0"/>
    <w:rsid w:val="008F6E15"/>
    <w:rsid w:val="008F73FE"/>
    <w:rsid w:val="008F747A"/>
    <w:rsid w:val="008F7496"/>
    <w:rsid w:val="008F763D"/>
    <w:rsid w:val="008F77D2"/>
    <w:rsid w:val="008F7D06"/>
    <w:rsid w:val="008F7D89"/>
    <w:rsid w:val="008F7F88"/>
    <w:rsid w:val="0090001A"/>
    <w:rsid w:val="00900147"/>
    <w:rsid w:val="00900158"/>
    <w:rsid w:val="00900178"/>
    <w:rsid w:val="009001A8"/>
    <w:rsid w:val="00900227"/>
    <w:rsid w:val="009006C9"/>
    <w:rsid w:val="009007A7"/>
    <w:rsid w:val="0090080F"/>
    <w:rsid w:val="009009D3"/>
    <w:rsid w:val="00900A72"/>
    <w:rsid w:val="00900E8D"/>
    <w:rsid w:val="00900E98"/>
    <w:rsid w:val="00901140"/>
    <w:rsid w:val="00901365"/>
    <w:rsid w:val="0090143C"/>
    <w:rsid w:val="009015D5"/>
    <w:rsid w:val="009017A6"/>
    <w:rsid w:val="009017A8"/>
    <w:rsid w:val="0090194C"/>
    <w:rsid w:val="00901A93"/>
    <w:rsid w:val="00901C7C"/>
    <w:rsid w:val="00902057"/>
    <w:rsid w:val="0090237F"/>
    <w:rsid w:val="009023A3"/>
    <w:rsid w:val="00902415"/>
    <w:rsid w:val="009028C3"/>
    <w:rsid w:val="00902973"/>
    <w:rsid w:val="0090299F"/>
    <w:rsid w:val="00902A63"/>
    <w:rsid w:val="00903002"/>
    <w:rsid w:val="009030B6"/>
    <w:rsid w:val="00903164"/>
    <w:rsid w:val="0090327B"/>
    <w:rsid w:val="0090353B"/>
    <w:rsid w:val="0090370D"/>
    <w:rsid w:val="00903789"/>
    <w:rsid w:val="00903BF4"/>
    <w:rsid w:val="00903C60"/>
    <w:rsid w:val="00903D46"/>
    <w:rsid w:val="00903DEB"/>
    <w:rsid w:val="00903F86"/>
    <w:rsid w:val="0090421A"/>
    <w:rsid w:val="00904375"/>
    <w:rsid w:val="0090441B"/>
    <w:rsid w:val="009044F7"/>
    <w:rsid w:val="00904932"/>
    <w:rsid w:val="00904D26"/>
    <w:rsid w:val="00904EA1"/>
    <w:rsid w:val="00905134"/>
    <w:rsid w:val="0090516A"/>
    <w:rsid w:val="00905401"/>
    <w:rsid w:val="00905434"/>
    <w:rsid w:val="00905486"/>
    <w:rsid w:val="00905730"/>
    <w:rsid w:val="0090586E"/>
    <w:rsid w:val="0090597E"/>
    <w:rsid w:val="00905CA1"/>
    <w:rsid w:val="00905E35"/>
    <w:rsid w:val="00905EAF"/>
    <w:rsid w:val="0090601C"/>
    <w:rsid w:val="00906072"/>
    <w:rsid w:val="00906101"/>
    <w:rsid w:val="0090610F"/>
    <w:rsid w:val="0090623E"/>
    <w:rsid w:val="0090628F"/>
    <w:rsid w:val="009062FC"/>
    <w:rsid w:val="009064F3"/>
    <w:rsid w:val="0090687D"/>
    <w:rsid w:val="00906A88"/>
    <w:rsid w:val="00906B8F"/>
    <w:rsid w:val="00906CDC"/>
    <w:rsid w:val="00906FD2"/>
    <w:rsid w:val="009070DD"/>
    <w:rsid w:val="009071C9"/>
    <w:rsid w:val="00907284"/>
    <w:rsid w:val="009076BB"/>
    <w:rsid w:val="00907766"/>
    <w:rsid w:val="00907784"/>
    <w:rsid w:val="009077F1"/>
    <w:rsid w:val="00907813"/>
    <w:rsid w:val="0090788F"/>
    <w:rsid w:val="00907C61"/>
    <w:rsid w:val="00907EC7"/>
    <w:rsid w:val="00907F71"/>
    <w:rsid w:val="00910233"/>
    <w:rsid w:val="00910344"/>
    <w:rsid w:val="0091053C"/>
    <w:rsid w:val="009106D1"/>
    <w:rsid w:val="0091075F"/>
    <w:rsid w:val="009108F8"/>
    <w:rsid w:val="00910A8F"/>
    <w:rsid w:val="00910A94"/>
    <w:rsid w:val="00910ADE"/>
    <w:rsid w:val="00910E63"/>
    <w:rsid w:val="00910F40"/>
    <w:rsid w:val="00911062"/>
    <w:rsid w:val="00911235"/>
    <w:rsid w:val="0091141D"/>
    <w:rsid w:val="00911442"/>
    <w:rsid w:val="0091154E"/>
    <w:rsid w:val="00911713"/>
    <w:rsid w:val="0091186C"/>
    <w:rsid w:val="009119CF"/>
    <w:rsid w:val="00911F0C"/>
    <w:rsid w:val="00911F72"/>
    <w:rsid w:val="00912107"/>
    <w:rsid w:val="00912312"/>
    <w:rsid w:val="00912627"/>
    <w:rsid w:val="00912664"/>
    <w:rsid w:val="0091268F"/>
    <w:rsid w:val="0091269A"/>
    <w:rsid w:val="009127B1"/>
    <w:rsid w:val="0091282E"/>
    <w:rsid w:val="0091299F"/>
    <w:rsid w:val="00912A19"/>
    <w:rsid w:val="00912A27"/>
    <w:rsid w:val="00912AF9"/>
    <w:rsid w:val="00912F99"/>
    <w:rsid w:val="009130CB"/>
    <w:rsid w:val="009131BC"/>
    <w:rsid w:val="00913309"/>
    <w:rsid w:val="00913575"/>
    <w:rsid w:val="00913599"/>
    <w:rsid w:val="009136DC"/>
    <w:rsid w:val="0091387B"/>
    <w:rsid w:val="00913A9E"/>
    <w:rsid w:val="00913ADC"/>
    <w:rsid w:val="00913C61"/>
    <w:rsid w:val="00913C62"/>
    <w:rsid w:val="00913CD2"/>
    <w:rsid w:val="00913DF5"/>
    <w:rsid w:val="00913E19"/>
    <w:rsid w:val="00913E44"/>
    <w:rsid w:val="009140BD"/>
    <w:rsid w:val="009140CC"/>
    <w:rsid w:val="0091421A"/>
    <w:rsid w:val="00914258"/>
    <w:rsid w:val="00914292"/>
    <w:rsid w:val="0091455F"/>
    <w:rsid w:val="0091465C"/>
    <w:rsid w:val="0091487E"/>
    <w:rsid w:val="00914980"/>
    <w:rsid w:val="00914D06"/>
    <w:rsid w:val="009152F9"/>
    <w:rsid w:val="00915452"/>
    <w:rsid w:val="0091547F"/>
    <w:rsid w:val="009156E0"/>
    <w:rsid w:val="00915701"/>
    <w:rsid w:val="00915822"/>
    <w:rsid w:val="00915870"/>
    <w:rsid w:val="009158AD"/>
    <w:rsid w:val="009158E5"/>
    <w:rsid w:val="009159C7"/>
    <w:rsid w:val="00915A22"/>
    <w:rsid w:val="00915BEF"/>
    <w:rsid w:val="00915D83"/>
    <w:rsid w:val="0091611E"/>
    <w:rsid w:val="0091623C"/>
    <w:rsid w:val="0091641E"/>
    <w:rsid w:val="00916462"/>
    <w:rsid w:val="009164E9"/>
    <w:rsid w:val="00916660"/>
    <w:rsid w:val="00916776"/>
    <w:rsid w:val="009167F7"/>
    <w:rsid w:val="0091685A"/>
    <w:rsid w:val="009169DB"/>
    <w:rsid w:val="00916A68"/>
    <w:rsid w:val="00916B1A"/>
    <w:rsid w:val="00916BAD"/>
    <w:rsid w:val="00916D02"/>
    <w:rsid w:val="00916D2C"/>
    <w:rsid w:val="00916E37"/>
    <w:rsid w:val="00916F93"/>
    <w:rsid w:val="00917083"/>
    <w:rsid w:val="0091718E"/>
    <w:rsid w:val="00917267"/>
    <w:rsid w:val="00917342"/>
    <w:rsid w:val="00917438"/>
    <w:rsid w:val="009174C8"/>
    <w:rsid w:val="00917899"/>
    <w:rsid w:val="009178F1"/>
    <w:rsid w:val="009179AC"/>
    <w:rsid w:val="00917A8A"/>
    <w:rsid w:val="00917E23"/>
    <w:rsid w:val="00917E32"/>
    <w:rsid w:val="00917FB2"/>
    <w:rsid w:val="00920243"/>
    <w:rsid w:val="00920317"/>
    <w:rsid w:val="00920405"/>
    <w:rsid w:val="0092050B"/>
    <w:rsid w:val="00920541"/>
    <w:rsid w:val="00920779"/>
    <w:rsid w:val="009207C7"/>
    <w:rsid w:val="0092097E"/>
    <w:rsid w:val="00920A5A"/>
    <w:rsid w:val="00920B7A"/>
    <w:rsid w:val="00920BC0"/>
    <w:rsid w:val="00920CE9"/>
    <w:rsid w:val="00920D50"/>
    <w:rsid w:val="00920E53"/>
    <w:rsid w:val="00920F05"/>
    <w:rsid w:val="0092105F"/>
    <w:rsid w:val="00921183"/>
    <w:rsid w:val="009215A0"/>
    <w:rsid w:val="009216A7"/>
    <w:rsid w:val="009216C5"/>
    <w:rsid w:val="00921810"/>
    <w:rsid w:val="0092185E"/>
    <w:rsid w:val="009218DB"/>
    <w:rsid w:val="009218DE"/>
    <w:rsid w:val="00921990"/>
    <w:rsid w:val="00921BDE"/>
    <w:rsid w:val="00921D26"/>
    <w:rsid w:val="00921E91"/>
    <w:rsid w:val="00921EA5"/>
    <w:rsid w:val="00922610"/>
    <w:rsid w:val="00922634"/>
    <w:rsid w:val="0092273C"/>
    <w:rsid w:val="009227A3"/>
    <w:rsid w:val="009227F9"/>
    <w:rsid w:val="00922B26"/>
    <w:rsid w:val="00922C40"/>
    <w:rsid w:val="00922C54"/>
    <w:rsid w:val="00922E6D"/>
    <w:rsid w:val="00922F64"/>
    <w:rsid w:val="009231F3"/>
    <w:rsid w:val="009232F8"/>
    <w:rsid w:val="009236E3"/>
    <w:rsid w:val="00923888"/>
    <w:rsid w:val="009238AB"/>
    <w:rsid w:val="009239E3"/>
    <w:rsid w:val="00923AFB"/>
    <w:rsid w:val="00923BEB"/>
    <w:rsid w:val="00923FF3"/>
    <w:rsid w:val="00924094"/>
    <w:rsid w:val="0092412F"/>
    <w:rsid w:val="009241F0"/>
    <w:rsid w:val="00924321"/>
    <w:rsid w:val="009244A3"/>
    <w:rsid w:val="009249C6"/>
    <w:rsid w:val="00924A39"/>
    <w:rsid w:val="00924A4E"/>
    <w:rsid w:val="00924A9D"/>
    <w:rsid w:val="00924BC6"/>
    <w:rsid w:val="00924C69"/>
    <w:rsid w:val="00924F03"/>
    <w:rsid w:val="00924F79"/>
    <w:rsid w:val="00924FC7"/>
    <w:rsid w:val="009256C0"/>
    <w:rsid w:val="00925824"/>
    <w:rsid w:val="00925833"/>
    <w:rsid w:val="009258C1"/>
    <w:rsid w:val="0092597A"/>
    <w:rsid w:val="00925DC7"/>
    <w:rsid w:val="00925F2A"/>
    <w:rsid w:val="00925FD0"/>
    <w:rsid w:val="00926128"/>
    <w:rsid w:val="0092617F"/>
    <w:rsid w:val="009262D8"/>
    <w:rsid w:val="0092644C"/>
    <w:rsid w:val="00926571"/>
    <w:rsid w:val="009265DA"/>
    <w:rsid w:val="00926661"/>
    <w:rsid w:val="0092682A"/>
    <w:rsid w:val="009269C2"/>
    <w:rsid w:val="00926FA9"/>
    <w:rsid w:val="009270A5"/>
    <w:rsid w:val="00927241"/>
    <w:rsid w:val="0092737D"/>
    <w:rsid w:val="0092751C"/>
    <w:rsid w:val="009277EB"/>
    <w:rsid w:val="00927A16"/>
    <w:rsid w:val="00927BD3"/>
    <w:rsid w:val="00927DEF"/>
    <w:rsid w:val="009302F0"/>
    <w:rsid w:val="00930405"/>
    <w:rsid w:val="0093044C"/>
    <w:rsid w:val="009305C6"/>
    <w:rsid w:val="009306C5"/>
    <w:rsid w:val="00930A1D"/>
    <w:rsid w:val="00930B81"/>
    <w:rsid w:val="00930C87"/>
    <w:rsid w:val="00930D19"/>
    <w:rsid w:val="00930EEE"/>
    <w:rsid w:val="00930F3B"/>
    <w:rsid w:val="00931114"/>
    <w:rsid w:val="00931136"/>
    <w:rsid w:val="009311E9"/>
    <w:rsid w:val="009313B2"/>
    <w:rsid w:val="00931485"/>
    <w:rsid w:val="009316DA"/>
    <w:rsid w:val="0093175E"/>
    <w:rsid w:val="00931787"/>
    <w:rsid w:val="00931AE6"/>
    <w:rsid w:val="00931CDC"/>
    <w:rsid w:val="00931DAC"/>
    <w:rsid w:val="00931E3C"/>
    <w:rsid w:val="00932072"/>
    <w:rsid w:val="009321B3"/>
    <w:rsid w:val="0093242E"/>
    <w:rsid w:val="00932678"/>
    <w:rsid w:val="00932956"/>
    <w:rsid w:val="00932C67"/>
    <w:rsid w:val="00932C9D"/>
    <w:rsid w:val="00932CC8"/>
    <w:rsid w:val="00932E3E"/>
    <w:rsid w:val="00932EB0"/>
    <w:rsid w:val="00932EC5"/>
    <w:rsid w:val="00932F4D"/>
    <w:rsid w:val="009331ED"/>
    <w:rsid w:val="009333EC"/>
    <w:rsid w:val="00933699"/>
    <w:rsid w:val="009336F4"/>
    <w:rsid w:val="00933868"/>
    <w:rsid w:val="009338C3"/>
    <w:rsid w:val="00933A1A"/>
    <w:rsid w:val="00933B6C"/>
    <w:rsid w:val="00933C6C"/>
    <w:rsid w:val="00933D2E"/>
    <w:rsid w:val="00933E61"/>
    <w:rsid w:val="00933EF1"/>
    <w:rsid w:val="0093419F"/>
    <w:rsid w:val="00934287"/>
    <w:rsid w:val="0093430D"/>
    <w:rsid w:val="00934348"/>
    <w:rsid w:val="009344D8"/>
    <w:rsid w:val="00934674"/>
    <w:rsid w:val="0093468A"/>
    <w:rsid w:val="009348ED"/>
    <w:rsid w:val="00934935"/>
    <w:rsid w:val="00934C56"/>
    <w:rsid w:val="0093524F"/>
    <w:rsid w:val="00935493"/>
    <w:rsid w:val="009354CF"/>
    <w:rsid w:val="009358AF"/>
    <w:rsid w:val="009359CF"/>
    <w:rsid w:val="00935AED"/>
    <w:rsid w:val="00935B80"/>
    <w:rsid w:val="00935CD3"/>
    <w:rsid w:val="00935EC1"/>
    <w:rsid w:val="00936332"/>
    <w:rsid w:val="009365F1"/>
    <w:rsid w:val="00936748"/>
    <w:rsid w:val="009368D7"/>
    <w:rsid w:val="00936A7F"/>
    <w:rsid w:val="00936DF4"/>
    <w:rsid w:val="00936E24"/>
    <w:rsid w:val="009371E1"/>
    <w:rsid w:val="009372AF"/>
    <w:rsid w:val="009373A3"/>
    <w:rsid w:val="009376EC"/>
    <w:rsid w:val="00937784"/>
    <w:rsid w:val="009377E5"/>
    <w:rsid w:val="00937AC5"/>
    <w:rsid w:val="00937AD3"/>
    <w:rsid w:val="00937C31"/>
    <w:rsid w:val="00937CB4"/>
    <w:rsid w:val="00937D30"/>
    <w:rsid w:val="00937E52"/>
    <w:rsid w:val="00937F2F"/>
    <w:rsid w:val="00937FD9"/>
    <w:rsid w:val="00937FEC"/>
    <w:rsid w:val="009401D3"/>
    <w:rsid w:val="009401DF"/>
    <w:rsid w:val="0094041A"/>
    <w:rsid w:val="00940A24"/>
    <w:rsid w:val="00940A77"/>
    <w:rsid w:val="00940B52"/>
    <w:rsid w:val="00940C34"/>
    <w:rsid w:val="00940D1B"/>
    <w:rsid w:val="00940D6D"/>
    <w:rsid w:val="00940D93"/>
    <w:rsid w:val="00940DB5"/>
    <w:rsid w:val="00940F84"/>
    <w:rsid w:val="0094117A"/>
    <w:rsid w:val="009411E7"/>
    <w:rsid w:val="00941349"/>
    <w:rsid w:val="00941409"/>
    <w:rsid w:val="00941480"/>
    <w:rsid w:val="009414D5"/>
    <w:rsid w:val="009415BE"/>
    <w:rsid w:val="009416ED"/>
    <w:rsid w:val="0094171E"/>
    <w:rsid w:val="0094172F"/>
    <w:rsid w:val="0094193B"/>
    <w:rsid w:val="00941A3E"/>
    <w:rsid w:val="00941AFD"/>
    <w:rsid w:val="00941BB4"/>
    <w:rsid w:val="00941BBF"/>
    <w:rsid w:val="00941CCA"/>
    <w:rsid w:val="00941CFF"/>
    <w:rsid w:val="00941D7F"/>
    <w:rsid w:val="00942103"/>
    <w:rsid w:val="0094224E"/>
    <w:rsid w:val="009422A0"/>
    <w:rsid w:val="0094232A"/>
    <w:rsid w:val="00942630"/>
    <w:rsid w:val="009428F7"/>
    <w:rsid w:val="00942CBC"/>
    <w:rsid w:val="00942FB0"/>
    <w:rsid w:val="0094311A"/>
    <w:rsid w:val="00943212"/>
    <w:rsid w:val="00943305"/>
    <w:rsid w:val="0094335C"/>
    <w:rsid w:val="00943469"/>
    <w:rsid w:val="00943650"/>
    <w:rsid w:val="00943783"/>
    <w:rsid w:val="009438F6"/>
    <w:rsid w:val="00943A67"/>
    <w:rsid w:val="00943AEA"/>
    <w:rsid w:val="00943AF0"/>
    <w:rsid w:val="00943D00"/>
    <w:rsid w:val="00943F89"/>
    <w:rsid w:val="0094408A"/>
    <w:rsid w:val="00944355"/>
    <w:rsid w:val="0094467A"/>
    <w:rsid w:val="00944937"/>
    <w:rsid w:val="00944B28"/>
    <w:rsid w:val="00944B5B"/>
    <w:rsid w:val="00944BBD"/>
    <w:rsid w:val="00944BF6"/>
    <w:rsid w:val="00944C57"/>
    <w:rsid w:val="00944D01"/>
    <w:rsid w:val="00944E88"/>
    <w:rsid w:val="00944F69"/>
    <w:rsid w:val="009450B4"/>
    <w:rsid w:val="009451CF"/>
    <w:rsid w:val="009451E9"/>
    <w:rsid w:val="009451EA"/>
    <w:rsid w:val="0094540A"/>
    <w:rsid w:val="00945446"/>
    <w:rsid w:val="00945694"/>
    <w:rsid w:val="00945710"/>
    <w:rsid w:val="0094571A"/>
    <w:rsid w:val="00945920"/>
    <w:rsid w:val="00945A17"/>
    <w:rsid w:val="00945B7B"/>
    <w:rsid w:val="00945BD2"/>
    <w:rsid w:val="00945CB6"/>
    <w:rsid w:val="00945ECC"/>
    <w:rsid w:val="00946184"/>
    <w:rsid w:val="00946203"/>
    <w:rsid w:val="0094681A"/>
    <w:rsid w:val="00946A72"/>
    <w:rsid w:val="00946D45"/>
    <w:rsid w:val="009470C5"/>
    <w:rsid w:val="009470F4"/>
    <w:rsid w:val="009473D0"/>
    <w:rsid w:val="00947428"/>
    <w:rsid w:val="00947600"/>
    <w:rsid w:val="00947666"/>
    <w:rsid w:val="00947697"/>
    <w:rsid w:val="009476FB"/>
    <w:rsid w:val="00947761"/>
    <w:rsid w:val="009477A3"/>
    <w:rsid w:val="00947AE3"/>
    <w:rsid w:val="00947D0A"/>
    <w:rsid w:val="00947F23"/>
    <w:rsid w:val="00950119"/>
    <w:rsid w:val="00950323"/>
    <w:rsid w:val="00950547"/>
    <w:rsid w:val="00950A25"/>
    <w:rsid w:val="00950A42"/>
    <w:rsid w:val="00950DB4"/>
    <w:rsid w:val="00950F44"/>
    <w:rsid w:val="00950F66"/>
    <w:rsid w:val="00951088"/>
    <w:rsid w:val="00951294"/>
    <w:rsid w:val="009512D1"/>
    <w:rsid w:val="0095158A"/>
    <w:rsid w:val="009515CC"/>
    <w:rsid w:val="0095168C"/>
    <w:rsid w:val="009517EE"/>
    <w:rsid w:val="00951EB7"/>
    <w:rsid w:val="00951FBB"/>
    <w:rsid w:val="00952036"/>
    <w:rsid w:val="009520F1"/>
    <w:rsid w:val="009522A9"/>
    <w:rsid w:val="009522AE"/>
    <w:rsid w:val="00952436"/>
    <w:rsid w:val="00952558"/>
    <w:rsid w:val="00952657"/>
    <w:rsid w:val="009526E1"/>
    <w:rsid w:val="009526F1"/>
    <w:rsid w:val="009528B2"/>
    <w:rsid w:val="00952B40"/>
    <w:rsid w:val="00952BB9"/>
    <w:rsid w:val="00952EC8"/>
    <w:rsid w:val="00952EDE"/>
    <w:rsid w:val="0095319B"/>
    <w:rsid w:val="009531DA"/>
    <w:rsid w:val="00953379"/>
    <w:rsid w:val="0095356F"/>
    <w:rsid w:val="0095377A"/>
    <w:rsid w:val="009537F1"/>
    <w:rsid w:val="00953841"/>
    <w:rsid w:val="00953859"/>
    <w:rsid w:val="009539FD"/>
    <w:rsid w:val="00953ABB"/>
    <w:rsid w:val="00953BDB"/>
    <w:rsid w:val="00953CB2"/>
    <w:rsid w:val="00953CD4"/>
    <w:rsid w:val="00953CE5"/>
    <w:rsid w:val="00953D87"/>
    <w:rsid w:val="00953FB9"/>
    <w:rsid w:val="00953FFF"/>
    <w:rsid w:val="0095475A"/>
    <w:rsid w:val="009548DD"/>
    <w:rsid w:val="00954BB5"/>
    <w:rsid w:val="00954CC8"/>
    <w:rsid w:val="00954CD6"/>
    <w:rsid w:val="00954E2D"/>
    <w:rsid w:val="00954EA3"/>
    <w:rsid w:val="00954FB5"/>
    <w:rsid w:val="009550AD"/>
    <w:rsid w:val="009550F3"/>
    <w:rsid w:val="00955587"/>
    <w:rsid w:val="009555E0"/>
    <w:rsid w:val="00955664"/>
    <w:rsid w:val="0095582A"/>
    <w:rsid w:val="009558A1"/>
    <w:rsid w:val="00955A15"/>
    <w:rsid w:val="00955AA7"/>
    <w:rsid w:val="00955C09"/>
    <w:rsid w:val="00955DA4"/>
    <w:rsid w:val="00955E5E"/>
    <w:rsid w:val="00955F67"/>
    <w:rsid w:val="00955FC3"/>
    <w:rsid w:val="00955FDD"/>
    <w:rsid w:val="00956051"/>
    <w:rsid w:val="00956203"/>
    <w:rsid w:val="00956494"/>
    <w:rsid w:val="0095649C"/>
    <w:rsid w:val="009565A3"/>
    <w:rsid w:val="009566CD"/>
    <w:rsid w:val="009567AA"/>
    <w:rsid w:val="009567E0"/>
    <w:rsid w:val="009567EB"/>
    <w:rsid w:val="00956A9E"/>
    <w:rsid w:val="00956AAE"/>
    <w:rsid w:val="00956AC6"/>
    <w:rsid w:val="00956AC7"/>
    <w:rsid w:val="00956AD5"/>
    <w:rsid w:val="00956C03"/>
    <w:rsid w:val="00956F60"/>
    <w:rsid w:val="009570CF"/>
    <w:rsid w:val="0095710D"/>
    <w:rsid w:val="0095727B"/>
    <w:rsid w:val="00957332"/>
    <w:rsid w:val="00957536"/>
    <w:rsid w:val="00957634"/>
    <w:rsid w:val="00957A69"/>
    <w:rsid w:val="00957B9A"/>
    <w:rsid w:val="00957E04"/>
    <w:rsid w:val="00957E11"/>
    <w:rsid w:val="00957EE1"/>
    <w:rsid w:val="00957FDF"/>
    <w:rsid w:val="00960232"/>
    <w:rsid w:val="009602FF"/>
    <w:rsid w:val="00960398"/>
    <w:rsid w:val="009603B3"/>
    <w:rsid w:val="009603C4"/>
    <w:rsid w:val="00960940"/>
    <w:rsid w:val="00960B36"/>
    <w:rsid w:val="00960C2E"/>
    <w:rsid w:val="00960C6A"/>
    <w:rsid w:val="00961046"/>
    <w:rsid w:val="0096148A"/>
    <w:rsid w:val="009618D1"/>
    <w:rsid w:val="00961905"/>
    <w:rsid w:val="00961A7B"/>
    <w:rsid w:val="00961ABA"/>
    <w:rsid w:val="00961BEC"/>
    <w:rsid w:val="009621DF"/>
    <w:rsid w:val="00962218"/>
    <w:rsid w:val="00962569"/>
    <w:rsid w:val="009627B5"/>
    <w:rsid w:val="00962863"/>
    <w:rsid w:val="00962953"/>
    <w:rsid w:val="00962B78"/>
    <w:rsid w:val="00962DCC"/>
    <w:rsid w:val="00962F7B"/>
    <w:rsid w:val="00962FA7"/>
    <w:rsid w:val="0096309D"/>
    <w:rsid w:val="00963172"/>
    <w:rsid w:val="009631BF"/>
    <w:rsid w:val="009632A3"/>
    <w:rsid w:val="009633E8"/>
    <w:rsid w:val="009636D5"/>
    <w:rsid w:val="00963921"/>
    <w:rsid w:val="00963AEE"/>
    <w:rsid w:val="00963D61"/>
    <w:rsid w:val="00963E0B"/>
    <w:rsid w:val="00963E18"/>
    <w:rsid w:val="00963E92"/>
    <w:rsid w:val="00964035"/>
    <w:rsid w:val="00964090"/>
    <w:rsid w:val="009640A5"/>
    <w:rsid w:val="00964301"/>
    <w:rsid w:val="00964330"/>
    <w:rsid w:val="00964356"/>
    <w:rsid w:val="00964361"/>
    <w:rsid w:val="0096440E"/>
    <w:rsid w:val="0096444C"/>
    <w:rsid w:val="00964630"/>
    <w:rsid w:val="00964679"/>
    <w:rsid w:val="009646A4"/>
    <w:rsid w:val="009646C4"/>
    <w:rsid w:val="009649A6"/>
    <w:rsid w:val="00964B67"/>
    <w:rsid w:val="00964BD6"/>
    <w:rsid w:val="00964C19"/>
    <w:rsid w:val="00964CE7"/>
    <w:rsid w:val="00964D99"/>
    <w:rsid w:val="00964E60"/>
    <w:rsid w:val="00964F3D"/>
    <w:rsid w:val="00964FC6"/>
    <w:rsid w:val="0096507A"/>
    <w:rsid w:val="009658FF"/>
    <w:rsid w:val="00965960"/>
    <w:rsid w:val="0096599E"/>
    <w:rsid w:val="009659A4"/>
    <w:rsid w:val="00965AD5"/>
    <w:rsid w:val="00965B43"/>
    <w:rsid w:val="00965D09"/>
    <w:rsid w:val="0096612A"/>
    <w:rsid w:val="009663AF"/>
    <w:rsid w:val="0096663B"/>
    <w:rsid w:val="0096674D"/>
    <w:rsid w:val="0096679B"/>
    <w:rsid w:val="009667E9"/>
    <w:rsid w:val="00966878"/>
    <w:rsid w:val="00966A80"/>
    <w:rsid w:val="00966ABA"/>
    <w:rsid w:val="00966AEC"/>
    <w:rsid w:val="00966C8C"/>
    <w:rsid w:val="00966D1D"/>
    <w:rsid w:val="00966D62"/>
    <w:rsid w:val="00966EFA"/>
    <w:rsid w:val="00967018"/>
    <w:rsid w:val="00967116"/>
    <w:rsid w:val="00967187"/>
    <w:rsid w:val="009671C6"/>
    <w:rsid w:val="0096724B"/>
    <w:rsid w:val="009672A9"/>
    <w:rsid w:val="0096746C"/>
    <w:rsid w:val="009674CA"/>
    <w:rsid w:val="0096751A"/>
    <w:rsid w:val="00967697"/>
    <w:rsid w:val="0096772E"/>
    <w:rsid w:val="00967748"/>
    <w:rsid w:val="00967A37"/>
    <w:rsid w:val="00967B36"/>
    <w:rsid w:val="00970138"/>
    <w:rsid w:val="0097018E"/>
    <w:rsid w:val="0097018F"/>
    <w:rsid w:val="00970224"/>
    <w:rsid w:val="00970263"/>
    <w:rsid w:val="009703E6"/>
    <w:rsid w:val="0097049D"/>
    <w:rsid w:val="0097068D"/>
    <w:rsid w:val="0097079F"/>
    <w:rsid w:val="00970B3C"/>
    <w:rsid w:val="00970C28"/>
    <w:rsid w:val="00970CAD"/>
    <w:rsid w:val="00970D08"/>
    <w:rsid w:val="00970FB1"/>
    <w:rsid w:val="00971037"/>
    <w:rsid w:val="00971038"/>
    <w:rsid w:val="0097106D"/>
    <w:rsid w:val="009710DC"/>
    <w:rsid w:val="00971160"/>
    <w:rsid w:val="00971185"/>
    <w:rsid w:val="00971239"/>
    <w:rsid w:val="00971454"/>
    <w:rsid w:val="0097146E"/>
    <w:rsid w:val="009714CF"/>
    <w:rsid w:val="0097178C"/>
    <w:rsid w:val="00971B7C"/>
    <w:rsid w:val="00971E17"/>
    <w:rsid w:val="00971EB1"/>
    <w:rsid w:val="009720D3"/>
    <w:rsid w:val="009726B8"/>
    <w:rsid w:val="00972811"/>
    <w:rsid w:val="00972847"/>
    <w:rsid w:val="00972DE2"/>
    <w:rsid w:val="009731E6"/>
    <w:rsid w:val="009732C3"/>
    <w:rsid w:val="00973378"/>
    <w:rsid w:val="00973527"/>
    <w:rsid w:val="0097360C"/>
    <w:rsid w:val="00973632"/>
    <w:rsid w:val="00973913"/>
    <w:rsid w:val="009739A0"/>
    <w:rsid w:val="00973A4B"/>
    <w:rsid w:val="00973B25"/>
    <w:rsid w:val="00973DD8"/>
    <w:rsid w:val="00974256"/>
    <w:rsid w:val="009743BF"/>
    <w:rsid w:val="009745CB"/>
    <w:rsid w:val="00974614"/>
    <w:rsid w:val="00974864"/>
    <w:rsid w:val="009749D2"/>
    <w:rsid w:val="00974A62"/>
    <w:rsid w:val="00974A75"/>
    <w:rsid w:val="00974B20"/>
    <w:rsid w:val="00974BC3"/>
    <w:rsid w:val="00974D13"/>
    <w:rsid w:val="00974E25"/>
    <w:rsid w:val="00975233"/>
    <w:rsid w:val="00975368"/>
    <w:rsid w:val="00975460"/>
    <w:rsid w:val="009754E8"/>
    <w:rsid w:val="009759B2"/>
    <w:rsid w:val="00975AD4"/>
    <w:rsid w:val="00975ECE"/>
    <w:rsid w:val="00975F6F"/>
    <w:rsid w:val="009764CF"/>
    <w:rsid w:val="009764D6"/>
    <w:rsid w:val="00976686"/>
    <w:rsid w:val="009767A0"/>
    <w:rsid w:val="009769B8"/>
    <w:rsid w:val="00976A58"/>
    <w:rsid w:val="00976B1F"/>
    <w:rsid w:val="00976C1A"/>
    <w:rsid w:val="00976E79"/>
    <w:rsid w:val="009774AB"/>
    <w:rsid w:val="00977518"/>
    <w:rsid w:val="00977580"/>
    <w:rsid w:val="00977777"/>
    <w:rsid w:val="009777DE"/>
    <w:rsid w:val="009778D6"/>
    <w:rsid w:val="00977A8F"/>
    <w:rsid w:val="00977ADF"/>
    <w:rsid w:val="00977AE1"/>
    <w:rsid w:val="00977B25"/>
    <w:rsid w:val="00977FE3"/>
    <w:rsid w:val="0098022F"/>
    <w:rsid w:val="00980399"/>
    <w:rsid w:val="0098045C"/>
    <w:rsid w:val="009804F8"/>
    <w:rsid w:val="00980674"/>
    <w:rsid w:val="009806A3"/>
    <w:rsid w:val="00980794"/>
    <w:rsid w:val="009809CA"/>
    <w:rsid w:val="00980B6D"/>
    <w:rsid w:val="00980CD1"/>
    <w:rsid w:val="00980D17"/>
    <w:rsid w:val="00980ED8"/>
    <w:rsid w:val="0098105E"/>
    <w:rsid w:val="0098112B"/>
    <w:rsid w:val="00981376"/>
    <w:rsid w:val="00981558"/>
    <w:rsid w:val="009815E9"/>
    <w:rsid w:val="00981863"/>
    <w:rsid w:val="00981BA6"/>
    <w:rsid w:val="00981BBC"/>
    <w:rsid w:val="00981D0F"/>
    <w:rsid w:val="00982143"/>
    <w:rsid w:val="00982287"/>
    <w:rsid w:val="0098258D"/>
    <w:rsid w:val="009825F5"/>
    <w:rsid w:val="00982909"/>
    <w:rsid w:val="00982A4A"/>
    <w:rsid w:val="00982BCA"/>
    <w:rsid w:val="00982C58"/>
    <w:rsid w:val="00982CE8"/>
    <w:rsid w:val="00982EC0"/>
    <w:rsid w:val="009831AC"/>
    <w:rsid w:val="009831B3"/>
    <w:rsid w:val="009833E0"/>
    <w:rsid w:val="009834F4"/>
    <w:rsid w:val="0098352E"/>
    <w:rsid w:val="0098357F"/>
    <w:rsid w:val="009835CA"/>
    <w:rsid w:val="009836B9"/>
    <w:rsid w:val="009837E4"/>
    <w:rsid w:val="00983801"/>
    <w:rsid w:val="00983997"/>
    <w:rsid w:val="00983A57"/>
    <w:rsid w:val="00983C1C"/>
    <w:rsid w:val="00983C49"/>
    <w:rsid w:val="00983D5E"/>
    <w:rsid w:val="00983E80"/>
    <w:rsid w:val="0098411B"/>
    <w:rsid w:val="0098428A"/>
    <w:rsid w:val="0098466C"/>
    <w:rsid w:val="00984751"/>
    <w:rsid w:val="0098483A"/>
    <w:rsid w:val="00984849"/>
    <w:rsid w:val="009848CC"/>
    <w:rsid w:val="009849B6"/>
    <w:rsid w:val="00984D67"/>
    <w:rsid w:val="00984E0B"/>
    <w:rsid w:val="00984E26"/>
    <w:rsid w:val="00984F06"/>
    <w:rsid w:val="00984F2C"/>
    <w:rsid w:val="00985110"/>
    <w:rsid w:val="009851DD"/>
    <w:rsid w:val="009852B7"/>
    <w:rsid w:val="009855AF"/>
    <w:rsid w:val="00985656"/>
    <w:rsid w:val="00985848"/>
    <w:rsid w:val="00985996"/>
    <w:rsid w:val="00985C1A"/>
    <w:rsid w:val="00985CA2"/>
    <w:rsid w:val="00985E5C"/>
    <w:rsid w:val="00985E93"/>
    <w:rsid w:val="00985EFF"/>
    <w:rsid w:val="00985F6D"/>
    <w:rsid w:val="00986184"/>
    <w:rsid w:val="009864B8"/>
    <w:rsid w:val="0098673C"/>
    <w:rsid w:val="00986765"/>
    <w:rsid w:val="009867BE"/>
    <w:rsid w:val="0098698B"/>
    <w:rsid w:val="00986D21"/>
    <w:rsid w:val="00986EBF"/>
    <w:rsid w:val="00986F5F"/>
    <w:rsid w:val="009870C5"/>
    <w:rsid w:val="009871FB"/>
    <w:rsid w:val="00987500"/>
    <w:rsid w:val="009876F9"/>
    <w:rsid w:val="00987807"/>
    <w:rsid w:val="00987A0C"/>
    <w:rsid w:val="00987D1A"/>
    <w:rsid w:val="00987DB8"/>
    <w:rsid w:val="00987DC8"/>
    <w:rsid w:val="00987E41"/>
    <w:rsid w:val="00987E71"/>
    <w:rsid w:val="00990140"/>
    <w:rsid w:val="00990202"/>
    <w:rsid w:val="009905AC"/>
    <w:rsid w:val="009909D7"/>
    <w:rsid w:val="00990A65"/>
    <w:rsid w:val="00990ADA"/>
    <w:rsid w:val="00990B63"/>
    <w:rsid w:val="00990C0F"/>
    <w:rsid w:val="00990C74"/>
    <w:rsid w:val="00990CCE"/>
    <w:rsid w:val="00990FA1"/>
    <w:rsid w:val="00991011"/>
    <w:rsid w:val="009912A9"/>
    <w:rsid w:val="009912F6"/>
    <w:rsid w:val="00991487"/>
    <w:rsid w:val="0099157D"/>
    <w:rsid w:val="0099158C"/>
    <w:rsid w:val="0099177D"/>
    <w:rsid w:val="009919D2"/>
    <w:rsid w:val="00991A38"/>
    <w:rsid w:val="00991C13"/>
    <w:rsid w:val="00991F93"/>
    <w:rsid w:val="00991FC1"/>
    <w:rsid w:val="0099244F"/>
    <w:rsid w:val="00992546"/>
    <w:rsid w:val="00992615"/>
    <w:rsid w:val="009926FB"/>
    <w:rsid w:val="009927CD"/>
    <w:rsid w:val="009927E2"/>
    <w:rsid w:val="00992870"/>
    <w:rsid w:val="00992BA7"/>
    <w:rsid w:val="00992C3B"/>
    <w:rsid w:val="00992CDA"/>
    <w:rsid w:val="00992F3D"/>
    <w:rsid w:val="00993027"/>
    <w:rsid w:val="0099309C"/>
    <w:rsid w:val="0099337C"/>
    <w:rsid w:val="0099352A"/>
    <w:rsid w:val="00993662"/>
    <w:rsid w:val="0099366B"/>
    <w:rsid w:val="00993692"/>
    <w:rsid w:val="009936DD"/>
    <w:rsid w:val="00993702"/>
    <w:rsid w:val="009937A5"/>
    <w:rsid w:val="009938B1"/>
    <w:rsid w:val="00993A09"/>
    <w:rsid w:val="00993A5D"/>
    <w:rsid w:val="00993AD2"/>
    <w:rsid w:val="00993B36"/>
    <w:rsid w:val="0099416B"/>
    <w:rsid w:val="009941EB"/>
    <w:rsid w:val="009942D4"/>
    <w:rsid w:val="009942DC"/>
    <w:rsid w:val="009944A3"/>
    <w:rsid w:val="009945B1"/>
    <w:rsid w:val="009945B5"/>
    <w:rsid w:val="0099486E"/>
    <w:rsid w:val="009948C9"/>
    <w:rsid w:val="00994913"/>
    <w:rsid w:val="009949C4"/>
    <w:rsid w:val="009949FA"/>
    <w:rsid w:val="0099509D"/>
    <w:rsid w:val="009951A5"/>
    <w:rsid w:val="00995434"/>
    <w:rsid w:val="009954D5"/>
    <w:rsid w:val="009956A5"/>
    <w:rsid w:val="00995749"/>
    <w:rsid w:val="00995803"/>
    <w:rsid w:val="009958F1"/>
    <w:rsid w:val="00995F46"/>
    <w:rsid w:val="00995FD2"/>
    <w:rsid w:val="009960C7"/>
    <w:rsid w:val="00996172"/>
    <w:rsid w:val="0099625D"/>
    <w:rsid w:val="00996407"/>
    <w:rsid w:val="0099649A"/>
    <w:rsid w:val="009968F7"/>
    <w:rsid w:val="00996E32"/>
    <w:rsid w:val="00996E70"/>
    <w:rsid w:val="00996ECE"/>
    <w:rsid w:val="00997133"/>
    <w:rsid w:val="009975F0"/>
    <w:rsid w:val="0099762D"/>
    <w:rsid w:val="009977F8"/>
    <w:rsid w:val="00997979"/>
    <w:rsid w:val="00997A58"/>
    <w:rsid w:val="00997B47"/>
    <w:rsid w:val="00997C5D"/>
    <w:rsid w:val="00997D2F"/>
    <w:rsid w:val="009A0036"/>
    <w:rsid w:val="009A081F"/>
    <w:rsid w:val="009A08FA"/>
    <w:rsid w:val="009A0948"/>
    <w:rsid w:val="009A0950"/>
    <w:rsid w:val="009A0CC9"/>
    <w:rsid w:val="009A0D57"/>
    <w:rsid w:val="009A10A8"/>
    <w:rsid w:val="009A10BE"/>
    <w:rsid w:val="009A113A"/>
    <w:rsid w:val="009A137B"/>
    <w:rsid w:val="009A1626"/>
    <w:rsid w:val="009A1925"/>
    <w:rsid w:val="009A19E8"/>
    <w:rsid w:val="009A1C4A"/>
    <w:rsid w:val="009A1D35"/>
    <w:rsid w:val="009A1DE1"/>
    <w:rsid w:val="009A20E4"/>
    <w:rsid w:val="009A2126"/>
    <w:rsid w:val="009A221D"/>
    <w:rsid w:val="009A24C1"/>
    <w:rsid w:val="009A24E2"/>
    <w:rsid w:val="009A2799"/>
    <w:rsid w:val="009A2A0A"/>
    <w:rsid w:val="009A2A46"/>
    <w:rsid w:val="009A2AAB"/>
    <w:rsid w:val="009A2AE7"/>
    <w:rsid w:val="009A2B39"/>
    <w:rsid w:val="009A2D06"/>
    <w:rsid w:val="009A2D38"/>
    <w:rsid w:val="009A2F86"/>
    <w:rsid w:val="009A2FA7"/>
    <w:rsid w:val="009A3129"/>
    <w:rsid w:val="009A31E8"/>
    <w:rsid w:val="009A328D"/>
    <w:rsid w:val="009A349D"/>
    <w:rsid w:val="009A361B"/>
    <w:rsid w:val="009A36C0"/>
    <w:rsid w:val="009A376E"/>
    <w:rsid w:val="009A39E5"/>
    <w:rsid w:val="009A3A85"/>
    <w:rsid w:val="009A3DA7"/>
    <w:rsid w:val="009A3E93"/>
    <w:rsid w:val="009A43B5"/>
    <w:rsid w:val="009A4573"/>
    <w:rsid w:val="009A4624"/>
    <w:rsid w:val="009A473D"/>
    <w:rsid w:val="009A4809"/>
    <w:rsid w:val="009A4AF7"/>
    <w:rsid w:val="009A4CA7"/>
    <w:rsid w:val="009A4D5A"/>
    <w:rsid w:val="009A5164"/>
    <w:rsid w:val="009A51E1"/>
    <w:rsid w:val="009A52C8"/>
    <w:rsid w:val="009A5402"/>
    <w:rsid w:val="009A5464"/>
    <w:rsid w:val="009A5596"/>
    <w:rsid w:val="009A581E"/>
    <w:rsid w:val="009A583A"/>
    <w:rsid w:val="009A5F11"/>
    <w:rsid w:val="009A5F83"/>
    <w:rsid w:val="009A6014"/>
    <w:rsid w:val="009A6034"/>
    <w:rsid w:val="009A6067"/>
    <w:rsid w:val="009A62BC"/>
    <w:rsid w:val="009A639A"/>
    <w:rsid w:val="009A640D"/>
    <w:rsid w:val="009A670F"/>
    <w:rsid w:val="009A6855"/>
    <w:rsid w:val="009A6B55"/>
    <w:rsid w:val="009A6B8E"/>
    <w:rsid w:val="009A6BA4"/>
    <w:rsid w:val="009A6BC9"/>
    <w:rsid w:val="009A6C76"/>
    <w:rsid w:val="009A6DEB"/>
    <w:rsid w:val="009A6E00"/>
    <w:rsid w:val="009A719A"/>
    <w:rsid w:val="009A71AF"/>
    <w:rsid w:val="009A7301"/>
    <w:rsid w:val="009A7483"/>
    <w:rsid w:val="009A7598"/>
    <w:rsid w:val="009A766C"/>
    <w:rsid w:val="009A76A1"/>
    <w:rsid w:val="009A79FE"/>
    <w:rsid w:val="009A7A01"/>
    <w:rsid w:val="009A7AF4"/>
    <w:rsid w:val="009A7C55"/>
    <w:rsid w:val="009A7CEA"/>
    <w:rsid w:val="009A7DDC"/>
    <w:rsid w:val="009A7EB2"/>
    <w:rsid w:val="009A7F24"/>
    <w:rsid w:val="009B01F4"/>
    <w:rsid w:val="009B03D7"/>
    <w:rsid w:val="009B0643"/>
    <w:rsid w:val="009B069F"/>
    <w:rsid w:val="009B06B6"/>
    <w:rsid w:val="009B0B21"/>
    <w:rsid w:val="009B0B56"/>
    <w:rsid w:val="009B0BE3"/>
    <w:rsid w:val="009B0C62"/>
    <w:rsid w:val="009B0C93"/>
    <w:rsid w:val="009B0F22"/>
    <w:rsid w:val="009B0F65"/>
    <w:rsid w:val="009B0F73"/>
    <w:rsid w:val="009B1120"/>
    <w:rsid w:val="009B1293"/>
    <w:rsid w:val="009B145B"/>
    <w:rsid w:val="009B16CC"/>
    <w:rsid w:val="009B1D99"/>
    <w:rsid w:val="009B2062"/>
    <w:rsid w:val="009B225A"/>
    <w:rsid w:val="009B22DE"/>
    <w:rsid w:val="009B232C"/>
    <w:rsid w:val="009B2345"/>
    <w:rsid w:val="009B24E0"/>
    <w:rsid w:val="009B257D"/>
    <w:rsid w:val="009B26F8"/>
    <w:rsid w:val="009B288A"/>
    <w:rsid w:val="009B28E3"/>
    <w:rsid w:val="009B2A0A"/>
    <w:rsid w:val="009B2BA5"/>
    <w:rsid w:val="009B2BE4"/>
    <w:rsid w:val="009B2C11"/>
    <w:rsid w:val="009B2F20"/>
    <w:rsid w:val="009B305A"/>
    <w:rsid w:val="009B309A"/>
    <w:rsid w:val="009B30A4"/>
    <w:rsid w:val="009B3321"/>
    <w:rsid w:val="009B34FF"/>
    <w:rsid w:val="009B37EC"/>
    <w:rsid w:val="009B3841"/>
    <w:rsid w:val="009B38A7"/>
    <w:rsid w:val="009B3990"/>
    <w:rsid w:val="009B417B"/>
    <w:rsid w:val="009B430D"/>
    <w:rsid w:val="009B43CD"/>
    <w:rsid w:val="009B45A1"/>
    <w:rsid w:val="009B47E2"/>
    <w:rsid w:val="009B4806"/>
    <w:rsid w:val="009B4956"/>
    <w:rsid w:val="009B4A7E"/>
    <w:rsid w:val="009B4ADC"/>
    <w:rsid w:val="009B4DEB"/>
    <w:rsid w:val="009B4FA5"/>
    <w:rsid w:val="009B4FD4"/>
    <w:rsid w:val="009B50BD"/>
    <w:rsid w:val="009B50CB"/>
    <w:rsid w:val="009B560A"/>
    <w:rsid w:val="009B5623"/>
    <w:rsid w:val="009B56B7"/>
    <w:rsid w:val="009B5881"/>
    <w:rsid w:val="009B5934"/>
    <w:rsid w:val="009B59DE"/>
    <w:rsid w:val="009B5A3C"/>
    <w:rsid w:val="009B5A48"/>
    <w:rsid w:val="009B5DAC"/>
    <w:rsid w:val="009B5DFE"/>
    <w:rsid w:val="009B6044"/>
    <w:rsid w:val="009B625F"/>
    <w:rsid w:val="009B64ED"/>
    <w:rsid w:val="009B6589"/>
    <w:rsid w:val="009B6641"/>
    <w:rsid w:val="009B6828"/>
    <w:rsid w:val="009B6884"/>
    <w:rsid w:val="009B69B2"/>
    <w:rsid w:val="009B6A2A"/>
    <w:rsid w:val="009B6C3F"/>
    <w:rsid w:val="009B6E47"/>
    <w:rsid w:val="009B7029"/>
    <w:rsid w:val="009B7057"/>
    <w:rsid w:val="009B70A1"/>
    <w:rsid w:val="009B74FC"/>
    <w:rsid w:val="009B76DC"/>
    <w:rsid w:val="009B7AB3"/>
    <w:rsid w:val="009B7B31"/>
    <w:rsid w:val="009B7C6A"/>
    <w:rsid w:val="009B7DCB"/>
    <w:rsid w:val="009B7E5F"/>
    <w:rsid w:val="009B7FA8"/>
    <w:rsid w:val="009B7FF6"/>
    <w:rsid w:val="009C004A"/>
    <w:rsid w:val="009C00FE"/>
    <w:rsid w:val="009C0151"/>
    <w:rsid w:val="009C045E"/>
    <w:rsid w:val="009C0575"/>
    <w:rsid w:val="009C0670"/>
    <w:rsid w:val="009C08A6"/>
    <w:rsid w:val="009C0983"/>
    <w:rsid w:val="009C09CC"/>
    <w:rsid w:val="009C0A93"/>
    <w:rsid w:val="009C0AD9"/>
    <w:rsid w:val="009C0B23"/>
    <w:rsid w:val="009C0BDF"/>
    <w:rsid w:val="009C0CA0"/>
    <w:rsid w:val="009C0E3E"/>
    <w:rsid w:val="009C0EDF"/>
    <w:rsid w:val="009C0EEF"/>
    <w:rsid w:val="009C0F94"/>
    <w:rsid w:val="009C102A"/>
    <w:rsid w:val="009C10AA"/>
    <w:rsid w:val="009C150B"/>
    <w:rsid w:val="009C160A"/>
    <w:rsid w:val="009C1B99"/>
    <w:rsid w:val="009C1D28"/>
    <w:rsid w:val="009C1F8F"/>
    <w:rsid w:val="009C1FE4"/>
    <w:rsid w:val="009C202F"/>
    <w:rsid w:val="009C2043"/>
    <w:rsid w:val="009C2171"/>
    <w:rsid w:val="009C2254"/>
    <w:rsid w:val="009C233B"/>
    <w:rsid w:val="009C23BA"/>
    <w:rsid w:val="009C2423"/>
    <w:rsid w:val="009C25E2"/>
    <w:rsid w:val="009C2666"/>
    <w:rsid w:val="009C2988"/>
    <w:rsid w:val="009C2A02"/>
    <w:rsid w:val="009C2A4D"/>
    <w:rsid w:val="009C2BA2"/>
    <w:rsid w:val="009C2DAD"/>
    <w:rsid w:val="009C31FD"/>
    <w:rsid w:val="009C3337"/>
    <w:rsid w:val="009C3552"/>
    <w:rsid w:val="009C3628"/>
    <w:rsid w:val="009C37CE"/>
    <w:rsid w:val="009C3850"/>
    <w:rsid w:val="009C39C7"/>
    <w:rsid w:val="009C3AAB"/>
    <w:rsid w:val="009C3AAD"/>
    <w:rsid w:val="009C3B0C"/>
    <w:rsid w:val="009C3B82"/>
    <w:rsid w:val="009C3BDE"/>
    <w:rsid w:val="009C3F97"/>
    <w:rsid w:val="009C4030"/>
    <w:rsid w:val="009C40BB"/>
    <w:rsid w:val="009C438E"/>
    <w:rsid w:val="009C44A5"/>
    <w:rsid w:val="009C45FF"/>
    <w:rsid w:val="009C4760"/>
    <w:rsid w:val="009C476C"/>
    <w:rsid w:val="009C4A7A"/>
    <w:rsid w:val="009C4B6E"/>
    <w:rsid w:val="009C4C84"/>
    <w:rsid w:val="009C4E2D"/>
    <w:rsid w:val="009C4F4D"/>
    <w:rsid w:val="009C5097"/>
    <w:rsid w:val="009C515B"/>
    <w:rsid w:val="009C51B3"/>
    <w:rsid w:val="009C527F"/>
    <w:rsid w:val="009C53D7"/>
    <w:rsid w:val="009C54D1"/>
    <w:rsid w:val="009C551E"/>
    <w:rsid w:val="009C5590"/>
    <w:rsid w:val="009C5659"/>
    <w:rsid w:val="009C575E"/>
    <w:rsid w:val="009C5A29"/>
    <w:rsid w:val="009C5C1A"/>
    <w:rsid w:val="009C5DA8"/>
    <w:rsid w:val="009C60D4"/>
    <w:rsid w:val="009C6166"/>
    <w:rsid w:val="009C61FE"/>
    <w:rsid w:val="009C635A"/>
    <w:rsid w:val="009C63E0"/>
    <w:rsid w:val="009C6686"/>
    <w:rsid w:val="009C6697"/>
    <w:rsid w:val="009C67B8"/>
    <w:rsid w:val="009C6874"/>
    <w:rsid w:val="009C68E6"/>
    <w:rsid w:val="009C6990"/>
    <w:rsid w:val="009C6B1F"/>
    <w:rsid w:val="009C6B2D"/>
    <w:rsid w:val="009C6BC1"/>
    <w:rsid w:val="009C6EA8"/>
    <w:rsid w:val="009C702B"/>
    <w:rsid w:val="009C708D"/>
    <w:rsid w:val="009C70BD"/>
    <w:rsid w:val="009C715F"/>
    <w:rsid w:val="009C7196"/>
    <w:rsid w:val="009C72B5"/>
    <w:rsid w:val="009C72FB"/>
    <w:rsid w:val="009C7356"/>
    <w:rsid w:val="009C741F"/>
    <w:rsid w:val="009C7731"/>
    <w:rsid w:val="009C7D18"/>
    <w:rsid w:val="009C7D5D"/>
    <w:rsid w:val="009C7EAA"/>
    <w:rsid w:val="009D0035"/>
    <w:rsid w:val="009D01D3"/>
    <w:rsid w:val="009D0230"/>
    <w:rsid w:val="009D0325"/>
    <w:rsid w:val="009D0365"/>
    <w:rsid w:val="009D0528"/>
    <w:rsid w:val="009D06C5"/>
    <w:rsid w:val="009D07AD"/>
    <w:rsid w:val="009D07C5"/>
    <w:rsid w:val="009D0E9E"/>
    <w:rsid w:val="009D0EE9"/>
    <w:rsid w:val="009D0F30"/>
    <w:rsid w:val="009D0FC3"/>
    <w:rsid w:val="009D0FE8"/>
    <w:rsid w:val="009D1222"/>
    <w:rsid w:val="009D1283"/>
    <w:rsid w:val="009D1295"/>
    <w:rsid w:val="009D14FA"/>
    <w:rsid w:val="009D16D1"/>
    <w:rsid w:val="009D16DF"/>
    <w:rsid w:val="009D1861"/>
    <w:rsid w:val="009D198E"/>
    <w:rsid w:val="009D1996"/>
    <w:rsid w:val="009D1A4C"/>
    <w:rsid w:val="009D2043"/>
    <w:rsid w:val="009D20BD"/>
    <w:rsid w:val="009D214D"/>
    <w:rsid w:val="009D234B"/>
    <w:rsid w:val="009D29F8"/>
    <w:rsid w:val="009D2A30"/>
    <w:rsid w:val="009D2BE8"/>
    <w:rsid w:val="009D2E02"/>
    <w:rsid w:val="009D2EE6"/>
    <w:rsid w:val="009D307A"/>
    <w:rsid w:val="009D30C2"/>
    <w:rsid w:val="009D3299"/>
    <w:rsid w:val="009D33E6"/>
    <w:rsid w:val="009D33FB"/>
    <w:rsid w:val="009D35CE"/>
    <w:rsid w:val="009D3CA8"/>
    <w:rsid w:val="009D3D32"/>
    <w:rsid w:val="009D3F42"/>
    <w:rsid w:val="009D41EA"/>
    <w:rsid w:val="009D4264"/>
    <w:rsid w:val="009D42C7"/>
    <w:rsid w:val="009D44CA"/>
    <w:rsid w:val="009D45BE"/>
    <w:rsid w:val="009D4614"/>
    <w:rsid w:val="009D464B"/>
    <w:rsid w:val="009D476F"/>
    <w:rsid w:val="009D4865"/>
    <w:rsid w:val="009D48AC"/>
    <w:rsid w:val="009D494C"/>
    <w:rsid w:val="009D4A50"/>
    <w:rsid w:val="009D4B47"/>
    <w:rsid w:val="009D514D"/>
    <w:rsid w:val="009D516C"/>
    <w:rsid w:val="009D54C2"/>
    <w:rsid w:val="009D55F7"/>
    <w:rsid w:val="009D5617"/>
    <w:rsid w:val="009D5638"/>
    <w:rsid w:val="009D58E1"/>
    <w:rsid w:val="009D5AA9"/>
    <w:rsid w:val="009D5B40"/>
    <w:rsid w:val="009D5C85"/>
    <w:rsid w:val="009D5E74"/>
    <w:rsid w:val="009D5FEB"/>
    <w:rsid w:val="009D60A5"/>
    <w:rsid w:val="009D614F"/>
    <w:rsid w:val="009D6174"/>
    <w:rsid w:val="009D62A3"/>
    <w:rsid w:val="009D63F8"/>
    <w:rsid w:val="009D6401"/>
    <w:rsid w:val="009D64A1"/>
    <w:rsid w:val="009D6538"/>
    <w:rsid w:val="009D656B"/>
    <w:rsid w:val="009D673D"/>
    <w:rsid w:val="009D697B"/>
    <w:rsid w:val="009D6B4D"/>
    <w:rsid w:val="009D6C4D"/>
    <w:rsid w:val="009D6D5D"/>
    <w:rsid w:val="009D7008"/>
    <w:rsid w:val="009D71A2"/>
    <w:rsid w:val="009D735F"/>
    <w:rsid w:val="009D737A"/>
    <w:rsid w:val="009D750E"/>
    <w:rsid w:val="009D7975"/>
    <w:rsid w:val="009D79ED"/>
    <w:rsid w:val="009D7B78"/>
    <w:rsid w:val="009D7C6D"/>
    <w:rsid w:val="009D7C76"/>
    <w:rsid w:val="009D7CA3"/>
    <w:rsid w:val="009D7E57"/>
    <w:rsid w:val="009D7F13"/>
    <w:rsid w:val="009E02AF"/>
    <w:rsid w:val="009E0371"/>
    <w:rsid w:val="009E0547"/>
    <w:rsid w:val="009E056D"/>
    <w:rsid w:val="009E0570"/>
    <w:rsid w:val="009E0704"/>
    <w:rsid w:val="009E07A2"/>
    <w:rsid w:val="009E09D9"/>
    <w:rsid w:val="009E0C94"/>
    <w:rsid w:val="009E0D4C"/>
    <w:rsid w:val="009E0D83"/>
    <w:rsid w:val="009E1004"/>
    <w:rsid w:val="009E1110"/>
    <w:rsid w:val="009E11DB"/>
    <w:rsid w:val="009E121C"/>
    <w:rsid w:val="009E142E"/>
    <w:rsid w:val="009E1502"/>
    <w:rsid w:val="009E16A7"/>
    <w:rsid w:val="009E179D"/>
    <w:rsid w:val="009E1C98"/>
    <w:rsid w:val="009E1F89"/>
    <w:rsid w:val="009E2084"/>
    <w:rsid w:val="009E20C1"/>
    <w:rsid w:val="009E20D0"/>
    <w:rsid w:val="009E2417"/>
    <w:rsid w:val="009E2677"/>
    <w:rsid w:val="009E26FF"/>
    <w:rsid w:val="009E27B8"/>
    <w:rsid w:val="009E296A"/>
    <w:rsid w:val="009E2A88"/>
    <w:rsid w:val="009E2B00"/>
    <w:rsid w:val="009E2D67"/>
    <w:rsid w:val="009E2ECC"/>
    <w:rsid w:val="009E3288"/>
    <w:rsid w:val="009E32A5"/>
    <w:rsid w:val="009E32FF"/>
    <w:rsid w:val="009E340D"/>
    <w:rsid w:val="009E349C"/>
    <w:rsid w:val="009E34BF"/>
    <w:rsid w:val="009E34C1"/>
    <w:rsid w:val="009E366B"/>
    <w:rsid w:val="009E368B"/>
    <w:rsid w:val="009E3810"/>
    <w:rsid w:val="009E398D"/>
    <w:rsid w:val="009E3BEA"/>
    <w:rsid w:val="009E3D2C"/>
    <w:rsid w:val="009E3D3F"/>
    <w:rsid w:val="009E3EFF"/>
    <w:rsid w:val="009E423F"/>
    <w:rsid w:val="009E4458"/>
    <w:rsid w:val="009E44BE"/>
    <w:rsid w:val="009E45D8"/>
    <w:rsid w:val="009E462A"/>
    <w:rsid w:val="009E48BE"/>
    <w:rsid w:val="009E4900"/>
    <w:rsid w:val="009E4A98"/>
    <w:rsid w:val="009E4AC2"/>
    <w:rsid w:val="009E4CC4"/>
    <w:rsid w:val="009E4D4C"/>
    <w:rsid w:val="009E4EF2"/>
    <w:rsid w:val="009E4FE4"/>
    <w:rsid w:val="009E50F0"/>
    <w:rsid w:val="009E5136"/>
    <w:rsid w:val="009E51A1"/>
    <w:rsid w:val="009E522A"/>
    <w:rsid w:val="009E52BD"/>
    <w:rsid w:val="009E5473"/>
    <w:rsid w:val="009E54B4"/>
    <w:rsid w:val="009E563C"/>
    <w:rsid w:val="009E5A0D"/>
    <w:rsid w:val="009E5A63"/>
    <w:rsid w:val="009E5AAB"/>
    <w:rsid w:val="009E5BBE"/>
    <w:rsid w:val="009E5BD5"/>
    <w:rsid w:val="009E5E06"/>
    <w:rsid w:val="009E5FA5"/>
    <w:rsid w:val="009E609C"/>
    <w:rsid w:val="009E60FC"/>
    <w:rsid w:val="009E61D1"/>
    <w:rsid w:val="009E6481"/>
    <w:rsid w:val="009E64F4"/>
    <w:rsid w:val="009E658A"/>
    <w:rsid w:val="009E67CC"/>
    <w:rsid w:val="009E67D0"/>
    <w:rsid w:val="009E69E3"/>
    <w:rsid w:val="009E6DE4"/>
    <w:rsid w:val="009E6EC2"/>
    <w:rsid w:val="009E6F15"/>
    <w:rsid w:val="009E706A"/>
    <w:rsid w:val="009E73D7"/>
    <w:rsid w:val="009E73FC"/>
    <w:rsid w:val="009E752B"/>
    <w:rsid w:val="009E757E"/>
    <w:rsid w:val="009E7709"/>
    <w:rsid w:val="009E7785"/>
    <w:rsid w:val="009E77F2"/>
    <w:rsid w:val="009E7901"/>
    <w:rsid w:val="009E7AE2"/>
    <w:rsid w:val="009E7BDD"/>
    <w:rsid w:val="009E7BDF"/>
    <w:rsid w:val="009E7F0E"/>
    <w:rsid w:val="009E7FE7"/>
    <w:rsid w:val="009F02DC"/>
    <w:rsid w:val="009F0CB2"/>
    <w:rsid w:val="009F0D2B"/>
    <w:rsid w:val="009F0D8B"/>
    <w:rsid w:val="009F0DD7"/>
    <w:rsid w:val="009F0EEF"/>
    <w:rsid w:val="009F1133"/>
    <w:rsid w:val="009F11D9"/>
    <w:rsid w:val="009F1283"/>
    <w:rsid w:val="009F12F8"/>
    <w:rsid w:val="009F1866"/>
    <w:rsid w:val="009F1884"/>
    <w:rsid w:val="009F18AE"/>
    <w:rsid w:val="009F19A7"/>
    <w:rsid w:val="009F24EB"/>
    <w:rsid w:val="009F2804"/>
    <w:rsid w:val="009F2813"/>
    <w:rsid w:val="009F28AC"/>
    <w:rsid w:val="009F2914"/>
    <w:rsid w:val="009F2A8C"/>
    <w:rsid w:val="009F2A98"/>
    <w:rsid w:val="009F2BB4"/>
    <w:rsid w:val="009F2DBB"/>
    <w:rsid w:val="009F2DC8"/>
    <w:rsid w:val="009F2FD8"/>
    <w:rsid w:val="009F3143"/>
    <w:rsid w:val="009F3288"/>
    <w:rsid w:val="009F35C0"/>
    <w:rsid w:val="009F37B1"/>
    <w:rsid w:val="009F38FB"/>
    <w:rsid w:val="009F3946"/>
    <w:rsid w:val="009F3A3F"/>
    <w:rsid w:val="009F3A81"/>
    <w:rsid w:val="009F3C26"/>
    <w:rsid w:val="009F3E93"/>
    <w:rsid w:val="009F4093"/>
    <w:rsid w:val="009F4123"/>
    <w:rsid w:val="009F42DA"/>
    <w:rsid w:val="009F4483"/>
    <w:rsid w:val="009F44ED"/>
    <w:rsid w:val="009F4A62"/>
    <w:rsid w:val="009F4B15"/>
    <w:rsid w:val="009F4D7F"/>
    <w:rsid w:val="009F4E9D"/>
    <w:rsid w:val="009F50BD"/>
    <w:rsid w:val="009F516A"/>
    <w:rsid w:val="009F5174"/>
    <w:rsid w:val="009F5293"/>
    <w:rsid w:val="009F544B"/>
    <w:rsid w:val="009F55DA"/>
    <w:rsid w:val="009F58E6"/>
    <w:rsid w:val="009F5924"/>
    <w:rsid w:val="009F5976"/>
    <w:rsid w:val="009F59D0"/>
    <w:rsid w:val="009F5ADD"/>
    <w:rsid w:val="009F5B4B"/>
    <w:rsid w:val="009F5B77"/>
    <w:rsid w:val="009F5B85"/>
    <w:rsid w:val="009F5E42"/>
    <w:rsid w:val="009F5EE5"/>
    <w:rsid w:val="009F5F5A"/>
    <w:rsid w:val="009F5FA0"/>
    <w:rsid w:val="009F5FF2"/>
    <w:rsid w:val="009F61B7"/>
    <w:rsid w:val="009F6239"/>
    <w:rsid w:val="009F6307"/>
    <w:rsid w:val="009F6CEC"/>
    <w:rsid w:val="009F6D7A"/>
    <w:rsid w:val="009F7147"/>
    <w:rsid w:val="009F718A"/>
    <w:rsid w:val="009F71A3"/>
    <w:rsid w:val="009F71A4"/>
    <w:rsid w:val="009F75CE"/>
    <w:rsid w:val="009F75EF"/>
    <w:rsid w:val="009F78E3"/>
    <w:rsid w:val="009F79A0"/>
    <w:rsid w:val="009F7B59"/>
    <w:rsid w:val="009F7D6E"/>
    <w:rsid w:val="009F7DA4"/>
    <w:rsid w:val="00A0026A"/>
    <w:rsid w:val="00A00281"/>
    <w:rsid w:val="00A003D0"/>
    <w:rsid w:val="00A00412"/>
    <w:rsid w:val="00A005F0"/>
    <w:rsid w:val="00A00716"/>
    <w:rsid w:val="00A00F41"/>
    <w:rsid w:val="00A01018"/>
    <w:rsid w:val="00A013D0"/>
    <w:rsid w:val="00A0140E"/>
    <w:rsid w:val="00A0143D"/>
    <w:rsid w:val="00A015FA"/>
    <w:rsid w:val="00A01709"/>
    <w:rsid w:val="00A01731"/>
    <w:rsid w:val="00A01991"/>
    <w:rsid w:val="00A01CFC"/>
    <w:rsid w:val="00A0210B"/>
    <w:rsid w:val="00A02120"/>
    <w:rsid w:val="00A02228"/>
    <w:rsid w:val="00A02566"/>
    <w:rsid w:val="00A02587"/>
    <w:rsid w:val="00A02615"/>
    <w:rsid w:val="00A028A0"/>
    <w:rsid w:val="00A02D3A"/>
    <w:rsid w:val="00A02E13"/>
    <w:rsid w:val="00A030FF"/>
    <w:rsid w:val="00A035F4"/>
    <w:rsid w:val="00A03A0E"/>
    <w:rsid w:val="00A03A61"/>
    <w:rsid w:val="00A03DA7"/>
    <w:rsid w:val="00A03F28"/>
    <w:rsid w:val="00A03F6C"/>
    <w:rsid w:val="00A03FA2"/>
    <w:rsid w:val="00A03FCC"/>
    <w:rsid w:val="00A04048"/>
    <w:rsid w:val="00A04086"/>
    <w:rsid w:val="00A045DB"/>
    <w:rsid w:val="00A046A8"/>
    <w:rsid w:val="00A04754"/>
    <w:rsid w:val="00A04913"/>
    <w:rsid w:val="00A04B86"/>
    <w:rsid w:val="00A04B9B"/>
    <w:rsid w:val="00A04D1C"/>
    <w:rsid w:val="00A04EBD"/>
    <w:rsid w:val="00A05020"/>
    <w:rsid w:val="00A0504E"/>
    <w:rsid w:val="00A05168"/>
    <w:rsid w:val="00A05215"/>
    <w:rsid w:val="00A05561"/>
    <w:rsid w:val="00A056E8"/>
    <w:rsid w:val="00A0571B"/>
    <w:rsid w:val="00A05778"/>
    <w:rsid w:val="00A05784"/>
    <w:rsid w:val="00A057AB"/>
    <w:rsid w:val="00A0580B"/>
    <w:rsid w:val="00A05CAD"/>
    <w:rsid w:val="00A05D5D"/>
    <w:rsid w:val="00A05EE7"/>
    <w:rsid w:val="00A06082"/>
    <w:rsid w:val="00A060D5"/>
    <w:rsid w:val="00A0631B"/>
    <w:rsid w:val="00A06656"/>
    <w:rsid w:val="00A0666B"/>
    <w:rsid w:val="00A06736"/>
    <w:rsid w:val="00A06B33"/>
    <w:rsid w:val="00A06D7C"/>
    <w:rsid w:val="00A06E36"/>
    <w:rsid w:val="00A06E62"/>
    <w:rsid w:val="00A071B5"/>
    <w:rsid w:val="00A074C6"/>
    <w:rsid w:val="00A07636"/>
    <w:rsid w:val="00A07738"/>
    <w:rsid w:val="00A0793F"/>
    <w:rsid w:val="00A07996"/>
    <w:rsid w:val="00A0799B"/>
    <w:rsid w:val="00A07A6C"/>
    <w:rsid w:val="00A07B35"/>
    <w:rsid w:val="00A07BD7"/>
    <w:rsid w:val="00A07D99"/>
    <w:rsid w:val="00A07DC7"/>
    <w:rsid w:val="00A07F73"/>
    <w:rsid w:val="00A10145"/>
    <w:rsid w:val="00A1079D"/>
    <w:rsid w:val="00A108AA"/>
    <w:rsid w:val="00A109B6"/>
    <w:rsid w:val="00A109C0"/>
    <w:rsid w:val="00A10A43"/>
    <w:rsid w:val="00A10CC5"/>
    <w:rsid w:val="00A10CF3"/>
    <w:rsid w:val="00A111DE"/>
    <w:rsid w:val="00A11516"/>
    <w:rsid w:val="00A11560"/>
    <w:rsid w:val="00A1162C"/>
    <w:rsid w:val="00A11A3F"/>
    <w:rsid w:val="00A11B51"/>
    <w:rsid w:val="00A11C20"/>
    <w:rsid w:val="00A11C34"/>
    <w:rsid w:val="00A11D8B"/>
    <w:rsid w:val="00A11F35"/>
    <w:rsid w:val="00A11F3D"/>
    <w:rsid w:val="00A11F57"/>
    <w:rsid w:val="00A11F77"/>
    <w:rsid w:val="00A11FDE"/>
    <w:rsid w:val="00A12051"/>
    <w:rsid w:val="00A12234"/>
    <w:rsid w:val="00A12619"/>
    <w:rsid w:val="00A126B0"/>
    <w:rsid w:val="00A127FB"/>
    <w:rsid w:val="00A1298C"/>
    <w:rsid w:val="00A12A10"/>
    <w:rsid w:val="00A12ACD"/>
    <w:rsid w:val="00A12C4A"/>
    <w:rsid w:val="00A12D1F"/>
    <w:rsid w:val="00A12D29"/>
    <w:rsid w:val="00A12D5E"/>
    <w:rsid w:val="00A12DEA"/>
    <w:rsid w:val="00A131E2"/>
    <w:rsid w:val="00A132C3"/>
    <w:rsid w:val="00A133AF"/>
    <w:rsid w:val="00A13557"/>
    <w:rsid w:val="00A135B5"/>
    <w:rsid w:val="00A137DB"/>
    <w:rsid w:val="00A137F4"/>
    <w:rsid w:val="00A1389B"/>
    <w:rsid w:val="00A1395B"/>
    <w:rsid w:val="00A13D40"/>
    <w:rsid w:val="00A13D91"/>
    <w:rsid w:val="00A1410B"/>
    <w:rsid w:val="00A14198"/>
    <w:rsid w:val="00A14388"/>
    <w:rsid w:val="00A14517"/>
    <w:rsid w:val="00A148AB"/>
    <w:rsid w:val="00A1493C"/>
    <w:rsid w:val="00A14A86"/>
    <w:rsid w:val="00A14D20"/>
    <w:rsid w:val="00A14F1C"/>
    <w:rsid w:val="00A15050"/>
    <w:rsid w:val="00A151F5"/>
    <w:rsid w:val="00A152D6"/>
    <w:rsid w:val="00A152F9"/>
    <w:rsid w:val="00A15359"/>
    <w:rsid w:val="00A154AC"/>
    <w:rsid w:val="00A1558F"/>
    <w:rsid w:val="00A155B2"/>
    <w:rsid w:val="00A156A5"/>
    <w:rsid w:val="00A15788"/>
    <w:rsid w:val="00A159BE"/>
    <w:rsid w:val="00A15A0B"/>
    <w:rsid w:val="00A15BB0"/>
    <w:rsid w:val="00A15BE4"/>
    <w:rsid w:val="00A15C46"/>
    <w:rsid w:val="00A15C78"/>
    <w:rsid w:val="00A15D23"/>
    <w:rsid w:val="00A15DD7"/>
    <w:rsid w:val="00A15E0F"/>
    <w:rsid w:val="00A15E3D"/>
    <w:rsid w:val="00A15EB8"/>
    <w:rsid w:val="00A160B4"/>
    <w:rsid w:val="00A161EC"/>
    <w:rsid w:val="00A161FC"/>
    <w:rsid w:val="00A16241"/>
    <w:rsid w:val="00A1642C"/>
    <w:rsid w:val="00A16682"/>
    <w:rsid w:val="00A16A69"/>
    <w:rsid w:val="00A16EBC"/>
    <w:rsid w:val="00A16EEA"/>
    <w:rsid w:val="00A17186"/>
    <w:rsid w:val="00A171BB"/>
    <w:rsid w:val="00A171D9"/>
    <w:rsid w:val="00A17223"/>
    <w:rsid w:val="00A173B4"/>
    <w:rsid w:val="00A173F3"/>
    <w:rsid w:val="00A17450"/>
    <w:rsid w:val="00A175B0"/>
    <w:rsid w:val="00A175C2"/>
    <w:rsid w:val="00A175CD"/>
    <w:rsid w:val="00A1790F"/>
    <w:rsid w:val="00A17A00"/>
    <w:rsid w:val="00A17ABE"/>
    <w:rsid w:val="00A17AF6"/>
    <w:rsid w:val="00A17F34"/>
    <w:rsid w:val="00A202F7"/>
    <w:rsid w:val="00A2044A"/>
    <w:rsid w:val="00A204AE"/>
    <w:rsid w:val="00A20502"/>
    <w:rsid w:val="00A205F7"/>
    <w:rsid w:val="00A205FF"/>
    <w:rsid w:val="00A2062D"/>
    <w:rsid w:val="00A206AF"/>
    <w:rsid w:val="00A207C5"/>
    <w:rsid w:val="00A208C1"/>
    <w:rsid w:val="00A20A37"/>
    <w:rsid w:val="00A20AAF"/>
    <w:rsid w:val="00A20B1F"/>
    <w:rsid w:val="00A20C1B"/>
    <w:rsid w:val="00A210F6"/>
    <w:rsid w:val="00A21259"/>
    <w:rsid w:val="00A2151A"/>
    <w:rsid w:val="00A21A81"/>
    <w:rsid w:val="00A21AA1"/>
    <w:rsid w:val="00A21C50"/>
    <w:rsid w:val="00A21DC3"/>
    <w:rsid w:val="00A21F7C"/>
    <w:rsid w:val="00A2210D"/>
    <w:rsid w:val="00A2221D"/>
    <w:rsid w:val="00A223C0"/>
    <w:rsid w:val="00A227D7"/>
    <w:rsid w:val="00A22843"/>
    <w:rsid w:val="00A228F5"/>
    <w:rsid w:val="00A229C3"/>
    <w:rsid w:val="00A22AE6"/>
    <w:rsid w:val="00A22DAD"/>
    <w:rsid w:val="00A2313B"/>
    <w:rsid w:val="00A2342C"/>
    <w:rsid w:val="00A234C8"/>
    <w:rsid w:val="00A23571"/>
    <w:rsid w:val="00A23754"/>
    <w:rsid w:val="00A2392C"/>
    <w:rsid w:val="00A239D5"/>
    <w:rsid w:val="00A239EE"/>
    <w:rsid w:val="00A23B29"/>
    <w:rsid w:val="00A23C6E"/>
    <w:rsid w:val="00A23D29"/>
    <w:rsid w:val="00A23E28"/>
    <w:rsid w:val="00A23E37"/>
    <w:rsid w:val="00A23F44"/>
    <w:rsid w:val="00A240B5"/>
    <w:rsid w:val="00A24153"/>
    <w:rsid w:val="00A241EE"/>
    <w:rsid w:val="00A241F4"/>
    <w:rsid w:val="00A24279"/>
    <w:rsid w:val="00A24390"/>
    <w:rsid w:val="00A2439D"/>
    <w:rsid w:val="00A2443B"/>
    <w:rsid w:val="00A24517"/>
    <w:rsid w:val="00A247E4"/>
    <w:rsid w:val="00A24812"/>
    <w:rsid w:val="00A248E9"/>
    <w:rsid w:val="00A24A15"/>
    <w:rsid w:val="00A24A41"/>
    <w:rsid w:val="00A24BB1"/>
    <w:rsid w:val="00A24C07"/>
    <w:rsid w:val="00A24D71"/>
    <w:rsid w:val="00A24E1C"/>
    <w:rsid w:val="00A24E4F"/>
    <w:rsid w:val="00A25354"/>
    <w:rsid w:val="00A25538"/>
    <w:rsid w:val="00A256C6"/>
    <w:rsid w:val="00A256D6"/>
    <w:rsid w:val="00A257FD"/>
    <w:rsid w:val="00A258B6"/>
    <w:rsid w:val="00A25940"/>
    <w:rsid w:val="00A25974"/>
    <w:rsid w:val="00A25B9B"/>
    <w:rsid w:val="00A25BD8"/>
    <w:rsid w:val="00A25CF8"/>
    <w:rsid w:val="00A25D0A"/>
    <w:rsid w:val="00A25DB9"/>
    <w:rsid w:val="00A25F87"/>
    <w:rsid w:val="00A2606A"/>
    <w:rsid w:val="00A2618C"/>
    <w:rsid w:val="00A2635A"/>
    <w:rsid w:val="00A26753"/>
    <w:rsid w:val="00A26980"/>
    <w:rsid w:val="00A26988"/>
    <w:rsid w:val="00A26C6A"/>
    <w:rsid w:val="00A26DAC"/>
    <w:rsid w:val="00A26E86"/>
    <w:rsid w:val="00A270B5"/>
    <w:rsid w:val="00A271E7"/>
    <w:rsid w:val="00A2720E"/>
    <w:rsid w:val="00A2722E"/>
    <w:rsid w:val="00A27388"/>
    <w:rsid w:val="00A273AE"/>
    <w:rsid w:val="00A274F0"/>
    <w:rsid w:val="00A276B8"/>
    <w:rsid w:val="00A276BB"/>
    <w:rsid w:val="00A2789B"/>
    <w:rsid w:val="00A27904"/>
    <w:rsid w:val="00A27B5B"/>
    <w:rsid w:val="00A27ED5"/>
    <w:rsid w:val="00A300C9"/>
    <w:rsid w:val="00A30183"/>
    <w:rsid w:val="00A30261"/>
    <w:rsid w:val="00A30298"/>
    <w:rsid w:val="00A302B3"/>
    <w:rsid w:val="00A30309"/>
    <w:rsid w:val="00A3041F"/>
    <w:rsid w:val="00A3053C"/>
    <w:rsid w:val="00A309BD"/>
    <w:rsid w:val="00A30AFF"/>
    <w:rsid w:val="00A30B8E"/>
    <w:rsid w:val="00A30CA7"/>
    <w:rsid w:val="00A30DAF"/>
    <w:rsid w:val="00A30E3D"/>
    <w:rsid w:val="00A30F40"/>
    <w:rsid w:val="00A30F45"/>
    <w:rsid w:val="00A30FF9"/>
    <w:rsid w:val="00A3111F"/>
    <w:rsid w:val="00A31293"/>
    <w:rsid w:val="00A313F9"/>
    <w:rsid w:val="00A31556"/>
    <w:rsid w:val="00A317B4"/>
    <w:rsid w:val="00A31828"/>
    <w:rsid w:val="00A31903"/>
    <w:rsid w:val="00A31BD2"/>
    <w:rsid w:val="00A31F1F"/>
    <w:rsid w:val="00A32241"/>
    <w:rsid w:val="00A322F1"/>
    <w:rsid w:val="00A32378"/>
    <w:rsid w:val="00A3271F"/>
    <w:rsid w:val="00A327AB"/>
    <w:rsid w:val="00A3299E"/>
    <w:rsid w:val="00A32B13"/>
    <w:rsid w:val="00A32E84"/>
    <w:rsid w:val="00A32F08"/>
    <w:rsid w:val="00A3310A"/>
    <w:rsid w:val="00A3326C"/>
    <w:rsid w:val="00A332C9"/>
    <w:rsid w:val="00A3352F"/>
    <w:rsid w:val="00A3376E"/>
    <w:rsid w:val="00A3385D"/>
    <w:rsid w:val="00A33B02"/>
    <w:rsid w:val="00A33D98"/>
    <w:rsid w:val="00A33DB4"/>
    <w:rsid w:val="00A3401A"/>
    <w:rsid w:val="00A34053"/>
    <w:rsid w:val="00A34081"/>
    <w:rsid w:val="00A340F9"/>
    <w:rsid w:val="00A343CA"/>
    <w:rsid w:val="00A34475"/>
    <w:rsid w:val="00A34506"/>
    <w:rsid w:val="00A3459D"/>
    <w:rsid w:val="00A3481A"/>
    <w:rsid w:val="00A34DCE"/>
    <w:rsid w:val="00A351C0"/>
    <w:rsid w:val="00A35279"/>
    <w:rsid w:val="00A3528D"/>
    <w:rsid w:val="00A3543B"/>
    <w:rsid w:val="00A3554F"/>
    <w:rsid w:val="00A35795"/>
    <w:rsid w:val="00A3582D"/>
    <w:rsid w:val="00A3584C"/>
    <w:rsid w:val="00A35B41"/>
    <w:rsid w:val="00A35B5F"/>
    <w:rsid w:val="00A35BE1"/>
    <w:rsid w:val="00A36325"/>
    <w:rsid w:val="00A3634F"/>
    <w:rsid w:val="00A3640A"/>
    <w:rsid w:val="00A36480"/>
    <w:rsid w:val="00A36574"/>
    <w:rsid w:val="00A36826"/>
    <w:rsid w:val="00A368F1"/>
    <w:rsid w:val="00A368FB"/>
    <w:rsid w:val="00A36953"/>
    <w:rsid w:val="00A369DF"/>
    <w:rsid w:val="00A369F9"/>
    <w:rsid w:val="00A36AC3"/>
    <w:rsid w:val="00A36B8B"/>
    <w:rsid w:val="00A36C51"/>
    <w:rsid w:val="00A36D25"/>
    <w:rsid w:val="00A36DD9"/>
    <w:rsid w:val="00A36E1D"/>
    <w:rsid w:val="00A36F07"/>
    <w:rsid w:val="00A36FA7"/>
    <w:rsid w:val="00A36FF3"/>
    <w:rsid w:val="00A37090"/>
    <w:rsid w:val="00A37143"/>
    <w:rsid w:val="00A371BB"/>
    <w:rsid w:val="00A37356"/>
    <w:rsid w:val="00A375BD"/>
    <w:rsid w:val="00A3767F"/>
    <w:rsid w:val="00A3781F"/>
    <w:rsid w:val="00A378AE"/>
    <w:rsid w:val="00A37A8D"/>
    <w:rsid w:val="00A37B1B"/>
    <w:rsid w:val="00A37B1C"/>
    <w:rsid w:val="00A37B91"/>
    <w:rsid w:val="00A37BF8"/>
    <w:rsid w:val="00A37C17"/>
    <w:rsid w:val="00A37C2E"/>
    <w:rsid w:val="00A37D23"/>
    <w:rsid w:val="00A37E81"/>
    <w:rsid w:val="00A4005A"/>
    <w:rsid w:val="00A4012B"/>
    <w:rsid w:val="00A4038E"/>
    <w:rsid w:val="00A40A7C"/>
    <w:rsid w:val="00A40B6F"/>
    <w:rsid w:val="00A40D71"/>
    <w:rsid w:val="00A40F35"/>
    <w:rsid w:val="00A41064"/>
    <w:rsid w:val="00A41103"/>
    <w:rsid w:val="00A41410"/>
    <w:rsid w:val="00A41435"/>
    <w:rsid w:val="00A41517"/>
    <w:rsid w:val="00A4155E"/>
    <w:rsid w:val="00A41707"/>
    <w:rsid w:val="00A4186A"/>
    <w:rsid w:val="00A419D3"/>
    <w:rsid w:val="00A419FA"/>
    <w:rsid w:val="00A41B04"/>
    <w:rsid w:val="00A41B86"/>
    <w:rsid w:val="00A41BF2"/>
    <w:rsid w:val="00A41E4C"/>
    <w:rsid w:val="00A41F5F"/>
    <w:rsid w:val="00A41FAF"/>
    <w:rsid w:val="00A41FC3"/>
    <w:rsid w:val="00A420AF"/>
    <w:rsid w:val="00A42118"/>
    <w:rsid w:val="00A422C9"/>
    <w:rsid w:val="00A4245D"/>
    <w:rsid w:val="00A42477"/>
    <w:rsid w:val="00A4258E"/>
    <w:rsid w:val="00A42663"/>
    <w:rsid w:val="00A426B1"/>
    <w:rsid w:val="00A428B5"/>
    <w:rsid w:val="00A42DE8"/>
    <w:rsid w:val="00A42E16"/>
    <w:rsid w:val="00A42F59"/>
    <w:rsid w:val="00A42FAA"/>
    <w:rsid w:val="00A42FB6"/>
    <w:rsid w:val="00A42FBF"/>
    <w:rsid w:val="00A42FCC"/>
    <w:rsid w:val="00A4306E"/>
    <w:rsid w:val="00A430F3"/>
    <w:rsid w:val="00A431C7"/>
    <w:rsid w:val="00A433B4"/>
    <w:rsid w:val="00A4375E"/>
    <w:rsid w:val="00A43879"/>
    <w:rsid w:val="00A43895"/>
    <w:rsid w:val="00A4390C"/>
    <w:rsid w:val="00A43981"/>
    <w:rsid w:val="00A43A09"/>
    <w:rsid w:val="00A43B58"/>
    <w:rsid w:val="00A43C96"/>
    <w:rsid w:val="00A43D0D"/>
    <w:rsid w:val="00A44047"/>
    <w:rsid w:val="00A44224"/>
    <w:rsid w:val="00A44266"/>
    <w:rsid w:val="00A442CF"/>
    <w:rsid w:val="00A443E7"/>
    <w:rsid w:val="00A4471A"/>
    <w:rsid w:val="00A44892"/>
    <w:rsid w:val="00A44A6B"/>
    <w:rsid w:val="00A44B8C"/>
    <w:rsid w:val="00A44EEF"/>
    <w:rsid w:val="00A450A2"/>
    <w:rsid w:val="00A450A4"/>
    <w:rsid w:val="00A4520B"/>
    <w:rsid w:val="00A453A4"/>
    <w:rsid w:val="00A454A2"/>
    <w:rsid w:val="00A45543"/>
    <w:rsid w:val="00A456C4"/>
    <w:rsid w:val="00A45742"/>
    <w:rsid w:val="00A4583B"/>
    <w:rsid w:val="00A45A50"/>
    <w:rsid w:val="00A45B14"/>
    <w:rsid w:val="00A45D93"/>
    <w:rsid w:val="00A45DA6"/>
    <w:rsid w:val="00A45F0B"/>
    <w:rsid w:val="00A46183"/>
    <w:rsid w:val="00A46249"/>
    <w:rsid w:val="00A462A8"/>
    <w:rsid w:val="00A4637B"/>
    <w:rsid w:val="00A46478"/>
    <w:rsid w:val="00A46754"/>
    <w:rsid w:val="00A46815"/>
    <w:rsid w:val="00A46883"/>
    <w:rsid w:val="00A468B7"/>
    <w:rsid w:val="00A468FD"/>
    <w:rsid w:val="00A4691A"/>
    <w:rsid w:val="00A469B7"/>
    <w:rsid w:val="00A46F03"/>
    <w:rsid w:val="00A4733C"/>
    <w:rsid w:val="00A474DB"/>
    <w:rsid w:val="00A47547"/>
    <w:rsid w:val="00A47550"/>
    <w:rsid w:val="00A47551"/>
    <w:rsid w:val="00A47633"/>
    <w:rsid w:val="00A47820"/>
    <w:rsid w:val="00A479E9"/>
    <w:rsid w:val="00A479ED"/>
    <w:rsid w:val="00A47B4D"/>
    <w:rsid w:val="00A47DCC"/>
    <w:rsid w:val="00A47F7A"/>
    <w:rsid w:val="00A47FB3"/>
    <w:rsid w:val="00A50109"/>
    <w:rsid w:val="00A50218"/>
    <w:rsid w:val="00A50311"/>
    <w:rsid w:val="00A504A2"/>
    <w:rsid w:val="00A50737"/>
    <w:rsid w:val="00A50754"/>
    <w:rsid w:val="00A50812"/>
    <w:rsid w:val="00A5097A"/>
    <w:rsid w:val="00A50A96"/>
    <w:rsid w:val="00A50AD5"/>
    <w:rsid w:val="00A50B54"/>
    <w:rsid w:val="00A50CA1"/>
    <w:rsid w:val="00A50DBF"/>
    <w:rsid w:val="00A510E9"/>
    <w:rsid w:val="00A51177"/>
    <w:rsid w:val="00A5117E"/>
    <w:rsid w:val="00A5128D"/>
    <w:rsid w:val="00A51446"/>
    <w:rsid w:val="00A5173B"/>
    <w:rsid w:val="00A517C1"/>
    <w:rsid w:val="00A51A0A"/>
    <w:rsid w:val="00A51ACD"/>
    <w:rsid w:val="00A51BC1"/>
    <w:rsid w:val="00A51BDF"/>
    <w:rsid w:val="00A51CAF"/>
    <w:rsid w:val="00A52050"/>
    <w:rsid w:val="00A520F8"/>
    <w:rsid w:val="00A5218B"/>
    <w:rsid w:val="00A52217"/>
    <w:rsid w:val="00A52251"/>
    <w:rsid w:val="00A52455"/>
    <w:rsid w:val="00A528BA"/>
    <w:rsid w:val="00A528DF"/>
    <w:rsid w:val="00A52E50"/>
    <w:rsid w:val="00A52E6F"/>
    <w:rsid w:val="00A5319D"/>
    <w:rsid w:val="00A532DC"/>
    <w:rsid w:val="00A53403"/>
    <w:rsid w:val="00A5342B"/>
    <w:rsid w:val="00A5344A"/>
    <w:rsid w:val="00A535B5"/>
    <w:rsid w:val="00A535DC"/>
    <w:rsid w:val="00A535E8"/>
    <w:rsid w:val="00A536EF"/>
    <w:rsid w:val="00A53760"/>
    <w:rsid w:val="00A538AE"/>
    <w:rsid w:val="00A53AA2"/>
    <w:rsid w:val="00A53ABE"/>
    <w:rsid w:val="00A53CE9"/>
    <w:rsid w:val="00A53D3E"/>
    <w:rsid w:val="00A53DFE"/>
    <w:rsid w:val="00A53FC3"/>
    <w:rsid w:val="00A54020"/>
    <w:rsid w:val="00A54056"/>
    <w:rsid w:val="00A54172"/>
    <w:rsid w:val="00A54199"/>
    <w:rsid w:val="00A54323"/>
    <w:rsid w:val="00A54568"/>
    <w:rsid w:val="00A54621"/>
    <w:rsid w:val="00A547B8"/>
    <w:rsid w:val="00A54832"/>
    <w:rsid w:val="00A548BC"/>
    <w:rsid w:val="00A54A8C"/>
    <w:rsid w:val="00A54DB4"/>
    <w:rsid w:val="00A54FD3"/>
    <w:rsid w:val="00A553D6"/>
    <w:rsid w:val="00A556BA"/>
    <w:rsid w:val="00A55741"/>
    <w:rsid w:val="00A5576A"/>
    <w:rsid w:val="00A557FF"/>
    <w:rsid w:val="00A5586B"/>
    <w:rsid w:val="00A55B77"/>
    <w:rsid w:val="00A55C8B"/>
    <w:rsid w:val="00A5615C"/>
    <w:rsid w:val="00A5643D"/>
    <w:rsid w:val="00A56450"/>
    <w:rsid w:val="00A565F8"/>
    <w:rsid w:val="00A56687"/>
    <w:rsid w:val="00A56768"/>
    <w:rsid w:val="00A56885"/>
    <w:rsid w:val="00A56B6A"/>
    <w:rsid w:val="00A56B91"/>
    <w:rsid w:val="00A56C46"/>
    <w:rsid w:val="00A56EB0"/>
    <w:rsid w:val="00A56FF8"/>
    <w:rsid w:val="00A5700C"/>
    <w:rsid w:val="00A570A1"/>
    <w:rsid w:val="00A5739F"/>
    <w:rsid w:val="00A5747A"/>
    <w:rsid w:val="00A575B0"/>
    <w:rsid w:val="00A577B1"/>
    <w:rsid w:val="00A579FF"/>
    <w:rsid w:val="00A57BC1"/>
    <w:rsid w:val="00A57E04"/>
    <w:rsid w:val="00A57ED2"/>
    <w:rsid w:val="00A57ED3"/>
    <w:rsid w:val="00A60087"/>
    <w:rsid w:val="00A60161"/>
    <w:rsid w:val="00A603B1"/>
    <w:rsid w:val="00A6086B"/>
    <w:rsid w:val="00A60A23"/>
    <w:rsid w:val="00A60D1F"/>
    <w:rsid w:val="00A60E9B"/>
    <w:rsid w:val="00A60F32"/>
    <w:rsid w:val="00A60F6F"/>
    <w:rsid w:val="00A610F1"/>
    <w:rsid w:val="00A61130"/>
    <w:rsid w:val="00A6125D"/>
    <w:rsid w:val="00A61297"/>
    <w:rsid w:val="00A612F1"/>
    <w:rsid w:val="00A612F2"/>
    <w:rsid w:val="00A61389"/>
    <w:rsid w:val="00A613EE"/>
    <w:rsid w:val="00A616EB"/>
    <w:rsid w:val="00A61810"/>
    <w:rsid w:val="00A61DC5"/>
    <w:rsid w:val="00A61DCC"/>
    <w:rsid w:val="00A61E8A"/>
    <w:rsid w:val="00A61E96"/>
    <w:rsid w:val="00A62016"/>
    <w:rsid w:val="00A6209D"/>
    <w:rsid w:val="00A62208"/>
    <w:rsid w:val="00A622F2"/>
    <w:rsid w:val="00A623FF"/>
    <w:rsid w:val="00A62515"/>
    <w:rsid w:val="00A626C0"/>
    <w:rsid w:val="00A628FF"/>
    <w:rsid w:val="00A6297D"/>
    <w:rsid w:val="00A62AEF"/>
    <w:rsid w:val="00A62AF5"/>
    <w:rsid w:val="00A62B84"/>
    <w:rsid w:val="00A62C64"/>
    <w:rsid w:val="00A62EAC"/>
    <w:rsid w:val="00A62F62"/>
    <w:rsid w:val="00A62F98"/>
    <w:rsid w:val="00A62FCC"/>
    <w:rsid w:val="00A63046"/>
    <w:rsid w:val="00A632F1"/>
    <w:rsid w:val="00A63389"/>
    <w:rsid w:val="00A633DC"/>
    <w:rsid w:val="00A6356C"/>
    <w:rsid w:val="00A635B5"/>
    <w:rsid w:val="00A63700"/>
    <w:rsid w:val="00A63831"/>
    <w:rsid w:val="00A63AD8"/>
    <w:rsid w:val="00A63AF6"/>
    <w:rsid w:val="00A63DBB"/>
    <w:rsid w:val="00A63E0D"/>
    <w:rsid w:val="00A63E25"/>
    <w:rsid w:val="00A63EA5"/>
    <w:rsid w:val="00A6409D"/>
    <w:rsid w:val="00A640F3"/>
    <w:rsid w:val="00A64273"/>
    <w:rsid w:val="00A64283"/>
    <w:rsid w:val="00A645DF"/>
    <w:rsid w:val="00A6477A"/>
    <w:rsid w:val="00A64806"/>
    <w:rsid w:val="00A64882"/>
    <w:rsid w:val="00A648BB"/>
    <w:rsid w:val="00A64960"/>
    <w:rsid w:val="00A64972"/>
    <w:rsid w:val="00A64A04"/>
    <w:rsid w:val="00A64ADA"/>
    <w:rsid w:val="00A64C1C"/>
    <w:rsid w:val="00A64E02"/>
    <w:rsid w:val="00A64EDB"/>
    <w:rsid w:val="00A650A8"/>
    <w:rsid w:val="00A65102"/>
    <w:rsid w:val="00A65142"/>
    <w:rsid w:val="00A651A6"/>
    <w:rsid w:val="00A65247"/>
    <w:rsid w:val="00A65373"/>
    <w:rsid w:val="00A65542"/>
    <w:rsid w:val="00A658B2"/>
    <w:rsid w:val="00A659D8"/>
    <w:rsid w:val="00A65A5E"/>
    <w:rsid w:val="00A65AD2"/>
    <w:rsid w:val="00A65B09"/>
    <w:rsid w:val="00A65C22"/>
    <w:rsid w:val="00A65C7C"/>
    <w:rsid w:val="00A65D59"/>
    <w:rsid w:val="00A65EC5"/>
    <w:rsid w:val="00A6634C"/>
    <w:rsid w:val="00A6651F"/>
    <w:rsid w:val="00A66537"/>
    <w:rsid w:val="00A6653F"/>
    <w:rsid w:val="00A668EC"/>
    <w:rsid w:val="00A66976"/>
    <w:rsid w:val="00A66A95"/>
    <w:rsid w:val="00A66C24"/>
    <w:rsid w:val="00A66C3A"/>
    <w:rsid w:val="00A66CD4"/>
    <w:rsid w:val="00A66E4D"/>
    <w:rsid w:val="00A66EAB"/>
    <w:rsid w:val="00A66FCD"/>
    <w:rsid w:val="00A66FFC"/>
    <w:rsid w:val="00A67009"/>
    <w:rsid w:val="00A670BE"/>
    <w:rsid w:val="00A6720D"/>
    <w:rsid w:val="00A6725F"/>
    <w:rsid w:val="00A672A3"/>
    <w:rsid w:val="00A672C5"/>
    <w:rsid w:val="00A67417"/>
    <w:rsid w:val="00A674F4"/>
    <w:rsid w:val="00A6753A"/>
    <w:rsid w:val="00A67547"/>
    <w:rsid w:val="00A67597"/>
    <w:rsid w:val="00A678AB"/>
    <w:rsid w:val="00A67993"/>
    <w:rsid w:val="00A67A3C"/>
    <w:rsid w:val="00A704F1"/>
    <w:rsid w:val="00A70626"/>
    <w:rsid w:val="00A706F7"/>
    <w:rsid w:val="00A70703"/>
    <w:rsid w:val="00A707CB"/>
    <w:rsid w:val="00A70ACF"/>
    <w:rsid w:val="00A70B2C"/>
    <w:rsid w:val="00A70F47"/>
    <w:rsid w:val="00A71027"/>
    <w:rsid w:val="00A71032"/>
    <w:rsid w:val="00A7107B"/>
    <w:rsid w:val="00A7111B"/>
    <w:rsid w:val="00A71136"/>
    <w:rsid w:val="00A71179"/>
    <w:rsid w:val="00A7123D"/>
    <w:rsid w:val="00A7153D"/>
    <w:rsid w:val="00A71699"/>
    <w:rsid w:val="00A71AD4"/>
    <w:rsid w:val="00A71B2E"/>
    <w:rsid w:val="00A71C57"/>
    <w:rsid w:val="00A71D99"/>
    <w:rsid w:val="00A71F45"/>
    <w:rsid w:val="00A720C3"/>
    <w:rsid w:val="00A7218C"/>
    <w:rsid w:val="00A72212"/>
    <w:rsid w:val="00A722BA"/>
    <w:rsid w:val="00A72317"/>
    <w:rsid w:val="00A724EA"/>
    <w:rsid w:val="00A72537"/>
    <w:rsid w:val="00A72629"/>
    <w:rsid w:val="00A726C4"/>
    <w:rsid w:val="00A7270D"/>
    <w:rsid w:val="00A7274D"/>
    <w:rsid w:val="00A728A8"/>
    <w:rsid w:val="00A7297C"/>
    <w:rsid w:val="00A72982"/>
    <w:rsid w:val="00A72B02"/>
    <w:rsid w:val="00A72B30"/>
    <w:rsid w:val="00A7309A"/>
    <w:rsid w:val="00A732F4"/>
    <w:rsid w:val="00A732F7"/>
    <w:rsid w:val="00A73661"/>
    <w:rsid w:val="00A7368B"/>
    <w:rsid w:val="00A736F3"/>
    <w:rsid w:val="00A73750"/>
    <w:rsid w:val="00A738A4"/>
    <w:rsid w:val="00A7396B"/>
    <w:rsid w:val="00A73AF7"/>
    <w:rsid w:val="00A73B6A"/>
    <w:rsid w:val="00A73B72"/>
    <w:rsid w:val="00A73CF8"/>
    <w:rsid w:val="00A73D5C"/>
    <w:rsid w:val="00A73D75"/>
    <w:rsid w:val="00A73FC4"/>
    <w:rsid w:val="00A74207"/>
    <w:rsid w:val="00A7460B"/>
    <w:rsid w:val="00A7464C"/>
    <w:rsid w:val="00A7468A"/>
    <w:rsid w:val="00A749BA"/>
    <w:rsid w:val="00A74A79"/>
    <w:rsid w:val="00A74AC0"/>
    <w:rsid w:val="00A74AC5"/>
    <w:rsid w:val="00A74B77"/>
    <w:rsid w:val="00A74C31"/>
    <w:rsid w:val="00A74F84"/>
    <w:rsid w:val="00A7503F"/>
    <w:rsid w:val="00A75153"/>
    <w:rsid w:val="00A75185"/>
    <w:rsid w:val="00A756CE"/>
    <w:rsid w:val="00A757CC"/>
    <w:rsid w:val="00A758BB"/>
    <w:rsid w:val="00A75BC3"/>
    <w:rsid w:val="00A75EA7"/>
    <w:rsid w:val="00A75ECD"/>
    <w:rsid w:val="00A762DE"/>
    <w:rsid w:val="00A762FA"/>
    <w:rsid w:val="00A7637F"/>
    <w:rsid w:val="00A764D4"/>
    <w:rsid w:val="00A765B6"/>
    <w:rsid w:val="00A76797"/>
    <w:rsid w:val="00A76803"/>
    <w:rsid w:val="00A769F4"/>
    <w:rsid w:val="00A76A3B"/>
    <w:rsid w:val="00A76D00"/>
    <w:rsid w:val="00A77005"/>
    <w:rsid w:val="00A77031"/>
    <w:rsid w:val="00A770B1"/>
    <w:rsid w:val="00A77260"/>
    <w:rsid w:val="00A772C9"/>
    <w:rsid w:val="00A7733B"/>
    <w:rsid w:val="00A774BE"/>
    <w:rsid w:val="00A77545"/>
    <w:rsid w:val="00A775CE"/>
    <w:rsid w:val="00A777D7"/>
    <w:rsid w:val="00A778D2"/>
    <w:rsid w:val="00A77A73"/>
    <w:rsid w:val="00A77ADF"/>
    <w:rsid w:val="00A77EC3"/>
    <w:rsid w:val="00A77ECC"/>
    <w:rsid w:val="00A80079"/>
    <w:rsid w:val="00A805B5"/>
    <w:rsid w:val="00A806D6"/>
    <w:rsid w:val="00A80717"/>
    <w:rsid w:val="00A80849"/>
    <w:rsid w:val="00A808ED"/>
    <w:rsid w:val="00A80A87"/>
    <w:rsid w:val="00A80EFD"/>
    <w:rsid w:val="00A80EFF"/>
    <w:rsid w:val="00A80F19"/>
    <w:rsid w:val="00A81068"/>
    <w:rsid w:val="00A810C3"/>
    <w:rsid w:val="00A81188"/>
    <w:rsid w:val="00A8137F"/>
    <w:rsid w:val="00A8162F"/>
    <w:rsid w:val="00A8179A"/>
    <w:rsid w:val="00A817EC"/>
    <w:rsid w:val="00A81956"/>
    <w:rsid w:val="00A81B3A"/>
    <w:rsid w:val="00A81B65"/>
    <w:rsid w:val="00A81CFE"/>
    <w:rsid w:val="00A82033"/>
    <w:rsid w:val="00A82068"/>
    <w:rsid w:val="00A82207"/>
    <w:rsid w:val="00A824F4"/>
    <w:rsid w:val="00A82ABE"/>
    <w:rsid w:val="00A82AF0"/>
    <w:rsid w:val="00A82B83"/>
    <w:rsid w:val="00A82DF4"/>
    <w:rsid w:val="00A82E77"/>
    <w:rsid w:val="00A82FA1"/>
    <w:rsid w:val="00A82FB9"/>
    <w:rsid w:val="00A83504"/>
    <w:rsid w:val="00A83615"/>
    <w:rsid w:val="00A8388C"/>
    <w:rsid w:val="00A839BE"/>
    <w:rsid w:val="00A83B15"/>
    <w:rsid w:val="00A83C87"/>
    <w:rsid w:val="00A83D7F"/>
    <w:rsid w:val="00A83E34"/>
    <w:rsid w:val="00A83E97"/>
    <w:rsid w:val="00A83F01"/>
    <w:rsid w:val="00A83F71"/>
    <w:rsid w:val="00A84088"/>
    <w:rsid w:val="00A8408C"/>
    <w:rsid w:val="00A8471E"/>
    <w:rsid w:val="00A849A4"/>
    <w:rsid w:val="00A849E5"/>
    <w:rsid w:val="00A84A64"/>
    <w:rsid w:val="00A84B46"/>
    <w:rsid w:val="00A84B51"/>
    <w:rsid w:val="00A850E1"/>
    <w:rsid w:val="00A853AA"/>
    <w:rsid w:val="00A8555C"/>
    <w:rsid w:val="00A855A2"/>
    <w:rsid w:val="00A85910"/>
    <w:rsid w:val="00A859F4"/>
    <w:rsid w:val="00A85A44"/>
    <w:rsid w:val="00A85BE4"/>
    <w:rsid w:val="00A85DA9"/>
    <w:rsid w:val="00A85DC3"/>
    <w:rsid w:val="00A85DFF"/>
    <w:rsid w:val="00A8610F"/>
    <w:rsid w:val="00A86237"/>
    <w:rsid w:val="00A86343"/>
    <w:rsid w:val="00A864AA"/>
    <w:rsid w:val="00A864B8"/>
    <w:rsid w:val="00A86838"/>
    <w:rsid w:val="00A869CE"/>
    <w:rsid w:val="00A86B33"/>
    <w:rsid w:val="00A86B4F"/>
    <w:rsid w:val="00A86B66"/>
    <w:rsid w:val="00A86BC2"/>
    <w:rsid w:val="00A86C66"/>
    <w:rsid w:val="00A86FB1"/>
    <w:rsid w:val="00A86FD5"/>
    <w:rsid w:val="00A87254"/>
    <w:rsid w:val="00A8727C"/>
    <w:rsid w:val="00A872E0"/>
    <w:rsid w:val="00A873B2"/>
    <w:rsid w:val="00A87428"/>
    <w:rsid w:val="00A874C4"/>
    <w:rsid w:val="00A87552"/>
    <w:rsid w:val="00A876E6"/>
    <w:rsid w:val="00A87869"/>
    <w:rsid w:val="00A87968"/>
    <w:rsid w:val="00A8797D"/>
    <w:rsid w:val="00A879C1"/>
    <w:rsid w:val="00A87A50"/>
    <w:rsid w:val="00A87D7C"/>
    <w:rsid w:val="00A87DEF"/>
    <w:rsid w:val="00A87E19"/>
    <w:rsid w:val="00A87E90"/>
    <w:rsid w:val="00A90198"/>
    <w:rsid w:val="00A903E4"/>
    <w:rsid w:val="00A9091F"/>
    <w:rsid w:val="00A9099D"/>
    <w:rsid w:val="00A90B12"/>
    <w:rsid w:val="00A90E99"/>
    <w:rsid w:val="00A9115F"/>
    <w:rsid w:val="00A911B5"/>
    <w:rsid w:val="00A917F6"/>
    <w:rsid w:val="00A91A0D"/>
    <w:rsid w:val="00A91BB1"/>
    <w:rsid w:val="00A91D06"/>
    <w:rsid w:val="00A91DC2"/>
    <w:rsid w:val="00A91FFB"/>
    <w:rsid w:val="00A92010"/>
    <w:rsid w:val="00A92123"/>
    <w:rsid w:val="00A92159"/>
    <w:rsid w:val="00A92466"/>
    <w:rsid w:val="00A92679"/>
    <w:rsid w:val="00A9269B"/>
    <w:rsid w:val="00A927DF"/>
    <w:rsid w:val="00A92809"/>
    <w:rsid w:val="00A92B80"/>
    <w:rsid w:val="00A9300A"/>
    <w:rsid w:val="00A93129"/>
    <w:rsid w:val="00A932F7"/>
    <w:rsid w:val="00A933ED"/>
    <w:rsid w:val="00A9389C"/>
    <w:rsid w:val="00A939E7"/>
    <w:rsid w:val="00A93B18"/>
    <w:rsid w:val="00A93B5F"/>
    <w:rsid w:val="00A93C11"/>
    <w:rsid w:val="00A93CE6"/>
    <w:rsid w:val="00A93EF4"/>
    <w:rsid w:val="00A93F6D"/>
    <w:rsid w:val="00A93FE7"/>
    <w:rsid w:val="00A93FED"/>
    <w:rsid w:val="00A940F4"/>
    <w:rsid w:val="00A942E4"/>
    <w:rsid w:val="00A9444D"/>
    <w:rsid w:val="00A9463D"/>
    <w:rsid w:val="00A9464B"/>
    <w:rsid w:val="00A947CC"/>
    <w:rsid w:val="00A94860"/>
    <w:rsid w:val="00A94AC9"/>
    <w:rsid w:val="00A94B06"/>
    <w:rsid w:val="00A94BB8"/>
    <w:rsid w:val="00A94C9E"/>
    <w:rsid w:val="00A94DF5"/>
    <w:rsid w:val="00A94EFA"/>
    <w:rsid w:val="00A94F32"/>
    <w:rsid w:val="00A94F65"/>
    <w:rsid w:val="00A950F2"/>
    <w:rsid w:val="00A95184"/>
    <w:rsid w:val="00A951F0"/>
    <w:rsid w:val="00A95321"/>
    <w:rsid w:val="00A9540B"/>
    <w:rsid w:val="00A9543B"/>
    <w:rsid w:val="00A95450"/>
    <w:rsid w:val="00A957B4"/>
    <w:rsid w:val="00A957D1"/>
    <w:rsid w:val="00A958FC"/>
    <w:rsid w:val="00A95A6D"/>
    <w:rsid w:val="00A95DA1"/>
    <w:rsid w:val="00A96087"/>
    <w:rsid w:val="00A960F2"/>
    <w:rsid w:val="00A961ED"/>
    <w:rsid w:val="00A966A7"/>
    <w:rsid w:val="00A96BB2"/>
    <w:rsid w:val="00A96BBE"/>
    <w:rsid w:val="00A96CD6"/>
    <w:rsid w:val="00A96D07"/>
    <w:rsid w:val="00A96F54"/>
    <w:rsid w:val="00A96F63"/>
    <w:rsid w:val="00A970C9"/>
    <w:rsid w:val="00A973BB"/>
    <w:rsid w:val="00A974F9"/>
    <w:rsid w:val="00A9753E"/>
    <w:rsid w:val="00A97614"/>
    <w:rsid w:val="00A9775D"/>
    <w:rsid w:val="00A97776"/>
    <w:rsid w:val="00A977AC"/>
    <w:rsid w:val="00A978C0"/>
    <w:rsid w:val="00A97B48"/>
    <w:rsid w:val="00A97CA7"/>
    <w:rsid w:val="00A97D51"/>
    <w:rsid w:val="00A97E48"/>
    <w:rsid w:val="00A97EA0"/>
    <w:rsid w:val="00AA016D"/>
    <w:rsid w:val="00AA01B6"/>
    <w:rsid w:val="00AA01F2"/>
    <w:rsid w:val="00AA0229"/>
    <w:rsid w:val="00AA0491"/>
    <w:rsid w:val="00AA05C5"/>
    <w:rsid w:val="00AA0694"/>
    <w:rsid w:val="00AA076C"/>
    <w:rsid w:val="00AA07A4"/>
    <w:rsid w:val="00AA092A"/>
    <w:rsid w:val="00AA0A3A"/>
    <w:rsid w:val="00AA0AD7"/>
    <w:rsid w:val="00AA0B51"/>
    <w:rsid w:val="00AA0DF0"/>
    <w:rsid w:val="00AA1074"/>
    <w:rsid w:val="00AA1430"/>
    <w:rsid w:val="00AA149D"/>
    <w:rsid w:val="00AA1568"/>
    <w:rsid w:val="00AA1630"/>
    <w:rsid w:val="00AA1640"/>
    <w:rsid w:val="00AA1C6A"/>
    <w:rsid w:val="00AA1E6D"/>
    <w:rsid w:val="00AA206F"/>
    <w:rsid w:val="00AA2080"/>
    <w:rsid w:val="00AA20E8"/>
    <w:rsid w:val="00AA213F"/>
    <w:rsid w:val="00AA22EE"/>
    <w:rsid w:val="00AA2503"/>
    <w:rsid w:val="00AA253A"/>
    <w:rsid w:val="00AA25D8"/>
    <w:rsid w:val="00AA28D7"/>
    <w:rsid w:val="00AA2BC1"/>
    <w:rsid w:val="00AA2D05"/>
    <w:rsid w:val="00AA2D95"/>
    <w:rsid w:val="00AA2F07"/>
    <w:rsid w:val="00AA2F0C"/>
    <w:rsid w:val="00AA2F6D"/>
    <w:rsid w:val="00AA30AF"/>
    <w:rsid w:val="00AA31F7"/>
    <w:rsid w:val="00AA334E"/>
    <w:rsid w:val="00AA340F"/>
    <w:rsid w:val="00AA36E6"/>
    <w:rsid w:val="00AA3753"/>
    <w:rsid w:val="00AA3936"/>
    <w:rsid w:val="00AA398B"/>
    <w:rsid w:val="00AA3A85"/>
    <w:rsid w:val="00AA3AFC"/>
    <w:rsid w:val="00AA3B6A"/>
    <w:rsid w:val="00AA3B9E"/>
    <w:rsid w:val="00AA3BC1"/>
    <w:rsid w:val="00AA3C08"/>
    <w:rsid w:val="00AA41EC"/>
    <w:rsid w:val="00AA421D"/>
    <w:rsid w:val="00AA4375"/>
    <w:rsid w:val="00AA4535"/>
    <w:rsid w:val="00AA483E"/>
    <w:rsid w:val="00AA4A63"/>
    <w:rsid w:val="00AA4B77"/>
    <w:rsid w:val="00AA4C23"/>
    <w:rsid w:val="00AA4D91"/>
    <w:rsid w:val="00AA5297"/>
    <w:rsid w:val="00AA53D7"/>
    <w:rsid w:val="00AA53E9"/>
    <w:rsid w:val="00AA54F2"/>
    <w:rsid w:val="00AA5574"/>
    <w:rsid w:val="00AA55FD"/>
    <w:rsid w:val="00AA5862"/>
    <w:rsid w:val="00AA5AB2"/>
    <w:rsid w:val="00AA5ACC"/>
    <w:rsid w:val="00AA5B8B"/>
    <w:rsid w:val="00AA5C1B"/>
    <w:rsid w:val="00AA5C7E"/>
    <w:rsid w:val="00AA5F1F"/>
    <w:rsid w:val="00AA6062"/>
    <w:rsid w:val="00AA60F1"/>
    <w:rsid w:val="00AA62F4"/>
    <w:rsid w:val="00AA6308"/>
    <w:rsid w:val="00AA6332"/>
    <w:rsid w:val="00AA635C"/>
    <w:rsid w:val="00AA647E"/>
    <w:rsid w:val="00AA66F6"/>
    <w:rsid w:val="00AA6C85"/>
    <w:rsid w:val="00AA6F0A"/>
    <w:rsid w:val="00AA6F23"/>
    <w:rsid w:val="00AA74CC"/>
    <w:rsid w:val="00AA7889"/>
    <w:rsid w:val="00AA79CF"/>
    <w:rsid w:val="00AA7C75"/>
    <w:rsid w:val="00AA7CFE"/>
    <w:rsid w:val="00AB0339"/>
    <w:rsid w:val="00AB0388"/>
    <w:rsid w:val="00AB0448"/>
    <w:rsid w:val="00AB04F8"/>
    <w:rsid w:val="00AB0612"/>
    <w:rsid w:val="00AB06EE"/>
    <w:rsid w:val="00AB07AD"/>
    <w:rsid w:val="00AB07F5"/>
    <w:rsid w:val="00AB080E"/>
    <w:rsid w:val="00AB08C6"/>
    <w:rsid w:val="00AB08D2"/>
    <w:rsid w:val="00AB0AC4"/>
    <w:rsid w:val="00AB0C76"/>
    <w:rsid w:val="00AB0E34"/>
    <w:rsid w:val="00AB0E3D"/>
    <w:rsid w:val="00AB0EF7"/>
    <w:rsid w:val="00AB0F1F"/>
    <w:rsid w:val="00AB1003"/>
    <w:rsid w:val="00AB101F"/>
    <w:rsid w:val="00AB106A"/>
    <w:rsid w:val="00AB1090"/>
    <w:rsid w:val="00AB11FD"/>
    <w:rsid w:val="00AB131B"/>
    <w:rsid w:val="00AB1357"/>
    <w:rsid w:val="00AB15B8"/>
    <w:rsid w:val="00AB1624"/>
    <w:rsid w:val="00AB1641"/>
    <w:rsid w:val="00AB1878"/>
    <w:rsid w:val="00AB197B"/>
    <w:rsid w:val="00AB199C"/>
    <w:rsid w:val="00AB1AFF"/>
    <w:rsid w:val="00AB1DA7"/>
    <w:rsid w:val="00AB1E7F"/>
    <w:rsid w:val="00AB1EE4"/>
    <w:rsid w:val="00AB2165"/>
    <w:rsid w:val="00AB2289"/>
    <w:rsid w:val="00AB228C"/>
    <w:rsid w:val="00AB247E"/>
    <w:rsid w:val="00AB24DB"/>
    <w:rsid w:val="00AB2527"/>
    <w:rsid w:val="00AB274F"/>
    <w:rsid w:val="00AB2819"/>
    <w:rsid w:val="00AB2AD8"/>
    <w:rsid w:val="00AB2C2B"/>
    <w:rsid w:val="00AB2C31"/>
    <w:rsid w:val="00AB2D74"/>
    <w:rsid w:val="00AB30B0"/>
    <w:rsid w:val="00AB314D"/>
    <w:rsid w:val="00AB321B"/>
    <w:rsid w:val="00AB33F2"/>
    <w:rsid w:val="00AB34A3"/>
    <w:rsid w:val="00AB3613"/>
    <w:rsid w:val="00AB3707"/>
    <w:rsid w:val="00AB377B"/>
    <w:rsid w:val="00AB38FD"/>
    <w:rsid w:val="00AB39C3"/>
    <w:rsid w:val="00AB3E7A"/>
    <w:rsid w:val="00AB3FDF"/>
    <w:rsid w:val="00AB42CA"/>
    <w:rsid w:val="00AB45B9"/>
    <w:rsid w:val="00AB4632"/>
    <w:rsid w:val="00AB47A7"/>
    <w:rsid w:val="00AB489A"/>
    <w:rsid w:val="00AB4A92"/>
    <w:rsid w:val="00AB4ADD"/>
    <w:rsid w:val="00AB4BDA"/>
    <w:rsid w:val="00AB4CF5"/>
    <w:rsid w:val="00AB4F3F"/>
    <w:rsid w:val="00AB4F6D"/>
    <w:rsid w:val="00AB4FB9"/>
    <w:rsid w:val="00AB5022"/>
    <w:rsid w:val="00AB5238"/>
    <w:rsid w:val="00AB535B"/>
    <w:rsid w:val="00AB5367"/>
    <w:rsid w:val="00AB53A7"/>
    <w:rsid w:val="00AB5401"/>
    <w:rsid w:val="00AB54E0"/>
    <w:rsid w:val="00AB556B"/>
    <w:rsid w:val="00AB55C6"/>
    <w:rsid w:val="00AB567F"/>
    <w:rsid w:val="00AB57AA"/>
    <w:rsid w:val="00AB5813"/>
    <w:rsid w:val="00AB5876"/>
    <w:rsid w:val="00AB5A52"/>
    <w:rsid w:val="00AB5A97"/>
    <w:rsid w:val="00AB5AEF"/>
    <w:rsid w:val="00AB5C65"/>
    <w:rsid w:val="00AB5E1C"/>
    <w:rsid w:val="00AB5FB6"/>
    <w:rsid w:val="00AB61DB"/>
    <w:rsid w:val="00AB61EF"/>
    <w:rsid w:val="00AB632D"/>
    <w:rsid w:val="00AB6610"/>
    <w:rsid w:val="00AB66E9"/>
    <w:rsid w:val="00AB6A18"/>
    <w:rsid w:val="00AB6A63"/>
    <w:rsid w:val="00AB6B82"/>
    <w:rsid w:val="00AB6C24"/>
    <w:rsid w:val="00AB6CC2"/>
    <w:rsid w:val="00AB6CD1"/>
    <w:rsid w:val="00AB6DCC"/>
    <w:rsid w:val="00AB6FFC"/>
    <w:rsid w:val="00AB710D"/>
    <w:rsid w:val="00AB7165"/>
    <w:rsid w:val="00AB716F"/>
    <w:rsid w:val="00AB7531"/>
    <w:rsid w:val="00AB7717"/>
    <w:rsid w:val="00AB776D"/>
    <w:rsid w:val="00AB7913"/>
    <w:rsid w:val="00AB7ABD"/>
    <w:rsid w:val="00AB7B51"/>
    <w:rsid w:val="00AB7BE0"/>
    <w:rsid w:val="00AB7C4C"/>
    <w:rsid w:val="00AB7C54"/>
    <w:rsid w:val="00AC0445"/>
    <w:rsid w:val="00AC04D0"/>
    <w:rsid w:val="00AC0616"/>
    <w:rsid w:val="00AC0703"/>
    <w:rsid w:val="00AC0735"/>
    <w:rsid w:val="00AC087E"/>
    <w:rsid w:val="00AC09F9"/>
    <w:rsid w:val="00AC0B2F"/>
    <w:rsid w:val="00AC0C16"/>
    <w:rsid w:val="00AC0DB2"/>
    <w:rsid w:val="00AC0E15"/>
    <w:rsid w:val="00AC0EFD"/>
    <w:rsid w:val="00AC0F54"/>
    <w:rsid w:val="00AC0FAD"/>
    <w:rsid w:val="00AC0FD7"/>
    <w:rsid w:val="00AC10A6"/>
    <w:rsid w:val="00AC10B0"/>
    <w:rsid w:val="00AC1149"/>
    <w:rsid w:val="00AC11CD"/>
    <w:rsid w:val="00AC148B"/>
    <w:rsid w:val="00AC16A5"/>
    <w:rsid w:val="00AC16AC"/>
    <w:rsid w:val="00AC17A2"/>
    <w:rsid w:val="00AC1AE2"/>
    <w:rsid w:val="00AC1BA6"/>
    <w:rsid w:val="00AC1BD1"/>
    <w:rsid w:val="00AC1C2F"/>
    <w:rsid w:val="00AC1D5B"/>
    <w:rsid w:val="00AC1E84"/>
    <w:rsid w:val="00AC1FB6"/>
    <w:rsid w:val="00AC2054"/>
    <w:rsid w:val="00AC2092"/>
    <w:rsid w:val="00AC21DD"/>
    <w:rsid w:val="00AC22B5"/>
    <w:rsid w:val="00AC254A"/>
    <w:rsid w:val="00AC271B"/>
    <w:rsid w:val="00AC27F5"/>
    <w:rsid w:val="00AC28AC"/>
    <w:rsid w:val="00AC2A88"/>
    <w:rsid w:val="00AC2B95"/>
    <w:rsid w:val="00AC2BA3"/>
    <w:rsid w:val="00AC2C88"/>
    <w:rsid w:val="00AC2CAD"/>
    <w:rsid w:val="00AC2CB4"/>
    <w:rsid w:val="00AC2D62"/>
    <w:rsid w:val="00AC2D84"/>
    <w:rsid w:val="00AC3297"/>
    <w:rsid w:val="00AC32B2"/>
    <w:rsid w:val="00AC33A3"/>
    <w:rsid w:val="00AC3487"/>
    <w:rsid w:val="00AC3674"/>
    <w:rsid w:val="00AC36E6"/>
    <w:rsid w:val="00AC36FD"/>
    <w:rsid w:val="00AC370F"/>
    <w:rsid w:val="00AC37D1"/>
    <w:rsid w:val="00AC389E"/>
    <w:rsid w:val="00AC38E6"/>
    <w:rsid w:val="00AC3BA3"/>
    <w:rsid w:val="00AC3C68"/>
    <w:rsid w:val="00AC3C96"/>
    <w:rsid w:val="00AC3D96"/>
    <w:rsid w:val="00AC4251"/>
    <w:rsid w:val="00AC42D0"/>
    <w:rsid w:val="00AC461E"/>
    <w:rsid w:val="00AC4781"/>
    <w:rsid w:val="00AC47E4"/>
    <w:rsid w:val="00AC487F"/>
    <w:rsid w:val="00AC4A52"/>
    <w:rsid w:val="00AC4BA1"/>
    <w:rsid w:val="00AC4F59"/>
    <w:rsid w:val="00AC50F6"/>
    <w:rsid w:val="00AC51BE"/>
    <w:rsid w:val="00AC51E3"/>
    <w:rsid w:val="00AC524B"/>
    <w:rsid w:val="00AC527A"/>
    <w:rsid w:val="00AC533C"/>
    <w:rsid w:val="00AC5401"/>
    <w:rsid w:val="00AC57D7"/>
    <w:rsid w:val="00AC588E"/>
    <w:rsid w:val="00AC58FA"/>
    <w:rsid w:val="00AC5AE8"/>
    <w:rsid w:val="00AC5BD7"/>
    <w:rsid w:val="00AC637F"/>
    <w:rsid w:val="00AC63FF"/>
    <w:rsid w:val="00AC6445"/>
    <w:rsid w:val="00AC64A6"/>
    <w:rsid w:val="00AC6559"/>
    <w:rsid w:val="00AC6604"/>
    <w:rsid w:val="00AC6636"/>
    <w:rsid w:val="00AC6787"/>
    <w:rsid w:val="00AC6859"/>
    <w:rsid w:val="00AC6C68"/>
    <w:rsid w:val="00AC6C8D"/>
    <w:rsid w:val="00AC6CEB"/>
    <w:rsid w:val="00AC6DF6"/>
    <w:rsid w:val="00AC7496"/>
    <w:rsid w:val="00AC74D1"/>
    <w:rsid w:val="00AC75E7"/>
    <w:rsid w:val="00AC7824"/>
    <w:rsid w:val="00AC7A68"/>
    <w:rsid w:val="00AC7B99"/>
    <w:rsid w:val="00AC7BCA"/>
    <w:rsid w:val="00AC7E57"/>
    <w:rsid w:val="00AC7E9C"/>
    <w:rsid w:val="00AD0023"/>
    <w:rsid w:val="00AD0031"/>
    <w:rsid w:val="00AD00DA"/>
    <w:rsid w:val="00AD024C"/>
    <w:rsid w:val="00AD0294"/>
    <w:rsid w:val="00AD02CA"/>
    <w:rsid w:val="00AD03A1"/>
    <w:rsid w:val="00AD0425"/>
    <w:rsid w:val="00AD062D"/>
    <w:rsid w:val="00AD0657"/>
    <w:rsid w:val="00AD06C2"/>
    <w:rsid w:val="00AD06D4"/>
    <w:rsid w:val="00AD06E9"/>
    <w:rsid w:val="00AD0802"/>
    <w:rsid w:val="00AD0C70"/>
    <w:rsid w:val="00AD0DE2"/>
    <w:rsid w:val="00AD0DE4"/>
    <w:rsid w:val="00AD0E1C"/>
    <w:rsid w:val="00AD0E49"/>
    <w:rsid w:val="00AD1040"/>
    <w:rsid w:val="00AD17DB"/>
    <w:rsid w:val="00AD18DA"/>
    <w:rsid w:val="00AD1999"/>
    <w:rsid w:val="00AD1A29"/>
    <w:rsid w:val="00AD1DA7"/>
    <w:rsid w:val="00AD1DD6"/>
    <w:rsid w:val="00AD1F72"/>
    <w:rsid w:val="00AD1FFA"/>
    <w:rsid w:val="00AD2379"/>
    <w:rsid w:val="00AD2408"/>
    <w:rsid w:val="00AD2418"/>
    <w:rsid w:val="00AD2571"/>
    <w:rsid w:val="00AD2626"/>
    <w:rsid w:val="00AD26EF"/>
    <w:rsid w:val="00AD2899"/>
    <w:rsid w:val="00AD2967"/>
    <w:rsid w:val="00AD2BCF"/>
    <w:rsid w:val="00AD2D92"/>
    <w:rsid w:val="00AD2F92"/>
    <w:rsid w:val="00AD3033"/>
    <w:rsid w:val="00AD334F"/>
    <w:rsid w:val="00AD342A"/>
    <w:rsid w:val="00AD34EB"/>
    <w:rsid w:val="00AD35D1"/>
    <w:rsid w:val="00AD361E"/>
    <w:rsid w:val="00AD36CB"/>
    <w:rsid w:val="00AD3835"/>
    <w:rsid w:val="00AD389D"/>
    <w:rsid w:val="00AD3C32"/>
    <w:rsid w:val="00AD3C37"/>
    <w:rsid w:val="00AD3DFC"/>
    <w:rsid w:val="00AD4321"/>
    <w:rsid w:val="00AD4905"/>
    <w:rsid w:val="00AD4967"/>
    <w:rsid w:val="00AD4B23"/>
    <w:rsid w:val="00AD4D19"/>
    <w:rsid w:val="00AD4D4C"/>
    <w:rsid w:val="00AD4F51"/>
    <w:rsid w:val="00AD5043"/>
    <w:rsid w:val="00AD5254"/>
    <w:rsid w:val="00AD52A2"/>
    <w:rsid w:val="00AD537E"/>
    <w:rsid w:val="00AD5723"/>
    <w:rsid w:val="00AD5C8B"/>
    <w:rsid w:val="00AD5D7C"/>
    <w:rsid w:val="00AD60AF"/>
    <w:rsid w:val="00AD64C7"/>
    <w:rsid w:val="00AD6709"/>
    <w:rsid w:val="00AD67F9"/>
    <w:rsid w:val="00AD6895"/>
    <w:rsid w:val="00AD68BE"/>
    <w:rsid w:val="00AD68EA"/>
    <w:rsid w:val="00AD6914"/>
    <w:rsid w:val="00AD6A22"/>
    <w:rsid w:val="00AD6A5E"/>
    <w:rsid w:val="00AD6C88"/>
    <w:rsid w:val="00AD6CAB"/>
    <w:rsid w:val="00AD6DBE"/>
    <w:rsid w:val="00AD6DC5"/>
    <w:rsid w:val="00AD6ECC"/>
    <w:rsid w:val="00AD7018"/>
    <w:rsid w:val="00AD7048"/>
    <w:rsid w:val="00AD7328"/>
    <w:rsid w:val="00AD74DA"/>
    <w:rsid w:val="00AD7584"/>
    <w:rsid w:val="00AD7781"/>
    <w:rsid w:val="00AD789A"/>
    <w:rsid w:val="00AD7923"/>
    <w:rsid w:val="00AD7999"/>
    <w:rsid w:val="00AD7BE1"/>
    <w:rsid w:val="00AD7CB5"/>
    <w:rsid w:val="00AD7CFF"/>
    <w:rsid w:val="00AD7DFD"/>
    <w:rsid w:val="00AD7E13"/>
    <w:rsid w:val="00AD7F87"/>
    <w:rsid w:val="00AE028D"/>
    <w:rsid w:val="00AE034E"/>
    <w:rsid w:val="00AE0494"/>
    <w:rsid w:val="00AE04CF"/>
    <w:rsid w:val="00AE059C"/>
    <w:rsid w:val="00AE05BB"/>
    <w:rsid w:val="00AE0637"/>
    <w:rsid w:val="00AE080D"/>
    <w:rsid w:val="00AE0917"/>
    <w:rsid w:val="00AE0AB0"/>
    <w:rsid w:val="00AE0B5B"/>
    <w:rsid w:val="00AE0BA7"/>
    <w:rsid w:val="00AE0BB3"/>
    <w:rsid w:val="00AE0C19"/>
    <w:rsid w:val="00AE0CA9"/>
    <w:rsid w:val="00AE0CB3"/>
    <w:rsid w:val="00AE0DAA"/>
    <w:rsid w:val="00AE0F50"/>
    <w:rsid w:val="00AE0F8F"/>
    <w:rsid w:val="00AE0F99"/>
    <w:rsid w:val="00AE1094"/>
    <w:rsid w:val="00AE10C6"/>
    <w:rsid w:val="00AE11B5"/>
    <w:rsid w:val="00AE120A"/>
    <w:rsid w:val="00AE1277"/>
    <w:rsid w:val="00AE13FF"/>
    <w:rsid w:val="00AE1596"/>
    <w:rsid w:val="00AE15A0"/>
    <w:rsid w:val="00AE1738"/>
    <w:rsid w:val="00AE17A0"/>
    <w:rsid w:val="00AE1823"/>
    <w:rsid w:val="00AE1AF5"/>
    <w:rsid w:val="00AE1B2B"/>
    <w:rsid w:val="00AE1BD4"/>
    <w:rsid w:val="00AE2317"/>
    <w:rsid w:val="00AE237E"/>
    <w:rsid w:val="00AE2602"/>
    <w:rsid w:val="00AE265B"/>
    <w:rsid w:val="00AE27A4"/>
    <w:rsid w:val="00AE2AF2"/>
    <w:rsid w:val="00AE2DEA"/>
    <w:rsid w:val="00AE31DE"/>
    <w:rsid w:val="00AE35C7"/>
    <w:rsid w:val="00AE36F0"/>
    <w:rsid w:val="00AE3CE7"/>
    <w:rsid w:val="00AE3E58"/>
    <w:rsid w:val="00AE3FF0"/>
    <w:rsid w:val="00AE4025"/>
    <w:rsid w:val="00AE439E"/>
    <w:rsid w:val="00AE43AB"/>
    <w:rsid w:val="00AE467F"/>
    <w:rsid w:val="00AE4793"/>
    <w:rsid w:val="00AE48C9"/>
    <w:rsid w:val="00AE4A5A"/>
    <w:rsid w:val="00AE4ABE"/>
    <w:rsid w:val="00AE4AED"/>
    <w:rsid w:val="00AE4C3B"/>
    <w:rsid w:val="00AE4E4F"/>
    <w:rsid w:val="00AE4E93"/>
    <w:rsid w:val="00AE4E9F"/>
    <w:rsid w:val="00AE50A6"/>
    <w:rsid w:val="00AE528F"/>
    <w:rsid w:val="00AE52BD"/>
    <w:rsid w:val="00AE53EB"/>
    <w:rsid w:val="00AE550E"/>
    <w:rsid w:val="00AE56FA"/>
    <w:rsid w:val="00AE5A27"/>
    <w:rsid w:val="00AE5A65"/>
    <w:rsid w:val="00AE5F06"/>
    <w:rsid w:val="00AE5F3E"/>
    <w:rsid w:val="00AE6220"/>
    <w:rsid w:val="00AE627E"/>
    <w:rsid w:val="00AE656B"/>
    <w:rsid w:val="00AE66BF"/>
    <w:rsid w:val="00AE66C2"/>
    <w:rsid w:val="00AE6861"/>
    <w:rsid w:val="00AE6910"/>
    <w:rsid w:val="00AE693B"/>
    <w:rsid w:val="00AE6A16"/>
    <w:rsid w:val="00AE6AE7"/>
    <w:rsid w:val="00AE6C3C"/>
    <w:rsid w:val="00AE6C7A"/>
    <w:rsid w:val="00AE6CAE"/>
    <w:rsid w:val="00AE6F08"/>
    <w:rsid w:val="00AE6F13"/>
    <w:rsid w:val="00AE725F"/>
    <w:rsid w:val="00AE759B"/>
    <w:rsid w:val="00AE7B16"/>
    <w:rsid w:val="00AE7B86"/>
    <w:rsid w:val="00AE7E0E"/>
    <w:rsid w:val="00AF0601"/>
    <w:rsid w:val="00AF06F1"/>
    <w:rsid w:val="00AF073D"/>
    <w:rsid w:val="00AF0A2F"/>
    <w:rsid w:val="00AF0D09"/>
    <w:rsid w:val="00AF0D53"/>
    <w:rsid w:val="00AF0E15"/>
    <w:rsid w:val="00AF0E5C"/>
    <w:rsid w:val="00AF0E8A"/>
    <w:rsid w:val="00AF1181"/>
    <w:rsid w:val="00AF11FD"/>
    <w:rsid w:val="00AF12A3"/>
    <w:rsid w:val="00AF1720"/>
    <w:rsid w:val="00AF1722"/>
    <w:rsid w:val="00AF1A8F"/>
    <w:rsid w:val="00AF1A93"/>
    <w:rsid w:val="00AF1C26"/>
    <w:rsid w:val="00AF1C2F"/>
    <w:rsid w:val="00AF1DBD"/>
    <w:rsid w:val="00AF1E79"/>
    <w:rsid w:val="00AF1F09"/>
    <w:rsid w:val="00AF1F68"/>
    <w:rsid w:val="00AF1FBF"/>
    <w:rsid w:val="00AF2001"/>
    <w:rsid w:val="00AF2255"/>
    <w:rsid w:val="00AF23C8"/>
    <w:rsid w:val="00AF23DD"/>
    <w:rsid w:val="00AF2616"/>
    <w:rsid w:val="00AF283F"/>
    <w:rsid w:val="00AF294B"/>
    <w:rsid w:val="00AF29D7"/>
    <w:rsid w:val="00AF2BAC"/>
    <w:rsid w:val="00AF2CC2"/>
    <w:rsid w:val="00AF2D73"/>
    <w:rsid w:val="00AF2DA8"/>
    <w:rsid w:val="00AF2F33"/>
    <w:rsid w:val="00AF3047"/>
    <w:rsid w:val="00AF30F0"/>
    <w:rsid w:val="00AF31BE"/>
    <w:rsid w:val="00AF3291"/>
    <w:rsid w:val="00AF3505"/>
    <w:rsid w:val="00AF3702"/>
    <w:rsid w:val="00AF3708"/>
    <w:rsid w:val="00AF3800"/>
    <w:rsid w:val="00AF3801"/>
    <w:rsid w:val="00AF384A"/>
    <w:rsid w:val="00AF399E"/>
    <w:rsid w:val="00AF3CDF"/>
    <w:rsid w:val="00AF3E99"/>
    <w:rsid w:val="00AF3F77"/>
    <w:rsid w:val="00AF43D6"/>
    <w:rsid w:val="00AF445D"/>
    <w:rsid w:val="00AF44B6"/>
    <w:rsid w:val="00AF4574"/>
    <w:rsid w:val="00AF4778"/>
    <w:rsid w:val="00AF482A"/>
    <w:rsid w:val="00AF48C3"/>
    <w:rsid w:val="00AF4AD8"/>
    <w:rsid w:val="00AF4C4F"/>
    <w:rsid w:val="00AF4E92"/>
    <w:rsid w:val="00AF4E98"/>
    <w:rsid w:val="00AF4E9E"/>
    <w:rsid w:val="00AF4FAD"/>
    <w:rsid w:val="00AF5181"/>
    <w:rsid w:val="00AF536F"/>
    <w:rsid w:val="00AF5391"/>
    <w:rsid w:val="00AF53A0"/>
    <w:rsid w:val="00AF5553"/>
    <w:rsid w:val="00AF565B"/>
    <w:rsid w:val="00AF56F7"/>
    <w:rsid w:val="00AF580B"/>
    <w:rsid w:val="00AF5835"/>
    <w:rsid w:val="00AF5895"/>
    <w:rsid w:val="00AF5907"/>
    <w:rsid w:val="00AF5923"/>
    <w:rsid w:val="00AF5AB9"/>
    <w:rsid w:val="00AF609B"/>
    <w:rsid w:val="00AF60C3"/>
    <w:rsid w:val="00AF6840"/>
    <w:rsid w:val="00AF68B8"/>
    <w:rsid w:val="00AF69F8"/>
    <w:rsid w:val="00AF6B4B"/>
    <w:rsid w:val="00AF6C9D"/>
    <w:rsid w:val="00AF6CEC"/>
    <w:rsid w:val="00AF6E09"/>
    <w:rsid w:val="00AF70D0"/>
    <w:rsid w:val="00AF72A0"/>
    <w:rsid w:val="00AF72D3"/>
    <w:rsid w:val="00AF730D"/>
    <w:rsid w:val="00AF74B7"/>
    <w:rsid w:val="00AF75DB"/>
    <w:rsid w:val="00AF77C1"/>
    <w:rsid w:val="00AF7FDE"/>
    <w:rsid w:val="00B005EB"/>
    <w:rsid w:val="00B0076D"/>
    <w:rsid w:val="00B007B9"/>
    <w:rsid w:val="00B00981"/>
    <w:rsid w:val="00B00A95"/>
    <w:rsid w:val="00B00C1D"/>
    <w:rsid w:val="00B00C3B"/>
    <w:rsid w:val="00B00D62"/>
    <w:rsid w:val="00B00EBB"/>
    <w:rsid w:val="00B01365"/>
    <w:rsid w:val="00B014AB"/>
    <w:rsid w:val="00B0164F"/>
    <w:rsid w:val="00B01716"/>
    <w:rsid w:val="00B01845"/>
    <w:rsid w:val="00B018B0"/>
    <w:rsid w:val="00B01916"/>
    <w:rsid w:val="00B01B03"/>
    <w:rsid w:val="00B01C5D"/>
    <w:rsid w:val="00B01D52"/>
    <w:rsid w:val="00B02163"/>
    <w:rsid w:val="00B02222"/>
    <w:rsid w:val="00B022DD"/>
    <w:rsid w:val="00B023B1"/>
    <w:rsid w:val="00B0257A"/>
    <w:rsid w:val="00B026BB"/>
    <w:rsid w:val="00B026D5"/>
    <w:rsid w:val="00B02802"/>
    <w:rsid w:val="00B028C6"/>
    <w:rsid w:val="00B02AAC"/>
    <w:rsid w:val="00B02C06"/>
    <w:rsid w:val="00B02DC1"/>
    <w:rsid w:val="00B02E05"/>
    <w:rsid w:val="00B035B1"/>
    <w:rsid w:val="00B0361E"/>
    <w:rsid w:val="00B0363D"/>
    <w:rsid w:val="00B0397F"/>
    <w:rsid w:val="00B03A23"/>
    <w:rsid w:val="00B03A3F"/>
    <w:rsid w:val="00B03BA0"/>
    <w:rsid w:val="00B03EC5"/>
    <w:rsid w:val="00B04165"/>
    <w:rsid w:val="00B04308"/>
    <w:rsid w:val="00B0446F"/>
    <w:rsid w:val="00B04567"/>
    <w:rsid w:val="00B04606"/>
    <w:rsid w:val="00B0475D"/>
    <w:rsid w:val="00B0483D"/>
    <w:rsid w:val="00B04A96"/>
    <w:rsid w:val="00B04B57"/>
    <w:rsid w:val="00B04BC1"/>
    <w:rsid w:val="00B05066"/>
    <w:rsid w:val="00B053FF"/>
    <w:rsid w:val="00B0544E"/>
    <w:rsid w:val="00B055D0"/>
    <w:rsid w:val="00B05812"/>
    <w:rsid w:val="00B05963"/>
    <w:rsid w:val="00B05AC2"/>
    <w:rsid w:val="00B0616D"/>
    <w:rsid w:val="00B0618C"/>
    <w:rsid w:val="00B06240"/>
    <w:rsid w:val="00B064B1"/>
    <w:rsid w:val="00B06561"/>
    <w:rsid w:val="00B065AB"/>
    <w:rsid w:val="00B06619"/>
    <w:rsid w:val="00B067D3"/>
    <w:rsid w:val="00B0683C"/>
    <w:rsid w:val="00B068E5"/>
    <w:rsid w:val="00B0691A"/>
    <w:rsid w:val="00B06957"/>
    <w:rsid w:val="00B06CC8"/>
    <w:rsid w:val="00B06D8B"/>
    <w:rsid w:val="00B0723B"/>
    <w:rsid w:val="00B0754B"/>
    <w:rsid w:val="00B075E8"/>
    <w:rsid w:val="00B077E6"/>
    <w:rsid w:val="00B07A6A"/>
    <w:rsid w:val="00B07EF5"/>
    <w:rsid w:val="00B102EA"/>
    <w:rsid w:val="00B10434"/>
    <w:rsid w:val="00B105BC"/>
    <w:rsid w:val="00B1067E"/>
    <w:rsid w:val="00B106DC"/>
    <w:rsid w:val="00B10716"/>
    <w:rsid w:val="00B108A7"/>
    <w:rsid w:val="00B1091D"/>
    <w:rsid w:val="00B10AD3"/>
    <w:rsid w:val="00B10B7F"/>
    <w:rsid w:val="00B10C22"/>
    <w:rsid w:val="00B10C4D"/>
    <w:rsid w:val="00B10CFA"/>
    <w:rsid w:val="00B10D80"/>
    <w:rsid w:val="00B10FD9"/>
    <w:rsid w:val="00B1141D"/>
    <w:rsid w:val="00B11485"/>
    <w:rsid w:val="00B11556"/>
    <w:rsid w:val="00B11787"/>
    <w:rsid w:val="00B11885"/>
    <w:rsid w:val="00B1188B"/>
    <w:rsid w:val="00B1199D"/>
    <w:rsid w:val="00B11A11"/>
    <w:rsid w:val="00B11A17"/>
    <w:rsid w:val="00B11A75"/>
    <w:rsid w:val="00B11AFB"/>
    <w:rsid w:val="00B11C2E"/>
    <w:rsid w:val="00B11D10"/>
    <w:rsid w:val="00B11E10"/>
    <w:rsid w:val="00B11E28"/>
    <w:rsid w:val="00B11E55"/>
    <w:rsid w:val="00B11EC1"/>
    <w:rsid w:val="00B11FB0"/>
    <w:rsid w:val="00B12207"/>
    <w:rsid w:val="00B1227F"/>
    <w:rsid w:val="00B12323"/>
    <w:rsid w:val="00B1239F"/>
    <w:rsid w:val="00B12418"/>
    <w:rsid w:val="00B124AC"/>
    <w:rsid w:val="00B124F0"/>
    <w:rsid w:val="00B125C0"/>
    <w:rsid w:val="00B12642"/>
    <w:rsid w:val="00B12848"/>
    <w:rsid w:val="00B12C72"/>
    <w:rsid w:val="00B12CC1"/>
    <w:rsid w:val="00B12ED1"/>
    <w:rsid w:val="00B12F4F"/>
    <w:rsid w:val="00B12FC6"/>
    <w:rsid w:val="00B13147"/>
    <w:rsid w:val="00B131CC"/>
    <w:rsid w:val="00B1325F"/>
    <w:rsid w:val="00B13286"/>
    <w:rsid w:val="00B1328B"/>
    <w:rsid w:val="00B1336E"/>
    <w:rsid w:val="00B13653"/>
    <w:rsid w:val="00B1391D"/>
    <w:rsid w:val="00B13A61"/>
    <w:rsid w:val="00B13B0F"/>
    <w:rsid w:val="00B13B79"/>
    <w:rsid w:val="00B13C74"/>
    <w:rsid w:val="00B13C75"/>
    <w:rsid w:val="00B13E70"/>
    <w:rsid w:val="00B13EEB"/>
    <w:rsid w:val="00B141CD"/>
    <w:rsid w:val="00B142A4"/>
    <w:rsid w:val="00B143C3"/>
    <w:rsid w:val="00B147CF"/>
    <w:rsid w:val="00B148E1"/>
    <w:rsid w:val="00B14961"/>
    <w:rsid w:val="00B14AFE"/>
    <w:rsid w:val="00B14D82"/>
    <w:rsid w:val="00B14EA8"/>
    <w:rsid w:val="00B14F92"/>
    <w:rsid w:val="00B15004"/>
    <w:rsid w:val="00B1513A"/>
    <w:rsid w:val="00B15189"/>
    <w:rsid w:val="00B151CE"/>
    <w:rsid w:val="00B15377"/>
    <w:rsid w:val="00B1547E"/>
    <w:rsid w:val="00B15573"/>
    <w:rsid w:val="00B15627"/>
    <w:rsid w:val="00B157EC"/>
    <w:rsid w:val="00B15987"/>
    <w:rsid w:val="00B15BD9"/>
    <w:rsid w:val="00B15EF6"/>
    <w:rsid w:val="00B15F4B"/>
    <w:rsid w:val="00B15FCB"/>
    <w:rsid w:val="00B160B3"/>
    <w:rsid w:val="00B16131"/>
    <w:rsid w:val="00B162C7"/>
    <w:rsid w:val="00B1644F"/>
    <w:rsid w:val="00B16467"/>
    <w:rsid w:val="00B165F1"/>
    <w:rsid w:val="00B1669C"/>
    <w:rsid w:val="00B167FE"/>
    <w:rsid w:val="00B16893"/>
    <w:rsid w:val="00B16925"/>
    <w:rsid w:val="00B16AFD"/>
    <w:rsid w:val="00B16C60"/>
    <w:rsid w:val="00B16E62"/>
    <w:rsid w:val="00B1739A"/>
    <w:rsid w:val="00B173EE"/>
    <w:rsid w:val="00B17988"/>
    <w:rsid w:val="00B17A3F"/>
    <w:rsid w:val="00B17B00"/>
    <w:rsid w:val="00B17C82"/>
    <w:rsid w:val="00B17D93"/>
    <w:rsid w:val="00B17E3F"/>
    <w:rsid w:val="00B17F2A"/>
    <w:rsid w:val="00B20073"/>
    <w:rsid w:val="00B200A4"/>
    <w:rsid w:val="00B200FC"/>
    <w:rsid w:val="00B2041E"/>
    <w:rsid w:val="00B209AF"/>
    <w:rsid w:val="00B20ACA"/>
    <w:rsid w:val="00B20BC8"/>
    <w:rsid w:val="00B210AF"/>
    <w:rsid w:val="00B21117"/>
    <w:rsid w:val="00B21176"/>
    <w:rsid w:val="00B21355"/>
    <w:rsid w:val="00B214F4"/>
    <w:rsid w:val="00B2161D"/>
    <w:rsid w:val="00B2186F"/>
    <w:rsid w:val="00B21A4D"/>
    <w:rsid w:val="00B21A5E"/>
    <w:rsid w:val="00B21B5A"/>
    <w:rsid w:val="00B21C68"/>
    <w:rsid w:val="00B21E9A"/>
    <w:rsid w:val="00B21F9B"/>
    <w:rsid w:val="00B21FDC"/>
    <w:rsid w:val="00B2218B"/>
    <w:rsid w:val="00B221CB"/>
    <w:rsid w:val="00B22294"/>
    <w:rsid w:val="00B222DC"/>
    <w:rsid w:val="00B223B3"/>
    <w:rsid w:val="00B2245A"/>
    <w:rsid w:val="00B22673"/>
    <w:rsid w:val="00B226C0"/>
    <w:rsid w:val="00B226F1"/>
    <w:rsid w:val="00B22AF7"/>
    <w:rsid w:val="00B22C02"/>
    <w:rsid w:val="00B22DD8"/>
    <w:rsid w:val="00B22E23"/>
    <w:rsid w:val="00B22E6D"/>
    <w:rsid w:val="00B22E78"/>
    <w:rsid w:val="00B22ED3"/>
    <w:rsid w:val="00B22F6D"/>
    <w:rsid w:val="00B23002"/>
    <w:rsid w:val="00B23038"/>
    <w:rsid w:val="00B230F7"/>
    <w:rsid w:val="00B23226"/>
    <w:rsid w:val="00B232B1"/>
    <w:rsid w:val="00B2340A"/>
    <w:rsid w:val="00B23529"/>
    <w:rsid w:val="00B2352C"/>
    <w:rsid w:val="00B23573"/>
    <w:rsid w:val="00B235B2"/>
    <w:rsid w:val="00B237A6"/>
    <w:rsid w:val="00B23842"/>
    <w:rsid w:val="00B2391C"/>
    <w:rsid w:val="00B23AFA"/>
    <w:rsid w:val="00B23B6F"/>
    <w:rsid w:val="00B23B9C"/>
    <w:rsid w:val="00B23D08"/>
    <w:rsid w:val="00B23DE6"/>
    <w:rsid w:val="00B2403F"/>
    <w:rsid w:val="00B2404F"/>
    <w:rsid w:val="00B241B0"/>
    <w:rsid w:val="00B24229"/>
    <w:rsid w:val="00B24235"/>
    <w:rsid w:val="00B2423C"/>
    <w:rsid w:val="00B24390"/>
    <w:rsid w:val="00B2451E"/>
    <w:rsid w:val="00B24551"/>
    <w:rsid w:val="00B24555"/>
    <w:rsid w:val="00B24685"/>
    <w:rsid w:val="00B24749"/>
    <w:rsid w:val="00B247A2"/>
    <w:rsid w:val="00B24C02"/>
    <w:rsid w:val="00B24F1E"/>
    <w:rsid w:val="00B25019"/>
    <w:rsid w:val="00B25056"/>
    <w:rsid w:val="00B251A7"/>
    <w:rsid w:val="00B25231"/>
    <w:rsid w:val="00B2526B"/>
    <w:rsid w:val="00B252D6"/>
    <w:rsid w:val="00B253ED"/>
    <w:rsid w:val="00B25503"/>
    <w:rsid w:val="00B256F7"/>
    <w:rsid w:val="00B25853"/>
    <w:rsid w:val="00B258D6"/>
    <w:rsid w:val="00B25942"/>
    <w:rsid w:val="00B2599D"/>
    <w:rsid w:val="00B259C0"/>
    <w:rsid w:val="00B25D05"/>
    <w:rsid w:val="00B25D19"/>
    <w:rsid w:val="00B25D25"/>
    <w:rsid w:val="00B25EB7"/>
    <w:rsid w:val="00B25F38"/>
    <w:rsid w:val="00B25FF9"/>
    <w:rsid w:val="00B261A7"/>
    <w:rsid w:val="00B262C6"/>
    <w:rsid w:val="00B26363"/>
    <w:rsid w:val="00B263D0"/>
    <w:rsid w:val="00B263FB"/>
    <w:rsid w:val="00B26414"/>
    <w:rsid w:val="00B266BD"/>
    <w:rsid w:val="00B2695D"/>
    <w:rsid w:val="00B26D2C"/>
    <w:rsid w:val="00B271AF"/>
    <w:rsid w:val="00B2752A"/>
    <w:rsid w:val="00B27541"/>
    <w:rsid w:val="00B2762E"/>
    <w:rsid w:val="00B27716"/>
    <w:rsid w:val="00B27866"/>
    <w:rsid w:val="00B27AA2"/>
    <w:rsid w:val="00B27ADD"/>
    <w:rsid w:val="00B27B10"/>
    <w:rsid w:val="00B27CEF"/>
    <w:rsid w:val="00B27DAF"/>
    <w:rsid w:val="00B30249"/>
    <w:rsid w:val="00B30517"/>
    <w:rsid w:val="00B30575"/>
    <w:rsid w:val="00B3059C"/>
    <w:rsid w:val="00B3067F"/>
    <w:rsid w:val="00B307AA"/>
    <w:rsid w:val="00B308E1"/>
    <w:rsid w:val="00B3090B"/>
    <w:rsid w:val="00B30A05"/>
    <w:rsid w:val="00B30CCE"/>
    <w:rsid w:val="00B30DE5"/>
    <w:rsid w:val="00B30EE1"/>
    <w:rsid w:val="00B31112"/>
    <w:rsid w:val="00B311A6"/>
    <w:rsid w:val="00B312DD"/>
    <w:rsid w:val="00B31431"/>
    <w:rsid w:val="00B31494"/>
    <w:rsid w:val="00B3155A"/>
    <w:rsid w:val="00B315AD"/>
    <w:rsid w:val="00B31888"/>
    <w:rsid w:val="00B31A01"/>
    <w:rsid w:val="00B31B45"/>
    <w:rsid w:val="00B31E3D"/>
    <w:rsid w:val="00B31E69"/>
    <w:rsid w:val="00B3203D"/>
    <w:rsid w:val="00B32057"/>
    <w:rsid w:val="00B32077"/>
    <w:rsid w:val="00B321DB"/>
    <w:rsid w:val="00B32263"/>
    <w:rsid w:val="00B323FE"/>
    <w:rsid w:val="00B32574"/>
    <w:rsid w:val="00B326BE"/>
    <w:rsid w:val="00B3286C"/>
    <w:rsid w:val="00B32993"/>
    <w:rsid w:val="00B32A33"/>
    <w:rsid w:val="00B32A6A"/>
    <w:rsid w:val="00B32A7E"/>
    <w:rsid w:val="00B32CD2"/>
    <w:rsid w:val="00B32DA0"/>
    <w:rsid w:val="00B32EA3"/>
    <w:rsid w:val="00B3307D"/>
    <w:rsid w:val="00B3334B"/>
    <w:rsid w:val="00B335AD"/>
    <w:rsid w:val="00B335FF"/>
    <w:rsid w:val="00B3371F"/>
    <w:rsid w:val="00B337E1"/>
    <w:rsid w:val="00B338D2"/>
    <w:rsid w:val="00B33953"/>
    <w:rsid w:val="00B33D73"/>
    <w:rsid w:val="00B33E0B"/>
    <w:rsid w:val="00B33E5E"/>
    <w:rsid w:val="00B33FAC"/>
    <w:rsid w:val="00B34032"/>
    <w:rsid w:val="00B34112"/>
    <w:rsid w:val="00B3419A"/>
    <w:rsid w:val="00B34397"/>
    <w:rsid w:val="00B343D5"/>
    <w:rsid w:val="00B34403"/>
    <w:rsid w:val="00B34506"/>
    <w:rsid w:val="00B346CD"/>
    <w:rsid w:val="00B3482C"/>
    <w:rsid w:val="00B348EC"/>
    <w:rsid w:val="00B3490F"/>
    <w:rsid w:val="00B34A11"/>
    <w:rsid w:val="00B34B20"/>
    <w:rsid w:val="00B34BD9"/>
    <w:rsid w:val="00B34C78"/>
    <w:rsid w:val="00B34E03"/>
    <w:rsid w:val="00B34E64"/>
    <w:rsid w:val="00B34EAA"/>
    <w:rsid w:val="00B3504C"/>
    <w:rsid w:val="00B3562F"/>
    <w:rsid w:val="00B35752"/>
    <w:rsid w:val="00B359BA"/>
    <w:rsid w:val="00B35B43"/>
    <w:rsid w:val="00B35CC7"/>
    <w:rsid w:val="00B35EDD"/>
    <w:rsid w:val="00B3609A"/>
    <w:rsid w:val="00B360AA"/>
    <w:rsid w:val="00B36223"/>
    <w:rsid w:val="00B36298"/>
    <w:rsid w:val="00B36395"/>
    <w:rsid w:val="00B368B1"/>
    <w:rsid w:val="00B3694B"/>
    <w:rsid w:val="00B36950"/>
    <w:rsid w:val="00B36F32"/>
    <w:rsid w:val="00B36F78"/>
    <w:rsid w:val="00B37019"/>
    <w:rsid w:val="00B370A8"/>
    <w:rsid w:val="00B37215"/>
    <w:rsid w:val="00B372F2"/>
    <w:rsid w:val="00B372F7"/>
    <w:rsid w:val="00B373B7"/>
    <w:rsid w:val="00B37460"/>
    <w:rsid w:val="00B37558"/>
    <w:rsid w:val="00B376B6"/>
    <w:rsid w:val="00B377AC"/>
    <w:rsid w:val="00B3784C"/>
    <w:rsid w:val="00B3798E"/>
    <w:rsid w:val="00B37B2B"/>
    <w:rsid w:val="00B37B74"/>
    <w:rsid w:val="00B37CA6"/>
    <w:rsid w:val="00B37F30"/>
    <w:rsid w:val="00B402EE"/>
    <w:rsid w:val="00B40351"/>
    <w:rsid w:val="00B40487"/>
    <w:rsid w:val="00B404A6"/>
    <w:rsid w:val="00B404B7"/>
    <w:rsid w:val="00B40611"/>
    <w:rsid w:val="00B40642"/>
    <w:rsid w:val="00B40719"/>
    <w:rsid w:val="00B4085B"/>
    <w:rsid w:val="00B40972"/>
    <w:rsid w:val="00B40C54"/>
    <w:rsid w:val="00B40CC9"/>
    <w:rsid w:val="00B40CFD"/>
    <w:rsid w:val="00B40EBF"/>
    <w:rsid w:val="00B41092"/>
    <w:rsid w:val="00B41099"/>
    <w:rsid w:val="00B410BA"/>
    <w:rsid w:val="00B41147"/>
    <w:rsid w:val="00B4116C"/>
    <w:rsid w:val="00B4137A"/>
    <w:rsid w:val="00B413E1"/>
    <w:rsid w:val="00B41415"/>
    <w:rsid w:val="00B4184E"/>
    <w:rsid w:val="00B41921"/>
    <w:rsid w:val="00B41AA3"/>
    <w:rsid w:val="00B41C50"/>
    <w:rsid w:val="00B41C89"/>
    <w:rsid w:val="00B41DED"/>
    <w:rsid w:val="00B41E16"/>
    <w:rsid w:val="00B41F49"/>
    <w:rsid w:val="00B4202A"/>
    <w:rsid w:val="00B421D4"/>
    <w:rsid w:val="00B42267"/>
    <w:rsid w:val="00B42273"/>
    <w:rsid w:val="00B424E4"/>
    <w:rsid w:val="00B42578"/>
    <w:rsid w:val="00B425FC"/>
    <w:rsid w:val="00B426F2"/>
    <w:rsid w:val="00B42957"/>
    <w:rsid w:val="00B429D2"/>
    <w:rsid w:val="00B42A2B"/>
    <w:rsid w:val="00B42A7A"/>
    <w:rsid w:val="00B42BA9"/>
    <w:rsid w:val="00B43072"/>
    <w:rsid w:val="00B43299"/>
    <w:rsid w:val="00B432C9"/>
    <w:rsid w:val="00B43398"/>
    <w:rsid w:val="00B4352A"/>
    <w:rsid w:val="00B436A9"/>
    <w:rsid w:val="00B437D2"/>
    <w:rsid w:val="00B437E4"/>
    <w:rsid w:val="00B43A7E"/>
    <w:rsid w:val="00B43B51"/>
    <w:rsid w:val="00B43D06"/>
    <w:rsid w:val="00B43D1D"/>
    <w:rsid w:val="00B440FC"/>
    <w:rsid w:val="00B44299"/>
    <w:rsid w:val="00B44488"/>
    <w:rsid w:val="00B444A3"/>
    <w:rsid w:val="00B44508"/>
    <w:rsid w:val="00B4454E"/>
    <w:rsid w:val="00B445AA"/>
    <w:rsid w:val="00B445BA"/>
    <w:rsid w:val="00B445E8"/>
    <w:rsid w:val="00B44635"/>
    <w:rsid w:val="00B44639"/>
    <w:rsid w:val="00B446EE"/>
    <w:rsid w:val="00B44737"/>
    <w:rsid w:val="00B44791"/>
    <w:rsid w:val="00B44950"/>
    <w:rsid w:val="00B45720"/>
    <w:rsid w:val="00B4580C"/>
    <w:rsid w:val="00B45839"/>
    <w:rsid w:val="00B45998"/>
    <w:rsid w:val="00B45B1C"/>
    <w:rsid w:val="00B45EB6"/>
    <w:rsid w:val="00B45F67"/>
    <w:rsid w:val="00B461D4"/>
    <w:rsid w:val="00B46290"/>
    <w:rsid w:val="00B46294"/>
    <w:rsid w:val="00B462B1"/>
    <w:rsid w:val="00B46575"/>
    <w:rsid w:val="00B465B2"/>
    <w:rsid w:val="00B465E7"/>
    <w:rsid w:val="00B4681C"/>
    <w:rsid w:val="00B46849"/>
    <w:rsid w:val="00B468BF"/>
    <w:rsid w:val="00B469D6"/>
    <w:rsid w:val="00B46B8D"/>
    <w:rsid w:val="00B46D53"/>
    <w:rsid w:val="00B46F2E"/>
    <w:rsid w:val="00B47191"/>
    <w:rsid w:val="00B4727A"/>
    <w:rsid w:val="00B47342"/>
    <w:rsid w:val="00B47412"/>
    <w:rsid w:val="00B4746F"/>
    <w:rsid w:val="00B474B6"/>
    <w:rsid w:val="00B474FE"/>
    <w:rsid w:val="00B4754B"/>
    <w:rsid w:val="00B479BF"/>
    <w:rsid w:val="00B479EC"/>
    <w:rsid w:val="00B47B1E"/>
    <w:rsid w:val="00B47C68"/>
    <w:rsid w:val="00B47E54"/>
    <w:rsid w:val="00B47E5B"/>
    <w:rsid w:val="00B50153"/>
    <w:rsid w:val="00B50284"/>
    <w:rsid w:val="00B5031E"/>
    <w:rsid w:val="00B5035B"/>
    <w:rsid w:val="00B5050C"/>
    <w:rsid w:val="00B505E2"/>
    <w:rsid w:val="00B50808"/>
    <w:rsid w:val="00B5091C"/>
    <w:rsid w:val="00B50998"/>
    <w:rsid w:val="00B50B7E"/>
    <w:rsid w:val="00B50B9F"/>
    <w:rsid w:val="00B50CBA"/>
    <w:rsid w:val="00B51284"/>
    <w:rsid w:val="00B5148F"/>
    <w:rsid w:val="00B514C5"/>
    <w:rsid w:val="00B51668"/>
    <w:rsid w:val="00B518F1"/>
    <w:rsid w:val="00B518F3"/>
    <w:rsid w:val="00B51926"/>
    <w:rsid w:val="00B519C9"/>
    <w:rsid w:val="00B51B4A"/>
    <w:rsid w:val="00B51C53"/>
    <w:rsid w:val="00B51C65"/>
    <w:rsid w:val="00B51E24"/>
    <w:rsid w:val="00B51E3A"/>
    <w:rsid w:val="00B51F52"/>
    <w:rsid w:val="00B51FB7"/>
    <w:rsid w:val="00B5204F"/>
    <w:rsid w:val="00B521C6"/>
    <w:rsid w:val="00B5235A"/>
    <w:rsid w:val="00B523A3"/>
    <w:rsid w:val="00B52407"/>
    <w:rsid w:val="00B5244D"/>
    <w:rsid w:val="00B527CF"/>
    <w:rsid w:val="00B5297F"/>
    <w:rsid w:val="00B52CC4"/>
    <w:rsid w:val="00B52D02"/>
    <w:rsid w:val="00B52DFA"/>
    <w:rsid w:val="00B52F11"/>
    <w:rsid w:val="00B53205"/>
    <w:rsid w:val="00B532FC"/>
    <w:rsid w:val="00B5330E"/>
    <w:rsid w:val="00B53504"/>
    <w:rsid w:val="00B536CC"/>
    <w:rsid w:val="00B538A4"/>
    <w:rsid w:val="00B53BA2"/>
    <w:rsid w:val="00B53D0A"/>
    <w:rsid w:val="00B53DC2"/>
    <w:rsid w:val="00B53E8A"/>
    <w:rsid w:val="00B5407F"/>
    <w:rsid w:val="00B54507"/>
    <w:rsid w:val="00B5458B"/>
    <w:rsid w:val="00B5459E"/>
    <w:rsid w:val="00B54742"/>
    <w:rsid w:val="00B54788"/>
    <w:rsid w:val="00B548C7"/>
    <w:rsid w:val="00B54906"/>
    <w:rsid w:val="00B54A21"/>
    <w:rsid w:val="00B54AFC"/>
    <w:rsid w:val="00B54B4A"/>
    <w:rsid w:val="00B54D9B"/>
    <w:rsid w:val="00B54EF3"/>
    <w:rsid w:val="00B54F73"/>
    <w:rsid w:val="00B551C4"/>
    <w:rsid w:val="00B5526E"/>
    <w:rsid w:val="00B552B0"/>
    <w:rsid w:val="00B552CD"/>
    <w:rsid w:val="00B5536A"/>
    <w:rsid w:val="00B55417"/>
    <w:rsid w:val="00B55459"/>
    <w:rsid w:val="00B555AE"/>
    <w:rsid w:val="00B5567D"/>
    <w:rsid w:val="00B5574A"/>
    <w:rsid w:val="00B5590E"/>
    <w:rsid w:val="00B55967"/>
    <w:rsid w:val="00B559FA"/>
    <w:rsid w:val="00B559FB"/>
    <w:rsid w:val="00B56261"/>
    <w:rsid w:val="00B56288"/>
    <w:rsid w:val="00B56595"/>
    <w:rsid w:val="00B56616"/>
    <w:rsid w:val="00B56740"/>
    <w:rsid w:val="00B56C3D"/>
    <w:rsid w:val="00B5702C"/>
    <w:rsid w:val="00B571C0"/>
    <w:rsid w:val="00B5727C"/>
    <w:rsid w:val="00B57638"/>
    <w:rsid w:val="00B57729"/>
    <w:rsid w:val="00B57870"/>
    <w:rsid w:val="00B578D8"/>
    <w:rsid w:val="00B57CC9"/>
    <w:rsid w:val="00B57F4C"/>
    <w:rsid w:val="00B6005B"/>
    <w:rsid w:val="00B6024B"/>
    <w:rsid w:val="00B6038F"/>
    <w:rsid w:val="00B60526"/>
    <w:rsid w:val="00B60740"/>
    <w:rsid w:val="00B60798"/>
    <w:rsid w:val="00B60807"/>
    <w:rsid w:val="00B60904"/>
    <w:rsid w:val="00B60A4A"/>
    <w:rsid w:val="00B60A93"/>
    <w:rsid w:val="00B60B43"/>
    <w:rsid w:val="00B60B85"/>
    <w:rsid w:val="00B60BAD"/>
    <w:rsid w:val="00B60C7A"/>
    <w:rsid w:val="00B60CCB"/>
    <w:rsid w:val="00B60EC7"/>
    <w:rsid w:val="00B612F1"/>
    <w:rsid w:val="00B61559"/>
    <w:rsid w:val="00B61624"/>
    <w:rsid w:val="00B61661"/>
    <w:rsid w:val="00B616E8"/>
    <w:rsid w:val="00B61951"/>
    <w:rsid w:val="00B6196E"/>
    <w:rsid w:val="00B61A16"/>
    <w:rsid w:val="00B61DCC"/>
    <w:rsid w:val="00B6211E"/>
    <w:rsid w:val="00B625DE"/>
    <w:rsid w:val="00B62847"/>
    <w:rsid w:val="00B62CA7"/>
    <w:rsid w:val="00B62D2C"/>
    <w:rsid w:val="00B62FB4"/>
    <w:rsid w:val="00B6373D"/>
    <w:rsid w:val="00B6378C"/>
    <w:rsid w:val="00B63D7C"/>
    <w:rsid w:val="00B64105"/>
    <w:rsid w:val="00B6439C"/>
    <w:rsid w:val="00B64520"/>
    <w:rsid w:val="00B645B7"/>
    <w:rsid w:val="00B645C1"/>
    <w:rsid w:val="00B645E1"/>
    <w:rsid w:val="00B64644"/>
    <w:rsid w:val="00B64945"/>
    <w:rsid w:val="00B649FB"/>
    <w:rsid w:val="00B64C4B"/>
    <w:rsid w:val="00B64C90"/>
    <w:rsid w:val="00B64E19"/>
    <w:rsid w:val="00B64F5A"/>
    <w:rsid w:val="00B64FAC"/>
    <w:rsid w:val="00B651D4"/>
    <w:rsid w:val="00B6527A"/>
    <w:rsid w:val="00B65319"/>
    <w:rsid w:val="00B6551E"/>
    <w:rsid w:val="00B65610"/>
    <w:rsid w:val="00B6561C"/>
    <w:rsid w:val="00B65662"/>
    <w:rsid w:val="00B65D71"/>
    <w:rsid w:val="00B66289"/>
    <w:rsid w:val="00B66333"/>
    <w:rsid w:val="00B66434"/>
    <w:rsid w:val="00B66464"/>
    <w:rsid w:val="00B6651C"/>
    <w:rsid w:val="00B667E7"/>
    <w:rsid w:val="00B66B41"/>
    <w:rsid w:val="00B66B67"/>
    <w:rsid w:val="00B66BED"/>
    <w:rsid w:val="00B66C4B"/>
    <w:rsid w:val="00B66C9D"/>
    <w:rsid w:val="00B66D86"/>
    <w:rsid w:val="00B66E51"/>
    <w:rsid w:val="00B672F7"/>
    <w:rsid w:val="00B6732D"/>
    <w:rsid w:val="00B673D9"/>
    <w:rsid w:val="00B677D2"/>
    <w:rsid w:val="00B67A14"/>
    <w:rsid w:val="00B67C1C"/>
    <w:rsid w:val="00B67DE8"/>
    <w:rsid w:val="00B67F52"/>
    <w:rsid w:val="00B7007F"/>
    <w:rsid w:val="00B701E7"/>
    <w:rsid w:val="00B7021D"/>
    <w:rsid w:val="00B70375"/>
    <w:rsid w:val="00B7057B"/>
    <w:rsid w:val="00B705C9"/>
    <w:rsid w:val="00B705D2"/>
    <w:rsid w:val="00B70679"/>
    <w:rsid w:val="00B706D1"/>
    <w:rsid w:val="00B70828"/>
    <w:rsid w:val="00B70908"/>
    <w:rsid w:val="00B70936"/>
    <w:rsid w:val="00B70A46"/>
    <w:rsid w:val="00B70A76"/>
    <w:rsid w:val="00B70B97"/>
    <w:rsid w:val="00B70E85"/>
    <w:rsid w:val="00B70F3F"/>
    <w:rsid w:val="00B70FEF"/>
    <w:rsid w:val="00B7104A"/>
    <w:rsid w:val="00B711F0"/>
    <w:rsid w:val="00B712CC"/>
    <w:rsid w:val="00B7138E"/>
    <w:rsid w:val="00B713F2"/>
    <w:rsid w:val="00B718D5"/>
    <w:rsid w:val="00B71D00"/>
    <w:rsid w:val="00B71E39"/>
    <w:rsid w:val="00B71F17"/>
    <w:rsid w:val="00B72046"/>
    <w:rsid w:val="00B7231C"/>
    <w:rsid w:val="00B72357"/>
    <w:rsid w:val="00B72440"/>
    <w:rsid w:val="00B72626"/>
    <w:rsid w:val="00B7265F"/>
    <w:rsid w:val="00B72725"/>
    <w:rsid w:val="00B72744"/>
    <w:rsid w:val="00B7276D"/>
    <w:rsid w:val="00B728F2"/>
    <w:rsid w:val="00B72ACC"/>
    <w:rsid w:val="00B72F7A"/>
    <w:rsid w:val="00B7300E"/>
    <w:rsid w:val="00B73826"/>
    <w:rsid w:val="00B73938"/>
    <w:rsid w:val="00B73A32"/>
    <w:rsid w:val="00B73D0E"/>
    <w:rsid w:val="00B73D5A"/>
    <w:rsid w:val="00B73E96"/>
    <w:rsid w:val="00B73FD4"/>
    <w:rsid w:val="00B74157"/>
    <w:rsid w:val="00B74387"/>
    <w:rsid w:val="00B7445C"/>
    <w:rsid w:val="00B7453F"/>
    <w:rsid w:val="00B747C3"/>
    <w:rsid w:val="00B7481E"/>
    <w:rsid w:val="00B74865"/>
    <w:rsid w:val="00B748D2"/>
    <w:rsid w:val="00B74BA2"/>
    <w:rsid w:val="00B74DA9"/>
    <w:rsid w:val="00B74DF0"/>
    <w:rsid w:val="00B752FF"/>
    <w:rsid w:val="00B753CE"/>
    <w:rsid w:val="00B753F1"/>
    <w:rsid w:val="00B7552D"/>
    <w:rsid w:val="00B758C4"/>
    <w:rsid w:val="00B75AC7"/>
    <w:rsid w:val="00B75D14"/>
    <w:rsid w:val="00B75F02"/>
    <w:rsid w:val="00B760F3"/>
    <w:rsid w:val="00B7619C"/>
    <w:rsid w:val="00B7620F"/>
    <w:rsid w:val="00B762A5"/>
    <w:rsid w:val="00B76470"/>
    <w:rsid w:val="00B76595"/>
    <w:rsid w:val="00B769EF"/>
    <w:rsid w:val="00B76B7B"/>
    <w:rsid w:val="00B76B9C"/>
    <w:rsid w:val="00B76D43"/>
    <w:rsid w:val="00B76DAD"/>
    <w:rsid w:val="00B76EA2"/>
    <w:rsid w:val="00B76F21"/>
    <w:rsid w:val="00B76FB0"/>
    <w:rsid w:val="00B770AB"/>
    <w:rsid w:val="00B77147"/>
    <w:rsid w:val="00B7729E"/>
    <w:rsid w:val="00B77412"/>
    <w:rsid w:val="00B775CA"/>
    <w:rsid w:val="00B776F4"/>
    <w:rsid w:val="00B77940"/>
    <w:rsid w:val="00B77A1C"/>
    <w:rsid w:val="00B77D38"/>
    <w:rsid w:val="00B77D66"/>
    <w:rsid w:val="00B77D86"/>
    <w:rsid w:val="00B77E7F"/>
    <w:rsid w:val="00B80018"/>
    <w:rsid w:val="00B8021B"/>
    <w:rsid w:val="00B8059A"/>
    <w:rsid w:val="00B8088B"/>
    <w:rsid w:val="00B8094C"/>
    <w:rsid w:val="00B80A2E"/>
    <w:rsid w:val="00B80D30"/>
    <w:rsid w:val="00B81001"/>
    <w:rsid w:val="00B813F2"/>
    <w:rsid w:val="00B816BF"/>
    <w:rsid w:val="00B81B36"/>
    <w:rsid w:val="00B81CB8"/>
    <w:rsid w:val="00B81D0B"/>
    <w:rsid w:val="00B81E75"/>
    <w:rsid w:val="00B81EDD"/>
    <w:rsid w:val="00B820CD"/>
    <w:rsid w:val="00B82141"/>
    <w:rsid w:val="00B821A8"/>
    <w:rsid w:val="00B82326"/>
    <w:rsid w:val="00B82345"/>
    <w:rsid w:val="00B826CE"/>
    <w:rsid w:val="00B826F5"/>
    <w:rsid w:val="00B827BC"/>
    <w:rsid w:val="00B82869"/>
    <w:rsid w:val="00B828C3"/>
    <w:rsid w:val="00B828E6"/>
    <w:rsid w:val="00B82A5E"/>
    <w:rsid w:val="00B82AFF"/>
    <w:rsid w:val="00B82C75"/>
    <w:rsid w:val="00B830D9"/>
    <w:rsid w:val="00B8348B"/>
    <w:rsid w:val="00B836B4"/>
    <w:rsid w:val="00B8377D"/>
    <w:rsid w:val="00B8378E"/>
    <w:rsid w:val="00B837E4"/>
    <w:rsid w:val="00B83AD2"/>
    <w:rsid w:val="00B83C17"/>
    <w:rsid w:val="00B83C3A"/>
    <w:rsid w:val="00B83C3F"/>
    <w:rsid w:val="00B83C94"/>
    <w:rsid w:val="00B83E6F"/>
    <w:rsid w:val="00B83FFE"/>
    <w:rsid w:val="00B84127"/>
    <w:rsid w:val="00B841D8"/>
    <w:rsid w:val="00B845E3"/>
    <w:rsid w:val="00B84663"/>
    <w:rsid w:val="00B8485C"/>
    <w:rsid w:val="00B84879"/>
    <w:rsid w:val="00B848A4"/>
    <w:rsid w:val="00B848E2"/>
    <w:rsid w:val="00B848E6"/>
    <w:rsid w:val="00B849F9"/>
    <w:rsid w:val="00B84A36"/>
    <w:rsid w:val="00B84A7F"/>
    <w:rsid w:val="00B84ACC"/>
    <w:rsid w:val="00B84B54"/>
    <w:rsid w:val="00B84CF2"/>
    <w:rsid w:val="00B84D07"/>
    <w:rsid w:val="00B84DFD"/>
    <w:rsid w:val="00B84E3E"/>
    <w:rsid w:val="00B84E4C"/>
    <w:rsid w:val="00B84EC0"/>
    <w:rsid w:val="00B84FD0"/>
    <w:rsid w:val="00B85140"/>
    <w:rsid w:val="00B85272"/>
    <w:rsid w:val="00B8542B"/>
    <w:rsid w:val="00B85484"/>
    <w:rsid w:val="00B85496"/>
    <w:rsid w:val="00B857CA"/>
    <w:rsid w:val="00B85917"/>
    <w:rsid w:val="00B85A3E"/>
    <w:rsid w:val="00B85DAE"/>
    <w:rsid w:val="00B85E0A"/>
    <w:rsid w:val="00B8605D"/>
    <w:rsid w:val="00B86136"/>
    <w:rsid w:val="00B861D9"/>
    <w:rsid w:val="00B86323"/>
    <w:rsid w:val="00B863ED"/>
    <w:rsid w:val="00B86514"/>
    <w:rsid w:val="00B867F3"/>
    <w:rsid w:val="00B86868"/>
    <w:rsid w:val="00B869C2"/>
    <w:rsid w:val="00B86A6F"/>
    <w:rsid w:val="00B86CC7"/>
    <w:rsid w:val="00B86D55"/>
    <w:rsid w:val="00B87074"/>
    <w:rsid w:val="00B871F3"/>
    <w:rsid w:val="00B873CC"/>
    <w:rsid w:val="00B8766B"/>
    <w:rsid w:val="00B87845"/>
    <w:rsid w:val="00B87D2B"/>
    <w:rsid w:val="00B87D8F"/>
    <w:rsid w:val="00B87E82"/>
    <w:rsid w:val="00B90273"/>
    <w:rsid w:val="00B903EE"/>
    <w:rsid w:val="00B90468"/>
    <w:rsid w:val="00B906ED"/>
    <w:rsid w:val="00B907B3"/>
    <w:rsid w:val="00B908AE"/>
    <w:rsid w:val="00B909FE"/>
    <w:rsid w:val="00B90C9E"/>
    <w:rsid w:val="00B91327"/>
    <w:rsid w:val="00B9146B"/>
    <w:rsid w:val="00B91506"/>
    <w:rsid w:val="00B917B1"/>
    <w:rsid w:val="00B91A05"/>
    <w:rsid w:val="00B91D17"/>
    <w:rsid w:val="00B92128"/>
    <w:rsid w:val="00B921D5"/>
    <w:rsid w:val="00B9233B"/>
    <w:rsid w:val="00B9252F"/>
    <w:rsid w:val="00B925D6"/>
    <w:rsid w:val="00B92836"/>
    <w:rsid w:val="00B92866"/>
    <w:rsid w:val="00B928E6"/>
    <w:rsid w:val="00B92968"/>
    <w:rsid w:val="00B92B32"/>
    <w:rsid w:val="00B92D4B"/>
    <w:rsid w:val="00B92FE8"/>
    <w:rsid w:val="00B93154"/>
    <w:rsid w:val="00B93268"/>
    <w:rsid w:val="00B9327A"/>
    <w:rsid w:val="00B93423"/>
    <w:rsid w:val="00B934EB"/>
    <w:rsid w:val="00B93B6B"/>
    <w:rsid w:val="00B94057"/>
    <w:rsid w:val="00B94171"/>
    <w:rsid w:val="00B94246"/>
    <w:rsid w:val="00B94285"/>
    <w:rsid w:val="00B9434F"/>
    <w:rsid w:val="00B94674"/>
    <w:rsid w:val="00B94704"/>
    <w:rsid w:val="00B94715"/>
    <w:rsid w:val="00B949B5"/>
    <w:rsid w:val="00B94A9D"/>
    <w:rsid w:val="00B94C9F"/>
    <w:rsid w:val="00B94CE6"/>
    <w:rsid w:val="00B94CFB"/>
    <w:rsid w:val="00B94D1A"/>
    <w:rsid w:val="00B94E61"/>
    <w:rsid w:val="00B94E8C"/>
    <w:rsid w:val="00B94EF1"/>
    <w:rsid w:val="00B9513C"/>
    <w:rsid w:val="00B951CB"/>
    <w:rsid w:val="00B95339"/>
    <w:rsid w:val="00B953C0"/>
    <w:rsid w:val="00B95583"/>
    <w:rsid w:val="00B955FC"/>
    <w:rsid w:val="00B9563D"/>
    <w:rsid w:val="00B95D16"/>
    <w:rsid w:val="00B95F65"/>
    <w:rsid w:val="00B95FC3"/>
    <w:rsid w:val="00B96120"/>
    <w:rsid w:val="00B962BE"/>
    <w:rsid w:val="00B9631B"/>
    <w:rsid w:val="00B96324"/>
    <w:rsid w:val="00B96327"/>
    <w:rsid w:val="00B96438"/>
    <w:rsid w:val="00B966F5"/>
    <w:rsid w:val="00B96777"/>
    <w:rsid w:val="00B96886"/>
    <w:rsid w:val="00B96B72"/>
    <w:rsid w:val="00B96C2B"/>
    <w:rsid w:val="00B96C43"/>
    <w:rsid w:val="00B96CB5"/>
    <w:rsid w:val="00B96D31"/>
    <w:rsid w:val="00B96D65"/>
    <w:rsid w:val="00B96DB0"/>
    <w:rsid w:val="00B96DC9"/>
    <w:rsid w:val="00B96F0F"/>
    <w:rsid w:val="00B96F86"/>
    <w:rsid w:val="00B9713D"/>
    <w:rsid w:val="00B97162"/>
    <w:rsid w:val="00B9731B"/>
    <w:rsid w:val="00B976BF"/>
    <w:rsid w:val="00B976C4"/>
    <w:rsid w:val="00B97853"/>
    <w:rsid w:val="00B97862"/>
    <w:rsid w:val="00B9788F"/>
    <w:rsid w:val="00B97B18"/>
    <w:rsid w:val="00B97B26"/>
    <w:rsid w:val="00B97F3F"/>
    <w:rsid w:val="00B97FE3"/>
    <w:rsid w:val="00BA00F2"/>
    <w:rsid w:val="00BA022B"/>
    <w:rsid w:val="00BA02CE"/>
    <w:rsid w:val="00BA046E"/>
    <w:rsid w:val="00BA049E"/>
    <w:rsid w:val="00BA0507"/>
    <w:rsid w:val="00BA0527"/>
    <w:rsid w:val="00BA07C8"/>
    <w:rsid w:val="00BA08BA"/>
    <w:rsid w:val="00BA08EC"/>
    <w:rsid w:val="00BA0A98"/>
    <w:rsid w:val="00BA0ACB"/>
    <w:rsid w:val="00BA0B3D"/>
    <w:rsid w:val="00BA0F90"/>
    <w:rsid w:val="00BA0FB3"/>
    <w:rsid w:val="00BA0FE7"/>
    <w:rsid w:val="00BA1172"/>
    <w:rsid w:val="00BA1194"/>
    <w:rsid w:val="00BA15FD"/>
    <w:rsid w:val="00BA1924"/>
    <w:rsid w:val="00BA1994"/>
    <w:rsid w:val="00BA19B2"/>
    <w:rsid w:val="00BA1C9D"/>
    <w:rsid w:val="00BA1E64"/>
    <w:rsid w:val="00BA1F50"/>
    <w:rsid w:val="00BA23A3"/>
    <w:rsid w:val="00BA254E"/>
    <w:rsid w:val="00BA2563"/>
    <w:rsid w:val="00BA2663"/>
    <w:rsid w:val="00BA2AEA"/>
    <w:rsid w:val="00BA2F9D"/>
    <w:rsid w:val="00BA30F0"/>
    <w:rsid w:val="00BA3145"/>
    <w:rsid w:val="00BA31B7"/>
    <w:rsid w:val="00BA32B1"/>
    <w:rsid w:val="00BA32C2"/>
    <w:rsid w:val="00BA32C9"/>
    <w:rsid w:val="00BA3388"/>
    <w:rsid w:val="00BA35AD"/>
    <w:rsid w:val="00BA39C6"/>
    <w:rsid w:val="00BA3B5C"/>
    <w:rsid w:val="00BA3B85"/>
    <w:rsid w:val="00BA3D8F"/>
    <w:rsid w:val="00BA3F5D"/>
    <w:rsid w:val="00BA41E4"/>
    <w:rsid w:val="00BA427D"/>
    <w:rsid w:val="00BA427E"/>
    <w:rsid w:val="00BA4332"/>
    <w:rsid w:val="00BA438E"/>
    <w:rsid w:val="00BA46E1"/>
    <w:rsid w:val="00BA477F"/>
    <w:rsid w:val="00BA4829"/>
    <w:rsid w:val="00BA48F2"/>
    <w:rsid w:val="00BA4973"/>
    <w:rsid w:val="00BA4A63"/>
    <w:rsid w:val="00BA4C7B"/>
    <w:rsid w:val="00BA4FF9"/>
    <w:rsid w:val="00BA50F5"/>
    <w:rsid w:val="00BA5123"/>
    <w:rsid w:val="00BA53BE"/>
    <w:rsid w:val="00BA5427"/>
    <w:rsid w:val="00BA550B"/>
    <w:rsid w:val="00BA57DE"/>
    <w:rsid w:val="00BA5930"/>
    <w:rsid w:val="00BA5D74"/>
    <w:rsid w:val="00BA5E85"/>
    <w:rsid w:val="00BA5ED5"/>
    <w:rsid w:val="00BA5F83"/>
    <w:rsid w:val="00BA60DC"/>
    <w:rsid w:val="00BA6136"/>
    <w:rsid w:val="00BA6171"/>
    <w:rsid w:val="00BA63CA"/>
    <w:rsid w:val="00BA63FD"/>
    <w:rsid w:val="00BA6528"/>
    <w:rsid w:val="00BA654C"/>
    <w:rsid w:val="00BA65B4"/>
    <w:rsid w:val="00BA65B5"/>
    <w:rsid w:val="00BA672E"/>
    <w:rsid w:val="00BA67B9"/>
    <w:rsid w:val="00BA6805"/>
    <w:rsid w:val="00BA6973"/>
    <w:rsid w:val="00BA698C"/>
    <w:rsid w:val="00BA69EF"/>
    <w:rsid w:val="00BA6BC5"/>
    <w:rsid w:val="00BA6D37"/>
    <w:rsid w:val="00BA6FB0"/>
    <w:rsid w:val="00BA709C"/>
    <w:rsid w:val="00BA70A3"/>
    <w:rsid w:val="00BA7101"/>
    <w:rsid w:val="00BA7140"/>
    <w:rsid w:val="00BA715C"/>
    <w:rsid w:val="00BA7465"/>
    <w:rsid w:val="00BA761F"/>
    <w:rsid w:val="00BA7A00"/>
    <w:rsid w:val="00BA7A90"/>
    <w:rsid w:val="00BA7B4E"/>
    <w:rsid w:val="00BA7BE2"/>
    <w:rsid w:val="00BA7D13"/>
    <w:rsid w:val="00BA7EDC"/>
    <w:rsid w:val="00BB00BB"/>
    <w:rsid w:val="00BB0215"/>
    <w:rsid w:val="00BB0505"/>
    <w:rsid w:val="00BB06B1"/>
    <w:rsid w:val="00BB06E4"/>
    <w:rsid w:val="00BB0837"/>
    <w:rsid w:val="00BB0B7C"/>
    <w:rsid w:val="00BB0D68"/>
    <w:rsid w:val="00BB0D6B"/>
    <w:rsid w:val="00BB0E8F"/>
    <w:rsid w:val="00BB103C"/>
    <w:rsid w:val="00BB10DD"/>
    <w:rsid w:val="00BB125B"/>
    <w:rsid w:val="00BB1373"/>
    <w:rsid w:val="00BB1576"/>
    <w:rsid w:val="00BB15DA"/>
    <w:rsid w:val="00BB19AB"/>
    <w:rsid w:val="00BB19FA"/>
    <w:rsid w:val="00BB1C50"/>
    <w:rsid w:val="00BB1D62"/>
    <w:rsid w:val="00BB1F29"/>
    <w:rsid w:val="00BB1F89"/>
    <w:rsid w:val="00BB2307"/>
    <w:rsid w:val="00BB23E1"/>
    <w:rsid w:val="00BB2524"/>
    <w:rsid w:val="00BB2526"/>
    <w:rsid w:val="00BB2689"/>
    <w:rsid w:val="00BB294E"/>
    <w:rsid w:val="00BB29A6"/>
    <w:rsid w:val="00BB2AF4"/>
    <w:rsid w:val="00BB2BFF"/>
    <w:rsid w:val="00BB2D2A"/>
    <w:rsid w:val="00BB2D99"/>
    <w:rsid w:val="00BB2E5E"/>
    <w:rsid w:val="00BB2F2C"/>
    <w:rsid w:val="00BB2FA1"/>
    <w:rsid w:val="00BB3092"/>
    <w:rsid w:val="00BB310F"/>
    <w:rsid w:val="00BB3196"/>
    <w:rsid w:val="00BB31BE"/>
    <w:rsid w:val="00BB3296"/>
    <w:rsid w:val="00BB33A4"/>
    <w:rsid w:val="00BB34AA"/>
    <w:rsid w:val="00BB35B5"/>
    <w:rsid w:val="00BB3622"/>
    <w:rsid w:val="00BB3675"/>
    <w:rsid w:val="00BB38C5"/>
    <w:rsid w:val="00BB39DA"/>
    <w:rsid w:val="00BB39DE"/>
    <w:rsid w:val="00BB3B95"/>
    <w:rsid w:val="00BB3BAE"/>
    <w:rsid w:val="00BB3BB1"/>
    <w:rsid w:val="00BB3BED"/>
    <w:rsid w:val="00BB3C53"/>
    <w:rsid w:val="00BB3CE5"/>
    <w:rsid w:val="00BB416C"/>
    <w:rsid w:val="00BB4269"/>
    <w:rsid w:val="00BB42A8"/>
    <w:rsid w:val="00BB42EB"/>
    <w:rsid w:val="00BB4495"/>
    <w:rsid w:val="00BB488E"/>
    <w:rsid w:val="00BB48EE"/>
    <w:rsid w:val="00BB4BC0"/>
    <w:rsid w:val="00BB4D45"/>
    <w:rsid w:val="00BB4D62"/>
    <w:rsid w:val="00BB4DB4"/>
    <w:rsid w:val="00BB511F"/>
    <w:rsid w:val="00BB56F7"/>
    <w:rsid w:val="00BB57BE"/>
    <w:rsid w:val="00BB5884"/>
    <w:rsid w:val="00BB5B57"/>
    <w:rsid w:val="00BB5C1C"/>
    <w:rsid w:val="00BB5DBB"/>
    <w:rsid w:val="00BB5E4A"/>
    <w:rsid w:val="00BB5E9F"/>
    <w:rsid w:val="00BB6083"/>
    <w:rsid w:val="00BB6139"/>
    <w:rsid w:val="00BB6208"/>
    <w:rsid w:val="00BB629D"/>
    <w:rsid w:val="00BB633C"/>
    <w:rsid w:val="00BB63C2"/>
    <w:rsid w:val="00BB647C"/>
    <w:rsid w:val="00BB657D"/>
    <w:rsid w:val="00BB6851"/>
    <w:rsid w:val="00BB6886"/>
    <w:rsid w:val="00BB692A"/>
    <w:rsid w:val="00BB6A28"/>
    <w:rsid w:val="00BB6AC5"/>
    <w:rsid w:val="00BB6B6C"/>
    <w:rsid w:val="00BB6C2E"/>
    <w:rsid w:val="00BB6D02"/>
    <w:rsid w:val="00BB6D75"/>
    <w:rsid w:val="00BB6F4E"/>
    <w:rsid w:val="00BB70FF"/>
    <w:rsid w:val="00BB7224"/>
    <w:rsid w:val="00BB7252"/>
    <w:rsid w:val="00BB7271"/>
    <w:rsid w:val="00BB7274"/>
    <w:rsid w:val="00BB7464"/>
    <w:rsid w:val="00BB77BA"/>
    <w:rsid w:val="00BB7894"/>
    <w:rsid w:val="00BB7AD7"/>
    <w:rsid w:val="00BB7B61"/>
    <w:rsid w:val="00BB7BB1"/>
    <w:rsid w:val="00BB7D27"/>
    <w:rsid w:val="00BB7D50"/>
    <w:rsid w:val="00BB7EDB"/>
    <w:rsid w:val="00BB7EE9"/>
    <w:rsid w:val="00BB7F76"/>
    <w:rsid w:val="00BC0083"/>
    <w:rsid w:val="00BC0088"/>
    <w:rsid w:val="00BC00EA"/>
    <w:rsid w:val="00BC0102"/>
    <w:rsid w:val="00BC010B"/>
    <w:rsid w:val="00BC048A"/>
    <w:rsid w:val="00BC0865"/>
    <w:rsid w:val="00BC0B58"/>
    <w:rsid w:val="00BC0BF3"/>
    <w:rsid w:val="00BC0CB7"/>
    <w:rsid w:val="00BC0CDB"/>
    <w:rsid w:val="00BC0CE2"/>
    <w:rsid w:val="00BC0E7A"/>
    <w:rsid w:val="00BC0EE9"/>
    <w:rsid w:val="00BC106C"/>
    <w:rsid w:val="00BC12E4"/>
    <w:rsid w:val="00BC130A"/>
    <w:rsid w:val="00BC1400"/>
    <w:rsid w:val="00BC159E"/>
    <w:rsid w:val="00BC1603"/>
    <w:rsid w:val="00BC17F5"/>
    <w:rsid w:val="00BC1CF5"/>
    <w:rsid w:val="00BC1EA4"/>
    <w:rsid w:val="00BC2194"/>
    <w:rsid w:val="00BC225E"/>
    <w:rsid w:val="00BC261E"/>
    <w:rsid w:val="00BC26B9"/>
    <w:rsid w:val="00BC2786"/>
    <w:rsid w:val="00BC2A90"/>
    <w:rsid w:val="00BC2ACD"/>
    <w:rsid w:val="00BC2C6E"/>
    <w:rsid w:val="00BC2D4D"/>
    <w:rsid w:val="00BC2FB3"/>
    <w:rsid w:val="00BC32C5"/>
    <w:rsid w:val="00BC3315"/>
    <w:rsid w:val="00BC3525"/>
    <w:rsid w:val="00BC35A8"/>
    <w:rsid w:val="00BC36EC"/>
    <w:rsid w:val="00BC37ED"/>
    <w:rsid w:val="00BC38CD"/>
    <w:rsid w:val="00BC38F2"/>
    <w:rsid w:val="00BC38F8"/>
    <w:rsid w:val="00BC3A16"/>
    <w:rsid w:val="00BC3B87"/>
    <w:rsid w:val="00BC3C80"/>
    <w:rsid w:val="00BC3DBB"/>
    <w:rsid w:val="00BC427A"/>
    <w:rsid w:val="00BC43F7"/>
    <w:rsid w:val="00BC45E6"/>
    <w:rsid w:val="00BC4659"/>
    <w:rsid w:val="00BC484C"/>
    <w:rsid w:val="00BC48D8"/>
    <w:rsid w:val="00BC48DE"/>
    <w:rsid w:val="00BC4B26"/>
    <w:rsid w:val="00BC4B72"/>
    <w:rsid w:val="00BC4C72"/>
    <w:rsid w:val="00BC51B5"/>
    <w:rsid w:val="00BC51C2"/>
    <w:rsid w:val="00BC52F0"/>
    <w:rsid w:val="00BC53E6"/>
    <w:rsid w:val="00BC5DE0"/>
    <w:rsid w:val="00BC5EF2"/>
    <w:rsid w:val="00BC61A2"/>
    <w:rsid w:val="00BC61EE"/>
    <w:rsid w:val="00BC626A"/>
    <w:rsid w:val="00BC6275"/>
    <w:rsid w:val="00BC6294"/>
    <w:rsid w:val="00BC6355"/>
    <w:rsid w:val="00BC63D4"/>
    <w:rsid w:val="00BC6C3D"/>
    <w:rsid w:val="00BC6E09"/>
    <w:rsid w:val="00BC6EC2"/>
    <w:rsid w:val="00BC6ED3"/>
    <w:rsid w:val="00BC70E2"/>
    <w:rsid w:val="00BC710B"/>
    <w:rsid w:val="00BC7120"/>
    <w:rsid w:val="00BC724A"/>
    <w:rsid w:val="00BC72B4"/>
    <w:rsid w:val="00BC75B2"/>
    <w:rsid w:val="00BC7603"/>
    <w:rsid w:val="00BC78DD"/>
    <w:rsid w:val="00BC78E0"/>
    <w:rsid w:val="00BC7C24"/>
    <w:rsid w:val="00BC7D2C"/>
    <w:rsid w:val="00BC7DB9"/>
    <w:rsid w:val="00BC7E81"/>
    <w:rsid w:val="00BC7EC2"/>
    <w:rsid w:val="00BD020C"/>
    <w:rsid w:val="00BD0211"/>
    <w:rsid w:val="00BD04B6"/>
    <w:rsid w:val="00BD0594"/>
    <w:rsid w:val="00BD0621"/>
    <w:rsid w:val="00BD06A3"/>
    <w:rsid w:val="00BD07D4"/>
    <w:rsid w:val="00BD08A6"/>
    <w:rsid w:val="00BD0BEC"/>
    <w:rsid w:val="00BD0BFC"/>
    <w:rsid w:val="00BD0C81"/>
    <w:rsid w:val="00BD0CBB"/>
    <w:rsid w:val="00BD0F05"/>
    <w:rsid w:val="00BD10A2"/>
    <w:rsid w:val="00BD1167"/>
    <w:rsid w:val="00BD1379"/>
    <w:rsid w:val="00BD14F6"/>
    <w:rsid w:val="00BD170A"/>
    <w:rsid w:val="00BD17BF"/>
    <w:rsid w:val="00BD17C5"/>
    <w:rsid w:val="00BD185F"/>
    <w:rsid w:val="00BD1DFE"/>
    <w:rsid w:val="00BD20E0"/>
    <w:rsid w:val="00BD222D"/>
    <w:rsid w:val="00BD2331"/>
    <w:rsid w:val="00BD23E5"/>
    <w:rsid w:val="00BD255A"/>
    <w:rsid w:val="00BD25B7"/>
    <w:rsid w:val="00BD25D8"/>
    <w:rsid w:val="00BD26C0"/>
    <w:rsid w:val="00BD28DA"/>
    <w:rsid w:val="00BD2ACC"/>
    <w:rsid w:val="00BD2BA0"/>
    <w:rsid w:val="00BD2D0F"/>
    <w:rsid w:val="00BD2D1F"/>
    <w:rsid w:val="00BD2EFC"/>
    <w:rsid w:val="00BD2FC5"/>
    <w:rsid w:val="00BD301E"/>
    <w:rsid w:val="00BD313D"/>
    <w:rsid w:val="00BD325D"/>
    <w:rsid w:val="00BD32E0"/>
    <w:rsid w:val="00BD32EA"/>
    <w:rsid w:val="00BD332C"/>
    <w:rsid w:val="00BD33A7"/>
    <w:rsid w:val="00BD350E"/>
    <w:rsid w:val="00BD3519"/>
    <w:rsid w:val="00BD38FE"/>
    <w:rsid w:val="00BD3D25"/>
    <w:rsid w:val="00BD3E25"/>
    <w:rsid w:val="00BD3E5A"/>
    <w:rsid w:val="00BD3F2C"/>
    <w:rsid w:val="00BD4012"/>
    <w:rsid w:val="00BD4021"/>
    <w:rsid w:val="00BD40B5"/>
    <w:rsid w:val="00BD41A0"/>
    <w:rsid w:val="00BD427C"/>
    <w:rsid w:val="00BD43A1"/>
    <w:rsid w:val="00BD43E1"/>
    <w:rsid w:val="00BD4463"/>
    <w:rsid w:val="00BD44AF"/>
    <w:rsid w:val="00BD4522"/>
    <w:rsid w:val="00BD462F"/>
    <w:rsid w:val="00BD4675"/>
    <w:rsid w:val="00BD48F7"/>
    <w:rsid w:val="00BD497C"/>
    <w:rsid w:val="00BD4E5F"/>
    <w:rsid w:val="00BD509E"/>
    <w:rsid w:val="00BD50DF"/>
    <w:rsid w:val="00BD540A"/>
    <w:rsid w:val="00BD5720"/>
    <w:rsid w:val="00BD577D"/>
    <w:rsid w:val="00BD5797"/>
    <w:rsid w:val="00BD57B8"/>
    <w:rsid w:val="00BD5863"/>
    <w:rsid w:val="00BD58C2"/>
    <w:rsid w:val="00BD5A45"/>
    <w:rsid w:val="00BD5B02"/>
    <w:rsid w:val="00BD5B08"/>
    <w:rsid w:val="00BD5BBB"/>
    <w:rsid w:val="00BD5D27"/>
    <w:rsid w:val="00BD6053"/>
    <w:rsid w:val="00BD637B"/>
    <w:rsid w:val="00BD668A"/>
    <w:rsid w:val="00BD687D"/>
    <w:rsid w:val="00BD6BA9"/>
    <w:rsid w:val="00BD6C68"/>
    <w:rsid w:val="00BD6E06"/>
    <w:rsid w:val="00BD6EBE"/>
    <w:rsid w:val="00BD7252"/>
    <w:rsid w:val="00BD72D3"/>
    <w:rsid w:val="00BD7407"/>
    <w:rsid w:val="00BD75C6"/>
    <w:rsid w:val="00BD7721"/>
    <w:rsid w:val="00BD7832"/>
    <w:rsid w:val="00BD79FC"/>
    <w:rsid w:val="00BD7E83"/>
    <w:rsid w:val="00BD7EF6"/>
    <w:rsid w:val="00BD7FAE"/>
    <w:rsid w:val="00BE004D"/>
    <w:rsid w:val="00BE0277"/>
    <w:rsid w:val="00BE029A"/>
    <w:rsid w:val="00BE0379"/>
    <w:rsid w:val="00BE03C9"/>
    <w:rsid w:val="00BE042E"/>
    <w:rsid w:val="00BE08E1"/>
    <w:rsid w:val="00BE099D"/>
    <w:rsid w:val="00BE0B41"/>
    <w:rsid w:val="00BE0E6A"/>
    <w:rsid w:val="00BE0F01"/>
    <w:rsid w:val="00BE0F75"/>
    <w:rsid w:val="00BE1348"/>
    <w:rsid w:val="00BE13BA"/>
    <w:rsid w:val="00BE148A"/>
    <w:rsid w:val="00BE15A9"/>
    <w:rsid w:val="00BE161A"/>
    <w:rsid w:val="00BE18BB"/>
    <w:rsid w:val="00BE1AE6"/>
    <w:rsid w:val="00BE1C16"/>
    <w:rsid w:val="00BE206D"/>
    <w:rsid w:val="00BE2073"/>
    <w:rsid w:val="00BE23CB"/>
    <w:rsid w:val="00BE2489"/>
    <w:rsid w:val="00BE27A5"/>
    <w:rsid w:val="00BE27AB"/>
    <w:rsid w:val="00BE2CC6"/>
    <w:rsid w:val="00BE2FCC"/>
    <w:rsid w:val="00BE314D"/>
    <w:rsid w:val="00BE352B"/>
    <w:rsid w:val="00BE3640"/>
    <w:rsid w:val="00BE3876"/>
    <w:rsid w:val="00BE38E0"/>
    <w:rsid w:val="00BE3A5D"/>
    <w:rsid w:val="00BE3BD8"/>
    <w:rsid w:val="00BE3CD6"/>
    <w:rsid w:val="00BE3E21"/>
    <w:rsid w:val="00BE3E3D"/>
    <w:rsid w:val="00BE3F8F"/>
    <w:rsid w:val="00BE42DB"/>
    <w:rsid w:val="00BE432A"/>
    <w:rsid w:val="00BE43A7"/>
    <w:rsid w:val="00BE43C6"/>
    <w:rsid w:val="00BE43D3"/>
    <w:rsid w:val="00BE4587"/>
    <w:rsid w:val="00BE46A5"/>
    <w:rsid w:val="00BE4787"/>
    <w:rsid w:val="00BE4C60"/>
    <w:rsid w:val="00BE4CBA"/>
    <w:rsid w:val="00BE4D4B"/>
    <w:rsid w:val="00BE4EAA"/>
    <w:rsid w:val="00BE507B"/>
    <w:rsid w:val="00BE507D"/>
    <w:rsid w:val="00BE513A"/>
    <w:rsid w:val="00BE523D"/>
    <w:rsid w:val="00BE5263"/>
    <w:rsid w:val="00BE542B"/>
    <w:rsid w:val="00BE55A9"/>
    <w:rsid w:val="00BE57D2"/>
    <w:rsid w:val="00BE57FB"/>
    <w:rsid w:val="00BE58DA"/>
    <w:rsid w:val="00BE59D5"/>
    <w:rsid w:val="00BE5AE5"/>
    <w:rsid w:val="00BE5DE3"/>
    <w:rsid w:val="00BE60E7"/>
    <w:rsid w:val="00BE61C7"/>
    <w:rsid w:val="00BE6257"/>
    <w:rsid w:val="00BE63CA"/>
    <w:rsid w:val="00BE64BF"/>
    <w:rsid w:val="00BE6522"/>
    <w:rsid w:val="00BE6548"/>
    <w:rsid w:val="00BE66E4"/>
    <w:rsid w:val="00BE6C52"/>
    <w:rsid w:val="00BE6C85"/>
    <w:rsid w:val="00BE6E56"/>
    <w:rsid w:val="00BE70E7"/>
    <w:rsid w:val="00BE72AE"/>
    <w:rsid w:val="00BE740C"/>
    <w:rsid w:val="00BE74F8"/>
    <w:rsid w:val="00BE75B2"/>
    <w:rsid w:val="00BE75FD"/>
    <w:rsid w:val="00BE766B"/>
    <w:rsid w:val="00BE767C"/>
    <w:rsid w:val="00BE7777"/>
    <w:rsid w:val="00BE7995"/>
    <w:rsid w:val="00BE7BB3"/>
    <w:rsid w:val="00BE7D41"/>
    <w:rsid w:val="00BE7F20"/>
    <w:rsid w:val="00BF0049"/>
    <w:rsid w:val="00BF0220"/>
    <w:rsid w:val="00BF034A"/>
    <w:rsid w:val="00BF0587"/>
    <w:rsid w:val="00BF05B2"/>
    <w:rsid w:val="00BF07EF"/>
    <w:rsid w:val="00BF07F8"/>
    <w:rsid w:val="00BF08CD"/>
    <w:rsid w:val="00BF0A03"/>
    <w:rsid w:val="00BF0DAD"/>
    <w:rsid w:val="00BF0E35"/>
    <w:rsid w:val="00BF1279"/>
    <w:rsid w:val="00BF1550"/>
    <w:rsid w:val="00BF166A"/>
    <w:rsid w:val="00BF184A"/>
    <w:rsid w:val="00BF184D"/>
    <w:rsid w:val="00BF1A00"/>
    <w:rsid w:val="00BF1AE4"/>
    <w:rsid w:val="00BF1B67"/>
    <w:rsid w:val="00BF1F15"/>
    <w:rsid w:val="00BF209C"/>
    <w:rsid w:val="00BF2122"/>
    <w:rsid w:val="00BF2411"/>
    <w:rsid w:val="00BF2708"/>
    <w:rsid w:val="00BF273B"/>
    <w:rsid w:val="00BF2798"/>
    <w:rsid w:val="00BF286B"/>
    <w:rsid w:val="00BF28FB"/>
    <w:rsid w:val="00BF2A0C"/>
    <w:rsid w:val="00BF2A85"/>
    <w:rsid w:val="00BF3074"/>
    <w:rsid w:val="00BF31D2"/>
    <w:rsid w:val="00BF31F7"/>
    <w:rsid w:val="00BF3218"/>
    <w:rsid w:val="00BF329F"/>
    <w:rsid w:val="00BF32A1"/>
    <w:rsid w:val="00BF3411"/>
    <w:rsid w:val="00BF3489"/>
    <w:rsid w:val="00BF35E9"/>
    <w:rsid w:val="00BF36C7"/>
    <w:rsid w:val="00BF3827"/>
    <w:rsid w:val="00BF38D2"/>
    <w:rsid w:val="00BF3A34"/>
    <w:rsid w:val="00BF3C3E"/>
    <w:rsid w:val="00BF3CE1"/>
    <w:rsid w:val="00BF3D55"/>
    <w:rsid w:val="00BF3E17"/>
    <w:rsid w:val="00BF4121"/>
    <w:rsid w:val="00BF43D7"/>
    <w:rsid w:val="00BF43F8"/>
    <w:rsid w:val="00BF4419"/>
    <w:rsid w:val="00BF4591"/>
    <w:rsid w:val="00BF4602"/>
    <w:rsid w:val="00BF4751"/>
    <w:rsid w:val="00BF4780"/>
    <w:rsid w:val="00BF4890"/>
    <w:rsid w:val="00BF4A49"/>
    <w:rsid w:val="00BF4AB4"/>
    <w:rsid w:val="00BF4AB7"/>
    <w:rsid w:val="00BF4AB9"/>
    <w:rsid w:val="00BF4D05"/>
    <w:rsid w:val="00BF4F09"/>
    <w:rsid w:val="00BF4F97"/>
    <w:rsid w:val="00BF50F6"/>
    <w:rsid w:val="00BF53A1"/>
    <w:rsid w:val="00BF553D"/>
    <w:rsid w:val="00BF5791"/>
    <w:rsid w:val="00BF57BA"/>
    <w:rsid w:val="00BF5973"/>
    <w:rsid w:val="00BF59DF"/>
    <w:rsid w:val="00BF5A3E"/>
    <w:rsid w:val="00BF5B32"/>
    <w:rsid w:val="00BF5F1F"/>
    <w:rsid w:val="00BF5F56"/>
    <w:rsid w:val="00BF6023"/>
    <w:rsid w:val="00BF602A"/>
    <w:rsid w:val="00BF605F"/>
    <w:rsid w:val="00BF6093"/>
    <w:rsid w:val="00BF6153"/>
    <w:rsid w:val="00BF6320"/>
    <w:rsid w:val="00BF6346"/>
    <w:rsid w:val="00BF64CC"/>
    <w:rsid w:val="00BF6617"/>
    <w:rsid w:val="00BF6865"/>
    <w:rsid w:val="00BF690A"/>
    <w:rsid w:val="00BF6D5E"/>
    <w:rsid w:val="00BF6D7A"/>
    <w:rsid w:val="00BF6E83"/>
    <w:rsid w:val="00BF74D1"/>
    <w:rsid w:val="00BF75EA"/>
    <w:rsid w:val="00BF7824"/>
    <w:rsid w:val="00BF7AA3"/>
    <w:rsid w:val="00BF7C31"/>
    <w:rsid w:val="00BF7CD8"/>
    <w:rsid w:val="00BF7D7C"/>
    <w:rsid w:val="00C0029B"/>
    <w:rsid w:val="00C003AC"/>
    <w:rsid w:val="00C00480"/>
    <w:rsid w:val="00C006D4"/>
    <w:rsid w:val="00C00986"/>
    <w:rsid w:val="00C00D4D"/>
    <w:rsid w:val="00C00D92"/>
    <w:rsid w:val="00C00F6A"/>
    <w:rsid w:val="00C014AF"/>
    <w:rsid w:val="00C016E4"/>
    <w:rsid w:val="00C01701"/>
    <w:rsid w:val="00C01723"/>
    <w:rsid w:val="00C0194A"/>
    <w:rsid w:val="00C01961"/>
    <w:rsid w:val="00C01967"/>
    <w:rsid w:val="00C01CDA"/>
    <w:rsid w:val="00C01FBA"/>
    <w:rsid w:val="00C020F3"/>
    <w:rsid w:val="00C021B6"/>
    <w:rsid w:val="00C02282"/>
    <w:rsid w:val="00C02495"/>
    <w:rsid w:val="00C024E7"/>
    <w:rsid w:val="00C02A2C"/>
    <w:rsid w:val="00C02B76"/>
    <w:rsid w:val="00C02C0D"/>
    <w:rsid w:val="00C02FC5"/>
    <w:rsid w:val="00C0307E"/>
    <w:rsid w:val="00C03350"/>
    <w:rsid w:val="00C0347F"/>
    <w:rsid w:val="00C03497"/>
    <w:rsid w:val="00C036BF"/>
    <w:rsid w:val="00C03814"/>
    <w:rsid w:val="00C038CF"/>
    <w:rsid w:val="00C03AE6"/>
    <w:rsid w:val="00C03B4D"/>
    <w:rsid w:val="00C03C49"/>
    <w:rsid w:val="00C03E87"/>
    <w:rsid w:val="00C03EA0"/>
    <w:rsid w:val="00C04161"/>
    <w:rsid w:val="00C04186"/>
    <w:rsid w:val="00C04210"/>
    <w:rsid w:val="00C0421C"/>
    <w:rsid w:val="00C04251"/>
    <w:rsid w:val="00C04498"/>
    <w:rsid w:val="00C04705"/>
    <w:rsid w:val="00C04923"/>
    <w:rsid w:val="00C04997"/>
    <w:rsid w:val="00C049CA"/>
    <w:rsid w:val="00C04D33"/>
    <w:rsid w:val="00C04D44"/>
    <w:rsid w:val="00C04E39"/>
    <w:rsid w:val="00C050A3"/>
    <w:rsid w:val="00C05314"/>
    <w:rsid w:val="00C05360"/>
    <w:rsid w:val="00C0539A"/>
    <w:rsid w:val="00C057F6"/>
    <w:rsid w:val="00C05A13"/>
    <w:rsid w:val="00C05AC6"/>
    <w:rsid w:val="00C05C71"/>
    <w:rsid w:val="00C05CF0"/>
    <w:rsid w:val="00C05E69"/>
    <w:rsid w:val="00C05E8F"/>
    <w:rsid w:val="00C06261"/>
    <w:rsid w:val="00C0646C"/>
    <w:rsid w:val="00C064C8"/>
    <w:rsid w:val="00C06772"/>
    <w:rsid w:val="00C06BFD"/>
    <w:rsid w:val="00C06E9D"/>
    <w:rsid w:val="00C06F45"/>
    <w:rsid w:val="00C0703E"/>
    <w:rsid w:val="00C0736A"/>
    <w:rsid w:val="00C07400"/>
    <w:rsid w:val="00C07568"/>
    <w:rsid w:val="00C075D4"/>
    <w:rsid w:val="00C0772F"/>
    <w:rsid w:val="00C07773"/>
    <w:rsid w:val="00C07864"/>
    <w:rsid w:val="00C07940"/>
    <w:rsid w:val="00C07A12"/>
    <w:rsid w:val="00C07AB6"/>
    <w:rsid w:val="00C07BB1"/>
    <w:rsid w:val="00C07C9B"/>
    <w:rsid w:val="00C07CAD"/>
    <w:rsid w:val="00C1009C"/>
    <w:rsid w:val="00C10300"/>
    <w:rsid w:val="00C10569"/>
    <w:rsid w:val="00C1062A"/>
    <w:rsid w:val="00C1064D"/>
    <w:rsid w:val="00C10737"/>
    <w:rsid w:val="00C10994"/>
    <w:rsid w:val="00C10A8B"/>
    <w:rsid w:val="00C10B4F"/>
    <w:rsid w:val="00C10BA5"/>
    <w:rsid w:val="00C10BC4"/>
    <w:rsid w:val="00C10C8E"/>
    <w:rsid w:val="00C10D48"/>
    <w:rsid w:val="00C10ECA"/>
    <w:rsid w:val="00C11166"/>
    <w:rsid w:val="00C11277"/>
    <w:rsid w:val="00C112A3"/>
    <w:rsid w:val="00C1144C"/>
    <w:rsid w:val="00C11900"/>
    <w:rsid w:val="00C11935"/>
    <w:rsid w:val="00C11B61"/>
    <w:rsid w:val="00C11BBA"/>
    <w:rsid w:val="00C11C11"/>
    <w:rsid w:val="00C11C3C"/>
    <w:rsid w:val="00C11FAC"/>
    <w:rsid w:val="00C1221D"/>
    <w:rsid w:val="00C122DA"/>
    <w:rsid w:val="00C12405"/>
    <w:rsid w:val="00C1241F"/>
    <w:rsid w:val="00C12927"/>
    <w:rsid w:val="00C12B3B"/>
    <w:rsid w:val="00C12C01"/>
    <w:rsid w:val="00C12D57"/>
    <w:rsid w:val="00C1322F"/>
    <w:rsid w:val="00C132FE"/>
    <w:rsid w:val="00C13452"/>
    <w:rsid w:val="00C134A8"/>
    <w:rsid w:val="00C13679"/>
    <w:rsid w:val="00C13746"/>
    <w:rsid w:val="00C13A18"/>
    <w:rsid w:val="00C13A7C"/>
    <w:rsid w:val="00C13E32"/>
    <w:rsid w:val="00C14151"/>
    <w:rsid w:val="00C143E4"/>
    <w:rsid w:val="00C14563"/>
    <w:rsid w:val="00C147EF"/>
    <w:rsid w:val="00C14814"/>
    <w:rsid w:val="00C148D8"/>
    <w:rsid w:val="00C151F2"/>
    <w:rsid w:val="00C1542C"/>
    <w:rsid w:val="00C154F9"/>
    <w:rsid w:val="00C15625"/>
    <w:rsid w:val="00C157A9"/>
    <w:rsid w:val="00C1581C"/>
    <w:rsid w:val="00C15896"/>
    <w:rsid w:val="00C159FD"/>
    <w:rsid w:val="00C15A0F"/>
    <w:rsid w:val="00C15CC4"/>
    <w:rsid w:val="00C16210"/>
    <w:rsid w:val="00C16226"/>
    <w:rsid w:val="00C1676F"/>
    <w:rsid w:val="00C168DB"/>
    <w:rsid w:val="00C16A43"/>
    <w:rsid w:val="00C16C15"/>
    <w:rsid w:val="00C16D6E"/>
    <w:rsid w:val="00C16F49"/>
    <w:rsid w:val="00C16FAD"/>
    <w:rsid w:val="00C170FB"/>
    <w:rsid w:val="00C171D4"/>
    <w:rsid w:val="00C17220"/>
    <w:rsid w:val="00C1764A"/>
    <w:rsid w:val="00C1780F"/>
    <w:rsid w:val="00C17A84"/>
    <w:rsid w:val="00C17BE9"/>
    <w:rsid w:val="00C17CC0"/>
    <w:rsid w:val="00C17D58"/>
    <w:rsid w:val="00C17DAB"/>
    <w:rsid w:val="00C2001E"/>
    <w:rsid w:val="00C20229"/>
    <w:rsid w:val="00C204B4"/>
    <w:rsid w:val="00C204C5"/>
    <w:rsid w:val="00C2059E"/>
    <w:rsid w:val="00C205A6"/>
    <w:rsid w:val="00C205D1"/>
    <w:rsid w:val="00C20A43"/>
    <w:rsid w:val="00C20F15"/>
    <w:rsid w:val="00C210A7"/>
    <w:rsid w:val="00C2122E"/>
    <w:rsid w:val="00C212E3"/>
    <w:rsid w:val="00C21302"/>
    <w:rsid w:val="00C21374"/>
    <w:rsid w:val="00C214DE"/>
    <w:rsid w:val="00C21763"/>
    <w:rsid w:val="00C217C9"/>
    <w:rsid w:val="00C217FE"/>
    <w:rsid w:val="00C2195D"/>
    <w:rsid w:val="00C21977"/>
    <w:rsid w:val="00C21B17"/>
    <w:rsid w:val="00C21D28"/>
    <w:rsid w:val="00C21D58"/>
    <w:rsid w:val="00C21E1B"/>
    <w:rsid w:val="00C21F85"/>
    <w:rsid w:val="00C223CF"/>
    <w:rsid w:val="00C224D5"/>
    <w:rsid w:val="00C22853"/>
    <w:rsid w:val="00C22884"/>
    <w:rsid w:val="00C22945"/>
    <w:rsid w:val="00C22B0F"/>
    <w:rsid w:val="00C22EA8"/>
    <w:rsid w:val="00C22EFA"/>
    <w:rsid w:val="00C22FE8"/>
    <w:rsid w:val="00C2349D"/>
    <w:rsid w:val="00C2364B"/>
    <w:rsid w:val="00C237E5"/>
    <w:rsid w:val="00C238C9"/>
    <w:rsid w:val="00C23A23"/>
    <w:rsid w:val="00C23ABC"/>
    <w:rsid w:val="00C23AC8"/>
    <w:rsid w:val="00C23C5F"/>
    <w:rsid w:val="00C23D5E"/>
    <w:rsid w:val="00C23E58"/>
    <w:rsid w:val="00C23EC7"/>
    <w:rsid w:val="00C24042"/>
    <w:rsid w:val="00C24091"/>
    <w:rsid w:val="00C24326"/>
    <w:rsid w:val="00C245F9"/>
    <w:rsid w:val="00C24794"/>
    <w:rsid w:val="00C247D2"/>
    <w:rsid w:val="00C248F1"/>
    <w:rsid w:val="00C24B66"/>
    <w:rsid w:val="00C24BDE"/>
    <w:rsid w:val="00C24C2E"/>
    <w:rsid w:val="00C24D07"/>
    <w:rsid w:val="00C251A9"/>
    <w:rsid w:val="00C25260"/>
    <w:rsid w:val="00C2526E"/>
    <w:rsid w:val="00C254E9"/>
    <w:rsid w:val="00C25693"/>
    <w:rsid w:val="00C25CD5"/>
    <w:rsid w:val="00C25D23"/>
    <w:rsid w:val="00C25F13"/>
    <w:rsid w:val="00C26105"/>
    <w:rsid w:val="00C26171"/>
    <w:rsid w:val="00C261CB"/>
    <w:rsid w:val="00C261F4"/>
    <w:rsid w:val="00C26535"/>
    <w:rsid w:val="00C2670C"/>
    <w:rsid w:val="00C26879"/>
    <w:rsid w:val="00C26B89"/>
    <w:rsid w:val="00C26D48"/>
    <w:rsid w:val="00C26EF4"/>
    <w:rsid w:val="00C26F3D"/>
    <w:rsid w:val="00C27163"/>
    <w:rsid w:val="00C271D4"/>
    <w:rsid w:val="00C271D9"/>
    <w:rsid w:val="00C2726B"/>
    <w:rsid w:val="00C27296"/>
    <w:rsid w:val="00C273D2"/>
    <w:rsid w:val="00C273FE"/>
    <w:rsid w:val="00C27856"/>
    <w:rsid w:val="00C2789D"/>
    <w:rsid w:val="00C27AC6"/>
    <w:rsid w:val="00C27B41"/>
    <w:rsid w:val="00C27D7F"/>
    <w:rsid w:val="00C27DF8"/>
    <w:rsid w:val="00C27E67"/>
    <w:rsid w:val="00C27E76"/>
    <w:rsid w:val="00C27E90"/>
    <w:rsid w:val="00C27FA6"/>
    <w:rsid w:val="00C3021A"/>
    <w:rsid w:val="00C302F4"/>
    <w:rsid w:val="00C306DB"/>
    <w:rsid w:val="00C30729"/>
    <w:rsid w:val="00C30924"/>
    <w:rsid w:val="00C309AA"/>
    <w:rsid w:val="00C30A84"/>
    <w:rsid w:val="00C30AF7"/>
    <w:rsid w:val="00C30C5C"/>
    <w:rsid w:val="00C30EE2"/>
    <w:rsid w:val="00C30FDB"/>
    <w:rsid w:val="00C314AB"/>
    <w:rsid w:val="00C31560"/>
    <w:rsid w:val="00C31748"/>
    <w:rsid w:val="00C3187C"/>
    <w:rsid w:val="00C31AC9"/>
    <w:rsid w:val="00C31D29"/>
    <w:rsid w:val="00C31D94"/>
    <w:rsid w:val="00C31E80"/>
    <w:rsid w:val="00C320DE"/>
    <w:rsid w:val="00C3212F"/>
    <w:rsid w:val="00C321D0"/>
    <w:rsid w:val="00C32704"/>
    <w:rsid w:val="00C328C4"/>
    <w:rsid w:val="00C32973"/>
    <w:rsid w:val="00C32D15"/>
    <w:rsid w:val="00C330E1"/>
    <w:rsid w:val="00C330F1"/>
    <w:rsid w:val="00C331FA"/>
    <w:rsid w:val="00C332B6"/>
    <w:rsid w:val="00C33470"/>
    <w:rsid w:val="00C3349F"/>
    <w:rsid w:val="00C33590"/>
    <w:rsid w:val="00C33A0A"/>
    <w:rsid w:val="00C33D23"/>
    <w:rsid w:val="00C33E18"/>
    <w:rsid w:val="00C33E9F"/>
    <w:rsid w:val="00C33F8D"/>
    <w:rsid w:val="00C340AB"/>
    <w:rsid w:val="00C344C3"/>
    <w:rsid w:val="00C344F6"/>
    <w:rsid w:val="00C34555"/>
    <w:rsid w:val="00C3456F"/>
    <w:rsid w:val="00C345FA"/>
    <w:rsid w:val="00C3460A"/>
    <w:rsid w:val="00C34759"/>
    <w:rsid w:val="00C347C9"/>
    <w:rsid w:val="00C348E3"/>
    <w:rsid w:val="00C34C1A"/>
    <w:rsid w:val="00C350A4"/>
    <w:rsid w:val="00C3511B"/>
    <w:rsid w:val="00C35155"/>
    <w:rsid w:val="00C352D5"/>
    <w:rsid w:val="00C352E8"/>
    <w:rsid w:val="00C3544A"/>
    <w:rsid w:val="00C35811"/>
    <w:rsid w:val="00C3598E"/>
    <w:rsid w:val="00C35A01"/>
    <w:rsid w:val="00C35B04"/>
    <w:rsid w:val="00C35CB7"/>
    <w:rsid w:val="00C35E0C"/>
    <w:rsid w:val="00C36428"/>
    <w:rsid w:val="00C365E5"/>
    <w:rsid w:val="00C36630"/>
    <w:rsid w:val="00C3677A"/>
    <w:rsid w:val="00C36A5C"/>
    <w:rsid w:val="00C36B19"/>
    <w:rsid w:val="00C36F62"/>
    <w:rsid w:val="00C3722A"/>
    <w:rsid w:val="00C37292"/>
    <w:rsid w:val="00C372C5"/>
    <w:rsid w:val="00C37391"/>
    <w:rsid w:val="00C3745F"/>
    <w:rsid w:val="00C379A9"/>
    <w:rsid w:val="00C379BF"/>
    <w:rsid w:val="00C37BA6"/>
    <w:rsid w:val="00C37C20"/>
    <w:rsid w:val="00C37D0B"/>
    <w:rsid w:val="00C40363"/>
    <w:rsid w:val="00C403FF"/>
    <w:rsid w:val="00C4042B"/>
    <w:rsid w:val="00C4046C"/>
    <w:rsid w:val="00C4074F"/>
    <w:rsid w:val="00C40917"/>
    <w:rsid w:val="00C409CE"/>
    <w:rsid w:val="00C40C35"/>
    <w:rsid w:val="00C40D5F"/>
    <w:rsid w:val="00C40E6B"/>
    <w:rsid w:val="00C40E9C"/>
    <w:rsid w:val="00C40FE8"/>
    <w:rsid w:val="00C41119"/>
    <w:rsid w:val="00C4113A"/>
    <w:rsid w:val="00C4119A"/>
    <w:rsid w:val="00C417D8"/>
    <w:rsid w:val="00C418DA"/>
    <w:rsid w:val="00C41B30"/>
    <w:rsid w:val="00C41B52"/>
    <w:rsid w:val="00C41B6D"/>
    <w:rsid w:val="00C41CCF"/>
    <w:rsid w:val="00C41E3D"/>
    <w:rsid w:val="00C41EC8"/>
    <w:rsid w:val="00C41EF2"/>
    <w:rsid w:val="00C41F2A"/>
    <w:rsid w:val="00C41F3F"/>
    <w:rsid w:val="00C422AF"/>
    <w:rsid w:val="00C42365"/>
    <w:rsid w:val="00C424EB"/>
    <w:rsid w:val="00C42557"/>
    <w:rsid w:val="00C4256B"/>
    <w:rsid w:val="00C4262A"/>
    <w:rsid w:val="00C429A9"/>
    <w:rsid w:val="00C42AE0"/>
    <w:rsid w:val="00C42B2A"/>
    <w:rsid w:val="00C42CFD"/>
    <w:rsid w:val="00C42E48"/>
    <w:rsid w:val="00C42E7D"/>
    <w:rsid w:val="00C42EB4"/>
    <w:rsid w:val="00C42F29"/>
    <w:rsid w:val="00C4308E"/>
    <w:rsid w:val="00C430F4"/>
    <w:rsid w:val="00C43434"/>
    <w:rsid w:val="00C434E4"/>
    <w:rsid w:val="00C435A1"/>
    <w:rsid w:val="00C436A7"/>
    <w:rsid w:val="00C436CF"/>
    <w:rsid w:val="00C437DC"/>
    <w:rsid w:val="00C439A6"/>
    <w:rsid w:val="00C43C0E"/>
    <w:rsid w:val="00C43CEA"/>
    <w:rsid w:val="00C43DA7"/>
    <w:rsid w:val="00C43F11"/>
    <w:rsid w:val="00C43F7E"/>
    <w:rsid w:val="00C44133"/>
    <w:rsid w:val="00C4441D"/>
    <w:rsid w:val="00C44479"/>
    <w:rsid w:val="00C4486A"/>
    <w:rsid w:val="00C44A03"/>
    <w:rsid w:val="00C44F8A"/>
    <w:rsid w:val="00C4509B"/>
    <w:rsid w:val="00C450B1"/>
    <w:rsid w:val="00C45150"/>
    <w:rsid w:val="00C4521A"/>
    <w:rsid w:val="00C45287"/>
    <w:rsid w:val="00C452A3"/>
    <w:rsid w:val="00C457E5"/>
    <w:rsid w:val="00C459E4"/>
    <w:rsid w:val="00C45B60"/>
    <w:rsid w:val="00C45B9A"/>
    <w:rsid w:val="00C45BC4"/>
    <w:rsid w:val="00C45C93"/>
    <w:rsid w:val="00C45DA9"/>
    <w:rsid w:val="00C45EF6"/>
    <w:rsid w:val="00C45F76"/>
    <w:rsid w:val="00C45F7F"/>
    <w:rsid w:val="00C4614D"/>
    <w:rsid w:val="00C461D7"/>
    <w:rsid w:val="00C46372"/>
    <w:rsid w:val="00C46416"/>
    <w:rsid w:val="00C4641C"/>
    <w:rsid w:val="00C4660D"/>
    <w:rsid w:val="00C46612"/>
    <w:rsid w:val="00C46646"/>
    <w:rsid w:val="00C4669D"/>
    <w:rsid w:val="00C466B4"/>
    <w:rsid w:val="00C4689A"/>
    <w:rsid w:val="00C46918"/>
    <w:rsid w:val="00C46A90"/>
    <w:rsid w:val="00C46C70"/>
    <w:rsid w:val="00C46CFD"/>
    <w:rsid w:val="00C46D62"/>
    <w:rsid w:val="00C471A3"/>
    <w:rsid w:val="00C471C2"/>
    <w:rsid w:val="00C47237"/>
    <w:rsid w:val="00C4723B"/>
    <w:rsid w:val="00C47260"/>
    <w:rsid w:val="00C472D9"/>
    <w:rsid w:val="00C47374"/>
    <w:rsid w:val="00C473A4"/>
    <w:rsid w:val="00C47588"/>
    <w:rsid w:val="00C475CE"/>
    <w:rsid w:val="00C4763B"/>
    <w:rsid w:val="00C4779D"/>
    <w:rsid w:val="00C478B3"/>
    <w:rsid w:val="00C479F8"/>
    <w:rsid w:val="00C47C05"/>
    <w:rsid w:val="00C47D70"/>
    <w:rsid w:val="00C5019D"/>
    <w:rsid w:val="00C5036A"/>
    <w:rsid w:val="00C508DA"/>
    <w:rsid w:val="00C5094C"/>
    <w:rsid w:val="00C50ADF"/>
    <w:rsid w:val="00C50BB6"/>
    <w:rsid w:val="00C50D47"/>
    <w:rsid w:val="00C50D9E"/>
    <w:rsid w:val="00C50FEE"/>
    <w:rsid w:val="00C51023"/>
    <w:rsid w:val="00C51110"/>
    <w:rsid w:val="00C5155D"/>
    <w:rsid w:val="00C51601"/>
    <w:rsid w:val="00C51686"/>
    <w:rsid w:val="00C517ED"/>
    <w:rsid w:val="00C5185B"/>
    <w:rsid w:val="00C5189F"/>
    <w:rsid w:val="00C51B1F"/>
    <w:rsid w:val="00C51B39"/>
    <w:rsid w:val="00C51B63"/>
    <w:rsid w:val="00C51B8E"/>
    <w:rsid w:val="00C51C93"/>
    <w:rsid w:val="00C51DC9"/>
    <w:rsid w:val="00C51F2D"/>
    <w:rsid w:val="00C5231B"/>
    <w:rsid w:val="00C523A1"/>
    <w:rsid w:val="00C523D8"/>
    <w:rsid w:val="00C5249E"/>
    <w:rsid w:val="00C524BB"/>
    <w:rsid w:val="00C52501"/>
    <w:rsid w:val="00C5271E"/>
    <w:rsid w:val="00C52863"/>
    <w:rsid w:val="00C52931"/>
    <w:rsid w:val="00C52A36"/>
    <w:rsid w:val="00C52A73"/>
    <w:rsid w:val="00C52AD7"/>
    <w:rsid w:val="00C52AF4"/>
    <w:rsid w:val="00C52F0B"/>
    <w:rsid w:val="00C52F6D"/>
    <w:rsid w:val="00C52FEA"/>
    <w:rsid w:val="00C53584"/>
    <w:rsid w:val="00C53598"/>
    <w:rsid w:val="00C53654"/>
    <w:rsid w:val="00C5368A"/>
    <w:rsid w:val="00C536CA"/>
    <w:rsid w:val="00C536CB"/>
    <w:rsid w:val="00C537FF"/>
    <w:rsid w:val="00C539A9"/>
    <w:rsid w:val="00C53CAA"/>
    <w:rsid w:val="00C53D6C"/>
    <w:rsid w:val="00C53E14"/>
    <w:rsid w:val="00C53E22"/>
    <w:rsid w:val="00C54110"/>
    <w:rsid w:val="00C5433D"/>
    <w:rsid w:val="00C54385"/>
    <w:rsid w:val="00C54568"/>
    <w:rsid w:val="00C546BA"/>
    <w:rsid w:val="00C548DA"/>
    <w:rsid w:val="00C548EC"/>
    <w:rsid w:val="00C54940"/>
    <w:rsid w:val="00C54ABF"/>
    <w:rsid w:val="00C54BA0"/>
    <w:rsid w:val="00C54C47"/>
    <w:rsid w:val="00C54DD3"/>
    <w:rsid w:val="00C55117"/>
    <w:rsid w:val="00C55140"/>
    <w:rsid w:val="00C556B4"/>
    <w:rsid w:val="00C557BE"/>
    <w:rsid w:val="00C55985"/>
    <w:rsid w:val="00C55B6A"/>
    <w:rsid w:val="00C55BE5"/>
    <w:rsid w:val="00C55BE7"/>
    <w:rsid w:val="00C55C27"/>
    <w:rsid w:val="00C55CED"/>
    <w:rsid w:val="00C55DA8"/>
    <w:rsid w:val="00C55E18"/>
    <w:rsid w:val="00C55E7D"/>
    <w:rsid w:val="00C55F0D"/>
    <w:rsid w:val="00C55F69"/>
    <w:rsid w:val="00C5603D"/>
    <w:rsid w:val="00C5632D"/>
    <w:rsid w:val="00C5634C"/>
    <w:rsid w:val="00C5637F"/>
    <w:rsid w:val="00C56484"/>
    <w:rsid w:val="00C5675A"/>
    <w:rsid w:val="00C5698E"/>
    <w:rsid w:val="00C56C84"/>
    <w:rsid w:val="00C56CA0"/>
    <w:rsid w:val="00C56CF3"/>
    <w:rsid w:val="00C56EE3"/>
    <w:rsid w:val="00C56F01"/>
    <w:rsid w:val="00C56FB5"/>
    <w:rsid w:val="00C56FBD"/>
    <w:rsid w:val="00C57176"/>
    <w:rsid w:val="00C573B9"/>
    <w:rsid w:val="00C575F4"/>
    <w:rsid w:val="00C57906"/>
    <w:rsid w:val="00C57916"/>
    <w:rsid w:val="00C579D9"/>
    <w:rsid w:val="00C57BDA"/>
    <w:rsid w:val="00C57BF9"/>
    <w:rsid w:val="00C57E52"/>
    <w:rsid w:val="00C57F18"/>
    <w:rsid w:val="00C57F7C"/>
    <w:rsid w:val="00C57FC8"/>
    <w:rsid w:val="00C601A0"/>
    <w:rsid w:val="00C602B0"/>
    <w:rsid w:val="00C602E4"/>
    <w:rsid w:val="00C6069D"/>
    <w:rsid w:val="00C6077F"/>
    <w:rsid w:val="00C607D2"/>
    <w:rsid w:val="00C60892"/>
    <w:rsid w:val="00C60996"/>
    <w:rsid w:val="00C60B89"/>
    <w:rsid w:val="00C611AA"/>
    <w:rsid w:val="00C612CE"/>
    <w:rsid w:val="00C61480"/>
    <w:rsid w:val="00C615CF"/>
    <w:rsid w:val="00C61743"/>
    <w:rsid w:val="00C6174A"/>
    <w:rsid w:val="00C61934"/>
    <w:rsid w:val="00C619A7"/>
    <w:rsid w:val="00C61B3D"/>
    <w:rsid w:val="00C61C65"/>
    <w:rsid w:val="00C61EC2"/>
    <w:rsid w:val="00C61FB9"/>
    <w:rsid w:val="00C621BA"/>
    <w:rsid w:val="00C62210"/>
    <w:rsid w:val="00C6229C"/>
    <w:rsid w:val="00C6234D"/>
    <w:rsid w:val="00C62382"/>
    <w:rsid w:val="00C62460"/>
    <w:rsid w:val="00C624AF"/>
    <w:rsid w:val="00C62667"/>
    <w:rsid w:val="00C626AF"/>
    <w:rsid w:val="00C626FF"/>
    <w:rsid w:val="00C62714"/>
    <w:rsid w:val="00C62AD8"/>
    <w:rsid w:val="00C62B9C"/>
    <w:rsid w:val="00C62D51"/>
    <w:rsid w:val="00C62D7B"/>
    <w:rsid w:val="00C62EA0"/>
    <w:rsid w:val="00C62FB3"/>
    <w:rsid w:val="00C632B4"/>
    <w:rsid w:val="00C632D2"/>
    <w:rsid w:val="00C633F4"/>
    <w:rsid w:val="00C63650"/>
    <w:rsid w:val="00C63933"/>
    <w:rsid w:val="00C639D5"/>
    <w:rsid w:val="00C63A8C"/>
    <w:rsid w:val="00C63CCB"/>
    <w:rsid w:val="00C63D6C"/>
    <w:rsid w:val="00C63DFB"/>
    <w:rsid w:val="00C63EA8"/>
    <w:rsid w:val="00C64007"/>
    <w:rsid w:val="00C6423D"/>
    <w:rsid w:val="00C64383"/>
    <w:rsid w:val="00C643DE"/>
    <w:rsid w:val="00C6443C"/>
    <w:rsid w:val="00C64460"/>
    <w:rsid w:val="00C6449C"/>
    <w:rsid w:val="00C64698"/>
    <w:rsid w:val="00C646F1"/>
    <w:rsid w:val="00C64720"/>
    <w:rsid w:val="00C64944"/>
    <w:rsid w:val="00C64A2E"/>
    <w:rsid w:val="00C64AA4"/>
    <w:rsid w:val="00C64B16"/>
    <w:rsid w:val="00C64BB3"/>
    <w:rsid w:val="00C64D57"/>
    <w:rsid w:val="00C64D5F"/>
    <w:rsid w:val="00C64E0B"/>
    <w:rsid w:val="00C64F36"/>
    <w:rsid w:val="00C64F61"/>
    <w:rsid w:val="00C64F62"/>
    <w:rsid w:val="00C6515D"/>
    <w:rsid w:val="00C651E2"/>
    <w:rsid w:val="00C65289"/>
    <w:rsid w:val="00C65478"/>
    <w:rsid w:val="00C654FF"/>
    <w:rsid w:val="00C65518"/>
    <w:rsid w:val="00C655D4"/>
    <w:rsid w:val="00C65679"/>
    <w:rsid w:val="00C65693"/>
    <w:rsid w:val="00C656F5"/>
    <w:rsid w:val="00C65838"/>
    <w:rsid w:val="00C65860"/>
    <w:rsid w:val="00C658BB"/>
    <w:rsid w:val="00C658DF"/>
    <w:rsid w:val="00C6598B"/>
    <w:rsid w:val="00C65A9E"/>
    <w:rsid w:val="00C65CB7"/>
    <w:rsid w:val="00C65E2D"/>
    <w:rsid w:val="00C65FA8"/>
    <w:rsid w:val="00C6614C"/>
    <w:rsid w:val="00C66152"/>
    <w:rsid w:val="00C6620D"/>
    <w:rsid w:val="00C66318"/>
    <w:rsid w:val="00C664A5"/>
    <w:rsid w:val="00C66505"/>
    <w:rsid w:val="00C667AA"/>
    <w:rsid w:val="00C66A0A"/>
    <w:rsid w:val="00C66DB5"/>
    <w:rsid w:val="00C66DE3"/>
    <w:rsid w:val="00C66E9F"/>
    <w:rsid w:val="00C66FC4"/>
    <w:rsid w:val="00C67017"/>
    <w:rsid w:val="00C670D6"/>
    <w:rsid w:val="00C67203"/>
    <w:rsid w:val="00C67260"/>
    <w:rsid w:val="00C6736E"/>
    <w:rsid w:val="00C673CE"/>
    <w:rsid w:val="00C67496"/>
    <w:rsid w:val="00C67520"/>
    <w:rsid w:val="00C67593"/>
    <w:rsid w:val="00C67832"/>
    <w:rsid w:val="00C67B10"/>
    <w:rsid w:val="00C701EB"/>
    <w:rsid w:val="00C7025D"/>
    <w:rsid w:val="00C7026E"/>
    <w:rsid w:val="00C70378"/>
    <w:rsid w:val="00C70508"/>
    <w:rsid w:val="00C7054D"/>
    <w:rsid w:val="00C7066E"/>
    <w:rsid w:val="00C70E59"/>
    <w:rsid w:val="00C70FE5"/>
    <w:rsid w:val="00C71010"/>
    <w:rsid w:val="00C71064"/>
    <w:rsid w:val="00C711AC"/>
    <w:rsid w:val="00C714AB"/>
    <w:rsid w:val="00C71793"/>
    <w:rsid w:val="00C718CE"/>
    <w:rsid w:val="00C71B30"/>
    <w:rsid w:val="00C71C09"/>
    <w:rsid w:val="00C71CEE"/>
    <w:rsid w:val="00C71D66"/>
    <w:rsid w:val="00C71DA9"/>
    <w:rsid w:val="00C71F85"/>
    <w:rsid w:val="00C72051"/>
    <w:rsid w:val="00C7210C"/>
    <w:rsid w:val="00C72755"/>
    <w:rsid w:val="00C7280F"/>
    <w:rsid w:val="00C72B06"/>
    <w:rsid w:val="00C72E33"/>
    <w:rsid w:val="00C73100"/>
    <w:rsid w:val="00C73229"/>
    <w:rsid w:val="00C734AB"/>
    <w:rsid w:val="00C73578"/>
    <w:rsid w:val="00C735EA"/>
    <w:rsid w:val="00C73621"/>
    <w:rsid w:val="00C73886"/>
    <w:rsid w:val="00C738AA"/>
    <w:rsid w:val="00C738C6"/>
    <w:rsid w:val="00C73ACC"/>
    <w:rsid w:val="00C73C1E"/>
    <w:rsid w:val="00C73C4D"/>
    <w:rsid w:val="00C73DDB"/>
    <w:rsid w:val="00C73E1E"/>
    <w:rsid w:val="00C73E26"/>
    <w:rsid w:val="00C74383"/>
    <w:rsid w:val="00C74691"/>
    <w:rsid w:val="00C74B55"/>
    <w:rsid w:val="00C74F9F"/>
    <w:rsid w:val="00C75022"/>
    <w:rsid w:val="00C7532E"/>
    <w:rsid w:val="00C755E7"/>
    <w:rsid w:val="00C756B6"/>
    <w:rsid w:val="00C757B6"/>
    <w:rsid w:val="00C75837"/>
    <w:rsid w:val="00C759B4"/>
    <w:rsid w:val="00C75D1A"/>
    <w:rsid w:val="00C75D27"/>
    <w:rsid w:val="00C75ECE"/>
    <w:rsid w:val="00C75EE7"/>
    <w:rsid w:val="00C75FBF"/>
    <w:rsid w:val="00C760AB"/>
    <w:rsid w:val="00C760C2"/>
    <w:rsid w:val="00C760EA"/>
    <w:rsid w:val="00C76183"/>
    <w:rsid w:val="00C76205"/>
    <w:rsid w:val="00C76765"/>
    <w:rsid w:val="00C7684D"/>
    <w:rsid w:val="00C768CD"/>
    <w:rsid w:val="00C76ADF"/>
    <w:rsid w:val="00C76CF7"/>
    <w:rsid w:val="00C76D49"/>
    <w:rsid w:val="00C76DCA"/>
    <w:rsid w:val="00C76E30"/>
    <w:rsid w:val="00C76EC3"/>
    <w:rsid w:val="00C77543"/>
    <w:rsid w:val="00C7757D"/>
    <w:rsid w:val="00C77804"/>
    <w:rsid w:val="00C778E4"/>
    <w:rsid w:val="00C77C4C"/>
    <w:rsid w:val="00C77C64"/>
    <w:rsid w:val="00C77C8B"/>
    <w:rsid w:val="00C80168"/>
    <w:rsid w:val="00C8036A"/>
    <w:rsid w:val="00C807C0"/>
    <w:rsid w:val="00C8094D"/>
    <w:rsid w:val="00C80A1C"/>
    <w:rsid w:val="00C80ACA"/>
    <w:rsid w:val="00C80AE8"/>
    <w:rsid w:val="00C80AF5"/>
    <w:rsid w:val="00C81191"/>
    <w:rsid w:val="00C811B1"/>
    <w:rsid w:val="00C8121E"/>
    <w:rsid w:val="00C812C4"/>
    <w:rsid w:val="00C8135E"/>
    <w:rsid w:val="00C813DA"/>
    <w:rsid w:val="00C8166F"/>
    <w:rsid w:val="00C817C7"/>
    <w:rsid w:val="00C81869"/>
    <w:rsid w:val="00C8198E"/>
    <w:rsid w:val="00C81A5A"/>
    <w:rsid w:val="00C81C16"/>
    <w:rsid w:val="00C81D0C"/>
    <w:rsid w:val="00C81ED1"/>
    <w:rsid w:val="00C821A5"/>
    <w:rsid w:val="00C82598"/>
    <w:rsid w:val="00C82645"/>
    <w:rsid w:val="00C82900"/>
    <w:rsid w:val="00C82945"/>
    <w:rsid w:val="00C82AA1"/>
    <w:rsid w:val="00C82CC4"/>
    <w:rsid w:val="00C82CD9"/>
    <w:rsid w:val="00C83025"/>
    <w:rsid w:val="00C8303D"/>
    <w:rsid w:val="00C833F1"/>
    <w:rsid w:val="00C83491"/>
    <w:rsid w:val="00C834EC"/>
    <w:rsid w:val="00C83545"/>
    <w:rsid w:val="00C837D2"/>
    <w:rsid w:val="00C83843"/>
    <w:rsid w:val="00C83934"/>
    <w:rsid w:val="00C83AD5"/>
    <w:rsid w:val="00C83C16"/>
    <w:rsid w:val="00C83E4B"/>
    <w:rsid w:val="00C83E83"/>
    <w:rsid w:val="00C8412F"/>
    <w:rsid w:val="00C8423E"/>
    <w:rsid w:val="00C8434E"/>
    <w:rsid w:val="00C84422"/>
    <w:rsid w:val="00C84486"/>
    <w:rsid w:val="00C844C0"/>
    <w:rsid w:val="00C849C2"/>
    <w:rsid w:val="00C84E37"/>
    <w:rsid w:val="00C84E68"/>
    <w:rsid w:val="00C84F02"/>
    <w:rsid w:val="00C8534C"/>
    <w:rsid w:val="00C853BD"/>
    <w:rsid w:val="00C85592"/>
    <w:rsid w:val="00C85A69"/>
    <w:rsid w:val="00C85E5C"/>
    <w:rsid w:val="00C85ED7"/>
    <w:rsid w:val="00C86299"/>
    <w:rsid w:val="00C86572"/>
    <w:rsid w:val="00C86873"/>
    <w:rsid w:val="00C86988"/>
    <w:rsid w:val="00C86A1A"/>
    <w:rsid w:val="00C86B18"/>
    <w:rsid w:val="00C86BD5"/>
    <w:rsid w:val="00C86EA4"/>
    <w:rsid w:val="00C8719C"/>
    <w:rsid w:val="00C872AA"/>
    <w:rsid w:val="00C872E6"/>
    <w:rsid w:val="00C873F5"/>
    <w:rsid w:val="00C87589"/>
    <w:rsid w:val="00C875DA"/>
    <w:rsid w:val="00C87911"/>
    <w:rsid w:val="00C87945"/>
    <w:rsid w:val="00C8795E"/>
    <w:rsid w:val="00C87CFF"/>
    <w:rsid w:val="00C87D1B"/>
    <w:rsid w:val="00C87DA3"/>
    <w:rsid w:val="00C87FC2"/>
    <w:rsid w:val="00C90030"/>
    <w:rsid w:val="00C90096"/>
    <w:rsid w:val="00C90264"/>
    <w:rsid w:val="00C90295"/>
    <w:rsid w:val="00C90365"/>
    <w:rsid w:val="00C903DA"/>
    <w:rsid w:val="00C905E3"/>
    <w:rsid w:val="00C90828"/>
    <w:rsid w:val="00C909A1"/>
    <w:rsid w:val="00C90AFD"/>
    <w:rsid w:val="00C90B6A"/>
    <w:rsid w:val="00C90DDA"/>
    <w:rsid w:val="00C90E1F"/>
    <w:rsid w:val="00C90F89"/>
    <w:rsid w:val="00C91083"/>
    <w:rsid w:val="00C9116E"/>
    <w:rsid w:val="00C911F6"/>
    <w:rsid w:val="00C91312"/>
    <w:rsid w:val="00C9137F"/>
    <w:rsid w:val="00C914B9"/>
    <w:rsid w:val="00C914E7"/>
    <w:rsid w:val="00C91589"/>
    <w:rsid w:val="00C917C2"/>
    <w:rsid w:val="00C918E5"/>
    <w:rsid w:val="00C91997"/>
    <w:rsid w:val="00C91A0C"/>
    <w:rsid w:val="00C91C6A"/>
    <w:rsid w:val="00C91CD9"/>
    <w:rsid w:val="00C91D67"/>
    <w:rsid w:val="00C91F13"/>
    <w:rsid w:val="00C91F29"/>
    <w:rsid w:val="00C920B9"/>
    <w:rsid w:val="00C92120"/>
    <w:rsid w:val="00C9220E"/>
    <w:rsid w:val="00C9234D"/>
    <w:rsid w:val="00C923F9"/>
    <w:rsid w:val="00C9274C"/>
    <w:rsid w:val="00C92A4C"/>
    <w:rsid w:val="00C92B69"/>
    <w:rsid w:val="00C92B80"/>
    <w:rsid w:val="00C92BC0"/>
    <w:rsid w:val="00C92C45"/>
    <w:rsid w:val="00C92C92"/>
    <w:rsid w:val="00C92CA1"/>
    <w:rsid w:val="00C92FD1"/>
    <w:rsid w:val="00C92FF6"/>
    <w:rsid w:val="00C9309F"/>
    <w:rsid w:val="00C932D8"/>
    <w:rsid w:val="00C9352A"/>
    <w:rsid w:val="00C9352B"/>
    <w:rsid w:val="00C93955"/>
    <w:rsid w:val="00C93ABE"/>
    <w:rsid w:val="00C93B9E"/>
    <w:rsid w:val="00C93C20"/>
    <w:rsid w:val="00C93C3D"/>
    <w:rsid w:val="00C93E76"/>
    <w:rsid w:val="00C93EBA"/>
    <w:rsid w:val="00C93FC0"/>
    <w:rsid w:val="00C940B7"/>
    <w:rsid w:val="00C942FE"/>
    <w:rsid w:val="00C94350"/>
    <w:rsid w:val="00C9440F"/>
    <w:rsid w:val="00C944C8"/>
    <w:rsid w:val="00C944EB"/>
    <w:rsid w:val="00C946C9"/>
    <w:rsid w:val="00C949ED"/>
    <w:rsid w:val="00C94A8B"/>
    <w:rsid w:val="00C94AB7"/>
    <w:rsid w:val="00C94B82"/>
    <w:rsid w:val="00C94D4D"/>
    <w:rsid w:val="00C94EAC"/>
    <w:rsid w:val="00C94F56"/>
    <w:rsid w:val="00C9500E"/>
    <w:rsid w:val="00C950E7"/>
    <w:rsid w:val="00C95129"/>
    <w:rsid w:val="00C9541E"/>
    <w:rsid w:val="00C9544D"/>
    <w:rsid w:val="00C95475"/>
    <w:rsid w:val="00C955D8"/>
    <w:rsid w:val="00C956B9"/>
    <w:rsid w:val="00C9594B"/>
    <w:rsid w:val="00C9595A"/>
    <w:rsid w:val="00C95C3B"/>
    <w:rsid w:val="00C95E5A"/>
    <w:rsid w:val="00C95F33"/>
    <w:rsid w:val="00C95F4A"/>
    <w:rsid w:val="00C96151"/>
    <w:rsid w:val="00C962DE"/>
    <w:rsid w:val="00C9634D"/>
    <w:rsid w:val="00C96394"/>
    <w:rsid w:val="00C96429"/>
    <w:rsid w:val="00C965AF"/>
    <w:rsid w:val="00C9683D"/>
    <w:rsid w:val="00C96AD0"/>
    <w:rsid w:val="00C96B34"/>
    <w:rsid w:val="00C96B68"/>
    <w:rsid w:val="00C96C45"/>
    <w:rsid w:val="00C96C78"/>
    <w:rsid w:val="00C96D67"/>
    <w:rsid w:val="00C96D8A"/>
    <w:rsid w:val="00C96DAF"/>
    <w:rsid w:val="00C96FA0"/>
    <w:rsid w:val="00C96FF6"/>
    <w:rsid w:val="00C97018"/>
    <w:rsid w:val="00C9732F"/>
    <w:rsid w:val="00C9786F"/>
    <w:rsid w:val="00C97CDD"/>
    <w:rsid w:val="00CA000D"/>
    <w:rsid w:val="00CA001A"/>
    <w:rsid w:val="00CA0095"/>
    <w:rsid w:val="00CA015A"/>
    <w:rsid w:val="00CA0587"/>
    <w:rsid w:val="00CA07D5"/>
    <w:rsid w:val="00CA0856"/>
    <w:rsid w:val="00CA09EC"/>
    <w:rsid w:val="00CA0A7F"/>
    <w:rsid w:val="00CA0A98"/>
    <w:rsid w:val="00CA0DB1"/>
    <w:rsid w:val="00CA0DC4"/>
    <w:rsid w:val="00CA0F34"/>
    <w:rsid w:val="00CA0F4B"/>
    <w:rsid w:val="00CA1145"/>
    <w:rsid w:val="00CA11AD"/>
    <w:rsid w:val="00CA13B5"/>
    <w:rsid w:val="00CA142A"/>
    <w:rsid w:val="00CA17E5"/>
    <w:rsid w:val="00CA1805"/>
    <w:rsid w:val="00CA1848"/>
    <w:rsid w:val="00CA18AC"/>
    <w:rsid w:val="00CA19B7"/>
    <w:rsid w:val="00CA1C1B"/>
    <w:rsid w:val="00CA1D43"/>
    <w:rsid w:val="00CA1E5B"/>
    <w:rsid w:val="00CA1EA5"/>
    <w:rsid w:val="00CA1F03"/>
    <w:rsid w:val="00CA2040"/>
    <w:rsid w:val="00CA2084"/>
    <w:rsid w:val="00CA2301"/>
    <w:rsid w:val="00CA2411"/>
    <w:rsid w:val="00CA25D4"/>
    <w:rsid w:val="00CA25DD"/>
    <w:rsid w:val="00CA2859"/>
    <w:rsid w:val="00CA2DA9"/>
    <w:rsid w:val="00CA2DAB"/>
    <w:rsid w:val="00CA2E3F"/>
    <w:rsid w:val="00CA3080"/>
    <w:rsid w:val="00CA31D5"/>
    <w:rsid w:val="00CA35D4"/>
    <w:rsid w:val="00CA3607"/>
    <w:rsid w:val="00CA36E6"/>
    <w:rsid w:val="00CA3955"/>
    <w:rsid w:val="00CA3A63"/>
    <w:rsid w:val="00CA3AA7"/>
    <w:rsid w:val="00CA3B3D"/>
    <w:rsid w:val="00CA3C24"/>
    <w:rsid w:val="00CA3CF3"/>
    <w:rsid w:val="00CA3D28"/>
    <w:rsid w:val="00CA3DC7"/>
    <w:rsid w:val="00CA3E94"/>
    <w:rsid w:val="00CA3FBE"/>
    <w:rsid w:val="00CA4027"/>
    <w:rsid w:val="00CA4084"/>
    <w:rsid w:val="00CA40B7"/>
    <w:rsid w:val="00CA43D0"/>
    <w:rsid w:val="00CA4954"/>
    <w:rsid w:val="00CA49C0"/>
    <w:rsid w:val="00CA4AA7"/>
    <w:rsid w:val="00CA4AB2"/>
    <w:rsid w:val="00CA4ACD"/>
    <w:rsid w:val="00CA4C76"/>
    <w:rsid w:val="00CA4C7C"/>
    <w:rsid w:val="00CA4D4C"/>
    <w:rsid w:val="00CA4D55"/>
    <w:rsid w:val="00CA4E5F"/>
    <w:rsid w:val="00CA4EFE"/>
    <w:rsid w:val="00CA4F37"/>
    <w:rsid w:val="00CA4FEE"/>
    <w:rsid w:val="00CA513E"/>
    <w:rsid w:val="00CA5250"/>
    <w:rsid w:val="00CA5344"/>
    <w:rsid w:val="00CA5387"/>
    <w:rsid w:val="00CA53C5"/>
    <w:rsid w:val="00CA53C7"/>
    <w:rsid w:val="00CA53F3"/>
    <w:rsid w:val="00CA55DD"/>
    <w:rsid w:val="00CA5758"/>
    <w:rsid w:val="00CA5851"/>
    <w:rsid w:val="00CA58D2"/>
    <w:rsid w:val="00CA5993"/>
    <w:rsid w:val="00CA5BB2"/>
    <w:rsid w:val="00CA5C13"/>
    <w:rsid w:val="00CA5C61"/>
    <w:rsid w:val="00CA5D79"/>
    <w:rsid w:val="00CA5D9B"/>
    <w:rsid w:val="00CA5EC7"/>
    <w:rsid w:val="00CA5F7E"/>
    <w:rsid w:val="00CA5FBE"/>
    <w:rsid w:val="00CA6065"/>
    <w:rsid w:val="00CA610B"/>
    <w:rsid w:val="00CA6207"/>
    <w:rsid w:val="00CA6222"/>
    <w:rsid w:val="00CA626C"/>
    <w:rsid w:val="00CA67BC"/>
    <w:rsid w:val="00CA6A99"/>
    <w:rsid w:val="00CA6AA1"/>
    <w:rsid w:val="00CA6C10"/>
    <w:rsid w:val="00CA6FA9"/>
    <w:rsid w:val="00CA71F2"/>
    <w:rsid w:val="00CA7239"/>
    <w:rsid w:val="00CA7287"/>
    <w:rsid w:val="00CA729F"/>
    <w:rsid w:val="00CA7476"/>
    <w:rsid w:val="00CA75C5"/>
    <w:rsid w:val="00CA7620"/>
    <w:rsid w:val="00CA7940"/>
    <w:rsid w:val="00CA7AAE"/>
    <w:rsid w:val="00CA7C0D"/>
    <w:rsid w:val="00CA7C1D"/>
    <w:rsid w:val="00CA7CC6"/>
    <w:rsid w:val="00CB00BC"/>
    <w:rsid w:val="00CB0207"/>
    <w:rsid w:val="00CB0263"/>
    <w:rsid w:val="00CB027E"/>
    <w:rsid w:val="00CB03BE"/>
    <w:rsid w:val="00CB060B"/>
    <w:rsid w:val="00CB063D"/>
    <w:rsid w:val="00CB07AD"/>
    <w:rsid w:val="00CB0BCF"/>
    <w:rsid w:val="00CB0CBF"/>
    <w:rsid w:val="00CB0E54"/>
    <w:rsid w:val="00CB0EE3"/>
    <w:rsid w:val="00CB103D"/>
    <w:rsid w:val="00CB10F2"/>
    <w:rsid w:val="00CB1314"/>
    <w:rsid w:val="00CB1341"/>
    <w:rsid w:val="00CB1409"/>
    <w:rsid w:val="00CB141C"/>
    <w:rsid w:val="00CB1B03"/>
    <w:rsid w:val="00CB1E98"/>
    <w:rsid w:val="00CB21F2"/>
    <w:rsid w:val="00CB22B2"/>
    <w:rsid w:val="00CB23D0"/>
    <w:rsid w:val="00CB25A5"/>
    <w:rsid w:val="00CB261A"/>
    <w:rsid w:val="00CB271B"/>
    <w:rsid w:val="00CB273D"/>
    <w:rsid w:val="00CB27FF"/>
    <w:rsid w:val="00CB2B7A"/>
    <w:rsid w:val="00CB2C14"/>
    <w:rsid w:val="00CB2DA3"/>
    <w:rsid w:val="00CB2F1B"/>
    <w:rsid w:val="00CB31AA"/>
    <w:rsid w:val="00CB31BB"/>
    <w:rsid w:val="00CB3259"/>
    <w:rsid w:val="00CB332C"/>
    <w:rsid w:val="00CB33E4"/>
    <w:rsid w:val="00CB3402"/>
    <w:rsid w:val="00CB34E8"/>
    <w:rsid w:val="00CB366A"/>
    <w:rsid w:val="00CB3676"/>
    <w:rsid w:val="00CB3AC0"/>
    <w:rsid w:val="00CB3B2C"/>
    <w:rsid w:val="00CB3B7A"/>
    <w:rsid w:val="00CB3C0B"/>
    <w:rsid w:val="00CB3C83"/>
    <w:rsid w:val="00CB3D5A"/>
    <w:rsid w:val="00CB3F23"/>
    <w:rsid w:val="00CB3F3F"/>
    <w:rsid w:val="00CB4378"/>
    <w:rsid w:val="00CB451B"/>
    <w:rsid w:val="00CB455C"/>
    <w:rsid w:val="00CB45CC"/>
    <w:rsid w:val="00CB4623"/>
    <w:rsid w:val="00CB4681"/>
    <w:rsid w:val="00CB473C"/>
    <w:rsid w:val="00CB480B"/>
    <w:rsid w:val="00CB49D0"/>
    <w:rsid w:val="00CB4AC2"/>
    <w:rsid w:val="00CB4B5F"/>
    <w:rsid w:val="00CB4CD2"/>
    <w:rsid w:val="00CB4D7F"/>
    <w:rsid w:val="00CB4ED6"/>
    <w:rsid w:val="00CB513A"/>
    <w:rsid w:val="00CB51CC"/>
    <w:rsid w:val="00CB534E"/>
    <w:rsid w:val="00CB5407"/>
    <w:rsid w:val="00CB5620"/>
    <w:rsid w:val="00CB5736"/>
    <w:rsid w:val="00CB574E"/>
    <w:rsid w:val="00CB5892"/>
    <w:rsid w:val="00CB5AC4"/>
    <w:rsid w:val="00CB5D67"/>
    <w:rsid w:val="00CB5DC9"/>
    <w:rsid w:val="00CB5F2C"/>
    <w:rsid w:val="00CB5F57"/>
    <w:rsid w:val="00CB6192"/>
    <w:rsid w:val="00CB619F"/>
    <w:rsid w:val="00CB6397"/>
    <w:rsid w:val="00CB6497"/>
    <w:rsid w:val="00CB6511"/>
    <w:rsid w:val="00CB6B6F"/>
    <w:rsid w:val="00CB6CFC"/>
    <w:rsid w:val="00CB6D5A"/>
    <w:rsid w:val="00CB6D8D"/>
    <w:rsid w:val="00CB7026"/>
    <w:rsid w:val="00CB7463"/>
    <w:rsid w:val="00CB75F1"/>
    <w:rsid w:val="00CB7B8D"/>
    <w:rsid w:val="00CC044E"/>
    <w:rsid w:val="00CC071A"/>
    <w:rsid w:val="00CC09DE"/>
    <w:rsid w:val="00CC0AE8"/>
    <w:rsid w:val="00CC0AF0"/>
    <w:rsid w:val="00CC0D8A"/>
    <w:rsid w:val="00CC111B"/>
    <w:rsid w:val="00CC11D0"/>
    <w:rsid w:val="00CC1572"/>
    <w:rsid w:val="00CC1595"/>
    <w:rsid w:val="00CC16FB"/>
    <w:rsid w:val="00CC1770"/>
    <w:rsid w:val="00CC1803"/>
    <w:rsid w:val="00CC1876"/>
    <w:rsid w:val="00CC19FC"/>
    <w:rsid w:val="00CC1A1D"/>
    <w:rsid w:val="00CC1A5F"/>
    <w:rsid w:val="00CC1BC5"/>
    <w:rsid w:val="00CC1CB3"/>
    <w:rsid w:val="00CC1D6F"/>
    <w:rsid w:val="00CC1EE6"/>
    <w:rsid w:val="00CC2310"/>
    <w:rsid w:val="00CC2372"/>
    <w:rsid w:val="00CC2475"/>
    <w:rsid w:val="00CC247F"/>
    <w:rsid w:val="00CC24CA"/>
    <w:rsid w:val="00CC24E1"/>
    <w:rsid w:val="00CC2516"/>
    <w:rsid w:val="00CC2600"/>
    <w:rsid w:val="00CC2718"/>
    <w:rsid w:val="00CC2A87"/>
    <w:rsid w:val="00CC2ACF"/>
    <w:rsid w:val="00CC2E0D"/>
    <w:rsid w:val="00CC2F4A"/>
    <w:rsid w:val="00CC30DC"/>
    <w:rsid w:val="00CC328B"/>
    <w:rsid w:val="00CC32E6"/>
    <w:rsid w:val="00CC3350"/>
    <w:rsid w:val="00CC3B50"/>
    <w:rsid w:val="00CC3C09"/>
    <w:rsid w:val="00CC3DDF"/>
    <w:rsid w:val="00CC3ED7"/>
    <w:rsid w:val="00CC40BC"/>
    <w:rsid w:val="00CC4367"/>
    <w:rsid w:val="00CC43C4"/>
    <w:rsid w:val="00CC4443"/>
    <w:rsid w:val="00CC4572"/>
    <w:rsid w:val="00CC458A"/>
    <w:rsid w:val="00CC4960"/>
    <w:rsid w:val="00CC4987"/>
    <w:rsid w:val="00CC4FA3"/>
    <w:rsid w:val="00CC4FE0"/>
    <w:rsid w:val="00CC5042"/>
    <w:rsid w:val="00CC50A4"/>
    <w:rsid w:val="00CC5116"/>
    <w:rsid w:val="00CC51BB"/>
    <w:rsid w:val="00CC51E1"/>
    <w:rsid w:val="00CC5287"/>
    <w:rsid w:val="00CC546E"/>
    <w:rsid w:val="00CC5603"/>
    <w:rsid w:val="00CC5D78"/>
    <w:rsid w:val="00CC5E7F"/>
    <w:rsid w:val="00CC5F2B"/>
    <w:rsid w:val="00CC603D"/>
    <w:rsid w:val="00CC62DE"/>
    <w:rsid w:val="00CC63BF"/>
    <w:rsid w:val="00CC63E9"/>
    <w:rsid w:val="00CC640D"/>
    <w:rsid w:val="00CC642C"/>
    <w:rsid w:val="00CC6553"/>
    <w:rsid w:val="00CC670A"/>
    <w:rsid w:val="00CC67D4"/>
    <w:rsid w:val="00CC68DA"/>
    <w:rsid w:val="00CC6A36"/>
    <w:rsid w:val="00CC6A9B"/>
    <w:rsid w:val="00CC6CED"/>
    <w:rsid w:val="00CC6E93"/>
    <w:rsid w:val="00CC6F17"/>
    <w:rsid w:val="00CC7014"/>
    <w:rsid w:val="00CC722E"/>
    <w:rsid w:val="00CC7387"/>
    <w:rsid w:val="00CC73CE"/>
    <w:rsid w:val="00CC740F"/>
    <w:rsid w:val="00CC74F4"/>
    <w:rsid w:val="00CC7789"/>
    <w:rsid w:val="00CC77DC"/>
    <w:rsid w:val="00CC78E2"/>
    <w:rsid w:val="00CC7913"/>
    <w:rsid w:val="00CC7939"/>
    <w:rsid w:val="00CC797A"/>
    <w:rsid w:val="00CC7A63"/>
    <w:rsid w:val="00CC7AE3"/>
    <w:rsid w:val="00CC7B80"/>
    <w:rsid w:val="00CD0034"/>
    <w:rsid w:val="00CD0070"/>
    <w:rsid w:val="00CD00CA"/>
    <w:rsid w:val="00CD01FC"/>
    <w:rsid w:val="00CD026F"/>
    <w:rsid w:val="00CD0421"/>
    <w:rsid w:val="00CD056B"/>
    <w:rsid w:val="00CD0626"/>
    <w:rsid w:val="00CD0754"/>
    <w:rsid w:val="00CD08B4"/>
    <w:rsid w:val="00CD0971"/>
    <w:rsid w:val="00CD0D42"/>
    <w:rsid w:val="00CD0E7E"/>
    <w:rsid w:val="00CD11CB"/>
    <w:rsid w:val="00CD12C7"/>
    <w:rsid w:val="00CD13B4"/>
    <w:rsid w:val="00CD1465"/>
    <w:rsid w:val="00CD1482"/>
    <w:rsid w:val="00CD183B"/>
    <w:rsid w:val="00CD194C"/>
    <w:rsid w:val="00CD1977"/>
    <w:rsid w:val="00CD1A1A"/>
    <w:rsid w:val="00CD1AB8"/>
    <w:rsid w:val="00CD1E10"/>
    <w:rsid w:val="00CD1E6C"/>
    <w:rsid w:val="00CD200B"/>
    <w:rsid w:val="00CD2156"/>
    <w:rsid w:val="00CD21AE"/>
    <w:rsid w:val="00CD2409"/>
    <w:rsid w:val="00CD24C2"/>
    <w:rsid w:val="00CD24FA"/>
    <w:rsid w:val="00CD29EC"/>
    <w:rsid w:val="00CD29F7"/>
    <w:rsid w:val="00CD2ACE"/>
    <w:rsid w:val="00CD2BAB"/>
    <w:rsid w:val="00CD2DFF"/>
    <w:rsid w:val="00CD30A4"/>
    <w:rsid w:val="00CD31B9"/>
    <w:rsid w:val="00CD322E"/>
    <w:rsid w:val="00CD323E"/>
    <w:rsid w:val="00CD34FB"/>
    <w:rsid w:val="00CD36B3"/>
    <w:rsid w:val="00CD37A6"/>
    <w:rsid w:val="00CD3830"/>
    <w:rsid w:val="00CD3A92"/>
    <w:rsid w:val="00CD3B5B"/>
    <w:rsid w:val="00CD3CE7"/>
    <w:rsid w:val="00CD3DB0"/>
    <w:rsid w:val="00CD3DBB"/>
    <w:rsid w:val="00CD3DC3"/>
    <w:rsid w:val="00CD3E90"/>
    <w:rsid w:val="00CD3F6A"/>
    <w:rsid w:val="00CD45F5"/>
    <w:rsid w:val="00CD4725"/>
    <w:rsid w:val="00CD490E"/>
    <w:rsid w:val="00CD4A17"/>
    <w:rsid w:val="00CD4B1E"/>
    <w:rsid w:val="00CD4C7A"/>
    <w:rsid w:val="00CD4D87"/>
    <w:rsid w:val="00CD4D8E"/>
    <w:rsid w:val="00CD4DC2"/>
    <w:rsid w:val="00CD4E69"/>
    <w:rsid w:val="00CD4E8D"/>
    <w:rsid w:val="00CD4F53"/>
    <w:rsid w:val="00CD4FAF"/>
    <w:rsid w:val="00CD5061"/>
    <w:rsid w:val="00CD51AC"/>
    <w:rsid w:val="00CD5306"/>
    <w:rsid w:val="00CD5647"/>
    <w:rsid w:val="00CD575B"/>
    <w:rsid w:val="00CD57F9"/>
    <w:rsid w:val="00CD5A48"/>
    <w:rsid w:val="00CD5A63"/>
    <w:rsid w:val="00CD5BAD"/>
    <w:rsid w:val="00CD5D05"/>
    <w:rsid w:val="00CD5D66"/>
    <w:rsid w:val="00CD5FE9"/>
    <w:rsid w:val="00CD5FF9"/>
    <w:rsid w:val="00CD606F"/>
    <w:rsid w:val="00CD60CF"/>
    <w:rsid w:val="00CD63E2"/>
    <w:rsid w:val="00CD6568"/>
    <w:rsid w:val="00CD6695"/>
    <w:rsid w:val="00CD6757"/>
    <w:rsid w:val="00CD67B4"/>
    <w:rsid w:val="00CD67C1"/>
    <w:rsid w:val="00CD680F"/>
    <w:rsid w:val="00CD688D"/>
    <w:rsid w:val="00CD698A"/>
    <w:rsid w:val="00CD6AEB"/>
    <w:rsid w:val="00CD6B56"/>
    <w:rsid w:val="00CD6D12"/>
    <w:rsid w:val="00CD6D14"/>
    <w:rsid w:val="00CD6D1D"/>
    <w:rsid w:val="00CD7092"/>
    <w:rsid w:val="00CD7359"/>
    <w:rsid w:val="00CD7410"/>
    <w:rsid w:val="00CD7690"/>
    <w:rsid w:val="00CD7727"/>
    <w:rsid w:val="00CD77EB"/>
    <w:rsid w:val="00CD791D"/>
    <w:rsid w:val="00CD7B27"/>
    <w:rsid w:val="00CD7BB0"/>
    <w:rsid w:val="00CD7D31"/>
    <w:rsid w:val="00CD7F8E"/>
    <w:rsid w:val="00CD7FE9"/>
    <w:rsid w:val="00CD7FEF"/>
    <w:rsid w:val="00CE0180"/>
    <w:rsid w:val="00CE023A"/>
    <w:rsid w:val="00CE026A"/>
    <w:rsid w:val="00CE0386"/>
    <w:rsid w:val="00CE0533"/>
    <w:rsid w:val="00CE0613"/>
    <w:rsid w:val="00CE06EF"/>
    <w:rsid w:val="00CE0927"/>
    <w:rsid w:val="00CE0957"/>
    <w:rsid w:val="00CE0CBD"/>
    <w:rsid w:val="00CE0F67"/>
    <w:rsid w:val="00CE104B"/>
    <w:rsid w:val="00CE119B"/>
    <w:rsid w:val="00CE119D"/>
    <w:rsid w:val="00CE12A4"/>
    <w:rsid w:val="00CE145D"/>
    <w:rsid w:val="00CE1754"/>
    <w:rsid w:val="00CE17D6"/>
    <w:rsid w:val="00CE1974"/>
    <w:rsid w:val="00CE1AF2"/>
    <w:rsid w:val="00CE2001"/>
    <w:rsid w:val="00CE2014"/>
    <w:rsid w:val="00CE2046"/>
    <w:rsid w:val="00CE2098"/>
    <w:rsid w:val="00CE20E1"/>
    <w:rsid w:val="00CE211A"/>
    <w:rsid w:val="00CE23AB"/>
    <w:rsid w:val="00CE25F5"/>
    <w:rsid w:val="00CE26BE"/>
    <w:rsid w:val="00CE2720"/>
    <w:rsid w:val="00CE2858"/>
    <w:rsid w:val="00CE2A03"/>
    <w:rsid w:val="00CE2DA0"/>
    <w:rsid w:val="00CE2E21"/>
    <w:rsid w:val="00CE2E32"/>
    <w:rsid w:val="00CE2E4B"/>
    <w:rsid w:val="00CE2FC7"/>
    <w:rsid w:val="00CE3101"/>
    <w:rsid w:val="00CE335E"/>
    <w:rsid w:val="00CE336B"/>
    <w:rsid w:val="00CE33BC"/>
    <w:rsid w:val="00CE33F5"/>
    <w:rsid w:val="00CE38F5"/>
    <w:rsid w:val="00CE39F8"/>
    <w:rsid w:val="00CE3A68"/>
    <w:rsid w:val="00CE3AD1"/>
    <w:rsid w:val="00CE3D74"/>
    <w:rsid w:val="00CE3D89"/>
    <w:rsid w:val="00CE4011"/>
    <w:rsid w:val="00CE4098"/>
    <w:rsid w:val="00CE4265"/>
    <w:rsid w:val="00CE4336"/>
    <w:rsid w:val="00CE433F"/>
    <w:rsid w:val="00CE4525"/>
    <w:rsid w:val="00CE48C1"/>
    <w:rsid w:val="00CE49AE"/>
    <w:rsid w:val="00CE4A02"/>
    <w:rsid w:val="00CE4C22"/>
    <w:rsid w:val="00CE4C76"/>
    <w:rsid w:val="00CE4DF0"/>
    <w:rsid w:val="00CE4E52"/>
    <w:rsid w:val="00CE4E97"/>
    <w:rsid w:val="00CE4EF2"/>
    <w:rsid w:val="00CE4F18"/>
    <w:rsid w:val="00CE4F35"/>
    <w:rsid w:val="00CE507C"/>
    <w:rsid w:val="00CE50B2"/>
    <w:rsid w:val="00CE537E"/>
    <w:rsid w:val="00CE551B"/>
    <w:rsid w:val="00CE57A4"/>
    <w:rsid w:val="00CE5819"/>
    <w:rsid w:val="00CE59B1"/>
    <w:rsid w:val="00CE59EF"/>
    <w:rsid w:val="00CE5C2C"/>
    <w:rsid w:val="00CE5E8F"/>
    <w:rsid w:val="00CE6191"/>
    <w:rsid w:val="00CE6274"/>
    <w:rsid w:val="00CE62B8"/>
    <w:rsid w:val="00CE662B"/>
    <w:rsid w:val="00CE6688"/>
    <w:rsid w:val="00CE67AC"/>
    <w:rsid w:val="00CE6850"/>
    <w:rsid w:val="00CE696B"/>
    <w:rsid w:val="00CE696E"/>
    <w:rsid w:val="00CE6A43"/>
    <w:rsid w:val="00CE6B21"/>
    <w:rsid w:val="00CE6B47"/>
    <w:rsid w:val="00CE6BC4"/>
    <w:rsid w:val="00CE6CBD"/>
    <w:rsid w:val="00CE6D38"/>
    <w:rsid w:val="00CE6D45"/>
    <w:rsid w:val="00CE6E75"/>
    <w:rsid w:val="00CE6F41"/>
    <w:rsid w:val="00CE7150"/>
    <w:rsid w:val="00CE7287"/>
    <w:rsid w:val="00CE74EA"/>
    <w:rsid w:val="00CE7594"/>
    <w:rsid w:val="00CE7766"/>
    <w:rsid w:val="00CE77A5"/>
    <w:rsid w:val="00CE798A"/>
    <w:rsid w:val="00CE7ABA"/>
    <w:rsid w:val="00CE7E79"/>
    <w:rsid w:val="00CE7E8D"/>
    <w:rsid w:val="00CE7EB9"/>
    <w:rsid w:val="00CE7F6B"/>
    <w:rsid w:val="00CE7F71"/>
    <w:rsid w:val="00CF01D0"/>
    <w:rsid w:val="00CF026C"/>
    <w:rsid w:val="00CF03D8"/>
    <w:rsid w:val="00CF03E3"/>
    <w:rsid w:val="00CF04DF"/>
    <w:rsid w:val="00CF0529"/>
    <w:rsid w:val="00CF0536"/>
    <w:rsid w:val="00CF05A8"/>
    <w:rsid w:val="00CF07F5"/>
    <w:rsid w:val="00CF0851"/>
    <w:rsid w:val="00CF0996"/>
    <w:rsid w:val="00CF09EC"/>
    <w:rsid w:val="00CF0A54"/>
    <w:rsid w:val="00CF0DE6"/>
    <w:rsid w:val="00CF17AC"/>
    <w:rsid w:val="00CF18E7"/>
    <w:rsid w:val="00CF1B8E"/>
    <w:rsid w:val="00CF1C64"/>
    <w:rsid w:val="00CF1C83"/>
    <w:rsid w:val="00CF1D54"/>
    <w:rsid w:val="00CF1E63"/>
    <w:rsid w:val="00CF2043"/>
    <w:rsid w:val="00CF2181"/>
    <w:rsid w:val="00CF22EC"/>
    <w:rsid w:val="00CF2382"/>
    <w:rsid w:val="00CF23B2"/>
    <w:rsid w:val="00CF2502"/>
    <w:rsid w:val="00CF252E"/>
    <w:rsid w:val="00CF267F"/>
    <w:rsid w:val="00CF26D5"/>
    <w:rsid w:val="00CF27B2"/>
    <w:rsid w:val="00CF2880"/>
    <w:rsid w:val="00CF2996"/>
    <w:rsid w:val="00CF2D78"/>
    <w:rsid w:val="00CF30A3"/>
    <w:rsid w:val="00CF31A1"/>
    <w:rsid w:val="00CF31FE"/>
    <w:rsid w:val="00CF32A8"/>
    <w:rsid w:val="00CF32E9"/>
    <w:rsid w:val="00CF3646"/>
    <w:rsid w:val="00CF36AC"/>
    <w:rsid w:val="00CF374C"/>
    <w:rsid w:val="00CF38E1"/>
    <w:rsid w:val="00CF38F1"/>
    <w:rsid w:val="00CF3927"/>
    <w:rsid w:val="00CF3986"/>
    <w:rsid w:val="00CF3BC7"/>
    <w:rsid w:val="00CF3D3C"/>
    <w:rsid w:val="00CF3E29"/>
    <w:rsid w:val="00CF3E3B"/>
    <w:rsid w:val="00CF3F2C"/>
    <w:rsid w:val="00CF4161"/>
    <w:rsid w:val="00CF41F5"/>
    <w:rsid w:val="00CF4341"/>
    <w:rsid w:val="00CF43A9"/>
    <w:rsid w:val="00CF4555"/>
    <w:rsid w:val="00CF4658"/>
    <w:rsid w:val="00CF49CF"/>
    <w:rsid w:val="00CF49E8"/>
    <w:rsid w:val="00CF4A64"/>
    <w:rsid w:val="00CF4C89"/>
    <w:rsid w:val="00CF4E3B"/>
    <w:rsid w:val="00CF4F0E"/>
    <w:rsid w:val="00CF5074"/>
    <w:rsid w:val="00CF50A0"/>
    <w:rsid w:val="00CF50B9"/>
    <w:rsid w:val="00CF521D"/>
    <w:rsid w:val="00CF528D"/>
    <w:rsid w:val="00CF5445"/>
    <w:rsid w:val="00CF56CA"/>
    <w:rsid w:val="00CF581C"/>
    <w:rsid w:val="00CF5A0D"/>
    <w:rsid w:val="00CF5EC5"/>
    <w:rsid w:val="00CF5F01"/>
    <w:rsid w:val="00CF5F8A"/>
    <w:rsid w:val="00CF6053"/>
    <w:rsid w:val="00CF6348"/>
    <w:rsid w:val="00CF6367"/>
    <w:rsid w:val="00CF6436"/>
    <w:rsid w:val="00CF647A"/>
    <w:rsid w:val="00CF64AC"/>
    <w:rsid w:val="00CF64FD"/>
    <w:rsid w:val="00CF6527"/>
    <w:rsid w:val="00CF675C"/>
    <w:rsid w:val="00CF6761"/>
    <w:rsid w:val="00CF67E1"/>
    <w:rsid w:val="00CF6911"/>
    <w:rsid w:val="00CF6950"/>
    <w:rsid w:val="00CF6A70"/>
    <w:rsid w:val="00CF6AB4"/>
    <w:rsid w:val="00CF6E15"/>
    <w:rsid w:val="00CF6E2B"/>
    <w:rsid w:val="00CF6E57"/>
    <w:rsid w:val="00CF6E5E"/>
    <w:rsid w:val="00CF6EA6"/>
    <w:rsid w:val="00CF7150"/>
    <w:rsid w:val="00CF71A8"/>
    <w:rsid w:val="00CF71E0"/>
    <w:rsid w:val="00CF72F8"/>
    <w:rsid w:val="00CF7434"/>
    <w:rsid w:val="00CF74BA"/>
    <w:rsid w:val="00CF79F8"/>
    <w:rsid w:val="00CF7D00"/>
    <w:rsid w:val="00CF7D2A"/>
    <w:rsid w:val="00CF7E86"/>
    <w:rsid w:val="00D00308"/>
    <w:rsid w:val="00D003B5"/>
    <w:rsid w:val="00D0040B"/>
    <w:rsid w:val="00D00537"/>
    <w:rsid w:val="00D0064F"/>
    <w:rsid w:val="00D0088C"/>
    <w:rsid w:val="00D00935"/>
    <w:rsid w:val="00D009C6"/>
    <w:rsid w:val="00D00C2E"/>
    <w:rsid w:val="00D00D60"/>
    <w:rsid w:val="00D00DBA"/>
    <w:rsid w:val="00D00EB5"/>
    <w:rsid w:val="00D01018"/>
    <w:rsid w:val="00D01068"/>
    <w:rsid w:val="00D012EB"/>
    <w:rsid w:val="00D01372"/>
    <w:rsid w:val="00D013A9"/>
    <w:rsid w:val="00D016DD"/>
    <w:rsid w:val="00D01806"/>
    <w:rsid w:val="00D01899"/>
    <w:rsid w:val="00D01985"/>
    <w:rsid w:val="00D01A0B"/>
    <w:rsid w:val="00D01A89"/>
    <w:rsid w:val="00D02189"/>
    <w:rsid w:val="00D02241"/>
    <w:rsid w:val="00D02335"/>
    <w:rsid w:val="00D02400"/>
    <w:rsid w:val="00D026C7"/>
    <w:rsid w:val="00D027C4"/>
    <w:rsid w:val="00D02817"/>
    <w:rsid w:val="00D02854"/>
    <w:rsid w:val="00D02950"/>
    <w:rsid w:val="00D02A8A"/>
    <w:rsid w:val="00D02A98"/>
    <w:rsid w:val="00D02B29"/>
    <w:rsid w:val="00D02B48"/>
    <w:rsid w:val="00D02C17"/>
    <w:rsid w:val="00D02DE8"/>
    <w:rsid w:val="00D03085"/>
    <w:rsid w:val="00D031EE"/>
    <w:rsid w:val="00D032B5"/>
    <w:rsid w:val="00D032E5"/>
    <w:rsid w:val="00D03384"/>
    <w:rsid w:val="00D0344A"/>
    <w:rsid w:val="00D034D6"/>
    <w:rsid w:val="00D03644"/>
    <w:rsid w:val="00D038E6"/>
    <w:rsid w:val="00D03A04"/>
    <w:rsid w:val="00D03A96"/>
    <w:rsid w:val="00D03B7C"/>
    <w:rsid w:val="00D03BDD"/>
    <w:rsid w:val="00D03E7F"/>
    <w:rsid w:val="00D03EBC"/>
    <w:rsid w:val="00D04058"/>
    <w:rsid w:val="00D041A8"/>
    <w:rsid w:val="00D041E2"/>
    <w:rsid w:val="00D04429"/>
    <w:rsid w:val="00D0464B"/>
    <w:rsid w:val="00D048DA"/>
    <w:rsid w:val="00D04963"/>
    <w:rsid w:val="00D04C43"/>
    <w:rsid w:val="00D05065"/>
    <w:rsid w:val="00D051D6"/>
    <w:rsid w:val="00D05284"/>
    <w:rsid w:val="00D053A0"/>
    <w:rsid w:val="00D05547"/>
    <w:rsid w:val="00D0576A"/>
    <w:rsid w:val="00D05818"/>
    <w:rsid w:val="00D05990"/>
    <w:rsid w:val="00D059E9"/>
    <w:rsid w:val="00D05C17"/>
    <w:rsid w:val="00D05D6B"/>
    <w:rsid w:val="00D05EA8"/>
    <w:rsid w:val="00D06172"/>
    <w:rsid w:val="00D06202"/>
    <w:rsid w:val="00D0632F"/>
    <w:rsid w:val="00D06357"/>
    <w:rsid w:val="00D063F2"/>
    <w:rsid w:val="00D06478"/>
    <w:rsid w:val="00D06494"/>
    <w:rsid w:val="00D06560"/>
    <w:rsid w:val="00D06571"/>
    <w:rsid w:val="00D06586"/>
    <w:rsid w:val="00D06640"/>
    <w:rsid w:val="00D0687D"/>
    <w:rsid w:val="00D068FA"/>
    <w:rsid w:val="00D06922"/>
    <w:rsid w:val="00D06A58"/>
    <w:rsid w:val="00D06A9B"/>
    <w:rsid w:val="00D06CC2"/>
    <w:rsid w:val="00D06D34"/>
    <w:rsid w:val="00D06DF3"/>
    <w:rsid w:val="00D06EEA"/>
    <w:rsid w:val="00D07109"/>
    <w:rsid w:val="00D07155"/>
    <w:rsid w:val="00D07319"/>
    <w:rsid w:val="00D07408"/>
    <w:rsid w:val="00D0750B"/>
    <w:rsid w:val="00D0752F"/>
    <w:rsid w:val="00D07BAC"/>
    <w:rsid w:val="00D101F7"/>
    <w:rsid w:val="00D104B2"/>
    <w:rsid w:val="00D10647"/>
    <w:rsid w:val="00D106A7"/>
    <w:rsid w:val="00D10805"/>
    <w:rsid w:val="00D10927"/>
    <w:rsid w:val="00D10AF7"/>
    <w:rsid w:val="00D10B58"/>
    <w:rsid w:val="00D10C92"/>
    <w:rsid w:val="00D10D6E"/>
    <w:rsid w:val="00D10EF0"/>
    <w:rsid w:val="00D10F86"/>
    <w:rsid w:val="00D11276"/>
    <w:rsid w:val="00D114D5"/>
    <w:rsid w:val="00D116E7"/>
    <w:rsid w:val="00D11C06"/>
    <w:rsid w:val="00D11E8C"/>
    <w:rsid w:val="00D12006"/>
    <w:rsid w:val="00D12174"/>
    <w:rsid w:val="00D121C5"/>
    <w:rsid w:val="00D128D7"/>
    <w:rsid w:val="00D12AA5"/>
    <w:rsid w:val="00D12B2D"/>
    <w:rsid w:val="00D12C23"/>
    <w:rsid w:val="00D12D64"/>
    <w:rsid w:val="00D12F80"/>
    <w:rsid w:val="00D1305A"/>
    <w:rsid w:val="00D132C6"/>
    <w:rsid w:val="00D13325"/>
    <w:rsid w:val="00D133AD"/>
    <w:rsid w:val="00D13467"/>
    <w:rsid w:val="00D1349A"/>
    <w:rsid w:val="00D1349F"/>
    <w:rsid w:val="00D13522"/>
    <w:rsid w:val="00D13732"/>
    <w:rsid w:val="00D13756"/>
    <w:rsid w:val="00D13EEA"/>
    <w:rsid w:val="00D13FAA"/>
    <w:rsid w:val="00D13FB2"/>
    <w:rsid w:val="00D14119"/>
    <w:rsid w:val="00D1411A"/>
    <w:rsid w:val="00D14225"/>
    <w:rsid w:val="00D14550"/>
    <w:rsid w:val="00D146FB"/>
    <w:rsid w:val="00D14AA6"/>
    <w:rsid w:val="00D14AAE"/>
    <w:rsid w:val="00D14AC9"/>
    <w:rsid w:val="00D14DF5"/>
    <w:rsid w:val="00D15124"/>
    <w:rsid w:val="00D151E2"/>
    <w:rsid w:val="00D15451"/>
    <w:rsid w:val="00D15736"/>
    <w:rsid w:val="00D1575A"/>
    <w:rsid w:val="00D157B0"/>
    <w:rsid w:val="00D157B6"/>
    <w:rsid w:val="00D15D2C"/>
    <w:rsid w:val="00D15F20"/>
    <w:rsid w:val="00D1601F"/>
    <w:rsid w:val="00D1608A"/>
    <w:rsid w:val="00D161DA"/>
    <w:rsid w:val="00D16280"/>
    <w:rsid w:val="00D162C5"/>
    <w:rsid w:val="00D162EA"/>
    <w:rsid w:val="00D16313"/>
    <w:rsid w:val="00D1632A"/>
    <w:rsid w:val="00D163AE"/>
    <w:rsid w:val="00D16499"/>
    <w:rsid w:val="00D1652C"/>
    <w:rsid w:val="00D166D2"/>
    <w:rsid w:val="00D16815"/>
    <w:rsid w:val="00D16874"/>
    <w:rsid w:val="00D169BE"/>
    <w:rsid w:val="00D16A9D"/>
    <w:rsid w:val="00D16B2A"/>
    <w:rsid w:val="00D16B49"/>
    <w:rsid w:val="00D16BA9"/>
    <w:rsid w:val="00D16C1C"/>
    <w:rsid w:val="00D16CD7"/>
    <w:rsid w:val="00D16D50"/>
    <w:rsid w:val="00D16E17"/>
    <w:rsid w:val="00D16EE0"/>
    <w:rsid w:val="00D1710B"/>
    <w:rsid w:val="00D1713B"/>
    <w:rsid w:val="00D17656"/>
    <w:rsid w:val="00D17774"/>
    <w:rsid w:val="00D1784D"/>
    <w:rsid w:val="00D178FD"/>
    <w:rsid w:val="00D17BB1"/>
    <w:rsid w:val="00D17C6C"/>
    <w:rsid w:val="00D17ECD"/>
    <w:rsid w:val="00D17F39"/>
    <w:rsid w:val="00D200DC"/>
    <w:rsid w:val="00D201DC"/>
    <w:rsid w:val="00D202C2"/>
    <w:rsid w:val="00D20361"/>
    <w:rsid w:val="00D2042A"/>
    <w:rsid w:val="00D20917"/>
    <w:rsid w:val="00D20A32"/>
    <w:rsid w:val="00D20B77"/>
    <w:rsid w:val="00D20D01"/>
    <w:rsid w:val="00D20D4B"/>
    <w:rsid w:val="00D20EAF"/>
    <w:rsid w:val="00D210EC"/>
    <w:rsid w:val="00D2139F"/>
    <w:rsid w:val="00D21500"/>
    <w:rsid w:val="00D21523"/>
    <w:rsid w:val="00D21591"/>
    <w:rsid w:val="00D21A07"/>
    <w:rsid w:val="00D21B97"/>
    <w:rsid w:val="00D21E7C"/>
    <w:rsid w:val="00D21F29"/>
    <w:rsid w:val="00D21FCF"/>
    <w:rsid w:val="00D223C5"/>
    <w:rsid w:val="00D22426"/>
    <w:rsid w:val="00D2262B"/>
    <w:rsid w:val="00D226FF"/>
    <w:rsid w:val="00D22783"/>
    <w:rsid w:val="00D227B3"/>
    <w:rsid w:val="00D228AC"/>
    <w:rsid w:val="00D22929"/>
    <w:rsid w:val="00D22A09"/>
    <w:rsid w:val="00D22A6B"/>
    <w:rsid w:val="00D22AA7"/>
    <w:rsid w:val="00D22BC4"/>
    <w:rsid w:val="00D2301A"/>
    <w:rsid w:val="00D23109"/>
    <w:rsid w:val="00D23195"/>
    <w:rsid w:val="00D231CC"/>
    <w:rsid w:val="00D2328C"/>
    <w:rsid w:val="00D2337D"/>
    <w:rsid w:val="00D2341E"/>
    <w:rsid w:val="00D23573"/>
    <w:rsid w:val="00D23A64"/>
    <w:rsid w:val="00D23E15"/>
    <w:rsid w:val="00D23EE2"/>
    <w:rsid w:val="00D24107"/>
    <w:rsid w:val="00D2424F"/>
    <w:rsid w:val="00D246D6"/>
    <w:rsid w:val="00D24752"/>
    <w:rsid w:val="00D2476A"/>
    <w:rsid w:val="00D2487A"/>
    <w:rsid w:val="00D248A8"/>
    <w:rsid w:val="00D24960"/>
    <w:rsid w:val="00D24ABB"/>
    <w:rsid w:val="00D24B13"/>
    <w:rsid w:val="00D24CE7"/>
    <w:rsid w:val="00D24F51"/>
    <w:rsid w:val="00D24F9C"/>
    <w:rsid w:val="00D250A5"/>
    <w:rsid w:val="00D252CD"/>
    <w:rsid w:val="00D25404"/>
    <w:rsid w:val="00D254BE"/>
    <w:rsid w:val="00D2560C"/>
    <w:rsid w:val="00D25703"/>
    <w:rsid w:val="00D259FE"/>
    <w:rsid w:val="00D260A7"/>
    <w:rsid w:val="00D26208"/>
    <w:rsid w:val="00D262A2"/>
    <w:rsid w:val="00D26476"/>
    <w:rsid w:val="00D26662"/>
    <w:rsid w:val="00D268A2"/>
    <w:rsid w:val="00D26925"/>
    <w:rsid w:val="00D26CF9"/>
    <w:rsid w:val="00D26D2B"/>
    <w:rsid w:val="00D26E57"/>
    <w:rsid w:val="00D26E96"/>
    <w:rsid w:val="00D26EF1"/>
    <w:rsid w:val="00D27096"/>
    <w:rsid w:val="00D270F9"/>
    <w:rsid w:val="00D2717C"/>
    <w:rsid w:val="00D273BD"/>
    <w:rsid w:val="00D27638"/>
    <w:rsid w:val="00D27731"/>
    <w:rsid w:val="00D27779"/>
    <w:rsid w:val="00D27987"/>
    <w:rsid w:val="00D27A07"/>
    <w:rsid w:val="00D27A2F"/>
    <w:rsid w:val="00D27AF4"/>
    <w:rsid w:val="00D27D6B"/>
    <w:rsid w:val="00D308B2"/>
    <w:rsid w:val="00D30A2B"/>
    <w:rsid w:val="00D30B5E"/>
    <w:rsid w:val="00D30D23"/>
    <w:rsid w:val="00D30DD4"/>
    <w:rsid w:val="00D31250"/>
    <w:rsid w:val="00D3143B"/>
    <w:rsid w:val="00D31449"/>
    <w:rsid w:val="00D31516"/>
    <w:rsid w:val="00D3160A"/>
    <w:rsid w:val="00D317B2"/>
    <w:rsid w:val="00D31886"/>
    <w:rsid w:val="00D318B7"/>
    <w:rsid w:val="00D31B49"/>
    <w:rsid w:val="00D31E6A"/>
    <w:rsid w:val="00D31EE4"/>
    <w:rsid w:val="00D3202F"/>
    <w:rsid w:val="00D32163"/>
    <w:rsid w:val="00D3246C"/>
    <w:rsid w:val="00D32479"/>
    <w:rsid w:val="00D3258A"/>
    <w:rsid w:val="00D326A9"/>
    <w:rsid w:val="00D326E8"/>
    <w:rsid w:val="00D327C8"/>
    <w:rsid w:val="00D328BE"/>
    <w:rsid w:val="00D32C4B"/>
    <w:rsid w:val="00D3304D"/>
    <w:rsid w:val="00D33100"/>
    <w:rsid w:val="00D3332B"/>
    <w:rsid w:val="00D33360"/>
    <w:rsid w:val="00D33905"/>
    <w:rsid w:val="00D33998"/>
    <w:rsid w:val="00D33A66"/>
    <w:rsid w:val="00D33A89"/>
    <w:rsid w:val="00D33CFC"/>
    <w:rsid w:val="00D33E3B"/>
    <w:rsid w:val="00D33F3A"/>
    <w:rsid w:val="00D341BA"/>
    <w:rsid w:val="00D341FE"/>
    <w:rsid w:val="00D3450E"/>
    <w:rsid w:val="00D34634"/>
    <w:rsid w:val="00D347F8"/>
    <w:rsid w:val="00D348D7"/>
    <w:rsid w:val="00D349F3"/>
    <w:rsid w:val="00D34B8F"/>
    <w:rsid w:val="00D34C2A"/>
    <w:rsid w:val="00D350B4"/>
    <w:rsid w:val="00D351D7"/>
    <w:rsid w:val="00D35568"/>
    <w:rsid w:val="00D356B5"/>
    <w:rsid w:val="00D35709"/>
    <w:rsid w:val="00D35756"/>
    <w:rsid w:val="00D35778"/>
    <w:rsid w:val="00D357C5"/>
    <w:rsid w:val="00D35801"/>
    <w:rsid w:val="00D3583E"/>
    <w:rsid w:val="00D358F6"/>
    <w:rsid w:val="00D35917"/>
    <w:rsid w:val="00D3596D"/>
    <w:rsid w:val="00D35B06"/>
    <w:rsid w:val="00D35B3B"/>
    <w:rsid w:val="00D35C8B"/>
    <w:rsid w:val="00D35D85"/>
    <w:rsid w:val="00D35DCA"/>
    <w:rsid w:val="00D35ED9"/>
    <w:rsid w:val="00D360A9"/>
    <w:rsid w:val="00D3621E"/>
    <w:rsid w:val="00D362AC"/>
    <w:rsid w:val="00D362F9"/>
    <w:rsid w:val="00D364E2"/>
    <w:rsid w:val="00D36A14"/>
    <w:rsid w:val="00D36A57"/>
    <w:rsid w:val="00D36A81"/>
    <w:rsid w:val="00D36B31"/>
    <w:rsid w:val="00D36BA1"/>
    <w:rsid w:val="00D36C17"/>
    <w:rsid w:val="00D36D5E"/>
    <w:rsid w:val="00D36F35"/>
    <w:rsid w:val="00D36F54"/>
    <w:rsid w:val="00D36F74"/>
    <w:rsid w:val="00D36FAC"/>
    <w:rsid w:val="00D373AB"/>
    <w:rsid w:val="00D3746D"/>
    <w:rsid w:val="00D37553"/>
    <w:rsid w:val="00D37756"/>
    <w:rsid w:val="00D37842"/>
    <w:rsid w:val="00D37987"/>
    <w:rsid w:val="00D37A95"/>
    <w:rsid w:val="00D37BBF"/>
    <w:rsid w:val="00D37CCD"/>
    <w:rsid w:val="00D37EB0"/>
    <w:rsid w:val="00D37FD1"/>
    <w:rsid w:val="00D40069"/>
    <w:rsid w:val="00D400E4"/>
    <w:rsid w:val="00D40265"/>
    <w:rsid w:val="00D4033F"/>
    <w:rsid w:val="00D4047D"/>
    <w:rsid w:val="00D405AE"/>
    <w:rsid w:val="00D40895"/>
    <w:rsid w:val="00D408A4"/>
    <w:rsid w:val="00D40EB3"/>
    <w:rsid w:val="00D40EB7"/>
    <w:rsid w:val="00D41185"/>
    <w:rsid w:val="00D412D8"/>
    <w:rsid w:val="00D413A3"/>
    <w:rsid w:val="00D41853"/>
    <w:rsid w:val="00D419A9"/>
    <w:rsid w:val="00D419BD"/>
    <w:rsid w:val="00D41ABE"/>
    <w:rsid w:val="00D41B58"/>
    <w:rsid w:val="00D41E4B"/>
    <w:rsid w:val="00D41F1F"/>
    <w:rsid w:val="00D4226B"/>
    <w:rsid w:val="00D42315"/>
    <w:rsid w:val="00D42423"/>
    <w:rsid w:val="00D42633"/>
    <w:rsid w:val="00D42ACE"/>
    <w:rsid w:val="00D42D34"/>
    <w:rsid w:val="00D42F02"/>
    <w:rsid w:val="00D4325A"/>
    <w:rsid w:val="00D433A1"/>
    <w:rsid w:val="00D43567"/>
    <w:rsid w:val="00D43586"/>
    <w:rsid w:val="00D435A4"/>
    <w:rsid w:val="00D435E4"/>
    <w:rsid w:val="00D43622"/>
    <w:rsid w:val="00D4365E"/>
    <w:rsid w:val="00D436CC"/>
    <w:rsid w:val="00D437F4"/>
    <w:rsid w:val="00D4398A"/>
    <w:rsid w:val="00D43A45"/>
    <w:rsid w:val="00D43AD6"/>
    <w:rsid w:val="00D44190"/>
    <w:rsid w:val="00D44195"/>
    <w:rsid w:val="00D44310"/>
    <w:rsid w:val="00D444A3"/>
    <w:rsid w:val="00D44646"/>
    <w:rsid w:val="00D44B02"/>
    <w:rsid w:val="00D44B09"/>
    <w:rsid w:val="00D44CCF"/>
    <w:rsid w:val="00D45014"/>
    <w:rsid w:val="00D45060"/>
    <w:rsid w:val="00D45461"/>
    <w:rsid w:val="00D45583"/>
    <w:rsid w:val="00D455F1"/>
    <w:rsid w:val="00D45623"/>
    <w:rsid w:val="00D45650"/>
    <w:rsid w:val="00D456A1"/>
    <w:rsid w:val="00D457EC"/>
    <w:rsid w:val="00D457F3"/>
    <w:rsid w:val="00D45A46"/>
    <w:rsid w:val="00D45B04"/>
    <w:rsid w:val="00D45DA6"/>
    <w:rsid w:val="00D45DE7"/>
    <w:rsid w:val="00D45E56"/>
    <w:rsid w:val="00D45FF3"/>
    <w:rsid w:val="00D4624E"/>
    <w:rsid w:val="00D463E5"/>
    <w:rsid w:val="00D4648A"/>
    <w:rsid w:val="00D464AF"/>
    <w:rsid w:val="00D464F8"/>
    <w:rsid w:val="00D4654C"/>
    <w:rsid w:val="00D4672F"/>
    <w:rsid w:val="00D468A3"/>
    <w:rsid w:val="00D46A71"/>
    <w:rsid w:val="00D46B14"/>
    <w:rsid w:val="00D46C2A"/>
    <w:rsid w:val="00D46ED6"/>
    <w:rsid w:val="00D4706C"/>
    <w:rsid w:val="00D4724A"/>
    <w:rsid w:val="00D47364"/>
    <w:rsid w:val="00D473F0"/>
    <w:rsid w:val="00D477C4"/>
    <w:rsid w:val="00D477F5"/>
    <w:rsid w:val="00D47839"/>
    <w:rsid w:val="00D47A05"/>
    <w:rsid w:val="00D47AE4"/>
    <w:rsid w:val="00D47C44"/>
    <w:rsid w:val="00D47DE4"/>
    <w:rsid w:val="00D47EC3"/>
    <w:rsid w:val="00D47EC6"/>
    <w:rsid w:val="00D47EE4"/>
    <w:rsid w:val="00D50032"/>
    <w:rsid w:val="00D500A1"/>
    <w:rsid w:val="00D500C9"/>
    <w:rsid w:val="00D50407"/>
    <w:rsid w:val="00D5041D"/>
    <w:rsid w:val="00D5049F"/>
    <w:rsid w:val="00D50A0D"/>
    <w:rsid w:val="00D50BAD"/>
    <w:rsid w:val="00D50CE0"/>
    <w:rsid w:val="00D50E98"/>
    <w:rsid w:val="00D50ED6"/>
    <w:rsid w:val="00D50F63"/>
    <w:rsid w:val="00D50FD4"/>
    <w:rsid w:val="00D510AA"/>
    <w:rsid w:val="00D510F6"/>
    <w:rsid w:val="00D511C3"/>
    <w:rsid w:val="00D51371"/>
    <w:rsid w:val="00D513FD"/>
    <w:rsid w:val="00D514C7"/>
    <w:rsid w:val="00D5172D"/>
    <w:rsid w:val="00D51936"/>
    <w:rsid w:val="00D51A33"/>
    <w:rsid w:val="00D51D05"/>
    <w:rsid w:val="00D51DD5"/>
    <w:rsid w:val="00D51E1E"/>
    <w:rsid w:val="00D51F22"/>
    <w:rsid w:val="00D5204C"/>
    <w:rsid w:val="00D52061"/>
    <w:rsid w:val="00D52172"/>
    <w:rsid w:val="00D52485"/>
    <w:rsid w:val="00D52490"/>
    <w:rsid w:val="00D526DE"/>
    <w:rsid w:val="00D5270F"/>
    <w:rsid w:val="00D5274E"/>
    <w:rsid w:val="00D5275B"/>
    <w:rsid w:val="00D527FA"/>
    <w:rsid w:val="00D5291E"/>
    <w:rsid w:val="00D5293A"/>
    <w:rsid w:val="00D52A7F"/>
    <w:rsid w:val="00D52B34"/>
    <w:rsid w:val="00D52B52"/>
    <w:rsid w:val="00D52C71"/>
    <w:rsid w:val="00D52F00"/>
    <w:rsid w:val="00D5301A"/>
    <w:rsid w:val="00D53124"/>
    <w:rsid w:val="00D53289"/>
    <w:rsid w:val="00D53547"/>
    <w:rsid w:val="00D535AC"/>
    <w:rsid w:val="00D5369C"/>
    <w:rsid w:val="00D537D8"/>
    <w:rsid w:val="00D5392A"/>
    <w:rsid w:val="00D53C40"/>
    <w:rsid w:val="00D53C7B"/>
    <w:rsid w:val="00D53CD3"/>
    <w:rsid w:val="00D53F2D"/>
    <w:rsid w:val="00D540C3"/>
    <w:rsid w:val="00D5446B"/>
    <w:rsid w:val="00D545C5"/>
    <w:rsid w:val="00D547B6"/>
    <w:rsid w:val="00D5482F"/>
    <w:rsid w:val="00D54A53"/>
    <w:rsid w:val="00D54B71"/>
    <w:rsid w:val="00D54D48"/>
    <w:rsid w:val="00D54E2F"/>
    <w:rsid w:val="00D54E53"/>
    <w:rsid w:val="00D54FA3"/>
    <w:rsid w:val="00D55085"/>
    <w:rsid w:val="00D554CA"/>
    <w:rsid w:val="00D55533"/>
    <w:rsid w:val="00D557CE"/>
    <w:rsid w:val="00D5591F"/>
    <w:rsid w:val="00D559DD"/>
    <w:rsid w:val="00D55AF2"/>
    <w:rsid w:val="00D55B04"/>
    <w:rsid w:val="00D55C4A"/>
    <w:rsid w:val="00D55CC9"/>
    <w:rsid w:val="00D55D54"/>
    <w:rsid w:val="00D55EF1"/>
    <w:rsid w:val="00D55FA8"/>
    <w:rsid w:val="00D5604E"/>
    <w:rsid w:val="00D56090"/>
    <w:rsid w:val="00D56145"/>
    <w:rsid w:val="00D563B8"/>
    <w:rsid w:val="00D566EA"/>
    <w:rsid w:val="00D56728"/>
    <w:rsid w:val="00D56931"/>
    <w:rsid w:val="00D56D62"/>
    <w:rsid w:val="00D56D9A"/>
    <w:rsid w:val="00D5705F"/>
    <w:rsid w:val="00D57130"/>
    <w:rsid w:val="00D571AC"/>
    <w:rsid w:val="00D57341"/>
    <w:rsid w:val="00D574B8"/>
    <w:rsid w:val="00D575CF"/>
    <w:rsid w:val="00D5762D"/>
    <w:rsid w:val="00D57797"/>
    <w:rsid w:val="00D578CB"/>
    <w:rsid w:val="00D578E3"/>
    <w:rsid w:val="00D578FD"/>
    <w:rsid w:val="00D579B8"/>
    <w:rsid w:val="00D57A9F"/>
    <w:rsid w:val="00D57B11"/>
    <w:rsid w:val="00D57E01"/>
    <w:rsid w:val="00D57E59"/>
    <w:rsid w:val="00D57F16"/>
    <w:rsid w:val="00D57F1E"/>
    <w:rsid w:val="00D57F3A"/>
    <w:rsid w:val="00D57F44"/>
    <w:rsid w:val="00D57FA3"/>
    <w:rsid w:val="00D60120"/>
    <w:rsid w:val="00D60375"/>
    <w:rsid w:val="00D60558"/>
    <w:rsid w:val="00D6055B"/>
    <w:rsid w:val="00D608E6"/>
    <w:rsid w:val="00D609C4"/>
    <w:rsid w:val="00D60A64"/>
    <w:rsid w:val="00D60ACD"/>
    <w:rsid w:val="00D60B55"/>
    <w:rsid w:val="00D60B62"/>
    <w:rsid w:val="00D60DE5"/>
    <w:rsid w:val="00D60FF1"/>
    <w:rsid w:val="00D6105C"/>
    <w:rsid w:val="00D61085"/>
    <w:rsid w:val="00D6108C"/>
    <w:rsid w:val="00D610D3"/>
    <w:rsid w:val="00D6145E"/>
    <w:rsid w:val="00D614B2"/>
    <w:rsid w:val="00D6152F"/>
    <w:rsid w:val="00D61559"/>
    <w:rsid w:val="00D6158E"/>
    <w:rsid w:val="00D615B2"/>
    <w:rsid w:val="00D616D4"/>
    <w:rsid w:val="00D61EA3"/>
    <w:rsid w:val="00D61FA7"/>
    <w:rsid w:val="00D62094"/>
    <w:rsid w:val="00D620A3"/>
    <w:rsid w:val="00D622CF"/>
    <w:rsid w:val="00D6239B"/>
    <w:rsid w:val="00D62417"/>
    <w:rsid w:val="00D6284A"/>
    <w:rsid w:val="00D62937"/>
    <w:rsid w:val="00D62967"/>
    <w:rsid w:val="00D629EE"/>
    <w:rsid w:val="00D62A0D"/>
    <w:rsid w:val="00D62B03"/>
    <w:rsid w:val="00D62B72"/>
    <w:rsid w:val="00D62C00"/>
    <w:rsid w:val="00D62EA4"/>
    <w:rsid w:val="00D62F01"/>
    <w:rsid w:val="00D62F03"/>
    <w:rsid w:val="00D62F76"/>
    <w:rsid w:val="00D630C2"/>
    <w:rsid w:val="00D63117"/>
    <w:rsid w:val="00D63124"/>
    <w:rsid w:val="00D632C7"/>
    <w:rsid w:val="00D6340E"/>
    <w:rsid w:val="00D63422"/>
    <w:rsid w:val="00D634E2"/>
    <w:rsid w:val="00D635A1"/>
    <w:rsid w:val="00D635D0"/>
    <w:rsid w:val="00D63901"/>
    <w:rsid w:val="00D63A1B"/>
    <w:rsid w:val="00D63AC1"/>
    <w:rsid w:val="00D63AD7"/>
    <w:rsid w:val="00D63B88"/>
    <w:rsid w:val="00D63C9A"/>
    <w:rsid w:val="00D64127"/>
    <w:rsid w:val="00D644CF"/>
    <w:rsid w:val="00D6463F"/>
    <w:rsid w:val="00D647EB"/>
    <w:rsid w:val="00D647F3"/>
    <w:rsid w:val="00D64C2E"/>
    <w:rsid w:val="00D64CCF"/>
    <w:rsid w:val="00D64E7F"/>
    <w:rsid w:val="00D64EE4"/>
    <w:rsid w:val="00D64F89"/>
    <w:rsid w:val="00D650B0"/>
    <w:rsid w:val="00D65108"/>
    <w:rsid w:val="00D6519C"/>
    <w:rsid w:val="00D651FA"/>
    <w:rsid w:val="00D65208"/>
    <w:rsid w:val="00D65991"/>
    <w:rsid w:val="00D659E4"/>
    <w:rsid w:val="00D65A9E"/>
    <w:rsid w:val="00D65B6C"/>
    <w:rsid w:val="00D65D5C"/>
    <w:rsid w:val="00D65F7B"/>
    <w:rsid w:val="00D660CE"/>
    <w:rsid w:val="00D663DC"/>
    <w:rsid w:val="00D668CE"/>
    <w:rsid w:val="00D66ADB"/>
    <w:rsid w:val="00D66B41"/>
    <w:rsid w:val="00D66F17"/>
    <w:rsid w:val="00D67261"/>
    <w:rsid w:val="00D67360"/>
    <w:rsid w:val="00D673D2"/>
    <w:rsid w:val="00D673DC"/>
    <w:rsid w:val="00D674BB"/>
    <w:rsid w:val="00D675D6"/>
    <w:rsid w:val="00D677EE"/>
    <w:rsid w:val="00D67977"/>
    <w:rsid w:val="00D67A2D"/>
    <w:rsid w:val="00D67AAB"/>
    <w:rsid w:val="00D67EAC"/>
    <w:rsid w:val="00D70023"/>
    <w:rsid w:val="00D7002F"/>
    <w:rsid w:val="00D70308"/>
    <w:rsid w:val="00D7032D"/>
    <w:rsid w:val="00D7062B"/>
    <w:rsid w:val="00D7078B"/>
    <w:rsid w:val="00D707CC"/>
    <w:rsid w:val="00D708B8"/>
    <w:rsid w:val="00D708CD"/>
    <w:rsid w:val="00D70B03"/>
    <w:rsid w:val="00D70E3A"/>
    <w:rsid w:val="00D70E99"/>
    <w:rsid w:val="00D71130"/>
    <w:rsid w:val="00D7120C"/>
    <w:rsid w:val="00D7131C"/>
    <w:rsid w:val="00D71629"/>
    <w:rsid w:val="00D717A8"/>
    <w:rsid w:val="00D71842"/>
    <w:rsid w:val="00D71A41"/>
    <w:rsid w:val="00D71B2A"/>
    <w:rsid w:val="00D71CD7"/>
    <w:rsid w:val="00D71FC9"/>
    <w:rsid w:val="00D72166"/>
    <w:rsid w:val="00D72272"/>
    <w:rsid w:val="00D722B9"/>
    <w:rsid w:val="00D7260A"/>
    <w:rsid w:val="00D7278E"/>
    <w:rsid w:val="00D72947"/>
    <w:rsid w:val="00D72A09"/>
    <w:rsid w:val="00D72A19"/>
    <w:rsid w:val="00D72A41"/>
    <w:rsid w:val="00D72AAA"/>
    <w:rsid w:val="00D72BF9"/>
    <w:rsid w:val="00D73186"/>
    <w:rsid w:val="00D73355"/>
    <w:rsid w:val="00D73608"/>
    <w:rsid w:val="00D7378E"/>
    <w:rsid w:val="00D737F2"/>
    <w:rsid w:val="00D7385A"/>
    <w:rsid w:val="00D738C8"/>
    <w:rsid w:val="00D738D3"/>
    <w:rsid w:val="00D7393D"/>
    <w:rsid w:val="00D7398A"/>
    <w:rsid w:val="00D739CF"/>
    <w:rsid w:val="00D73A67"/>
    <w:rsid w:val="00D73B3D"/>
    <w:rsid w:val="00D73C77"/>
    <w:rsid w:val="00D73C7F"/>
    <w:rsid w:val="00D73DA4"/>
    <w:rsid w:val="00D73E2D"/>
    <w:rsid w:val="00D73E42"/>
    <w:rsid w:val="00D73E9F"/>
    <w:rsid w:val="00D73F53"/>
    <w:rsid w:val="00D73FA9"/>
    <w:rsid w:val="00D73FB8"/>
    <w:rsid w:val="00D7435C"/>
    <w:rsid w:val="00D748CC"/>
    <w:rsid w:val="00D74984"/>
    <w:rsid w:val="00D74989"/>
    <w:rsid w:val="00D74A5A"/>
    <w:rsid w:val="00D74AB1"/>
    <w:rsid w:val="00D74D3F"/>
    <w:rsid w:val="00D74D72"/>
    <w:rsid w:val="00D74DBD"/>
    <w:rsid w:val="00D751B2"/>
    <w:rsid w:val="00D75250"/>
    <w:rsid w:val="00D753A0"/>
    <w:rsid w:val="00D75422"/>
    <w:rsid w:val="00D7547A"/>
    <w:rsid w:val="00D75543"/>
    <w:rsid w:val="00D75562"/>
    <w:rsid w:val="00D75681"/>
    <w:rsid w:val="00D756D7"/>
    <w:rsid w:val="00D75926"/>
    <w:rsid w:val="00D75B6F"/>
    <w:rsid w:val="00D75CB2"/>
    <w:rsid w:val="00D75CDA"/>
    <w:rsid w:val="00D75FAE"/>
    <w:rsid w:val="00D75FDD"/>
    <w:rsid w:val="00D760E9"/>
    <w:rsid w:val="00D76196"/>
    <w:rsid w:val="00D76248"/>
    <w:rsid w:val="00D765E6"/>
    <w:rsid w:val="00D769C6"/>
    <w:rsid w:val="00D76CBD"/>
    <w:rsid w:val="00D76ECD"/>
    <w:rsid w:val="00D77119"/>
    <w:rsid w:val="00D77135"/>
    <w:rsid w:val="00D77235"/>
    <w:rsid w:val="00D77355"/>
    <w:rsid w:val="00D77421"/>
    <w:rsid w:val="00D77535"/>
    <w:rsid w:val="00D77562"/>
    <w:rsid w:val="00D77619"/>
    <w:rsid w:val="00D77693"/>
    <w:rsid w:val="00D7782B"/>
    <w:rsid w:val="00D778F2"/>
    <w:rsid w:val="00D7794F"/>
    <w:rsid w:val="00D779A3"/>
    <w:rsid w:val="00D77C49"/>
    <w:rsid w:val="00D77D2E"/>
    <w:rsid w:val="00D77E6E"/>
    <w:rsid w:val="00D77F02"/>
    <w:rsid w:val="00D80004"/>
    <w:rsid w:val="00D801EB"/>
    <w:rsid w:val="00D8029E"/>
    <w:rsid w:val="00D8042D"/>
    <w:rsid w:val="00D8044F"/>
    <w:rsid w:val="00D806DE"/>
    <w:rsid w:val="00D80A6C"/>
    <w:rsid w:val="00D80B15"/>
    <w:rsid w:val="00D80C40"/>
    <w:rsid w:val="00D80D84"/>
    <w:rsid w:val="00D80E9F"/>
    <w:rsid w:val="00D8119E"/>
    <w:rsid w:val="00D81291"/>
    <w:rsid w:val="00D812D5"/>
    <w:rsid w:val="00D8146E"/>
    <w:rsid w:val="00D81651"/>
    <w:rsid w:val="00D816E1"/>
    <w:rsid w:val="00D818D3"/>
    <w:rsid w:val="00D81BB3"/>
    <w:rsid w:val="00D81BC5"/>
    <w:rsid w:val="00D81C8A"/>
    <w:rsid w:val="00D81F52"/>
    <w:rsid w:val="00D822AC"/>
    <w:rsid w:val="00D823B3"/>
    <w:rsid w:val="00D823BD"/>
    <w:rsid w:val="00D82430"/>
    <w:rsid w:val="00D8269C"/>
    <w:rsid w:val="00D82D3C"/>
    <w:rsid w:val="00D82DEA"/>
    <w:rsid w:val="00D82FFB"/>
    <w:rsid w:val="00D83274"/>
    <w:rsid w:val="00D83282"/>
    <w:rsid w:val="00D83367"/>
    <w:rsid w:val="00D834F2"/>
    <w:rsid w:val="00D83574"/>
    <w:rsid w:val="00D83621"/>
    <w:rsid w:val="00D83A66"/>
    <w:rsid w:val="00D83AE9"/>
    <w:rsid w:val="00D83C67"/>
    <w:rsid w:val="00D83C89"/>
    <w:rsid w:val="00D83D45"/>
    <w:rsid w:val="00D83E47"/>
    <w:rsid w:val="00D83EDC"/>
    <w:rsid w:val="00D83EDE"/>
    <w:rsid w:val="00D83F64"/>
    <w:rsid w:val="00D83FF5"/>
    <w:rsid w:val="00D84182"/>
    <w:rsid w:val="00D841A8"/>
    <w:rsid w:val="00D8421C"/>
    <w:rsid w:val="00D843E4"/>
    <w:rsid w:val="00D845A1"/>
    <w:rsid w:val="00D846B1"/>
    <w:rsid w:val="00D8484D"/>
    <w:rsid w:val="00D84873"/>
    <w:rsid w:val="00D848DA"/>
    <w:rsid w:val="00D848DC"/>
    <w:rsid w:val="00D84A81"/>
    <w:rsid w:val="00D84B96"/>
    <w:rsid w:val="00D84E62"/>
    <w:rsid w:val="00D84EFC"/>
    <w:rsid w:val="00D85128"/>
    <w:rsid w:val="00D85157"/>
    <w:rsid w:val="00D85262"/>
    <w:rsid w:val="00D852B4"/>
    <w:rsid w:val="00D85676"/>
    <w:rsid w:val="00D85897"/>
    <w:rsid w:val="00D858BE"/>
    <w:rsid w:val="00D858DA"/>
    <w:rsid w:val="00D85B38"/>
    <w:rsid w:val="00D85C37"/>
    <w:rsid w:val="00D85DB4"/>
    <w:rsid w:val="00D85FA6"/>
    <w:rsid w:val="00D86400"/>
    <w:rsid w:val="00D86595"/>
    <w:rsid w:val="00D867E0"/>
    <w:rsid w:val="00D86808"/>
    <w:rsid w:val="00D86A7F"/>
    <w:rsid w:val="00D86CD5"/>
    <w:rsid w:val="00D86DB7"/>
    <w:rsid w:val="00D86E36"/>
    <w:rsid w:val="00D86E39"/>
    <w:rsid w:val="00D87061"/>
    <w:rsid w:val="00D87290"/>
    <w:rsid w:val="00D872D1"/>
    <w:rsid w:val="00D87366"/>
    <w:rsid w:val="00D87379"/>
    <w:rsid w:val="00D873FE"/>
    <w:rsid w:val="00D87405"/>
    <w:rsid w:val="00D879BC"/>
    <w:rsid w:val="00D87A10"/>
    <w:rsid w:val="00D87A22"/>
    <w:rsid w:val="00D87B28"/>
    <w:rsid w:val="00D87CCE"/>
    <w:rsid w:val="00D87CF8"/>
    <w:rsid w:val="00D87F62"/>
    <w:rsid w:val="00D90267"/>
    <w:rsid w:val="00D902B5"/>
    <w:rsid w:val="00D9035F"/>
    <w:rsid w:val="00D903C3"/>
    <w:rsid w:val="00D904ED"/>
    <w:rsid w:val="00D905FE"/>
    <w:rsid w:val="00D909DC"/>
    <w:rsid w:val="00D90AF3"/>
    <w:rsid w:val="00D90BBD"/>
    <w:rsid w:val="00D90F4F"/>
    <w:rsid w:val="00D90FEF"/>
    <w:rsid w:val="00D9118D"/>
    <w:rsid w:val="00D911C9"/>
    <w:rsid w:val="00D911E4"/>
    <w:rsid w:val="00D913C2"/>
    <w:rsid w:val="00D913FA"/>
    <w:rsid w:val="00D914BE"/>
    <w:rsid w:val="00D91549"/>
    <w:rsid w:val="00D9174F"/>
    <w:rsid w:val="00D91861"/>
    <w:rsid w:val="00D91888"/>
    <w:rsid w:val="00D91966"/>
    <w:rsid w:val="00D91996"/>
    <w:rsid w:val="00D919A9"/>
    <w:rsid w:val="00D919BE"/>
    <w:rsid w:val="00D91E2C"/>
    <w:rsid w:val="00D921D8"/>
    <w:rsid w:val="00D921EB"/>
    <w:rsid w:val="00D92204"/>
    <w:rsid w:val="00D92381"/>
    <w:rsid w:val="00D92420"/>
    <w:rsid w:val="00D92478"/>
    <w:rsid w:val="00D92656"/>
    <w:rsid w:val="00D926BE"/>
    <w:rsid w:val="00D928C3"/>
    <w:rsid w:val="00D92B15"/>
    <w:rsid w:val="00D92E10"/>
    <w:rsid w:val="00D92E42"/>
    <w:rsid w:val="00D92F3D"/>
    <w:rsid w:val="00D92FA0"/>
    <w:rsid w:val="00D92FAA"/>
    <w:rsid w:val="00D931C4"/>
    <w:rsid w:val="00D934F3"/>
    <w:rsid w:val="00D935F5"/>
    <w:rsid w:val="00D93671"/>
    <w:rsid w:val="00D93A10"/>
    <w:rsid w:val="00D93B29"/>
    <w:rsid w:val="00D93B54"/>
    <w:rsid w:val="00D93D3E"/>
    <w:rsid w:val="00D93E8A"/>
    <w:rsid w:val="00D93F54"/>
    <w:rsid w:val="00D94194"/>
    <w:rsid w:val="00D941EC"/>
    <w:rsid w:val="00D94398"/>
    <w:rsid w:val="00D9463D"/>
    <w:rsid w:val="00D9472C"/>
    <w:rsid w:val="00D947B2"/>
    <w:rsid w:val="00D948ED"/>
    <w:rsid w:val="00D949C2"/>
    <w:rsid w:val="00D94B85"/>
    <w:rsid w:val="00D94C1D"/>
    <w:rsid w:val="00D94C60"/>
    <w:rsid w:val="00D94D51"/>
    <w:rsid w:val="00D94DF4"/>
    <w:rsid w:val="00D95053"/>
    <w:rsid w:val="00D950C1"/>
    <w:rsid w:val="00D952CF"/>
    <w:rsid w:val="00D954BE"/>
    <w:rsid w:val="00D954C8"/>
    <w:rsid w:val="00D95577"/>
    <w:rsid w:val="00D959E8"/>
    <w:rsid w:val="00D95B75"/>
    <w:rsid w:val="00D95C47"/>
    <w:rsid w:val="00D95D99"/>
    <w:rsid w:val="00D95F15"/>
    <w:rsid w:val="00D9607A"/>
    <w:rsid w:val="00D9613C"/>
    <w:rsid w:val="00D96252"/>
    <w:rsid w:val="00D9628F"/>
    <w:rsid w:val="00D962F9"/>
    <w:rsid w:val="00D96461"/>
    <w:rsid w:val="00D9650F"/>
    <w:rsid w:val="00D966B8"/>
    <w:rsid w:val="00D9684D"/>
    <w:rsid w:val="00D968C9"/>
    <w:rsid w:val="00D968F6"/>
    <w:rsid w:val="00D96D86"/>
    <w:rsid w:val="00D96DD3"/>
    <w:rsid w:val="00D96F34"/>
    <w:rsid w:val="00D971F2"/>
    <w:rsid w:val="00D97367"/>
    <w:rsid w:val="00D973B5"/>
    <w:rsid w:val="00D973EC"/>
    <w:rsid w:val="00D974FF"/>
    <w:rsid w:val="00D97609"/>
    <w:rsid w:val="00D97616"/>
    <w:rsid w:val="00D97694"/>
    <w:rsid w:val="00D977D1"/>
    <w:rsid w:val="00D9783B"/>
    <w:rsid w:val="00D97947"/>
    <w:rsid w:val="00D979B9"/>
    <w:rsid w:val="00D97A89"/>
    <w:rsid w:val="00D97ABA"/>
    <w:rsid w:val="00D97B84"/>
    <w:rsid w:val="00D97D4C"/>
    <w:rsid w:val="00D97DCE"/>
    <w:rsid w:val="00DA0035"/>
    <w:rsid w:val="00DA01F7"/>
    <w:rsid w:val="00DA039A"/>
    <w:rsid w:val="00DA0420"/>
    <w:rsid w:val="00DA0422"/>
    <w:rsid w:val="00DA0483"/>
    <w:rsid w:val="00DA04CD"/>
    <w:rsid w:val="00DA052D"/>
    <w:rsid w:val="00DA0BBE"/>
    <w:rsid w:val="00DA0C5F"/>
    <w:rsid w:val="00DA0E6E"/>
    <w:rsid w:val="00DA0EB5"/>
    <w:rsid w:val="00DA0F24"/>
    <w:rsid w:val="00DA14DC"/>
    <w:rsid w:val="00DA16C5"/>
    <w:rsid w:val="00DA1B74"/>
    <w:rsid w:val="00DA1D1C"/>
    <w:rsid w:val="00DA200A"/>
    <w:rsid w:val="00DA20F0"/>
    <w:rsid w:val="00DA223D"/>
    <w:rsid w:val="00DA226F"/>
    <w:rsid w:val="00DA24DF"/>
    <w:rsid w:val="00DA2580"/>
    <w:rsid w:val="00DA2ACF"/>
    <w:rsid w:val="00DA2B8F"/>
    <w:rsid w:val="00DA2C46"/>
    <w:rsid w:val="00DA2CB7"/>
    <w:rsid w:val="00DA2DB7"/>
    <w:rsid w:val="00DA2ECC"/>
    <w:rsid w:val="00DA303E"/>
    <w:rsid w:val="00DA313E"/>
    <w:rsid w:val="00DA34EF"/>
    <w:rsid w:val="00DA3743"/>
    <w:rsid w:val="00DA39D0"/>
    <w:rsid w:val="00DA39D5"/>
    <w:rsid w:val="00DA39DE"/>
    <w:rsid w:val="00DA39EC"/>
    <w:rsid w:val="00DA3A32"/>
    <w:rsid w:val="00DA3A86"/>
    <w:rsid w:val="00DA3ACC"/>
    <w:rsid w:val="00DA3B74"/>
    <w:rsid w:val="00DA3BB3"/>
    <w:rsid w:val="00DA401A"/>
    <w:rsid w:val="00DA41DD"/>
    <w:rsid w:val="00DA42CA"/>
    <w:rsid w:val="00DA4332"/>
    <w:rsid w:val="00DA457F"/>
    <w:rsid w:val="00DA4CB0"/>
    <w:rsid w:val="00DA4EE4"/>
    <w:rsid w:val="00DA4F64"/>
    <w:rsid w:val="00DA507D"/>
    <w:rsid w:val="00DA51AF"/>
    <w:rsid w:val="00DA530E"/>
    <w:rsid w:val="00DA5358"/>
    <w:rsid w:val="00DA5430"/>
    <w:rsid w:val="00DA546A"/>
    <w:rsid w:val="00DA54E8"/>
    <w:rsid w:val="00DA5571"/>
    <w:rsid w:val="00DA561A"/>
    <w:rsid w:val="00DA57B7"/>
    <w:rsid w:val="00DA5D14"/>
    <w:rsid w:val="00DA5D2E"/>
    <w:rsid w:val="00DA5D69"/>
    <w:rsid w:val="00DA5DA4"/>
    <w:rsid w:val="00DA6197"/>
    <w:rsid w:val="00DA6409"/>
    <w:rsid w:val="00DA6599"/>
    <w:rsid w:val="00DA65FA"/>
    <w:rsid w:val="00DA683C"/>
    <w:rsid w:val="00DA6CB4"/>
    <w:rsid w:val="00DA6EAF"/>
    <w:rsid w:val="00DA6EF8"/>
    <w:rsid w:val="00DA6EFC"/>
    <w:rsid w:val="00DA6F28"/>
    <w:rsid w:val="00DA7049"/>
    <w:rsid w:val="00DA7061"/>
    <w:rsid w:val="00DA7186"/>
    <w:rsid w:val="00DA7282"/>
    <w:rsid w:val="00DA7295"/>
    <w:rsid w:val="00DA739F"/>
    <w:rsid w:val="00DA75BE"/>
    <w:rsid w:val="00DA765D"/>
    <w:rsid w:val="00DA7729"/>
    <w:rsid w:val="00DA7755"/>
    <w:rsid w:val="00DA77AC"/>
    <w:rsid w:val="00DA77E9"/>
    <w:rsid w:val="00DA793C"/>
    <w:rsid w:val="00DA79F5"/>
    <w:rsid w:val="00DA7BA3"/>
    <w:rsid w:val="00DA7E50"/>
    <w:rsid w:val="00DA7F06"/>
    <w:rsid w:val="00DB0122"/>
    <w:rsid w:val="00DB01C8"/>
    <w:rsid w:val="00DB04EE"/>
    <w:rsid w:val="00DB0619"/>
    <w:rsid w:val="00DB06AA"/>
    <w:rsid w:val="00DB06D3"/>
    <w:rsid w:val="00DB07A4"/>
    <w:rsid w:val="00DB0809"/>
    <w:rsid w:val="00DB08A7"/>
    <w:rsid w:val="00DB0AA3"/>
    <w:rsid w:val="00DB0AF9"/>
    <w:rsid w:val="00DB0E0F"/>
    <w:rsid w:val="00DB0E51"/>
    <w:rsid w:val="00DB0E8B"/>
    <w:rsid w:val="00DB0E94"/>
    <w:rsid w:val="00DB0F00"/>
    <w:rsid w:val="00DB0FDD"/>
    <w:rsid w:val="00DB1086"/>
    <w:rsid w:val="00DB1119"/>
    <w:rsid w:val="00DB1216"/>
    <w:rsid w:val="00DB13A6"/>
    <w:rsid w:val="00DB1459"/>
    <w:rsid w:val="00DB15C4"/>
    <w:rsid w:val="00DB1876"/>
    <w:rsid w:val="00DB19D1"/>
    <w:rsid w:val="00DB1A3A"/>
    <w:rsid w:val="00DB1A79"/>
    <w:rsid w:val="00DB1C8A"/>
    <w:rsid w:val="00DB1CB3"/>
    <w:rsid w:val="00DB1CBA"/>
    <w:rsid w:val="00DB1E07"/>
    <w:rsid w:val="00DB1F82"/>
    <w:rsid w:val="00DB2161"/>
    <w:rsid w:val="00DB23D1"/>
    <w:rsid w:val="00DB25D6"/>
    <w:rsid w:val="00DB25D9"/>
    <w:rsid w:val="00DB2616"/>
    <w:rsid w:val="00DB291C"/>
    <w:rsid w:val="00DB29A4"/>
    <w:rsid w:val="00DB2AEA"/>
    <w:rsid w:val="00DB2AF8"/>
    <w:rsid w:val="00DB2D4E"/>
    <w:rsid w:val="00DB2F65"/>
    <w:rsid w:val="00DB330E"/>
    <w:rsid w:val="00DB362E"/>
    <w:rsid w:val="00DB37E4"/>
    <w:rsid w:val="00DB37F6"/>
    <w:rsid w:val="00DB3810"/>
    <w:rsid w:val="00DB3F05"/>
    <w:rsid w:val="00DB4014"/>
    <w:rsid w:val="00DB415F"/>
    <w:rsid w:val="00DB43B6"/>
    <w:rsid w:val="00DB45EA"/>
    <w:rsid w:val="00DB46B2"/>
    <w:rsid w:val="00DB48B4"/>
    <w:rsid w:val="00DB4940"/>
    <w:rsid w:val="00DB49D0"/>
    <w:rsid w:val="00DB4AB2"/>
    <w:rsid w:val="00DB4C61"/>
    <w:rsid w:val="00DB51A3"/>
    <w:rsid w:val="00DB52DC"/>
    <w:rsid w:val="00DB5327"/>
    <w:rsid w:val="00DB54AF"/>
    <w:rsid w:val="00DB55CE"/>
    <w:rsid w:val="00DB55FC"/>
    <w:rsid w:val="00DB5669"/>
    <w:rsid w:val="00DB5969"/>
    <w:rsid w:val="00DB59DA"/>
    <w:rsid w:val="00DB5C2F"/>
    <w:rsid w:val="00DB5C99"/>
    <w:rsid w:val="00DB5E24"/>
    <w:rsid w:val="00DB5F30"/>
    <w:rsid w:val="00DB5FDF"/>
    <w:rsid w:val="00DB6169"/>
    <w:rsid w:val="00DB6848"/>
    <w:rsid w:val="00DB68A6"/>
    <w:rsid w:val="00DB6A83"/>
    <w:rsid w:val="00DB6BFE"/>
    <w:rsid w:val="00DB6DC7"/>
    <w:rsid w:val="00DB6E39"/>
    <w:rsid w:val="00DB6EB9"/>
    <w:rsid w:val="00DB6FB0"/>
    <w:rsid w:val="00DB70D3"/>
    <w:rsid w:val="00DB71EA"/>
    <w:rsid w:val="00DB72D8"/>
    <w:rsid w:val="00DB7391"/>
    <w:rsid w:val="00DB74D9"/>
    <w:rsid w:val="00DB77F7"/>
    <w:rsid w:val="00DB7831"/>
    <w:rsid w:val="00DB789E"/>
    <w:rsid w:val="00DB78A7"/>
    <w:rsid w:val="00DB78DD"/>
    <w:rsid w:val="00DB79E4"/>
    <w:rsid w:val="00DB7A7B"/>
    <w:rsid w:val="00DB7C43"/>
    <w:rsid w:val="00DB7ED6"/>
    <w:rsid w:val="00DB7F9E"/>
    <w:rsid w:val="00DC0035"/>
    <w:rsid w:val="00DC0B44"/>
    <w:rsid w:val="00DC0BA1"/>
    <w:rsid w:val="00DC0E02"/>
    <w:rsid w:val="00DC0EDC"/>
    <w:rsid w:val="00DC0F7E"/>
    <w:rsid w:val="00DC0FB3"/>
    <w:rsid w:val="00DC1047"/>
    <w:rsid w:val="00DC110E"/>
    <w:rsid w:val="00DC129A"/>
    <w:rsid w:val="00DC1373"/>
    <w:rsid w:val="00DC1576"/>
    <w:rsid w:val="00DC1643"/>
    <w:rsid w:val="00DC164D"/>
    <w:rsid w:val="00DC17E6"/>
    <w:rsid w:val="00DC181B"/>
    <w:rsid w:val="00DC1844"/>
    <w:rsid w:val="00DC1897"/>
    <w:rsid w:val="00DC1914"/>
    <w:rsid w:val="00DC1B0A"/>
    <w:rsid w:val="00DC1C72"/>
    <w:rsid w:val="00DC1D44"/>
    <w:rsid w:val="00DC2381"/>
    <w:rsid w:val="00DC238F"/>
    <w:rsid w:val="00DC2397"/>
    <w:rsid w:val="00DC24C7"/>
    <w:rsid w:val="00DC2566"/>
    <w:rsid w:val="00DC26AF"/>
    <w:rsid w:val="00DC26BD"/>
    <w:rsid w:val="00DC26E3"/>
    <w:rsid w:val="00DC277C"/>
    <w:rsid w:val="00DC2870"/>
    <w:rsid w:val="00DC29D7"/>
    <w:rsid w:val="00DC2C23"/>
    <w:rsid w:val="00DC2C92"/>
    <w:rsid w:val="00DC2C9E"/>
    <w:rsid w:val="00DC2EC0"/>
    <w:rsid w:val="00DC2F99"/>
    <w:rsid w:val="00DC30FF"/>
    <w:rsid w:val="00DC312A"/>
    <w:rsid w:val="00DC3504"/>
    <w:rsid w:val="00DC35E6"/>
    <w:rsid w:val="00DC36C6"/>
    <w:rsid w:val="00DC3A90"/>
    <w:rsid w:val="00DC3AE5"/>
    <w:rsid w:val="00DC3BDA"/>
    <w:rsid w:val="00DC3F19"/>
    <w:rsid w:val="00DC3F9E"/>
    <w:rsid w:val="00DC3FEB"/>
    <w:rsid w:val="00DC40D3"/>
    <w:rsid w:val="00DC420E"/>
    <w:rsid w:val="00DC4286"/>
    <w:rsid w:val="00DC4577"/>
    <w:rsid w:val="00DC4857"/>
    <w:rsid w:val="00DC4B5E"/>
    <w:rsid w:val="00DC4F64"/>
    <w:rsid w:val="00DC4F81"/>
    <w:rsid w:val="00DC5429"/>
    <w:rsid w:val="00DC5492"/>
    <w:rsid w:val="00DC54D9"/>
    <w:rsid w:val="00DC55AC"/>
    <w:rsid w:val="00DC571F"/>
    <w:rsid w:val="00DC59F5"/>
    <w:rsid w:val="00DC5DBF"/>
    <w:rsid w:val="00DC5ECB"/>
    <w:rsid w:val="00DC6071"/>
    <w:rsid w:val="00DC62C5"/>
    <w:rsid w:val="00DC6308"/>
    <w:rsid w:val="00DC6394"/>
    <w:rsid w:val="00DC655D"/>
    <w:rsid w:val="00DC66FD"/>
    <w:rsid w:val="00DC670F"/>
    <w:rsid w:val="00DC67A4"/>
    <w:rsid w:val="00DC6832"/>
    <w:rsid w:val="00DC6864"/>
    <w:rsid w:val="00DC6A34"/>
    <w:rsid w:val="00DC6DB0"/>
    <w:rsid w:val="00DC6E4D"/>
    <w:rsid w:val="00DC6EE3"/>
    <w:rsid w:val="00DC6FEF"/>
    <w:rsid w:val="00DC71E4"/>
    <w:rsid w:val="00DC7225"/>
    <w:rsid w:val="00DC72AE"/>
    <w:rsid w:val="00DC75C6"/>
    <w:rsid w:val="00DC763C"/>
    <w:rsid w:val="00DC7699"/>
    <w:rsid w:val="00DC76CA"/>
    <w:rsid w:val="00DC76FF"/>
    <w:rsid w:val="00DC7843"/>
    <w:rsid w:val="00DC799C"/>
    <w:rsid w:val="00DC79C6"/>
    <w:rsid w:val="00DD0037"/>
    <w:rsid w:val="00DD0094"/>
    <w:rsid w:val="00DD01A3"/>
    <w:rsid w:val="00DD0757"/>
    <w:rsid w:val="00DD0789"/>
    <w:rsid w:val="00DD0AF8"/>
    <w:rsid w:val="00DD0B1E"/>
    <w:rsid w:val="00DD0C00"/>
    <w:rsid w:val="00DD0C81"/>
    <w:rsid w:val="00DD0E2B"/>
    <w:rsid w:val="00DD0F71"/>
    <w:rsid w:val="00DD1108"/>
    <w:rsid w:val="00DD1195"/>
    <w:rsid w:val="00DD135C"/>
    <w:rsid w:val="00DD1672"/>
    <w:rsid w:val="00DD1862"/>
    <w:rsid w:val="00DD1E31"/>
    <w:rsid w:val="00DD2055"/>
    <w:rsid w:val="00DD20AD"/>
    <w:rsid w:val="00DD20D1"/>
    <w:rsid w:val="00DD223F"/>
    <w:rsid w:val="00DD2555"/>
    <w:rsid w:val="00DD25C6"/>
    <w:rsid w:val="00DD2B09"/>
    <w:rsid w:val="00DD2B52"/>
    <w:rsid w:val="00DD2D69"/>
    <w:rsid w:val="00DD2DC6"/>
    <w:rsid w:val="00DD2E3F"/>
    <w:rsid w:val="00DD2FB2"/>
    <w:rsid w:val="00DD3333"/>
    <w:rsid w:val="00DD38B1"/>
    <w:rsid w:val="00DD3A70"/>
    <w:rsid w:val="00DD3AC1"/>
    <w:rsid w:val="00DD3AF7"/>
    <w:rsid w:val="00DD3B46"/>
    <w:rsid w:val="00DD3C85"/>
    <w:rsid w:val="00DD3EF3"/>
    <w:rsid w:val="00DD4018"/>
    <w:rsid w:val="00DD40F5"/>
    <w:rsid w:val="00DD40FA"/>
    <w:rsid w:val="00DD4135"/>
    <w:rsid w:val="00DD4162"/>
    <w:rsid w:val="00DD4183"/>
    <w:rsid w:val="00DD4274"/>
    <w:rsid w:val="00DD4326"/>
    <w:rsid w:val="00DD43D5"/>
    <w:rsid w:val="00DD44DD"/>
    <w:rsid w:val="00DD4524"/>
    <w:rsid w:val="00DD46B2"/>
    <w:rsid w:val="00DD4718"/>
    <w:rsid w:val="00DD47C5"/>
    <w:rsid w:val="00DD47EA"/>
    <w:rsid w:val="00DD48BF"/>
    <w:rsid w:val="00DD492E"/>
    <w:rsid w:val="00DD49BA"/>
    <w:rsid w:val="00DD4A1C"/>
    <w:rsid w:val="00DD4CDA"/>
    <w:rsid w:val="00DD4D16"/>
    <w:rsid w:val="00DD4E59"/>
    <w:rsid w:val="00DD4EA7"/>
    <w:rsid w:val="00DD5450"/>
    <w:rsid w:val="00DD55D7"/>
    <w:rsid w:val="00DD572E"/>
    <w:rsid w:val="00DD595D"/>
    <w:rsid w:val="00DD5B14"/>
    <w:rsid w:val="00DD5B6C"/>
    <w:rsid w:val="00DD5BE2"/>
    <w:rsid w:val="00DD602C"/>
    <w:rsid w:val="00DD61AC"/>
    <w:rsid w:val="00DD6293"/>
    <w:rsid w:val="00DD6B1D"/>
    <w:rsid w:val="00DD6B73"/>
    <w:rsid w:val="00DD6B87"/>
    <w:rsid w:val="00DD70A8"/>
    <w:rsid w:val="00DD71F6"/>
    <w:rsid w:val="00DD73C6"/>
    <w:rsid w:val="00DD76AD"/>
    <w:rsid w:val="00DD7884"/>
    <w:rsid w:val="00DD7886"/>
    <w:rsid w:val="00DD7B68"/>
    <w:rsid w:val="00DD7C3B"/>
    <w:rsid w:val="00DD7CB6"/>
    <w:rsid w:val="00DD7DFE"/>
    <w:rsid w:val="00DD7E4B"/>
    <w:rsid w:val="00DD7ED4"/>
    <w:rsid w:val="00DD7F53"/>
    <w:rsid w:val="00DE00B3"/>
    <w:rsid w:val="00DE020B"/>
    <w:rsid w:val="00DE0386"/>
    <w:rsid w:val="00DE0592"/>
    <w:rsid w:val="00DE0630"/>
    <w:rsid w:val="00DE0887"/>
    <w:rsid w:val="00DE08A0"/>
    <w:rsid w:val="00DE0A04"/>
    <w:rsid w:val="00DE0B6F"/>
    <w:rsid w:val="00DE0E2E"/>
    <w:rsid w:val="00DE0F39"/>
    <w:rsid w:val="00DE100B"/>
    <w:rsid w:val="00DE14AB"/>
    <w:rsid w:val="00DE1549"/>
    <w:rsid w:val="00DE1597"/>
    <w:rsid w:val="00DE16B9"/>
    <w:rsid w:val="00DE16D9"/>
    <w:rsid w:val="00DE17F6"/>
    <w:rsid w:val="00DE1A0C"/>
    <w:rsid w:val="00DE1A41"/>
    <w:rsid w:val="00DE1A83"/>
    <w:rsid w:val="00DE1CB5"/>
    <w:rsid w:val="00DE1D2B"/>
    <w:rsid w:val="00DE1E86"/>
    <w:rsid w:val="00DE1ED8"/>
    <w:rsid w:val="00DE1F6D"/>
    <w:rsid w:val="00DE2396"/>
    <w:rsid w:val="00DE2528"/>
    <w:rsid w:val="00DE25C0"/>
    <w:rsid w:val="00DE2A23"/>
    <w:rsid w:val="00DE2B18"/>
    <w:rsid w:val="00DE2B55"/>
    <w:rsid w:val="00DE2ECF"/>
    <w:rsid w:val="00DE2F60"/>
    <w:rsid w:val="00DE30A5"/>
    <w:rsid w:val="00DE30B9"/>
    <w:rsid w:val="00DE3316"/>
    <w:rsid w:val="00DE34DE"/>
    <w:rsid w:val="00DE366A"/>
    <w:rsid w:val="00DE36B8"/>
    <w:rsid w:val="00DE3713"/>
    <w:rsid w:val="00DE375C"/>
    <w:rsid w:val="00DE3801"/>
    <w:rsid w:val="00DE3922"/>
    <w:rsid w:val="00DE3A06"/>
    <w:rsid w:val="00DE3ED9"/>
    <w:rsid w:val="00DE400F"/>
    <w:rsid w:val="00DE41AD"/>
    <w:rsid w:val="00DE43A2"/>
    <w:rsid w:val="00DE4423"/>
    <w:rsid w:val="00DE451B"/>
    <w:rsid w:val="00DE4566"/>
    <w:rsid w:val="00DE462B"/>
    <w:rsid w:val="00DE499D"/>
    <w:rsid w:val="00DE4A7D"/>
    <w:rsid w:val="00DE4E4C"/>
    <w:rsid w:val="00DE50FF"/>
    <w:rsid w:val="00DE5464"/>
    <w:rsid w:val="00DE55BD"/>
    <w:rsid w:val="00DE5A74"/>
    <w:rsid w:val="00DE5F13"/>
    <w:rsid w:val="00DE5FD5"/>
    <w:rsid w:val="00DE612B"/>
    <w:rsid w:val="00DE6234"/>
    <w:rsid w:val="00DE6415"/>
    <w:rsid w:val="00DE650C"/>
    <w:rsid w:val="00DE65FC"/>
    <w:rsid w:val="00DE68DB"/>
    <w:rsid w:val="00DE68FC"/>
    <w:rsid w:val="00DE6926"/>
    <w:rsid w:val="00DE6945"/>
    <w:rsid w:val="00DE699E"/>
    <w:rsid w:val="00DE6ACB"/>
    <w:rsid w:val="00DE6F5D"/>
    <w:rsid w:val="00DE717D"/>
    <w:rsid w:val="00DE7A06"/>
    <w:rsid w:val="00DE7A80"/>
    <w:rsid w:val="00DE7AE3"/>
    <w:rsid w:val="00DE7B01"/>
    <w:rsid w:val="00DE7BD3"/>
    <w:rsid w:val="00DE7C35"/>
    <w:rsid w:val="00DE7D19"/>
    <w:rsid w:val="00DE7DC7"/>
    <w:rsid w:val="00DF00C8"/>
    <w:rsid w:val="00DF0168"/>
    <w:rsid w:val="00DF01C2"/>
    <w:rsid w:val="00DF029D"/>
    <w:rsid w:val="00DF0623"/>
    <w:rsid w:val="00DF0680"/>
    <w:rsid w:val="00DF06F7"/>
    <w:rsid w:val="00DF079D"/>
    <w:rsid w:val="00DF0880"/>
    <w:rsid w:val="00DF0889"/>
    <w:rsid w:val="00DF0A81"/>
    <w:rsid w:val="00DF0AB9"/>
    <w:rsid w:val="00DF0E91"/>
    <w:rsid w:val="00DF0E9F"/>
    <w:rsid w:val="00DF0F96"/>
    <w:rsid w:val="00DF1267"/>
    <w:rsid w:val="00DF1397"/>
    <w:rsid w:val="00DF1417"/>
    <w:rsid w:val="00DF1435"/>
    <w:rsid w:val="00DF1499"/>
    <w:rsid w:val="00DF167A"/>
    <w:rsid w:val="00DF16C9"/>
    <w:rsid w:val="00DF184F"/>
    <w:rsid w:val="00DF1F49"/>
    <w:rsid w:val="00DF21CC"/>
    <w:rsid w:val="00DF21F8"/>
    <w:rsid w:val="00DF2397"/>
    <w:rsid w:val="00DF242D"/>
    <w:rsid w:val="00DF2435"/>
    <w:rsid w:val="00DF2481"/>
    <w:rsid w:val="00DF27CD"/>
    <w:rsid w:val="00DF286C"/>
    <w:rsid w:val="00DF2969"/>
    <w:rsid w:val="00DF2AEB"/>
    <w:rsid w:val="00DF2B91"/>
    <w:rsid w:val="00DF2BCC"/>
    <w:rsid w:val="00DF2D4E"/>
    <w:rsid w:val="00DF2E73"/>
    <w:rsid w:val="00DF2F54"/>
    <w:rsid w:val="00DF34CF"/>
    <w:rsid w:val="00DF3553"/>
    <w:rsid w:val="00DF3686"/>
    <w:rsid w:val="00DF37D7"/>
    <w:rsid w:val="00DF389C"/>
    <w:rsid w:val="00DF38C7"/>
    <w:rsid w:val="00DF3A44"/>
    <w:rsid w:val="00DF3C5C"/>
    <w:rsid w:val="00DF3E0C"/>
    <w:rsid w:val="00DF3F4F"/>
    <w:rsid w:val="00DF423F"/>
    <w:rsid w:val="00DF42E3"/>
    <w:rsid w:val="00DF43AC"/>
    <w:rsid w:val="00DF4436"/>
    <w:rsid w:val="00DF46B1"/>
    <w:rsid w:val="00DF47A4"/>
    <w:rsid w:val="00DF49CB"/>
    <w:rsid w:val="00DF4B2B"/>
    <w:rsid w:val="00DF4B73"/>
    <w:rsid w:val="00DF4C16"/>
    <w:rsid w:val="00DF4CA3"/>
    <w:rsid w:val="00DF4D47"/>
    <w:rsid w:val="00DF4DCA"/>
    <w:rsid w:val="00DF4EB4"/>
    <w:rsid w:val="00DF4EB5"/>
    <w:rsid w:val="00DF4EEC"/>
    <w:rsid w:val="00DF5008"/>
    <w:rsid w:val="00DF5203"/>
    <w:rsid w:val="00DF52C3"/>
    <w:rsid w:val="00DF52DD"/>
    <w:rsid w:val="00DF5341"/>
    <w:rsid w:val="00DF54E9"/>
    <w:rsid w:val="00DF56C5"/>
    <w:rsid w:val="00DF5750"/>
    <w:rsid w:val="00DF581B"/>
    <w:rsid w:val="00DF5AD9"/>
    <w:rsid w:val="00DF5AFB"/>
    <w:rsid w:val="00DF5B6C"/>
    <w:rsid w:val="00DF5BA5"/>
    <w:rsid w:val="00DF5D4F"/>
    <w:rsid w:val="00DF5FAD"/>
    <w:rsid w:val="00DF609C"/>
    <w:rsid w:val="00DF60E6"/>
    <w:rsid w:val="00DF614E"/>
    <w:rsid w:val="00DF6170"/>
    <w:rsid w:val="00DF6197"/>
    <w:rsid w:val="00DF63E6"/>
    <w:rsid w:val="00DF6481"/>
    <w:rsid w:val="00DF65ED"/>
    <w:rsid w:val="00DF68E0"/>
    <w:rsid w:val="00DF69CD"/>
    <w:rsid w:val="00DF6AF8"/>
    <w:rsid w:val="00DF6BB2"/>
    <w:rsid w:val="00DF6C85"/>
    <w:rsid w:val="00DF6D0D"/>
    <w:rsid w:val="00DF6E62"/>
    <w:rsid w:val="00DF6EEA"/>
    <w:rsid w:val="00DF6F32"/>
    <w:rsid w:val="00DF6F5D"/>
    <w:rsid w:val="00DF7141"/>
    <w:rsid w:val="00DF7181"/>
    <w:rsid w:val="00DF71ED"/>
    <w:rsid w:val="00DF747E"/>
    <w:rsid w:val="00DF769C"/>
    <w:rsid w:val="00DF7850"/>
    <w:rsid w:val="00DF7869"/>
    <w:rsid w:val="00DF78BA"/>
    <w:rsid w:val="00DF7998"/>
    <w:rsid w:val="00DF79F0"/>
    <w:rsid w:val="00DF7B28"/>
    <w:rsid w:val="00DF7BF0"/>
    <w:rsid w:val="00DF7EAB"/>
    <w:rsid w:val="00DF7F1E"/>
    <w:rsid w:val="00E0028A"/>
    <w:rsid w:val="00E0029C"/>
    <w:rsid w:val="00E0039B"/>
    <w:rsid w:val="00E0041E"/>
    <w:rsid w:val="00E00867"/>
    <w:rsid w:val="00E009DC"/>
    <w:rsid w:val="00E00A10"/>
    <w:rsid w:val="00E00AEF"/>
    <w:rsid w:val="00E00B0A"/>
    <w:rsid w:val="00E00BB7"/>
    <w:rsid w:val="00E00C22"/>
    <w:rsid w:val="00E00C4E"/>
    <w:rsid w:val="00E00D46"/>
    <w:rsid w:val="00E00DAD"/>
    <w:rsid w:val="00E00EA5"/>
    <w:rsid w:val="00E01038"/>
    <w:rsid w:val="00E010EA"/>
    <w:rsid w:val="00E0129B"/>
    <w:rsid w:val="00E012C0"/>
    <w:rsid w:val="00E012E8"/>
    <w:rsid w:val="00E014D8"/>
    <w:rsid w:val="00E016D3"/>
    <w:rsid w:val="00E0187A"/>
    <w:rsid w:val="00E01A0D"/>
    <w:rsid w:val="00E01D80"/>
    <w:rsid w:val="00E01DB2"/>
    <w:rsid w:val="00E01F7A"/>
    <w:rsid w:val="00E0219C"/>
    <w:rsid w:val="00E021D1"/>
    <w:rsid w:val="00E021DA"/>
    <w:rsid w:val="00E02547"/>
    <w:rsid w:val="00E026EA"/>
    <w:rsid w:val="00E02B27"/>
    <w:rsid w:val="00E02B99"/>
    <w:rsid w:val="00E02D94"/>
    <w:rsid w:val="00E02E0C"/>
    <w:rsid w:val="00E02EA2"/>
    <w:rsid w:val="00E02EF0"/>
    <w:rsid w:val="00E02F33"/>
    <w:rsid w:val="00E02F6C"/>
    <w:rsid w:val="00E0312B"/>
    <w:rsid w:val="00E0322B"/>
    <w:rsid w:val="00E0325C"/>
    <w:rsid w:val="00E032CC"/>
    <w:rsid w:val="00E0342F"/>
    <w:rsid w:val="00E03474"/>
    <w:rsid w:val="00E03609"/>
    <w:rsid w:val="00E037C4"/>
    <w:rsid w:val="00E03832"/>
    <w:rsid w:val="00E0393C"/>
    <w:rsid w:val="00E03A83"/>
    <w:rsid w:val="00E03B1F"/>
    <w:rsid w:val="00E03DBB"/>
    <w:rsid w:val="00E03FB2"/>
    <w:rsid w:val="00E042CF"/>
    <w:rsid w:val="00E043B2"/>
    <w:rsid w:val="00E043D1"/>
    <w:rsid w:val="00E04571"/>
    <w:rsid w:val="00E047F6"/>
    <w:rsid w:val="00E04904"/>
    <w:rsid w:val="00E04974"/>
    <w:rsid w:val="00E04BF9"/>
    <w:rsid w:val="00E04CA8"/>
    <w:rsid w:val="00E04CBE"/>
    <w:rsid w:val="00E04D29"/>
    <w:rsid w:val="00E04E31"/>
    <w:rsid w:val="00E04E76"/>
    <w:rsid w:val="00E05017"/>
    <w:rsid w:val="00E0515F"/>
    <w:rsid w:val="00E05301"/>
    <w:rsid w:val="00E056CD"/>
    <w:rsid w:val="00E056D3"/>
    <w:rsid w:val="00E057B8"/>
    <w:rsid w:val="00E05A45"/>
    <w:rsid w:val="00E05A95"/>
    <w:rsid w:val="00E05B75"/>
    <w:rsid w:val="00E05B7B"/>
    <w:rsid w:val="00E05BCA"/>
    <w:rsid w:val="00E05C70"/>
    <w:rsid w:val="00E062D9"/>
    <w:rsid w:val="00E0633C"/>
    <w:rsid w:val="00E0648F"/>
    <w:rsid w:val="00E067D8"/>
    <w:rsid w:val="00E06884"/>
    <w:rsid w:val="00E06A6F"/>
    <w:rsid w:val="00E06C48"/>
    <w:rsid w:val="00E06C7D"/>
    <w:rsid w:val="00E06C96"/>
    <w:rsid w:val="00E06CA8"/>
    <w:rsid w:val="00E06E56"/>
    <w:rsid w:val="00E06E72"/>
    <w:rsid w:val="00E06F20"/>
    <w:rsid w:val="00E070BE"/>
    <w:rsid w:val="00E07129"/>
    <w:rsid w:val="00E07285"/>
    <w:rsid w:val="00E075CE"/>
    <w:rsid w:val="00E075DE"/>
    <w:rsid w:val="00E07616"/>
    <w:rsid w:val="00E07B83"/>
    <w:rsid w:val="00E07C6A"/>
    <w:rsid w:val="00E101AF"/>
    <w:rsid w:val="00E10459"/>
    <w:rsid w:val="00E1047C"/>
    <w:rsid w:val="00E105C8"/>
    <w:rsid w:val="00E1061E"/>
    <w:rsid w:val="00E106B1"/>
    <w:rsid w:val="00E106CC"/>
    <w:rsid w:val="00E10777"/>
    <w:rsid w:val="00E107A1"/>
    <w:rsid w:val="00E10B99"/>
    <w:rsid w:val="00E10E4D"/>
    <w:rsid w:val="00E10E87"/>
    <w:rsid w:val="00E11007"/>
    <w:rsid w:val="00E11285"/>
    <w:rsid w:val="00E117BB"/>
    <w:rsid w:val="00E117C2"/>
    <w:rsid w:val="00E117E3"/>
    <w:rsid w:val="00E117FF"/>
    <w:rsid w:val="00E11CDF"/>
    <w:rsid w:val="00E11EF0"/>
    <w:rsid w:val="00E11F19"/>
    <w:rsid w:val="00E123CD"/>
    <w:rsid w:val="00E125C0"/>
    <w:rsid w:val="00E12604"/>
    <w:rsid w:val="00E1267A"/>
    <w:rsid w:val="00E1275D"/>
    <w:rsid w:val="00E1293C"/>
    <w:rsid w:val="00E12B5C"/>
    <w:rsid w:val="00E12B5E"/>
    <w:rsid w:val="00E12CE1"/>
    <w:rsid w:val="00E12D10"/>
    <w:rsid w:val="00E12D72"/>
    <w:rsid w:val="00E12D84"/>
    <w:rsid w:val="00E12E71"/>
    <w:rsid w:val="00E12EA4"/>
    <w:rsid w:val="00E12EFD"/>
    <w:rsid w:val="00E12F9C"/>
    <w:rsid w:val="00E1306C"/>
    <w:rsid w:val="00E13113"/>
    <w:rsid w:val="00E13127"/>
    <w:rsid w:val="00E13249"/>
    <w:rsid w:val="00E133A5"/>
    <w:rsid w:val="00E133D9"/>
    <w:rsid w:val="00E1362A"/>
    <w:rsid w:val="00E13733"/>
    <w:rsid w:val="00E13D1A"/>
    <w:rsid w:val="00E13D58"/>
    <w:rsid w:val="00E13D7E"/>
    <w:rsid w:val="00E13DDC"/>
    <w:rsid w:val="00E13E4D"/>
    <w:rsid w:val="00E1413E"/>
    <w:rsid w:val="00E141CE"/>
    <w:rsid w:val="00E141D9"/>
    <w:rsid w:val="00E1427E"/>
    <w:rsid w:val="00E143A4"/>
    <w:rsid w:val="00E14499"/>
    <w:rsid w:val="00E147E3"/>
    <w:rsid w:val="00E14B8F"/>
    <w:rsid w:val="00E14C9A"/>
    <w:rsid w:val="00E14E70"/>
    <w:rsid w:val="00E14EB0"/>
    <w:rsid w:val="00E15018"/>
    <w:rsid w:val="00E15167"/>
    <w:rsid w:val="00E157BC"/>
    <w:rsid w:val="00E1585B"/>
    <w:rsid w:val="00E1585F"/>
    <w:rsid w:val="00E15E18"/>
    <w:rsid w:val="00E15FD1"/>
    <w:rsid w:val="00E1636A"/>
    <w:rsid w:val="00E166CB"/>
    <w:rsid w:val="00E167B2"/>
    <w:rsid w:val="00E16ACA"/>
    <w:rsid w:val="00E16B65"/>
    <w:rsid w:val="00E16B82"/>
    <w:rsid w:val="00E16E8B"/>
    <w:rsid w:val="00E16FAC"/>
    <w:rsid w:val="00E16FB6"/>
    <w:rsid w:val="00E17166"/>
    <w:rsid w:val="00E17359"/>
    <w:rsid w:val="00E1753E"/>
    <w:rsid w:val="00E17650"/>
    <w:rsid w:val="00E177A8"/>
    <w:rsid w:val="00E177E5"/>
    <w:rsid w:val="00E1783E"/>
    <w:rsid w:val="00E17AB8"/>
    <w:rsid w:val="00E17C6E"/>
    <w:rsid w:val="00E17C8A"/>
    <w:rsid w:val="00E17CEE"/>
    <w:rsid w:val="00E2013D"/>
    <w:rsid w:val="00E203FE"/>
    <w:rsid w:val="00E20AFD"/>
    <w:rsid w:val="00E20BCD"/>
    <w:rsid w:val="00E20ED6"/>
    <w:rsid w:val="00E20F58"/>
    <w:rsid w:val="00E2100C"/>
    <w:rsid w:val="00E210BE"/>
    <w:rsid w:val="00E21127"/>
    <w:rsid w:val="00E21374"/>
    <w:rsid w:val="00E2154F"/>
    <w:rsid w:val="00E215F1"/>
    <w:rsid w:val="00E21657"/>
    <w:rsid w:val="00E21970"/>
    <w:rsid w:val="00E219CC"/>
    <w:rsid w:val="00E21A01"/>
    <w:rsid w:val="00E21CCE"/>
    <w:rsid w:val="00E21CE9"/>
    <w:rsid w:val="00E21D00"/>
    <w:rsid w:val="00E21E3B"/>
    <w:rsid w:val="00E220DF"/>
    <w:rsid w:val="00E223A5"/>
    <w:rsid w:val="00E22433"/>
    <w:rsid w:val="00E22544"/>
    <w:rsid w:val="00E2290B"/>
    <w:rsid w:val="00E22950"/>
    <w:rsid w:val="00E229EC"/>
    <w:rsid w:val="00E22B52"/>
    <w:rsid w:val="00E22B78"/>
    <w:rsid w:val="00E22BC4"/>
    <w:rsid w:val="00E22EE3"/>
    <w:rsid w:val="00E22F81"/>
    <w:rsid w:val="00E23094"/>
    <w:rsid w:val="00E230FC"/>
    <w:rsid w:val="00E23113"/>
    <w:rsid w:val="00E23146"/>
    <w:rsid w:val="00E23265"/>
    <w:rsid w:val="00E233B9"/>
    <w:rsid w:val="00E2341C"/>
    <w:rsid w:val="00E234FB"/>
    <w:rsid w:val="00E234FF"/>
    <w:rsid w:val="00E23933"/>
    <w:rsid w:val="00E2399E"/>
    <w:rsid w:val="00E23C76"/>
    <w:rsid w:val="00E23E84"/>
    <w:rsid w:val="00E24087"/>
    <w:rsid w:val="00E240F8"/>
    <w:rsid w:val="00E24348"/>
    <w:rsid w:val="00E2444C"/>
    <w:rsid w:val="00E24545"/>
    <w:rsid w:val="00E24608"/>
    <w:rsid w:val="00E24698"/>
    <w:rsid w:val="00E2488B"/>
    <w:rsid w:val="00E24B86"/>
    <w:rsid w:val="00E24E58"/>
    <w:rsid w:val="00E25240"/>
    <w:rsid w:val="00E25823"/>
    <w:rsid w:val="00E25B95"/>
    <w:rsid w:val="00E25E71"/>
    <w:rsid w:val="00E25F6E"/>
    <w:rsid w:val="00E2615A"/>
    <w:rsid w:val="00E2648B"/>
    <w:rsid w:val="00E264A8"/>
    <w:rsid w:val="00E26532"/>
    <w:rsid w:val="00E2670F"/>
    <w:rsid w:val="00E26A41"/>
    <w:rsid w:val="00E26A8B"/>
    <w:rsid w:val="00E26BF0"/>
    <w:rsid w:val="00E26CB1"/>
    <w:rsid w:val="00E26EE0"/>
    <w:rsid w:val="00E26F53"/>
    <w:rsid w:val="00E271B1"/>
    <w:rsid w:val="00E27278"/>
    <w:rsid w:val="00E2730C"/>
    <w:rsid w:val="00E2733D"/>
    <w:rsid w:val="00E27512"/>
    <w:rsid w:val="00E27A00"/>
    <w:rsid w:val="00E27A33"/>
    <w:rsid w:val="00E27B25"/>
    <w:rsid w:val="00E27BB2"/>
    <w:rsid w:val="00E27F0D"/>
    <w:rsid w:val="00E27F72"/>
    <w:rsid w:val="00E30148"/>
    <w:rsid w:val="00E302D9"/>
    <w:rsid w:val="00E304A3"/>
    <w:rsid w:val="00E3071D"/>
    <w:rsid w:val="00E30982"/>
    <w:rsid w:val="00E30AC1"/>
    <w:rsid w:val="00E30B8B"/>
    <w:rsid w:val="00E30BBB"/>
    <w:rsid w:val="00E30F0B"/>
    <w:rsid w:val="00E31016"/>
    <w:rsid w:val="00E310C1"/>
    <w:rsid w:val="00E310D6"/>
    <w:rsid w:val="00E310FA"/>
    <w:rsid w:val="00E3112B"/>
    <w:rsid w:val="00E3138D"/>
    <w:rsid w:val="00E313D2"/>
    <w:rsid w:val="00E3143D"/>
    <w:rsid w:val="00E31571"/>
    <w:rsid w:val="00E315D9"/>
    <w:rsid w:val="00E3170A"/>
    <w:rsid w:val="00E31846"/>
    <w:rsid w:val="00E3188B"/>
    <w:rsid w:val="00E31ACE"/>
    <w:rsid w:val="00E31B48"/>
    <w:rsid w:val="00E31C14"/>
    <w:rsid w:val="00E31D71"/>
    <w:rsid w:val="00E31DB2"/>
    <w:rsid w:val="00E31DC6"/>
    <w:rsid w:val="00E31EE8"/>
    <w:rsid w:val="00E31FCB"/>
    <w:rsid w:val="00E32200"/>
    <w:rsid w:val="00E3247B"/>
    <w:rsid w:val="00E325FF"/>
    <w:rsid w:val="00E328D8"/>
    <w:rsid w:val="00E32963"/>
    <w:rsid w:val="00E3296D"/>
    <w:rsid w:val="00E32981"/>
    <w:rsid w:val="00E32990"/>
    <w:rsid w:val="00E32A1F"/>
    <w:rsid w:val="00E32A2F"/>
    <w:rsid w:val="00E32AD0"/>
    <w:rsid w:val="00E32D67"/>
    <w:rsid w:val="00E32DF6"/>
    <w:rsid w:val="00E32F70"/>
    <w:rsid w:val="00E32F7A"/>
    <w:rsid w:val="00E32FBE"/>
    <w:rsid w:val="00E33433"/>
    <w:rsid w:val="00E3344D"/>
    <w:rsid w:val="00E3357B"/>
    <w:rsid w:val="00E33868"/>
    <w:rsid w:val="00E338E0"/>
    <w:rsid w:val="00E338F2"/>
    <w:rsid w:val="00E33A3B"/>
    <w:rsid w:val="00E33A50"/>
    <w:rsid w:val="00E33A57"/>
    <w:rsid w:val="00E33B48"/>
    <w:rsid w:val="00E33CC5"/>
    <w:rsid w:val="00E33D8F"/>
    <w:rsid w:val="00E33E65"/>
    <w:rsid w:val="00E33EC9"/>
    <w:rsid w:val="00E33F42"/>
    <w:rsid w:val="00E33F58"/>
    <w:rsid w:val="00E340E6"/>
    <w:rsid w:val="00E3415C"/>
    <w:rsid w:val="00E34315"/>
    <w:rsid w:val="00E343B9"/>
    <w:rsid w:val="00E3442A"/>
    <w:rsid w:val="00E344B9"/>
    <w:rsid w:val="00E345B3"/>
    <w:rsid w:val="00E345CD"/>
    <w:rsid w:val="00E346EF"/>
    <w:rsid w:val="00E347B0"/>
    <w:rsid w:val="00E347D3"/>
    <w:rsid w:val="00E348CB"/>
    <w:rsid w:val="00E348DC"/>
    <w:rsid w:val="00E34A60"/>
    <w:rsid w:val="00E34CAD"/>
    <w:rsid w:val="00E34CC1"/>
    <w:rsid w:val="00E34F3C"/>
    <w:rsid w:val="00E35080"/>
    <w:rsid w:val="00E35100"/>
    <w:rsid w:val="00E352A5"/>
    <w:rsid w:val="00E354C3"/>
    <w:rsid w:val="00E35503"/>
    <w:rsid w:val="00E3575C"/>
    <w:rsid w:val="00E357F5"/>
    <w:rsid w:val="00E35B2C"/>
    <w:rsid w:val="00E35BA7"/>
    <w:rsid w:val="00E35C9C"/>
    <w:rsid w:val="00E35F3A"/>
    <w:rsid w:val="00E3602F"/>
    <w:rsid w:val="00E36550"/>
    <w:rsid w:val="00E36587"/>
    <w:rsid w:val="00E366DD"/>
    <w:rsid w:val="00E3688C"/>
    <w:rsid w:val="00E369F8"/>
    <w:rsid w:val="00E36A14"/>
    <w:rsid w:val="00E36B62"/>
    <w:rsid w:val="00E36FF9"/>
    <w:rsid w:val="00E37198"/>
    <w:rsid w:val="00E37287"/>
    <w:rsid w:val="00E372B6"/>
    <w:rsid w:val="00E373D1"/>
    <w:rsid w:val="00E373E4"/>
    <w:rsid w:val="00E3749C"/>
    <w:rsid w:val="00E375F9"/>
    <w:rsid w:val="00E3763B"/>
    <w:rsid w:val="00E37847"/>
    <w:rsid w:val="00E37979"/>
    <w:rsid w:val="00E37A4E"/>
    <w:rsid w:val="00E37EF2"/>
    <w:rsid w:val="00E40015"/>
    <w:rsid w:val="00E40194"/>
    <w:rsid w:val="00E40522"/>
    <w:rsid w:val="00E40577"/>
    <w:rsid w:val="00E40718"/>
    <w:rsid w:val="00E407C3"/>
    <w:rsid w:val="00E4083E"/>
    <w:rsid w:val="00E4089C"/>
    <w:rsid w:val="00E408DB"/>
    <w:rsid w:val="00E408E1"/>
    <w:rsid w:val="00E40979"/>
    <w:rsid w:val="00E40A3A"/>
    <w:rsid w:val="00E410BD"/>
    <w:rsid w:val="00E415D4"/>
    <w:rsid w:val="00E41C79"/>
    <w:rsid w:val="00E41F19"/>
    <w:rsid w:val="00E4215B"/>
    <w:rsid w:val="00E423BC"/>
    <w:rsid w:val="00E424B2"/>
    <w:rsid w:val="00E42508"/>
    <w:rsid w:val="00E42590"/>
    <w:rsid w:val="00E4296A"/>
    <w:rsid w:val="00E42A9C"/>
    <w:rsid w:val="00E42AF4"/>
    <w:rsid w:val="00E42B0D"/>
    <w:rsid w:val="00E42CE1"/>
    <w:rsid w:val="00E42EB7"/>
    <w:rsid w:val="00E42F06"/>
    <w:rsid w:val="00E43114"/>
    <w:rsid w:val="00E431B1"/>
    <w:rsid w:val="00E43253"/>
    <w:rsid w:val="00E4339C"/>
    <w:rsid w:val="00E43476"/>
    <w:rsid w:val="00E4350C"/>
    <w:rsid w:val="00E435A4"/>
    <w:rsid w:val="00E4365C"/>
    <w:rsid w:val="00E4381D"/>
    <w:rsid w:val="00E43952"/>
    <w:rsid w:val="00E43A8A"/>
    <w:rsid w:val="00E43BE8"/>
    <w:rsid w:val="00E43E03"/>
    <w:rsid w:val="00E43FC4"/>
    <w:rsid w:val="00E44404"/>
    <w:rsid w:val="00E444EE"/>
    <w:rsid w:val="00E44539"/>
    <w:rsid w:val="00E44702"/>
    <w:rsid w:val="00E44705"/>
    <w:rsid w:val="00E4486E"/>
    <w:rsid w:val="00E450B5"/>
    <w:rsid w:val="00E450F1"/>
    <w:rsid w:val="00E450F2"/>
    <w:rsid w:val="00E4512E"/>
    <w:rsid w:val="00E45146"/>
    <w:rsid w:val="00E4527A"/>
    <w:rsid w:val="00E45417"/>
    <w:rsid w:val="00E4559E"/>
    <w:rsid w:val="00E45732"/>
    <w:rsid w:val="00E4584F"/>
    <w:rsid w:val="00E45860"/>
    <w:rsid w:val="00E458C5"/>
    <w:rsid w:val="00E45B03"/>
    <w:rsid w:val="00E45EBB"/>
    <w:rsid w:val="00E45FDA"/>
    <w:rsid w:val="00E4605C"/>
    <w:rsid w:val="00E461F6"/>
    <w:rsid w:val="00E465C2"/>
    <w:rsid w:val="00E46723"/>
    <w:rsid w:val="00E46A24"/>
    <w:rsid w:val="00E46DAC"/>
    <w:rsid w:val="00E46DB5"/>
    <w:rsid w:val="00E46E49"/>
    <w:rsid w:val="00E470E0"/>
    <w:rsid w:val="00E47142"/>
    <w:rsid w:val="00E47175"/>
    <w:rsid w:val="00E47490"/>
    <w:rsid w:val="00E47646"/>
    <w:rsid w:val="00E4787F"/>
    <w:rsid w:val="00E47A08"/>
    <w:rsid w:val="00E47AD5"/>
    <w:rsid w:val="00E5017D"/>
    <w:rsid w:val="00E502EE"/>
    <w:rsid w:val="00E50303"/>
    <w:rsid w:val="00E50386"/>
    <w:rsid w:val="00E504B8"/>
    <w:rsid w:val="00E50655"/>
    <w:rsid w:val="00E506A6"/>
    <w:rsid w:val="00E506DB"/>
    <w:rsid w:val="00E50700"/>
    <w:rsid w:val="00E507D3"/>
    <w:rsid w:val="00E50937"/>
    <w:rsid w:val="00E50F06"/>
    <w:rsid w:val="00E5121D"/>
    <w:rsid w:val="00E51389"/>
    <w:rsid w:val="00E5178C"/>
    <w:rsid w:val="00E51ABD"/>
    <w:rsid w:val="00E51D67"/>
    <w:rsid w:val="00E51FB5"/>
    <w:rsid w:val="00E5222D"/>
    <w:rsid w:val="00E52411"/>
    <w:rsid w:val="00E527AA"/>
    <w:rsid w:val="00E5280B"/>
    <w:rsid w:val="00E528BE"/>
    <w:rsid w:val="00E52D94"/>
    <w:rsid w:val="00E52E8E"/>
    <w:rsid w:val="00E52F4A"/>
    <w:rsid w:val="00E53087"/>
    <w:rsid w:val="00E535C0"/>
    <w:rsid w:val="00E53617"/>
    <w:rsid w:val="00E5364F"/>
    <w:rsid w:val="00E537D3"/>
    <w:rsid w:val="00E5399C"/>
    <w:rsid w:val="00E53B4F"/>
    <w:rsid w:val="00E5439F"/>
    <w:rsid w:val="00E543EE"/>
    <w:rsid w:val="00E54490"/>
    <w:rsid w:val="00E546E4"/>
    <w:rsid w:val="00E547D2"/>
    <w:rsid w:val="00E5494F"/>
    <w:rsid w:val="00E549CA"/>
    <w:rsid w:val="00E54A10"/>
    <w:rsid w:val="00E54B0A"/>
    <w:rsid w:val="00E54B16"/>
    <w:rsid w:val="00E54B5D"/>
    <w:rsid w:val="00E54CE9"/>
    <w:rsid w:val="00E54F85"/>
    <w:rsid w:val="00E5516E"/>
    <w:rsid w:val="00E55199"/>
    <w:rsid w:val="00E552E6"/>
    <w:rsid w:val="00E55355"/>
    <w:rsid w:val="00E5545F"/>
    <w:rsid w:val="00E55472"/>
    <w:rsid w:val="00E55698"/>
    <w:rsid w:val="00E5587E"/>
    <w:rsid w:val="00E5596A"/>
    <w:rsid w:val="00E5614D"/>
    <w:rsid w:val="00E56179"/>
    <w:rsid w:val="00E5619C"/>
    <w:rsid w:val="00E56263"/>
    <w:rsid w:val="00E562C0"/>
    <w:rsid w:val="00E562D8"/>
    <w:rsid w:val="00E562E3"/>
    <w:rsid w:val="00E563E7"/>
    <w:rsid w:val="00E56493"/>
    <w:rsid w:val="00E566EA"/>
    <w:rsid w:val="00E566FA"/>
    <w:rsid w:val="00E5671C"/>
    <w:rsid w:val="00E567E3"/>
    <w:rsid w:val="00E56864"/>
    <w:rsid w:val="00E569A2"/>
    <w:rsid w:val="00E56B9A"/>
    <w:rsid w:val="00E56DD7"/>
    <w:rsid w:val="00E56EEA"/>
    <w:rsid w:val="00E571B0"/>
    <w:rsid w:val="00E575F4"/>
    <w:rsid w:val="00E5787F"/>
    <w:rsid w:val="00E57953"/>
    <w:rsid w:val="00E57C22"/>
    <w:rsid w:val="00E57C43"/>
    <w:rsid w:val="00E57D98"/>
    <w:rsid w:val="00E60016"/>
    <w:rsid w:val="00E600F9"/>
    <w:rsid w:val="00E602C1"/>
    <w:rsid w:val="00E60444"/>
    <w:rsid w:val="00E6053F"/>
    <w:rsid w:val="00E60568"/>
    <w:rsid w:val="00E60776"/>
    <w:rsid w:val="00E60A66"/>
    <w:rsid w:val="00E60D1B"/>
    <w:rsid w:val="00E60E66"/>
    <w:rsid w:val="00E610C0"/>
    <w:rsid w:val="00E611BF"/>
    <w:rsid w:val="00E615A6"/>
    <w:rsid w:val="00E616C2"/>
    <w:rsid w:val="00E618A1"/>
    <w:rsid w:val="00E61917"/>
    <w:rsid w:val="00E61A65"/>
    <w:rsid w:val="00E61B78"/>
    <w:rsid w:val="00E61C96"/>
    <w:rsid w:val="00E61EBB"/>
    <w:rsid w:val="00E61EEB"/>
    <w:rsid w:val="00E61F21"/>
    <w:rsid w:val="00E620A6"/>
    <w:rsid w:val="00E624E1"/>
    <w:rsid w:val="00E62555"/>
    <w:rsid w:val="00E628A3"/>
    <w:rsid w:val="00E62A4B"/>
    <w:rsid w:val="00E62B2B"/>
    <w:rsid w:val="00E62B83"/>
    <w:rsid w:val="00E62C39"/>
    <w:rsid w:val="00E62CCB"/>
    <w:rsid w:val="00E62D10"/>
    <w:rsid w:val="00E62DBA"/>
    <w:rsid w:val="00E6302B"/>
    <w:rsid w:val="00E632A9"/>
    <w:rsid w:val="00E633C1"/>
    <w:rsid w:val="00E633EC"/>
    <w:rsid w:val="00E633F3"/>
    <w:rsid w:val="00E634B6"/>
    <w:rsid w:val="00E63574"/>
    <w:rsid w:val="00E63753"/>
    <w:rsid w:val="00E63836"/>
    <w:rsid w:val="00E638C9"/>
    <w:rsid w:val="00E638E4"/>
    <w:rsid w:val="00E63A0D"/>
    <w:rsid w:val="00E63A56"/>
    <w:rsid w:val="00E63C36"/>
    <w:rsid w:val="00E6418E"/>
    <w:rsid w:val="00E642CE"/>
    <w:rsid w:val="00E64448"/>
    <w:rsid w:val="00E6463A"/>
    <w:rsid w:val="00E6476F"/>
    <w:rsid w:val="00E647B2"/>
    <w:rsid w:val="00E6482C"/>
    <w:rsid w:val="00E64830"/>
    <w:rsid w:val="00E64B5B"/>
    <w:rsid w:val="00E64DDB"/>
    <w:rsid w:val="00E6517A"/>
    <w:rsid w:val="00E6528A"/>
    <w:rsid w:val="00E654D8"/>
    <w:rsid w:val="00E65616"/>
    <w:rsid w:val="00E6572A"/>
    <w:rsid w:val="00E659DE"/>
    <w:rsid w:val="00E65A23"/>
    <w:rsid w:val="00E65C00"/>
    <w:rsid w:val="00E65FEE"/>
    <w:rsid w:val="00E66142"/>
    <w:rsid w:val="00E6623A"/>
    <w:rsid w:val="00E6625E"/>
    <w:rsid w:val="00E663DB"/>
    <w:rsid w:val="00E66680"/>
    <w:rsid w:val="00E66748"/>
    <w:rsid w:val="00E66C00"/>
    <w:rsid w:val="00E66C59"/>
    <w:rsid w:val="00E66CAE"/>
    <w:rsid w:val="00E66EC5"/>
    <w:rsid w:val="00E67133"/>
    <w:rsid w:val="00E673F1"/>
    <w:rsid w:val="00E67463"/>
    <w:rsid w:val="00E675D9"/>
    <w:rsid w:val="00E67602"/>
    <w:rsid w:val="00E67950"/>
    <w:rsid w:val="00E67A1D"/>
    <w:rsid w:val="00E67DAD"/>
    <w:rsid w:val="00E7005F"/>
    <w:rsid w:val="00E701EE"/>
    <w:rsid w:val="00E70622"/>
    <w:rsid w:val="00E7070B"/>
    <w:rsid w:val="00E70C18"/>
    <w:rsid w:val="00E70F5F"/>
    <w:rsid w:val="00E70F67"/>
    <w:rsid w:val="00E70FEE"/>
    <w:rsid w:val="00E711D3"/>
    <w:rsid w:val="00E71305"/>
    <w:rsid w:val="00E71322"/>
    <w:rsid w:val="00E71867"/>
    <w:rsid w:val="00E718DA"/>
    <w:rsid w:val="00E71E63"/>
    <w:rsid w:val="00E71E6E"/>
    <w:rsid w:val="00E72112"/>
    <w:rsid w:val="00E72142"/>
    <w:rsid w:val="00E721CF"/>
    <w:rsid w:val="00E7225E"/>
    <w:rsid w:val="00E722B8"/>
    <w:rsid w:val="00E72360"/>
    <w:rsid w:val="00E723F3"/>
    <w:rsid w:val="00E72484"/>
    <w:rsid w:val="00E7265B"/>
    <w:rsid w:val="00E726CE"/>
    <w:rsid w:val="00E727AC"/>
    <w:rsid w:val="00E728D6"/>
    <w:rsid w:val="00E72A20"/>
    <w:rsid w:val="00E72D86"/>
    <w:rsid w:val="00E72DED"/>
    <w:rsid w:val="00E72E0E"/>
    <w:rsid w:val="00E72E5C"/>
    <w:rsid w:val="00E72EE4"/>
    <w:rsid w:val="00E72F18"/>
    <w:rsid w:val="00E72F59"/>
    <w:rsid w:val="00E7314D"/>
    <w:rsid w:val="00E73273"/>
    <w:rsid w:val="00E732F7"/>
    <w:rsid w:val="00E7348D"/>
    <w:rsid w:val="00E734E8"/>
    <w:rsid w:val="00E73B87"/>
    <w:rsid w:val="00E73D63"/>
    <w:rsid w:val="00E73E1F"/>
    <w:rsid w:val="00E74461"/>
    <w:rsid w:val="00E7470C"/>
    <w:rsid w:val="00E74BF7"/>
    <w:rsid w:val="00E74C91"/>
    <w:rsid w:val="00E74D3D"/>
    <w:rsid w:val="00E74E07"/>
    <w:rsid w:val="00E74FCF"/>
    <w:rsid w:val="00E75138"/>
    <w:rsid w:val="00E75426"/>
    <w:rsid w:val="00E7572F"/>
    <w:rsid w:val="00E7578A"/>
    <w:rsid w:val="00E75950"/>
    <w:rsid w:val="00E759C3"/>
    <w:rsid w:val="00E759D2"/>
    <w:rsid w:val="00E75A3A"/>
    <w:rsid w:val="00E75A3D"/>
    <w:rsid w:val="00E75AB2"/>
    <w:rsid w:val="00E75CAC"/>
    <w:rsid w:val="00E75D9A"/>
    <w:rsid w:val="00E75DCD"/>
    <w:rsid w:val="00E76223"/>
    <w:rsid w:val="00E76273"/>
    <w:rsid w:val="00E762DE"/>
    <w:rsid w:val="00E76412"/>
    <w:rsid w:val="00E7659B"/>
    <w:rsid w:val="00E766B0"/>
    <w:rsid w:val="00E768B1"/>
    <w:rsid w:val="00E76A5B"/>
    <w:rsid w:val="00E76AD5"/>
    <w:rsid w:val="00E76BD9"/>
    <w:rsid w:val="00E76C34"/>
    <w:rsid w:val="00E76E01"/>
    <w:rsid w:val="00E76E68"/>
    <w:rsid w:val="00E76EA4"/>
    <w:rsid w:val="00E77098"/>
    <w:rsid w:val="00E77364"/>
    <w:rsid w:val="00E77372"/>
    <w:rsid w:val="00E773DF"/>
    <w:rsid w:val="00E774C2"/>
    <w:rsid w:val="00E775B7"/>
    <w:rsid w:val="00E77679"/>
    <w:rsid w:val="00E776C1"/>
    <w:rsid w:val="00E776D6"/>
    <w:rsid w:val="00E7780C"/>
    <w:rsid w:val="00E77AA6"/>
    <w:rsid w:val="00E77B57"/>
    <w:rsid w:val="00E77C02"/>
    <w:rsid w:val="00E77C22"/>
    <w:rsid w:val="00E77C3C"/>
    <w:rsid w:val="00E77F85"/>
    <w:rsid w:val="00E800A4"/>
    <w:rsid w:val="00E80141"/>
    <w:rsid w:val="00E802DE"/>
    <w:rsid w:val="00E803B3"/>
    <w:rsid w:val="00E80828"/>
    <w:rsid w:val="00E80AAE"/>
    <w:rsid w:val="00E80C88"/>
    <w:rsid w:val="00E80DF9"/>
    <w:rsid w:val="00E80F59"/>
    <w:rsid w:val="00E81119"/>
    <w:rsid w:val="00E81191"/>
    <w:rsid w:val="00E812B7"/>
    <w:rsid w:val="00E81336"/>
    <w:rsid w:val="00E8142E"/>
    <w:rsid w:val="00E81481"/>
    <w:rsid w:val="00E8162F"/>
    <w:rsid w:val="00E8163F"/>
    <w:rsid w:val="00E8179B"/>
    <w:rsid w:val="00E817D6"/>
    <w:rsid w:val="00E8196A"/>
    <w:rsid w:val="00E819D9"/>
    <w:rsid w:val="00E81A6A"/>
    <w:rsid w:val="00E81AFE"/>
    <w:rsid w:val="00E81C8A"/>
    <w:rsid w:val="00E81E1F"/>
    <w:rsid w:val="00E81F15"/>
    <w:rsid w:val="00E822E1"/>
    <w:rsid w:val="00E82460"/>
    <w:rsid w:val="00E8248C"/>
    <w:rsid w:val="00E824F0"/>
    <w:rsid w:val="00E8250E"/>
    <w:rsid w:val="00E825B1"/>
    <w:rsid w:val="00E8262A"/>
    <w:rsid w:val="00E82838"/>
    <w:rsid w:val="00E82966"/>
    <w:rsid w:val="00E82A65"/>
    <w:rsid w:val="00E82A6B"/>
    <w:rsid w:val="00E82C67"/>
    <w:rsid w:val="00E82F56"/>
    <w:rsid w:val="00E82FE4"/>
    <w:rsid w:val="00E830A3"/>
    <w:rsid w:val="00E83240"/>
    <w:rsid w:val="00E833C5"/>
    <w:rsid w:val="00E8359D"/>
    <w:rsid w:val="00E83ED3"/>
    <w:rsid w:val="00E83F37"/>
    <w:rsid w:val="00E83F57"/>
    <w:rsid w:val="00E83F6E"/>
    <w:rsid w:val="00E84005"/>
    <w:rsid w:val="00E840F7"/>
    <w:rsid w:val="00E84126"/>
    <w:rsid w:val="00E8414E"/>
    <w:rsid w:val="00E841A5"/>
    <w:rsid w:val="00E841F5"/>
    <w:rsid w:val="00E843C8"/>
    <w:rsid w:val="00E84646"/>
    <w:rsid w:val="00E84BF5"/>
    <w:rsid w:val="00E84DB9"/>
    <w:rsid w:val="00E84DD8"/>
    <w:rsid w:val="00E84EF9"/>
    <w:rsid w:val="00E85432"/>
    <w:rsid w:val="00E85564"/>
    <w:rsid w:val="00E8559D"/>
    <w:rsid w:val="00E85661"/>
    <w:rsid w:val="00E857AF"/>
    <w:rsid w:val="00E859CC"/>
    <w:rsid w:val="00E85A4B"/>
    <w:rsid w:val="00E85B60"/>
    <w:rsid w:val="00E85CB8"/>
    <w:rsid w:val="00E85DA6"/>
    <w:rsid w:val="00E85F0F"/>
    <w:rsid w:val="00E86107"/>
    <w:rsid w:val="00E862B1"/>
    <w:rsid w:val="00E8635A"/>
    <w:rsid w:val="00E86754"/>
    <w:rsid w:val="00E867A2"/>
    <w:rsid w:val="00E8699A"/>
    <w:rsid w:val="00E869D6"/>
    <w:rsid w:val="00E86A88"/>
    <w:rsid w:val="00E86A9E"/>
    <w:rsid w:val="00E86C30"/>
    <w:rsid w:val="00E86D02"/>
    <w:rsid w:val="00E86DA0"/>
    <w:rsid w:val="00E86DC3"/>
    <w:rsid w:val="00E86E46"/>
    <w:rsid w:val="00E87012"/>
    <w:rsid w:val="00E870B4"/>
    <w:rsid w:val="00E870BD"/>
    <w:rsid w:val="00E8712B"/>
    <w:rsid w:val="00E871D6"/>
    <w:rsid w:val="00E871FF"/>
    <w:rsid w:val="00E872A2"/>
    <w:rsid w:val="00E87742"/>
    <w:rsid w:val="00E87A53"/>
    <w:rsid w:val="00E87A96"/>
    <w:rsid w:val="00E87D61"/>
    <w:rsid w:val="00E90114"/>
    <w:rsid w:val="00E90484"/>
    <w:rsid w:val="00E9052B"/>
    <w:rsid w:val="00E90531"/>
    <w:rsid w:val="00E90896"/>
    <w:rsid w:val="00E90999"/>
    <w:rsid w:val="00E90C4C"/>
    <w:rsid w:val="00E90DE5"/>
    <w:rsid w:val="00E90E71"/>
    <w:rsid w:val="00E90FF1"/>
    <w:rsid w:val="00E9137A"/>
    <w:rsid w:val="00E914C7"/>
    <w:rsid w:val="00E917EB"/>
    <w:rsid w:val="00E917FE"/>
    <w:rsid w:val="00E9180D"/>
    <w:rsid w:val="00E91A03"/>
    <w:rsid w:val="00E91A13"/>
    <w:rsid w:val="00E91A56"/>
    <w:rsid w:val="00E91AD9"/>
    <w:rsid w:val="00E91BC6"/>
    <w:rsid w:val="00E91D69"/>
    <w:rsid w:val="00E91E4F"/>
    <w:rsid w:val="00E9206B"/>
    <w:rsid w:val="00E925A1"/>
    <w:rsid w:val="00E92734"/>
    <w:rsid w:val="00E928E4"/>
    <w:rsid w:val="00E92CA2"/>
    <w:rsid w:val="00E92CBD"/>
    <w:rsid w:val="00E92CF0"/>
    <w:rsid w:val="00E92D47"/>
    <w:rsid w:val="00E92E9B"/>
    <w:rsid w:val="00E92F38"/>
    <w:rsid w:val="00E92FED"/>
    <w:rsid w:val="00E9334F"/>
    <w:rsid w:val="00E934C3"/>
    <w:rsid w:val="00E93541"/>
    <w:rsid w:val="00E938D4"/>
    <w:rsid w:val="00E938F4"/>
    <w:rsid w:val="00E9421C"/>
    <w:rsid w:val="00E94269"/>
    <w:rsid w:val="00E94713"/>
    <w:rsid w:val="00E9475F"/>
    <w:rsid w:val="00E947DF"/>
    <w:rsid w:val="00E9487F"/>
    <w:rsid w:val="00E94A76"/>
    <w:rsid w:val="00E94AE3"/>
    <w:rsid w:val="00E94B76"/>
    <w:rsid w:val="00E94C34"/>
    <w:rsid w:val="00E94C38"/>
    <w:rsid w:val="00E94E3A"/>
    <w:rsid w:val="00E94EA5"/>
    <w:rsid w:val="00E94F9E"/>
    <w:rsid w:val="00E952F2"/>
    <w:rsid w:val="00E952F8"/>
    <w:rsid w:val="00E95356"/>
    <w:rsid w:val="00E953A8"/>
    <w:rsid w:val="00E95441"/>
    <w:rsid w:val="00E9547B"/>
    <w:rsid w:val="00E95502"/>
    <w:rsid w:val="00E957EE"/>
    <w:rsid w:val="00E95826"/>
    <w:rsid w:val="00E95928"/>
    <w:rsid w:val="00E95A6D"/>
    <w:rsid w:val="00E95B90"/>
    <w:rsid w:val="00E95D8D"/>
    <w:rsid w:val="00E95EE9"/>
    <w:rsid w:val="00E960ED"/>
    <w:rsid w:val="00E96168"/>
    <w:rsid w:val="00E96194"/>
    <w:rsid w:val="00E962C7"/>
    <w:rsid w:val="00E963CF"/>
    <w:rsid w:val="00E96607"/>
    <w:rsid w:val="00E96ABE"/>
    <w:rsid w:val="00E96C32"/>
    <w:rsid w:val="00E96D64"/>
    <w:rsid w:val="00E96DB7"/>
    <w:rsid w:val="00E9707C"/>
    <w:rsid w:val="00E97094"/>
    <w:rsid w:val="00E9713E"/>
    <w:rsid w:val="00E9727E"/>
    <w:rsid w:val="00E972EA"/>
    <w:rsid w:val="00E9730D"/>
    <w:rsid w:val="00E973D5"/>
    <w:rsid w:val="00E97574"/>
    <w:rsid w:val="00E9792F"/>
    <w:rsid w:val="00E97BB2"/>
    <w:rsid w:val="00E97CF8"/>
    <w:rsid w:val="00E97EC8"/>
    <w:rsid w:val="00E97EDB"/>
    <w:rsid w:val="00E97FC3"/>
    <w:rsid w:val="00EA0035"/>
    <w:rsid w:val="00EA0480"/>
    <w:rsid w:val="00EA0563"/>
    <w:rsid w:val="00EA05B4"/>
    <w:rsid w:val="00EA05D6"/>
    <w:rsid w:val="00EA05FF"/>
    <w:rsid w:val="00EA0771"/>
    <w:rsid w:val="00EA0906"/>
    <w:rsid w:val="00EA0ADC"/>
    <w:rsid w:val="00EA0B90"/>
    <w:rsid w:val="00EA0B9E"/>
    <w:rsid w:val="00EA0C42"/>
    <w:rsid w:val="00EA0F2F"/>
    <w:rsid w:val="00EA0FAC"/>
    <w:rsid w:val="00EA14D8"/>
    <w:rsid w:val="00EA15F9"/>
    <w:rsid w:val="00EA1719"/>
    <w:rsid w:val="00EA17CB"/>
    <w:rsid w:val="00EA17DC"/>
    <w:rsid w:val="00EA1980"/>
    <w:rsid w:val="00EA1E74"/>
    <w:rsid w:val="00EA1E86"/>
    <w:rsid w:val="00EA2623"/>
    <w:rsid w:val="00EA269B"/>
    <w:rsid w:val="00EA2719"/>
    <w:rsid w:val="00EA2842"/>
    <w:rsid w:val="00EA28A1"/>
    <w:rsid w:val="00EA29FF"/>
    <w:rsid w:val="00EA2A87"/>
    <w:rsid w:val="00EA2C99"/>
    <w:rsid w:val="00EA2E01"/>
    <w:rsid w:val="00EA2F7E"/>
    <w:rsid w:val="00EA2FA3"/>
    <w:rsid w:val="00EA2FF1"/>
    <w:rsid w:val="00EA30D6"/>
    <w:rsid w:val="00EA325C"/>
    <w:rsid w:val="00EA3366"/>
    <w:rsid w:val="00EA3401"/>
    <w:rsid w:val="00EA35A1"/>
    <w:rsid w:val="00EA3723"/>
    <w:rsid w:val="00EA38F0"/>
    <w:rsid w:val="00EA3DC0"/>
    <w:rsid w:val="00EA3DCB"/>
    <w:rsid w:val="00EA3ED9"/>
    <w:rsid w:val="00EA3F9D"/>
    <w:rsid w:val="00EA4181"/>
    <w:rsid w:val="00EA4295"/>
    <w:rsid w:val="00EA4369"/>
    <w:rsid w:val="00EA436E"/>
    <w:rsid w:val="00EA4542"/>
    <w:rsid w:val="00EA486C"/>
    <w:rsid w:val="00EA49C2"/>
    <w:rsid w:val="00EA4BA6"/>
    <w:rsid w:val="00EA4E5E"/>
    <w:rsid w:val="00EA4F48"/>
    <w:rsid w:val="00EA4F5E"/>
    <w:rsid w:val="00EA4FD4"/>
    <w:rsid w:val="00EA5173"/>
    <w:rsid w:val="00EA5598"/>
    <w:rsid w:val="00EA568A"/>
    <w:rsid w:val="00EA591A"/>
    <w:rsid w:val="00EA5A4A"/>
    <w:rsid w:val="00EA5BB6"/>
    <w:rsid w:val="00EA5D5D"/>
    <w:rsid w:val="00EA5F55"/>
    <w:rsid w:val="00EA5FAB"/>
    <w:rsid w:val="00EA6041"/>
    <w:rsid w:val="00EA6051"/>
    <w:rsid w:val="00EA605E"/>
    <w:rsid w:val="00EA612E"/>
    <w:rsid w:val="00EA6199"/>
    <w:rsid w:val="00EA62EA"/>
    <w:rsid w:val="00EA62F8"/>
    <w:rsid w:val="00EA644C"/>
    <w:rsid w:val="00EA650D"/>
    <w:rsid w:val="00EA663D"/>
    <w:rsid w:val="00EA671A"/>
    <w:rsid w:val="00EA6803"/>
    <w:rsid w:val="00EA6828"/>
    <w:rsid w:val="00EA69F7"/>
    <w:rsid w:val="00EA6AD3"/>
    <w:rsid w:val="00EA6BE1"/>
    <w:rsid w:val="00EA6EA5"/>
    <w:rsid w:val="00EA70AB"/>
    <w:rsid w:val="00EA71DC"/>
    <w:rsid w:val="00EA71F6"/>
    <w:rsid w:val="00EA7325"/>
    <w:rsid w:val="00EA75CB"/>
    <w:rsid w:val="00EA76AC"/>
    <w:rsid w:val="00EA76AF"/>
    <w:rsid w:val="00EA76C3"/>
    <w:rsid w:val="00EA775B"/>
    <w:rsid w:val="00EA78BB"/>
    <w:rsid w:val="00EA79DD"/>
    <w:rsid w:val="00EA7B8F"/>
    <w:rsid w:val="00EB01E9"/>
    <w:rsid w:val="00EB0359"/>
    <w:rsid w:val="00EB0451"/>
    <w:rsid w:val="00EB07EE"/>
    <w:rsid w:val="00EB0A67"/>
    <w:rsid w:val="00EB0C76"/>
    <w:rsid w:val="00EB0DAC"/>
    <w:rsid w:val="00EB0E3D"/>
    <w:rsid w:val="00EB0F20"/>
    <w:rsid w:val="00EB0FDF"/>
    <w:rsid w:val="00EB1095"/>
    <w:rsid w:val="00EB10D7"/>
    <w:rsid w:val="00EB10F1"/>
    <w:rsid w:val="00EB14DA"/>
    <w:rsid w:val="00EB1710"/>
    <w:rsid w:val="00EB17F6"/>
    <w:rsid w:val="00EB1B3E"/>
    <w:rsid w:val="00EB1BD9"/>
    <w:rsid w:val="00EB1D78"/>
    <w:rsid w:val="00EB1F22"/>
    <w:rsid w:val="00EB1F72"/>
    <w:rsid w:val="00EB225C"/>
    <w:rsid w:val="00EB226F"/>
    <w:rsid w:val="00EB236F"/>
    <w:rsid w:val="00EB25DB"/>
    <w:rsid w:val="00EB2604"/>
    <w:rsid w:val="00EB269F"/>
    <w:rsid w:val="00EB2A81"/>
    <w:rsid w:val="00EB2B48"/>
    <w:rsid w:val="00EB2C06"/>
    <w:rsid w:val="00EB2E3A"/>
    <w:rsid w:val="00EB2F3F"/>
    <w:rsid w:val="00EB2FAE"/>
    <w:rsid w:val="00EB2FF8"/>
    <w:rsid w:val="00EB3207"/>
    <w:rsid w:val="00EB372A"/>
    <w:rsid w:val="00EB3764"/>
    <w:rsid w:val="00EB37EC"/>
    <w:rsid w:val="00EB387E"/>
    <w:rsid w:val="00EB3932"/>
    <w:rsid w:val="00EB3A1E"/>
    <w:rsid w:val="00EB3AC9"/>
    <w:rsid w:val="00EB3E82"/>
    <w:rsid w:val="00EB40F4"/>
    <w:rsid w:val="00EB4123"/>
    <w:rsid w:val="00EB417A"/>
    <w:rsid w:val="00EB4271"/>
    <w:rsid w:val="00EB431C"/>
    <w:rsid w:val="00EB463A"/>
    <w:rsid w:val="00EB4674"/>
    <w:rsid w:val="00EB46EE"/>
    <w:rsid w:val="00EB49CE"/>
    <w:rsid w:val="00EB4BD7"/>
    <w:rsid w:val="00EB4FFC"/>
    <w:rsid w:val="00EB525D"/>
    <w:rsid w:val="00EB5A08"/>
    <w:rsid w:val="00EB5A21"/>
    <w:rsid w:val="00EB5DFF"/>
    <w:rsid w:val="00EB5E26"/>
    <w:rsid w:val="00EB5EB2"/>
    <w:rsid w:val="00EB5EF2"/>
    <w:rsid w:val="00EB5F24"/>
    <w:rsid w:val="00EB6122"/>
    <w:rsid w:val="00EB6179"/>
    <w:rsid w:val="00EB63BB"/>
    <w:rsid w:val="00EB6441"/>
    <w:rsid w:val="00EB6575"/>
    <w:rsid w:val="00EB6837"/>
    <w:rsid w:val="00EB6A21"/>
    <w:rsid w:val="00EB6EC9"/>
    <w:rsid w:val="00EB6ECC"/>
    <w:rsid w:val="00EB6F12"/>
    <w:rsid w:val="00EB7146"/>
    <w:rsid w:val="00EB7287"/>
    <w:rsid w:val="00EB7410"/>
    <w:rsid w:val="00EB744B"/>
    <w:rsid w:val="00EB7753"/>
    <w:rsid w:val="00EB7825"/>
    <w:rsid w:val="00EB799F"/>
    <w:rsid w:val="00EB7D4D"/>
    <w:rsid w:val="00EC0036"/>
    <w:rsid w:val="00EC018F"/>
    <w:rsid w:val="00EC01BA"/>
    <w:rsid w:val="00EC0200"/>
    <w:rsid w:val="00EC028A"/>
    <w:rsid w:val="00EC0324"/>
    <w:rsid w:val="00EC0326"/>
    <w:rsid w:val="00EC0771"/>
    <w:rsid w:val="00EC09DA"/>
    <w:rsid w:val="00EC0D2A"/>
    <w:rsid w:val="00EC0D67"/>
    <w:rsid w:val="00EC0E70"/>
    <w:rsid w:val="00EC0F03"/>
    <w:rsid w:val="00EC0F3B"/>
    <w:rsid w:val="00EC0F5F"/>
    <w:rsid w:val="00EC1055"/>
    <w:rsid w:val="00EC120E"/>
    <w:rsid w:val="00EC14B3"/>
    <w:rsid w:val="00EC16D4"/>
    <w:rsid w:val="00EC17F5"/>
    <w:rsid w:val="00EC18F8"/>
    <w:rsid w:val="00EC1F87"/>
    <w:rsid w:val="00EC222B"/>
    <w:rsid w:val="00EC2344"/>
    <w:rsid w:val="00EC242C"/>
    <w:rsid w:val="00EC2553"/>
    <w:rsid w:val="00EC2660"/>
    <w:rsid w:val="00EC2833"/>
    <w:rsid w:val="00EC297B"/>
    <w:rsid w:val="00EC2AEF"/>
    <w:rsid w:val="00EC2B43"/>
    <w:rsid w:val="00EC2D2C"/>
    <w:rsid w:val="00EC2E7E"/>
    <w:rsid w:val="00EC2ED7"/>
    <w:rsid w:val="00EC3127"/>
    <w:rsid w:val="00EC322A"/>
    <w:rsid w:val="00EC3558"/>
    <w:rsid w:val="00EC3C87"/>
    <w:rsid w:val="00EC3D86"/>
    <w:rsid w:val="00EC3E53"/>
    <w:rsid w:val="00EC3EDE"/>
    <w:rsid w:val="00EC3F69"/>
    <w:rsid w:val="00EC3F7E"/>
    <w:rsid w:val="00EC416F"/>
    <w:rsid w:val="00EC4210"/>
    <w:rsid w:val="00EC431A"/>
    <w:rsid w:val="00EC4320"/>
    <w:rsid w:val="00EC4399"/>
    <w:rsid w:val="00EC43DD"/>
    <w:rsid w:val="00EC44B0"/>
    <w:rsid w:val="00EC44D5"/>
    <w:rsid w:val="00EC4500"/>
    <w:rsid w:val="00EC45ED"/>
    <w:rsid w:val="00EC46D7"/>
    <w:rsid w:val="00EC477E"/>
    <w:rsid w:val="00EC4887"/>
    <w:rsid w:val="00EC48E8"/>
    <w:rsid w:val="00EC49A3"/>
    <w:rsid w:val="00EC4A86"/>
    <w:rsid w:val="00EC4ACC"/>
    <w:rsid w:val="00EC4ACF"/>
    <w:rsid w:val="00EC4D44"/>
    <w:rsid w:val="00EC4F13"/>
    <w:rsid w:val="00EC51E9"/>
    <w:rsid w:val="00EC53BB"/>
    <w:rsid w:val="00EC5432"/>
    <w:rsid w:val="00EC5443"/>
    <w:rsid w:val="00EC5592"/>
    <w:rsid w:val="00EC5905"/>
    <w:rsid w:val="00EC5BFC"/>
    <w:rsid w:val="00EC5CEE"/>
    <w:rsid w:val="00EC5F64"/>
    <w:rsid w:val="00EC600A"/>
    <w:rsid w:val="00EC606A"/>
    <w:rsid w:val="00EC6230"/>
    <w:rsid w:val="00EC6317"/>
    <w:rsid w:val="00EC645A"/>
    <w:rsid w:val="00EC658F"/>
    <w:rsid w:val="00EC66A9"/>
    <w:rsid w:val="00EC68CA"/>
    <w:rsid w:val="00EC68CF"/>
    <w:rsid w:val="00EC6CBF"/>
    <w:rsid w:val="00EC6DDF"/>
    <w:rsid w:val="00EC6E77"/>
    <w:rsid w:val="00EC6EC2"/>
    <w:rsid w:val="00EC6FE0"/>
    <w:rsid w:val="00EC70EA"/>
    <w:rsid w:val="00EC734A"/>
    <w:rsid w:val="00EC750E"/>
    <w:rsid w:val="00EC783B"/>
    <w:rsid w:val="00EC7902"/>
    <w:rsid w:val="00EC793C"/>
    <w:rsid w:val="00EC7973"/>
    <w:rsid w:val="00EC7D6B"/>
    <w:rsid w:val="00EC7DFB"/>
    <w:rsid w:val="00ED00C7"/>
    <w:rsid w:val="00ED0136"/>
    <w:rsid w:val="00ED0181"/>
    <w:rsid w:val="00ED03FF"/>
    <w:rsid w:val="00ED063A"/>
    <w:rsid w:val="00ED0836"/>
    <w:rsid w:val="00ED09B8"/>
    <w:rsid w:val="00ED0C06"/>
    <w:rsid w:val="00ED0C5A"/>
    <w:rsid w:val="00ED12ED"/>
    <w:rsid w:val="00ED1393"/>
    <w:rsid w:val="00ED14FB"/>
    <w:rsid w:val="00ED157A"/>
    <w:rsid w:val="00ED159D"/>
    <w:rsid w:val="00ED15EF"/>
    <w:rsid w:val="00ED16CF"/>
    <w:rsid w:val="00ED18F6"/>
    <w:rsid w:val="00ED1A38"/>
    <w:rsid w:val="00ED1A66"/>
    <w:rsid w:val="00ED1AAA"/>
    <w:rsid w:val="00ED1C02"/>
    <w:rsid w:val="00ED1CC4"/>
    <w:rsid w:val="00ED1D2D"/>
    <w:rsid w:val="00ED1E80"/>
    <w:rsid w:val="00ED1E9B"/>
    <w:rsid w:val="00ED1EA7"/>
    <w:rsid w:val="00ED201E"/>
    <w:rsid w:val="00ED20AF"/>
    <w:rsid w:val="00ED2112"/>
    <w:rsid w:val="00ED2411"/>
    <w:rsid w:val="00ED250C"/>
    <w:rsid w:val="00ED2710"/>
    <w:rsid w:val="00ED29EA"/>
    <w:rsid w:val="00ED29EF"/>
    <w:rsid w:val="00ED2A1A"/>
    <w:rsid w:val="00ED2B16"/>
    <w:rsid w:val="00ED2B51"/>
    <w:rsid w:val="00ED2B78"/>
    <w:rsid w:val="00ED2C31"/>
    <w:rsid w:val="00ED2DB4"/>
    <w:rsid w:val="00ED33B7"/>
    <w:rsid w:val="00ED3433"/>
    <w:rsid w:val="00ED363C"/>
    <w:rsid w:val="00ED368A"/>
    <w:rsid w:val="00ED395A"/>
    <w:rsid w:val="00ED39BA"/>
    <w:rsid w:val="00ED3B44"/>
    <w:rsid w:val="00ED3DBE"/>
    <w:rsid w:val="00ED3E63"/>
    <w:rsid w:val="00ED3EAA"/>
    <w:rsid w:val="00ED406A"/>
    <w:rsid w:val="00ED41E7"/>
    <w:rsid w:val="00ED41F3"/>
    <w:rsid w:val="00ED4341"/>
    <w:rsid w:val="00ED4628"/>
    <w:rsid w:val="00ED4705"/>
    <w:rsid w:val="00ED47AB"/>
    <w:rsid w:val="00ED483A"/>
    <w:rsid w:val="00ED5091"/>
    <w:rsid w:val="00ED50BF"/>
    <w:rsid w:val="00ED510A"/>
    <w:rsid w:val="00ED516A"/>
    <w:rsid w:val="00ED51AC"/>
    <w:rsid w:val="00ED5503"/>
    <w:rsid w:val="00ED578A"/>
    <w:rsid w:val="00ED5A51"/>
    <w:rsid w:val="00ED5B35"/>
    <w:rsid w:val="00ED5B6F"/>
    <w:rsid w:val="00ED60B2"/>
    <w:rsid w:val="00ED6565"/>
    <w:rsid w:val="00ED683C"/>
    <w:rsid w:val="00ED6843"/>
    <w:rsid w:val="00ED6A49"/>
    <w:rsid w:val="00ED6C02"/>
    <w:rsid w:val="00ED6C76"/>
    <w:rsid w:val="00ED6D2F"/>
    <w:rsid w:val="00ED6D56"/>
    <w:rsid w:val="00ED6D7F"/>
    <w:rsid w:val="00ED71D4"/>
    <w:rsid w:val="00ED7228"/>
    <w:rsid w:val="00ED7292"/>
    <w:rsid w:val="00ED72A9"/>
    <w:rsid w:val="00ED72F5"/>
    <w:rsid w:val="00ED748E"/>
    <w:rsid w:val="00ED756C"/>
    <w:rsid w:val="00ED75D6"/>
    <w:rsid w:val="00ED7677"/>
    <w:rsid w:val="00ED76C9"/>
    <w:rsid w:val="00ED7875"/>
    <w:rsid w:val="00ED7F7D"/>
    <w:rsid w:val="00EE0121"/>
    <w:rsid w:val="00EE0338"/>
    <w:rsid w:val="00EE03DF"/>
    <w:rsid w:val="00EE044D"/>
    <w:rsid w:val="00EE0582"/>
    <w:rsid w:val="00EE0633"/>
    <w:rsid w:val="00EE08B1"/>
    <w:rsid w:val="00EE0B27"/>
    <w:rsid w:val="00EE100E"/>
    <w:rsid w:val="00EE12FA"/>
    <w:rsid w:val="00EE1398"/>
    <w:rsid w:val="00EE13EB"/>
    <w:rsid w:val="00EE1495"/>
    <w:rsid w:val="00EE17F4"/>
    <w:rsid w:val="00EE18AA"/>
    <w:rsid w:val="00EE19F8"/>
    <w:rsid w:val="00EE1B0E"/>
    <w:rsid w:val="00EE1CA8"/>
    <w:rsid w:val="00EE204B"/>
    <w:rsid w:val="00EE209F"/>
    <w:rsid w:val="00EE20FB"/>
    <w:rsid w:val="00EE23D1"/>
    <w:rsid w:val="00EE24BF"/>
    <w:rsid w:val="00EE25C4"/>
    <w:rsid w:val="00EE2624"/>
    <w:rsid w:val="00EE2705"/>
    <w:rsid w:val="00EE28C3"/>
    <w:rsid w:val="00EE2B5C"/>
    <w:rsid w:val="00EE2D58"/>
    <w:rsid w:val="00EE2F41"/>
    <w:rsid w:val="00EE32E0"/>
    <w:rsid w:val="00EE33A3"/>
    <w:rsid w:val="00EE34B7"/>
    <w:rsid w:val="00EE35E3"/>
    <w:rsid w:val="00EE3E92"/>
    <w:rsid w:val="00EE3F7B"/>
    <w:rsid w:val="00EE4233"/>
    <w:rsid w:val="00EE42A3"/>
    <w:rsid w:val="00EE4398"/>
    <w:rsid w:val="00EE44A6"/>
    <w:rsid w:val="00EE458C"/>
    <w:rsid w:val="00EE47E5"/>
    <w:rsid w:val="00EE4843"/>
    <w:rsid w:val="00EE48FE"/>
    <w:rsid w:val="00EE4B21"/>
    <w:rsid w:val="00EE4B8F"/>
    <w:rsid w:val="00EE4BE9"/>
    <w:rsid w:val="00EE4E5B"/>
    <w:rsid w:val="00EE50EA"/>
    <w:rsid w:val="00EE5503"/>
    <w:rsid w:val="00EE5624"/>
    <w:rsid w:val="00EE57B9"/>
    <w:rsid w:val="00EE5872"/>
    <w:rsid w:val="00EE5906"/>
    <w:rsid w:val="00EE5912"/>
    <w:rsid w:val="00EE5975"/>
    <w:rsid w:val="00EE5D10"/>
    <w:rsid w:val="00EE5DAA"/>
    <w:rsid w:val="00EE5DD7"/>
    <w:rsid w:val="00EE5ECC"/>
    <w:rsid w:val="00EE607E"/>
    <w:rsid w:val="00EE6191"/>
    <w:rsid w:val="00EE63AE"/>
    <w:rsid w:val="00EE645F"/>
    <w:rsid w:val="00EE659C"/>
    <w:rsid w:val="00EE6632"/>
    <w:rsid w:val="00EE66FC"/>
    <w:rsid w:val="00EE67EF"/>
    <w:rsid w:val="00EE6C3D"/>
    <w:rsid w:val="00EE7178"/>
    <w:rsid w:val="00EE73B8"/>
    <w:rsid w:val="00EE7466"/>
    <w:rsid w:val="00EE7791"/>
    <w:rsid w:val="00EE7A30"/>
    <w:rsid w:val="00EE7AE2"/>
    <w:rsid w:val="00EE7B8F"/>
    <w:rsid w:val="00EE7CAB"/>
    <w:rsid w:val="00EE7D11"/>
    <w:rsid w:val="00EE7D90"/>
    <w:rsid w:val="00EE7E0E"/>
    <w:rsid w:val="00EE7EAD"/>
    <w:rsid w:val="00EF0119"/>
    <w:rsid w:val="00EF0284"/>
    <w:rsid w:val="00EF0285"/>
    <w:rsid w:val="00EF0476"/>
    <w:rsid w:val="00EF050D"/>
    <w:rsid w:val="00EF091D"/>
    <w:rsid w:val="00EF0AA4"/>
    <w:rsid w:val="00EF0C34"/>
    <w:rsid w:val="00EF0C68"/>
    <w:rsid w:val="00EF0E29"/>
    <w:rsid w:val="00EF1018"/>
    <w:rsid w:val="00EF108E"/>
    <w:rsid w:val="00EF1256"/>
    <w:rsid w:val="00EF1A96"/>
    <w:rsid w:val="00EF1BB1"/>
    <w:rsid w:val="00EF1BD5"/>
    <w:rsid w:val="00EF1C8C"/>
    <w:rsid w:val="00EF1EA9"/>
    <w:rsid w:val="00EF21D2"/>
    <w:rsid w:val="00EF2483"/>
    <w:rsid w:val="00EF2C0A"/>
    <w:rsid w:val="00EF2D97"/>
    <w:rsid w:val="00EF2DE4"/>
    <w:rsid w:val="00EF3240"/>
    <w:rsid w:val="00EF34EB"/>
    <w:rsid w:val="00EF35A9"/>
    <w:rsid w:val="00EF35CB"/>
    <w:rsid w:val="00EF3848"/>
    <w:rsid w:val="00EF3A68"/>
    <w:rsid w:val="00EF3BBA"/>
    <w:rsid w:val="00EF3BD3"/>
    <w:rsid w:val="00EF3DB5"/>
    <w:rsid w:val="00EF3DBB"/>
    <w:rsid w:val="00EF3FD0"/>
    <w:rsid w:val="00EF3FE6"/>
    <w:rsid w:val="00EF4099"/>
    <w:rsid w:val="00EF4111"/>
    <w:rsid w:val="00EF414E"/>
    <w:rsid w:val="00EF4883"/>
    <w:rsid w:val="00EF4932"/>
    <w:rsid w:val="00EF493F"/>
    <w:rsid w:val="00EF4B51"/>
    <w:rsid w:val="00EF4C22"/>
    <w:rsid w:val="00EF4C80"/>
    <w:rsid w:val="00EF4D35"/>
    <w:rsid w:val="00EF4D49"/>
    <w:rsid w:val="00EF50D0"/>
    <w:rsid w:val="00EF540D"/>
    <w:rsid w:val="00EF545F"/>
    <w:rsid w:val="00EF56A9"/>
    <w:rsid w:val="00EF57D2"/>
    <w:rsid w:val="00EF5B46"/>
    <w:rsid w:val="00EF5FE8"/>
    <w:rsid w:val="00EF63B0"/>
    <w:rsid w:val="00EF665A"/>
    <w:rsid w:val="00EF6A3F"/>
    <w:rsid w:val="00EF6BA9"/>
    <w:rsid w:val="00EF6D06"/>
    <w:rsid w:val="00EF6DDB"/>
    <w:rsid w:val="00EF6FBD"/>
    <w:rsid w:val="00EF70DC"/>
    <w:rsid w:val="00EF7142"/>
    <w:rsid w:val="00EF721A"/>
    <w:rsid w:val="00EF734F"/>
    <w:rsid w:val="00EF7380"/>
    <w:rsid w:val="00EF73A4"/>
    <w:rsid w:val="00EF73FF"/>
    <w:rsid w:val="00EF764E"/>
    <w:rsid w:val="00EF7766"/>
    <w:rsid w:val="00EF77CA"/>
    <w:rsid w:val="00EF782E"/>
    <w:rsid w:val="00EF7DB2"/>
    <w:rsid w:val="00EF7DF2"/>
    <w:rsid w:val="00EF7FC3"/>
    <w:rsid w:val="00F00075"/>
    <w:rsid w:val="00F002B2"/>
    <w:rsid w:val="00F00339"/>
    <w:rsid w:val="00F003E3"/>
    <w:rsid w:val="00F0048B"/>
    <w:rsid w:val="00F008B3"/>
    <w:rsid w:val="00F00992"/>
    <w:rsid w:val="00F00A88"/>
    <w:rsid w:val="00F00ACC"/>
    <w:rsid w:val="00F00AF4"/>
    <w:rsid w:val="00F00B92"/>
    <w:rsid w:val="00F00BA4"/>
    <w:rsid w:val="00F00C09"/>
    <w:rsid w:val="00F00CB1"/>
    <w:rsid w:val="00F00F19"/>
    <w:rsid w:val="00F01462"/>
    <w:rsid w:val="00F01714"/>
    <w:rsid w:val="00F017DB"/>
    <w:rsid w:val="00F01824"/>
    <w:rsid w:val="00F01834"/>
    <w:rsid w:val="00F01856"/>
    <w:rsid w:val="00F019EB"/>
    <w:rsid w:val="00F01BBD"/>
    <w:rsid w:val="00F01F84"/>
    <w:rsid w:val="00F021BF"/>
    <w:rsid w:val="00F021F5"/>
    <w:rsid w:val="00F0223A"/>
    <w:rsid w:val="00F02669"/>
    <w:rsid w:val="00F026CB"/>
    <w:rsid w:val="00F02901"/>
    <w:rsid w:val="00F02D51"/>
    <w:rsid w:val="00F02F08"/>
    <w:rsid w:val="00F03042"/>
    <w:rsid w:val="00F0324F"/>
    <w:rsid w:val="00F03327"/>
    <w:rsid w:val="00F03356"/>
    <w:rsid w:val="00F0337D"/>
    <w:rsid w:val="00F033A1"/>
    <w:rsid w:val="00F033CF"/>
    <w:rsid w:val="00F035B1"/>
    <w:rsid w:val="00F03A33"/>
    <w:rsid w:val="00F03DE4"/>
    <w:rsid w:val="00F04036"/>
    <w:rsid w:val="00F04098"/>
    <w:rsid w:val="00F04113"/>
    <w:rsid w:val="00F0413C"/>
    <w:rsid w:val="00F041F1"/>
    <w:rsid w:val="00F042F4"/>
    <w:rsid w:val="00F047A5"/>
    <w:rsid w:val="00F04870"/>
    <w:rsid w:val="00F04B53"/>
    <w:rsid w:val="00F04CAC"/>
    <w:rsid w:val="00F04D79"/>
    <w:rsid w:val="00F04DA8"/>
    <w:rsid w:val="00F04FDD"/>
    <w:rsid w:val="00F05019"/>
    <w:rsid w:val="00F0507F"/>
    <w:rsid w:val="00F051C0"/>
    <w:rsid w:val="00F05255"/>
    <w:rsid w:val="00F05264"/>
    <w:rsid w:val="00F052E8"/>
    <w:rsid w:val="00F054C1"/>
    <w:rsid w:val="00F056C9"/>
    <w:rsid w:val="00F05719"/>
    <w:rsid w:val="00F05964"/>
    <w:rsid w:val="00F05A83"/>
    <w:rsid w:val="00F05A9E"/>
    <w:rsid w:val="00F05C11"/>
    <w:rsid w:val="00F05E9F"/>
    <w:rsid w:val="00F05ECE"/>
    <w:rsid w:val="00F05FC7"/>
    <w:rsid w:val="00F0602D"/>
    <w:rsid w:val="00F06035"/>
    <w:rsid w:val="00F06187"/>
    <w:rsid w:val="00F062D4"/>
    <w:rsid w:val="00F06483"/>
    <w:rsid w:val="00F06502"/>
    <w:rsid w:val="00F065BF"/>
    <w:rsid w:val="00F06632"/>
    <w:rsid w:val="00F06774"/>
    <w:rsid w:val="00F0695E"/>
    <w:rsid w:val="00F06AB2"/>
    <w:rsid w:val="00F071A9"/>
    <w:rsid w:val="00F073E4"/>
    <w:rsid w:val="00F078E9"/>
    <w:rsid w:val="00F0795A"/>
    <w:rsid w:val="00F07A0A"/>
    <w:rsid w:val="00F07A41"/>
    <w:rsid w:val="00F07CAC"/>
    <w:rsid w:val="00F07E1C"/>
    <w:rsid w:val="00F07EFE"/>
    <w:rsid w:val="00F07FF1"/>
    <w:rsid w:val="00F100E8"/>
    <w:rsid w:val="00F1033E"/>
    <w:rsid w:val="00F1056D"/>
    <w:rsid w:val="00F108B6"/>
    <w:rsid w:val="00F1090A"/>
    <w:rsid w:val="00F1097E"/>
    <w:rsid w:val="00F10A02"/>
    <w:rsid w:val="00F10B92"/>
    <w:rsid w:val="00F10C1B"/>
    <w:rsid w:val="00F10C70"/>
    <w:rsid w:val="00F10E7E"/>
    <w:rsid w:val="00F10E9C"/>
    <w:rsid w:val="00F10F74"/>
    <w:rsid w:val="00F10F7F"/>
    <w:rsid w:val="00F111EE"/>
    <w:rsid w:val="00F11268"/>
    <w:rsid w:val="00F112D0"/>
    <w:rsid w:val="00F11343"/>
    <w:rsid w:val="00F11382"/>
    <w:rsid w:val="00F118E8"/>
    <w:rsid w:val="00F11987"/>
    <w:rsid w:val="00F119EA"/>
    <w:rsid w:val="00F11B87"/>
    <w:rsid w:val="00F11C9E"/>
    <w:rsid w:val="00F11E3A"/>
    <w:rsid w:val="00F11F4B"/>
    <w:rsid w:val="00F11F65"/>
    <w:rsid w:val="00F1215C"/>
    <w:rsid w:val="00F1222C"/>
    <w:rsid w:val="00F123E8"/>
    <w:rsid w:val="00F12408"/>
    <w:rsid w:val="00F126CE"/>
    <w:rsid w:val="00F128E1"/>
    <w:rsid w:val="00F12B17"/>
    <w:rsid w:val="00F12C14"/>
    <w:rsid w:val="00F12C40"/>
    <w:rsid w:val="00F12ED7"/>
    <w:rsid w:val="00F12F08"/>
    <w:rsid w:val="00F12FBC"/>
    <w:rsid w:val="00F13125"/>
    <w:rsid w:val="00F13515"/>
    <w:rsid w:val="00F1369C"/>
    <w:rsid w:val="00F136FD"/>
    <w:rsid w:val="00F13852"/>
    <w:rsid w:val="00F13A2B"/>
    <w:rsid w:val="00F13A6C"/>
    <w:rsid w:val="00F13B5B"/>
    <w:rsid w:val="00F13B8D"/>
    <w:rsid w:val="00F13ECB"/>
    <w:rsid w:val="00F14029"/>
    <w:rsid w:val="00F14137"/>
    <w:rsid w:val="00F14227"/>
    <w:rsid w:val="00F14315"/>
    <w:rsid w:val="00F1433B"/>
    <w:rsid w:val="00F14684"/>
    <w:rsid w:val="00F14689"/>
    <w:rsid w:val="00F14752"/>
    <w:rsid w:val="00F1488D"/>
    <w:rsid w:val="00F148D0"/>
    <w:rsid w:val="00F14AA0"/>
    <w:rsid w:val="00F14C0D"/>
    <w:rsid w:val="00F14CDA"/>
    <w:rsid w:val="00F14DE1"/>
    <w:rsid w:val="00F14E3F"/>
    <w:rsid w:val="00F15117"/>
    <w:rsid w:val="00F152B4"/>
    <w:rsid w:val="00F154FF"/>
    <w:rsid w:val="00F15613"/>
    <w:rsid w:val="00F157B8"/>
    <w:rsid w:val="00F15B88"/>
    <w:rsid w:val="00F15E12"/>
    <w:rsid w:val="00F160E3"/>
    <w:rsid w:val="00F160EA"/>
    <w:rsid w:val="00F160F1"/>
    <w:rsid w:val="00F1611D"/>
    <w:rsid w:val="00F16191"/>
    <w:rsid w:val="00F161F7"/>
    <w:rsid w:val="00F1622B"/>
    <w:rsid w:val="00F1629A"/>
    <w:rsid w:val="00F1642B"/>
    <w:rsid w:val="00F1643D"/>
    <w:rsid w:val="00F16638"/>
    <w:rsid w:val="00F16856"/>
    <w:rsid w:val="00F168F1"/>
    <w:rsid w:val="00F1699D"/>
    <w:rsid w:val="00F16AD6"/>
    <w:rsid w:val="00F16D97"/>
    <w:rsid w:val="00F16DC7"/>
    <w:rsid w:val="00F16E34"/>
    <w:rsid w:val="00F16F00"/>
    <w:rsid w:val="00F17180"/>
    <w:rsid w:val="00F17306"/>
    <w:rsid w:val="00F175BE"/>
    <w:rsid w:val="00F17B32"/>
    <w:rsid w:val="00F17B52"/>
    <w:rsid w:val="00F17FCD"/>
    <w:rsid w:val="00F205AC"/>
    <w:rsid w:val="00F206C0"/>
    <w:rsid w:val="00F20749"/>
    <w:rsid w:val="00F20A5A"/>
    <w:rsid w:val="00F21134"/>
    <w:rsid w:val="00F21322"/>
    <w:rsid w:val="00F2138C"/>
    <w:rsid w:val="00F2145E"/>
    <w:rsid w:val="00F214CA"/>
    <w:rsid w:val="00F21911"/>
    <w:rsid w:val="00F219C1"/>
    <w:rsid w:val="00F21B87"/>
    <w:rsid w:val="00F21BE1"/>
    <w:rsid w:val="00F21C0C"/>
    <w:rsid w:val="00F21C3A"/>
    <w:rsid w:val="00F21CCF"/>
    <w:rsid w:val="00F21D5E"/>
    <w:rsid w:val="00F21E0F"/>
    <w:rsid w:val="00F21F09"/>
    <w:rsid w:val="00F21FF7"/>
    <w:rsid w:val="00F220DE"/>
    <w:rsid w:val="00F22232"/>
    <w:rsid w:val="00F222EB"/>
    <w:rsid w:val="00F2264F"/>
    <w:rsid w:val="00F226FD"/>
    <w:rsid w:val="00F22AFE"/>
    <w:rsid w:val="00F22D58"/>
    <w:rsid w:val="00F230A7"/>
    <w:rsid w:val="00F23150"/>
    <w:rsid w:val="00F23189"/>
    <w:rsid w:val="00F23623"/>
    <w:rsid w:val="00F236CD"/>
    <w:rsid w:val="00F238DF"/>
    <w:rsid w:val="00F2391F"/>
    <w:rsid w:val="00F2398B"/>
    <w:rsid w:val="00F23C50"/>
    <w:rsid w:val="00F23DEF"/>
    <w:rsid w:val="00F23E9E"/>
    <w:rsid w:val="00F23FDE"/>
    <w:rsid w:val="00F2404A"/>
    <w:rsid w:val="00F2414D"/>
    <w:rsid w:val="00F241DF"/>
    <w:rsid w:val="00F246CA"/>
    <w:rsid w:val="00F24779"/>
    <w:rsid w:val="00F24860"/>
    <w:rsid w:val="00F24C8C"/>
    <w:rsid w:val="00F24E83"/>
    <w:rsid w:val="00F2510A"/>
    <w:rsid w:val="00F2513C"/>
    <w:rsid w:val="00F25164"/>
    <w:rsid w:val="00F25181"/>
    <w:rsid w:val="00F25238"/>
    <w:rsid w:val="00F2524F"/>
    <w:rsid w:val="00F25547"/>
    <w:rsid w:val="00F25571"/>
    <w:rsid w:val="00F256B0"/>
    <w:rsid w:val="00F25B2D"/>
    <w:rsid w:val="00F26045"/>
    <w:rsid w:val="00F2609C"/>
    <w:rsid w:val="00F2611C"/>
    <w:rsid w:val="00F264FB"/>
    <w:rsid w:val="00F26A4E"/>
    <w:rsid w:val="00F26A6D"/>
    <w:rsid w:val="00F26AFE"/>
    <w:rsid w:val="00F26B43"/>
    <w:rsid w:val="00F26BCD"/>
    <w:rsid w:val="00F26BFE"/>
    <w:rsid w:val="00F26CAA"/>
    <w:rsid w:val="00F26DAE"/>
    <w:rsid w:val="00F26E50"/>
    <w:rsid w:val="00F26F60"/>
    <w:rsid w:val="00F27045"/>
    <w:rsid w:val="00F27088"/>
    <w:rsid w:val="00F270AC"/>
    <w:rsid w:val="00F2711B"/>
    <w:rsid w:val="00F27260"/>
    <w:rsid w:val="00F2728D"/>
    <w:rsid w:val="00F27328"/>
    <w:rsid w:val="00F27354"/>
    <w:rsid w:val="00F27518"/>
    <w:rsid w:val="00F275B9"/>
    <w:rsid w:val="00F275F2"/>
    <w:rsid w:val="00F2762C"/>
    <w:rsid w:val="00F27701"/>
    <w:rsid w:val="00F277AB"/>
    <w:rsid w:val="00F2783D"/>
    <w:rsid w:val="00F27965"/>
    <w:rsid w:val="00F27BE3"/>
    <w:rsid w:val="00F27E94"/>
    <w:rsid w:val="00F27EFE"/>
    <w:rsid w:val="00F300CA"/>
    <w:rsid w:val="00F30198"/>
    <w:rsid w:val="00F30328"/>
    <w:rsid w:val="00F303E5"/>
    <w:rsid w:val="00F30616"/>
    <w:rsid w:val="00F3080D"/>
    <w:rsid w:val="00F3097E"/>
    <w:rsid w:val="00F30AAF"/>
    <w:rsid w:val="00F30B72"/>
    <w:rsid w:val="00F30CD7"/>
    <w:rsid w:val="00F30D55"/>
    <w:rsid w:val="00F30F21"/>
    <w:rsid w:val="00F31161"/>
    <w:rsid w:val="00F314A0"/>
    <w:rsid w:val="00F31633"/>
    <w:rsid w:val="00F3179E"/>
    <w:rsid w:val="00F317B2"/>
    <w:rsid w:val="00F318A9"/>
    <w:rsid w:val="00F3197B"/>
    <w:rsid w:val="00F31BCA"/>
    <w:rsid w:val="00F31DD8"/>
    <w:rsid w:val="00F31DF8"/>
    <w:rsid w:val="00F31E6A"/>
    <w:rsid w:val="00F320AB"/>
    <w:rsid w:val="00F3235B"/>
    <w:rsid w:val="00F3285D"/>
    <w:rsid w:val="00F32BD4"/>
    <w:rsid w:val="00F32C05"/>
    <w:rsid w:val="00F32C21"/>
    <w:rsid w:val="00F32D99"/>
    <w:rsid w:val="00F32E7A"/>
    <w:rsid w:val="00F32F1C"/>
    <w:rsid w:val="00F32FF6"/>
    <w:rsid w:val="00F3306F"/>
    <w:rsid w:val="00F33262"/>
    <w:rsid w:val="00F332EF"/>
    <w:rsid w:val="00F3370C"/>
    <w:rsid w:val="00F338F3"/>
    <w:rsid w:val="00F3392F"/>
    <w:rsid w:val="00F33968"/>
    <w:rsid w:val="00F33C85"/>
    <w:rsid w:val="00F33D3B"/>
    <w:rsid w:val="00F33D76"/>
    <w:rsid w:val="00F33D8A"/>
    <w:rsid w:val="00F33E25"/>
    <w:rsid w:val="00F33FC8"/>
    <w:rsid w:val="00F3423F"/>
    <w:rsid w:val="00F3462F"/>
    <w:rsid w:val="00F34776"/>
    <w:rsid w:val="00F3477E"/>
    <w:rsid w:val="00F34933"/>
    <w:rsid w:val="00F34AE2"/>
    <w:rsid w:val="00F34B76"/>
    <w:rsid w:val="00F34BE4"/>
    <w:rsid w:val="00F34C56"/>
    <w:rsid w:val="00F34C8A"/>
    <w:rsid w:val="00F34DF3"/>
    <w:rsid w:val="00F34F67"/>
    <w:rsid w:val="00F34FAF"/>
    <w:rsid w:val="00F350FC"/>
    <w:rsid w:val="00F352D7"/>
    <w:rsid w:val="00F35484"/>
    <w:rsid w:val="00F3552B"/>
    <w:rsid w:val="00F355B9"/>
    <w:rsid w:val="00F356B2"/>
    <w:rsid w:val="00F358E7"/>
    <w:rsid w:val="00F35E6D"/>
    <w:rsid w:val="00F360B6"/>
    <w:rsid w:val="00F361AD"/>
    <w:rsid w:val="00F361DA"/>
    <w:rsid w:val="00F3627C"/>
    <w:rsid w:val="00F36307"/>
    <w:rsid w:val="00F36461"/>
    <w:rsid w:val="00F36527"/>
    <w:rsid w:val="00F367DC"/>
    <w:rsid w:val="00F36802"/>
    <w:rsid w:val="00F3680B"/>
    <w:rsid w:val="00F368D0"/>
    <w:rsid w:val="00F3694A"/>
    <w:rsid w:val="00F36ABA"/>
    <w:rsid w:val="00F36C3B"/>
    <w:rsid w:val="00F36D26"/>
    <w:rsid w:val="00F36E1B"/>
    <w:rsid w:val="00F36E20"/>
    <w:rsid w:val="00F36E2E"/>
    <w:rsid w:val="00F370EC"/>
    <w:rsid w:val="00F37132"/>
    <w:rsid w:val="00F3763C"/>
    <w:rsid w:val="00F3766C"/>
    <w:rsid w:val="00F37674"/>
    <w:rsid w:val="00F37818"/>
    <w:rsid w:val="00F378B8"/>
    <w:rsid w:val="00F3796A"/>
    <w:rsid w:val="00F37A51"/>
    <w:rsid w:val="00F37A8E"/>
    <w:rsid w:val="00F37B36"/>
    <w:rsid w:val="00F37C42"/>
    <w:rsid w:val="00F37D5B"/>
    <w:rsid w:val="00F37DE9"/>
    <w:rsid w:val="00F37E08"/>
    <w:rsid w:val="00F40097"/>
    <w:rsid w:val="00F4016A"/>
    <w:rsid w:val="00F40314"/>
    <w:rsid w:val="00F403CB"/>
    <w:rsid w:val="00F404B4"/>
    <w:rsid w:val="00F405E0"/>
    <w:rsid w:val="00F405E4"/>
    <w:rsid w:val="00F405E7"/>
    <w:rsid w:val="00F4061B"/>
    <w:rsid w:val="00F40979"/>
    <w:rsid w:val="00F409B1"/>
    <w:rsid w:val="00F40A17"/>
    <w:rsid w:val="00F40B28"/>
    <w:rsid w:val="00F40C0C"/>
    <w:rsid w:val="00F40C2B"/>
    <w:rsid w:val="00F40D31"/>
    <w:rsid w:val="00F40DE3"/>
    <w:rsid w:val="00F40E67"/>
    <w:rsid w:val="00F41199"/>
    <w:rsid w:val="00F413D6"/>
    <w:rsid w:val="00F414CC"/>
    <w:rsid w:val="00F4152F"/>
    <w:rsid w:val="00F416B9"/>
    <w:rsid w:val="00F41782"/>
    <w:rsid w:val="00F41915"/>
    <w:rsid w:val="00F419AF"/>
    <w:rsid w:val="00F41AA7"/>
    <w:rsid w:val="00F41B23"/>
    <w:rsid w:val="00F41C39"/>
    <w:rsid w:val="00F41E36"/>
    <w:rsid w:val="00F41EFE"/>
    <w:rsid w:val="00F41F60"/>
    <w:rsid w:val="00F42031"/>
    <w:rsid w:val="00F42046"/>
    <w:rsid w:val="00F420FD"/>
    <w:rsid w:val="00F421C6"/>
    <w:rsid w:val="00F42240"/>
    <w:rsid w:val="00F42358"/>
    <w:rsid w:val="00F425A9"/>
    <w:rsid w:val="00F4263B"/>
    <w:rsid w:val="00F4265B"/>
    <w:rsid w:val="00F42728"/>
    <w:rsid w:val="00F42761"/>
    <w:rsid w:val="00F429CB"/>
    <w:rsid w:val="00F42AB2"/>
    <w:rsid w:val="00F42D0F"/>
    <w:rsid w:val="00F42E07"/>
    <w:rsid w:val="00F4328D"/>
    <w:rsid w:val="00F433B5"/>
    <w:rsid w:val="00F43587"/>
    <w:rsid w:val="00F435FD"/>
    <w:rsid w:val="00F4372A"/>
    <w:rsid w:val="00F43AD2"/>
    <w:rsid w:val="00F44029"/>
    <w:rsid w:val="00F441A2"/>
    <w:rsid w:val="00F4420C"/>
    <w:rsid w:val="00F44298"/>
    <w:rsid w:val="00F44337"/>
    <w:rsid w:val="00F44551"/>
    <w:rsid w:val="00F44833"/>
    <w:rsid w:val="00F4491D"/>
    <w:rsid w:val="00F44B9E"/>
    <w:rsid w:val="00F44BD2"/>
    <w:rsid w:val="00F44C43"/>
    <w:rsid w:val="00F44CAE"/>
    <w:rsid w:val="00F44D18"/>
    <w:rsid w:val="00F44F29"/>
    <w:rsid w:val="00F45149"/>
    <w:rsid w:val="00F45447"/>
    <w:rsid w:val="00F4548E"/>
    <w:rsid w:val="00F45844"/>
    <w:rsid w:val="00F4588F"/>
    <w:rsid w:val="00F45B18"/>
    <w:rsid w:val="00F45F2A"/>
    <w:rsid w:val="00F461E8"/>
    <w:rsid w:val="00F46524"/>
    <w:rsid w:val="00F46770"/>
    <w:rsid w:val="00F468B1"/>
    <w:rsid w:val="00F468CC"/>
    <w:rsid w:val="00F469EC"/>
    <w:rsid w:val="00F46AC9"/>
    <w:rsid w:val="00F46AF6"/>
    <w:rsid w:val="00F46F4C"/>
    <w:rsid w:val="00F471A8"/>
    <w:rsid w:val="00F471AF"/>
    <w:rsid w:val="00F471D2"/>
    <w:rsid w:val="00F472D5"/>
    <w:rsid w:val="00F47674"/>
    <w:rsid w:val="00F478DB"/>
    <w:rsid w:val="00F47931"/>
    <w:rsid w:val="00F47AA4"/>
    <w:rsid w:val="00F47AE9"/>
    <w:rsid w:val="00F47D07"/>
    <w:rsid w:val="00F47E87"/>
    <w:rsid w:val="00F50027"/>
    <w:rsid w:val="00F50225"/>
    <w:rsid w:val="00F5097D"/>
    <w:rsid w:val="00F50A07"/>
    <w:rsid w:val="00F50A58"/>
    <w:rsid w:val="00F50AD8"/>
    <w:rsid w:val="00F50BC9"/>
    <w:rsid w:val="00F50D73"/>
    <w:rsid w:val="00F50D98"/>
    <w:rsid w:val="00F50EC8"/>
    <w:rsid w:val="00F51004"/>
    <w:rsid w:val="00F51217"/>
    <w:rsid w:val="00F5124B"/>
    <w:rsid w:val="00F513BD"/>
    <w:rsid w:val="00F515B7"/>
    <w:rsid w:val="00F516FA"/>
    <w:rsid w:val="00F5196C"/>
    <w:rsid w:val="00F519B5"/>
    <w:rsid w:val="00F51EB1"/>
    <w:rsid w:val="00F5221C"/>
    <w:rsid w:val="00F52254"/>
    <w:rsid w:val="00F5239B"/>
    <w:rsid w:val="00F5240A"/>
    <w:rsid w:val="00F52674"/>
    <w:rsid w:val="00F5269B"/>
    <w:rsid w:val="00F527A2"/>
    <w:rsid w:val="00F52B22"/>
    <w:rsid w:val="00F52BF4"/>
    <w:rsid w:val="00F52E1C"/>
    <w:rsid w:val="00F52E69"/>
    <w:rsid w:val="00F52EFB"/>
    <w:rsid w:val="00F52F30"/>
    <w:rsid w:val="00F52F90"/>
    <w:rsid w:val="00F531E9"/>
    <w:rsid w:val="00F5323D"/>
    <w:rsid w:val="00F5365D"/>
    <w:rsid w:val="00F537BC"/>
    <w:rsid w:val="00F5387A"/>
    <w:rsid w:val="00F53988"/>
    <w:rsid w:val="00F539B8"/>
    <w:rsid w:val="00F53B0C"/>
    <w:rsid w:val="00F53C83"/>
    <w:rsid w:val="00F53CCE"/>
    <w:rsid w:val="00F53E6D"/>
    <w:rsid w:val="00F5403B"/>
    <w:rsid w:val="00F54141"/>
    <w:rsid w:val="00F5420D"/>
    <w:rsid w:val="00F543BD"/>
    <w:rsid w:val="00F5451E"/>
    <w:rsid w:val="00F54936"/>
    <w:rsid w:val="00F5494F"/>
    <w:rsid w:val="00F54968"/>
    <w:rsid w:val="00F54CB2"/>
    <w:rsid w:val="00F54E3B"/>
    <w:rsid w:val="00F55056"/>
    <w:rsid w:val="00F550CA"/>
    <w:rsid w:val="00F55302"/>
    <w:rsid w:val="00F55328"/>
    <w:rsid w:val="00F55471"/>
    <w:rsid w:val="00F5557B"/>
    <w:rsid w:val="00F55794"/>
    <w:rsid w:val="00F5582A"/>
    <w:rsid w:val="00F55831"/>
    <w:rsid w:val="00F558A8"/>
    <w:rsid w:val="00F5596F"/>
    <w:rsid w:val="00F55A21"/>
    <w:rsid w:val="00F55AF7"/>
    <w:rsid w:val="00F55BB0"/>
    <w:rsid w:val="00F55C04"/>
    <w:rsid w:val="00F55C14"/>
    <w:rsid w:val="00F55C38"/>
    <w:rsid w:val="00F56278"/>
    <w:rsid w:val="00F5650A"/>
    <w:rsid w:val="00F5665E"/>
    <w:rsid w:val="00F567BD"/>
    <w:rsid w:val="00F56A3B"/>
    <w:rsid w:val="00F56D1E"/>
    <w:rsid w:val="00F56E01"/>
    <w:rsid w:val="00F56FF1"/>
    <w:rsid w:val="00F5715D"/>
    <w:rsid w:val="00F571FE"/>
    <w:rsid w:val="00F57341"/>
    <w:rsid w:val="00F57403"/>
    <w:rsid w:val="00F576E7"/>
    <w:rsid w:val="00F57793"/>
    <w:rsid w:val="00F57877"/>
    <w:rsid w:val="00F57899"/>
    <w:rsid w:val="00F578EB"/>
    <w:rsid w:val="00F57939"/>
    <w:rsid w:val="00F57940"/>
    <w:rsid w:val="00F57E12"/>
    <w:rsid w:val="00F57FB5"/>
    <w:rsid w:val="00F57FCF"/>
    <w:rsid w:val="00F6005D"/>
    <w:rsid w:val="00F605AA"/>
    <w:rsid w:val="00F6066F"/>
    <w:rsid w:val="00F60690"/>
    <w:rsid w:val="00F606B8"/>
    <w:rsid w:val="00F60804"/>
    <w:rsid w:val="00F60855"/>
    <w:rsid w:val="00F60873"/>
    <w:rsid w:val="00F6087A"/>
    <w:rsid w:val="00F60A16"/>
    <w:rsid w:val="00F60BA7"/>
    <w:rsid w:val="00F60EB9"/>
    <w:rsid w:val="00F6127B"/>
    <w:rsid w:val="00F61348"/>
    <w:rsid w:val="00F61710"/>
    <w:rsid w:val="00F61854"/>
    <w:rsid w:val="00F61AC0"/>
    <w:rsid w:val="00F62070"/>
    <w:rsid w:val="00F623E7"/>
    <w:rsid w:val="00F62548"/>
    <w:rsid w:val="00F62815"/>
    <w:rsid w:val="00F628E4"/>
    <w:rsid w:val="00F62A69"/>
    <w:rsid w:val="00F62EF4"/>
    <w:rsid w:val="00F6306B"/>
    <w:rsid w:val="00F63086"/>
    <w:rsid w:val="00F630EB"/>
    <w:rsid w:val="00F6312C"/>
    <w:rsid w:val="00F632D3"/>
    <w:rsid w:val="00F63580"/>
    <w:rsid w:val="00F635D2"/>
    <w:rsid w:val="00F636D4"/>
    <w:rsid w:val="00F637EE"/>
    <w:rsid w:val="00F63865"/>
    <w:rsid w:val="00F639E5"/>
    <w:rsid w:val="00F63CC8"/>
    <w:rsid w:val="00F63E3A"/>
    <w:rsid w:val="00F63F6A"/>
    <w:rsid w:val="00F63F79"/>
    <w:rsid w:val="00F63FC4"/>
    <w:rsid w:val="00F63FC8"/>
    <w:rsid w:val="00F6425A"/>
    <w:rsid w:val="00F64417"/>
    <w:rsid w:val="00F64552"/>
    <w:rsid w:val="00F645B9"/>
    <w:rsid w:val="00F645CC"/>
    <w:rsid w:val="00F64625"/>
    <w:rsid w:val="00F64B30"/>
    <w:rsid w:val="00F64B4D"/>
    <w:rsid w:val="00F64D1F"/>
    <w:rsid w:val="00F64DB2"/>
    <w:rsid w:val="00F64E4B"/>
    <w:rsid w:val="00F64E74"/>
    <w:rsid w:val="00F64FDF"/>
    <w:rsid w:val="00F65324"/>
    <w:rsid w:val="00F6532D"/>
    <w:rsid w:val="00F654FE"/>
    <w:rsid w:val="00F6553A"/>
    <w:rsid w:val="00F65549"/>
    <w:rsid w:val="00F656E2"/>
    <w:rsid w:val="00F65959"/>
    <w:rsid w:val="00F65C32"/>
    <w:rsid w:val="00F65C5A"/>
    <w:rsid w:val="00F65C79"/>
    <w:rsid w:val="00F65D0A"/>
    <w:rsid w:val="00F65D23"/>
    <w:rsid w:val="00F65EFA"/>
    <w:rsid w:val="00F65FCB"/>
    <w:rsid w:val="00F65FEA"/>
    <w:rsid w:val="00F66107"/>
    <w:rsid w:val="00F66276"/>
    <w:rsid w:val="00F66281"/>
    <w:rsid w:val="00F66497"/>
    <w:rsid w:val="00F66620"/>
    <w:rsid w:val="00F66748"/>
    <w:rsid w:val="00F667CC"/>
    <w:rsid w:val="00F66AEF"/>
    <w:rsid w:val="00F66B1B"/>
    <w:rsid w:val="00F66C65"/>
    <w:rsid w:val="00F66CA9"/>
    <w:rsid w:val="00F66D55"/>
    <w:rsid w:val="00F67035"/>
    <w:rsid w:val="00F6709A"/>
    <w:rsid w:val="00F670FB"/>
    <w:rsid w:val="00F67127"/>
    <w:rsid w:val="00F672D4"/>
    <w:rsid w:val="00F6766C"/>
    <w:rsid w:val="00F67BE4"/>
    <w:rsid w:val="00F67DCF"/>
    <w:rsid w:val="00F67E8B"/>
    <w:rsid w:val="00F67EC7"/>
    <w:rsid w:val="00F702CB"/>
    <w:rsid w:val="00F70356"/>
    <w:rsid w:val="00F705CE"/>
    <w:rsid w:val="00F70847"/>
    <w:rsid w:val="00F709C1"/>
    <w:rsid w:val="00F70A8D"/>
    <w:rsid w:val="00F70D02"/>
    <w:rsid w:val="00F70E13"/>
    <w:rsid w:val="00F70F11"/>
    <w:rsid w:val="00F70F28"/>
    <w:rsid w:val="00F70FC3"/>
    <w:rsid w:val="00F71164"/>
    <w:rsid w:val="00F71238"/>
    <w:rsid w:val="00F7123C"/>
    <w:rsid w:val="00F712FB"/>
    <w:rsid w:val="00F713EB"/>
    <w:rsid w:val="00F71941"/>
    <w:rsid w:val="00F719B9"/>
    <w:rsid w:val="00F71A1F"/>
    <w:rsid w:val="00F71C46"/>
    <w:rsid w:val="00F71CC3"/>
    <w:rsid w:val="00F71D07"/>
    <w:rsid w:val="00F71D71"/>
    <w:rsid w:val="00F71E19"/>
    <w:rsid w:val="00F71E4F"/>
    <w:rsid w:val="00F72075"/>
    <w:rsid w:val="00F721CA"/>
    <w:rsid w:val="00F7260A"/>
    <w:rsid w:val="00F728C6"/>
    <w:rsid w:val="00F72913"/>
    <w:rsid w:val="00F72AA8"/>
    <w:rsid w:val="00F73032"/>
    <w:rsid w:val="00F730D7"/>
    <w:rsid w:val="00F73703"/>
    <w:rsid w:val="00F737A0"/>
    <w:rsid w:val="00F73895"/>
    <w:rsid w:val="00F7389F"/>
    <w:rsid w:val="00F73FFD"/>
    <w:rsid w:val="00F7402D"/>
    <w:rsid w:val="00F740F9"/>
    <w:rsid w:val="00F741A0"/>
    <w:rsid w:val="00F742AC"/>
    <w:rsid w:val="00F742F5"/>
    <w:rsid w:val="00F742FD"/>
    <w:rsid w:val="00F74330"/>
    <w:rsid w:val="00F74706"/>
    <w:rsid w:val="00F74797"/>
    <w:rsid w:val="00F74A04"/>
    <w:rsid w:val="00F74AA7"/>
    <w:rsid w:val="00F74DA9"/>
    <w:rsid w:val="00F74DAC"/>
    <w:rsid w:val="00F74EF8"/>
    <w:rsid w:val="00F7502D"/>
    <w:rsid w:val="00F751CA"/>
    <w:rsid w:val="00F755C6"/>
    <w:rsid w:val="00F75620"/>
    <w:rsid w:val="00F756C7"/>
    <w:rsid w:val="00F7584F"/>
    <w:rsid w:val="00F75929"/>
    <w:rsid w:val="00F759EC"/>
    <w:rsid w:val="00F75AA5"/>
    <w:rsid w:val="00F75AB9"/>
    <w:rsid w:val="00F75C48"/>
    <w:rsid w:val="00F75E83"/>
    <w:rsid w:val="00F75E93"/>
    <w:rsid w:val="00F75FC8"/>
    <w:rsid w:val="00F762B1"/>
    <w:rsid w:val="00F763AA"/>
    <w:rsid w:val="00F7641D"/>
    <w:rsid w:val="00F7695B"/>
    <w:rsid w:val="00F76BF1"/>
    <w:rsid w:val="00F76FF3"/>
    <w:rsid w:val="00F77369"/>
    <w:rsid w:val="00F776A2"/>
    <w:rsid w:val="00F77871"/>
    <w:rsid w:val="00F778CB"/>
    <w:rsid w:val="00F77926"/>
    <w:rsid w:val="00F77A0F"/>
    <w:rsid w:val="00F77E84"/>
    <w:rsid w:val="00F77FBF"/>
    <w:rsid w:val="00F80151"/>
    <w:rsid w:val="00F8032A"/>
    <w:rsid w:val="00F80495"/>
    <w:rsid w:val="00F804F9"/>
    <w:rsid w:val="00F805C4"/>
    <w:rsid w:val="00F806BD"/>
    <w:rsid w:val="00F806DD"/>
    <w:rsid w:val="00F806E6"/>
    <w:rsid w:val="00F8080B"/>
    <w:rsid w:val="00F80861"/>
    <w:rsid w:val="00F80884"/>
    <w:rsid w:val="00F808A9"/>
    <w:rsid w:val="00F80DD0"/>
    <w:rsid w:val="00F80DFB"/>
    <w:rsid w:val="00F80F26"/>
    <w:rsid w:val="00F80F9F"/>
    <w:rsid w:val="00F80FE9"/>
    <w:rsid w:val="00F81074"/>
    <w:rsid w:val="00F810D0"/>
    <w:rsid w:val="00F811C5"/>
    <w:rsid w:val="00F813C6"/>
    <w:rsid w:val="00F814DB"/>
    <w:rsid w:val="00F81737"/>
    <w:rsid w:val="00F81991"/>
    <w:rsid w:val="00F81AEC"/>
    <w:rsid w:val="00F81B26"/>
    <w:rsid w:val="00F81B6D"/>
    <w:rsid w:val="00F81F86"/>
    <w:rsid w:val="00F81FB1"/>
    <w:rsid w:val="00F82055"/>
    <w:rsid w:val="00F82061"/>
    <w:rsid w:val="00F821E6"/>
    <w:rsid w:val="00F82371"/>
    <w:rsid w:val="00F82393"/>
    <w:rsid w:val="00F823DC"/>
    <w:rsid w:val="00F824BA"/>
    <w:rsid w:val="00F8260A"/>
    <w:rsid w:val="00F82850"/>
    <w:rsid w:val="00F82902"/>
    <w:rsid w:val="00F829A4"/>
    <w:rsid w:val="00F829AC"/>
    <w:rsid w:val="00F82B26"/>
    <w:rsid w:val="00F82BED"/>
    <w:rsid w:val="00F82C9A"/>
    <w:rsid w:val="00F82CFB"/>
    <w:rsid w:val="00F82D18"/>
    <w:rsid w:val="00F82E50"/>
    <w:rsid w:val="00F82FD4"/>
    <w:rsid w:val="00F8305B"/>
    <w:rsid w:val="00F833DE"/>
    <w:rsid w:val="00F83403"/>
    <w:rsid w:val="00F83415"/>
    <w:rsid w:val="00F8379C"/>
    <w:rsid w:val="00F837D3"/>
    <w:rsid w:val="00F839C2"/>
    <w:rsid w:val="00F83C7E"/>
    <w:rsid w:val="00F83CC3"/>
    <w:rsid w:val="00F83CF3"/>
    <w:rsid w:val="00F83EF2"/>
    <w:rsid w:val="00F8404C"/>
    <w:rsid w:val="00F84184"/>
    <w:rsid w:val="00F842D1"/>
    <w:rsid w:val="00F84305"/>
    <w:rsid w:val="00F844BC"/>
    <w:rsid w:val="00F845D3"/>
    <w:rsid w:val="00F84611"/>
    <w:rsid w:val="00F846A8"/>
    <w:rsid w:val="00F84761"/>
    <w:rsid w:val="00F84A93"/>
    <w:rsid w:val="00F84BE7"/>
    <w:rsid w:val="00F84C36"/>
    <w:rsid w:val="00F851A7"/>
    <w:rsid w:val="00F85227"/>
    <w:rsid w:val="00F85599"/>
    <w:rsid w:val="00F85607"/>
    <w:rsid w:val="00F856F8"/>
    <w:rsid w:val="00F8581D"/>
    <w:rsid w:val="00F85849"/>
    <w:rsid w:val="00F8584E"/>
    <w:rsid w:val="00F85882"/>
    <w:rsid w:val="00F85C5C"/>
    <w:rsid w:val="00F85CB9"/>
    <w:rsid w:val="00F85F66"/>
    <w:rsid w:val="00F8606B"/>
    <w:rsid w:val="00F860F6"/>
    <w:rsid w:val="00F8627D"/>
    <w:rsid w:val="00F86482"/>
    <w:rsid w:val="00F868AC"/>
    <w:rsid w:val="00F86A8F"/>
    <w:rsid w:val="00F86A93"/>
    <w:rsid w:val="00F86ADC"/>
    <w:rsid w:val="00F86BB8"/>
    <w:rsid w:val="00F86DAE"/>
    <w:rsid w:val="00F86E3E"/>
    <w:rsid w:val="00F86EDD"/>
    <w:rsid w:val="00F870B6"/>
    <w:rsid w:val="00F8724B"/>
    <w:rsid w:val="00F874E9"/>
    <w:rsid w:val="00F87659"/>
    <w:rsid w:val="00F8775C"/>
    <w:rsid w:val="00F877AA"/>
    <w:rsid w:val="00F877BB"/>
    <w:rsid w:val="00F879C9"/>
    <w:rsid w:val="00F87BA8"/>
    <w:rsid w:val="00F87BC8"/>
    <w:rsid w:val="00F87BFA"/>
    <w:rsid w:val="00F87E59"/>
    <w:rsid w:val="00F87EDA"/>
    <w:rsid w:val="00F87F02"/>
    <w:rsid w:val="00F900DE"/>
    <w:rsid w:val="00F902BE"/>
    <w:rsid w:val="00F904A1"/>
    <w:rsid w:val="00F904CB"/>
    <w:rsid w:val="00F905FF"/>
    <w:rsid w:val="00F9080E"/>
    <w:rsid w:val="00F908E9"/>
    <w:rsid w:val="00F908F7"/>
    <w:rsid w:val="00F9090A"/>
    <w:rsid w:val="00F90A4B"/>
    <w:rsid w:val="00F90CDB"/>
    <w:rsid w:val="00F90CE4"/>
    <w:rsid w:val="00F90E3A"/>
    <w:rsid w:val="00F910A3"/>
    <w:rsid w:val="00F9138B"/>
    <w:rsid w:val="00F91AE1"/>
    <w:rsid w:val="00F91B90"/>
    <w:rsid w:val="00F91C23"/>
    <w:rsid w:val="00F91DCC"/>
    <w:rsid w:val="00F92086"/>
    <w:rsid w:val="00F921A8"/>
    <w:rsid w:val="00F922DC"/>
    <w:rsid w:val="00F922F4"/>
    <w:rsid w:val="00F923DB"/>
    <w:rsid w:val="00F92493"/>
    <w:rsid w:val="00F92517"/>
    <w:rsid w:val="00F9277E"/>
    <w:rsid w:val="00F92902"/>
    <w:rsid w:val="00F9292E"/>
    <w:rsid w:val="00F929EF"/>
    <w:rsid w:val="00F929F8"/>
    <w:rsid w:val="00F92BD9"/>
    <w:rsid w:val="00F92EA9"/>
    <w:rsid w:val="00F9312E"/>
    <w:rsid w:val="00F93272"/>
    <w:rsid w:val="00F93281"/>
    <w:rsid w:val="00F932A2"/>
    <w:rsid w:val="00F9333E"/>
    <w:rsid w:val="00F934BE"/>
    <w:rsid w:val="00F939D6"/>
    <w:rsid w:val="00F93BDA"/>
    <w:rsid w:val="00F93E7F"/>
    <w:rsid w:val="00F93EC0"/>
    <w:rsid w:val="00F93F71"/>
    <w:rsid w:val="00F93FBB"/>
    <w:rsid w:val="00F94304"/>
    <w:rsid w:val="00F943D0"/>
    <w:rsid w:val="00F94497"/>
    <w:rsid w:val="00F947A2"/>
    <w:rsid w:val="00F947AA"/>
    <w:rsid w:val="00F94C22"/>
    <w:rsid w:val="00F94C9B"/>
    <w:rsid w:val="00F94DAF"/>
    <w:rsid w:val="00F94EC1"/>
    <w:rsid w:val="00F94ECC"/>
    <w:rsid w:val="00F94F8D"/>
    <w:rsid w:val="00F95013"/>
    <w:rsid w:val="00F953D7"/>
    <w:rsid w:val="00F9559B"/>
    <w:rsid w:val="00F956C0"/>
    <w:rsid w:val="00F95762"/>
    <w:rsid w:val="00F95763"/>
    <w:rsid w:val="00F958F9"/>
    <w:rsid w:val="00F959FD"/>
    <w:rsid w:val="00F95B93"/>
    <w:rsid w:val="00F95C56"/>
    <w:rsid w:val="00F95DD9"/>
    <w:rsid w:val="00F95EF4"/>
    <w:rsid w:val="00F96034"/>
    <w:rsid w:val="00F960B8"/>
    <w:rsid w:val="00F9618E"/>
    <w:rsid w:val="00F96472"/>
    <w:rsid w:val="00F96473"/>
    <w:rsid w:val="00F96541"/>
    <w:rsid w:val="00F965B9"/>
    <w:rsid w:val="00F9660D"/>
    <w:rsid w:val="00F96859"/>
    <w:rsid w:val="00F9687C"/>
    <w:rsid w:val="00F968FB"/>
    <w:rsid w:val="00F96AF8"/>
    <w:rsid w:val="00F96BC3"/>
    <w:rsid w:val="00F96C14"/>
    <w:rsid w:val="00F96C4C"/>
    <w:rsid w:val="00F96C9F"/>
    <w:rsid w:val="00F96CB9"/>
    <w:rsid w:val="00F96D95"/>
    <w:rsid w:val="00F96E9F"/>
    <w:rsid w:val="00F97135"/>
    <w:rsid w:val="00F97794"/>
    <w:rsid w:val="00F97805"/>
    <w:rsid w:val="00F979B1"/>
    <w:rsid w:val="00F979EF"/>
    <w:rsid w:val="00F97B53"/>
    <w:rsid w:val="00F97BEF"/>
    <w:rsid w:val="00F97C2D"/>
    <w:rsid w:val="00F97D21"/>
    <w:rsid w:val="00F97DB1"/>
    <w:rsid w:val="00F97E89"/>
    <w:rsid w:val="00FA0061"/>
    <w:rsid w:val="00FA00C3"/>
    <w:rsid w:val="00FA00ED"/>
    <w:rsid w:val="00FA02C6"/>
    <w:rsid w:val="00FA030F"/>
    <w:rsid w:val="00FA0324"/>
    <w:rsid w:val="00FA037A"/>
    <w:rsid w:val="00FA05AB"/>
    <w:rsid w:val="00FA070E"/>
    <w:rsid w:val="00FA085D"/>
    <w:rsid w:val="00FA090B"/>
    <w:rsid w:val="00FA0A1F"/>
    <w:rsid w:val="00FA0A62"/>
    <w:rsid w:val="00FA0B11"/>
    <w:rsid w:val="00FA0D51"/>
    <w:rsid w:val="00FA0F56"/>
    <w:rsid w:val="00FA1240"/>
    <w:rsid w:val="00FA16A6"/>
    <w:rsid w:val="00FA170B"/>
    <w:rsid w:val="00FA17A5"/>
    <w:rsid w:val="00FA1903"/>
    <w:rsid w:val="00FA1B2A"/>
    <w:rsid w:val="00FA1B35"/>
    <w:rsid w:val="00FA1BDB"/>
    <w:rsid w:val="00FA1C16"/>
    <w:rsid w:val="00FA1D0C"/>
    <w:rsid w:val="00FA1D1C"/>
    <w:rsid w:val="00FA1D59"/>
    <w:rsid w:val="00FA1E54"/>
    <w:rsid w:val="00FA1F7B"/>
    <w:rsid w:val="00FA212E"/>
    <w:rsid w:val="00FA261D"/>
    <w:rsid w:val="00FA26CD"/>
    <w:rsid w:val="00FA285F"/>
    <w:rsid w:val="00FA288B"/>
    <w:rsid w:val="00FA291F"/>
    <w:rsid w:val="00FA2955"/>
    <w:rsid w:val="00FA29FB"/>
    <w:rsid w:val="00FA2E49"/>
    <w:rsid w:val="00FA3146"/>
    <w:rsid w:val="00FA3159"/>
    <w:rsid w:val="00FA316A"/>
    <w:rsid w:val="00FA32D5"/>
    <w:rsid w:val="00FA35FB"/>
    <w:rsid w:val="00FA369A"/>
    <w:rsid w:val="00FA36A7"/>
    <w:rsid w:val="00FA3AA6"/>
    <w:rsid w:val="00FA3BC0"/>
    <w:rsid w:val="00FA41F1"/>
    <w:rsid w:val="00FA427B"/>
    <w:rsid w:val="00FA4320"/>
    <w:rsid w:val="00FA437C"/>
    <w:rsid w:val="00FA43B1"/>
    <w:rsid w:val="00FA4701"/>
    <w:rsid w:val="00FA4790"/>
    <w:rsid w:val="00FA4A38"/>
    <w:rsid w:val="00FA4A65"/>
    <w:rsid w:val="00FA4CBB"/>
    <w:rsid w:val="00FA4D32"/>
    <w:rsid w:val="00FA4E89"/>
    <w:rsid w:val="00FA500B"/>
    <w:rsid w:val="00FA50C8"/>
    <w:rsid w:val="00FA51B3"/>
    <w:rsid w:val="00FA526F"/>
    <w:rsid w:val="00FA5472"/>
    <w:rsid w:val="00FA54EB"/>
    <w:rsid w:val="00FA5583"/>
    <w:rsid w:val="00FA567F"/>
    <w:rsid w:val="00FA569B"/>
    <w:rsid w:val="00FA59CD"/>
    <w:rsid w:val="00FA59F1"/>
    <w:rsid w:val="00FA5B42"/>
    <w:rsid w:val="00FA5BD6"/>
    <w:rsid w:val="00FA5BE5"/>
    <w:rsid w:val="00FA5C28"/>
    <w:rsid w:val="00FA5C5B"/>
    <w:rsid w:val="00FA5FF1"/>
    <w:rsid w:val="00FA6092"/>
    <w:rsid w:val="00FA613A"/>
    <w:rsid w:val="00FA62B2"/>
    <w:rsid w:val="00FA641F"/>
    <w:rsid w:val="00FA656B"/>
    <w:rsid w:val="00FA6748"/>
    <w:rsid w:val="00FA675A"/>
    <w:rsid w:val="00FA6886"/>
    <w:rsid w:val="00FA69A9"/>
    <w:rsid w:val="00FA6ACF"/>
    <w:rsid w:val="00FA6D1F"/>
    <w:rsid w:val="00FA6D61"/>
    <w:rsid w:val="00FA701E"/>
    <w:rsid w:val="00FA7956"/>
    <w:rsid w:val="00FA79D1"/>
    <w:rsid w:val="00FA7AC1"/>
    <w:rsid w:val="00FA7C50"/>
    <w:rsid w:val="00FA7E5B"/>
    <w:rsid w:val="00FA7E6B"/>
    <w:rsid w:val="00FB03F2"/>
    <w:rsid w:val="00FB0483"/>
    <w:rsid w:val="00FB0793"/>
    <w:rsid w:val="00FB08F9"/>
    <w:rsid w:val="00FB0BE1"/>
    <w:rsid w:val="00FB0C0C"/>
    <w:rsid w:val="00FB0D15"/>
    <w:rsid w:val="00FB0F8C"/>
    <w:rsid w:val="00FB1781"/>
    <w:rsid w:val="00FB1A10"/>
    <w:rsid w:val="00FB1A38"/>
    <w:rsid w:val="00FB1A3E"/>
    <w:rsid w:val="00FB1BD9"/>
    <w:rsid w:val="00FB1C3C"/>
    <w:rsid w:val="00FB1E3B"/>
    <w:rsid w:val="00FB1EA2"/>
    <w:rsid w:val="00FB1EFD"/>
    <w:rsid w:val="00FB20F4"/>
    <w:rsid w:val="00FB224A"/>
    <w:rsid w:val="00FB2282"/>
    <w:rsid w:val="00FB2629"/>
    <w:rsid w:val="00FB2771"/>
    <w:rsid w:val="00FB2ABC"/>
    <w:rsid w:val="00FB2C0E"/>
    <w:rsid w:val="00FB2DC5"/>
    <w:rsid w:val="00FB2E60"/>
    <w:rsid w:val="00FB2E82"/>
    <w:rsid w:val="00FB2F9F"/>
    <w:rsid w:val="00FB308F"/>
    <w:rsid w:val="00FB32AD"/>
    <w:rsid w:val="00FB3462"/>
    <w:rsid w:val="00FB34CB"/>
    <w:rsid w:val="00FB3521"/>
    <w:rsid w:val="00FB36C1"/>
    <w:rsid w:val="00FB37DA"/>
    <w:rsid w:val="00FB38A3"/>
    <w:rsid w:val="00FB394A"/>
    <w:rsid w:val="00FB3BD3"/>
    <w:rsid w:val="00FB3EAA"/>
    <w:rsid w:val="00FB3FC9"/>
    <w:rsid w:val="00FB4094"/>
    <w:rsid w:val="00FB40A1"/>
    <w:rsid w:val="00FB4193"/>
    <w:rsid w:val="00FB427A"/>
    <w:rsid w:val="00FB4475"/>
    <w:rsid w:val="00FB4510"/>
    <w:rsid w:val="00FB4686"/>
    <w:rsid w:val="00FB46AB"/>
    <w:rsid w:val="00FB479E"/>
    <w:rsid w:val="00FB49E3"/>
    <w:rsid w:val="00FB4A00"/>
    <w:rsid w:val="00FB4A12"/>
    <w:rsid w:val="00FB4B42"/>
    <w:rsid w:val="00FB4F22"/>
    <w:rsid w:val="00FB526C"/>
    <w:rsid w:val="00FB5284"/>
    <w:rsid w:val="00FB535C"/>
    <w:rsid w:val="00FB5398"/>
    <w:rsid w:val="00FB564B"/>
    <w:rsid w:val="00FB580B"/>
    <w:rsid w:val="00FB5B24"/>
    <w:rsid w:val="00FB5B49"/>
    <w:rsid w:val="00FB5D16"/>
    <w:rsid w:val="00FB5DFA"/>
    <w:rsid w:val="00FB5E4C"/>
    <w:rsid w:val="00FB5E5E"/>
    <w:rsid w:val="00FB5F3E"/>
    <w:rsid w:val="00FB614F"/>
    <w:rsid w:val="00FB63AE"/>
    <w:rsid w:val="00FB640C"/>
    <w:rsid w:val="00FB6513"/>
    <w:rsid w:val="00FB66C6"/>
    <w:rsid w:val="00FB678F"/>
    <w:rsid w:val="00FB6849"/>
    <w:rsid w:val="00FB69C4"/>
    <w:rsid w:val="00FB6BDC"/>
    <w:rsid w:val="00FB6BF9"/>
    <w:rsid w:val="00FB6C63"/>
    <w:rsid w:val="00FB6D87"/>
    <w:rsid w:val="00FB6F3E"/>
    <w:rsid w:val="00FB701A"/>
    <w:rsid w:val="00FB7059"/>
    <w:rsid w:val="00FB71D7"/>
    <w:rsid w:val="00FB71F8"/>
    <w:rsid w:val="00FB7267"/>
    <w:rsid w:val="00FB7462"/>
    <w:rsid w:val="00FB749F"/>
    <w:rsid w:val="00FB7646"/>
    <w:rsid w:val="00FB77A4"/>
    <w:rsid w:val="00FB7B20"/>
    <w:rsid w:val="00FB7B72"/>
    <w:rsid w:val="00FB7B93"/>
    <w:rsid w:val="00FB7BFE"/>
    <w:rsid w:val="00FB7CDC"/>
    <w:rsid w:val="00FB7EE0"/>
    <w:rsid w:val="00FB7F9D"/>
    <w:rsid w:val="00FC0016"/>
    <w:rsid w:val="00FC0046"/>
    <w:rsid w:val="00FC0452"/>
    <w:rsid w:val="00FC049A"/>
    <w:rsid w:val="00FC04B0"/>
    <w:rsid w:val="00FC056D"/>
    <w:rsid w:val="00FC060D"/>
    <w:rsid w:val="00FC0737"/>
    <w:rsid w:val="00FC07CB"/>
    <w:rsid w:val="00FC07E2"/>
    <w:rsid w:val="00FC08A7"/>
    <w:rsid w:val="00FC0BA8"/>
    <w:rsid w:val="00FC0BF5"/>
    <w:rsid w:val="00FC0CC2"/>
    <w:rsid w:val="00FC0D4A"/>
    <w:rsid w:val="00FC0DCA"/>
    <w:rsid w:val="00FC0DFD"/>
    <w:rsid w:val="00FC0F13"/>
    <w:rsid w:val="00FC10B7"/>
    <w:rsid w:val="00FC11A3"/>
    <w:rsid w:val="00FC11F5"/>
    <w:rsid w:val="00FC1442"/>
    <w:rsid w:val="00FC153E"/>
    <w:rsid w:val="00FC1540"/>
    <w:rsid w:val="00FC1CC9"/>
    <w:rsid w:val="00FC208C"/>
    <w:rsid w:val="00FC20CE"/>
    <w:rsid w:val="00FC20F6"/>
    <w:rsid w:val="00FC218F"/>
    <w:rsid w:val="00FC21A2"/>
    <w:rsid w:val="00FC23B7"/>
    <w:rsid w:val="00FC2488"/>
    <w:rsid w:val="00FC24CF"/>
    <w:rsid w:val="00FC24EE"/>
    <w:rsid w:val="00FC2741"/>
    <w:rsid w:val="00FC27B2"/>
    <w:rsid w:val="00FC288F"/>
    <w:rsid w:val="00FC29F7"/>
    <w:rsid w:val="00FC2B3F"/>
    <w:rsid w:val="00FC2C11"/>
    <w:rsid w:val="00FC2FB6"/>
    <w:rsid w:val="00FC321D"/>
    <w:rsid w:val="00FC32AD"/>
    <w:rsid w:val="00FC33DD"/>
    <w:rsid w:val="00FC3497"/>
    <w:rsid w:val="00FC368B"/>
    <w:rsid w:val="00FC36AC"/>
    <w:rsid w:val="00FC3788"/>
    <w:rsid w:val="00FC3CA9"/>
    <w:rsid w:val="00FC3CAD"/>
    <w:rsid w:val="00FC3DEA"/>
    <w:rsid w:val="00FC3F22"/>
    <w:rsid w:val="00FC3F90"/>
    <w:rsid w:val="00FC42E4"/>
    <w:rsid w:val="00FC4445"/>
    <w:rsid w:val="00FC4452"/>
    <w:rsid w:val="00FC4873"/>
    <w:rsid w:val="00FC48C2"/>
    <w:rsid w:val="00FC4AFD"/>
    <w:rsid w:val="00FC4BF5"/>
    <w:rsid w:val="00FC4CD1"/>
    <w:rsid w:val="00FC4DBA"/>
    <w:rsid w:val="00FC4F56"/>
    <w:rsid w:val="00FC5346"/>
    <w:rsid w:val="00FC53DD"/>
    <w:rsid w:val="00FC5451"/>
    <w:rsid w:val="00FC5A0C"/>
    <w:rsid w:val="00FC5BC6"/>
    <w:rsid w:val="00FC5F66"/>
    <w:rsid w:val="00FC60E9"/>
    <w:rsid w:val="00FC6204"/>
    <w:rsid w:val="00FC6599"/>
    <w:rsid w:val="00FC68EC"/>
    <w:rsid w:val="00FC6A95"/>
    <w:rsid w:val="00FC6B7A"/>
    <w:rsid w:val="00FC6BF2"/>
    <w:rsid w:val="00FC6D77"/>
    <w:rsid w:val="00FC6E85"/>
    <w:rsid w:val="00FC6EBA"/>
    <w:rsid w:val="00FC7002"/>
    <w:rsid w:val="00FC72BB"/>
    <w:rsid w:val="00FC73C9"/>
    <w:rsid w:val="00FC7540"/>
    <w:rsid w:val="00FC7EF8"/>
    <w:rsid w:val="00FC7F45"/>
    <w:rsid w:val="00FD002B"/>
    <w:rsid w:val="00FD01A6"/>
    <w:rsid w:val="00FD05DE"/>
    <w:rsid w:val="00FD0601"/>
    <w:rsid w:val="00FD0990"/>
    <w:rsid w:val="00FD0B95"/>
    <w:rsid w:val="00FD0BC5"/>
    <w:rsid w:val="00FD0D66"/>
    <w:rsid w:val="00FD0E14"/>
    <w:rsid w:val="00FD0E99"/>
    <w:rsid w:val="00FD1070"/>
    <w:rsid w:val="00FD12DB"/>
    <w:rsid w:val="00FD1731"/>
    <w:rsid w:val="00FD190B"/>
    <w:rsid w:val="00FD1945"/>
    <w:rsid w:val="00FD1BB7"/>
    <w:rsid w:val="00FD1C3A"/>
    <w:rsid w:val="00FD1F91"/>
    <w:rsid w:val="00FD2043"/>
    <w:rsid w:val="00FD2086"/>
    <w:rsid w:val="00FD236D"/>
    <w:rsid w:val="00FD2413"/>
    <w:rsid w:val="00FD248E"/>
    <w:rsid w:val="00FD282E"/>
    <w:rsid w:val="00FD28BA"/>
    <w:rsid w:val="00FD28E2"/>
    <w:rsid w:val="00FD290A"/>
    <w:rsid w:val="00FD2936"/>
    <w:rsid w:val="00FD2965"/>
    <w:rsid w:val="00FD29C8"/>
    <w:rsid w:val="00FD2A1F"/>
    <w:rsid w:val="00FD2BAC"/>
    <w:rsid w:val="00FD2D5E"/>
    <w:rsid w:val="00FD2F31"/>
    <w:rsid w:val="00FD32C9"/>
    <w:rsid w:val="00FD3412"/>
    <w:rsid w:val="00FD3421"/>
    <w:rsid w:val="00FD387D"/>
    <w:rsid w:val="00FD3B0D"/>
    <w:rsid w:val="00FD3C37"/>
    <w:rsid w:val="00FD3C5D"/>
    <w:rsid w:val="00FD3CC5"/>
    <w:rsid w:val="00FD3E8C"/>
    <w:rsid w:val="00FD3FB7"/>
    <w:rsid w:val="00FD4023"/>
    <w:rsid w:val="00FD4070"/>
    <w:rsid w:val="00FD40CA"/>
    <w:rsid w:val="00FD4190"/>
    <w:rsid w:val="00FD4477"/>
    <w:rsid w:val="00FD447E"/>
    <w:rsid w:val="00FD4694"/>
    <w:rsid w:val="00FD478B"/>
    <w:rsid w:val="00FD47F7"/>
    <w:rsid w:val="00FD4A17"/>
    <w:rsid w:val="00FD4A87"/>
    <w:rsid w:val="00FD4D7E"/>
    <w:rsid w:val="00FD4E4C"/>
    <w:rsid w:val="00FD4F2F"/>
    <w:rsid w:val="00FD5055"/>
    <w:rsid w:val="00FD55DD"/>
    <w:rsid w:val="00FD56C4"/>
    <w:rsid w:val="00FD5714"/>
    <w:rsid w:val="00FD599B"/>
    <w:rsid w:val="00FD5AF2"/>
    <w:rsid w:val="00FD5CEC"/>
    <w:rsid w:val="00FD5DA9"/>
    <w:rsid w:val="00FD5E64"/>
    <w:rsid w:val="00FD5E8B"/>
    <w:rsid w:val="00FD5F4C"/>
    <w:rsid w:val="00FD60E1"/>
    <w:rsid w:val="00FD6137"/>
    <w:rsid w:val="00FD6475"/>
    <w:rsid w:val="00FD651E"/>
    <w:rsid w:val="00FD654F"/>
    <w:rsid w:val="00FD66E7"/>
    <w:rsid w:val="00FD68A9"/>
    <w:rsid w:val="00FD68E2"/>
    <w:rsid w:val="00FD693E"/>
    <w:rsid w:val="00FD69E8"/>
    <w:rsid w:val="00FD69F9"/>
    <w:rsid w:val="00FD6B1B"/>
    <w:rsid w:val="00FD6B62"/>
    <w:rsid w:val="00FD6B6F"/>
    <w:rsid w:val="00FD6F0A"/>
    <w:rsid w:val="00FD6F8D"/>
    <w:rsid w:val="00FD708E"/>
    <w:rsid w:val="00FD721E"/>
    <w:rsid w:val="00FD7285"/>
    <w:rsid w:val="00FD72AA"/>
    <w:rsid w:val="00FD73D8"/>
    <w:rsid w:val="00FD7580"/>
    <w:rsid w:val="00FD7729"/>
    <w:rsid w:val="00FD7746"/>
    <w:rsid w:val="00FD77DA"/>
    <w:rsid w:val="00FD7BD3"/>
    <w:rsid w:val="00FD7E32"/>
    <w:rsid w:val="00FD7EE6"/>
    <w:rsid w:val="00FE0354"/>
    <w:rsid w:val="00FE03CC"/>
    <w:rsid w:val="00FE04CE"/>
    <w:rsid w:val="00FE062E"/>
    <w:rsid w:val="00FE07C1"/>
    <w:rsid w:val="00FE0842"/>
    <w:rsid w:val="00FE097C"/>
    <w:rsid w:val="00FE0A13"/>
    <w:rsid w:val="00FE0A32"/>
    <w:rsid w:val="00FE0A85"/>
    <w:rsid w:val="00FE0BF4"/>
    <w:rsid w:val="00FE0D24"/>
    <w:rsid w:val="00FE0D9C"/>
    <w:rsid w:val="00FE0FE5"/>
    <w:rsid w:val="00FE1125"/>
    <w:rsid w:val="00FE1322"/>
    <w:rsid w:val="00FE135F"/>
    <w:rsid w:val="00FE14A5"/>
    <w:rsid w:val="00FE1617"/>
    <w:rsid w:val="00FE1622"/>
    <w:rsid w:val="00FE1669"/>
    <w:rsid w:val="00FE177E"/>
    <w:rsid w:val="00FE17C3"/>
    <w:rsid w:val="00FE17F0"/>
    <w:rsid w:val="00FE1A0E"/>
    <w:rsid w:val="00FE1A70"/>
    <w:rsid w:val="00FE2020"/>
    <w:rsid w:val="00FE2050"/>
    <w:rsid w:val="00FE21CB"/>
    <w:rsid w:val="00FE2227"/>
    <w:rsid w:val="00FE23BE"/>
    <w:rsid w:val="00FE2619"/>
    <w:rsid w:val="00FE2B3F"/>
    <w:rsid w:val="00FE2BD0"/>
    <w:rsid w:val="00FE2CC6"/>
    <w:rsid w:val="00FE2CCE"/>
    <w:rsid w:val="00FE2CEE"/>
    <w:rsid w:val="00FE2D8C"/>
    <w:rsid w:val="00FE2DFA"/>
    <w:rsid w:val="00FE2E89"/>
    <w:rsid w:val="00FE32C6"/>
    <w:rsid w:val="00FE34FB"/>
    <w:rsid w:val="00FE37EE"/>
    <w:rsid w:val="00FE38FC"/>
    <w:rsid w:val="00FE3953"/>
    <w:rsid w:val="00FE39B0"/>
    <w:rsid w:val="00FE3B05"/>
    <w:rsid w:val="00FE3D3B"/>
    <w:rsid w:val="00FE3DED"/>
    <w:rsid w:val="00FE3F55"/>
    <w:rsid w:val="00FE40BE"/>
    <w:rsid w:val="00FE41ED"/>
    <w:rsid w:val="00FE4324"/>
    <w:rsid w:val="00FE4327"/>
    <w:rsid w:val="00FE43AC"/>
    <w:rsid w:val="00FE44BE"/>
    <w:rsid w:val="00FE452E"/>
    <w:rsid w:val="00FE4589"/>
    <w:rsid w:val="00FE45FE"/>
    <w:rsid w:val="00FE47B8"/>
    <w:rsid w:val="00FE4B23"/>
    <w:rsid w:val="00FE4B7A"/>
    <w:rsid w:val="00FE4DEB"/>
    <w:rsid w:val="00FE50B4"/>
    <w:rsid w:val="00FE5628"/>
    <w:rsid w:val="00FE5678"/>
    <w:rsid w:val="00FE56FF"/>
    <w:rsid w:val="00FE574E"/>
    <w:rsid w:val="00FE593B"/>
    <w:rsid w:val="00FE5BDC"/>
    <w:rsid w:val="00FE5D16"/>
    <w:rsid w:val="00FE6023"/>
    <w:rsid w:val="00FE606D"/>
    <w:rsid w:val="00FE6193"/>
    <w:rsid w:val="00FE651B"/>
    <w:rsid w:val="00FE682C"/>
    <w:rsid w:val="00FE69F9"/>
    <w:rsid w:val="00FE6A2B"/>
    <w:rsid w:val="00FE6A46"/>
    <w:rsid w:val="00FE6A57"/>
    <w:rsid w:val="00FE6B34"/>
    <w:rsid w:val="00FE6E42"/>
    <w:rsid w:val="00FE6F6F"/>
    <w:rsid w:val="00FE6FE1"/>
    <w:rsid w:val="00FE74B4"/>
    <w:rsid w:val="00FE76BC"/>
    <w:rsid w:val="00FE7909"/>
    <w:rsid w:val="00FE7929"/>
    <w:rsid w:val="00FE7CDB"/>
    <w:rsid w:val="00FE7F2B"/>
    <w:rsid w:val="00FE7F7C"/>
    <w:rsid w:val="00FF01EF"/>
    <w:rsid w:val="00FF0225"/>
    <w:rsid w:val="00FF0503"/>
    <w:rsid w:val="00FF0526"/>
    <w:rsid w:val="00FF07B8"/>
    <w:rsid w:val="00FF08C8"/>
    <w:rsid w:val="00FF0A85"/>
    <w:rsid w:val="00FF0B47"/>
    <w:rsid w:val="00FF0DAA"/>
    <w:rsid w:val="00FF0DB7"/>
    <w:rsid w:val="00FF1039"/>
    <w:rsid w:val="00FF10B9"/>
    <w:rsid w:val="00FF118B"/>
    <w:rsid w:val="00FF11F4"/>
    <w:rsid w:val="00FF14D5"/>
    <w:rsid w:val="00FF17AC"/>
    <w:rsid w:val="00FF17FD"/>
    <w:rsid w:val="00FF19C1"/>
    <w:rsid w:val="00FF1A74"/>
    <w:rsid w:val="00FF1BE5"/>
    <w:rsid w:val="00FF1C11"/>
    <w:rsid w:val="00FF1C21"/>
    <w:rsid w:val="00FF1CF6"/>
    <w:rsid w:val="00FF1E22"/>
    <w:rsid w:val="00FF2026"/>
    <w:rsid w:val="00FF204B"/>
    <w:rsid w:val="00FF2406"/>
    <w:rsid w:val="00FF25A0"/>
    <w:rsid w:val="00FF2A04"/>
    <w:rsid w:val="00FF2A71"/>
    <w:rsid w:val="00FF2C18"/>
    <w:rsid w:val="00FF2DF5"/>
    <w:rsid w:val="00FF2F50"/>
    <w:rsid w:val="00FF2F64"/>
    <w:rsid w:val="00FF30A6"/>
    <w:rsid w:val="00FF3198"/>
    <w:rsid w:val="00FF32BE"/>
    <w:rsid w:val="00FF33D7"/>
    <w:rsid w:val="00FF36C7"/>
    <w:rsid w:val="00FF3C97"/>
    <w:rsid w:val="00FF3DF0"/>
    <w:rsid w:val="00FF3E19"/>
    <w:rsid w:val="00FF3F97"/>
    <w:rsid w:val="00FF4064"/>
    <w:rsid w:val="00FF40D7"/>
    <w:rsid w:val="00FF4213"/>
    <w:rsid w:val="00FF422E"/>
    <w:rsid w:val="00FF423B"/>
    <w:rsid w:val="00FF4262"/>
    <w:rsid w:val="00FF4277"/>
    <w:rsid w:val="00FF4284"/>
    <w:rsid w:val="00FF42B2"/>
    <w:rsid w:val="00FF42C1"/>
    <w:rsid w:val="00FF4322"/>
    <w:rsid w:val="00FF43AE"/>
    <w:rsid w:val="00FF4848"/>
    <w:rsid w:val="00FF48FE"/>
    <w:rsid w:val="00FF4A4D"/>
    <w:rsid w:val="00FF4A85"/>
    <w:rsid w:val="00FF4AE5"/>
    <w:rsid w:val="00FF4BA5"/>
    <w:rsid w:val="00FF4CC3"/>
    <w:rsid w:val="00FF4CE2"/>
    <w:rsid w:val="00FF4F24"/>
    <w:rsid w:val="00FF4F90"/>
    <w:rsid w:val="00FF5077"/>
    <w:rsid w:val="00FF52A6"/>
    <w:rsid w:val="00FF5312"/>
    <w:rsid w:val="00FF5345"/>
    <w:rsid w:val="00FF54C3"/>
    <w:rsid w:val="00FF5523"/>
    <w:rsid w:val="00FF55A6"/>
    <w:rsid w:val="00FF58E7"/>
    <w:rsid w:val="00FF59FD"/>
    <w:rsid w:val="00FF5AEB"/>
    <w:rsid w:val="00FF617D"/>
    <w:rsid w:val="00FF61A9"/>
    <w:rsid w:val="00FF66AF"/>
    <w:rsid w:val="00FF66F6"/>
    <w:rsid w:val="00FF6760"/>
    <w:rsid w:val="00FF6A60"/>
    <w:rsid w:val="00FF6B15"/>
    <w:rsid w:val="00FF6CA8"/>
    <w:rsid w:val="00FF6D7F"/>
    <w:rsid w:val="00FF6DCC"/>
    <w:rsid w:val="00FF6E78"/>
    <w:rsid w:val="00FF6F87"/>
    <w:rsid w:val="00FF7087"/>
    <w:rsid w:val="00FF709B"/>
    <w:rsid w:val="00FF713B"/>
    <w:rsid w:val="00FF743E"/>
    <w:rsid w:val="00FF74A6"/>
    <w:rsid w:val="00FF761F"/>
    <w:rsid w:val="00FF762B"/>
    <w:rsid w:val="00FF7657"/>
    <w:rsid w:val="00FF772C"/>
    <w:rsid w:val="00FF787B"/>
    <w:rsid w:val="00FF7AAD"/>
    <w:rsid w:val="00FF7B60"/>
    <w:rsid w:val="00FF7B66"/>
    <w:rsid w:val="00FF7ECD"/>
    <w:rsid w:val="00FF7F95"/>
    <w:rsid w:val="01B03DDC"/>
    <w:rsid w:val="0259F05B"/>
    <w:rsid w:val="02625025"/>
    <w:rsid w:val="028A2B70"/>
    <w:rsid w:val="02B945B9"/>
    <w:rsid w:val="033261B1"/>
    <w:rsid w:val="0339FC95"/>
    <w:rsid w:val="033B1A17"/>
    <w:rsid w:val="033E2BB9"/>
    <w:rsid w:val="03531705"/>
    <w:rsid w:val="03B8D1DC"/>
    <w:rsid w:val="0414A5A6"/>
    <w:rsid w:val="051E681E"/>
    <w:rsid w:val="054F48A2"/>
    <w:rsid w:val="056E69B6"/>
    <w:rsid w:val="05780CE1"/>
    <w:rsid w:val="05BA3EF3"/>
    <w:rsid w:val="065647CB"/>
    <w:rsid w:val="06814B56"/>
    <w:rsid w:val="06FC3FDD"/>
    <w:rsid w:val="0700B1EB"/>
    <w:rsid w:val="0713B041"/>
    <w:rsid w:val="0732187F"/>
    <w:rsid w:val="077ABD4A"/>
    <w:rsid w:val="077DFF7A"/>
    <w:rsid w:val="07861101"/>
    <w:rsid w:val="079DD757"/>
    <w:rsid w:val="07E55A6F"/>
    <w:rsid w:val="07EFEEDE"/>
    <w:rsid w:val="0810113C"/>
    <w:rsid w:val="0825FA95"/>
    <w:rsid w:val="08CB9E55"/>
    <w:rsid w:val="08D930B9"/>
    <w:rsid w:val="08F0087E"/>
    <w:rsid w:val="090DEF02"/>
    <w:rsid w:val="090F5EE0"/>
    <w:rsid w:val="091E7274"/>
    <w:rsid w:val="095F0338"/>
    <w:rsid w:val="09B57F74"/>
    <w:rsid w:val="09B96168"/>
    <w:rsid w:val="09D3555A"/>
    <w:rsid w:val="0A08FACB"/>
    <w:rsid w:val="0A2A0E06"/>
    <w:rsid w:val="0AAA0D8D"/>
    <w:rsid w:val="0AB42D5D"/>
    <w:rsid w:val="0AC98287"/>
    <w:rsid w:val="0B1F20F2"/>
    <w:rsid w:val="0B61C336"/>
    <w:rsid w:val="0B876F63"/>
    <w:rsid w:val="0BD1F5BF"/>
    <w:rsid w:val="0BEACD1F"/>
    <w:rsid w:val="0CA967D5"/>
    <w:rsid w:val="0CAE6BAA"/>
    <w:rsid w:val="0CB0D09A"/>
    <w:rsid w:val="0DA1309C"/>
    <w:rsid w:val="0DDA192F"/>
    <w:rsid w:val="0E47A507"/>
    <w:rsid w:val="0E72A92E"/>
    <w:rsid w:val="0ED89CFF"/>
    <w:rsid w:val="0EE0B804"/>
    <w:rsid w:val="0F6D660F"/>
    <w:rsid w:val="0F97011C"/>
    <w:rsid w:val="0FA1EBA9"/>
    <w:rsid w:val="0FE693C9"/>
    <w:rsid w:val="0FF6E3D0"/>
    <w:rsid w:val="0FFB8695"/>
    <w:rsid w:val="0FFDFDC0"/>
    <w:rsid w:val="0FFE808E"/>
    <w:rsid w:val="100D653E"/>
    <w:rsid w:val="107F776E"/>
    <w:rsid w:val="10AC6347"/>
    <w:rsid w:val="10FC5A4A"/>
    <w:rsid w:val="111C4FBA"/>
    <w:rsid w:val="1133D592"/>
    <w:rsid w:val="115A50EC"/>
    <w:rsid w:val="11C10FF4"/>
    <w:rsid w:val="11EEBD61"/>
    <w:rsid w:val="1254F5C0"/>
    <w:rsid w:val="12853CA7"/>
    <w:rsid w:val="12924DC5"/>
    <w:rsid w:val="12DCE7D8"/>
    <w:rsid w:val="12E272B9"/>
    <w:rsid w:val="12FAABD4"/>
    <w:rsid w:val="130251AB"/>
    <w:rsid w:val="133DBC31"/>
    <w:rsid w:val="135C0DE8"/>
    <w:rsid w:val="1397E2C1"/>
    <w:rsid w:val="13F56B5E"/>
    <w:rsid w:val="140A5D56"/>
    <w:rsid w:val="144616CD"/>
    <w:rsid w:val="145FCEE6"/>
    <w:rsid w:val="1484F940"/>
    <w:rsid w:val="15097359"/>
    <w:rsid w:val="1542A9B7"/>
    <w:rsid w:val="15884B12"/>
    <w:rsid w:val="158E2400"/>
    <w:rsid w:val="159AAE7D"/>
    <w:rsid w:val="159DCA34"/>
    <w:rsid w:val="1606B649"/>
    <w:rsid w:val="16EC1FE6"/>
    <w:rsid w:val="17702BC0"/>
    <w:rsid w:val="1779DDE1"/>
    <w:rsid w:val="17C7C93A"/>
    <w:rsid w:val="18248A4B"/>
    <w:rsid w:val="183A772A"/>
    <w:rsid w:val="187BA121"/>
    <w:rsid w:val="18AABCD1"/>
    <w:rsid w:val="18B38656"/>
    <w:rsid w:val="18E13EED"/>
    <w:rsid w:val="199ADC1D"/>
    <w:rsid w:val="19B80F57"/>
    <w:rsid w:val="19CCF151"/>
    <w:rsid w:val="19EBE77B"/>
    <w:rsid w:val="1A0DF214"/>
    <w:rsid w:val="1A3498AD"/>
    <w:rsid w:val="1A5AFF32"/>
    <w:rsid w:val="1B02A909"/>
    <w:rsid w:val="1B1B7990"/>
    <w:rsid w:val="1B3C93A3"/>
    <w:rsid w:val="1B45C83A"/>
    <w:rsid w:val="1BDB58FA"/>
    <w:rsid w:val="1C302CAB"/>
    <w:rsid w:val="1C370CBB"/>
    <w:rsid w:val="1C89F593"/>
    <w:rsid w:val="1CA219FF"/>
    <w:rsid w:val="1D2E0953"/>
    <w:rsid w:val="1D6B5162"/>
    <w:rsid w:val="1D71F8D0"/>
    <w:rsid w:val="1DBF5356"/>
    <w:rsid w:val="1DC16F86"/>
    <w:rsid w:val="1DE484B9"/>
    <w:rsid w:val="1E04F8E3"/>
    <w:rsid w:val="1E564DE5"/>
    <w:rsid w:val="1EC88125"/>
    <w:rsid w:val="1F8424D6"/>
    <w:rsid w:val="20462394"/>
    <w:rsid w:val="2086687F"/>
    <w:rsid w:val="208C5B05"/>
    <w:rsid w:val="20A2DE12"/>
    <w:rsid w:val="20A69D8C"/>
    <w:rsid w:val="20BA9C1B"/>
    <w:rsid w:val="20EA0F19"/>
    <w:rsid w:val="20F5686C"/>
    <w:rsid w:val="21CC0452"/>
    <w:rsid w:val="21D7CCB5"/>
    <w:rsid w:val="21E272DD"/>
    <w:rsid w:val="220AA2E4"/>
    <w:rsid w:val="229FE58A"/>
    <w:rsid w:val="22B7272E"/>
    <w:rsid w:val="22CD68EA"/>
    <w:rsid w:val="22F7A5F2"/>
    <w:rsid w:val="22F91BB7"/>
    <w:rsid w:val="23BED1DB"/>
    <w:rsid w:val="23DE3D62"/>
    <w:rsid w:val="23EFBE37"/>
    <w:rsid w:val="248D5C44"/>
    <w:rsid w:val="24C75060"/>
    <w:rsid w:val="24C8236A"/>
    <w:rsid w:val="24D7FC29"/>
    <w:rsid w:val="24FCCF8A"/>
    <w:rsid w:val="252CAFAF"/>
    <w:rsid w:val="252D2407"/>
    <w:rsid w:val="25562853"/>
    <w:rsid w:val="25774B54"/>
    <w:rsid w:val="2625ACC7"/>
    <w:rsid w:val="262AAE42"/>
    <w:rsid w:val="264CEC40"/>
    <w:rsid w:val="26784588"/>
    <w:rsid w:val="26DD7E24"/>
    <w:rsid w:val="272495FA"/>
    <w:rsid w:val="2740B815"/>
    <w:rsid w:val="2791AC10"/>
    <w:rsid w:val="27E90F1A"/>
    <w:rsid w:val="27FCDC3E"/>
    <w:rsid w:val="28228CE7"/>
    <w:rsid w:val="283ACA7B"/>
    <w:rsid w:val="28AEEC16"/>
    <w:rsid w:val="28B9E22B"/>
    <w:rsid w:val="28CAF726"/>
    <w:rsid w:val="28E66CF6"/>
    <w:rsid w:val="296AF037"/>
    <w:rsid w:val="2A6A8ADA"/>
    <w:rsid w:val="2AA4CA5D"/>
    <w:rsid w:val="2B519A7F"/>
    <w:rsid w:val="2B5D47C9"/>
    <w:rsid w:val="2BAC9B19"/>
    <w:rsid w:val="2BC29F35"/>
    <w:rsid w:val="2C148181"/>
    <w:rsid w:val="2C16DBD7"/>
    <w:rsid w:val="2C185D09"/>
    <w:rsid w:val="2C5BBBD1"/>
    <w:rsid w:val="2CAA05EF"/>
    <w:rsid w:val="2D357748"/>
    <w:rsid w:val="2D45C355"/>
    <w:rsid w:val="2D922F85"/>
    <w:rsid w:val="2DA84FAE"/>
    <w:rsid w:val="2DF3693F"/>
    <w:rsid w:val="2E9E951B"/>
    <w:rsid w:val="2EA5FFFD"/>
    <w:rsid w:val="2EA6C5E9"/>
    <w:rsid w:val="2EC8E89F"/>
    <w:rsid w:val="2F1316CB"/>
    <w:rsid w:val="2F2B2D5C"/>
    <w:rsid w:val="2F6E2DCB"/>
    <w:rsid w:val="2FBE200F"/>
    <w:rsid w:val="2FE45BDC"/>
    <w:rsid w:val="305BE49A"/>
    <w:rsid w:val="306BC90E"/>
    <w:rsid w:val="30FF6C4F"/>
    <w:rsid w:val="31212B5A"/>
    <w:rsid w:val="317D247D"/>
    <w:rsid w:val="31DE6A53"/>
    <w:rsid w:val="31F02ACB"/>
    <w:rsid w:val="323CA5FF"/>
    <w:rsid w:val="32669C0A"/>
    <w:rsid w:val="326D7DCF"/>
    <w:rsid w:val="327426DF"/>
    <w:rsid w:val="32AC2A22"/>
    <w:rsid w:val="32C03730"/>
    <w:rsid w:val="32DA5591"/>
    <w:rsid w:val="3333107E"/>
    <w:rsid w:val="335FDB27"/>
    <w:rsid w:val="33790944"/>
    <w:rsid w:val="339D348B"/>
    <w:rsid w:val="33CEE92F"/>
    <w:rsid w:val="33D90C5C"/>
    <w:rsid w:val="33DBF99F"/>
    <w:rsid w:val="341EB4E8"/>
    <w:rsid w:val="34760C4A"/>
    <w:rsid w:val="348623AD"/>
    <w:rsid w:val="34A41A84"/>
    <w:rsid w:val="34A8BB8D"/>
    <w:rsid w:val="3505A10D"/>
    <w:rsid w:val="3513E8B1"/>
    <w:rsid w:val="3551843D"/>
    <w:rsid w:val="3566E2C0"/>
    <w:rsid w:val="35B7B76B"/>
    <w:rsid w:val="35E9CC65"/>
    <w:rsid w:val="362BA433"/>
    <w:rsid w:val="36704345"/>
    <w:rsid w:val="3727F5EE"/>
    <w:rsid w:val="374952F4"/>
    <w:rsid w:val="37EF4C16"/>
    <w:rsid w:val="37F6E104"/>
    <w:rsid w:val="3833B92B"/>
    <w:rsid w:val="3853ED24"/>
    <w:rsid w:val="3854B217"/>
    <w:rsid w:val="3886812D"/>
    <w:rsid w:val="38982184"/>
    <w:rsid w:val="38CFA97F"/>
    <w:rsid w:val="38F58851"/>
    <w:rsid w:val="38FF8817"/>
    <w:rsid w:val="3925A08B"/>
    <w:rsid w:val="39264479"/>
    <w:rsid w:val="393E7229"/>
    <w:rsid w:val="39733443"/>
    <w:rsid w:val="3993408F"/>
    <w:rsid w:val="39E1DD09"/>
    <w:rsid w:val="3A2F2583"/>
    <w:rsid w:val="3A6315E8"/>
    <w:rsid w:val="3A88DC76"/>
    <w:rsid w:val="3AE22B2C"/>
    <w:rsid w:val="3B974FF7"/>
    <w:rsid w:val="3CC9F7EF"/>
    <w:rsid w:val="3CDCF943"/>
    <w:rsid w:val="3D309CA5"/>
    <w:rsid w:val="3D66C645"/>
    <w:rsid w:val="3E5D519E"/>
    <w:rsid w:val="3E674F21"/>
    <w:rsid w:val="3EAE1146"/>
    <w:rsid w:val="3F1B81CD"/>
    <w:rsid w:val="3F3CE05B"/>
    <w:rsid w:val="3F741B0A"/>
    <w:rsid w:val="3FA19C3C"/>
    <w:rsid w:val="3FD97995"/>
    <w:rsid w:val="40528800"/>
    <w:rsid w:val="407A5466"/>
    <w:rsid w:val="40BBCC63"/>
    <w:rsid w:val="40DE3068"/>
    <w:rsid w:val="40E66167"/>
    <w:rsid w:val="41003721"/>
    <w:rsid w:val="41623E32"/>
    <w:rsid w:val="418D4B78"/>
    <w:rsid w:val="41E0D2FD"/>
    <w:rsid w:val="4207BF86"/>
    <w:rsid w:val="4237FA05"/>
    <w:rsid w:val="424337D6"/>
    <w:rsid w:val="4261D871"/>
    <w:rsid w:val="42644C66"/>
    <w:rsid w:val="43131BA5"/>
    <w:rsid w:val="4322A1DC"/>
    <w:rsid w:val="43468CBC"/>
    <w:rsid w:val="43749164"/>
    <w:rsid w:val="4383C486"/>
    <w:rsid w:val="43A14FEE"/>
    <w:rsid w:val="43A67F0D"/>
    <w:rsid w:val="43F27D42"/>
    <w:rsid w:val="43F8D170"/>
    <w:rsid w:val="4408D015"/>
    <w:rsid w:val="44140F31"/>
    <w:rsid w:val="443B104C"/>
    <w:rsid w:val="443DB64B"/>
    <w:rsid w:val="44F810F6"/>
    <w:rsid w:val="45AD0224"/>
    <w:rsid w:val="45D62010"/>
    <w:rsid w:val="4610A633"/>
    <w:rsid w:val="462741A8"/>
    <w:rsid w:val="4629C005"/>
    <w:rsid w:val="46397ABD"/>
    <w:rsid w:val="46508D23"/>
    <w:rsid w:val="46621120"/>
    <w:rsid w:val="46A239EF"/>
    <w:rsid w:val="46D78877"/>
    <w:rsid w:val="46E06B5B"/>
    <w:rsid w:val="46E08E63"/>
    <w:rsid w:val="474F4829"/>
    <w:rsid w:val="47FDE181"/>
    <w:rsid w:val="4820F41F"/>
    <w:rsid w:val="48E12C5A"/>
    <w:rsid w:val="4905B57C"/>
    <w:rsid w:val="49647E61"/>
    <w:rsid w:val="497556C0"/>
    <w:rsid w:val="4987DFF0"/>
    <w:rsid w:val="4A651F2B"/>
    <w:rsid w:val="4ADB0F22"/>
    <w:rsid w:val="4AE2733A"/>
    <w:rsid w:val="4B4D314C"/>
    <w:rsid w:val="4BCB297D"/>
    <w:rsid w:val="4C02560E"/>
    <w:rsid w:val="4C12EC9C"/>
    <w:rsid w:val="4C2686F9"/>
    <w:rsid w:val="4C7AC081"/>
    <w:rsid w:val="4C810666"/>
    <w:rsid w:val="4CDB67C7"/>
    <w:rsid w:val="4CDC342B"/>
    <w:rsid w:val="4D36DF31"/>
    <w:rsid w:val="4D44F8B5"/>
    <w:rsid w:val="4D921EB0"/>
    <w:rsid w:val="4E341093"/>
    <w:rsid w:val="4E4CD261"/>
    <w:rsid w:val="4E77467F"/>
    <w:rsid w:val="4EBFE2ED"/>
    <w:rsid w:val="4EF77D6F"/>
    <w:rsid w:val="4F18B89B"/>
    <w:rsid w:val="4F45B7F2"/>
    <w:rsid w:val="4F7FF735"/>
    <w:rsid w:val="4FB81A58"/>
    <w:rsid w:val="504CD9B6"/>
    <w:rsid w:val="5093C703"/>
    <w:rsid w:val="50BDC8E7"/>
    <w:rsid w:val="50DA96A5"/>
    <w:rsid w:val="50EE74BE"/>
    <w:rsid w:val="50FEAE3B"/>
    <w:rsid w:val="5194523E"/>
    <w:rsid w:val="51AFA54E"/>
    <w:rsid w:val="51C94FAE"/>
    <w:rsid w:val="51DC60AB"/>
    <w:rsid w:val="520686BC"/>
    <w:rsid w:val="5223AC14"/>
    <w:rsid w:val="523CC9B1"/>
    <w:rsid w:val="524FD56F"/>
    <w:rsid w:val="525AA28B"/>
    <w:rsid w:val="52652CD2"/>
    <w:rsid w:val="52A00EBE"/>
    <w:rsid w:val="52AE23F0"/>
    <w:rsid w:val="531E2ABB"/>
    <w:rsid w:val="53A1B8E4"/>
    <w:rsid w:val="53DA59CE"/>
    <w:rsid w:val="54828EBF"/>
    <w:rsid w:val="553EF1C1"/>
    <w:rsid w:val="556F4F4E"/>
    <w:rsid w:val="55BB1F05"/>
    <w:rsid w:val="55CDF582"/>
    <w:rsid w:val="55FA8839"/>
    <w:rsid w:val="562E1841"/>
    <w:rsid w:val="56831671"/>
    <w:rsid w:val="57D1773F"/>
    <w:rsid w:val="57F04614"/>
    <w:rsid w:val="580FD4EF"/>
    <w:rsid w:val="583F1FBF"/>
    <w:rsid w:val="58A4F2A0"/>
    <w:rsid w:val="58BE27C1"/>
    <w:rsid w:val="58E2848E"/>
    <w:rsid w:val="58E73C9F"/>
    <w:rsid w:val="58F320ED"/>
    <w:rsid w:val="5956FDA9"/>
    <w:rsid w:val="5964E788"/>
    <w:rsid w:val="597A714E"/>
    <w:rsid w:val="5996004B"/>
    <w:rsid w:val="59BD3E10"/>
    <w:rsid w:val="5A24F747"/>
    <w:rsid w:val="5A84B8F8"/>
    <w:rsid w:val="5A9CB85F"/>
    <w:rsid w:val="5AC35BA3"/>
    <w:rsid w:val="5ADD4E84"/>
    <w:rsid w:val="5B3C6318"/>
    <w:rsid w:val="5B52B26B"/>
    <w:rsid w:val="5B5BFF3A"/>
    <w:rsid w:val="5B6BEF2A"/>
    <w:rsid w:val="5BB3C316"/>
    <w:rsid w:val="5C558CF9"/>
    <w:rsid w:val="5C5D8A10"/>
    <w:rsid w:val="5CB607FC"/>
    <w:rsid w:val="5D258271"/>
    <w:rsid w:val="5DE4A9D3"/>
    <w:rsid w:val="5E5CE00D"/>
    <w:rsid w:val="5E9E36EE"/>
    <w:rsid w:val="5EDD2772"/>
    <w:rsid w:val="5F0FA5E5"/>
    <w:rsid w:val="5F3CFD34"/>
    <w:rsid w:val="5F45A106"/>
    <w:rsid w:val="5FB020C1"/>
    <w:rsid w:val="5FBAA16C"/>
    <w:rsid w:val="6010D05A"/>
    <w:rsid w:val="603590FA"/>
    <w:rsid w:val="60448CCE"/>
    <w:rsid w:val="60CE73D2"/>
    <w:rsid w:val="6104CE56"/>
    <w:rsid w:val="6192F8FB"/>
    <w:rsid w:val="61943B20"/>
    <w:rsid w:val="61CDA71B"/>
    <w:rsid w:val="6235EE95"/>
    <w:rsid w:val="624D45A5"/>
    <w:rsid w:val="62809C1B"/>
    <w:rsid w:val="62902ECB"/>
    <w:rsid w:val="629B6A04"/>
    <w:rsid w:val="62B7A57D"/>
    <w:rsid w:val="62C99C55"/>
    <w:rsid w:val="63707550"/>
    <w:rsid w:val="6376E413"/>
    <w:rsid w:val="638FF5A6"/>
    <w:rsid w:val="63B0FCF0"/>
    <w:rsid w:val="63C2D0E5"/>
    <w:rsid w:val="63D2E62E"/>
    <w:rsid w:val="63EAFC73"/>
    <w:rsid w:val="63F94D8E"/>
    <w:rsid w:val="64A8E044"/>
    <w:rsid w:val="64AA7F75"/>
    <w:rsid w:val="65003D1B"/>
    <w:rsid w:val="65AA70C9"/>
    <w:rsid w:val="6607EC14"/>
    <w:rsid w:val="661962E0"/>
    <w:rsid w:val="6630093B"/>
    <w:rsid w:val="663F24FD"/>
    <w:rsid w:val="666AEC67"/>
    <w:rsid w:val="667B9333"/>
    <w:rsid w:val="66854BD8"/>
    <w:rsid w:val="668FB082"/>
    <w:rsid w:val="66BFF407"/>
    <w:rsid w:val="67CFC90E"/>
    <w:rsid w:val="67FB32F9"/>
    <w:rsid w:val="6812849F"/>
    <w:rsid w:val="685EAE1F"/>
    <w:rsid w:val="6885B081"/>
    <w:rsid w:val="6893FD46"/>
    <w:rsid w:val="68AB3A44"/>
    <w:rsid w:val="68BB18D8"/>
    <w:rsid w:val="68C51405"/>
    <w:rsid w:val="690FA532"/>
    <w:rsid w:val="6916B1D9"/>
    <w:rsid w:val="695AFF0B"/>
    <w:rsid w:val="695FB6B8"/>
    <w:rsid w:val="69878DF0"/>
    <w:rsid w:val="69BD2373"/>
    <w:rsid w:val="69DD6818"/>
    <w:rsid w:val="69E8C6F6"/>
    <w:rsid w:val="69FBA593"/>
    <w:rsid w:val="6A8B88A8"/>
    <w:rsid w:val="6B0F6AF4"/>
    <w:rsid w:val="6B214BB8"/>
    <w:rsid w:val="6B6C0312"/>
    <w:rsid w:val="6B89E2FC"/>
    <w:rsid w:val="6BB7B9E8"/>
    <w:rsid w:val="6BF2B517"/>
    <w:rsid w:val="6C0CD7BC"/>
    <w:rsid w:val="6D1E3AC9"/>
    <w:rsid w:val="6D53DA9B"/>
    <w:rsid w:val="6DC1D648"/>
    <w:rsid w:val="6DE32268"/>
    <w:rsid w:val="6E4006B1"/>
    <w:rsid w:val="6E47F036"/>
    <w:rsid w:val="6E4F9350"/>
    <w:rsid w:val="6E5A7390"/>
    <w:rsid w:val="6E888E86"/>
    <w:rsid w:val="6E907929"/>
    <w:rsid w:val="6E931149"/>
    <w:rsid w:val="6EA88CF7"/>
    <w:rsid w:val="6EAB19F4"/>
    <w:rsid w:val="6EBCFDE1"/>
    <w:rsid w:val="6EE8141F"/>
    <w:rsid w:val="6EFA3BBA"/>
    <w:rsid w:val="6F0ECC2A"/>
    <w:rsid w:val="6F8E244B"/>
    <w:rsid w:val="6FAD59AD"/>
    <w:rsid w:val="700AD7C6"/>
    <w:rsid w:val="70119C84"/>
    <w:rsid w:val="70516C34"/>
    <w:rsid w:val="707F5E91"/>
    <w:rsid w:val="70FC9510"/>
    <w:rsid w:val="710B3E28"/>
    <w:rsid w:val="7110B4BF"/>
    <w:rsid w:val="71414C1C"/>
    <w:rsid w:val="718F3696"/>
    <w:rsid w:val="71D37C93"/>
    <w:rsid w:val="721E7798"/>
    <w:rsid w:val="722504D5"/>
    <w:rsid w:val="723B1490"/>
    <w:rsid w:val="72736E20"/>
    <w:rsid w:val="72880A13"/>
    <w:rsid w:val="733C5788"/>
    <w:rsid w:val="733C7DC7"/>
    <w:rsid w:val="737D69FC"/>
    <w:rsid w:val="73866FF5"/>
    <w:rsid w:val="73D2EB9A"/>
    <w:rsid w:val="73D61176"/>
    <w:rsid w:val="747107E5"/>
    <w:rsid w:val="747B28A1"/>
    <w:rsid w:val="747E144C"/>
    <w:rsid w:val="74C43DE9"/>
    <w:rsid w:val="74EA862D"/>
    <w:rsid w:val="74ECA950"/>
    <w:rsid w:val="75264CE9"/>
    <w:rsid w:val="75301C26"/>
    <w:rsid w:val="75638F73"/>
    <w:rsid w:val="757CB9A5"/>
    <w:rsid w:val="75A80A81"/>
    <w:rsid w:val="7626015F"/>
    <w:rsid w:val="76722476"/>
    <w:rsid w:val="77715351"/>
    <w:rsid w:val="77BE7E01"/>
    <w:rsid w:val="780F9892"/>
    <w:rsid w:val="782A7E25"/>
    <w:rsid w:val="785AF3B7"/>
    <w:rsid w:val="786A306F"/>
    <w:rsid w:val="78722D97"/>
    <w:rsid w:val="7875CE08"/>
    <w:rsid w:val="789DEBD7"/>
    <w:rsid w:val="78C21C86"/>
    <w:rsid w:val="78FD5F01"/>
    <w:rsid w:val="7903E3E2"/>
    <w:rsid w:val="79311551"/>
    <w:rsid w:val="7951C105"/>
    <w:rsid w:val="79BE17CD"/>
    <w:rsid w:val="79FB69E8"/>
    <w:rsid w:val="7A2E6AF0"/>
    <w:rsid w:val="7A52E836"/>
    <w:rsid w:val="7B492A40"/>
    <w:rsid w:val="7B6F2B1C"/>
    <w:rsid w:val="7B74D8BB"/>
    <w:rsid w:val="7BA46F24"/>
    <w:rsid w:val="7BB46031"/>
    <w:rsid w:val="7BCB5A5C"/>
    <w:rsid w:val="7BFBBEF9"/>
    <w:rsid w:val="7CA44406"/>
    <w:rsid w:val="7CAE9BCF"/>
    <w:rsid w:val="7D6B97DF"/>
    <w:rsid w:val="7DB9FCA1"/>
    <w:rsid w:val="7DE3059E"/>
    <w:rsid w:val="7EC37D4B"/>
    <w:rsid w:val="7EFDF72C"/>
    <w:rsid w:val="7F87E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97" style="mso-position-horizontal-relative:margin;mso-width-relative:margin;mso-height-relative:margin;v-text-anchor:middle" fillcolor="none [664]" stroke="f">
      <v:fill color="none [664]"/>
      <v:stroke weight="1pt" on="f"/>
    </o:shapedefaults>
    <o:shapelayout v:ext="edit">
      <o:idmap v:ext="edit" data="2"/>
    </o:shapelayout>
  </w:shapeDefaults>
  <w:decimalSymbol w:val=","/>
  <w:listSeparator w:val=";"/>
  <w14:docId w14:val="7828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AB2"/>
    <w:pPr>
      <w:jc w:val="both"/>
    </w:pPr>
    <w:rPr>
      <w:rFonts w:ascii="EC Square Sans Pro" w:hAnsi="EC Square Sans Pro"/>
      <w:szCs w:val="24"/>
    </w:rPr>
  </w:style>
  <w:style w:type="paragraph" w:styleId="Heading1">
    <w:name w:val="heading 1"/>
    <w:basedOn w:val="Normal"/>
    <w:next w:val="Normal"/>
    <w:link w:val="Heading1Char"/>
    <w:autoRedefine/>
    <w:uiPriority w:val="9"/>
    <w:qFormat/>
    <w:rsid w:val="006260B2"/>
    <w:pPr>
      <w:keepNext/>
      <w:keepLines/>
      <w:numPr>
        <w:numId w:val="2"/>
      </w:numPr>
      <w:spacing w:before="360" w:after="240"/>
      <w:ind w:left="454" w:hanging="454"/>
      <w:jc w:val="left"/>
      <w:outlineLvl w:val="0"/>
    </w:pPr>
    <w:rPr>
      <w:rFonts w:ascii="Times New Roman" w:eastAsiaTheme="majorEastAsia" w:hAnsi="Times New Roman" w:cstheme="majorBidi"/>
      <w:b/>
      <w:caps/>
      <w:noProof/>
      <w:color w:val="00ADDC" w:themeColor="accent2"/>
      <w:sz w:val="36"/>
      <w:szCs w:val="36"/>
      <w:lang w:val="en-IE"/>
    </w:rPr>
  </w:style>
  <w:style w:type="paragraph" w:styleId="Heading2">
    <w:name w:val="heading 2"/>
    <w:basedOn w:val="Normal"/>
    <w:next w:val="Normal"/>
    <w:link w:val="Heading2Char"/>
    <w:autoRedefine/>
    <w:uiPriority w:val="9"/>
    <w:unhideWhenUsed/>
    <w:qFormat/>
    <w:rsid w:val="006260B2"/>
    <w:pPr>
      <w:keepNext/>
      <w:keepLines/>
      <w:numPr>
        <w:ilvl w:val="1"/>
        <w:numId w:val="2"/>
      </w:numPr>
      <w:spacing w:before="360" w:after="240" w:line="240" w:lineRule="auto"/>
      <w:ind w:left="491" w:hanging="491"/>
      <w:outlineLvl w:val="1"/>
    </w:pPr>
    <w:rPr>
      <w:rFonts w:ascii="Times New Roman" w:eastAsiaTheme="majorEastAsia" w:hAnsi="Times New Roman" w:cstheme="majorBidi"/>
      <w:b/>
      <w:bCs/>
      <w:color w:val="00ADDC" w:themeColor="accent2"/>
      <w:sz w:val="28"/>
      <w:szCs w:val="28"/>
      <w:lang w:val="en-IE"/>
    </w:rPr>
  </w:style>
  <w:style w:type="paragraph" w:styleId="Heading3">
    <w:name w:val="heading 3"/>
    <w:basedOn w:val="Normal"/>
    <w:next w:val="Normal"/>
    <w:link w:val="Heading3Char"/>
    <w:uiPriority w:val="9"/>
    <w:unhideWhenUsed/>
    <w:qFormat/>
    <w:rsid w:val="00302172"/>
    <w:pPr>
      <w:keepNext/>
      <w:keepLines/>
      <w:numPr>
        <w:ilvl w:val="2"/>
        <w:numId w:val="48"/>
      </w:numPr>
      <w:spacing w:before="200" w:after="0"/>
      <w:outlineLvl w:val="2"/>
    </w:pPr>
    <w:rPr>
      <w:rFonts w:eastAsiaTheme="majorEastAsia" w:cstheme="majorBidi"/>
      <w:b/>
      <w:bCs/>
      <w:color w:val="000000" w:themeColor="text1"/>
      <w:szCs w:val="22"/>
    </w:rPr>
  </w:style>
  <w:style w:type="paragraph" w:styleId="Heading4">
    <w:name w:val="heading 4"/>
    <w:basedOn w:val="Normal"/>
    <w:next w:val="Normal"/>
    <w:link w:val="Heading4Char"/>
    <w:uiPriority w:val="9"/>
    <w:semiHidden/>
    <w:unhideWhenUsed/>
    <w:qFormat/>
    <w:rsid w:val="00302172"/>
    <w:pPr>
      <w:keepNext/>
      <w:keepLines/>
      <w:numPr>
        <w:ilvl w:val="3"/>
        <w:numId w:val="48"/>
      </w:numPr>
      <w:spacing w:before="200" w:after="0"/>
      <w:outlineLvl w:val="3"/>
    </w:pPr>
    <w:rPr>
      <w:rFonts w:eastAsiaTheme="majorEastAsia" w:cstheme="majorBidi"/>
      <w:b/>
      <w:bCs/>
      <w:i/>
      <w:iCs/>
      <w:color w:val="000000" w:themeColor="text1"/>
      <w:szCs w:val="22"/>
    </w:rPr>
  </w:style>
  <w:style w:type="paragraph" w:styleId="Heading5">
    <w:name w:val="heading 5"/>
    <w:basedOn w:val="Normal"/>
    <w:next w:val="Normal"/>
    <w:link w:val="Heading5Char"/>
    <w:uiPriority w:val="9"/>
    <w:semiHidden/>
    <w:unhideWhenUsed/>
    <w:qFormat/>
    <w:rsid w:val="00302172"/>
    <w:pPr>
      <w:keepNext/>
      <w:keepLines/>
      <w:numPr>
        <w:ilvl w:val="4"/>
        <w:numId w:val="48"/>
      </w:numPr>
      <w:spacing w:before="200" w:after="0"/>
      <w:outlineLvl w:val="4"/>
    </w:pPr>
    <w:rPr>
      <w:rFonts w:eastAsiaTheme="majorEastAsia" w:cstheme="majorBidi"/>
      <w:color w:val="17365D" w:themeColor="text2" w:themeShade="BF"/>
      <w:szCs w:val="22"/>
    </w:rPr>
  </w:style>
  <w:style w:type="paragraph" w:styleId="Heading6">
    <w:name w:val="heading 6"/>
    <w:basedOn w:val="Normal"/>
    <w:next w:val="Normal"/>
    <w:link w:val="Heading6Char"/>
    <w:uiPriority w:val="9"/>
    <w:semiHidden/>
    <w:unhideWhenUsed/>
    <w:qFormat/>
    <w:rsid w:val="00302172"/>
    <w:pPr>
      <w:keepNext/>
      <w:keepLines/>
      <w:numPr>
        <w:ilvl w:val="5"/>
        <w:numId w:val="48"/>
      </w:numPr>
      <w:spacing w:before="200" w:after="0"/>
      <w:outlineLvl w:val="5"/>
    </w:pPr>
    <w:rPr>
      <w:rFonts w:eastAsiaTheme="majorEastAsia" w:cstheme="majorBidi"/>
      <w:i/>
      <w:iCs/>
      <w:color w:val="17365D" w:themeColor="text2" w:themeShade="BF"/>
      <w:szCs w:val="22"/>
    </w:rPr>
  </w:style>
  <w:style w:type="paragraph" w:styleId="Heading7">
    <w:name w:val="heading 7"/>
    <w:basedOn w:val="Normal"/>
    <w:next w:val="Normal"/>
    <w:link w:val="Heading7Char"/>
    <w:uiPriority w:val="9"/>
    <w:semiHidden/>
    <w:unhideWhenUsed/>
    <w:qFormat/>
    <w:rsid w:val="00302172"/>
    <w:pPr>
      <w:keepNext/>
      <w:keepLines/>
      <w:numPr>
        <w:ilvl w:val="6"/>
        <w:numId w:val="48"/>
      </w:numPr>
      <w:spacing w:before="200" w:after="0"/>
      <w:outlineLvl w:val="6"/>
    </w:pPr>
    <w:rPr>
      <w:rFonts w:eastAsiaTheme="majorEastAsia"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302172"/>
    <w:pPr>
      <w:keepNext/>
      <w:keepLines/>
      <w:numPr>
        <w:ilvl w:val="7"/>
        <w:numId w:val="48"/>
      </w:numPr>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02172"/>
    <w:pPr>
      <w:keepNext/>
      <w:keepLines/>
      <w:numPr>
        <w:ilvl w:val="8"/>
        <w:numId w:val="48"/>
      </w:numPr>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B54742"/>
    <w:rPr>
      <w:color w:val="0000FF"/>
      <w:shd w:val="clear" w:color="auto" w:fill="auto"/>
    </w:rPr>
  </w:style>
  <w:style w:type="paragraph" w:styleId="Header">
    <w:name w:val="header"/>
    <w:basedOn w:val="Normal"/>
    <w:link w:val="HeaderChar"/>
    <w:autoRedefine/>
    <w:uiPriority w:val="99"/>
    <w:unhideWhenUsed/>
    <w:qFormat/>
    <w:rsid w:val="00302172"/>
    <w:pPr>
      <w:tabs>
        <w:tab w:val="center" w:pos="4513"/>
        <w:tab w:val="right" w:pos="9026"/>
      </w:tabs>
      <w:spacing w:after="0" w:line="240" w:lineRule="auto"/>
      <w:jc w:val="right"/>
    </w:pPr>
    <w:rPr>
      <w:i/>
      <w:sz w:val="18"/>
      <w:szCs w:val="22"/>
    </w:rPr>
  </w:style>
  <w:style w:type="character" w:customStyle="1" w:styleId="HeaderChar">
    <w:name w:val="Header Char"/>
    <w:basedOn w:val="DefaultParagraphFont"/>
    <w:link w:val="Header"/>
    <w:uiPriority w:val="99"/>
    <w:rsid w:val="00302172"/>
    <w:rPr>
      <w:rFonts w:ascii="EC Square Sans Pro" w:hAnsi="EC Square Sans Pro"/>
      <w:i/>
      <w:sz w:val="18"/>
    </w:rPr>
  </w:style>
  <w:style w:type="paragraph" w:styleId="Footer">
    <w:name w:val="footer"/>
    <w:basedOn w:val="Normal"/>
    <w:link w:val="FooterChar"/>
    <w:uiPriority w:val="99"/>
    <w:unhideWhenUsed/>
    <w:rsid w:val="00B54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742"/>
  </w:style>
  <w:style w:type="paragraph" w:customStyle="1" w:styleId="Pagedecouverture">
    <w:name w:val="Page de couverture"/>
    <w:basedOn w:val="Normal"/>
    <w:next w:val="Normal"/>
    <w:rsid w:val="00B54742"/>
    <w:pPr>
      <w:spacing w:after="0" w:line="240" w:lineRule="auto"/>
    </w:pPr>
    <w:rPr>
      <w:rFonts w:ascii="Times New Roman" w:hAnsi="Times New Roman" w:cs="Times New Roman"/>
      <w:sz w:val="24"/>
    </w:rPr>
  </w:style>
  <w:style w:type="paragraph" w:customStyle="1" w:styleId="FooterCoverPage">
    <w:name w:val="Footer Cover Page"/>
    <w:basedOn w:val="Normal"/>
    <w:link w:val="FooterCoverPageChar"/>
    <w:rsid w:val="00B54742"/>
    <w:pPr>
      <w:tabs>
        <w:tab w:val="center" w:pos="4535"/>
        <w:tab w:val="right" w:pos="9071"/>
        <w:tab w:val="right" w:pos="9921"/>
      </w:tabs>
      <w:spacing w:before="360" w:after="0" w:line="240" w:lineRule="auto"/>
      <w:ind w:left="-850" w:right="-850"/>
      <w:jc w:val="left"/>
    </w:pPr>
    <w:rPr>
      <w:rFonts w:ascii="Times New Roman" w:hAnsi="Times New Roman" w:cs="Times New Roman"/>
      <w:sz w:val="24"/>
    </w:rPr>
  </w:style>
  <w:style w:type="character" w:customStyle="1" w:styleId="FooterCoverPageChar">
    <w:name w:val="Footer Cover Page Char"/>
    <w:basedOn w:val="DefaultParagraphFont"/>
    <w:link w:val="FooterCoverPage"/>
    <w:rsid w:val="00B54742"/>
    <w:rPr>
      <w:rFonts w:ascii="Times New Roman" w:hAnsi="Times New Roman" w:cs="Times New Roman"/>
      <w:sz w:val="24"/>
      <w:szCs w:val="24"/>
    </w:rPr>
  </w:style>
  <w:style w:type="paragraph" w:customStyle="1" w:styleId="FooterSensitivity">
    <w:name w:val="Footer Sensitivity"/>
    <w:basedOn w:val="Normal"/>
    <w:link w:val="FooterSensitivityChar"/>
    <w:rsid w:val="00B5474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B54742"/>
    <w:rPr>
      <w:rFonts w:ascii="Times New Roman" w:hAnsi="Times New Roman" w:cs="Times New Roman"/>
      <w:b/>
      <w:sz w:val="32"/>
      <w:szCs w:val="24"/>
    </w:rPr>
  </w:style>
  <w:style w:type="paragraph" w:customStyle="1" w:styleId="HeaderCoverPage">
    <w:name w:val="Header Cover Page"/>
    <w:basedOn w:val="Normal"/>
    <w:link w:val="HeaderCoverPageChar"/>
    <w:rsid w:val="00B54742"/>
    <w:pPr>
      <w:tabs>
        <w:tab w:val="center" w:pos="4535"/>
        <w:tab w:val="right" w:pos="9071"/>
      </w:tabs>
      <w:spacing w:after="120" w:line="240" w:lineRule="auto"/>
    </w:pPr>
    <w:rPr>
      <w:rFonts w:ascii="Times New Roman" w:hAnsi="Times New Roman" w:cs="Times New Roman"/>
      <w:sz w:val="24"/>
    </w:rPr>
  </w:style>
  <w:style w:type="character" w:customStyle="1" w:styleId="HeaderCoverPageChar">
    <w:name w:val="Header Cover Page Char"/>
    <w:basedOn w:val="DefaultParagraphFont"/>
    <w:link w:val="HeaderCoverPage"/>
    <w:rsid w:val="00B54742"/>
    <w:rPr>
      <w:rFonts w:ascii="Times New Roman" w:hAnsi="Times New Roman" w:cs="Times New Roman"/>
      <w:sz w:val="24"/>
      <w:szCs w:val="24"/>
    </w:rPr>
  </w:style>
  <w:style w:type="paragraph" w:customStyle="1" w:styleId="HeaderSensitivity">
    <w:name w:val="Header Sensitivity"/>
    <w:basedOn w:val="Normal"/>
    <w:link w:val="HeaderSensitivityChar"/>
    <w:rsid w:val="00B54742"/>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B54742"/>
    <w:rPr>
      <w:rFonts w:ascii="Times New Roman" w:hAnsi="Times New Roman" w:cs="Times New Roman"/>
      <w:b/>
      <w:sz w:val="32"/>
      <w:szCs w:val="24"/>
    </w:rPr>
  </w:style>
  <w:style w:type="paragraph" w:customStyle="1" w:styleId="HeaderSensitivityRight">
    <w:name w:val="Header Sensitivity Right"/>
    <w:basedOn w:val="Normal"/>
    <w:link w:val="HeaderSensitivityRightChar"/>
    <w:rsid w:val="00B5474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B54742"/>
    <w:rPr>
      <w:rFonts w:ascii="Times New Roman" w:hAnsi="Times New Roman" w:cs="Times New Roman"/>
      <w:sz w:val="28"/>
      <w:szCs w:val="24"/>
    </w:rPr>
  </w:style>
  <w:style w:type="paragraph" w:styleId="ListParagraph">
    <w:name w:val="List Paragraph"/>
    <w:aliases w:val="Fiche List Paragraph,OBC Bullet,Dot pt,F5 List Paragraph,List Paragraph1,No Spacing1,List Paragraph Char Char Char,Indicator Text,Colorful List - Accent 11,Numbered Para 1,Bullet 1,Bullet Points,MAIN CONTENT,List Paragraph11,2,Bullet St,L"/>
    <w:basedOn w:val="Normal"/>
    <w:link w:val="ListParagraphChar"/>
    <w:autoRedefine/>
    <w:uiPriority w:val="34"/>
    <w:qFormat/>
    <w:rsid w:val="006260B2"/>
    <w:pPr>
      <w:numPr>
        <w:numId w:val="15"/>
      </w:numPr>
      <w:spacing w:after="80" w:line="240" w:lineRule="auto"/>
      <w:ind w:left="714" w:right="57" w:hanging="357"/>
    </w:pPr>
    <w:rPr>
      <w:rFonts w:ascii="Times New Roman" w:hAnsi="Times New Roman" w:cs="Times New Roman"/>
      <w:sz w:val="24"/>
      <w:szCs w:val="22"/>
      <w:lang w:val="en-IE"/>
    </w:rPr>
  </w:style>
  <w:style w:type="character" w:customStyle="1" w:styleId="Heading1Char">
    <w:name w:val="Heading 1 Char"/>
    <w:basedOn w:val="DefaultParagraphFont"/>
    <w:link w:val="Heading1"/>
    <w:uiPriority w:val="9"/>
    <w:rsid w:val="00285723"/>
    <w:rPr>
      <w:rFonts w:ascii="Times New Roman" w:eastAsiaTheme="majorEastAsia" w:hAnsi="Times New Roman" w:cstheme="majorBidi"/>
      <w:b/>
      <w:caps/>
      <w:noProof/>
      <w:color w:val="00ADDC" w:themeColor="accent2"/>
      <w:sz w:val="36"/>
      <w:szCs w:val="36"/>
      <w:lang w:val="en-IE"/>
    </w:rPr>
  </w:style>
  <w:style w:type="character" w:customStyle="1" w:styleId="Heading2Char">
    <w:name w:val="Heading 2 Char"/>
    <w:basedOn w:val="DefaultParagraphFont"/>
    <w:link w:val="Heading2"/>
    <w:uiPriority w:val="9"/>
    <w:rsid w:val="00B36950"/>
    <w:rPr>
      <w:rFonts w:ascii="Times New Roman" w:eastAsiaTheme="majorEastAsia" w:hAnsi="Times New Roman" w:cstheme="majorBidi"/>
      <w:b/>
      <w:bCs/>
      <w:color w:val="00ADDC" w:themeColor="accent2"/>
      <w:sz w:val="28"/>
      <w:szCs w:val="28"/>
      <w:lang w:val="en-IE"/>
    </w:rPr>
  </w:style>
  <w:style w:type="paragraph" w:styleId="CommentText">
    <w:name w:val="annotation text"/>
    <w:basedOn w:val="Normal"/>
    <w:link w:val="CommentTextChar"/>
    <w:uiPriority w:val="99"/>
    <w:unhideWhenUsed/>
    <w:rsid w:val="003603EB"/>
    <w:pPr>
      <w:spacing w:line="240" w:lineRule="auto"/>
    </w:pPr>
    <w:rPr>
      <w:sz w:val="20"/>
      <w:szCs w:val="20"/>
    </w:rPr>
  </w:style>
  <w:style w:type="character" w:customStyle="1" w:styleId="CommentTextChar">
    <w:name w:val="Comment Text Char"/>
    <w:basedOn w:val="DefaultParagraphFont"/>
    <w:link w:val="CommentText"/>
    <w:uiPriority w:val="99"/>
    <w:rsid w:val="003603EB"/>
    <w:rPr>
      <w:sz w:val="20"/>
      <w:szCs w:val="20"/>
    </w:rPr>
  </w:style>
  <w:style w:type="paragraph" w:styleId="FootnoteText">
    <w:name w:val="footnote text"/>
    <w:basedOn w:val="Normal"/>
    <w:link w:val="FootnoteTextChar"/>
    <w:uiPriority w:val="99"/>
    <w:unhideWhenUsed/>
    <w:rsid w:val="00DE4A7D"/>
    <w:pPr>
      <w:spacing w:after="0" w:line="240" w:lineRule="auto"/>
    </w:pPr>
    <w:rPr>
      <w:sz w:val="20"/>
      <w:szCs w:val="20"/>
    </w:rPr>
  </w:style>
  <w:style w:type="character" w:customStyle="1" w:styleId="FootnoteTextChar">
    <w:name w:val="Footnote Text Char"/>
    <w:basedOn w:val="DefaultParagraphFont"/>
    <w:link w:val="FootnoteText"/>
    <w:uiPriority w:val="99"/>
    <w:rsid w:val="00DE4A7D"/>
    <w:rPr>
      <w:rFonts w:ascii="EC Square Sans Pro" w:hAnsi="EC Square Sans Pro"/>
      <w:sz w:val="20"/>
      <w:szCs w:val="20"/>
    </w:rPr>
  </w:style>
  <w:style w:type="character" w:styleId="CommentReference">
    <w:name w:val="annotation reference"/>
    <w:basedOn w:val="DefaultParagraphFont"/>
    <w:uiPriority w:val="99"/>
    <w:semiHidden/>
    <w:unhideWhenUsed/>
    <w:rsid w:val="003603EB"/>
    <w:rPr>
      <w:sz w:val="16"/>
      <w:szCs w:val="16"/>
    </w:rPr>
  </w:style>
  <w:style w:type="character" w:styleId="FootnoteReference">
    <w:name w:val="footnote reference"/>
    <w:basedOn w:val="DefaultParagraphFont"/>
    <w:uiPriority w:val="99"/>
    <w:semiHidden/>
    <w:unhideWhenUsed/>
    <w:rsid w:val="003603EB"/>
    <w:rPr>
      <w:vertAlign w:val="superscript"/>
    </w:rPr>
  </w:style>
  <w:style w:type="paragraph" w:styleId="CommentSubject">
    <w:name w:val="annotation subject"/>
    <w:basedOn w:val="CommentText"/>
    <w:next w:val="CommentText"/>
    <w:link w:val="CommentSubjectChar"/>
    <w:uiPriority w:val="99"/>
    <w:semiHidden/>
    <w:unhideWhenUsed/>
    <w:rsid w:val="008274C6"/>
    <w:rPr>
      <w:b/>
      <w:bCs/>
    </w:rPr>
  </w:style>
  <w:style w:type="character" w:customStyle="1" w:styleId="CommentSubjectChar">
    <w:name w:val="Comment Subject Char"/>
    <w:basedOn w:val="CommentTextChar"/>
    <w:link w:val="CommentSubject"/>
    <w:uiPriority w:val="99"/>
    <w:semiHidden/>
    <w:rsid w:val="008274C6"/>
    <w:rPr>
      <w:b/>
      <w:bCs/>
      <w:sz w:val="20"/>
      <w:szCs w:val="20"/>
    </w:rPr>
  </w:style>
  <w:style w:type="table" w:styleId="TableGrid">
    <w:name w:val="Table Grid"/>
    <w:basedOn w:val="TableNormal"/>
    <w:uiPriority w:val="39"/>
    <w:rsid w:val="0017277F"/>
    <w:pPr>
      <w:spacing w:after="0" w:line="240" w:lineRule="auto"/>
      <w:jc w:val="both"/>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7277F"/>
  </w:style>
  <w:style w:type="character" w:customStyle="1" w:styleId="eop">
    <w:name w:val="eop"/>
    <w:basedOn w:val="DefaultParagraphFont"/>
    <w:rsid w:val="0017277F"/>
  </w:style>
  <w:style w:type="character" w:customStyle="1" w:styleId="ListParagraphChar">
    <w:name w:val="List Paragraph Char"/>
    <w:aliases w:val="Fiche List Paragraph Char,OBC Bullet Char,Dot pt Char,F5 List Paragraph Char,List Paragraph1 Char,No Spacing1 Char,List Paragraph Char Char Char Char,Indicator Text Char,Colorful List - Accent 11 Char,Numbered Para 1 Char,2 Char"/>
    <w:basedOn w:val="DefaultParagraphFont"/>
    <w:link w:val="ListParagraph"/>
    <w:uiPriority w:val="34"/>
    <w:qFormat/>
    <w:rsid w:val="004E1DBA"/>
    <w:rPr>
      <w:rFonts w:ascii="Times New Roman" w:hAnsi="Times New Roman" w:cs="Times New Roman"/>
      <w:sz w:val="24"/>
      <w:lang w:val="en-IE"/>
    </w:rPr>
  </w:style>
  <w:style w:type="paragraph" w:customStyle="1" w:styleId="paragraph">
    <w:name w:val="paragraph"/>
    <w:basedOn w:val="Normal"/>
    <w:rsid w:val="00C4723B"/>
    <w:pPr>
      <w:spacing w:before="100" w:beforeAutospacing="1" w:after="100" w:afterAutospacing="1" w:line="240" w:lineRule="auto"/>
    </w:pPr>
    <w:rPr>
      <w:rFonts w:ascii="Times New Roman" w:eastAsia="Times New Roman" w:hAnsi="Times New Roman" w:cs="Times New Roman"/>
      <w:sz w:val="24"/>
      <w:lang w:val="en-IE" w:eastAsia="en-IE"/>
    </w:rPr>
  </w:style>
  <w:style w:type="paragraph" w:styleId="Revision">
    <w:name w:val="Revision"/>
    <w:hidden/>
    <w:uiPriority w:val="99"/>
    <w:semiHidden/>
    <w:rsid w:val="005B68A2"/>
    <w:pPr>
      <w:spacing w:after="0" w:line="240" w:lineRule="auto"/>
    </w:pPr>
  </w:style>
  <w:style w:type="character" w:customStyle="1" w:styleId="Mention1">
    <w:name w:val="Mention1"/>
    <w:basedOn w:val="DefaultParagraphFont"/>
    <w:uiPriority w:val="99"/>
    <w:unhideWhenUsed/>
    <w:rsid w:val="00A83504"/>
    <w:rPr>
      <w:color w:val="2B579A"/>
      <w:shd w:val="clear" w:color="auto" w:fill="E1DFDD"/>
    </w:rPr>
  </w:style>
  <w:style w:type="character" w:styleId="Hyperlink">
    <w:name w:val="Hyperlink"/>
    <w:basedOn w:val="DefaultParagraphFont"/>
    <w:uiPriority w:val="99"/>
    <w:unhideWhenUsed/>
    <w:rsid w:val="007B3E2F"/>
    <w:rPr>
      <w:color w:val="0000FF" w:themeColor="hyperlink"/>
      <w:u w:val="single"/>
    </w:rPr>
  </w:style>
  <w:style w:type="character" w:customStyle="1" w:styleId="UnresolvedMention1">
    <w:name w:val="Unresolved Mention1"/>
    <w:basedOn w:val="DefaultParagraphFont"/>
    <w:uiPriority w:val="99"/>
    <w:semiHidden/>
    <w:unhideWhenUsed/>
    <w:rsid w:val="00E22433"/>
    <w:rPr>
      <w:color w:val="605E5C"/>
      <w:shd w:val="clear" w:color="auto" w:fill="E1DFDD"/>
    </w:rPr>
  </w:style>
  <w:style w:type="paragraph" w:customStyle="1" w:styleId="pf0">
    <w:name w:val="pf0"/>
    <w:basedOn w:val="Normal"/>
    <w:rsid w:val="002E727D"/>
    <w:pPr>
      <w:spacing w:before="100" w:beforeAutospacing="1" w:after="100" w:afterAutospacing="1" w:line="240" w:lineRule="auto"/>
    </w:pPr>
    <w:rPr>
      <w:rFonts w:ascii="Times New Roman" w:eastAsia="Times New Roman" w:hAnsi="Times New Roman" w:cs="Times New Roman"/>
      <w:lang w:val="en-IE" w:eastAsia="en-IE"/>
    </w:rPr>
  </w:style>
  <w:style w:type="character" w:customStyle="1" w:styleId="cf01">
    <w:name w:val="cf01"/>
    <w:basedOn w:val="DefaultParagraphFont"/>
    <w:rsid w:val="00B22E6D"/>
    <w:rPr>
      <w:rFonts w:ascii="Segoe UI" w:hAnsi="Segoe UI" w:cs="Segoe UI" w:hint="default"/>
      <w:sz w:val="22"/>
      <w:szCs w:val="22"/>
    </w:rPr>
  </w:style>
  <w:style w:type="character" w:customStyle="1" w:styleId="cf11">
    <w:name w:val="cf11"/>
    <w:basedOn w:val="DefaultParagraphFont"/>
    <w:rsid w:val="00B22E6D"/>
    <w:rPr>
      <w:rFonts w:ascii="Segoe UI" w:hAnsi="Segoe UI" w:cs="Segoe UI" w:hint="default"/>
      <w:sz w:val="22"/>
      <w:szCs w:val="22"/>
    </w:rPr>
  </w:style>
  <w:style w:type="character" w:customStyle="1" w:styleId="cf21">
    <w:name w:val="cf21"/>
    <w:basedOn w:val="DefaultParagraphFont"/>
    <w:rsid w:val="00B22E6D"/>
    <w:rPr>
      <w:rFonts w:ascii="Segoe UI" w:hAnsi="Segoe UI" w:cs="Segoe UI" w:hint="default"/>
      <w:sz w:val="22"/>
      <w:szCs w:val="22"/>
      <w:shd w:val="clear" w:color="auto" w:fill="FFFF00"/>
    </w:rPr>
  </w:style>
  <w:style w:type="paragraph" w:customStyle="1" w:styleId="Disclaimer">
    <w:name w:val="Disclaimer"/>
    <w:basedOn w:val="Normal"/>
    <w:rsid w:val="00C273FE"/>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pPr>
    <w:rPr>
      <w:rFonts w:ascii="Times New Roman" w:hAnsi="Times New Roman" w:cs="Times New Roman"/>
      <w:sz w:val="24"/>
    </w:rPr>
  </w:style>
  <w:style w:type="paragraph" w:customStyle="1" w:styleId="SecurityMarking">
    <w:name w:val="SecurityMarking"/>
    <w:basedOn w:val="Normal"/>
    <w:rsid w:val="00C273FE"/>
    <w:pPr>
      <w:spacing w:after="0" w:line="276" w:lineRule="auto"/>
      <w:ind w:left="5103"/>
    </w:pPr>
    <w:rPr>
      <w:rFonts w:ascii="Times New Roman" w:hAnsi="Times New Roman" w:cs="Times New Roman"/>
      <w:sz w:val="28"/>
    </w:rPr>
  </w:style>
  <w:style w:type="paragraph" w:customStyle="1" w:styleId="DateMarking">
    <w:name w:val="DateMarking"/>
    <w:basedOn w:val="Normal"/>
    <w:rsid w:val="00C273FE"/>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C273FE"/>
    <w:pPr>
      <w:spacing w:after="0" w:line="276" w:lineRule="auto"/>
      <w:ind w:left="5103"/>
    </w:pPr>
    <w:rPr>
      <w:rFonts w:ascii="Times New Roman" w:hAnsi="Times New Roman" w:cs="Times New Roman"/>
      <w:i/>
      <w:sz w:val="28"/>
    </w:rPr>
  </w:style>
  <w:style w:type="paragraph" w:customStyle="1" w:styleId="Text1">
    <w:name w:val="Text 1"/>
    <w:basedOn w:val="Normal"/>
    <w:uiPriority w:val="1"/>
    <w:qFormat/>
    <w:rsid w:val="00302172"/>
    <w:pPr>
      <w:spacing w:after="240" w:line="240" w:lineRule="auto"/>
      <w:ind w:left="482"/>
    </w:pPr>
    <w:rPr>
      <w:rFonts w:eastAsia="Times New Roman" w:cs="Times New Roman"/>
      <w:szCs w:val="20"/>
      <w:lang w:eastAsia="en-GB"/>
    </w:rPr>
  </w:style>
  <w:style w:type="paragraph" w:customStyle="1" w:styleId="Style1">
    <w:name w:val="Style1"/>
    <w:basedOn w:val="Heading1"/>
    <w:autoRedefine/>
    <w:qFormat/>
    <w:rsid w:val="00302172"/>
    <w:pPr>
      <w:numPr>
        <w:numId w:val="0"/>
      </w:numPr>
      <w:spacing w:before="0" w:after="0"/>
      <w:jc w:val="right"/>
    </w:pPr>
    <w:rPr>
      <w:i/>
      <w:caps w:val="0"/>
      <w:sz w:val="18"/>
    </w:rPr>
  </w:style>
  <w:style w:type="paragraph" w:customStyle="1" w:styleId="Annexes">
    <w:name w:val="Annexes"/>
    <w:basedOn w:val="Heading1"/>
    <w:autoRedefine/>
    <w:qFormat/>
    <w:rsid w:val="000B5CE0"/>
    <w:pPr>
      <w:numPr>
        <w:numId w:val="0"/>
      </w:numPr>
    </w:pPr>
  </w:style>
  <w:style w:type="paragraph" w:customStyle="1" w:styleId="TitleGuidelines">
    <w:name w:val="Title Guidelines"/>
    <w:basedOn w:val="Normal"/>
    <w:qFormat/>
    <w:rsid w:val="00302172"/>
    <w:rPr>
      <w:rFonts w:cs="Times New Roman"/>
      <w:b/>
      <w:bCs/>
      <w:color w:val="948A54" w:themeColor="background2" w:themeShade="80"/>
      <w:sz w:val="28"/>
      <w:szCs w:val="28"/>
    </w:rPr>
  </w:style>
  <w:style w:type="paragraph" w:customStyle="1" w:styleId="Covertitle">
    <w:name w:val="Cover title"/>
    <w:basedOn w:val="Normal"/>
    <w:qFormat/>
    <w:rsid w:val="00302172"/>
    <w:pPr>
      <w:suppressAutoHyphens/>
      <w:spacing w:line="192" w:lineRule="auto"/>
      <w:ind w:left="3828" w:right="-995"/>
      <w:jc w:val="left"/>
    </w:pPr>
    <w:rPr>
      <w:rFonts w:ascii="EC Square Sans Cond Pro Medium" w:hAnsi="EC Square Sans Cond Pro Medium" w:cs="Times New Roman"/>
      <w:caps/>
      <w:color w:val="FFC000"/>
      <w:sz w:val="68"/>
      <w:szCs w:val="68"/>
    </w:rPr>
  </w:style>
  <w:style w:type="paragraph" w:customStyle="1" w:styleId="Paragraphedelisteindent">
    <w:name w:val="Paragraphe de liste indent"/>
    <w:basedOn w:val="ListParagraph"/>
    <w:qFormat/>
    <w:rsid w:val="00302172"/>
    <w:pPr>
      <w:numPr>
        <w:numId w:val="0"/>
      </w:numPr>
      <w:ind w:left="1134"/>
    </w:pPr>
    <w:rPr>
      <w:i/>
    </w:rPr>
  </w:style>
  <w:style w:type="paragraph" w:customStyle="1" w:styleId="Paragraphedelistebullets">
    <w:name w:val="Paragraphe de liste bullets"/>
    <w:basedOn w:val="ListParagraph"/>
    <w:qFormat/>
    <w:rsid w:val="006260B2"/>
    <w:pPr>
      <w:numPr>
        <w:numId w:val="36"/>
      </w:numPr>
      <w:spacing w:after="120"/>
      <w:ind w:left="317" w:hanging="241"/>
      <w:jc w:val="left"/>
    </w:pPr>
    <w:rPr>
      <w:szCs w:val="20"/>
    </w:rPr>
  </w:style>
  <w:style w:type="paragraph" w:customStyle="1" w:styleId="Title2nonumbers">
    <w:name w:val="Title 2 no numbers"/>
    <w:basedOn w:val="Heading2"/>
    <w:qFormat/>
    <w:rsid w:val="00302172"/>
    <w:pPr>
      <w:numPr>
        <w:ilvl w:val="0"/>
        <w:numId w:val="0"/>
      </w:numPr>
    </w:pPr>
  </w:style>
  <w:style w:type="paragraph" w:customStyle="1" w:styleId="Coversubtitle">
    <w:name w:val="Cover subtitle"/>
    <w:basedOn w:val="Normal"/>
    <w:qFormat/>
    <w:rsid w:val="00302172"/>
    <w:pPr>
      <w:ind w:left="3828" w:right="-995"/>
      <w:jc w:val="left"/>
    </w:pPr>
    <w:rPr>
      <w:rFonts w:ascii="EC Square Sans Pro Medium" w:hAnsi="EC Square Sans Pro Medium" w:cs="Times New Roman"/>
      <w:color w:val="FFFFFF" w:themeColor="background1"/>
      <w:sz w:val="48"/>
      <w:szCs w:val="48"/>
    </w:rPr>
  </w:style>
  <w:style w:type="paragraph" w:customStyle="1" w:styleId="Tickbullets">
    <w:name w:val="Tick bullets"/>
    <w:basedOn w:val="ListParagraph"/>
    <w:qFormat/>
    <w:rsid w:val="00302172"/>
    <w:pPr>
      <w:numPr>
        <w:numId w:val="50"/>
      </w:numPr>
    </w:pPr>
  </w:style>
  <w:style w:type="character" w:customStyle="1" w:styleId="Heading3Char">
    <w:name w:val="Heading 3 Char"/>
    <w:basedOn w:val="DefaultParagraphFont"/>
    <w:link w:val="Heading3"/>
    <w:uiPriority w:val="9"/>
    <w:rsid w:val="00302172"/>
    <w:rPr>
      <w:rFonts w:ascii="EC Square Sans Pro" w:eastAsiaTheme="majorEastAsia" w:hAnsi="EC Square Sans Pro" w:cstheme="majorBidi"/>
      <w:b/>
      <w:bCs/>
      <w:color w:val="000000" w:themeColor="text1"/>
    </w:rPr>
  </w:style>
  <w:style w:type="character" w:customStyle="1" w:styleId="Heading4Char">
    <w:name w:val="Heading 4 Char"/>
    <w:basedOn w:val="DefaultParagraphFont"/>
    <w:link w:val="Heading4"/>
    <w:uiPriority w:val="9"/>
    <w:semiHidden/>
    <w:rsid w:val="00302172"/>
    <w:rPr>
      <w:rFonts w:ascii="EC Square Sans Pro" w:eastAsiaTheme="majorEastAsia" w:hAnsi="EC Square Sans Pro" w:cstheme="majorBidi"/>
      <w:b/>
      <w:bCs/>
      <w:i/>
      <w:iCs/>
      <w:color w:val="000000" w:themeColor="text1"/>
    </w:rPr>
  </w:style>
  <w:style w:type="character" w:customStyle="1" w:styleId="Heading5Char">
    <w:name w:val="Heading 5 Char"/>
    <w:basedOn w:val="DefaultParagraphFont"/>
    <w:link w:val="Heading5"/>
    <w:uiPriority w:val="9"/>
    <w:semiHidden/>
    <w:rsid w:val="00302172"/>
    <w:rPr>
      <w:rFonts w:ascii="EC Square Sans Pro" w:eastAsiaTheme="majorEastAsia" w:hAnsi="EC Square Sans Pro" w:cstheme="majorBidi"/>
      <w:color w:val="17365D" w:themeColor="text2" w:themeShade="BF"/>
    </w:rPr>
  </w:style>
  <w:style w:type="character" w:customStyle="1" w:styleId="Heading6Char">
    <w:name w:val="Heading 6 Char"/>
    <w:basedOn w:val="DefaultParagraphFont"/>
    <w:link w:val="Heading6"/>
    <w:uiPriority w:val="9"/>
    <w:semiHidden/>
    <w:rsid w:val="00302172"/>
    <w:rPr>
      <w:rFonts w:ascii="EC Square Sans Pro" w:eastAsiaTheme="majorEastAsia" w:hAnsi="EC Square Sans Pro" w:cstheme="majorBidi"/>
      <w:i/>
      <w:iCs/>
      <w:color w:val="17365D" w:themeColor="text2" w:themeShade="BF"/>
    </w:rPr>
  </w:style>
  <w:style w:type="character" w:customStyle="1" w:styleId="Heading7Char">
    <w:name w:val="Heading 7 Char"/>
    <w:basedOn w:val="DefaultParagraphFont"/>
    <w:link w:val="Heading7"/>
    <w:uiPriority w:val="9"/>
    <w:semiHidden/>
    <w:rsid w:val="00302172"/>
    <w:rPr>
      <w:rFonts w:ascii="EC Square Sans Pro" w:eastAsiaTheme="majorEastAsia" w:hAnsi="EC Square Sans Pro" w:cstheme="majorBidi"/>
      <w:i/>
      <w:iCs/>
      <w:color w:val="404040" w:themeColor="text1" w:themeTint="BF"/>
    </w:rPr>
  </w:style>
  <w:style w:type="character" w:customStyle="1" w:styleId="Heading8Char">
    <w:name w:val="Heading 8 Char"/>
    <w:basedOn w:val="DefaultParagraphFont"/>
    <w:link w:val="Heading8"/>
    <w:uiPriority w:val="9"/>
    <w:semiHidden/>
    <w:rsid w:val="00302172"/>
    <w:rPr>
      <w:rFonts w:ascii="EC Square Sans Pro" w:eastAsiaTheme="majorEastAsia" w:hAnsi="EC Square Sans Pro"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02172"/>
    <w:rPr>
      <w:rFonts w:ascii="EC Square Sans Pro" w:eastAsiaTheme="majorEastAsia" w:hAnsi="EC Square Sans Pro" w:cstheme="majorBidi"/>
      <w:i/>
      <w:iCs/>
      <w:color w:val="404040" w:themeColor="text1" w:themeTint="BF"/>
      <w:sz w:val="20"/>
      <w:szCs w:val="20"/>
    </w:rPr>
  </w:style>
  <w:style w:type="paragraph" w:styleId="Caption">
    <w:name w:val="caption"/>
    <w:basedOn w:val="Normal"/>
    <w:next w:val="Normal"/>
    <w:uiPriority w:val="35"/>
    <w:unhideWhenUsed/>
    <w:qFormat/>
    <w:rsid w:val="006260B2"/>
    <w:pPr>
      <w:spacing w:after="200" w:line="240" w:lineRule="auto"/>
    </w:pPr>
    <w:rPr>
      <w:rFonts w:cs="Times New Roman"/>
      <w:i/>
      <w:iCs/>
      <w:color w:val="1F497D" w:themeColor="text2"/>
      <w:sz w:val="18"/>
      <w:szCs w:val="18"/>
    </w:rPr>
  </w:style>
  <w:style w:type="paragraph" w:styleId="Title">
    <w:name w:val="Title"/>
    <w:basedOn w:val="Normal"/>
    <w:next w:val="Normal"/>
    <w:link w:val="TitleChar"/>
    <w:uiPriority w:val="10"/>
    <w:qFormat/>
    <w:rsid w:val="00302172"/>
    <w:pPr>
      <w:spacing w:after="0" w:line="240" w:lineRule="auto"/>
      <w:contextualSpacing/>
    </w:pPr>
    <w:rPr>
      <w:rFonts w:eastAsiaTheme="majorEastAsia" w:cstheme="majorBidi"/>
      <w:color w:val="000000" w:themeColor="text1"/>
      <w:sz w:val="56"/>
      <w:szCs w:val="56"/>
    </w:rPr>
  </w:style>
  <w:style w:type="character" w:customStyle="1" w:styleId="TitleChar">
    <w:name w:val="Title Char"/>
    <w:basedOn w:val="DefaultParagraphFont"/>
    <w:link w:val="Title"/>
    <w:uiPriority w:val="10"/>
    <w:rsid w:val="00302172"/>
    <w:rPr>
      <w:rFonts w:ascii="EC Square Sans Pro" w:eastAsiaTheme="majorEastAsia" w:hAnsi="EC Square Sans Pro" w:cstheme="majorBidi"/>
      <w:color w:val="000000" w:themeColor="text1"/>
      <w:sz w:val="56"/>
      <w:szCs w:val="56"/>
    </w:rPr>
  </w:style>
  <w:style w:type="paragraph" w:styleId="Subtitle">
    <w:name w:val="Subtitle"/>
    <w:aliases w:val="Graph title"/>
    <w:basedOn w:val="Normal"/>
    <w:next w:val="Normal"/>
    <w:link w:val="SubtitleChar"/>
    <w:uiPriority w:val="11"/>
    <w:qFormat/>
    <w:rsid w:val="00695AB2"/>
    <w:pPr>
      <w:keepNext/>
      <w:numPr>
        <w:ilvl w:val="1"/>
      </w:numPr>
      <w:jc w:val="center"/>
    </w:pPr>
    <w:rPr>
      <w:rFonts w:cs="Times New Roman"/>
      <w:b/>
      <w:bCs/>
      <w:caps/>
      <w:spacing w:val="10"/>
      <w:sz w:val="21"/>
      <w:szCs w:val="21"/>
    </w:rPr>
  </w:style>
  <w:style w:type="character" w:customStyle="1" w:styleId="SubtitleChar">
    <w:name w:val="Subtitle Char"/>
    <w:aliases w:val="Graph title Char"/>
    <w:basedOn w:val="DefaultParagraphFont"/>
    <w:link w:val="Subtitle"/>
    <w:uiPriority w:val="11"/>
    <w:rsid w:val="00695AB2"/>
    <w:rPr>
      <w:rFonts w:ascii="EC Square Sans Pro" w:hAnsi="EC Square Sans Pro" w:cs="Times New Roman"/>
      <w:b/>
      <w:bCs/>
      <w:caps/>
      <w:spacing w:val="10"/>
      <w:sz w:val="21"/>
      <w:szCs w:val="21"/>
    </w:rPr>
  </w:style>
  <w:style w:type="character" w:styleId="Strong">
    <w:name w:val="Strong"/>
    <w:basedOn w:val="DefaultParagraphFont"/>
    <w:uiPriority w:val="22"/>
    <w:qFormat/>
    <w:rsid w:val="00302172"/>
    <w:rPr>
      <w:b/>
      <w:bCs/>
      <w:color w:val="000000" w:themeColor="text1"/>
    </w:rPr>
  </w:style>
  <w:style w:type="character" w:styleId="Emphasis">
    <w:name w:val="Emphasis"/>
    <w:basedOn w:val="DefaultParagraphFont"/>
    <w:uiPriority w:val="20"/>
    <w:qFormat/>
    <w:rsid w:val="00302172"/>
    <w:rPr>
      <w:i/>
      <w:iCs/>
      <w:color w:val="auto"/>
    </w:rPr>
  </w:style>
  <w:style w:type="paragraph" w:styleId="NoSpacing">
    <w:name w:val="No Spacing"/>
    <w:uiPriority w:val="1"/>
    <w:qFormat/>
    <w:rsid w:val="00302172"/>
    <w:pPr>
      <w:spacing w:after="0" w:line="240" w:lineRule="auto"/>
    </w:pPr>
    <w:rPr>
      <w:rFonts w:ascii="EC Square Sans Pro" w:hAnsi="EC Square Sans Pro"/>
    </w:rPr>
  </w:style>
  <w:style w:type="paragraph" w:styleId="Quote">
    <w:name w:val="Quote"/>
    <w:basedOn w:val="Normal"/>
    <w:next w:val="Normal"/>
    <w:link w:val="QuoteChar"/>
    <w:uiPriority w:val="29"/>
    <w:qFormat/>
    <w:rsid w:val="00302172"/>
    <w:pPr>
      <w:spacing w:before="160"/>
      <w:ind w:left="720" w:right="720"/>
    </w:pPr>
    <w:rPr>
      <w:i/>
      <w:iCs/>
      <w:color w:val="000000" w:themeColor="text1"/>
      <w:szCs w:val="22"/>
    </w:rPr>
  </w:style>
  <w:style w:type="character" w:customStyle="1" w:styleId="QuoteChar">
    <w:name w:val="Quote Char"/>
    <w:basedOn w:val="DefaultParagraphFont"/>
    <w:link w:val="Quote"/>
    <w:uiPriority w:val="29"/>
    <w:rsid w:val="00302172"/>
    <w:rPr>
      <w:rFonts w:ascii="EC Square Sans Pro" w:hAnsi="EC Square Sans Pro"/>
      <w:i/>
      <w:iCs/>
      <w:color w:val="000000" w:themeColor="text1"/>
    </w:rPr>
  </w:style>
  <w:style w:type="paragraph" w:styleId="IntenseQuote">
    <w:name w:val="Intense Quote"/>
    <w:basedOn w:val="Normal"/>
    <w:next w:val="Normal"/>
    <w:link w:val="IntenseQuoteChar"/>
    <w:uiPriority w:val="30"/>
    <w:qFormat/>
    <w:rsid w:val="0030217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szCs w:val="22"/>
    </w:rPr>
  </w:style>
  <w:style w:type="character" w:customStyle="1" w:styleId="IntenseQuoteChar">
    <w:name w:val="Intense Quote Char"/>
    <w:basedOn w:val="DefaultParagraphFont"/>
    <w:link w:val="IntenseQuote"/>
    <w:uiPriority w:val="30"/>
    <w:rsid w:val="00302172"/>
    <w:rPr>
      <w:rFonts w:ascii="EC Square Sans Pro" w:hAnsi="EC Square Sans Pro"/>
      <w:color w:val="000000" w:themeColor="text1"/>
      <w:shd w:val="clear" w:color="auto" w:fill="F2F2F2" w:themeFill="background1" w:themeFillShade="F2"/>
    </w:rPr>
  </w:style>
  <w:style w:type="character" w:styleId="SubtleEmphasis">
    <w:name w:val="Subtle Emphasis"/>
    <w:basedOn w:val="DefaultParagraphFont"/>
    <w:uiPriority w:val="19"/>
    <w:qFormat/>
    <w:rsid w:val="00302172"/>
    <w:rPr>
      <w:i/>
      <w:iCs/>
      <w:color w:val="404040" w:themeColor="text1" w:themeTint="BF"/>
    </w:rPr>
  </w:style>
  <w:style w:type="character" w:styleId="IntenseEmphasis">
    <w:name w:val="Intense Emphasis"/>
    <w:basedOn w:val="DefaultParagraphFont"/>
    <w:uiPriority w:val="21"/>
    <w:qFormat/>
    <w:rsid w:val="00302172"/>
    <w:rPr>
      <w:b/>
      <w:bCs/>
      <w:i/>
      <w:iCs/>
      <w:caps/>
    </w:rPr>
  </w:style>
  <w:style w:type="character" w:styleId="SubtleReference">
    <w:name w:val="Subtle Reference"/>
    <w:basedOn w:val="DefaultParagraphFont"/>
    <w:uiPriority w:val="31"/>
    <w:qFormat/>
    <w:rsid w:val="0030217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02172"/>
    <w:rPr>
      <w:b/>
      <w:bCs/>
      <w:smallCaps/>
      <w:u w:val="single"/>
    </w:rPr>
  </w:style>
  <w:style w:type="character" w:styleId="BookTitle">
    <w:name w:val="Book Title"/>
    <w:basedOn w:val="DefaultParagraphFont"/>
    <w:uiPriority w:val="33"/>
    <w:qFormat/>
    <w:rsid w:val="00302172"/>
    <w:rPr>
      <w:b w:val="0"/>
      <w:bCs w:val="0"/>
      <w:smallCaps/>
      <w:spacing w:val="5"/>
    </w:rPr>
  </w:style>
  <w:style w:type="paragraph" w:styleId="TOCHeading">
    <w:name w:val="TOC Heading"/>
    <w:basedOn w:val="Heading1"/>
    <w:next w:val="Normal"/>
    <w:uiPriority w:val="39"/>
    <w:semiHidden/>
    <w:unhideWhenUsed/>
    <w:qFormat/>
    <w:rsid w:val="00302172"/>
    <w:pPr>
      <w:ind w:left="432" w:hanging="432"/>
      <w:outlineLvl w:val="9"/>
    </w:pPr>
  </w:style>
  <w:style w:type="paragraph" w:customStyle="1" w:styleId="Boxbody">
    <w:name w:val="Box body"/>
    <w:basedOn w:val="Normal"/>
    <w:qFormat/>
    <w:rsid w:val="00DE4A7D"/>
    <w:pPr>
      <w:spacing w:after="240" w:line="240" w:lineRule="auto"/>
    </w:pPr>
    <w:rPr>
      <w:rFonts w:eastAsia="Times New Roman" w:cs="Times New Roman"/>
      <w:bCs/>
      <w:sz w:val="20"/>
      <w:szCs w:val="20"/>
      <w:lang w:val="en-IE" w:eastAsia="en-IE"/>
    </w:rPr>
  </w:style>
  <w:style w:type="paragraph" w:customStyle="1" w:styleId="Boxtitle">
    <w:name w:val="Box title"/>
    <w:basedOn w:val="Normal"/>
    <w:qFormat/>
    <w:rsid w:val="00637EF0"/>
    <w:pPr>
      <w:spacing w:after="120" w:line="240" w:lineRule="auto"/>
      <w:jc w:val="left"/>
    </w:pPr>
    <w:rPr>
      <w:rFonts w:cs="Times New Roman"/>
      <w:b/>
      <w:color w:val="1A8482" w:themeColor="accent5" w:themeShade="80"/>
      <w:sz w:val="24"/>
      <w:lang w:val="en-IE" w:eastAsia="en-IE"/>
    </w:rPr>
  </w:style>
  <w:style w:type="paragraph" w:customStyle="1" w:styleId="Framebody">
    <w:name w:val="Frame body"/>
    <w:basedOn w:val="Boxbody"/>
    <w:qFormat/>
    <w:rsid w:val="006260B2"/>
    <w:pPr>
      <w:spacing w:after="0"/>
      <w:jc w:val="center"/>
    </w:pPr>
    <w:rPr>
      <w:rFonts w:ascii="Times New Roman" w:hAnsi="Times New Roman"/>
    </w:rPr>
  </w:style>
  <w:style w:type="paragraph" w:customStyle="1" w:styleId="Framesubtitle">
    <w:name w:val="Frame subtitle"/>
    <w:basedOn w:val="paragraph"/>
    <w:qFormat/>
    <w:rsid w:val="00406AA2"/>
    <w:pPr>
      <w:spacing w:after="120" w:afterAutospacing="0"/>
    </w:pPr>
    <w:rPr>
      <w:rFonts w:ascii="EC Square Sans Pro" w:hAnsi="EC Square Sans Pro"/>
      <w:b/>
      <w:bCs/>
      <w:iCs/>
      <w:color w:val="1A8482" w:themeColor="accent5" w:themeShade="80"/>
      <w:sz w:val="20"/>
      <w:szCs w:val="20"/>
    </w:rPr>
  </w:style>
  <w:style w:type="character" w:customStyle="1" w:styleId="Mention2">
    <w:name w:val="Mention2"/>
    <w:basedOn w:val="DefaultParagraphFont"/>
    <w:uiPriority w:val="99"/>
    <w:unhideWhenUsed/>
    <w:rsid w:val="003E1304"/>
    <w:rPr>
      <w:color w:val="2B579A"/>
      <w:shd w:val="clear" w:color="auto" w:fill="E1DFDD"/>
    </w:rPr>
  </w:style>
  <w:style w:type="paragraph" w:customStyle="1" w:styleId="title-bold">
    <w:name w:val="title-bold"/>
    <w:basedOn w:val="Normal"/>
    <w:rsid w:val="00787EB1"/>
    <w:pPr>
      <w:spacing w:before="100" w:beforeAutospacing="1" w:after="100" w:afterAutospacing="1" w:line="240" w:lineRule="auto"/>
      <w:jc w:val="left"/>
    </w:pPr>
    <w:rPr>
      <w:rFonts w:ascii="Times New Roman" w:eastAsia="Times New Roman" w:hAnsi="Times New Roman" w:cs="Times New Roman"/>
      <w:sz w:val="24"/>
      <w:lang w:val="en-IE" w:eastAsia="en-IE"/>
    </w:rPr>
  </w:style>
  <w:style w:type="paragraph" w:styleId="NormalWeb">
    <w:name w:val="Normal (Web)"/>
    <w:basedOn w:val="Normal"/>
    <w:uiPriority w:val="99"/>
    <w:semiHidden/>
    <w:unhideWhenUsed/>
    <w:rsid w:val="00787EB1"/>
    <w:pPr>
      <w:spacing w:before="100" w:beforeAutospacing="1" w:after="100" w:afterAutospacing="1" w:line="240" w:lineRule="auto"/>
      <w:jc w:val="left"/>
    </w:pPr>
    <w:rPr>
      <w:rFonts w:ascii="Times New Roman" w:eastAsia="Times New Roman" w:hAnsi="Times New Roman" w:cs="Times New Roman"/>
      <w:sz w:val="24"/>
      <w:lang w:val="en-IE" w:eastAsia="en-IE"/>
    </w:rPr>
  </w:style>
  <w:style w:type="character" w:customStyle="1" w:styleId="UnresolvedMention2">
    <w:name w:val="Unresolved Mention2"/>
    <w:basedOn w:val="DefaultParagraphFont"/>
    <w:uiPriority w:val="99"/>
    <w:semiHidden/>
    <w:unhideWhenUsed/>
    <w:rsid w:val="00B32993"/>
    <w:rPr>
      <w:color w:val="605E5C"/>
      <w:shd w:val="clear" w:color="auto" w:fill="E1DFDD"/>
    </w:rPr>
  </w:style>
  <w:style w:type="paragraph" w:styleId="BalloonText">
    <w:name w:val="Balloon Text"/>
    <w:basedOn w:val="Normal"/>
    <w:link w:val="BalloonTextChar"/>
    <w:uiPriority w:val="99"/>
    <w:semiHidden/>
    <w:unhideWhenUsed/>
    <w:rsid w:val="00C670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058">
      <w:bodyDiv w:val="1"/>
      <w:marLeft w:val="0"/>
      <w:marRight w:val="0"/>
      <w:marTop w:val="0"/>
      <w:marBottom w:val="0"/>
      <w:divBdr>
        <w:top w:val="none" w:sz="0" w:space="0" w:color="auto"/>
        <w:left w:val="none" w:sz="0" w:space="0" w:color="auto"/>
        <w:bottom w:val="none" w:sz="0" w:space="0" w:color="auto"/>
        <w:right w:val="none" w:sz="0" w:space="0" w:color="auto"/>
      </w:divBdr>
    </w:div>
    <w:div w:id="95028271">
      <w:bodyDiv w:val="1"/>
      <w:marLeft w:val="0"/>
      <w:marRight w:val="0"/>
      <w:marTop w:val="0"/>
      <w:marBottom w:val="0"/>
      <w:divBdr>
        <w:top w:val="none" w:sz="0" w:space="0" w:color="auto"/>
        <w:left w:val="none" w:sz="0" w:space="0" w:color="auto"/>
        <w:bottom w:val="none" w:sz="0" w:space="0" w:color="auto"/>
        <w:right w:val="none" w:sz="0" w:space="0" w:color="auto"/>
      </w:divBdr>
    </w:div>
    <w:div w:id="128862843">
      <w:bodyDiv w:val="1"/>
      <w:marLeft w:val="0"/>
      <w:marRight w:val="0"/>
      <w:marTop w:val="0"/>
      <w:marBottom w:val="0"/>
      <w:divBdr>
        <w:top w:val="none" w:sz="0" w:space="0" w:color="auto"/>
        <w:left w:val="none" w:sz="0" w:space="0" w:color="auto"/>
        <w:bottom w:val="none" w:sz="0" w:space="0" w:color="auto"/>
        <w:right w:val="none" w:sz="0" w:space="0" w:color="auto"/>
      </w:divBdr>
    </w:div>
    <w:div w:id="171994429">
      <w:bodyDiv w:val="1"/>
      <w:marLeft w:val="0"/>
      <w:marRight w:val="0"/>
      <w:marTop w:val="0"/>
      <w:marBottom w:val="0"/>
      <w:divBdr>
        <w:top w:val="none" w:sz="0" w:space="0" w:color="auto"/>
        <w:left w:val="none" w:sz="0" w:space="0" w:color="auto"/>
        <w:bottom w:val="none" w:sz="0" w:space="0" w:color="auto"/>
        <w:right w:val="none" w:sz="0" w:space="0" w:color="auto"/>
      </w:divBdr>
    </w:div>
    <w:div w:id="216357764">
      <w:bodyDiv w:val="1"/>
      <w:marLeft w:val="0"/>
      <w:marRight w:val="0"/>
      <w:marTop w:val="0"/>
      <w:marBottom w:val="0"/>
      <w:divBdr>
        <w:top w:val="none" w:sz="0" w:space="0" w:color="auto"/>
        <w:left w:val="none" w:sz="0" w:space="0" w:color="auto"/>
        <w:bottom w:val="none" w:sz="0" w:space="0" w:color="auto"/>
        <w:right w:val="none" w:sz="0" w:space="0" w:color="auto"/>
      </w:divBdr>
    </w:div>
    <w:div w:id="422847928">
      <w:bodyDiv w:val="1"/>
      <w:marLeft w:val="0"/>
      <w:marRight w:val="0"/>
      <w:marTop w:val="0"/>
      <w:marBottom w:val="0"/>
      <w:divBdr>
        <w:top w:val="none" w:sz="0" w:space="0" w:color="auto"/>
        <w:left w:val="none" w:sz="0" w:space="0" w:color="auto"/>
        <w:bottom w:val="none" w:sz="0" w:space="0" w:color="auto"/>
        <w:right w:val="none" w:sz="0" w:space="0" w:color="auto"/>
      </w:divBdr>
    </w:div>
    <w:div w:id="449979600">
      <w:bodyDiv w:val="1"/>
      <w:marLeft w:val="0"/>
      <w:marRight w:val="0"/>
      <w:marTop w:val="0"/>
      <w:marBottom w:val="0"/>
      <w:divBdr>
        <w:top w:val="none" w:sz="0" w:space="0" w:color="auto"/>
        <w:left w:val="none" w:sz="0" w:space="0" w:color="auto"/>
        <w:bottom w:val="none" w:sz="0" w:space="0" w:color="auto"/>
        <w:right w:val="none" w:sz="0" w:space="0" w:color="auto"/>
      </w:divBdr>
    </w:div>
    <w:div w:id="509949907">
      <w:bodyDiv w:val="1"/>
      <w:marLeft w:val="0"/>
      <w:marRight w:val="0"/>
      <w:marTop w:val="0"/>
      <w:marBottom w:val="0"/>
      <w:divBdr>
        <w:top w:val="none" w:sz="0" w:space="0" w:color="auto"/>
        <w:left w:val="none" w:sz="0" w:space="0" w:color="auto"/>
        <w:bottom w:val="none" w:sz="0" w:space="0" w:color="auto"/>
        <w:right w:val="none" w:sz="0" w:space="0" w:color="auto"/>
      </w:divBdr>
    </w:div>
    <w:div w:id="536509008">
      <w:bodyDiv w:val="1"/>
      <w:marLeft w:val="0"/>
      <w:marRight w:val="0"/>
      <w:marTop w:val="0"/>
      <w:marBottom w:val="0"/>
      <w:divBdr>
        <w:top w:val="none" w:sz="0" w:space="0" w:color="auto"/>
        <w:left w:val="none" w:sz="0" w:space="0" w:color="auto"/>
        <w:bottom w:val="none" w:sz="0" w:space="0" w:color="auto"/>
        <w:right w:val="none" w:sz="0" w:space="0" w:color="auto"/>
      </w:divBdr>
    </w:div>
    <w:div w:id="558250672">
      <w:bodyDiv w:val="1"/>
      <w:marLeft w:val="0"/>
      <w:marRight w:val="0"/>
      <w:marTop w:val="0"/>
      <w:marBottom w:val="0"/>
      <w:divBdr>
        <w:top w:val="none" w:sz="0" w:space="0" w:color="auto"/>
        <w:left w:val="none" w:sz="0" w:space="0" w:color="auto"/>
        <w:bottom w:val="none" w:sz="0" w:space="0" w:color="auto"/>
        <w:right w:val="none" w:sz="0" w:space="0" w:color="auto"/>
      </w:divBdr>
    </w:div>
    <w:div w:id="665858579">
      <w:bodyDiv w:val="1"/>
      <w:marLeft w:val="0"/>
      <w:marRight w:val="0"/>
      <w:marTop w:val="0"/>
      <w:marBottom w:val="0"/>
      <w:divBdr>
        <w:top w:val="none" w:sz="0" w:space="0" w:color="auto"/>
        <w:left w:val="none" w:sz="0" w:space="0" w:color="auto"/>
        <w:bottom w:val="none" w:sz="0" w:space="0" w:color="auto"/>
        <w:right w:val="none" w:sz="0" w:space="0" w:color="auto"/>
      </w:divBdr>
    </w:div>
    <w:div w:id="794907612">
      <w:bodyDiv w:val="1"/>
      <w:marLeft w:val="0"/>
      <w:marRight w:val="0"/>
      <w:marTop w:val="0"/>
      <w:marBottom w:val="0"/>
      <w:divBdr>
        <w:top w:val="none" w:sz="0" w:space="0" w:color="auto"/>
        <w:left w:val="none" w:sz="0" w:space="0" w:color="auto"/>
        <w:bottom w:val="none" w:sz="0" w:space="0" w:color="auto"/>
        <w:right w:val="none" w:sz="0" w:space="0" w:color="auto"/>
      </w:divBdr>
    </w:div>
    <w:div w:id="857620014">
      <w:bodyDiv w:val="1"/>
      <w:marLeft w:val="0"/>
      <w:marRight w:val="0"/>
      <w:marTop w:val="0"/>
      <w:marBottom w:val="0"/>
      <w:divBdr>
        <w:top w:val="none" w:sz="0" w:space="0" w:color="auto"/>
        <w:left w:val="none" w:sz="0" w:space="0" w:color="auto"/>
        <w:bottom w:val="none" w:sz="0" w:space="0" w:color="auto"/>
        <w:right w:val="none" w:sz="0" w:space="0" w:color="auto"/>
      </w:divBdr>
      <w:divsChild>
        <w:div w:id="766728196">
          <w:marLeft w:val="0"/>
          <w:marRight w:val="0"/>
          <w:marTop w:val="0"/>
          <w:marBottom w:val="0"/>
          <w:divBdr>
            <w:top w:val="none" w:sz="0" w:space="0" w:color="auto"/>
            <w:left w:val="none" w:sz="0" w:space="0" w:color="auto"/>
            <w:bottom w:val="none" w:sz="0" w:space="0" w:color="auto"/>
            <w:right w:val="none" w:sz="0" w:space="0" w:color="auto"/>
          </w:divBdr>
          <w:divsChild>
            <w:div w:id="721832322">
              <w:marLeft w:val="0"/>
              <w:marRight w:val="0"/>
              <w:marTop w:val="0"/>
              <w:marBottom w:val="0"/>
              <w:divBdr>
                <w:top w:val="none" w:sz="0" w:space="0" w:color="auto"/>
                <w:left w:val="none" w:sz="0" w:space="0" w:color="auto"/>
                <w:bottom w:val="none" w:sz="0" w:space="0" w:color="auto"/>
                <w:right w:val="none" w:sz="0" w:space="0" w:color="auto"/>
              </w:divBdr>
            </w:div>
          </w:divsChild>
        </w:div>
        <w:div w:id="807088922">
          <w:marLeft w:val="0"/>
          <w:marRight w:val="0"/>
          <w:marTop w:val="0"/>
          <w:marBottom w:val="0"/>
          <w:divBdr>
            <w:top w:val="none" w:sz="0" w:space="0" w:color="auto"/>
            <w:left w:val="none" w:sz="0" w:space="0" w:color="auto"/>
            <w:bottom w:val="none" w:sz="0" w:space="0" w:color="auto"/>
            <w:right w:val="none" w:sz="0" w:space="0" w:color="auto"/>
          </w:divBdr>
          <w:divsChild>
            <w:div w:id="217518002">
              <w:marLeft w:val="0"/>
              <w:marRight w:val="0"/>
              <w:marTop w:val="0"/>
              <w:marBottom w:val="0"/>
              <w:divBdr>
                <w:top w:val="none" w:sz="0" w:space="0" w:color="auto"/>
                <w:left w:val="none" w:sz="0" w:space="0" w:color="auto"/>
                <w:bottom w:val="none" w:sz="0" w:space="0" w:color="auto"/>
                <w:right w:val="none" w:sz="0" w:space="0" w:color="auto"/>
              </w:divBdr>
            </w:div>
          </w:divsChild>
        </w:div>
        <w:div w:id="863402457">
          <w:marLeft w:val="0"/>
          <w:marRight w:val="0"/>
          <w:marTop w:val="0"/>
          <w:marBottom w:val="0"/>
          <w:divBdr>
            <w:top w:val="none" w:sz="0" w:space="0" w:color="auto"/>
            <w:left w:val="none" w:sz="0" w:space="0" w:color="auto"/>
            <w:bottom w:val="none" w:sz="0" w:space="0" w:color="auto"/>
            <w:right w:val="none" w:sz="0" w:space="0" w:color="auto"/>
          </w:divBdr>
          <w:divsChild>
            <w:div w:id="1665357047">
              <w:marLeft w:val="0"/>
              <w:marRight w:val="0"/>
              <w:marTop w:val="0"/>
              <w:marBottom w:val="0"/>
              <w:divBdr>
                <w:top w:val="none" w:sz="0" w:space="0" w:color="auto"/>
                <w:left w:val="none" w:sz="0" w:space="0" w:color="auto"/>
                <w:bottom w:val="none" w:sz="0" w:space="0" w:color="auto"/>
                <w:right w:val="none" w:sz="0" w:space="0" w:color="auto"/>
              </w:divBdr>
            </w:div>
          </w:divsChild>
        </w:div>
        <w:div w:id="1322544266">
          <w:marLeft w:val="0"/>
          <w:marRight w:val="0"/>
          <w:marTop w:val="0"/>
          <w:marBottom w:val="0"/>
          <w:divBdr>
            <w:top w:val="none" w:sz="0" w:space="0" w:color="auto"/>
            <w:left w:val="none" w:sz="0" w:space="0" w:color="auto"/>
            <w:bottom w:val="none" w:sz="0" w:space="0" w:color="auto"/>
            <w:right w:val="none" w:sz="0" w:space="0" w:color="auto"/>
          </w:divBdr>
          <w:divsChild>
            <w:div w:id="1826897963">
              <w:marLeft w:val="0"/>
              <w:marRight w:val="0"/>
              <w:marTop w:val="0"/>
              <w:marBottom w:val="0"/>
              <w:divBdr>
                <w:top w:val="none" w:sz="0" w:space="0" w:color="auto"/>
                <w:left w:val="none" w:sz="0" w:space="0" w:color="auto"/>
                <w:bottom w:val="none" w:sz="0" w:space="0" w:color="auto"/>
                <w:right w:val="none" w:sz="0" w:space="0" w:color="auto"/>
              </w:divBdr>
            </w:div>
          </w:divsChild>
        </w:div>
        <w:div w:id="1707101120">
          <w:marLeft w:val="0"/>
          <w:marRight w:val="0"/>
          <w:marTop w:val="0"/>
          <w:marBottom w:val="0"/>
          <w:divBdr>
            <w:top w:val="none" w:sz="0" w:space="0" w:color="auto"/>
            <w:left w:val="none" w:sz="0" w:space="0" w:color="auto"/>
            <w:bottom w:val="none" w:sz="0" w:space="0" w:color="auto"/>
            <w:right w:val="none" w:sz="0" w:space="0" w:color="auto"/>
          </w:divBdr>
          <w:divsChild>
            <w:div w:id="718365028">
              <w:marLeft w:val="0"/>
              <w:marRight w:val="0"/>
              <w:marTop w:val="0"/>
              <w:marBottom w:val="0"/>
              <w:divBdr>
                <w:top w:val="none" w:sz="0" w:space="0" w:color="auto"/>
                <w:left w:val="none" w:sz="0" w:space="0" w:color="auto"/>
                <w:bottom w:val="none" w:sz="0" w:space="0" w:color="auto"/>
                <w:right w:val="none" w:sz="0" w:space="0" w:color="auto"/>
              </w:divBdr>
            </w:div>
          </w:divsChild>
        </w:div>
        <w:div w:id="1810515905">
          <w:marLeft w:val="0"/>
          <w:marRight w:val="0"/>
          <w:marTop w:val="0"/>
          <w:marBottom w:val="0"/>
          <w:divBdr>
            <w:top w:val="none" w:sz="0" w:space="0" w:color="auto"/>
            <w:left w:val="none" w:sz="0" w:space="0" w:color="auto"/>
            <w:bottom w:val="none" w:sz="0" w:space="0" w:color="auto"/>
            <w:right w:val="none" w:sz="0" w:space="0" w:color="auto"/>
          </w:divBdr>
          <w:divsChild>
            <w:div w:id="45373025">
              <w:marLeft w:val="0"/>
              <w:marRight w:val="0"/>
              <w:marTop w:val="0"/>
              <w:marBottom w:val="0"/>
              <w:divBdr>
                <w:top w:val="none" w:sz="0" w:space="0" w:color="auto"/>
                <w:left w:val="none" w:sz="0" w:space="0" w:color="auto"/>
                <w:bottom w:val="none" w:sz="0" w:space="0" w:color="auto"/>
                <w:right w:val="none" w:sz="0" w:space="0" w:color="auto"/>
              </w:divBdr>
            </w:div>
          </w:divsChild>
        </w:div>
        <w:div w:id="1844320650">
          <w:marLeft w:val="0"/>
          <w:marRight w:val="0"/>
          <w:marTop w:val="0"/>
          <w:marBottom w:val="0"/>
          <w:divBdr>
            <w:top w:val="none" w:sz="0" w:space="0" w:color="auto"/>
            <w:left w:val="none" w:sz="0" w:space="0" w:color="auto"/>
            <w:bottom w:val="none" w:sz="0" w:space="0" w:color="auto"/>
            <w:right w:val="none" w:sz="0" w:space="0" w:color="auto"/>
          </w:divBdr>
          <w:divsChild>
            <w:div w:id="364136332">
              <w:marLeft w:val="0"/>
              <w:marRight w:val="0"/>
              <w:marTop w:val="0"/>
              <w:marBottom w:val="0"/>
              <w:divBdr>
                <w:top w:val="none" w:sz="0" w:space="0" w:color="auto"/>
                <w:left w:val="none" w:sz="0" w:space="0" w:color="auto"/>
                <w:bottom w:val="none" w:sz="0" w:space="0" w:color="auto"/>
                <w:right w:val="none" w:sz="0" w:space="0" w:color="auto"/>
              </w:divBdr>
            </w:div>
          </w:divsChild>
        </w:div>
        <w:div w:id="1871340251">
          <w:marLeft w:val="0"/>
          <w:marRight w:val="0"/>
          <w:marTop w:val="0"/>
          <w:marBottom w:val="0"/>
          <w:divBdr>
            <w:top w:val="none" w:sz="0" w:space="0" w:color="auto"/>
            <w:left w:val="none" w:sz="0" w:space="0" w:color="auto"/>
            <w:bottom w:val="none" w:sz="0" w:space="0" w:color="auto"/>
            <w:right w:val="none" w:sz="0" w:space="0" w:color="auto"/>
          </w:divBdr>
          <w:divsChild>
            <w:div w:id="115522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01832">
      <w:bodyDiv w:val="1"/>
      <w:marLeft w:val="0"/>
      <w:marRight w:val="0"/>
      <w:marTop w:val="0"/>
      <w:marBottom w:val="0"/>
      <w:divBdr>
        <w:top w:val="none" w:sz="0" w:space="0" w:color="auto"/>
        <w:left w:val="none" w:sz="0" w:space="0" w:color="auto"/>
        <w:bottom w:val="none" w:sz="0" w:space="0" w:color="auto"/>
        <w:right w:val="none" w:sz="0" w:space="0" w:color="auto"/>
      </w:divBdr>
    </w:div>
    <w:div w:id="1024284880">
      <w:bodyDiv w:val="1"/>
      <w:marLeft w:val="0"/>
      <w:marRight w:val="0"/>
      <w:marTop w:val="0"/>
      <w:marBottom w:val="0"/>
      <w:divBdr>
        <w:top w:val="none" w:sz="0" w:space="0" w:color="auto"/>
        <w:left w:val="none" w:sz="0" w:space="0" w:color="auto"/>
        <w:bottom w:val="none" w:sz="0" w:space="0" w:color="auto"/>
        <w:right w:val="none" w:sz="0" w:space="0" w:color="auto"/>
      </w:divBdr>
    </w:div>
    <w:div w:id="1025643300">
      <w:bodyDiv w:val="1"/>
      <w:marLeft w:val="0"/>
      <w:marRight w:val="0"/>
      <w:marTop w:val="0"/>
      <w:marBottom w:val="0"/>
      <w:divBdr>
        <w:top w:val="none" w:sz="0" w:space="0" w:color="auto"/>
        <w:left w:val="none" w:sz="0" w:space="0" w:color="auto"/>
        <w:bottom w:val="none" w:sz="0" w:space="0" w:color="auto"/>
        <w:right w:val="none" w:sz="0" w:space="0" w:color="auto"/>
      </w:divBdr>
    </w:div>
    <w:div w:id="1047726179">
      <w:bodyDiv w:val="1"/>
      <w:marLeft w:val="0"/>
      <w:marRight w:val="0"/>
      <w:marTop w:val="0"/>
      <w:marBottom w:val="0"/>
      <w:divBdr>
        <w:top w:val="none" w:sz="0" w:space="0" w:color="auto"/>
        <w:left w:val="none" w:sz="0" w:space="0" w:color="auto"/>
        <w:bottom w:val="none" w:sz="0" w:space="0" w:color="auto"/>
        <w:right w:val="none" w:sz="0" w:space="0" w:color="auto"/>
      </w:divBdr>
    </w:div>
    <w:div w:id="1063288412">
      <w:bodyDiv w:val="1"/>
      <w:marLeft w:val="0"/>
      <w:marRight w:val="0"/>
      <w:marTop w:val="0"/>
      <w:marBottom w:val="0"/>
      <w:divBdr>
        <w:top w:val="none" w:sz="0" w:space="0" w:color="auto"/>
        <w:left w:val="none" w:sz="0" w:space="0" w:color="auto"/>
        <w:bottom w:val="none" w:sz="0" w:space="0" w:color="auto"/>
        <w:right w:val="none" w:sz="0" w:space="0" w:color="auto"/>
      </w:divBdr>
      <w:divsChild>
        <w:div w:id="800734250">
          <w:marLeft w:val="0"/>
          <w:marRight w:val="0"/>
          <w:marTop w:val="0"/>
          <w:marBottom w:val="0"/>
          <w:divBdr>
            <w:top w:val="none" w:sz="0" w:space="0" w:color="auto"/>
            <w:left w:val="none" w:sz="0" w:space="0" w:color="auto"/>
            <w:bottom w:val="none" w:sz="0" w:space="0" w:color="auto"/>
            <w:right w:val="none" w:sz="0" w:space="0" w:color="auto"/>
          </w:divBdr>
        </w:div>
      </w:divsChild>
    </w:div>
    <w:div w:id="1111894151">
      <w:bodyDiv w:val="1"/>
      <w:marLeft w:val="0"/>
      <w:marRight w:val="0"/>
      <w:marTop w:val="0"/>
      <w:marBottom w:val="0"/>
      <w:divBdr>
        <w:top w:val="none" w:sz="0" w:space="0" w:color="auto"/>
        <w:left w:val="none" w:sz="0" w:space="0" w:color="auto"/>
        <w:bottom w:val="none" w:sz="0" w:space="0" w:color="auto"/>
        <w:right w:val="none" w:sz="0" w:space="0" w:color="auto"/>
      </w:divBdr>
    </w:div>
    <w:div w:id="1132019842">
      <w:bodyDiv w:val="1"/>
      <w:marLeft w:val="0"/>
      <w:marRight w:val="0"/>
      <w:marTop w:val="0"/>
      <w:marBottom w:val="0"/>
      <w:divBdr>
        <w:top w:val="none" w:sz="0" w:space="0" w:color="auto"/>
        <w:left w:val="none" w:sz="0" w:space="0" w:color="auto"/>
        <w:bottom w:val="none" w:sz="0" w:space="0" w:color="auto"/>
        <w:right w:val="none" w:sz="0" w:space="0" w:color="auto"/>
      </w:divBdr>
    </w:div>
    <w:div w:id="1169175689">
      <w:bodyDiv w:val="1"/>
      <w:marLeft w:val="0"/>
      <w:marRight w:val="0"/>
      <w:marTop w:val="0"/>
      <w:marBottom w:val="0"/>
      <w:divBdr>
        <w:top w:val="none" w:sz="0" w:space="0" w:color="auto"/>
        <w:left w:val="none" w:sz="0" w:space="0" w:color="auto"/>
        <w:bottom w:val="none" w:sz="0" w:space="0" w:color="auto"/>
        <w:right w:val="none" w:sz="0" w:space="0" w:color="auto"/>
      </w:divBdr>
    </w:div>
    <w:div w:id="1207910712">
      <w:bodyDiv w:val="1"/>
      <w:marLeft w:val="0"/>
      <w:marRight w:val="0"/>
      <w:marTop w:val="0"/>
      <w:marBottom w:val="0"/>
      <w:divBdr>
        <w:top w:val="none" w:sz="0" w:space="0" w:color="auto"/>
        <w:left w:val="none" w:sz="0" w:space="0" w:color="auto"/>
        <w:bottom w:val="none" w:sz="0" w:space="0" w:color="auto"/>
        <w:right w:val="none" w:sz="0" w:space="0" w:color="auto"/>
      </w:divBdr>
    </w:div>
    <w:div w:id="1212232272">
      <w:bodyDiv w:val="1"/>
      <w:marLeft w:val="0"/>
      <w:marRight w:val="0"/>
      <w:marTop w:val="0"/>
      <w:marBottom w:val="0"/>
      <w:divBdr>
        <w:top w:val="none" w:sz="0" w:space="0" w:color="auto"/>
        <w:left w:val="none" w:sz="0" w:space="0" w:color="auto"/>
        <w:bottom w:val="none" w:sz="0" w:space="0" w:color="auto"/>
        <w:right w:val="none" w:sz="0" w:space="0" w:color="auto"/>
      </w:divBdr>
    </w:div>
    <w:div w:id="1304118549">
      <w:bodyDiv w:val="1"/>
      <w:marLeft w:val="0"/>
      <w:marRight w:val="0"/>
      <w:marTop w:val="0"/>
      <w:marBottom w:val="0"/>
      <w:divBdr>
        <w:top w:val="none" w:sz="0" w:space="0" w:color="auto"/>
        <w:left w:val="none" w:sz="0" w:space="0" w:color="auto"/>
        <w:bottom w:val="none" w:sz="0" w:space="0" w:color="auto"/>
        <w:right w:val="none" w:sz="0" w:space="0" w:color="auto"/>
      </w:divBdr>
    </w:div>
    <w:div w:id="1383017383">
      <w:bodyDiv w:val="1"/>
      <w:marLeft w:val="0"/>
      <w:marRight w:val="0"/>
      <w:marTop w:val="0"/>
      <w:marBottom w:val="0"/>
      <w:divBdr>
        <w:top w:val="none" w:sz="0" w:space="0" w:color="auto"/>
        <w:left w:val="none" w:sz="0" w:space="0" w:color="auto"/>
        <w:bottom w:val="none" w:sz="0" w:space="0" w:color="auto"/>
        <w:right w:val="none" w:sz="0" w:space="0" w:color="auto"/>
      </w:divBdr>
    </w:div>
    <w:div w:id="1403330387">
      <w:bodyDiv w:val="1"/>
      <w:marLeft w:val="0"/>
      <w:marRight w:val="0"/>
      <w:marTop w:val="0"/>
      <w:marBottom w:val="0"/>
      <w:divBdr>
        <w:top w:val="none" w:sz="0" w:space="0" w:color="auto"/>
        <w:left w:val="none" w:sz="0" w:space="0" w:color="auto"/>
        <w:bottom w:val="none" w:sz="0" w:space="0" w:color="auto"/>
        <w:right w:val="none" w:sz="0" w:space="0" w:color="auto"/>
      </w:divBdr>
      <w:divsChild>
        <w:div w:id="1184590065">
          <w:marLeft w:val="0"/>
          <w:marRight w:val="0"/>
          <w:marTop w:val="0"/>
          <w:marBottom w:val="0"/>
          <w:divBdr>
            <w:top w:val="none" w:sz="0" w:space="0" w:color="auto"/>
            <w:left w:val="none" w:sz="0" w:space="0" w:color="auto"/>
            <w:bottom w:val="none" w:sz="0" w:space="0" w:color="auto"/>
            <w:right w:val="none" w:sz="0" w:space="0" w:color="auto"/>
          </w:divBdr>
        </w:div>
      </w:divsChild>
    </w:div>
    <w:div w:id="1426801691">
      <w:bodyDiv w:val="1"/>
      <w:marLeft w:val="0"/>
      <w:marRight w:val="0"/>
      <w:marTop w:val="0"/>
      <w:marBottom w:val="0"/>
      <w:divBdr>
        <w:top w:val="none" w:sz="0" w:space="0" w:color="auto"/>
        <w:left w:val="none" w:sz="0" w:space="0" w:color="auto"/>
        <w:bottom w:val="none" w:sz="0" w:space="0" w:color="auto"/>
        <w:right w:val="none" w:sz="0" w:space="0" w:color="auto"/>
      </w:divBdr>
    </w:div>
    <w:div w:id="1522431181">
      <w:bodyDiv w:val="1"/>
      <w:marLeft w:val="0"/>
      <w:marRight w:val="0"/>
      <w:marTop w:val="0"/>
      <w:marBottom w:val="0"/>
      <w:divBdr>
        <w:top w:val="none" w:sz="0" w:space="0" w:color="auto"/>
        <w:left w:val="none" w:sz="0" w:space="0" w:color="auto"/>
        <w:bottom w:val="none" w:sz="0" w:space="0" w:color="auto"/>
        <w:right w:val="none" w:sz="0" w:space="0" w:color="auto"/>
      </w:divBdr>
      <w:divsChild>
        <w:div w:id="1359040567">
          <w:marLeft w:val="0"/>
          <w:marRight w:val="0"/>
          <w:marTop w:val="0"/>
          <w:marBottom w:val="0"/>
          <w:divBdr>
            <w:top w:val="none" w:sz="0" w:space="0" w:color="auto"/>
            <w:left w:val="none" w:sz="0" w:space="0" w:color="auto"/>
            <w:bottom w:val="none" w:sz="0" w:space="0" w:color="auto"/>
            <w:right w:val="none" w:sz="0" w:space="0" w:color="auto"/>
          </w:divBdr>
          <w:divsChild>
            <w:div w:id="570429917">
              <w:marLeft w:val="0"/>
              <w:marRight w:val="0"/>
              <w:marTop w:val="0"/>
              <w:marBottom w:val="0"/>
              <w:divBdr>
                <w:top w:val="none" w:sz="0" w:space="0" w:color="auto"/>
                <w:left w:val="none" w:sz="0" w:space="0" w:color="auto"/>
                <w:bottom w:val="none" w:sz="0" w:space="0" w:color="auto"/>
                <w:right w:val="none" w:sz="0" w:space="0" w:color="auto"/>
              </w:divBdr>
              <w:divsChild>
                <w:div w:id="16626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96104">
      <w:bodyDiv w:val="1"/>
      <w:marLeft w:val="0"/>
      <w:marRight w:val="0"/>
      <w:marTop w:val="0"/>
      <w:marBottom w:val="0"/>
      <w:divBdr>
        <w:top w:val="none" w:sz="0" w:space="0" w:color="auto"/>
        <w:left w:val="none" w:sz="0" w:space="0" w:color="auto"/>
        <w:bottom w:val="none" w:sz="0" w:space="0" w:color="auto"/>
        <w:right w:val="none" w:sz="0" w:space="0" w:color="auto"/>
      </w:divBdr>
    </w:div>
    <w:div w:id="1634170432">
      <w:bodyDiv w:val="1"/>
      <w:marLeft w:val="0"/>
      <w:marRight w:val="0"/>
      <w:marTop w:val="0"/>
      <w:marBottom w:val="0"/>
      <w:divBdr>
        <w:top w:val="none" w:sz="0" w:space="0" w:color="auto"/>
        <w:left w:val="none" w:sz="0" w:space="0" w:color="auto"/>
        <w:bottom w:val="none" w:sz="0" w:space="0" w:color="auto"/>
        <w:right w:val="none" w:sz="0" w:space="0" w:color="auto"/>
      </w:divBdr>
    </w:div>
    <w:div w:id="1659647741">
      <w:bodyDiv w:val="1"/>
      <w:marLeft w:val="0"/>
      <w:marRight w:val="0"/>
      <w:marTop w:val="0"/>
      <w:marBottom w:val="0"/>
      <w:divBdr>
        <w:top w:val="none" w:sz="0" w:space="0" w:color="auto"/>
        <w:left w:val="none" w:sz="0" w:space="0" w:color="auto"/>
        <w:bottom w:val="none" w:sz="0" w:space="0" w:color="auto"/>
        <w:right w:val="none" w:sz="0" w:space="0" w:color="auto"/>
      </w:divBdr>
    </w:div>
    <w:div w:id="1740518176">
      <w:bodyDiv w:val="1"/>
      <w:marLeft w:val="0"/>
      <w:marRight w:val="0"/>
      <w:marTop w:val="0"/>
      <w:marBottom w:val="0"/>
      <w:divBdr>
        <w:top w:val="none" w:sz="0" w:space="0" w:color="auto"/>
        <w:left w:val="none" w:sz="0" w:space="0" w:color="auto"/>
        <w:bottom w:val="none" w:sz="0" w:space="0" w:color="auto"/>
        <w:right w:val="none" w:sz="0" w:space="0" w:color="auto"/>
      </w:divBdr>
    </w:div>
    <w:div w:id="1816600815">
      <w:bodyDiv w:val="1"/>
      <w:marLeft w:val="0"/>
      <w:marRight w:val="0"/>
      <w:marTop w:val="0"/>
      <w:marBottom w:val="0"/>
      <w:divBdr>
        <w:top w:val="none" w:sz="0" w:space="0" w:color="auto"/>
        <w:left w:val="none" w:sz="0" w:space="0" w:color="auto"/>
        <w:bottom w:val="none" w:sz="0" w:space="0" w:color="auto"/>
        <w:right w:val="none" w:sz="0" w:space="0" w:color="auto"/>
      </w:divBdr>
    </w:div>
    <w:div w:id="1871452943">
      <w:bodyDiv w:val="1"/>
      <w:marLeft w:val="0"/>
      <w:marRight w:val="0"/>
      <w:marTop w:val="0"/>
      <w:marBottom w:val="0"/>
      <w:divBdr>
        <w:top w:val="none" w:sz="0" w:space="0" w:color="auto"/>
        <w:left w:val="none" w:sz="0" w:space="0" w:color="auto"/>
        <w:bottom w:val="none" w:sz="0" w:space="0" w:color="auto"/>
        <w:right w:val="none" w:sz="0" w:space="0" w:color="auto"/>
      </w:divBdr>
    </w:div>
    <w:div w:id="1883177815">
      <w:bodyDiv w:val="1"/>
      <w:marLeft w:val="0"/>
      <w:marRight w:val="0"/>
      <w:marTop w:val="0"/>
      <w:marBottom w:val="0"/>
      <w:divBdr>
        <w:top w:val="none" w:sz="0" w:space="0" w:color="auto"/>
        <w:left w:val="none" w:sz="0" w:space="0" w:color="auto"/>
        <w:bottom w:val="none" w:sz="0" w:space="0" w:color="auto"/>
        <w:right w:val="none" w:sz="0" w:space="0" w:color="auto"/>
      </w:divBdr>
    </w:div>
    <w:div w:id="1929464818">
      <w:bodyDiv w:val="1"/>
      <w:marLeft w:val="0"/>
      <w:marRight w:val="0"/>
      <w:marTop w:val="0"/>
      <w:marBottom w:val="0"/>
      <w:divBdr>
        <w:top w:val="none" w:sz="0" w:space="0" w:color="auto"/>
        <w:left w:val="none" w:sz="0" w:space="0" w:color="auto"/>
        <w:bottom w:val="none" w:sz="0" w:space="0" w:color="auto"/>
        <w:right w:val="none" w:sz="0" w:space="0" w:color="auto"/>
      </w:divBdr>
    </w:div>
    <w:div w:id="1941452534">
      <w:bodyDiv w:val="1"/>
      <w:marLeft w:val="0"/>
      <w:marRight w:val="0"/>
      <w:marTop w:val="0"/>
      <w:marBottom w:val="0"/>
      <w:divBdr>
        <w:top w:val="none" w:sz="0" w:space="0" w:color="auto"/>
        <w:left w:val="none" w:sz="0" w:space="0" w:color="auto"/>
        <w:bottom w:val="none" w:sz="0" w:space="0" w:color="auto"/>
        <w:right w:val="none" w:sz="0" w:space="0" w:color="auto"/>
      </w:divBdr>
    </w:div>
    <w:div w:id="1951938427">
      <w:bodyDiv w:val="1"/>
      <w:marLeft w:val="0"/>
      <w:marRight w:val="0"/>
      <w:marTop w:val="0"/>
      <w:marBottom w:val="0"/>
      <w:divBdr>
        <w:top w:val="none" w:sz="0" w:space="0" w:color="auto"/>
        <w:left w:val="none" w:sz="0" w:space="0" w:color="auto"/>
        <w:bottom w:val="none" w:sz="0" w:space="0" w:color="auto"/>
        <w:right w:val="none" w:sz="0" w:space="0" w:color="auto"/>
      </w:divBdr>
    </w:div>
    <w:div w:id="1988318330">
      <w:bodyDiv w:val="1"/>
      <w:marLeft w:val="0"/>
      <w:marRight w:val="0"/>
      <w:marTop w:val="0"/>
      <w:marBottom w:val="0"/>
      <w:divBdr>
        <w:top w:val="none" w:sz="0" w:space="0" w:color="auto"/>
        <w:left w:val="none" w:sz="0" w:space="0" w:color="auto"/>
        <w:bottom w:val="none" w:sz="0" w:space="0" w:color="auto"/>
        <w:right w:val="none" w:sz="0" w:space="0" w:color="auto"/>
      </w:divBdr>
    </w:div>
    <w:div w:id="2029214791">
      <w:bodyDiv w:val="1"/>
      <w:marLeft w:val="0"/>
      <w:marRight w:val="0"/>
      <w:marTop w:val="0"/>
      <w:marBottom w:val="0"/>
      <w:divBdr>
        <w:top w:val="none" w:sz="0" w:space="0" w:color="auto"/>
        <w:left w:val="none" w:sz="0" w:space="0" w:color="auto"/>
        <w:bottom w:val="none" w:sz="0" w:space="0" w:color="auto"/>
        <w:right w:val="none" w:sz="0" w:space="0" w:color="auto"/>
      </w:divBdr>
    </w:div>
    <w:div w:id="2086604844">
      <w:bodyDiv w:val="1"/>
      <w:marLeft w:val="0"/>
      <w:marRight w:val="0"/>
      <w:marTop w:val="0"/>
      <w:marBottom w:val="0"/>
      <w:divBdr>
        <w:top w:val="none" w:sz="0" w:space="0" w:color="auto"/>
        <w:left w:val="none" w:sz="0" w:space="0" w:color="auto"/>
        <w:bottom w:val="none" w:sz="0" w:space="0" w:color="auto"/>
        <w:right w:val="none" w:sz="0" w:space="0" w:color="auto"/>
      </w:divBdr>
    </w:div>
    <w:div w:id="2094890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emf"/><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footer" Target="footer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nowsdgs.jrc.ec.europa.eu/cfc" TargetMode="External"/></Relationships>
</file>

<file path=word/theme/theme1.xml><?xml version="1.0" encoding="utf-8"?>
<a:theme xmlns:a="http://schemas.openxmlformats.org/drawingml/2006/main" name="Office Theme">
  <a:themeElements>
    <a:clrScheme name="Democracy">
      <a:dk1>
        <a:sysClr val="windowText" lastClr="000000"/>
      </a:dk1>
      <a:lt1>
        <a:sysClr val="window" lastClr="FFFFFF"/>
      </a:lt1>
      <a:dk2>
        <a:srgbClr val="1F497D"/>
      </a:dk2>
      <a:lt2>
        <a:srgbClr val="EEECE1"/>
      </a:lt2>
      <a:accent1>
        <a:srgbClr val="FFC000"/>
      </a:accent1>
      <a:accent2>
        <a:srgbClr val="00ADDC"/>
      </a:accent2>
      <a:accent3>
        <a:srgbClr val="0070C0"/>
      </a:accent3>
      <a:accent4>
        <a:srgbClr val="1D2C65"/>
      </a:accent4>
      <a:accent5>
        <a:srgbClr val="5FDFDC"/>
      </a:accent5>
      <a:accent6>
        <a:srgbClr val="EB6E19"/>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16" ma:contentTypeDescription="Create a new document." ma:contentTypeScope="" ma:versionID="9a7603c524114638343658be406d78a5">
  <xsd:schema xmlns:xsd="http://www.w3.org/2001/XMLSchema" xmlns:xs="http://www.w3.org/2001/XMLSchema" xmlns:p="http://schemas.microsoft.com/office/2006/metadata/properties" xmlns:ns1="http://schemas.microsoft.com/sharepoint/v3" xmlns:ns2="cce4269c-1bca-4c47-bcbd-0ca0cb14aa6e" xmlns:ns3="96a7f24e-e0df-4592-b6e0-4a62e251a0e5" targetNamespace="http://schemas.microsoft.com/office/2006/metadata/properties" ma:root="true" ma:fieldsID="89cdbf63be496cba8f4c6891d88c3452" ns1:_="" ns2:_="" ns3:_="">
    <xsd:import namespace="http://schemas.microsoft.com/sharepoint/v3"/>
    <xsd:import namespace="cce4269c-1bca-4c47-bcbd-0ca0cb14aa6e"/>
    <xsd:import namespace="96a7f24e-e0df-4592-b6e0-4a62e251a0e5"/>
    <xsd:element name="properties">
      <xsd:complexType>
        <xsd:sequence>
          <xsd:element name="documentManagement">
            <xsd:complexType>
              <xsd:all>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Language"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5"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xsd:complexType>
        <xsd:complexContent>
          <xsd:extension base="dms:MultiChoice">
            <xsd:sequence>
              <xsd:element name="Value" maxOccurs="unbounded" minOccurs="0" nillable="true">
                <xsd:simpleType>
                  <xsd:restriction base="dms:Choice">
                    <xsd:enumeration value="FISMA"/>
                    <xsd:enumeration value="ESTAT"/>
                    <xsd:enumeration value="TAXUD"/>
                    <xsd:enumeration value="BUDGET"/>
                    <xsd:enumeration value="MANAGEMENT"/>
                    <xsd:enumeration value="LPPS"/>
                    <xsd:enumeration value="Choice 7"/>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ddeed7-3f14-4cbc-be1d-0468071a0c24}" ma:internalName="TaxCatchAll"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opic xmlns="cce4269c-1bca-4c47-bcbd-0ca0cb14aa6e" xsi:nil="true"/>
    <TaxCatchAll xmlns="96a7f24e-e0df-4592-b6e0-4a62e251a0e5" xsi:nil="true"/>
    <lcf76f155ced4ddcb4097134ff3c332f xmlns="cce4269c-1bca-4c47-bcbd-0ca0cb14aa6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2EB72-E56D-49CC-90E9-5590CEA4B168}">
  <ds:schemaRefs>
    <ds:schemaRef ds:uri="http://schemas.microsoft.com/sharepoint/v3/contenttype/forms"/>
  </ds:schemaRefs>
</ds:datastoreItem>
</file>

<file path=customXml/itemProps2.xml><?xml version="1.0" encoding="utf-8"?>
<ds:datastoreItem xmlns:ds="http://schemas.openxmlformats.org/officeDocument/2006/customXml" ds:itemID="{C970C528-603E-4F98-BBE2-84B543A44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0915C-A0EC-4882-BEC9-AF7316653FC3}">
  <ds:schemaRefs>
    <ds:schemaRef ds:uri="http://schemas.microsoft.com/office/2006/metadata/properties"/>
    <ds:schemaRef ds:uri="http://schemas.microsoft.com/office/infopath/2007/PartnerControls"/>
    <ds:schemaRef ds:uri="http://schemas.microsoft.com/sharepoint/v3"/>
    <ds:schemaRef ds:uri="cce4269c-1bca-4c47-bcbd-0ca0cb14aa6e"/>
    <ds:schemaRef ds:uri="96a7f24e-e0df-4592-b6e0-4a62e251a0e5"/>
  </ds:schemaRefs>
</ds:datastoreItem>
</file>

<file path=customXml/itemProps4.xml><?xml version="1.0" encoding="utf-8"?>
<ds:datastoreItem xmlns:ds="http://schemas.openxmlformats.org/officeDocument/2006/customXml" ds:itemID="{E0AE4C47-B6C6-4E30-BA38-347426B6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11118</Words>
  <Characters>61038</Characters>
  <Application>Microsoft Office Word</Application>
  <DocSecurity>0</DocSecurity>
  <Lines>871</Lines>
  <Paragraphs>166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71990</CharactersWithSpaces>
  <SharedDoc>false</SharedDoc>
  <HLinks>
    <vt:vector size="6" baseType="variant">
      <vt:variant>
        <vt:i4>655390</vt:i4>
      </vt:variant>
      <vt:variant>
        <vt:i4>0</vt:i4>
      </vt:variant>
      <vt:variant>
        <vt:i4>0</vt:i4>
      </vt:variant>
      <vt:variant>
        <vt:i4>5</vt:i4>
      </vt:variant>
      <vt:variant>
        <vt:lpwstr>https://knowsdgs.jrc.ec.europa.eu/cfc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2023-10-08T09:48:00Z</dcterms:created>
  <dcterms:modified xsi:type="dcterms:W3CDTF">2023-10-20T13:41:00Z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2023-09-20T15:06:19Z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a86e63f8-2795-4680-9480-17587fb6c5bb</vt:lpwstr>
  </property>
  <property fmtid="{D5CDD505-2E9C-101B-9397-08002B2CF9AE}" pid="8" name="MSIP_Label_6bd9ddd1-4d20-43f6-abfa-fc3c07406f94_ContentBits">
    <vt:lpwstr>0</vt:lpwstr>
  </property>
  <property fmtid="{D5CDD505-2E9C-101B-9397-08002B2CF9AE}" pid="9" name="ContentTypeId">
    <vt:lpwstr>0x0101008BA6791DDFFC024DAA4136D92359EB10</vt:lpwstr>
  </property>
  <property fmtid="{D5CDD505-2E9C-101B-9397-08002B2CF9AE}" pid="10" name="Level of sensitivity">
    <vt:lpwstr>Standard treatment</vt:lpwstr>
  </property>
  <property fmtid="{D5CDD505-2E9C-101B-9397-08002B2CF9AE}" pid="11" name="Last edited using">
    <vt:lpwstr>LW 9.0, Build 20230317</vt:lpwstr>
  </property>
  <property fmtid="{D5CDD505-2E9C-101B-9397-08002B2CF9AE}" pid="12" name="DocStatus">
    <vt:lpwstr>Green</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CP-014</vt:lpwstr>
  </property>
  <property fmtid="{D5CDD505-2E9C-101B-9397-08002B2CF9AE}" pid="16" name="MediaServiceImageTags">
    <vt:lpwstr/>
  </property>
</Properties>
</file>