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253" w:rsidRDefault="00AD3424" w:rsidP="00AD3424">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45C25D6-CEB2-4FDD-81AE-45BF16752590" style="width:450.75pt;height:416.25pt">
            <v:imagedata r:id="rId7" o:title=""/>
          </v:shape>
        </w:pict>
      </w:r>
    </w:p>
    <w:bookmarkEnd w:id="0"/>
    <w:p w:rsidR="008B6253" w:rsidRDefault="008B6253" w:rsidP="008B6253">
      <w:pPr>
        <w:rPr>
          <w:noProof/>
        </w:rPr>
        <w:sectPr w:rsidR="008B6253" w:rsidSect="00AD3424">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rsidR="008B6253" w:rsidRDefault="008B6253" w:rsidP="008B6253">
      <w:pPr>
        <w:pStyle w:val="TOCHeading"/>
        <w:rPr>
          <w:rFonts w:eastAsiaTheme="minorHAnsi"/>
          <w:b w:val="0"/>
          <w:noProof/>
          <w:sz w:val="24"/>
          <w:lang w:val="en-IE"/>
        </w:rPr>
      </w:pPr>
    </w:p>
    <w:sdt>
      <w:sdtPr>
        <w:rPr>
          <w:rFonts w:eastAsiaTheme="minorHAnsi"/>
          <w:b w:val="0"/>
          <w:noProof/>
          <w:sz w:val="24"/>
        </w:rPr>
        <w:id w:val="-874687748"/>
        <w:docPartObj>
          <w:docPartGallery w:val="Table of Contents"/>
          <w:docPartUnique/>
        </w:docPartObj>
      </w:sdtPr>
      <w:sdtEndPr>
        <w:rPr>
          <w:bCs/>
        </w:rPr>
      </w:sdtEndPr>
      <w:sdtContent>
        <w:p w:rsidR="008B6253" w:rsidRDefault="008B6253" w:rsidP="008B6253">
          <w:pPr>
            <w:pStyle w:val="TOCHeading"/>
            <w:rPr>
              <w:noProof/>
            </w:rPr>
          </w:pPr>
          <w:r>
            <w:rPr>
              <w:noProof/>
            </w:rPr>
            <w:t>Table des matières</w:t>
          </w:r>
        </w:p>
        <w:p w:rsidR="00161872" w:rsidRDefault="008B6253">
          <w:pPr>
            <w:pStyle w:val="TOC1"/>
            <w:rPr>
              <w:rFonts w:asciiTheme="minorHAnsi" w:eastAsiaTheme="minorEastAsia" w:hAnsiTheme="minorHAnsi" w:cstheme="minorBidi"/>
              <w:noProof/>
              <w:sz w:val="22"/>
              <w:szCs w:val="22"/>
              <w:lang w:val="en-US"/>
            </w:rPr>
          </w:pPr>
          <w:r>
            <w:rPr>
              <w:noProof/>
            </w:rPr>
            <w:fldChar w:fldCharType="begin"/>
          </w:r>
          <w:r>
            <w:rPr>
              <w:noProof/>
            </w:rPr>
            <w:instrText xml:space="preserve"> TOC \o "1-3" \h \z \u </w:instrText>
          </w:r>
          <w:r>
            <w:rPr>
              <w:noProof/>
            </w:rPr>
            <w:fldChar w:fldCharType="separate"/>
          </w:r>
          <w:hyperlink w:anchor="_Toc95738331" w:history="1">
            <w:r w:rsidR="00161872" w:rsidRPr="00887B27">
              <w:rPr>
                <w:rStyle w:val="Hyperlink"/>
                <w:bCs/>
                <w:noProof/>
              </w:rPr>
              <w:t>1</w:t>
            </w:r>
            <w:r w:rsidR="00161872" w:rsidRPr="003D04C1">
              <w:rPr>
                <w:rStyle w:val="Hyperlink"/>
                <w:bCs/>
                <w:noProof/>
              </w:rPr>
              <w:t>.</w:t>
            </w:r>
            <w:r w:rsidR="00161872">
              <w:rPr>
                <w:rFonts w:asciiTheme="minorHAnsi" w:eastAsiaTheme="minorEastAsia" w:hAnsiTheme="minorHAnsi" w:cstheme="minorBidi"/>
                <w:noProof/>
                <w:sz w:val="22"/>
                <w:szCs w:val="22"/>
                <w:lang w:val="en-US"/>
              </w:rPr>
              <w:tab/>
            </w:r>
            <w:r w:rsidR="00161872" w:rsidRPr="003D04C1">
              <w:rPr>
                <w:rStyle w:val="Hyperlink"/>
                <w:noProof/>
              </w:rPr>
              <w:t>Introduction</w:t>
            </w:r>
            <w:r w:rsidR="00161872">
              <w:rPr>
                <w:noProof/>
                <w:webHidden/>
              </w:rPr>
              <w:tab/>
            </w:r>
            <w:r w:rsidR="00161872">
              <w:rPr>
                <w:noProof/>
                <w:webHidden/>
              </w:rPr>
              <w:fldChar w:fldCharType="begin"/>
            </w:r>
            <w:r w:rsidR="00161872">
              <w:rPr>
                <w:noProof/>
                <w:webHidden/>
              </w:rPr>
              <w:instrText xml:space="preserve"> PAGEREF _Toc95738331 \h </w:instrText>
            </w:r>
            <w:r w:rsidR="00161872">
              <w:rPr>
                <w:noProof/>
                <w:webHidden/>
              </w:rPr>
            </w:r>
            <w:r w:rsidR="00161872">
              <w:rPr>
                <w:noProof/>
                <w:webHidden/>
              </w:rPr>
              <w:fldChar w:fldCharType="separate"/>
            </w:r>
            <w:r w:rsidR="00393FA8">
              <w:rPr>
                <w:noProof/>
                <w:webHidden/>
              </w:rPr>
              <w:t>2</w:t>
            </w:r>
            <w:r w:rsidR="00161872">
              <w:rPr>
                <w:noProof/>
                <w:webHidden/>
              </w:rPr>
              <w:fldChar w:fldCharType="end"/>
            </w:r>
          </w:hyperlink>
        </w:p>
        <w:p w:rsidR="00161872" w:rsidRDefault="00AD3424">
          <w:pPr>
            <w:pStyle w:val="TOC1"/>
            <w:rPr>
              <w:rFonts w:asciiTheme="minorHAnsi" w:eastAsiaTheme="minorEastAsia" w:hAnsiTheme="minorHAnsi" w:cstheme="minorBidi"/>
              <w:noProof/>
              <w:sz w:val="22"/>
              <w:szCs w:val="22"/>
              <w:lang w:val="en-US"/>
            </w:rPr>
          </w:pPr>
          <w:hyperlink w:anchor="_Toc95738332" w:history="1">
            <w:r w:rsidR="00161872" w:rsidRPr="00887B27">
              <w:rPr>
                <w:rStyle w:val="Hyperlink"/>
                <w:bCs/>
                <w:noProof/>
              </w:rPr>
              <w:t>2</w:t>
            </w:r>
            <w:r w:rsidR="00161872" w:rsidRPr="003D04C1">
              <w:rPr>
                <w:rStyle w:val="Hyperlink"/>
                <w:bCs/>
                <w:noProof/>
              </w:rPr>
              <w:t>.</w:t>
            </w:r>
            <w:r w:rsidR="00161872">
              <w:rPr>
                <w:rFonts w:asciiTheme="minorHAnsi" w:eastAsiaTheme="minorEastAsia" w:hAnsiTheme="minorHAnsi" w:cstheme="minorBidi"/>
                <w:noProof/>
                <w:sz w:val="22"/>
                <w:szCs w:val="22"/>
                <w:lang w:val="en-US"/>
              </w:rPr>
              <w:tab/>
            </w:r>
            <w:r w:rsidR="00161872" w:rsidRPr="003D04C1">
              <w:rPr>
                <w:rStyle w:val="Hyperlink"/>
                <w:noProof/>
              </w:rPr>
              <w:t>Principaux résultats du programme de financement NextGenerationEU</w:t>
            </w:r>
            <w:r w:rsidR="00161872">
              <w:rPr>
                <w:noProof/>
                <w:webHidden/>
              </w:rPr>
              <w:tab/>
            </w:r>
            <w:r w:rsidR="00161872">
              <w:rPr>
                <w:noProof/>
                <w:webHidden/>
              </w:rPr>
              <w:fldChar w:fldCharType="begin"/>
            </w:r>
            <w:r w:rsidR="00161872">
              <w:rPr>
                <w:noProof/>
                <w:webHidden/>
              </w:rPr>
              <w:instrText xml:space="preserve"> PAGEREF _Toc95738332 \h </w:instrText>
            </w:r>
            <w:r w:rsidR="00161872">
              <w:rPr>
                <w:noProof/>
                <w:webHidden/>
              </w:rPr>
            </w:r>
            <w:r w:rsidR="00161872">
              <w:rPr>
                <w:noProof/>
                <w:webHidden/>
              </w:rPr>
              <w:fldChar w:fldCharType="separate"/>
            </w:r>
            <w:r w:rsidR="00393FA8">
              <w:rPr>
                <w:noProof/>
                <w:webHidden/>
              </w:rPr>
              <w:t>2</w:t>
            </w:r>
            <w:r w:rsidR="00161872">
              <w:rPr>
                <w:noProof/>
                <w:webHidden/>
              </w:rPr>
              <w:fldChar w:fldCharType="end"/>
            </w:r>
          </w:hyperlink>
        </w:p>
        <w:p w:rsidR="00161872" w:rsidRDefault="00AD3424">
          <w:pPr>
            <w:pStyle w:val="TOC1"/>
            <w:rPr>
              <w:rFonts w:asciiTheme="minorHAnsi" w:eastAsiaTheme="minorEastAsia" w:hAnsiTheme="minorHAnsi" w:cstheme="minorBidi"/>
              <w:noProof/>
              <w:sz w:val="22"/>
              <w:szCs w:val="22"/>
              <w:lang w:val="en-US"/>
            </w:rPr>
          </w:pPr>
          <w:hyperlink w:anchor="_Toc95738333" w:history="1">
            <w:r w:rsidR="00161872" w:rsidRPr="00887B27">
              <w:rPr>
                <w:rStyle w:val="Hyperlink"/>
                <w:noProof/>
              </w:rPr>
              <w:t>3</w:t>
            </w:r>
            <w:r w:rsidR="00161872" w:rsidRPr="003D04C1">
              <w:rPr>
                <w:rStyle w:val="Hyperlink"/>
                <w:noProof/>
              </w:rPr>
              <w:t>.</w:t>
            </w:r>
            <w:r w:rsidR="00161872">
              <w:rPr>
                <w:rFonts w:asciiTheme="minorHAnsi" w:eastAsiaTheme="minorEastAsia" w:hAnsiTheme="minorHAnsi" w:cstheme="minorBidi"/>
                <w:noProof/>
                <w:sz w:val="22"/>
                <w:szCs w:val="22"/>
                <w:lang w:val="en-US"/>
              </w:rPr>
              <w:tab/>
            </w:r>
            <w:r w:rsidR="00161872" w:rsidRPr="003D04C1">
              <w:rPr>
                <w:rStyle w:val="Hyperlink"/>
                <w:noProof/>
              </w:rPr>
              <w:t>Mise en place et mise en œuvre de la stratégie de financement de NextGenerationEU</w:t>
            </w:r>
            <w:r w:rsidR="00161872">
              <w:rPr>
                <w:noProof/>
                <w:webHidden/>
              </w:rPr>
              <w:tab/>
            </w:r>
            <w:r w:rsidR="00161872">
              <w:rPr>
                <w:noProof/>
                <w:webHidden/>
              </w:rPr>
              <w:fldChar w:fldCharType="begin"/>
            </w:r>
            <w:r w:rsidR="00161872">
              <w:rPr>
                <w:noProof/>
                <w:webHidden/>
              </w:rPr>
              <w:instrText xml:space="preserve"> PAGEREF _Toc95738333 \h </w:instrText>
            </w:r>
            <w:r w:rsidR="00161872">
              <w:rPr>
                <w:noProof/>
                <w:webHidden/>
              </w:rPr>
            </w:r>
            <w:r w:rsidR="00161872">
              <w:rPr>
                <w:noProof/>
                <w:webHidden/>
              </w:rPr>
              <w:fldChar w:fldCharType="separate"/>
            </w:r>
            <w:r w:rsidR="00393FA8">
              <w:rPr>
                <w:noProof/>
                <w:webHidden/>
              </w:rPr>
              <w:t>6</w:t>
            </w:r>
            <w:r w:rsidR="00161872">
              <w:rPr>
                <w:noProof/>
                <w:webHidden/>
              </w:rPr>
              <w:fldChar w:fldCharType="end"/>
            </w:r>
          </w:hyperlink>
        </w:p>
        <w:p w:rsidR="00161872" w:rsidRDefault="00AD3424">
          <w:pPr>
            <w:pStyle w:val="TOC1"/>
            <w:rPr>
              <w:rFonts w:asciiTheme="minorHAnsi" w:eastAsiaTheme="minorEastAsia" w:hAnsiTheme="minorHAnsi" w:cstheme="minorBidi"/>
              <w:noProof/>
              <w:sz w:val="22"/>
              <w:szCs w:val="22"/>
              <w:lang w:val="en-US"/>
            </w:rPr>
          </w:pPr>
          <w:hyperlink w:anchor="_Toc95738342" w:history="1">
            <w:r w:rsidR="00161872" w:rsidRPr="00887B27">
              <w:rPr>
                <w:rStyle w:val="Hyperlink"/>
                <w:noProof/>
              </w:rPr>
              <w:t>4</w:t>
            </w:r>
            <w:r w:rsidR="00161872" w:rsidRPr="003D04C1">
              <w:rPr>
                <w:rStyle w:val="Hyperlink"/>
                <w:noProof/>
              </w:rPr>
              <w:t>.</w:t>
            </w:r>
            <w:r w:rsidR="00161872">
              <w:rPr>
                <w:rFonts w:asciiTheme="minorHAnsi" w:eastAsiaTheme="minorEastAsia" w:hAnsiTheme="minorHAnsi" w:cstheme="minorBidi"/>
                <w:noProof/>
                <w:sz w:val="22"/>
                <w:szCs w:val="22"/>
                <w:lang w:val="en-US"/>
              </w:rPr>
              <w:tab/>
            </w:r>
            <w:r w:rsidR="00161872" w:rsidRPr="003D04C1">
              <w:rPr>
                <w:rStyle w:val="Hyperlink"/>
                <w:noProof/>
              </w:rPr>
              <w:t>Conclusion</w:t>
            </w:r>
            <w:r w:rsidR="00161872">
              <w:rPr>
                <w:noProof/>
                <w:webHidden/>
              </w:rPr>
              <w:tab/>
            </w:r>
            <w:r w:rsidR="00161872">
              <w:rPr>
                <w:noProof/>
                <w:webHidden/>
              </w:rPr>
              <w:fldChar w:fldCharType="begin"/>
            </w:r>
            <w:r w:rsidR="00161872">
              <w:rPr>
                <w:noProof/>
                <w:webHidden/>
              </w:rPr>
              <w:instrText xml:space="preserve"> PAGEREF _Toc95738342 \h </w:instrText>
            </w:r>
            <w:r w:rsidR="00161872">
              <w:rPr>
                <w:noProof/>
                <w:webHidden/>
              </w:rPr>
            </w:r>
            <w:r w:rsidR="00161872">
              <w:rPr>
                <w:noProof/>
                <w:webHidden/>
              </w:rPr>
              <w:fldChar w:fldCharType="separate"/>
            </w:r>
            <w:r w:rsidR="00393FA8">
              <w:rPr>
                <w:noProof/>
                <w:webHidden/>
              </w:rPr>
              <w:t>12</w:t>
            </w:r>
            <w:r w:rsidR="00161872">
              <w:rPr>
                <w:noProof/>
                <w:webHidden/>
              </w:rPr>
              <w:fldChar w:fldCharType="end"/>
            </w:r>
          </w:hyperlink>
        </w:p>
        <w:p w:rsidR="00161872" w:rsidRDefault="00AD3424">
          <w:pPr>
            <w:pStyle w:val="TOC1"/>
            <w:rPr>
              <w:rFonts w:asciiTheme="minorHAnsi" w:eastAsiaTheme="minorEastAsia" w:hAnsiTheme="minorHAnsi" w:cstheme="minorBidi"/>
              <w:noProof/>
              <w:sz w:val="22"/>
              <w:szCs w:val="22"/>
              <w:lang w:val="en-US"/>
            </w:rPr>
          </w:pPr>
          <w:hyperlink w:anchor="_Toc95738343" w:history="1">
            <w:r w:rsidR="00161872" w:rsidRPr="003D04C1">
              <w:rPr>
                <w:rStyle w:val="Hyperlink"/>
                <w:noProof/>
              </w:rPr>
              <w:t>Annexe. Vue d’ensemble des émissions d’obligations et de titres de créance à court terme</w:t>
            </w:r>
            <w:r w:rsidR="00161872">
              <w:rPr>
                <w:noProof/>
                <w:webHidden/>
              </w:rPr>
              <w:tab/>
            </w:r>
            <w:r w:rsidR="00161872">
              <w:rPr>
                <w:noProof/>
                <w:webHidden/>
              </w:rPr>
              <w:fldChar w:fldCharType="begin"/>
            </w:r>
            <w:r w:rsidR="00161872">
              <w:rPr>
                <w:noProof/>
                <w:webHidden/>
              </w:rPr>
              <w:instrText xml:space="preserve"> PAGEREF _Toc95738343 \h </w:instrText>
            </w:r>
            <w:r w:rsidR="00161872">
              <w:rPr>
                <w:noProof/>
                <w:webHidden/>
              </w:rPr>
            </w:r>
            <w:r w:rsidR="00161872">
              <w:rPr>
                <w:noProof/>
                <w:webHidden/>
              </w:rPr>
              <w:fldChar w:fldCharType="separate"/>
            </w:r>
            <w:r w:rsidR="00393FA8">
              <w:rPr>
                <w:noProof/>
                <w:webHidden/>
              </w:rPr>
              <w:t>13</w:t>
            </w:r>
            <w:r w:rsidR="00161872">
              <w:rPr>
                <w:noProof/>
                <w:webHidden/>
              </w:rPr>
              <w:fldChar w:fldCharType="end"/>
            </w:r>
          </w:hyperlink>
        </w:p>
        <w:p w:rsidR="008B6253" w:rsidRDefault="008B6253" w:rsidP="008B6253">
          <w:pPr>
            <w:rPr>
              <w:noProof/>
            </w:rPr>
          </w:pPr>
          <w:r>
            <w:rPr>
              <w:b/>
              <w:bCs/>
              <w:noProof/>
            </w:rPr>
            <w:fldChar w:fldCharType="end"/>
          </w:r>
        </w:p>
        <w:bookmarkStart w:id="1" w:name="_GoBack" w:displacedByCustomXml="next"/>
        <w:bookmarkEnd w:id="1" w:displacedByCustomXml="next"/>
      </w:sdtContent>
    </w:sdt>
    <w:p w:rsidR="008B6253" w:rsidRDefault="008B6253" w:rsidP="008B6253">
      <w:pPr>
        <w:rPr>
          <w:noProof/>
        </w:rPr>
      </w:pPr>
    </w:p>
    <w:p w:rsidR="008B6253" w:rsidRPr="00125797" w:rsidRDefault="008B6253" w:rsidP="008B6253">
      <w:pPr>
        <w:rPr>
          <w:noProof/>
          <w:u w:val="single"/>
        </w:rPr>
        <w:sectPr w:rsidR="008B6253" w:rsidRPr="00125797" w:rsidSect="008B6253">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4" w:left="1417" w:header="709" w:footer="709" w:gutter="0"/>
          <w:pgNumType w:start="0"/>
          <w:cols w:space="720"/>
          <w:docGrid w:linePitch="360"/>
        </w:sectPr>
      </w:pPr>
    </w:p>
    <w:p w:rsidR="008B6253" w:rsidRPr="00915269" w:rsidRDefault="008B6253" w:rsidP="008B6253">
      <w:pPr>
        <w:spacing w:after="0" w:line="259" w:lineRule="auto"/>
        <w:rPr>
          <w:rFonts w:ascii="EC Square Sans Pro" w:eastAsia="Calibri" w:hAnsi="EC Square Sans Pro"/>
          <w:b/>
          <w:noProof/>
          <w:color w:val="F68A4C"/>
          <w:sz w:val="22"/>
          <w:szCs w:val="22"/>
        </w:rPr>
      </w:pPr>
      <w:bookmarkStart w:id="2" w:name="_Toc89691580"/>
      <w:r>
        <w:rPr>
          <w:rFonts w:ascii="EC Square Sans Pro Light" w:hAnsi="EC Square Sans Pro Light"/>
          <w:noProof/>
          <w:color w:val="F68A4C"/>
          <w:sz w:val="40"/>
          <w:szCs w:val="40"/>
        </w:rPr>
        <w:lastRenderedPageBreak/>
        <w:t>Financement de NextGenerationEU</w:t>
      </w:r>
      <w:r>
        <w:rPr>
          <w:rFonts w:ascii="EC Square Sans Pro" w:hAnsi="EC Square Sans Pro"/>
          <w:b/>
          <w:noProof/>
          <w:color w:val="F68A4C"/>
          <w:sz w:val="22"/>
          <w:szCs w:val="22"/>
        </w:rPr>
        <w:t xml:space="preserve"> </w:t>
      </w:r>
    </w:p>
    <w:p w:rsidR="008B6253" w:rsidRDefault="00045F94" w:rsidP="008B6253">
      <w:pPr>
        <w:spacing w:after="0" w:line="259" w:lineRule="auto"/>
        <w:rPr>
          <w:rFonts w:ascii="EC Square Sans Pro" w:hAnsi="EC Square Sans Pro"/>
          <w:noProof/>
          <w:color w:val="F68A4C"/>
          <w:sz w:val="22"/>
          <w:szCs w:val="22"/>
        </w:rPr>
      </w:pPr>
      <w:r>
        <w:rPr>
          <w:rFonts w:ascii="EC Square Sans Pro" w:hAnsi="EC Square Sans Pro"/>
          <w:noProof/>
          <w:color w:val="F68A4C"/>
          <w:sz w:val="22"/>
          <w:szCs w:val="22"/>
          <w:lang w:val="en-US"/>
        </w:rPr>
        <mc:AlternateContent>
          <mc:Choice Requires="wpg">
            <w:drawing>
              <wp:anchor distT="0" distB="0" distL="114300" distR="114300" simplePos="0" relativeHeight="251658752" behindDoc="0" locked="0" layoutInCell="1" allowOverlap="1" wp14:anchorId="2182F511" wp14:editId="38005DA6">
                <wp:simplePos x="0" y="0"/>
                <wp:positionH relativeFrom="column">
                  <wp:posOffset>-109855</wp:posOffset>
                </wp:positionH>
                <wp:positionV relativeFrom="paragraph">
                  <wp:posOffset>316230</wp:posOffset>
                </wp:positionV>
                <wp:extent cx="5876925" cy="3543300"/>
                <wp:effectExtent l="0" t="0" r="0" b="0"/>
                <wp:wrapTopAndBottom/>
                <wp:docPr id="134" name="Group 134"/>
                <wp:cNvGraphicFramePr/>
                <a:graphic xmlns:a="http://schemas.openxmlformats.org/drawingml/2006/main">
                  <a:graphicData uri="http://schemas.microsoft.com/office/word/2010/wordprocessingGroup">
                    <wpg:wgp>
                      <wpg:cNvGrpSpPr/>
                      <wpg:grpSpPr>
                        <a:xfrm>
                          <a:off x="0" y="0"/>
                          <a:ext cx="5876925" cy="3543300"/>
                          <a:chOff x="0" y="-1"/>
                          <a:chExt cx="5876925" cy="3543301"/>
                        </a:xfrm>
                      </wpg:grpSpPr>
                      <pic:pic xmlns:pic="http://schemas.openxmlformats.org/drawingml/2006/picture">
                        <pic:nvPicPr>
                          <pic:cNvPr id="106" name="Picture 106"/>
                          <pic:cNvPicPr>
                            <a:picLocks noChangeAspect="1"/>
                          </pic:cNvPicPr>
                        </pic:nvPicPr>
                        <pic:blipFill rotWithShape="1">
                          <a:blip r:embed="rId20" cstate="print">
                            <a:extLst>
                              <a:ext uri="{28A0092B-C50C-407E-A947-70E740481C1C}">
                                <a14:useLocalDpi xmlns:a14="http://schemas.microsoft.com/office/drawing/2010/main" val="0"/>
                              </a:ext>
                            </a:extLst>
                          </a:blip>
                          <a:srcRect b="13187"/>
                          <a:stretch/>
                        </pic:blipFill>
                        <pic:spPr bwMode="auto">
                          <a:xfrm>
                            <a:off x="0" y="-1"/>
                            <a:ext cx="5778500" cy="3514725"/>
                          </a:xfrm>
                          <a:prstGeom prst="rect">
                            <a:avLst/>
                          </a:prstGeom>
                          <a:noFill/>
                          <a:ln>
                            <a:noFill/>
                          </a:ln>
                          <a:extLst>
                            <a:ext uri="{53640926-AAD7-44D8-BBD7-CCE9431645EC}">
                              <a14:shadowObscured xmlns:a14="http://schemas.microsoft.com/office/drawing/2010/main"/>
                            </a:ext>
                          </a:extLst>
                        </pic:spPr>
                      </pic:pic>
                      <wpg:grpSp>
                        <wpg:cNvPr id="123" name="Group 123"/>
                        <wpg:cNvGrpSpPr/>
                        <wpg:grpSpPr>
                          <a:xfrm>
                            <a:off x="723901" y="19050"/>
                            <a:ext cx="1409700" cy="3467099"/>
                            <a:chOff x="-57149" y="0"/>
                            <a:chExt cx="1409700" cy="3467099"/>
                          </a:xfrm>
                        </wpg:grpSpPr>
                        <wps:wsp>
                          <wps:cNvPr id="12" name="Text Box 12"/>
                          <wps:cNvSpPr txBox="1"/>
                          <wps:spPr>
                            <a:xfrm>
                              <a:off x="-57149" y="180976"/>
                              <a:ext cx="1409700" cy="419100"/>
                            </a:xfrm>
                            <a:prstGeom prst="rect">
                              <a:avLst/>
                            </a:prstGeom>
                            <a:noFill/>
                            <a:ln w="6350">
                              <a:noFill/>
                            </a:ln>
                          </wps:spPr>
                          <wps:txbx>
                            <w:txbxContent>
                              <w:p w:rsidR="002D3875" w:rsidRDefault="008B6253" w:rsidP="002D3875">
                                <w:pPr>
                                  <w:spacing w:after="60" w:line="200" w:lineRule="exact"/>
                                  <w:rPr>
                                    <w:rFonts w:ascii="EC Square Sans Pro" w:hAnsi="EC Square Sans Pro"/>
                                    <w:b/>
                                    <w:color w:val="FFFFFF" w:themeColor="background1"/>
                                    <w:sz w:val="20"/>
                                    <w:szCs w:val="20"/>
                                  </w:rPr>
                                </w:pPr>
                                <w:r w:rsidRPr="002D3875">
                                  <w:rPr>
                                    <w:rFonts w:ascii="EC Square Sans Pro" w:hAnsi="EC Square Sans Pro"/>
                                    <w:b/>
                                    <w:color w:val="FFFFFF" w:themeColor="background1"/>
                                    <w:sz w:val="20"/>
                                    <w:szCs w:val="20"/>
                                  </w:rPr>
                                  <w:t>12 milliards d’EUR</w:t>
                                </w:r>
                              </w:p>
                              <w:p w:rsidR="008B6253" w:rsidRPr="002D3875" w:rsidRDefault="008B6253" w:rsidP="002D3875">
                                <w:pPr>
                                  <w:spacing w:after="0" w:line="200" w:lineRule="exact"/>
                                  <w:rPr>
                                    <w:rFonts w:ascii="EC Square Sans Pro" w:hAnsi="EC Square Sans Pro"/>
                                    <w:b/>
                                    <w:color w:val="FFFFFF" w:themeColor="background1"/>
                                    <w:sz w:val="20"/>
                                    <w:szCs w:val="20"/>
                                  </w:rPr>
                                </w:pPr>
                                <w:r w:rsidRPr="002D3875">
                                  <w:rPr>
                                    <w:rFonts w:ascii="EC Square Sans Pro" w:hAnsi="EC Square Sans Pro"/>
                                    <w:b/>
                                    <w:color w:val="FFFFFF" w:themeColor="background1"/>
                                    <w:sz w:val="20"/>
                                    <w:szCs w:val="20"/>
                                  </w:rPr>
                                  <w:t>Obligations vertes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 name="Text Box 104"/>
                          <wps:cNvSpPr txBox="1"/>
                          <wps:spPr>
                            <a:xfrm>
                              <a:off x="-2" y="704850"/>
                              <a:ext cx="1219201" cy="304800"/>
                            </a:xfrm>
                            <a:prstGeom prst="rect">
                              <a:avLst/>
                            </a:prstGeom>
                            <a:noFill/>
                            <a:ln w="6350">
                              <a:noFill/>
                            </a:ln>
                          </wps:spPr>
                          <wps:txbx>
                            <w:txbxContent>
                              <w:p w:rsidR="008B6253" w:rsidRPr="002D3875" w:rsidRDefault="008B6253" w:rsidP="002D3875">
                                <w:pPr>
                                  <w:spacing w:after="0" w:line="200" w:lineRule="exact"/>
                                  <w:rPr>
                                    <w:rFonts w:ascii="EC Square Sans Pro" w:hAnsi="EC Square Sans Pro"/>
                                    <w:b/>
                                    <w:color w:val="FFFFFF" w:themeColor="background1"/>
                                    <w:sz w:val="20"/>
                                    <w:szCs w:val="20"/>
                                  </w:rPr>
                                </w:pPr>
                                <w:r w:rsidRPr="002D3875">
                                  <w:rPr>
                                    <w:rFonts w:ascii="EC Square Sans Pro" w:hAnsi="EC Square Sans Pro"/>
                                    <w:b/>
                                    <w:color w:val="FFFFFF" w:themeColor="background1"/>
                                    <w:sz w:val="20"/>
                                    <w:szCs w:val="20"/>
                                  </w:rPr>
                                  <w:t>6 milliards 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 name="Text Box 107"/>
                          <wps:cNvSpPr txBox="1"/>
                          <wps:spPr>
                            <a:xfrm>
                              <a:off x="-3" y="1076323"/>
                              <a:ext cx="1219201" cy="361952"/>
                            </a:xfrm>
                            <a:prstGeom prst="rect">
                              <a:avLst/>
                            </a:prstGeom>
                            <a:noFill/>
                            <a:ln w="6350">
                              <a:noFill/>
                            </a:ln>
                          </wps:spPr>
                          <wps:txbx>
                            <w:txbxContent>
                              <w:p w:rsidR="008B6253" w:rsidRPr="00AA6DD2" w:rsidRDefault="008B6253" w:rsidP="008B6253">
                                <w:pPr>
                                  <w:spacing w:after="0" w:line="200" w:lineRule="exact"/>
                                  <w:jc w:val="center"/>
                                  <w:rPr>
                                    <w:rFonts w:ascii="EC Square Sans Pro" w:hAnsi="EC Square Sans Pro"/>
                                    <w:b/>
                                    <w:color w:val="FFFFFF" w:themeColor="background1"/>
                                    <w:sz w:val="22"/>
                                    <w:szCs w:val="22"/>
                                  </w:rPr>
                                </w:pPr>
                                <w:r w:rsidRPr="00AA6DD2">
                                  <w:rPr>
                                    <w:rFonts w:ascii="EC Square Sans Pro" w:hAnsi="EC Square Sans Pro"/>
                                    <w:b/>
                                    <w:color w:val="FFFFFF" w:themeColor="background1"/>
                                    <w:sz w:val="22"/>
                                    <w:szCs w:val="22"/>
                                  </w:rPr>
                                  <w:t>10 milliards 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8" name="Text Box 108"/>
                          <wps:cNvSpPr txBox="1"/>
                          <wps:spPr>
                            <a:xfrm>
                              <a:off x="47625" y="1762124"/>
                              <a:ext cx="1076325" cy="371475"/>
                            </a:xfrm>
                            <a:prstGeom prst="rect">
                              <a:avLst/>
                            </a:prstGeom>
                            <a:noFill/>
                            <a:ln w="6350">
                              <a:noFill/>
                            </a:ln>
                          </wps:spPr>
                          <wps:txbx>
                            <w:txbxContent>
                              <w:p w:rsidR="008B6253" w:rsidRPr="00EB44F6" w:rsidRDefault="008B6253" w:rsidP="008B6253">
                                <w:pPr>
                                  <w:spacing w:after="0" w:line="200" w:lineRule="exact"/>
                                  <w:jc w:val="center"/>
                                  <w:rPr>
                                    <w:rFonts w:ascii="EC Square Sans Pro" w:hAnsi="EC Square Sans Pro"/>
                                    <w:b/>
                                    <w:color w:val="FFFFFF" w:themeColor="background1"/>
                                  </w:rPr>
                                </w:pPr>
                                <w:r>
                                  <w:rPr>
                                    <w:rFonts w:ascii="EC Square Sans Pro" w:hAnsi="EC Square Sans Pro"/>
                                    <w:b/>
                                    <w:color w:val="FFFFFF" w:themeColor="background1"/>
                                  </w:rPr>
                                  <w:t>20 milliards 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 name="Text Box 109"/>
                          <wps:cNvSpPr txBox="1"/>
                          <wps:spPr>
                            <a:xfrm>
                              <a:off x="47625" y="2495549"/>
                              <a:ext cx="1076325" cy="390525"/>
                            </a:xfrm>
                            <a:prstGeom prst="rect">
                              <a:avLst/>
                            </a:prstGeom>
                            <a:noFill/>
                            <a:ln w="6350">
                              <a:noFill/>
                            </a:ln>
                          </wps:spPr>
                          <wps:txbx>
                            <w:txbxContent>
                              <w:p w:rsidR="008B6253" w:rsidRPr="00EB44F6" w:rsidRDefault="008B6253" w:rsidP="008B6253">
                                <w:pPr>
                                  <w:spacing w:after="0" w:line="200" w:lineRule="exact"/>
                                  <w:jc w:val="center"/>
                                  <w:rPr>
                                    <w:rFonts w:ascii="EC Square Sans Pro" w:hAnsi="EC Square Sans Pro"/>
                                    <w:b/>
                                    <w:color w:val="FFFFFF" w:themeColor="background1"/>
                                  </w:rPr>
                                </w:pPr>
                                <w:r>
                                  <w:rPr>
                                    <w:rFonts w:ascii="EC Square Sans Pro" w:hAnsi="EC Square Sans Pro"/>
                                    <w:b/>
                                    <w:color w:val="FFFFFF" w:themeColor="background1"/>
                                  </w:rPr>
                                  <w:t>11</w:t>
                                </w:r>
                                <w:r w:rsidR="00AA6DD2">
                                  <w:rPr>
                                    <w:rFonts w:ascii="EC Square Sans Pro" w:hAnsi="EC Square Sans Pro"/>
                                    <w:b/>
                                    <w:color w:val="FFFFFF" w:themeColor="background1"/>
                                  </w:rPr>
                                  <w:t>,</w:t>
                                </w:r>
                                <w:r>
                                  <w:rPr>
                                    <w:rFonts w:ascii="EC Square Sans Pro" w:hAnsi="EC Square Sans Pro"/>
                                    <w:b/>
                                    <w:color w:val="FFFFFF" w:themeColor="background1"/>
                                  </w:rPr>
                                  <w:t>5 milliards 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 name="Text Box 111"/>
                          <wps:cNvSpPr txBox="1"/>
                          <wps:spPr>
                            <a:xfrm>
                              <a:off x="47625" y="3095624"/>
                              <a:ext cx="1076325" cy="371475"/>
                            </a:xfrm>
                            <a:prstGeom prst="rect">
                              <a:avLst/>
                            </a:prstGeom>
                            <a:noFill/>
                            <a:ln w="6350">
                              <a:noFill/>
                            </a:ln>
                          </wps:spPr>
                          <wps:txbx>
                            <w:txbxContent>
                              <w:p w:rsidR="008B6253" w:rsidRPr="00EB44F6" w:rsidRDefault="008B6253" w:rsidP="008B6253">
                                <w:pPr>
                                  <w:spacing w:after="0" w:line="200" w:lineRule="exact"/>
                                  <w:jc w:val="center"/>
                                  <w:rPr>
                                    <w:rFonts w:ascii="EC Square Sans Pro" w:hAnsi="EC Square Sans Pro"/>
                                    <w:b/>
                                    <w:color w:val="FFFFFF" w:themeColor="background1"/>
                                  </w:rPr>
                                </w:pPr>
                                <w:r>
                                  <w:rPr>
                                    <w:rFonts w:ascii="EC Square Sans Pro" w:hAnsi="EC Square Sans Pro"/>
                                    <w:b/>
                                    <w:color w:val="FFFFFF" w:themeColor="background1"/>
                                  </w:rPr>
                                  <w:t>11</w:t>
                                </w:r>
                                <w:r w:rsidR="00AA6DD2">
                                  <w:rPr>
                                    <w:rFonts w:ascii="EC Square Sans Pro" w:hAnsi="EC Square Sans Pro"/>
                                    <w:b/>
                                    <w:color w:val="FFFFFF" w:themeColor="background1"/>
                                  </w:rPr>
                                  <w:t>,5 millia</w:t>
                                </w:r>
                                <w:r w:rsidR="00193B1D">
                                  <w:rPr>
                                    <w:rFonts w:ascii="EC Square Sans Pro" w:hAnsi="EC Square Sans Pro"/>
                                    <w:b/>
                                    <w:color w:val="FFFFFF" w:themeColor="background1"/>
                                  </w:rPr>
                                  <w:t>r</w:t>
                                </w:r>
                                <w:r w:rsidR="00AA6DD2">
                                  <w:rPr>
                                    <w:rFonts w:ascii="EC Square Sans Pro" w:hAnsi="EC Square Sans Pro"/>
                                    <w:b/>
                                    <w:color w:val="FFFFFF" w:themeColor="background1"/>
                                  </w:rPr>
                                  <w:t>ds</w:t>
                                </w:r>
                                <w:r>
                                  <w:rPr>
                                    <w:rFonts w:ascii="EC Square Sans Pro" w:hAnsi="EC Square Sans Pro"/>
                                    <w:b/>
                                    <w:color w:val="FFFFFF" w:themeColor="background1"/>
                                  </w:rPr>
                                  <w:t xml:space="preserve"> 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 name="Text Box 112"/>
                          <wps:cNvSpPr txBox="1"/>
                          <wps:spPr>
                            <a:xfrm>
                              <a:off x="0" y="1381125"/>
                              <a:ext cx="1076325" cy="285750"/>
                            </a:xfrm>
                            <a:prstGeom prst="rect">
                              <a:avLst/>
                            </a:prstGeom>
                            <a:noFill/>
                            <a:ln w="6350">
                              <a:noFill/>
                            </a:ln>
                          </wps:spPr>
                          <wps:txb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10 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3" name="Text Box 113"/>
                          <wps:cNvSpPr txBox="1"/>
                          <wps:spPr>
                            <a:xfrm>
                              <a:off x="0" y="885825"/>
                              <a:ext cx="1076325" cy="285750"/>
                            </a:xfrm>
                            <a:prstGeom prst="rect">
                              <a:avLst/>
                            </a:prstGeom>
                            <a:noFill/>
                            <a:ln w="6350">
                              <a:noFill/>
                            </a:ln>
                          </wps:spPr>
                          <wps:txb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20 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Text Box 114"/>
                          <wps:cNvSpPr txBox="1"/>
                          <wps:spPr>
                            <a:xfrm>
                              <a:off x="1" y="542925"/>
                              <a:ext cx="1076324" cy="314325"/>
                            </a:xfrm>
                            <a:prstGeom prst="rect">
                              <a:avLst/>
                            </a:prstGeom>
                            <a:noFill/>
                            <a:ln w="6350">
                              <a:noFill/>
                            </a:ln>
                          </wps:spPr>
                          <wps:txb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30 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 name="Text Box 115"/>
                          <wps:cNvSpPr txBox="1"/>
                          <wps:spPr>
                            <a:xfrm>
                              <a:off x="0" y="2305050"/>
                              <a:ext cx="1076325" cy="285750"/>
                            </a:xfrm>
                            <a:prstGeom prst="rect">
                              <a:avLst/>
                            </a:prstGeom>
                            <a:noFill/>
                            <a:ln w="6350">
                              <a:noFill/>
                            </a:ln>
                          </wps:spPr>
                          <wps:txb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7 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6" name="Text Box 116"/>
                          <wps:cNvSpPr txBox="1"/>
                          <wps:spPr>
                            <a:xfrm>
                              <a:off x="0" y="2886075"/>
                              <a:ext cx="1076325" cy="285750"/>
                            </a:xfrm>
                            <a:prstGeom prst="rect">
                              <a:avLst/>
                            </a:prstGeom>
                            <a:noFill/>
                            <a:ln w="6350">
                              <a:noFill/>
                            </a:ln>
                          </wps:spPr>
                          <wps:txb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5 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 name="Text Box 117"/>
                          <wps:cNvSpPr txBox="1"/>
                          <wps:spPr>
                            <a:xfrm>
                              <a:off x="0" y="0"/>
                              <a:ext cx="1076325" cy="228600"/>
                            </a:xfrm>
                            <a:prstGeom prst="rect">
                              <a:avLst/>
                            </a:prstGeom>
                            <a:noFill/>
                            <a:ln w="6350">
                              <a:noFill/>
                            </a:ln>
                          </wps:spPr>
                          <wps:txb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15 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7" name="Group 127"/>
                        <wpg:cNvGrpSpPr/>
                        <wpg:grpSpPr>
                          <a:xfrm>
                            <a:off x="3048000" y="2000250"/>
                            <a:ext cx="2790825" cy="1543050"/>
                            <a:chOff x="0" y="0"/>
                            <a:chExt cx="2790825" cy="1543050"/>
                          </a:xfrm>
                        </wpg:grpSpPr>
                        <wps:wsp>
                          <wps:cNvPr id="118" name="Text Box 118"/>
                          <wps:cNvSpPr txBox="1"/>
                          <wps:spPr>
                            <a:xfrm>
                              <a:off x="0" y="1028699"/>
                              <a:ext cx="1076325" cy="371475"/>
                            </a:xfrm>
                            <a:prstGeom prst="rect">
                              <a:avLst/>
                            </a:prstGeom>
                            <a:noFill/>
                            <a:ln w="6350">
                              <a:noFill/>
                            </a:ln>
                          </wps:spPr>
                          <wps:txbx>
                            <w:txbxContent>
                              <w:p w:rsidR="008B6253" w:rsidRPr="00D8795A" w:rsidRDefault="008B6253" w:rsidP="008B6253">
                                <w:pPr>
                                  <w:spacing w:after="0" w:line="200" w:lineRule="exact"/>
                                  <w:jc w:val="center"/>
                                  <w:rPr>
                                    <w:rFonts w:ascii="EC Square Sans Pro" w:hAnsi="EC Square Sans Pro"/>
                                    <w:b/>
                                    <w:color w:val="FFFFFF" w:themeColor="background1"/>
                                    <w:sz w:val="19"/>
                                    <w:szCs w:val="19"/>
                                  </w:rPr>
                                </w:pPr>
                                <w:r w:rsidRPr="00D8795A">
                                  <w:rPr>
                                    <w:rFonts w:ascii="EC Square Sans Pro" w:hAnsi="EC Square Sans Pro"/>
                                    <w:b/>
                                    <w:color w:val="FFFFFF" w:themeColor="background1"/>
                                    <w:sz w:val="19"/>
                                    <w:szCs w:val="19"/>
                                  </w:rPr>
                                  <w:t>13</w:t>
                                </w:r>
                                <w:r w:rsidR="00AA6DD2" w:rsidRPr="00D8795A">
                                  <w:rPr>
                                    <w:rFonts w:ascii="EC Square Sans Pro" w:hAnsi="EC Square Sans Pro"/>
                                    <w:b/>
                                    <w:color w:val="FFFFFF" w:themeColor="background1"/>
                                    <w:sz w:val="19"/>
                                    <w:szCs w:val="19"/>
                                  </w:rPr>
                                  <w:t>,</w:t>
                                </w:r>
                                <w:r w:rsidR="00193B1D" w:rsidRPr="00D8795A">
                                  <w:rPr>
                                    <w:rFonts w:ascii="EC Square Sans Pro" w:hAnsi="EC Square Sans Pro"/>
                                    <w:b/>
                                    <w:color w:val="FFFFFF" w:themeColor="background1"/>
                                    <w:sz w:val="19"/>
                                    <w:szCs w:val="19"/>
                                  </w:rPr>
                                  <w:t>5 milliards</w:t>
                                </w:r>
                                <w:r w:rsidRPr="00D8795A">
                                  <w:rPr>
                                    <w:rFonts w:ascii="EC Square Sans Pro" w:hAnsi="EC Square Sans Pro"/>
                                    <w:b/>
                                    <w:color w:val="FFFFFF" w:themeColor="background1"/>
                                    <w:sz w:val="19"/>
                                    <w:szCs w:val="19"/>
                                  </w:rPr>
                                  <w:t xml:space="preserve"> d’EUR</w:t>
                                </w:r>
                              </w:p>
                              <w:p w:rsidR="008B6253" w:rsidRPr="00EB44F6" w:rsidRDefault="008B6253" w:rsidP="008B6253">
                                <w:pPr>
                                  <w:spacing w:after="0" w:line="200" w:lineRule="exact"/>
                                  <w:jc w:val="center"/>
                                  <w:rPr>
                                    <w:rFonts w:ascii="EC Square Sans Pro" w:hAnsi="EC Square Sans Pro"/>
                                    <w:b/>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 name="Text Box 119"/>
                          <wps:cNvSpPr txBox="1"/>
                          <wps:spPr>
                            <a:xfrm>
                              <a:off x="0" y="400049"/>
                              <a:ext cx="1076325" cy="409577"/>
                            </a:xfrm>
                            <a:prstGeom prst="rect">
                              <a:avLst/>
                            </a:prstGeom>
                            <a:noFill/>
                            <a:ln w="6350">
                              <a:noFill/>
                            </a:ln>
                          </wps:spPr>
                          <wps:txbx>
                            <w:txbxContent>
                              <w:p w:rsidR="008B6253" w:rsidRPr="00D8795A" w:rsidRDefault="008B6253" w:rsidP="008B6253">
                                <w:pPr>
                                  <w:spacing w:after="0" w:line="200" w:lineRule="exact"/>
                                  <w:jc w:val="center"/>
                                  <w:rPr>
                                    <w:rFonts w:ascii="EC Square Sans Pro" w:hAnsi="EC Square Sans Pro"/>
                                    <w:b/>
                                    <w:color w:val="FFFFFF" w:themeColor="background1"/>
                                    <w:sz w:val="19"/>
                                    <w:szCs w:val="19"/>
                                  </w:rPr>
                                </w:pPr>
                                <w:r w:rsidRPr="00D8795A">
                                  <w:rPr>
                                    <w:rFonts w:ascii="EC Square Sans Pro" w:hAnsi="EC Square Sans Pro"/>
                                    <w:b/>
                                    <w:color w:val="FFFFFF" w:themeColor="background1"/>
                                    <w:sz w:val="19"/>
                                    <w:szCs w:val="19"/>
                                  </w:rPr>
                                  <w:t>11</w:t>
                                </w:r>
                                <w:r w:rsidR="00AA6DD2" w:rsidRPr="00D8795A">
                                  <w:rPr>
                                    <w:rFonts w:ascii="EC Square Sans Pro" w:hAnsi="EC Square Sans Pro"/>
                                    <w:b/>
                                    <w:color w:val="FFFFFF" w:themeColor="background1"/>
                                    <w:sz w:val="19"/>
                                    <w:szCs w:val="19"/>
                                  </w:rPr>
                                  <w:t>,</w:t>
                                </w:r>
                                <w:r w:rsidRPr="00D8795A">
                                  <w:rPr>
                                    <w:rFonts w:ascii="EC Square Sans Pro" w:hAnsi="EC Square Sans Pro"/>
                                    <w:b/>
                                    <w:color w:val="FFFFFF" w:themeColor="background1"/>
                                    <w:sz w:val="19"/>
                                    <w:szCs w:val="19"/>
                                  </w:rPr>
                                  <w:t>5 milliards 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 name="Text Box 120"/>
                          <wps:cNvSpPr txBox="1"/>
                          <wps:spPr>
                            <a:xfrm>
                              <a:off x="857250" y="695325"/>
                              <a:ext cx="1076325" cy="333374"/>
                            </a:xfrm>
                            <a:prstGeom prst="rect">
                              <a:avLst/>
                            </a:prstGeom>
                            <a:noFill/>
                            <a:ln w="6350">
                              <a:noFill/>
                            </a:ln>
                          </wps:spPr>
                          <wps:txbx>
                            <w:txbxContent>
                              <w:p w:rsidR="008B6253" w:rsidRPr="00D8795A" w:rsidRDefault="008B6253" w:rsidP="008B6253">
                                <w:pPr>
                                  <w:spacing w:after="0" w:line="200" w:lineRule="exact"/>
                                  <w:jc w:val="center"/>
                                  <w:rPr>
                                    <w:rFonts w:ascii="EC Square Sans Pro" w:hAnsi="EC Square Sans Pro"/>
                                    <w:b/>
                                    <w:color w:val="FFFFFF" w:themeColor="background1"/>
                                    <w:sz w:val="19"/>
                                    <w:szCs w:val="19"/>
                                  </w:rPr>
                                </w:pPr>
                                <w:r w:rsidRPr="00D8795A">
                                  <w:rPr>
                                    <w:rFonts w:ascii="EC Square Sans Pro" w:hAnsi="EC Square Sans Pro"/>
                                    <w:b/>
                                    <w:color w:val="FFFFFF" w:themeColor="background1"/>
                                    <w:sz w:val="19"/>
                                    <w:szCs w:val="19"/>
                                  </w:rPr>
                                  <w:t>11</w:t>
                                </w:r>
                                <w:r w:rsidR="00AA6DD2" w:rsidRPr="00D8795A">
                                  <w:rPr>
                                    <w:rFonts w:ascii="EC Square Sans Pro" w:hAnsi="EC Square Sans Pro"/>
                                    <w:b/>
                                    <w:color w:val="FFFFFF" w:themeColor="background1"/>
                                    <w:sz w:val="19"/>
                                    <w:szCs w:val="19"/>
                                  </w:rPr>
                                  <w:t>,</w:t>
                                </w:r>
                                <w:r w:rsidRPr="00D8795A">
                                  <w:rPr>
                                    <w:rFonts w:ascii="EC Square Sans Pro" w:hAnsi="EC Square Sans Pro"/>
                                    <w:b/>
                                    <w:color w:val="FFFFFF" w:themeColor="background1"/>
                                    <w:sz w:val="19"/>
                                    <w:szCs w:val="19"/>
                                  </w:rPr>
                                  <w:t>5 milliards d’EUR</w:t>
                                </w:r>
                              </w:p>
                              <w:p w:rsidR="008B6253" w:rsidRPr="00EB44F6" w:rsidRDefault="008B6253" w:rsidP="008B6253">
                                <w:pPr>
                                  <w:spacing w:after="0" w:line="200" w:lineRule="exact"/>
                                  <w:jc w:val="center"/>
                                  <w:rPr>
                                    <w:rFonts w:ascii="EC Square Sans Pro" w:hAnsi="EC Square Sans Pro"/>
                                    <w:b/>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 name="Text Box 121"/>
                          <wps:cNvSpPr txBox="1"/>
                          <wps:spPr>
                            <a:xfrm>
                              <a:off x="857250" y="1114425"/>
                              <a:ext cx="1076325" cy="371474"/>
                            </a:xfrm>
                            <a:prstGeom prst="rect">
                              <a:avLst/>
                            </a:prstGeom>
                            <a:noFill/>
                            <a:ln w="6350">
                              <a:noFill/>
                            </a:ln>
                          </wps:spPr>
                          <wps:txbx>
                            <w:txbxContent>
                              <w:p w:rsidR="008B6253" w:rsidRPr="00EB44F6" w:rsidRDefault="008B6253" w:rsidP="008B6253">
                                <w:pPr>
                                  <w:spacing w:after="0" w:line="200" w:lineRule="exact"/>
                                  <w:jc w:val="center"/>
                                  <w:rPr>
                                    <w:rFonts w:ascii="EC Square Sans Pro" w:hAnsi="EC Square Sans Pro"/>
                                    <w:b/>
                                    <w:color w:val="FFFFFF" w:themeColor="background1"/>
                                    <w:sz w:val="20"/>
                                    <w:szCs w:val="20"/>
                                  </w:rPr>
                                </w:pPr>
                                <w:r>
                                  <w:rPr>
                                    <w:rFonts w:ascii="EC Square Sans Pro" w:hAnsi="EC Square Sans Pro"/>
                                    <w:b/>
                                    <w:color w:val="FFFFFF" w:themeColor="background1"/>
                                    <w:sz w:val="20"/>
                                    <w:szCs w:val="20"/>
                                  </w:rPr>
                                  <w:t>8,5 milliards d’EUR</w:t>
                                </w:r>
                              </w:p>
                              <w:p w:rsidR="008B6253" w:rsidRPr="00EB44F6" w:rsidRDefault="008B6253" w:rsidP="008B6253">
                                <w:pPr>
                                  <w:spacing w:after="0" w:line="200" w:lineRule="exact"/>
                                  <w:jc w:val="center"/>
                                  <w:rPr>
                                    <w:rFonts w:ascii="EC Square Sans Pro" w:hAnsi="EC Square Sans Pro"/>
                                    <w:b/>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 name="Text Box 122"/>
                          <wps:cNvSpPr txBox="1"/>
                          <wps:spPr>
                            <a:xfrm>
                              <a:off x="1800225" y="1171576"/>
                              <a:ext cx="914400" cy="371474"/>
                            </a:xfrm>
                            <a:prstGeom prst="rect">
                              <a:avLst/>
                            </a:prstGeom>
                            <a:noFill/>
                            <a:ln w="6350">
                              <a:noFill/>
                            </a:ln>
                          </wps:spPr>
                          <wps:txbx>
                            <w:txbxContent>
                              <w:p w:rsidR="008B6253" w:rsidRPr="00193B1D" w:rsidRDefault="00193B1D" w:rsidP="00193B1D">
                                <w:pPr>
                                  <w:spacing w:after="0" w:line="200" w:lineRule="exact"/>
                                  <w:rPr>
                                    <w:rFonts w:ascii="EC Square Sans Pro" w:hAnsi="EC Square Sans Pro"/>
                                    <w:b/>
                                    <w:color w:val="FFFFFF" w:themeColor="background1"/>
                                    <w:sz w:val="19"/>
                                    <w:szCs w:val="19"/>
                                  </w:rPr>
                                </w:pPr>
                                <w:r>
                                  <w:rPr>
                                    <w:rFonts w:ascii="EC Square Sans Pro" w:hAnsi="EC Square Sans Pro"/>
                                    <w:b/>
                                    <w:color w:val="FFFFFF" w:themeColor="background1"/>
                                    <w:sz w:val="19"/>
                                    <w:szCs w:val="19"/>
                                  </w:rPr>
                                  <w:t>5 </w:t>
                                </w:r>
                                <w:r w:rsidR="008B6253" w:rsidRPr="00193B1D">
                                  <w:rPr>
                                    <w:rFonts w:ascii="EC Square Sans Pro" w:hAnsi="EC Square Sans Pro"/>
                                    <w:b/>
                                    <w:color w:val="FFFFFF" w:themeColor="background1"/>
                                    <w:sz w:val="19"/>
                                    <w:szCs w:val="19"/>
                                  </w:rPr>
                                  <w:t xml:space="preserve">milliards </w:t>
                                </w:r>
                                <w:r w:rsidR="00312419">
                                  <w:rPr>
                                    <w:rFonts w:ascii="EC Square Sans Pro" w:hAnsi="EC Square Sans Pro"/>
                                    <w:b/>
                                    <w:color w:val="FFFFFF" w:themeColor="background1"/>
                                    <w:sz w:val="19"/>
                                    <w:szCs w:val="19"/>
                                  </w:rPr>
                                  <w:t>d</w:t>
                                </w:r>
                                <w:r w:rsidR="008B6253" w:rsidRPr="00193B1D">
                                  <w:rPr>
                                    <w:rFonts w:ascii="EC Square Sans Pro" w:hAnsi="EC Square Sans Pro"/>
                                    <w:b/>
                                    <w:color w:val="FFFFFF" w:themeColor="background1"/>
                                    <w:sz w:val="19"/>
                                    <w:szCs w:val="19"/>
                                  </w:rPr>
                                  <w:t>’EUR</w:t>
                                </w:r>
                              </w:p>
                              <w:p w:rsidR="008B6253" w:rsidRPr="00EB44F6" w:rsidRDefault="008B6253" w:rsidP="008B6253">
                                <w:pPr>
                                  <w:spacing w:after="0" w:line="200" w:lineRule="exact"/>
                                  <w:jc w:val="center"/>
                                  <w:rPr>
                                    <w:rFonts w:ascii="EC Square Sans Pro" w:hAnsi="EC Square Sans Pro"/>
                                    <w:b/>
                                    <w:color w:val="FFFFFF" w:themeColor="background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 name="Text Box 124"/>
                          <wps:cNvSpPr txBox="1"/>
                          <wps:spPr>
                            <a:xfrm>
                              <a:off x="0" y="0"/>
                              <a:ext cx="1076325" cy="209550"/>
                            </a:xfrm>
                            <a:prstGeom prst="rect">
                              <a:avLst/>
                            </a:prstGeom>
                            <a:noFill/>
                            <a:ln w="6350">
                              <a:noFill/>
                            </a:ln>
                          </wps:spPr>
                          <wps:txbx>
                            <w:txbxContent>
                              <w:p w:rsidR="008B6253" w:rsidRPr="005B7286" w:rsidRDefault="008B6253" w:rsidP="008B6253">
                                <w:pPr>
                                  <w:spacing w:after="0" w:line="200" w:lineRule="exact"/>
                                  <w:jc w:val="center"/>
                                  <w:rPr>
                                    <w:rFonts w:ascii="EC Square Sans Pro" w:hAnsi="EC Square Sans Pro"/>
                                    <w:color w:val="4C4B9A"/>
                                    <w:sz w:val="22"/>
                                    <w:szCs w:val="22"/>
                                  </w:rPr>
                                </w:pPr>
                                <w:r>
                                  <w:rPr>
                                    <w:rFonts w:ascii="EC Square Sans Pro" w:hAnsi="EC Square Sans Pro"/>
                                    <w:color w:val="4C4B9A"/>
                                    <w:sz w:val="22"/>
                                    <w:szCs w:val="22"/>
                                  </w:rPr>
                                  <w:t>Émis</w:t>
                                </w:r>
                              </w:p>
                              <w:p w:rsidR="008B6253" w:rsidRPr="005B7286" w:rsidRDefault="008B6253" w:rsidP="008B6253">
                                <w:pPr>
                                  <w:spacing w:after="0" w:line="200" w:lineRule="exact"/>
                                  <w:jc w:val="center"/>
                                  <w:rPr>
                                    <w:rFonts w:ascii="EC Square Sans Pro" w:hAnsi="EC Square Sans Pro"/>
                                    <w:color w:val="4C4B9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 name="Text Box 125"/>
                          <wps:cNvSpPr txBox="1"/>
                          <wps:spPr>
                            <a:xfrm>
                              <a:off x="857250" y="257175"/>
                              <a:ext cx="1076325" cy="304800"/>
                            </a:xfrm>
                            <a:prstGeom prst="rect">
                              <a:avLst/>
                            </a:prstGeom>
                            <a:noFill/>
                            <a:ln w="6350">
                              <a:noFill/>
                            </a:ln>
                          </wps:spPr>
                          <wps:txbx>
                            <w:txbxContent>
                              <w:p w:rsidR="008B6253" w:rsidRPr="005B7286" w:rsidRDefault="008B6253" w:rsidP="008B6253">
                                <w:pPr>
                                  <w:spacing w:after="0" w:line="200" w:lineRule="exact"/>
                                  <w:jc w:val="center"/>
                                  <w:rPr>
                                    <w:rFonts w:ascii="EC Square Sans Pro" w:hAnsi="EC Square Sans Pro"/>
                                    <w:color w:val="4C4B9A"/>
                                    <w:sz w:val="22"/>
                                    <w:szCs w:val="22"/>
                                  </w:rPr>
                                </w:pPr>
                                <w:r>
                                  <w:rPr>
                                    <w:rFonts w:ascii="EC Square Sans Pro" w:hAnsi="EC Square Sans Pro"/>
                                    <w:color w:val="4C4B9A"/>
                                    <w:sz w:val="22"/>
                                    <w:szCs w:val="22"/>
                                  </w:rPr>
                                  <w:t>Encours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6" name="Text Box 126"/>
                          <wps:cNvSpPr txBox="1"/>
                          <wps:spPr>
                            <a:xfrm>
                              <a:off x="1714500" y="809626"/>
                              <a:ext cx="1076325" cy="381000"/>
                            </a:xfrm>
                            <a:prstGeom prst="rect">
                              <a:avLst/>
                            </a:prstGeom>
                            <a:noFill/>
                            <a:ln w="6350">
                              <a:noFill/>
                            </a:ln>
                          </wps:spPr>
                          <wps:txbx>
                            <w:txbxContent>
                              <w:p w:rsidR="008B6253" w:rsidRPr="005B7286" w:rsidRDefault="008B6253" w:rsidP="008B6253">
                                <w:pPr>
                                  <w:spacing w:after="0" w:line="200" w:lineRule="exact"/>
                                  <w:jc w:val="center"/>
                                  <w:rPr>
                                    <w:rFonts w:ascii="EC Square Sans Pro" w:hAnsi="EC Square Sans Pro"/>
                                    <w:color w:val="4C4B9A"/>
                                    <w:sz w:val="22"/>
                                    <w:szCs w:val="22"/>
                                  </w:rPr>
                                </w:pPr>
                                <w:r>
                                  <w:rPr>
                                    <w:rFonts w:ascii="EC Square Sans Pro" w:hAnsi="EC Square Sans Pro"/>
                                    <w:color w:val="4C4B9A"/>
                                    <w:sz w:val="22"/>
                                    <w:szCs w:val="22"/>
                                  </w:rPr>
                                  <w:t>Arrivés à échéance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3" name="Group 133"/>
                        <wpg:cNvGrpSpPr/>
                        <wpg:grpSpPr>
                          <a:xfrm>
                            <a:off x="4848225" y="1457325"/>
                            <a:ext cx="1028700" cy="419100"/>
                            <a:chOff x="0" y="0"/>
                            <a:chExt cx="1028700" cy="419100"/>
                          </a:xfrm>
                        </wpg:grpSpPr>
                        <wpg:grpSp>
                          <wpg:cNvPr id="132" name="Group 132"/>
                          <wpg:cNvGrpSpPr/>
                          <wpg:grpSpPr>
                            <a:xfrm>
                              <a:off x="57150" y="0"/>
                              <a:ext cx="971550" cy="419100"/>
                              <a:chOff x="0" y="0"/>
                              <a:chExt cx="971550" cy="419100"/>
                            </a:xfrm>
                          </wpg:grpSpPr>
                          <wps:wsp>
                            <wps:cNvPr id="128" name="Rectangle 128"/>
                            <wps:cNvSpPr/>
                            <wps:spPr>
                              <a:xfrm>
                                <a:off x="0" y="228600"/>
                                <a:ext cx="133350" cy="142875"/>
                              </a:xfrm>
                              <a:prstGeom prst="rect">
                                <a:avLst/>
                              </a:prstGeom>
                              <a:solidFill>
                                <a:srgbClr val="F68A4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Rectangle 129"/>
                            <wps:cNvSpPr/>
                            <wps:spPr>
                              <a:xfrm>
                                <a:off x="0" y="47625"/>
                                <a:ext cx="133350" cy="142875"/>
                              </a:xfrm>
                              <a:prstGeom prst="rect">
                                <a:avLst/>
                              </a:prstGeom>
                              <a:solidFill>
                                <a:srgbClr val="4C4B9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Text Box 130"/>
                            <wps:cNvSpPr txBox="1"/>
                            <wps:spPr>
                              <a:xfrm>
                                <a:off x="76200" y="0"/>
                                <a:ext cx="895350" cy="419100"/>
                              </a:xfrm>
                              <a:prstGeom prst="rect">
                                <a:avLst/>
                              </a:prstGeom>
                              <a:noFill/>
                              <a:ln w="6350">
                                <a:noFill/>
                              </a:ln>
                            </wps:spPr>
                            <wps:txbx>
                              <w:txbxContent>
                                <w:p w:rsidR="008B6253" w:rsidRDefault="008B6253" w:rsidP="008B6253">
                                  <w:pPr>
                                    <w:spacing w:after="80" w:line="200" w:lineRule="exact"/>
                                    <w:rPr>
                                      <w:rFonts w:ascii="EC Square Sans Pro" w:hAnsi="EC Square Sans Pro"/>
                                      <w:color w:val="4C4B9A"/>
                                      <w:sz w:val="22"/>
                                      <w:szCs w:val="22"/>
                                    </w:rPr>
                                  </w:pPr>
                                  <w:r>
                                    <w:rPr>
                                      <w:rFonts w:ascii="EC Square Sans Pro" w:hAnsi="EC Square Sans Pro"/>
                                      <w:color w:val="4C4B9A"/>
                                      <w:sz w:val="22"/>
                                      <w:szCs w:val="22"/>
                                    </w:rPr>
                                    <w:t>à 3 mois</w:t>
                                  </w:r>
                                </w:p>
                                <w:p w:rsidR="008B6253" w:rsidRPr="005B7286" w:rsidRDefault="008B6253" w:rsidP="008B6253">
                                  <w:pPr>
                                    <w:spacing w:after="80" w:line="200" w:lineRule="exact"/>
                                    <w:rPr>
                                      <w:rFonts w:ascii="EC Square Sans Pro" w:hAnsi="EC Square Sans Pro"/>
                                      <w:color w:val="4C4B9A"/>
                                      <w:sz w:val="22"/>
                                      <w:szCs w:val="22"/>
                                    </w:rPr>
                                  </w:pPr>
                                  <w:r>
                                    <w:rPr>
                                      <w:rFonts w:ascii="EC Square Sans Pro" w:hAnsi="EC Square Sans Pro"/>
                                      <w:color w:val="4C4B9A"/>
                                      <w:sz w:val="22"/>
                                      <w:szCs w:val="22"/>
                                    </w:rPr>
                                    <w:t>à 6 mois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1" name="Rectangle 131"/>
                          <wps:cNvSpPr/>
                          <wps:spPr>
                            <a:xfrm>
                              <a:off x="0" y="0"/>
                              <a:ext cx="847725" cy="419100"/>
                            </a:xfrm>
                            <a:prstGeom prst="rect">
                              <a:avLst/>
                            </a:prstGeom>
                            <a:noFill/>
                            <a:ln w="952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182F511" id="Group 134" o:spid="_x0000_s1026" style="position:absolute;margin-left:-8.65pt;margin-top:24.9pt;width:462.75pt;height:279pt;z-index:251658752;mso-width-relative:margin;mso-height-relative:margin" coordorigin="" coordsize="58769,35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">
                <v:shape id="Picture 106" o:spid="_x0000_s1027" type="#_x0000_t75" style="position:absolute;width:57785;height:35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">
                  <v:imagedata r:id="rId21" o:title="" cropbottom="8642f"/>
                  <v:path arrowok="t"/>
                </v:shape>
                <v:group id="Group 123" o:spid="_x0000_s1028" style="position:absolute;left:7239;top:190;width:14097;height:34671" coordorigin="-571" coordsize="14097,34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type id="_x0000_t202" coordsize="21600,21600" o:spt="202" path="m,l,21600r21600,l21600,xe">
                    <v:stroke joinstyle="miter"/>
                    <v:path gradientshapeok="t" o:connecttype="rect"/>
                  </v:shapetype>
                  <v:shape id="Text Box 12" o:spid="_x0000_s1029" type="#_x0000_t202" style="position:absolute;left:-571;top:1809;width:14096;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" filled="f" stroked="f" strokeweight=".5pt">
                    <v:textbox>
                      <w:txbxContent>
                        <w:p w:rsidR="002D3875" w:rsidRDefault="008B6253" w:rsidP="002D3875">
                          <w:pPr>
                            <w:spacing w:after="60" w:line="200" w:lineRule="exact"/>
                            <w:rPr>
                              <w:rFonts w:ascii="EC Square Sans Pro" w:hAnsi="EC Square Sans Pro"/>
                              <w:b/>
                              <w:color w:val="FFFFFF" w:themeColor="background1"/>
                              <w:sz w:val="20"/>
                              <w:szCs w:val="20"/>
                            </w:rPr>
                          </w:pPr>
                          <w:r w:rsidRPr="002D3875">
                            <w:rPr>
                              <w:rFonts w:ascii="EC Square Sans Pro" w:hAnsi="EC Square Sans Pro"/>
                              <w:b/>
                              <w:color w:val="FFFFFF" w:themeColor="background1"/>
                              <w:sz w:val="20"/>
                              <w:szCs w:val="20"/>
                            </w:rPr>
                            <w:t>12 milliards d’EUR</w:t>
                          </w:r>
                        </w:p>
                        <w:p w:rsidR="008B6253" w:rsidRPr="002D3875" w:rsidRDefault="008B6253" w:rsidP="002D3875">
                          <w:pPr>
                            <w:spacing w:after="0" w:line="200" w:lineRule="exact"/>
                            <w:rPr>
                              <w:rFonts w:ascii="EC Square Sans Pro" w:hAnsi="EC Square Sans Pro"/>
                              <w:b/>
                              <w:color w:val="FFFFFF" w:themeColor="background1"/>
                              <w:sz w:val="20"/>
                              <w:szCs w:val="20"/>
                            </w:rPr>
                          </w:pPr>
                          <w:r w:rsidRPr="002D3875">
                            <w:rPr>
                              <w:rFonts w:ascii="EC Square Sans Pro" w:hAnsi="EC Square Sans Pro"/>
                              <w:b/>
                              <w:color w:val="FFFFFF" w:themeColor="background1"/>
                              <w:sz w:val="20"/>
                              <w:szCs w:val="20"/>
                            </w:rPr>
                            <w:t>Obligations vertes</w:t>
                          </w:r>
                        </w:p>
                      </w:txbxContent>
                    </v:textbox>
                  </v:shape>
                  <v:shape id="Text Box 104" o:spid="_x0000_s1030" type="#_x0000_t202" style="position:absolute;top:7048;width:1219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" filled="f" stroked="f" strokeweight=".5pt">
                    <v:textbox>
                      <w:txbxContent>
                        <w:p w:rsidR="008B6253" w:rsidRPr="002D3875" w:rsidRDefault="008B6253" w:rsidP="002D3875">
                          <w:pPr>
                            <w:spacing w:after="0" w:line="200" w:lineRule="exact"/>
                            <w:rPr>
                              <w:rFonts w:ascii="EC Square Sans Pro" w:hAnsi="EC Square Sans Pro"/>
                              <w:b/>
                              <w:color w:val="FFFFFF" w:themeColor="background1"/>
                              <w:sz w:val="20"/>
                              <w:szCs w:val="20"/>
                            </w:rPr>
                          </w:pPr>
                          <w:r w:rsidRPr="002D3875">
                            <w:rPr>
                              <w:rFonts w:ascii="EC Square Sans Pro" w:hAnsi="EC Square Sans Pro"/>
                              <w:b/>
                              <w:color w:val="FFFFFF" w:themeColor="background1"/>
                              <w:sz w:val="20"/>
                              <w:szCs w:val="20"/>
                            </w:rPr>
                            <w:t>6 milliards d’EUR</w:t>
                          </w:r>
                        </w:p>
                      </w:txbxContent>
                    </v:textbox>
                  </v:shape>
                  <v:shape id="Text Box 107" o:spid="_x0000_s1031" type="#_x0000_t202" style="position:absolute;top:10763;width:12191;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" filled="f" stroked="f" strokeweight=".5pt">
                    <v:textbox>
                      <w:txbxContent>
                        <w:p w:rsidR="008B6253" w:rsidRPr="00AA6DD2" w:rsidRDefault="008B6253" w:rsidP="008B6253">
                          <w:pPr>
                            <w:spacing w:after="0" w:line="200" w:lineRule="exact"/>
                            <w:jc w:val="center"/>
                            <w:rPr>
                              <w:rFonts w:ascii="EC Square Sans Pro" w:hAnsi="EC Square Sans Pro"/>
                              <w:b/>
                              <w:color w:val="FFFFFF" w:themeColor="background1"/>
                              <w:sz w:val="22"/>
                              <w:szCs w:val="22"/>
                            </w:rPr>
                          </w:pPr>
                          <w:r w:rsidRPr="00AA6DD2">
                            <w:rPr>
                              <w:rFonts w:ascii="EC Square Sans Pro" w:hAnsi="EC Square Sans Pro"/>
                              <w:b/>
                              <w:color w:val="FFFFFF" w:themeColor="background1"/>
                              <w:sz w:val="22"/>
                              <w:szCs w:val="22"/>
                            </w:rPr>
                            <w:t>10 milliards d’EUR</w:t>
                          </w:r>
                        </w:p>
                      </w:txbxContent>
                    </v:textbox>
                  </v:shape>
                  <v:shape id="Text Box 108" o:spid="_x0000_s1032" type="#_x0000_t202" style="position:absolute;left:476;top:17621;width:10763;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" filled="f" stroked="f" strokeweight=".5pt">
                    <v:textbox>
                      <w:txbxContent>
                        <w:p w:rsidR="008B6253" w:rsidRPr="00EB44F6" w:rsidRDefault="008B6253" w:rsidP="008B6253">
                          <w:pPr>
                            <w:spacing w:after="0" w:line="200" w:lineRule="exact"/>
                            <w:jc w:val="center"/>
                            <w:rPr>
                              <w:rFonts w:ascii="EC Square Sans Pro" w:hAnsi="EC Square Sans Pro"/>
                              <w:b/>
                              <w:color w:val="FFFFFF" w:themeColor="background1"/>
                            </w:rPr>
                          </w:pPr>
                          <w:r>
                            <w:rPr>
                              <w:rFonts w:ascii="EC Square Sans Pro" w:hAnsi="EC Square Sans Pro"/>
                              <w:b/>
                              <w:color w:val="FFFFFF" w:themeColor="background1"/>
                            </w:rPr>
                            <w:t>20 milliards d’EUR</w:t>
                          </w:r>
                        </w:p>
                      </w:txbxContent>
                    </v:textbox>
                  </v:shape>
                  <v:shape id="Text Box 109" o:spid="_x0000_s1033" type="#_x0000_t202" style="position:absolute;left:476;top:24955;width:10763;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" filled="f" stroked="f" strokeweight=".5pt">
                    <v:textbox>
                      <w:txbxContent>
                        <w:p w:rsidR="008B6253" w:rsidRPr="00EB44F6" w:rsidRDefault="008B6253" w:rsidP="008B6253">
                          <w:pPr>
                            <w:spacing w:after="0" w:line="200" w:lineRule="exact"/>
                            <w:jc w:val="center"/>
                            <w:rPr>
                              <w:rFonts w:ascii="EC Square Sans Pro" w:hAnsi="EC Square Sans Pro"/>
                              <w:b/>
                              <w:color w:val="FFFFFF" w:themeColor="background1"/>
                            </w:rPr>
                          </w:pPr>
                          <w:r>
                            <w:rPr>
                              <w:rFonts w:ascii="EC Square Sans Pro" w:hAnsi="EC Square Sans Pro"/>
                              <w:b/>
                              <w:color w:val="FFFFFF" w:themeColor="background1"/>
                            </w:rPr>
                            <w:t>11</w:t>
                          </w:r>
                          <w:r w:rsidR="00AA6DD2">
                            <w:rPr>
                              <w:rFonts w:ascii="EC Square Sans Pro" w:hAnsi="EC Square Sans Pro"/>
                              <w:b/>
                              <w:color w:val="FFFFFF" w:themeColor="background1"/>
                            </w:rPr>
                            <w:t>,</w:t>
                          </w:r>
                          <w:r>
                            <w:rPr>
                              <w:rFonts w:ascii="EC Square Sans Pro" w:hAnsi="EC Square Sans Pro"/>
                              <w:b/>
                              <w:color w:val="FFFFFF" w:themeColor="background1"/>
                            </w:rPr>
                            <w:t>5 milliards d’EUR</w:t>
                          </w:r>
                        </w:p>
                      </w:txbxContent>
                    </v:textbox>
                  </v:shape>
                  <v:shape id="Text Box 111" o:spid="_x0000_s1034" type="#_x0000_t202" style="position:absolute;left:476;top:30956;width:10763;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" filled="f" stroked="f" strokeweight=".5pt">
                    <v:textbox>
                      <w:txbxContent>
                        <w:p w:rsidR="008B6253" w:rsidRPr="00EB44F6" w:rsidRDefault="008B6253" w:rsidP="008B6253">
                          <w:pPr>
                            <w:spacing w:after="0" w:line="200" w:lineRule="exact"/>
                            <w:jc w:val="center"/>
                            <w:rPr>
                              <w:rFonts w:ascii="EC Square Sans Pro" w:hAnsi="EC Square Sans Pro"/>
                              <w:b/>
                              <w:color w:val="FFFFFF" w:themeColor="background1"/>
                            </w:rPr>
                          </w:pPr>
                          <w:r>
                            <w:rPr>
                              <w:rFonts w:ascii="EC Square Sans Pro" w:hAnsi="EC Square Sans Pro"/>
                              <w:b/>
                              <w:color w:val="FFFFFF" w:themeColor="background1"/>
                            </w:rPr>
                            <w:t>11</w:t>
                          </w:r>
                          <w:r w:rsidR="00AA6DD2">
                            <w:rPr>
                              <w:rFonts w:ascii="EC Square Sans Pro" w:hAnsi="EC Square Sans Pro"/>
                              <w:b/>
                              <w:color w:val="FFFFFF" w:themeColor="background1"/>
                            </w:rPr>
                            <w:t>,5 millia</w:t>
                          </w:r>
                          <w:r w:rsidR="00193B1D">
                            <w:rPr>
                              <w:rFonts w:ascii="EC Square Sans Pro" w:hAnsi="EC Square Sans Pro"/>
                              <w:b/>
                              <w:color w:val="FFFFFF" w:themeColor="background1"/>
                            </w:rPr>
                            <w:t>r</w:t>
                          </w:r>
                          <w:r w:rsidR="00AA6DD2">
                            <w:rPr>
                              <w:rFonts w:ascii="EC Square Sans Pro" w:hAnsi="EC Square Sans Pro"/>
                              <w:b/>
                              <w:color w:val="FFFFFF" w:themeColor="background1"/>
                            </w:rPr>
                            <w:t>ds</w:t>
                          </w:r>
                          <w:r>
                            <w:rPr>
                              <w:rFonts w:ascii="EC Square Sans Pro" w:hAnsi="EC Square Sans Pro"/>
                              <w:b/>
                              <w:color w:val="FFFFFF" w:themeColor="background1"/>
                            </w:rPr>
                            <w:t xml:space="preserve"> d’EUR</w:t>
                          </w:r>
                        </w:p>
                      </w:txbxContent>
                    </v:textbox>
                  </v:shape>
                  <v:shape id="Text Box 112" o:spid="_x0000_s1035" type="#_x0000_t202" style="position:absolute;top:13811;width:10763;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" filled="f" stroked="f" strokeweight=".5pt">
                    <v:textbo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10 ans</w:t>
                          </w:r>
                        </w:p>
                      </w:txbxContent>
                    </v:textbox>
                  </v:shape>
                  <v:shape id="Text Box 113" o:spid="_x0000_s1036" type="#_x0000_t202" style="position:absolute;top:8858;width:10763;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" filled="f" stroked="f" strokeweight=".5pt">
                    <v:textbo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20 ans</w:t>
                          </w:r>
                        </w:p>
                      </w:txbxContent>
                    </v:textbox>
                  </v:shape>
                  <v:shape id="Text Box 114" o:spid="_x0000_s1037" type="#_x0000_t202" style="position:absolute;top:5429;width:10763;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" filled="f" stroked="f" strokeweight=".5pt">
                    <v:textbo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30 ans</w:t>
                          </w:r>
                        </w:p>
                      </w:txbxContent>
                    </v:textbox>
                  </v:shape>
                  <v:shape id="Text Box 115" o:spid="_x0000_s1038" type="#_x0000_t202" style="position:absolute;top:23050;width:10763;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" filled="f" stroked="f" strokeweight=".5pt">
                    <v:textbo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7 ans</w:t>
                          </w:r>
                        </w:p>
                      </w:txbxContent>
                    </v:textbox>
                  </v:shape>
                  <v:shape id="Text Box 116" o:spid="_x0000_s1039" type="#_x0000_t202" style="position:absolute;top:28860;width:10763;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" filled="f" stroked="f" strokeweight=".5pt">
                    <v:textbo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5 ans</w:t>
                          </w:r>
                        </w:p>
                      </w:txbxContent>
                    </v:textbox>
                  </v:shape>
                  <v:shape id="Text Box 117" o:spid="_x0000_s1040" type="#_x0000_t202" style="position:absolute;width:1076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" filled="f" stroked="f" strokeweight=".5pt">
                    <v:textbox>
                      <w:txbxContent>
                        <w:p w:rsidR="008B6253" w:rsidRPr="00EB44F6" w:rsidRDefault="008B6253" w:rsidP="008B6253">
                          <w:pPr>
                            <w:spacing w:after="0" w:line="200" w:lineRule="exact"/>
                            <w:rPr>
                              <w:rFonts w:ascii="EC Square Sans Pro" w:hAnsi="EC Square Sans Pro"/>
                              <w:color w:val="FFFFFF" w:themeColor="background1"/>
                              <w:sz w:val="16"/>
                              <w:szCs w:val="16"/>
                            </w:rPr>
                          </w:pPr>
                          <w:r>
                            <w:rPr>
                              <w:rFonts w:ascii="EC Square Sans Pro" w:hAnsi="EC Square Sans Pro"/>
                              <w:color w:val="FFFFFF" w:themeColor="background1"/>
                              <w:sz w:val="16"/>
                              <w:szCs w:val="16"/>
                            </w:rPr>
                            <w:t>Échéance à 15 ans</w:t>
                          </w:r>
                        </w:p>
                      </w:txbxContent>
                    </v:textbox>
                  </v:shape>
                </v:group>
                <v:group id="Group 127" o:spid="_x0000_s1041" style="position:absolute;left:30480;top:20002;width:27908;height:15431" coordsize="27908,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Text Box 118" o:spid="_x0000_s1042" type="#_x0000_t202" style="position:absolute;top:10286;width:10763;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" filled="f" stroked="f" strokeweight=".5pt">
                    <v:textbox>
                      <w:txbxContent>
                        <w:p w:rsidR="008B6253" w:rsidRPr="00D8795A" w:rsidRDefault="008B6253" w:rsidP="008B6253">
                          <w:pPr>
                            <w:spacing w:after="0" w:line="200" w:lineRule="exact"/>
                            <w:jc w:val="center"/>
                            <w:rPr>
                              <w:rFonts w:ascii="EC Square Sans Pro" w:hAnsi="EC Square Sans Pro"/>
                              <w:b/>
                              <w:color w:val="FFFFFF" w:themeColor="background1"/>
                              <w:sz w:val="19"/>
                              <w:szCs w:val="19"/>
                            </w:rPr>
                          </w:pPr>
                          <w:r w:rsidRPr="00D8795A">
                            <w:rPr>
                              <w:rFonts w:ascii="EC Square Sans Pro" w:hAnsi="EC Square Sans Pro"/>
                              <w:b/>
                              <w:color w:val="FFFFFF" w:themeColor="background1"/>
                              <w:sz w:val="19"/>
                              <w:szCs w:val="19"/>
                            </w:rPr>
                            <w:t>13</w:t>
                          </w:r>
                          <w:r w:rsidR="00AA6DD2" w:rsidRPr="00D8795A">
                            <w:rPr>
                              <w:rFonts w:ascii="EC Square Sans Pro" w:hAnsi="EC Square Sans Pro"/>
                              <w:b/>
                              <w:color w:val="FFFFFF" w:themeColor="background1"/>
                              <w:sz w:val="19"/>
                              <w:szCs w:val="19"/>
                            </w:rPr>
                            <w:t>,</w:t>
                          </w:r>
                          <w:r w:rsidR="00193B1D" w:rsidRPr="00D8795A">
                            <w:rPr>
                              <w:rFonts w:ascii="EC Square Sans Pro" w:hAnsi="EC Square Sans Pro"/>
                              <w:b/>
                              <w:color w:val="FFFFFF" w:themeColor="background1"/>
                              <w:sz w:val="19"/>
                              <w:szCs w:val="19"/>
                            </w:rPr>
                            <w:t>5 milliards</w:t>
                          </w:r>
                          <w:r w:rsidRPr="00D8795A">
                            <w:rPr>
                              <w:rFonts w:ascii="EC Square Sans Pro" w:hAnsi="EC Square Sans Pro"/>
                              <w:b/>
                              <w:color w:val="FFFFFF" w:themeColor="background1"/>
                              <w:sz w:val="19"/>
                              <w:szCs w:val="19"/>
                            </w:rPr>
                            <w:t xml:space="preserve"> d’EUR</w:t>
                          </w:r>
                        </w:p>
                        <w:p w:rsidR="008B6253" w:rsidRPr="00EB44F6" w:rsidRDefault="008B6253" w:rsidP="008B6253">
                          <w:pPr>
                            <w:spacing w:after="0" w:line="200" w:lineRule="exact"/>
                            <w:jc w:val="center"/>
                            <w:rPr>
                              <w:rFonts w:ascii="EC Square Sans Pro" w:hAnsi="EC Square Sans Pro"/>
                              <w:b/>
                              <w:color w:val="FFFFFF" w:themeColor="background1"/>
                              <w:sz w:val="20"/>
                              <w:szCs w:val="20"/>
                            </w:rPr>
                          </w:pPr>
                        </w:p>
                      </w:txbxContent>
                    </v:textbox>
                  </v:shape>
                  <v:shape id="Text Box 119" o:spid="_x0000_s1043" type="#_x0000_t202" style="position:absolute;top:4000;width:10763;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rsidR="008B6253" w:rsidRPr="00D8795A" w:rsidRDefault="008B6253" w:rsidP="008B6253">
                          <w:pPr>
                            <w:spacing w:after="0" w:line="200" w:lineRule="exact"/>
                            <w:jc w:val="center"/>
                            <w:rPr>
                              <w:rFonts w:ascii="EC Square Sans Pro" w:hAnsi="EC Square Sans Pro"/>
                              <w:b/>
                              <w:color w:val="FFFFFF" w:themeColor="background1"/>
                              <w:sz w:val="19"/>
                              <w:szCs w:val="19"/>
                            </w:rPr>
                          </w:pPr>
                          <w:r w:rsidRPr="00D8795A">
                            <w:rPr>
                              <w:rFonts w:ascii="EC Square Sans Pro" w:hAnsi="EC Square Sans Pro"/>
                              <w:b/>
                              <w:color w:val="FFFFFF" w:themeColor="background1"/>
                              <w:sz w:val="19"/>
                              <w:szCs w:val="19"/>
                            </w:rPr>
                            <w:t>11</w:t>
                          </w:r>
                          <w:r w:rsidR="00AA6DD2" w:rsidRPr="00D8795A">
                            <w:rPr>
                              <w:rFonts w:ascii="EC Square Sans Pro" w:hAnsi="EC Square Sans Pro"/>
                              <w:b/>
                              <w:color w:val="FFFFFF" w:themeColor="background1"/>
                              <w:sz w:val="19"/>
                              <w:szCs w:val="19"/>
                            </w:rPr>
                            <w:t>,</w:t>
                          </w:r>
                          <w:r w:rsidRPr="00D8795A">
                            <w:rPr>
                              <w:rFonts w:ascii="EC Square Sans Pro" w:hAnsi="EC Square Sans Pro"/>
                              <w:b/>
                              <w:color w:val="FFFFFF" w:themeColor="background1"/>
                              <w:sz w:val="19"/>
                              <w:szCs w:val="19"/>
                            </w:rPr>
                            <w:t>5 milliards d’EUR</w:t>
                          </w:r>
                        </w:p>
                      </w:txbxContent>
                    </v:textbox>
                  </v:shape>
                  <v:shape id="Text Box 120" o:spid="_x0000_s1044" type="#_x0000_t202" style="position:absolute;left:8572;top:6953;width:10763;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" filled="f" stroked="f" strokeweight=".5pt">
                    <v:textbox>
                      <w:txbxContent>
                        <w:p w:rsidR="008B6253" w:rsidRPr="00D8795A" w:rsidRDefault="008B6253" w:rsidP="008B6253">
                          <w:pPr>
                            <w:spacing w:after="0" w:line="200" w:lineRule="exact"/>
                            <w:jc w:val="center"/>
                            <w:rPr>
                              <w:rFonts w:ascii="EC Square Sans Pro" w:hAnsi="EC Square Sans Pro"/>
                              <w:b/>
                              <w:color w:val="FFFFFF" w:themeColor="background1"/>
                              <w:sz w:val="19"/>
                              <w:szCs w:val="19"/>
                            </w:rPr>
                          </w:pPr>
                          <w:r w:rsidRPr="00D8795A">
                            <w:rPr>
                              <w:rFonts w:ascii="EC Square Sans Pro" w:hAnsi="EC Square Sans Pro"/>
                              <w:b/>
                              <w:color w:val="FFFFFF" w:themeColor="background1"/>
                              <w:sz w:val="19"/>
                              <w:szCs w:val="19"/>
                            </w:rPr>
                            <w:t>11</w:t>
                          </w:r>
                          <w:r w:rsidR="00AA6DD2" w:rsidRPr="00D8795A">
                            <w:rPr>
                              <w:rFonts w:ascii="EC Square Sans Pro" w:hAnsi="EC Square Sans Pro"/>
                              <w:b/>
                              <w:color w:val="FFFFFF" w:themeColor="background1"/>
                              <w:sz w:val="19"/>
                              <w:szCs w:val="19"/>
                            </w:rPr>
                            <w:t>,</w:t>
                          </w:r>
                          <w:r w:rsidRPr="00D8795A">
                            <w:rPr>
                              <w:rFonts w:ascii="EC Square Sans Pro" w:hAnsi="EC Square Sans Pro"/>
                              <w:b/>
                              <w:color w:val="FFFFFF" w:themeColor="background1"/>
                              <w:sz w:val="19"/>
                              <w:szCs w:val="19"/>
                            </w:rPr>
                            <w:t>5 milliards d’EUR</w:t>
                          </w:r>
                        </w:p>
                        <w:p w:rsidR="008B6253" w:rsidRPr="00EB44F6" w:rsidRDefault="008B6253" w:rsidP="008B6253">
                          <w:pPr>
                            <w:spacing w:after="0" w:line="200" w:lineRule="exact"/>
                            <w:jc w:val="center"/>
                            <w:rPr>
                              <w:rFonts w:ascii="EC Square Sans Pro" w:hAnsi="EC Square Sans Pro"/>
                              <w:b/>
                              <w:color w:val="FFFFFF" w:themeColor="background1"/>
                              <w:sz w:val="20"/>
                              <w:szCs w:val="20"/>
                            </w:rPr>
                          </w:pPr>
                        </w:p>
                      </w:txbxContent>
                    </v:textbox>
                  </v:shape>
                  <v:shape id="Text Box 121" o:spid="_x0000_s1045" type="#_x0000_t202" style="position:absolute;left:8572;top:11144;width:10763;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" filled="f" stroked="f" strokeweight=".5pt">
                    <v:textbox>
                      <w:txbxContent>
                        <w:p w:rsidR="008B6253" w:rsidRPr="00EB44F6" w:rsidRDefault="008B6253" w:rsidP="008B6253">
                          <w:pPr>
                            <w:spacing w:after="0" w:line="200" w:lineRule="exact"/>
                            <w:jc w:val="center"/>
                            <w:rPr>
                              <w:rFonts w:ascii="EC Square Sans Pro" w:hAnsi="EC Square Sans Pro"/>
                              <w:b/>
                              <w:color w:val="FFFFFF" w:themeColor="background1"/>
                              <w:sz w:val="20"/>
                              <w:szCs w:val="20"/>
                            </w:rPr>
                          </w:pPr>
                          <w:r>
                            <w:rPr>
                              <w:rFonts w:ascii="EC Square Sans Pro" w:hAnsi="EC Square Sans Pro"/>
                              <w:b/>
                              <w:color w:val="FFFFFF" w:themeColor="background1"/>
                              <w:sz w:val="20"/>
                              <w:szCs w:val="20"/>
                            </w:rPr>
                            <w:t>8,5 milliards d’EUR</w:t>
                          </w:r>
                        </w:p>
                        <w:p w:rsidR="008B6253" w:rsidRPr="00EB44F6" w:rsidRDefault="008B6253" w:rsidP="008B6253">
                          <w:pPr>
                            <w:spacing w:after="0" w:line="200" w:lineRule="exact"/>
                            <w:jc w:val="center"/>
                            <w:rPr>
                              <w:rFonts w:ascii="EC Square Sans Pro" w:hAnsi="EC Square Sans Pro"/>
                              <w:b/>
                              <w:color w:val="FFFFFF" w:themeColor="background1"/>
                              <w:sz w:val="20"/>
                              <w:szCs w:val="20"/>
                            </w:rPr>
                          </w:pPr>
                        </w:p>
                      </w:txbxContent>
                    </v:textbox>
                  </v:shape>
                  <v:shape id="Text Box 122" o:spid="_x0000_s1046" type="#_x0000_t202" style="position:absolute;left:18002;top:11715;width:9144;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" filled="f" stroked="f" strokeweight=".5pt">
                    <v:textbox>
                      <w:txbxContent>
                        <w:p w:rsidR="008B6253" w:rsidRPr="00193B1D" w:rsidRDefault="00193B1D" w:rsidP="00193B1D">
                          <w:pPr>
                            <w:spacing w:after="0" w:line="200" w:lineRule="exact"/>
                            <w:rPr>
                              <w:rFonts w:ascii="EC Square Sans Pro" w:hAnsi="EC Square Sans Pro"/>
                              <w:b/>
                              <w:color w:val="FFFFFF" w:themeColor="background1"/>
                              <w:sz w:val="19"/>
                              <w:szCs w:val="19"/>
                            </w:rPr>
                          </w:pPr>
                          <w:r>
                            <w:rPr>
                              <w:rFonts w:ascii="EC Square Sans Pro" w:hAnsi="EC Square Sans Pro"/>
                              <w:b/>
                              <w:color w:val="FFFFFF" w:themeColor="background1"/>
                              <w:sz w:val="19"/>
                              <w:szCs w:val="19"/>
                            </w:rPr>
                            <w:t>5 </w:t>
                          </w:r>
                          <w:r w:rsidR="008B6253" w:rsidRPr="00193B1D">
                            <w:rPr>
                              <w:rFonts w:ascii="EC Square Sans Pro" w:hAnsi="EC Square Sans Pro"/>
                              <w:b/>
                              <w:color w:val="FFFFFF" w:themeColor="background1"/>
                              <w:sz w:val="19"/>
                              <w:szCs w:val="19"/>
                            </w:rPr>
                            <w:t xml:space="preserve">milliards </w:t>
                          </w:r>
                          <w:r w:rsidR="00312419">
                            <w:rPr>
                              <w:rFonts w:ascii="EC Square Sans Pro" w:hAnsi="EC Square Sans Pro"/>
                              <w:b/>
                              <w:color w:val="FFFFFF" w:themeColor="background1"/>
                              <w:sz w:val="19"/>
                              <w:szCs w:val="19"/>
                            </w:rPr>
                            <w:t>d</w:t>
                          </w:r>
                          <w:r w:rsidR="008B6253" w:rsidRPr="00193B1D">
                            <w:rPr>
                              <w:rFonts w:ascii="EC Square Sans Pro" w:hAnsi="EC Square Sans Pro"/>
                              <w:b/>
                              <w:color w:val="FFFFFF" w:themeColor="background1"/>
                              <w:sz w:val="19"/>
                              <w:szCs w:val="19"/>
                            </w:rPr>
                            <w:t>’EUR</w:t>
                          </w:r>
                        </w:p>
                        <w:p w:rsidR="008B6253" w:rsidRPr="00EB44F6" w:rsidRDefault="008B6253" w:rsidP="008B6253">
                          <w:pPr>
                            <w:spacing w:after="0" w:line="200" w:lineRule="exact"/>
                            <w:jc w:val="center"/>
                            <w:rPr>
                              <w:rFonts w:ascii="EC Square Sans Pro" w:hAnsi="EC Square Sans Pro"/>
                              <w:b/>
                              <w:color w:val="FFFFFF" w:themeColor="background1"/>
                              <w:sz w:val="20"/>
                              <w:szCs w:val="20"/>
                            </w:rPr>
                          </w:pPr>
                        </w:p>
                      </w:txbxContent>
                    </v:textbox>
                  </v:shape>
                  <v:shape id="Text Box 124" o:spid="_x0000_s1047" type="#_x0000_t202" style="position:absolute;width:10763;height:2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" filled="f" stroked="f" strokeweight=".5pt">
                    <v:textbox>
                      <w:txbxContent>
                        <w:p w:rsidR="008B6253" w:rsidRPr="005B7286" w:rsidRDefault="008B6253" w:rsidP="008B6253">
                          <w:pPr>
                            <w:spacing w:after="0" w:line="200" w:lineRule="exact"/>
                            <w:jc w:val="center"/>
                            <w:rPr>
                              <w:rFonts w:ascii="EC Square Sans Pro" w:hAnsi="EC Square Sans Pro"/>
                              <w:color w:val="4C4B9A"/>
                              <w:sz w:val="22"/>
                              <w:szCs w:val="22"/>
                            </w:rPr>
                          </w:pPr>
                          <w:r>
                            <w:rPr>
                              <w:rFonts w:ascii="EC Square Sans Pro" w:hAnsi="EC Square Sans Pro"/>
                              <w:color w:val="4C4B9A"/>
                              <w:sz w:val="22"/>
                              <w:szCs w:val="22"/>
                            </w:rPr>
                            <w:t>Émis</w:t>
                          </w:r>
                        </w:p>
                        <w:p w:rsidR="008B6253" w:rsidRPr="005B7286" w:rsidRDefault="008B6253" w:rsidP="008B6253">
                          <w:pPr>
                            <w:spacing w:after="0" w:line="200" w:lineRule="exact"/>
                            <w:jc w:val="center"/>
                            <w:rPr>
                              <w:rFonts w:ascii="EC Square Sans Pro" w:hAnsi="EC Square Sans Pro"/>
                              <w:color w:val="4C4B9A"/>
                              <w:sz w:val="22"/>
                              <w:szCs w:val="22"/>
                            </w:rPr>
                          </w:pPr>
                        </w:p>
                      </w:txbxContent>
                    </v:textbox>
                  </v:shape>
                  <v:shape id="Text Box 125" o:spid="_x0000_s1048" type="#_x0000_t202" style="position:absolute;left:8572;top:2571;width:1076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" filled="f" stroked="f" strokeweight=".5pt">
                    <v:textbox>
                      <w:txbxContent>
                        <w:p w:rsidR="008B6253" w:rsidRPr="005B7286" w:rsidRDefault="008B6253" w:rsidP="008B6253">
                          <w:pPr>
                            <w:spacing w:after="0" w:line="200" w:lineRule="exact"/>
                            <w:jc w:val="center"/>
                            <w:rPr>
                              <w:rFonts w:ascii="EC Square Sans Pro" w:hAnsi="EC Square Sans Pro"/>
                              <w:color w:val="4C4B9A"/>
                              <w:sz w:val="22"/>
                              <w:szCs w:val="22"/>
                            </w:rPr>
                          </w:pPr>
                          <w:r>
                            <w:rPr>
                              <w:rFonts w:ascii="EC Square Sans Pro" w:hAnsi="EC Square Sans Pro"/>
                              <w:color w:val="4C4B9A"/>
                              <w:sz w:val="22"/>
                              <w:szCs w:val="22"/>
                            </w:rPr>
                            <w:t>Encours</w:t>
                          </w:r>
                        </w:p>
                      </w:txbxContent>
                    </v:textbox>
                  </v:shape>
                  <v:shape id="Text Box 126" o:spid="_x0000_s1049" type="#_x0000_t202" style="position:absolute;left:17145;top:8096;width:10763;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" filled="f" stroked="f" strokeweight=".5pt">
                    <v:textbox>
                      <w:txbxContent>
                        <w:p w:rsidR="008B6253" w:rsidRPr="005B7286" w:rsidRDefault="008B6253" w:rsidP="008B6253">
                          <w:pPr>
                            <w:spacing w:after="0" w:line="200" w:lineRule="exact"/>
                            <w:jc w:val="center"/>
                            <w:rPr>
                              <w:rFonts w:ascii="EC Square Sans Pro" w:hAnsi="EC Square Sans Pro"/>
                              <w:color w:val="4C4B9A"/>
                              <w:sz w:val="22"/>
                              <w:szCs w:val="22"/>
                            </w:rPr>
                          </w:pPr>
                          <w:r>
                            <w:rPr>
                              <w:rFonts w:ascii="EC Square Sans Pro" w:hAnsi="EC Square Sans Pro"/>
                              <w:color w:val="4C4B9A"/>
                              <w:sz w:val="22"/>
                              <w:szCs w:val="22"/>
                            </w:rPr>
                            <w:t>Arrivés à échéance</w:t>
                          </w:r>
                        </w:p>
                      </w:txbxContent>
                    </v:textbox>
                  </v:shape>
                </v:group>
                <v:group id="Group 133" o:spid="_x0000_s1050" style="position:absolute;left:48482;top:14573;width:10287;height:4191" coordsize="10287,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group id="Group 132" o:spid="_x0000_s1051" style="position:absolute;left:571;width:9716;height:4191" coordsize="9715,4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8" o:spid="_x0000_s1052" style="position:absolute;top:2286;width:1333;height:1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" fillcolor="#f68a4c" stroked="f" strokeweight="1pt"/>
                    <v:rect id="Rectangle 129" o:spid="_x0000_s1053" style="position:absolute;top:476;width:1333;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" fillcolor="#4c4b9a" stroked="f" strokeweight="1pt"/>
                    <v:shape id="Text Box 130" o:spid="_x0000_s1054" type="#_x0000_t202" style="position:absolute;left:762;width:8953;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" filled="f" stroked="f" strokeweight=".5pt">
                      <v:textbox>
                        <w:txbxContent>
                          <w:p w:rsidR="008B6253" w:rsidRDefault="008B6253" w:rsidP="008B6253">
                            <w:pPr>
                              <w:spacing w:after="80" w:line="200" w:lineRule="exact"/>
                              <w:rPr>
                                <w:rFonts w:ascii="EC Square Sans Pro" w:hAnsi="EC Square Sans Pro"/>
                                <w:color w:val="4C4B9A"/>
                                <w:sz w:val="22"/>
                                <w:szCs w:val="22"/>
                              </w:rPr>
                            </w:pPr>
                            <w:r>
                              <w:rPr>
                                <w:rFonts w:ascii="EC Square Sans Pro" w:hAnsi="EC Square Sans Pro"/>
                                <w:color w:val="4C4B9A"/>
                                <w:sz w:val="22"/>
                                <w:szCs w:val="22"/>
                              </w:rPr>
                              <w:t>à 3 mois</w:t>
                            </w:r>
                          </w:p>
                          <w:p w:rsidR="008B6253" w:rsidRPr="005B7286" w:rsidRDefault="008B6253" w:rsidP="008B6253">
                            <w:pPr>
                              <w:spacing w:after="80" w:line="200" w:lineRule="exact"/>
                              <w:rPr>
                                <w:rFonts w:ascii="EC Square Sans Pro" w:hAnsi="EC Square Sans Pro"/>
                                <w:color w:val="4C4B9A"/>
                                <w:sz w:val="22"/>
                                <w:szCs w:val="22"/>
                              </w:rPr>
                            </w:pPr>
                            <w:r>
                              <w:rPr>
                                <w:rFonts w:ascii="EC Square Sans Pro" w:hAnsi="EC Square Sans Pro"/>
                                <w:color w:val="4C4B9A"/>
                                <w:sz w:val="22"/>
                                <w:szCs w:val="22"/>
                              </w:rPr>
                              <w:t>à 6 mois</w:t>
                            </w:r>
                          </w:p>
                        </w:txbxContent>
                      </v:textbox>
                    </v:shape>
                  </v:group>
                  <v:rect id="Rectangle 131" o:spid="_x0000_s1055" style="position:absolute;width:847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" filled="f" strokecolor="#d8d8d8 [2732]"/>
                </v:group>
                <w10:wrap type="topAndBottom"/>
              </v:group>
            </w:pict>
          </mc:Fallback>
        </mc:AlternateContent>
      </w:r>
      <w:r w:rsidR="008B6253">
        <w:rPr>
          <w:rFonts w:ascii="EC Square Sans Pro" w:hAnsi="EC Square Sans Pro"/>
          <w:noProof/>
          <w:color w:val="F68A4C"/>
          <w:sz w:val="22"/>
          <w:szCs w:val="22"/>
        </w:rPr>
        <w:t xml:space="preserve">au </w:t>
      </w:r>
      <w:r w:rsidR="008B6253" w:rsidRPr="00887B27">
        <w:rPr>
          <w:rFonts w:ascii="EC Square Sans Pro" w:hAnsi="EC Square Sans Pro"/>
          <w:noProof/>
          <w:color w:val="F68A4C"/>
          <w:sz w:val="22"/>
          <w:szCs w:val="22"/>
        </w:rPr>
        <w:t>31</w:t>
      </w:r>
      <w:r w:rsidR="008B6253">
        <w:rPr>
          <w:rFonts w:ascii="EC Square Sans Pro" w:hAnsi="EC Square Sans Pro"/>
          <w:noProof/>
          <w:color w:val="F68A4C"/>
          <w:sz w:val="22"/>
          <w:szCs w:val="22"/>
        </w:rPr>
        <w:t xml:space="preserve"> décembre </w:t>
      </w:r>
      <w:r w:rsidR="008B6253" w:rsidRPr="00887B27">
        <w:rPr>
          <w:rFonts w:ascii="EC Square Sans Pro" w:hAnsi="EC Square Sans Pro"/>
          <w:noProof/>
          <w:color w:val="F68A4C"/>
          <w:sz w:val="22"/>
          <w:szCs w:val="22"/>
        </w:rPr>
        <w:t>2021</w:t>
      </w:r>
    </w:p>
    <w:p w:rsidR="00045F94" w:rsidRPr="005B7286" w:rsidRDefault="00045F94" w:rsidP="008B6253">
      <w:pPr>
        <w:spacing w:after="0" w:line="259" w:lineRule="auto"/>
        <w:rPr>
          <w:rFonts w:ascii="EC Square Sans Pro" w:eastAsia="Calibri" w:hAnsi="EC Square Sans Pro"/>
          <w:noProof/>
          <w:color w:val="F68A4C"/>
          <w:sz w:val="22"/>
          <w:szCs w:val="22"/>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4248"/>
        <w:gridCol w:w="283"/>
        <w:gridCol w:w="4485"/>
      </w:tblGrid>
      <w:tr w:rsidR="00804E4F" w:rsidRPr="00804E4F" w:rsidTr="00804E4F">
        <w:tc>
          <w:tcPr>
            <w:tcW w:w="4248" w:type="dxa"/>
            <w:shd w:val="clear" w:color="auto" w:fill="FFFFFF"/>
            <w:vAlign w:val="center"/>
          </w:tcPr>
          <w:p w:rsidR="00804E4F" w:rsidRPr="00804E4F" w:rsidRDefault="00804E4F" w:rsidP="00804E4F">
            <w:pPr>
              <w:spacing w:after="0" w:line="240" w:lineRule="auto"/>
              <w:jc w:val="center"/>
              <w:rPr>
                <w:rFonts w:ascii="EC Square Sans Pro" w:eastAsia="Calibri" w:hAnsi="EC Square Sans Pro"/>
                <w:b/>
                <w:noProof/>
                <w:color w:val="4C4B9A"/>
                <w:sz w:val="22"/>
                <w:szCs w:val="22"/>
              </w:rPr>
            </w:pPr>
            <w:r>
              <w:rPr>
                <w:rFonts w:ascii="EC Square Sans Pro" w:hAnsi="EC Square Sans Pro"/>
                <w:b/>
                <w:noProof/>
                <w:color w:val="4C4B9A"/>
                <w:sz w:val="22"/>
                <w:szCs w:val="22"/>
              </w:rPr>
              <w:t>Emprunts à long terme</w:t>
            </w:r>
          </w:p>
        </w:tc>
        <w:tc>
          <w:tcPr>
            <w:tcW w:w="283" w:type="dxa"/>
            <w:shd w:val="clear" w:color="auto" w:fill="FFFFFF"/>
            <w:vAlign w:val="center"/>
          </w:tcPr>
          <w:p w:rsidR="00804E4F" w:rsidRPr="00804E4F" w:rsidRDefault="00804E4F" w:rsidP="00804E4F">
            <w:pPr>
              <w:spacing w:after="0" w:line="240" w:lineRule="auto"/>
              <w:rPr>
                <w:rFonts w:ascii="EC Square Sans Pro" w:eastAsia="Calibri" w:hAnsi="EC Square Sans Pro"/>
                <w:b/>
                <w:noProof/>
                <w:color w:val="F68A4C"/>
                <w:sz w:val="22"/>
                <w:szCs w:val="22"/>
                <w:lang w:val="en-GB"/>
              </w:rPr>
            </w:pPr>
          </w:p>
        </w:tc>
        <w:tc>
          <w:tcPr>
            <w:tcW w:w="4485" w:type="dxa"/>
            <w:shd w:val="clear" w:color="auto" w:fill="FFFFFF"/>
            <w:vAlign w:val="center"/>
          </w:tcPr>
          <w:p w:rsidR="00804E4F" w:rsidRPr="00804E4F" w:rsidRDefault="00804E4F" w:rsidP="00804E4F">
            <w:pPr>
              <w:spacing w:after="0" w:line="240" w:lineRule="auto"/>
              <w:jc w:val="center"/>
              <w:rPr>
                <w:rFonts w:ascii="EC Square Sans Pro" w:eastAsia="Calibri" w:hAnsi="EC Square Sans Pro"/>
                <w:b/>
                <w:noProof/>
                <w:color w:val="4C4B9A"/>
                <w:sz w:val="22"/>
                <w:szCs w:val="22"/>
              </w:rPr>
            </w:pPr>
            <w:r>
              <w:rPr>
                <w:rFonts w:ascii="EC Square Sans Pro" w:hAnsi="EC Square Sans Pro"/>
                <w:b/>
                <w:noProof/>
                <w:color w:val="4C4B9A"/>
                <w:sz w:val="22"/>
                <w:szCs w:val="22"/>
              </w:rPr>
              <w:t>Emprunts à court terme</w:t>
            </w:r>
          </w:p>
        </w:tc>
      </w:tr>
      <w:tr w:rsidR="00804E4F" w:rsidRPr="00804E4F" w:rsidTr="00804E4F">
        <w:tc>
          <w:tcPr>
            <w:tcW w:w="4248" w:type="dxa"/>
            <w:shd w:val="clear" w:color="auto" w:fill="FFFFFF"/>
            <w:vAlign w:val="center"/>
          </w:tcPr>
          <w:p w:rsidR="00804E4F" w:rsidRPr="00804E4F" w:rsidRDefault="00804E4F" w:rsidP="00804E4F">
            <w:pPr>
              <w:spacing w:after="240" w:line="240" w:lineRule="auto"/>
              <w:jc w:val="center"/>
              <w:rPr>
                <w:rFonts w:ascii="EC Square Sans Pro" w:eastAsia="Calibri" w:hAnsi="EC Square Sans Pro"/>
                <w:noProof/>
                <w:color w:val="4C4B9A"/>
                <w:sz w:val="22"/>
                <w:szCs w:val="22"/>
              </w:rPr>
            </w:pPr>
            <w:r w:rsidRPr="00887B27">
              <w:rPr>
                <w:rFonts w:ascii="EC Square Sans Pro" w:hAnsi="EC Square Sans Pro"/>
                <w:noProof/>
                <w:color w:val="4C4B9A"/>
                <w:sz w:val="22"/>
                <w:szCs w:val="22"/>
              </w:rPr>
              <w:t>71</w:t>
            </w:r>
            <w:r>
              <w:rPr>
                <w:rFonts w:ascii="EC Square Sans Pro" w:hAnsi="EC Square Sans Pro"/>
                <w:noProof/>
                <w:color w:val="4C4B9A"/>
                <w:sz w:val="22"/>
                <w:szCs w:val="22"/>
              </w:rPr>
              <w:t xml:space="preserve"> milliards d’EUR d’obligations de l’UE</w:t>
            </w:r>
            <w:r>
              <w:rPr>
                <w:noProof/>
              </w:rPr>
              <w:t xml:space="preserve"> </w:t>
            </w:r>
            <w:r>
              <w:rPr>
                <w:noProof/>
              </w:rPr>
              <w:br/>
            </w:r>
            <w:r>
              <w:rPr>
                <w:rFonts w:ascii="EC Square Sans Pro" w:hAnsi="EC Square Sans Pro"/>
                <w:noProof/>
                <w:color w:val="4C4B9A"/>
                <w:sz w:val="22"/>
                <w:szCs w:val="22"/>
              </w:rPr>
              <w:t xml:space="preserve">dont </w:t>
            </w:r>
            <w:r w:rsidRPr="00887B27">
              <w:rPr>
                <w:rFonts w:ascii="EC Square Sans Pro" w:hAnsi="EC Square Sans Pro"/>
                <w:noProof/>
                <w:color w:val="4C4B9A"/>
                <w:sz w:val="22"/>
                <w:szCs w:val="22"/>
              </w:rPr>
              <w:t>12</w:t>
            </w:r>
            <w:r>
              <w:rPr>
                <w:rFonts w:ascii="EC Square Sans Pro" w:hAnsi="EC Square Sans Pro"/>
                <w:noProof/>
                <w:color w:val="4C4B9A"/>
                <w:sz w:val="22"/>
                <w:szCs w:val="22"/>
              </w:rPr>
              <w:t xml:space="preserve"> milliards d’EUR d’obligations vertes</w:t>
            </w:r>
          </w:p>
        </w:tc>
        <w:tc>
          <w:tcPr>
            <w:tcW w:w="283" w:type="dxa"/>
            <w:shd w:val="clear" w:color="auto" w:fill="FFFFFF"/>
            <w:vAlign w:val="center"/>
          </w:tcPr>
          <w:p w:rsidR="00804E4F" w:rsidRPr="00161872" w:rsidRDefault="00804E4F" w:rsidP="00804E4F">
            <w:pPr>
              <w:spacing w:after="240" w:line="240" w:lineRule="auto"/>
              <w:rPr>
                <w:rFonts w:ascii="EC Square Sans Pro" w:eastAsia="Calibri" w:hAnsi="EC Square Sans Pro"/>
                <w:b/>
                <w:noProof/>
                <w:color w:val="F68A4C"/>
                <w:sz w:val="22"/>
                <w:szCs w:val="22"/>
                <w:lang w:val="fr-BE"/>
              </w:rPr>
            </w:pPr>
          </w:p>
        </w:tc>
        <w:tc>
          <w:tcPr>
            <w:tcW w:w="4485" w:type="dxa"/>
            <w:shd w:val="clear" w:color="auto" w:fill="FFFFFF"/>
            <w:vAlign w:val="center"/>
          </w:tcPr>
          <w:p w:rsidR="00804E4F" w:rsidRPr="00804E4F" w:rsidRDefault="00804E4F" w:rsidP="00804E4F">
            <w:pPr>
              <w:spacing w:after="240" w:line="240" w:lineRule="auto"/>
              <w:jc w:val="center"/>
              <w:rPr>
                <w:rFonts w:ascii="EC Square Sans Pro" w:eastAsia="Calibri" w:hAnsi="EC Square Sans Pro"/>
                <w:noProof/>
                <w:color w:val="4C4B9A"/>
                <w:sz w:val="22"/>
                <w:szCs w:val="22"/>
              </w:rPr>
            </w:pPr>
            <w:r w:rsidRPr="00887B27">
              <w:rPr>
                <w:rFonts w:ascii="EC Square Sans Pro" w:hAnsi="EC Square Sans Pro"/>
                <w:noProof/>
                <w:color w:val="4C4B9A"/>
                <w:sz w:val="22"/>
                <w:szCs w:val="22"/>
              </w:rPr>
              <w:t>25</w:t>
            </w:r>
            <w:r>
              <w:rPr>
                <w:rFonts w:ascii="EC Square Sans Pro" w:hAnsi="EC Square Sans Pro"/>
                <w:noProof/>
                <w:color w:val="4C4B9A"/>
                <w:sz w:val="22"/>
                <w:szCs w:val="22"/>
              </w:rPr>
              <w:t> milliards d’EUR émis en titres de créances de l’UE à </w:t>
            </w:r>
            <w:r w:rsidRPr="00887B27">
              <w:rPr>
                <w:rFonts w:ascii="EC Square Sans Pro" w:hAnsi="EC Square Sans Pro"/>
                <w:noProof/>
                <w:color w:val="4C4B9A"/>
                <w:sz w:val="22"/>
                <w:szCs w:val="22"/>
              </w:rPr>
              <w:t>3</w:t>
            </w:r>
            <w:r>
              <w:rPr>
                <w:rFonts w:ascii="EC Square Sans Pro" w:hAnsi="EC Square Sans Pro"/>
                <w:noProof/>
                <w:color w:val="4C4B9A"/>
                <w:sz w:val="22"/>
                <w:szCs w:val="22"/>
              </w:rPr>
              <w:t xml:space="preserve"> et à </w:t>
            </w:r>
            <w:r w:rsidRPr="00887B27">
              <w:rPr>
                <w:rFonts w:ascii="EC Square Sans Pro" w:hAnsi="EC Square Sans Pro"/>
                <w:noProof/>
                <w:color w:val="4C4B9A"/>
                <w:sz w:val="22"/>
                <w:szCs w:val="22"/>
              </w:rPr>
              <w:t>6</w:t>
            </w:r>
            <w:r>
              <w:rPr>
                <w:rFonts w:ascii="EC Square Sans Pro" w:hAnsi="EC Square Sans Pro"/>
                <w:noProof/>
                <w:color w:val="4C4B9A"/>
                <w:sz w:val="22"/>
                <w:szCs w:val="22"/>
              </w:rPr>
              <w:t xml:space="preserve"> mois, dont un encours de </w:t>
            </w:r>
            <w:r w:rsidRPr="00887B27">
              <w:rPr>
                <w:rFonts w:ascii="EC Square Sans Pro" w:hAnsi="EC Square Sans Pro"/>
                <w:noProof/>
                <w:color w:val="4C4B9A"/>
                <w:sz w:val="22"/>
                <w:szCs w:val="22"/>
              </w:rPr>
              <w:t>20</w:t>
            </w:r>
            <w:r>
              <w:rPr>
                <w:rFonts w:ascii="EC Square Sans Pro" w:hAnsi="EC Square Sans Pro"/>
                <w:noProof/>
                <w:color w:val="4C4B9A"/>
                <w:sz w:val="22"/>
                <w:szCs w:val="22"/>
              </w:rPr>
              <w:t> milliards d’EUR</w:t>
            </w:r>
          </w:p>
        </w:tc>
      </w:tr>
      <w:tr w:rsidR="00804E4F" w:rsidRPr="00804E4F" w:rsidTr="00804E4F">
        <w:trPr>
          <w:trHeight w:val="79"/>
        </w:trPr>
        <w:tc>
          <w:tcPr>
            <w:tcW w:w="4248" w:type="dxa"/>
            <w:shd w:val="clear" w:color="auto" w:fill="F2F2F2"/>
            <w:vAlign w:val="center"/>
          </w:tcPr>
          <w:p w:rsidR="00804E4F" w:rsidRPr="00804E4F" w:rsidRDefault="00804E4F" w:rsidP="00804E4F">
            <w:pPr>
              <w:spacing w:after="0" w:line="240" w:lineRule="auto"/>
              <w:rPr>
                <w:rFonts w:ascii="EC Square Sans Pro" w:eastAsia="Calibri" w:hAnsi="EC Square Sans Pro"/>
                <w:b/>
                <w:noProof/>
                <w:color w:val="4C4B9A"/>
                <w:sz w:val="22"/>
                <w:szCs w:val="22"/>
              </w:rPr>
            </w:pPr>
            <w:r>
              <w:rPr>
                <w:rFonts w:ascii="EC Square Sans Pro" w:hAnsi="EC Square Sans Pro"/>
                <w:b/>
                <w:noProof/>
                <w:color w:val="4C4B9A"/>
                <w:sz w:val="22"/>
                <w:szCs w:val="22"/>
              </w:rPr>
              <w:t>INFORMATIONS CLÉS</w:t>
            </w:r>
          </w:p>
        </w:tc>
        <w:tc>
          <w:tcPr>
            <w:tcW w:w="283" w:type="dxa"/>
            <w:vAlign w:val="center"/>
          </w:tcPr>
          <w:p w:rsidR="00804E4F" w:rsidRPr="00804E4F" w:rsidRDefault="00804E4F" w:rsidP="00804E4F">
            <w:pPr>
              <w:spacing w:after="0" w:line="240" w:lineRule="auto"/>
              <w:rPr>
                <w:rFonts w:ascii="EC Square Sans Pro" w:eastAsia="Calibri" w:hAnsi="EC Square Sans Pro"/>
                <w:b/>
                <w:noProof/>
                <w:color w:val="F68A4C"/>
                <w:sz w:val="22"/>
                <w:szCs w:val="22"/>
                <w:lang w:val="en-GB"/>
              </w:rPr>
            </w:pPr>
          </w:p>
        </w:tc>
        <w:tc>
          <w:tcPr>
            <w:tcW w:w="4485" w:type="dxa"/>
            <w:shd w:val="clear" w:color="auto" w:fill="F2F2F2"/>
            <w:vAlign w:val="center"/>
          </w:tcPr>
          <w:p w:rsidR="00804E4F" w:rsidRPr="00804E4F" w:rsidRDefault="00804E4F" w:rsidP="00804E4F">
            <w:pPr>
              <w:spacing w:after="0" w:line="240" w:lineRule="auto"/>
              <w:rPr>
                <w:rFonts w:ascii="EC Square Sans Pro" w:eastAsia="Calibri" w:hAnsi="EC Square Sans Pro"/>
                <w:b/>
                <w:noProof/>
                <w:color w:val="F68A4C"/>
                <w:sz w:val="22"/>
                <w:szCs w:val="22"/>
              </w:rPr>
            </w:pPr>
            <w:r>
              <w:rPr>
                <w:rFonts w:ascii="EC Square Sans Pro" w:hAnsi="EC Square Sans Pro"/>
                <w:b/>
                <w:noProof/>
                <w:color w:val="4C4B9A"/>
                <w:sz w:val="22"/>
                <w:szCs w:val="22"/>
              </w:rPr>
              <w:t>INFORMATIONS CLÉS</w:t>
            </w:r>
          </w:p>
        </w:tc>
      </w:tr>
      <w:tr w:rsidR="00804E4F" w:rsidRPr="00804E4F" w:rsidTr="006822F1">
        <w:tc>
          <w:tcPr>
            <w:tcW w:w="4248" w:type="dxa"/>
            <w:shd w:val="clear" w:color="auto" w:fill="F2F2F2"/>
            <w:vAlign w:val="center"/>
          </w:tcPr>
          <w:p w:rsidR="00804E4F" w:rsidRPr="00804E4F" w:rsidRDefault="00804E4F" w:rsidP="00804E4F">
            <w:pPr>
              <w:numPr>
                <w:ilvl w:val="0"/>
                <w:numId w:val="4"/>
              </w:numPr>
              <w:spacing w:after="0" w:line="240" w:lineRule="auto"/>
              <w:ind w:left="170" w:hanging="170"/>
              <w:contextualSpacing/>
              <w:rPr>
                <w:rFonts w:ascii="EC Square Sans Pro" w:eastAsia="Calibri" w:hAnsi="EC Square Sans Pro"/>
                <w:noProof/>
                <w:color w:val="4C4B9A"/>
                <w:sz w:val="22"/>
                <w:szCs w:val="22"/>
              </w:rPr>
            </w:pPr>
            <w:r w:rsidRPr="00887B27">
              <w:rPr>
                <w:rFonts w:ascii="EC Square Sans Pro" w:hAnsi="EC Square Sans Pro"/>
                <w:noProof/>
                <w:color w:val="4C4B9A"/>
                <w:sz w:val="22"/>
                <w:szCs w:val="22"/>
              </w:rPr>
              <w:t>5</w:t>
            </w:r>
            <w:r>
              <w:rPr>
                <w:rFonts w:ascii="EC Square Sans Pro" w:hAnsi="EC Square Sans Pro"/>
                <w:noProof/>
                <w:color w:val="4C4B9A"/>
                <w:sz w:val="22"/>
                <w:szCs w:val="22"/>
              </w:rPr>
              <w:t xml:space="preserve"> syndications, </w:t>
            </w:r>
            <w:r w:rsidRPr="00887B27">
              <w:rPr>
                <w:rFonts w:ascii="EC Square Sans Pro" w:hAnsi="EC Square Sans Pro"/>
                <w:noProof/>
                <w:color w:val="4C4B9A"/>
                <w:sz w:val="22"/>
                <w:szCs w:val="22"/>
              </w:rPr>
              <w:t>2</w:t>
            </w:r>
            <w:r>
              <w:rPr>
                <w:rFonts w:ascii="EC Square Sans Pro" w:hAnsi="EC Square Sans Pro"/>
                <w:noProof/>
                <w:color w:val="4C4B9A"/>
                <w:sz w:val="22"/>
                <w:szCs w:val="22"/>
              </w:rPr>
              <w:t xml:space="preserve"> adjudications</w:t>
            </w:r>
            <w:r>
              <w:rPr>
                <w:noProof/>
              </w:rPr>
              <w:tab/>
            </w:r>
          </w:p>
          <w:p w:rsidR="00804E4F" w:rsidRPr="00804E4F" w:rsidRDefault="00804E4F" w:rsidP="00804E4F">
            <w:pPr>
              <w:numPr>
                <w:ilvl w:val="0"/>
                <w:numId w:val="4"/>
              </w:numPr>
              <w:spacing w:after="0" w:line="240" w:lineRule="auto"/>
              <w:ind w:left="170" w:hanging="170"/>
              <w:contextualSpacing/>
              <w:rPr>
                <w:rFonts w:ascii="EC Square Sans Pro" w:eastAsia="Calibri" w:hAnsi="EC Square Sans Pro"/>
                <w:noProof/>
                <w:color w:val="4C4B9A"/>
                <w:sz w:val="22"/>
                <w:szCs w:val="22"/>
              </w:rPr>
            </w:pPr>
            <w:r>
              <w:rPr>
                <w:rFonts w:ascii="EC Square Sans Pro" w:hAnsi="EC Square Sans Pro"/>
                <w:noProof/>
                <w:color w:val="4C4B9A"/>
                <w:sz w:val="22"/>
                <w:szCs w:val="22"/>
              </w:rPr>
              <w:t xml:space="preserve">Coût moyen du financement </w:t>
            </w:r>
            <w:r w:rsidRPr="00887B27">
              <w:rPr>
                <w:rFonts w:ascii="EC Square Sans Pro" w:hAnsi="EC Square Sans Pro"/>
                <w:noProof/>
                <w:color w:val="4C4B9A"/>
                <w:sz w:val="22"/>
                <w:szCs w:val="22"/>
              </w:rPr>
              <w:t>0</w:t>
            </w:r>
            <w:r>
              <w:rPr>
                <w:rFonts w:ascii="EC Square Sans Pro" w:hAnsi="EC Square Sans Pro"/>
                <w:noProof/>
                <w:color w:val="4C4B9A"/>
                <w:sz w:val="22"/>
                <w:szCs w:val="22"/>
              </w:rPr>
              <w:t>,</w:t>
            </w:r>
            <w:r w:rsidRPr="00887B27">
              <w:rPr>
                <w:rFonts w:ascii="EC Square Sans Pro" w:hAnsi="EC Square Sans Pro"/>
                <w:noProof/>
                <w:color w:val="4C4B9A"/>
                <w:sz w:val="22"/>
                <w:szCs w:val="22"/>
              </w:rPr>
              <w:t>14</w:t>
            </w:r>
            <w:r>
              <w:rPr>
                <w:rFonts w:ascii="EC Square Sans Pro" w:hAnsi="EC Square Sans Pro"/>
                <w:noProof/>
                <w:color w:val="4C4B9A"/>
                <w:sz w:val="22"/>
                <w:szCs w:val="22"/>
              </w:rPr>
              <w:t> %</w:t>
            </w:r>
          </w:p>
          <w:p w:rsidR="00804E4F" w:rsidRPr="00804E4F" w:rsidRDefault="00804E4F" w:rsidP="00804E4F">
            <w:pPr>
              <w:numPr>
                <w:ilvl w:val="0"/>
                <w:numId w:val="4"/>
              </w:numPr>
              <w:spacing w:after="0" w:line="240" w:lineRule="auto"/>
              <w:ind w:left="170" w:hanging="170"/>
              <w:contextualSpacing/>
              <w:rPr>
                <w:rFonts w:ascii="EC Square Sans Pro" w:eastAsia="Calibri" w:hAnsi="EC Square Sans Pro"/>
                <w:b/>
                <w:noProof/>
                <w:color w:val="F68A4C"/>
                <w:sz w:val="22"/>
                <w:szCs w:val="22"/>
              </w:rPr>
            </w:pPr>
            <w:r w:rsidRPr="00887B27">
              <w:rPr>
                <w:rFonts w:ascii="EC Square Sans Pro" w:hAnsi="EC Square Sans Pro"/>
                <w:noProof/>
                <w:color w:val="4C4B9A"/>
                <w:sz w:val="22"/>
                <w:szCs w:val="22"/>
              </w:rPr>
              <w:t>7</w:t>
            </w:r>
            <w:r>
              <w:rPr>
                <w:rFonts w:ascii="EC Square Sans Pro" w:hAnsi="EC Square Sans Pro"/>
                <w:noProof/>
                <w:color w:val="4C4B9A"/>
                <w:sz w:val="22"/>
                <w:szCs w:val="22"/>
              </w:rPr>
              <w:t xml:space="preserve"> à près de </w:t>
            </w:r>
            <w:r w:rsidRPr="00887B27">
              <w:rPr>
                <w:rFonts w:ascii="EC Square Sans Pro" w:hAnsi="EC Square Sans Pro"/>
                <w:noProof/>
                <w:color w:val="4C4B9A"/>
                <w:sz w:val="22"/>
                <w:szCs w:val="22"/>
              </w:rPr>
              <w:t>14</w:t>
            </w:r>
            <w:r>
              <w:rPr>
                <w:rFonts w:ascii="EC Square Sans Pro" w:hAnsi="EC Square Sans Pro"/>
                <w:noProof/>
                <w:color w:val="4C4B9A"/>
                <w:sz w:val="22"/>
                <w:szCs w:val="22"/>
              </w:rPr>
              <w:t xml:space="preserve"> fois sursouscrites</w:t>
            </w:r>
          </w:p>
        </w:tc>
        <w:tc>
          <w:tcPr>
            <w:tcW w:w="283" w:type="dxa"/>
            <w:vAlign w:val="center"/>
          </w:tcPr>
          <w:p w:rsidR="00804E4F" w:rsidRPr="00161872" w:rsidRDefault="00804E4F" w:rsidP="00804E4F">
            <w:pPr>
              <w:spacing w:after="0" w:line="240" w:lineRule="auto"/>
              <w:rPr>
                <w:rFonts w:ascii="EC Square Sans Pro" w:eastAsia="Calibri" w:hAnsi="EC Square Sans Pro"/>
                <w:b/>
                <w:noProof/>
                <w:color w:val="F68A4C"/>
                <w:sz w:val="22"/>
                <w:szCs w:val="22"/>
                <w:lang w:val="fr-BE"/>
              </w:rPr>
            </w:pPr>
          </w:p>
        </w:tc>
        <w:tc>
          <w:tcPr>
            <w:tcW w:w="4485" w:type="dxa"/>
            <w:shd w:val="clear" w:color="auto" w:fill="F2F2F2"/>
            <w:vAlign w:val="center"/>
          </w:tcPr>
          <w:p w:rsidR="00804E4F" w:rsidRPr="00804E4F" w:rsidRDefault="00804E4F" w:rsidP="00804E4F">
            <w:pPr>
              <w:numPr>
                <w:ilvl w:val="0"/>
                <w:numId w:val="5"/>
              </w:numPr>
              <w:spacing w:after="0" w:line="240" w:lineRule="auto"/>
              <w:ind w:left="170" w:hanging="170"/>
              <w:contextualSpacing/>
              <w:rPr>
                <w:rFonts w:ascii="EC Square Sans Pro" w:eastAsia="Calibri" w:hAnsi="EC Square Sans Pro"/>
                <w:noProof/>
                <w:color w:val="4C4B9A"/>
                <w:sz w:val="22"/>
                <w:szCs w:val="22"/>
              </w:rPr>
            </w:pPr>
            <w:r w:rsidRPr="00887B27">
              <w:rPr>
                <w:rFonts w:ascii="EC Square Sans Pro" w:hAnsi="EC Square Sans Pro"/>
                <w:noProof/>
                <w:color w:val="4C4B9A"/>
                <w:sz w:val="22"/>
                <w:szCs w:val="22"/>
              </w:rPr>
              <w:t>7</w:t>
            </w:r>
            <w:r>
              <w:rPr>
                <w:rFonts w:ascii="EC Square Sans Pro" w:hAnsi="EC Square Sans Pro"/>
                <w:noProof/>
                <w:color w:val="4C4B9A"/>
                <w:sz w:val="22"/>
                <w:szCs w:val="22"/>
              </w:rPr>
              <w:t xml:space="preserve"> adjudications</w:t>
            </w:r>
          </w:p>
          <w:p w:rsidR="00804E4F" w:rsidRPr="00804E4F" w:rsidRDefault="00804E4F" w:rsidP="00804E4F">
            <w:pPr>
              <w:numPr>
                <w:ilvl w:val="0"/>
                <w:numId w:val="5"/>
              </w:numPr>
              <w:spacing w:after="0" w:line="240" w:lineRule="auto"/>
              <w:ind w:left="170" w:hanging="170"/>
              <w:contextualSpacing/>
              <w:rPr>
                <w:rFonts w:ascii="EC Square Sans Pro" w:eastAsia="Calibri" w:hAnsi="EC Square Sans Pro"/>
                <w:noProof/>
                <w:color w:val="4C4B9A"/>
                <w:sz w:val="22"/>
                <w:szCs w:val="22"/>
              </w:rPr>
            </w:pPr>
            <w:r>
              <w:rPr>
                <w:rFonts w:ascii="EC Square Sans Pro" w:hAnsi="EC Square Sans Pro"/>
                <w:noProof/>
                <w:color w:val="4C4B9A"/>
                <w:sz w:val="22"/>
                <w:szCs w:val="22"/>
              </w:rPr>
              <w:t>Rendement moyen -</w:t>
            </w:r>
            <w:r w:rsidRPr="00887B27">
              <w:rPr>
                <w:rFonts w:ascii="EC Square Sans Pro" w:hAnsi="EC Square Sans Pro"/>
                <w:noProof/>
                <w:color w:val="4C4B9A"/>
                <w:sz w:val="22"/>
                <w:szCs w:val="22"/>
              </w:rPr>
              <w:t>0</w:t>
            </w:r>
            <w:r>
              <w:rPr>
                <w:rFonts w:ascii="EC Square Sans Pro" w:hAnsi="EC Square Sans Pro"/>
                <w:noProof/>
                <w:color w:val="4C4B9A"/>
                <w:sz w:val="22"/>
                <w:szCs w:val="22"/>
              </w:rPr>
              <w:t>,</w:t>
            </w:r>
            <w:r w:rsidRPr="00887B27">
              <w:rPr>
                <w:rFonts w:ascii="EC Square Sans Pro" w:hAnsi="EC Square Sans Pro"/>
                <w:noProof/>
                <w:color w:val="4C4B9A"/>
                <w:sz w:val="22"/>
                <w:szCs w:val="22"/>
              </w:rPr>
              <w:t>78</w:t>
            </w:r>
            <w:r>
              <w:rPr>
                <w:rFonts w:ascii="EC Square Sans Pro" w:hAnsi="EC Square Sans Pro"/>
                <w:noProof/>
                <w:color w:val="4C4B9A"/>
                <w:sz w:val="22"/>
                <w:szCs w:val="22"/>
              </w:rPr>
              <w:t> %</w:t>
            </w:r>
          </w:p>
          <w:p w:rsidR="00804E4F" w:rsidRPr="00804E4F" w:rsidRDefault="00804E4F" w:rsidP="00804E4F">
            <w:pPr>
              <w:numPr>
                <w:ilvl w:val="0"/>
                <w:numId w:val="5"/>
              </w:numPr>
              <w:spacing w:after="0" w:line="240" w:lineRule="auto"/>
              <w:ind w:left="170" w:hanging="170"/>
              <w:contextualSpacing/>
              <w:rPr>
                <w:rFonts w:ascii="EC Square Sans Pro" w:eastAsia="Calibri" w:hAnsi="EC Square Sans Pro"/>
                <w:b/>
                <w:noProof/>
                <w:color w:val="F68A4C"/>
                <w:sz w:val="22"/>
                <w:szCs w:val="22"/>
              </w:rPr>
            </w:pPr>
            <w:r>
              <w:rPr>
                <w:rFonts w:ascii="EC Square Sans Pro" w:hAnsi="EC Square Sans Pro"/>
                <w:noProof/>
                <w:color w:val="4C4B9A"/>
                <w:sz w:val="22"/>
                <w:szCs w:val="22"/>
              </w:rPr>
              <w:t xml:space="preserve">Taux de soumissions satisfaites de </w:t>
            </w:r>
            <w:r w:rsidRPr="00887B27">
              <w:rPr>
                <w:rFonts w:ascii="EC Square Sans Pro" w:hAnsi="EC Square Sans Pro"/>
                <w:noProof/>
                <w:color w:val="4C4B9A"/>
                <w:sz w:val="22"/>
                <w:szCs w:val="22"/>
              </w:rPr>
              <w:t>2</w:t>
            </w:r>
            <w:r>
              <w:rPr>
                <w:rFonts w:ascii="EC Square Sans Pro" w:hAnsi="EC Square Sans Pro"/>
                <w:noProof/>
                <w:color w:val="4C4B9A"/>
                <w:sz w:val="22"/>
                <w:szCs w:val="22"/>
              </w:rPr>
              <w:t>,</w:t>
            </w:r>
            <w:r w:rsidRPr="00887B27">
              <w:rPr>
                <w:rFonts w:ascii="EC Square Sans Pro" w:hAnsi="EC Square Sans Pro"/>
                <w:noProof/>
                <w:color w:val="4C4B9A"/>
                <w:sz w:val="22"/>
                <w:szCs w:val="22"/>
              </w:rPr>
              <w:t>55</w:t>
            </w:r>
            <w:r>
              <w:rPr>
                <w:rFonts w:ascii="EC Square Sans Pro" w:hAnsi="EC Square Sans Pro"/>
                <w:noProof/>
                <w:color w:val="4C4B9A"/>
                <w:sz w:val="22"/>
                <w:szCs w:val="22"/>
              </w:rPr>
              <w:t>x</w:t>
            </w:r>
          </w:p>
        </w:tc>
      </w:tr>
    </w:tbl>
    <w:p w:rsidR="008B6253" w:rsidRPr="00161872" w:rsidRDefault="008B6253" w:rsidP="008B6253">
      <w:pPr>
        <w:spacing w:after="0" w:line="259" w:lineRule="auto"/>
        <w:rPr>
          <w:rFonts w:ascii="EC Square Sans Pro" w:eastAsia="Calibri" w:hAnsi="EC Square Sans Pro"/>
          <w:b/>
          <w:noProof/>
          <w:color w:val="F68A4C"/>
          <w:sz w:val="22"/>
          <w:szCs w:val="22"/>
          <w:lang w:val="fr-BE"/>
        </w:rPr>
      </w:pPr>
    </w:p>
    <w:p w:rsidR="008B6253" w:rsidRPr="00915269" w:rsidRDefault="008B6253" w:rsidP="008B6253">
      <w:pPr>
        <w:spacing w:after="0" w:line="259" w:lineRule="auto"/>
        <w:rPr>
          <w:rFonts w:ascii="EC Square Sans Pro Light" w:eastAsia="Calibri" w:hAnsi="EC Square Sans Pro Light"/>
          <w:noProof/>
          <w:color w:val="F68A4C"/>
          <w:sz w:val="40"/>
          <w:szCs w:val="40"/>
        </w:rPr>
      </w:pPr>
      <w:r>
        <w:rPr>
          <w:rFonts w:ascii="EC Square Sans Pro Light" w:hAnsi="EC Square Sans Pro Light"/>
          <w:noProof/>
          <w:color w:val="F68A4C"/>
          <w:sz w:val="40"/>
          <w:szCs w:val="40"/>
        </w:rPr>
        <w:t>Utilisation du produit</w:t>
      </w:r>
    </w:p>
    <w:p w:rsidR="008B6253" w:rsidRPr="00735452" w:rsidRDefault="008B6253" w:rsidP="006A0D4D">
      <w:pPr>
        <w:spacing w:after="0" w:line="259" w:lineRule="auto"/>
        <w:ind w:right="140"/>
        <w:rPr>
          <w:rFonts w:ascii="EC Square Sans Pro" w:eastAsia="Calibri" w:hAnsi="EC Square Sans Pro"/>
          <w:noProof/>
          <w:color w:val="F68A4C"/>
          <w:sz w:val="22"/>
          <w:szCs w:val="22"/>
        </w:rPr>
      </w:pPr>
      <w:r>
        <w:rPr>
          <w:rFonts w:ascii="EC Square Sans Pro" w:hAnsi="EC Square Sans Pro"/>
          <w:noProof/>
          <w:color w:val="F68A4C"/>
          <w:sz w:val="22"/>
          <w:szCs w:val="22"/>
          <w:lang w:val="en-US"/>
        </w:rPr>
        <mc:AlternateContent>
          <mc:Choice Requires="wpg">
            <w:drawing>
              <wp:anchor distT="0" distB="0" distL="114300" distR="114300" simplePos="0" relativeHeight="251660800" behindDoc="0" locked="0" layoutInCell="1" allowOverlap="1" wp14:anchorId="0115864B" wp14:editId="31CDAEAF">
                <wp:simplePos x="0" y="0"/>
                <wp:positionH relativeFrom="column">
                  <wp:posOffset>-109855</wp:posOffset>
                </wp:positionH>
                <wp:positionV relativeFrom="paragraph">
                  <wp:posOffset>92710</wp:posOffset>
                </wp:positionV>
                <wp:extent cx="6111875" cy="1247139"/>
                <wp:effectExtent l="0" t="0" r="0" b="0"/>
                <wp:wrapNone/>
                <wp:docPr id="142" name="Group 142"/>
                <wp:cNvGraphicFramePr/>
                <a:graphic xmlns:a="http://schemas.openxmlformats.org/drawingml/2006/main">
                  <a:graphicData uri="http://schemas.microsoft.com/office/word/2010/wordprocessingGroup">
                    <wpg:wgp>
                      <wpg:cNvGrpSpPr/>
                      <wpg:grpSpPr>
                        <a:xfrm>
                          <a:off x="0" y="0"/>
                          <a:ext cx="6111875" cy="1247139"/>
                          <a:chOff x="0" y="0"/>
                          <a:chExt cx="6111875" cy="1247139"/>
                        </a:xfrm>
                      </wpg:grpSpPr>
                      <wps:wsp>
                        <wps:cNvPr id="136" name="Text Box 136"/>
                        <wps:cNvSpPr txBox="1"/>
                        <wps:spPr>
                          <a:xfrm>
                            <a:off x="0" y="780652"/>
                            <a:ext cx="2667000" cy="466487"/>
                          </a:xfrm>
                          <a:prstGeom prst="rect">
                            <a:avLst/>
                          </a:prstGeom>
                          <a:noFill/>
                          <a:ln w="6350">
                            <a:noFill/>
                          </a:ln>
                        </wps:spPr>
                        <wps:txbx>
                          <w:txbxContent>
                            <w:p w:rsidR="008B6253" w:rsidRPr="005B7286" w:rsidRDefault="008B6253" w:rsidP="008B6253">
                              <w:pPr>
                                <w:spacing w:after="0" w:line="200" w:lineRule="exact"/>
                                <w:rPr>
                                  <w:rFonts w:ascii="EC Square Sans Pro" w:hAnsi="EC Square Sans Pro"/>
                                  <w:b/>
                                  <w:color w:val="4C4B9A"/>
                                  <w:sz w:val="22"/>
                                </w:rPr>
                              </w:pPr>
                              <w:r>
                                <w:rPr>
                                  <w:rFonts w:ascii="EC Square Sans Pro" w:hAnsi="EC Square Sans Pro"/>
                                  <w:b/>
                                  <w:color w:val="4C4B9A"/>
                                  <w:sz w:val="22"/>
                                </w:rPr>
                                <w:t xml:space="preserve">Subventions octroyées aux États membres de l’UE au titre de la facilité pour la reprise et la résilience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 name="Text Box 137"/>
                        <wps:cNvSpPr txBox="1"/>
                        <wps:spPr>
                          <a:xfrm>
                            <a:off x="3562350" y="790574"/>
                            <a:ext cx="2400300" cy="456565"/>
                          </a:xfrm>
                          <a:prstGeom prst="rect">
                            <a:avLst/>
                          </a:prstGeom>
                          <a:noFill/>
                          <a:ln w="6350">
                            <a:noFill/>
                          </a:ln>
                        </wps:spPr>
                        <wps:txbx>
                          <w:txbxContent>
                            <w:p w:rsidR="008B6253" w:rsidRPr="005B7286" w:rsidRDefault="008B6253" w:rsidP="008B6253">
                              <w:pPr>
                                <w:spacing w:after="0" w:line="200" w:lineRule="exact"/>
                                <w:rPr>
                                  <w:rFonts w:ascii="EC Square Sans Pro" w:hAnsi="EC Square Sans Pro"/>
                                  <w:b/>
                                  <w:color w:val="F68A4C"/>
                                  <w:sz w:val="22"/>
                                </w:rPr>
                              </w:pPr>
                              <w:r>
                                <w:rPr>
                                  <w:rFonts w:ascii="EC Square Sans Pro" w:hAnsi="EC Square Sans Pro"/>
                                  <w:b/>
                                  <w:color w:val="F68A4C"/>
                                  <w:sz w:val="22"/>
                                </w:rPr>
                                <w:t>Prêts octroyés aux États membres de l’UE au titre de la facilité pour la reprise et la résilience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40" name="Group 140"/>
                        <wpg:cNvGrpSpPr/>
                        <wpg:grpSpPr>
                          <a:xfrm>
                            <a:off x="828675" y="418910"/>
                            <a:ext cx="5283200" cy="362139"/>
                            <a:chOff x="-542925" y="-85915"/>
                            <a:chExt cx="5283200" cy="362139"/>
                          </a:xfrm>
                        </wpg:grpSpPr>
                        <wps:wsp>
                          <wps:cNvPr id="135" name="Text Box 135"/>
                          <wps:cNvSpPr txBox="1"/>
                          <wps:spPr>
                            <a:xfrm>
                              <a:off x="-542925" y="-1"/>
                              <a:ext cx="1619251" cy="254689"/>
                            </a:xfrm>
                            <a:prstGeom prst="rect">
                              <a:avLst/>
                            </a:prstGeom>
                            <a:noFill/>
                            <a:ln w="6350">
                              <a:noFill/>
                            </a:ln>
                          </wps:spPr>
                          <wps:txbx>
                            <w:txbxContent>
                              <w:p w:rsidR="008B6253" w:rsidRPr="00EB44F6" w:rsidRDefault="008B6253" w:rsidP="008B6253">
                                <w:pPr>
                                  <w:spacing w:after="0" w:line="200" w:lineRule="exact"/>
                                  <w:jc w:val="center"/>
                                  <w:rPr>
                                    <w:rFonts w:ascii="EC Square Sans Pro" w:hAnsi="EC Square Sans Pro"/>
                                    <w:b/>
                                    <w:color w:val="FFFFFF" w:themeColor="background1"/>
                                  </w:rPr>
                                </w:pPr>
                                <w:r>
                                  <w:rPr>
                                    <w:rFonts w:ascii="EC Square Sans Pro" w:hAnsi="EC Square Sans Pro"/>
                                    <w:b/>
                                    <w:color w:val="FFFFFF" w:themeColor="background1"/>
                                  </w:rPr>
                                  <w:t>46,4 milliards 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 name="Text Box 138"/>
                          <wps:cNvSpPr txBox="1"/>
                          <wps:spPr>
                            <a:xfrm>
                              <a:off x="2362200" y="-85915"/>
                              <a:ext cx="1247775" cy="342900"/>
                            </a:xfrm>
                            <a:prstGeom prst="rect">
                              <a:avLst/>
                            </a:prstGeom>
                            <a:noFill/>
                            <a:ln w="6350">
                              <a:noFill/>
                            </a:ln>
                          </wps:spPr>
                          <wps:txbx>
                            <w:txbxContent>
                              <w:p w:rsidR="008B6253" w:rsidRPr="00EB44F6" w:rsidRDefault="008B6253" w:rsidP="008B6253">
                                <w:pPr>
                                  <w:spacing w:after="0" w:line="200" w:lineRule="exact"/>
                                  <w:jc w:val="center"/>
                                  <w:rPr>
                                    <w:rFonts w:ascii="EC Square Sans Pro" w:hAnsi="EC Square Sans Pro"/>
                                    <w:b/>
                                    <w:color w:val="FFFFFF" w:themeColor="background1"/>
                                  </w:rPr>
                                </w:pPr>
                                <w:r>
                                  <w:rPr>
                                    <w:rFonts w:ascii="EC Square Sans Pro" w:hAnsi="EC Square Sans Pro"/>
                                    <w:b/>
                                    <w:color w:val="FFFFFF" w:themeColor="background1"/>
                                  </w:rPr>
                                  <w:t>18,0 milliards d’EUR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9" name="Text Box 139"/>
                          <wps:cNvSpPr txBox="1"/>
                          <wps:spPr>
                            <a:xfrm>
                              <a:off x="3663950" y="-57151"/>
                              <a:ext cx="1076325" cy="333375"/>
                            </a:xfrm>
                            <a:prstGeom prst="rect">
                              <a:avLst/>
                            </a:prstGeom>
                            <a:noFill/>
                            <a:ln w="6350">
                              <a:noFill/>
                            </a:ln>
                          </wps:spPr>
                          <wps:txbx>
                            <w:txbxContent>
                              <w:p w:rsidR="008B6253" w:rsidRPr="006A0D4D" w:rsidRDefault="008B6253" w:rsidP="00500E0C">
                                <w:pPr>
                                  <w:spacing w:after="0" w:line="200" w:lineRule="exact"/>
                                  <w:rPr>
                                    <w:rFonts w:ascii="EC Square Sans Pro" w:hAnsi="EC Square Sans Pro"/>
                                    <w:b/>
                                    <w:color w:val="FFFFFF" w:themeColor="background1"/>
                                    <w:sz w:val="19"/>
                                    <w:szCs w:val="19"/>
                                  </w:rPr>
                                </w:pPr>
                                <w:r w:rsidRPr="006A0D4D">
                                  <w:rPr>
                                    <w:rFonts w:ascii="EC Square Sans Pro" w:hAnsi="EC Square Sans Pro"/>
                                    <w:b/>
                                    <w:color w:val="FFFFFF" w:themeColor="background1"/>
                                    <w:sz w:val="19"/>
                                    <w:szCs w:val="19"/>
                                  </w:rPr>
                                  <w:t>8,6</w:t>
                                </w:r>
                                <w:r w:rsidR="006A0D4D" w:rsidRPr="006A0D4D">
                                  <w:rPr>
                                    <w:rFonts w:ascii="EC Square Sans Pro" w:hAnsi="EC Square Sans Pro"/>
                                    <w:b/>
                                    <w:color w:val="FFFFFF" w:themeColor="background1"/>
                                    <w:sz w:val="19"/>
                                    <w:szCs w:val="19"/>
                                  </w:rPr>
                                  <w:t> </w:t>
                                </w:r>
                                <w:r w:rsidRPr="006A0D4D">
                                  <w:rPr>
                                    <w:rFonts w:ascii="EC Square Sans Pro" w:hAnsi="EC Square Sans Pro"/>
                                    <w:b/>
                                    <w:color w:val="FFFFFF" w:themeColor="background1"/>
                                    <w:sz w:val="19"/>
                                    <w:szCs w:val="19"/>
                                  </w:rPr>
                                  <w:t xml:space="preserve">milliards </w:t>
                                </w:r>
                                <w:r w:rsidR="006A0D4D" w:rsidRPr="006A0D4D">
                                  <w:rPr>
                                    <w:rFonts w:ascii="EC Square Sans Pro" w:hAnsi="EC Square Sans Pro"/>
                                    <w:b/>
                                    <w:color w:val="FFFFFF" w:themeColor="background1"/>
                                    <w:sz w:val="19"/>
                                    <w:szCs w:val="19"/>
                                  </w:rPr>
                                  <w:t xml:space="preserve">     </w:t>
                                </w:r>
                                <w:r w:rsidRPr="006A0D4D">
                                  <w:rPr>
                                    <w:rFonts w:ascii="EC Square Sans Pro" w:hAnsi="EC Square Sans Pro"/>
                                    <w:b/>
                                    <w:color w:val="FFFFFF" w:themeColor="background1"/>
                                    <w:sz w:val="19"/>
                                    <w:szCs w:val="19"/>
                                  </w:rPr>
                                  <w:t>d’EUR</w:t>
                                </w:r>
                                <w:r w:rsidRPr="006A0D4D">
                                  <w:rPr>
                                    <w:rFonts w:ascii="EC Square Sans Pro" w:hAnsi="EC Square Sans Pro"/>
                                    <w:color w:val="FFFFFF" w:themeColor="background1"/>
                                    <w:sz w:val="19"/>
                                    <w:szCs w:val="19"/>
                                    <w:vertAlign w:val="super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1" name="Text Box 141"/>
                        <wps:cNvSpPr txBox="1"/>
                        <wps:spPr>
                          <a:xfrm>
                            <a:off x="3362325" y="0"/>
                            <a:ext cx="2400300" cy="381000"/>
                          </a:xfrm>
                          <a:prstGeom prst="rect">
                            <a:avLst/>
                          </a:prstGeom>
                          <a:noFill/>
                          <a:ln w="6350">
                            <a:noFill/>
                          </a:ln>
                        </wps:spPr>
                        <wps:txbx>
                          <w:txbxContent>
                            <w:p w:rsidR="008B6253" w:rsidRPr="005B7286" w:rsidRDefault="008B6253" w:rsidP="008B6253">
                              <w:pPr>
                                <w:spacing w:after="0" w:line="200" w:lineRule="exact"/>
                                <w:jc w:val="right"/>
                                <w:rPr>
                                  <w:rFonts w:ascii="EC Square Sans Pro" w:hAnsi="EC Square Sans Pro"/>
                                  <w:b/>
                                  <w:color w:val="F05A28"/>
                                  <w:sz w:val="22"/>
                                </w:rPr>
                              </w:pPr>
                              <w:r>
                                <w:rPr>
                                  <w:rFonts w:ascii="EC Square Sans Pro" w:hAnsi="EC Square Sans Pro"/>
                                  <w:b/>
                                  <w:color w:val="F05A28"/>
                                  <w:sz w:val="22"/>
                                </w:rPr>
                                <w:t>Autres programmes</w:t>
                              </w:r>
                            </w:p>
                            <w:p w:rsidR="008B6253" w:rsidRPr="005B7286" w:rsidRDefault="008B6253" w:rsidP="008B6253">
                              <w:pPr>
                                <w:spacing w:after="0" w:line="200" w:lineRule="exact"/>
                                <w:jc w:val="right"/>
                                <w:rPr>
                                  <w:rFonts w:ascii="EC Square Sans Pro" w:hAnsi="EC Square Sans Pro"/>
                                  <w:b/>
                                  <w:color w:val="F05A28"/>
                                  <w:sz w:val="22"/>
                                </w:rPr>
                              </w:pPr>
                              <w:r>
                                <w:rPr>
                                  <w:rFonts w:ascii="EC Square Sans Pro" w:hAnsi="EC Square Sans Pro"/>
                                  <w:b/>
                                  <w:color w:val="F05A28"/>
                                  <w:sz w:val="22"/>
                                </w:rPr>
                                <w:t>relevant du budget de l’UE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15864B" id="Group 142" o:spid="_x0000_s1056" style="position:absolute;margin-left:-8.65pt;margin-top:7.3pt;width:481.25pt;height:98.2pt;z-index:251660800;mso-width-relative:margin;mso-height-relative:margin" coordsize="61118,1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">
                <v:shape id="Text Box 136" o:spid="_x0000_s1057" type="#_x0000_t202" style="position:absolute;top:7806;width:26670;height:4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f1RxQAAANwAAAAPAAAAZHJzL2Rvd25yZXYueG1sRE9La8JA&#10;EL4X/A/LFHqrm6Yo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BHXf1RxQAAANwAAAAP&#10;AAAAAAAAAAAAAAAAAAcCAABkcnMvZG93bnJldi54bWxQSwUGAAAAAAMAAwC3AAAA+QIAAAAA&#10;" filled="f" stroked="f" strokeweight=".5pt">
                  <v:textbox>
                    <w:txbxContent>
                      <w:p w:rsidR="008B6253" w:rsidRPr="005B7286" w:rsidRDefault="008B6253" w:rsidP="008B6253">
                        <w:pPr>
                          <w:spacing w:after="0" w:line="200" w:lineRule="exact"/>
                          <w:rPr>
                            <w:rFonts w:ascii="EC Square Sans Pro" w:hAnsi="EC Square Sans Pro"/>
                            <w:b/>
                            <w:color w:val="4C4B9A"/>
                            <w:sz w:val="22"/>
                          </w:rPr>
                        </w:pPr>
                        <w:r>
                          <w:rPr>
                            <w:rFonts w:ascii="EC Square Sans Pro" w:hAnsi="EC Square Sans Pro"/>
                            <w:b/>
                            <w:color w:val="4C4B9A"/>
                            <w:sz w:val="22"/>
                          </w:rPr>
                          <w:t xml:space="preserve">Subventions octroyées aux États membres de l’UE au titre de la facilité pour la reprise et la résilience </w:t>
                        </w:r>
                      </w:p>
                    </w:txbxContent>
                  </v:textbox>
                </v:shape>
                <v:shape id="Text Box 137" o:spid="_x0000_s1058" type="#_x0000_t202" style="position:absolute;left:35623;top:7905;width:24003;height:4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" filled="f" stroked="f" strokeweight=".5pt">
                  <v:textbox>
                    <w:txbxContent>
                      <w:p w:rsidR="008B6253" w:rsidRPr="005B7286" w:rsidRDefault="008B6253" w:rsidP="008B6253">
                        <w:pPr>
                          <w:spacing w:after="0" w:line="200" w:lineRule="exact"/>
                          <w:rPr>
                            <w:rFonts w:ascii="EC Square Sans Pro" w:hAnsi="EC Square Sans Pro"/>
                            <w:b/>
                            <w:color w:val="F68A4C"/>
                            <w:sz w:val="22"/>
                          </w:rPr>
                        </w:pPr>
                        <w:r>
                          <w:rPr>
                            <w:rFonts w:ascii="EC Square Sans Pro" w:hAnsi="EC Square Sans Pro"/>
                            <w:b/>
                            <w:color w:val="F68A4C"/>
                            <w:sz w:val="22"/>
                          </w:rPr>
                          <w:t>Prêts octroyés aux États membres de l’UE au titre de la facilité pour la reprise et la résilience</w:t>
                        </w:r>
                      </w:p>
                    </w:txbxContent>
                  </v:textbox>
                </v:shape>
                <v:group id="Group 140" o:spid="_x0000_s1059" style="position:absolute;left:8286;top:4189;width:52832;height:3621" coordorigin="-5429,-859" coordsize="52832,3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shape id="Text Box 135" o:spid="_x0000_s1060" type="#_x0000_t202" style="position:absolute;left:-5429;width:16192;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2MmwwAAANwAAAAPAAAAZHJzL2Rvd25yZXYueG1sRE9Li8Iw&#10;EL4L/ocwgjdNVVx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t49jJsMAAADcAAAADwAA&#10;AAAAAAAAAAAAAAAHAgAAZHJzL2Rvd25yZXYueG1sUEsFBgAAAAADAAMAtwAAAPcCAAAAAA==&#10;" filled="f" stroked="f" strokeweight=".5pt">
                    <v:textbox>
                      <w:txbxContent>
                        <w:p w:rsidR="008B6253" w:rsidRPr="00EB44F6" w:rsidRDefault="008B6253" w:rsidP="008B6253">
                          <w:pPr>
                            <w:spacing w:after="0" w:line="200" w:lineRule="exact"/>
                            <w:jc w:val="center"/>
                            <w:rPr>
                              <w:rFonts w:ascii="EC Square Sans Pro" w:hAnsi="EC Square Sans Pro"/>
                              <w:b/>
                              <w:color w:val="FFFFFF" w:themeColor="background1"/>
                            </w:rPr>
                          </w:pPr>
                          <w:r>
                            <w:rPr>
                              <w:rFonts w:ascii="EC Square Sans Pro" w:hAnsi="EC Square Sans Pro"/>
                              <w:b/>
                              <w:color w:val="FFFFFF" w:themeColor="background1"/>
                            </w:rPr>
                            <w:t>46,4 milliards d’EUR</w:t>
                          </w:r>
                        </w:p>
                      </w:txbxContent>
                    </v:textbox>
                  </v:shape>
                  <v:shape id="Text Box 138" o:spid="_x0000_s1061" type="#_x0000_t202" style="position:absolute;left:23622;top:-859;width:12477;height:3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" filled="f" stroked="f" strokeweight=".5pt">
                    <v:textbox>
                      <w:txbxContent>
                        <w:p w:rsidR="008B6253" w:rsidRPr="00EB44F6" w:rsidRDefault="008B6253" w:rsidP="008B6253">
                          <w:pPr>
                            <w:spacing w:after="0" w:line="200" w:lineRule="exact"/>
                            <w:jc w:val="center"/>
                            <w:rPr>
                              <w:rFonts w:ascii="EC Square Sans Pro" w:hAnsi="EC Square Sans Pro"/>
                              <w:b/>
                              <w:color w:val="FFFFFF" w:themeColor="background1"/>
                            </w:rPr>
                          </w:pPr>
                          <w:r>
                            <w:rPr>
                              <w:rFonts w:ascii="EC Square Sans Pro" w:hAnsi="EC Square Sans Pro"/>
                              <w:b/>
                              <w:color w:val="FFFFFF" w:themeColor="background1"/>
                            </w:rPr>
                            <w:t>18,0 milliards d’EUR</w:t>
                          </w:r>
                        </w:p>
                      </w:txbxContent>
                    </v:textbox>
                  </v:shape>
                  <v:shape id="Text Box 139" o:spid="_x0000_s1062" type="#_x0000_t202" style="position:absolute;left:36639;top:-571;width:10763;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" filled="f" stroked="f" strokeweight=".5pt">
                    <v:textbox>
                      <w:txbxContent>
                        <w:p w:rsidR="008B6253" w:rsidRPr="006A0D4D" w:rsidRDefault="008B6253" w:rsidP="00500E0C">
                          <w:pPr>
                            <w:spacing w:after="0" w:line="200" w:lineRule="exact"/>
                            <w:rPr>
                              <w:rFonts w:ascii="EC Square Sans Pro" w:hAnsi="EC Square Sans Pro"/>
                              <w:b/>
                              <w:color w:val="FFFFFF" w:themeColor="background1"/>
                              <w:sz w:val="19"/>
                              <w:szCs w:val="19"/>
                            </w:rPr>
                          </w:pPr>
                          <w:r w:rsidRPr="006A0D4D">
                            <w:rPr>
                              <w:rFonts w:ascii="EC Square Sans Pro" w:hAnsi="EC Square Sans Pro"/>
                              <w:b/>
                              <w:color w:val="FFFFFF" w:themeColor="background1"/>
                              <w:sz w:val="19"/>
                              <w:szCs w:val="19"/>
                            </w:rPr>
                            <w:t>8,6</w:t>
                          </w:r>
                          <w:r w:rsidR="006A0D4D" w:rsidRPr="006A0D4D">
                            <w:rPr>
                              <w:rFonts w:ascii="EC Square Sans Pro" w:hAnsi="EC Square Sans Pro"/>
                              <w:b/>
                              <w:color w:val="FFFFFF" w:themeColor="background1"/>
                              <w:sz w:val="19"/>
                              <w:szCs w:val="19"/>
                            </w:rPr>
                            <w:t> </w:t>
                          </w:r>
                          <w:r w:rsidRPr="006A0D4D">
                            <w:rPr>
                              <w:rFonts w:ascii="EC Square Sans Pro" w:hAnsi="EC Square Sans Pro"/>
                              <w:b/>
                              <w:color w:val="FFFFFF" w:themeColor="background1"/>
                              <w:sz w:val="19"/>
                              <w:szCs w:val="19"/>
                            </w:rPr>
                            <w:t xml:space="preserve">milliards </w:t>
                          </w:r>
                          <w:r w:rsidR="006A0D4D" w:rsidRPr="006A0D4D">
                            <w:rPr>
                              <w:rFonts w:ascii="EC Square Sans Pro" w:hAnsi="EC Square Sans Pro"/>
                              <w:b/>
                              <w:color w:val="FFFFFF" w:themeColor="background1"/>
                              <w:sz w:val="19"/>
                              <w:szCs w:val="19"/>
                            </w:rPr>
                            <w:t xml:space="preserve">     </w:t>
                          </w:r>
                          <w:r w:rsidRPr="006A0D4D">
                            <w:rPr>
                              <w:rFonts w:ascii="EC Square Sans Pro" w:hAnsi="EC Square Sans Pro"/>
                              <w:b/>
                              <w:color w:val="FFFFFF" w:themeColor="background1"/>
                              <w:sz w:val="19"/>
                              <w:szCs w:val="19"/>
                            </w:rPr>
                            <w:t>d’EUR</w:t>
                          </w:r>
                          <w:r w:rsidRPr="006A0D4D">
                            <w:rPr>
                              <w:rFonts w:ascii="EC Square Sans Pro" w:hAnsi="EC Square Sans Pro"/>
                              <w:color w:val="FFFFFF" w:themeColor="background1"/>
                              <w:sz w:val="19"/>
                              <w:szCs w:val="19"/>
                              <w:vertAlign w:val="superscript"/>
                            </w:rPr>
                            <w:t>(1)</w:t>
                          </w:r>
                        </w:p>
                      </w:txbxContent>
                    </v:textbox>
                  </v:shape>
                </v:group>
                <v:shape id="Text Box 141" o:spid="_x0000_s1063" type="#_x0000_t202" style="position:absolute;left:33623;width:24003;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" filled="f" stroked="f" strokeweight=".5pt">
                  <v:textbox>
                    <w:txbxContent>
                      <w:p w:rsidR="008B6253" w:rsidRPr="005B7286" w:rsidRDefault="008B6253" w:rsidP="008B6253">
                        <w:pPr>
                          <w:spacing w:after="0" w:line="200" w:lineRule="exact"/>
                          <w:jc w:val="right"/>
                          <w:rPr>
                            <w:rFonts w:ascii="EC Square Sans Pro" w:hAnsi="EC Square Sans Pro"/>
                            <w:b/>
                            <w:color w:val="F05A28"/>
                            <w:sz w:val="22"/>
                          </w:rPr>
                        </w:pPr>
                        <w:r>
                          <w:rPr>
                            <w:rFonts w:ascii="EC Square Sans Pro" w:hAnsi="EC Square Sans Pro"/>
                            <w:b/>
                            <w:color w:val="F05A28"/>
                            <w:sz w:val="22"/>
                          </w:rPr>
                          <w:t>Autres programmes</w:t>
                        </w:r>
                      </w:p>
                      <w:p w:rsidR="008B6253" w:rsidRPr="005B7286" w:rsidRDefault="008B6253" w:rsidP="008B6253">
                        <w:pPr>
                          <w:spacing w:after="0" w:line="200" w:lineRule="exact"/>
                          <w:jc w:val="right"/>
                          <w:rPr>
                            <w:rFonts w:ascii="EC Square Sans Pro" w:hAnsi="EC Square Sans Pro"/>
                            <w:b/>
                            <w:color w:val="F05A28"/>
                            <w:sz w:val="22"/>
                          </w:rPr>
                        </w:pPr>
                        <w:r>
                          <w:rPr>
                            <w:rFonts w:ascii="EC Square Sans Pro" w:hAnsi="EC Square Sans Pro"/>
                            <w:b/>
                            <w:color w:val="F05A28"/>
                            <w:sz w:val="22"/>
                          </w:rPr>
                          <w:t>relevant du budget de l’UE</w:t>
                        </w:r>
                      </w:p>
                    </w:txbxContent>
                  </v:textbox>
                </v:shape>
              </v:group>
            </w:pict>
          </mc:Fallback>
        </mc:AlternateContent>
      </w:r>
      <w:r>
        <w:rPr>
          <w:rFonts w:ascii="EC Square Sans Pro" w:hAnsi="EC Square Sans Pro"/>
          <w:noProof/>
          <w:color w:val="F68A4C"/>
          <w:sz w:val="22"/>
          <w:szCs w:val="22"/>
        </w:rPr>
        <w:t xml:space="preserve">au </w:t>
      </w:r>
      <w:r w:rsidRPr="00887B27">
        <w:rPr>
          <w:rFonts w:ascii="EC Square Sans Pro" w:hAnsi="EC Square Sans Pro"/>
          <w:noProof/>
          <w:color w:val="F68A4C"/>
          <w:sz w:val="22"/>
          <w:szCs w:val="22"/>
        </w:rPr>
        <w:t>31</w:t>
      </w:r>
      <w:r>
        <w:rPr>
          <w:rFonts w:ascii="EC Square Sans Pro" w:hAnsi="EC Square Sans Pro"/>
          <w:noProof/>
          <w:color w:val="F68A4C"/>
          <w:sz w:val="22"/>
          <w:szCs w:val="22"/>
        </w:rPr>
        <w:t xml:space="preserve"> décembre </w:t>
      </w:r>
      <w:r w:rsidRPr="00887B27">
        <w:rPr>
          <w:rFonts w:ascii="EC Square Sans Pro" w:hAnsi="EC Square Sans Pro"/>
          <w:noProof/>
          <w:color w:val="F68A4C"/>
          <w:sz w:val="22"/>
          <w:szCs w:val="22"/>
        </w:rPr>
        <w:t>2021</w:t>
      </w:r>
      <w:r>
        <w:rPr>
          <w:b/>
          <w:noProof/>
          <w:lang w:val="en-US"/>
        </w:rPr>
        <w:drawing>
          <wp:inline distT="0" distB="0" distL="0" distR="0" wp14:anchorId="3AB33556" wp14:editId="0811E758">
            <wp:extent cx="5757652" cy="1161415"/>
            <wp:effectExtent l="0" t="0" r="0" b="63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r-E_infographics"/>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8275"/>
                    <a:stretch/>
                  </pic:blipFill>
                  <pic:spPr bwMode="auto">
                    <a:xfrm>
                      <a:off x="0" y="0"/>
                      <a:ext cx="5760085" cy="1161906"/>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9072"/>
      </w:tblGrid>
      <w:tr w:rsidR="008B6253" w:rsidRPr="00915269" w:rsidTr="00804E4F">
        <w:trPr>
          <w:trHeight w:val="124"/>
        </w:trPr>
        <w:tc>
          <w:tcPr>
            <w:tcW w:w="9072" w:type="dxa"/>
            <w:shd w:val="clear" w:color="auto" w:fill="F2F2F2"/>
            <w:vAlign w:val="center"/>
          </w:tcPr>
          <w:p w:rsidR="008B6253" w:rsidRPr="00804E4F" w:rsidRDefault="008B6253" w:rsidP="00804E4F">
            <w:pPr>
              <w:spacing w:after="0" w:line="240" w:lineRule="auto"/>
              <w:rPr>
                <w:rFonts w:ascii="EC Square Sans Pro" w:eastAsia="Calibri" w:hAnsi="EC Square Sans Pro"/>
                <w:b/>
                <w:noProof/>
                <w:color w:val="4C4B9A"/>
                <w:sz w:val="22"/>
              </w:rPr>
            </w:pPr>
            <w:r>
              <w:rPr>
                <w:rFonts w:ascii="EC Square Sans Pro" w:hAnsi="EC Square Sans Pro"/>
                <w:b/>
                <w:noProof/>
                <w:color w:val="4C4B9A"/>
                <w:sz w:val="22"/>
              </w:rPr>
              <w:t>INFORMATIONS CLÉS</w:t>
            </w:r>
          </w:p>
        </w:tc>
      </w:tr>
      <w:tr w:rsidR="008B6253" w:rsidRPr="00915269" w:rsidTr="00804E4F">
        <w:tc>
          <w:tcPr>
            <w:tcW w:w="9072" w:type="dxa"/>
            <w:shd w:val="clear" w:color="auto" w:fill="F2F2F2"/>
            <w:vAlign w:val="center"/>
          </w:tcPr>
          <w:p w:rsidR="008B6253" w:rsidRPr="00804E4F" w:rsidRDefault="008B6253" w:rsidP="00804E4F">
            <w:pPr>
              <w:numPr>
                <w:ilvl w:val="0"/>
                <w:numId w:val="4"/>
              </w:numPr>
              <w:spacing w:after="0" w:line="240" w:lineRule="auto"/>
              <w:ind w:left="170" w:hanging="170"/>
              <w:contextualSpacing/>
              <w:rPr>
                <w:rFonts w:ascii="EC Square Sans Pro" w:eastAsia="Calibri" w:hAnsi="EC Square Sans Pro"/>
                <w:noProof/>
                <w:color w:val="4C4B9A"/>
                <w:sz w:val="22"/>
              </w:rPr>
            </w:pPr>
            <w:r w:rsidRPr="00887B27">
              <w:rPr>
                <w:rFonts w:ascii="EC Square Sans Pro" w:hAnsi="EC Square Sans Pro"/>
                <w:noProof/>
                <w:color w:val="4C4B9A"/>
                <w:sz w:val="22"/>
              </w:rPr>
              <w:t>20</w:t>
            </w:r>
            <w:r>
              <w:rPr>
                <w:rFonts w:ascii="EC Square Sans Pro" w:hAnsi="EC Square Sans Pro"/>
                <w:noProof/>
                <w:color w:val="4C4B9A"/>
                <w:sz w:val="22"/>
              </w:rPr>
              <w:t> États membres ont reçu des subventions et des prêts au titre de la FRR</w:t>
            </w:r>
            <w:r>
              <w:rPr>
                <w:rFonts w:ascii="EC Square Sans Pro" w:hAnsi="EC Square Sans Pro"/>
                <w:noProof/>
                <w:color w:val="4C4B9A"/>
                <w:sz w:val="22"/>
                <w:vertAlign w:val="superscript"/>
              </w:rPr>
              <w:t>(</w:t>
            </w:r>
            <w:r w:rsidRPr="00887B27">
              <w:rPr>
                <w:rFonts w:ascii="EC Square Sans Pro" w:hAnsi="EC Square Sans Pro"/>
                <w:noProof/>
                <w:color w:val="4C4B9A"/>
                <w:sz w:val="22"/>
                <w:vertAlign w:val="superscript"/>
              </w:rPr>
              <w:t>2</w:t>
            </w:r>
            <w:r>
              <w:rPr>
                <w:rFonts w:ascii="EC Square Sans Pro" w:hAnsi="EC Square Sans Pro"/>
                <w:noProof/>
                <w:color w:val="4C4B9A"/>
                <w:sz w:val="22"/>
                <w:vertAlign w:val="superscript"/>
              </w:rPr>
              <w:t>)</w:t>
            </w:r>
          </w:p>
          <w:p w:rsidR="008B6253" w:rsidRPr="00804E4F" w:rsidRDefault="008B6253" w:rsidP="006A0D4D">
            <w:pPr>
              <w:numPr>
                <w:ilvl w:val="0"/>
                <w:numId w:val="4"/>
              </w:numPr>
              <w:spacing w:after="0" w:line="240" w:lineRule="auto"/>
              <w:ind w:left="170" w:right="-222" w:hanging="170"/>
              <w:contextualSpacing/>
              <w:rPr>
                <w:rFonts w:ascii="EC Square Sans Pro" w:eastAsia="Calibri" w:hAnsi="EC Square Sans Pro"/>
                <w:b/>
                <w:noProof/>
                <w:color w:val="F68A4C"/>
                <w:sz w:val="22"/>
              </w:rPr>
            </w:pPr>
            <w:r>
              <w:rPr>
                <w:rFonts w:ascii="EC Square Sans Pro" w:hAnsi="EC Square Sans Pro"/>
                <w:noProof/>
                <w:color w:val="4C4B9A"/>
                <w:sz w:val="22"/>
              </w:rPr>
              <w:t xml:space="preserve">Paiements dans les </w:t>
            </w:r>
            <w:r w:rsidRPr="00887B27">
              <w:rPr>
                <w:rFonts w:ascii="EC Square Sans Pro" w:hAnsi="EC Square Sans Pro"/>
                <w:noProof/>
                <w:color w:val="4C4B9A"/>
                <w:sz w:val="22"/>
              </w:rPr>
              <w:t>6</w:t>
            </w:r>
            <w:r>
              <w:rPr>
                <w:rFonts w:ascii="EC Square Sans Pro" w:hAnsi="EC Square Sans Pro"/>
                <w:noProof/>
                <w:color w:val="4C4B9A"/>
                <w:sz w:val="22"/>
              </w:rPr>
              <w:t> jours suivant la signature des conventions de financement et des accords de prêt</w:t>
            </w:r>
          </w:p>
        </w:tc>
      </w:tr>
    </w:tbl>
    <w:p w:rsidR="008B6253" w:rsidRPr="00161872" w:rsidRDefault="008B6253" w:rsidP="008B6253">
      <w:pPr>
        <w:spacing w:after="0" w:line="259" w:lineRule="auto"/>
        <w:rPr>
          <w:rFonts w:ascii="EC Square Sans Pro" w:eastAsia="Calibri" w:hAnsi="EC Square Sans Pro"/>
          <w:noProof/>
          <w:color w:val="595959"/>
          <w:sz w:val="18"/>
          <w:szCs w:val="22"/>
          <w:lang w:val="fr-BE"/>
        </w:rPr>
      </w:pPr>
    </w:p>
    <w:p w:rsidR="008B6253" w:rsidRPr="00161872" w:rsidRDefault="008B6253" w:rsidP="008B6253">
      <w:pPr>
        <w:spacing w:after="0" w:line="259" w:lineRule="auto"/>
        <w:rPr>
          <w:rFonts w:ascii="EC Square Sans Pro" w:eastAsia="Calibri" w:hAnsi="EC Square Sans Pro"/>
          <w:noProof/>
          <w:color w:val="595959"/>
          <w:sz w:val="18"/>
          <w:szCs w:val="22"/>
          <w:lang w:val="fr-BE"/>
        </w:rPr>
      </w:pPr>
    </w:p>
    <w:p w:rsidR="008B6253" w:rsidRDefault="008B6253" w:rsidP="008B6253">
      <w:pPr>
        <w:spacing w:after="0" w:line="259" w:lineRule="auto"/>
        <w:rPr>
          <w:rFonts w:ascii="EC Square Sans Pro" w:eastAsia="Calibri" w:hAnsi="EC Square Sans Pro"/>
          <w:noProof/>
          <w:color w:val="595959"/>
          <w:sz w:val="18"/>
          <w:szCs w:val="22"/>
        </w:rPr>
      </w:pPr>
      <w:r>
        <w:rPr>
          <w:rFonts w:ascii="EC Square Sans Pro" w:hAnsi="EC Square Sans Pro"/>
          <w:noProof/>
          <w:color w:val="595959"/>
          <w:sz w:val="18"/>
          <w:szCs w:val="22"/>
          <w:vertAlign w:val="superscript"/>
        </w:rPr>
        <w:t>(</w:t>
      </w:r>
      <w:r w:rsidRPr="00887B27">
        <w:rPr>
          <w:rFonts w:ascii="EC Square Sans Pro" w:hAnsi="EC Square Sans Pro"/>
          <w:noProof/>
          <w:color w:val="595959"/>
          <w:sz w:val="18"/>
          <w:szCs w:val="22"/>
          <w:vertAlign w:val="superscript"/>
        </w:rPr>
        <w:t>1</w:t>
      </w:r>
      <w:r>
        <w:rPr>
          <w:rFonts w:ascii="EC Square Sans Pro" w:hAnsi="EC Square Sans Pro"/>
          <w:noProof/>
          <w:color w:val="595959"/>
          <w:sz w:val="18"/>
          <w:szCs w:val="22"/>
          <w:vertAlign w:val="superscript"/>
        </w:rPr>
        <w:t>)</w:t>
      </w:r>
      <w:r>
        <w:rPr>
          <w:rFonts w:ascii="EC Square Sans Pro" w:hAnsi="EC Square Sans Pro"/>
          <w:noProof/>
          <w:color w:val="595959"/>
          <w:sz w:val="18"/>
          <w:szCs w:val="22"/>
        </w:rPr>
        <w:t xml:space="preserve"> Budget disponible pour Horizon Europe, le Fonds InvestEU, ReactEU, le mécanisme de protection civile de l’Union (rescEU), le Fonds européen agricole pour le développement rural (Feader) et le Fonds pour une transition juste. Les décaissements effectifs en faveur des bénéficiaires finals peuvent être inférieurs en raison de décalages dans le temps.</w:t>
      </w:r>
      <w:r>
        <w:rPr>
          <w:noProof/>
        </w:rPr>
        <w:t xml:space="preserve"> </w:t>
      </w:r>
      <w:r>
        <w:rPr>
          <w:noProof/>
        </w:rPr>
        <w:br/>
      </w:r>
      <w:r>
        <w:rPr>
          <w:rFonts w:ascii="EC Square Sans Pro" w:hAnsi="EC Square Sans Pro"/>
          <w:noProof/>
          <w:color w:val="595959"/>
          <w:sz w:val="18"/>
          <w:szCs w:val="22"/>
          <w:vertAlign w:val="superscript"/>
        </w:rPr>
        <w:t>(</w:t>
      </w:r>
      <w:r w:rsidRPr="00887B27">
        <w:rPr>
          <w:rFonts w:ascii="EC Square Sans Pro" w:hAnsi="EC Square Sans Pro"/>
          <w:noProof/>
          <w:color w:val="595959"/>
          <w:sz w:val="18"/>
          <w:szCs w:val="22"/>
          <w:vertAlign w:val="superscript"/>
        </w:rPr>
        <w:t>2</w:t>
      </w:r>
      <w:r>
        <w:rPr>
          <w:rFonts w:ascii="EC Square Sans Pro" w:hAnsi="EC Square Sans Pro"/>
          <w:noProof/>
          <w:color w:val="595959"/>
          <w:sz w:val="18"/>
          <w:szCs w:val="22"/>
          <w:vertAlign w:val="superscript"/>
        </w:rPr>
        <w:t>)</w:t>
      </w:r>
      <w:r>
        <w:rPr>
          <w:rFonts w:ascii="EC Square Sans Pro" w:hAnsi="EC Square Sans Pro"/>
          <w:noProof/>
          <w:color w:val="595959"/>
          <w:sz w:val="18"/>
          <w:szCs w:val="22"/>
        </w:rPr>
        <w:t xml:space="preserve"> Les plans pour la reprise et la résilience de </w:t>
      </w:r>
      <w:r w:rsidRPr="00887B27">
        <w:rPr>
          <w:rFonts w:ascii="EC Square Sans Pro" w:hAnsi="EC Square Sans Pro"/>
          <w:noProof/>
          <w:color w:val="595959"/>
          <w:sz w:val="18"/>
          <w:szCs w:val="22"/>
        </w:rPr>
        <w:t>22</w:t>
      </w:r>
      <w:r>
        <w:rPr>
          <w:rFonts w:ascii="EC Square Sans Pro" w:hAnsi="EC Square Sans Pro"/>
          <w:noProof/>
          <w:color w:val="595959"/>
          <w:sz w:val="18"/>
          <w:szCs w:val="22"/>
        </w:rPr>
        <w:t xml:space="preserve"> États membres avaient été approuvés à la fin de </w:t>
      </w:r>
      <w:r w:rsidRPr="00887B27">
        <w:rPr>
          <w:rFonts w:ascii="EC Square Sans Pro" w:hAnsi="EC Square Sans Pro"/>
          <w:noProof/>
          <w:color w:val="595959"/>
          <w:sz w:val="18"/>
          <w:szCs w:val="22"/>
        </w:rPr>
        <w:t>2021</w:t>
      </w:r>
      <w:r>
        <w:rPr>
          <w:rFonts w:ascii="EC Square Sans Pro" w:hAnsi="EC Square Sans Pro"/>
          <w:noProof/>
          <w:color w:val="595959"/>
          <w:sz w:val="18"/>
          <w:szCs w:val="22"/>
        </w:rPr>
        <w:t xml:space="preserve">, mais un État membre a reçu un préfinancement en janvier </w:t>
      </w:r>
      <w:r w:rsidRPr="00887B27">
        <w:rPr>
          <w:rFonts w:ascii="EC Square Sans Pro" w:hAnsi="EC Square Sans Pro"/>
          <w:noProof/>
          <w:color w:val="595959"/>
          <w:sz w:val="18"/>
          <w:szCs w:val="22"/>
        </w:rPr>
        <w:t>2022</w:t>
      </w:r>
      <w:r>
        <w:rPr>
          <w:rFonts w:ascii="EC Square Sans Pro" w:hAnsi="EC Square Sans Pro"/>
          <w:noProof/>
          <w:color w:val="595959"/>
          <w:sz w:val="18"/>
          <w:szCs w:val="22"/>
        </w:rPr>
        <w:t xml:space="preserve"> et un État membre n’a pas demandé de préfinancement.</w:t>
      </w:r>
    </w:p>
    <w:p w:rsidR="008B6253" w:rsidRPr="00864D5D" w:rsidRDefault="008B6253" w:rsidP="008B6253">
      <w:pPr>
        <w:pStyle w:val="Heading1"/>
        <w:rPr>
          <w:bCs/>
          <w:noProof/>
          <w:color w:val="auto"/>
          <w:sz w:val="24"/>
          <w:szCs w:val="24"/>
        </w:rPr>
      </w:pPr>
      <w:bookmarkStart w:id="3" w:name="_Toc95738331"/>
      <w:r>
        <w:rPr>
          <w:noProof/>
          <w:color w:val="auto"/>
          <w:sz w:val="24"/>
          <w:szCs w:val="24"/>
        </w:rPr>
        <w:t>Introduction</w:t>
      </w:r>
      <w:bookmarkEnd w:id="3"/>
      <w:r>
        <w:rPr>
          <w:noProof/>
          <w:color w:val="auto"/>
          <w:sz w:val="24"/>
          <w:szCs w:val="24"/>
        </w:rPr>
        <w:t xml:space="preserve"> </w:t>
      </w:r>
    </w:p>
    <w:p w:rsidR="008B6253" w:rsidRPr="00D762C1" w:rsidRDefault="008B6253" w:rsidP="008B6253">
      <w:pPr>
        <w:spacing w:line="240" w:lineRule="auto"/>
        <w:jc w:val="both"/>
        <w:rPr>
          <w:noProof/>
        </w:rPr>
      </w:pPr>
      <w:r>
        <w:rPr>
          <w:noProof/>
        </w:rPr>
        <w:t xml:space="preserve">NextGenerationEU est un programme de financement novateur, capable de mobiliser jusqu’à </w:t>
      </w:r>
      <w:r w:rsidRPr="00887B27">
        <w:rPr>
          <w:noProof/>
        </w:rPr>
        <w:t>5</w:t>
      </w:r>
      <w:r>
        <w:rPr>
          <w:noProof/>
        </w:rPr>
        <w:t> % du PIB de l’UE au moyen d’emprunts afin de financer une réponse collective et puissante de l’UE à la pandémie de COVID-</w:t>
      </w:r>
      <w:r w:rsidRPr="00887B27">
        <w:rPr>
          <w:noProof/>
        </w:rPr>
        <w:t>19</w:t>
      </w:r>
      <w:r>
        <w:rPr>
          <w:noProof/>
        </w:rPr>
        <w:t xml:space="preserve">. NextGenerationEU est un instrument temporaire en vertu duquel la Commission peut lever jusqu’à </w:t>
      </w:r>
      <w:r w:rsidRPr="00887B27">
        <w:rPr>
          <w:noProof/>
        </w:rPr>
        <w:t>800</w:t>
      </w:r>
      <w:r>
        <w:rPr>
          <w:noProof/>
        </w:rPr>
        <w:t> milliards d’EUR entre la mi-</w:t>
      </w:r>
      <w:r w:rsidRPr="00887B27">
        <w:rPr>
          <w:noProof/>
        </w:rPr>
        <w:t>2021</w:t>
      </w:r>
      <w:r>
        <w:rPr>
          <w:noProof/>
        </w:rPr>
        <w:t xml:space="preserve"> et </w:t>
      </w:r>
      <w:r w:rsidRPr="00887B27">
        <w:rPr>
          <w:noProof/>
        </w:rPr>
        <w:t>2026</w:t>
      </w:r>
      <w:r>
        <w:rPr>
          <w:noProof/>
        </w:rPr>
        <w:t xml:space="preserve"> au moyen de l’émission d’obligations. Le produit de cette émission obligataire permettra à l’UE de relever les défis immédiats en matière de reprise, mais aussi d’accélérer la transition écologique et la numérisation de l’économie de l’UE. Jusqu’à </w:t>
      </w:r>
      <w:r w:rsidRPr="00887B27">
        <w:rPr>
          <w:noProof/>
        </w:rPr>
        <w:t>250</w:t>
      </w:r>
      <w:r>
        <w:rPr>
          <w:noProof/>
        </w:rPr>
        <w:t xml:space="preserve"> milliards d’EUR seront levés grâce à l’émission d’obligations vertes NextGenerationEU. Dans le cadre de NextGenerationEU, l’émission d’obligations représentera un montant annuel moyen d’environ </w:t>
      </w:r>
      <w:r w:rsidRPr="00887B27">
        <w:rPr>
          <w:noProof/>
        </w:rPr>
        <w:t>150</w:t>
      </w:r>
      <w:r>
        <w:rPr>
          <w:noProof/>
        </w:rPr>
        <w:t> milliards d’EUR entre la mi-</w:t>
      </w:r>
      <w:r w:rsidRPr="00887B27">
        <w:rPr>
          <w:noProof/>
        </w:rPr>
        <w:t>2021</w:t>
      </w:r>
      <w:r>
        <w:rPr>
          <w:noProof/>
        </w:rPr>
        <w:t xml:space="preserve"> et </w:t>
      </w:r>
      <w:r w:rsidRPr="00887B27">
        <w:rPr>
          <w:noProof/>
        </w:rPr>
        <w:t>2026</w:t>
      </w:r>
      <w:r>
        <w:rPr>
          <w:noProof/>
        </w:rPr>
        <w:t>, ce qui fera de l’UE l’un des plus grands émetteurs de dette libellée en euros pour les années à venir.</w:t>
      </w:r>
    </w:p>
    <w:p w:rsidR="008B6253" w:rsidRDefault="008B6253" w:rsidP="008B6253">
      <w:pPr>
        <w:spacing w:line="240" w:lineRule="auto"/>
        <w:jc w:val="both"/>
        <w:rPr>
          <w:noProof/>
          <w:spacing w:val="-6"/>
        </w:rPr>
      </w:pPr>
      <w:r>
        <w:rPr>
          <w:noProof/>
        </w:rPr>
        <w:t>Le présent rapport – le premier rapport semestriel établi conformément à l’article </w:t>
      </w:r>
      <w:r w:rsidRPr="00887B27">
        <w:rPr>
          <w:noProof/>
        </w:rPr>
        <w:t>12</w:t>
      </w:r>
      <w:r>
        <w:rPr>
          <w:noProof/>
        </w:rPr>
        <w:t xml:space="preserve"> de la décision d’exécution C(</w:t>
      </w:r>
      <w:r w:rsidRPr="00887B27">
        <w:rPr>
          <w:noProof/>
        </w:rPr>
        <w:t>2021</w:t>
      </w:r>
      <w:r>
        <w:rPr>
          <w:noProof/>
        </w:rPr>
        <w:t>)</w:t>
      </w:r>
      <w:r w:rsidRPr="00887B27">
        <w:rPr>
          <w:noProof/>
        </w:rPr>
        <w:t>2502</w:t>
      </w:r>
      <w:r>
        <w:rPr>
          <w:noProof/>
        </w:rPr>
        <w:t xml:space="preserve"> de la Commission – examine la mise en œuvre de la stratégie de financement de NextGenerationEU au cours de la période allant de juin à décembre </w:t>
      </w:r>
      <w:r w:rsidRPr="00887B27">
        <w:rPr>
          <w:noProof/>
        </w:rPr>
        <w:t>2021</w:t>
      </w:r>
      <w:r>
        <w:rPr>
          <w:noProof/>
        </w:rPr>
        <w:t>. Le rapport porte uniquement sur le processus mis en œuvre pour lever et décaisser le financement de NextGenerationEU. Il n’évalue pas la manière dont le produit a été utilisé, notamment en ce qui concerne les dépenses vertes, étant donné que cela sera couvert par des rapports distincts, conformément au règlement de chaque instrument financé au titre de NextGenerationEU. Le présent rapport fait partie d’un flux régulier d’informations à destination du Parlement européen et des États membres sur la mise en œuvre de ce programme de financement novateur et de grande envergure. La transparence et la responsabilité sont les caractéristiques des opérations de financement de NextGenerationEU.</w:t>
      </w:r>
    </w:p>
    <w:p w:rsidR="008B6253" w:rsidRPr="00864D5D" w:rsidRDefault="008B6253" w:rsidP="008B6253">
      <w:pPr>
        <w:spacing w:line="240" w:lineRule="auto"/>
        <w:jc w:val="both"/>
        <w:rPr>
          <w:noProof/>
          <w:spacing w:val="-6"/>
        </w:rPr>
      </w:pPr>
    </w:p>
    <w:p w:rsidR="008B6253" w:rsidRPr="00864D5D" w:rsidRDefault="008B6253" w:rsidP="008B6253">
      <w:pPr>
        <w:pStyle w:val="Heading1"/>
        <w:rPr>
          <w:bCs/>
          <w:noProof/>
          <w:color w:val="auto"/>
          <w:sz w:val="24"/>
          <w:szCs w:val="24"/>
        </w:rPr>
      </w:pPr>
      <w:bookmarkStart w:id="4" w:name="_Toc95738332"/>
      <w:r>
        <w:rPr>
          <w:noProof/>
          <w:color w:val="auto"/>
          <w:sz w:val="24"/>
          <w:szCs w:val="24"/>
        </w:rPr>
        <w:t>Principaux résultats du programme de financement NextGenerationEU</w:t>
      </w:r>
      <w:bookmarkEnd w:id="4"/>
    </w:p>
    <w:p w:rsidR="008B6253" w:rsidRPr="00864D5D" w:rsidRDefault="008B6253" w:rsidP="008B6253">
      <w:pPr>
        <w:spacing w:line="240" w:lineRule="auto"/>
        <w:jc w:val="both"/>
        <w:rPr>
          <w:noProof/>
        </w:rPr>
      </w:pPr>
      <w:r>
        <w:rPr>
          <w:noProof/>
        </w:rPr>
        <w:t>Au cours des douze derniers mois, la position de la Commission sur les marchés des capitaux d’emprunt a connu une évolution marquante. Avant le lancement de SURE</w:t>
      </w:r>
      <w:r>
        <w:rPr>
          <w:rStyle w:val="FootnoteReference"/>
          <w:noProof/>
        </w:rPr>
        <w:footnoteReference w:id="1"/>
      </w:r>
      <w:r>
        <w:rPr>
          <w:noProof/>
        </w:rPr>
        <w:t xml:space="preserve"> et de NextGenerationEU, la Commission était un petit émetteur irrégulier, levant des volumes limités (en moyenne entre </w:t>
      </w:r>
      <w:r w:rsidRPr="00887B27">
        <w:rPr>
          <w:noProof/>
        </w:rPr>
        <w:t>2</w:t>
      </w:r>
      <w:r>
        <w:rPr>
          <w:noProof/>
        </w:rPr>
        <w:t xml:space="preserve"> et </w:t>
      </w:r>
      <w:r w:rsidRPr="00887B27">
        <w:rPr>
          <w:noProof/>
        </w:rPr>
        <w:t>3</w:t>
      </w:r>
      <w:r>
        <w:rPr>
          <w:noProof/>
        </w:rPr>
        <w:t xml:space="preserve"> milliards d’EUR sur la période </w:t>
      </w:r>
      <w:r w:rsidRPr="00887B27">
        <w:rPr>
          <w:noProof/>
        </w:rPr>
        <w:t>2015</w:t>
      </w:r>
      <w:r>
        <w:rPr>
          <w:noProof/>
        </w:rPr>
        <w:t>-</w:t>
      </w:r>
      <w:r w:rsidRPr="00887B27">
        <w:rPr>
          <w:noProof/>
        </w:rPr>
        <w:t>2019</w:t>
      </w:r>
      <w:r>
        <w:rPr>
          <w:noProof/>
        </w:rPr>
        <w:t xml:space="preserve">) afin de financer des programmes de prêts tels que le mécanisme européen de stabilisation financière (MESF) et l’assistance macrofinancière (AMF). Au cours de l’année </w:t>
      </w:r>
      <w:r w:rsidRPr="00887B27">
        <w:rPr>
          <w:noProof/>
        </w:rPr>
        <w:t>2021</w:t>
      </w:r>
      <w:r>
        <w:rPr>
          <w:noProof/>
        </w:rPr>
        <w:t xml:space="preserve">, la Commission a levé quelque </w:t>
      </w:r>
      <w:r w:rsidRPr="00887B27">
        <w:rPr>
          <w:noProof/>
        </w:rPr>
        <w:t>130</w:t>
      </w:r>
      <w:r>
        <w:rPr>
          <w:noProof/>
        </w:rPr>
        <w:t xml:space="preserve"> milliards d’EUR, soit plus de </w:t>
      </w:r>
      <w:r w:rsidRPr="00887B27">
        <w:rPr>
          <w:noProof/>
        </w:rPr>
        <w:t>50</w:t>
      </w:r>
      <w:r>
        <w:rPr>
          <w:noProof/>
        </w:rPr>
        <w:t xml:space="preserve"> milliards d’EUR pour le programme SURE, </w:t>
      </w:r>
      <w:r w:rsidRPr="00887B27">
        <w:rPr>
          <w:noProof/>
        </w:rPr>
        <w:t>71</w:t>
      </w:r>
      <w:r>
        <w:rPr>
          <w:noProof/>
        </w:rPr>
        <w:t xml:space="preserve"> milliards d’EUR pour NextGenerationEU, dont </w:t>
      </w:r>
      <w:r w:rsidRPr="00887B27">
        <w:rPr>
          <w:noProof/>
        </w:rPr>
        <w:t>12</w:t>
      </w:r>
      <w:r>
        <w:rPr>
          <w:noProof/>
        </w:rPr>
        <w:t xml:space="preserve"> milliards d’EUR sous la forme d’obligations vertes, et </w:t>
      </w:r>
      <w:r w:rsidRPr="00887B27">
        <w:rPr>
          <w:noProof/>
        </w:rPr>
        <w:t>12</w:t>
      </w:r>
      <w:r>
        <w:rPr>
          <w:noProof/>
        </w:rPr>
        <w:t xml:space="preserve"> milliards d’EUR pour d’autres programmes de prêt. Dans le cadre du programme de financement NextGenerationEU, la Commission a aussi lancé le programme de titres de créance à court terme de l’UE, dans le cadre duquel existait une dette en cours de </w:t>
      </w:r>
      <w:r w:rsidRPr="00887B27">
        <w:rPr>
          <w:noProof/>
        </w:rPr>
        <w:t>20</w:t>
      </w:r>
      <w:r>
        <w:rPr>
          <w:noProof/>
        </w:rPr>
        <w:t xml:space="preserve"> milliards d’EUR au </w:t>
      </w:r>
      <w:r w:rsidRPr="00887B27">
        <w:rPr>
          <w:noProof/>
        </w:rPr>
        <w:t>31</w:t>
      </w:r>
      <w:r>
        <w:rPr>
          <w:noProof/>
        </w:rPr>
        <w:t xml:space="preserve"> décembre </w:t>
      </w:r>
      <w:r w:rsidRPr="00887B27">
        <w:rPr>
          <w:noProof/>
        </w:rPr>
        <w:t>2021</w:t>
      </w:r>
      <w:r>
        <w:rPr>
          <w:noProof/>
        </w:rPr>
        <w:t xml:space="preserve">. La Commission est rapidement apparue comme l’un des principaux émetteurs de nouvelle dette libellée en euros et est devenue le plus grand émetteur d’obligations vertes au monde. </w:t>
      </w:r>
    </w:p>
    <w:p w:rsidR="008B6253" w:rsidRPr="00864D5D" w:rsidRDefault="008B6253" w:rsidP="008B6253">
      <w:pPr>
        <w:spacing w:line="240" w:lineRule="auto"/>
        <w:jc w:val="both"/>
        <w:rPr>
          <w:noProof/>
        </w:rPr>
      </w:pPr>
      <w:r>
        <w:rPr>
          <w:noProof/>
        </w:rPr>
        <w:t>Toutes les opérations effectuées au titre de NextGenerationEU ont suscité une forte demande des investisseurs et ont été conclues à des conditions avantageuses pour le budget de l’UE et les États membres. Le coût moyen de financement de toutes les émissions réalisées en </w:t>
      </w:r>
      <w:r w:rsidRPr="00887B27">
        <w:rPr>
          <w:noProof/>
        </w:rPr>
        <w:t>2021</w:t>
      </w:r>
      <w:r>
        <w:rPr>
          <w:noProof/>
        </w:rPr>
        <w:t xml:space="preserve"> au titre de NextGenerationEU s’élève à </w:t>
      </w:r>
      <w:r w:rsidRPr="00887B27">
        <w:rPr>
          <w:noProof/>
        </w:rPr>
        <w:t>0</w:t>
      </w:r>
      <w:r>
        <w:rPr>
          <w:noProof/>
        </w:rPr>
        <w:t>,</w:t>
      </w:r>
      <w:r w:rsidRPr="00887B27">
        <w:rPr>
          <w:noProof/>
        </w:rPr>
        <w:t>14</w:t>
      </w:r>
      <w:r>
        <w:rPr>
          <w:noProof/>
        </w:rPr>
        <w:t> % pour les échéances de </w:t>
      </w:r>
      <w:r w:rsidRPr="00887B27">
        <w:rPr>
          <w:noProof/>
        </w:rPr>
        <w:t>5</w:t>
      </w:r>
      <w:r>
        <w:rPr>
          <w:noProof/>
        </w:rPr>
        <w:t xml:space="preserve"> à </w:t>
      </w:r>
      <w:r w:rsidRPr="00887B27">
        <w:rPr>
          <w:noProof/>
        </w:rPr>
        <w:t>30</w:t>
      </w:r>
      <w:r>
        <w:rPr>
          <w:noProof/>
        </w:rPr>
        <w:t xml:space="preserve"> ans. Ces conditions étaient meilleures que celles obtenues par les obligations souveraines bien notées des pays du noyau de la zone euro. Les avantages de ces conditions de financement attrayantes sont répercutés sur le budget de l’UE ou sur les États membres bénéficiant de prêts au titre de la facilité pour la reprise et la résilience (FRR). </w:t>
      </w:r>
    </w:p>
    <w:p w:rsidR="008B6253" w:rsidRPr="00864D5D" w:rsidRDefault="008B6253" w:rsidP="008B6253">
      <w:pPr>
        <w:spacing w:line="240" w:lineRule="auto"/>
        <w:jc w:val="both"/>
        <w:rPr>
          <w:noProof/>
        </w:rPr>
      </w:pPr>
      <w:r>
        <w:rPr>
          <w:noProof/>
        </w:rPr>
        <w:t>La capacité de la Commission à lever des fonds à ces conditions favorables est renforcée par l’émission régulière d’importants volumes d’obligations NextGenerationEU correspondant à un large éventail d’échéances. Ces caractéristiques des émissions permettent d’accroître la liquidité sur les marchés secondaires des obligations NextGenerationEU, ce qui facilite l’achat et la vente de ces obligations par les investisseurs. De ce fait, il est de plus en plus attrayant pour les investisseurs de négocier des obligations NextGenerationEU, ce qui conduit à une valorisation supérieure des obligations émises au titre de NextGenerationEU. La liquidité des obligations NextGenerationEU approche les niveaux des obligations souveraines des pays du noyau de la zone euro, mesurés selon des critères normalisés</w:t>
      </w:r>
      <w:r>
        <w:rPr>
          <w:rStyle w:val="FootnoteReference"/>
          <w:noProof/>
        </w:rPr>
        <w:footnoteReference w:id="2"/>
      </w:r>
      <w:r>
        <w:rPr>
          <w:noProof/>
        </w:rPr>
        <w:t xml:space="preserve">. </w:t>
      </w:r>
    </w:p>
    <w:p w:rsidR="008B6253" w:rsidRPr="00864D5D" w:rsidRDefault="008B6253" w:rsidP="008B6253">
      <w:pPr>
        <w:spacing w:line="240" w:lineRule="auto"/>
        <w:jc w:val="both"/>
        <w:rPr>
          <w:noProof/>
        </w:rPr>
      </w:pPr>
      <w:r>
        <w:rPr>
          <w:noProof/>
        </w:rPr>
        <w:t xml:space="preserve">La première opération syndiquée a eu lieu le </w:t>
      </w:r>
      <w:r w:rsidRPr="00887B27">
        <w:rPr>
          <w:noProof/>
        </w:rPr>
        <w:t>15</w:t>
      </w:r>
      <w:r>
        <w:rPr>
          <w:noProof/>
        </w:rPr>
        <w:t xml:space="preserve"> juin </w:t>
      </w:r>
      <w:r w:rsidRPr="00887B27">
        <w:rPr>
          <w:noProof/>
        </w:rPr>
        <w:t>2021</w:t>
      </w:r>
      <w:r>
        <w:rPr>
          <w:noProof/>
        </w:rPr>
        <w:t>, soit deux semaines après l’entrée en vigueur de la décision relative aux ressources propres</w:t>
      </w:r>
      <w:r>
        <w:rPr>
          <w:rStyle w:val="FootnoteReference"/>
          <w:noProof/>
        </w:rPr>
        <w:footnoteReference w:id="3"/>
      </w:r>
      <w:r>
        <w:rPr>
          <w:noProof/>
        </w:rPr>
        <w:t>, et a été rapidement suivie de deux autres opérations. Cette activation immédiate à grande échelle du programme de financement au cours de l’été </w:t>
      </w:r>
      <w:r w:rsidRPr="00887B27">
        <w:rPr>
          <w:noProof/>
        </w:rPr>
        <w:t>2021</w:t>
      </w:r>
      <w:r>
        <w:rPr>
          <w:noProof/>
        </w:rPr>
        <w:t xml:space="preserve"> a permis à la Commission d’effectuer tous les décaissements au titre du plan de relance pour l’Europe en faveur des États membres</w:t>
      </w:r>
      <w:r>
        <w:rPr>
          <w:rStyle w:val="FootnoteReference"/>
          <w:noProof/>
        </w:rPr>
        <w:footnoteReference w:id="4"/>
      </w:r>
      <w:r>
        <w:rPr>
          <w:noProof/>
        </w:rPr>
        <w:t xml:space="preserve"> et en faveur du budget au moment de leur échéance. Au </w:t>
      </w:r>
      <w:r w:rsidRPr="00887B27">
        <w:rPr>
          <w:noProof/>
        </w:rPr>
        <w:t>31</w:t>
      </w:r>
      <w:r>
        <w:rPr>
          <w:noProof/>
        </w:rPr>
        <w:t xml:space="preserve"> décembre </w:t>
      </w:r>
      <w:r w:rsidRPr="00887B27">
        <w:rPr>
          <w:noProof/>
        </w:rPr>
        <w:t>2021</w:t>
      </w:r>
      <w:r>
        <w:rPr>
          <w:noProof/>
        </w:rPr>
        <w:t xml:space="preserve">, la Commission avait décaissé </w:t>
      </w:r>
      <w:r w:rsidRPr="00887B27">
        <w:rPr>
          <w:noProof/>
        </w:rPr>
        <w:t>64</w:t>
      </w:r>
      <w:r>
        <w:rPr>
          <w:noProof/>
        </w:rPr>
        <w:t>,</w:t>
      </w:r>
      <w:r w:rsidRPr="00887B27">
        <w:rPr>
          <w:noProof/>
        </w:rPr>
        <w:t>3</w:t>
      </w:r>
      <w:r>
        <w:rPr>
          <w:noProof/>
        </w:rPr>
        <w:t xml:space="preserve"> milliards d’EUR en faveur de </w:t>
      </w:r>
      <w:r w:rsidRPr="00887B27">
        <w:rPr>
          <w:noProof/>
        </w:rPr>
        <w:t>20</w:t>
      </w:r>
      <w:r>
        <w:rPr>
          <w:noProof/>
        </w:rPr>
        <w:t xml:space="preserve"> États membres au titre de la facilité pour la reprise et la résilience: </w:t>
      </w:r>
      <w:r w:rsidRPr="00887B27">
        <w:rPr>
          <w:noProof/>
        </w:rPr>
        <w:t>46</w:t>
      </w:r>
      <w:r>
        <w:rPr>
          <w:noProof/>
        </w:rPr>
        <w:t>,</w:t>
      </w:r>
      <w:r w:rsidRPr="00887B27">
        <w:rPr>
          <w:noProof/>
        </w:rPr>
        <w:t>4</w:t>
      </w:r>
      <w:r>
        <w:rPr>
          <w:noProof/>
        </w:rPr>
        <w:t xml:space="preserve"> milliards d’EUR sous forme de subventions et </w:t>
      </w:r>
      <w:r w:rsidRPr="00887B27">
        <w:rPr>
          <w:noProof/>
        </w:rPr>
        <w:t>18</w:t>
      </w:r>
      <w:r>
        <w:rPr>
          <w:noProof/>
        </w:rPr>
        <w:t xml:space="preserve"> milliards d’EUR sous forme de prêts. Tous les décaissements ont eu lieu dans les six jours ouvrables suivant la signature des conventions de financement et des accords de prêt. Ce décaissement rapide et efficient des fonds a été facilité par la Banque centrale européenne, qui détient les comptes centraux de NextGenerationEU. Outre les montants transférés à la FRR, plus de </w:t>
      </w:r>
      <w:r w:rsidRPr="00887B27">
        <w:rPr>
          <w:noProof/>
        </w:rPr>
        <w:t>8</w:t>
      </w:r>
      <w:r>
        <w:rPr>
          <w:noProof/>
        </w:rPr>
        <w:t>,</w:t>
      </w:r>
      <w:r w:rsidRPr="00887B27">
        <w:rPr>
          <w:noProof/>
        </w:rPr>
        <w:t>6</w:t>
      </w:r>
      <w:r>
        <w:rPr>
          <w:noProof/>
        </w:rPr>
        <w:t> milliards d’EUR ont été transférés de la réserve de financement de NextGenerationEU au budget de l’UE pour financer des compléments de financement pour des programmes financés par NextGenerationEU, comme Horizon Europe, le Fonds InvestEU, ReactEU, le mécanisme de protection civile de l’Union (rescEU), le Fonds européen agricole pour le développement rural (Feader) et le Fonds pour une transition juste.</w:t>
      </w:r>
    </w:p>
    <w:p w:rsidR="008B6253" w:rsidRPr="00864D5D" w:rsidRDefault="008B6253" w:rsidP="008B6253">
      <w:pPr>
        <w:spacing w:line="240" w:lineRule="auto"/>
        <w:jc w:val="both"/>
        <w:rPr>
          <w:noProof/>
        </w:rPr>
      </w:pPr>
      <w:r>
        <w:rPr>
          <w:noProof/>
        </w:rPr>
        <w:t>La capacité de la Commission à accroître son émission d’obligations si rapidement s’explique en grande partie par le discours fort et convaincant qui a entouré le plan de relance pour l’Europe. La volonté de tous les États membres de soutenir – par leur contribution aux futurs budgets de l’UE – le programme de financement NextGenerationEU a été l’expression la plus puissante possible de la solidarité et de l’ambition de l’Union face à la crise. Cette forte cohésion politique, complétée par la note de crédit élevée de l’UE, a été décisive pour convaincre les investisseurs européens et internationaux de la solidité intrinsèque de cette nouvelle dette NextGenerationEU.</w:t>
      </w:r>
    </w:p>
    <w:p w:rsidR="008B6253" w:rsidRPr="00864D5D" w:rsidRDefault="008B6253" w:rsidP="008B6253">
      <w:pPr>
        <w:spacing w:line="240" w:lineRule="auto"/>
        <w:jc w:val="both"/>
        <w:rPr>
          <w:noProof/>
        </w:rPr>
      </w:pPr>
      <w:r>
        <w:rPr>
          <w:noProof/>
        </w:rPr>
        <w:t xml:space="preserve">La mise en œuvre d’un programme d’émission d’obligations de cette ampleur a aussi exigé de la Commission qu’elle mette en place, en partant quasiment de zéro, un nouveau dispositif de financement permettant d’effectuer régulièrement des opérations de grande envergure. S'il est vrai que les sept grandes opérations SURE (pour une émission combinée de </w:t>
      </w:r>
      <w:r w:rsidRPr="00887B27">
        <w:rPr>
          <w:noProof/>
        </w:rPr>
        <w:t>90</w:t>
      </w:r>
      <w:r>
        <w:rPr>
          <w:noProof/>
        </w:rPr>
        <w:t> milliards d’EUR) avaient constitué une excellente répétition, NextGenerationEU nécessitait une capacité plus structurée et plus durable. Le schéma directeur de cette stratégie a été défini dans une communication</w:t>
      </w:r>
      <w:r>
        <w:rPr>
          <w:rStyle w:val="FootnoteReference"/>
          <w:noProof/>
        </w:rPr>
        <w:footnoteReference w:id="5"/>
      </w:r>
      <w:r>
        <w:rPr>
          <w:noProof/>
        </w:rPr>
        <w:t xml:space="preserve"> et une série de décisions adoptées le </w:t>
      </w:r>
      <w:r w:rsidRPr="00887B27">
        <w:rPr>
          <w:noProof/>
        </w:rPr>
        <w:t>14</w:t>
      </w:r>
      <w:r>
        <w:rPr>
          <w:noProof/>
        </w:rPr>
        <w:t xml:space="preserve"> avril </w:t>
      </w:r>
      <w:r w:rsidRPr="00887B27">
        <w:rPr>
          <w:noProof/>
        </w:rPr>
        <w:t>2021</w:t>
      </w:r>
      <w:r>
        <w:rPr>
          <w:noProof/>
        </w:rPr>
        <w:t xml:space="preserve">, qui ont jeté les bases du programme de financement NextGenerationEU. Le pictogramme figurant ci-dessous rappelle les principales étapes du renforcement de la capacité de la Commission à mettre en œuvre une stratégie de financement diversifiée de type souverain. </w:t>
      </w:r>
    </w:p>
    <w:p w:rsidR="008B6253" w:rsidRDefault="008B6253" w:rsidP="008B6253">
      <w:pPr>
        <w:rPr>
          <w:b/>
          <w:noProof/>
        </w:rPr>
      </w:pPr>
      <w:r>
        <w:rPr>
          <w:noProof/>
        </w:rPr>
        <w:br w:type="page"/>
      </w:r>
      <w:r>
        <w:rPr>
          <w:b/>
          <w:noProof/>
        </w:rPr>
        <w:t>Figure </w:t>
      </w:r>
      <w:r w:rsidRPr="00887B27">
        <w:rPr>
          <w:b/>
          <w:noProof/>
        </w:rPr>
        <w:t>1</w:t>
      </w:r>
      <w:r>
        <w:rPr>
          <w:b/>
          <w:noProof/>
        </w:rPr>
        <w:t xml:space="preserve">: Étapes clés de la mise en place des opérations de financement de NextGenerationEU </w:t>
      </w:r>
    </w:p>
    <w:p w:rsidR="008B6253" w:rsidRPr="00864D5D" w:rsidRDefault="00887B27" w:rsidP="008B6253">
      <w:pPr>
        <w:rPr>
          <w:b/>
          <w:noProof/>
          <w:color w:val="5B9BD5" w:themeColor="accent1"/>
        </w:rPr>
      </w:pPr>
      <w:r>
        <w:rPr>
          <w:noProof/>
          <w:lang w:val="en-US"/>
        </w:rPr>
        <mc:AlternateContent>
          <mc:Choice Requires="wpg">
            <w:drawing>
              <wp:anchor distT="0" distB="0" distL="114300" distR="114300" simplePos="0" relativeHeight="251656704" behindDoc="0" locked="0" layoutInCell="1" allowOverlap="1" wp14:anchorId="31E4D484" wp14:editId="32B9929D">
                <wp:simplePos x="0" y="0"/>
                <wp:positionH relativeFrom="column">
                  <wp:posOffset>-5080</wp:posOffset>
                </wp:positionH>
                <wp:positionV relativeFrom="paragraph">
                  <wp:posOffset>340360</wp:posOffset>
                </wp:positionV>
                <wp:extent cx="5867400" cy="3171825"/>
                <wp:effectExtent l="0" t="0" r="38100" b="9525"/>
                <wp:wrapNone/>
                <wp:docPr id="1" name="Group 2"/>
                <wp:cNvGraphicFramePr/>
                <a:graphic xmlns:a="http://schemas.openxmlformats.org/drawingml/2006/main">
                  <a:graphicData uri="http://schemas.microsoft.com/office/word/2010/wordprocessingGroup">
                    <wpg:wgp>
                      <wpg:cNvGrpSpPr/>
                      <wpg:grpSpPr>
                        <a:xfrm>
                          <a:off x="0" y="0"/>
                          <a:ext cx="5867400" cy="3171825"/>
                          <a:chOff x="0" y="0"/>
                          <a:chExt cx="10522558" cy="4105580"/>
                        </a:xfrm>
                      </wpg:grpSpPr>
                      <wps:wsp>
                        <wps:cNvPr id="2" name="Straight Connector 2"/>
                        <wps:cNvCnPr/>
                        <wps:spPr bwMode="auto">
                          <a:xfrm>
                            <a:off x="0" y="2011039"/>
                            <a:ext cx="10522558" cy="0"/>
                          </a:xfrm>
                          <a:prstGeom prst="line">
                            <a:avLst/>
                          </a:prstGeom>
                          <a:noFill/>
                          <a:ln w="38100" cap="flat" cmpd="sng" algn="ctr">
                            <a:solidFill>
                              <a:srgbClr val="1F497D"/>
                            </a:solidFill>
                            <a:prstDash val="solid"/>
                            <a:round/>
                            <a:headEnd type="none" w="med" len="med"/>
                            <a:tailEnd type="triangle" w="med" len="med"/>
                          </a:ln>
                          <a:effectLst/>
                        </wps:spPr>
                        <wps:bodyPr/>
                      </wps:wsp>
                      <wpg:grpSp>
                        <wpg:cNvPr id="3" name="Group 3"/>
                        <wpg:cNvGrpSpPr/>
                        <wpg:grpSpPr>
                          <a:xfrm>
                            <a:off x="2592307" y="2023393"/>
                            <a:ext cx="1667873" cy="1996706"/>
                            <a:chOff x="2592307" y="2023393"/>
                            <a:chExt cx="1667873" cy="1996706"/>
                          </a:xfrm>
                        </wpg:grpSpPr>
                        <wps:wsp>
                          <wps:cNvPr id="4" name="TextBox 79"/>
                          <wps:cNvSpPr txBox="1"/>
                          <wps:spPr>
                            <a:xfrm>
                              <a:off x="2592307" y="2465827"/>
                              <a:ext cx="1667873" cy="1554272"/>
                            </a:xfrm>
                            <a:prstGeom prst="rect">
                              <a:avLst/>
                            </a:prstGeom>
                            <a:solidFill>
                              <a:sysClr val="window" lastClr="FFFFFF">
                                <a:lumMod val="95000"/>
                              </a:sysClr>
                            </a:solidFill>
                          </wps:spPr>
                          <wps:txb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w:t>
                                </w:r>
                                <w:r>
                                  <w:rPr>
                                    <w:rFonts w:asciiTheme="minorHAnsi" w:hAnsiTheme="minorHAnsi"/>
                                    <w:color w:val="44546A" w:themeColor="text2"/>
                                    <w:sz w:val="20"/>
                                    <w:szCs w:val="20"/>
                                    <w:vertAlign w:val="superscript"/>
                                  </w:rPr>
                                  <w:t>er</w:t>
                                </w:r>
                                <w:r>
                                  <w:rPr>
                                    <w:rFonts w:asciiTheme="minorHAnsi" w:hAnsiTheme="minorHAnsi"/>
                                    <w:color w:val="44546A" w:themeColor="text2"/>
                                    <w:sz w:val="20"/>
                                    <w:szCs w:val="20"/>
                                  </w:rPr>
                                  <w:t> juin</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color w:val="000000" w:themeColor="text1"/>
                                    <w:sz w:val="20"/>
                                    <w:szCs w:val="20"/>
                                  </w:rPr>
                                  <w:t>Publication du premier plan de financement</w:t>
                                </w:r>
                              </w:p>
                            </w:txbxContent>
                          </wps:txbx>
                          <wps:bodyPr wrap="square" rtlCol="0">
                            <a:noAutofit/>
                          </wps:bodyPr>
                        </wps:wsp>
                        <wps:wsp>
                          <wps:cNvPr id="5" name="Straight Connector 5"/>
                          <wps:cNvCnPr/>
                          <wps:spPr bwMode="auto">
                            <a:xfrm>
                              <a:off x="2592307" y="2816478"/>
                              <a:ext cx="1303020" cy="0"/>
                            </a:xfrm>
                            <a:prstGeom prst="line">
                              <a:avLst/>
                            </a:prstGeom>
                            <a:noFill/>
                            <a:ln w="9525" cap="flat" cmpd="sng" algn="ctr">
                              <a:solidFill>
                                <a:srgbClr val="1F497D"/>
                              </a:solidFill>
                              <a:prstDash val="solid"/>
                              <a:round/>
                              <a:headEnd type="none" w="med" len="med"/>
                              <a:tailEnd type="none" w="med" len="med"/>
                            </a:ln>
                            <a:effectLst/>
                          </wps:spPr>
                          <wps:bodyPr/>
                        </wps:wsp>
                        <wps:wsp>
                          <wps:cNvPr id="6" name="Straight Connector 6"/>
                          <wps:cNvCnPr/>
                          <wps:spPr bwMode="auto">
                            <a:xfrm>
                              <a:off x="3258280" y="2023393"/>
                              <a:ext cx="0" cy="431975"/>
                            </a:xfrm>
                            <a:prstGeom prst="line">
                              <a:avLst/>
                            </a:prstGeom>
                            <a:noFill/>
                            <a:ln w="12700" cap="flat" cmpd="sng" algn="ctr">
                              <a:solidFill>
                                <a:srgbClr val="1F497D"/>
                              </a:solidFill>
                              <a:prstDash val="solid"/>
                              <a:round/>
                              <a:headEnd type="none" w="med" len="med"/>
                              <a:tailEnd type="oval" w="med" len="med"/>
                            </a:ln>
                            <a:effectLst/>
                          </wps:spPr>
                          <wps:bodyPr/>
                        </wps:wsp>
                      </wpg:grpSp>
                      <wpg:grpSp>
                        <wpg:cNvPr id="7" name="Group 7"/>
                        <wpg:cNvGrpSpPr/>
                        <wpg:grpSpPr>
                          <a:xfrm>
                            <a:off x="2459818" y="5229"/>
                            <a:ext cx="1450186" cy="2005816"/>
                            <a:chOff x="2459818" y="5229"/>
                            <a:chExt cx="1450186" cy="2005816"/>
                          </a:xfrm>
                        </wpg:grpSpPr>
                        <wps:wsp>
                          <wps:cNvPr id="8" name="TextBox 83"/>
                          <wps:cNvSpPr txBox="1"/>
                          <wps:spPr>
                            <a:xfrm>
                              <a:off x="2459818" y="5229"/>
                              <a:ext cx="1450184" cy="1554272"/>
                            </a:xfrm>
                            <a:prstGeom prst="rect">
                              <a:avLst/>
                            </a:prstGeom>
                            <a:solidFill>
                              <a:sysClr val="window" lastClr="FFFFFF">
                                <a:lumMod val="95000"/>
                              </a:sysClr>
                            </a:solidFill>
                          </wps:spPr>
                          <wps:txb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w:t>
                                </w:r>
                                <w:r>
                                  <w:rPr>
                                    <w:rFonts w:asciiTheme="minorHAnsi" w:hAnsiTheme="minorHAnsi"/>
                                    <w:color w:val="44546A" w:themeColor="text2"/>
                                    <w:sz w:val="20"/>
                                    <w:szCs w:val="20"/>
                                    <w:vertAlign w:val="superscript"/>
                                  </w:rPr>
                                  <w:t>er</w:t>
                                </w:r>
                                <w:r>
                                  <w:rPr>
                                    <w:rFonts w:asciiTheme="minorHAnsi" w:hAnsiTheme="minorHAnsi"/>
                                    <w:color w:val="44546A" w:themeColor="text2"/>
                                    <w:sz w:val="20"/>
                                    <w:szCs w:val="20"/>
                                  </w:rPr>
                                  <w:t> juin</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color w:val="000000" w:themeColor="text1"/>
                                    <w:sz w:val="20"/>
                                    <w:szCs w:val="20"/>
                                  </w:rPr>
                                  <w:t>Adoption de la décision d’emprunt annuelle</w:t>
                                </w:r>
                              </w:p>
                            </w:txbxContent>
                          </wps:txbx>
                          <wps:bodyPr wrap="square" rtlCol="0">
                            <a:noAutofit/>
                          </wps:bodyPr>
                        </wps:wsp>
                        <wps:wsp>
                          <wps:cNvPr id="9" name="Straight Connector 9"/>
                          <wps:cNvCnPr/>
                          <wps:spPr bwMode="auto">
                            <a:xfrm flipV="1">
                              <a:off x="3258494" y="1579070"/>
                              <a:ext cx="0" cy="431975"/>
                            </a:xfrm>
                            <a:prstGeom prst="line">
                              <a:avLst/>
                            </a:prstGeom>
                            <a:noFill/>
                            <a:ln w="12700" cap="flat" cmpd="sng" algn="ctr">
                              <a:solidFill>
                                <a:srgbClr val="1F497D"/>
                              </a:solidFill>
                              <a:prstDash val="solid"/>
                              <a:round/>
                              <a:headEnd type="none" w="med" len="med"/>
                              <a:tailEnd type="oval" w="med" len="med"/>
                            </a:ln>
                            <a:effectLst/>
                          </wps:spPr>
                          <wps:bodyPr/>
                        </wps:wsp>
                        <wps:wsp>
                          <wps:cNvPr id="10" name="Straight Connector 10"/>
                          <wps:cNvCnPr/>
                          <wps:spPr bwMode="auto">
                            <a:xfrm>
                              <a:off x="2606984" y="348131"/>
                              <a:ext cx="1303020" cy="0"/>
                            </a:xfrm>
                            <a:prstGeom prst="line">
                              <a:avLst/>
                            </a:prstGeom>
                            <a:noFill/>
                            <a:ln w="9525" cap="flat" cmpd="sng" algn="ctr">
                              <a:solidFill>
                                <a:srgbClr val="1F497D"/>
                              </a:solidFill>
                              <a:prstDash val="solid"/>
                              <a:round/>
                              <a:headEnd type="none" w="med" len="med"/>
                              <a:tailEnd type="none" w="med" len="med"/>
                            </a:ln>
                            <a:effectLst/>
                          </wps:spPr>
                          <wps:bodyPr/>
                        </wps:wsp>
                      </wpg:grpSp>
                      <wpg:grpSp>
                        <wpg:cNvPr id="11" name="Group 11"/>
                        <wpg:cNvGrpSpPr/>
                        <wpg:grpSpPr>
                          <a:xfrm>
                            <a:off x="103197" y="5229"/>
                            <a:ext cx="1587929" cy="1993459"/>
                            <a:chOff x="103197" y="5229"/>
                            <a:chExt cx="1587929" cy="1993459"/>
                          </a:xfrm>
                        </wpg:grpSpPr>
                        <wps:wsp>
                          <wps:cNvPr id="13" name="TextBox 92"/>
                          <wps:cNvSpPr txBox="1"/>
                          <wps:spPr>
                            <a:xfrm>
                              <a:off x="103197" y="5229"/>
                              <a:ext cx="1587929" cy="1554272"/>
                            </a:xfrm>
                            <a:prstGeom prst="rect">
                              <a:avLst/>
                            </a:prstGeom>
                            <a:solidFill>
                              <a:sysClr val="window" lastClr="FFFFFF">
                                <a:lumMod val="95000"/>
                              </a:sysClr>
                            </a:solidFill>
                          </wps:spPr>
                          <wps:txb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14 avril</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sz w:val="20"/>
                                    <w:szCs w:val="20"/>
                                  </w:rPr>
                                  <w:t>Adoption de la stratégie de financement diversifiée</w:t>
                                </w:r>
                              </w:p>
                            </w:txbxContent>
                          </wps:txbx>
                          <wps:bodyPr wrap="square" rtlCol="0">
                            <a:noAutofit/>
                          </wps:bodyPr>
                        </wps:wsp>
                        <wps:wsp>
                          <wps:cNvPr id="14" name="Straight Connector 14"/>
                          <wps:cNvCnPr/>
                          <wps:spPr bwMode="auto">
                            <a:xfrm flipV="1">
                              <a:off x="754707" y="1566713"/>
                              <a:ext cx="0" cy="431975"/>
                            </a:xfrm>
                            <a:prstGeom prst="line">
                              <a:avLst/>
                            </a:prstGeom>
                            <a:noFill/>
                            <a:ln w="12700" cap="flat" cmpd="sng" algn="ctr">
                              <a:solidFill>
                                <a:srgbClr val="1F497D"/>
                              </a:solidFill>
                              <a:prstDash val="solid"/>
                              <a:round/>
                              <a:headEnd type="none" w="med" len="med"/>
                              <a:tailEnd type="oval" w="med" len="med"/>
                            </a:ln>
                            <a:effectLst/>
                          </wps:spPr>
                          <wps:bodyPr/>
                        </wps:wsp>
                        <wps:wsp>
                          <wps:cNvPr id="15" name="Straight Connector 15"/>
                          <wps:cNvCnPr/>
                          <wps:spPr bwMode="auto">
                            <a:xfrm>
                              <a:off x="103197" y="348131"/>
                              <a:ext cx="1303020" cy="0"/>
                            </a:xfrm>
                            <a:prstGeom prst="line">
                              <a:avLst/>
                            </a:prstGeom>
                            <a:noFill/>
                            <a:ln w="9525" cap="flat" cmpd="sng" algn="ctr">
                              <a:solidFill>
                                <a:srgbClr val="1F497D"/>
                              </a:solidFill>
                              <a:prstDash val="solid"/>
                              <a:round/>
                              <a:headEnd type="none" w="med" len="med"/>
                              <a:tailEnd type="none" w="med" len="med"/>
                            </a:ln>
                            <a:effectLst/>
                          </wps:spPr>
                          <wps:bodyPr/>
                        </wps:wsp>
                      </wpg:grpSp>
                      <wpg:grpSp>
                        <wpg:cNvPr id="16" name="Group 16"/>
                        <wpg:cNvGrpSpPr/>
                        <wpg:grpSpPr>
                          <a:xfrm>
                            <a:off x="4099696" y="5228"/>
                            <a:ext cx="2101095" cy="1993460"/>
                            <a:chOff x="4119547" y="5228"/>
                            <a:chExt cx="1841218" cy="1993460"/>
                          </a:xfrm>
                        </wpg:grpSpPr>
                        <wps:wsp>
                          <wps:cNvPr id="17" name="TextBox 96"/>
                          <wps:cNvSpPr txBox="1"/>
                          <wps:spPr>
                            <a:xfrm>
                              <a:off x="4119547" y="5228"/>
                              <a:ext cx="1841218" cy="1574165"/>
                            </a:xfrm>
                            <a:prstGeom prst="rect">
                              <a:avLst/>
                            </a:prstGeom>
                            <a:solidFill>
                              <a:sysClr val="window" lastClr="FFFFFF">
                                <a:lumMod val="95000"/>
                              </a:sysClr>
                            </a:solidFill>
                          </wps:spPr>
                          <wps:txb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15 juin</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sz w:val="20"/>
                                    <w:szCs w:val="20"/>
                                  </w:rPr>
                                  <w:t>Première émission au titre de NextGenerationEU (20 milliards d’EUR)</w:t>
                                </w:r>
                              </w:p>
                            </w:txbxContent>
                          </wps:txbx>
                          <wps:bodyPr wrap="square" rtlCol="0">
                            <a:noAutofit/>
                          </wps:bodyPr>
                        </wps:wsp>
                        <wps:wsp>
                          <wps:cNvPr id="18" name="Straight Connector 18"/>
                          <wps:cNvCnPr/>
                          <wps:spPr bwMode="auto">
                            <a:xfrm flipV="1">
                              <a:off x="4911692" y="1566713"/>
                              <a:ext cx="0" cy="431975"/>
                            </a:xfrm>
                            <a:prstGeom prst="line">
                              <a:avLst/>
                            </a:prstGeom>
                            <a:noFill/>
                            <a:ln w="12700" cap="flat" cmpd="sng" algn="ctr">
                              <a:solidFill>
                                <a:srgbClr val="1F497D"/>
                              </a:solidFill>
                              <a:prstDash val="solid"/>
                              <a:round/>
                              <a:headEnd type="none" w="med" len="med"/>
                              <a:tailEnd type="oval" w="med" len="med"/>
                            </a:ln>
                            <a:effectLst/>
                          </wps:spPr>
                          <wps:bodyPr/>
                        </wps:wsp>
                        <wps:wsp>
                          <wps:cNvPr id="19" name="Straight Connector 19"/>
                          <wps:cNvCnPr/>
                          <wps:spPr bwMode="auto">
                            <a:xfrm>
                              <a:off x="4260182" y="348131"/>
                              <a:ext cx="1303020" cy="0"/>
                            </a:xfrm>
                            <a:prstGeom prst="line">
                              <a:avLst/>
                            </a:prstGeom>
                            <a:noFill/>
                            <a:ln w="9525" cap="flat" cmpd="sng" algn="ctr">
                              <a:solidFill>
                                <a:srgbClr val="1F497D"/>
                              </a:solidFill>
                              <a:prstDash val="solid"/>
                              <a:round/>
                              <a:headEnd type="none" w="med" len="med"/>
                              <a:tailEnd type="none" w="med" len="med"/>
                            </a:ln>
                            <a:effectLst/>
                          </wps:spPr>
                          <wps:bodyPr/>
                        </wps:wsp>
                      </wpg:grpSp>
                      <wpg:grpSp>
                        <wpg:cNvPr id="20" name="Group 20"/>
                        <wpg:cNvGrpSpPr/>
                        <wpg:grpSpPr>
                          <a:xfrm>
                            <a:off x="754709" y="2023393"/>
                            <a:ext cx="1440023" cy="2082187"/>
                            <a:chOff x="754709" y="2023393"/>
                            <a:chExt cx="1440023" cy="2082187"/>
                          </a:xfrm>
                        </wpg:grpSpPr>
                        <wps:wsp>
                          <wps:cNvPr id="21" name="TextBox 100"/>
                          <wps:cNvSpPr txBox="1"/>
                          <wps:spPr>
                            <a:xfrm>
                              <a:off x="754709" y="2465827"/>
                              <a:ext cx="1440023" cy="1639753"/>
                            </a:xfrm>
                            <a:prstGeom prst="rect">
                              <a:avLst/>
                            </a:prstGeom>
                            <a:solidFill>
                              <a:sysClr val="window" lastClr="FFFFFF">
                                <a:lumMod val="95000"/>
                              </a:sysClr>
                            </a:solidFill>
                          </wps:spPr>
                          <wps:txb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31 mai</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sz w:val="20"/>
                                    <w:szCs w:val="20"/>
                                  </w:rPr>
                                  <w:t>Lancement du réseau des spécialistes en titres publics</w:t>
                                </w:r>
                              </w:p>
                            </w:txbxContent>
                          </wps:txbx>
                          <wps:bodyPr wrap="square" rtlCol="0">
                            <a:noAutofit/>
                          </wps:bodyPr>
                        </wps:wsp>
                        <wps:wsp>
                          <wps:cNvPr id="22" name="Straight Connector 22"/>
                          <wps:cNvCnPr/>
                          <wps:spPr bwMode="auto">
                            <a:xfrm>
                              <a:off x="891710" y="2816478"/>
                              <a:ext cx="1303020" cy="0"/>
                            </a:xfrm>
                            <a:prstGeom prst="line">
                              <a:avLst/>
                            </a:prstGeom>
                            <a:noFill/>
                            <a:ln w="9525" cap="flat" cmpd="sng" algn="ctr">
                              <a:solidFill>
                                <a:srgbClr val="1F497D"/>
                              </a:solidFill>
                              <a:prstDash val="solid"/>
                              <a:round/>
                              <a:headEnd type="none" w="med" len="med"/>
                              <a:tailEnd type="none" w="med" len="med"/>
                            </a:ln>
                            <a:effectLst/>
                          </wps:spPr>
                          <wps:bodyPr/>
                        </wps:wsp>
                        <wps:wsp>
                          <wps:cNvPr id="23" name="Straight Connector 23"/>
                          <wps:cNvCnPr/>
                          <wps:spPr bwMode="auto">
                            <a:xfrm>
                              <a:off x="1557683" y="2023393"/>
                              <a:ext cx="0" cy="431975"/>
                            </a:xfrm>
                            <a:prstGeom prst="line">
                              <a:avLst/>
                            </a:prstGeom>
                            <a:noFill/>
                            <a:ln w="12700" cap="flat" cmpd="sng" algn="ctr">
                              <a:solidFill>
                                <a:srgbClr val="1F497D"/>
                              </a:solidFill>
                              <a:prstDash val="solid"/>
                              <a:round/>
                              <a:headEnd type="none" w="med" len="med"/>
                              <a:tailEnd type="oval" w="med" len="med"/>
                            </a:ln>
                            <a:effectLst/>
                          </wps:spPr>
                          <wps:bodyPr/>
                        </wps:wsp>
                      </wpg:grpSp>
                      <wpg:grpSp>
                        <wpg:cNvPr id="24" name="Group 24"/>
                        <wpg:cNvGrpSpPr/>
                        <wpg:grpSpPr>
                          <a:xfrm>
                            <a:off x="5003648" y="2023393"/>
                            <a:ext cx="1867937" cy="1974997"/>
                            <a:chOff x="5054001" y="2023393"/>
                            <a:chExt cx="1536228" cy="1974997"/>
                          </a:xfrm>
                        </wpg:grpSpPr>
                        <wps:wsp>
                          <wps:cNvPr id="25" name="TextBox 104"/>
                          <wps:cNvSpPr txBox="1"/>
                          <wps:spPr>
                            <a:xfrm>
                              <a:off x="5054001" y="2465488"/>
                              <a:ext cx="1535930" cy="1532902"/>
                            </a:xfrm>
                            <a:prstGeom prst="rect">
                              <a:avLst/>
                            </a:prstGeom>
                            <a:solidFill>
                              <a:sysClr val="window" lastClr="FFFFFF">
                                <a:lumMod val="95000"/>
                              </a:sysClr>
                            </a:solidFill>
                          </wps:spPr>
                          <wps:txb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w:t>
                                </w:r>
                                <w:r>
                                  <w:rPr>
                                    <w:rFonts w:asciiTheme="minorHAnsi" w:hAnsiTheme="minorHAnsi"/>
                                    <w:color w:val="44546A" w:themeColor="text2"/>
                                    <w:sz w:val="20"/>
                                    <w:szCs w:val="20"/>
                                    <w:vertAlign w:val="superscript"/>
                                  </w:rPr>
                                  <w:t>er</w:t>
                                </w:r>
                                <w:r>
                                  <w:rPr>
                                    <w:rFonts w:asciiTheme="minorHAnsi" w:hAnsiTheme="minorHAnsi"/>
                                    <w:color w:val="44546A" w:themeColor="text2"/>
                                    <w:sz w:val="20"/>
                                    <w:szCs w:val="20"/>
                                  </w:rPr>
                                  <w:t> septembre</w:t>
                                </w:r>
                              </w:p>
                              <w:p w:rsidR="008B6253" w:rsidRPr="00025C13" w:rsidRDefault="008B6253" w:rsidP="008B6253">
                                <w:pPr>
                                  <w:pStyle w:val="NormalWeb"/>
                                  <w:spacing w:before="0" w:beforeAutospacing="0" w:after="0" w:afterAutospacing="0"/>
                                  <w:rPr>
                                    <w:rFonts w:asciiTheme="minorHAnsi" w:hAnsiTheme="minorHAnsi" w:cstheme="minorHAnsi"/>
                                    <w:color w:val="000000" w:themeColor="text1"/>
                                    <w:kern w:val="24"/>
                                    <w:sz w:val="20"/>
                                    <w:szCs w:val="20"/>
                                  </w:rPr>
                                </w:pPr>
                                <w:r>
                                  <w:rPr>
                                    <w:rFonts w:asciiTheme="minorHAnsi" w:hAnsiTheme="minorHAnsi"/>
                                    <w:color w:val="000000" w:themeColor="text1"/>
                                    <w:sz w:val="20"/>
                                    <w:szCs w:val="20"/>
                                  </w:rPr>
                                  <w:t>Prise de fonction du directeur des risques</w:t>
                                </w:r>
                              </w:p>
                            </w:txbxContent>
                          </wps:txbx>
                          <wps:bodyPr wrap="square" rtlCol="0">
                            <a:noAutofit/>
                          </wps:bodyPr>
                        </wps:wsp>
                        <wps:wsp>
                          <wps:cNvPr id="26" name="Straight Connector 26"/>
                          <wps:cNvCnPr/>
                          <wps:spPr bwMode="auto">
                            <a:xfrm>
                              <a:off x="5287209" y="2816478"/>
                              <a:ext cx="1303020" cy="0"/>
                            </a:xfrm>
                            <a:prstGeom prst="line">
                              <a:avLst/>
                            </a:prstGeom>
                            <a:noFill/>
                            <a:ln w="9525" cap="flat" cmpd="sng" algn="ctr">
                              <a:solidFill>
                                <a:srgbClr val="1F497D"/>
                              </a:solidFill>
                              <a:prstDash val="solid"/>
                              <a:round/>
                              <a:headEnd type="none" w="med" len="med"/>
                              <a:tailEnd type="none" w="med" len="med"/>
                            </a:ln>
                            <a:effectLst/>
                          </wps:spPr>
                          <wps:bodyPr/>
                        </wps:wsp>
                        <wps:wsp>
                          <wps:cNvPr id="27" name="Straight Connector 27"/>
                          <wps:cNvCnPr/>
                          <wps:spPr bwMode="auto">
                            <a:xfrm>
                              <a:off x="5953175" y="2023393"/>
                              <a:ext cx="0" cy="431975"/>
                            </a:xfrm>
                            <a:prstGeom prst="line">
                              <a:avLst/>
                            </a:prstGeom>
                            <a:noFill/>
                            <a:ln w="12700" cap="flat" cmpd="sng" algn="ctr">
                              <a:solidFill>
                                <a:srgbClr val="1F497D"/>
                              </a:solidFill>
                              <a:prstDash val="solid"/>
                              <a:round/>
                              <a:headEnd type="none" w="med" len="med"/>
                              <a:tailEnd type="oval" w="med" len="med"/>
                            </a:ln>
                            <a:effectLst/>
                          </wps:spPr>
                          <wps:bodyPr/>
                        </wps:wsp>
                      </wpg:grpSp>
                      <wpg:grpSp>
                        <wpg:cNvPr id="28" name="Group 28"/>
                        <wpg:cNvGrpSpPr/>
                        <wpg:grpSpPr>
                          <a:xfrm>
                            <a:off x="6353791" y="0"/>
                            <a:ext cx="1615214" cy="2005816"/>
                            <a:chOff x="6353819" y="0"/>
                            <a:chExt cx="1481925" cy="2005816"/>
                          </a:xfrm>
                        </wpg:grpSpPr>
                        <wps:wsp>
                          <wps:cNvPr id="29" name="TextBox 108"/>
                          <wps:cNvSpPr txBox="1"/>
                          <wps:spPr>
                            <a:xfrm>
                              <a:off x="6353819" y="0"/>
                              <a:ext cx="1481551" cy="1566715"/>
                            </a:xfrm>
                            <a:prstGeom prst="rect">
                              <a:avLst/>
                            </a:prstGeom>
                            <a:solidFill>
                              <a:sysClr val="window" lastClr="FFFFFF">
                                <a:lumMod val="95000"/>
                              </a:sysClr>
                            </a:solidFill>
                          </wps:spPr>
                          <wps:txb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7 septembre</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color w:val="000000" w:themeColor="text1"/>
                                    <w:sz w:val="20"/>
                                    <w:szCs w:val="20"/>
                                  </w:rPr>
                                  <w:t>Publication du cadre des obligations vertes</w:t>
                                </w:r>
                              </w:p>
                            </w:txbxContent>
                          </wps:txbx>
                          <wps:bodyPr wrap="square" rtlCol="0">
                            <a:noAutofit/>
                          </wps:bodyPr>
                        </wps:wsp>
                        <wps:wsp>
                          <wps:cNvPr id="30" name="Straight Connector 30"/>
                          <wps:cNvCnPr/>
                          <wps:spPr bwMode="auto">
                            <a:xfrm flipV="1">
                              <a:off x="7107703" y="1573841"/>
                              <a:ext cx="0" cy="431975"/>
                            </a:xfrm>
                            <a:prstGeom prst="line">
                              <a:avLst/>
                            </a:prstGeom>
                            <a:noFill/>
                            <a:ln w="12700" cap="flat" cmpd="sng" algn="ctr">
                              <a:solidFill>
                                <a:srgbClr val="1F497D"/>
                              </a:solidFill>
                              <a:prstDash val="solid"/>
                              <a:round/>
                              <a:headEnd type="none" w="med" len="med"/>
                              <a:tailEnd type="oval" w="med" len="med"/>
                            </a:ln>
                            <a:effectLst/>
                          </wps:spPr>
                          <wps:bodyPr/>
                        </wps:wsp>
                        <wps:wsp>
                          <wps:cNvPr id="31" name="Straight Connector 31"/>
                          <wps:cNvCnPr/>
                          <wps:spPr bwMode="auto">
                            <a:xfrm>
                              <a:off x="6354154" y="342902"/>
                              <a:ext cx="1481590" cy="5229"/>
                            </a:xfrm>
                            <a:prstGeom prst="line">
                              <a:avLst/>
                            </a:prstGeom>
                            <a:noFill/>
                            <a:ln w="9525" cap="flat" cmpd="sng" algn="ctr">
                              <a:solidFill>
                                <a:srgbClr val="1F497D"/>
                              </a:solidFill>
                              <a:prstDash val="solid"/>
                              <a:round/>
                              <a:headEnd type="none" w="med" len="med"/>
                              <a:tailEnd type="none" w="med" len="med"/>
                            </a:ln>
                            <a:effectLst/>
                          </wps:spPr>
                          <wps:bodyPr/>
                        </wps:wsp>
                      </wpg:grpSp>
                      <wpg:grpSp>
                        <wpg:cNvPr id="96" name="Group 96"/>
                        <wpg:cNvGrpSpPr/>
                        <wpg:grpSpPr>
                          <a:xfrm>
                            <a:off x="7371101" y="2462783"/>
                            <a:ext cx="1660582" cy="1642796"/>
                            <a:chOff x="7371147" y="2462783"/>
                            <a:chExt cx="1481968" cy="1642796"/>
                          </a:xfrm>
                        </wpg:grpSpPr>
                        <wps:wsp>
                          <wps:cNvPr id="97" name="TextBox 120"/>
                          <wps:cNvSpPr txBox="1"/>
                          <wps:spPr>
                            <a:xfrm>
                              <a:off x="7371147" y="2462783"/>
                              <a:ext cx="1456877" cy="1642796"/>
                            </a:xfrm>
                            <a:prstGeom prst="rect">
                              <a:avLst/>
                            </a:prstGeom>
                            <a:solidFill>
                              <a:sysClr val="window" lastClr="FFFFFF">
                                <a:lumMod val="95000"/>
                              </a:sysClr>
                            </a:solidFill>
                          </wps:spPr>
                          <wps:txb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15 septembre</w:t>
                                </w:r>
                              </w:p>
                              <w:p w:rsidR="008B6253" w:rsidRPr="00333E12" w:rsidRDefault="008B6253" w:rsidP="008B6253">
                                <w:pPr>
                                  <w:pStyle w:val="NormalWeb"/>
                                  <w:spacing w:before="0" w:beforeAutospacing="0" w:after="0" w:afterAutospacing="0"/>
                                  <w:rPr>
                                    <w:rFonts w:asciiTheme="minorHAnsi" w:hAnsiTheme="minorHAnsi" w:cstheme="minorHAnsi"/>
                                    <w:color w:val="000000" w:themeColor="text1"/>
                                    <w:kern w:val="24"/>
                                    <w:sz w:val="20"/>
                                    <w:szCs w:val="20"/>
                                  </w:rPr>
                                </w:pPr>
                                <w:r>
                                  <w:rPr>
                                    <w:rFonts w:asciiTheme="minorHAnsi" w:hAnsiTheme="minorHAnsi"/>
                                    <w:color w:val="000000" w:themeColor="text1"/>
                                    <w:sz w:val="20"/>
                                    <w:szCs w:val="20"/>
                                  </w:rPr>
                                  <w:t>Première adjudication de titres de créance à court terme de l’UE</w:t>
                                </w:r>
                              </w:p>
                            </w:txbxContent>
                          </wps:txbx>
                          <wps:bodyPr wrap="square" rtlCol="0">
                            <a:noAutofit/>
                          </wps:bodyPr>
                        </wps:wsp>
                        <wps:wsp>
                          <wps:cNvPr id="98" name="Straight Connector 98"/>
                          <wps:cNvCnPr/>
                          <wps:spPr bwMode="auto">
                            <a:xfrm>
                              <a:off x="7371525" y="2806019"/>
                              <a:ext cx="1481590" cy="5229"/>
                            </a:xfrm>
                            <a:prstGeom prst="line">
                              <a:avLst/>
                            </a:prstGeom>
                            <a:noFill/>
                            <a:ln w="9525" cap="flat" cmpd="sng" algn="ctr">
                              <a:solidFill>
                                <a:srgbClr val="1F497D"/>
                              </a:solidFill>
                              <a:prstDash val="solid"/>
                              <a:round/>
                              <a:headEnd type="none" w="med" len="med"/>
                              <a:tailEnd type="none" w="med" len="med"/>
                            </a:ln>
                            <a:effectLst/>
                          </wps:spPr>
                          <wps:bodyPr/>
                        </wps:wsp>
                      </wpg:grpSp>
                      <wps:wsp>
                        <wps:cNvPr id="99" name="Straight Connector 99"/>
                        <wps:cNvCnPr/>
                        <wps:spPr bwMode="auto">
                          <a:xfrm>
                            <a:off x="8181519" y="2027509"/>
                            <a:ext cx="0" cy="431975"/>
                          </a:xfrm>
                          <a:prstGeom prst="line">
                            <a:avLst/>
                          </a:prstGeom>
                          <a:noFill/>
                          <a:ln w="12700" cap="flat" cmpd="sng" algn="ctr">
                            <a:solidFill>
                              <a:srgbClr val="1F497D"/>
                            </a:solidFill>
                            <a:prstDash val="solid"/>
                            <a:round/>
                            <a:headEnd type="none" w="med" len="med"/>
                            <a:tailEnd type="oval" w="med" len="med"/>
                          </a:ln>
                          <a:effectLst/>
                        </wps:spPr>
                        <wps:bodyPr/>
                      </wps:wsp>
                      <wpg:grpSp>
                        <wpg:cNvPr id="100" name="Group 100"/>
                        <wpg:cNvGrpSpPr/>
                        <wpg:grpSpPr>
                          <a:xfrm>
                            <a:off x="8495511" y="4115"/>
                            <a:ext cx="1615334" cy="2005817"/>
                            <a:chOff x="8495549" y="4115"/>
                            <a:chExt cx="1482035" cy="2005817"/>
                          </a:xfrm>
                        </wpg:grpSpPr>
                        <wps:wsp>
                          <wps:cNvPr id="101" name="TextBox 125"/>
                          <wps:cNvSpPr txBox="1"/>
                          <wps:spPr>
                            <a:xfrm>
                              <a:off x="8495549" y="4115"/>
                              <a:ext cx="1482035" cy="1709626"/>
                            </a:xfrm>
                            <a:prstGeom prst="rect">
                              <a:avLst/>
                            </a:prstGeom>
                            <a:solidFill>
                              <a:sysClr val="window" lastClr="FFFFFF">
                                <a:lumMod val="95000"/>
                              </a:sysClr>
                            </a:solidFill>
                          </wps:spPr>
                          <wps:txb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12 octobre</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sz w:val="20"/>
                                    <w:szCs w:val="20"/>
                                  </w:rPr>
                                  <w:t>Première émission d’obligations vertes (12 milliards d’EUR)</w:t>
                                </w:r>
                              </w:p>
                            </w:txbxContent>
                          </wps:txbx>
                          <wps:bodyPr wrap="square" rtlCol="0">
                            <a:noAutofit/>
                          </wps:bodyPr>
                        </wps:wsp>
                        <wps:wsp>
                          <wps:cNvPr id="102" name="Straight Connector 102"/>
                          <wps:cNvCnPr/>
                          <wps:spPr bwMode="auto">
                            <a:xfrm flipV="1">
                              <a:off x="9204193" y="1577957"/>
                              <a:ext cx="0" cy="431975"/>
                            </a:xfrm>
                            <a:prstGeom prst="line">
                              <a:avLst/>
                            </a:prstGeom>
                            <a:noFill/>
                            <a:ln w="12700" cap="flat" cmpd="sng" algn="ctr">
                              <a:solidFill>
                                <a:srgbClr val="1F497D"/>
                              </a:solidFill>
                              <a:prstDash val="solid"/>
                              <a:round/>
                              <a:headEnd type="none" w="med" len="med"/>
                              <a:tailEnd type="oval" w="med" len="med"/>
                            </a:ln>
                            <a:effectLst/>
                          </wps:spPr>
                          <wps:bodyPr/>
                        </wps:wsp>
                        <wps:wsp>
                          <wps:cNvPr id="103" name="Straight Connector 103"/>
                          <wps:cNvCnPr/>
                          <wps:spPr bwMode="auto">
                            <a:xfrm>
                              <a:off x="8495994" y="347018"/>
                              <a:ext cx="1481590" cy="5229"/>
                            </a:xfrm>
                            <a:prstGeom prst="line">
                              <a:avLst/>
                            </a:prstGeom>
                            <a:noFill/>
                            <a:ln w="9525" cap="flat" cmpd="sng" algn="ctr">
                              <a:solidFill>
                                <a:srgbClr val="1F497D"/>
                              </a:solidFill>
                              <a:prstDash val="solid"/>
                              <a:round/>
                              <a:headEnd type="none" w="med" len="med"/>
                              <a:tailEnd type="none" w="med" len="med"/>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31E4D484" id="Group 2" o:spid="_x0000_s1064" style="position:absolute;margin-left:-.4pt;margin-top:26.8pt;width:462pt;height:249.75pt;z-index:251656704;mso-width-relative:margin;mso-height-relative:margin" coordsize="105225,41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">
                <v:line id="Straight Connector 2" o:spid="_x0000_s1065" style="position:absolute;visibility:visible;mso-wrap-style:square" from="0,20110" to="105225,20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" strokecolor="#1f497d" strokeweight="3pt">
                  <v:stroke endarrow="block"/>
                </v:line>
                <v:group id="Group 3" o:spid="_x0000_s1066" style="position:absolute;left:25923;top:20233;width:16678;height:19967" coordorigin="25923,20233" coordsize="16678,19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Box 79" o:spid="_x0000_s1067" type="#_x0000_t202" style="position:absolute;left:25923;top:24658;width:16678;height:15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" fillcolor="#f2f2f2" stroked="f">
                    <v:textbo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w:t>
                          </w:r>
                          <w:r>
                            <w:rPr>
                              <w:rFonts w:asciiTheme="minorHAnsi" w:hAnsiTheme="minorHAnsi"/>
                              <w:color w:val="44546A" w:themeColor="text2"/>
                              <w:sz w:val="20"/>
                              <w:szCs w:val="20"/>
                              <w:vertAlign w:val="superscript"/>
                            </w:rPr>
                            <w:t>er</w:t>
                          </w:r>
                          <w:r>
                            <w:rPr>
                              <w:rFonts w:asciiTheme="minorHAnsi" w:hAnsiTheme="minorHAnsi"/>
                              <w:color w:val="44546A" w:themeColor="text2"/>
                              <w:sz w:val="20"/>
                              <w:szCs w:val="20"/>
                            </w:rPr>
                            <w:t> juin</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color w:val="000000" w:themeColor="text1"/>
                              <w:sz w:val="20"/>
                              <w:szCs w:val="20"/>
                            </w:rPr>
                            <w:t>Publication du premier plan de financement</w:t>
                          </w:r>
                        </w:p>
                      </w:txbxContent>
                    </v:textbox>
                  </v:shape>
                  <v:line id="Straight Connector 5" o:spid="_x0000_s1068" style="position:absolute;visibility:visible;mso-wrap-style:square" from="25923,28164" to="38953,28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" strokecolor="#1f497d"/>
                  <v:line id="Straight Connector 6" o:spid="_x0000_s1069" style="position:absolute;visibility:visible;mso-wrap-style:square" from="32582,20233" to="32582,24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" strokecolor="#1f497d" strokeweight="1pt">
                    <v:stroke endarrow="oval"/>
                  </v:line>
                </v:group>
                <v:group id="Group 7" o:spid="_x0000_s1070" style="position:absolute;left:24598;top:52;width:14502;height:20058" coordorigin="24598,52" coordsize="14501,2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Box 83" o:spid="_x0000_s1071" type="#_x0000_t202" style="position:absolute;left:24598;top:52;width:14502;height:15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" fillcolor="#f2f2f2" stroked="f">
                    <v:textbo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w:t>
                          </w:r>
                          <w:r>
                            <w:rPr>
                              <w:rFonts w:asciiTheme="minorHAnsi" w:hAnsiTheme="minorHAnsi"/>
                              <w:color w:val="44546A" w:themeColor="text2"/>
                              <w:sz w:val="20"/>
                              <w:szCs w:val="20"/>
                              <w:vertAlign w:val="superscript"/>
                            </w:rPr>
                            <w:t>er</w:t>
                          </w:r>
                          <w:r>
                            <w:rPr>
                              <w:rFonts w:asciiTheme="minorHAnsi" w:hAnsiTheme="minorHAnsi"/>
                              <w:color w:val="44546A" w:themeColor="text2"/>
                              <w:sz w:val="20"/>
                              <w:szCs w:val="20"/>
                            </w:rPr>
                            <w:t> juin</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color w:val="000000" w:themeColor="text1"/>
                              <w:sz w:val="20"/>
                              <w:szCs w:val="20"/>
                            </w:rPr>
                            <w:t>Adoption de la décision d’emprunt annuelle</w:t>
                          </w:r>
                        </w:p>
                      </w:txbxContent>
                    </v:textbox>
                  </v:shape>
                  <v:line id="Straight Connector 9" o:spid="_x0000_s1072" style="position:absolute;flip:y;visibility:visible;mso-wrap-style:square" from="32584,15790" to="32584,20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" strokecolor="#1f497d" strokeweight="1pt">
                    <v:stroke endarrow="oval"/>
                  </v:line>
                  <v:line id="Straight Connector 10" o:spid="_x0000_s1073" style="position:absolute;visibility:visible;mso-wrap-style:square" from="26069,3481" to="39100,3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" strokecolor="#1f497d"/>
                </v:group>
                <v:group id="Group 11" o:spid="_x0000_s1074" style="position:absolute;left:1031;top:52;width:15880;height:19934" coordorigin="1031,52" coordsize="15879,1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TextBox 92" o:spid="_x0000_s1075" type="#_x0000_t202" style="position:absolute;left:1031;top:52;width:15880;height:15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" fillcolor="#f2f2f2" stroked="f">
                    <v:textbo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14 avril</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sz w:val="20"/>
                              <w:szCs w:val="20"/>
                            </w:rPr>
                            <w:t>Adoption de la stratégie de financement diversifiée</w:t>
                          </w:r>
                        </w:p>
                      </w:txbxContent>
                    </v:textbox>
                  </v:shape>
                  <v:line id="Straight Connector 14" o:spid="_x0000_s1076" style="position:absolute;flip:y;visibility:visible;mso-wrap-style:square" from="7547,15667" to="7547,19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" strokecolor="#1f497d" strokeweight="1pt">
                    <v:stroke endarrow="oval"/>
                  </v:line>
                  <v:line id="Straight Connector 15" o:spid="_x0000_s1077" style="position:absolute;visibility:visible;mso-wrap-style:square" from="1031,3481" to="14062,3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" strokecolor="#1f497d"/>
                </v:group>
                <v:group id="Group 16" o:spid="_x0000_s1078" style="position:absolute;left:40996;top:52;width:21011;height:19934" coordorigin="41195,52" coordsize="18412,19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TextBox 96" o:spid="_x0000_s1079" type="#_x0000_t202" style="position:absolute;left:41195;top:52;width:18412;height:15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" fillcolor="#f2f2f2" stroked="f">
                    <v:textbo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15 juin</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sz w:val="20"/>
                              <w:szCs w:val="20"/>
                            </w:rPr>
                            <w:t>Première émission au titre de NextGenerationEU (20 milliards d’EUR)</w:t>
                          </w:r>
                        </w:p>
                      </w:txbxContent>
                    </v:textbox>
                  </v:shape>
                  <v:line id="Straight Connector 18" o:spid="_x0000_s1080" style="position:absolute;flip:y;visibility:visible;mso-wrap-style:square" from="49116,15667" to="49116,19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" strokecolor="#1f497d" strokeweight="1pt">
                    <v:stroke endarrow="oval"/>
                  </v:line>
                  <v:line id="Straight Connector 19" o:spid="_x0000_s1081" style="position:absolute;visibility:visible;mso-wrap-style:square" from="42601,3481" to="55632,3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" strokecolor="#1f497d"/>
                </v:group>
                <v:group id="Group 20" o:spid="_x0000_s1082" style="position:absolute;left:7547;top:20233;width:14400;height:20822" coordorigin="7547,20233" coordsize="14400,20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TextBox 100" o:spid="_x0000_s1083" type="#_x0000_t202" style="position:absolute;left:7547;top:24658;width:14400;height:16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" fillcolor="#f2f2f2" stroked="f">
                    <v:textbo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31 mai</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sz w:val="20"/>
                              <w:szCs w:val="20"/>
                            </w:rPr>
                            <w:t>Lancement du réseau des spécialistes en titres publics</w:t>
                          </w:r>
                        </w:p>
                      </w:txbxContent>
                    </v:textbox>
                  </v:shape>
                  <v:line id="Straight Connector 22" o:spid="_x0000_s1084" style="position:absolute;visibility:visible;mso-wrap-style:square" from="8917,28164" to="21947,28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" strokecolor="#1f497d"/>
                  <v:line id="Straight Connector 23" o:spid="_x0000_s1085" style="position:absolute;visibility:visible;mso-wrap-style:square" from="15576,20233" to="15576,24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" strokecolor="#1f497d" strokeweight="1pt">
                    <v:stroke endarrow="oval"/>
                  </v:line>
                </v:group>
                <v:group id="Group 24" o:spid="_x0000_s1086" style="position:absolute;left:50036;top:20233;width:18679;height:19750" coordorigin="50540,20233" coordsize="15362,19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Box 104" o:spid="_x0000_s1087" type="#_x0000_t202" style="position:absolute;left:50540;top:24654;width:15359;height:15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" fillcolor="#f2f2f2" stroked="f">
                    <v:textbo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w:t>
                          </w:r>
                          <w:r>
                            <w:rPr>
                              <w:rFonts w:asciiTheme="minorHAnsi" w:hAnsiTheme="minorHAnsi"/>
                              <w:color w:val="44546A" w:themeColor="text2"/>
                              <w:sz w:val="20"/>
                              <w:szCs w:val="20"/>
                              <w:vertAlign w:val="superscript"/>
                            </w:rPr>
                            <w:t>er</w:t>
                          </w:r>
                          <w:r>
                            <w:rPr>
                              <w:rFonts w:asciiTheme="minorHAnsi" w:hAnsiTheme="minorHAnsi"/>
                              <w:color w:val="44546A" w:themeColor="text2"/>
                              <w:sz w:val="20"/>
                              <w:szCs w:val="20"/>
                            </w:rPr>
                            <w:t> septembre</w:t>
                          </w:r>
                        </w:p>
                        <w:p w:rsidR="008B6253" w:rsidRPr="00025C13" w:rsidRDefault="008B6253" w:rsidP="008B6253">
                          <w:pPr>
                            <w:pStyle w:val="NormalWeb"/>
                            <w:spacing w:before="0" w:beforeAutospacing="0" w:after="0" w:afterAutospacing="0"/>
                            <w:rPr>
                              <w:rFonts w:asciiTheme="minorHAnsi" w:hAnsiTheme="minorHAnsi" w:cstheme="minorHAnsi"/>
                              <w:color w:val="000000" w:themeColor="text1"/>
                              <w:kern w:val="24"/>
                              <w:sz w:val="20"/>
                              <w:szCs w:val="20"/>
                            </w:rPr>
                          </w:pPr>
                          <w:r>
                            <w:rPr>
                              <w:rFonts w:asciiTheme="minorHAnsi" w:hAnsiTheme="minorHAnsi"/>
                              <w:color w:val="000000" w:themeColor="text1"/>
                              <w:sz w:val="20"/>
                              <w:szCs w:val="20"/>
                            </w:rPr>
                            <w:t>Prise de fonction du directeur des risques</w:t>
                          </w:r>
                        </w:p>
                      </w:txbxContent>
                    </v:textbox>
                  </v:shape>
                  <v:line id="Straight Connector 26" o:spid="_x0000_s1088" style="position:absolute;visibility:visible;mso-wrap-style:square" from="52872,28164" to="65902,28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" strokecolor="#1f497d"/>
                  <v:line id="Straight Connector 27" o:spid="_x0000_s1089" style="position:absolute;visibility:visible;mso-wrap-style:square" from="59531,20233" to="59531,24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" strokecolor="#1f497d" strokeweight="1pt">
                    <v:stroke endarrow="oval"/>
                  </v:line>
                </v:group>
                <v:group id="Group 28" o:spid="_x0000_s1090" style="position:absolute;left:63537;width:16153;height:20058" coordorigin="63538" coordsize="14819,2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TextBox 108" o:spid="_x0000_s1091" type="#_x0000_t202" style="position:absolute;left:63538;width:14815;height:15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" fillcolor="#f2f2f2" stroked="f">
                    <v:textbo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7 septembre</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color w:val="000000" w:themeColor="text1"/>
                              <w:sz w:val="20"/>
                              <w:szCs w:val="20"/>
                            </w:rPr>
                            <w:t>Publication du cadre des obligations vertes</w:t>
                          </w:r>
                        </w:p>
                      </w:txbxContent>
                    </v:textbox>
                  </v:shape>
                  <v:line id="Straight Connector 30" o:spid="_x0000_s1092" style="position:absolute;flip:y;visibility:visible;mso-wrap-style:square" from="71077,15738" to="71077,20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" strokecolor="#1f497d" strokeweight="1pt">
                    <v:stroke endarrow="oval"/>
                  </v:line>
                  <v:line id="Straight Connector 31" o:spid="_x0000_s1093" style="position:absolute;visibility:visible;mso-wrap-style:square" from="63541,3429" to="78357,3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" strokecolor="#1f497d"/>
                </v:group>
                <v:group id="Group 96" o:spid="_x0000_s1094" style="position:absolute;left:73711;top:24627;width:16605;height:16428" coordorigin="73711,24627" coordsize="14819,1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TextBox 120" o:spid="_x0000_s1095" type="#_x0000_t202" style="position:absolute;left:73711;top:24627;width:14569;height:16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" fillcolor="#f2f2f2" stroked="f">
                    <v:textbo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15 septembre</w:t>
                          </w:r>
                        </w:p>
                        <w:p w:rsidR="008B6253" w:rsidRPr="00333E12" w:rsidRDefault="008B6253" w:rsidP="008B6253">
                          <w:pPr>
                            <w:pStyle w:val="NormalWeb"/>
                            <w:spacing w:before="0" w:beforeAutospacing="0" w:after="0" w:afterAutospacing="0"/>
                            <w:rPr>
                              <w:rFonts w:asciiTheme="minorHAnsi" w:hAnsiTheme="minorHAnsi" w:cstheme="minorHAnsi"/>
                              <w:color w:val="000000" w:themeColor="text1"/>
                              <w:kern w:val="24"/>
                              <w:sz w:val="20"/>
                              <w:szCs w:val="20"/>
                            </w:rPr>
                          </w:pPr>
                          <w:r>
                            <w:rPr>
                              <w:rFonts w:asciiTheme="minorHAnsi" w:hAnsiTheme="minorHAnsi"/>
                              <w:color w:val="000000" w:themeColor="text1"/>
                              <w:sz w:val="20"/>
                              <w:szCs w:val="20"/>
                            </w:rPr>
                            <w:t>Première adjudication de titres de créance à court terme de l’UE</w:t>
                          </w:r>
                        </w:p>
                      </w:txbxContent>
                    </v:textbox>
                  </v:shape>
                  <v:line id="Straight Connector 98" o:spid="_x0000_s1096" style="position:absolute;visibility:visible;mso-wrap-style:square" from="73715,28060" to="88531,28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" strokecolor="#1f497d"/>
                </v:group>
                <v:line id="Straight Connector 99" o:spid="_x0000_s1097" style="position:absolute;visibility:visible;mso-wrap-style:square" from="81815,20275" to="81815,24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" strokecolor="#1f497d" strokeweight="1pt">
                  <v:stroke endarrow="oval"/>
                </v:line>
                <v:group id="Group 100" o:spid="_x0000_s1098" style="position:absolute;left:84955;top:41;width:16153;height:20058" coordorigin="84955,41" coordsize="14820,2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TextBox 125" o:spid="_x0000_s1099" type="#_x0000_t202" style="position:absolute;left:84955;top:41;width:14820;height:17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" fillcolor="#f2f2f2" stroked="f">
                    <v:textbox>
                      <w:txbxContent>
                        <w:p w:rsidR="008B6253" w:rsidRPr="00025C13" w:rsidRDefault="008B6253" w:rsidP="00887B27">
                          <w:pPr>
                            <w:pStyle w:val="NormalWeb"/>
                            <w:spacing w:before="60" w:beforeAutospacing="0" w:after="60" w:afterAutospacing="0"/>
                            <w:rPr>
                              <w:rFonts w:asciiTheme="minorHAnsi" w:hAnsiTheme="minorHAnsi" w:cstheme="minorHAnsi"/>
                              <w:sz w:val="20"/>
                              <w:szCs w:val="20"/>
                            </w:rPr>
                          </w:pPr>
                          <w:r>
                            <w:rPr>
                              <w:rFonts w:asciiTheme="minorHAnsi" w:hAnsiTheme="minorHAnsi"/>
                              <w:color w:val="44546A" w:themeColor="text2"/>
                              <w:sz w:val="20"/>
                              <w:szCs w:val="20"/>
                            </w:rPr>
                            <w:t>12 octobre</w:t>
                          </w:r>
                        </w:p>
                        <w:p w:rsidR="008B6253" w:rsidRPr="00025C13" w:rsidRDefault="008B6253" w:rsidP="008B6253">
                          <w:pPr>
                            <w:pStyle w:val="NormalWeb"/>
                            <w:spacing w:before="0" w:beforeAutospacing="0" w:after="0" w:afterAutospacing="0"/>
                            <w:rPr>
                              <w:rFonts w:asciiTheme="minorHAnsi" w:hAnsiTheme="minorHAnsi" w:cstheme="minorHAnsi"/>
                              <w:sz w:val="20"/>
                              <w:szCs w:val="20"/>
                            </w:rPr>
                          </w:pPr>
                          <w:r>
                            <w:rPr>
                              <w:rFonts w:asciiTheme="minorHAnsi" w:hAnsiTheme="minorHAnsi"/>
                              <w:sz w:val="20"/>
                              <w:szCs w:val="20"/>
                            </w:rPr>
                            <w:t>Première émission d’obligations vertes (12 milliards d’EUR)</w:t>
                          </w:r>
                        </w:p>
                      </w:txbxContent>
                    </v:textbox>
                  </v:shape>
                  <v:line id="Straight Connector 102" o:spid="_x0000_s1100" style="position:absolute;flip:y;visibility:visible;mso-wrap-style:square" from="92041,15779" to="92041,20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" strokecolor="#1f497d" strokeweight="1pt">
                    <v:stroke endarrow="oval"/>
                  </v:line>
                  <v:line id="Straight Connector 103" o:spid="_x0000_s1101" style="position:absolute;visibility:visible;mso-wrap-style:square" from="84959,3470" to="99775,3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" strokecolor="#1f497d"/>
                </v:group>
              </v:group>
            </w:pict>
          </mc:Fallback>
        </mc:AlternateContent>
      </w:r>
    </w:p>
    <w:p w:rsidR="008B6253" w:rsidRPr="00231F73" w:rsidRDefault="008B6253" w:rsidP="008B6253">
      <w:pPr>
        <w:rPr>
          <w:noProof/>
        </w:rPr>
      </w:pPr>
    </w:p>
    <w:p w:rsidR="008B6253" w:rsidRPr="00231F73" w:rsidRDefault="008B6253" w:rsidP="008B6253">
      <w:pPr>
        <w:rPr>
          <w:noProof/>
        </w:rPr>
      </w:pPr>
    </w:p>
    <w:p w:rsidR="008B6253" w:rsidRPr="00231F73" w:rsidRDefault="008B6253" w:rsidP="008B6253">
      <w:pPr>
        <w:rPr>
          <w:noProof/>
        </w:rPr>
      </w:pPr>
    </w:p>
    <w:p w:rsidR="008B6253" w:rsidRPr="00231F73" w:rsidRDefault="008B6253" w:rsidP="008B6253">
      <w:pPr>
        <w:rPr>
          <w:noProof/>
        </w:rPr>
      </w:pPr>
    </w:p>
    <w:p w:rsidR="008B6253" w:rsidRPr="00231F73" w:rsidRDefault="008B6253" w:rsidP="008B6253">
      <w:pPr>
        <w:rPr>
          <w:noProof/>
        </w:rPr>
      </w:pPr>
    </w:p>
    <w:p w:rsidR="008B6253" w:rsidRPr="00231F73" w:rsidRDefault="008B6253" w:rsidP="008B6253">
      <w:pPr>
        <w:rPr>
          <w:noProof/>
        </w:rPr>
      </w:pPr>
    </w:p>
    <w:p w:rsidR="008B6253" w:rsidRPr="00231F73" w:rsidRDefault="008B6253" w:rsidP="008B6253">
      <w:pPr>
        <w:rPr>
          <w:noProof/>
        </w:rPr>
      </w:pPr>
    </w:p>
    <w:p w:rsidR="008B6253" w:rsidRPr="00231F73" w:rsidRDefault="008B6253" w:rsidP="008B6253">
      <w:pPr>
        <w:rPr>
          <w:noProof/>
        </w:rPr>
      </w:pPr>
    </w:p>
    <w:p w:rsidR="008B6253" w:rsidRPr="00231F73" w:rsidRDefault="008B6253" w:rsidP="008B6253">
      <w:pPr>
        <w:rPr>
          <w:noProof/>
        </w:rPr>
      </w:pPr>
    </w:p>
    <w:p w:rsidR="008B6253" w:rsidRDefault="008B6253" w:rsidP="008B6253">
      <w:pPr>
        <w:rPr>
          <w:noProof/>
        </w:rPr>
      </w:pPr>
    </w:p>
    <w:p w:rsidR="008B6253" w:rsidRPr="00864D5D" w:rsidRDefault="008B6253" w:rsidP="008B6253">
      <w:pPr>
        <w:rPr>
          <w:noProof/>
        </w:rPr>
      </w:pPr>
      <w:r>
        <w:rPr>
          <w:noProof/>
        </w:rPr>
        <w:t>Un certain nombre de facteurs clés ont été nécessaires pour franchir ces étapes, à savoir:</w:t>
      </w:r>
    </w:p>
    <w:p w:rsidR="008B6253" w:rsidRPr="00864D5D" w:rsidRDefault="008B6253" w:rsidP="008B6253">
      <w:pPr>
        <w:numPr>
          <w:ilvl w:val="0"/>
          <w:numId w:val="2"/>
        </w:numPr>
        <w:spacing w:before="120" w:after="120" w:line="240" w:lineRule="auto"/>
        <w:jc w:val="both"/>
        <w:rPr>
          <w:noProof/>
        </w:rPr>
      </w:pPr>
      <w:r>
        <w:rPr>
          <w:noProof/>
        </w:rPr>
        <w:t>une prévision fiable des besoins de décaissement au titre de la FRR, qui a constitué le point de départ d’une bonne planification des émissions d’obligations;</w:t>
      </w:r>
    </w:p>
    <w:p w:rsidR="008B6253" w:rsidRPr="00864D5D" w:rsidRDefault="008B6253" w:rsidP="008B6253">
      <w:pPr>
        <w:numPr>
          <w:ilvl w:val="0"/>
          <w:numId w:val="2"/>
        </w:numPr>
        <w:spacing w:before="120" w:after="120" w:line="240" w:lineRule="auto"/>
        <w:jc w:val="both"/>
        <w:rPr>
          <w:noProof/>
        </w:rPr>
      </w:pPr>
      <w:r>
        <w:rPr>
          <w:noProof/>
        </w:rPr>
        <w:t>la création, en mai </w:t>
      </w:r>
      <w:r w:rsidRPr="00887B27">
        <w:rPr>
          <w:noProof/>
        </w:rPr>
        <w:t>2021</w:t>
      </w:r>
      <w:r>
        <w:rPr>
          <w:noProof/>
        </w:rPr>
        <w:t>, du réseau des spécialistes en titres publics afin de faciliter l’exécution efficace des adjudications et des opérations syndiquées et de soutenir la liquidité sur le marché secondaire en ce qui concerne les obligations NextGenerationEU. Fin </w:t>
      </w:r>
      <w:r w:rsidRPr="00887B27">
        <w:rPr>
          <w:noProof/>
        </w:rPr>
        <w:t>2021</w:t>
      </w:r>
      <w:r>
        <w:rPr>
          <w:noProof/>
        </w:rPr>
        <w:t xml:space="preserve">, </w:t>
      </w:r>
      <w:r w:rsidRPr="00887B27">
        <w:rPr>
          <w:noProof/>
        </w:rPr>
        <w:t>42</w:t>
      </w:r>
      <w:r>
        <w:rPr>
          <w:noProof/>
        </w:rPr>
        <w:t xml:space="preserve"> banques et entreprises d’investissement établies dans </w:t>
      </w:r>
      <w:r w:rsidRPr="00887B27">
        <w:rPr>
          <w:noProof/>
        </w:rPr>
        <w:t>12</w:t>
      </w:r>
      <w:r>
        <w:rPr>
          <w:noProof/>
        </w:rPr>
        <w:t> États membres différents avaient été admises dans le réseau</w:t>
      </w:r>
      <w:r>
        <w:rPr>
          <w:rStyle w:val="FootnoteReference"/>
          <w:noProof/>
        </w:rPr>
        <w:footnoteReference w:id="6"/>
      </w:r>
      <w:r>
        <w:rPr>
          <w:noProof/>
        </w:rPr>
        <w:t>, notamment tous les principaux acteurs intervenant dans le placement de dette souveraine et le placement de dette souveraine, supranationale et d’agences (SSA). Ce réseau paneuropéen de spécialistes en titres publics permet à l’Union de placer des obligations et des titres de créance à court terme de l’UE auprès d’une base d’investisseurs la plus large possible, au sein de l’Union et hors de celle-ci;</w:t>
      </w:r>
    </w:p>
    <w:p w:rsidR="008B6253" w:rsidRPr="00864D5D" w:rsidRDefault="008B6253" w:rsidP="008B6253">
      <w:pPr>
        <w:numPr>
          <w:ilvl w:val="0"/>
          <w:numId w:val="2"/>
        </w:numPr>
        <w:spacing w:before="120" w:after="120" w:line="240" w:lineRule="auto"/>
        <w:jc w:val="both"/>
        <w:rPr>
          <w:noProof/>
        </w:rPr>
      </w:pPr>
      <w:r>
        <w:rPr>
          <w:noProof/>
        </w:rPr>
        <w:t>le lancement, en septembre </w:t>
      </w:r>
      <w:r w:rsidRPr="00887B27">
        <w:rPr>
          <w:noProof/>
        </w:rPr>
        <w:t>2021</w:t>
      </w:r>
      <w:r>
        <w:rPr>
          <w:noProof/>
        </w:rPr>
        <w:t>, d’une plateforme d’adjudication sur mesure pour les adjudications de titres de créance à court terme et d’obligations de l’UE, au moyen du système TELSAT de la Banque de France. Les adjudications sont un moyen d’émettre des titres de créance, sous la forme de titres de créance à court terme et d’obligations de l’UE, qui présente un bon rapport coût-efficacité;</w:t>
      </w:r>
    </w:p>
    <w:p w:rsidR="008B6253" w:rsidRPr="00864D5D" w:rsidRDefault="008B6253" w:rsidP="008B6253">
      <w:pPr>
        <w:numPr>
          <w:ilvl w:val="0"/>
          <w:numId w:val="2"/>
        </w:numPr>
        <w:spacing w:before="120" w:after="120" w:line="240" w:lineRule="auto"/>
        <w:jc w:val="both"/>
        <w:rPr>
          <w:noProof/>
        </w:rPr>
      </w:pPr>
      <w:r>
        <w:rPr>
          <w:noProof/>
        </w:rPr>
        <w:t>la mise en place d’un cadre solide de gouvernance pour superviser l’exécution prolongée des opérations de financement de façon à réduire au minimum les principaux risques et à garantir une transparence et une responsabilité totales. Le schéma directeur des opérations de financement de NextGenerationEU, tel qu’il figure dans la décision sur la gouvernance d’avril </w:t>
      </w:r>
      <w:r w:rsidRPr="00887B27">
        <w:rPr>
          <w:noProof/>
        </w:rPr>
        <w:t>2021</w:t>
      </w:r>
      <w:r>
        <w:rPr>
          <w:rStyle w:val="FootnoteReference"/>
          <w:noProof/>
        </w:rPr>
        <w:footnoteReference w:id="7"/>
      </w:r>
      <w:r>
        <w:rPr>
          <w:noProof/>
        </w:rPr>
        <w:t xml:space="preserve">, accorde une place centrale à la détection et à l’atténuation des risques. Un directeur des risques, en fonction depuis le </w:t>
      </w:r>
      <w:r w:rsidRPr="00887B27">
        <w:rPr>
          <w:noProof/>
        </w:rPr>
        <w:t>1</w:t>
      </w:r>
      <w:r>
        <w:rPr>
          <w:noProof/>
          <w:vertAlign w:val="superscript"/>
        </w:rPr>
        <w:t>er</w:t>
      </w:r>
      <w:r>
        <w:rPr>
          <w:noProof/>
        </w:rPr>
        <w:t xml:space="preserve"> septembre </w:t>
      </w:r>
      <w:r w:rsidRPr="00887B27">
        <w:rPr>
          <w:noProof/>
        </w:rPr>
        <w:t>2021</w:t>
      </w:r>
      <w:r>
        <w:rPr>
          <w:noProof/>
        </w:rPr>
        <w:t>, a été nommé pour superviser tous les aspects du programme de financement NextGenerationEU de façon indépendante et sur la base de la politique de haut niveau en matière de risques et de conformité de NextGenerationEU adoptée en décembre </w:t>
      </w:r>
      <w:r w:rsidRPr="00887B27">
        <w:rPr>
          <w:noProof/>
        </w:rPr>
        <w:t>2021</w:t>
      </w:r>
      <w:r>
        <w:rPr>
          <w:noProof/>
        </w:rPr>
        <w:t>. Pour la mise en œuvre de cette politique, le directeur des risques est assisté par le comité de gestion des risques et de la conformité, réuni pour la première fois en décembre </w:t>
      </w:r>
      <w:r w:rsidRPr="00887B27">
        <w:rPr>
          <w:noProof/>
        </w:rPr>
        <w:t>2021</w:t>
      </w:r>
      <w:r>
        <w:rPr>
          <w:noProof/>
        </w:rPr>
        <w:t xml:space="preserve">; </w:t>
      </w:r>
    </w:p>
    <w:p w:rsidR="008B6253" w:rsidRPr="00864D5D" w:rsidRDefault="008B6253" w:rsidP="008B6253">
      <w:pPr>
        <w:numPr>
          <w:ilvl w:val="0"/>
          <w:numId w:val="2"/>
        </w:numPr>
        <w:spacing w:before="120" w:after="120" w:line="240" w:lineRule="auto"/>
        <w:jc w:val="both"/>
        <w:rPr>
          <w:noProof/>
        </w:rPr>
      </w:pPr>
      <w:r>
        <w:rPr>
          <w:noProof/>
        </w:rPr>
        <w:t>la publication du cadre des obligations vertes de NextGenerationEU en septembre </w:t>
      </w:r>
      <w:r w:rsidRPr="00887B27">
        <w:rPr>
          <w:noProof/>
        </w:rPr>
        <w:t>2021</w:t>
      </w:r>
      <w:r>
        <w:rPr>
          <w:noProof/>
        </w:rPr>
        <w:t>. Le cadre, fondé sur le règlement FRR</w:t>
      </w:r>
      <w:r>
        <w:rPr>
          <w:rStyle w:val="FootnoteReference"/>
          <w:noProof/>
        </w:rPr>
        <w:footnoteReference w:id="8"/>
      </w:r>
      <w:r>
        <w:rPr>
          <w:noProof/>
        </w:rPr>
        <w:t xml:space="preserve"> et comprenant en outre de nombreux aspects de la norme de l’UE en matière d’obligations vertes et de la taxinomie, recense neuf grandes catégories de dépenses admissibles: énergies renouvelables, technologies numériques pour la transition écologique, efficacité énergétique, transports propres, adaptation au changement climatique, eau, déchets, biodiversité, recherche et innovation soutenant la transition écologique. Le cadre a été évalué par un fournisseur de seconde opinion. La première émission d’obligations vertes a eu lieu le </w:t>
      </w:r>
      <w:r w:rsidRPr="00887B27">
        <w:rPr>
          <w:noProof/>
        </w:rPr>
        <w:t>12</w:t>
      </w:r>
      <w:r>
        <w:rPr>
          <w:noProof/>
        </w:rPr>
        <w:t xml:space="preserve"> octobre </w:t>
      </w:r>
      <w:r w:rsidRPr="00887B27">
        <w:rPr>
          <w:noProof/>
        </w:rPr>
        <w:t>2021</w:t>
      </w:r>
      <w:r>
        <w:rPr>
          <w:noProof/>
        </w:rPr>
        <w:t xml:space="preserve"> et a permis de lever </w:t>
      </w:r>
      <w:r w:rsidRPr="00887B27">
        <w:rPr>
          <w:noProof/>
        </w:rPr>
        <w:t>12</w:t>
      </w:r>
      <w:r>
        <w:rPr>
          <w:noProof/>
        </w:rPr>
        <w:t xml:space="preserve"> milliards d’EUR destinés exclusivement à des investissements verts et durables dans l’ensemble de l’Union. La première obligation verte a fait l’objet de demandes de souscription dépassant de plus de </w:t>
      </w:r>
      <w:r w:rsidRPr="00887B27">
        <w:rPr>
          <w:noProof/>
        </w:rPr>
        <w:t>11</w:t>
      </w:r>
      <w:r>
        <w:rPr>
          <w:noProof/>
        </w:rPr>
        <w:t xml:space="preserve"> fois les capacités, a attiré l’intérêt d’un large éventail d’investisseurs et reste, à ce jour, la plus importante émission d’obligations vertes au monde. </w:t>
      </w:r>
    </w:p>
    <w:p w:rsidR="008B6253" w:rsidRPr="00864D5D" w:rsidRDefault="008B6253" w:rsidP="008B6253">
      <w:pPr>
        <w:rPr>
          <w:noProof/>
        </w:rPr>
      </w:pPr>
    </w:p>
    <w:p w:rsidR="008B6253" w:rsidRPr="00864D5D" w:rsidRDefault="008B6253" w:rsidP="008B6253">
      <w:pPr>
        <w:pStyle w:val="Heading1"/>
        <w:rPr>
          <w:noProof/>
          <w:color w:val="auto"/>
          <w:sz w:val="24"/>
          <w:szCs w:val="24"/>
        </w:rPr>
      </w:pPr>
      <w:bookmarkStart w:id="5" w:name="_Toc95738333"/>
      <w:r>
        <w:rPr>
          <w:noProof/>
          <w:color w:val="auto"/>
          <w:sz w:val="24"/>
          <w:szCs w:val="24"/>
        </w:rPr>
        <w:t>Mise en place et mise en œuvre de la stratégie de financement de NextGenerationEU</w:t>
      </w:r>
      <w:bookmarkEnd w:id="5"/>
    </w:p>
    <w:p w:rsidR="008B6253" w:rsidRPr="00864D5D" w:rsidRDefault="008B6253" w:rsidP="008B6253">
      <w:pPr>
        <w:spacing w:line="240" w:lineRule="auto"/>
        <w:jc w:val="both"/>
        <w:rPr>
          <w:noProof/>
        </w:rPr>
      </w:pPr>
      <w:r>
        <w:rPr>
          <w:noProof/>
        </w:rPr>
        <w:t xml:space="preserve">Cette partie du rapport examine les progrès accomplis dans le développement des huit capacités recensées, dans la communication du </w:t>
      </w:r>
      <w:r w:rsidRPr="00887B27">
        <w:rPr>
          <w:noProof/>
        </w:rPr>
        <w:t>14</w:t>
      </w:r>
      <w:r>
        <w:rPr>
          <w:noProof/>
        </w:rPr>
        <w:t xml:space="preserve"> avril </w:t>
      </w:r>
      <w:r w:rsidRPr="00887B27">
        <w:rPr>
          <w:noProof/>
        </w:rPr>
        <w:t>2021</w:t>
      </w:r>
      <w:r>
        <w:rPr>
          <w:noProof/>
        </w:rPr>
        <w:t xml:space="preserve"> susmentionnée, comme étant essentielles à la réussite de ce programme de financement.</w:t>
      </w:r>
    </w:p>
    <w:p w:rsidR="008B6253" w:rsidRPr="00864D5D" w:rsidRDefault="008B6253" w:rsidP="008B6253">
      <w:pPr>
        <w:pStyle w:val="Subtitle"/>
        <w:jc w:val="left"/>
        <w:rPr>
          <w:rStyle w:val="IntenseReference"/>
          <w:rFonts w:ascii="Times New Roman" w:hAnsi="Times New Roman"/>
          <w:b w:val="0"/>
          <w:bCs w:val="0"/>
          <w:noProof/>
        </w:rPr>
      </w:pPr>
      <w:bookmarkStart w:id="6" w:name="_Toc93069257"/>
      <w:bookmarkStart w:id="7" w:name="_Toc95738334"/>
      <w:r w:rsidRPr="00887B27">
        <w:rPr>
          <w:rStyle w:val="IntenseReference"/>
          <w:rFonts w:ascii="Times New Roman" w:hAnsi="Times New Roman"/>
          <w:noProof/>
          <w:color w:val="auto"/>
        </w:rPr>
        <w:t>3</w:t>
      </w:r>
      <w:r>
        <w:rPr>
          <w:rStyle w:val="IntenseReference"/>
          <w:rFonts w:ascii="Times New Roman" w:hAnsi="Times New Roman"/>
          <w:noProof/>
          <w:color w:val="auto"/>
        </w:rPr>
        <w:t>.</w:t>
      </w:r>
      <w:r w:rsidRPr="00887B27">
        <w:rPr>
          <w:rStyle w:val="IntenseReference"/>
          <w:rFonts w:ascii="Times New Roman" w:hAnsi="Times New Roman"/>
          <w:noProof/>
          <w:color w:val="auto"/>
        </w:rPr>
        <w:t>1</w:t>
      </w:r>
      <w:r>
        <w:rPr>
          <w:noProof/>
        </w:rPr>
        <w:tab/>
      </w:r>
      <w:r>
        <w:rPr>
          <w:rFonts w:ascii="Times New Roman" w:hAnsi="Times New Roman"/>
          <w:b/>
          <w:noProof/>
        </w:rPr>
        <w:t>Une planification structurée et une communication des intentions en matière d’émission</w:t>
      </w:r>
      <w:bookmarkEnd w:id="6"/>
      <w:bookmarkEnd w:id="7"/>
    </w:p>
    <w:p w:rsidR="008B6253" w:rsidRPr="00864D5D" w:rsidRDefault="008B6253" w:rsidP="008B6253">
      <w:pPr>
        <w:spacing w:line="240" w:lineRule="auto"/>
        <w:jc w:val="both"/>
        <w:rPr>
          <w:noProof/>
        </w:rPr>
      </w:pPr>
      <w:r>
        <w:rPr>
          <w:noProof/>
        </w:rPr>
        <w:t>Le programme de financement NextGenerationEU repose sur une planification des activités d’émission structurée en cycles annuels et semestriels. Cette planification s’appuie sur la transmission d’informations détaillées concernant les besoins de décaissement au titre du plan de relance, qui sont régulièrement révisés.</w:t>
      </w:r>
    </w:p>
    <w:p w:rsidR="008B6253" w:rsidRPr="00864D5D" w:rsidRDefault="008B6253" w:rsidP="008B6253">
      <w:pPr>
        <w:spacing w:line="240" w:lineRule="auto"/>
        <w:jc w:val="both"/>
        <w:rPr>
          <w:noProof/>
        </w:rPr>
      </w:pPr>
      <w:r>
        <w:rPr>
          <w:noProof/>
        </w:rPr>
        <w:t xml:space="preserve">Le cycle s’ouvre sur une décision d’emprunt annuelle visant à fixer la limite supérieure du montant de l’émission d’obligations et de l’encours de la dette dans le cadre du programme de titres de créance à court terme de l’UE. Ces limites d’importance capitale constituent un point d’ancrage solide pour la Commission, dans la mesure où c’est elle qui organise les opérations d’emprunt. En vertu de la décision d’emprunt annuelle </w:t>
      </w:r>
      <w:r w:rsidRPr="00887B27">
        <w:rPr>
          <w:noProof/>
        </w:rPr>
        <w:t>2021</w:t>
      </w:r>
      <w:r>
        <w:rPr>
          <w:noProof/>
        </w:rPr>
        <w:t>, la Commission était tenue aux limites suivantes pour l’année </w:t>
      </w:r>
      <w:r w:rsidRPr="00887B27">
        <w:rPr>
          <w:noProof/>
        </w:rPr>
        <w:t>2021</w:t>
      </w:r>
      <w:r>
        <w:rPr>
          <w:noProof/>
        </w:rPr>
        <w:t xml:space="preserve">: montant maximal de </w:t>
      </w:r>
      <w:r w:rsidRPr="00887B27">
        <w:rPr>
          <w:noProof/>
        </w:rPr>
        <w:t>125</w:t>
      </w:r>
      <w:r>
        <w:rPr>
          <w:noProof/>
        </w:rPr>
        <w:t xml:space="preserve"> milliards d’EUR pour les financements à long terme et encours maximal de </w:t>
      </w:r>
      <w:r w:rsidRPr="00887B27">
        <w:rPr>
          <w:noProof/>
        </w:rPr>
        <w:t>60</w:t>
      </w:r>
      <w:r>
        <w:rPr>
          <w:noProof/>
        </w:rPr>
        <w:t xml:space="preserve"> milliards d’EUR pour les financements à court terme. </w:t>
      </w:r>
    </w:p>
    <w:p w:rsidR="008B6253" w:rsidRPr="00864D5D" w:rsidRDefault="008B6253" w:rsidP="008B6253">
      <w:pPr>
        <w:spacing w:line="240" w:lineRule="auto"/>
        <w:jc w:val="both"/>
        <w:rPr>
          <w:noProof/>
        </w:rPr>
      </w:pPr>
      <w:r>
        <w:rPr>
          <w:noProof/>
        </w:rPr>
        <w:t xml:space="preserve">La Commission élabore ensuite un plan de financement pour fixer le calendrier des émissions et les paramètres financiers clés des opérations à venir. Ces informations sont rendues publiques, car les investisseurs en ont besoin pour préparer l’allocation de fonds aux opérations de la Commission, ce qui facilite ainsi l’absorption efficace et à moindre coût des émissions au titre de NextGenerationEU. Le premier plan de financement au titre de NextGenerationEU fixait un objectif de </w:t>
      </w:r>
      <w:r w:rsidRPr="00887B27">
        <w:rPr>
          <w:noProof/>
        </w:rPr>
        <w:t>80</w:t>
      </w:r>
      <w:r>
        <w:rPr>
          <w:noProof/>
        </w:rPr>
        <w:t> milliards d’EUR d’obligations de l’UE.</w:t>
      </w:r>
    </w:p>
    <w:p w:rsidR="008B6253" w:rsidRPr="00864D5D" w:rsidRDefault="008B6253" w:rsidP="008B6253">
      <w:pPr>
        <w:spacing w:line="240" w:lineRule="auto"/>
        <w:jc w:val="both"/>
        <w:rPr>
          <w:noProof/>
        </w:rPr>
      </w:pPr>
      <w:r>
        <w:rPr>
          <w:noProof/>
        </w:rPr>
        <w:t>La Commission a adopté sa décision d’emprunt annuelle</w:t>
      </w:r>
      <w:r>
        <w:rPr>
          <w:rStyle w:val="FootnoteReference"/>
          <w:noProof/>
        </w:rPr>
        <w:footnoteReference w:id="9"/>
      </w:r>
      <w:r>
        <w:rPr>
          <w:noProof/>
        </w:rPr>
        <w:t xml:space="preserve"> et a publié son premier plan de financement</w:t>
      </w:r>
      <w:r>
        <w:rPr>
          <w:rStyle w:val="FootnoteReference"/>
          <w:noProof/>
        </w:rPr>
        <w:footnoteReference w:id="10"/>
      </w:r>
      <w:r>
        <w:rPr>
          <w:noProof/>
        </w:rPr>
        <w:t xml:space="preserve"> le jour de l’entrée en vigueur de la décision relative aux ressources propres, à savoir le </w:t>
      </w:r>
      <w:r w:rsidRPr="00887B27">
        <w:rPr>
          <w:noProof/>
        </w:rPr>
        <w:t>1</w:t>
      </w:r>
      <w:r>
        <w:rPr>
          <w:noProof/>
          <w:vertAlign w:val="superscript"/>
        </w:rPr>
        <w:t>er</w:t>
      </w:r>
      <w:r>
        <w:rPr>
          <w:noProof/>
        </w:rPr>
        <w:t xml:space="preserve"> juin </w:t>
      </w:r>
      <w:r w:rsidRPr="00887B27">
        <w:rPr>
          <w:noProof/>
        </w:rPr>
        <w:t>2021</w:t>
      </w:r>
      <w:r>
        <w:rPr>
          <w:noProof/>
        </w:rPr>
        <w:t>.</w:t>
      </w:r>
    </w:p>
    <w:p w:rsidR="008B6253" w:rsidRPr="00864D5D" w:rsidRDefault="008B6253" w:rsidP="008B6253">
      <w:pPr>
        <w:spacing w:line="240" w:lineRule="auto"/>
        <w:jc w:val="both"/>
        <w:rPr>
          <w:noProof/>
        </w:rPr>
      </w:pPr>
      <w:r>
        <w:rPr>
          <w:noProof/>
        </w:rPr>
        <w:t xml:space="preserve">Les décaissements en faveur des États membres au titre de la FRR, qui représente </w:t>
      </w:r>
      <w:r w:rsidRPr="00887B27">
        <w:rPr>
          <w:noProof/>
        </w:rPr>
        <w:t>90</w:t>
      </w:r>
      <w:r>
        <w:rPr>
          <w:noProof/>
        </w:rPr>
        <w:t> % des versements au titre de NextGenerationEU, sont soumis à une relative incertitude quant au calendrier et aux montants exacts. Lorsque les besoins réels de décaissement s’écartent des prévisions initiales, il peut être nécessaire de réviser le plan de financement. Une telle révision du plan de financement pour la seconde moitié de l’année </w:t>
      </w:r>
      <w:r w:rsidRPr="00887B27">
        <w:rPr>
          <w:noProof/>
        </w:rPr>
        <w:t>2021</w:t>
      </w:r>
      <w:r>
        <w:rPr>
          <w:noProof/>
        </w:rPr>
        <w:t xml:space="preserve"> a eu lieu en novembre </w:t>
      </w:r>
      <w:r w:rsidRPr="00887B27">
        <w:rPr>
          <w:noProof/>
        </w:rPr>
        <w:t>2021</w:t>
      </w:r>
      <w:r>
        <w:rPr>
          <w:noProof/>
        </w:rPr>
        <w:t>: l’objectif de financement a été légèrement revu à la baisse pour tenir compte d’une évaluation plus récente des besoins de paiement au titre de l’instrument de relance NextGenerationEU</w:t>
      </w:r>
      <w:r>
        <w:rPr>
          <w:rStyle w:val="FootnoteReference"/>
          <w:noProof/>
        </w:rPr>
        <w:footnoteReference w:id="11"/>
      </w:r>
      <w:r>
        <w:rPr>
          <w:noProof/>
        </w:rPr>
        <w:t xml:space="preserve">. Sur la base de cet objectif révisé, la Commission a émis </w:t>
      </w:r>
      <w:r w:rsidRPr="00887B27">
        <w:rPr>
          <w:noProof/>
        </w:rPr>
        <w:t>70</w:t>
      </w:r>
      <w:r>
        <w:rPr>
          <w:noProof/>
        </w:rPr>
        <w:t>,</w:t>
      </w:r>
      <w:r w:rsidRPr="00887B27">
        <w:rPr>
          <w:noProof/>
        </w:rPr>
        <w:t>992</w:t>
      </w:r>
      <w:r>
        <w:rPr>
          <w:noProof/>
        </w:rPr>
        <w:t xml:space="preserve"> milliards d’EUR d’obligations en </w:t>
      </w:r>
      <w:r w:rsidRPr="00887B27">
        <w:rPr>
          <w:noProof/>
        </w:rPr>
        <w:t>2021</w:t>
      </w:r>
      <w:r>
        <w:rPr>
          <w:noProof/>
        </w:rPr>
        <w:t xml:space="preserve">. Toutes les émissions d’obligations et de titres de créance à court terme au titre de NextGenerationEU qui ont eu lieu en </w:t>
      </w:r>
      <w:r w:rsidRPr="00887B27">
        <w:rPr>
          <w:noProof/>
        </w:rPr>
        <w:t>2021</w:t>
      </w:r>
      <w:r>
        <w:rPr>
          <w:noProof/>
        </w:rPr>
        <w:t xml:space="preserve"> figurent à l’annexe du présent rapport.</w:t>
      </w:r>
    </w:p>
    <w:p w:rsidR="008B6253" w:rsidRPr="00864D5D" w:rsidRDefault="008B6253" w:rsidP="008B6253">
      <w:pPr>
        <w:spacing w:line="240" w:lineRule="auto"/>
        <w:jc w:val="both"/>
        <w:rPr>
          <w:noProof/>
        </w:rPr>
      </w:pPr>
      <w:r>
        <w:rPr>
          <w:noProof/>
        </w:rPr>
        <w:t xml:space="preserve">Le </w:t>
      </w:r>
      <w:r w:rsidRPr="00887B27">
        <w:rPr>
          <w:noProof/>
        </w:rPr>
        <w:t>14</w:t>
      </w:r>
      <w:r>
        <w:rPr>
          <w:noProof/>
        </w:rPr>
        <w:t xml:space="preserve"> décembre </w:t>
      </w:r>
      <w:r w:rsidRPr="00887B27">
        <w:rPr>
          <w:noProof/>
        </w:rPr>
        <w:t>2021</w:t>
      </w:r>
      <w:r>
        <w:rPr>
          <w:noProof/>
        </w:rPr>
        <w:t>, la Commission a publié la décision d’emprunt annuelle </w:t>
      </w:r>
      <w:r w:rsidRPr="00887B27">
        <w:rPr>
          <w:noProof/>
        </w:rPr>
        <w:t>2022</w:t>
      </w:r>
      <w:r>
        <w:rPr>
          <w:rStyle w:val="FootnoteReference"/>
          <w:noProof/>
        </w:rPr>
        <w:footnoteReference w:id="12"/>
      </w:r>
      <w:r>
        <w:rPr>
          <w:noProof/>
        </w:rPr>
        <w:t>, ainsi que le plan de financement et le calendrier des émissions pour la période allant de janvier à fin juin </w:t>
      </w:r>
      <w:r w:rsidRPr="00887B27">
        <w:rPr>
          <w:noProof/>
        </w:rPr>
        <w:t>2022</w:t>
      </w:r>
      <w:r>
        <w:rPr>
          <w:rStyle w:val="FootnoteReference"/>
          <w:noProof/>
        </w:rPr>
        <w:footnoteReference w:id="13"/>
      </w:r>
      <w:r>
        <w:rPr>
          <w:noProof/>
        </w:rPr>
        <w:t xml:space="preserve">. En vertu de la décision d’emprunt annuelle </w:t>
      </w:r>
      <w:r w:rsidRPr="00887B27">
        <w:rPr>
          <w:noProof/>
        </w:rPr>
        <w:t>2022</w:t>
      </w:r>
      <w:r>
        <w:rPr>
          <w:noProof/>
        </w:rPr>
        <w:t>, la Commission est tenue aux limites suivantes pour l’année </w:t>
      </w:r>
      <w:r w:rsidRPr="00887B27">
        <w:rPr>
          <w:noProof/>
        </w:rPr>
        <w:t>2022</w:t>
      </w:r>
      <w:r>
        <w:rPr>
          <w:noProof/>
        </w:rPr>
        <w:t xml:space="preserve">: montant maximal de </w:t>
      </w:r>
      <w:r w:rsidRPr="00887B27">
        <w:rPr>
          <w:noProof/>
        </w:rPr>
        <w:t>140</w:t>
      </w:r>
      <w:r>
        <w:rPr>
          <w:noProof/>
        </w:rPr>
        <w:t xml:space="preserve"> milliards d’EUR pour les financements à long terme et encours maximal de </w:t>
      </w:r>
      <w:r w:rsidRPr="00887B27">
        <w:rPr>
          <w:noProof/>
        </w:rPr>
        <w:t>60</w:t>
      </w:r>
      <w:r>
        <w:rPr>
          <w:noProof/>
        </w:rPr>
        <w:t> milliards d’EUR pour les financements à court terme. Le plan de financement pour la première moitié de </w:t>
      </w:r>
      <w:r w:rsidRPr="00887B27">
        <w:rPr>
          <w:noProof/>
        </w:rPr>
        <w:t>2022</w:t>
      </w:r>
      <w:r>
        <w:rPr>
          <w:noProof/>
        </w:rPr>
        <w:t xml:space="preserve"> prévoit l’émission, entre janvier et juin </w:t>
      </w:r>
      <w:r w:rsidRPr="00887B27">
        <w:rPr>
          <w:noProof/>
        </w:rPr>
        <w:t>2022</w:t>
      </w:r>
      <w:r>
        <w:rPr>
          <w:noProof/>
        </w:rPr>
        <w:t xml:space="preserve">, de </w:t>
      </w:r>
      <w:r w:rsidRPr="00887B27">
        <w:rPr>
          <w:noProof/>
        </w:rPr>
        <w:t>50</w:t>
      </w:r>
      <w:r>
        <w:rPr>
          <w:noProof/>
        </w:rPr>
        <w:t> milliards d’EUR d’obligations à long terme de l’UE, qui doivent être complétées par des titres de créance à court terme de l’UE. Le plan de financement pour la première moitié de </w:t>
      </w:r>
      <w:r w:rsidRPr="00887B27">
        <w:rPr>
          <w:noProof/>
        </w:rPr>
        <w:t>2022</w:t>
      </w:r>
      <w:r>
        <w:rPr>
          <w:noProof/>
        </w:rPr>
        <w:t xml:space="preserve"> a été adopté après évaluation par le directeur des risques.</w:t>
      </w:r>
    </w:p>
    <w:p w:rsidR="008B6253" w:rsidRPr="00864D5D" w:rsidRDefault="008B6253" w:rsidP="008B6253">
      <w:pPr>
        <w:spacing w:line="240" w:lineRule="auto"/>
        <w:jc w:val="both"/>
        <w:rPr>
          <w:rStyle w:val="IntenseReference"/>
          <w:b w:val="0"/>
          <w:bCs w:val="0"/>
          <w:smallCaps w:val="0"/>
          <w:noProof/>
        </w:rPr>
      </w:pPr>
      <w:r>
        <w:rPr>
          <w:noProof/>
        </w:rPr>
        <w:t xml:space="preserve">La planification des émissions au titre de NextGenerationEU tient également compte d’une perspective à plus long terme nécessaire pour permettre un remboursement régulier et progressif de la dette à mesure que les titres arrivent à échéance. Conformément aux exigences de la décision relative aux ressources propres, la Commission planifie les échéances des titres émis et les remboursements correspondants en vue de parvenir à une réduction constante et prévisible des engagements au titre de NextGenerationEU sur la période allant jusqu’en </w:t>
      </w:r>
      <w:r w:rsidRPr="00887B27">
        <w:rPr>
          <w:noProof/>
        </w:rPr>
        <w:t>2058</w:t>
      </w:r>
      <w:r>
        <w:rPr>
          <w:noProof/>
        </w:rPr>
        <w:t>.</w:t>
      </w:r>
    </w:p>
    <w:p w:rsidR="008B6253" w:rsidRPr="00864D5D" w:rsidRDefault="008B6253" w:rsidP="008B6253">
      <w:pPr>
        <w:pStyle w:val="Subtitle"/>
        <w:jc w:val="left"/>
        <w:rPr>
          <w:rStyle w:val="IntenseReference"/>
          <w:rFonts w:ascii="Times New Roman" w:hAnsi="Times New Roman"/>
          <w:b w:val="0"/>
          <w:bCs w:val="0"/>
          <w:noProof/>
        </w:rPr>
      </w:pPr>
      <w:bookmarkStart w:id="8" w:name="_Toc93069258"/>
      <w:bookmarkStart w:id="9" w:name="_Toc95738335"/>
      <w:r w:rsidRPr="00887B27">
        <w:rPr>
          <w:rStyle w:val="IntenseReference"/>
          <w:rFonts w:ascii="Times New Roman" w:hAnsi="Times New Roman"/>
          <w:noProof/>
          <w:color w:val="auto"/>
        </w:rPr>
        <w:t>3</w:t>
      </w:r>
      <w:r>
        <w:rPr>
          <w:rStyle w:val="IntenseReference"/>
          <w:rFonts w:ascii="Times New Roman" w:hAnsi="Times New Roman"/>
          <w:noProof/>
          <w:color w:val="auto"/>
        </w:rPr>
        <w:t>.</w:t>
      </w:r>
      <w:r w:rsidRPr="00887B27">
        <w:rPr>
          <w:rStyle w:val="IntenseReference"/>
          <w:rFonts w:ascii="Times New Roman" w:hAnsi="Times New Roman"/>
          <w:noProof/>
          <w:color w:val="auto"/>
        </w:rPr>
        <w:t>2</w:t>
      </w:r>
      <w:r>
        <w:rPr>
          <w:noProof/>
        </w:rPr>
        <w:tab/>
      </w:r>
      <w:r>
        <w:rPr>
          <w:rFonts w:ascii="Times New Roman" w:hAnsi="Times New Roman"/>
          <w:b/>
          <w:noProof/>
        </w:rPr>
        <w:t>Une coordination efficace avec les émetteurs nationaux et comparables</w:t>
      </w:r>
      <w:bookmarkEnd w:id="8"/>
      <w:bookmarkEnd w:id="9"/>
    </w:p>
    <w:p w:rsidR="008B6253" w:rsidRPr="00231F73" w:rsidRDefault="008B6253" w:rsidP="008B6253">
      <w:pPr>
        <w:spacing w:line="240" w:lineRule="auto"/>
        <w:jc w:val="both"/>
        <w:rPr>
          <w:noProof/>
        </w:rPr>
      </w:pPr>
      <w:r>
        <w:rPr>
          <w:noProof/>
        </w:rPr>
        <w:t>La publication des plans de financement semestriels, y compris le calendrier des émissions, a constitué un instrument important de coordination avec les services supranationaux et nationaux de gestion de la dette, qui gèrent également d’importants programmes d’émission pour répondre à leurs besoins de financement.</w:t>
      </w:r>
    </w:p>
    <w:p w:rsidR="008B6253" w:rsidRDefault="008B6253" w:rsidP="008B6253">
      <w:pPr>
        <w:spacing w:line="240" w:lineRule="auto"/>
        <w:jc w:val="both"/>
        <w:rPr>
          <w:noProof/>
        </w:rPr>
      </w:pPr>
      <w:r>
        <w:rPr>
          <w:noProof/>
        </w:rPr>
        <w:t xml:space="preserve">En outre, à plusieurs reprises, la Commission a fourni des informations sur les opérations de financement de NextGenerationEU à la commission des budgets du Parlement européen et au comité économique et financier. Elle participe aux réunions du sous-comité «marchés européens des dettes souveraines» (ESDM) du comité économique et financier, qui inscrit régulièrement la mise en œuvre du programme de financement NextGenerationEU à son ordre du jour. </w:t>
      </w:r>
    </w:p>
    <w:p w:rsidR="008B6253" w:rsidRPr="00864D5D" w:rsidRDefault="008B6253" w:rsidP="008B6253">
      <w:pPr>
        <w:pStyle w:val="Subtitle"/>
        <w:jc w:val="left"/>
        <w:rPr>
          <w:rStyle w:val="IntenseReference"/>
          <w:rFonts w:ascii="Times New Roman" w:hAnsi="Times New Roman"/>
          <w:b w:val="0"/>
          <w:bCs w:val="0"/>
          <w:noProof/>
        </w:rPr>
      </w:pPr>
      <w:bookmarkStart w:id="10" w:name="_Toc93069259"/>
      <w:bookmarkStart w:id="11" w:name="_Toc95738336"/>
      <w:r w:rsidRPr="00887B27">
        <w:rPr>
          <w:rStyle w:val="IntenseReference"/>
          <w:rFonts w:ascii="Times New Roman" w:hAnsi="Times New Roman"/>
          <w:noProof/>
          <w:color w:val="auto"/>
        </w:rPr>
        <w:t>3</w:t>
      </w:r>
      <w:r>
        <w:rPr>
          <w:rStyle w:val="IntenseReference"/>
          <w:rFonts w:ascii="Times New Roman" w:hAnsi="Times New Roman"/>
          <w:noProof/>
          <w:color w:val="auto"/>
        </w:rPr>
        <w:t>.</w:t>
      </w:r>
      <w:r w:rsidRPr="00887B27">
        <w:rPr>
          <w:rStyle w:val="IntenseReference"/>
          <w:rFonts w:ascii="Times New Roman" w:hAnsi="Times New Roman"/>
          <w:noProof/>
          <w:color w:val="auto"/>
        </w:rPr>
        <w:t>3</w:t>
      </w:r>
      <w:r>
        <w:rPr>
          <w:noProof/>
        </w:rPr>
        <w:tab/>
      </w:r>
      <w:r>
        <w:rPr>
          <w:rFonts w:ascii="Times New Roman" w:hAnsi="Times New Roman"/>
          <w:b/>
          <w:noProof/>
        </w:rPr>
        <w:t>Une gestion rigoureuse de la trésorerie pour faire correspondre les entrées et les sorties</w:t>
      </w:r>
      <w:bookmarkEnd w:id="10"/>
      <w:bookmarkEnd w:id="11"/>
    </w:p>
    <w:p w:rsidR="008B6253" w:rsidRPr="00231F73" w:rsidRDefault="008B6253" w:rsidP="008B6253">
      <w:pPr>
        <w:spacing w:line="240" w:lineRule="auto"/>
        <w:jc w:val="both"/>
        <w:rPr>
          <w:noProof/>
        </w:rPr>
      </w:pPr>
      <w:r>
        <w:rPr>
          <w:noProof/>
        </w:rPr>
        <w:t>La bonne exécution du programme NextGenerationEU peut être mesurée à l’aune de sa capacité à décaisser tous les montants au fur et à mesure de l’exigibilité des paiements (ou des remboursements) et à éviter de devoir lever des fonds dans des conditions de marché inopportunes. À cet égard, il est indispensable d’adopter une approche proactive pour la gestion de la trésorerie et de témoigner d’une capacité à lever des fonds à des conditions attrayantes dans un délai court.</w:t>
      </w:r>
    </w:p>
    <w:p w:rsidR="008B6253" w:rsidRPr="00231F73" w:rsidRDefault="008B6253" w:rsidP="008B6253">
      <w:pPr>
        <w:spacing w:line="240" w:lineRule="auto"/>
        <w:jc w:val="both"/>
        <w:rPr>
          <w:noProof/>
        </w:rPr>
      </w:pPr>
      <w:r>
        <w:rPr>
          <w:noProof/>
        </w:rPr>
        <w:t xml:space="preserve">Depuis le début des opérations de financement, la Commission dispose d’une réserve prudentielle variable de liquidités, qui constitue une garantie importante contre les déficits de trésorerie de nature à l’empêcher de répondre à temps aux demandes de décaissement. Pour gérer ces réserves critiques de trésorerie et éviter qu’elles ne soient soumises à des risques de contrepartie, la Commission a ouvert un compte à la BCE en </w:t>
      </w:r>
      <w:r w:rsidRPr="00887B27">
        <w:rPr>
          <w:noProof/>
        </w:rPr>
        <w:t>2021</w:t>
      </w:r>
      <w:r>
        <w:rPr>
          <w:noProof/>
        </w:rPr>
        <w:t>.</w:t>
      </w:r>
    </w:p>
    <w:p w:rsidR="008B6253" w:rsidRPr="00231F73" w:rsidRDefault="008B6253" w:rsidP="008B6253">
      <w:pPr>
        <w:spacing w:line="240" w:lineRule="auto"/>
        <w:jc w:val="both"/>
        <w:rPr>
          <w:noProof/>
        </w:rPr>
      </w:pPr>
      <w:r>
        <w:rPr>
          <w:noProof/>
        </w:rPr>
        <w:t>Ce coussin de liquidités a été renforcé par le recours à toute la gamme d’instruments relevant de la stratégie de financement diversifiée, qui offre à la Commission la flexibilité nécessaire pour faire correspondre les entrées et les sorties. On notera ainsi l’utilisation, en juillet/août </w:t>
      </w:r>
      <w:r w:rsidRPr="00887B27">
        <w:rPr>
          <w:noProof/>
        </w:rPr>
        <w:t>2021</w:t>
      </w:r>
      <w:r>
        <w:rPr>
          <w:noProof/>
        </w:rPr>
        <w:t>, des lignes de crédit, qui ont permis à la Commission de répondre à toutes les demandes de paiement des États membres en vue du préfinancement de leurs plans pour la reprise et la résilience au cours de l’été, tout en évitant une offre excédentaire d’obligations sur un marché peu liquide. Les montants levés au moyen de ces lignes de crédit ont d’ores et déjà été intégralement remboursés.</w:t>
      </w:r>
    </w:p>
    <w:p w:rsidR="008B6253" w:rsidRPr="00231F73" w:rsidRDefault="008B6253" w:rsidP="008B6253">
      <w:pPr>
        <w:spacing w:line="240" w:lineRule="auto"/>
        <w:jc w:val="both"/>
        <w:rPr>
          <w:noProof/>
        </w:rPr>
      </w:pPr>
      <w:r>
        <w:rPr>
          <w:noProof/>
        </w:rPr>
        <w:t>Depuis septembre </w:t>
      </w:r>
      <w:r w:rsidRPr="00887B27">
        <w:rPr>
          <w:noProof/>
        </w:rPr>
        <w:t>2021</w:t>
      </w:r>
      <w:r>
        <w:rPr>
          <w:noProof/>
        </w:rPr>
        <w:t xml:space="preserve">, la Commission est en mesure d’utiliser le programme de titres de créance à court terme de l’UE pour obtenir des liquidités à des conditions concurrentielles. Entre le </w:t>
      </w:r>
      <w:r w:rsidRPr="00887B27">
        <w:rPr>
          <w:noProof/>
        </w:rPr>
        <w:t>15</w:t>
      </w:r>
      <w:r>
        <w:rPr>
          <w:noProof/>
        </w:rPr>
        <w:t xml:space="preserve"> septembre et le </w:t>
      </w:r>
      <w:r w:rsidRPr="00887B27">
        <w:rPr>
          <w:noProof/>
        </w:rPr>
        <w:t>31</w:t>
      </w:r>
      <w:r>
        <w:rPr>
          <w:noProof/>
        </w:rPr>
        <w:t xml:space="preserve"> décembre </w:t>
      </w:r>
      <w:r w:rsidRPr="00887B27">
        <w:rPr>
          <w:noProof/>
        </w:rPr>
        <w:t>2021</w:t>
      </w:r>
      <w:r>
        <w:rPr>
          <w:noProof/>
        </w:rPr>
        <w:t xml:space="preserve">, la Commission a organisé sept adjudications de titres de créance à court terme de l’UE, levant </w:t>
      </w:r>
      <w:r w:rsidRPr="00887B27">
        <w:rPr>
          <w:noProof/>
        </w:rPr>
        <w:t>25</w:t>
      </w:r>
      <w:r>
        <w:rPr>
          <w:noProof/>
        </w:rPr>
        <w:t xml:space="preserve"> milliards d’EUR sous forme de titres de créance à </w:t>
      </w:r>
      <w:r w:rsidRPr="00887B27">
        <w:rPr>
          <w:noProof/>
        </w:rPr>
        <w:t>3</w:t>
      </w:r>
      <w:r>
        <w:rPr>
          <w:noProof/>
        </w:rPr>
        <w:t xml:space="preserve"> mois et à </w:t>
      </w:r>
      <w:r w:rsidRPr="00887B27">
        <w:rPr>
          <w:noProof/>
        </w:rPr>
        <w:t>6</w:t>
      </w:r>
      <w:r>
        <w:rPr>
          <w:noProof/>
        </w:rPr>
        <w:t xml:space="preserve"> mois, dont </w:t>
      </w:r>
      <w:r w:rsidRPr="00887B27">
        <w:rPr>
          <w:noProof/>
        </w:rPr>
        <w:t>5</w:t>
      </w:r>
      <w:r>
        <w:rPr>
          <w:noProof/>
        </w:rPr>
        <w:t> milliards d’EUR arrivés à échéance en décembre </w:t>
      </w:r>
      <w:r w:rsidRPr="00887B27">
        <w:rPr>
          <w:noProof/>
        </w:rPr>
        <w:t>2021</w:t>
      </w:r>
      <w:r>
        <w:rPr>
          <w:noProof/>
        </w:rPr>
        <w:t>. Le rendement moyen pondéré obtenu pour les adjudications était de -</w:t>
      </w:r>
      <w:r w:rsidRPr="00887B27">
        <w:rPr>
          <w:noProof/>
        </w:rPr>
        <w:t>0</w:t>
      </w:r>
      <w:r>
        <w:rPr>
          <w:noProof/>
        </w:rPr>
        <w:t>,</w:t>
      </w:r>
      <w:r w:rsidRPr="00887B27">
        <w:rPr>
          <w:noProof/>
        </w:rPr>
        <w:t>78</w:t>
      </w:r>
      <w:r>
        <w:rPr>
          <w:noProof/>
        </w:rPr>
        <w:t xml:space="preserve"> % et le taux moyen de soumissions satisfaites (c’est-à-dire le rapport entre le montant demandé et le montant offert lors d’une adjudication) de </w:t>
      </w:r>
      <w:r w:rsidRPr="00887B27">
        <w:rPr>
          <w:noProof/>
        </w:rPr>
        <w:t>2</w:t>
      </w:r>
      <w:r>
        <w:rPr>
          <w:noProof/>
        </w:rPr>
        <w:t>,</w:t>
      </w:r>
      <w:r w:rsidRPr="00887B27">
        <w:rPr>
          <w:noProof/>
        </w:rPr>
        <w:t>55</w:t>
      </w:r>
      <w:r>
        <w:rPr>
          <w:noProof/>
        </w:rPr>
        <w:t>x. Ces deux indicateurs font état d’une forte demande de la part des spécialistes en titres publics au sein de notre réseau et d’opérations de financement à court terme de qualité.</w:t>
      </w:r>
    </w:p>
    <w:p w:rsidR="008B6253" w:rsidRDefault="008B6253" w:rsidP="008B6253">
      <w:pPr>
        <w:spacing w:line="240" w:lineRule="auto"/>
        <w:jc w:val="both"/>
        <w:rPr>
          <w:noProof/>
        </w:rPr>
      </w:pPr>
      <w:r>
        <w:rPr>
          <w:noProof/>
        </w:rPr>
        <w:t xml:space="preserve">En se dotant de ces moyens de gestion de la trésorerie, la Commission a pu répondre à toutes les demandes de paiement dans un délai de six jours. </w:t>
      </w:r>
    </w:p>
    <w:p w:rsidR="00887B27" w:rsidRPr="00864D5D" w:rsidRDefault="00887B27" w:rsidP="008B6253">
      <w:pPr>
        <w:spacing w:line="240" w:lineRule="auto"/>
        <w:jc w:val="both"/>
        <w:rPr>
          <w:rStyle w:val="IntenseReference"/>
          <w:b w:val="0"/>
          <w:bCs w:val="0"/>
          <w:smallCaps w:val="0"/>
          <w:noProof/>
        </w:rPr>
      </w:pPr>
    </w:p>
    <w:p w:rsidR="008B6253" w:rsidRPr="00864D5D" w:rsidRDefault="008B6253" w:rsidP="008B6253">
      <w:pPr>
        <w:pStyle w:val="Subtitle"/>
        <w:jc w:val="left"/>
        <w:rPr>
          <w:rStyle w:val="IntenseReference"/>
          <w:rFonts w:ascii="Times New Roman" w:hAnsi="Times New Roman"/>
          <w:b w:val="0"/>
          <w:bCs w:val="0"/>
          <w:noProof/>
        </w:rPr>
      </w:pPr>
      <w:bookmarkStart w:id="12" w:name="_Toc93069260"/>
      <w:bookmarkStart w:id="13" w:name="_Toc95738337"/>
      <w:r w:rsidRPr="00887B27">
        <w:rPr>
          <w:rStyle w:val="IntenseReference"/>
          <w:rFonts w:ascii="Times New Roman" w:hAnsi="Times New Roman"/>
          <w:noProof/>
          <w:color w:val="auto"/>
        </w:rPr>
        <w:t>3</w:t>
      </w:r>
      <w:r>
        <w:rPr>
          <w:rStyle w:val="IntenseReference"/>
          <w:rFonts w:ascii="Times New Roman" w:hAnsi="Times New Roman"/>
          <w:noProof/>
          <w:color w:val="auto"/>
        </w:rPr>
        <w:t>.</w:t>
      </w:r>
      <w:r w:rsidRPr="00887B27">
        <w:rPr>
          <w:rStyle w:val="IntenseReference"/>
          <w:rFonts w:ascii="Times New Roman" w:hAnsi="Times New Roman"/>
          <w:noProof/>
          <w:color w:val="auto"/>
        </w:rPr>
        <w:t>4</w:t>
      </w:r>
      <w:r>
        <w:rPr>
          <w:noProof/>
        </w:rPr>
        <w:tab/>
      </w:r>
      <w:r>
        <w:rPr>
          <w:rFonts w:ascii="Times New Roman" w:hAnsi="Times New Roman"/>
          <w:b/>
          <w:noProof/>
        </w:rPr>
        <w:t>Une grande capacité d’exécution pour mener à bien les opérations de financement individuelles</w:t>
      </w:r>
      <w:bookmarkEnd w:id="12"/>
      <w:bookmarkEnd w:id="13"/>
    </w:p>
    <w:p w:rsidR="008B6253" w:rsidRPr="00231F73" w:rsidRDefault="008B6253" w:rsidP="008B6253">
      <w:pPr>
        <w:spacing w:line="240" w:lineRule="auto"/>
        <w:jc w:val="both"/>
        <w:rPr>
          <w:noProof/>
        </w:rPr>
      </w:pPr>
      <w:r>
        <w:rPr>
          <w:noProof/>
        </w:rPr>
        <w:t>La Commission a renforcé ses capacités d’exécution en matière de financement, ce qui lui permet de recourir à une combinaison de formats de transactions en vue de répondre aux besoins de financement de NextGenerationEU: au cours des six premiers mois, la Commission a ainsi eu recours à cinq opérations syndiquées, à deux adjudications obligataires et à sept adjudications de titres de créance à court terme, à de nouvelles émissions et à des abondements, ainsi qu’à des lignes de crédit.</w:t>
      </w:r>
    </w:p>
    <w:p w:rsidR="008B6253" w:rsidRPr="00231F73" w:rsidRDefault="008B6253" w:rsidP="008B6253">
      <w:pPr>
        <w:spacing w:line="240" w:lineRule="auto"/>
        <w:jc w:val="both"/>
        <w:rPr>
          <w:noProof/>
        </w:rPr>
      </w:pPr>
      <w:r>
        <w:rPr>
          <w:noProof/>
        </w:rPr>
        <w:t>Cette capacité renforcée repose sur les deux éléments principaux suivants:</w:t>
      </w:r>
    </w:p>
    <w:p w:rsidR="008B6253" w:rsidRPr="00864D5D" w:rsidRDefault="008B6253" w:rsidP="008B6253">
      <w:pPr>
        <w:rPr>
          <w:b/>
          <w:noProof/>
        </w:rPr>
      </w:pPr>
      <w:r>
        <w:rPr>
          <w:b/>
          <w:noProof/>
        </w:rPr>
        <w:t>a) La création d’un réseau paneuropéen de spécialistes en titres publics</w:t>
      </w:r>
    </w:p>
    <w:p w:rsidR="008B6253" w:rsidRPr="00231F73" w:rsidRDefault="008B6253" w:rsidP="008B6253">
      <w:pPr>
        <w:spacing w:line="240" w:lineRule="auto"/>
        <w:jc w:val="both"/>
        <w:rPr>
          <w:noProof/>
        </w:rPr>
      </w:pPr>
      <w:r>
        <w:rPr>
          <w:noProof/>
        </w:rPr>
        <w:t>À la suite d’un appel à manifestation d’intérêt</w:t>
      </w:r>
      <w:r>
        <w:rPr>
          <w:rStyle w:val="FootnoteReference"/>
          <w:noProof/>
        </w:rPr>
        <w:footnoteReference w:id="14"/>
      </w:r>
      <w:r>
        <w:rPr>
          <w:noProof/>
        </w:rPr>
        <w:t xml:space="preserve">, la Commission a publié, le </w:t>
      </w:r>
      <w:r w:rsidRPr="00887B27">
        <w:rPr>
          <w:noProof/>
        </w:rPr>
        <w:t>31</w:t>
      </w:r>
      <w:r>
        <w:rPr>
          <w:noProof/>
        </w:rPr>
        <w:t xml:space="preserve"> mai </w:t>
      </w:r>
      <w:r w:rsidRPr="00887B27">
        <w:rPr>
          <w:noProof/>
        </w:rPr>
        <w:t>2021</w:t>
      </w:r>
      <w:r>
        <w:rPr>
          <w:noProof/>
        </w:rPr>
        <w:t xml:space="preserve">, une liste de </w:t>
      </w:r>
      <w:r w:rsidRPr="00887B27">
        <w:rPr>
          <w:noProof/>
        </w:rPr>
        <w:t>39</w:t>
      </w:r>
      <w:r>
        <w:rPr>
          <w:noProof/>
        </w:rPr>
        <w:t xml:space="preserve"> banques et entreprises d’investissement admises à faire partie de son réseau de spécialistes en titres publics. L’adhésion à celui-ci est ouverte en permanence aux membres de réseaux souverains ou d’autres réseaux de spécialistes en titres publics de l’UE. Au </w:t>
      </w:r>
      <w:r w:rsidRPr="00887B27">
        <w:rPr>
          <w:noProof/>
        </w:rPr>
        <w:t>31</w:t>
      </w:r>
      <w:r>
        <w:rPr>
          <w:noProof/>
        </w:rPr>
        <w:t xml:space="preserve"> décembre </w:t>
      </w:r>
      <w:r w:rsidRPr="00887B27">
        <w:rPr>
          <w:noProof/>
        </w:rPr>
        <w:t>2021</w:t>
      </w:r>
      <w:r>
        <w:rPr>
          <w:noProof/>
        </w:rPr>
        <w:t xml:space="preserve">, la Commission dénombrait </w:t>
      </w:r>
      <w:r w:rsidRPr="00887B27">
        <w:rPr>
          <w:noProof/>
        </w:rPr>
        <w:t>42</w:t>
      </w:r>
      <w:r>
        <w:rPr>
          <w:noProof/>
        </w:rPr>
        <w:t xml:space="preserve"> banques et entreprises d’investissement agissant en qualité de spécialistes en titres publics de l’UE, établies dans </w:t>
      </w:r>
      <w:r w:rsidRPr="00887B27">
        <w:rPr>
          <w:noProof/>
        </w:rPr>
        <w:t>12</w:t>
      </w:r>
      <w:r>
        <w:rPr>
          <w:noProof/>
        </w:rPr>
        <w:t xml:space="preserve"> États membres, présentant une diversité de modèles économiques – y compris tous les principaux acteurs du placement de dette souveraine et de dette SSA – et opérant dans le monde entier.</w:t>
      </w:r>
    </w:p>
    <w:p w:rsidR="008B6253" w:rsidRPr="00231F73" w:rsidRDefault="008B6253" w:rsidP="008B6253">
      <w:pPr>
        <w:spacing w:line="240" w:lineRule="auto"/>
        <w:jc w:val="both"/>
        <w:rPr>
          <w:noProof/>
        </w:rPr>
      </w:pPr>
      <w:r>
        <w:rPr>
          <w:noProof/>
        </w:rPr>
        <w:t xml:space="preserve">La Commission entretient un dialogue régulier avec les spécialistes en titres publics (notamment au moyen de retours d’information systématiques). Elle veille en outre à ce que la sélection des spécialistes en titres publics pour les opérations syndiquées repose sur l’application rigoureuse de critères quantitatifs et qualitatifs. Un facteur de rotation est en outre appliqué afin d’éviter que les mêmes banques soient toujours mandatées. </w:t>
      </w:r>
    </w:p>
    <w:p w:rsidR="008B6253" w:rsidRPr="00864D5D" w:rsidRDefault="008B6253" w:rsidP="008B6253">
      <w:pPr>
        <w:rPr>
          <w:b/>
          <w:noProof/>
        </w:rPr>
      </w:pPr>
      <w:r>
        <w:rPr>
          <w:b/>
          <w:noProof/>
        </w:rPr>
        <w:t>b) La mise en place d’une plateforme d’adjudication à la pointe</w:t>
      </w:r>
    </w:p>
    <w:p w:rsidR="008B6253" w:rsidRPr="00231F73" w:rsidRDefault="008B6253" w:rsidP="008B6253">
      <w:pPr>
        <w:spacing w:line="240" w:lineRule="auto"/>
        <w:jc w:val="both"/>
        <w:rPr>
          <w:noProof/>
        </w:rPr>
      </w:pPr>
      <w:r>
        <w:rPr>
          <w:noProof/>
        </w:rPr>
        <w:t xml:space="preserve">En </w:t>
      </w:r>
      <w:r w:rsidRPr="00887B27">
        <w:rPr>
          <w:noProof/>
        </w:rPr>
        <w:t>2021</w:t>
      </w:r>
      <w:r>
        <w:rPr>
          <w:noProof/>
        </w:rPr>
        <w:t xml:space="preserve">, la Commission a mis en place, avec le soutien de la Banque de France, une plateforme d’adjudication des obligations et des titres de créance à court terme de l’UE. Les spécialistes en titres publics ont été reliés au système TELSAT de la Banque de France dans le courant de l’été </w:t>
      </w:r>
      <w:r w:rsidRPr="00887B27">
        <w:rPr>
          <w:noProof/>
        </w:rPr>
        <w:t>2021</w:t>
      </w:r>
      <w:r>
        <w:rPr>
          <w:noProof/>
        </w:rPr>
        <w:t xml:space="preserve">, ce qui a permis à la Commission de lancer la première adjudication de titres de créance à court terme de l’UE le </w:t>
      </w:r>
      <w:r w:rsidRPr="00887B27">
        <w:rPr>
          <w:noProof/>
        </w:rPr>
        <w:t>15</w:t>
      </w:r>
      <w:r>
        <w:rPr>
          <w:noProof/>
        </w:rPr>
        <w:t xml:space="preserve"> septembre </w:t>
      </w:r>
      <w:r w:rsidRPr="00887B27">
        <w:rPr>
          <w:noProof/>
        </w:rPr>
        <w:t>2021</w:t>
      </w:r>
      <w:r>
        <w:rPr>
          <w:noProof/>
        </w:rPr>
        <w:t xml:space="preserve"> et la première adjudication obligataire le </w:t>
      </w:r>
      <w:r w:rsidRPr="00887B27">
        <w:rPr>
          <w:noProof/>
        </w:rPr>
        <w:t>27</w:t>
      </w:r>
      <w:r>
        <w:rPr>
          <w:noProof/>
        </w:rPr>
        <w:t xml:space="preserve"> septembre </w:t>
      </w:r>
      <w:r w:rsidRPr="00887B27">
        <w:rPr>
          <w:noProof/>
        </w:rPr>
        <w:t>2021</w:t>
      </w:r>
      <w:r>
        <w:rPr>
          <w:noProof/>
        </w:rPr>
        <w:t>.</w:t>
      </w:r>
    </w:p>
    <w:p w:rsidR="008B6253" w:rsidRPr="00231F73" w:rsidRDefault="008B6253" w:rsidP="008B6253">
      <w:pPr>
        <w:spacing w:line="240" w:lineRule="auto"/>
        <w:jc w:val="both"/>
        <w:rPr>
          <w:noProof/>
        </w:rPr>
      </w:pPr>
      <w:r>
        <w:rPr>
          <w:noProof/>
        </w:rPr>
        <w:t xml:space="preserve">Grâce à la plateforme, la Commission a pu établir un programme d’adjudications régulières, parallèlement à ses opérations syndiquées. </w:t>
      </w:r>
    </w:p>
    <w:p w:rsidR="008B6253" w:rsidRPr="00864D5D" w:rsidRDefault="008B6253" w:rsidP="008B6253">
      <w:pPr>
        <w:spacing w:line="240" w:lineRule="auto"/>
        <w:jc w:val="both"/>
        <w:rPr>
          <w:rStyle w:val="IntenseReference"/>
          <w:b w:val="0"/>
          <w:bCs w:val="0"/>
          <w:smallCaps w:val="0"/>
          <w:noProof/>
        </w:rPr>
      </w:pPr>
      <w:r>
        <w:rPr>
          <w:noProof/>
        </w:rPr>
        <w:t xml:space="preserve">Entre le </w:t>
      </w:r>
      <w:r w:rsidRPr="00887B27">
        <w:rPr>
          <w:noProof/>
        </w:rPr>
        <w:t>15</w:t>
      </w:r>
      <w:r>
        <w:rPr>
          <w:noProof/>
        </w:rPr>
        <w:t xml:space="preserve"> septembre et le </w:t>
      </w:r>
      <w:r w:rsidRPr="00887B27">
        <w:rPr>
          <w:noProof/>
        </w:rPr>
        <w:t>31</w:t>
      </w:r>
      <w:r>
        <w:rPr>
          <w:noProof/>
        </w:rPr>
        <w:t xml:space="preserve"> décembre </w:t>
      </w:r>
      <w:r w:rsidRPr="00887B27">
        <w:rPr>
          <w:noProof/>
        </w:rPr>
        <w:t>2021</w:t>
      </w:r>
      <w:r>
        <w:rPr>
          <w:noProof/>
        </w:rPr>
        <w:t xml:space="preserve">, elle a ainsi organisé sept adjudications de titres de créance à court terme de l’UE, ce qui lui a permis de lever </w:t>
      </w:r>
      <w:r w:rsidRPr="00887B27">
        <w:rPr>
          <w:noProof/>
        </w:rPr>
        <w:t>25</w:t>
      </w:r>
      <w:r>
        <w:rPr>
          <w:noProof/>
        </w:rPr>
        <w:t xml:space="preserve"> milliards d’EUR sous forme de titres de créance à court terme de l’UE à </w:t>
      </w:r>
      <w:r w:rsidRPr="00887B27">
        <w:rPr>
          <w:noProof/>
        </w:rPr>
        <w:t>3</w:t>
      </w:r>
      <w:r>
        <w:rPr>
          <w:noProof/>
        </w:rPr>
        <w:t xml:space="preserve"> mois et à </w:t>
      </w:r>
      <w:r w:rsidRPr="00887B27">
        <w:rPr>
          <w:noProof/>
        </w:rPr>
        <w:t>6</w:t>
      </w:r>
      <w:r>
        <w:rPr>
          <w:noProof/>
        </w:rPr>
        <w:t xml:space="preserve"> mois, dont une partie équivalant à </w:t>
      </w:r>
      <w:r w:rsidRPr="00887B27">
        <w:rPr>
          <w:noProof/>
        </w:rPr>
        <w:t>5</w:t>
      </w:r>
      <w:r>
        <w:rPr>
          <w:noProof/>
        </w:rPr>
        <w:t> milliards d’EUR est arrivée à échéance en décembre </w:t>
      </w:r>
      <w:r w:rsidRPr="00887B27">
        <w:rPr>
          <w:noProof/>
        </w:rPr>
        <w:t>2021</w:t>
      </w:r>
      <w:r>
        <w:rPr>
          <w:noProof/>
        </w:rPr>
        <w:t xml:space="preserve">. La Commission a en outre levé </w:t>
      </w:r>
      <w:r w:rsidRPr="00887B27">
        <w:rPr>
          <w:noProof/>
        </w:rPr>
        <w:t>5</w:t>
      </w:r>
      <w:r>
        <w:rPr>
          <w:noProof/>
        </w:rPr>
        <w:t> milliards d’EUR grâce à deux adjudications obligataires.</w:t>
      </w:r>
    </w:p>
    <w:p w:rsidR="008B6253" w:rsidRPr="00864D5D" w:rsidRDefault="008B6253" w:rsidP="008B6253">
      <w:pPr>
        <w:pStyle w:val="Subtitle"/>
        <w:jc w:val="left"/>
        <w:rPr>
          <w:rStyle w:val="IntenseReference"/>
          <w:rFonts w:ascii="Times New Roman" w:hAnsi="Times New Roman"/>
          <w:b w:val="0"/>
          <w:bCs w:val="0"/>
          <w:noProof/>
        </w:rPr>
      </w:pPr>
      <w:bookmarkStart w:id="14" w:name="_Toc93069261"/>
      <w:bookmarkStart w:id="15" w:name="_Toc95738338"/>
      <w:r w:rsidRPr="00887B27">
        <w:rPr>
          <w:rStyle w:val="IntenseReference"/>
          <w:rFonts w:ascii="Times New Roman" w:hAnsi="Times New Roman"/>
          <w:noProof/>
          <w:color w:val="auto"/>
        </w:rPr>
        <w:t>3</w:t>
      </w:r>
      <w:r>
        <w:rPr>
          <w:rStyle w:val="IntenseReference"/>
          <w:rFonts w:ascii="Times New Roman" w:hAnsi="Times New Roman"/>
          <w:noProof/>
          <w:color w:val="auto"/>
        </w:rPr>
        <w:t>.</w:t>
      </w:r>
      <w:r w:rsidRPr="00887B27">
        <w:rPr>
          <w:rStyle w:val="IntenseReference"/>
          <w:rFonts w:ascii="Times New Roman" w:hAnsi="Times New Roman"/>
          <w:noProof/>
          <w:color w:val="auto"/>
        </w:rPr>
        <w:t>5</w:t>
      </w:r>
      <w:r>
        <w:rPr>
          <w:noProof/>
        </w:rPr>
        <w:tab/>
      </w:r>
      <w:r>
        <w:rPr>
          <w:rFonts w:ascii="Times New Roman" w:hAnsi="Times New Roman"/>
          <w:b/>
          <w:noProof/>
        </w:rPr>
        <w:t>Des systèmes solides de gouvernance et de gestion des risques</w:t>
      </w:r>
      <w:bookmarkEnd w:id="14"/>
      <w:bookmarkEnd w:id="15"/>
    </w:p>
    <w:p w:rsidR="008B6253" w:rsidRPr="00231F73" w:rsidRDefault="008B6253" w:rsidP="008B6253">
      <w:pPr>
        <w:spacing w:line="240" w:lineRule="auto"/>
        <w:jc w:val="both"/>
        <w:rPr>
          <w:noProof/>
        </w:rPr>
      </w:pPr>
      <w:r>
        <w:rPr>
          <w:noProof/>
        </w:rPr>
        <w:t>La Commission a mis en place un cadre de gouvernance clair et solide pour structurer les processus décisionnels essentiels (décision d’emprunt annuelle, par exemple) ainsi que les modalités (plan de financement) et les capacités de mise en œuvre (opérations syndiquées et adjudications, par exemple) des opérations de financement et pour garantir une supervision solide et indépendante. Ces aspects ont été abordés ci-dessus.</w:t>
      </w:r>
    </w:p>
    <w:p w:rsidR="008B6253" w:rsidRPr="00231F73" w:rsidRDefault="008B6253" w:rsidP="008B6253">
      <w:pPr>
        <w:spacing w:line="240" w:lineRule="auto"/>
        <w:jc w:val="both"/>
        <w:rPr>
          <w:noProof/>
        </w:rPr>
      </w:pPr>
      <w:r>
        <w:rPr>
          <w:noProof/>
        </w:rPr>
        <w:t xml:space="preserve">La nécessité de cerner, de réduire au minimum et de maîtriser les risques résiduels est intégrée dans tous les processus opérationnels clés du programme de financement NextGenerationEU. Le recours à une stratégie de financement diversifiée est en soi un moyen d’atténuer les risques de ne pas parvenir à financer les besoins du plan de relance en temps utile ou à des conditions raisonnables. Pour veiller à ce que la réduction des risques fasse l’objet d’une attention constante et rigoureuse, la Commission a nommé un directeur des risques et un responsable de la conformité, a mis sur pied un comité de gestion des risques et de la conformité chargé d’assister le directeur des risques et a adopté une politique de haut niveau en matière de risques et de conformité. </w:t>
      </w:r>
    </w:p>
    <w:p w:rsidR="008B6253" w:rsidRPr="00864D5D" w:rsidRDefault="008B6253" w:rsidP="008B6253">
      <w:pPr>
        <w:spacing w:line="240" w:lineRule="auto"/>
        <w:jc w:val="both"/>
        <w:rPr>
          <w:rStyle w:val="IntenseReference"/>
          <w:b w:val="0"/>
          <w:bCs w:val="0"/>
          <w:smallCaps w:val="0"/>
          <w:noProof/>
        </w:rPr>
      </w:pPr>
      <w:r>
        <w:rPr>
          <w:noProof/>
        </w:rPr>
        <w:t xml:space="preserve">Le directeur des risques a été nommé par la Commission en juin </w:t>
      </w:r>
      <w:r w:rsidRPr="00887B27">
        <w:rPr>
          <w:noProof/>
        </w:rPr>
        <w:t>2021</w:t>
      </w:r>
      <w:r>
        <w:rPr>
          <w:noProof/>
        </w:rPr>
        <w:t xml:space="preserve">, pour une entrée en fonction le </w:t>
      </w:r>
      <w:r w:rsidRPr="00887B27">
        <w:rPr>
          <w:noProof/>
        </w:rPr>
        <w:t>1</w:t>
      </w:r>
      <w:r>
        <w:rPr>
          <w:noProof/>
          <w:vertAlign w:val="superscript"/>
        </w:rPr>
        <w:t>er</w:t>
      </w:r>
      <w:r>
        <w:rPr>
          <w:noProof/>
        </w:rPr>
        <w:t xml:space="preserve"> septembre </w:t>
      </w:r>
      <w:r w:rsidRPr="00887B27">
        <w:rPr>
          <w:noProof/>
        </w:rPr>
        <w:t>2021</w:t>
      </w:r>
      <w:r>
        <w:rPr>
          <w:noProof/>
        </w:rPr>
        <w:t xml:space="preserve">. Le directeur des risques a élaboré une politique de haut niveau en matière de risques et de conformité, qui a été entérinée par le comité de gestion des risques et de la conformité et approuvée par le commissaire au budget et à l’administration, M. Johannes Hahn, le </w:t>
      </w:r>
      <w:r w:rsidRPr="00887B27">
        <w:rPr>
          <w:noProof/>
        </w:rPr>
        <w:t>1</w:t>
      </w:r>
      <w:r>
        <w:rPr>
          <w:noProof/>
          <w:vertAlign w:val="superscript"/>
        </w:rPr>
        <w:t>er</w:t>
      </w:r>
      <w:r>
        <w:rPr>
          <w:noProof/>
        </w:rPr>
        <w:t xml:space="preserve"> décembre </w:t>
      </w:r>
      <w:r w:rsidRPr="00887B27">
        <w:rPr>
          <w:noProof/>
        </w:rPr>
        <w:t>2021</w:t>
      </w:r>
      <w:r>
        <w:rPr>
          <w:noProof/>
        </w:rPr>
        <w:t>. Cette politique comprend un cadre de gestion des risques et de conformité adapté pour la surveillance des risques et des problèmes de conformité qui découlent de l’exécution des opérations d’emprunt, de gestion de la dette et de prêt dans le cadre de NextGenerationEU, et définit des mesures d’atténuation et des procédures de suivi appropriées. Le directeur des risques veille à ce que la politique soit mise en œuvre de manière globale et cohérente et rend compte annuellement à la Commission de cette mise en œuvre.</w:t>
      </w:r>
    </w:p>
    <w:p w:rsidR="008B6253" w:rsidRDefault="008B6253" w:rsidP="008B6253">
      <w:pPr>
        <w:pStyle w:val="Subtitle"/>
        <w:jc w:val="left"/>
        <w:rPr>
          <w:rFonts w:ascii="Times New Roman" w:eastAsiaTheme="majorEastAsia" w:hAnsi="Times New Roman"/>
          <w:b/>
          <w:noProof/>
        </w:rPr>
      </w:pPr>
      <w:bookmarkStart w:id="16" w:name="_Toc93069262"/>
      <w:bookmarkStart w:id="17" w:name="_Toc95738339"/>
      <w:r w:rsidRPr="00887B27">
        <w:rPr>
          <w:rStyle w:val="IntenseReference"/>
          <w:rFonts w:ascii="Times New Roman" w:hAnsi="Times New Roman"/>
          <w:noProof/>
          <w:color w:val="auto"/>
        </w:rPr>
        <w:t>3</w:t>
      </w:r>
      <w:r>
        <w:rPr>
          <w:rStyle w:val="IntenseReference"/>
          <w:rFonts w:ascii="Times New Roman" w:hAnsi="Times New Roman"/>
          <w:noProof/>
          <w:color w:val="auto"/>
        </w:rPr>
        <w:t>.</w:t>
      </w:r>
      <w:r w:rsidRPr="00887B27">
        <w:rPr>
          <w:rStyle w:val="IntenseReference"/>
          <w:rFonts w:ascii="Times New Roman" w:hAnsi="Times New Roman"/>
          <w:noProof/>
          <w:color w:val="auto"/>
        </w:rPr>
        <w:t>6</w:t>
      </w:r>
      <w:r>
        <w:rPr>
          <w:noProof/>
        </w:rPr>
        <w:tab/>
      </w:r>
      <w:r>
        <w:rPr>
          <w:rFonts w:ascii="Times New Roman" w:hAnsi="Times New Roman"/>
          <w:b/>
          <w:noProof/>
        </w:rPr>
        <w:t>Des solutions de back office, de paiement et de comptabilité adaptées aux objectifs</w:t>
      </w:r>
      <w:bookmarkEnd w:id="16"/>
      <w:bookmarkEnd w:id="17"/>
    </w:p>
    <w:p w:rsidR="008B6253" w:rsidRPr="004D27D4" w:rsidRDefault="008B6253" w:rsidP="008B6253">
      <w:pPr>
        <w:jc w:val="both"/>
        <w:rPr>
          <w:noProof/>
        </w:rPr>
      </w:pPr>
      <w:bookmarkStart w:id="18" w:name="_Toc93069263"/>
      <w:r>
        <w:rPr>
          <w:noProof/>
        </w:rPr>
        <w:t>La Commission a renforcé ses fonctions de back-office et de comptabilité, de façon à garantir l’exécution efficace ainsi que la vérifiabilité et l’imputabilité de toutes les opérations. En particulier:</w:t>
      </w:r>
      <w:bookmarkEnd w:id="18"/>
    </w:p>
    <w:p w:rsidR="008B6253" w:rsidRPr="00231F73" w:rsidRDefault="008B6253" w:rsidP="008B6253">
      <w:pPr>
        <w:pStyle w:val="ListParagraph"/>
        <w:numPr>
          <w:ilvl w:val="0"/>
          <w:numId w:val="1"/>
        </w:numPr>
        <w:spacing w:after="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La Commission a adapté en temps utile son système d’enregistrement et de comptabilisation des transactions, de sorte que toutes les opérations d’emprunt et de prêt y sont correctement consignées depuis le début des opérations de financement de NextGenerationEU, en juin </w:t>
      </w:r>
      <w:r w:rsidRPr="00887B27">
        <w:rPr>
          <w:rFonts w:ascii="Times New Roman" w:hAnsi="Times New Roman"/>
          <w:noProof/>
          <w:sz w:val="24"/>
          <w:szCs w:val="24"/>
        </w:rPr>
        <w:t>2021</w:t>
      </w:r>
      <w:r>
        <w:rPr>
          <w:rFonts w:ascii="Times New Roman" w:hAnsi="Times New Roman"/>
          <w:noProof/>
          <w:sz w:val="24"/>
          <w:szCs w:val="24"/>
        </w:rPr>
        <w:t>.</w:t>
      </w:r>
    </w:p>
    <w:p w:rsidR="008B6253" w:rsidRPr="00231F73" w:rsidRDefault="008B6253" w:rsidP="008B6253">
      <w:pPr>
        <w:pStyle w:val="ListParagraph"/>
        <w:numPr>
          <w:ilvl w:val="0"/>
          <w:numId w:val="1"/>
        </w:numPr>
        <w:spacing w:after="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En collaboration avec la BCE, la Commission a intégré les données des États membres dans les systèmes de paiement puis a testé ces systèmes avec les États membres, afin que tous les paiements effectués en faveur de ces derniers puissent être traités d’une manière sûre, rapidement et à tout moment. </w:t>
      </w:r>
    </w:p>
    <w:p w:rsidR="008B6253" w:rsidRPr="00231F73" w:rsidRDefault="008B6253" w:rsidP="008B6253">
      <w:pPr>
        <w:pStyle w:val="ListParagraph"/>
        <w:numPr>
          <w:ilvl w:val="0"/>
          <w:numId w:val="1"/>
        </w:numPr>
        <w:spacing w:after="0" w:line="240" w:lineRule="auto"/>
        <w:contextualSpacing w:val="0"/>
        <w:jc w:val="both"/>
        <w:rPr>
          <w:rFonts w:ascii="Times New Roman" w:hAnsi="Times New Roman" w:cs="Times New Roman"/>
          <w:noProof/>
          <w:sz w:val="24"/>
          <w:szCs w:val="24"/>
        </w:rPr>
      </w:pPr>
      <w:r>
        <w:rPr>
          <w:rFonts w:ascii="Times New Roman" w:hAnsi="Times New Roman"/>
          <w:noProof/>
          <w:sz w:val="24"/>
          <w:szCs w:val="24"/>
        </w:rPr>
        <w:t xml:space="preserve">Le </w:t>
      </w:r>
      <w:r w:rsidRPr="00887B27">
        <w:rPr>
          <w:rFonts w:ascii="Times New Roman" w:hAnsi="Times New Roman"/>
          <w:noProof/>
          <w:sz w:val="24"/>
          <w:szCs w:val="24"/>
        </w:rPr>
        <w:t>4</w:t>
      </w:r>
      <w:r>
        <w:rPr>
          <w:rFonts w:ascii="Times New Roman" w:hAnsi="Times New Roman"/>
          <w:noProof/>
          <w:sz w:val="24"/>
          <w:szCs w:val="24"/>
        </w:rPr>
        <w:t> juin </w:t>
      </w:r>
      <w:r w:rsidRPr="00887B27">
        <w:rPr>
          <w:rFonts w:ascii="Times New Roman" w:hAnsi="Times New Roman"/>
          <w:noProof/>
          <w:sz w:val="24"/>
          <w:szCs w:val="24"/>
        </w:rPr>
        <w:t>2021</w:t>
      </w:r>
      <w:r>
        <w:rPr>
          <w:rFonts w:ascii="Times New Roman" w:hAnsi="Times New Roman"/>
          <w:noProof/>
          <w:sz w:val="24"/>
          <w:szCs w:val="24"/>
        </w:rPr>
        <w:t>, la Commission a mis à jour le programme d’émission de l’UE et d’Euratom afin d’y inclure, entre autres, les adjudications.</w:t>
      </w:r>
    </w:p>
    <w:p w:rsidR="008B6253" w:rsidRPr="00231F73" w:rsidRDefault="008B6253" w:rsidP="008B6253">
      <w:pPr>
        <w:pStyle w:val="ListParagraph"/>
        <w:numPr>
          <w:ilvl w:val="0"/>
          <w:numId w:val="1"/>
        </w:numPr>
        <w:spacing w:after="0" w:line="240" w:lineRule="auto"/>
        <w:contextualSpacing w:val="0"/>
        <w:jc w:val="both"/>
        <w:rPr>
          <w:rFonts w:ascii="Times New Roman" w:hAnsi="Times New Roman" w:cs="Times New Roman"/>
          <w:noProof/>
          <w:sz w:val="24"/>
          <w:szCs w:val="24"/>
        </w:rPr>
      </w:pPr>
      <w:r>
        <w:rPr>
          <w:rFonts w:ascii="Times New Roman" w:hAnsi="Times New Roman"/>
          <w:noProof/>
          <w:sz w:val="24"/>
          <w:szCs w:val="24"/>
        </w:rPr>
        <w:t xml:space="preserve">En concertation avec son agent émetteur, la Commission a instauré de nouvelles procédures pour les adjudications, ce qui a permis le règlement sans heurts de toutes les opérations de marché primaire à la date prévue. </w:t>
      </w:r>
    </w:p>
    <w:p w:rsidR="008B6253" w:rsidRPr="00864D5D" w:rsidRDefault="008B6253" w:rsidP="008B6253">
      <w:pPr>
        <w:pStyle w:val="ListParagraph"/>
        <w:numPr>
          <w:ilvl w:val="0"/>
          <w:numId w:val="1"/>
        </w:numPr>
        <w:spacing w:after="240" w:line="240" w:lineRule="auto"/>
        <w:ind w:left="714" w:hanging="357"/>
        <w:contextualSpacing w:val="0"/>
        <w:jc w:val="both"/>
        <w:rPr>
          <w:rStyle w:val="IntenseReference"/>
          <w:rFonts w:ascii="Times New Roman" w:hAnsi="Times New Roman" w:cs="Times New Roman"/>
          <w:b w:val="0"/>
          <w:bCs w:val="0"/>
          <w:smallCaps w:val="0"/>
          <w:noProof/>
          <w:sz w:val="24"/>
          <w:szCs w:val="24"/>
        </w:rPr>
      </w:pPr>
      <w:r>
        <w:rPr>
          <w:rFonts w:ascii="Times New Roman" w:hAnsi="Times New Roman"/>
          <w:noProof/>
          <w:sz w:val="24"/>
          <w:szCs w:val="24"/>
        </w:rPr>
        <w:t>La Commission a adapté le système de comptabilisation afin que les états financiers puissent être établis correctement et vérifiés en temps utile par l’auditeur externe.</w:t>
      </w:r>
    </w:p>
    <w:p w:rsidR="008B6253" w:rsidRPr="00864D5D" w:rsidRDefault="008B6253" w:rsidP="008B6253">
      <w:pPr>
        <w:pStyle w:val="Subtitle"/>
        <w:jc w:val="left"/>
        <w:rPr>
          <w:rStyle w:val="IntenseReference"/>
          <w:rFonts w:ascii="Times New Roman" w:hAnsi="Times New Roman"/>
          <w:b w:val="0"/>
          <w:bCs w:val="0"/>
          <w:noProof/>
        </w:rPr>
      </w:pPr>
      <w:bookmarkStart w:id="19" w:name="_Toc93069264"/>
      <w:bookmarkStart w:id="20" w:name="_Toc95738340"/>
      <w:r w:rsidRPr="00887B27">
        <w:rPr>
          <w:rStyle w:val="IntenseReference"/>
          <w:rFonts w:ascii="Times New Roman" w:hAnsi="Times New Roman"/>
          <w:noProof/>
          <w:color w:val="auto"/>
        </w:rPr>
        <w:t>3</w:t>
      </w:r>
      <w:r>
        <w:rPr>
          <w:rStyle w:val="IntenseReference"/>
          <w:rFonts w:ascii="Times New Roman" w:hAnsi="Times New Roman"/>
          <w:noProof/>
          <w:color w:val="auto"/>
        </w:rPr>
        <w:t>.</w:t>
      </w:r>
      <w:r w:rsidRPr="00887B27">
        <w:rPr>
          <w:rStyle w:val="IntenseReference"/>
          <w:rFonts w:ascii="Times New Roman" w:hAnsi="Times New Roman"/>
          <w:noProof/>
          <w:color w:val="auto"/>
        </w:rPr>
        <w:t>7</w:t>
      </w:r>
      <w:r>
        <w:rPr>
          <w:noProof/>
        </w:rPr>
        <w:tab/>
      </w:r>
      <w:r>
        <w:rPr>
          <w:rFonts w:ascii="Times New Roman" w:hAnsi="Times New Roman"/>
          <w:b/>
          <w:noProof/>
        </w:rPr>
        <w:t>Des prêts au titre de la facilité pour la reprise et la résilience à des conditions attrayantes</w:t>
      </w:r>
      <w:bookmarkEnd w:id="19"/>
      <w:bookmarkEnd w:id="20"/>
    </w:p>
    <w:p w:rsidR="008B6253" w:rsidRPr="00231F73" w:rsidRDefault="008B6253" w:rsidP="008B6253">
      <w:pPr>
        <w:spacing w:line="240" w:lineRule="auto"/>
        <w:jc w:val="both"/>
        <w:rPr>
          <w:noProof/>
        </w:rPr>
      </w:pPr>
      <w:r>
        <w:rPr>
          <w:noProof/>
        </w:rPr>
        <w:t xml:space="preserve">Dans le cadre de NextGenerationEU, la Commission est habilitée à émettre jusqu’à </w:t>
      </w:r>
      <w:r w:rsidRPr="00887B27">
        <w:rPr>
          <w:noProof/>
        </w:rPr>
        <w:t>385</w:t>
      </w:r>
      <w:r>
        <w:rPr>
          <w:noProof/>
        </w:rPr>
        <w:t xml:space="preserve"> milliards d’EUR pour le financement de prêts au titre de la facilité pour la reprise et la résilience (FRR) aux États membres. À la fin de </w:t>
      </w:r>
      <w:r w:rsidRPr="00887B27">
        <w:rPr>
          <w:noProof/>
        </w:rPr>
        <w:t>2021</w:t>
      </w:r>
      <w:r>
        <w:rPr>
          <w:noProof/>
        </w:rPr>
        <w:t xml:space="preserve">, près de </w:t>
      </w:r>
      <w:r w:rsidRPr="00887B27">
        <w:rPr>
          <w:noProof/>
        </w:rPr>
        <w:t>40</w:t>
      </w:r>
      <w:r>
        <w:rPr>
          <w:noProof/>
        </w:rPr>
        <w:t> % de l’enveloppe totale des prêts au titre de la FRR avaient été alloués à six États membres</w:t>
      </w:r>
      <w:r>
        <w:rPr>
          <w:rStyle w:val="FootnoteReference"/>
          <w:noProof/>
        </w:rPr>
        <w:footnoteReference w:id="15"/>
      </w:r>
      <w:r>
        <w:rPr>
          <w:noProof/>
        </w:rPr>
        <w:t xml:space="preserve"> dont les demandes avaient été approuvées. Les États membres peuvent demander un soutien sous forme de prêt jusqu’au </w:t>
      </w:r>
      <w:r w:rsidRPr="00887B27">
        <w:rPr>
          <w:noProof/>
        </w:rPr>
        <w:t>31</w:t>
      </w:r>
      <w:r>
        <w:rPr>
          <w:noProof/>
        </w:rPr>
        <w:t xml:space="preserve"> août </w:t>
      </w:r>
      <w:r w:rsidRPr="00887B27">
        <w:rPr>
          <w:noProof/>
        </w:rPr>
        <w:t>2023</w:t>
      </w:r>
      <w:r>
        <w:rPr>
          <w:noProof/>
        </w:rPr>
        <w:t xml:space="preserve">. </w:t>
      </w:r>
    </w:p>
    <w:p w:rsidR="008B6253" w:rsidRPr="00231F73" w:rsidRDefault="008B6253" w:rsidP="008B6253">
      <w:pPr>
        <w:spacing w:line="240" w:lineRule="auto"/>
        <w:jc w:val="both"/>
        <w:rPr>
          <w:noProof/>
        </w:rPr>
      </w:pPr>
      <w:r>
        <w:rPr>
          <w:noProof/>
        </w:rPr>
        <w:t xml:space="preserve">Ces prêts étaient proposés à des conditions extrêmement avantageuses, grâce aux émissions très bien notées de l’UE et à une forte demande des investisseurs (les syndications obligataires ont été sursouscrites de </w:t>
      </w:r>
      <w:r w:rsidRPr="00887B27">
        <w:rPr>
          <w:noProof/>
        </w:rPr>
        <w:t>7</w:t>
      </w:r>
      <w:r>
        <w:rPr>
          <w:noProof/>
        </w:rPr>
        <w:t xml:space="preserve"> à près de </w:t>
      </w:r>
      <w:r w:rsidRPr="00887B27">
        <w:rPr>
          <w:noProof/>
        </w:rPr>
        <w:t>14</w:t>
      </w:r>
      <w:r>
        <w:rPr>
          <w:noProof/>
        </w:rPr>
        <w:t xml:space="preserve"> fois). D’autres conditions consenties aux États membres emprunteurs visent également à faire de ces prêts une source attrayante de financement public. Ainsi, les États membres procéderont à des remboursements amortis après une période de grâce de dix ans, ce qui leur permettra de tirer parti de la croissance amorcée par les réformes et les investissements accomplis avant de commencer à rembourser les prêts. Au terme de la période de grâce initiale, les États membres procéderont à des remboursements annuels correspondant à </w:t>
      </w:r>
      <w:r w:rsidRPr="00887B27">
        <w:rPr>
          <w:noProof/>
        </w:rPr>
        <w:t>5</w:t>
      </w:r>
      <w:r>
        <w:rPr>
          <w:noProof/>
        </w:rPr>
        <w:t xml:space="preserve"> % des montants décaissés. Cet étalement dans le temps des paiements permettra d’éviter les pics de remboursement, tant pour le budget de l’UE que pour les États membres. Cette méthode de structuration des prêts sera appliquée de la même manière pour tous les États membres bénéficiaires. </w:t>
      </w:r>
    </w:p>
    <w:p w:rsidR="008B6253" w:rsidRDefault="008B6253" w:rsidP="008B6253">
      <w:pPr>
        <w:spacing w:line="240" w:lineRule="auto"/>
        <w:jc w:val="both"/>
        <w:rPr>
          <w:noProof/>
        </w:rPr>
      </w:pPr>
      <w:r>
        <w:rPr>
          <w:noProof/>
        </w:rPr>
        <w:t xml:space="preserve">En juillet </w:t>
      </w:r>
      <w:r w:rsidRPr="00887B27">
        <w:rPr>
          <w:noProof/>
        </w:rPr>
        <w:t>2021</w:t>
      </w:r>
      <w:r>
        <w:rPr>
          <w:noProof/>
        </w:rPr>
        <w:t>, la Commission a publié une décision</w:t>
      </w:r>
      <w:r>
        <w:rPr>
          <w:rStyle w:val="FootnoteReference"/>
          <w:noProof/>
        </w:rPr>
        <w:footnoteReference w:id="16"/>
      </w:r>
      <w:r>
        <w:rPr>
          <w:noProof/>
        </w:rPr>
        <w:t xml:space="preserve"> établissant la méthode de répartition des coûts liés à la réserve de financement de NextGenerationEU entre les États membres bénéficiaires de prêts au titre de la FRR et le budget de l’UE. Cette répartition s’effectue sur la base de la part relative du soutien reçu par les États membres emprunteurs et par le budget de l’UE. Cette méthode de répartition des coûts et sa mise en œuvre permettront de disposer d’une base objective, équitable et clairement documentée pour le calcul et l’affectation au budget de l’UE ou aux États membres bénéficiaires de prêts FRR de la part des coûts globaux leur revenant.</w:t>
      </w:r>
    </w:p>
    <w:p w:rsidR="008B6253" w:rsidRPr="00864D5D" w:rsidRDefault="008B6253" w:rsidP="008B6253">
      <w:pPr>
        <w:pStyle w:val="Subtitle"/>
        <w:jc w:val="left"/>
        <w:rPr>
          <w:rStyle w:val="IntenseReference"/>
          <w:rFonts w:ascii="Times New Roman" w:hAnsi="Times New Roman"/>
          <w:b w:val="0"/>
          <w:bCs w:val="0"/>
          <w:noProof/>
        </w:rPr>
      </w:pPr>
      <w:bookmarkStart w:id="21" w:name="_Toc93069265"/>
      <w:bookmarkStart w:id="22" w:name="_Toc95738341"/>
      <w:r w:rsidRPr="00887B27">
        <w:rPr>
          <w:rStyle w:val="IntenseReference"/>
          <w:rFonts w:ascii="Times New Roman" w:hAnsi="Times New Roman"/>
          <w:noProof/>
          <w:color w:val="auto"/>
        </w:rPr>
        <w:t>3</w:t>
      </w:r>
      <w:r>
        <w:rPr>
          <w:rStyle w:val="IntenseReference"/>
          <w:rFonts w:ascii="Times New Roman" w:hAnsi="Times New Roman"/>
          <w:noProof/>
          <w:color w:val="auto"/>
        </w:rPr>
        <w:t>.</w:t>
      </w:r>
      <w:r w:rsidRPr="00887B27">
        <w:rPr>
          <w:rStyle w:val="IntenseReference"/>
          <w:rFonts w:ascii="Times New Roman" w:hAnsi="Times New Roman"/>
          <w:noProof/>
          <w:color w:val="auto"/>
        </w:rPr>
        <w:t>8</w:t>
      </w:r>
      <w:r>
        <w:rPr>
          <w:noProof/>
        </w:rPr>
        <w:tab/>
      </w:r>
      <w:r>
        <w:rPr>
          <w:rFonts w:ascii="Times New Roman" w:hAnsi="Times New Roman"/>
          <w:b/>
          <w:noProof/>
        </w:rPr>
        <w:t>L’efficacité dans la communication et les relations avec les investisseurs</w:t>
      </w:r>
      <w:bookmarkEnd w:id="21"/>
      <w:bookmarkEnd w:id="22"/>
    </w:p>
    <w:p w:rsidR="008B6253" w:rsidRPr="00231F73" w:rsidRDefault="008B6253" w:rsidP="008B6253">
      <w:pPr>
        <w:spacing w:line="240" w:lineRule="auto"/>
        <w:jc w:val="both"/>
        <w:rPr>
          <w:noProof/>
        </w:rPr>
      </w:pPr>
      <w:r>
        <w:rPr>
          <w:noProof/>
        </w:rPr>
        <w:t>Dès le début des opérations de financement de NextGenerationEU, la Commission a élaboré une stratégie globale en matière de relations avec les investisseurs et une série d’outils permettant d’accéder à sa base d’investisseurs:</w:t>
      </w:r>
    </w:p>
    <w:p w:rsidR="008B6253" w:rsidRPr="00231F73" w:rsidRDefault="008B6253" w:rsidP="008B6253">
      <w:pPr>
        <w:pStyle w:val="ListParagraph"/>
        <w:numPr>
          <w:ilvl w:val="0"/>
          <w:numId w:val="1"/>
        </w:numPr>
        <w:spacing w:after="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Le jour de la présentation de sa stratégie de financement diversifiée, la Commission a inauguré un site web complet</w:t>
      </w:r>
      <w:r>
        <w:rPr>
          <w:rStyle w:val="FootnoteReference"/>
          <w:rFonts w:ascii="Times New Roman" w:hAnsi="Times New Roman" w:cs="Times New Roman"/>
          <w:noProof/>
          <w:lang w:val="en-IE"/>
        </w:rPr>
        <w:footnoteReference w:id="17"/>
      </w:r>
      <w:r>
        <w:rPr>
          <w:rFonts w:ascii="Times New Roman" w:hAnsi="Times New Roman"/>
          <w:noProof/>
          <w:sz w:val="24"/>
          <w:szCs w:val="24"/>
        </w:rPr>
        <w:t xml:space="preserve"> destiné à informer toutes les parties intéressées, le grand public et les investisseurs de ses opérations de financement.</w:t>
      </w:r>
    </w:p>
    <w:p w:rsidR="008B6253" w:rsidRPr="00231F73" w:rsidRDefault="008B6253" w:rsidP="008B6253">
      <w:pPr>
        <w:pStyle w:val="ListParagraph"/>
        <w:numPr>
          <w:ilvl w:val="0"/>
          <w:numId w:val="1"/>
        </w:numPr>
        <w:spacing w:after="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La Commission a également lancé la publication d’une lettre d’information intitulée «EU borrowing for the recovery» (les emprunts de l’UE pour la relance), qui lui permet de communiquer avec la communauté des investisseurs de manière régulière et transparente. Les deux premiers numéros de cette lettre d’information sont disponibles en ligne sur le site web «L’UE en tant qu’emprunteur», et toute personne intéressée peut s’y abonner.</w:t>
      </w:r>
    </w:p>
    <w:p w:rsidR="008B6253" w:rsidRPr="00231F73" w:rsidRDefault="008B6253" w:rsidP="008B6253">
      <w:pPr>
        <w:pStyle w:val="ListParagraph"/>
        <w:numPr>
          <w:ilvl w:val="0"/>
          <w:numId w:val="1"/>
        </w:numPr>
        <w:spacing w:after="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La Commission est allée à la rencontre des investisseurs du monde entier en organisant des tournées promotionnelles («road shows»), elle a lancé des appels aux investisseurs au niveau international en juin et en septembre </w:t>
      </w:r>
      <w:r w:rsidRPr="00887B27">
        <w:rPr>
          <w:rFonts w:ascii="Times New Roman" w:hAnsi="Times New Roman"/>
          <w:noProof/>
          <w:sz w:val="24"/>
          <w:szCs w:val="24"/>
        </w:rPr>
        <w:t>2021</w:t>
      </w:r>
      <w:r>
        <w:rPr>
          <w:rFonts w:ascii="Times New Roman" w:hAnsi="Times New Roman"/>
          <w:noProof/>
          <w:sz w:val="24"/>
          <w:szCs w:val="24"/>
        </w:rPr>
        <w:t xml:space="preserve"> et a convoqué trois réunions du réseau des spécialistes en titres publics.</w:t>
      </w:r>
    </w:p>
    <w:p w:rsidR="008B6253" w:rsidRPr="00231F73" w:rsidRDefault="008B6253" w:rsidP="008B6253">
      <w:pPr>
        <w:pStyle w:val="ListParagraph"/>
        <w:numPr>
          <w:ilvl w:val="0"/>
          <w:numId w:val="1"/>
        </w:numPr>
        <w:spacing w:after="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La Commission dispose de son propre espace sur le terminal Bloomberg, dans lequel elle informe en temps réel la communauté des investisseurs de ses adjudications. </w:t>
      </w:r>
    </w:p>
    <w:p w:rsidR="008B6253" w:rsidRPr="00231F73" w:rsidRDefault="008B6253" w:rsidP="008B6253">
      <w:pPr>
        <w:pStyle w:val="ListParagraph"/>
        <w:numPr>
          <w:ilvl w:val="0"/>
          <w:numId w:val="1"/>
        </w:numPr>
        <w:spacing w:after="0" w:line="240" w:lineRule="auto"/>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Afin de tenir le grand public au courant de ses travaux, la Commission élabore et diffuse régulièrement du matériel de presse – toujours disponible en ligne sur son site web – et fournit des informations en temps réel sur les médias sociaux – Twitter, LinkedIn. Le commissaire Johannes Hahn et des experts de la Commission européenne se sont adressés à la presse à de multiples reprises pour apporter des compléments d’information. </w:t>
      </w:r>
    </w:p>
    <w:p w:rsidR="008B6253" w:rsidRPr="00231F73" w:rsidRDefault="008B6253" w:rsidP="008B6253">
      <w:pPr>
        <w:pStyle w:val="ListParagraph"/>
        <w:numPr>
          <w:ilvl w:val="0"/>
          <w:numId w:val="1"/>
        </w:numPr>
        <w:spacing w:after="360" w:line="240" w:lineRule="auto"/>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Avec le soutien de la Banque européenne d’investissement (BEI), la Commission s’emploie actuellement à créer une base de données sur les relations avec les investisseurs. Cet outil l’aidera à gérer ces relations d’une manière structurée en lui permettant de suivre activement le comportement et les tendances des investisseurs, de façon à déterminer les actions à mettre en place en direction des marchés et des investisseurs et à produire des statistiques à des fins de gestion et de communication.</w:t>
      </w:r>
    </w:p>
    <w:p w:rsidR="008B6253" w:rsidRPr="00864D5D" w:rsidRDefault="008B6253" w:rsidP="008B6253">
      <w:pPr>
        <w:pStyle w:val="Heading1"/>
        <w:rPr>
          <w:noProof/>
          <w:color w:val="auto"/>
          <w:sz w:val="24"/>
          <w:szCs w:val="24"/>
        </w:rPr>
      </w:pPr>
      <w:bookmarkStart w:id="23" w:name="_Toc95738342"/>
      <w:r>
        <w:rPr>
          <w:noProof/>
          <w:color w:val="auto"/>
          <w:sz w:val="24"/>
          <w:szCs w:val="24"/>
        </w:rPr>
        <w:t>Conclusion</w:t>
      </w:r>
      <w:bookmarkEnd w:id="23"/>
    </w:p>
    <w:p w:rsidR="008B6253" w:rsidRPr="0058050A" w:rsidRDefault="008B6253" w:rsidP="008B6253">
      <w:pPr>
        <w:spacing w:line="240" w:lineRule="auto"/>
        <w:jc w:val="both"/>
        <w:rPr>
          <w:noProof/>
          <w:spacing w:val="-8"/>
        </w:rPr>
      </w:pPr>
      <w:r>
        <w:rPr>
          <w:noProof/>
        </w:rPr>
        <w:t xml:space="preserve">Au cours des douze derniers mois, la Commission, qui était un petit émetteur, levant des fonds pour financer des programmes de prêt relativement modestes tels que le mécanisme européen de stabilisation financière (MESF) et l’assistance macrofinancière (AMF), est devenue l’un des principaux émetteurs en euros: en </w:t>
      </w:r>
      <w:r w:rsidRPr="00887B27">
        <w:rPr>
          <w:noProof/>
        </w:rPr>
        <w:t>2021</w:t>
      </w:r>
      <w:r>
        <w:rPr>
          <w:noProof/>
        </w:rPr>
        <w:t xml:space="preserve">, elle a émis </w:t>
      </w:r>
      <w:r w:rsidRPr="00887B27">
        <w:rPr>
          <w:noProof/>
        </w:rPr>
        <w:t>130</w:t>
      </w:r>
      <w:r>
        <w:rPr>
          <w:noProof/>
        </w:rPr>
        <w:t xml:space="preserve"> milliards d’EUR (dont </w:t>
      </w:r>
      <w:r w:rsidRPr="00887B27">
        <w:rPr>
          <w:noProof/>
        </w:rPr>
        <w:t>71</w:t>
      </w:r>
      <w:r>
        <w:rPr>
          <w:noProof/>
        </w:rPr>
        <w:t xml:space="preserve"> milliards pour NextGenerationEU) et pourrait émettre quelque </w:t>
      </w:r>
      <w:r w:rsidRPr="00887B27">
        <w:rPr>
          <w:noProof/>
        </w:rPr>
        <w:t>150</w:t>
      </w:r>
      <w:r>
        <w:rPr>
          <w:noProof/>
        </w:rPr>
        <w:t xml:space="preserve"> milliards d’EUR par an sur la période </w:t>
      </w:r>
      <w:r w:rsidRPr="00887B27">
        <w:rPr>
          <w:noProof/>
        </w:rPr>
        <w:t>2021</w:t>
      </w:r>
      <w:r>
        <w:rPr>
          <w:noProof/>
        </w:rPr>
        <w:t>-</w:t>
      </w:r>
      <w:r w:rsidRPr="00887B27">
        <w:rPr>
          <w:noProof/>
        </w:rPr>
        <w:t>2026</w:t>
      </w:r>
      <w:r>
        <w:rPr>
          <w:noProof/>
        </w:rPr>
        <w:t>.</w:t>
      </w:r>
    </w:p>
    <w:p w:rsidR="008B6253" w:rsidRPr="0058050A" w:rsidRDefault="008B6253" w:rsidP="008B6253">
      <w:pPr>
        <w:spacing w:line="240" w:lineRule="auto"/>
        <w:jc w:val="both"/>
        <w:rPr>
          <w:noProof/>
          <w:spacing w:val="-8"/>
        </w:rPr>
      </w:pPr>
      <w:r>
        <w:rPr>
          <w:noProof/>
        </w:rPr>
        <w:t xml:space="preserve">Toutes les infrastructures et tous les processus nécessaires à la mise en œuvre de ce programme de financement à grande échelle ont été mis en place en un temps record. Le financement de NextGenerationEU a ainsi pu commencer le </w:t>
      </w:r>
      <w:r w:rsidRPr="00887B27">
        <w:rPr>
          <w:noProof/>
        </w:rPr>
        <w:t>15</w:t>
      </w:r>
      <w:r>
        <w:rPr>
          <w:noProof/>
        </w:rPr>
        <w:t xml:space="preserve"> juin </w:t>
      </w:r>
      <w:r w:rsidRPr="00887B27">
        <w:rPr>
          <w:noProof/>
        </w:rPr>
        <w:t>2021</w:t>
      </w:r>
      <w:r>
        <w:rPr>
          <w:noProof/>
        </w:rPr>
        <w:t xml:space="preserve">, soit deux semaines après que toutes les conditions légales nécessaires au lancement de ce programme d’emprunt ont été remplies. Tous les montants dus au budget de l’UE ou aux États membres ont été versés dans les six jours ouvrables suivant l’achèvement des formalités. Aucun retard n’a été enregistré. Toutes les opérations relevant de NextGenerationEU ont été exécutées efficacement sur le plan technique et ont été très bien accueillies par le marché (les carnets d’ordres ont été sursouscrits de </w:t>
      </w:r>
      <w:r w:rsidRPr="00887B27">
        <w:rPr>
          <w:noProof/>
        </w:rPr>
        <w:t>7</w:t>
      </w:r>
      <w:r>
        <w:rPr>
          <w:noProof/>
        </w:rPr>
        <w:t xml:space="preserve"> à </w:t>
      </w:r>
      <w:r w:rsidRPr="00887B27">
        <w:rPr>
          <w:noProof/>
        </w:rPr>
        <w:t>14</w:t>
      </w:r>
      <w:r>
        <w:rPr>
          <w:noProof/>
        </w:rPr>
        <w:t xml:space="preserve"> fois). Les opérations ont été clôturées à des conditions favorables (le coût de financement moyen s’établit à </w:t>
      </w:r>
      <w:r w:rsidRPr="00887B27">
        <w:rPr>
          <w:noProof/>
        </w:rPr>
        <w:t>0</w:t>
      </w:r>
      <w:r>
        <w:rPr>
          <w:noProof/>
        </w:rPr>
        <w:t>,</w:t>
      </w:r>
      <w:r w:rsidRPr="00887B27">
        <w:rPr>
          <w:noProof/>
        </w:rPr>
        <w:t>14</w:t>
      </w:r>
      <w:r>
        <w:rPr>
          <w:noProof/>
        </w:rPr>
        <w:t xml:space="preserve"> % pour les opérations de </w:t>
      </w:r>
      <w:r w:rsidRPr="00887B27">
        <w:rPr>
          <w:noProof/>
        </w:rPr>
        <w:t>2021</w:t>
      </w:r>
      <w:r>
        <w:rPr>
          <w:noProof/>
        </w:rPr>
        <w:t xml:space="preserve">), et les obligations de l’UE sont désormais négociées à égalité avec les obligations souveraines de la zone euro (plutôt qu’avec les émissions d’autres émetteurs SSA). </w:t>
      </w:r>
    </w:p>
    <w:p w:rsidR="008B6253" w:rsidRDefault="008B6253" w:rsidP="008B6253">
      <w:pPr>
        <w:spacing w:line="240" w:lineRule="auto"/>
        <w:jc w:val="both"/>
        <w:rPr>
          <w:noProof/>
          <w:spacing w:val="-8"/>
        </w:rPr>
      </w:pPr>
      <w:r>
        <w:rPr>
          <w:noProof/>
        </w:rPr>
        <w:t>Ces résultats constituent un début très encourageant pour le programme NextGenerationEU. La priorité pour les années à venir sera de capitaliser sur ce bon départ et d’atteindre un niveau d’exécution élevé et soutenu pour l’ensemble des opérations.</w:t>
      </w:r>
    </w:p>
    <w:p w:rsidR="008B6253" w:rsidRPr="00E33A65" w:rsidRDefault="008B6253" w:rsidP="008B6253">
      <w:pPr>
        <w:spacing w:line="240" w:lineRule="auto"/>
        <w:jc w:val="both"/>
        <w:rPr>
          <w:noProof/>
          <w:spacing w:val="-8"/>
        </w:rPr>
      </w:pPr>
      <w:r>
        <w:rPr>
          <w:noProof/>
        </w:rPr>
        <w:t>En conclusion, avec NextGenerationEU, l’UE dispose d’un outil puissant pour financer la relance et devenir plus résiliente, plus juste et plus verte au lendemain de la crise. Cet instrument a aussi renforcé le rôle international de l’euro, contribué au développement des marchés européens des capitaux d’emprunt et renforcé l’union bancaire, en aidant les banques à diversifier leur capital réglementaire. La mise en œuvre de l’instrument au cours des mois et années à venir permettra de consolider ces avantages.</w:t>
      </w:r>
    </w:p>
    <w:bookmarkEnd w:id="2"/>
    <w:p w:rsidR="008B6253" w:rsidRDefault="008B6253" w:rsidP="008B6253">
      <w:pPr>
        <w:pStyle w:val="Heading1"/>
        <w:numPr>
          <w:ilvl w:val="0"/>
          <w:numId w:val="0"/>
        </w:numPr>
        <w:ind w:left="357" w:hanging="357"/>
        <w:rPr>
          <w:noProof/>
          <w:color w:val="auto"/>
          <w:sz w:val="24"/>
          <w:szCs w:val="24"/>
        </w:rPr>
      </w:pPr>
      <w:r>
        <w:rPr>
          <w:noProof/>
        </w:rPr>
        <w:br w:type="page"/>
      </w:r>
      <w:bookmarkStart w:id="24" w:name="_Toc95738343"/>
      <w:r>
        <w:rPr>
          <w:noProof/>
          <w:color w:val="auto"/>
          <w:sz w:val="24"/>
          <w:szCs w:val="24"/>
        </w:rPr>
        <w:t>Annexe. Vue d’ensemble des émissions d’obligations et de titres de créance à court terme</w:t>
      </w:r>
      <w:bookmarkEnd w:id="24"/>
    </w:p>
    <w:p w:rsidR="008B6253" w:rsidRPr="00864D5D" w:rsidRDefault="008B6253" w:rsidP="008B6253">
      <w:pPr>
        <w:rPr>
          <w:noProof/>
        </w:rPr>
      </w:pPr>
    </w:p>
    <w:p w:rsidR="008B6253" w:rsidRPr="00864D5D" w:rsidRDefault="008B6253" w:rsidP="008B6253">
      <w:pPr>
        <w:rPr>
          <w:noProof/>
        </w:rPr>
      </w:pPr>
      <w:r>
        <w:rPr>
          <w:b/>
          <w:noProof/>
        </w:rPr>
        <w:t>Figure </w:t>
      </w:r>
      <w:r w:rsidRPr="00887B27">
        <w:rPr>
          <w:b/>
          <w:noProof/>
        </w:rPr>
        <w:t>1</w:t>
      </w:r>
      <w:r>
        <w:rPr>
          <w:b/>
          <w:noProof/>
        </w:rPr>
        <w:t>: Vue d’ensemble des opérations syndiquées et des adjudications d’obligations NextGenerationEU (NGEU)</w:t>
      </w:r>
    </w:p>
    <w:tbl>
      <w:tblPr>
        <w:tblStyle w:val="GridTable1Light-Accent1"/>
        <w:tblW w:w="9180" w:type="dxa"/>
        <w:tblLayout w:type="fixed"/>
        <w:tblLook w:val="04A0" w:firstRow="1" w:lastRow="0" w:firstColumn="1" w:lastColumn="0" w:noHBand="0" w:noVBand="1"/>
      </w:tblPr>
      <w:tblGrid>
        <w:gridCol w:w="1526"/>
        <w:gridCol w:w="1417"/>
        <w:gridCol w:w="1701"/>
        <w:gridCol w:w="1418"/>
        <w:gridCol w:w="1417"/>
        <w:gridCol w:w="1701"/>
      </w:tblGrid>
      <w:tr w:rsidR="008B6253" w:rsidRPr="00231F73" w:rsidTr="00161872">
        <w:trPr>
          <w:cnfStyle w:val="100000000000" w:firstRow="1" w:lastRow="0" w:firstColumn="0" w:lastColumn="0" w:oddVBand="0" w:evenVBand="0" w:oddHBand="0" w:evenHBand="0" w:firstRowFirstColumn="0" w:firstRowLastColumn="0" w:lastRowFirstColumn="0" w:lastRowLastColumn="0"/>
          <w:trHeight w:val="579"/>
        </w:trPr>
        <w:tc>
          <w:tcPr>
            <w:cnfStyle w:val="001000000000" w:firstRow="0" w:lastRow="0" w:firstColumn="1" w:lastColumn="0" w:oddVBand="0" w:evenVBand="0" w:oddHBand="0" w:evenHBand="0" w:firstRowFirstColumn="0" w:firstRowLastColumn="0" w:lastRowFirstColumn="0" w:lastRowLastColumn="0"/>
            <w:tcW w:w="1526" w:type="dxa"/>
            <w:vMerge w:val="restart"/>
            <w:hideMark/>
          </w:tcPr>
          <w:p w:rsidR="008B6253" w:rsidRPr="00864D5D" w:rsidRDefault="008B6253" w:rsidP="001F5468">
            <w:pPr>
              <w:jc w:val="center"/>
              <w:rPr>
                <w:noProof/>
                <w:color w:val="000000"/>
                <w:sz w:val="22"/>
              </w:rPr>
            </w:pPr>
            <w:r>
              <w:rPr>
                <w:noProof/>
                <w:color w:val="000000"/>
                <w:sz w:val="22"/>
              </w:rPr>
              <w:t>Instrument</w:t>
            </w:r>
          </w:p>
        </w:tc>
        <w:tc>
          <w:tcPr>
            <w:tcW w:w="1417" w:type="dxa"/>
            <w:vMerge w:val="restart"/>
          </w:tcPr>
          <w:p w:rsidR="008B6253" w:rsidRPr="00864D5D" w:rsidRDefault="008B6253" w:rsidP="001F5468">
            <w:pPr>
              <w:jc w:val="center"/>
              <w:cnfStyle w:val="100000000000" w:firstRow="1" w:lastRow="0" w:firstColumn="0" w:lastColumn="0" w:oddVBand="0" w:evenVBand="0" w:oddHBand="0" w:evenHBand="0" w:firstRowFirstColumn="0" w:firstRowLastColumn="0" w:lastRowFirstColumn="0" w:lastRowLastColumn="0"/>
              <w:rPr>
                <w:noProof/>
                <w:color w:val="000000"/>
                <w:sz w:val="22"/>
              </w:rPr>
            </w:pPr>
            <w:r>
              <w:rPr>
                <w:noProof/>
                <w:color w:val="000000"/>
                <w:sz w:val="22"/>
              </w:rPr>
              <w:t>Date de la</w:t>
            </w:r>
            <w:r>
              <w:rPr>
                <w:noProof/>
              </w:rPr>
              <w:t xml:space="preserve"> </w:t>
            </w:r>
            <w:r>
              <w:rPr>
                <w:noProof/>
              </w:rPr>
              <w:br/>
            </w:r>
            <w:r>
              <w:rPr>
                <w:noProof/>
                <w:color w:val="000000"/>
                <w:sz w:val="22"/>
              </w:rPr>
              <w:t>transaction</w:t>
            </w:r>
          </w:p>
        </w:tc>
        <w:tc>
          <w:tcPr>
            <w:tcW w:w="1701" w:type="dxa"/>
            <w:vMerge w:val="restart"/>
            <w:hideMark/>
          </w:tcPr>
          <w:p w:rsidR="008B6253" w:rsidRPr="00864D5D" w:rsidRDefault="008B6253" w:rsidP="001F5468">
            <w:pPr>
              <w:jc w:val="center"/>
              <w:cnfStyle w:val="100000000000" w:firstRow="1" w:lastRow="0" w:firstColumn="0" w:lastColumn="0" w:oddVBand="0" w:evenVBand="0" w:oddHBand="0" w:evenHBand="0" w:firstRowFirstColumn="0" w:firstRowLastColumn="0" w:lastRowFirstColumn="0" w:lastRowLastColumn="0"/>
              <w:rPr>
                <w:noProof/>
                <w:color w:val="000000"/>
                <w:sz w:val="22"/>
              </w:rPr>
            </w:pPr>
            <w:r>
              <w:rPr>
                <w:noProof/>
                <w:color w:val="000000"/>
                <w:sz w:val="22"/>
              </w:rPr>
              <w:t xml:space="preserve">Date </w:t>
            </w:r>
            <w:r>
              <w:rPr>
                <w:noProof/>
                <w:color w:val="000000"/>
                <w:sz w:val="22"/>
              </w:rPr>
              <w:br/>
              <w:t>de règlement</w:t>
            </w:r>
          </w:p>
        </w:tc>
        <w:tc>
          <w:tcPr>
            <w:tcW w:w="2835" w:type="dxa"/>
            <w:gridSpan w:val="2"/>
            <w:hideMark/>
          </w:tcPr>
          <w:p w:rsidR="008B6253" w:rsidRPr="00864D5D" w:rsidRDefault="008B6253" w:rsidP="001F5468">
            <w:pPr>
              <w:jc w:val="center"/>
              <w:cnfStyle w:val="100000000000" w:firstRow="1" w:lastRow="0" w:firstColumn="0" w:lastColumn="0" w:oddVBand="0" w:evenVBand="0" w:oddHBand="0" w:evenHBand="0" w:firstRowFirstColumn="0" w:firstRowLastColumn="0" w:lastRowFirstColumn="0" w:lastRowLastColumn="0"/>
              <w:rPr>
                <w:noProof/>
                <w:color w:val="000000"/>
                <w:sz w:val="22"/>
              </w:rPr>
            </w:pPr>
            <w:r>
              <w:rPr>
                <w:noProof/>
                <w:color w:val="000000"/>
                <w:sz w:val="22"/>
              </w:rPr>
              <w:t>Échéance</w:t>
            </w:r>
          </w:p>
          <w:p w:rsidR="008B6253" w:rsidRPr="00864D5D" w:rsidRDefault="008B6253" w:rsidP="001F5468">
            <w:pPr>
              <w:cnfStyle w:val="100000000000" w:firstRow="1" w:lastRow="0" w:firstColumn="0" w:lastColumn="0" w:oddVBand="0" w:evenVBand="0" w:oddHBand="0" w:evenHBand="0" w:firstRowFirstColumn="0" w:firstRowLastColumn="0" w:lastRowFirstColumn="0" w:lastRowLastColumn="0"/>
              <w:rPr>
                <w:noProof/>
                <w:color w:val="000000"/>
                <w:sz w:val="22"/>
                <w:lang w:val="en-US"/>
              </w:rPr>
            </w:pPr>
          </w:p>
        </w:tc>
        <w:tc>
          <w:tcPr>
            <w:tcW w:w="1701" w:type="dxa"/>
            <w:vMerge w:val="restart"/>
            <w:hideMark/>
          </w:tcPr>
          <w:p w:rsidR="008B6253" w:rsidRPr="00864D5D" w:rsidRDefault="008B6253" w:rsidP="001F5468">
            <w:pPr>
              <w:jc w:val="center"/>
              <w:cnfStyle w:val="100000000000" w:firstRow="1" w:lastRow="0" w:firstColumn="0" w:lastColumn="0" w:oddVBand="0" w:evenVBand="0" w:oddHBand="0" w:evenHBand="0" w:firstRowFirstColumn="0" w:firstRowLastColumn="0" w:lastRowFirstColumn="0" w:lastRowLastColumn="0"/>
              <w:rPr>
                <w:noProof/>
                <w:color w:val="000000"/>
                <w:sz w:val="22"/>
              </w:rPr>
            </w:pPr>
            <w:r>
              <w:rPr>
                <w:noProof/>
                <w:color w:val="000000"/>
                <w:sz w:val="22"/>
              </w:rPr>
              <w:t>Montant émis</w:t>
            </w:r>
            <w:r>
              <w:rPr>
                <w:noProof/>
              </w:rPr>
              <w:t xml:space="preserve"> </w:t>
            </w:r>
            <w:r>
              <w:rPr>
                <w:noProof/>
              </w:rPr>
              <w:br/>
            </w:r>
            <w:r>
              <w:rPr>
                <w:noProof/>
                <w:color w:val="000000"/>
                <w:sz w:val="22"/>
              </w:rPr>
              <w:t xml:space="preserve"> (en Mrd EUR)</w:t>
            </w:r>
          </w:p>
        </w:tc>
      </w:tr>
      <w:tr w:rsidR="008B6253" w:rsidRPr="00231F73" w:rsidTr="00161872">
        <w:trPr>
          <w:trHeight w:val="323"/>
        </w:trPr>
        <w:tc>
          <w:tcPr>
            <w:cnfStyle w:val="001000000000" w:firstRow="0" w:lastRow="0" w:firstColumn="1" w:lastColumn="0" w:oddVBand="0" w:evenVBand="0" w:oddHBand="0" w:evenHBand="0" w:firstRowFirstColumn="0" w:firstRowLastColumn="0" w:lastRowFirstColumn="0" w:lastRowLastColumn="0"/>
            <w:tcW w:w="1526" w:type="dxa"/>
            <w:vMerge/>
          </w:tcPr>
          <w:p w:rsidR="008B6253" w:rsidRPr="00161872" w:rsidRDefault="008B6253" w:rsidP="001F5468">
            <w:pPr>
              <w:jc w:val="center"/>
              <w:rPr>
                <w:b w:val="0"/>
                <w:noProof/>
                <w:color w:val="000000"/>
                <w:sz w:val="22"/>
                <w:lang w:val="fr-BE"/>
              </w:rPr>
            </w:pPr>
          </w:p>
        </w:tc>
        <w:tc>
          <w:tcPr>
            <w:tcW w:w="1417" w:type="dxa"/>
            <w:vMerge/>
          </w:tcPr>
          <w:p w:rsidR="008B6253" w:rsidRPr="00161872"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lang w:val="fr-BE"/>
              </w:rPr>
            </w:pPr>
          </w:p>
        </w:tc>
        <w:tc>
          <w:tcPr>
            <w:tcW w:w="1701" w:type="dxa"/>
            <w:vMerge/>
          </w:tcPr>
          <w:p w:rsidR="008B6253" w:rsidRPr="00161872"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lang w:val="fr-BE"/>
              </w:rPr>
            </w:pPr>
          </w:p>
        </w:tc>
        <w:tc>
          <w:tcPr>
            <w:tcW w:w="1418"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bCs/>
                <w:noProof/>
                <w:color w:val="000000"/>
                <w:sz w:val="22"/>
              </w:rPr>
            </w:pPr>
            <w:r>
              <w:rPr>
                <w:bCs/>
                <w:noProof/>
                <w:color w:val="000000"/>
                <w:sz w:val="22"/>
              </w:rPr>
              <w:t>date</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Pr>
                <w:noProof/>
                <w:color w:val="000000"/>
                <w:sz w:val="22"/>
              </w:rPr>
              <w:t>années</w:t>
            </w:r>
          </w:p>
        </w:tc>
        <w:tc>
          <w:tcPr>
            <w:tcW w:w="1701" w:type="dxa"/>
            <w:vMerge/>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lang w:val="en-US"/>
              </w:rPr>
            </w:pPr>
          </w:p>
        </w:tc>
      </w:tr>
      <w:tr w:rsidR="008B6253" w:rsidRPr="00231F73" w:rsidTr="001F5468">
        <w:trPr>
          <w:trHeight w:val="405"/>
        </w:trPr>
        <w:tc>
          <w:tcPr>
            <w:cnfStyle w:val="001000000000" w:firstRow="0" w:lastRow="0" w:firstColumn="1" w:lastColumn="0" w:oddVBand="0" w:evenVBand="0" w:oddHBand="0" w:evenHBand="0" w:firstRowFirstColumn="0" w:firstRowLastColumn="0" w:lastRowFirstColumn="0" w:lastRowLastColumn="0"/>
            <w:tcW w:w="9180" w:type="dxa"/>
            <w:gridSpan w:val="6"/>
            <w:vAlign w:val="center"/>
          </w:tcPr>
          <w:p w:rsidR="008B6253" w:rsidRPr="00864D5D" w:rsidRDefault="008B6253" w:rsidP="001F5468">
            <w:pPr>
              <w:jc w:val="center"/>
              <w:rPr>
                <w:noProof/>
                <w:color w:val="000000"/>
                <w:sz w:val="22"/>
              </w:rPr>
            </w:pPr>
            <w:r w:rsidRPr="00887B27">
              <w:rPr>
                <w:noProof/>
                <w:color w:val="000000"/>
                <w:sz w:val="22"/>
              </w:rPr>
              <w:t>2021</w:t>
            </w:r>
            <w:r>
              <w:rPr>
                <w:noProof/>
                <w:color w:val="000000"/>
                <w:sz w:val="22"/>
              </w:rPr>
              <w:t xml:space="preserve"> T</w:t>
            </w:r>
            <w:r w:rsidRPr="00887B27">
              <w:rPr>
                <w:noProof/>
                <w:color w:val="000000"/>
                <w:sz w:val="22"/>
              </w:rPr>
              <w:t>2</w:t>
            </w:r>
          </w:p>
        </w:tc>
      </w:tr>
      <w:tr w:rsidR="008B6253" w:rsidRPr="00231F73" w:rsidTr="00161872">
        <w:trPr>
          <w:trHeight w:val="405"/>
        </w:trPr>
        <w:tc>
          <w:tcPr>
            <w:cnfStyle w:val="001000000000" w:firstRow="0" w:lastRow="0" w:firstColumn="1" w:lastColumn="0" w:oddVBand="0" w:evenVBand="0" w:oddHBand="0" w:evenHBand="0" w:firstRowFirstColumn="0" w:firstRowLastColumn="0" w:lastRowFirstColumn="0" w:lastRowLastColumn="0"/>
            <w:tcW w:w="1526" w:type="dxa"/>
            <w:hideMark/>
          </w:tcPr>
          <w:p w:rsidR="008B6253" w:rsidRPr="00864D5D" w:rsidRDefault="008B6253" w:rsidP="001F5468">
            <w:pPr>
              <w:jc w:val="center"/>
              <w:rPr>
                <w:noProof/>
                <w:color w:val="000000"/>
                <w:sz w:val="22"/>
              </w:rPr>
            </w:pPr>
            <w:r>
              <w:rPr>
                <w:noProof/>
                <w:color w:val="000000"/>
                <w:sz w:val="22"/>
              </w:rPr>
              <w:t>Syndication NGEU nº </w:t>
            </w:r>
            <w:r w:rsidRPr="00887B27">
              <w:rPr>
                <w:noProof/>
                <w:color w:val="000000"/>
                <w:sz w:val="22"/>
              </w:rPr>
              <w:t>1</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15</w:t>
            </w:r>
            <w:r>
              <w:rPr>
                <w:noProof/>
                <w:color w:val="000000"/>
                <w:sz w:val="22"/>
              </w:rPr>
              <w:t>-</w:t>
            </w:r>
            <w:r w:rsidRPr="00887B27">
              <w:rPr>
                <w:noProof/>
                <w:color w:val="000000"/>
                <w:sz w:val="22"/>
              </w:rPr>
              <w:t>06</w:t>
            </w:r>
            <w:r>
              <w:rPr>
                <w:noProof/>
                <w:color w:val="000000"/>
                <w:sz w:val="22"/>
              </w:rPr>
              <w:t>-</w:t>
            </w:r>
            <w:r w:rsidRPr="00887B27">
              <w:rPr>
                <w:noProof/>
                <w:color w:val="000000"/>
                <w:sz w:val="22"/>
              </w:rPr>
              <w:t>2021</w:t>
            </w:r>
          </w:p>
        </w:tc>
        <w:tc>
          <w:tcPr>
            <w:tcW w:w="1701" w:type="dxa"/>
            <w:noWrap/>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22</w:t>
            </w:r>
            <w:r>
              <w:rPr>
                <w:noProof/>
                <w:color w:val="000000"/>
                <w:sz w:val="22"/>
              </w:rPr>
              <w:t>-</w:t>
            </w:r>
            <w:r w:rsidRPr="00887B27">
              <w:rPr>
                <w:noProof/>
                <w:color w:val="000000"/>
                <w:sz w:val="22"/>
              </w:rPr>
              <w:t>06</w:t>
            </w:r>
            <w:r>
              <w:rPr>
                <w:noProof/>
                <w:color w:val="000000"/>
                <w:sz w:val="22"/>
              </w:rPr>
              <w:t>-</w:t>
            </w:r>
            <w:r w:rsidRPr="00887B27">
              <w:rPr>
                <w:noProof/>
                <w:color w:val="000000"/>
                <w:sz w:val="22"/>
              </w:rPr>
              <w:t>2021</w:t>
            </w:r>
          </w:p>
        </w:tc>
        <w:tc>
          <w:tcPr>
            <w:tcW w:w="1418" w:type="dxa"/>
            <w:noWrap/>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04</w:t>
            </w:r>
            <w:r>
              <w:rPr>
                <w:noProof/>
                <w:color w:val="000000"/>
                <w:sz w:val="22"/>
              </w:rPr>
              <w:t>-</w:t>
            </w:r>
            <w:r w:rsidRPr="00887B27">
              <w:rPr>
                <w:noProof/>
                <w:color w:val="000000"/>
                <w:sz w:val="22"/>
              </w:rPr>
              <w:t>07</w:t>
            </w:r>
            <w:r>
              <w:rPr>
                <w:noProof/>
                <w:color w:val="000000"/>
                <w:sz w:val="22"/>
              </w:rPr>
              <w:t>-</w:t>
            </w:r>
            <w:r w:rsidRPr="00887B27">
              <w:rPr>
                <w:noProof/>
                <w:color w:val="000000"/>
                <w:sz w:val="22"/>
              </w:rPr>
              <w:t>2031</w:t>
            </w:r>
          </w:p>
        </w:tc>
        <w:tc>
          <w:tcPr>
            <w:tcW w:w="1417" w:type="dxa"/>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10</w:t>
            </w:r>
          </w:p>
        </w:tc>
        <w:tc>
          <w:tcPr>
            <w:tcW w:w="1701"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20</w:t>
            </w:r>
          </w:p>
        </w:tc>
      </w:tr>
      <w:tr w:rsidR="008B6253" w:rsidRPr="00231F73" w:rsidTr="00161872">
        <w:trPr>
          <w:trHeight w:val="404"/>
        </w:trPr>
        <w:tc>
          <w:tcPr>
            <w:cnfStyle w:val="001000000000" w:firstRow="0" w:lastRow="0" w:firstColumn="1" w:lastColumn="0" w:oddVBand="0" w:evenVBand="0" w:oddHBand="0" w:evenHBand="0" w:firstRowFirstColumn="0" w:firstRowLastColumn="0" w:lastRowFirstColumn="0" w:lastRowLastColumn="0"/>
            <w:tcW w:w="1526" w:type="dxa"/>
            <w:vMerge w:val="restart"/>
            <w:vAlign w:val="center"/>
            <w:hideMark/>
          </w:tcPr>
          <w:p w:rsidR="008B6253" w:rsidRPr="00864D5D" w:rsidRDefault="008B6253" w:rsidP="001F5468">
            <w:pPr>
              <w:jc w:val="center"/>
              <w:rPr>
                <w:noProof/>
                <w:color w:val="000000"/>
                <w:sz w:val="22"/>
              </w:rPr>
            </w:pPr>
            <w:r>
              <w:rPr>
                <w:noProof/>
                <w:color w:val="000000"/>
                <w:sz w:val="22"/>
              </w:rPr>
              <w:t>Syndication NGEU nº </w:t>
            </w:r>
            <w:r w:rsidRPr="00887B27">
              <w:rPr>
                <w:noProof/>
                <w:color w:val="000000"/>
                <w:sz w:val="22"/>
              </w:rPr>
              <w:t>2</w:t>
            </w:r>
          </w:p>
        </w:tc>
        <w:tc>
          <w:tcPr>
            <w:tcW w:w="1417" w:type="dxa"/>
            <w:vMerge w:val="restart"/>
            <w:vAlign w:val="center"/>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29</w:t>
            </w:r>
            <w:r>
              <w:rPr>
                <w:noProof/>
                <w:color w:val="000000"/>
                <w:sz w:val="22"/>
              </w:rPr>
              <w:t>-</w:t>
            </w:r>
            <w:r w:rsidRPr="00887B27">
              <w:rPr>
                <w:noProof/>
                <w:color w:val="000000"/>
                <w:sz w:val="22"/>
              </w:rPr>
              <w:t>06</w:t>
            </w:r>
            <w:r>
              <w:rPr>
                <w:noProof/>
                <w:color w:val="000000"/>
                <w:sz w:val="22"/>
              </w:rPr>
              <w:t>-</w:t>
            </w:r>
            <w:r w:rsidRPr="00887B27">
              <w:rPr>
                <w:noProof/>
                <w:color w:val="000000"/>
                <w:sz w:val="22"/>
              </w:rPr>
              <w:t>2021</w:t>
            </w:r>
          </w:p>
        </w:tc>
        <w:tc>
          <w:tcPr>
            <w:tcW w:w="1701"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06</w:t>
            </w:r>
            <w:r>
              <w:rPr>
                <w:noProof/>
                <w:color w:val="000000"/>
                <w:sz w:val="22"/>
              </w:rPr>
              <w:t>-</w:t>
            </w:r>
            <w:r w:rsidRPr="00887B27">
              <w:rPr>
                <w:noProof/>
                <w:color w:val="000000"/>
                <w:sz w:val="22"/>
              </w:rPr>
              <w:t>07</w:t>
            </w:r>
            <w:r>
              <w:rPr>
                <w:noProof/>
                <w:color w:val="000000"/>
                <w:sz w:val="22"/>
              </w:rPr>
              <w:t>-</w:t>
            </w:r>
            <w:r w:rsidRPr="00887B27">
              <w:rPr>
                <w:noProof/>
                <w:color w:val="000000"/>
                <w:sz w:val="22"/>
              </w:rPr>
              <w:t>2021</w:t>
            </w:r>
          </w:p>
        </w:tc>
        <w:tc>
          <w:tcPr>
            <w:tcW w:w="1418" w:type="dxa"/>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06</w:t>
            </w:r>
            <w:r>
              <w:rPr>
                <w:noProof/>
                <w:color w:val="000000"/>
                <w:sz w:val="22"/>
              </w:rPr>
              <w:t>-</w:t>
            </w:r>
            <w:r w:rsidRPr="00887B27">
              <w:rPr>
                <w:noProof/>
                <w:color w:val="000000"/>
                <w:sz w:val="22"/>
              </w:rPr>
              <w:t>07</w:t>
            </w:r>
            <w:r>
              <w:rPr>
                <w:noProof/>
                <w:color w:val="000000"/>
                <w:sz w:val="22"/>
              </w:rPr>
              <w:t>-</w:t>
            </w:r>
            <w:r w:rsidRPr="00887B27">
              <w:rPr>
                <w:noProof/>
                <w:color w:val="000000"/>
                <w:sz w:val="22"/>
              </w:rPr>
              <w:t>2026</w:t>
            </w:r>
          </w:p>
        </w:tc>
        <w:tc>
          <w:tcPr>
            <w:tcW w:w="1417" w:type="dxa"/>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5</w:t>
            </w:r>
          </w:p>
        </w:tc>
        <w:tc>
          <w:tcPr>
            <w:tcW w:w="1701"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9</w:t>
            </w:r>
          </w:p>
        </w:tc>
      </w:tr>
      <w:tr w:rsidR="008B6253" w:rsidRPr="00231F73" w:rsidTr="00161872">
        <w:trPr>
          <w:trHeight w:val="423"/>
        </w:trPr>
        <w:tc>
          <w:tcPr>
            <w:cnfStyle w:val="001000000000" w:firstRow="0" w:lastRow="0" w:firstColumn="1" w:lastColumn="0" w:oddVBand="0" w:evenVBand="0" w:oddHBand="0" w:evenHBand="0" w:firstRowFirstColumn="0" w:firstRowLastColumn="0" w:lastRowFirstColumn="0" w:lastRowLastColumn="0"/>
            <w:tcW w:w="1526" w:type="dxa"/>
            <w:vMerge/>
            <w:hideMark/>
          </w:tcPr>
          <w:p w:rsidR="008B6253" w:rsidRPr="00864D5D" w:rsidRDefault="008B6253" w:rsidP="001F5468">
            <w:pPr>
              <w:rPr>
                <w:noProof/>
                <w:color w:val="000000"/>
                <w:sz w:val="22"/>
                <w:lang w:val="en-US"/>
              </w:rPr>
            </w:pPr>
          </w:p>
        </w:tc>
        <w:tc>
          <w:tcPr>
            <w:tcW w:w="1417" w:type="dxa"/>
            <w:vMerge/>
          </w:tcPr>
          <w:p w:rsidR="008B6253" w:rsidRPr="00864D5D" w:rsidRDefault="008B6253" w:rsidP="001F5468">
            <w:pPr>
              <w:cnfStyle w:val="000000000000" w:firstRow="0" w:lastRow="0" w:firstColumn="0" w:lastColumn="0" w:oddVBand="0" w:evenVBand="0" w:oddHBand="0" w:evenHBand="0" w:firstRowFirstColumn="0" w:firstRowLastColumn="0" w:lastRowFirstColumn="0" w:lastRowLastColumn="0"/>
              <w:rPr>
                <w:noProof/>
                <w:color w:val="000000"/>
                <w:sz w:val="22"/>
                <w:lang w:val="en-US"/>
              </w:rPr>
            </w:pPr>
          </w:p>
        </w:tc>
        <w:tc>
          <w:tcPr>
            <w:tcW w:w="1701" w:type="dxa"/>
            <w:vMerge/>
            <w:hideMark/>
          </w:tcPr>
          <w:p w:rsidR="008B6253" w:rsidRPr="00864D5D" w:rsidRDefault="008B6253" w:rsidP="001F5468">
            <w:pPr>
              <w:cnfStyle w:val="000000000000" w:firstRow="0" w:lastRow="0" w:firstColumn="0" w:lastColumn="0" w:oddVBand="0" w:evenVBand="0" w:oddHBand="0" w:evenHBand="0" w:firstRowFirstColumn="0" w:firstRowLastColumn="0" w:lastRowFirstColumn="0" w:lastRowLastColumn="0"/>
              <w:rPr>
                <w:noProof/>
                <w:color w:val="000000"/>
                <w:sz w:val="22"/>
                <w:lang w:val="en-US"/>
              </w:rPr>
            </w:pPr>
          </w:p>
        </w:tc>
        <w:tc>
          <w:tcPr>
            <w:tcW w:w="1418" w:type="dxa"/>
            <w:noWrap/>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06</w:t>
            </w:r>
            <w:r>
              <w:rPr>
                <w:noProof/>
                <w:color w:val="000000"/>
                <w:sz w:val="22"/>
              </w:rPr>
              <w:t>-</w:t>
            </w:r>
            <w:r w:rsidRPr="00887B27">
              <w:rPr>
                <w:noProof/>
                <w:color w:val="000000"/>
                <w:sz w:val="22"/>
              </w:rPr>
              <w:t>07</w:t>
            </w:r>
            <w:r>
              <w:rPr>
                <w:noProof/>
                <w:color w:val="000000"/>
                <w:sz w:val="22"/>
              </w:rPr>
              <w:t>-</w:t>
            </w:r>
            <w:r w:rsidRPr="00887B27">
              <w:rPr>
                <w:noProof/>
                <w:color w:val="000000"/>
                <w:sz w:val="22"/>
              </w:rPr>
              <w:t>2051</w:t>
            </w:r>
          </w:p>
        </w:tc>
        <w:tc>
          <w:tcPr>
            <w:tcW w:w="1417" w:type="dxa"/>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30</w:t>
            </w:r>
          </w:p>
        </w:tc>
        <w:tc>
          <w:tcPr>
            <w:tcW w:w="1701"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6</w:t>
            </w:r>
          </w:p>
        </w:tc>
      </w:tr>
      <w:tr w:rsidR="008B6253" w:rsidRPr="00231F73" w:rsidTr="001F5468">
        <w:trPr>
          <w:trHeight w:val="413"/>
        </w:trPr>
        <w:tc>
          <w:tcPr>
            <w:cnfStyle w:val="001000000000" w:firstRow="0" w:lastRow="0" w:firstColumn="1" w:lastColumn="0" w:oddVBand="0" w:evenVBand="0" w:oddHBand="0" w:evenHBand="0" w:firstRowFirstColumn="0" w:firstRowLastColumn="0" w:lastRowFirstColumn="0" w:lastRowLastColumn="0"/>
            <w:tcW w:w="9180" w:type="dxa"/>
            <w:gridSpan w:val="6"/>
            <w:vAlign w:val="center"/>
          </w:tcPr>
          <w:p w:rsidR="008B6253" w:rsidRPr="00864D5D" w:rsidRDefault="008B6253" w:rsidP="001F5468">
            <w:pPr>
              <w:jc w:val="center"/>
              <w:rPr>
                <w:noProof/>
                <w:color w:val="000000"/>
                <w:sz w:val="22"/>
              </w:rPr>
            </w:pPr>
            <w:r w:rsidRPr="00887B27">
              <w:rPr>
                <w:noProof/>
                <w:color w:val="000000"/>
                <w:sz w:val="22"/>
              </w:rPr>
              <w:t>2021</w:t>
            </w:r>
            <w:r>
              <w:rPr>
                <w:noProof/>
                <w:color w:val="000000"/>
                <w:sz w:val="22"/>
              </w:rPr>
              <w:t xml:space="preserve"> T</w:t>
            </w:r>
            <w:r w:rsidRPr="00887B27">
              <w:rPr>
                <w:noProof/>
                <w:color w:val="000000"/>
                <w:sz w:val="22"/>
              </w:rPr>
              <w:t>3</w:t>
            </w:r>
          </w:p>
        </w:tc>
      </w:tr>
      <w:tr w:rsidR="008B6253" w:rsidRPr="00231F73" w:rsidTr="00161872">
        <w:trPr>
          <w:trHeight w:val="413"/>
        </w:trPr>
        <w:tc>
          <w:tcPr>
            <w:cnfStyle w:val="001000000000" w:firstRow="0" w:lastRow="0" w:firstColumn="1" w:lastColumn="0" w:oddVBand="0" w:evenVBand="0" w:oddHBand="0" w:evenHBand="0" w:firstRowFirstColumn="0" w:firstRowLastColumn="0" w:lastRowFirstColumn="0" w:lastRowLastColumn="0"/>
            <w:tcW w:w="1526" w:type="dxa"/>
            <w:hideMark/>
          </w:tcPr>
          <w:p w:rsidR="008B6253" w:rsidRPr="00864D5D" w:rsidRDefault="008B6253" w:rsidP="001F5468">
            <w:pPr>
              <w:jc w:val="center"/>
              <w:rPr>
                <w:noProof/>
                <w:color w:val="000000"/>
                <w:sz w:val="22"/>
              </w:rPr>
            </w:pPr>
            <w:r>
              <w:rPr>
                <w:noProof/>
                <w:color w:val="000000"/>
                <w:sz w:val="22"/>
              </w:rPr>
              <w:t>Syndication NGEU nº </w:t>
            </w:r>
            <w:r w:rsidRPr="00887B27">
              <w:rPr>
                <w:noProof/>
                <w:color w:val="000000"/>
                <w:sz w:val="22"/>
              </w:rPr>
              <w:t>3</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13</w:t>
            </w:r>
            <w:r>
              <w:rPr>
                <w:noProof/>
                <w:color w:val="000000"/>
                <w:sz w:val="22"/>
              </w:rPr>
              <w:t>-</w:t>
            </w:r>
            <w:r w:rsidRPr="00887B27">
              <w:rPr>
                <w:noProof/>
                <w:color w:val="000000"/>
                <w:sz w:val="22"/>
              </w:rPr>
              <w:t>07</w:t>
            </w:r>
            <w:r>
              <w:rPr>
                <w:noProof/>
                <w:color w:val="000000"/>
                <w:sz w:val="22"/>
              </w:rPr>
              <w:t>-</w:t>
            </w:r>
            <w:r w:rsidRPr="00887B27">
              <w:rPr>
                <w:noProof/>
                <w:color w:val="000000"/>
                <w:sz w:val="22"/>
              </w:rPr>
              <w:t>2021</w:t>
            </w:r>
          </w:p>
        </w:tc>
        <w:tc>
          <w:tcPr>
            <w:tcW w:w="1701" w:type="dxa"/>
            <w:noWrap/>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20</w:t>
            </w:r>
            <w:r>
              <w:rPr>
                <w:noProof/>
                <w:color w:val="000000"/>
                <w:sz w:val="22"/>
              </w:rPr>
              <w:t>-</w:t>
            </w:r>
            <w:r w:rsidRPr="00887B27">
              <w:rPr>
                <w:noProof/>
                <w:color w:val="000000"/>
                <w:sz w:val="22"/>
              </w:rPr>
              <w:t>07</w:t>
            </w:r>
            <w:r>
              <w:rPr>
                <w:noProof/>
                <w:color w:val="000000"/>
                <w:sz w:val="22"/>
              </w:rPr>
              <w:t>-</w:t>
            </w:r>
            <w:r w:rsidRPr="00887B27">
              <w:rPr>
                <w:noProof/>
                <w:color w:val="000000"/>
                <w:sz w:val="22"/>
              </w:rPr>
              <w:t>2021</w:t>
            </w:r>
          </w:p>
        </w:tc>
        <w:tc>
          <w:tcPr>
            <w:tcW w:w="1418" w:type="dxa"/>
            <w:noWrap/>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04</w:t>
            </w:r>
            <w:r>
              <w:rPr>
                <w:noProof/>
                <w:color w:val="000000"/>
                <w:sz w:val="22"/>
              </w:rPr>
              <w:t>-</w:t>
            </w:r>
            <w:r w:rsidRPr="00887B27">
              <w:rPr>
                <w:noProof/>
                <w:color w:val="000000"/>
                <w:sz w:val="22"/>
              </w:rPr>
              <w:t>07</w:t>
            </w:r>
            <w:r>
              <w:rPr>
                <w:noProof/>
                <w:color w:val="000000"/>
                <w:sz w:val="22"/>
              </w:rPr>
              <w:t>-</w:t>
            </w:r>
            <w:r w:rsidRPr="00887B27">
              <w:rPr>
                <w:noProof/>
                <w:color w:val="000000"/>
                <w:sz w:val="22"/>
              </w:rPr>
              <w:t>2041</w:t>
            </w:r>
          </w:p>
        </w:tc>
        <w:tc>
          <w:tcPr>
            <w:tcW w:w="1417" w:type="dxa"/>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20</w:t>
            </w:r>
          </w:p>
        </w:tc>
        <w:tc>
          <w:tcPr>
            <w:tcW w:w="1701"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10</w:t>
            </w:r>
          </w:p>
        </w:tc>
      </w:tr>
      <w:tr w:rsidR="008B6253" w:rsidRPr="00231F73" w:rsidTr="00161872">
        <w:trPr>
          <w:trHeight w:val="413"/>
        </w:trPr>
        <w:tc>
          <w:tcPr>
            <w:cnfStyle w:val="001000000000" w:firstRow="0" w:lastRow="0" w:firstColumn="1" w:lastColumn="0" w:oddVBand="0" w:evenVBand="0" w:oddHBand="0" w:evenHBand="0" w:firstRowFirstColumn="0" w:firstRowLastColumn="0" w:lastRowFirstColumn="0" w:lastRowLastColumn="0"/>
            <w:tcW w:w="1526" w:type="dxa"/>
          </w:tcPr>
          <w:p w:rsidR="008B6253" w:rsidRPr="00864D5D" w:rsidRDefault="008B6253" w:rsidP="001F5468">
            <w:pPr>
              <w:jc w:val="center"/>
              <w:rPr>
                <w:noProof/>
                <w:color w:val="000000"/>
                <w:sz w:val="22"/>
              </w:rPr>
            </w:pPr>
            <w:r>
              <w:rPr>
                <w:noProof/>
                <w:color w:val="000000"/>
                <w:sz w:val="22"/>
              </w:rPr>
              <w:t>Syndication NGEU nº </w:t>
            </w:r>
            <w:r w:rsidRPr="00887B27">
              <w:rPr>
                <w:noProof/>
                <w:color w:val="000000"/>
                <w:sz w:val="22"/>
              </w:rPr>
              <w:t>4</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14</w:t>
            </w:r>
            <w:r>
              <w:rPr>
                <w:noProof/>
                <w:color w:val="000000"/>
                <w:sz w:val="22"/>
              </w:rPr>
              <w:t>-</w:t>
            </w:r>
            <w:r w:rsidRPr="00887B27">
              <w:rPr>
                <w:noProof/>
                <w:color w:val="000000"/>
                <w:sz w:val="22"/>
              </w:rPr>
              <w:t>09</w:t>
            </w:r>
            <w:r>
              <w:rPr>
                <w:noProof/>
                <w:color w:val="000000"/>
                <w:sz w:val="22"/>
              </w:rPr>
              <w:t>-</w:t>
            </w:r>
            <w:r w:rsidRPr="00887B27">
              <w:rPr>
                <w:noProof/>
                <w:color w:val="000000"/>
                <w:sz w:val="22"/>
              </w:rPr>
              <w:t>2021</w:t>
            </w:r>
          </w:p>
        </w:tc>
        <w:tc>
          <w:tcPr>
            <w:tcW w:w="1701" w:type="dxa"/>
            <w:noWrap/>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21</w:t>
            </w:r>
            <w:r>
              <w:rPr>
                <w:noProof/>
                <w:color w:val="000000"/>
                <w:sz w:val="22"/>
              </w:rPr>
              <w:t>-</w:t>
            </w:r>
            <w:r w:rsidRPr="00887B27">
              <w:rPr>
                <w:noProof/>
                <w:color w:val="000000"/>
                <w:sz w:val="22"/>
              </w:rPr>
              <w:t>09</w:t>
            </w:r>
            <w:r>
              <w:rPr>
                <w:noProof/>
                <w:color w:val="000000"/>
                <w:sz w:val="22"/>
              </w:rPr>
              <w:t>-</w:t>
            </w:r>
            <w:r w:rsidRPr="00887B27">
              <w:rPr>
                <w:noProof/>
                <w:color w:val="000000"/>
                <w:sz w:val="22"/>
              </w:rPr>
              <w:t>2021</w:t>
            </w:r>
          </w:p>
        </w:tc>
        <w:tc>
          <w:tcPr>
            <w:tcW w:w="1418" w:type="dxa"/>
            <w:noWrap/>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04</w:t>
            </w:r>
            <w:r>
              <w:rPr>
                <w:noProof/>
                <w:color w:val="000000"/>
                <w:sz w:val="22"/>
              </w:rPr>
              <w:t>-</w:t>
            </w:r>
            <w:r w:rsidRPr="00887B27">
              <w:rPr>
                <w:noProof/>
                <w:color w:val="000000"/>
                <w:sz w:val="22"/>
              </w:rPr>
              <w:t>10</w:t>
            </w:r>
            <w:r>
              <w:rPr>
                <w:noProof/>
                <w:color w:val="000000"/>
                <w:sz w:val="22"/>
              </w:rPr>
              <w:t>-</w:t>
            </w:r>
            <w:r w:rsidRPr="00887B27">
              <w:rPr>
                <w:noProof/>
                <w:color w:val="000000"/>
                <w:sz w:val="22"/>
              </w:rPr>
              <w:t>2028</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7</w:t>
            </w:r>
          </w:p>
        </w:tc>
        <w:tc>
          <w:tcPr>
            <w:tcW w:w="1701"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9</w:t>
            </w:r>
          </w:p>
        </w:tc>
      </w:tr>
      <w:tr w:rsidR="008B6253" w:rsidRPr="00231F73" w:rsidTr="00161872">
        <w:trPr>
          <w:trHeight w:val="413"/>
        </w:trPr>
        <w:tc>
          <w:tcPr>
            <w:cnfStyle w:val="001000000000" w:firstRow="0" w:lastRow="0" w:firstColumn="1" w:lastColumn="0" w:oddVBand="0" w:evenVBand="0" w:oddHBand="0" w:evenHBand="0" w:firstRowFirstColumn="0" w:firstRowLastColumn="0" w:lastRowFirstColumn="0" w:lastRowLastColumn="0"/>
            <w:tcW w:w="1526" w:type="dxa"/>
          </w:tcPr>
          <w:p w:rsidR="008B6253" w:rsidRPr="00864D5D" w:rsidRDefault="008B6253" w:rsidP="001F5468">
            <w:pPr>
              <w:jc w:val="center"/>
              <w:rPr>
                <w:noProof/>
                <w:color w:val="000000"/>
                <w:sz w:val="22"/>
              </w:rPr>
            </w:pPr>
            <w:r>
              <w:rPr>
                <w:noProof/>
                <w:color w:val="000000"/>
                <w:sz w:val="22"/>
              </w:rPr>
              <w:t>Adjudication obligataire nº </w:t>
            </w:r>
            <w:r w:rsidRPr="00887B27">
              <w:rPr>
                <w:noProof/>
                <w:color w:val="000000"/>
                <w:sz w:val="22"/>
              </w:rPr>
              <w:t>1</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27</w:t>
            </w:r>
            <w:r>
              <w:rPr>
                <w:noProof/>
                <w:color w:val="000000"/>
                <w:sz w:val="22"/>
              </w:rPr>
              <w:t>-</w:t>
            </w:r>
            <w:r w:rsidRPr="00887B27">
              <w:rPr>
                <w:noProof/>
                <w:color w:val="000000"/>
                <w:sz w:val="22"/>
              </w:rPr>
              <w:t>09</w:t>
            </w:r>
            <w:r>
              <w:rPr>
                <w:noProof/>
                <w:color w:val="000000"/>
                <w:sz w:val="22"/>
              </w:rPr>
              <w:t>-</w:t>
            </w:r>
            <w:r w:rsidRPr="00887B27">
              <w:rPr>
                <w:noProof/>
                <w:color w:val="000000"/>
                <w:sz w:val="22"/>
              </w:rPr>
              <w:t>2021</w:t>
            </w:r>
          </w:p>
        </w:tc>
        <w:tc>
          <w:tcPr>
            <w:tcW w:w="1701" w:type="dxa"/>
            <w:noWrap/>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29</w:t>
            </w:r>
            <w:r>
              <w:rPr>
                <w:noProof/>
                <w:color w:val="000000"/>
                <w:sz w:val="22"/>
              </w:rPr>
              <w:t>-</w:t>
            </w:r>
            <w:r w:rsidRPr="00887B27">
              <w:rPr>
                <w:noProof/>
                <w:color w:val="000000"/>
                <w:sz w:val="22"/>
              </w:rPr>
              <w:t>09</w:t>
            </w:r>
            <w:r>
              <w:rPr>
                <w:noProof/>
                <w:color w:val="000000"/>
                <w:sz w:val="22"/>
              </w:rPr>
              <w:t>-</w:t>
            </w:r>
            <w:r w:rsidRPr="00887B27">
              <w:rPr>
                <w:noProof/>
                <w:color w:val="000000"/>
                <w:sz w:val="22"/>
              </w:rPr>
              <w:t>2021</w:t>
            </w:r>
          </w:p>
        </w:tc>
        <w:tc>
          <w:tcPr>
            <w:tcW w:w="1418" w:type="dxa"/>
            <w:noWrap/>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06</w:t>
            </w:r>
            <w:r>
              <w:rPr>
                <w:noProof/>
                <w:color w:val="000000"/>
                <w:sz w:val="22"/>
              </w:rPr>
              <w:t>-</w:t>
            </w:r>
            <w:r w:rsidRPr="00887B27">
              <w:rPr>
                <w:noProof/>
                <w:color w:val="000000"/>
                <w:sz w:val="22"/>
              </w:rPr>
              <w:t>07</w:t>
            </w:r>
            <w:r>
              <w:rPr>
                <w:noProof/>
                <w:color w:val="000000"/>
                <w:sz w:val="22"/>
              </w:rPr>
              <w:t>-</w:t>
            </w:r>
            <w:r w:rsidRPr="00887B27">
              <w:rPr>
                <w:noProof/>
                <w:color w:val="000000"/>
                <w:sz w:val="22"/>
              </w:rPr>
              <w:t>2026</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5</w:t>
            </w:r>
          </w:p>
        </w:tc>
        <w:tc>
          <w:tcPr>
            <w:tcW w:w="1701"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w:t>
            </w:r>
            <w:r>
              <w:rPr>
                <w:noProof/>
                <w:color w:val="000000"/>
                <w:sz w:val="22"/>
              </w:rPr>
              <w:t>,</w:t>
            </w:r>
            <w:r w:rsidRPr="00887B27">
              <w:rPr>
                <w:noProof/>
                <w:color w:val="000000"/>
                <w:sz w:val="22"/>
              </w:rPr>
              <w:t>495</w:t>
            </w:r>
          </w:p>
        </w:tc>
      </w:tr>
      <w:tr w:rsidR="008B6253" w:rsidRPr="00231F73" w:rsidTr="001F5468">
        <w:trPr>
          <w:trHeight w:val="413"/>
        </w:trPr>
        <w:tc>
          <w:tcPr>
            <w:cnfStyle w:val="001000000000" w:firstRow="0" w:lastRow="0" w:firstColumn="1" w:lastColumn="0" w:oddVBand="0" w:evenVBand="0" w:oddHBand="0" w:evenHBand="0" w:firstRowFirstColumn="0" w:firstRowLastColumn="0" w:lastRowFirstColumn="0" w:lastRowLastColumn="0"/>
            <w:tcW w:w="9180" w:type="dxa"/>
            <w:gridSpan w:val="6"/>
            <w:vAlign w:val="center"/>
          </w:tcPr>
          <w:p w:rsidR="008B6253" w:rsidRPr="00864D5D" w:rsidRDefault="008B6253" w:rsidP="001F5468">
            <w:pPr>
              <w:jc w:val="center"/>
              <w:rPr>
                <w:noProof/>
                <w:color w:val="000000"/>
                <w:sz w:val="22"/>
              </w:rPr>
            </w:pPr>
            <w:r w:rsidRPr="00887B27">
              <w:rPr>
                <w:noProof/>
                <w:color w:val="000000"/>
                <w:sz w:val="22"/>
              </w:rPr>
              <w:t>2021</w:t>
            </w:r>
            <w:r>
              <w:rPr>
                <w:noProof/>
                <w:color w:val="000000"/>
                <w:sz w:val="22"/>
              </w:rPr>
              <w:t xml:space="preserve"> T</w:t>
            </w:r>
            <w:r w:rsidRPr="00887B27">
              <w:rPr>
                <w:noProof/>
                <w:color w:val="000000"/>
                <w:sz w:val="22"/>
              </w:rPr>
              <w:t>4</w:t>
            </w:r>
          </w:p>
        </w:tc>
      </w:tr>
      <w:tr w:rsidR="008B6253" w:rsidRPr="00231F73" w:rsidTr="00161872">
        <w:trPr>
          <w:trHeight w:val="413"/>
        </w:trPr>
        <w:tc>
          <w:tcPr>
            <w:cnfStyle w:val="001000000000" w:firstRow="0" w:lastRow="0" w:firstColumn="1" w:lastColumn="0" w:oddVBand="0" w:evenVBand="0" w:oddHBand="0" w:evenHBand="0" w:firstRowFirstColumn="0" w:firstRowLastColumn="0" w:lastRowFirstColumn="0" w:lastRowLastColumn="0"/>
            <w:tcW w:w="1526" w:type="dxa"/>
          </w:tcPr>
          <w:p w:rsidR="008B6253" w:rsidRPr="00864D5D" w:rsidRDefault="008B6253" w:rsidP="001F5468">
            <w:pPr>
              <w:jc w:val="center"/>
              <w:rPr>
                <w:noProof/>
                <w:color w:val="000000"/>
                <w:sz w:val="22"/>
              </w:rPr>
            </w:pPr>
            <w:r>
              <w:rPr>
                <w:noProof/>
                <w:color w:val="000000"/>
                <w:sz w:val="22"/>
              </w:rPr>
              <w:t xml:space="preserve">Syndication d’obligations vertes NGEU nº </w:t>
            </w:r>
            <w:r w:rsidRPr="00887B27">
              <w:rPr>
                <w:noProof/>
                <w:color w:val="000000"/>
                <w:sz w:val="22"/>
              </w:rPr>
              <w:t>5</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12</w:t>
            </w:r>
            <w:r>
              <w:rPr>
                <w:noProof/>
                <w:color w:val="000000"/>
                <w:sz w:val="22"/>
              </w:rPr>
              <w:t>-</w:t>
            </w:r>
            <w:r w:rsidRPr="00887B27">
              <w:rPr>
                <w:noProof/>
                <w:color w:val="000000"/>
                <w:sz w:val="22"/>
              </w:rPr>
              <w:t>10</w:t>
            </w:r>
            <w:r>
              <w:rPr>
                <w:noProof/>
                <w:color w:val="000000"/>
                <w:sz w:val="22"/>
              </w:rPr>
              <w:t>-</w:t>
            </w:r>
            <w:r w:rsidRPr="00887B27">
              <w:rPr>
                <w:noProof/>
                <w:color w:val="000000"/>
                <w:sz w:val="22"/>
              </w:rPr>
              <w:t>2021</w:t>
            </w:r>
          </w:p>
        </w:tc>
        <w:tc>
          <w:tcPr>
            <w:tcW w:w="1701" w:type="dxa"/>
            <w:noWrap/>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19</w:t>
            </w:r>
            <w:r>
              <w:rPr>
                <w:noProof/>
                <w:color w:val="000000"/>
                <w:sz w:val="22"/>
              </w:rPr>
              <w:t>-</w:t>
            </w:r>
            <w:r w:rsidRPr="00887B27">
              <w:rPr>
                <w:noProof/>
                <w:color w:val="000000"/>
                <w:sz w:val="22"/>
              </w:rPr>
              <w:t>10</w:t>
            </w:r>
            <w:r>
              <w:rPr>
                <w:noProof/>
                <w:color w:val="000000"/>
                <w:sz w:val="22"/>
              </w:rPr>
              <w:t>-</w:t>
            </w:r>
            <w:r w:rsidRPr="00887B27">
              <w:rPr>
                <w:noProof/>
                <w:color w:val="000000"/>
                <w:sz w:val="22"/>
              </w:rPr>
              <w:t>2021</w:t>
            </w:r>
          </w:p>
        </w:tc>
        <w:tc>
          <w:tcPr>
            <w:tcW w:w="1418" w:type="dxa"/>
            <w:noWrap/>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04</w:t>
            </w:r>
            <w:r>
              <w:rPr>
                <w:noProof/>
                <w:color w:val="000000"/>
                <w:sz w:val="22"/>
              </w:rPr>
              <w:t>-</w:t>
            </w:r>
            <w:r w:rsidRPr="00887B27">
              <w:rPr>
                <w:noProof/>
                <w:color w:val="000000"/>
                <w:sz w:val="22"/>
              </w:rPr>
              <w:t>02</w:t>
            </w:r>
            <w:r>
              <w:rPr>
                <w:noProof/>
                <w:color w:val="000000"/>
                <w:sz w:val="22"/>
              </w:rPr>
              <w:t>-</w:t>
            </w:r>
            <w:r w:rsidRPr="00887B27">
              <w:rPr>
                <w:noProof/>
                <w:color w:val="000000"/>
                <w:sz w:val="22"/>
              </w:rPr>
              <w:t>2037</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15</w:t>
            </w:r>
            <w:r>
              <w:rPr>
                <w:noProof/>
                <w:color w:val="000000"/>
                <w:sz w:val="22"/>
              </w:rPr>
              <w:t>.</w:t>
            </w:r>
            <w:r w:rsidRPr="00887B27">
              <w:rPr>
                <w:noProof/>
                <w:color w:val="000000"/>
                <w:sz w:val="22"/>
              </w:rPr>
              <w:t>3</w:t>
            </w:r>
          </w:p>
        </w:tc>
        <w:tc>
          <w:tcPr>
            <w:tcW w:w="1701"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12</w:t>
            </w:r>
          </w:p>
        </w:tc>
      </w:tr>
      <w:tr w:rsidR="008B6253" w:rsidRPr="00231F73" w:rsidTr="00161872">
        <w:trPr>
          <w:trHeight w:val="413"/>
        </w:trPr>
        <w:tc>
          <w:tcPr>
            <w:cnfStyle w:val="001000000000" w:firstRow="0" w:lastRow="0" w:firstColumn="1" w:lastColumn="0" w:oddVBand="0" w:evenVBand="0" w:oddHBand="0" w:evenHBand="0" w:firstRowFirstColumn="0" w:firstRowLastColumn="0" w:lastRowFirstColumn="0" w:lastRowLastColumn="0"/>
            <w:tcW w:w="1526" w:type="dxa"/>
          </w:tcPr>
          <w:p w:rsidR="008B6253" w:rsidRPr="00864D5D" w:rsidRDefault="008B6253" w:rsidP="001F5468">
            <w:pPr>
              <w:jc w:val="center"/>
              <w:rPr>
                <w:noProof/>
                <w:color w:val="000000"/>
                <w:sz w:val="22"/>
              </w:rPr>
            </w:pPr>
            <w:r>
              <w:rPr>
                <w:noProof/>
                <w:color w:val="000000"/>
                <w:sz w:val="22"/>
              </w:rPr>
              <w:t>Adjudication obligataire nº </w:t>
            </w:r>
            <w:r w:rsidRPr="00887B27">
              <w:rPr>
                <w:noProof/>
                <w:color w:val="000000"/>
                <w:sz w:val="22"/>
              </w:rPr>
              <w:t>2</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25</w:t>
            </w:r>
            <w:r>
              <w:rPr>
                <w:noProof/>
                <w:color w:val="000000"/>
                <w:sz w:val="22"/>
              </w:rPr>
              <w:t>-</w:t>
            </w:r>
            <w:r w:rsidRPr="00887B27">
              <w:rPr>
                <w:noProof/>
                <w:color w:val="000000"/>
                <w:sz w:val="22"/>
              </w:rPr>
              <w:t>10</w:t>
            </w:r>
            <w:r>
              <w:rPr>
                <w:noProof/>
                <w:color w:val="000000"/>
                <w:sz w:val="22"/>
              </w:rPr>
              <w:t>-</w:t>
            </w:r>
            <w:r w:rsidRPr="00887B27">
              <w:rPr>
                <w:noProof/>
                <w:color w:val="000000"/>
                <w:sz w:val="22"/>
              </w:rPr>
              <w:t>2021</w:t>
            </w:r>
          </w:p>
        </w:tc>
        <w:tc>
          <w:tcPr>
            <w:tcW w:w="1701" w:type="dxa"/>
            <w:noWrap/>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27</w:t>
            </w:r>
            <w:r>
              <w:rPr>
                <w:noProof/>
                <w:color w:val="000000"/>
                <w:sz w:val="22"/>
              </w:rPr>
              <w:t>-</w:t>
            </w:r>
            <w:r w:rsidRPr="00887B27">
              <w:rPr>
                <w:noProof/>
                <w:color w:val="000000"/>
                <w:sz w:val="22"/>
              </w:rPr>
              <w:t>10</w:t>
            </w:r>
            <w:r>
              <w:rPr>
                <w:noProof/>
                <w:color w:val="000000"/>
                <w:sz w:val="22"/>
              </w:rPr>
              <w:t>-</w:t>
            </w:r>
            <w:r w:rsidRPr="00887B27">
              <w:rPr>
                <w:noProof/>
                <w:color w:val="000000"/>
                <w:sz w:val="22"/>
              </w:rPr>
              <w:t>2021</w:t>
            </w:r>
          </w:p>
        </w:tc>
        <w:tc>
          <w:tcPr>
            <w:tcW w:w="1418" w:type="dxa"/>
            <w:noWrap/>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04</w:t>
            </w:r>
            <w:r>
              <w:rPr>
                <w:noProof/>
                <w:color w:val="000000"/>
                <w:sz w:val="22"/>
              </w:rPr>
              <w:t>-</w:t>
            </w:r>
            <w:r w:rsidRPr="00887B27">
              <w:rPr>
                <w:noProof/>
                <w:color w:val="000000"/>
                <w:sz w:val="22"/>
              </w:rPr>
              <w:t>10</w:t>
            </w:r>
            <w:r>
              <w:rPr>
                <w:noProof/>
                <w:color w:val="000000"/>
                <w:sz w:val="22"/>
              </w:rPr>
              <w:t>-</w:t>
            </w:r>
            <w:r w:rsidRPr="00887B27">
              <w:rPr>
                <w:noProof/>
                <w:color w:val="000000"/>
                <w:sz w:val="22"/>
              </w:rPr>
              <w:t>2028</w:t>
            </w:r>
          </w:p>
        </w:tc>
        <w:tc>
          <w:tcPr>
            <w:tcW w:w="1417"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7</w:t>
            </w:r>
          </w:p>
        </w:tc>
        <w:tc>
          <w:tcPr>
            <w:tcW w:w="1701" w:type="dxa"/>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2</w:t>
            </w:r>
            <w:r>
              <w:rPr>
                <w:noProof/>
                <w:color w:val="000000"/>
                <w:sz w:val="22"/>
              </w:rPr>
              <w:t>,</w:t>
            </w:r>
            <w:r w:rsidRPr="00887B27">
              <w:rPr>
                <w:noProof/>
                <w:color w:val="000000"/>
                <w:sz w:val="22"/>
              </w:rPr>
              <w:t>497</w:t>
            </w:r>
          </w:p>
        </w:tc>
      </w:tr>
      <w:tr w:rsidR="008B6253" w:rsidRPr="00231F73" w:rsidTr="001F5468">
        <w:trPr>
          <w:trHeight w:val="413"/>
        </w:trPr>
        <w:tc>
          <w:tcPr>
            <w:cnfStyle w:val="001000000000" w:firstRow="0" w:lastRow="0" w:firstColumn="1" w:lastColumn="0" w:oddVBand="0" w:evenVBand="0" w:oddHBand="0" w:evenHBand="0" w:firstRowFirstColumn="0" w:firstRowLastColumn="0" w:lastRowFirstColumn="0" w:lastRowLastColumn="0"/>
            <w:tcW w:w="7479" w:type="dxa"/>
            <w:gridSpan w:val="5"/>
            <w:vAlign w:val="center"/>
          </w:tcPr>
          <w:p w:rsidR="008B6253" w:rsidRPr="00864D5D" w:rsidRDefault="008B6253" w:rsidP="001F5468">
            <w:pPr>
              <w:jc w:val="right"/>
              <w:rPr>
                <w:noProof/>
                <w:color w:val="000000"/>
                <w:sz w:val="22"/>
              </w:rPr>
            </w:pPr>
            <w:r>
              <w:rPr>
                <w:noProof/>
                <w:color w:val="000000"/>
                <w:sz w:val="22"/>
              </w:rPr>
              <w:t>Total</w:t>
            </w:r>
          </w:p>
        </w:tc>
        <w:tc>
          <w:tcPr>
            <w:tcW w:w="1701" w:type="dxa"/>
            <w:vAlign w:val="center"/>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rPr>
            </w:pPr>
            <w:r w:rsidRPr="00887B27">
              <w:rPr>
                <w:noProof/>
                <w:color w:val="000000"/>
                <w:sz w:val="22"/>
              </w:rPr>
              <w:t>70</w:t>
            </w:r>
            <w:r>
              <w:rPr>
                <w:noProof/>
                <w:color w:val="000000"/>
                <w:sz w:val="22"/>
              </w:rPr>
              <w:t>,</w:t>
            </w:r>
            <w:r w:rsidRPr="00887B27">
              <w:rPr>
                <w:noProof/>
                <w:color w:val="000000"/>
                <w:sz w:val="22"/>
              </w:rPr>
              <w:t>992</w:t>
            </w:r>
          </w:p>
        </w:tc>
      </w:tr>
    </w:tbl>
    <w:p w:rsidR="008B6253" w:rsidRPr="00231F73" w:rsidRDefault="008B6253" w:rsidP="008B6253">
      <w:pPr>
        <w:pStyle w:val="ListParagraph"/>
        <w:ind w:left="0"/>
        <w:rPr>
          <w:rFonts w:ascii="Times New Roman" w:hAnsi="Times New Roman" w:cs="Times New Roman"/>
          <w:noProof/>
          <w:color w:val="1F497D"/>
        </w:rPr>
      </w:pPr>
    </w:p>
    <w:p w:rsidR="008B6253" w:rsidRDefault="008B6253" w:rsidP="008B6253">
      <w:pPr>
        <w:rPr>
          <w:b/>
          <w:noProof/>
        </w:rPr>
      </w:pPr>
      <w:r>
        <w:rPr>
          <w:noProof/>
        </w:rPr>
        <w:br w:type="page"/>
      </w:r>
    </w:p>
    <w:p w:rsidR="008B6253" w:rsidRPr="00864D5D" w:rsidRDefault="008B6253" w:rsidP="008B6253">
      <w:pPr>
        <w:rPr>
          <w:rFonts w:eastAsia="Calibri"/>
          <w:b/>
          <w:bCs/>
          <w:smallCaps/>
          <w:noProof/>
          <w:color w:val="5B9BD5" w:themeColor="accent1"/>
          <w:spacing w:val="5"/>
        </w:rPr>
      </w:pPr>
      <w:r>
        <w:rPr>
          <w:b/>
          <w:noProof/>
        </w:rPr>
        <w:t>Figure </w:t>
      </w:r>
      <w:r w:rsidRPr="00887B27">
        <w:rPr>
          <w:b/>
          <w:noProof/>
        </w:rPr>
        <w:t>2</w:t>
      </w:r>
      <w:r>
        <w:rPr>
          <w:b/>
          <w:noProof/>
        </w:rPr>
        <w:t>: Vue d’ensemble des adjudications de titres de créance à court terme de l’UE</w:t>
      </w:r>
    </w:p>
    <w:tbl>
      <w:tblPr>
        <w:tblStyle w:val="GridTable1Light-Accent1"/>
        <w:tblW w:w="9180" w:type="dxa"/>
        <w:tblLook w:val="04A0" w:firstRow="1" w:lastRow="0" w:firstColumn="1" w:lastColumn="0" w:noHBand="0" w:noVBand="1"/>
      </w:tblPr>
      <w:tblGrid>
        <w:gridCol w:w="1451"/>
        <w:gridCol w:w="1559"/>
        <w:gridCol w:w="1655"/>
        <w:gridCol w:w="1440"/>
        <w:gridCol w:w="24"/>
        <w:gridCol w:w="1350"/>
        <w:gridCol w:w="1701"/>
      </w:tblGrid>
      <w:tr w:rsidR="008B6253" w:rsidRPr="00231F73" w:rsidTr="001F5468">
        <w:trPr>
          <w:cnfStyle w:val="100000000000" w:firstRow="1" w:lastRow="0" w:firstColumn="0" w:lastColumn="0" w:oddVBand="0" w:evenVBand="0" w:oddHBand="0"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384" w:type="dxa"/>
            <w:vMerge w:val="restart"/>
            <w:hideMark/>
          </w:tcPr>
          <w:p w:rsidR="008B6253" w:rsidRPr="00864D5D" w:rsidRDefault="008B6253" w:rsidP="001F5468">
            <w:pPr>
              <w:jc w:val="center"/>
              <w:rPr>
                <w:noProof/>
                <w:color w:val="000000"/>
                <w:sz w:val="22"/>
                <w:szCs w:val="22"/>
              </w:rPr>
            </w:pPr>
            <w:r>
              <w:rPr>
                <w:noProof/>
                <w:color w:val="000000"/>
                <w:sz w:val="22"/>
                <w:szCs w:val="22"/>
              </w:rPr>
              <w:t>Instrument</w:t>
            </w:r>
          </w:p>
        </w:tc>
        <w:tc>
          <w:tcPr>
            <w:tcW w:w="1559" w:type="dxa"/>
            <w:vMerge w:val="restart"/>
            <w:hideMark/>
          </w:tcPr>
          <w:p w:rsidR="008B6253" w:rsidRPr="00864D5D" w:rsidRDefault="008B6253" w:rsidP="001F5468">
            <w:pPr>
              <w:jc w:val="center"/>
              <w:cnfStyle w:val="100000000000" w:firstRow="1" w:lastRow="0" w:firstColumn="0" w:lastColumn="0" w:oddVBand="0" w:evenVBand="0" w:oddHBand="0" w:evenHBand="0" w:firstRowFirstColumn="0" w:firstRowLastColumn="0" w:lastRowFirstColumn="0" w:lastRowLastColumn="0"/>
              <w:rPr>
                <w:noProof/>
                <w:color w:val="000000"/>
                <w:sz w:val="22"/>
                <w:szCs w:val="22"/>
              </w:rPr>
            </w:pPr>
            <w:r>
              <w:rPr>
                <w:noProof/>
                <w:color w:val="000000"/>
                <w:sz w:val="22"/>
                <w:szCs w:val="22"/>
              </w:rPr>
              <w:t>Date de la</w:t>
            </w:r>
            <w:r>
              <w:rPr>
                <w:noProof/>
              </w:rPr>
              <w:t xml:space="preserve"> </w:t>
            </w:r>
            <w:r>
              <w:rPr>
                <w:noProof/>
              </w:rPr>
              <w:br/>
            </w:r>
            <w:r>
              <w:rPr>
                <w:noProof/>
                <w:color w:val="000000"/>
                <w:sz w:val="22"/>
                <w:szCs w:val="22"/>
              </w:rPr>
              <w:t>transaction</w:t>
            </w:r>
          </w:p>
        </w:tc>
        <w:tc>
          <w:tcPr>
            <w:tcW w:w="1655" w:type="dxa"/>
            <w:vMerge w:val="restart"/>
            <w:hideMark/>
          </w:tcPr>
          <w:p w:rsidR="008B6253" w:rsidRPr="00864D5D" w:rsidRDefault="008B6253" w:rsidP="001F5468">
            <w:pPr>
              <w:jc w:val="center"/>
              <w:cnfStyle w:val="100000000000" w:firstRow="1" w:lastRow="0" w:firstColumn="0" w:lastColumn="0" w:oddVBand="0" w:evenVBand="0" w:oddHBand="0" w:evenHBand="0" w:firstRowFirstColumn="0" w:firstRowLastColumn="0" w:lastRowFirstColumn="0" w:lastRowLastColumn="0"/>
              <w:rPr>
                <w:noProof/>
                <w:color w:val="000000"/>
                <w:sz w:val="22"/>
                <w:szCs w:val="22"/>
              </w:rPr>
            </w:pPr>
            <w:r>
              <w:rPr>
                <w:noProof/>
                <w:color w:val="000000"/>
                <w:sz w:val="22"/>
                <w:szCs w:val="22"/>
              </w:rPr>
              <w:t>Date de décaissement</w:t>
            </w:r>
          </w:p>
        </w:tc>
        <w:tc>
          <w:tcPr>
            <w:tcW w:w="2881" w:type="dxa"/>
            <w:gridSpan w:val="3"/>
            <w:hideMark/>
          </w:tcPr>
          <w:p w:rsidR="008B6253" w:rsidRPr="00864D5D" w:rsidRDefault="008B6253" w:rsidP="001F5468">
            <w:pPr>
              <w:jc w:val="center"/>
              <w:cnfStyle w:val="100000000000" w:firstRow="1" w:lastRow="0" w:firstColumn="0" w:lastColumn="0" w:oddVBand="0" w:evenVBand="0" w:oddHBand="0" w:evenHBand="0" w:firstRowFirstColumn="0" w:firstRowLastColumn="0" w:lastRowFirstColumn="0" w:lastRowLastColumn="0"/>
              <w:rPr>
                <w:noProof/>
                <w:color w:val="000000"/>
                <w:sz w:val="22"/>
                <w:szCs w:val="22"/>
              </w:rPr>
            </w:pPr>
            <w:r>
              <w:rPr>
                <w:noProof/>
                <w:color w:val="000000"/>
                <w:sz w:val="22"/>
                <w:szCs w:val="22"/>
              </w:rPr>
              <w:t>Échéance</w:t>
            </w:r>
          </w:p>
        </w:tc>
        <w:tc>
          <w:tcPr>
            <w:tcW w:w="1701" w:type="dxa"/>
            <w:vMerge w:val="restart"/>
            <w:hideMark/>
          </w:tcPr>
          <w:p w:rsidR="008B6253" w:rsidRPr="00864D5D" w:rsidRDefault="008B6253" w:rsidP="001F5468">
            <w:pPr>
              <w:jc w:val="center"/>
              <w:cnfStyle w:val="100000000000" w:firstRow="1" w:lastRow="0" w:firstColumn="0" w:lastColumn="0" w:oddVBand="0" w:evenVBand="0" w:oddHBand="0" w:evenHBand="0" w:firstRowFirstColumn="0" w:firstRowLastColumn="0" w:lastRowFirstColumn="0" w:lastRowLastColumn="0"/>
              <w:rPr>
                <w:noProof/>
                <w:color w:val="000000"/>
                <w:sz w:val="22"/>
                <w:szCs w:val="22"/>
              </w:rPr>
            </w:pPr>
            <w:r>
              <w:rPr>
                <w:noProof/>
                <w:color w:val="000000"/>
                <w:sz w:val="22"/>
                <w:szCs w:val="22"/>
              </w:rPr>
              <w:t>Montant émis</w:t>
            </w:r>
            <w:r>
              <w:rPr>
                <w:noProof/>
              </w:rPr>
              <w:t xml:space="preserve"> </w:t>
            </w:r>
            <w:r>
              <w:rPr>
                <w:noProof/>
              </w:rPr>
              <w:br/>
            </w:r>
            <w:r>
              <w:rPr>
                <w:noProof/>
                <w:color w:val="000000"/>
                <w:sz w:val="22"/>
                <w:szCs w:val="22"/>
              </w:rPr>
              <w:t xml:space="preserve"> (en EUR)</w:t>
            </w:r>
          </w:p>
        </w:tc>
      </w:tr>
      <w:tr w:rsidR="008B6253" w:rsidRPr="00231F73" w:rsidTr="001F5468">
        <w:trPr>
          <w:trHeight w:val="373"/>
        </w:trPr>
        <w:tc>
          <w:tcPr>
            <w:cnfStyle w:val="001000000000" w:firstRow="0" w:lastRow="0" w:firstColumn="1" w:lastColumn="0" w:oddVBand="0" w:evenVBand="0" w:oddHBand="0" w:evenHBand="0" w:firstRowFirstColumn="0" w:firstRowLastColumn="0" w:lastRowFirstColumn="0" w:lastRowLastColumn="0"/>
            <w:tcW w:w="1384" w:type="dxa"/>
            <w:vMerge/>
            <w:tcBorders>
              <w:bottom w:val="single" w:sz="12" w:space="0" w:color="9CC2E5" w:themeColor="accent1" w:themeTint="99"/>
            </w:tcBorders>
          </w:tcPr>
          <w:p w:rsidR="008B6253" w:rsidRPr="00864D5D" w:rsidRDefault="008B6253" w:rsidP="001F5468">
            <w:pPr>
              <w:jc w:val="center"/>
              <w:rPr>
                <w:noProof/>
                <w:color w:val="000000"/>
                <w:sz w:val="22"/>
                <w:szCs w:val="22"/>
                <w:lang w:val="en-US"/>
              </w:rPr>
            </w:pPr>
          </w:p>
        </w:tc>
        <w:tc>
          <w:tcPr>
            <w:tcW w:w="1559" w:type="dxa"/>
            <w:vMerge/>
            <w:tcBorders>
              <w:bottom w:val="single" w:sz="12" w:space="0" w:color="9CC2E5" w:themeColor="accent1" w:themeTint="99"/>
            </w:tcBorders>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655" w:type="dxa"/>
            <w:vMerge/>
            <w:tcBorders>
              <w:bottom w:val="single" w:sz="12" w:space="0" w:color="9CC2E5" w:themeColor="accent1" w:themeTint="99"/>
            </w:tcBorders>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440" w:type="dxa"/>
            <w:tcBorders>
              <w:bottom w:val="single" w:sz="12" w:space="0" w:color="9CC2E5" w:themeColor="accent1" w:themeTint="99"/>
            </w:tcBorders>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bCs/>
                <w:noProof/>
                <w:color w:val="000000"/>
                <w:sz w:val="22"/>
                <w:szCs w:val="22"/>
              </w:rPr>
            </w:pPr>
            <w:r>
              <w:rPr>
                <w:bCs/>
                <w:noProof/>
                <w:color w:val="000000"/>
                <w:sz w:val="22"/>
                <w:szCs w:val="22"/>
              </w:rPr>
              <w:t>date</w:t>
            </w:r>
          </w:p>
        </w:tc>
        <w:tc>
          <w:tcPr>
            <w:tcW w:w="1441" w:type="dxa"/>
            <w:gridSpan w:val="2"/>
            <w:tcBorders>
              <w:bottom w:val="single" w:sz="12" w:space="0" w:color="9CC2E5" w:themeColor="accent1" w:themeTint="99"/>
            </w:tcBorders>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Pr>
                <w:noProof/>
                <w:color w:val="000000"/>
                <w:sz w:val="22"/>
                <w:szCs w:val="22"/>
              </w:rPr>
              <w:t>mois</w:t>
            </w:r>
          </w:p>
        </w:tc>
        <w:tc>
          <w:tcPr>
            <w:tcW w:w="1701" w:type="dxa"/>
            <w:vMerge/>
            <w:tcBorders>
              <w:bottom w:val="single" w:sz="12" w:space="0" w:color="9CC2E5" w:themeColor="accent1" w:themeTint="99"/>
            </w:tcBorders>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r>
      <w:tr w:rsidR="008B6253" w:rsidRPr="00231F73" w:rsidTr="001F5468">
        <w:trPr>
          <w:trHeight w:val="404"/>
        </w:trPr>
        <w:tc>
          <w:tcPr>
            <w:cnfStyle w:val="001000000000" w:firstRow="0" w:lastRow="0" w:firstColumn="1" w:lastColumn="0" w:oddVBand="0" w:evenVBand="0" w:oddHBand="0" w:evenHBand="0" w:firstRowFirstColumn="0" w:firstRowLastColumn="0" w:lastRowFirstColumn="0" w:lastRowLastColumn="0"/>
            <w:tcW w:w="9180" w:type="dxa"/>
            <w:gridSpan w:val="7"/>
            <w:vAlign w:val="center"/>
          </w:tcPr>
          <w:p w:rsidR="008B6253" w:rsidRPr="00864D5D" w:rsidRDefault="008B6253" w:rsidP="001F5468">
            <w:pPr>
              <w:jc w:val="center"/>
              <w:rPr>
                <w:noProof/>
                <w:color w:val="000000"/>
                <w:sz w:val="22"/>
                <w:szCs w:val="22"/>
              </w:rPr>
            </w:pPr>
            <w:r w:rsidRPr="00887B27">
              <w:rPr>
                <w:noProof/>
                <w:color w:val="000000"/>
                <w:sz w:val="22"/>
                <w:szCs w:val="22"/>
              </w:rPr>
              <w:t>2021</w:t>
            </w:r>
            <w:r>
              <w:rPr>
                <w:noProof/>
                <w:color w:val="000000"/>
                <w:sz w:val="22"/>
                <w:szCs w:val="22"/>
              </w:rPr>
              <w:t xml:space="preserve"> T</w:t>
            </w:r>
            <w:r w:rsidRPr="00887B27">
              <w:rPr>
                <w:noProof/>
                <w:color w:val="000000"/>
                <w:sz w:val="22"/>
                <w:szCs w:val="22"/>
              </w:rPr>
              <w:t>3</w:t>
            </w:r>
          </w:p>
        </w:tc>
      </w:tr>
      <w:tr w:rsidR="008B6253" w:rsidRPr="00231F73" w:rsidTr="001F5468">
        <w:trPr>
          <w:trHeight w:val="404"/>
        </w:trPr>
        <w:tc>
          <w:tcPr>
            <w:cnfStyle w:val="001000000000" w:firstRow="0" w:lastRow="0" w:firstColumn="1" w:lastColumn="0" w:oddVBand="0" w:evenVBand="0" w:oddHBand="0" w:evenHBand="0" w:firstRowFirstColumn="0" w:firstRowLastColumn="0" w:lastRowFirstColumn="0" w:lastRowLastColumn="0"/>
            <w:tcW w:w="1384" w:type="dxa"/>
            <w:vMerge w:val="restart"/>
            <w:vAlign w:val="center"/>
            <w:hideMark/>
          </w:tcPr>
          <w:p w:rsidR="008B6253" w:rsidRPr="00864D5D" w:rsidRDefault="008B6253" w:rsidP="001F5468">
            <w:pPr>
              <w:jc w:val="center"/>
              <w:rPr>
                <w:noProof/>
                <w:color w:val="000000"/>
                <w:sz w:val="22"/>
                <w:szCs w:val="22"/>
              </w:rPr>
            </w:pPr>
            <w:r>
              <w:rPr>
                <w:noProof/>
                <w:color w:val="000000"/>
                <w:sz w:val="22"/>
                <w:szCs w:val="22"/>
              </w:rPr>
              <w:t>Adjudication de titres nº </w:t>
            </w:r>
            <w:r w:rsidRPr="00887B27">
              <w:rPr>
                <w:noProof/>
                <w:color w:val="000000"/>
                <w:sz w:val="22"/>
                <w:szCs w:val="22"/>
              </w:rPr>
              <w:t>1</w:t>
            </w:r>
          </w:p>
        </w:tc>
        <w:tc>
          <w:tcPr>
            <w:tcW w:w="1559"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15</w:t>
            </w:r>
            <w:r>
              <w:rPr>
                <w:noProof/>
                <w:color w:val="000000"/>
                <w:sz w:val="22"/>
                <w:szCs w:val="22"/>
              </w:rPr>
              <w:t>-</w:t>
            </w:r>
            <w:r w:rsidRPr="00887B27">
              <w:rPr>
                <w:noProof/>
                <w:color w:val="000000"/>
                <w:sz w:val="22"/>
                <w:szCs w:val="22"/>
              </w:rPr>
              <w:t>09</w:t>
            </w:r>
            <w:r>
              <w:rPr>
                <w:noProof/>
                <w:color w:val="000000"/>
                <w:sz w:val="22"/>
                <w:szCs w:val="22"/>
              </w:rPr>
              <w:t>-</w:t>
            </w:r>
            <w:r w:rsidRPr="00887B27">
              <w:rPr>
                <w:noProof/>
                <w:color w:val="000000"/>
                <w:sz w:val="22"/>
                <w:szCs w:val="22"/>
              </w:rPr>
              <w:t>2021</w:t>
            </w:r>
          </w:p>
        </w:tc>
        <w:tc>
          <w:tcPr>
            <w:tcW w:w="1655"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17</w:t>
            </w:r>
            <w:r>
              <w:rPr>
                <w:noProof/>
                <w:color w:val="000000"/>
                <w:sz w:val="22"/>
                <w:szCs w:val="22"/>
              </w:rPr>
              <w:t>-</w:t>
            </w:r>
            <w:r w:rsidRPr="00887B27">
              <w:rPr>
                <w:noProof/>
                <w:color w:val="000000"/>
                <w:sz w:val="22"/>
                <w:szCs w:val="22"/>
              </w:rPr>
              <w:t>09</w:t>
            </w:r>
            <w:r>
              <w:rPr>
                <w:noProof/>
                <w:color w:val="000000"/>
                <w:sz w:val="22"/>
                <w:szCs w:val="22"/>
              </w:rPr>
              <w:t>-</w:t>
            </w:r>
            <w:r w:rsidRPr="00887B27">
              <w:rPr>
                <w:noProof/>
                <w:color w:val="000000"/>
                <w:sz w:val="22"/>
                <w:szCs w:val="22"/>
              </w:rPr>
              <w:t>2021</w:t>
            </w:r>
          </w:p>
        </w:tc>
        <w:tc>
          <w:tcPr>
            <w:tcW w:w="1464" w:type="dxa"/>
            <w:gridSpan w:val="2"/>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03</w:t>
            </w:r>
            <w:r>
              <w:rPr>
                <w:noProof/>
                <w:color w:val="000000"/>
                <w:sz w:val="22"/>
                <w:szCs w:val="22"/>
              </w:rPr>
              <w:t>-</w:t>
            </w:r>
            <w:r w:rsidRPr="00887B27">
              <w:rPr>
                <w:noProof/>
                <w:color w:val="000000"/>
                <w:sz w:val="22"/>
                <w:szCs w:val="22"/>
              </w:rPr>
              <w:t>12</w:t>
            </w:r>
            <w:r>
              <w:rPr>
                <w:noProof/>
                <w:color w:val="000000"/>
                <w:sz w:val="22"/>
                <w:szCs w:val="22"/>
              </w:rPr>
              <w:t>-</w:t>
            </w:r>
            <w:r w:rsidRPr="00887B27">
              <w:rPr>
                <w:noProof/>
                <w:color w:val="000000"/>
                <w:sz w:val="22"/>
                <w:szCs w:val="22"/>
              </w:rPr>
              <w:t>2021</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3</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2</w:t>
            </w:r>
            <w:r>
              <w:rPr>
                <w:noProof/>
                <w:color w:val="000000"/>
                <w:sz w:val="22"/>
                <w:szCs w:val="22"/>
              </w:rPr>
              <w:t> </w:t>
            </w:r>
            <w:r w:rsidRPr="00887B27">
              <w:rPr>
                <w:noProof/>
                <w:color w:val="000000"/>
                <w:sz w:val="22"/>
                <w:szCs w:val="22"/>
              </w:rPr>
              <w:t>999</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23"/>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8B6253" w:rsidRPr="00864D5D" w:rsidRDefault="008B6253" w:rsidP="001F5468">
            <w:pPr>
              <w:jc w:val="center"/>
              <w:rPr>
                <w:noProof/>
                <w:color w:val="000000"/>
                <w:sz w:val="22"/>
                <w:szCs w:val="22"/>
                <w:lang w:val="en-US"/>
              </w:rPr>
            </w:pPr>
          </w:p>
        </w:tc>
        <w:tc>
          <w:tcPr>
            <w:tcW w:w="1559"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655"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464" w:type="dxa"/>
            <w:gridSpan w:val="2"/>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04</w:t>
            </w:r>
            <w:r>
              <w:rPr>
                <w:noProof/>
                <w:color w:val="000000"/>
                <w:sz w:val="22"/>
                <w:szCs w:val="22"/>
              </w:rPr>
              <w:t>-</w:t>
            </w:r>
            <w:r w:rsidRPr="00887B27">
              <w:rPr>
                <w:noProof/>
                <w:color w:val="000000"/>
                <w:sz w:val="22"/>
                <w:szCs w:val="22"/>
              </w:rPr>
              <w:t>03</w:t>
            </w:r>
            <w:r>
              <w:rPr>
                <w:noProof/>
                <w:color w:val="000000"/>
                <w:sz w:val="22"/>
                <w:szCs w:val="22"/>
              </w:rPr>
              <w:t>-</w:t>
            </w:r>
            <w:r w:rsidRPr="00887B27">
              <w:rPr>
                <w:noProof/>
                <w:color w:val="000000"/>
                <w:sz w:val="22"/>
                <w:szCs w:val="22"/>
              </w:rPr>
              <w:t>2022</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6</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w:t>
            </w:r>
            <w:r>
              <w:rPr>
                <w:noProof/>
                <w:color w:val="000000"/>
                <w:sz w:val="22"/>
                <w:szCs w:val="22"/>
              </w:rPr>
              <w:t> </w:t>
            </w:r>
            <w:r w:rsidRPr="00887B27">
              <w:rPr>
                <w:noProof/>
                <w:color w:val="000000"/>
                <w:sz w:val="22"/>
                <w:szCs w:val="22"/>
              </w:rPr>
              <w:t>997</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04"/>
        </w:trPr>
        <w:tc>
          <w:tcPr>
            <w:cnfStyle w:val="001000000000" w:firstRow="0" w:lastRow="0" w:firstColumn="1" w:lastColumn="0" w:oddVBand="0" w:evenVBand="0" w:oddHBand="0" w:evenHBand="0" w:firstRowFirstColumn="0" w:firstRowLastColumn="0" w:lastRowFirstColumn="0" w:lastRowLastColumn="0"/>
            <w:tcW w:w="1384" w:type="dxa"/>
            <w:vMerge w:val="restart"/>
            <w:vAlign w:val="center"/>
            <w:hideMark/>
          </w:tcPr>
          <w:p w:rsidR="008B6253" w:rsidRPr="00864D5D" w:rsidRDefault="008B6253" w:rsidP="001F5468">
            <w:pPr>
              <w:jc w:val="center"/>
              <w:rPr>
                <w:noProof/>
                <w:color w:val="000000"/>
                <w:sz w:val="22"/>
                <w:szCs w:val="22"/>
              </w:rPr>
            </w:pPr>
            <w:r>
              <w:rPr>
                <w:noProof/>
                <w:color w:val="000000"/>
                <w:sz w:val="22"/>
                <w:szCs w:val="22"/>
              </w:rPr>
              <w:t>Adjudication de titres nº </w:t>
            </w:r>
            <w:r w:rsidRPr="00887B27">
              <w:rPr>
                <w:noProof/>
                <w:color w:val="000000"/>
                <w:sz w:val="22"/>
                <w:szCs w:val="22"/>
              </w:rPr>
              <w:t>2</w:t>
            </w:r>
          </w:p>
        </w:tc>
        <w:tc>
          <w:tcPr>
            <w:tcW w:w="1559"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22</w:t>
            </w:r>
            <w:r>
              <w:rPr>
                <w:noProof/>
                <w:color w:val="000000"/>
                <w:sz w:val="22"/>
                <w:szCs w:val="22"/>
              </w:rPr>
              <w:t>-</w:t>
            </w:r>
            <w:r w:rsidRPr="00887B27">
              <w:rPr>
                <w:noProof/>
                <w:color w:val="000000"/>
                <w:sz w:val="22"/>
                <w:szCs w:val="22"/>
              </w:rPr>
              <w:t>09</w:t>
            </w:r>
            <w:r>
              <w:rPr>
                <w:noProof/>
                <w:color w:val="000000"/>
                <w:sz w:val="22"/>
                <w:szCs w:val="22"/>
              </w:rPr>
              <w:t>-</w:t>
            </w:r>
            <w:r w:rsidRPr="00887B27">
              <w:rPr>
                <w:noProof/>
                <w:color w:val="000000"/>
                <w:sz w:val="22"/>
                <w:szCs w:val="22"/>
              </w:rPr>
              <w:t>2021</w:t>
            </w:r>
          </w:p>
        </w:tc>
        <w:tc>
          <w:tcPr>
            <w:tcW w:w="1655"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24</w:t>
            </w:r>
            <w:r>
              <w:rPr>
                <w:noProof/>
                <w:color w:val="000000"/>
                <w:sz w:val="22"/>
                <w:szCs w:val="22"/>
              </w:rPr>
              <w:t>-</w:t>
            </w:r>
            <w:r w:rsidRPr="00887B27">
              <w:rPr>
                <w:noProof/>
                <w:color w:val="000000"/>
                <w:sz w:val="22"/>
                <w:szCs w:val="22"/>
              </w:rPr>
              <w:t>09</w:t>
            </w:r>
            <w:r>
              <w:rPr>
                <w:noProof/>
                <w:color w:val="000000"/>
                <w:sz w:val="22"/>
                <w:szCs w:val="22"/>
              </w:rPr>
              <w:t>-</w:t>
            </w:r>
            <w:r w:rsidRPr="00887B27">
              <w:rPr>
                <w:noProof/>
                <w:color w:val="000000"/>
                <w:sz w:val="22"/>
                <w:szCs w:val="22"/>
              </w:rPr>
              <w:t>2021</w:t>
            </w:r>
          </w:p>
        </w:tc>
        <w:tc>
          <w:tcPr>
            <w:tcW w:w="1464" w:type="dxa"/>
            <w:gridSpan w:val="2"/>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03</w:t>
            </w:r>
            <w:r>
              <w:rPr>
                <w:noProof/>
                <w:color w:val="000000"/>
                <w:sz w:val="22"/>
                <w:szCs w:val="22"/>
              </w:rPr>
              <w:t>-</w:t>
            </w:r>
            <w:r w:rsidRPr="00887B27">
              <w:rPr>
                <w:noProof/>
                <w:color w:val="000000"/>
                <w:sz w:val="22"/>
                <w:szCs w:val="22"/>
              </w:rPr>
              <w:t>12</w:t>
            </w:r>
            <w:r>
              <w:rPr>
                <w:noProof/>
                <w:color w:val="000000"/>
                <w:sz w:val="22"/>
                <w:szCs w:val="22"/>
              </w:rPr>
              <w:t>-</w:t>
            </w:r>
            <w:r w:rsidRPr="00887B27">
              <w:rPr>
                <w:noProof/>
                <w:color w:val="000000"/>
                <w:sz w:val="22"/>
                <w:szCs w:val="22"/>
              </w:rPr>
              <w:t>2021</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3</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w:t>
            </w:r>
            <w:r>
              <w:rPr>
                <w:noProof/>
                <w:color w:val="000000"/>
                <w:sz w:val="22"/>
                <w:szCs w:val="22"/>
              </w:rPr>
              <w:t> </w:t>
            </w:r>
            <w:r w:rsidRPr="00887B27">
              <w:rPr>
                <w:noProof/>
                <w:color w:val="000000"/>
                <w:sz w:val="22"/>
                <w:szCs w:val="22"/>
              </w:rPr>
              <w:t>997</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33"/>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8B6253" w:rsidRPr="00864D5D" w:rsidRDefault="008B6253" w:rsidP="001F5468">
            <w:pPr>
              <w:jc w:val="center"/>
              <w:rPr>
                <w:noProof/>
                <w:color w:val="000000"/>
                <w:sz w:val="22"/>
                <w:szCs w:val="22"/>
                <w:lang w:val="en-US"/>
              </w:rPr>
            </w:pPr>
          </w:p>
        </w:tc>
        <w:tc>
          <w:tcPr>
            <w:tcW w:w="1559"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655"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464" w:type="dxa"/>
            <w:gridSpan w:val="2"/>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04</w:t>
            </w:r>
            <w:r>
              <w:rPr>
                <w:noProof/>
                <w:color w:val="000000"/>
                <w:sz w:val="22"/>
                <w:szCs w:val="22"/>
              </w:rPr>
              <w:t>-</w:t>
            </w:r>
            <w:r w:rsidRPr="00887B27">
              <w:rPr>
                <w:noProof/>
                <w:color w:val="000000"/>
                <w:sz w:val="22"/>
                <w:szCs w:val="22"/>
              </w:rPr>
              <w:t>03</w:t>
            </w:r>
            <w:r>
              <w:rPr>
                <w:noProof/>
                <w:color w:val="000000"/>
                <w:sz w:val="22"/>
                <w:szCs w:val="22"/>
              </w:rPr>
              <w:t>-</w:t>
            </w:r>
            <w:r w:rsidRPr="00887B27">
              <w:rPr>
                <w:noProof/>
                <w:color w:val="000000"/>
                <w:sz w:val="22"/>
                <w:szCs w:val="22"/>
              </w:rPr>
              <w:t>2022</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6</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w:t>
            </w:r>
            <w:r>
              <w:rPr>
                <w:noProof/>
                <w:color w:val="000000"/>
                <w:sz w:val="22"/>
                <w:szCs w:val="22"/>
              </w:rPr>
              <w:t> </w:t>
            </w:r>
            <w:r w:rsidRPr="00887B27">
              <w:rPr>
                <w:noProof/>
                <w:color w:val="000000"/>
                <w:sz w:val="22"/>
                <w:szCs w:val="22"/>
              </w:rPr>
              <w:t>996</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04"/>
        </w:trPr>
        <w:tc>
          <w:tcPr>
            <w:cnfStyle w:val="001000000000" w:firstRow="0" w:lastRow="0" w:firstColumn="1" w:lastColumn="0" w:oddVBand="0" w:evenVBand="0" w:oddHBand="0" w:evenHBand="0" w:firstRowFirstColumn="0" w:firstRowLastColumn="0" w:lastRowFirstColumn="0" w:lastRowLastColumn="0"/>
            <w:tcW w:w="9180" w:type="dxa"/>
            <w:gridSpan w:val="7"/>
            <w:vAlign w:val="center"/>
          </w:tcPr>
          <w:p w:rsidR="008B6253" w:rsidRPr="00864D5D" w:rsidRDefault="008B6253" w:rsidP="001F5468">
            <w:pPr>
              <w:jc w:val="center"/>
              <w:rPr>
                <w:noProof/>
                <w:color w:val="000000"/>
                <w:sz w:val="22"/>
                <w:szCs w:val="22"/>
                <w:highlight w:val="yellow"/>
              </w:rPr>
            </w:pPr>
            <w:r w:rsidRPr="00887B27">
              <w:rPr>
                <w:noProof/>
                <w:color w:val="000000"/>
                <w:sz w:val="22"/>
                <w:szCs w:val="22"/>
              </w:rPr>
              <w:t>2021</w:t>
            </w:r>
            <w:r>
              <w:rPr>
                <w:noProof/>
                <w:color w:val="000000"/>
                <w:sz w:val="22"/>
                <w:szCs w:val="22"/>
              </w:rPr>
              <w:t xml:space="preserve"> T</w:t>
            </w:r>
            <w:r w:rsidRPr="00887B27">
              <w:rPr>
                <w:noProof/>
                <w:color w:val="000000"/>
                <w:sz w:val="22"/>
                <w:szCs w:val="22"/>
              </w:rPr>
              <w:t>4</w:t>
            </w:r>
          </w:p>
        </w:tc>
      </w:tr>
      <w:tr w:rsidR="008B6253" w:rsidRPr="00231F73" w:rsidTr="001F5468">
        <w:trPr>
          <w:trHeight w:val="404"/>
        </w:trPr>
        <w:tc>
          <w:tcPr>
            <w:cnfStyle w:val="001000000000" w:firstRow="0" w:lastRow="0" w:firstColumn="1" w:lastColumn="0" w:oddVBand="0" w:evenVBand="0" w:oddHBand="0" w:evenHBand="0" w:firstRowFirstColumn="0" w:firstRowLastColumn="0" w:lastRowFirstColumn="0" w:lastRowLastColumn="0"/>
            <w:tcW w:w="1384" w:type="dxa"/>
            <w:vMerge w:val="restart"/>
            <w:vAlign w:val="center"/>
            <w:hideMark/>
          </w:tcPr>
          <w:p w:rsidR="008B6253" w:rsidRPr="00864D5D" w:rsidRDefault="008B6253" w:rsidP="001F5468">
            <w:pPr>
              <w:jc w:val="center"/>
              <w:rPr>
                <w:noProof/>
                <w:color w:val="000000"/>
                <w:sz w:val="22"/>
                <w:szCs w:val="22"/>
              </w:rPr>
            </w:pPr>
            <w:r>
              <w:rPr>
                <w:noProof/>
                <w:color w:val="000000"/>
                <w:sz w:val="22"/>
                <w:szCs w:val="22"/>
              </w:rPr>
              <w:t>Adjudication de titres nº </w:t>
            </w:r>
            <w:r w:rsidRPr="00887B27">
              <w:rPr>
                <w:noProof/>
                <w:color w:val="000000"/>
                <w:sz w:val="22"/>
                <w:szCs w:val="22"/>
              </w:rPr>
              <w:t>3</w:t>
            </w:r>
          </w:p>
        </w:tc>
        <w:tc>
          <w:tcPr>
            <w:tcW w:w="1559"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06</w:t>
            </w:r>
            <w:r>
              <w:rPr>
                <w:noProof/>
                <w:color w:val="000000"/>
                <w:sz w:val="22"/>
                <w:szCs w:val="22"/>
              </w:rPr>
              <w:t>-</w:t>
            </w:r>
            <w:r w:rsidRPr="00887B27">
              <w:rPr>
                <w:noProof/>
                <w:color w:val="000000"/>
                <w:sz w:val="22"/>
                <w:szCs w:val="22"/>
              </w:rPr>
              <w:t>10</w:t>
            </w:r>
            <w:r>
              <w:rPr>
                <w:noProof/>
                <w:color w:val="000000"/>
                <w:sz w:val="22"/>
                <w:szCs w:val="22"/>
              </w:rPr>
              <w:t>-</w:t>
            </w:r>
            <w:r w:rsidRPr="00887B27">
              <w:rPr>
                <w:noProof/>
                <w:color w:val="000000"/>
                <w:sz w:val="22"/>
                <w:szCs w:val="22"/>
              </w:rPr>
              <w:t>2021</w:t>
            </w:r>
          </w:p>
        </w:tc>
        <w:tc>
          <w:tcPr>
            <w:tcW w:w="1655"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08</w:t>
            </w:r>
            <w:r>
              <w:rPr>
                <w:noProof/>
                <w:color w:val="000000"/>
                <w:sz w:val="22"/>
                <w:szCs w:val="22"/>
              </w:rPr>
              <w:t>-</w:t>
            </w:r>
            <w:r w:rsidRPr="00887B27">
              <w:rPr>
                <w:noProof/>
                <w:color w:val="000000"/>
                <w:sz w:val="22"/>
                <w:szCs w:val="22"/>
              </w:rPr>
              <w:t>10</w:t>
            </w:r>
            <w:r>
              <w:rPr>
                <w:noProof/>
                <w:color w:val="000000"/>
                <w:sz w:val="22"/>
                <w:szCs w:val="22"/>
              </w:rPr>
              <w:t>-</w:t>
            </w:r>
            <w:r w:rsidRPr="00887B27">
              <w:rPr>
                <w:noProof/>
                <w:color w:val="000000"/>
                <w:sz w:val="22"/>
                <w:szCs w:val="22"/>
              </w:rPr>
              <w:t>2021</w:t>
            </w:r>
          </w:p>
        </w:tc>
        <w:tc>
          <w:tcPr>
            <w:tcW w:w="1464" w:type="dxa"/>
            <w:gridSpan w:val="2"/>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07</w:t>
            </w:r>
            <w:r>
              <w:rPr>
                <w:noProof/>
                <w:color w:val="000000"/>
                <w:sz w:val="22"/>
                <w:szCs w:val="22"/>
              </w:rPr>
              <w:t>-</w:t>
            </w:r>
            <w:r w:rsidRPr="00887B27">
              <w:rPr>
                <w:noProof/>
                <w:color w:val="000000"/>
                <w:sz w:val="22"/>
                <w:szCs w:val="22"/>
              </w:rPr>
              <w:t>01</w:t>
            </w:r>
            <w:r>
              <w:rPr>
                <w:noProof/>
                <w:color w:val="000000"/>
                <w:sz w:val="22"/>
                <w:szCs w:val="22"/>
              </w:rPr>
              <w:t>-</w:t>
            </w:r>
            <w:r w:rsidRPr="00887B27">
              <w:rPr>
                <w:noProof/>
                <w:color w:val="000000"/>
                <w:sz w:val="22"/>
                <w:szCs w:val="22"/>
              </w:rPr>
              <w:t>2022</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3</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2</w:t>
            </w:r>
            <w:r>
              <w:rPr>
                <w:noProof/>
                <w:color w:val="000000"/>
                <w:sz w:val="22"/>
                <w:szCs w:val="22"/>
              </w:rPr>
              <w:t> </w:t>
            </w:r>
            <w:r w:rsidRPr="00887B27">
              <w:rPr>
                <w:noProof/>
                <w:color w:val="000000"/>
                <w:sz w:val="22"/>
                <w:szCs w:val="22"/>
              </w:rPr>
              <w:t>996</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33"/>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8B6253" w:rsidRPr="00864D5D" w:rsidRDefault="008B6253" w:rsidP="001F5468">
            <w:pPr>
              <w:jc w:val="center"/>
              <w:rPr>
                <w:noProof/>
                <w:color w:val="000000"/>
                <w:sz w:val="22"/>
                <w:szCs w:val="22"/>
                <w:lang w:val="en-US"/>
              </w:rPr>
            </w:pPr>
          </w:p>
        </w:tc>
        <w:tc>
          <w:tcPr>
            <w:tcW w:w="1559"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655"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464" w:type="dxa"/>
            <w:gridSpan w:val="2"/>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08</w:t>
            </w:r>
            <w:r>
              <w:rPr>
                <w:noProof/>
                <w:color w:val="000000"/>
                <w:sz w:val="22"/>
                <w:szCs w:val="22"/>
              </w:rPr>
              <w:t>-</w:t>
            </w:r>
            <w:r w:rsidRPr="00887B27">
              <w:rPr>
                <w:noProof/>
                <w:color w:val="000000"/>
                <w:sz w:val="22"/>
                <w:szCs w:val="22"/>
              </w:rPr>
              <w:t>04</w:t>
            </w:r>
            <w:r>
              <w:rPr>
                <w:noProof/>
                <w:color w:val="000000"/>
                <w:sz w:val="22"/>
                <w:szCs w:val="22"/>
              </w:rPr>
              <w:t>-</w:t>
            </w:r>
            <w:r w:rsidRPr="00887B27">
              <w:rPr>
                <w:noProof/>
                <w:color w:val="000000"/>
                <w:sz w:val="22"/>
                <w:szCs w:val="22"/>
              </w:rPr>
              <w:t>2022</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6</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w:t>
            </w:r>
            <w:r>
              <w:rPr>
                <w:noProof/>
                <w:color w:val="000000"/>
                <w:sz w:val="22"/>
                <w:szCs w:val="22"/>
              </w:rPr>
              <w:t> </w:t>
            </w:r>
            <w:r w:rsidRPr="00887B27">
              <w:rPr>
                <w:noProof/>
                <w:color w:val="000000"/>
                <w:sz w:val="22"/>
                <w:szCs w:val="22"/>
              </w:rPr>
              <w:t>996</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04"/>
        </w:trPr>
        <w:tc>
          <w:tcPr>
            <w:cnfStyle w:val="001000000000" w:firstRow="0" w:lastRow="0" w:firstColumn="1" w:lastColumn="0" w:oddVBand="0" w:evenVBand="0" w:oddHBand="0" w:evenHBand="0" w:firstRowFirstColumn="0" w:firstRowLastColumn="0" w:lastRowFirstColumn="0" w:lastRowLastColumn="0"/>
            <w:tcW w:w="1384" w:type="dxa"/>
            <w:vMerge w:val="restart"/>
            <w:vAlign w:val="center"/>
            <w:hideMark/>
          </w:tcPr>
          <w:p w:rsidR="008B6253" w:rsidRPr="00864D5D" w:rsidRDefault="008B6253" w:rsidP="001F5468">
            <w:pPr>
              <w:jc w:val="center"/>
              <w:rPr>
                <w:noProof/>
                <w:color w:val="000000"/>
                <w:sz w:val="22"/>
                <w:szCs w:val="22"/>
              </w:rPr>
            </w:pPr>
            <w:r>
              <w:rPr>
                <w:noProof/>
                <w:color w:val="000000"/>
                <w:sz w:val="22"/>
                <w:szCs w:val="22"/>
              </w:rPr>
              <w:t>Adjudication de titres nº </w:t>
            </w:r>
            <w:r w:rsidRPr="00887B27">
              <w:rPr>
                <w:noProof/>
                <w:color w:val="000000"/>
                <w:sz w:val="22"/>
                <w:szCs w:val="22"/>
              </w:rPr>
              <w:t>4</w:t>
            </w:r>
          </w:p>
        </w:tc>
        <w:tc>
          <w:tcPr>
            <w:tcW w:w="1559"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20</w:t>
            </w:r>
            <w:r>
              <w:rPr>
                <w:noProof/>
                <w:color w:val="000000"/>
                <w:sz w:val="22"/>
                <w:szCs w:val="22"/>
              </w:rPr>
              <w:t>-</w:t>
            </w:r>
            <w:r w:rsidRPr="00887B27">
              <w:rPr>
                <w:noProof/>
                <w:color w:val="000000"/>
                <w:sz w:val="22"/>
                <w:szCs w:val="22"/>
              </w:rPr>
              <w:t>10</w:t>
            </w:r>
            <w:r>
              <w:rPr>
                <w:noProof/>
                <w:color w:val="000000"/>
                <w:sz w:val="22"/>
                <w:szCs w:val="22"/>
              </w:rPr>
              <w:t>-</w:t>
            </w:r>
            <w:r w:rsidRPr="00887B27">
              <w:rPr>
                <w:noProof/>
                <w:color w:val="000000"/>
                <w:sz w:val="22"/>
                <w:szCs w:val="22"/>
              </w:rPr>
              <w:t>2021</w:t>
            </w:r>
          </w:p>
        </w:tc>
        <w:tc>
          <w:tcPr>
            <w:tcW w:w="1655"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22</w:t>
            </w:r>
            <w:r>
              <w:rPr>
                <w:noProof/>
                <w:color w:val="000000"/>
                <w:sz w:val="22"/>
                <w:szCs w:val="22"/>
              </w:rPr>
              <w:t>-</w:t>
            </w:r>
            <w:r w:rsidRPr="00887B27">
              <w:rPr>
                <w:noProof/>
                <w:color w:val="000000"/>
                <w:sz w:val="22"/>
                <w:szCs w:val="22"/>
              </w:rPr>
              <w:t>10</w:t>
            </w:r>
            <w:r>
              <w:rPr>
                <w:noProof/>
                <w:color w:val="000000"/>
                <w:sz w:val="22"/>
                <w:szCs w:val="22"/>
              </w:rPr>
              <w:t>-</w:t>
            </w:r>
            <w:r w:rsidRPr="00887B27">
              <w:rPr>
                <w:noProof/>
                <w:color w:val="000000"/>
                <w:sz w:val="22"/>
                <w:szCs w:val="22"/>
              </w:rPr>
              <w:t>2021</w:t>
            </w:r>
          </w:p>
        </w:tc>
        <w:tc>
          <w:tcPr>
            <w:tcW w:w="1464" w:type="dxa"/>
            <w:gridSpan w:val="2"/>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07</w:t>
            </w:r>
            <w:r>
              <w:rPr>
                <w:noProof/>
                <w:color w:val="000000"/>
                <w:sz w:val="22"/>
                <w:szCs w:val="22"/>
              </w:rPr>
              <w:t>-</w:t>
            </w:r>
            <w:r w:rsidRPr="00887B27">
              <w:rPr>
                <w:noProof/>
                <w:color w:val="000000"/>
                <w:sz w:val="22"/>
                <w:szCs w:val="22"/>
              </w:rPr>
              <w:t>01</w:t>
            </w:r>
            <w:r>
              <w:rPr>
                <w:noProof/>
                <w:color w:val="000000"/>
                <w:sz w:val="22"/>
                <w:szCs w:val="22"/>
              </w:rPr>
              <w:t>-</w:t>
            </w:r>
            <w:r w:rsidRPr="00887B27">
              <w:rPr>
                <w:noProof/>
                <w:color w:val="000000"/>
                <w:sz w:val="22"/>
                <w:szCs w:val="22"/>
              </w:rPr>
              <w:t>2022</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3</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w:t>
            </w:r>
            <w:r>
              <w:rPr>
                <w:noProof/>
                <w:color w:val="000000"/>
                <w:sz w:val="22"/>
                <w:szCs w:val="22"/>
              </w:rPr>
              <w:t> </w:t>
            </w:r>
            <w:r w:rsidRPr="00887B27">
              <w:rPr>
                <w:noProof/>
                <w:color w:val="000000"/>
                <w:sz w:val="22"/>
                <w:szCs w:val="22"/>
              </w:rPr>
              <w:t>499</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33"/>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8B6253" w:rsidRPr="00864D5D" w:rsidRDefault="008B6253" w:rsidP="001F5468">
            <w:pPr>
              <w:jc w:val="center"/>
              <w:rPr>
                <w:noProof/>
                <w:color w:val="000000"/>
                <w:sz w:val="22"/>
                <w:szCs w:val="22"/>
                <w:lang w:val="en-US"/>
              </w:rPr>
            </w:pPr>
          </w:p>
        </w:tc>
        <w:tc>
          <w:tcPr>
            <w:tcW w:w="1559"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655"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464" w:type="dxa"/>
            <w:gridSpan w:val="2"/>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08</w:t>
            </w:r>
            <w:r>
              <w:rPr>
                <w:noProof/>
                <w:color w:val="000000"/>
                <w:sz w:val="22"/>
                <w:szCs w:val="22"/>
              </w:rPr>
              <w:t>-</w:t>
            </w:r>
            <w:r w:rsidRPr="00887B27">
              <w:rPr>
                <w:noProof/>
                <w:color w:val="000000"/>
                <w:sz w:val="22"/>
                <w:szCs w:val="22"/>
              </w:rPr>
              <w:t>04</w:t>
            </w:r>
            <w:r>
              <w:rPr>
                <w:noProof/>
                <w:color w:val="000000"/>
                <w:sz w:val="22"/>
                <w:szCs w:val="22"/>
              </w:rPr>
              <w:t>-</w:t>
            </w:r>
            <w:r w:rsidRPr="00887B27">
              <w:rPr>
                <w:noProof/>
                <w:color w:val="000000"/>
                <w:sz w:val="22"/>
                <w:szCs w:val="22"/>
              </w:rPr>
              <w:t>2022</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6</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w:t>
            </w:r>
            <w:r>
              <w:rPr>
                <w:noProof/>
                <w:color w:val="000000"/>
                <w:sz w:val="22"/>
                <w:szCs w:val="22"/>
              </w:rPr>
              <w:t> </w:t>
            </w:r>
            <w:r w:rsidRPr="00887B27">
              <w:rPr>
                <w:noProof/>
                <w:color w:val="000000"/>
                <w:sz w:val="22"/>
                <w:szCs w:val="22"/>
              </w:rPr>
              <w:t>499</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04"/>
        </w:trPr>
        <w:tc>
          <w:tcPr>
            <w:cnfStyle w:val="001000000000" w:firstRow="0" w:lastRow="0" w:firstColumn="1" w:lastColumn="0" w:oddVBand="0" w:evenVBand="0" w:oddHBand="0" w:evenHBand="0" w:firstRowFirstColumn="0" w:firstRowLastColumn="0" w:lastRowFirstColumn="0" w:lastRowLastColumn="0"/>
            <w:tcW w:w="1384" w:type="dxa"/>
            <w:vMerge w:val="restart"/>
            <w:vAlign w:val="center"/>
            <w:hideMark/>
          </w:tcPr>
          <w:p w:rsidR="008B6253" w:rsidRPr="00864D5D" w:rsidRDefault="008B6253" w:rsidP="001F5468">
            <w:pPr>
              <w:jc w:val="center"/>
              <w:rPr>
                <w:noProof/>
                <w:color w:val="000000"/>
                <w:sz w:val="22"/>
                <w:szCs w:val="22"/>
              </w:rPr>
            </w:pPr>
            <w:r>
              <w:rPr>
                <w:noProof/>
                <w:color w:val="000000"/>
                <w:sz w:val="22"/>
                <w:szCs w:val="22"/>
              </w:rPr>
              <w:t>Adjudication de titres nº </w:t>
            </w:r>
            <w:r w:rsidRPr="00887B27">
              <w:rPr>
                <w:noProof/>
                <w:color w:val="000000"/>
                <w:sz w:val="22"/>
                <w:szCs w:val="22"/>
              </w:rPr>
              <w:t>5</w:t>
            </w:r>
          </w:p>
        </w:tc>
        <w:tc>
          <w:tcPr>
            <w:tcW w:w="1559"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03</w:t>
            </w:r>
            <w:r>
              <w:rPr>
                <w:noProof/>
                <w:color w:val="000000"/>
                <w:sz w:val="22"/>
                <w:szCs w:val="22"/>
              </w:rPr>
              <w:t>-</w:t>
            </w:r>
            <w:r w:rsidRPr="00887B27">
              <w:rPr>
                <w:noProof/>
                <w:color w:val="000000"/>
                <w:sz w:val="22"/>
                <w:szCs w:val="22"/>
              </w:rPr>
              <w:t>11</w:t>
            </w:r>
            <w:r>
              <w:rPr>
                <w:noProof/>
                <w:color w:val="000000"/>
                <w:sz w:val="22"/>
                <w:szCs w:val="22"/>
              </w:rPr>
              <w:t>-</w:t>
            </w:r>
            <w:r w:rsidRPr="00887B27">
              <w:rPr>
                <w:noProof/>
                <w:color w:val="000000"/>
                <w:sz w:val="22"/>
                <w:szCs w:val="22"/>
              </w:rPr>
              <w:t>2021</w:t>
            </w:r>
          </w:p>
        </w:tc>
        <w:tc>
          <w:tcPr>
            <w:tcW w:w="1655"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05</w:t>
            </w:r>
            <w:r>
              <w:rPr>
                <w:noProof/>
                <w:color w:val="000000"/>
                <w:sz w:val="22"/>
                <w:szCs w:val="22"/>
              </w:rPr>
              <w:t>-</w:t>
            </w:r>
            <w:r w:rsidRPr="00887B27">
              <w:rPr>
                <w:noProof/>
                <w:color w:val="000000"/>
                <w:sz w:val="22"/>
                <w:szCs w:val="22"/>
              </w:rPr>
              <w:t>11</w:t>
            </w:r>
            <w:r>
              <w:rPr>
                <w:noProof/>
                <w:color w:val="000000"/>
                <w:sz w:val="22"/>
                <w:szCs w:val="22"/>
              </w:rPr>
              <w:t>-</w:t>
            </w:r>
            <w:r w:rsidRPr="00887B27">
              <w:rPr>
                <w:noProof/>
                <w:color w:val="000000"/>
                <w:sz w:val="22"/>
                <w:szCs w:val="22"/>
              </w:rPr>
              <w:t>2021</w:t>
            </w:r>
          </w:p>
        </w:tc>
        <w:tc>
          <w:tcPr>
            <w:tcW w:w="1464" w:type="dxa"/>
            <w:gridSpan w:val="2"/>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04</w:t>
            </w:r>
            <w:r>
              <w:rPr>
                <w:noProof/>
                <w:color w:val="000000"/>
                <w:sz w:val="22"/>
                <w:szCs w:val="22"/>
              </w:rPr>
              <w:t>-</w:t>
            </w:r>
            <w:r w:rsidRPr="00887B27">
              <w:rPr>
                <w:noProof/>
                <w:color w:val="000000"/>
                <w:sz w:val="22"/>
                <w:szCs w:val="22"/>
              </w:rPr>
              <w:t>02</w:t>
            </w:r>
            <w:r>
              <w:rPr>
                <w:noProof/>
                <w:color w:val="000000"/>
                <w:sz w:val="22"/>
                <w:szCs w:val="22"/>
              </w:rPr>
              <w:t>-</w:t>
            </w:r>
            <w:r w:rsidRPr="00887B27">
              <w:rPr>
                <w:noProof/>
                <w:color w:val="000000"/>
                <w:sz w:val="22"/>
                <w:szCs w:val="22"/>
              </w:rPr>
              <w:t>2022</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3</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w:t>
            </w:r>
            <w:r>
              <w:rPr>
                <w:noProof/>
                <w:color w:val="000000"/>
                <w:sz w:val="22"/>
                <w:szCs w:val="22"/>
              </w:rPr>
              <w:t> </w:t>
            </w:r>
            <w:r w:rsidRPr="00887B27">
              <w:rPr>
                <w:noProof/>
                <w:color w:val="000000"/>
                <w:sz w:val="22"/>
                <w:szCs w:val="22"/>
              </w:rPr>
              <w:t>497</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33"/>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8B6253" w:rsidRPr="00864D5D" w:rsidRDefault="008B6253" w:rsidP="001F5468">
            <w:pPr>
              <w:jc w:val="center"/>
              <w:rPr>
                <w:noProof/>
                <w:color w:val="000000"/>
                <w:sz w:val="22"/>
                <w:szCs w:val="22"/>
                <w:lang w:val="en-US"/>
              </w:rPr>
            </w:pPr>
          </w:p>
        </w:tc>
        <w:tc>
          <w:tcPr>
            <w:tcW w:w="1559"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655"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464" w:type="dxa"/>
            <w:gridSpan w:val="2"/>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06</w:t>
            </w:r>
            <w:r>
              <w:rPr>
                <w:noProof/>
                <w:color w:val="000000"/>
                <w:sz w:val="22"/>
                <w:szCs w:val="22"/>
              </w:rPr>
              <w:t>-</w:t>
            </w:r>
            <w:r w:rsidRPr="00887B27">
              <w:rPr>
                <w:noProof/>
                <w:color w:val="000000"/>
                <w:sz w:val="22"/>
                <w:szCs w:val="22"/>
              </w:rPr>
              <w:t>05</w:t>
            </w:r>
            <w:r>
              <w:rPr>
                <w:noProof/>
                <w:color w:val="000000"/>
                <w:sz w:val="22"/>
                <w:szCs w:val="22"/>
              </w:rPr>
              <w:t>-</w:t>
            </w:r>
            <w:r w:rsidRPr="00887B27">
              <w:rPr>
                <w:noProof/>
                <w:color w:val="000000"/>
                <w:sz w:val="22"/>
                <w:szCs w:val="22"/>
              </w:rPr>
              <w:t>2022</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6</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w:t>
            </w:r>
            <w:r>
              <w:rPr>
                <w:noProof/>
                <w:color w:val="000000"/>
                <w:sz w:val="22"/>
                <w:szCs w:val="22"/>
              </w:rPr>
              <w:t> </w:t>
            </w:r>
            <w:r w:rsidRPr="00887B27">
              <w:rPr>
                <w:noProof/>
                <w:color w:val="000000"/>
                <w:sz w:val="22"/>
                <w:szCs w:val="22"/>
              </w:rPr>
              <w:t>496</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04"/>
        </w:trPr>
        <w:tc>
          <w:tcPr>
            <w:cnfStyle w:val="001000000000" w:firstRow="0" w:lastRow="0" w:firstColumn="1" w:lastColumn="0" w:oddVBand="0" w:evenVBand="0" w:oddHBand="0" w:evenHBand="0" w:firstRowFirstColumn="0" w:firstRowLastColumn="0" w:lastRowFirstColumn="0" w:lastRowLastColumn="0"/>
            <w:tcW w:w="1384" w:type="dxa"/>
            <w:vMerge w:val="restart"/>
            <w:vAlign w:val="center"/>
            <w:hideMark/>
          </w:tcPr>
          <w:p w:rsidR="008B6253" w:rsidRPr="00864D5D" w:rsidRDefault="008B6253" w:rsidP="001F5468">
            <w:pPr>
              <w:jc w:val="center"/>
              <w:rPr>
                <w:noProof/>
                <w:color w:val="000000"/>
                <w:sz w:val="22"/>
                <w:szCs w:val="22"/>
              </w:rPr>
            </w:pPr>
            <w:r>
              <w:rPr>
                <w:noProof/>
                <w:color w:val="000000"/>
                <w:sz w:val="22"/>
                <w:szCs w:val="22"/>
              </w:rPr>
              <w:t>Adjudication de titres nº </w:t>
            </w:r>
            <w:r w:rsidRPr="00887B27">
              <w:rPr>
                <w:noProof/>
                <w:color w:val="000000"/>
                <w:sz w:val="22"/>
                <w:szCs w:val="22"/>
              </w:rPr>
              <w:t>6</w:t>
            </w:r>
          </w:p>
        </w:tc>
        <w:tc>
          <w:tcPr>
            <w:tcW w:w="1559"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17</w:t>
            </w:r>
            <w:r>
              <w:rPr>
                <w:noProof/>
                <w:color w:val="000000"/>
                <w:sz w:val="22"/>
                <w:szCs w:val="22"/>
              </w:rPr>
              <w:t>-</w:t>
            </w:r>
            <w:r w:rsidRPr="00887B27">
              <w:rPr>
                <w:noProof/>
                <w:color w:val="000000"/>
                <w:sz w:val="22"/>
                <w:szCs w:val="22"/>
              </w:rPr>
              <w:t>11</w:t>
            </w:r>
            <w:r>
              <w:rPr>
                <w:noProof/>
                <w:color w:val="000000"/>
                <w:sz w:val="22"/>
                <w:szCs w:val="22"/>
              </w:rPr>
              <w:t>-</w:t>
            </w:r>
            <w:r w:rsidRPr="00887B27">
              <w:rPr>
                <w:noProof/>
                <w:color w:val="000000"/>
                <w:sz w:val="22"/>
                <w:szCs w:val="22"/>
              </w:rPr>
              <w:t>2021</w:t>
            </w:r>
          </w:p>
        </w:tc>
        <w:tc>
          <w:tcPr>
            <w:tcW w:w="1655"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19</w:t>
            </w:r>
            <w:r>
              <w:rPr>
                <w:noProof/>
                <w:color w:val="000000"/>
                <w:sz w:val="22"/>
                <w:szCs w:val="22"/>
              </w:rPr>
              <w:t>-</w:t>
            </w:r>
            <w:r w:rsidRPr="00887B27">
              <w:rPr>
                <w:noProof/>
                <w:color w:val="000000"/>
                <w:sz w:val="22"/>
                <w:szCs w:val="22"/>
              </w:rPr>
              <w:t>11</w:t>
            </w:r>
            <w:r>
              <w:rPr>
                <w:noProof/>
                <w:color w:val="000000"/>
                <w:sz w:val="22"/>
                <w:szCs w:val="22"/>
              </w:rPr>
              <w:t>-</w:t>
            </w:r>
            <w:r w:rsidRPr="00887B27">
              <w:rPr>
                <w:noProof/>
                <w:color w:val="000000"/>
                <w:sz w:val="22"/>
                <w:szCs w:val="22"/>
              </w:rPr>
              <w:t>2021</w:t>
            </w:r>
          </w:p>
        </w:tc>
        <w:tc>
          <w:tcPr>
            <w:tcW w:w="1464" w:type="dxa"/>
            <w:gridSpan w:val="2"/>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04</w:t>
            </w:r>
            <w:r>
              <w:rPr>
                <w:noProof/>
                <w:color w:val="000000"/>
                <w:sz w:val="22"/>
                <w:szCs w:val="22"/>
              </w:rPr>
              <w:t>-</w:t>
            </w:r>
            <w:r w:rsidRPr="00887B27">
              <w:rPr>
                <w:noProof/>
                <w:color w:val="000000"/>
                <w:sz w:val="22"/>
                <w:szCs w:val="22"/>
              </w:rPr>
              <w:t>02</w:t>
            </w:r>
            <w:r>
              <w:rPr>
                <w:noProof/>
                <w:color w:val="000000"/>
                <w:sz w:val="22"/>
                <w:szCs w:val="22"/>
              </w:rPr>
              <w:t>-</w:t>
            </w:r>
            <w:r w:rsidRPr="00887B27">
              <w:rPr>
                <w:noProof/>
                <w:color w:val="000000"/>
                <w:sz w:val="22"/>
                <w:szCs w:val="22"/>
              </w:rPr>
              <w:t>2021</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3</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998</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33"/>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8B6253" w:rsidRPr="00864D5D" w:rsidRDefault="008B6253" w:rsidP="001F5468">
            <w:pPr>
              <w:jc w:val="center"/>
              <w:rPr>
                <w:noProof/>
                <w:color w:val="000000"/>
                <w:sz w:val="22"/>
                <w:szCs w:val="22"/>
                <w:lang w:val="en-US"/>
              </w:rPr>
            </w:pPr>
          </w:p>
        </w:tc>
        <w:tc>
          <w:tcPr>
            <w:tcW w:w="1559"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655"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464" w:type="dxa"/>
            <w:gridSpan w:val="2"/>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06</w:t>
            </w:r>
            <w:r>
              <w:rPr>
                <w:noProof/>
                <w:color w:val="000000"/>
                <w:sz w:val="22"/>
                <w:szCs w:val="22"/>
              </w:rPr>
              <w:t>-</w:t>
            </w:r>
            <w:r w:rsidRPr="00887B27">
              <w:rPr>
                <w:noProof/>
                <w:color w:val="000000"/>
                <w:sz w:val="22"/>
                <w:szCs w:val="22"/>
              </w:rPr>
              <w:t>05</w:t>
            </w:r>
            <w:r>
              <w:rPr>
                <w:noProof/>
                <w:color w:val="000000"/>
                <w:sz w:val="22"/>
                <w:szCs w:val="22"/>
              </w:rPr>
              <w:t>-</w:t>
            </w:r>
            <w:r w:rsidRPr="00887B27">
              <w:rPr>
                <w:noProof/>
                <w:color w:val="000000"/>
                <w:sz w:val="22"/>
                <w:szCs w:val="22"/>
              </w:rPr>
              <w:t>2022</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6</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994</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04"/>
        </w:trPr>
        <w:tc>
          <w:tcPr>
            <w:cnfStyle w:val="001000000000" w:firstRow="0" w:lastRow="0" w:firstColumn="1" w:lastColumn="0" w:oddVBand="0" w:evenVBand="0" w:oddHBand="0" w:evenHBand="0" w:firstRowFirstColumn="0" w:firstRowLastColumn="0" w:lastRowFirstColumn="0" w:lastRowLastColumn="0"/>
            <w:tcW w:w="1384" w:type="dxa"/>
            <w:vMerge w:val="restart"/>
            <w:vAlign w:val="center"/>
            <w:hideMark/>
          </w:tcPr>
          <w:p w:rsidR="008B6253" w:rsidRPr="00864D5D" w:rsidRDefault="008B6253" w:rsidP="001F5468">
            <w:pPr>
              <w:jc w:val="center"/>
              <w:rPr>
                <w:noProof/>
                <w:color w:val="000000"/>
                <w:sz w:val="22"/>
                <w:szCs w:val="22"/>
              </w:rPr>
            </w:pPr>
            <w:r>
              <w:rPr>
                <w:noProof/>
                <w:color w:val="000000"/>
                <w:sz w:val="22"/>
                <w:szCs w:val="22"/>
              </w:rPr>
              <w:t>Adjudication de titres nº </w:t>
            </w:r>
            <w:r w:rsidRPr="00887B27">
              <w:rPr>
                <w:noProof/>
                <w:color w:val="000000"/>
                <w:sz w:val="22"/>
                <w:szCs w:val="22"/>
              </w:rPr>
              <w:t>7</w:t>
            </w:r>
          </w:p>
        </w:tc>
        <w:tc>
          <w:tcPr>
            <w:tcW w:w="1559"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01</w:t>
            </w:r>
            <w:r>
              <w:rPr>
                <w:noProof/>
                <w:color w:val="000000"/>
                <w:sz w:val="22"/>
                <w:szCs w:val="22"/>
              </w:rPr>
              <w:t>-</w:t>
            </w:r>
            <w:r w:rsidRPr="00887B27">
              <w:rPr>
                <w:noProof/>
                <w:color w:val="000000"/>
                <w:sz w:val="22"/>
                <w:szCs w:val="22"/>
              </w:rPr>
              <w:t>12</w:t>
            </w:r>
            <w:r>
              <w:rPr>
                <w:noProof/>
                <w:color w:val="000000"/>
                <w:sz w:val="22"/>
                <w:szCs w:val="22"/>
              </w:rPr>
              <w:t>-</w:t>
            </w:r>
            <w:r w:rsidRPr="00887B27">
              <w:rPr>
                <w:noProof/>
                <w:color w:val="000000"/>
                <w:sz w:val="22"/>
                <w:szCs w:val="22"/>
              </w:rPr>
              <w:t>2021</w:t>
            </w:r>
          </w:p>
        </w:tc>
        <w:tc>
          <w:tcPr>
            <w:tcW w:w="1655" w:type="dxa"/>
            <w:vMerge w:val="restart"/>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03</w:t>
            </w:r>
            <w:r>
              <w:rPr>
                <w:noProof/>
                <w:color w:val="000000"/>
                <w:sz w:val="22"/>
                <w:szCs w:val="22"/>
              </w:rPr>
              <w:t>-</w:t>
            </w:r>
            <w:r w:rsidRPr="00887B27">
              <w:rPr>
                <w:noProof/>
                <w:color w:val="000000"/>
                <w:sz w:val="22"/>
                <w:szCs w:val="22"/>
              </w:rPr>
              <w:t>12</w:t>
            </w:r>
            <w:r>
              <w:rPr>
                <w:noProof/>
                <w:color w:val="000000"/>
                <w:sz w:val="22"/>
                <w:szCs w:val="22"/>
              </w:rPr>
              <w:t>-</w:t>
            </w:r>
            <w:r w:rsidRPr="00887B27">
              <w:rPr>
                <w:noProof/>
                <w:color w:val="000000"/>
                <w:sz w:val="22"/>
                <w:szCs w:val="22"/>
              </w:rPr>
              <w:t>2021</w:t>
            </w:r>
          </w:p>
        </w:tc>
        <w:tc>
          <w:tcPr>
            <w:tcW w:w="1464" w:type="dxa"/>
            <w:gridSpan w:val="2"/>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04</w:t>
            </w:r>
            <w:r>
              <w:rPr>
                <w:noProof/>
                <w:color w:val="000000"/>
                <w:sz w:val="22"/>
                <w:szCs w:val="22"/>
              </w:rPr>
              <w:t>-</w:t>
            </w:r>
            <w:r w:rsidRPr="00887B27">
              <w:rPr>
                <w:noProof/>
                <w:color w:val="000000"/>
                <w:sz w:val="22"/>
                <w:szCs w:val="22"/>
              </w:rPr>
              <w:t>03</w:t>
            </w:r>
            <w:r>
              <w:rPr>
                <w:noProof/>
                <w:color w:val="000000"/>
                <w:sz w:val="22"/>
                <w:szCs w:val="22"/>
              </w:rPr>
              <w:t>-</w:t>
            </w:r>
            <w:r w:rsidRPr="00887B27">
              <w:rPr>
                <w:noProof/>
                <w:color w:val="000000"/>
                <w:sz w:val="22"/>
                <w:szCs w:val="22"/>
              </w:rPr>
              <w:t>2021</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3</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w:t>
            </w:r>
            <w:r>
              <w:rPr>
                <w:noProof/>
                <w:color w:val="000000"/>
                <w:sz w:val="22"/>
                <w:szCs w:val="22"/>
              </w:rPr>
              <w:t> </w:t>
            </w:r>
            <w:r w:rsidRPr="00887B27">
              <w:rPr>
                <w:noProof/>
                <w:color w:val="000000"/>
                <w:sz w:val="22"/>
                <w:szCs w:val="22"/>
              </w:rPr>
              <w:t>495</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r w:rsidR="008B6253" w:rsidRPr="00231F73" w:rsidTr="001F5468">
        <w:trPr>
          <w:trHeight w:val="433"/>
        </w:trPr>
        <w:tc>
          <w:tcPr>
            <w:cnfStyle w:val="001000000000" w:firstRow="0" w:lastRow="0" w:firstColumn="1" w:lastColumn="0" w:oddVBand="0" w:evenVBand="0" w:oddHBand="0" w:evenHBand="0" w:firstRowFirstColumn="0" w:firstRowLastColumn="0" w:lastRowFirstColumn="0" w:lastRowLastColumn="0"/>
            <w:tcW w:w="1384" w:type="dxa"/>
            <w:vMerge/>
            <w:vAlign w:val="center"/>
            <w:hideMark/>
          </w:tcPr>
          <w:p w:rsidR="008B6253" w:rsidRPr="00864D5D" w:rsidRDefault="008B6253" w:rsidP="001F5468">
            <w:pPr>
              <w:jc w:val="center"/>
              <w:rPr>
                <w:noProof/>
                <w:color w:val="000000"/>
                <w:sz w:val="22"/>
                <w:szCs w:val="22"/>
                <w:lang w:val="en-US"/>
              </w:rPr>
            </w:pPr>
          </w:p>
        </w:tc>
        <w:tc>
          <w:tcPr>
            <w:tcW w:w="1559"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655" w:type="dxa"/>
            <w:vMerge/>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lang w:val="en-US"/>
              </w:rPr>
            </w:pPr>
          </w:p>
        </w:tc>
        <w:tc>
          <w:tcPr>
            <w:tcW w:w="1464" w:type="dxa"/>
            <w:gridSpan w:val="2"/>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03</w:t>
            </w:r>
            <w:r>
              <w:rPr>
                <w:noProof/>
                <w:color w:val="000000"/>
                <w:sz w:val="22"/>
                <w:szCs w:val="22"/>
              </w:rPr>
              <w:t>-</w:t>
            </w:r>
            <w:r w:rsidRPr="00887B27">
              <w:rPr>
                <w:noProof/>
                <w:color w:val="000000"/>
                <w:sz w:val="22"/>
                <w:szCs w:val="22"/>
              </w:rPr>
              <w:t>06</w:t>
            </w:r>
            <w:r>
              <w:rPr>
                <w:noProof/>
                <w:color w:val="000000"/>
                <w:sz w:val="22"/>
                <w:szCs w:val="22"/>
              </w:rPr>
              <w:t>-</w:t>
            </w:r>
            <w:r w:rsidRPr="00887B27">
              <w:rPr>
                <w:noProof/>
                <w:color w:val="000000"/>
                <w:sz w:val="22"/>
                <w:szCs w:val="22"/>
              </w:rPr>
              <w:t>2022</w:t>
            </w:r>
          </w:p>
        </w:tc>
        <w:tc>
          <w:tcPr>
            <w:tcW w:w="1417" w:type="dxa"/>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6</w:t>
            </w:r>
            <w:r>
              <w:rPr>
                <w:noProof/>
                <w:color w:val="000000"/>
                <w:sz w:val="22"/>
                <w:szCs w:val="22"/>
              </w:rPr>
              <w:t> mois</w:t>
            </w:r>
          </w:p>
        </w:tc>
        <w:tc>
          <w:tcPr>
            <w:tcW w:w="1701" w:type="dxa"/>
            <w:noWrap/>
            <w:vAlign w:val="center"/>
            <w:hideMark/>
          </w:tcPr>
          <w:p w:rsidR="008B6253" w:rsidRPr="00864D5D" w:rsidRDefault="008B6253" w:rsidP="001F5468">
            <w:pPr>
              <w:jc w:val="center"/>
              <w:cnfStyle w:val="000000000000" w:firstRow="0" w:lastRow="0" w:firstColumn="0" w:lastColumn="0" w:oddVBand="0" w:evenVBand="0" w:oddHBand="0" w:evenHBand="0" w:firstRowFirstColumn="0" w:firstRowLastColumn="0" w:lastRowFirstColumn="0" w:lastRowLastColumn="0"/>
              <w:rPr>
                <w:noProof/>
                <w:color w:val="000000"/>
                <w:sz w:val="22"/>
                <w:szCs w:val="22"/>
              </w:rPr>
            </w:pPr>
            <w:r w:rsidRPr="00887B27">
              <w:rPr>
                <w:noProof/>
                <w:color w:val="000000"/>
                <w:sz w:val="22"/>
                <w:szCs w:val="22"/>
              </w:rPr>
              <w:t>1</w:t>
            </w:r>
            <w:r>
              <w:rPr>
                <w:noProof/>
                <w:color w:val="000000"/>
                <w:sz w:val="22"/>
                <w:szCs w:val="22"/>
              </w:rPr>
              <w:t> </w:t>
            </w:r>
            <w:r w:rsidRPr="00887B27">
              <w:rPr>
                <w:noProof/>
                <w:color w:val="000000"/>
                <w:sz w:val="22"/>
                <w:szCs w:val="22"/>
              </w:rPr>
              <w:t>496</w:t>
            </w:r>
            <w:r>
              <w:rPr>
                <w:noProof/>
                <w:color w:val="000000"/>
                <w:sz w:val="22"/>
                <w:szCs w:val="22"/>
              </w:rPr>
              <w:t> </w:t>
            </w:r>
            <w:r w:rsidRPr="00887B27">
              <w:rPr>
                <w:noProof/>
                <w:color w:val="000000"/>
                <w:sz w:val="22"/>
                <w:szCs w:val="22"/>
              </w:rPr>
              <w:t>000</w:t>
            </w:r>
            <w:r>
              <w:rPr>
                <w:noProof/>
                <w:color w:val="000000"/>
                <w:sz w:val="22"/>
                <w:szCs w:val="22"/>
              </w:rPr>
              <w:t> </w:t>
            </w:r>
            <w:r w:rsidRPr="00887B27">
              <w:rPr>
                <w:noProof/>
                <w:color w:val="000000"/>
                <w:sz w:val="22"/>
                <w:szCs w:val="22"/>
              </w:rPr>
              <w:t>000</w:t>
            </w:r>
          </w:p>
        </w:tc>
      </w:tr>
    </w:tbl>
    <w:p w:rsidR="008B6253" w:rsidRPr="00231F73" w:rsidRDefault="008B6253" w:rsidP="008B6253">
      <w:pPr>
        <w:pStyle w:val="ListParagraph"/>
        <w:ind w:left="1080"/>
        <w:rPr>
          <w:rFonts w:ascii="Times New Roman" w:hAnsi="Times New Roman" w:cs="Times New Roman"/>
          <w:noProof/>
          <w:color w:val="1F497D"/>
        </w:rPr>
      </w:pPr>
    </w:p>
    <w:p w:rsidR="008B6253" w:rsidRPr="00231F73" w:rsidRDefault="008B6253" w:rsidP="008B6253">
      <w:pPr>
        <w:rPr>
          <w:noProof/>
        </w:rPr>
      </w:pPr>
    </w:p>
    <w:p w:rsidR="008B6253" w:rsidRPr="00231F73" w:rsidRDefault="008B6253" w:rsidP="008B6253">
      <w:pPr>
        <w:spacing w:before="120" w:after="240"/>
        <w:jc w:val="center"/>
        <w:rPr>
          <w:noProof/>
        </w:rPr>
      </w:pPr>
    </w:p>
    <w:p w:rsidR="006E10F7" w:rsidRDefault="006E10F7">
      <w:pPr>
        <w:rPr>
          <w:noProof/>
        </w:rPr>
      </w:pPr>
    </w:p>
    <w:sectPr w:rsidR="006E10F7" w:rsidSect="00AA4A3E">
      <w:headerReference w:type="even" r:id="rId23"/>
      <w:headerReference w:type="default" r:id="rId24"/>
      <w:footerReference w:type="even" r:id="rId25"/>
      <w:footerReference w:type="default" r:id="rId26"/>
      <w:headerReference w:type="first" r:id="rId27"/>
      <w:footerReference w:type="first" r:id="rId28"/>
      <w:pgSz w:w="11907" w:h="1683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253" w:rsidRDefault="008B6253" w:rsidP="008B6253">
      <w:pPr>
        <w:spacing w:after="0" w:line="240" w:lineRule="auto"/>
      </w:pPr>
      <w:r>
        <w:separator/>
      </w:r>
    </w:p>
  </w:endnote>
  <w:endnote w:type="continuationSeparator" w:id="0">
    <w:p w:rsidR="008B6253" w:rsidRDefault="008B6253" w:rsidP="008B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w:altName w:val="Bahnschrift Light"/>
    <w:panose1 w:val="020B0506040000020004"/>
    <w:charset w:val="00"/>
    <w:family w:val="swiss"/>
    <w:pitch w:val="variable"/>
    <w:sig w:usb0="A00002BF" w:usb1="5000E0F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C Square Sans Pro Light">
    <w:altName w:val="Corbel"/>
    <w:panose1 w:val="020B0506000000020004"/>
    <w:charset w:val="00"/>
    <w:family w:val="swiss"/>
    <w:pitch w:val="variable"/>
    <w:sig w:usb0="A00002BF" w:usb1="5000E0F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424" w:rsidRPr="00AD3424" w:rsidRDefault="00AD3424" w:rsidP="00AD3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424" w:rsidRPr="00AD3424" w:rsidRDefault="00AD3424" w:rsidP="00AD3424">
    <w:pPr>
      <w:pStyle w:val="FooterCoverPage"/>
      <w:rPr>
        <w:rFonts w:ascii="Arial" w:hAnsi="Arial" w:cs="Arial"/>
        <w:b/>
        <w:sz w:val="48"/>
      </w:rPr>
    </w:pPr>
    <w:r w:rsidRPr="00AD3424">
      <w:rPr>
        <w:rFonts w:ascii="Arial" w:hAnsi="Arial" w:cs="Arial"/>
        <w:b/>
        <w:sz w:val="48"/>
      </w:rPr>
      <w:t>FR</w:t>
    </w:r>
    <w:r w:rsidRPr="00AD3424">
      <w:rPr>
        <w:rFonts w:ascii="Arial" w:hAnsi="Arial" w:cs="Arial"/>
        <w:b/>
        <w:sz w:val="48"/>
      </w:rPr>
      <w:tab/>
    </w:r>
    <w:r w:rsidRPr="00AD3424">
      <w:rPr>
        <w:rFonts w:ascii="Arial" w:hAnsi="Arial" w:cs="Arial"/>
        <w:b/>
        <w:sz w:val="48"/>
      </w:rPr>
      <w:tab/>
    </w:r>
    <w:r w:rsidRPr="00AD3424">
      <w:tab/>
    </w:r>
    <w:r w:rsidRPr="00AD342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424" w:rsidRPr="00AD3424" w:rsidRDefault="00AD3424" w:rsidP="00AD342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253" w:rsidRDefault="008B625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253" w:rsidRPr="007352EE" w:rsidRDefault="00AD3424" w:rsidP="007352EE">
    <w:pPr>
      <w:pStyle w:val="FooterCoverPage"/>
      <w:rPr>
        <w:rFonts w:ascii="Arial" w:hAnsi="Arial" w:cs="Arial"/>
        <w:b/>
        <w:sz w:val="48"/>
      </w:rPr>
    </w:pPr>
    <w:r>
      <w:rPr>
        <w:rFonts w:ascii="Arial" w:hAnsi="Arial"/>
        <w:b/>
        <w:sz w:val="48"/>
      </w:rPr>
      <w:t>FR</w:t>
    </w:r>
    <w:r w:rsidR="008B6253">
      <w:tab/>
    </w:r>
    <w:r w:rsidR="008B6253">
      <w:tab/>
    </w:r>
    <w:r w:rsidR="008B6253">
      <w:tab/>
    </w:r>
    <w:r>
      <w:rPr>
        <w:rFonts w:ascii="Arial" w:hAnsi="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253" w:rsidRDefault="008B625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0D" w:rsidRDefault="00AD34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0D" w:rsidRDefault="008B6253">
    <w:pPr>
      <w:pStyle w:val="Footer"/>
      <w:jc w:val="center"/>
      <w:rPr>
        <w:noProof/>
      </w:rPr>
    </w:pPr>
    <w:r>
      <w:fldChar w:fldCharType="begin"/>
    </w:r>
    <w:r>
      <w:instrText xml:space="preserve"> PAGE   \* MERGEFORMAT </w:instrText>
    </w:r>
    <w:r>
      <w:fldChar w:fldCharType="separate"/>
    </w:r>
    <w:r w:rsidR="00AD3424">
      <w:rPr>
        <w:noProof/>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0D" w:rsidRDefault="00AD3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253" w:rsidRDefault="008B6253" w:rsidP="008B6253">
      <w:pPr>
        <w:spacing w:after="0" w:line="240" w:lineRule="auto"/>
      </w:pPr>
      <w:r>
        <w:separator/>
      </w:r>
    </w:p>
  </w:footnote>
  <w:footnote w:type="continuationSeparator" w:id="0">
    <w:p w:rsidR="008B6253" w:rsidRDefault="008B6253" w:rsidP="008B6253">
      <w:pPr>
        <w:spacing w:after="0" w:line="240" w:lineRule="auto"/>
      </w:pPr>
      <w:r>
        <w:continuationSeparator/>
      </w:r>
    </w:p>
  </w:footnote>
  <w:footnote w:id="1">
    <w:p w:rsidR="008B6253" w:rsidRPr="0016007B" w:rsidRDefault="008B6253" w:rsidP="008B6253">
      <w:pPr>
        <w:pStyle w:val="FootnoteText"/>
        <w:ind w:left="142" w:hanging="153"/>
      </w:pPr>
      <w:r>
        <w:rPr>
          <w:rStyle w:val="FootnoteReference"/>
        </w:rPr>
        <w:footnoteRef/>
      </w:r>
      <w:r>
        <w:tab/>
        <w:t>SURE est un concours temporaire accessible aux États membres qui ont besoin de mobiliser des moyens financiers importants pour lutter contre les répercussions économiques et sociales néfastes de la pandémie de COVID-</w:t>
      </w:r>
      <w:r w:rsidRPr="00887B27">
        <w:t>19</w:t>
      </w:r>
      <w:r>
        <w:t xml:space="preserve"> sur leur territoire. SURE peut fournir une assistance financière allant jusqu’à </w:t>
      </w:r>
      <w:r w:rsidRPr="00887B27">
        <w:t>100</w:t>
      </w:r>
      <w:r>
        <w:t> milliards d’EUR sous la forme de prêts accordés par l’UE aux États membres touchés afin de faire face à des augmentations soudaines des dépenses publiques pour la préservation de l’emploi. La base juridique de SURE est le règlement (UE) </w:t>
      </w:r>
      <w:r w:rsidRPr="00887B27">
        <w:t>2020</w:t>
      </w:r>
      <w:r>
        <w:t>/</w:t>
      </w:r>
      <w:r w:rsidRPr="00887B27">
        <w:t>672</w:t>
      </w:r>
      <w:r>
        <w:t xml:space="preserve"> du Conseil du </w:t>
      </w:r>
      <w:r w:rsidRPr="00887B27">
        <w:t>19</w:t>
      </w:r>
      <w:r>
        <w:t xml:space="preserve"> mai </w:t>
      </w:r>
      <w:r w:rsidRPr="00887B27">
        <w:t>2020</w:t>
      </w:r>
      <w:r>
        <w:t xml:space="preserve"> portant création d’un instrument européen de soutien temporaire à l’atténuation des risques de chômage en situation d’urgence (SURE) engendrée par la propagation de la COVID-</w:t>
      </w:r>
      <w:r w:rsidRPr="00887B27">
        <w:t>19</w:t>
      </w:r>
      <w:r>
        <w:t xml:space="preserve"> (JO L </w:t>
      </w:r>
      <w:r w:rsidRPr="00887B27">
        <w:t>159</w:t>
      </w:r>
      <w:r>
        <w:t xml:space="preserve"> du </w:t>
      </w:r>
      <w:r w:rsidRPr="00887B27">
        <w:t>20</w:t>
      </w:r>
      <w:r>
        <w:t>.</w:t>
      </w:r>
      <w:r w:rsidRPr="00887B27">
        <w:t>5</w:t>
      </w:r>
      <w:r>
        <w:t>.</w:t>
      </w:r>
      <w:r w:rsidRPr="00887B27">
        <w:t>2020</w:t>
      </w:r>
      <w:r>
        <w:t>, p. </w:t>
      </w:r>
      <w:r w:rsidRPr="00887B27">
        <w:t>1</w:t>
      </w:r>
      <w:r>
        <w:t>).</w:t>
      </w:r>
    </w:p>
  </w:footnote>
  <w:footnote w:id="2">
    <w:p w:rsidR="008B6253" w:rsidRPr="00161872" w:rsidRDefault="008B6253" w:rsidP="00161872">
      <w:pPr>
        <w:spacing w:after="0" w:line="240" w:lineRule="auto"/>
        <w:ind w:left="284" w:hanging="284"/>
        <w:jc w:val="both"/>
        <w:rPr>
          <w:sz w:val="20"/>
          <w:szCs w:val="20"/>
        </w:rPr>
      </w:pPr>
      <w:r w:rsidRPr="00161872">
        <w:rPr>
          <w:rStyle w:val="FootnoteReference"/>
          <w:sz w:val="20"/>
          <w:szCs w:val="20"/>
        </w:rPr>
        <w:footnoteRef/>
      </w:r>
      <w:r w:rsidRPr="00161872">
        <w:rPr>
          <w:sz w:val="20"/>
          <w:szCs w:val="20"/>
        </w:rPr>
        <w:tab/>
        <w:t xml:space="preserve">Au cours des deuxième et troisième trimestres de </w:t>
      </w:r>
      <w:r w:rsidRPr="00887B27">
        <w:rPr>
          <w:sz w:val="20"/>
          <w:szCs w:val="20"/>
        </w:rPr>
        <w:t>2021</w:t>
      </w:r>
      <w:r w:rsidRPr="00161872">
        <w:rPr>
          <w:sz w:val="20"/>
          <w:szCs w:val="20"/>
        </w:rPr>
        <w:t xml:space="preserve">, le chiffre d’affaires mensuel sur le marché secondaire s’est élevé à </w:t>
      </w:r>
      <w:r w:rsidRPr="00887B27">
        <w:rPr>
          <w:sz w:val="20"/>
          <w:szCs w:val="20"/>
        </w:rPr>
        <w:t>15</w:t>
      </w:r>
      <w:r w:rsidRPr="00161872">
        <w:rPr>
          <w:sz w:val="20"/>
          <w:szCs w:val="20"/>
        </w:rPr>
        <w:t> % de l’encours de la dette émise au titre de NextGenerationEU. Ce ratio est comparable à celui observé sur les marchés des obligations d’État en euros les plus liquides.</w:t>
      </w:r>
    </w:p>
  </w:footnote>
  <w:footnote w:id="3">
    <w:p w:rsidR="008B6253" w:rsidRPr="00161872" w:rsidRDefault="008B6253" w:rsidP="00161872">
      <w:pPr>
        <w:spacing w:after="0" w:line="240" w:lineRule="auto"/>
        <w:ind w:left="284" w:hanging="284"/>
        <w:jc w:val="both"/>
        <w:rPr>
          <w:sz w:val="20"/>
          <w:szCs w:val="20"/>
        </w:rPr>
      </w:pPr>
      <w:r w:rsidRPr="00161872">
        <w:rPr>
          <w:rStyle w:val="FootnoteReference"/>
          <w:sz w:val="20"/>
          <w:szCs w:val="20"/>
        </w:rPr>
        <w:footnoteRef/>
      </w:r>
      <w:r w:rsidRPr="00161872">
        <w:rPr>
          <w:sz w:val="20"/>
          <w:szCs w:val="20"/>
        </w:rPr>
        <w:tab/>
        <w:t>Décision (UE, Euratom) </w:t>
      </w:r>
      <w:r w:rsidRPr="00887B27">
        <w:rPr>
          <w:sz w:val="20"/>
          <w:szCs w:val="20"/>
        </w:rPr>
        <w:t>2020</w:t>
      </w:r>
      <w:r w:rsidRPr="00161872">
        <w:rPr>
          <w:sz w:val="20"/>
          <w:szCs w:val="20"/>
        </w:rPr>
        <w:t>/</w:t>
      </w:r>
      <w:r w:rsidRPr="00887B27">
        <w:rPr>
          <w:sz w:val="20"/>
          <w:szCs w:val="20"/>
        </w:rPr>
        <w:t>2053</w:t>
      </w:r>
      <w:r w:rsidRPr="00161872">
        <w:rPr>
          <w:sz w:val="20"/>
          <w:szCs w:val="20"/>
        </w:rPr>
        <w:t xml:space="preserve"> du Conseil du </w:t>
      </w:r>
      <w:r w:rsidRPr="00887B27">
        <w:rPr>
          <w:sz w:val="20"/>
          <w:szCs w:val="20"/>
        </w:rPr>
        <w:t>14</w:t>
      </w:r>
      <w:r w:rsidRPr="00161872">
        <w:rPr>
          <w:sz w:val="20"/>
          <w:szCs w:val="20"/>
        </w:rPr>
        <w:t> décembre </w:t>
      </w:r>
      <w:r w:rsidRPr="00887B27">
        <w:rPr>
          <w:sz w:val="20"/>
          <w:szCs w:val="20"/>
        </w:rPr>
        <w:t>2020</w:t>
      </w:r>
      <w:r w:rsidRPr="00161872">
        <w:rPr>
          <w:sz w:val="20"/>
          <w:szCs w:val="20"/>
        </w:rPr>
        <w:t xml:space="preserve"> relative au système des ressources propres de l’Union européenne et abrogeant la décision </w:t>
      </w:r>
      <w:r w:rsidRPr="00887B27">
        <w:rPr>
          <w:sz w:val="20"/>
          <w:szCs w:val="20"/>
        </w:rPr>
        <w:t>2014</w:t>
      </w:r>
      <w:r w:rsidRPr="00161872">
        <w:rPr>
          <w:sz w:val="20"/>
          <w:szCs w:val="20"/>
        </w:rPr>
        <w:t>/</w:t>
      </w:r>
      <w:r w:rsidRPr="00887B27">
        <w:rPr>
          <w:sz w:val="20"/>
          <w:szCs w:val="20"/>
        </w:rPr>
        <w:t>335</w:t>
      </w:r>
      <w:r w:rsidRPr="00161872">
        <w:rPr>
          <w:sz w:val="20"/>
          <w:szCs w:val="20"/>
        </w:rPr>
        <w:t>/UE, Euratom (JO L </w:t>
      </w:r>
      <w:r w:rsidRPr="00887B27">
        <w:rPr>
          <w:sz w:val="20"/>
          <w:szCs w:val="20"/>
        </w:rPr>
        <w:t>424</w:t>
      </w:r>
      <w:r w:rsidRPr="00161872">
        <w:rPr>
          <w:sz w:val="20"/>
          <w:szCs w:val="20"/>
        </w:rPr>
        <w:t xml:space="preserve"> du </w:t>
      </w:r>
      <w:r w:rsidRPr="00887B27">
        <w:rPr>
          <w:sz w:val="20"/>
          <w:szCs w:val="20"/>
        </w:rPr>
        <w:t>15</w:t>
      </w:r>
      <w:r w:rsidRPr="00161872">
        <w:rPr>
          <w:sz w:val="20"/>
          <w:szCs w:val="20"/>
        </w:rPr>
        <w:t>.</w:t>
      </w:r>
      <w:r w:rsidRPr="00887B27">
        <w:rPr>
          <w:sz w:val="20"/>
          <w:szCs w:val="20"/>
        </w:rPr>
        <w:t>12</w:t>
      </w:r>
      <w:r w:rsidRPr="00161872">
        <w:rPr>
          <w:sz w:val="20"/>
          <w:szCs w:val="20"/>
        </w:rPr>
        <w:t>.</w:t>
      </w:r>
      <w:r w:rsidRPr="00887B27">
        <w:rPr>
          <w:sz w:val="20"/>
          <w:szCs w:val="20"/>
        </w:rPr>
        <w:t>2020</w:t>
      </w:r>
      <w:r w:rsidRPr="00161872">
        <w:rPr>
          <w:sz w:val="20"/>
          <w:szCs w:val="20"/>
        </w:rPr>
        <w:t>, p. </w:t>
      </w:r>
      <w:r w:rsidRPr="00887B27">
        <w:rPr>
          <w:sz w:val="20"/>
          <w:szCs w:val="20"/>
        </w:rPr>
        <w:t>1</w:t>
      </w:r>
      <w:r w:rsidRPr="00161872">
        <w:rPr>
          <w:sz w:val="20"/>
          <w:szCs w:val="20"/>
        </w:rPr>
        <w:t>).</w:t>
      </w:r>
    </w:p>
  </w:footnote>
  <w:footnote w:id="4">
    <w:p w:rsidR="008B6253" w:rsidRPr="00333E12" w:rsidRDefault="008B6253" w:rsidP="00161872">
      <w:pPr>
        <w:spacing w:after="0" w:line="240" w:lineRule="auto"/>
        <w:ind w:left="284" w:hanging="284"/>
        <w:jc w:val="both"/>
        <w:rPr>
          <w:sz w:val="20"/>
          <w:szCs w:val="20"/>
        </w:rPr>
      </w:pPr>
      <w:r>
        <w:rPr>
          <w:rStyle w:val="FootnoteReference"/>
          <w:sz w:val="20"/>
          <w:szCs w:val="20"/>
        </w:rPr>
        <w:footnoteRef/>
      </w:r>
      <w:r>
        <w:tab/>
      </w:r>
      <w:r>
        <w:rPr>
          <w:sz w:val="20"/>
          <w:szCs w:val="20"/>
        </w:rPr>
        <w:t xml:space="preserve">Cela a permis à </w:t>
      </w:r>
      <w:r w:rsidRPr="00887B27">
        <w:rPr>
          <w:sz w:val="20"/>
          <w:szCs w:val="20"/>
        </w:rPr>
        <w:t>20</w:t>
      </w:r>
      <w:r>
        <w:rPr>
          <w:sz w:val="20"/>
          <w:szCs w:val="20"/>
        </w:rPr>
        <w:t xml:space="preserve"> États membres d’obtenir un préfinancement de leurs subventions, à </w:t>
      </w:r>
      <w:r w:rsidRPr="00887B27">
        <w:rPr>
          <w:sz w:val="20"/>
          <w:szCs w:val="20"/>
        </w:rPr>
        <w:t>5</w:t>
      </w:r>
      <w:r>
        <w:rPr>
          <w:sz w:val="20"/>
          <w:szCs w:val="20"/>
        </w:rPr>
        <w:t> États membres d’obtenir un préfinancement de leurs prêts et à l’Espagne d’obtenir le versement de sa première tranche de subvention.</w:t>
      </w:r>
    </w:p>
  </w:footnote>
  <w:footnote w:id="5">
    <w:p w:rsidR="008B6253" w:rsidRPr="00727584" w:rsidRDefault="008B6253" w:rsidP="008B6253">
      <w:pPr>
        <w:spacing w:after="0" w:line="240" w:lineRule="auto"/>
        <w:ind w:left="284" w:hanging="284"/>
        <w:rPr>
          <w:sz w:val="20"/>
          <w:szCs w:val="20"/>
        </w:rPr>
      </w:pPr>
      <w:r>
        <w:rPr>
          <w:rStyle w:val="FootnoteReference"/>
          <w:sz w:val="20"/>
          <w:szCs w:val="20"/>
        </w:rPr>
        <w:footnoteRef/>
      </w:r>
      <w:r>
        <w:tab/>
      </w:r>
      <w:r>
        <w:rPr>
          <w:sz w:val="20"/>
          <w:szCs w:val="20"/>
        </w:rPr>
        <w:t>Communication COM(</w:t>
      </w:r>
      <w:r w:rsidRPr="00887B27">
        <w:rPr>
          <w:sz w:val="20"/>
          <w:szCs w:val="20"/>
        </w:rPr>
        <w:t>2021</w:t>
      </w:r>
      <w:r>
        <w:rPr>
          <w:sz w:val="20"/>
          <w:szCs w:val="20"/>
        </w:rPr>
        <w:t>)</w:t>
      </w:r>
      <w:r w:rsidRPr="00887B27">
        <w:rPr>
          <w:sz w:val="20"/>
          <w:szCs w:val="20"/>
        </w:rPr>
        <w:t>250</w:t>
      </w:r>
      <w:r>
        <w:rPr>
          <w:sz w:val="20"/>
          <w:szCs w:val="20"/>
        </w:rPr>
        <w:t xml:space="preserve"> sur une nouvelle stratégie de financement en vue du financement de NextGenerationEU (publiée le </w:t>
      </w:r>
      <w:r w:rsidRPr="00887B27">
        <w:rPr>
          <w:sz w:val="20"/>
          <w:szCs w:val="20"/>
        </w:rPr>
        <w:t>14</w:t>
      </w:r>
      <w:r>
        <w:rPr>
          <w:sz w:val="20"/>
          <w:szCs w:val="20"/>
        </w:rPr>
        <w:t xml:space="preserve"> avril </w:t>
      </w:r>
      <w:r w:rsidRPr="00887B27">
        <w:rPr>
          <w:sz w:val="20"/>
          <w:szCs w:val="20"/>
        </w:rPr>
        <w:t>2021</w:t>
      </w:r>
      <w:r>
        <w:rPr>
          <w:sz w:val="20"/>
          <w:szCs w:val="20"/>
        </w:rPr>
        <w:t>). Voir</w:t>
      </w:r>
      <w:r>
        <w:t xml:space="preserve"> </w:t>
      </w:r>
      <w:hyperlink r:id="rId1" w:history="1">
        <w:r>
          <w:rPr>
            <w:rStyle w:val="Hyperlink"/>
            <w:sz w:val="20"/>
            <w:szCs w:val="20"/>
          </w:rPr>
          <w:t>COM(</w:t>
        </w:r>
        <w:r w:rsidRPr="00887B27">
          <w:rPr>
            <w:rStyle w:val="Hyperlink"/>
            <w:sz w:val="20"/>
            <w:szCs w:val="20"/>
          </w:rPr>
          <w:t>2021</w:t>
        </w:r>
        <w:r>
          <w:rPr>
            <w:rStyle w:val="Hyperlink"/>
            <w:sz w:val="20"/>
            <w:szCs w:val="20"/>
          </w:rPr>
          <w:t>)</w:t>
        </w:r>
        <w:r w:rsidRPr="00887B27">
          <w:rPr>
            <w:rStyle w:val="Hyperlink"/>
            <w:sz w:val="20"/>
            <w:szCs w:val="20"/>
          </w:rPr>
          <w:t>250</w:t>
        </w:r>
        <w:r>
          <w:rPr>
            <w:rStyle w:val="Hyperlink"/>
            <w:sz w:val="20"/>
            <w:szCs w:val="20"/>
          </w:rPr>
          <w:t xml:space="preserve"> final (europa.eu)</w:t>
        </w:r>
      </w:hyperlink>
    </w:p>
  </w:footnote>
  <w:footnote w:id="6">
    <w:p w:rsidR="008B6253" w:rsidRPr="00A173A4" w:rsidRDefault="008B6253" w:rsidP="008B6253">
      <w:pPr>
        <w:pStyle w:val="FootnoteText"/>
        <w:ind w:left="284" w:hanging="284"/>
      </w:pPr>
      <w:r>
        <w:rPr>
          <w:rStyle w:val="FootnoteReference"/>
        </w:rPr>
        <w:footnoteRef/>
      </w:r>
      <w:r>
        <w:tab/>
        <w:t xml:space="preserve">Une </w:t>
      </w:r>
      <w:r w:rsidRPr="00887B27">
        <w:t>43</w:t>
      </w:r>
      <w:r>
        <w:rPr>
          <w:vertAlign w:val="superscript"/>
        </w:rPr>
        <w:t>e</w:t>
      </w:r>
      <w:r>
        <w:t xml:space="preserve"> institution a été admise depuis lors. La liste la plus récente est disponible sur le site web de la Commission à l’adresse suivante: </w:t>
      </w:r>
      <w:hyperlink r:id="rId2" w:history="1">
        <w:r>
          <w:rPr>
            <w:rStyle w:val="Hyperlink"/>
          </w:rPr>
          <w:t>Primary Dealer Network |</w:t>
        </w:r>
      </w:hyperlink>
      <w:hyperlink r:id="rId3" w:history="1">
        <w:r>
          <w:rPr>
            <w:rStyle w:val="Hyperlink"/>
          </w:rPr>
          <w:t xml:space="preserve"> Commission européenne (europa.eu)</w:t>
        </w:r>
      </w:hyperlink>
      <w:r>
        <w:t>.</w:t>
      </w:r>
    </w:p>
  </w:footnote>
  <w:footnote w:id="7">
    <w:p w:rsidR="008B6253" w:rsidRPr="00727584" w:rsidRDefault="008B6253" w:rsidP="00161872">
      <w:pPr>
        <w:ind w:left="284" w:hanging="284"/>
        <w:jc w:val="both"/>
        <w:rPr>
          <w:sz w:val="20"/>
          <w:szCs w:val="20"/>
        </w:rPr>
      </w:pPr>
      <w:r w:rsidRPr="00161872">
        <w:rPr>
          <w:rStyle w:val="FootnoteReference"/>
          <w:sz w:val="20"/>
          <w:szCs w:val="20"/>
        </w:rPr>
        <w:footnoteRef/>
      </w:r>
      <w:r w:rsidRPr="00161872">
        <w:rPr>
          <w:sz w:val="20"/>
          <w:szCs w:val="20"/>
        </w:rPr>
        <w:tab/>
        <w:t xml:space="preserve">Décision d’exécution de la Commission du </w:t>
      </w:r>
      <w:r w:rsidRPr="00887B27">
        <w:rPr>
          <w:sz w:val="20"/>
          <w:szCs w:val="20"/>
        </w:rPr>
        <w:t>14</w:t>
      </w:r>
      <w:r w:rsidRPr="00161872">
        <w:rPr>
          <w:sz w:val="20"/>
          <w:szCs w:val="20"/>
        </w:rPr>
        <w:t xml:space="preserve"> avril </w:t>
      </w:r>
      <w:r w:rsidRPr="00887B27">
        <w:rPr>
          <w:sz w:val="20"/>
          <w:szCs w:val="20"/>
        </w:rPr>
        <w:t>2021</w:t>
      </w:r>
      <w:r w:rsidRPr="00161872">
        <w:rPr>
          <w:sz w:val="20"/>
          <w:szCs w:val="20"/>
        </w:rPr>
        <w:t xml:space="preserve"> établissant les modalités nécessaires aux fins de la gestion des opérations d’emprunt effectuées en vertu de la décision (UE, Euratom) </w:t>
      </w:r>
      <w:r w:rsidRPr="00887B27">
        <w:rPr>
          <w:sz w:val="20"/>
          <w:szCs w:val="20"/>
        </w:rPr>
        <w:t>2020</w:t>
      </w:r>
      <w:r w:rsidRPr="00161872">
        <w:rPr>
          <w:sz w:val="20"/>
          <w:szCs w:val="20"/>
        </w:rPr>
        <w:t>/</w:t>
      </w:r>
      <w:r w:rsidRPr="00887B27">
        <w:rPr>
          <w:sz w:val="20"/>
          <w:szCs w:val="20"/>
        </w:rPr>
        <w:t>2053</w:t>
      </w:r>
      <w:r w:rsidRPr="00161872">
        <w:rPr>
          <w:sz w:val="20"/>
          <w:szCs w:val="20"/>
        </w:rPr>
        <w:t xml:space="preserve"> du Conseil et des opérations de prêt liées aux prêts accordés conformément à l’article </w:t>
      </w:r>
      <w:r w:rsidRPr="00887B27">
        <w:rPr>
          <w:sz w:val="20"/>
          <w:szCs w:val="20"/>
        </w:rPr>
        <w:t>15</w:t>
      </w:r>
      <w:r w:rsidRPr="00161872">
        <w:rPr>
          <w:sz w:val="20"/>
          <w:szCs w:val="20"/>
        </w:rPr>
        <w:t xml:space="preserve"> du règlement (UE) </w:t>
      </w:r>
      <w:r w:rsidRPr="00887B27">
        <w:rPr>
          <w:sz w:val="20"/>
          <w:szCs w:val="20"/>
        </w:rPr>
        <w:t>2021</w:t>
      </w:r>
      <w:r w:rsidRPr="00161872">
        <w:rPr>
          <w:sz w:val="20"/>
          <w:szCs w:val="20"/>
        </w:rPr>
        <w:t>/</w:t>
      </w:r>
      <w:r w:rsidRPr="00887B27">
        <w:rPr>
          <w:sz w:val="20"/>
          <w:szCs w:val="20"/>
        </w:rPr>
        <w:t>241</w:t>
      </w:r>
      <w:r w:rsidRPr="00161872">
        <w:rPr>
          <w:sz w:val="20"/>
          <w:szCs w:val="20"/>
        </w:rPr>
        <w:t xml:space="preserve"> du Parlement européen et du Conseil, C(</w:t>
      </w:r>
      <w:r w:rsidRPr="00887B27">
        <w:rPr>
          <w:sz w:val="20"/>
          <w:szCs w:val="20"/>
        </w:rPr>
        <w:t>2021</w:t>
      </w:r>
      <w:r w:rsidRPr="00161872">
        <w:rPr>
          <w:sz w:val="20"/>
          <w:szCs w:val="20"/>
        </w:rPr>
        <w:t>) </w:t>
      </w:r>
      <w:r w:rsidRPr="00887B27">
        <w:rPr>
          <w:sz w:val="20"/>
          <w:szCs w:val="20"/>
        </w:rPr>
        <w:t>2502</w:t>
      </w:r>
      <w:r w:rsidRPr="00161872">
        <w:rPr>
          <w:sz w:val="20"/>
          <w:szCs w:val="20"/>
        </w:rPr>
        <w:t xml:space="preserve"> final.</w:t>
      </w:r>
    </w:p>
  </w:footnote>
  <w:footnote w:id="8">
    <w:p w:rsidR="008B6253" w:rsidRPr="00161872" w:rsidRDefault="008B6253" w:rsidP="00161872">
      <w:pPr>
        <w:ind w:left="284" w:hanging="284"/>
        <w:jc w:val="both"/>
        <w:rPr>
          <w:sz w:val="20"/>
          <w:szCs w:val="20"/>
        </w:rPr>
      </w:pPr>
      <w:r w:rsidRPr="00161872">
        <w:rPr>
          <w:rStyle w:val="FootnoteReference"/>
          <w:sz w:val="20"/>
          <w:szCs w:val="20"/>
        </w:rPr>
        <w:footnoteRef/>
      </w:r>
      <w:r w:rsidRPr="00161872">
        <w:rPr>
          <w:sz w:val="20"/>
          <w:szCs w:val="20"/>
        </w:rPr>
        <w:tab/>
        <w:t>Toutes les dépenses doivent respecter le principe consistant à ne pas causer de préjudice important aux autres objectifs environnementaux. Pour y parvenir, les États membres s’entendent, dans le cadre des conventions de financement et des accords de prêt, pour rendre régulièrement compte des dépenses liées aux investissements verts.</w:t>
      </w:r>
    </w:p>
    <w:p w:rsidR="008B6253" w:rsidRPr="00727584" w:rsidRDefault="008B6253" w:rsidP="008B6253">
      <w:pPr>
        <w:ind w:left="284" w:hanging="284"/>
        <w:rPr>
          <w:sz w:val="20"/>
          <w:szCs w:val="20"/>
        </w:rPr>
      </w:pPr>
    </w:p>
  </w:footnote>
  <w:footnote w:id="9">
    <w:p w:rsidR="008B6253" w:rsidRPr="000970ED" w:rsidRDefault="008B6253" w:rsidP="00161872">
      <w:pPr>
        <w:spacing w:after="0"/>
        <w:ind w:left="284" w:hanging="284"/>
        <w:jc w:val="both"/>
        <w:rPr>
          <w:sz w:val="20"/>
          <w:szCs w:val="20"/>
        </w:rPr>
      </w:pPr>
      <w:r>
        <w:rPr>
          <w:rStyle w:val="FootnoteReference"/>
        </w:rPr>
        <w:footnoteRef/>
      </w:r>
      <w:r>
        <w:tab/>
      </w:r>
      <w:r>
        <w:rPr>
          <w:sz w:val="20"/>
          <w:szCs w:val="20"/>
        </w:rPr>
        <w:t xml:space="preserve">Décision d’exécution de la Commission du </w:t>
      </w:r>
      <w:r w:rsidRPr="00887B27">
        <w:rPr>
          <w:sz w:val="20"/>
          <w:szCs w:val="20"/>
        </w:rPr>
        <w:t>1</w:t>
      </w:r>
      <w:r>
        <w:rPr>
          <w:sz w:val="20"/>
          <w:szCs w:val="20"/>
          <w:vertAlign w:val="superscript"/>
        </w:rPr>
        <w:t>er</w:t>
      </w:r>
      <w:r>
        <w:rPr>
          <w:sz w:val="20"/>
          <w:szCs w:val="20"/>
        </w:rPr>
        <w:t xml:space="preserve"> juin </w:t>
      </w:r>
      <w:r w:rsidRPr="00887B27">
        <w:rPr>
          <w:sz w:val="20"/>
          <w:szCs w:val="20"/>
        </w:rPr>
        <w:t>2021</w:t>
      </w:r>
      <w:r>
        <w:rPr>
          <w:sz w:val="20"/>
          <w:szCs w:val="20"/>
        </w:rPr>
        <w:t xml:space="preserve"> établissant le cadre pour les opérations d’emprunt et de gestion de la dette dans le cadre de NextGenerationEU pour </w:t>
      </w:r>
      <w:r w:rsidRPr="00887B27">
        <w:rPr>
          <w:sz w:val="20"/>
          <w:szCs w:val="20"/>
        </w:rPr>
        <w:t>2021</w:t>
      </w:r>
      <w:r>
        <w:rPr>
          <w:sz w:val="20"/>
          <w:szCs w:val="20"/>
        </w:rPr>
        <w:t>, C(</w:t>
      </w:r>
      <w:r w:rsidRPr="00887B27">
        <w:rPr>
          <w:sz w:val="20"/>
          <w:szCs w:val="20"/>
        </w:rPr>
        <w:t>2021</w:t>
      </w:r>
      <w:r>
        <w:rPr>
          <w:sz w:val="20"/>
          <w:szCs w:val="20"/>
        </w:rPr>
        <w:t>) </w:t>
      </w:r>
      <w:r w:rsidRPr="00887B27">
        <w:rPr>
          <w:sz w:val="20"/>
          <w:szCs w:val="20"/>
        </w:rPr>
        <w:t>3991</w:t>
      </w:r>
      <w:r>
        <w:rPr>
          <w:sz w:val="20"/>
          <w:szCs w:val="20"/>
        </w:rPr>
        <w:t xml:space="preserve"> final.</w:t>
      </w:r>
    </w:p>
  </w:footnote>
  <w:footnote w:id="10">
    <w:p w:rsidR="008B6253" w:rsidRPr="00161872" w:rsidRDefault="008B6253" w:rsidP="008B6253">
      <w:pPr>
        <w:pStyle w:val="FootnoteText"/>
        <w:rPr>
          <w:lang w:val="en-US"/>
        </w:rPr>
      </w:pPr>
      <w:r>
        <w:rPr>
          <w:rStyle w:val="FootnoteReference"/>
        </w:rPr>
        <w:footnoteRef/>
      </w:r>
      <w:r w:rsidRPr="00161872">
        <w:rPr>
          <w:lang w:val="en-US"/>
        </w:rPr>
        <w:t xml:space="preserve"> </w:t>
      </w:r>
      <w:hyperlink r:id="rId4" w:history="1">
        <w:r w:rsidRPr="00161872">
          <w:rPr>
            <w:rStyle w:val="Hyperlink"/>
            <w:lang w:val="en-US"/>
          </w:rPr>
          <w:t>factsheet_funding_plan_jan-jun-</w:t>
        </w:r>
        <w:r w:rsidRPr="00887B27">
          <w:rPr>
            <w:rStyle w:val="Hyperlink"/>
            <w:lang w:val="en-US"/>
          </w:rPr>
          <w:t>2022</w:t>
        </w:r>
        <w:r w:rsidRPr="00161872">
          <w:rPr>
            <w:rStyle w:val="Hyperlink"/>
            <w:lang w:val="en-US"/>
          </w:rPr>
          <w:t>.pdf (europa.eu)</w:t>
        </w:r>
      </w:hyperlink>
    </w:p>
    <w:p w:rsidR="008B6253" w:rsidRPr="00685944" w:rsidRDefault="008B6253" w:rsidP="008B6253">
      <w:pPr>
        <w:pStyle w:val="FootnoteText"/>
        <w:rPr>
          <w:lang w:val="en-IE"/>
        </w:rPr>
      </w:pPr>
    </w:p>
  </w:footnote>
  <w:footnote w:id="11">
    <w:p w:rsidR="008B6253" w:rsidRPr="00161872" w:rsidRDefault="008B6253" w:rsidP="008B6253">
      <w:pPr>
        <w:pStyle w:val="FootnoteText"/>
        <w:rPr>
          <w:lang w:val="en-US"/>
        </w:rPr>
      </w:pPr>
      <w:r>
        <w:rPr>
          <w:rStyle w:val="FootnoteReference"/>
        </w:rPr>
        <w:footnoteRef/>
      </w:r>
      <w:r w:rsidRPr="00161872">
        <w:rPr>
          <w:lang w:val="en-US"/>
        </w:rPr>
        <w:t xml:space="preserve"> </w:t>
      </w:r>
      <w:hyperlink r:id="rId5" w:history="1">
        <w:r w:rsidRPr="00161872">
          <w:rPr>
            <w:rStyle w:val="Hyperlink"/>
            <w:lang w:val="en-US"/>
          </w:rPr>
          <w:t>factsheet_funding_plan_v</w:t>
        </w:r>
        <w:r w:rsidRPr="00887B27">
          <w:rPr>
            <w:rStyle w:val="Hyperlink"/>
            <w:lang w:val="en-US"/>
          </w:rPr>
          <w:t>7</w:t>
        </w:r>
        <w:r w:rsidRPr="00161872">
          <w:rPr>
            <w:rStyle w:val="Hyperlink"/>
            <w:lang w:val="en-US"/>
          </w:rPr>
          <w:t>.pdf (europa.eu)</w:t>
        </w:r>
      </w:hyperlink>
    </w:p>
  </w:footnote>
  <w:footnote w:id="12">
    <w:p w:rsidR="008B6253" w:rsidRPr="00396951" w:rsidRDefault="008B6253" w:rsidP="00161872">
      <w:pPr>
        <w:pStyle w:val="FootnoteText"/>
        <w:ind w:left="142" w:hanging="142"/>
        <w:jc w:val="left"/>
        <w:rPr>
          <w:rStyle w:val="Hyperlink"/>
        </w:rPr>
      </w:pPr>
      <w:r>
        <w:rPr>
          <w:rStyle w:val="FootnoteReference"/>
        </w:rPr>
        <w:footnoteRef/>
      </w:r>
      <w:r>
        <w:t xml:space="preserve"> Décision d’exécution de la Commission du </w:t>
      </w:r>
      <w:r w:rsidRPr="00887B27">
        <w:t>14</w:t>
      </w:r>
      <w:r>
        <w:t xml:space="preserve"> décembre </w:t>
      </w:r>
      <w:r w:rsidRPr="00887B27">
        <w:t>2021</w:t>
      </w:r>
      <w:r>
        <w:t xml:space="preserve"> établissant le cadre pour les opérations d’emprunt et de gestion de la dette dans le cadre de NextGenerationEU pour </w:t>
      </w:r>
      <w:r w:rsidRPr="00887B27">
        <w:t>2022</w:t>
      </w:r>
      <w:r>
        <w:t>, C(</w:t>
      </w:r>
      <w:r w:rsidRPr="00887B27">
        <w:t>2021</w:t>
      </w:r>
      <w:r>
        <w:t>) </w:t>
      </w:r>
      <w:r w:rsidRPr="00887B27">
        <w:t>9336</w:t>
      </w:r>
      <w:r>
        <w:t xml:space="preserve"> final.</w:t>
      </w:r>
    </w:p>
  </w:footnote>
  <w:footnote w:id="13">
    <w:p w:rsidR="008B6253" w:rsidRPr="00161872" w:rsidRDefault="008B6253" w:rsidP="008B6253">
      <w:pPr>
        <w:pStyle w:val="FootnoteText"/>
        <w:rPr>
          <w:rStyle w:val="Hyperlink"/>
          <w:lang w:val="en-US"/>
        </w:rPr>
      </w:pPr>
      <w:r>
        <w:rPr>
          <w:rStyle w:val="Hyperlink"/>
        </w:rPr>
        <w:footnoteRef/>
      </w:r>
      <w:r w:rsidRPr="00161872">
        <w:rPr>
          <w:rStyle w:val="Hyperlink"/>
          <w:lang w:val="en-US"/>
        </w:rPr>
        <w:t xml:space="preserve"> </w:t>
      </w:r>
      <w:hyperlink r:id="rId6" w:history="1">
        <w:r w:rsidRPr="00161872">
          <w:rPr>
            <w:rStyle w:val="Hyperlink"/>
            <w:lang w:val="en-US"/>
          </w:rPr>
          <w:t>factsheet_funding_plan_jan-jun-</w:t>
        </w:r>
        <w:r w:rsidRPr="00887B27">
          <w:rPr>
            <w:rStyle w:val="Hyperlink"/>
            <w:lang w:val="en-US"/>
          </w:rPr>
          <w:t>2022</w:t>
        </w:r>
        <w:r w:rsidRPr="00161872">
          <w:rPr>
            <w:rStyle w:val="Hyperlink"/>
            <w:lang w:val="en-US"/>
          </w:rPr>
          <w:t>.pdf (europa.eu)</w:t>
        </w:r>
      </w:hyperlink>
    </w:p>
    <w:p w:rsidR="008B6253" w:rsidRPr="00685944" w:rsidRDefault="008B6253" w:rsidP="008B6253">
      <w:pPr>
        <w:pStyle w:val="FootnoteText"/>
        <w:rPr>
          <w:lang w:val="en-IE"/>
        </w:rPr>
      </w:pPr>
    </w:p>
  </w:footnote>
  <w:footnote w:id="14">
    <w:p w:rsidR="008B6253" w:rsidRPr="00231F73" w:rsidRDefault="008B6253" w:rsidP="008B6253">
      <w:pPr>
        <w:pStyle w:val="FootnoteText"/>
        <w:ind w:left="284" w:hanging="284"/>
      </w:pPr>
      <w:r>
        <w:rPr>
          <w:rStyle w:val="FootnoteReference"/>
        </w:rPr>
        <w:footnoteRef/>
      </w:r>
      <w:r>
        <w:tab/>
        <w:t xml:space="preserve">Décision (UE, Euratom) </w:t>
      </w:r>
      <w:r w:rsidRPr="00887B27">
        <w:t>2021</w:t>
      </w:r>
      <w:r>
        <w:t>/</w:t>
      </w:r>
      <w:r w:rsidRPr="00887B27">
        <w:t>625</w:t>
      </w:r>
      <w:r>
        <w:t xml:space="preserve"> de la Commission du </w:t>
      </w:r>
      <w:r w:rsidRPr="00887B27">
        <w:t>14</w:t>
      </w:r>
      <w:r>
        <w:t xml:space="preserve"> avril </w:t>
      </w:r>
      <w:r w:rsidRPr="00887B27">
        <w:t>2021</w:t>
      </w:r>
      <w:r>
        <w:t xml:space="preserve"> relative à la création du réseau des spécialistes en titres publics et à la définition des critères d’éligibilité aux mandats de chef de file et de co-chef de file des opérations syndiquées conclues aux fins des activités d’emprunt menées par la Commission au nom de l’Union et de la Communauté européenne de l’énergie atomique.</w:t>
      </w:r>
    </w:p>
  </w:footnote>
  <w:footnote w:id="15">
    <w:p w:rsidR="008B6253" w:rsidRPr="00231F73" w:rsidRDefault="008B6253" w:rsidP="008B6253">
      <w:pPr>
        <w:pStyle w:val="FootnoteText"/>
        <w:ind w:left="284" w:hanging="284"/>
      </w:pPr>
      <w:r>
        <w:rPr>
          <w:rStyle w:val="FootnoteReference"/>
        </w:rPr>
        <w:footnoteRef/>
      </w:r>
      <w:r>
        <w:tab/>
        <w:t>Chypre, la Grèce, l’Italie, le Portugal, la Roumanie et la Slovénie.</w:t>
      </w:r>
    </w:p>
  </w:footnote>
  <w:footnote w:id="16">
    <w:p w:rsidR="008B6253" w:rsidRPr="00231F73" w:rsidRDefault="008B6253" w:rsidP="008B6253">
      <w:pPr>
        <w:pStyle w:val="FootnoteText"/>
        <w:ind w:left="284" w:hanging="284"/>
      </w:pPr>
      <w:r>
        <w:rPr>
          <w:rStyle w:val="FootnoteReference"/>
        </w:rPr>
        <w:footnoteRef/>
      </w:r>
      <w:r>
        <w:tab/>
        <w:t xml:space="preserve">Décision d’exécution (UE) </w:t>
      </w:r>
      <w:r w:rsidRPr="00887B27">
        <w:t>2021</w:t>
      </w:r>
      <w:r>
        <w:t>/</w:t>
      </w:r>
      <w:r w:rsidRPr="00887B27">
        <w:t>1095</w:t>
      </w:r>
      <w:r>
        <w:t xml:space="preserve"> de la Commission du </w:t>
      </w:r>
      <w:r w:rsidRPr="00887B27">
        <w:t>2</w:t>
      </w:r>
      <w:r>
        <w:t xml:space="preserve"> juillet </w:t>
      </w:r>
      <w:r w:rsidRPr="00887B27">
        <w:t>2021</w:t>
      </w:r>
      <w:r>
        <w:t xml:space="preserve"> établissant la méthode de répartition des coûts liés aux opérations d’emprunt et de gestion de la dette dans le cadre de NextGenerationEU (C/</w:t>
      </w:r>
      <w:r w:rsidRPr="00887B27">
        <w:t>2021</w:t>
      </w:r>
      <w:r>
        <w:t>/</w:t>
      </w:r>
      <w:r w:rsidRPr="00887B27">
        <w:t>4864</w:t>
      </w:r>
      <w:r>
        <w:t>).</w:t>
      </w:r>
    </w:p>
  </w:footnote>
  <w:footnote w:id="17">
    <w:p w:rsidR="008B6253" w:rsidRPr="00A40CC2" w:rsidRDefault="008B6253" w:rsidP="008B6253">
      <w:pPr>
        <w:pStyle w:val="FootnoteText"/>
        <w:ind w:left="284" w:hanging="284"/>
      </w:pPr>
      <w:r>
        <w:rPr>
          <w:rStyle w:val="FootnoteReference"/>
        </w:rPr>
        <w:footnoteRef/>
      </w:r>
      <w:r>
        <w:tab/>
      </w:r>
      <w:hyperlink r:id="rId7" w:history="1">
        <w:r>
          <w:rPr>
            <w:rStyle w:val="Hyperlink"/>
          </w:rPr>
          <w:t>L’UE en tant qu’emprunteur – Relations avec les investisseurs</w:t>
        </w:r>
      </w:hyperlink>
      <w:hyperlink r:id="rId8" w:history="1">
        <w:r>
          <w:rPr>
            <w:rStyle w:val="Hyperlink"/>
          </w:rPr>
          <w:t xml:space="preserve"> Commission européenne (europa.eu)</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424" w:rsidRPr="00AD3424" w:rsidRDefault="00AD3424" w:rsidP="00AD3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424" w:rsidRPr="00AD3424" w:rsidRDefault="00AD3424" w:rsidP="00AD342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424" w:rsidRPr="00AD3424" w:rsidRDefault="00AD3424" w:rsidP="00AD342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253" w:rsidRDefault="008B625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253" w:rsidRDefault="008B62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253" w:rsidRDefault="008B625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0D" w:rsidRDefault="00AD34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0D" w:rsidRDefault="00AD342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10D" w:rsidRDefault="00AD34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E405D"/>
    <w:multiLevelType w:val="hybridMultilevel"/>
    <w:tmpl w:val="5BEA7DDA"/>
    <w:lvl w:ilvl="0" w:tplc="C98ECE3C">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8423A5"/>
    <w:multiLevelType w:val="hybridMultilevel"/>
    <w:tmpl w:val="3A5EA93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56CF7A94"/>
    <w:multiLevelType w:val="hybridMultilevel"/>
    <w:tmpl w:val="7FD8063C"/>
    <w:lvl w:ilvl="0" w:tplc="A68CF278">
      <w:numFmt w:val="bullet"/>
      <w:lvlText w:val="•"/>
      <w:lvlJc w:val="left"/>
      <w:pPr>
        <w:ind w:left="720" w:hanging="360"/>
      </w:pPr>
      <w:rPr>
        <w:rFonts w:ascii="EC Square Sans Pro" w:hAnsi="EC Square Sans Pro" w:cs="Times New Roman" w:hint="default"/>
        <w:color w:val="4C4B9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7121F7"/>
    <w:multiLevelType w:val="hybridMultilevel"/>
    <w:tmpl w:val="58C84688"/>
    <w:lvl w:ilvl="0" w:tplc="A68CF278">
      <w:numFmt w:val="bullet"/>
      <w:lvlText w:val="•"/>
      <w:lvlJc w:val="left"/>
      <w:pPr>
        <w:ind w:left="720" w:hanging="360"/>
      </w:pPr>
      <w:rPr>
        <w:rFonts w:ascii="EC Square Sans Pro" w:hAnsi="EC Square Sans Pro" w:cs="Times New Roman" w:hint="default"/>
        <w:color w:val="4C4B9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205736"/>
    <w:multiLevelType w:val="multilevel"/>
    <w:tmpl w:val="FC98DC46"/>
    <w:lvl w:ilvl="0">
      <w:start w:val="1"/>
      <w:numFmt w:val="decimal"/>
      <w:pStyle w:val="Heading1"/>
      <w:lvlText w:val="%1."/>
      <w:lvlJc w:val="left"/>
      <w:pPr>
        <w:ind w:left="502" w:hanging="360"/>
      </w:pPr>
    </w:lvl>
    <w:lvl w:ilvl="1">
      <w:start w:val="2"/>
      <w:numFmt w:val="decimal"/>
      <w:isLgl/>
      <w:lvlText w:val="%1.%2"/>
      <w:lvlJc w:val="left"/>
      <w:pPr>
        <w:ind w:left="720" w:hanging="360"/>
      </w:pPr>
      <w:rPr>
        <w:rFonts w:hint="default"/>
        <w:b/>
      </w:rPr>
    </w:lvl>
    <w:lvl w:ilvl="2">
      <w:start w:val="1"/>
      <w:numFmt w:val="decimalZero"/>
      <w:isLgl/>
      <w:lvlText w:val="%1.%2.%3"/>
      <w:lvlJc w:val="left"/>
      <w:pPr>
        <w:ind w:left="1298" w:hanging="720"/>
      </w:pPr>
      <w:rPr>
        <w:rFonts w:hint="default"/>
        <w:b/>
      </w:rPr>
    </w:lvl>
    <w:lvl w:ilvl="3">
      <w:start w:val="1"/>
      <w:numFmt w:val="decimal"/>
      <w:isLgl/>
      <w:lvlText w:val="%1.%2.%3.%4"/>
      <w:lvlJc w:val="left"/>
      <w:pPr>
        <w:ind w:left="1516" w:hanging="720"/>
      </w:pPr>
      <w:rPr>
        <w:rFonts w:hint="default"/>
        <w:b/>
      </w:rPr>
    </w:lvl>
    <w:lvl w:ilvl="4">
      <w:start w:val="1"/>
      <w:numFmt w:val="decimal"/>
      <w:isLgl/>
      <w:lvlText w:val="%1.%2.%3.%4.%5"/>
      <w:lvlJc w:val="left"/>
      <w:pPr>
        <w:ind w:left="2094" w:hanging="1080"/>
      </w:pPr>
      <w:rPr>
        <w:rFonts w:hint="default"/>
        <w:b/>
      </w:rPr>
    </w:lvl>
    <w:lvl w:ilvl="5">
      <w:start w:val="1"/>
      <w:numFmt w:val="decimal"/>
      <w:isLgl/>
      <w:lvlText w:val="%1.%2.%3.%4.%5.%6"/>
      <w:lvlJc w:val="left"/>
      <w:pPr>
        <w:ind w:left="2312" w:hanging="1080"/>
      </w:pPr>
      <w:rPr>
        <w:rFonts w:hint="default"/>
        <w:b/>
      </w:rPr>
    </w:lvl>
    <w:lvl w:ilvl="6">
      <w:start w:val="1"/>
      <w:numFmt w:val="decimal"/>
      <w:isLgl/>
      <w:lvlText w:val="%1.%2.%3.%4.%5.%6.%7"/>
      <w:lvlJc w:val="left"/>
      <w:pPr>
        <w:ind w:left="2890" w:hanging="1440"/>
      </w:pPr>
      <w:rPr>
        <w:rFonts w:hint="default"/>
        <w:b/>
      </w:rPr>
    </w:lvl>
    <w:lvl w:ilvl="7">
      <w:start w:val="1"/>
      <w:numFmt w:val="decimal"/>
      <w:isLgl/>
      <w:lvlText w:val="%1.%2.%3.%4.%5.%6.%7.%8"/>
      <w:lvlJc w:val="left"/>
      <w:pPr>
        <w:ind w:left="3468" w:hanging="1800"/>
      </w:pPr>
      <w:rPr>
        <w:rFonts w:hint="default"/>
        <w:b/>
      </w:rPr>
    </w:lvl>
    <w:lvl w:ilvl="8">
      <w:start w:val="1"/>
      <w:numFmt w:val="decimal"/>
      <w:isLgl/>
      <w:lvlText w:val="%1.%2.%3.%4.%5.%6.%7.%8.%9"/>
      <w:lvlJc w:val="left"/>
      <w:pPr>
        <w:ind w:left="3686" w:hanging="1800"/>
      </w:pPr>
      <w:rPr>
        <w:rFonts w:hint="default"/>
        <w:b/>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45C25D6-CEB2-4FDD-81AE-45BF16752590"/>
    <w:docVar w:name="LW_COVERPAGE_TYPE" w:val="1"/>
    <w:docVar w:name="LW_CROSSREFERENCE" w:val="&lt;UNUSED&gt;"/>
    <w:docVar w:name="LW_DocType" w:val="NORMAL"/>
    <w:docVar w:name="LW_EMISSION" w:val="17.2.2022"/>
    <w:docVar w:name="LW_EMISSION_ISODATE" w:val="2022-02-17"/>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4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semestriel sur l\u8217?exécution des opérations de financement de NextGenerationEU établi conformément à l\u8217?article 12 de la décision d\u8217?exécution C(2021)2502 de la Commission_x000d__x000d__x000b__x000d__x000d__x000b__x000d__x000d__x000b__x000d__x000d__x000d__x000d__x000b__x000d__x000d__x000d__x000d__x000d__x000b_Juin - Décembre 2021_x000d__x000d__x000d__x000d__x000d__x000b__x000d__x000d__x000d__x000d__x000d__x000b_"/>
    <w:docVar w:name="LW_TYPE.DOC.CP" w:val="RAPPORT DE LA COMMISSION AU PARLEMENT EUROPÉEN ET AU CONSEIL"/>
    <w:docVar w:name="LwApiVersions" w:val="LW4CoDe 1.23.2.0; LW 8.0, Build 20211117"/>
  </w:docVars>
  <w:rsids>
    <w:rsidRoot w:val="008B6253"/>
    <w:rsid w:val="00024509"/>
    <w:rsid w:val="00045F94"/>
    <w:rsid w:val="00061CD0"/>
    <w:rsid w:val="00161872"/>
    <w:rsid w:val="00193B1D"/>
    <w:rsid w:val="001B7067"/>
    <w:rsid w:val="002D3875"/>
    <w:rsid w:val="00312419"/>
    <w:rsid w:val="00393FA8"/>
    <w:rsid w:val="003A2408"/>
    <w:rsid w:val="00437605"/>
    <w:rsid w:val="004459E5"/>
    <w:rsid w:val="00500E0C"/>
    <w:rsid w:val="005E7505"/>
    <w:rsid w:val="006A0D4D"/>
    <w:rsid w:val="006C2A11"/>
    <w:rsid w:val="006E10F7"/>
    <w:rsid w:val="007B598E"/>
    <w:rsid w:val="007B66F0"/>
    <w:rsid w:val="00804E4F"/>
    <w:rsid w:val="00887B27"/>
    <w:rsid w:val="008B6253"/>
    <w:rsid w:val="00A01E7D"/>
    <w:rsid w:val="00AA6DD2"/>
    <w:rsid w:val="00AD3424"/>
    <w:rsid w:val="00AF77B2"/>
    <w:rsid w:val="00B02FB3"/>
    <w:rsid w:val="00B762CB"/>
    <w:rsid w:val="00B93934"/>
    <w:rsid w:val="00CA5949"/>
    <w:rsid w:val="00CB4AF9"/>
    <w:rsid w:val="00D8795A"/>
    <w:rsid w:val="00E01996"/>
    <w:rsid w:val="00E462F0"/>
    <w:rsid w:val="00E60689"/>
    <w:rsid w:val="00FC2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5A53EC7"/>
  <w15:chartTrackingRefBased/>
  <w15:docId w15:val="{AF84E46A-E9CD-4A1A-963F-20780AFEC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6253"/>
    <w:pPr>
      <w:spacing w:after="200" w:line="276"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8B6253"/>
    <w:pPr>
      <w:keepNext/>
      <w:keepLines/>
      <w:numPr>
        <w:numId w:val="3"/>
      </w:numPr>
      <w:spacing w:before="240" w:after="240" w:line="240" w:lineRule="auto"/>
      <w:ind w:left="357" w:hanging="357"/>
      <w:outlineLvl w:val="0"/>
    </w:pPr>
    <w:rPr>
      <w:rFonts w:eastAsiaTheme="majorEastAsia" w:cstheme="majorBidi"/>
      <w:b/>
      <w:color w:val="0070C0"/>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253"/>
    <w:rPr>
      <w:rFonts w:ascii="Times New Roman" w:eastAsiaTheme="majorEastAsia" w:hAnsi="Times New Roman" w:cstheme="majorBidi"/>
      <w:b/>
      <w:color w:val="0070C0"/>
      <w:sz w:val="32"/>
      <w:szCs w:val="32"/>
      <w:lang w:val="fr-FR"/>
    </w:rPr>
  </w:style>
  <w:style w:type="paragraph" w:styleId="Header">
    <w:name w:val="header"/>
    <w:basedOn w:val="Normal"/>
    <w:link w:val="HeaderChar"/>
    <w:unhideWhenUsed/>
    <w:rsid w:val="008B6253"/>
    <w:pPr>
      <w:tabs>
        <w:tab w:val="center" w:pos="4513"/>
        <w:tab w:val="right" w:pos="9026"/>
      </w:tabs>
      <w:spacing w:after="0" w:line="240" w:lineRule="auto"/>
    </w:pPr>
  </w:style>
  <w:style w:type="character" w:customStyle="1" w:styleId="HeaderChar">
    <w:name w:val="Header Char"/>
    <w:basedOn w:val="DefaultParagraphFont"/>
    <w:link w:val="Header"/>
    <w:rsid w:val="008B6253"/>
    <w:rPr>
      <w:rFonts w:ascii="Times New Roman" w:hAnsi="Times New Roman" w:cs="Times New Roman"/>
      <w:sz w:val="24"/>
      <w:szCs w:val="24"/>
      <w:lang w:val="fr-FR"/>
    </w:rPr>
  </w:style>
  <w:style w:type="paragraph" w:styleId="Footer">
    <w:name w:val="footer"/>
    <w:basedOn w:val="Normal"/>
    <w:link w:val="FooterChar"/>
    <w:uiPriority w:val="99"/>
    <w:unhideWhenUsed/>
    <w:rsid w:val="008B62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253"/>
    <w:rPr>
      <w:rFonts w:ascii="Times New Roman" w:hAnsi="Times New Roman" w:cs="Times New Roman"/>
      <w:sz w:val="24"/>
      <w:szCs w:val="24"/>
      <w:lang w:val="fr-FR"/>
    </w:rPr>
  </w:style>
  <w:style w:type="paragraph" w:customStyle="1" w:styleId="FooterCoverPage">
    <w:name w:val="Footer Cover Page"/>
    <w:basedOn w:val="Normal"/>
    <w:link w:val="FooterCoverPageChar"/>
    <w:rsid w:val="008B6253"/>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8B6253"/>
    <w:rPr>
      <w:rFonts w:ascii="Times New Roman" w:hAnsi="Times New Roman" w:cs="Times New Roman"/>
      <w:sz w:val="24"/>
      <w:szCs w:val="24"/>
    </w:rPr>
  </w:style>
  <w:style w:type="paragraph" w:customStyle="1" w:styleId="HeaderCoverPage">
    <w:name w:val="Header Cover Page"/>
    <w:basedOn w:val="Normal"/>
    <w:link w:val="HeaderCoverPageChar"/>
    <w:rsid w:val="008B6253"/>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8B6253"/>
    <w:rPr>
      <w:rFonts w:ascii="Times New Roman" w:hAnsi="Times New Roman" w:cs="Times New Roman"/>
      <w:sz w:val="24"/>
      <w:szCs w:val="24"/>
    </w:rPr>
  </w:style>
  <w:style w:type="character" w:styleId="FootnoteReference">
    <w:name w:val="footnote reference"/>
    <w:aliases w:val="BVI fnr,number,SUPERS,Footnote Reference Superscript,-E Fuﬂnotenzeichen,-E Fuûnotenzeichen,-E Fußnotenzeichen,EN Footnote Reference,Footnote number,stylish,Footnote symbol,(Footnote Reference),Footnote reference number,note TESI,ftref"/>
    <w:link w:val="BVIfnrChar"/>
    <w:uiPriority w:val="99"/>
    <w:qFormat/>
    <w:rsid w:val="008B6253"/>
    <w:rPr>
      <w:vertAlign w:val="superscript"/>
    </w:rPr>
  </w:style>
  <w:style w:type="paragraph" w:styleId="FootnoteText">
    <w:name w:val="footnote text"/>
    <w:aliases w:val="Fodnotetekst Tegn Tegn Tegn Tegn Tegn Tegn Tegn Char Char,Fodnotetekst Tegn Tegn Tegn Tegn Tegn Tegn Tegn Char Char Char Char,Fodnotetekst Tegn Tegn Tegn Tegn Tegn Tegn Tegn,Fodnotetekst Tegn Tegn Tegn Tegn Tegn Tegn Tegn Tegn Tegn Tegn,ft"/>
    <w:basedOn w:val="Normal"/>
    <w:link w:val="FootnoteTextChar"/>
    <w:uiPriority w:val="99"/>
    <w:qFormat/>
    <w:rsid w:val="008B6253"/>
    <w:pPr>
      <w:spacing w:after="0" w:line="240" w:lineRule="auto"/>
      <w:ind w:left="720" w:hanging="720"/>
      <w:jc w:val="both"/>
    </w:pPr>
    <w:rPr>
      <w:rFonts w:eastAsia="Times New Roman"/>
      <w:sz w:val="20"/>
      <w:szCs w:val="20"/>
    </w:rPr>
  </w:style>
  <w:style w:type="character" w:customStyle="1" w:styleId="FootnoteTextChar">
    <w:name w:val="Footnote Text Char"/>
    <w:aliases w:val="Fodnotetekst Tegn Tegn Tegn Tegn Tegn Tegn Tegn Char Char Char,Fodnotetekst Tegn Tegn Tegn Tegn Tegn Tegn Tegn Char Char Char Char Char,Fodnotetekst Tegn Tegn Tegn Tegn Tegn Tegn Tegn Char,ft Char"/>
    <w:basedOn w:val="DefaultParagraphFont"/>
    <w:link w:val="FootnoteText"/>
    <w:uiPriority w:val="99"/>
    <w:rsid w:val="008B6253"/>
    <w:rPr>
      <w:rFonts w:ascii="Times New Roman" w:eastAsia="Times New Roman" w:hAnsi="Times New Roman" w:cs="Times New Roman"/>
      <w:sz w:val="20"/>
      <w:szCs w:val="20"/>
      <w:lang w:val="fr-FR"/>
    </w:rPr>
  </w:style>
  <w:style w:type="paragraph" w:styleId="TOC1">
    <w:name w:val="toc 1"/>
    <w:basedOn w:val="Normal"/>
    <w:next w:val="Normal"/>
    <w:uiPriority w:val="39"/>
    <w:qFormat/>
    <w:rsid w:val="008B6253"/>
    <w:pPr>
      <w:tabs>
        <w:tab w:val="right" w:leader="dot" w:pos="9071"/>
      </w:tabs>
      <w:spacing w:before="60" w:after="120" w:line="240" w:lineRule="auto"/>
      <w:ind w:left="850" w:hanging="850"/>
    </w:pPr>
    <w:rPr>
      <w:rFonts w:eastAsia="Times New Roman"/>
    </w:rPr>
  </w:style>
  <w:style w:type="paragraph" w:styleId="TOCHeading">
    <w:name w:val="TOC Heading"/>
    <w:basedOn w:val="Normal"/>
    <w:next w:val="Normal"/>
    <w:link w:val="TOCHeadingChar"/>
    <w:uiPriority w:val="39"/>
    <w:qFormat/>
    <w:rsid w:val="008B6253"/>
    <w:pPr>
      <w:spacing w:before="120" w:after="240" w:line="240" w:lineRule="auto"/>
      <w:jc w:val="center"/>
    </w:pPr>
    <w:rPr>
      <w:rFonts w:eastAsia="Times New Roman"/>
      <w:b/>
      <w:sz w:val="28"/>
    </w:rPr>
  </w:style>
  <w:style w:type="character" w:styleId="Hyperlink">
    <w:name w:val="Hyperlink"/>
    <w:uiPriority w:val="99"/>
    <w:rsid w:val="008B6253"/>
    <w:rPr>
      <w:rFonts w:cs="Times New Roman"/>
      <w:color w:val="0000FF"/>
      <w:u w:val="single"/>
      <w:shd w:val="clear" w:color="auto" w:fill="auto"/>
    </w:rPr>
  </w:style>
  <w:style w:type="character" w:customStyle="1" w:styleId="TOCHeadingChar">
    <w:name w:val="TOC Heading Char"/>
    <w:link w:val="TOCHeading"/>
    <w:uiPriority w:val="39"/>
    <w:rsid w:val="008B6253"/>
    <w:rPr>
      <w:rFonts w:ascii="Times New Roman" w:eastAsia="Times New Roman" w:hAnsi="Times New Roman" w:cs="Times New Roman"/>
      <w:b/>
      <w:sz w:val="28"/>
      <w:szCs w:val="24"/>
      <w:lang w:val="fr-FR"/>
    </w:rPr>
  </w:style>
  <w:style w:type="paragraph" w:styleId="Subtitle">
    <w:name w:val="Subtitle"/>
    <w:basedOn w:val="Normal"/>
    <w:next w:val="Normal"/>
    <w:link w:val="SubtitleChar"/>
    <w:qFormat/>
    <w:rsid w:val="008B6253"/>
    <w:pPr>
      <w:spacing w:before="120" w:after="60" w:line="240" w:lineRule="auto"/>
      <w:jc w:val="center"/>
      <w:outlineLvl w:val="1"/>
    </w:pPr>
    <w:rPr>
      <w:rFonts w:ascii="Cambria" w:eastAsia="Times New Roman" w:hAnsi="Cambria"/>
    </w:rPr>
  </w:style>
  <w:style w:type="character" w:customStyle="1" w:styleId="SubtitleChar">
    <w:name w:val="Subtitle Char"/>
    <w:basedOn w:val="DefaultParagraphFont"/>
    <w:link w:val="Subtitle"/>
    <w:rsid w:val="008B6253"/>
    <w:rPr>
      <w:rFonts w:ascii="Cambria" w:eastAsia="Times New Roman" w:hAnsi="Cambria" w:cs="Times New Roman"/>
      <w:sz w:val="24"/>
      <w:szCs w:val="24"/>
      <w:lang w:val="fr-FR"/>
    </w:rPr>
  </w:style>
  <w:style w:type="paragraph" w:styleId="NormalWeb">
    <w:name w:val="Normal (Web)"/>
    <w:basedOn w:val="Normal"/>
    <w:uiPriority w:val="99"/>
    <w:unhideWhenUsed/>
    <w:rsid w:val="008B6253"/>
    <w:pPr>
      <w:spacing w:before="100" w:beforeAutospacing="1" w:after="100" w:afterAutospacing="1" w:line="240" w:lineRule="auto"/>
    </w:pPr>
    <w:rPr>
      <w:rFonts w:eastAsia="Times New Roman"/>
      <w:lang w:eastAsia="en-GB"/>
    </w:rPr>
  </w:style>
  <w:style w:type="paragraph" w:customStyle="1" w:styleId="BVIfnrChar">
    <w:name w:val="BVI fnr Char"/>
    <w:aliases w:val="Appel note de bas de p.;BVI fnr Car Car Car Car, BVI fnr Car Car,BVI fnr Car, BVI fnr Car Car Car Car, BVI fnr Car Car Car Car Char,Appel note de bas de p..BVI fnr Car Car Car Car, BVI fnr Char,Appel note de bas de p."/>
    <w:basedOn w:val="Normal"/>
    <w:link w:val="FootnoteReference"/>
    <w:uiPriority w:val="99"/>
    <w:rsid w:val="008B6253"/>
    <w:pPr>
      <w:spacing w:after="160" w:line="240" w:lineRule="exact"/>
    </w:pPr>
    <w:rPr>
      <w:rFonts w:asciiTheme="minorHAnsi" w:hAnsiTheme="minorHAnsi" w:cstheme="minorBidi"/>
      <w:sz w:val="22"/>
      <w:szCs w:val="22"/>
      <w:vertAlign w:val="superscript"/>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OBC Bullet,L"/>
    <w:basedOn w:val="Normal"/>
    <w:link w:val="ListParagraphChar"/>
    <w:uiPriority w:val="34"/>
    <w:qFormat/>
    <w:rsid w:val="008B6253"/>
    <w:pPr>
      <w:spacing w:after="160" w:line="259" w:lineRule="auto"/>
      <w:ind w:left="720"/>
      <w:contextualSpacing/>
    </w:pPr>
    <w:rPr>
      <w:rFonts w:asciiTheme="minorHAnsi" w:hAnsiTheme="minorHAnsi" w:cstheme="minorBidi"/>
      <w:sz w:val="22"/>
      <w:szCs w:val="22"/>
    </w:rPr>
  </w:style>
  <w:style w:type="character" w:styleId="IntenseReference">
    <w:name w:val="Intense Reference"/>
    <w:basedOn w:val="DefaultParagraphFont"/>
    <w:uiPriority w:val="32"/>
    <w:qFormat/>
    <w:rsid w:val="008B6253"/>
    <w:rPr>
      <w:b/>
      <w:bCs/>
      <w:smallCaps/>
      <w:color w:val="5B9BD5" w:themeColor="accent1"/>
      <w:spacing w:val="5"/>
    </w:rPr>
  </w:style>
  <w:style w:type="table" w:styleId="GridTable1Light-Accent1">
    <w:name w:val="Grid Table 1 Light Accent 1"/>
    <w:basedOn w:val="TableNormal"/>
    <w:uiPriority w:val="46"/>
    <w:rsid w:val="008B6253"/>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OBC Bullet Char"/>
    <w:basedOn w:val="DefaultParagraphFont"/>
    <w:link w:val="ListParagraph"/>
    <w:uiPriority w:val="34"/>
    <w:locked/>
    <w:rsid w:val="008B6253"/>
    <w:rPr>
      <w:lang w:val="fr-FR"/>
    </w:rPr>
  </w:style>
  <w:style w:type="table" w:customStyle="1" w:styleId="TableGrid1">
    <w:name w:val="Table Grid1"/>
    <w:basedOn w:val="TableNormal"/>
    <w:next w:val="TableGrid"/>
    <w:uiPriority w:val="39"/>
    <w:rsid w:val="008B6253"/>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B6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8B6253"/>
    <w:rPr>
      <w:color w:val="0000FF"/>
      <w:shd w:val="clear" w:color="auto" w:fill="auto"/>
    </w:rPr>
  </w:style>
  <w:style w:type="paragraph" w:customStyle="1" w:styleId="Pagedecouverture">
    <w:name w:val="Page de couverture"/>
    <w:basedOn w:val="Normal"/>
    <w:next w:val="Normal"/>
    <w:rsid w:val="008B6253"/>
    <w:pPr>
      <w:spacing w:after="0" w:line="240" w:lineRule="auto"/>
      <w:jc w:val="both"/>
    </w:pPr>
    <w:rPr>
      <w:szCs w:val="22"/>
    </w:rPr>
  </w:style>
  <w:style w:type="paragraph" w:customStyle="1" w:styleId="FooterSensitivity">
    <w:name w:val="Footer Sensitivity"/>
    <w:basedOn w:val="Normal"/>
    <w:link w:val="FooterSensitivityChar"/>
    <w:rsid w:val="008B625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TOCHeadingChar"/>
    <w:link w:val="FooterSensitivity"/>
    <w:rsid w:val="008B6253"/>
    <w:rPr>
      <w:rFonts w:ascii="Times New Roman" w:eastAsia="Times New Roman" w:hAnsi="Times New Roman" w:cs="Times New Roman"/>
      <w:b/>
      <w:sz w:val="32"/>
      <w:szCs w:val="24"/>
      <w:lang w:val="fr-FR"/>
    </w:rPr>
  </w:style>
  <w:style w:type="paragraph" w:customStyle="1" w:styleId="HeaderSensitivity">
    <w:name w:val="Header Sensitivity"/>
    <w:basedOn w:val="Normal"/>
    <w:link w:val="HeaderSensitivityChar"/>
    <w:rsid w:val="008B6253"/>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TOCHeadingChar"/>
    <w:link w:val="HeaderSensitivity"/>
    <w:rsid w:val="008B6253"/>
    <w:rPr>
      <w:rFonts w:ascii="Times New Roman" w:eastAsia="Times New Roman" w:hAnsi="Times New Roman" w:cs="Times New Roman"/>
      <w:b/>
      <w:sz w:val="32"/>
      <w:szCs w:val="24"/>
      <w:lang w:val="fr-FR"/>
    </w:rPr>
  </w:style>
  <w:style w:type="paragraph" w:customStyle="1" w:styleId="HeaderSensitivityRight">
    <w:name w:val="Header Sensitivity Right"/>
    <w:basedOn w:val="Normal"/>
    <w:link w:val="HeaderSensitivityRightChar"/>
    <w:rsid w:val="008B6253"/>
    <w:pPr>
      <w:spacing w:after="120" w:line="240" w:lineRule="auto"/>
      <w:jc w:val="right"/>
    </w:pPr>
    <w:rPr>
      <w:sz w:val="28"/>
    </w:rPr>
  </w:style>
  <w:style w:type="character" w:customStyle="1" w:styleId="HeaderSensitivityRightChar">
    <w:name w:val="Header Sensitivity Right Char"/>
    <w:basedOn w:val="TOCHeadingChar"/>
    <w:link w:val="HeaderSensitivityRight"/>
    <w:rsid w:val="008B6253"/>
    <w:rPr>
      <w:rFonts w:ascii="Times New Roman" w:eastAsia="Times New Roman" w:hAnsi="Times New Roman" w:cs="Times New Roman"/>
      <w:b w:val="0"/>
      <w:sz w:val="28"/>
      <w:szCs w:val="24"/>
      <w:lang w:val="fr-FR"/>
    </w:rPr>
  </w:style>
  <w:style w:type="table" w:customStyle="1" w:styleId="TableGrid11">
    <w:name w:val="Table Grid11"/>
    <w:basedOn w:val="TableNormal"/>
    <w:next w:val="TableGrid"/>
    <w:uiPriority w:val="39"/>
    <w:rsid w:val="00804E4F"/>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16187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9.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strategy/eu-budget/eu-borrower-investor-relations_fr" TargetMode="External"/><Relationship Id="rId3" Type="http://schemas.openxmlformats.org/officeDocument/2006/relationships/hyperlink" Target="https://ec.europa.eu/info/strategy/eu-budget/eu-borrower-investor-relations/primary-dealer-network_en" TargetMode="External"/><Relationship Id="rId7" Type="http://schemas.openxmlformats.org/officeDocument/2006/relationships/hyperlink" Target="https://ec.europa.eu/info/strategy/eu-budget/eu-borrower-investor-relations_fr" TargetMode="External"/><Relationship Id="rId2" Type="http://schemas.openxmlformats.org/officeDocument/2006/relationships/hyperlink" Target="https://ec.europa.eu/info/strategy/eu-budget/eu-borrower-investor-relations/primary-dealer-network_en" TargetMode="External"/><Relationship Id="rId1" Type="http://schemas.openxmlformats.org/officeDocument/2006/relationships/hyperlink" Target="https://eur-lex.europa.eu/legal-content/FR/TXT/?uri=CELEX%3A52021DC0250&amp;qid=1644580136922" TargetMode="External"/><Relationship Id="rId6" Type="http://schemas.openxmlformats.org/officeDocument/2006/relationships/hyperlink" Target="https://ec.europa.eu/info/sites/default/files/about_the_european_commission/eu_budget/factsheet_funding_plan_jan-jun-2022.pdf" TargetMode="External"/><Relationship Id="rId5" Type="http://schemas.openxmlformats.org/officeDocument/2006/relationships/hyperlink" Target="https://ec.europa.eu/info/sites/default/files/about_the_european_commission/eu_budget/factsheet_funding_plan_v7.pdf" TargetMode="External"/><Relationship Id="rId4" Type="http://schemas.openxmlformats.org/officeDocument/2006/relationships/hyperlink" Target="https://ec.europa.eu/info/sites/default/files/about_the_european_commission/eu_budget/factsheet_funding_plan_jan-jun-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5807</Words>
  <Characters>30841</Characters>
  <Application>Microsoft Office Word</Application>
  <DocSecurity>0</DocSecurity>
  <Lines>685</Lines>
  <Paragraphs>277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33</cp:revision>
  <dcterms:created xsi:type="dcterms:W3CDTF">2022-02-14T15:15:00Z</dcterms:created>
  <dcterms:modified xsi:type="dcterms:W3CDTF">2022-02-16T10:00:00Z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7.0.1, Build 20200226</vt:lpwstr>
  </property>
  <property fmtid="{D5CDD505-2E9C-101B-9397-08002B2CF9AE}" pid="8" name="Created using">
    <vt:lpwstr>LW 7.0.1, Build 20200226</vt:lpwstr>
  </property>
  <property name="OP_sanitized" fmtid="{D5CDD505-2E9C-101B-9397-08002B2CF9AE}" pid="9">
    <vt:lpwstr>True</vt:lpwstr>
  </property>
</Properties>
</file>