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5CCD42" w14:textId="4FA3E216" w:rsidR="00131369" w:rsidRPr="00DA11F1" w:rsidRDefault="00F06FBC" w:rsidP="00F06FBC">
      <w:pPr>
        <w:pStyle w:val="Pagedecouverture"/>
        <w:rPr>
          <w:noProof/>
        </w:rPr>
      </w:pPr>
      <w:bookmarkStart w:id="0" w:name="LW_BM_COVERPAGE"/>
      <w:r>
        <w:rPr>
          <w:noProof/>
        </w:rPr>
        <w:pict w14:anchorId="106EAE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alt="2E01B8C6-B2EE-4E19-B3E9-CEFDCAA96546" style="width:455.15pt;height:337.05pt">
            <v:imagedata r:id="rId11" o:title=""/>
          </v:shape>
        </w:pict>
      </w:r>
    </w:p>
    <w:bookmarkEnd w:id="0"/>
    <w:p w14:paraId="733B3B15" w14:textId="77777777" w:rsidR="00131369" w:rsidRPr="00DA11F1" w:rsidRDefault="00131369">
      <w:pPr>
        <w:rPr>
          <w:rFonts w:ascii="Times New Roman" w:hAnsi="Times New Roman"/>
          <w:noProof/>
          <w:lang w:val="en-US"/>
        </w:rPr>
        <w:sectPr w:rsidR="00131369" w:rsidRPr="00DA11F1" w:rsidSect="00F06FBC">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bookmarkStart w:id="1" w:name="_GoBack" w:displacedByCustomXml="next"/>
    <w:bookmarkEnd w:id="1" w:displacedByCustomXml="next"/>
    <w:sdt>
      <w:sdtPr>
        <w:rPr>
          <w:rFonts w:ascii="Times New Roman" w:eastAsia="Calibri" w:hAnsi="Times New Roman"/>
          <w:b w:val="0"/>
          <w:bCs w:val="0"/>
          <w:noProof/>
          <w:color w:val="auto"/>
          <w:sz w:val="24"/>
          <w:szCs w:val="24"/>
          <w:lang w:eastAsia="en-US"/>
        </w:rPr>
        <w:id w:val="-1133089857"/>
        <w:docPartObj>
          <w:docPartGallery w:val="Table of Contents"/>
          <w:docPartUnique/>
        </w:docPartObj>
      </w:sdtPr>
      <w:sdtEndPr>
        <w:rPr>
          <w:sz w:val="22"/>
          <w:szCs w:val="22"/>
        </w:rPr>
      </w:sdtEndPr>
      <w:sdtContent>
        <w:p w14:paraId="42569A3A" w14:textId="77777777" w:rsidR="00131369" w:rsidRPr="00DA11F1" w:rsidRDefault="009B1524">
          <w:pPr>
            <w:pStyle w:val="TOCHeading"/>
            <w:rPr>
              <w:rFonts w:ascii="Times New Roman" w:hAnsi="Times New Roman"/>
              <w:noProof/>
              <w:color w:val="auto"/>
              <w:sz w:val="22"/>
              <w:szCs w:val="22"/>
            </w:rPr>
          </w:pPr>
          <w:r>
            <w:rPr>
              <w:rFonts w:ascii="Times New Roman" w:hAnsi="Times New Roman"/>
              <w:noProof/>
              <w:color w:val="auto"/>
              <w:sz w:val="22"/>
              <w:szCs w:val="22"/>
            </w:rPr>
            <w:t>Table des matières</w:t>
          </w:r>
        </w:p>
        <w:p w14:paraId="16133365" w14:textId="24D16987" w:rsidR="00F43FC8" w:rsidRDefault="009B1524">
          <w:pPr>
            <w:pStyle w:val="TOC1"/>
            <w:rPr>
              <w:rFonts w:asciiTheme="minorHAnsi" w:eastAsiaTheme="minorEastAsia" w:hAnsiTheme="minorHAnsi" w:cstheme="minorBidi"/>
              <w:noProof/>
              <w:lang w:val="en-US"/>
            </w:rPr>
          </w:pPr>
          <w:r w:rsidRPr="00DA11F1">
            <w:rPr>
              <w:rFonts w:ascii="Times New Roman" w:hAnsi="Times New Roman"/>
              <w:b/>
              <w:bCs/>
              <w:noProof/>
            </w:rPr>
            <w:fldChar w:fldCharType="begin"/>
          </w:r>
          <w:r w:rsidRPr="00DA11F1">
            <w:rPr>
              <w:rFonts w:ascii="Times New Roman" w:hAnsi="Times New Roman"/>
              <w:b/>
              <w:bCs/>
              <w:noProof/>
            </w:rPr>
            <w:instrText xml:space="preserve"> TOC \o "1-5" \h \z \u </w:instrText>
          </w:r>
          <w:r w:rsidRPr="00DA11F1">
            <w:rPr>
              <w:rFonts w:ascii="Times New Roman" w:hAnsi="Times New Roman"/>
              <w:b/>
              <w:bCs/>
              <w:noProof/>
            </w:rPr>
            <w:fldChar w:fldCharType="separate"/>
          </w:r>
          <w:hyperlink w:anchor="_Toc89707756" w:history="1">
            <w:r w:rsidR="00F43FC8" w:rsidRPr="009F4DF5">
              <w:rPr>
                <w:rStyle w:val="Hyperlink"/>
                <w:noProof/>
              </w:rPr>
              <w:t>Liste des acronymes et abréviations</w:t>
            </w:r>
            <w:r w:rsidR="00F43FC8">
              <w:rPr>
                <w:noProof/>
                <w:webHidden/>
              </w:rPr>
              <w:tab/>
            </w:r>
            <w:r w:rsidR="00F43FC8">
              <w:rPr>
                <w:noProof/>
                <w:webHidden/>
              </w:rPr>
              <w:fldChar w:fldCharType="begin"/>
            </w:r>
            <w:r w:rsidR="00F43FC8">
              <w:rPr>
                <w:noProof/>
                <w:webHidden/>
              </w:rPr>
              <w:instrText xml:space="preserve"> PAGEREF _Toc89707756 \h </w:instrText>
            </w:r>
            <w:r w:rsidR="00F43FC8">
              <w:rPr>
                <w:noProof/>
                <w:webHidden/>
              </w:rPr>
            </w:r>
            <w:r w:rsidR="00F43FC8">
              <w:rPr>
                <w:noProof/>
                <w:webHidden/>
              </w:rPr>
              <w:fldChar w:fldCharType="separate"/>
            </w:r>
            <w:r w:rsidR="00F43FC8">
              <w:rPr>
                <w:noProof/>
                <w:webHidden/>
              </w:rPr>
              <w:t>2</w:t>
            </w:r>
            <w:r w:rsidR="00F43FC8">
              <w:rPr>
                <w:noProof/>
                <w:webHidden/>
              </w:rPr>
              <w:fldChar w:fldCharType="end"/>
            </w:r>
          </w:hyperlink>
        </w:p>
        <w:p w14:paraId="79A77750" w14:textId="71EDC583" w:rsidR="00F43FC8" w:rsidRDefault="00F06FBC">
          <w:pPr>
            <w:pStyle w:val="TOC1"/>
            <w:rPr>
              <w:rFonts w:asciiTheme="minorHAnsi" w:eastAsiaTheme="minorEastAsia" w:hAnsiTheme="minorHAnsi" w:cstheme="minorBidi"/>
              <w:noProof/>
              <w:lang w:val="en-US"/>
            </w:rPr>
          </w:pPr>
          <w:hyperlink w:anchor="_Toc89707757" w:history="1">
            <w:r w:rsidR="00F43FC8" w:rsidRPr="009F4DF5">
              <w:rPr>
                <w:rStyle w:val="Hyperlink"/>
                <w:noProof/>
              </w:rPr>
              <w:t>1. INTRODUCTION</w:t>
            </w:r>
            <w:r w:rsidR="00F43FC8">
              <w:rPr>
                <w:noProof/>
                <w:webHidden/>
              </w:rPr>
              <w:tab/>
            </w:r>
            <w:r w:rsidR="00F43FC8">
              <w:rPr>
                <w:noProof/>
                <w:webHidden/>
              </w:rPr>
              <w:fldChar w:fldCharType="begin"/>
            </w:r>
            <w:r w:rsidR="00F43FC8">
              <w:rPr>
                <w:noProof/>
                <w:webHidden/>
              </w:rPr>
              <w:instrText xml:space="preserve"> PAGEREF _Toc89707757 \h </w:instrText>
            </w:r>
            <w:r w:rsidR="00F43FC8">
              <w:rPr>
                <w:noProof/>
                <w:webHidden/>
              </w:rPr>
            </w:r>
            <w:r w:rsidR="00F43FC8">
              <w:rPr>
                <w:noProof/>
                <w:webHidden/>
              </w:rPr>
              <w:fldChar w:fldCharType="separate"/>
            </w:r>
            <w:r w:rsidR="00F43FC8">
              <w:rPr>
                <w:noProof/>
                <w:webHidden/>
              </w:rPr>
              <w:t>4</w:t>
            </w:r>
            <w:r w:rsidR="00F43FC8">
              <w:rPr>
                <w:noProof/>
                <w:webHidden/>
              </w:rPr>
              <w:fldChar w:fldCharType="end"/>
            </w:r>
          </w:hyperlink>
        </w:p>
        <w:p w14:paraId="28993F29" w14:textId="278C212F" w:rsidR="00F43FC8" w:rsidRDefault="00F06FBC">
          <w:pPr>
            <w:pStyle w:val="TOC1"/>
            <w:rPr>
              <w:rFonts w:asciiTheme="minorHAnsi" w:eastAsiaTheme="minorEastAsia" w:hAnsiTheme="minorHAnsi" w:cstheme="minorBidi"/>
              <w:noProof/>
              <w:lang w:val="en-US"/>
            </w:rPr>
          </w:pPr>
          <w:hyperlink w:anchor="_Toc89707758" w:history="1">
            <w:r w:rsidR="00F43FC8" w:rsidRPr="009F4DF5">
              <w:rPr>
                <w:rStyle w:val="Hyperlink"/>
                <w:noProof/>
              </w:rPr>
              <w:t>2. INFRASTRUCTURE ET COUVERTURE DU SEQE-UE</w:t>
            </w:r>
            <w:r w:rsidR="00F43FC8">
              <w:rPr>
                <w:noProof/>
                <w:webHidden/>
              </w:rPr>
              <w:tab/>
            </w:r>
            <w:r w:rsidR="00F43FC8">
              <w:rPr>
                <w:noProof/>
                <w:webHidden/>
              </w:rPr>
              <w:fldChar w:fldCharType="begin"/>
            </w:r>
            <w:r w:rsidR="00F43FC8">
              <w:rPr>
                <w:noProof/>
                <w:webHidden/>
              </w:rPr>
              <w:instrText xml:space="preserve"> PAGEREF _Toc89707758 \h </w:instrText>
            </w:r>
            <w:r w:rsidR="00F43FC8">
              <w:rPr>
                <w:noProof/>
                <w:webHidden/>
              </w:rPr>
            </w:r>
            <w:r w:rsidR="00F43FC8">
              <w:rPr>
                <w:noProof/>
                <w:webHidden/>
              </w:rPr>
              <w:fldChar w:fldCharType="separate"/>
            </w:r>
            <w:r w:rsidR="00F43FC8">
              <w:rPr>
                <w:noProof/>
                <w:webHidden/>
              </w:rPr>
              <w:t>6</w:t>
            </w:r>
            <w:r w:rsidR="00F43FC8">
              <w:rPr>
                <w:noProof/>
                <w:webHidden/>
              </w:rPr>
              <w:fldChar w:fldCharType="end"/>
            </w:r>
          </w:hyperlink>
        </w:p>
        <w:p w14:paraId="1A18CE8E" w14:textId="20CE1B68" w:rsidR="00F43FC8" w:rsidRDefault="00F06FBC">
          <w:pPr>
            <w:pStyle w:val="TOC1"/>
            <w:rPr>
              <w:rFonts w:asciiTheme="minorHAnsi" w:eastAsiaTheme="minorEastAsia" w:hAnsiTheme="minorHAnsi" w:cstheme="minorBidi"/>
              <w:noProof/>
              <w:lang w:val="en-US"/>
            </w:rPr>
          </w:pPr>
          <w:hyperlink w:anchor="_Toc89707759" w:history="1">
            <w:r w:rsidR="00F43FC8" w:rsidRPr="009F4DF5">
              <w:rPr>
                <w:rStyle w:val="Hyperlink"/>
                <w:noProof/>
              </w:rPr>
              <w:t>2.1 Registre de l’UE et journal des transactions de l’Union européenne</w:t>
            </w:r>
            <w:r w:rsidR="00F43FC8">
              <w:rPr>
                <w:noProof/>
                <w:webHidden/>
              </w:rPr>
              <w:tab/>
            </w:r>
            <w:r w:rsidR="00F43FC8">
              <w:rPr>
                <w:noProof/>
                <w:webHidden/>
              </w:rPr>
              <w:fldChar w:fldCharType="begin"/>
            </w:r>
            <w:r w:rsidR="00F43FC8">
              <w:rPr>
                <w:noProof/>
                <w:webHidden/>
              </w:rPr>
              <w:instrText xml:space="preserve"> PAGEREF _Toc89707759 \h </w:instrText>
            </w:r>
            <w:r w:rsidR="00F43FC8">
              <w:rPr>
                <w:noProof/>
                <w:webHidden/>
              </w:rPr>
            </w:r>
            <w:r w:rsidR="00F43FC8">
              <w:rPr>
                <w:noProof/>
                <w:webHidden/>
              </w:rPr>
              <w:fldChar w:fldCharType="separate"/>
            </w:r>
            <w:r w:rsidR="00F43FC8">
              <w:rPr>
                <w:noProof/>
                <w:webHidden/>
              </w:rPr>
              <w:t>6</w:t>
            </w:r>
            <w:r w:rsidR="00F43FC8">
              <w:rPr>
                <w:noProof/>
                <w:webHidden/>
              </w:rPr>
              <w:fldChar w:fldCharType="end"/>
            </w:r>
          </w:hyperlink>
        </w:p>
        <w:p w14:paraId="44B8DC14" w14:textId="5F2415FF" w:rsidR="00F43FC8" w:rsidRDefault="00F06FBC">
          <w:pPr>
            <w:pStyle w:val="TOC1"/>
            <w:rPr>
              <w:rFonts w:asciiTheme="minorHAnsi" w:eastAsiaTheme="minorEastAsia" w:hAnsiTheme="minorHAnsi" w:cstheme="minorBidi"/>
              <w:noProof/>
              <w:lang w:val="en-US"/>
            </w:rPr>
          </w:pPr>
          <w:hyperlink w:anchor="_Toc89707760" w:history="1">
            <w:r w:rsidR="00F43FC8" w:rsidRPr="009F4DF5">
              <w:rPr>
                <w:rStyle w:val="Hyperlink"/>
                <w:noProof/>
              </w:rPr>
              <w:t>3. FONCTIONNEMENT DU MARCHÉ DU CARBONE</w:t>
            </w:r>
            <w:r w:rsidR="00F43FC8">
              <w:rPr>
                <w:noProof/>
                <w:webHidden/>
              </w:rPr>
              <w:tab/>
            </w:r>
            <w:r w:rsidR="00F43FC8">
              <w:rPr>
                <w:noProof/>
                <w:webHidden/>
              </w:rPr>
              <w:fldChar w:fldCharType="begin"/>
            </w:r>
            <w:r w:rsidR="00F43FC8">
              <w:rPr>
                <w:noProof/>
                <w:webHidden/>
              </w:rPr>
              <w:instrText xml:space="preserve"> PAGEREF _Toc89707760 \h </w:instrText>
            </w:r>
            <w:r w:rsidR="00F43FC8">
              <w:rPr>
                <w:noProof/>
                <w:webHidden/>
              </w:rPr>
            </w:r>
            <w:r w:rsidR="00F43FC8">
              <w:rPr>
                <w:noProof/>
                <w:webHidden/>
              </w:rPr>
              <w:fldChar w:fldCharType="separate"/>
            </w:r>
            <w:r w:rsidR="00F43FC8">
              <w:rPr>
                <w:noProof/>
                <w:webHidden/>
              </w:rPr>
              <w:t>8</w:t>
            </w:r>
            <w:r w:rsidR="00F43FC8">
              <w:rPr>
                <w:noProof/>
                <w:webHidden/>
              </w:rPr>
              <w:fldChar w:fldCharType="end"/>
            </w:r>
          </w:hyperlink>
        </w:p>
        <w:p w14:paraId="02DFB17A" w14:textId="4C269750" w:rsidR="00F43FC8" w:rsidRDefault="00F06FBC">
          <w:pPr>
            <w:pStyle w:val="TOC2"/>
            <w:rPr>
              <w:rFonts w:asciiTheme="minorHAnsi" w:eastAsiaTheme="minorEastAsia" w:hAnsiTheme="minorHAnsi" w:cstheme="minorBidi"/>
              <w:noProof/>
              <w:lang w:val="en-US"/>
            </w:rPr>
          </w:pPr>
          <w:hyperlink w:anchor="_Toc89707761" w:history="1">
            <w:r w:rsidR="00F43FC8" w:rsidRPr="009F4DF5">
              <w:rPr>
                <w:rStyle w:val="Hyperlink"/>
                <w:noProof/>
              </w:rPr>
              <w:t>3.1. Offre: quotas mis en circulation</w:t>
            </w:r>
            <w:r w:rsidR="00F43FC8">
              <w:rPr>
                <w:noProof/>
                <w:webHidden/>
              </w:rPr>
              <w:tab/>
            </w:r>
            <w:r w:rsidR="00F43FC8">
              <w:rPr>
                <w:noProof/>
                <w:webHidden/>
              </w:rPr>
              <w:fldChar w:fldCharType="begin"/>
            </w:r>
            <w:r w:rsidR="00F43FC8">
              <w:rPr>
                <w:noProof/>
                <w:webHidden/>
              </w:rPr>
              <w:instrText xml:space="preserve"> PAGEREF _Toc89707761 \h </w:instrText>
            </w:r>
            <w:r w:rsidR="00F43FC8">
              <w:rPr>
                <w:noProof/>
                <w:webHidden/>
              </w:rPr>
            </w:r>
            <w:r w:rsidR="00F43FC8">
              <w:rPr>
                <w:noProof/>
                <w:webHidden/>
              </w:rPr>
              <w:fldChar w:fldCharType="separate"/>
            </w:r>
            <w:r w:rsidR="00F43FC8">
              <w:rPr>
                <w:noProof/>
                <w:webHidden/>
              </w:rPr>
              <w:t>8</w:t>
            </w:r>
            <w:r w:rsidR="00F43FC8">
              <w:rPr>
                <w:noProof/>
                <w:webHidden/>
              </w:rPr>
              <w:fldChar w:fldCharType="end"/>
            </w:r>
          </w:hyperlink>
        </w:p>
        <w:p w14:paraId="5AA8505D" w14:textId="09746113" w:rsidR="00F43FC8" w:rsidRDefault="00F06FBC">
          <w:pPr>
            <w:pStyle w:val="TOC3"/>
            <w:rPr>
              <w:rFonts w:asciiTheme="minorHAnsi" w:eastAsiaTheme="minorEastAsia" w:hAnsiTheme="minorHAnsi" w:cstheme="minorBidi"/>
              <w:noProof/>
              <w:lang w:val="en-US"/>
            </w:rPr>
          </w:pPr>
          <w:hyperlink w:anchor="_Toc89707762" w:history="1">
            <w:r w:rsidR="00F43FC8" w:rsidRPr="009F4DF5">
              <w:rPr>
                <w:rStyle w:val="Hyperlink"/>
                <w:i/>
                <w:noProof/>
              </w:rPr>
              <w:t>3.1.1 Plafond</w:t>
            </w:r>
            <w:r w:rsidR="00F43FC8">
              <w:rPr>
                <w:noProof/>
                <w:webHidden/>
              </w:rPr>
              <w:tab/>
            </w:r>
            <w:r w:rsidR="00F43FC8">
              <w:rPr>
                <w:noProof/>
                <w:webHidden/>
              </w:rPr>
              <w:fldChar w:fldCharType="begin"/>
            </w:r>
            <w:r w:rsidR="00F43FC8">
              <w:rPr>
                <w:noProof/>
                <w:webHidden/>
              </w:rPr>
              <w:instrText xml:space="preserve"> PAGEREF _Toc89707762 \h </w:instrText>
            </w:r>
            <w:r w:rsidR="00F43FC8">
              <w:rPr>
                <w:noProof/>
                <w:webHidden/>
              </w:rPr>
            </w:r>
            <w:r w:rsidR="00F43FC8">
              <w:rPr>
                <w:noProof/>
                <w:webHidden/>
              </w:rPr>
              <w:fldChar w:fldCharType="separate"/>
            </w:r>
            <w:r w:rsidR="00F43FC8">
              <w:rPr>
                <w:noProof/>
                <w:webHidden/>
              </w:rPr>
              <w:t>8</w:t>
            </w:r>
            <w:r w:rsidR="00F43FC8">
              <w:rPr>
                <w:noProof/>
                <w:webHidden/>
              </w:rPr>
              <w:fldChar w:fldCharType="end"/>
            </w:r>
          </w:hyperlink>
        </w:p>
        <w:p w14:paraId="061FDEBA" w14:textId="65B061B4" w:rsidR="00F43FC8" w:rsidRDefault="00F06FBC">
          <w:pPr>
            <w:pStyle w:val="TOC3"/>
            <w:rPr>
              <w:rFonts w:asciiTheme="minorHAnsi" w:eastAsiaTheme="minorEastAsia" w:hAnsiTheme="minorHAnsi" w:cstheme="minorBidi"/>
              <w:noProof/>
              <w:lang w:val="en-US"/>
            </w:rPr>
          </w:pPr>
          <w:hyperlink w:anchor="_Toc89707763" w:history="1">
            <w:r w:rsidR="00F43FC8" w:rsidRPr="009F4DF5">
              <w:rPr>
                <w:rStyle w:val="Hyperlink"/>
                <w:i/>
                <w:noProof/>
              </w:rPr>
              <w:t>3.1.2 Allocation à titre gratuit</w:t>
            </w:r>
            <w:r w:rsidR="00F43FC8">
              <w:rPr>
                <w:noProof/>
                <w:webHidden/>
              </w:rPr>
              <w:tab/>
            </w:r>
            <w:r w:rsidR="00F43FC8">
              <w:rPr>
                <w:noProof/>
                <w:webHidden/>
              </w:rPr>
              <w:fldChar w:fldCharType="begin"/>
            </w:r>
            <w:r w:rsidR="00F43FC8">
              <w:rPr>
                <w:noProof/>
                <w:webHidden/>
              </w:rPr>
              <w:instrText xml:space="preserve"> PAGEREF _Toc89707763 \h </w:instrText>
            </w:r>
            <w:r w:rsidR="00F43FC8">
              <w:rPr>
                <w:noProof/>
                <w:webHidden/>
              </w:rPr>
            </w:r>
            <w:r w:rsidR="00F43FC8">
              <w:rPr>
                <w:noProof/>
                <w:webHidden/>
              </w:rPr>
              <w:fldChar w:fldCharType="separate"/>
            </w:r>
            <w:r w:rsidR="00F43FC8">
              <w:rPr>
                <w:noProof/>
                <w:webHidden/>
              </w:rPr>
              <w:t>11</w:t>
            </w:r>
            <w:r w:rsidR="00F43FC8">
              <w:rPr>
                <w:noProof/>
                <w:webHidden/>
              </w:rPr>
              <w:fldChar w:fldCharType="end"/>
            </w:r>
          </w:hyperlink>
        </w:p>
        <w:p w14:paraId="0FB02F02" w14:textId="1223FC95" w:rsidR="00F43FC8" w:rsidRDefault="00F06FBC">
          <w:pPr>
            <w:pStyle w:val="TOC3"/>
            <w:rPr>
              <w:rFonts w:asciiTheme="minorHAnsi" w:eastAsiaTheme="minorEastAsia" w:hAnsiTheme="minorHAnsi" w:cstheme="minorBidi"/>
              <w:noProof/>
              <w:lang w:val="en-US"/>
            </w:rPr>
          </w:pPr>
          <w:hyperlink w:anchor="_Toc89707764" w:history="1">
            <w:r w:rsidR="00F43FC8" w:rsidRPr="009F4DF5">
              <w:rPr>
                <w:rStyle w:val="Hyperlink"/>
                <w:i/>
                <w:noProof/>
              </w:rPr>
              <w:t>3.1.3 Mise aux enchères des quotas</w:t>
            </w:r>
            <w:r w:rsidR="00F43FC8">
              <w:rPr>
                <w:noProof/>
                <w:webHidden/>
              </w:rPr>
              <w:tab/>
            </w:r>
            <w:r w:rsidR="00F43FC8">
              <w:rPr>
                <w:noProof/>
                <w:webHidden/>
              </w:rPr>
              <w:fldChar w:fldCharType="begin"/>
            </w:r>
            <w:r w:rsidR="00F43FC8">
              <w:rPr>
                <w:noProof/>
                <w:webHidden/>
              </w:rPr>
              <w:instrText xml:space="preserve"> PAGEREF _Toc89707764 \h </w:instrText>
            </w:r>
            <w:r w:rsidR="00F43FC8">
              <w:rPr>
                <w:noProof/>
                <w:webHidden/>
              </w:rPr>
            </w:r>
            <w:r w:rsidR="00F43FC8">
              <w:rPr>
                <w:noProof/>
                <w:webHidden/>
              </w:rPr>
              <w:fldChar w:fldCharType="separate"/>
            </w:r>
            <w:r w:rsidR="00F43FC8">
              <w:rPr>
                <w:noProof/>
                <w:webHidden/>
              </w:rPr>
              <w:t>13</w:t>
            </w:r>
            <w:r w:rsidR="00F43FC8">
              <w:rPr>
                <w:noProof/>
                <w:webHidden/>
              </w:rPr>
              <w:fldChar w:fldCharType="end"/>
            </w:r>
          </w:hyperlink>
        </w:p>
        <w:p w14:paraId="7508245C" w14:textId="5606B81B" w:rsidR="00F43FC8" w:rsidRDefault="00F06FBC">
          <w:pPr>
            <w:pStyle w:val="TOC3"/>
            <w:rPr>
              <w:rFonts w:asciiTheme="minorHAnsi" w:eastAsiaTheme="minorEastAsia" w:hAnsiTheme="minorHAnsi" w:cstheme="minorBidi"/>
              <w:noProof/>
              <w:lang w:val="en-US"/>
            </w:rPr>
          </w:pPr>
          <w:hyperlink w:anchor="_Toc89707765" w:history="1">
            <w:r w:rsidR="00F43FC8" w:rsidRPr="009F4DF5">
              <w:rPr>
                <w:rStyle w:val="Hyperlink"/>
                <w:i/>
                <w:noProof/>
              </w:rPr>
              <w:t>3.1.4 Dérogation à la mise aux enchères intégrale pour la production d’électricité et de chaleur</w:t>
            </w:r>
            <w:r w:rsidR="00F43FC8">
              <w:rPr>
                <w:noProof/>
                <w:webHidden/>
              </w:rPr>
              <w:tab/>
            </w:r>
            <w:r w:rsidR="00F43FC8">
              <w:rPr>
                <w:noProof/>
                <w:webHidden/>
              </w:rPr>
              <w:fldChar w:fldCharType="begin"/>
            </w:r>
            <w:r w:rsidR="00F43FC8">
              <w:rPr>
                <w:noProof/>
                <w:webHidden/>
              </w:rPr>
              <w:instrText xml:space="preserve"> PAGEREF _Toc89707765 \h </w:instrText>
            </w:r>
            <w:r w:rsidR="00F43FC8">
              <w:rPr>
                <w:noProof/>
                <w:webHidden/>
              </w:rPr>
            </w:r>
            <w:r w:rsidR="00F43FC8">
              <w:rPr>
                <w:noProof/>
                <w:webHidden/>
              </w:rPr>
              <w:fldChar w:fldCharType="separate"/>
            </w:r>
            <w:r w:rsidR="00F43FC8">
              <w:rPr>
                <w:noProof/>
                <w:webHidden/>
              </w:rPr>
              <w:t>16</w:t>
            </w:r>
            <w:r w:rsidR="00F43FC8">
              <w:rPr>
                <w:noProof/>
                <w:webHidden/>
              </w:rPr>
              <w:fldChar w:fldCharType="end"/>
            </w:r>
          </w:hyperlink>
        </w:p>
        <w:p w14:paraId="5467C5F2" w14:textId="3DD04773" w:rsidR="00F43FC8" w:rsidRDefault="00F06FBC">
          <w:pPr>
            <w:pStyle w:val="TOC3"/>
            <w:rPr>
              <w:rFonts w:asciiTheme="minorHAnsi" w:eastAsiaTheme="minorEastAsia" w:hAnsiTheme="minorHAnsi" w:cstheme="minorBidi"/>
              <w:noProof/>
              <w:lang w:val="en-US"/>
            </w:rPr>
          </w:pPr>
          <w:hyperlink w:anchor="_Toc89707766" w:history="1">
            <w:r w:rsidR="00F43FC8" w:rsidRPr="009F4DF5">
              <w:rPr>
                <w:rStyle w:val="Hyperlink"/>
                <w:i/>
                <w:noProof/>
              </w:rPr>
              <w:t>3.1.5 Programme NER 300</w:t>
            </w:r>
            <w:r w:rsidR="00F43FC8">
              <w:rPr>
                <w:noProof/>
                <w:webHidden/>
              </w:rPr>
              <w:tab/>
            </w:r>
            <w:r w:rsidR="00F43FC8">
              <w:rPr>
                <w:noProof/>
                <w:webHidden/>
              </w:rPr>
              <w:fldChar w:fldCharType="begin"/>
            </w:r>
            <w:r w:rsidR="00F43FC8">
              <w:rPr>
                <w:noProof/>
                <w:webHidden/>
              </w:rPr>
              <w:instrText xml:space="preserve"> PAGEREF _Toc89707766 \h </w:instrText>
            </w:r>
            <w:r w:rsidR="00F43FC8">
              <w:rPr>
                <w:noProof/>
                <w:webHidden/>
              </w:rPr>
            </w:r>
            <w:r w:rsidR="00F43FC8">
              <w:rPr>
                <w:noProof/>
                <w:webHidden/>
              </w:rPr>
              <w:fldChar w:fldCharType="separate"/>
            </w:r>
            <w:r w:rsidR="00F43FC8">
              <w:rPr>
                <w:noProof/>
                <w:webHidden/>
              </w:rPr>
              <w:t>19</w:t>
            </w:r>
            <w:r w:rsidR="00F43FC8">
              <w:rPr>
                <w:noProof/>
                <w:webHidden/>
              </w:rPr>
              <w:fldChar w:fldCharType="end"/>
            </w:r>
          </w:hyperlink>
        </w:p>
        <w:p w14:paraId="2C21BDBE" w14:textId="08103D69" w:rsidR="00F43FC8" w:rsidRDefault="00F06FBC">
          <w:pPr>
            <w:pStyle w:val="TOC3"/>
            <w:rPr>
              <w:rFonts w:asciiTheme="minorHAnsi" w:eastAsiaTheme="minorEastAsia" w:hAnsiTheme="minorHAnsi" w:cstheme="minorBidi"/>
              <w:noProof/>
              <w:lang w:val="en-US"/>
            </w:rPr>
          </w:pPr>
          <w:hyperlink w:anchor="_Toc89707767" w:history="1">
            <w:r w:rsidR="00F43FC8" w:rsidRPr="009F4DF5">
              <w:rPr>
                <w:rStyle w:val="Hyperlink"/>
                <w:i/>
                <w:noProof/>
              </w:rPr>
              <w:t>3.1.6 Fonds pour l’innovation</w:t>
            </w:r>
            <w:r w:rsidR="00F43FC8">
              <w:rPr>
                <w:noProof/>
                <w:webHidden/>
              </w:rPr>
              <w:tab/>
            </w:r>
            <w:r w:rsidR="00F43FC8">
              <w:rPr>
                <w:noProof/>
                <w:webHidden/>
              </w:rPr>
              <w:fldChar w:fldCharType="begin"/>
            </w:r>
            <w:r w:rsidR="00F43FC8">
              <w:rPr>
                <w:noProof/>
                <w:webHidden/>
              </w:rPr>
              <w:instrText xml:space="preserve"> PAGEREF _Toc89707767 \h </w:instrText>
            </w:r>
            <w:r w:rsidR="00F43FC8">
              <w:rPr>
                <w:noProof/>
                <w:webHidden/>
              </w:rPr>
            </w:r>
            <w:r w:rsidR="00F43FC8">
              <w:rPr>
                <w:noProof/>
                <w:webHidden/>
              </w:rPr>
              <w:fldChar w:fldCharType="separate"/>
            </w:r>
            <w:r w:rsidR="00F43FC8">
              <w:rPr>
                <w:noProof/>
                <w:webHidden/>
              </w:rPr>
              <w:t>20</w:t>
            </w:r>
            <w:r w:rsidR="00F43FC8">
              <w:rPr>
                <w:noProof/>
                <w:webHidden/>
              </w:rPr>
              <w:fldChar w:fldCharType="end"/>
            </w:r>
          </w:hyperlink>
        </w:p>
        <w:p w14:paraId="2578D9EC" w14:textId="26A27504" w:rsidR="00F43FC8" w:rsidRDefault="00F06FBC">
          <w:pPr>
            <w:pStyle w:val="TOC3"/>
            <w:rPr>
              <w:rFonts w:asciiTheme="minorHAnsi" w:eastAsiaTheme="minorEastAsia" w:hAnsiTheme="minorHAnsi" w:cstheme="minorBidi"/>
              <w:noProof/>
              <w:lang w:val="en-US"/>
            </w:rPr>
          </w:pPr>
          <w:hyperlink w:anchor="_Toc89707768" w:history="1">
            <w:r w:rsidR="00F43FC8" w:rsidRPr="009F4DF5">
              <w:rPr>
                <w:rStyle w:val="Hyperlink"/>
                <w:i/>
                <w:noProof/>
              </w:rPr>
              <w:t>3.1.7 Fonds pour la modernisation</w:t>
            </w:r>
            <w:r w:rsidR="00F43FC8">
              <w:rPr>
                <w:noProof/>
                <w:webHidden/>
              </w:rPr>
              <w:tab/>
            </w:r>
            <w:r w:rsidR="00F43FC8">
              <w:rPr>
                <w:noProof/>
                <w:webHidden/>
              </w:rPr>
              <w:fldChar w:fldCharType="begin"/>
            </w:r>
            <w:r w:rsidR="00F43FC8">
              <w:rPr>
                <w:noProof/>
                <w:webHidden/>
              </w:rPr>
              <w:instrText xml:space="preserve"> PAGEREF _Toc89707768 \h </w:instrText>
            </w:r>
            <w:r w:rsidR="00F43FC8">
              <w:rPr>
                <w:noProof/>
                <w:webHidden/>
              </w:rPr>
            </w:r>
            <w:r w:rsidR="00F43FC8">
              <w:rPr>
                <w:noProof/>
                <w:webHidden/>
              </w:rPr>
              <w:fldChar w:fldCharType="separate"/>
            </w:r>
            <w:r w:rsidR="00F43FC8">
              <w:rPr>
                <w:noProof/>
                <w:webHidden/>
              </w:rPr>
              <w:t>21</w:t>
            </w:r>
            <w:r w:rsidR="00F43FC8">
              <w:rPr>
                <w:noProof/>
                <w:webHidden/>
              </w:rPr>
              <w:fldChar w:fldCharType="end"/>
            </w:r>
          </w:hyperlink>
        </w:p>
        <w:p w14:paraId="284CF98B" w14:textId="100478C3" w:rsidR="00F43FC8" w:rsidRDefault="00F06FBC">
          <w:pPr>
            <w:pStyle w:val="TOC3"/>
            <w:rPr>
              <w:rFonts w:asciiTheme="minorHAnsi" w:eastAsiaTheme="minorEastAsia" w:hAnsiTheme="minorHAnsi" w:cstheme="minorBidi"/>
              <w:noProof/>
              <w:lang w:val="en-US"/>
            </w:rPr>
          </w:pPr>
          <w:hyperlink w:anchor="_Toc89707769" w:history="1">
            <w:r w:rsidR="00F43FC8" w:rsidRPr="009F4DF5">
              <w:rPr>
                <w:rStyle w:val="Hyperlink"/>
                <w:i/>
                <w:noProof/>
              </w:rPr>
              <w:t>3.1.8. Compensation des coûts indirects du carbone</w:t>
            </w:r>
            <w:r w:rsidR="00F43FC8">
              <w:rPr>
                <w:noProof/>
                <w:webHidden/>
              </w:rPr>
              <w:tab/>
            </w:r>
            <w:r w:rsidR="00F43FC8">
              <w:rPr>
                <w:noProof/>
                <w:webHidden/>
              </w:rPr>
              <w:fldChar w:fldCharType="begin"/>
            </w:r>
            <w:r w:rsidR="00F43FC8">
              <w:rPr>
                <w:noProof/>
                <w:webHidden/>
              </w:rPr>
              <w:instrText xml:space="preserve"> PAGEREF _Toc89707769 \h </w:instrText>
            </w:r>
            <w:r w:rsidR="00F43FC8">
              <w:rPr>
                <w:noProof/>
                <w:webHidden/>
              </w:rPr>
            </w:r>
            <w:r w:rsidR="00F43FC8">
              <w:rPr>
                <w:noProof/>
                <w:webHidden/>
              </w:rPr>
              <w:fldChar w:fldCharType="separate"/>
            </w:r>
            <w:r w:rsidR="00F43FC8">
              <w:rPr>
                <w:noProof/>
                <w:webHidden/>
              </w:rPr>
              <w:t>22</w:t>
            </w:r>
            <w:r w:rsidR="00F43FC8">
              <w:rPr>
                <w:noProof/>
                <w:webHidden/>
              </w:rPr>
              <w:fldChar w:fldCharType="end"/>
            </w:r>
          </w:hyperlink>
        </w:p>
        <w:p w14:paraId="2C0E15ED" w14:textId="1835D7E2" w:rsidR="00F43FC8" w:rsidRDefault="00F06FBC">
          <w:pPr>
            <w:pStyle w:val="TOC3"/>
            <w:rPr>
              <w:rFonts w:asciiTheme="minorHAnsi" w:eastAsiaTheme="minorEastAsia" w:hAnsiTheme="minorHAnsi" w:cstheme="minorBidi"/>
              <w:noProof/>
              <w:lang w:val="en-US"/>
            </w:rPr>
          </w:pPr>
          <w:hyperlink w:anchor="_Toc89707770" w:history="1">
            <w:r w:rsidR="00F43FC8" w:rsidRPr="009F4DF5">
              <w:rPr>
                <w:rStyle w:val="Hyperlink"/>
                <w:i/>
                <w:noProof/>
              </w:rPr>
              <w:t>3.1.9 Crédits internationaux</w:t>
            </w:r>
            <w:r w:rsidR="00F43FC8">
              <w:rPr>
                <w:noProof/>
                <w:webHidden/>
              </w:rPr>
              <w:tab/>
            </w:r>
            <w:r w:rsidR="00F43FC8">
              <w:rPr>
                <w:noProof/>
                <w:webHidden/>
              </w:rPr>
              <w:fldChar w:fldCharType="begin"/>
            </w:r>
            <w:r w:rsidR="00F43FC8">
              <w:rPr>
                <w:noProof/>
                <w:webHidden/>
              </w:rPr>
              <w:instrText xml:space="preserve"> PAGEREF _Toc89707770 \h </w:instrText>
            </w:r>
            <w:r w:rsidR="00F43FC8">
              <w:rPr>
                <w:noProof/>
                <w:webHidden/>
              </w:rPr>
            </w:r>
            <w:r w:rsidR="00F43FC8">
              <w:rPr>
                <w:noProof/>
                <w:webHidden/>
              </w:rPr>
              <w:fldChar w:fldCharType="separate"/>
            </w:r>
            <w:r w:rsidR="00F43FC8">
              <w:rPr>
                <w:noProof/>
                <w:webHidden/>
              </w:rPr>
              <w:t>24</w:t>
            </w:r>
            <w:r w:rsidR="00F43FC8">
              <w:rPr>
                <w:noProof/>
                <w:webHidden/>
              </w:rPr>
              <w:fldChar w:fldCharType="end"/>
            </w:r>
          </w:hyperlink>
        </w:p>
        <w:p w14:paraId="336BE310" w14:textId="216FE965" w:rsidR="00F43FC8" w:rsidRDefault="00F06FBC">
          <w:pPr>
            <w:pStyle w:val="TOC2"/>
            <w:rPr>
              <w:rFonts w:asciiTheme="minorHAnsi" w:eastAsiaTheme="minorEastAsia" w:hAnsiTheme="minorHAnsi" w:cstheme="minorBidi"/>
              <w:noProof/>
              <w:lang w:val="en-US"/>
            </w:rPr>
          </w:pPr>
          <w:hyperlink w:anchor="_Toc89707771" w:history="1">
            <w:r w:rsidR="00F43FC8" w:rsidRPr="009F4DF5">
              <w:rPr>
                <w:rStyle w:val="Hyperlink"/>
                <w:noProof/>
              </w:rPr>
              <w:t>3.2. Demande: quotas retirés de la circulation</w:t>
            </w:r>
            <w:r w:rsidR="00F43FC8">
              <w:rPr>
                <w:noProof/>
                <w:webHidden/>
              </w:rPr>
              <w:tab/>
            </w:r>
            <w:r w:rsidR="00F43FC8">
              <w:rPr>
                <w:noProof/>
                <w:webHidden/>
              </w:rPr>
              <w:fldChar w:fldCharType="begin"/>
            </w:r>
            <w:r w:rsidR="00F43FC8">
              <w:rPr>
                <w:noProof/>
                <w:webHidden/>
              </w:rPr>
              <w:instrText xml:space="preserve"> PAGEREF _Toc89707771 \h </w:instrText>
            </w:r>
            <w:r w:rsidR="00F43FC8">
              <w:rPr>
                <w:noProof/>
                <w:webHidden/>
              </w:rPr>
            </w:r>
            <w:r w:rsidR="00F43FC8">
              <w:rPr>
                <w:noProof/>
                <w:webHidden/>
              </w:rPr>
              <w:fldChar w:fldCharType="separate"/>
            </w:r>
            <w:r w:rsidR="00F43FC8">
              <w:rPr>
                <w:noProof/>
                <w:webHidden/>
              </w:rPr>
              <w:t>25</w:t>
            </w:r>
            <w:r w:rsidR="00F43FC8">
              <w:rPr>
                <w:noProof/>
                <w:webHidden/>
              </w:rPr>
              <w:fldChar w:fldCharType="end"/>
            </w:r>
          </w:hyperlink>
        </w:p>
        <w:p w14:paraId="4CF2BEF8" w14:textId="2B6A4639" w:rsidR="00F43FC8" w:rsidRDefault="00F06FBC">
          <w:pPr>
            <w:pStyle w:val="TOC3"/>
            <w:rPr>
              <w:rFonts w:asciiTheme="minorHAnsi" w:eastAsiaTheme="minorEastAsia" w:hAnsiTheme="minorHAnsi" w:cstheme="minorBidi"/>
              <w:noProof/>
              <w:lang w:val="en-US"/>
            </w:rPr>
          </w:pPr>
          <w:hyperlink w:anchor="_Toc89707772" w:history="1">
            <w:r w:rsidR="00F43FC8" w:rsidRPr="009F4DF5">
              <w:rPr>
                <w:rStyle w:val="Hyperlink"/>
                <w:i/>
                <w:noProof/>
              </w:rPr>
              <w:t>3.2.1 Réduction des émissions</w:t>
            </w:r>
            <w:r w:rsidR="00F43FC8">
              <w:rPr>
                <w:noProof/>
                <w:webHidden/>
              </w:rPr>
              <w:tab/>
            </w:r>
            <w:r w:rsidR="00F43FC8">
              <w:rPr>
                <w:noProof/>
                <w:webHidden/>
              </w:rPr>
              <w:fldChar w:fldCharType="begin"/>
            </w:r>
            <w:r w:rsidR="00F43FC8">
              <w:rPr>
                <w:noProof/>
                <w:webHidden/>
              </w:rPr>
              <w:instrText xml:space="preserve"> PAGEREF _Toc89707772 \h </w:instrText>
            </w:r>
            <w:r w:rsidR="00F43FC8">
              <w:rPr>
                <w:noProof/>
                <w:webHidden/>
              </w:rPr>
            </w:r>
            <w:r w:rsidR="00F43FC8">
              <w:rPr>
                <w:noProof/>
                <w:webHidden/>
              </w:rPr>
              <w:fldChar w:fldCharType="separate"/>
            </w:r>
            <w:r w:rsidR="00F43FC8">
              <w:rPr>
                <w:noProof/>
                <w:webHidden/>
              </w:rPr>
              <w:t>25</w:t>
            </w:r>
            <w:r w:rsidR="00F43FC8">
              <w:rPr>
                <w:noProof/>
                <w:webHidden/>
              </w:rPr>
              <w:fldChar w:fldCharType="end"/>
            </w:r>
          </w:hyperlink>
        </w:p>
        <w:p w14:paraId="179507FD" w14:textId="1B8B9799" w:rsidR="00F43FC8" w:rsidRDefault="00F06FBC">
          <w:pPr>
            <w:pStyle w:val="TOC3"/>
            <w:rPr>
              <w:rFonts w:asciiTheme="minorHAnsi" w:eastAsiaTheme="minorEastAsia" w:hAnsiTheme="minorHAnsi" w:cstheme="minorBidi"/>
              <w:noProof/>
              <w:lang w:val="en-US"/>
            </w:rPr>
          </w:pPr>
          <w:hyperlink w:anchor="_Toc89707773" w:history="1">
            <w:r w:rsidR="00F43FC8" w:rsidRPr="009F4DF5">
              <w:rPr>
                <w:rStyle w:val="Hyperlink"/>
                <w:i/>
                <w:noProof/>
              </w:rPr>
              <w:t>3.2.2 Équilibre de l’offre et de la demande</w:t>
            </w:r>
            <w:r w:rsidR="00F43FC8">
              <w:rPr>
                <w:noProof/>
                <w:webHidden/>
              </w:rPr>
              <w:tab/>
            </w:r>
            <w:r w:rsidR="00F43FC8">
              <w:rPr>
                <w:noProof/>
                <w:webHidden/>
              </w:rPr>
              <w:fldChar w:fldCharType="begin"/>
            </w:r>
            <w:r w:rsidR="00F43FC8">
              <w:rPr>
                <w:noProof/>
                <w:webHidden/>
              </w:rPr>
              <w:instrText xml:space="preserve"> PAGEREF _Toc89707773 \h </w:instrText>
            </w:r>
            <w:r w:rsidR="00F43FC8">
              <w:rPr>
                <w:noProof/>
                <w:webHidden/>
              </w:rPr>
            </w:r>
            <w:r w:rsidR="00F43FC8">
              <w:rPr>
                <w:noProof/>
                <w:webHidden/>
              </w:rPr>
              <w:fldChar w:fldCharType="separate"/>
            </w:r>
            <w:r w:rsidR="00F43FC8">
              <w:rPr>
                <w:noProof/>
                <w:webHidden/>
              </w:rPr>
              <w:t>30</w:t>
            </w:r>
            <w:r w:rsidR="00F43FC8">
              <w:rPr>
                <w:noProof/>
                <w:webHidden/>
              </w:rPr>
              <w:fldChar w:fldCharType="end"/>
            </w:r>
          </w:hyperlink>
        </w:p>
        <w:p w14:paraId="4B602ADC" w14:textId="5445D4B1" w:rsidR="00F43FC8" w:rsidRDefault="00F06FBC">
          <w:pPr>
            <w:pStyle w:val="TOC1"/>
            <w:rPr>
              <w:rFonts w:asciiTheme="minorHAnsi" w:eastAsiaTheme="minorEastAsia" w:hAnsiTheme="minorHAnsi" w:cstheme="minorBidi"/>
              <w:noProof/>
              <w:lang w:val="en-US"/>
            </w:rPr>
          </w:pPr>
          <w:hyperlink w:anchor="_Toc89707774" w:history="1">
            <w:r w:rsidR="00F43FC8" w:rsidRPr="009F4DF5">
              <w:rPr>
                <w:rStyle w:val="Hyperlink"/>
                <w:noProof/>
              </w:rPr>
              <w:t>4. SECTEUR DE L’AVIATION</w:t>
            </w:r>
            <w:r w:rsidR="00F43FC8">
              <w:rPr>
                <w:noProof/>
                <w:webHidden/>
              </w:rPr>
              <w:tab/>
            </w:r>
            <w:r w:rsidR="00F43FC8">
              <w:rPr>
                <w:noProof/>
                <w:webHidden/>
              </w:rPr>
              <w:fldChar w:fldCharType="begin"/>
            </w:r>
            <w:r w:rsidR="00F43FC8">
              <w:rPr>
                <w:noProof/>
                <w:webHidden/>
              </w:rPr>
              <w:instrText xml:space="preserve"> PAGEREF _Toc89707774 \h </w:instrText>
            </w:r>
            <w:r w:rsidR="00F43FC8">
              <w:rPr>
                <w:noProof/>
                <w:webHidden/>
              </w:rPr>
            </w:r>
            <w:r w:rsidR="00F43FC8">
              <w:rPr>
                <w:noProof/>
                <w:webHidden/>
              </w:rPr>
              <w:fldChar w:fldCharType="separate"/>
            </w:r>
            <w:r w:rsidR="00F43FC8">
              <w:rPr>
                <w:noProof/>
                <w:webHidden/>
              </w:rPr>
              <w:t>33</w:t>
            </w:r>
            <w:r w:rsidR="00F43FC8">
              <w:rPr>
                <w:noProof/>
                <w:webHidden/>
              </w:rPr>
              <w:fldChar w:fldCharType="end"/>
            </w:r>
          </w:hyperlink>
        </w:p>
        <w:p w14:paraId="43590B5E" w14:textId="1040D99D" w:rsidR="00F43FC8" w:rsidRDefault="00F06FBC">
          <w:pPr>
            <w:pStyle w:val="TOC1"/>
            <w:rPr>
              <w:rFonts w:asciiTheme="minorHAnsi" w:eastAsiaTheme="minorEastAsia" w:hAnsiTheme="minorHAnsi" w:cstheme="minorBidi"/>
              <w:noProof/>
              <w:lang w:val="en-US"/>
            </w:rPr>
          </w:pPr>
          <w:hyperlink w:anchor="_Toc89707775" w:history="1">
            <w:r w:rsidR="00F43FC8" w:rsidRPr="009F4DF5">
              <w:rPr>
                <w:rStyle w:val="Hyperlink"/>
                <w:noProof/>
              </w:rPr>
              <w:t>5. SURVEILLANCE DU MARCHÉ</w:t>
            </w:r>
            <w:r w:rsidR="00F43FC8">
              <w:rPr>
                <w:noProof/>
                <w:webHidden/>
              </w:rPr>
              <w:tab/>
            </w:r>
            <w:r w:rsidR="00F43FC8">
              <w:rPr>
                <w:noProof/>
                <w:webHidden/>
              </w:rPr>
              <w:fldChar w:fldCharType="begin"/>
            </w:r>
            <w:r w:rsidR="00F43FC8">
              <w:rPr>
                <w:noProof/>
                <w:webHidden/>
              </w:rPr>
              <w:instrText xml:space="preserve"> PAGEREF _Toc89707775 \h </w:instrText>
            </w:r>
            <w:r w:rsidR="00F43FC8">
              <w:rPr>
                <w:noProof/>
                <w:webHidden/>
              </w:rPr>
            </w:r>
            <w:r w:rsidR="00F43FC8">
              <w:rPr>
                <w:noProof/>
                <w:webHidden/>
              </w:rPr>
              <w:fldChar w:fldCharType="separate"/>
            </w:r>
            <w:r w:rsidR="00F43FC8">
              <w:rPr>
                <w:noProof/>
                <w:webHidden/>
              </w:rPr>
              <w:t>36</w:t>
            </w:r>
            <w:r w:rsidR="00F43FC8">
              <w:rPr>
                <w:noProof/>
                <w:webHidden/>
              </w:rPr>
              <w:fldChar w:fldCharType="end"/>
            </w:r>
          </w:hyperlink>
        </w:p>
        <w:p w14:paraId="4A15FFFF" w14:textId="062A57A9" w:rsidR="00F43FC8" w:rsidRDefault="00F06FBC">
          <w:pPr>
            <w:pStyle w:val="TOC1"/>
            <w:rPr>
              <w:rFonts w:asciiTheme="minorHAnsi" w:eastAsiaTheme="minorEastAsia" w:hAnsiTheme="minorHAnsi" w:cstheme="minorBidi"/>
              <w:noProof/>
              <w:lang w:val="en-US"/>
            </w:rPr>
          </w:pPr>
          <w:hyperlink w:anchor="_Toc89707776" w:history="1">
            <w:r w:rsidR="00F43FC8" w:rsidRPr="009F4DF5">
              <w:rPr>
                <w:rStyle w:val="Hyperlink"/>
                <w:noProof/>
              </w:rPr>
              <w:t>6. SURVEILLANCE, DÉCLARATION ET VÉRIFICATION DES ÉMISSIONS</w:t>
            </w:r>
            <w:r w:rsidR="00F43FC8">
              <w:rPr>
                <w:noProof/>
                <w:webHidden/>
              </w:rPr>
              <w:tab/>
            </w:r>
            <w:r w:rsidR="00F43FC8">
              <w:rPr>
                <w:noProof/>
                <w:webHidden/>
              </w:rPr>
              <w:fldChar w:fldCharType="begin"/>
            </w:r>
            <w:r w:rsidR="00F43FC8">
              <w:rPr>
                <w:noProof/>
                <w:webHidden/>
              </w:rPr>
              <w:instrText xml:space="preserve"> PAGEREF _Toc89707776 \h </w:instrText>
            </w:r>
            <w:r w:rsidR="00F43FC8">
              <w:rPr>
                <w:noProof/>
                <w:webHidden/>
              </w:rPr>
            </w:r>
            <w:r w:rsidR="00F43FC8">
              <w:rPr>
                <w:noProof/>
                <w:webHidden/>
              </w:rPr>
              <w:fldChar w:fldCharType="separate"/>
            </w:r>
            <w:r w:rsidR="00F43FC8">
              <w:rPr>
                <w:noProof/>
                <w:webHidden/>
              </w:rPr>
              <w:t>39</w:t>
            </w:r>
            <w:r w:rsidR="00F43FC8">
              <w:rPr>
                <w:noProof/>
                <w:webHidden/>
              </w:rPr>
              <w:fldChar w:fldCharType="end"/>
            </w:r>
          </w:hyperlink>
        </w:p>
        <w:p w14:paraId="490AB43A" w14:textId="0AC37FC6" w:rsidR="00F43FC8" w:rsidRDefault="00F06FBC">
          <w:pPr>
            <w:pStyle w:val="TOC1"/>
            <w:rPr>
              <w:rFonts w:asciiTheme="minorHAnsi" w:eastAsiaTheme="minorEastAsia" w:hAnsiTheme="minorHAnsi" w:cstheme="minorBidi"/>
              <w:noProof/>
              <w:lang w:val="en-US"/>
            </w:rPr>
          </w:pPr>
          <w:hyperlink w:anchor="_Toc89707777" w:history="1">
            <w:r w:rsidR="00F43FC8" w:rsidRPr="009F4DF5">
              <w:rPr>
                <w:rStyle w:val="Hyperlink"/>
                <w:noProof/>
              </w:rPr>
              <w:t>7. COUPLAGE DU SEQE-UE ET DU SEQE DE LA SUISSE</w:t>
            </w:r>
            <w:r w:rsidR="00F43FC8">
              <w:rPr>
                <w:noProof/>
                <w:webHidden/>
              </w:rPr>
              <w:tab/>
            </w:r>
            <w:r w:rsidR="00F43FC8">
              <w:rPr>
                <w:noProof/>
                <w:webHidden/>
              </w:rPr>
              <w:fldChar w:fldCharType="begin"/>
            </w:r>
            <w:r w:rsidR="00F43FC8">
              <w:rPr>
                <w:noProof/>
                <w:webHidden/>
              </w:rPr>
              <w:instrText xml:space="preserve"> PAGEREF _Toc89707777 \h </w:instrText>
            </w:r>
            <w:r w:rsidR="00F43FC8">
              <w:rPr>
                <w:noProof/>
                <w:webHidden/>
              </w:rPr>
            </w:r>
            <w:r w:rsidR="00F43FC8">
              <w:rPr>
                <w:noProof/>
                <w:webHidden/>
              </w:rPr>
              <w:fldChar w:fldCharType="separate"/>
            </w:r>
            <w:r w:rsidR="00F43FC8">
              <w:rPr>
                <w:noProof/>
                <w:webHidden/>
              </w:rPr>
              <w:t>41</w:t>
            </w:r>
            <w:r w:rsidR="00F43FC8">
              <w:rPr>
                <w:noProof/>
                <w:webHidden/>
              </w:rPr>
              <w:fldChar w:fldCharType="end"/>
            </w:r>
          </w:hyperlink>
        </w:p>
        <w:p w14:paraId="3AB0DFB3" w14:textId="62BCDBA9" w:rsidR="00F43FC8" w:rsidRDefault="00F06FBC">
          <w:pPr>
            <w:pStyle w:val="TOC1"/>
            <w:rPr>
              <w:rFonts w:asciiTheme="minorHAnsi" w:eastAsiaTheme="minorEastAsia" w:hAnsiTheme="minorHAnsi" w:cstheme="minorBidi"/>
              <w:noProof/>
              <w:lang w:val="en-US"/>
            </w:rPr>
          </w:pPr>
          <w:hyperlink w:anchor="_Toc89707778" w:history="1">
            <w:r w:rsidR="00F43FC8" w:rsidRPr="009F4DF5">
              <w:rPr>
                <w:rStyle w:val="Hyperlink"/>
                <w:noProof/>
              </w:rPr>
              <w:t>8. CONSÉQUENCES DE LA MISE EN ŒUVRE DE LA DIRECTIVE RELATIVE À L’EFFICACITÉ ÉNERGÉTIQUE ET DES PLANS NATIONAUX EN MATIÈRE D’ÉNERGIE ET DE CLIMAT SUR LE SEQE-UE</w:t>
            </w:r>
            <w:r w:rsidR="00F43FC8">
              <w:rPr>
                <w:noProof/>
                <w:webHidden/>
              </w:rPr>
              <w:tab/>
            </w:r>
            <w:r w:rsidR="00F43FC8">
              <w:rPr>
                <w:noProof/>
                <w:webHidden/>
              </w:rPr>
              <w:fldChar w:fldCharType="begin"/>
            </w:r>
            <w:r w:rsidR="00F43FC8">
              <w:rPr>
                <w:noProof/>
                <w:webHidden/>
              </w:rPr>
              <w:instrText xml:space="preserve"> PAGEREF _Toc89707778 \h </w:instrText>
            </w:r>
            <w:r w:rsidR="00F43FC8">
              <w:rPr>
                <w:noProof/>
                <w:webHidden/>
              </w:rPr>
            </w:r>
            <w:r w:rsidR="00F43FC8">
              <w:rPr>
                <w:noProof/>
                <w:webHidden/>
              </w:rPr>
              <w:fldChar w:fldCharType="separate"/>
            </w:r>
            <w:r w:rsidR="00F43FC8">
              <w:rPr>
                <w:noProof/>
                <w:webHidden/>
              </w:rPr>
              <w:t>45</w:t>
            </w:r>
            <w:r w:rsidR="00F43FC8">
              <w:rPr>
                <w:noProof/>
                <w:webHidden/>
              </w:rPr>
              <w:fldChar w:fldCharType="end"/>
            </w:r>
          </w:hyperlink>
        </w:p>
        <w:p w14:paraId="2E82AC92" w14:textId="57DB4F30" w:rsidR="00F43FC8" w:rsidRDefault="00F06FBC">
          <w:pPr>
            <w:pStyle w:val="TOC2"/>
            <w:rPr>
              <w:rFonts w:asciiTheme="minorHAnsi" w:eastAsiaTheme="minorEastAsia" w:hAnsiTheme="minorHAnsi" w:cstheme="minorBidi"/>
              <w:noProof/>
              <w:lang w:val="en-US"/>
            </w:rPr>
          </w:pPr>
          <w:hyperlink w:anchor="_Toc89707779" w:history="1">
            <w:r w:rsidR="00F43FC8" w:rsidRPr="009F4DF5">
              <w:rPr>
                <w:rStyle w:val="Hyperlink"/>
                <w:noProof/>
              </w:rPr>
              <w:t>8.1 Incidence de la mise en œuvre de la directive sur l’efficacité énergétique sur le SEQE-UE</w:t>
            </w:r>
            <w:r w:rsidR="00F43FC8">
              <w:rPr>
                <w:noProof/>
                <w:webHidden/>
              </w:rPr>
              <w:tab/>
            </w:r>
            <w:r w:rsidR="00F43FC8">
              <w:rPr>
                <w:noProof/>
                <w:webHidden/>
              </w:rPr>
              <w:fldChar w:fldCharType="begin"/>
            </w:r>
            <w:r w:rsidR="00F43FC8">
              <w:rPr>
                <w:noProof/>
                <w:webHidden/>
              </w:rPr>
              <w:instrText xml:space="preserve"> PAGEREF _Toc89707779 \h </w:instrText>
            </w:r>
            <w:r w:rsidR="00F43FC8">
              <w:rPr>
                <w:noProof/>
                <w:webHidden/>
              </w:rPr>
            </w:r>
            <w:r w:rsidR="00F43FC8">
              <w:rPr>
                <w:noProof/>
                <w:webHidden/>
              </w:rPr>
              <w:fldChar w:fldCharType="separate"/>
            </w:r>
            <w:r w:rsidR="00F43FC8">
              <w:rPr>
                <w:noProof/>
                <w:webHidden/>
              </w:rPr>
              <w:t>45</w:t>
            </w:r>
            <w:r w:rsidR="00F43FC8">
              <w:rPr>
                <w:noProof/>
                <w:webHidden/>
              </w:rPr>
              <w:fldChar w:fldCharType="end"/>
            </w:r>
          </w:hyperlink>
        </w:p>
        <w:p w14:paraId="66232F02" w14:textId="5272BF01" w:rsidR="00F43FC8" w:rsidRDefault="00F06FBC">
          <w:pPr>
            <w:pStyle w:val="TOC2"/>
            <w:rPr>
              <w:rFonts w:asciiTheme="minorHAnsi" w:eastAsiaTheme="minorEastAsia" w:hAnsiTheme="minorHAnsi" w:cstheme="minorBidi"/>
              <w:noProof/>
              <w:lang w:val="en-US"/>
            </w:rPr>
          </w:pPr>
          <w:hyperlink w:anchor="_Toc89707780" w:history="1">
            <w:r w:rsidR="00F43FC8" w:rsidRPr="009F4DF5">
              <w:rPr>
                <w:rStyle w:val="Hyperlink"/>
                <w:noProof/>
              </w:rPr>
              <w:t>8.2 Incidence de la mise en œuvre des plans nationaux en matière d’énergie et de climat sur le SEQE-UE</w:t>
            </w:r>
            <w:r w:rsidR="00F43FC8">
              <w:rPr>
                <w:noProof/>
                <w:webHidden/>
              </w:rPr>
              <w:tab/>
            </w:r>
            <w:r w:rsidR="00F43FC8">
              <w:rPr>
                <w:noProof/>
                <w:webHidden/>
              </w:rPr>
              <w:fldChar w:fldCharType="begin"/>
            </w:r>
            <w:r w:rsidR="00F43FC8">
              <w:rPr>
                <w:noProof/>
                <w:webHidden/>
              </w:rPr>
              <w:instrText xml:space="preserve"> PAGEREF _Toc89707780 \h </w:instrText>
            </w:r>
            <w:r w:rsidR="00F43FC8">
              <w:rPr>
                <w:noProof/>
                <w:webHidden/>
              </w:rPr>
            </w:r>
            <w:r w:rsidR="00F43FC8">
              <w:rPr>
                <w:noProof/>
                <w:webHidden/>
              </w:rPr>
              <w:fldChar w:fldCharType="separate"/>
            </w:r>
            <w:r w:rsidR="00F43FC8">
              <w:rPr>
                <w:noProof/>
                <w:webHidden/>
              </w:rPr>
              <w:t>47</w:t>
            </w:r>
            <w:r w:rsidR="00F43FC8">
              <w:rPr>
                <w:noProof/>
                <w:webHidden/>
              </w:rPr>
              <w:fldChar w:fldCharType="end"/>
            </w:r>
          </w:hyperlink>
        </w:p>
        <w:p w14:paraId="6ECF54FD" w14:textId="35DF6486" w:rsidR="00F43FC8" w:rsidRDefault="00F06FBC">
          <w:pPr>
            <w:pStyle w:val="TOC1"/>
            <w:rPr>
              <w:rFonts w:asciiTheme="minorHAnsi" w:eastAsiaTheme="minorEastAsia" w:hAnsiTheme="minorHAnsi" w:cstheme="minorBidi"/>
              <w:noProof/>
              <w:lang w:val="en-US"/>
            </w:rPr>
          </w:pPr>
          <w:hyperlink w:anchor="_Toc89707781" w:history="1">
            <w:r w:rsidR="00F43FC8" w:rsidRPr="009F4DF5">
              <w:rPr>
                <w:rStyle w:val="Hyperlink"/>
                <w:noProof/>
              </w:rPr>
              <w:t>9. CONCLUSIONS ET PERSPECTIVES</w:t>
            </w:r>
            <w:r w:rsidR="00F43FC8">
              <w:rPr>
                <w:noProof/>
                <w:webHidden/>
              </w:rPr>
              <w:tab/>
            </w:r>
            <w:r w:rsidR="00F43FC8">
              <w:rPr>
                <w:noProof/>
                <w:webHidden/>
              </w:rPr>
              <w:fldChar w:fldCharType="begin"/>
            </w:r>
            <w:r w:rsidR="00F43FC8">
              <w:rPr>
                <w:noProof/>
                <w:webHidden/>
              </w:rPr>
              <w:instrText xml:space="preserve"> PAGEREF _Toc89707781 \h </w:instrText>
            </w:r>
            <w:r w:rsidR="00F43FC8">
              <w:rPr>
                <w:noProof/>
                <w:webHidden/>
              </w:rPr>
            </w:r>
            <w:r w:rsidR="00F43FC8">
              <w:rPr>
                <w:noProof/>
                <w:webHidden/>
              </w:rPr>
              <w:fldChar w:fldCharType="separate"/>
            </w:r>
            <w:r w:rsidR="00F43FC8">
              <w:rPr>
                <w:noProof/>
                <w:webHidden/>
              </w:rPr>
              <w:t>49</w:t>
            </w:r>
            <w:r w:rsidR="00F43FC8">
              <w:rPr>
                <w:noProof/>
                <w:webHidden/>
              </w:rPr>
              <w:fldChar w:fldCharType="end"/>
            </w:r>
          </w:hyperlink>
        </w:p>
        <w:p w14:paraId="5C267E31" w14:textId="0D58787E" w:rsidR="006C746A" w:rsidRPr="00DA11F1" w:rsidRDefault="009B1524" w:rsidP="006C746A">
          <w:pPr>
            <w:tabs>
              <w:tab w:val="left" w:pos="2290"/>
            </w:tabs>
            <w:rPr>
              <w:rFonts w:ascii="Times New Roman" w:hAnsi="Times New Roman"/>
              <w:noProof/>
            </w:rPr>
          </w:pPr>
          <w:r w:rsidRPr="00DA11F1">
            <w:rPr>
              <w:rFonts w:ascii="Times New Roman" w:hAnsi="Times New Roman"/>
              <w:b/>
              <w:bCs/>
              <w:noProof/>
            </w:rPr>
            <w:fldChar w:fldCharType="end"/>
          </w:r>
        </w:p>
      </w:sdtContent>
    </w:sdt>
    <w:bookmarkStart w:id="2" w:name="_Toc519009670" w:displacedByCustomXml="prev"/>
    <w:p w14:paraId="3D89C9CF" w14:textId="41119FA6" w:rsidR="00131369" w:rsidRPr="00DA11F1" w:rsidRDefault="009B1524">
      <w:pPr>
        <w:pStyle w:val="Heading1"/>
        <w:spacing w:before="0" w:after="120"/>
        <w:rPr>
          <w:noProof/>
          <w:szCs w:val="24"/>
        </w:rPr>
      </w:pPr>
      <w:bookmarkStart w:id="3" w:name="_Toc89707756"/>
      <w:r>
        <w:rPr>
          <w:noProof/>
        </w:rPr>
        <w:t>Liste des acronymes et abréviations</w:t>
      </w:r>
      <w:bookmarkEnd w:id="3"/>
      <w:bookmarkEnd w:id="2"/>
    </w:p>
    <w:p w14:paraId="4246347B" w14:textId="77777777" w:rsidR="00372F2A" w:rsidRPr="00DA11F1" w:rsidRDefault="00372F2A" w:rsidP="00C15C44">
      <w:pPr>
        <w:spacing w:after="0"/>
        <w:rPr>
          <w:rFonts w:ascii="Times New Roman" w:hAnsi="Times New Roman"/>
          <w:noProof/>
          <w:sz w:val="24"/>
          <w:szCs w:val="24"/>
        </w:rPr>
      </w:pPr>
      <w:r>
        <w:rPr>
          <w:rFonts w:ascii="Times New Roman" w:hAnsi="Times New Roman"/>
          <w:noProof/>
          <w:sz w:val="24"/>
          <w:szCs w:val="24"/>
        </w:rPr>
        <w:t>AEMF</w:t>
      </w:r>
      <w:r>
        <w:rPr>
          <w:rFonts w:ascii="Times New Roman" w:hAnsi="Times New Roman"/>
          <w:noProof/>
          <w:sz w:val="24"/>
          <w:szCs w:val="24"/>
        </w:rPr>
        <w:tab/>
      </w:r>
      <w:r>
        <w:rPr>
          <w:rFonts w:ascii="Times New Roman" w:hAnsi="Times New Roman"/>
          <w:noProof/>
          <w:sz w:val="24"/>
          <w:szCs w:val="24"/>
        </w:rPr>
        <w:tab/>
        <w:t>Autorité européenne des marchés financiers</w:t>
      </w:r>
    </w:p>
    <w:p w14:paraId="1A583A9D" w14:textId="77777777" w:rsidR="00372F2A" w:rsidRPr="00DA11F1" w:rsidRDefault="00372F2A" w:rsidP="00C15C44">
      <w:pPr>
        <w:spacing w:after="0"/>
        <w:rPr>
          <w:rFonts w:ascii="Times New Roman" w:hAnsi="Times New Roman"/>
          <w:noProof/>
          <w:sz w:val="24"/>
          <w:szCs w:val="24"/>
        </w:rPr>
      </w:pPr>
      <w:r>
        <w:rPr>
          <w:rFonts w:ascii="Times New Roman" w:hAnsi="Times New Roman"/>
          <w:noProof/>
          <w:sz w:val="24"/>
          <w:szCs w:val="24"/>
        </w:rPr>
        <w:t>BEI</w:t>
      </w:r>
      <w:r>
        <w:rPr>
          <w:rFonts w:ascii="Times New Roman" w:hAnsi="Times New Roman"/>
          <w:noProof/>
          <w:sz w:val="24"/>
          <w:szCs w:val="24"/>
        </w:rPr>
        <w:tab/>
      </w:r>
      <w:r>
        <w:rPr>
          <w:rFonts w:ascii="Times New Roman" w:hAnsi="Times New Roman"/>
          <w:noProof/>
          <w:sz w:val="24"/>
          <w:szCs w:val="24"/>
        </w:rPr>
        <w:tab/>
        <w:t>Banque européenne d’investissement</w:t>
      </w:r>
    </w:p>
    <w:p w14:paraId="45CD4A0A" w14:textId="77777777" w:rsidR="00372F2A" w:rsidRPr="00DA11F1" w:rsidRDefault="00372F2A" w:rsidP="00C15C44">
      <w:pPr>
        <w:spacing w:after="0"/>
        <w:rPr>
          <w:rFonts w:ascii="Times New Roman" w:hAnsi="Times New Roman"/>
          <w:noProof/>
          <w:sz w:val="24"/>
          <w:szCs w:val="24"/>
        </w:rPr>
      </w:pPr>
      <w:r>
        <w:rPr>
          <w:rFonts w:ascii="Times New Roman" w:hAnsi="Times New Roman"/>
          <w:noProof/>
          <w:sz w:val="24"/>
          <w:szCs w:val="24"/>
        </w:rPr>
        <w:t>CCNUCC</w:t>
      </w:r>
      <w:r>
        <w:rPr>
          <w:rFonts w:ascii="Times New Roman" w:hAnsi="Times New Roman"/>
          <w:noProof/>
          <w:sz w:val="24"/>
          <w:szCs w:val="24"/>
        </w:rPr>
        <w:tab/>
        <w:t>Convention-cadre des Nations unies sur les changements climatiques</w:t>
      </w:r>
    </w:p>
    <w:p w14:paraId="6F9E3387" w14:textId="77777777" w:rsidR="00372F2A" w:rsidRPr="00DA11F1" w:rsidRDefault="00372F2A" w:rsidP="00C15C44">
      <w:pPr>
        <w:spacing w:after="0"/>
        <w:rPr>
          <w:rFonts w:ascii="Times New Roman" w:hAnsi="Times New Roman"/>
          <w:noProof/>
          <w:sz w:val="24"/>
          <w:szCs w:val="24"/>
        </w:rPr>
      </w:pPr>
      <w:r>
        <w:rPr>
          <w:rFonts w:ascii="Times New Roman" w:hAnsi="Times New Roman"/>
          <w:noProof/>
          <w:sz w:val="24"/>
          <w:szCs w:val="24"/>
        </w:rPr>
        <w:t>CINEA</w:t>
      </w:r>
      <w:r>
        <w:rPr>
          <w:rFonts w:ascii="Times New Roman" w:hAnsi="Times New Roman"/>
          <w:noProof/>
          <w:sz w:val="24"/>
          <w:szCs w:val="24"/>
        </w:rPr>
        <w:tab/>
        <w:t>Agence exécutive européenne pour le climat, les infrastructures et l’environnement</w:t>
      </w:r>
    </w:p>
    <w:p w14:paraId="232BB057" w14:textId="77777777" w:rsidR="00372F2A" w:rsidRPr="00DA11F1" w:rsidRDefault="00372F2A" w:rsidP="00C15C44">
      <w:pPr>
        <w:spacing w:after="0"/>
        <w:rPr>
          <w:rFonts w:ascii="Times New Roman" w:hAnsi="Times New Roman"/>
          <w:noProof/>
          <w:sz w:val="24"/>
          <w:szCs w:val="24"/>
        </w:rPr>
      </w:pPr>
      <w:r>
        <w:rPr>
          <w:rFonts w:ascii="Times New Roman" w:hAnsi="Times New Roman"/>
          <w:noProof/>
          <w:sz w:val="24"/>
          <w:szCs w:val="24"/>
        </w:rPr>
        <w:t>CO</w:t>
      </w:r>
      <w:r w:rsidRPr="00F43FC8">
        <w:rPr>
          <w:rFonts w:ascii="Times New Roman" w:hAnsi="Times New Roman"/>
          <w:noProof/>
          <w:sz w:val="24"/>
          <w:szCs w:val="24"/>
          <w:vertAlign w:val="subscript"/>
        </w:rPr>
        <w:t>2</w:t>
      </w:r>
      <w:r>
        <w:rPr>
          <w:rFonts w:ascii="Times New Roman" w:hAnsi="Times New Roman"/>
          <w:noProof/>
          <w:sz w:val="24"/>
          <w:szCs w:val="24"/>
        </w:rPr>
        <w:tab/>
      </w:r>
      <w:r>
        <w:rPr>
          <w:rFonts w:ascii="Times New Roman" w:hAnsi="Times New Roman"/>
          <w:noProof/>
          <w:sz w:val="24"/>
          <w:szCs w:val="24"/>
        </w:rPr>
        <w:tab/>
        <w:t>Dioxyde de carbone</w:t>
      </w:r>
    </w:p>
    <w:p w14:paraId="5E18BB77" w14:textId="77777777" w:rsidR="00372F2A" w:rsidRPr="00DA11F1" w:rsidRDefault="00372F2A" w:rsidP="00C15C44">
      <w:pPr>
        <w:spacing w:after="0"/>
        <w:rPr>
          <w:rFonts w:ascii="Times New Roman" w:hAnsi="Times New Roman"/>
          <w:noProof/>
          <w:sz w:val="24"/>
          <w:szCs w:val="24"/>
        </w:rPr>
      </w:pPr>
      <w:r>
        <w:rPr>
          <w:rFonts w:ascii="Times New Roman" w:hAnsi="Times New Roman"/>
          <w:noProof/>
          <w:sz w:val="24"/>
          <w:szCs w:val="24"/>
        </w:rPr>
        <w:t>CORSIA</w:t>
      </w:r>
      <w:r>
        <w:rPr>
          <w:rFonts w:ascii="Times New Roman" w:hAnsi="Times New Roman"/>
          <w:noProof/>
          <w:sz w:val="24"/>
          <w:szCs w:val="24"/>
        </w:rPr>
        <w:tab/>
        <w:t>Régime de compensation et de réduction de carbone pour l’aviation internationale</w:t>
      </w:r>
    </w:p>
    <w:p w14:paraId="75DCB778" w14:textId="77777777" w:rsidR="00372F2A" w:rsidRPr="00DA11F1" w:rsidRDefault="00372F2A" w:rsidP="00C15C44">
      <w:pPr>
        <w:spacing w:after="0"/>
        <w:rPr>
          <w:rFonts w:ascii="Times New Roman" w:hAnsi="Times New Roman"/>
          <w:noProof/>
          <w:sz w:val="24"/>
          <w:szCs w:val="24"/>
        </w:rPr>
      </w:pPr>
      <w:r>
        <w:rPr>
          <w:rFonts w:ascii="Times New Roman" w:hAnsi="Times New Roman"/>
          <w:noProof/>
          <w:sz w:val="24"/>
          <w:szCs w:val="24"/>
        </w:rPr>
        <w:t>CP</w:t>
      </w:r>
      <w:r w:rsidRPr="00F43FC8">
        <w:rPr>
          <w:rFonts w:ascii="Times New Roman" w:hAnsi="Times New Roman"/>
          <w:noProof/>
          <w:sz w:val="24"/>
          <w:szCs w:val="24"/>
        </w:rPr>
        <w:t>2</w:t>
      </w:r>
      <w:r>
        <w:rPr>
          <w:rFonts w:ascii="Times New Roman" w:hAnsi="Times New Roman"/>
          <w:noProof/>
          <w:sz w:val="24"/>
          <w:szCs w:val="24"/>
        </w:rPr>
        <w:tab/>
      </w:r>
      <w:r>
        <w:rPr>
          <w:rFonts w:ascii="Times New Roman" w:hAnsi="Times New Roman"/>
          <w:noProof/>
          <w:sz w:val="24"/>
          <w:szCs w:val="24"/>
        </w:rPr>
        <w:tab/>
        <w:t>Deuxième période d’engagement du protocole de Kyoto</w:t>
      </w:r>
    </w:p>
    <w:p w14:paraId="2F775E5F" w14:textId="77777777" w:rsidR="00372F2A" w:rsidRPr="00DA11F1" w:rsidRDefault="00372F2A" w:rsidP="00C15C44">
      <w:pPr>
        <w:spacing w:after="0"/>
        <w:rPr>
          <w:rFonts w:ascii="Times New Roman" w:hAnsi="Times New Roman"/>
          <w:noProof/>
          <w:sz w:val="24"/>
          <w:szCs w:val="24"/>
        </w:rPr>
      </w:pPr>
      <w:r>
        <w:rPr>
          <w:rFonts w:ascii="Times New Roman" w:hAnsi="Times New Roman"/>
          <w:noProof/>
          <w:sz w:val="24"/>
          <w:szCs w:val="24"/>
        </w:rPr>
        <w:t>DEE</w:t>
      </w:r>
      <w:r>
        <w:rPr>
          <w:rFonts w:ascii="Times New Roman" w:hAnsi="Times New Roman"/>
          <w:noProof/>
          <w:sz w:val="24"/>
          <w:szCs w:val="24"/>
        </w:rPr>
        <w:tab/>
      </w:r>
      <w:r>
        <w:rPr>
          <w:rFonts w:ascii="Times New Roman" w:hAnsi="Times New Roman"/>
          <w:noProof/>
          <w:sz w:val="24"/>
          <w:szCs w:val="24"/>
        </w:rPr>
        <w:tab/>
        <w:t xml:space="preserve">Directive sur l’efficacité énergétique </w:t>
      </w:r>
    </w:p>
    <w:p w14:paraId="116C2C05" w14:textId="77777777" w:rsidR="00372F2A" w:rsidRPr="00DA11F1" w:rsidRDefault="00372F2A" w:rsidP="00C15C44">
      <w:pPr>
        <w:spacing w:after="0"/>
        <w:rPr>
          <w:rFonts w:ascii="Times New Roman" w:hAnsi="Times New Roman"/>
          <w:noProof/>
          <w:sz w:val="24"/>
          <w:szCs w:val="24"/>
        </w:rPr>
      </w:pPr>
      <w:r>
        <w:rPr>
          <w:rFonts w:ascii="Times New Roman" w:hAnsi="Times New Roman"/>
          <w:noProof/>
          <w:sz w:val="24"/>
          <w:szCs w:val="24"/>
        </w:rPr>
        <w:t>EA</w:t>
      </w:r>
      <w:r>
        <w:rPr>
          <w:rFonts w:ascii="Times New Roman" w:hAnsi="Times New Roman"/>
          <w:noProof/>
          <w:sz w:val="24"/>
          <w:szCs w:val="24"/>
        </w:rPr>
        <w:tab/>
      </w:r>
      <w:r>
        <w:rPr>
          <w:rFonts w:ascii="Times New Roman" w:hAnsi="Times New Roman"/>
          <w:noProof/>
          <w:sz w:val="24"/>
          <w:szCs w:val="24"/>
        </w:rPr>
        <w:tab/>
        <w:t>Coopération européenne pour l’accréditation</w:t>
      </w:r>
    </w:p>
    <w:p w14:paraId="7DE1768F" w14:textId="77777777" w:rsidR="00372F2A" w:rsidRPr="00DA11F1" w:rsidRDefault="00372F2A" w:rsidP="00C15C44">
      <w:pPr>
        <w:spacing w:after="0"/>
        <w:rPr>
          <w:rFonts w:ascii="Times New Roman" w:hAnsi="Times New Roman"/>
          <w:noProof/>
          <w:sz w:val="24"/>
          <w:szCs w:val="24"/>
        </w:rPr>
      </w:pPr>
      <w:r>
        <w:rPr>
          <w:rFonts w:ascii="Times New Roman" w:hAnsi="Times New Roman"/>
          <w:noProof/>
          <w:sz w:val="24"/>
          <w:szCs w:val="24"/>
        </w:rPr>
        <w:t>EEE</w:t>
      </w:r>
      <w:r>
        <w:rPr>
          <w:rFonts w:ascii="Times New Roman" w:hAnsi="Times New Roman"/>
          <w:noProof/>
          <w:sz w:val="24"/>
          <w:szCs w:val="24"/>
        </w:rPr>
        <w:tab/>
      </w:r>
      <w:r>
        <w:rPr>
          <w:rFonts w:ascii="Times New Roman" w:hAnsi="Times New Roman"/>
          <w:noProof/>
          <w:sz w:val="24"/>
          <w:szCs w:val="24"/>
        </w:rPr>
        <w:tab/>
        <w:t>Espace économique européen</w:t>
      </w:r>
    </w:p>
    <w:p w14:paraId="4D8E355F" w14:textId="77777777" w:rsidR="00372F2A" w:rsidRPr="00DA11F1" w:rsidRDefault="00372F2A" w:rsidP="00C15C44">
      <w:pPr>
        <w:spacing w:after="0"/>
        <w:rPr>
          <w:rFonts w:ascii="Times New Roman" w:hAnsi="Times New Roman"/>
          <w:noProof/>
          <w:sz w:val="24"/>
          <w:szCs w:val="24"/>
        </w:rPr>
      </w:pPr>
      <w:r>
        <w:rPr>
          <w:rFonts w:ascii="Times New Roman" w:hAnsi="Times New Roman"/>
          <w:noProof/>
          <w:sz w:val="24"/>
          <w:szCs w:val="24"/>
        </w:rPr>
        <w:t>EEX</w:t>
      </w:r>
      <w:r>
        <w:rPr>
          <w:rFonts w:ascii="Times New Roman" w:hAnsi="Times New Roman"/>
          <w:noProof/>
          <w:sz w:val="24"/>
          <w:szCs w:val="24"/>
        </w:rPr>
        <w:tab/>
      </w:r>
      <w:r>
        <w:rPr>
          <w:rFonts w:ascii="Times New Roman" w:hAnsi="Times New Roman"/>
          <w:noProof/>
          <w:sz w:val="24"/>
          <w:szCs w:val="24"/>
        </w:rPr>
        <w:tab/>
        <w:t>European Energy Exchange (Bourse européenne de l’énergie)</w:t>
      </w:r>
    </w:p>
    <w:p w14:paraId="63A26D3A" w14:textId="77777777" w:rsidR="00372F2A" w:rsidRPr="00DA11F1" w:rsidRDefault="00372F2A" w:rsidP="00C15C44">
      <w:pPr>
        <w:spacing w:after="0"/>
        <w:rPr>
          <w:rFonts w:ascii="Times New Roman" w:hAnsi="Times New Roman"/>
          <w:noProof/>
          <w:sz w:val="24"/>
          <w:szCs w:val="24"/>
        </w:rPr>
      </w:pPr>
      <w:r>
        <w:rPr>
          <w:rFonts w:ascii="Times New Roman" w:hAnsi="Times New Roman"/>
          <w:noProof/>
          <w:sz w:val="24"/>
          <w:szCs w:val="24"/>
        </w:rPr>
        <w:t>éq CO</w:t>
      </w:r>
      <w:r w:rsidRPr="00F43FC8">
        <w:rPr>
          <w:rFonts w:ascii="Times New Roman" w:hAnsi="Times New Roman"/>
          <w:noProof/>
          <w:sz w:val="24"/>
          <w:szCs w:val="24"/>
          <w:vertAlign w:val="subscript"/>
        </w:rPr>
        <w:t>2</w:t>
      </w:r>
      <w:r>
        <w:rPr>
          <w:rFonts w:ascii="Times New Roman" w:hAnsi="Times New Roman"/>
          <w:noProof/>
          <w:sz w:val="24"/>
          <w:szCs w:val="24"/>
        </w:rPr>
        <w:tab/>
      </w:r>
      <w:r>
        <w:rPr>
          <w:rFonts w:ascii="Times New Roman" w:hAnsi="Times New Roman"/>
          <w:noProof/>
          <w:sz w:val="24"/>
          <w:szCs w:val="24"/>
        </w:rPr>
        <w:tab/>
        <w:t>Équivalent dioxyde de carbone</w:t>
      </w:r>
    </w:p>
    <w:p w14:paraId="6945439A" w14:textId="77777777" w:rsidR="00372F2A" w:rsidRPr="00DA11F1" w:rsidRDefault="00372F2A" w:rsidP="00C15C44">
      <w:pPr>
        <w:spacing w:after="0"/>
        <w:rPr>
          <w:rFonts w:ascii="Times New Roman" w:hAnsi="Times New Roman"/>
          <w:noProof/>
          <w:sz w:val="24"/>
          <w:szCs w:val="24"/>
        </w:rPr>
      </w:pPr>
      <w:r>
        <w:rPr>
          <w:rFonts w:ascii="Times New Roman" w:hAnsi="Times New Roman"/>
          <w:noProof/>
          <w:sz w:val="24"/>
          <w:szCs w:val="24"/>
        </w:rPr>
        <w:t>EU-</w:t>
      </w:r>
      <w:r w:rsidRPr="00F43FC8">
        <w:rPr>
          <w:rFonts w:ascii="Times New Roman" w:hAnsi="Times New Roman"/>
          <w:noProof/>
          <w:sz w:val="24"/>
          <w:szCs w:val="24"/>
        </w:rPr>
        <w:t>27</w:t>
      </w:r>
      <w:r>
        <w:rPr>
          <w:rFonts w:ascii="Times New Roman" w:hAnsi="Times New Roman"/>
          <w:noProof/>
          <w:sz w:val="24"/>
          <w:szCs w:val="24"/>
        </w:rPr>
        <w:tab/>
      </w:r>
      <w:r>
        <w:rPr>
          <w:rFonts w:ascii="Times New Roman" w:hAnsi="Times New Roman"/>
          <w:noProof/>
          <w:sz w:val="24"/>
          <w:szCs w:val="24"/>
        </w:rPr>
        <w:tab/>
        <w:t>États membres de l’Union européenne</w:t>
      </w:r>
    </w:p>
    <w:p w14:paraId="213F5C9D" w14:textId="77777777" w:rsidR="00372F2A" w:rsidRPr="00DA11F1" w:rsidRDefault="00372F2A" w:rsidP="00C15C44">
      <w:pPr>
        <w:spacing w:after="0"/>
        <w:rPr>
          <w:rFonts w:ascii="Times New Roman" w:hAnsi="Times New Roman"/>
          <w:noProof/>
          <w:sz w:val="24"/>
          <w:szCs w:val="24"/>
        </w:rPr>
      </w:pPr>
      <w:r>
        <w:rPr>
          <w:rFonts w:ascii="Times New Roman" w:hAnsi="Times New Roman"/>
          <w:noProof/>
          <w:sz w:val="24"/>
          <w:szCs w:val="24"/>
        </w:rPr>
        <w:t>EUTL</w:t>
      </w:r>
      <w:r>
        <w:rPr>
          <w:rFonts w:ascii="Times New Roman" w:hAnsi="Times New Roman"/>
          <w:noProof/>
          <w:sz w:val="24"/>
          <w:szCs w:val="24"/>
        </w:rPr>
        <w:tab/>
      </w:r>
      <w:r>
        <w:rPr>
          <w:rFonts w:ascii="Times New Roman" w:hAnsi="Times New Roman"/>
          <w:noProof/>
          <w:sz w:val="24"/>
          <w:szCs w:val="24"/>
        </w:rPr>
        <w:tab/>
        <w:t>Journal des transactions de l’Union européenne</w:t>
      </w:r>
    </w:p>
    <w:p w14:paraId="16D0BB92" w14:textId="77777777" w:rsidR="00372F2A" w:rsidRPr="00DA11F1" w:rsidRDefault="00372F2A" w:rsidP="00C15C44">
      <w:pPr>
        <w:spacing w:after="0"/>
        <w:rPr>
          <w:rFonts w:ascii="Times New Roman" w:hAnsi="Times New Roman"/>
          <w:noProof/>
          <w:sz w:val="24"/>
          <w:szCs w:val="24"/>
        </w:rPr>
      </w:pPr>
      <w:r>
        <w:rPr>
          <w:rFonts w:ascii="Times New Roman" w:hAnsi="Times New Roman"/>
          <w:noProof/>
          <w:sz w:val="24"/>
          <w:szCs w:val="24"/>
        </w:rPr>
        <w:t xml:space="preserve">GES  </w:t>
      </w:r>
      <w:r>
        <w:rPr>
          <w:rFonts w:ascii="Times New Roman" w:hAnsi="Times New Roman"/>
          <w:noProof/>
          <w:sz w:val="24"/>
          <w:szCs w:val="24"/>
        </w:rPr>
        <w:tab/>
      </w:r>
      <w:r>
        <w:rPr>
          <w:rFonts w:ascii="Times New Roman" w:hAnsi="Times New Roman"/>
          <w:noProof/>
          <w:sz w:val="24"/>
          <w:szCs w:val="24"/>
        </w:rPr>
        <w:tab/>
        <w:t>Gaz à effet de serre</w:t>
      </w:r>
    </w:p>
    <w:p w14:paraId="60B87CEB" w14:textId="77777777" w:rsidR="00372F2A" w:rsidRPr="00312334" w:rsidRDefault="00372F2A" w:rsidP="00C15C44">
      <w:pPr>
        <w:spacing w:after="0"/>
        <w:rPr>
          <w:rFonts w:ascii="Times New Roman" w:hAnsi="Times New Roman"/>
          <w:noProof/>
          <w:sz w:val="24"/>
          <w:szCs w:val="24"/>
        </w:rPr>
      </w:pPr>
      <w:r>
        <w:rPr>
          <w:rFonts w:ascii="Times New Roman" w:hAnsi="Times New Roman"/>
          <w:noProof/>
          <w:sz w:val="24"/>
          <w:szCs w:val="24"/>
        </w:rPr>
        <w:t>ICE</w:t>
      </w:r>
      <w:r>
        <w:rPr>
          <w:rFonts w:ascii="Times New Roman" w:hAnsi="Times New Roman"/>
          <w:noProof/>
          <w:sz w:val="24"/>
          <w:szCs w:val="24"/>
        </w:rPr>
        <w:tab/>
      </w:r>
      <w:r>
        <w:rPr>
          <w:rFonts w:ascii="Times New Roman" w:hAnsi="Times New Roman"/>
          <w:noProof/>
          <w:sz w:val="24"/>
          <w:szCs w:val="24"/>
        </w:rPr>
        <w:tab/>
        <w:t xml:space="preserve">InterContinental Exchange Futures Europe </w:t>
      </w:r>
    </w:p>
    <w:p w14:paraId="209D3C02" w14:textId="77777777" w:rsidR="00372F2A" w:rsidRPr="00DA11F1" w:rsidRDefault="00372F2A" w:rsidP="00C15C44">
      <w:pPr>
        <w:spacing w:after="0"/>
        <w:rPr>
          <w:rFonts w:ascii="Times New Roman" w:hAnsi="Times New Roman"/>
          <w:noProof/>
          <w:sz w:val="24"/>
          <w:szCs w:val="24"/>
        </w:rPr>
      </w:pPr>
      <w:r>
        <w:rPr>
          <w:rFonts w:ascii="Times New Roman" w:hAnsi="Times New Roman"/>
          <w:noProof/>
          <w:sz w:val="24"/>
          <w:szCs w:val="24"/>
        </w:rPr>
        <w:t xml:space="preserve">InnovFin EDP Projets de démonstration liés à l’énergie d’InnovFin </w:t>
      </w:r>
    </w:p>
    <w:p w14:paraId="4B13DD23" w14:textId="77777777" w:rsidR="00372F2A" w:rsidRPr="00DA11F1" w:rsidRDefault="00372F2A" w:rsidP="00C15C44">
      <w:pPr>
        <w:spacing w:after="0"/>
        <w:rPr>
          <w:rFonts w:ascii="Times New Roman" w:eastAsia="Times New Roman" w:hAnsi="Times New Roman"/>
          <w:noProof/>
          <w:sz w:val="24"/>
          <w:szCs w:val="24"/>
        </w:rPr>
      </w:pPr>
      <w:r>
        <w:rPr>
          <w:rFonts w:ascii="Times New Roman" w:hAnsi="Times New Roman"/>
          <w:noProof/>
          <w:sz w:val="24"/>
          <w:szCs w:val="24"/>
        </w:rPr>
        <w:t>IP MIE</w:t>
      </w:r>
      <w:r>
        <w:rPr>
          <w:rFonts w:ascii="Times New Roman" w:hAnsi="Times New Roman"/>
          <w:noProof/>
          <w:sz w:val="24"/>
          <w:szCs w:val="24"/>
        </w:rPr>
        <w:tab/>
        <w:t>Instrument de prêt du mécanisme pour l’interconnexion en Europe</w:t>
      </w:r>
    </w:p>
    <w:p w14:paraId="54175B55" w14:textId="77777777" w:rsidR="00372F2A" w:rsidRPr="00DA11F1" w:rsidRDefault="00372F2A" w:rsidP="00C15C44">
      <w:pPr>
        <w:spacing w:after="0"/>
        <w:rPr>
          <w:rFonts w:ascii="Times New Roman" w:hAnsi="Times New Roman"/>
          <w:noProof/>
          <w:sz w:val="24"/>
          <w:szCs w:val="24"/>
        </w:rPr>
      </w:pPr>
      <w:r>
        <w:rPr>
          <w:rFonts w:ascii="Times New Roman" w:hAnsi="Times New Roman"/>
          <w:noProof/>
          <w:sz w:val="24"/>
          <w:szCs w:val="24"/>
        </w:rPr>
        <w:t>MiFID</w:t>
      </w:r>
      <w:r w:rsidRPr="00F43FC8">
        <w:rPr>
          <w:rFonts w:ascii="Times New Roman" w:hAnsi="Times New Roman"/>
          <w:noProof/>
          <w:sz w:val="24"/>
          <w:szCs w:val="24"/>
        </w:rPr>
        <w:t>2</w:t>
      </w:r>
      <w:r>
        <w:rPr>
          <w:rFonts w:ascii="Times New Roman" w:hAnsi="Times New Roman"/>
          <w:noProof/>
          <w:sz w:val="24"/>
          <w:szCs w:val="24"/>
        </w:rPr>
        <w:tab/>
        <w:t>Directive concernant les marchés d’instruments financiers</w:t>
      </w:r>
    </w:p>
    <w:p w14:paraId="1F17C0FF" w14:textId="77777777" w:rsidR="00372F2A" w:rsidRPr="00DA11F1" w:rsidRDefault="00372F2A" w:rsidP="00C15C44">
      <w:pPr>
        <w:spacing w:after="0"/>
        <w:rPr>
          <w:rFonts w:ascii="Times New Roman" w:hAnsi="Times New Roman"/>
          <w:noProof/>
          <w:sz w:val="24"/>
          <w:szCs w:val="24"/>
        </w:rPr>
      </w:pPr>
      <w:r>
        <w:rPr>
          <w:rFonts w:ascii="Times New Roman" w:hAnsi="Times New Roman"/>
          <w:noProof/>
          <w:sz w:val="24"/>
          <w:szCs w:val="24"/>
        </w:rPr>
        <w:t>MiFIR</w:t>
      </w:r>
      <w:r>
        <w:rPr>
          <w:rFonts w:ascii="Times New Roman" w:hAnsi="Times New Roman"/>
          <w:noProof/>
          <w:sz w:val="24"/>
          <w:szCs w:val="24"/>
        </w:rPr>
        <w:tab/>
      </w:r>
      <w:r>
        <w:rPr>
          <w:rFonts w:ascii="Times New Roman" w:hAnsi="Times New Roman"/>
          <w:noProof/>
          <w:sz w:val="24"/>
          <w:szCs w:val="24"/>
        </w:rPr>
        <w:tab/>
        <w:t>Règlement concernant les marchés d’instruments financiers</w:t>
      </w:r>
    </w:p>
    <w:p w14:paraId="6D53A670" w14:textId="77777777" w:rsidR="00372F2A" w:rsidRPr="00DA11F1" w:rsidRDefault="00372F2A" w:rsidP="00C15C44">
      <w:pPr>
        <w:spacing w:after="0"/>
        <w:rPr>
          <w:rFonts w:ascii="Times New Roman" w:hAnsi="Times New Roman"/>
          <w:noProof/>
          <w:sz w:val="24"/>
          <w:szCs w:val="24"/>
        </w:rPr>
      </w:pPr>
      <w:r>
        <w:rPr>
          <w:rFonts w:ascii="Times New Roman" w:hAnsi="Times New Roman"/>
          <w:noProof/>
          <w:sz w:val="24"/>
          <w:szCs w:val="24"/>
        </w:rPr>
        <w:t>N</w:t>
      </w:r>
      <w:r w:rsidRPr="00F43FC8">
        <w:rPr>
          <w:rFonts w:ascii="Times New Roman" w:hAnsi="Times New Roman"/>
          <w:noProof/>
          <w:sz w:val="24"/>
          <w:szCs w:val="24"/>
          <w:vertAlign w:val="subscript"/>
        </w:rPr>
        <w:t>2</w:t>
      </w:r>
      <w:r>
        <w:rPr>
          <w:rFonts w:ascii="Times New Roman" w:hAnsi="Times New Roman"/>
          <w:noProof/>
          <w:sz w:val="24"/>
          <w:szCs w:val="24"/>
        </w:rPr>
        <w:t>O</w:t>
      </w:r>
      <w:r>
        <w:rPr>
          <w:rFonts w:ascii="Times New Roman" w:hAnsi="Times New Roman"/>
          <w:noProof/>
          <w:sz w:val="24"/>
          <w:szCs w:val="24"/>
        </w:rPr>
        <w:tab/>
      </w:r>
      <w:r>
        <w:rPr>
          <w:rFonts w:ascii="Times New Roman" w:hAnsi="Times New Roman"/>
          <w:noProof/>
          <w:sz w:val="24"/>
          <w:szCs w:val="24"/>
        </w:rPr>
        <w:tab/>
        <w:t>Protoxyde d’azote</w:t>
      </w:r>
    </w:p>
    <w:p w14:paraId="3D25128B" w14:textId="77777777" w:rsidR="00372F2A" w:rsidRPr="00DA11F1" w:rsidRDefault="00372F2A" w:rsidP="00C15C44">
      <w:pPr>
        <w:spacing w:after="0"/>
        <w:rPr>
          <w:rFonts w:ascii="Times New Roman" w:hAnsi="Times New Roman"/>
          <w:noProof/>
          <w:sz w:val="24"/>
          <w:szCs w:val="24"/>
        </w:rPr>
      </w:pPr>
      <w:r>
        <w:rPr>
          <w:rFonts w:ascii="Times New Roman" w:hAnsi="Times New Roman"/>
          <w:noProof/>
          <w:sz w:val="24"/>
          <w:szCs w:val="24"/>
        </w:rPr>
        <w:t>NER</w:t>
      </w:r>
      <w:r>
        <w:rPr>
          <w:rFonts w:ascii="Times New Roman" w:hAnsi="Times New Roman"/>
          <w:noProof/>
          <w:sz w:val="24"/>
          <w:szCs w:val="24"/>
        </w:rPr>
        <w:tab/>
      </w:r>
      <w:r>
        <w:rPr>
          <w:rFonts w:ascii="Times New Roman" w:hAnsi="Times New Roman"/>
          <w:noProof/>
          <w:sz w:val="24"/>
          <w:szCs w:val="24"/>
        </w:rPr>
        <w:tab/>
        <w:t>Réserve destinée aux nouveaux entrants</w:t>
      </w:r>
    </w:p>
    <w:p w14:paraId="52454213" w14:textId="77777777" w:rsidR="00372F2A" w:rsidRPr="00DA11F1" w:rsidRDefault="00372F2A" w:rsidP="00C15C44">
      <w:pPr>
        <w:spacing w:after="0"/>
        <w:rPr>
          <w:rFonts w:ascii="Times New Roman" w:hAnsi="Times New Roman"/>
          <w:noProof/>
          <w:sz w:val="24"/>
          <w:szCs w:val="24"/>
        </w:rPr>
      </w:pPr>
      <w:r>
        <w:rPr>
          <w:rFonts w:ascii="Times New Roman" w:hAnsi="Times New Roman"/>
          <w:noProof/>
          <w:sz w:val="24"/>
          <w:szCs w:val="24"/>
        </w:rPr>
        <w:t>NPR</w:t>
      </w:r>
      <w:r>
        <w:rPr>
          <w:rFonts w:ascii="Times New Roman" w:hAnsi="Times New Roman"/>
          <w:noProof/>
          <w:sz w:val="24"/>
          <w:szCs w:val="24"/>
        </w:rPr>
        <w:tab/>
      </w:r>
      <w:r>
        <w:rPr>
          <w:rFonts w:ascii="Times New Roman" w:hAnsi="Times New Roman"/>
          <w:noProof/>
          <w:sz w:val="24"/>
          <w:szCs w:val="24"/>
        </w:rPr>
        <w:tab/>
        <w:t>Normes et pratiques recommandées du CORSIA</w:t>
      </w:r>
    </w:p>
    <w:p w14:paraId="4604BC1A" w14:textId="77777777" w:rsidR="00372F2A" w:rsidRPr="00DA11F1" w:rsidRDefault="00372F2A" w:rsidP="00C15C44">
      <w:pPr>
        <w:spacing w:after="0"/>
        <w:rPr>
          <w:rFonts w:ascii="Times New Roman" w:hAnsi="Times New Roman"/>
          <w:noProof/>
          <w:sz w:val="24"/>
          <w:szCs w:val="24"/>
        </w:rPr>
      </w:pPr>
      <w:r>
        <w:rPr>
          <w:rFonts w:ascii="Times New Roman" w:hAnsi="Times New Roman"/>
          <w:noProof/>
          <w:sz w:val="24"/>
          <w:szCs w:val="24"/>
        </w:rPr>
        <w:t>NTQC</w:t>
      </w:r>
      <w:r>
        <w:rPr>
          <w:rFonts w:ascii="Times New Roman" w:hAnsi="Times New Roman"/>
          <w:noProof/>
          <w:sz w:val="24"/>
          <w:szCs w:val="24"/>
        </w:rPr>
        <w:tab/>
      </w:r>
      <w:r>
        <w:rPr>
          <w:rFonts w:ascii="Times New Roman" w:hAnsi="Times New Roman"/>
          <w:noProof/>
          <w:sz w:val="24"/>
          <w:szCs w:val="24"/>
        </w:rPr>
        <w:tab/>
        <w:t>Nombre total de quotas en circulation</w:t>
      </w:r>
    </w:p>
    <w:p w14:paraId="3EB10C2F" w14:textId="77777777" w:rsidR="00372F2A" w:rsidRPr="00312334" w:rsidRDefault="00372F2A" w:rsidP="00C15C44">
      <w:pPr>
        <w:spacing w:after="0"/>
        <w:rPr>
          <w:rFonts w:ascii="Times New Roman" w:hAnsi="Times New Roman"/>
          <w:noProof/>
          <w:sz w:val="24"/>
          <w:szCs w:val="24"/>
        </w:rPr>
      </w:pPr>
      <w:r>
        <w:rPr>
          <w:rFonts w:ascii="Times New Roman" w:hAnsi="Times New Roman"/>
          <w:noProof/>
          <w:sz w:val="24"/>
          <w:szCs w:val="24"/>
        </w:rPr>
        <w:t>OACI</w:t>
      </w:r>
      <w:r>
        <w:rPr>
          <w:rFonts w:ascii="Times New Roman" w:hAnsi="Times New Roman"/>
          <w:noProof/>
          <w:sz w:val="24"/>
          <w:szCs w:val="24"/>
        </w:rPr>
        <w:tab/>
      </w:r>
      <w:r>
        <w:rPr>
          <w:rFonts w:ascii="Times New Roman" w:hAnsi="Times New Roman"/>
          <w:noProof/>
          <w:sz w:val="24"/>
          <w:szCs w:val="24"/>
        </w:rPr>
        <w:tab/>
        <w:t>Organisation de l’aviation civile internationale</w:t>
      </w:r>
    </w:p>
    <w:p w14:paraId="292D3FA4" w14:textId="77777777" w:rsidR="00372F2A" w:rsidRPr="00DA11F1" w:rsidRDefault="00372F2A" w:rsidP="00C15C44">
      <w:pPr>
        <w:spacing w:after="0"/>
        <w:rPr>
          <w:rFonts w:ascii="Times New Roman" w:hAnsi="Times New Roman"/>
          <w:noProof/>
          <w:sz w:val="24"/>
          <w:szCs w:val="24"/>
        </w:rPr>
      </w:pPr>
      <w:r>
        <w:rPr>
          <w:rFonts w:ascii="Times New Roman" w:hAnsi="Times New Roman"/>
          <w:noProof/>
          <w:sz w:val="24"/>
          <w:szCs w:val="24"/>
        </w:rPr>
        <w:t>OTC</w:t>
      </w:r>
      <w:r>
        <w:rPr>
          <w:rFonts w:ascii="Times New Roman" w:hAnsi="Times New Roman"/>
          <w:noProof/>
          <w:sz w:val="24"/>
          <w:szCs w:val="24"/>
        </w:rPr>
        <w:tab/>
      </w:r>
      <w:r>
        <w:rPr>
          <w:rFonts w:ascii="Times New Roman" w:hAnsi="Times New Roman"/>
          <w:noProof/>
          <w:sz w:val="24"/>
          <w:szCs w:val="24"/>
        </w:rPr>
        <w:tab/>
        <w:t>De gré à gré (OTC)</w:t>
      </w:r>
    </w:p>
    <w:p w14:paraId="47EF44E1" w14:textId="77777777" w:rsidR="00372F2A" w:rsidRPr="00DA11F1" w:rsidRDefault="00372F2A" w:rsidP="00C15C44">
      <w:pPr>
        <w:spacing w:after="0"/>
        <w:rPr>
          <w:rFonts w:ascii="Times New Roman" w:hAnsi="Times New Roman"/>
          <w:noProof/>
          <w:sz w:val="24"/>
          <w:szCs w:val="24"/>
        </w:rPr>
      </w:pPr>
      <w:r>
        <w:rPr>
          <w:rFonts w:ascii="Times New Roman" w:hAnsi="Times New Roman"/>
          <w:noProof/>
          <w:sz w:val="24"/>
          <w:szCs w:val="24"/>
        </w:rPr>
        <w:t>PFC</w:t>
      </w:r>
      <w:r>
        <w:rPr>
          <w:rFonts w:ascii="Times New Roman" w:hAnsi="Times New Roman"/>
          <w:noProof/>
          <w:sz w:val="24"/>
          <w:szCs w:val="24"/>
        </w:rPr>
        <w:tab/>
      </w:r>
      <w:r>
        <w:rPr>
          <w:rFonts w:ascii="Times New Roman" w:hAnsi="Times New Roman"/>
          <w:noProof/>
          <w:sz w:val="24"/>
          <w:szCs w:val="24"/>
        </w:rPr>
        <w:tab/>
        <w:t>Hydrocarbures perfluorés</w:t>
      </w:r>
    </w:p>
    <w:p w14:paraId="41323E76" w14:textId="77777777" w:rsidR="00372F2A" w:rsidRPr="00DA11F1" w:rsidRDefault="00372F2A" w:rsidP="00C15C44">
      <w:pPr>
        <w:spacing w:after="0"/>
        <w:rPr>
          <w:rFonts w:ascii="Times New Roman" w:hAnsi="Times New Roman"/>
          <w:noProof/>
          <w:sz w:val="24"/>
          <w:szCs w:val="24"/>
        </w:rPr>
      </w:pPr>
      <w:r>
        <w:rPr>
          <w:rFonts w:ascii="Times New Roman" w:hAnsi="Times New Roman"/>
          <w:noProof/>
          <w:sz w:val="24"/>
          <w:szCs w:val="24"/>
        </w:rPr>
        <w:t>PNEC</w:t>
      </w:r>
      <w:r>
        <w:rPr>
          <w:rFonts w:ascii="Times New Roman" w:hAnsi="Times New Roman"/>
          <w:noProof/>
          <w:sz w:val="24"/>
          <w:szCs w:val="24"/>
        </w:rPr>
        <w:tab/>
      </w:r>
      <w:r>
        <w:rPr>
          <w:rFonts w:ascii="Times New Roman" w:hAnsi="Times New Roman"/>
          <w:noProof/>
          <w:sz w:val="24"/>
          <w:szCs w:val="24"/>
        </w:rPr>
        <w:tab/>
        <w:t>Plans nationaux en matière d’énergie et de climat</w:t>
      </w:r>
    </w:p>
    <w:p w14:paraId="3F92FCB9" w14:textId="77777777" w:rsidR="00372F2A" w:rsidRPr="00DA11F1" w:rsidRDefault="00372F2A" w:rsidP="00C15C44">
      <w:pPr>
        <w:spacing w:after="0"/>
        <w:rPr>
          <w:rFonts w:ascii="Times New Roman" w:hAnsi="Times New Roman"/>
          <w:noProof/>
          <w:sz w:val="24"/>
          <w:szCs w:val="24"/>
        </w:rPr>
      </w:pPr>
      <w:r>
        <w:rPr>
          <w:rFonts w:ascii="Times New Roman" w:hAnsi="Times New Roman"/>
          <w:noProof/>
          <w:sz w:val="24"/>
          <w:szCs w:val="24"/>
        </w:rPr>
        <w:t>RAM</w:t>
      </w:r>
      <w:r>
        <w:rPr>
          <w:rFonts w:ascii="Times New Roman" w:hAnsi="Times New Roman"/>
          <w:noProof/>
          <w:sz w:val="24"/>
          <w:szCs w:val="24"/>
        </w:rPr>
        <w:tab/>
      </w:r>
      <w:r>
        <w:rPr>
          <w:rFonts w:ascii="Times New Roman" w:hAnsi="Times New Roman"/>
          <w:noProof/>
          <w:sz w:val="24"/>
          <w:szCs w:val="24"/>
        </w:rPr>
        <w:tab/>
        <w:t>Règlement sur les abus de marché</w:t>
      </w:r>
    </w:p>
    <w:p w14:paraId="04F62678" w14:textId="77777777" w:rsidR="00372F2A" w:rsidRPr="00DA11F1" w:rsidRDefault="00372F2A" w:rsidP="00C15C44">
      <w:pPr>
        <w:spacing w:after="0"/>
        <w:rPr>
          <w:rFonts w:ascii="Times New Roman" w:hAnsi="Times New Roman"/>
          <w:noProof/>
          <w:sz w:val="24"/>
          <w:szCs w:val="24"/>
        </w:rPr>
      </w:pPr>
      <w:r>
        <w:rPr>
          <w:rFonts w:ascii="Times New Roman" w:hAnsi="Times New Roman"/>
          <w:noProof/>
          <w:sz w:val="24"/>
          <w:szCs w:val="24"/>
        </w:rPr>
        <w:t>RAV</w:t>
      </w:r>
      <w:r>
        <w:rPr>
          <w:rFonts w:ascii="Times New Roman" w:hAnsi="Times New Roman"/>
          <w:noProof/>
          <w:sz w:val="24"/>
          <w:szCs w:val="24"/>
        </w:rPr>
        <w:tab/>
      </w:r>
      <w:r>
        <w:rPr>
          <w:rFonts w:ascii="Times New Roman" w:hAnsi="Times New Roman"/>
          <w:noProof/>
          <w:sz w:val="24"/>
          <w:szCs w:val="24"/>
        </w:rPr>
        <w:tab/>
        <w:t>Règlement relatif à l’accréditation et à la vérification</w:t>
      </w:r>
    </w:p>
    <w:p w14:paraId="722E743A" w14:textId="77777777" w:rsidR="00372F2A" w:rsidRPr="00DA11F1" w:rsidRDefault="00372F2A" w:rsidP="00C15C44">
      <w:pPr>
        <w:spacing w:after="0"/>
        <w:rPr>
          <w:rFonts w:ascii="Times New Roman" w:hAnsi="Times New Roman"/>
          <w:noProof/>
          <w:sz w:val="24"/>
          <w:szCs w:val="24"/>
        </w:rPr>
      </w:pPr>
      <w:r>
        <w:rPr>
          <w:rFonts w:ascii="Times New Roman" w:hAnsi="Times New Roman"/>
          <w:noProof/>
          <w:sz w:val="24"/>
          <w:szCs w:val="24"/>
        </w:rPr>
        <w:t>RSD</w:t>
      </w:r>
      <w:r>
        <w:rPr>
          <w:rFonts w:ascii="Times New Roman" w:hAnsi="Times New Roman"/>
          <w:noProof/>
          <w:sz w:val="24"/>
          <w:szCs w:val="24"/>
        </w:rPr>
        <w:tab/>
      </w:r>
      <w:r>
        <w:rPr>
          <w:rFonts w:ascii="Times New Roman" w:hAnsi="Times New Roman"/>
          <w:noProof/>
          <w:sz w:val="24"/>
          <w:szCs w:val="24"/>
        </w:rPr>
        <w:tab/>
        <w:t>Règlement relatif à la surveillance et à la déclaration</w:t>
      </w:r>
    </w:p>
    <w:p w14:paraId="7B2DBC78" w14:textId="77777777" w:rsidR="00372F2A" w:rsidRPr="00DA11F1" w:rsidRDefault="00372F2A" w:rsidP="00C15C44">
      <w:pPr>
        <w:spacing w:after="0"/>
        <w:rPr>
          <w:rFonts w:ascii="Times New Roman" w:hAnsi="Times New Roman"/>
          <w:noProof/>
          <w:sz w:val="24"/>
          <w:szCs w:val="24"/>
        </w:rPr>
      </w:pPr>
      <w:r>
        <w:rPr>
          <w:rFonts w:ascii="Times New Roman" w:hAnsi="Times New Roman"/>
          <w:noProof/>
          <w:sz w:val="24"/>
          <w:szCs w:val="24"/>
        </w:rPr>
        <w:t xml:space="preserve">RSM  </w:t>
      </w:r>
      <w:r>
        <w:rPr>
          <w:rFonts w:ascii="Times New Roman" w:hAnsi="Times New Roman"/>
          <w:noProof/>
          <w:sz w:val="24"/>
          <w:szCs w:val="24"/>
        </w:rPr>
        <w:tab/>
      </w:r>
      <w:r>
        <w:rPr>
          <w:rFonts w:ascii="Times New Roman" w:hAnsi="Times New Roman"/>
          <w:noProof/>
          <w:sz w:val="24"/>
          <w:szCs w:val="24"/>
        </w:rPr>
        <w:tab/>
        <w:t>Réserve de stabilité du marché</w:t>
      </w:r>
    </w:p>
    <w:p w14:paraId="24A43AE9" w14:textId="77777777" w:rsidR="00372F2A" w:rsidRPr="00DA11F1" w:rsidRDefault="00372F2A" w:rsidP="00C15C44">
      <w:pPr>
        <w:spacing w:after="0"/>
        <w:rPr>
          <w:rFonts w:ascii="Times New Roman" w:hAnsi="Times New Roman"/>
          <w:noProof/>
          <w:sz w:val="24"/>
          <w:szCs w:val="24"/>
        </w:rPr>
      </w:pPr>
      <w:r>
        <w:rPr>
          <w:rFonts w:ascii="Times New Roman" w:hAnsi="Times New Roman"/>
          <w:noProof/>
          <w:sz w:val="24"/>
          <w:szCs w:val="24"/>
        </w:rPr>
        <w:t>SEQE-UE</w:t>
      </w:r>
      <w:r>
        <w:rPr>
          <w:rFonts w:ascii="Times New Roman" w:hAnsi="Times New Roman"/>
          <w:noProof/>
          <w:sz w:val="24"/>
          <w:szCs w:val="24"/>
        </w:rPr>
        <w:tab/>
        <w:t>Système d’échange de quotas d’émission de l’Union européenne</w:t>
      </w:r>
    </w:p>
    <w:p w14:paraId="4B74C51A" w14:textId="77777777" w:rsidR="00372F2A" w:rsidRPr="00DA11F1" w:rsidRDefault="00372F2A" w:rsidP="00C15C44">
      <w:pPr>
        <w:spacing w:after="0"/>
        <w:rPr>
          <w:rFonts w:ascii="Times New Roman" w:hAnsi="Times New Roman"/>
          <w:noProof/>
          <w:sz w:val="24"/>
          <w:szCs w:val="24"/>
        </w:rPr>
      </w:pPr>
      <w:r>
        <w:rPr>
          <w:rFonts w:ascii="Times New Roman" w:hAnsi="Times New Roman"/>
          <w:noProof/>
          <w:sz w:val="24"/>
          <w:szCs w:val="24"/>
        </w:rPr>
        <w:t>SMCE</w:t>
      </w:r>
      <w:r>
        <w:rPr>
          <w:rFonts w:ascii="Times New Roman" w:hAnsi="Times New Roman"/>
          <w:noProof/>
          <w:sz w:val="24"/>
          <w:szCs w:val="24"/>
        </w:rPr>
        <w:tab/>
      </w:r>
      <w:r>
        <w:rPr>
          <w:rFonts w:ascii="Times New Roman" w:hAnsi="Times New Roman"/>
          <w:noProof/>
          <w:sz w:val="24"/>
          <w:szCs w:val="24"/>
        </w:rPr>
        <w:tab/>
        <w:t>Systèmes de mesure continue des émissions</w:t>
      </w:r>
    </w:p>
    <w:p w14:paraId="59BA42B9" w14:textId="77777777" w:rsidR="00372F2A" w:rsidRPr="00DA11F1" w:rsidRDefault="00372F2A" w:rsidP="00C15C44">
      <w:pPr>
        <w:spacing w:after="0"/>
        <w:rPr>
          <w:rFonts w:ascii="Times New Roman" w:hAnsi="Times New Roman"/>
          <w:noProof/>
          <w:sz w:val="24"/>
          <w:szCs w:val="24"/>
        </w:rPr>
      </w:pPr>
      <w:r>
        <w:rPr>
          <w:rFonts w:ascii="Times New Roman" w:hAnsi="Times New Roman"/>
          <w:noProof/>
          <w:sz w:val="24"/>
          <w:szCs w:val="24"/>
        </w:rPr>
        <w:t>UK</w:t>
      </w:r>
      <w:r>
        <w:rPr>
          <w:rFonts w:ascii="Times New Roman" w:hAnsi="Times New Roman"/>
          <w:noProof/>
          <w:sz w:val="24"/>
          <w:szCs w:val="24"/>
        </w:rPr>
        <w:tab/>
      </w:r>
      <w:r>
        <w:rPr>
          <w:rFonts w:ascii="Times New Roman" w:hAnsi="Times New Roman"/>
          <w:noProof/>
          <w:sz w:val="24"/>
          <w:szCs w:val="24"/>
        </w:rPr>
        <w:tab/>
        <w:t>Royaume-Uni</w:t>
      </w:r>
    </w:p>
    <w:p w14:paraId="50F75FD7" w14:textId="77777777" w:rsidR="00131369" w:rsidRPr="00DA11F1" w:rsidRDefault="00131369">
      <w:pPr>
        <w:rPr>
          <w:rFonts w:ascii="Times New Roman" w:hAnsi="Times New Roman"/>
          <w:noProof/>
          <w:szCs w:val="24"/>
        </w:rPr>
      </w:pPr>
    </w:p>
    <w:p w14:paraId="387DBC7E" w14:textId="77777777" w:rsidR="00964E0B" w:rsidRPr="00DA11F1" w:rsidRDefault="00964E0B">
      <w:pPr>
        <w:rPr>
          <w:rFonts w:ascii="Times New Roman" w:eastAsia="Times New Roman" w:hAnsi="Times New Roman"/>
          <w:b/>
          <w:bCs/>
          <w:noProof/>
          <w:kern w:val="32"/>
          <w:sz w:val="24"/>
          <w:szCs w:val="32"/>
        </w:rPr>
      </w:pPr>
      <w:bookmarkStart w:id="4" w:name="_Toc490850418"/>
      <w:bookmarkStart w:id="5" w:name="_Toc519009671"/>
      <w:r>
        <w:rPr>
          <w:noProof/>
        </w:rPr>
        <w:br w:type="page"/>
      </w:r>
    </w:p>
    <w:p w14:paraId="7821B18D" w14:textId="640F42AC" w:rsidR="00131369" w:rsidRPr="00DA11F1" w:rsidRDefault="009B1524">
      <w:pPr>
        <w:pStyle w:val="Heading1"/>
        <w:rPr>
          <w:noProof/>
        </w:rPr>
      </w:pPr>
      <w:bookmarkStart w:id="6" w:name="_Toc89707757"/>
      <w:r w:rsidRPr="00F43FC8">
        <w:rPr>
          <w:noProof/>
        </w:rPr>
        <w:t>1</w:t>
      </w:r>
      <w:r>
        <w:rPr>
          <w:noProof/>
        </w:rPr>
        <w:t>. INTRODUCTIO</w:t>
      </w:r>
      <w:bookmarkEnd w:id="4"/>
      <w:bookmarkEnd w:id="5"/>
      <w:r>
        <w:rPr>
          <w:noProof/>
        </w:rPr>
        <w:t>N</w:t>
      </w:r>
      <w:bookmarkEnd w:id="6"/>
    </w:p>
    <w:p w14:paraId="3A2EC02D" w14:textId="42E922D2" w:rsidR="00287718" w:rsidRPr="00DA11F1" w:rsidRDefault="0028370A" w:rsidP="00EE2F8D">
      <w:pPr>
        <w:jc w:val="both"/>
        <w:rPr>
          <w:rFonts w:ascii="Times New Roman" w:hAnsi="Times New Roman"/>
          <w:noProof/>
          <w:sz w:val="24"/>
          <w:szCs w:val="24"/>
        </w:rPr>
      </w:pPr>
      <w:bookmarkStart w:id="7" w:name="_Toc427931123"/>
      <w:bookmarkEnd w:id="7"/>
      <w:r>
        <w:rPr>
          <w:rFonts w:ascii="Times New Roman" w:hAnsi="Times New Roman"/>
          <w:noProof/>
          <w:sz w:val="24"/>
          <w:szCs w:val="24"/>
        </w:rPr>
        <w:t>Le système d’échange de quotas d’émission de l’Union européenne (SEQE-UE) est l’une des pierres angulaires de la stratégie de l’Union visant à réduire les émissions de gaz à effet de serre (GES) depuis </w:t>
      </w:r>
      <w:r w:rsidRPr="00F43FC8">
        <w:rPr>
          <w:rFonts w:ascii="Times New Roman" w:hAnsi="Times New Roman"/>
          <w:noProof/>
          <w:sz w:val="24"/>
          <w:szCs w:val="24"/>
        </w:rPr>
        <w:t>2005</w:t>
      </w:r>
      <w:r>
        <w:rPr>
          <w:rFonts w:ascii="Times New Roman" w:hAnsi="Times New Roman"/>
          <w:noProof/>
          <w:sz w:val="24"/>
          <w:szCs w:val="24"/>
        </w:rPr>
        <w:t>. Depuis son lancement en </w:t>
      </w:r>
      <w:r w:rsidRPr="00F43FC8">
        <w:rPr>
          <w:rFonts w:ascii="Times New Roman" w:hAnsi="Times New Roman"/>
          <w:noProof/>
          <w:sz w:val="24"/>
          <w:szCs w:val="24"/>
        </w:rPr>
        <w:t>2005</w:t>
      </w:r>
      <w:r>
        <w:rPr>
          <w:rFonts w:ascii="Times New Roman" w:hAnsi="Times New Roman"/>
          <w:noProof/>
          <w:sz w:val="24"/>
          <w:szCs w:val="24"/>
        </w:rPr>
        <w:t xml:space="preserve">, les émissions dans le secteur de la production d’électricité et de chaleur et les secteurs industriels à forte intensité énergétique, couverts par le SEQE-UE, ont été réduites de près de </w:t>
      </w:r>
      <w:r w:rsidRPr="00F43FC8">
        <w:rPr>
          <w:rFonts w:ascii="Times New Roman" w:hAnsi="Times New Roman"/>
          <w:noProof/>
          <w:sz w:val="24"/>
          <w:szCs w:val="24"/>
        </w:rPr>
        <w:t>43</w:t>
      </w:r>
      <w:r>
        <w:rPr>
          <w:rFonts w:ascii="Times New Roman" w:hAnsi="Times New Roman"/>
          <w:noProof/>
          <w:sz w:val="24"/>
          <w:szCs w:val="24"/>
        </w:rPr>
        <w:t> %</w:t>
      </w:r>
      <w:r w:rsidR="00B87044" w:rsidRPr="00DA11F1">
        <w:rPr>
          <w:rStyle w:val="FootnoteReference"/>
          <w:rFonts w:ascii="Times New Roman" w:hAnsi="Times New Roman"/>
          <w:noProof/>
          <w:sz w:val="24"/>
          <w:szCs w:val="24"/>
        </w:rPr>
        <w:footnoteReference w:id="2"/>
      </w:r>
      <w:r>
        <w:rPr>
          <w:rFonts w:ascii="Times New Roman" w:hAnsi="Times New Roman"/>
          <w:noProof/>
          <w:sz w:val="24"/>
          <w:szCs w:val="24"/>
        </w:rPr>
        <w:t>. Avec d’autres actes législatifs, tels que ceux relatifs à l’énergie renouvelable</w:t>
      </w:r>
      <w:r w:rsidR="000E0C73" w:rsidRPr="00DA11F1">
        <w:rPr>
          <w:rStyle w:val="FootnoteReference"/>
          <w:rFonts w:ascii="Times New Roman" w:hAnsi="Times New Roman"/>
          <w:noProof/>
          <w:sz w:val="24"/>
          <w:szCs w:val="24"/>
        </w:rPr>
        <w:footnoteReference w:id="3"/>
      </w:r>
      <w:r>
        <w:rPr>
          <w:rFonts w:ascii="Times New Roman" w:hAnsi="Times New Roman"/>
          <w:noProof/>
          <w:sz w:val="24"/>
          <w:szCs w:val="24"/>
        </w:rPr>
        <w:t xml:space="preserve"> et à l’efficacité énergétique</w:t>
      </w:r>
      <w:r w:rsidR="000E0C73" w:rsidRPr="00DA11F1">
        <w:rPr>
          <w:rStyle w:val="FootnoteReference"/>
          <w:rFonts w:ascii="Times New Roman" w:hAnsi="Times New Roman"/>
          <w:noProof/>
          <w:sz w:val="24"/>
          <w:szCs w:val="24"/>
        </w:rPr>
        <w:footnoteReference w:id="4"/>
      </w:r>
      <w:r>
        <w:rPr>
          <w:rFonts w:ascii="Times New Roman" w:hAnsi="Times New Roman"/>
          <w:noProof/>
          <w:sz w:val="24"/>
          <w:szCs w:val="24"/>
        </w:rPr>
        <w:t xml:space="preserve">, il a contribué dans une large mesure à la réalisation de l’objectif global que s’était fixé l’Union de réduire ses émissions de GES de </w:t>
      </w:r>
      <w:r w:rsidRPr="00F43FC8">
        <w:rPr>
          <w:rFonts w:ascii="Times New Roman" w:hAnsi="Times New Roman"/>
          <w:noProof/>
          <w:sz w:val="24"/>
          <w:szCs w:val="24"/>
        </w:rPr>
        <w:t>20</w:t>
      </w:r>
      <w:r>
        <w:rPr>
          <w:rFonts w:ascii="Times New Roman" w:hAnsi="Times New Roman"/>
          <w:noProof/>
          <w:sz w:val="24"/>
          <w:szCs w:val="24"/>
        </w:rPr>
        <w:t> % par rapport aux niveaux de </w:t>
      </w:r>
      <w:r w:rsidRPr="00F43FC8">
        <w:rPr>
          <w:rFonts w:ascii="Times New Roman" w:hAnsi="Times New Roman"/>
          <w:noProof/>
          <w:sz w:val="24"/>
          <w:szCs w:val="24"/>
        </w:rPr>
        <w:t>1990</w:t>
      </w:r>
      <w:r>
        <w:rPr>
          <w:rFonts w:ascii="Times New Roman" w:hAnsi="Times New Roman"/>
          <w:noProof/>
          <w:sz w:val="24"/>
          <w:szCs w:val="24"/>
        </w:rPr>
        <w:t xml:space="preserve"> d’ici à </w:t>
      </w:r>
      <w:r w:rsidRPr="00F43FC8">
        <w:rPr>
          <w:rFonts w:ascii="Times New Roman" w:hAnsi="Times New Roman"/>
          <w:noProof/>
          <w:sz w:val="24"/>
          <w:szCs w:val="24"/>
        </w:rPr>
        <w:t>2020</w:t>
      </w:r>
      <w:r>
        <w:rPr>
          <w:rFonts w:ascii="Times New Roman" w:hAnsi="Times New Roman"/>
          <w:noProof/>
          <w:sz w:val="24"/>
          <w:szCs w:val="24"/>
        </w:rPr>
        <w:t xml:space="preserve">. L’UE a dépassé cet objectif et avait réduit ses émissions de GES d’environ </w:t>
      </w:r>
      <w:r w:rsidRPr="00F43FC8">
        <w:rPr>
          <w:rFonts w:ascii="Times New Roman" w:hAnsi="Times New Roman"/>
          <w:noProof/>
          <w:sz w:val="24"/>
          <w:szCs w:val="24"/>
        </w:rPr>
        <w:t>31</w:t>
      </w:r>
      <w:r>
        <w:rPr>
          <w:rFonts w:ascii="Times New Roman" w:hAnsi="Times New Roman"/>
          <w:noProof/>
          <w:sz w:val="24"/>
          <w:szCs w:val="24"/>
        </w:rPr>
        <w:t> %</w:t>
      </w:r>
      <w:r w:rsidR="00AC7BFD" w:rsidRPr="00DA11F1">
        <w:rPr>
          <w:rStyle w:val="FootnoteReference"/>
          <w:rFonts w:ascii="Times New Roman" w:hAnsi="Times New Roman"/>
          <w:noProof/>
          <w:sz w:val="24"/>
          <w:szCs w:val="24"/>
        </w:rPr>
        <w:footnoteReference w:id="5"/>
      </w:r>
      <w:r>
        <w:rPr>
          <w:rFonts w:ascii="Times New Roman" w:hAnsi="Times New Roman"/>
          <w:noProof/>
          <w:sz w:val="24"/>
          <w:szCs w:val="24"/>
        </w:rPr>
        <w:t xml:space="preserve"> par rapport aux niveaux de </w:t>
      </w:r>
      <w:r w:rsidRPr="00F43FC8">
        <w:rPr>
          <w:rFonts w:ascii="Times New Roman" w:hAnsi="Times New Roman"/>
          <w:noProof/>
          <w:sz w:val="24"/>
          <w:szCs w:val="24"/>
        </w:rPr>
        <w:t>1990</w:t>
      </w:r>
      <w:r>
        <w:rPr>
          <w:rFonts w:ascii="Times New Roman" w:hAnsi="Times New Roman"/>
          <w:noProof/>
          <w:sz w:val="24"/>
          <w:szCs w:val="24"/>
        </w:rPr>
        <w:t xml:space="preserve"> en </w:t>
      </w:r>
      <w:r w:rsidRPr="00F43FC8">
        <w:rPr>
          <w:rFonts w:ascii="Times New Roman" w:hAnsi="Times New Roman"/>
          <w:noProof/>
          <w:sz w:val="24"/>
          <w:szCs w:val="24"/>
        </w:rPr>
        <w:t>2020</w:t>
      </w:r>
      <w:r>
        <w:rPr>
          <w:rFonts w:ascii="Times New Roman" w:hAnsi="Times New Roman"/>
          <w:noProof/>
          <w:sz w:val="24"/>
          <w:szCs w:val="24"/>
        </w:rPr>
        <w:t>.</w:t>
      </w:r>
    </w:p>
    <w:p w14:paraId="10CDBDA8" w14:textId="1AD1DE5D" w:rsidR="00DB7748" w:rsidRPr="00DA11F1" w:rsidRDefault="007A0C87">
      <w:pPr>
        <w:jc w:val="both"/>
        <w:rPr>
          <w:rFonts w:ascii="Times New Roman" w:hAnsi="Times New Roman"/>
          <w:noProof/>
          <w:sz w:val="24"/>
          <w:szCs w:val="24"/>
        </w:rPr>
      </w:pPr>
      <w:r>
        <w:rPr>
          <w:rFonts w:ascii="Times New Roman" w:hAnsi="Times New Roman"/>
          <w:noProof/>
          <w:sz w:val="24"/>
          <w:szCs w:val="24"/>
        </w:rPr>
        <w:t>En juillet </w:t>
      </w:r>
      <w:r w:rsidRPr="00F43FC8">
        <w:rPr>
          <w:rFonts w:ascii="Times New Roman" w:hAnsi="Times New Roman"/>
          <w:noProof/>
          <w:sz w:val="24"/>
          <w:szCs w:val="24"/>
        </w:rPr>
        <w:t>2021</w:t>
      </w:r>
      <w:r>
        <w:rPr>
          <w:rFonts w:ascii="Times New Roman" w:hAnsi="Times New Roman"/>
          <w:noProof/>
          <w:sz w:val="24"/>
          <w:szCs w:val="24"/>
        </w:rPr>
        <w:t>, la Commission a adopté un ensemble de propositions afin de mettre en œuvre le pacte vert pour l’Europe</w:t>
      </w:r>
      <w:r w:rsidR="00964E0B" w:rsidRPr="00DA11F1">
        <w:rPr>
          <w:rStyle w:val="FootnoteReference"/>
          <w:rFonts w:ascii="Times New Roman" w:hAnsi="Times New Roman"/>
          <w:noProof/>
          <w:sz w:val="24"/>
          <w:szCs w:val="24"/>
        </w:rPr>
        <w:footnoteReference w:id="6"/>
      </w:r>
      <w:r>
        <w:rPr>
          <w:rFonts w:ascii="Times New Roman" w:hAnsi="Times New Roman"/>
          <w:noProof/>
          <w:sz w:val="24"/>
          <w:szCs w:val="24"/>
        </w:rPr>
        <w:t xml:space="preserve">. Ces propositions visent à ajuster les politiques de l’UE en matière de climat, d’énergie, d’utilisation des terres, de transport et de fiscalité à l’objectif de réduire les émissions nettes de GES d’au moins </w:t>
      </w:r>
      <w:r w:rsidRPr="00F43FC8">
        <w:rPr>
          <w:rFonts w:ascii="Times New Roman" w:hAnsi="Times New Roman"/>
          <w:noProof/>
          <w:sz w:val="24"/>
          <w:szCs w:val="24"/>
        </w:rPr>
        <w:t>55</w:t>
      </w:r>
      <w:r>
        <w:rPr>
          <w:rFonts w:ascii="Times New Roman" w:hAnsi="Times New Roman"/>
          <w:noProof/>
          <w:sz w:val="24"/>
          <w:szCs w:val="24"/>
        </w:rPr>
        <w:t> % par rapport aux niveaux de </w:t>
      </w:r>
      <w:r w:rsidRPr="00F43FC8">
        <w:rPr>
          <w:rFonts w:ascii="Times New Roman" w:hAnsi="Times New Roman"/>
          <w:noProof/>
          <w:sz w:val="24"/>
          <w:szCs w:val="24"/>
        </w:rPr>
        <w:t>1990</w:t>
      </w:r>
      <w:r>
        <w:rPr>
          <w:rFonts w:ascii="Times New Roman" w:hAnsi="Times New Roman"/>
          <w:noProof/>
          <w:sz w:val="24"/>
          <w:szCs w:val="24"/>
        </w:rPr>
        <w:t xml:space="preserve"> d’ici à </w:t>
      </w:r>
      <w:r w:rsidRPr="00F43FC8">
        <w:rPr>
          <w:rFonts w:ascii="Times New Roman" w:hAnsi="Times New Roman"/>
          <w:noProof/>
          <w:sz w:val="24"/>
          <w:szCs w:val="24"/>
        </w:rPr>
        <w:t>2030</w:t>
      </w:r>
      <w:r>
        <w:rPr>
          <w:rFonts w:ascii="Times New Roman" w:hAnsi="Times New Roman"/>
          <w:noProof/>
          <w:sz w:val="24"/>
          <w:szCs w:val="24"/>
        </w:rPr>
        <w:t xml:space="preserve">. Le SEQE-UE jouera un rôle déterminant dans la réalisation de cet objectif. L’une des propositions adoptées consiste à revoir à la hausse l’ambition du SEQE-UE en fixant un nouvel objectif de réduction des émissions de </w:t>
      </w:r>
      <w:r w:rsidRPr="00F43FC8">
        <w:rPr>
          <w:rFonts w:ascii="Times New Roman" w:hAnsi="Times New Roman"/>
          <w:noProof/>
          <w:sz w:val="24"/>
          <w:szCs w:val="24"/>
        </w:rPr>
        <w:t>61</w:t>
      </w:r>
      <w:r>
        <w:rPr>
          <w:rFonts w:ascii="Times New Roman" w:hAnsi="Times New Roman"/>
          <w:noProof/>
          <w:sz w:val="24"/>
          <w:szCs w:val="24"/>
        </w:rPr>
        <w:t> %</w:t>
      </w:r>
      <w:r w:rsidR="00CE2432" w:rsidRPr="00DA11F1">
        <w:rPr>
          <w:rStyle w:val="FootnoteReference"/>
          <w:rFonts w:ascii="Times New Roman" w:hAnsi="Times New Roman"/>
          <w:noProof/>
          <w:sz w:val="24"/>
          <w:szCs w:val="24"/>
        </w:rPr>
        <w:footnoteReference w:id="7"/>
      </w:r>
      <w:r>
        <w:rPr>
          <w:rFonts w:ascii="Times New Roman" w:hAnsi="Times New Roman"/>
          <w:noProof/>
          <w:sz w:val="24"/>
          <w:szCs w:val="24"/>
        </w:rPr>
        <w:t xml:space="preserve"> par rapport aux niveaux de </w:t>
      </w:r>
      <w:r w:rsidRPr="00F43FC8">
        <w:rPr>
          <w:rFonts w:ascii="Times New Roman" w:hAnsi="Times New Roman"/>
          <w:noProof/>
          <w:sz w:val="24"/>
          <w:szCs w:val="24"/>
        </w:rPr>
        <w:t>2005</w:t>
      </w:r>
      <w:r>
        <w:rPr>
          <w:rFonts w:ascii="Times New Roman" w:hAnsi="Times New Roman"/>
          <w:noProof/>
          <w:sz w:val="24"/>
          <w:szCs w:val="24"/>
        </w:rPr>
        <w:t xml:space="preserve"> d’ici à </w:t>
      </w:r>
      <w:r w:rsidRPr="00F43FC8">
        <w:rPr>
          <w:rFonts w:ascii="Times New Roman" w:hAnsi="Times New Roman"/>
          <w:noProof/>
          <w:sz w:val="24"/>
          <w:szCs w:val="24"/>
        </w:rPr>
        <w:t>2030</w:t>
      </w:r>
      <w:r>
        <w:rPr>
          <w:rFonts w:ascii="Times New Roman" w:hAnsi="Times New Roman"/>
          <w:noProof/>
          <w:sz w:val="24"/>
          <w:szCs w:val="24"/>
        </w:rPr>
        <w:t xml:space="preserve"> (contre actuellement </w:t>
      </w:r>
      <w:r w:rsidRPr="00F43FC8">
        <w:rPr>
          <w:rFonts w:ascii="Times New Roman" w:hAnsi="Times New Roman"/>
          <w:noProof/>
          <w:sz w:val="24"/>
          <w:szCs w:val="24"/>
        </w:rPr>
        <w:t>43</w:t>
      </w:r>
      <w:r>
        <w:rPr>
          <w:rFonts w:ascii="Times New Roman" w:hAnsi="Times New Roman"/>
          <w:noProof/>
          <w:sz w:val="24"/>
          <w:szCs w:val="24"/>
        </w:rPr>
        <w:t> % par rapport aux niveaux de </w:t>
      </w:r>
      <w:r w:rsidRPr="00F43FC8">
        <w:rPr>
          <w:rFonts w:ascii="Times New Roman" w:hAnsi="Times New Roman"/>
          <w:noProof/>
          <w:sz w:val="24"/>
          <w:szCs w:val="24"/>
        </w:rPr>
        <w:t>2005</w:t>
      </w:r>
      <w:r>
        <w:rPr>
          <w:rFonts w:ascii="Times New Roman" w:hAnsi="Times New Roman"/>
          <w:noProof/>
          <w:sz w:val="24"/>
          <w:szCs w:val="24"/>
        </w:rPr>
        <w:t xml:space="preserve">), un plafond d’émissions global plus bas et une plus forte réduction annuelle des émissions, de </w:t>
      </w:r>
      <w:r w:rsidRPr="00F43FC8">
        <w:rPr>
          <w:rFonts w:ascii="Times New Roman" w:hAnsi="Times New Roman"/>
          <w:noProof/>
          <w:sz w:val="24"/>
          <w:szCs w:val="24"/>
        </w:rPr>
        <w:t>4</w:t>
      </w:r>
      <w:r>
        <w:rPr>
          <w:rFonts w:ascii="Times New Roman" w:hAnsi="Times New Roman"/>
          <w:noProof/>
          <w:sz w:val="24"/>
          <w:szCs w:val="24"/>
        </w:rPr>
        <w:t>,</w:t>
      </w:r>
      <w:r w:rsidRPr="00F43FC8">
        <w:rPr>
          <w:rFonts w:ascii="Times New Roman" w:hAnsi="Times New Roman"/>
          <w:noProof/>
          <w:sz w:val="24"/>
          <w:szCs w:val="24"/>
        </w:rPr>
        <w:t>2</w:t>
      </w:r>
      <w:r>
        <w:rPr>
          <w:rFonts w:ascii="Times New Roman" w:hAnsi="Times New Roman"/>
          <w:noProof/>
          <w:sz w:val="24"/>
          <w:szCs w:val="24"/>
        </w:rPr>
        <w:t xml:space="preserve"> % contre </w:t>
      </w:r>
      <w:r w:rsidRPr="00F43FC8">
        <w:rPr>
          <w:rFonts w:ascii="Times New Roman" w:hAnsi="Times New Roman"/>
          <w:noProof/>
          <w:sz w:val="24"/>
          <w:szCs w:val="24"/>
        </w:rPr>
        <w:t>2</w:t>
      </w:r>
      <w:r>
        <w:rPr>
          <w:rFonts w:ascii="Times New Roman" w:hAnsi="Times New Roman"/>
          <w:noProof/>
          <w:sz w:val="24"/>
          <w:szCs w:val="24"/>
        </w:rPr>
        <w:t>,</w:t>
      </w:r>
      <w:r w:rsidRPr="00F43FC8">
        <w:rPr>
          <w:rFonts w:ascii="Times New Roman" w:hAnsi="Times New Roman"/>
          <w:noProof/>
          <w:sz w:val="24"/>
          <w:szCs w:val="24"/>
        </w:rPr>
        <w:t>2</w:t>
      </w:r>
      <w:r>
        <w:rPr>
          <w:rFonts w:ascii="Times New Roman" w:hAnsi="Times New Roman"/>
          <w:noProof/>
          <w:sz w:val="24"/>
          <w:szCs w:val="24"/>
        </w:rPr>
        <w:t> % par an actuellement</w:t>
      </w:r>
      <w:r w:rsidR="007B612B" w:rsidRPr="00DA11F1">
        <w:rPr>
          <w:rStyle w:val="FootnoteReference"/>
          <w:rFonts w:ascii="Times New Roman" w:hAnsi="Times New Roman"/>
          <w:noProof/>
          <w:sz w:val="24"/>
          <w:szCs w:val="24"/>
        </w:rPr>
        <w:footnoteReference w:id="8"/>
      </w:r>
      <w:r>
        <w:rPr>
          <w:rFonts w:ascii="Times New Roman" w:hAnsi="Times New Roman"/>
          <w:noProof/>
          <w:sz w:val="24"/>
          <w:szCs w:val="24"/>
        </w:rPr>
        <w:t>. La proposition de révision du SEQE-UE étend également son champ d’application aux émissions maritimes et propose un nouveau système distinct d’échange de quotas d’émission pour couvrir les émissions provenant des carburants utilisés dans le transport routier et les bâtiments</w:t>
      </w:r>
      <w:r w:rsidR="00580C89" w:rsidRPr="00DA11F1">
        <w:rPr>
          <w:rStyle w:val="FootnoteReference"/>
          <w:rFonts w:ascii="Times New Roman" w:hAnsi="Times New Roman"/>
          <w:noProof/>
          <w:sz w:val="24"/>
          <w:szCs w:val="24"/>
        </w:rPr>
        <w:footnoteReference w:id="9"/>
      </w:r>
      <w:r>
        <w:rPr>
          <w:rFonts w:ascii="Times New Roman" w:hAnsi="Times New Roman"/>
          <w:noProof/>
          <w:sz w:val="24"/>
          <w:szCs w:val="24"/>
        </w:rPr>
        <w:t xml:space="preserve">. </w:t>
      </w:r>
    </w:p>
    <w:p w14:paraId="5BAA412E" w14:textId="29444D35" w:rsidR="00782505" w:rsidRPr="00DA11F1" w:rsidRDefault="00782505">
      <w:pPr>
        <w:jc w:val="both"/>
        <w:rPr>
          <w:rFonts w:ascii="Times New Roman" w:hAnsi="Times New Roman"/>
          <w:noProof/>
          <w:sz w:val="24"/>
          <w:szCs w:val="24"/>
        </w:rPr>
      </w:pPr>
      <w:r>
        <w:rPr>
          <w:rFonts w:ascii="Times New Roman" w:hAnsi="Times New Roman"/>
          <w:noProof/>
          <w:sz w:val="24"/>
          <w:szCs w:val="24"/>
        </w:rPr>
        <w:t>Une proposition séparée renforce la réserve de stabilité du marché (RSM)</w:t>
      </w:r>
      <w:r w:rsidR="00AE724E" w:rsidRPr="00DA11F1">
        <w:rPr>
          <w:rStyle w:val="FootnoteReference"/>
          <w:rFonts w:ascii="Times New Roman" w:hAnsi="Times New Roman"/>
          <w:noProof/>
          <w:sz w:val="24"/>
          <w:szCs w:val="24"/>
        </w:rPr>
        <w:footnoteReference w:id="10"/>
      </w:r>
      <w:r>
        <w:rPr>
          <w:rFonts w:ascii="Times New Roman" w:hAnsi="Times New Roman"/>
          <w:noProof/>
          <w:sz w:val="24"/>
          <w:szCs w:val="24"/>
        </w:rPr>
        <w:t>, le mécanisme qui répond à l’accumulation de crédits excédentaires dans le SEQE-UE depuis </w:t>
      </w:r>
      <w:r w:rsidRPr="00F43FC8">
        <w:rPr>
          <w:rFonts w:ascii="Times New Roman" w:hAnsi="Times New Roman"/>
          <w:noProof/>
          <w:sz w:val="24"/>
          <w:szCs w:val="24"/>
        </w:rPr>
        <w:t>2019</w:t>
      </w:r>
      <w:r>
        <w:rPr>
          <w:rFonts w:ascii="Times New Roman" w:hAnsi="Times New Roman"/>
          <w:noProof/>
          <w:sz w:val="24"/>
          <w:szCs w:val="24"/>
        </w:rPr>
        <w:t xml:space="preserve"> et améliore la résilience du système aux grands chocs en adaptant l’offre de quotas à mettre aux enchères. </w:t>
      </w:r>
    </w:p>
    <w:p w14:paraId="1AE374DF" w14:textId="05938E7C" w:rsidR="00131369" w:rsidRPr="00DA11F1" w:rsidRDefault="00AA3771">
      <w:pPr>
        <w:jc w:val="both"/>
        <w:rPr>
          <w:rFonts w:ascii="Times New Roman" w:hAnsi="Times New Roman"/>
          <w:noProof/>
          <w:sz w:val="24"/>
          <w:szCs w:val="24"/>
        </w:rPr>
      </w:pPr>
      <w:r>
        <w:rPr>
          <w:rFonts w:ascii="Times New Roman" w:hAnsi="Times New Roman"/>
          <w:noProof/>
          <w:sz w:val="24"/>
          <w:szCs w:val="24"/>
        </w:rPr>
        <w:t>Deux propositions supplémentaires de l’ensemble de propositions de juillet</w:t>
      </w:r>
      <w:r w:rsidR="003D4197" w:rsidRPr="00DA11F1">
        <w:rPr>
          <w:rStyle w:val="FootnoteReference"/>
          <w:rFonts w:ascii="Times New Roman" w:hAnsi="Times New Roman"/>
          <w:noProof/>
          <w:sz w:val="24"/>
          <w:szCs w:val="24"/>
        </w:rPr>
        <w:footnoteReference w:id="11"/>
      </w:r>
      <w:r>
        <w:rPr>
          <w:rFonts w:ascii="Times New Roman" w:hAnsi="Times New Roman"/>
          <w:noProof/>
          <w:sz w:val="24"/>
          <w:szCs w:val="24"/>
        </w:rPr>
        <w:t xml:space="preserve"> renforcent le SEQE-UE pour l’aviation afin de veiller à ce que ce secteur contribue à l’objectif de réduction des émissions de l’UE et de transposer le régime de compensation et de réduction de carbone pour l’aviation internationale (CORSIA) dans le droit de l’Union d’une manière cohérente avec les objectifs climatiques de l’UE pour </w:t>
      </w:r>
      <w:r w:rsidRPr="00F43FC8">
        <w:rPr>
          <w:rFonts w:ascii="Times New Roman" w:hAnsi="Times New Roman"/>
          <w:noProof/>
          <w:sz w:val="24"/>
          <w:szCs w:val="24"/>
        </w:rPr>
        <w:t>2030</w:t>
      </w:r>
      <w:r>
        <w:rPr>
          <w:rFonts w:ascii="Times New Roman" w:hAnsi="Times New Roman"/>
          <w:noProof/>
          <w:sz w:val="24"/>
          <w:szCs w:val="24"/>
        </w:rPr>
        <w:t>.</w:t>
      </w:r>
    </w:p>
    <w:p w14:paraId="3685CD75" w14:textId="5D24E172" w:rsidR="00C2583A" w:rsidRPr="00DA11F1" w:rsidRDefault="00F51636" w:rsidP="003C191E">
      <w:pPr>
        <w:jc w:val="both"/>
        <w:rPr>
          <w:rFonts w:ascii="Times New Roman" w:hAnsi="Times New Roman"/>
          <w:noProof/>
          <w:sz w:val="24"/>
          <w:szCs w:val="24"/>
        </w:rPr>
      </w:pPr>
      <w:r>
        <w:rPr>
          <w:rFonts w:ascii="Times New Roman" w:hAnsi="Times New Roman"/>
          <w:noProof/>
          <w:sz w:val="24"/>
          <w:szCs w:val="24"/>
        </w:rPr>
        <w:t>Le présent rapport sur le fonctionnement du marché du carbone européen est présenté conformément à l’article </w:t>
      </w:r>
      <w:r w:rsidRPr="00F43FC8">
        <w:rPr>
          <w:rFonts w:ascii="Times New Roman" w:hAnsi="Times New Roman"/>
          <w:noProof/>
          <w:sz w:val="24"/>
          <w:szCs w:val="24"/>
        </w:rPr>
        <w:t>10</w:t>
      </w:r>
      <w:r>
        <w:rPr>
          <w:rFonts w:ascii="Times New Roman" w:hAnsi="Times New Roman"/>
          <w:noProof/>
          <w:sz w:val="24"/>
          <w:szCs w:val="24"/>
        </w:rPr>
        <w:t>, paragraphe </w:t>
      </w:r>
      <w:r w:rsidRPr="00F43FC8">
        <w:rPr>
          <w:rFonts w:ascii="Times New Roman" w:hAnsi="Times New Roman"/>
          <w:noProof/>
          <w:sz w:val="24"/>
          <w:szCs w:val="24"/>
        </w:rPr>
        <w:t>5</w:t>
      </w:r>
      <w:r>
        <w:rPr>
          <w:rFonts w:ascii="Times New Roman" w:hAnsi="Times New Roman"/>
          <w:noProof/>
          <w:sz w:val="24"/>
          <w:szCs w:val="24"/>
        </w:rPr>
        <w:t>, et à l’article </w:t>
      </w:r>
      <w:r w:rsidRPr="00F43FC8">
        <w:rPr>
          <w:rFonts w:ascii="Times New Roman" w:hAnsi="Times New Roman"/>
          <w:noProof/>
          <w:sz w:val="24"/>
          <w:szCs w:val="24"/>
        </w:rPr>
        <w:t>21</w:t>
      </w:r>
      <w:r>
        <w:rPr>
          <w:rFonts w:ascii="Times New Roman" w:hAnsi="Times New Roman"/>
          <w:noProof/>
          <w:sz w:val="24"/>
          <w:szCs w:val="24"/>
        </w:rPr>
        <w:t>, paragraphe </w:t>
      </w:r>
      <w:r w:rsidRPr="00F43FC8">
        <w:rPr>
          <w:rFonts w:ascii="Times New Roman" w:hAnsi="Times New Roman"/>
          <w:noProof/>
          <w:sz w:val="24"/>
          <w:szCs w:val="24"/>
        </w:rPr>
        <w:t>2</w:t>
      </w:r>
      <w:r>
        <w:rPr>
          <w:rFonts w:ascii="Times New Roman" w:hAnsi="Times New Roman"/>
          <w:noProof/>
          <w:sz w:val="24"/>
          <w:szCs w:val="24"/>
        </w:rPr>
        <w:t>, de la directive </w:t>
      </w:r>
      <w:r w:rsidRPr="00F43FC8">
        <w:rPr>
          <w:rFonts w:ascii="Times New Roman" w:hAnsi="Times New Roman"/>
          <w:noProof/>
          <w:sz w:val="24"/>
          <w:szCs w:val="24"/>
        </w:rPr>
        <w:t>2003</w:t>
      </w:r>
      <w:r>
        <w:rPr>
          <w:rFonts w:ascii="Times New Roman" w:hAnsi="Times New Roman"/>
          <w:noProof/>
          <w:sz w:val="24"/>
          <w:szCs w:val="24"/>
        </w:rPr>
        <w:t>/</w:t>
      </w:r>
      <w:r w:rsidRPr="00F43FC8">
        <w:rPr>
          <w:rFonts w:ascii="Times New Roman" w:hAnsi="Times New Roman"/>
          <w:noProof/>
          <w:sz w:val="24"/>
          <w:szCs w:val="24"/>
        </w:rPr>
        <w:t>87</w:t>
      </w:r>
      <w:r>
        <w:rPr>
          <w:rFonts w:ascii="Times New Roman" w:hAnsi="Times New Roman"/>
          <w:noProof/>
          <w:sz w:val="24"/>
          <w:szCs w:val="24"/>
        </w:rPr>
        <w:t>/CE (directive SEQE-UE)</w:t>
      </w:r>
      <w:r w:rsidR="00973B21" w:rsidRPr="00DA11F1">
        <w:rPr>
          <w:rStyle w:val="FootnoteReference"/>
          <w:rFonts w:ascii="Times New Roman" w:hAnsi="Times New Roman"/>
          <w:noProof/>
          <w:sz w:val="24"/>
          <w:szCs w:val="24"/>
        </w:rPr>
        <w:footnoteReference w:id="12"/>
      </w:r>
      <w:r>
        <w:rPr>
          <w:rFonts w:ascii="Times New Roman" w:hAnsi="Times New Roman"/>
          <w:noProof/>
          <w:sz w:val="24"/>
          <w:szCs w:val="24"/>
        </w:rPr>
        <w:t>. Il couvre l’année </w:t>
      </w:r>
      <w:r w:rsidRPr="00F43FC8">
        <w:rPr>
          <w:rFonts w:ascii="Times New Roman" w:hAnsi="Times New Roman"/>
          <w:noProof/>
          <w:sz w:val="24"/>
          <w:szCs w:val="24"/>
        </w:rPr>
        <w:t>2020</w:t>
      </w:r>
      <w:r>
        <w:rPr>
          <w:rFonts w:ascii="Times New Roman" w:hAnsi="Times New Roman"/>
          <w:noProof/>
          <w:sz w:val="24"/>
          <w:szCs w:val="24"/>
        </w:rPr>
        <w:t xml:space="preserve"> ainsi que le premier semestre </w:t>
      </w:r>
      <w:r w:rsidRPr="00F43FC8">
        <w:rPr>
          <w:rFonts w:ascii="Times New Roman" w:hAnsi="Times New Roman"/>
          <w:noProof/>
          <w:sz w:val="24"/>
          <w:szCs w:val="24"/>
        </w:rPr>
        <w:t>2021</w:t>
      </w:r>
      <w:r>
        <w:rPr>
          <w:rFonts w:ascii="Times New Roman" w:hAnsi="Times New Roman"/>
          <w:noProof/>
          <w:sz w:val="24"/>
          <w:szCs w:val="24"/>
        </w:rPr>
        <w:t xml:space="preserve"> (jusqu’au </w:t>
      </w:r>
      <w:r w:rsidRPr="00F43FC8">
        <w:rPr>
          <w:rFonts w:ascii="Times New Roman" w:hAnsi="Times New Roman"/>
          <w:noProof/>
          <w:sz w:val="24"/>
          <w:szCs w:val="24"/>
        </w:rPr>
        <w:t>30</w:t>
      </w:r>
      <w:r>
        <w:rPr>
          <w:rFonts w:ascii="Times New Roman" w:hAnsi="Times New Roman"/>
          <w:noProof/>
          <w:sz w:val="24"/>
          <w:szCs w:val="24"/>
        </w:rPr>
        <w:t> juin </w:t>
      </w:r>
      <w:r w:rsidRPr="00F43FC8">
        <w:rPr>
          <w:rFonts w:ascii="Times New Roman" w:hAnsi="Times New Roman"/>
          <w:noProof/>
          <w:sz w:val="24"/>
          <w:szCs w:val="24"/>
        </w:rPr>
        <w:t>2021</w:t>
      </w:r>
      <w:r>
        <w:rPr>
          <w:rFonts w:ascii="Times New Roman" w:hAnsi="Times New Roman"/>
          <w:noProof/>
          <w:sz w:val="24"/>
          <w:szCs w:val="24"/>
        </w:rPr>
        <w:t xml:space="preserve">). </w:t>
      </w:r>
      <w:r w:rsidRPr="00F43FC8">
        <w:rPr>
          <w:rFonts w:ascii="Times New Roman" w:hAnsi="Times New Roman"/>
          <w:noProof/>
          <w:sz w:val="24"/>
          <w:szCs w:val="24"/>
        </w:rPr>
        <w:t>2020</w:t>
      </w:r>
      <w:r>
        <w:rPr>
          <w:rFonts w:ascii="Times New Roman" w:hAnsi="Times New Roman"/>
          <w:noProof/>
          <w:sz w:val="24"/>
          <w:szCs w:val="24"/>
        </w:rPr>
        <w:t xml:space="preserve"> ayant marqué la dernière année de la phase </w:t>
      </w:r>
      <w:r w:rsidRPr="00F43FC8">
        <w:rPr>
          <w:rFonts w:ascii="Times New Roman" w:hAnsi="Times New Roman"/>
          <w:noProof/>
          <w:sz w:val="24"/>
          <w:szCs w:val="24"/>
        </w:rPr>
        <w:t>3</w:t>
      </w:r>
      <w:r>
        <w:rPr>
          <w:rFonts w:ascii="Times New Roman" w:hAnsi="Times New Roman"/>
          <w:noProof/>
          <w:sz w:val="24"/>
          <w:szCs w:val="24"/>
        </w:rPr>
        <w:t xml:space="preserve"> du SEQE-UE (</w:t>
      </w:r>
      <w:r w:rsidRPr="00F43FC8">
        <w:rPr>
          <w:rFonts w:ascii="Times New Roman" w:hAnsi="Times New Roman"/>
          <w:noProof/>
          <w:sz w:val="24"/>
          <w:szCs w:val="24"/>
        </w:rPr>
        <w:t>2013</w:t>
      </w:r>
      <w:r>
        <w:rPr>
          <w:rFonts w:ascii="Times New Roman" w:hAnsi="Times New Roman"/>
          <w:noProof/>
          <w:sz w:val="24"/>
          <w:szCs w:val="24"/>
        </w:rPr>
        <w:t>-</w:t>
      </w:r>
      <w:r w:rsidRPr="00F43FC8">
        <w:rPr>
          <w:rFonts w:ascii="Times New Roman" w:hAnsi="Times New Roman"/>
          <w:noProof/>
          <w:sz w:val="24"/>
          <w:szCs w:val="24"/>
        </w:rPr>
        <w:t>2020</w:t>
      </w:r>
      <w:r>
        <w:rPr>
          <w:rFonts w:ascii="Times New Roman" w:hAnsi="Times New Roman"/>
          <w:noProof/>
          <w:sz w:val="24"/>
          <w:szCs w:val="24"/>
        </w:rPr>
        <w:t>), ce rapport donne également un aperçu des principales évolutions qui ont eu lieu au cours de cette période.</w:t>
      </w:r>
    </w:p>
    <w:p w14:paraId="5374E73A" w14:textId="403E266E" w:rsidR="00245692" w:rsidRPr="00DA11F1" w:rsidRDefault="00104163" w:rsidP="00EE2F8D">
      <w:pPr>
        <w:jc w:val="both"/>
        <w:rPr>
          <w:rFonts w:ascii="Times New Roman" w:hAnsi="Times New Roman"/>
          <w:noProof/>
          <w:sz w:val="24"/>
          <w:szCs w:val="24"/>
        </w:rPr>
      </w:pPr>
      <w:r>
        <w:rPr>
          <w:rFonts w:ascii="Times New Roman" w:hAnsi="Times New Roman"/>
          <w:noProof/>
          <w:sz w:val="24"/>
          <w:szCs w:val="24"/>
        </w:rPr>
        <w:t>Le présent rapport examine les réductions considérables des émissions réalisées au cours de la phase </w:t>
      </w:r>
      <w:r w:rsidRPr="00F43FC8">
        <w:rPr>
          <w:rFonts w:ascii="Times New Roman" w:hAnsi="Times New Roman"/>
          <w:noProof/>
          <w:sz w:val="24"/>
          <w:szCs w:val="24"/>
        </w:rPr>
        <w:t>3</w:t>
      </w:r>
      <w:r>
        <w:rPr>
          <w:rFonts w:ascii="Times New Roman" w:hAnsi="Times New Roman"/>
          <w:noProof/>
          <w:sz w:val="24"/>
          <w:szCs w:val="24"/>
        </w:rPr>
        <w:t xml:space="preserve"> ainsi que leurs moteurs (chapitre </w:t>
      </w:r>
      <w:r w:rsidRPr="00F43FC8">
        <w:rPr>
          <w:rFonts w:ascii="Times New Roman" w:hAnsi="Times New Roman"/>
          <w:noProof/>
          <w:sz w:val="24"/>
          <w:szCs w:val="24"/>
        </w:rPr>
        <w:t>3</w:t>
      </w:r>
      <w:r>
        <w:rPr>
          <w:rFonts w:ascii="Times New Roman" w:hAnsi="Times New Roman"/>
          <w:noProof/>
          <w:sz w:val="24"/>
          <w:szCs w:val="24"/>
        </w:rPr>
        <w:t>.</w:t>
      </w:r>
      <w:r w:rsidRPr="00F43FC8">
        <w:rPr>
          <w:rFonts w:ascii="Times New Roman" w:hAnsi="Times New Roman"/>
          <w:noProof/>
          <w:sz w:val="24"/>
          <w:szCs w:val="24"/>
        </w:rPr>
        <w:t>2</w:t>
      </w:r>
      <w:r>
        <w:rPr>
          <w:rFonts w:ascii="Times New Roman" w:hAnsi="Times New Roman"/>
          <w:noProof/>
          <w:sz w:val="24"/>
          <w:szCs w:val="24"/>
        </w:rPr>
        <w:t>.</w:t>
      </w:r>
      <w:r w:rsidRPr="00F43FC8">
        <w:rPr>
          <w:rFonts w:ascii="Times New Roman" w:hAnsi="Times New Roman"/>
          <w:noProof/>
          <w:sz w:val="24"/>
          <w:szCs w:val="24"/>
        </w:rPr>
        <w:t>1</w:t>
      </w:r>
      <w:r>
        <w:rPr>
          <w:rFonts w:ascii="Times New Roman" w:hAnsi="Times New Roman"/>
          <w:noProof/>
          <w:sz w:val="24"/>
          <w:szCs w:val="24"/>
        </w:rPr>
        <w:t>) et analyse le rôle de la RSM dans la réduction de l’accumulation de crédits excédentaires dans le SEQE-UE (chapitre </w:t>
      </w:r>
      <w:r w:rsidRPr="00F43FC8">
        <w:rPr>
          <w:rFonts w:ascii="Times New Roman" w:hAnsi="Times New Roman"/>
          <w:noProof/>
          <w:sz w:val="24"/>
          <w:szCs w:val="24"/>
        </w:rPr>
        <w:t>3</w:t>
      </w:r>
      <w:r>
        <w:rPr>
          <w:rFonts w:ascii="Times New Roman" w:hAnsi="Times New Roman"/>
          <w:noProof/>
          <w:sz w:val="24"/>
          <w:szCs w:val="24"/>
        </w:rPr>
        <w:t>.</w:t>
      </w:r>
      <w:r w:rsidRPr="00F43FC8">
        <w:rPr>
          <w:rFonts w:ascii="Times New Roman" w:hAnsi="Times New Roman"/>
          <w:noProof/>
          <w:sz w:val="24"/>
          <w:szCs w:val="24"/>
        </w:rPr>
        <w:t>2</w:t>
      </w:r>
      <w:r>
        <w:rPr>
          <w:rFonts w:ascii="Times New Roman" w:hAnsi="Times New Roman"/>
          <w:noProof/>
          <w:sz w:val="24"/>
          <w:szCs w:val="24"/>
        </w:rPr>
        <w:t>.</w:t>
      </w:r>
      <w:r w:rsidRPr="00F43FC8">
        <w:rPr>
          <w:rFonts w:ascii="Times New Roman" w:hAnsi="Times New Roman"/>
          <w:noProof/>
          <w:sz w:val="24"/>
          <w:szCs w:val="24"/>
        </w:rPr>
        <w:t>2</w:t>
      </w:r>
      <w:r>
        <w:rPr>
          <w:rFonts w:ascii="Times New Roman" w:hAnsi="Times New Roman"/>
          <w:noProof/>
          <w:sz w:val="24"/>
          <w:szCs w:val="24"/>
        </w:rPr>
        <w:t>). Il met également en lumière les grandes évolutions qui ont eu lieu, au cours de la phase </w:t>
      </w:r>
      <w:r w:rsidRPr="00F43FC8">
        <w:rPr>
          <w:rFonts w:ascii="Times New Roman" w:hAnsi="Times New Roman"/>
          <w:noProof/>
          <w:sz w:val="24"/>
          <w:szCs w:val="24"/>
        </w:rPr>
        <w:t>3</w:t>
      </w:r>
      <w:r>
        <w:rPr>
          <w:rFonts w:ascii="Times New Roman" w:hAnsi="Times New Roman"/>
          <w:noProof/>
          <w:sz w:val="24"/>
          <w:szCs w:val="24"/>
        </w:rPr>
        <w:t>, dans les domaines de l’aviation (chapitre </w:t>
      </w:r>
      <w:r w:rsidRPr="00F43FC8">
        <w:rPr>
          <w:rFonts w:ascii="Times New Roman" w:hAnsi="Times New Roman"/>
          <w:noProof/>
          <w:sz w:val="24"/>
          <w:szCs w:val="24"/>
        </w:rPr>
        <w:t>4</w:t>
      </w:r>
      <w:r>
        <w:rPr>
          <w:rFonts w:ascii="Times New Roman" w:hAnsi="Times New Roman"/>
          <w:noProof/>
          <w:sz w:val="24"/>
          <w:szCs w:val="24"/>
        </w:rPr>
        <w:t>), des quotas alloués à titre gratuit (chapitre </w:t>
      </w:r>
      <w:r w:rsidRPr="00F43FC8">
        <w:rPr>
          <w:rFonts w:ascii="Times New Roman" w:hAnsi="Times New Roman"/>
          <w:noProof/>
          <w:sz w:val="24"/>
          <w:szCs w:val="24"/>
        </w:rPr>
        <w:t>3</w:t>
      </w:r>
      <w:r>
        <w:rPr>
          <w:rFonts w:ascii="Times New Roman" w:hAnsi="Times New Roman"/>
          <w:noProof/>
          <w:sz w:val="24"/>
          <w:szCs w:val="24"/>
        </w:rPr>
        <w:t>.</w:t>
      </w:r>
      <w:r w:rsidRPr="00F43FC8">
        <w:rPr>
          <w:rFonts w:ascii="Times New Roman" w:hAnsi="Times New Roman"/>
          <w:noProof/>
          <w:sz w:val="24"/>
          <w:szCs w:val="24"/>
        </w:rPr>
        <w:t>1</w:t>
      </w:r>
      <w:r>
        <w:rPr>
          <w:rFonts w:ascii="Times New Roman" w:hAnsi="Times New Roman"/>
          <w:noProof/>
          <w:sz w:val="24"/>
          <w:szCs w:val="24"/>
        </w:rPr>
        <w:t>.</w:t>
      </w:r>
      <w:r w:rsidRPr="00F43FC8">
        <w:rPr>
          <w:rFonts w:ascii="Times New Roman" w:hAnsi="Times New Roman"/>
          <w:noProof/>
          <w:sz w:val="24"/>
          <w:szCs w:val="24"/>
        </w:rPr>
        <w:t>2</w:t>
      </w:r>
      <w:r>
        <w:rPr>
          <w:rFonts w:ascii="Times New Roman" w:hAnsi="Times New Roman"/>
          <w:noProof/>
          <w:sz w:val="24"/>
          <w:szCs w:val="24"/>
        </w:rPr>
        <w:t>), de la mise aux enchères des quotas, des recettes provenant de cette mise aux enchères et de leur utilisation (chapitre </w:t>
      </w:r>
      <w:r w:rsidRPr="00F43FC8">
        <w:rPr>
          <w:rFonts w:ascii="Times New Roman" w:hAnsi="Times New Roman"/>
          <w:noProof/>
          <w:sz w:val="24"/>
          <w:szCs w:val="24"/>
        </w:rPr>
        <w:t>3</w:t>
      </w:r>
      <w:r>
        <w:rPr>
          <w:rFonts w:ascii="Times New Roman" w:hAnsi="Times New Roman"/>
          <w:noProof/>
          <w:sz w:val="24"/>
          <w:szCs w:val="24"/>
        </w:rPr>
        <w:t>.</w:t>
      </w:r>
      <w:r w:rsidRPr="00F43FC8">
        <w:rPr>
          <w:rFonts w:ascii="Times New Roman" w:hAnsi="Times New Roman"/>
          <w:noProof/>
          <w:sz w:val="24"/>
          <w:szCs w:val="24"/>
        </w:rPr>
        <w:t>1</w:t>
      </w:r>
      <w:r>
        <w:rPr>
          <w:rFonts w:ascii="Times New Roman" w:hAnsi="Times New Roman"/>
          <w:noProof/>
          <w:sz w:val="24"/>
          <w:szCs w:val="24"/>
        </w:rPr>
        <w:t>.</w:t>
      </w:r>
      <w:r w:rsidRPr="00F43FC8">
        <w:rPr>
          <w:rFonts w:ascii="Times New Roman" w:hAnsi="Times New Roman"/>
          <w:noProof/>
          <w:sz w:val="24"/>
          <w:szCs w:val="24"/>
        </w:rPr>
        <w:t>3</w:t>
      </w:r>
      <w:r>
        <w:rPr>
          <w:rFonts w:ascii="Times New Roman" w:hAnsi="Times New Roman"/>
          <w:noProof/>
          <w:sz w:val="24"/>
          <w:szCs w:val="24"/>
        </w:rPr>
        <w:t>), des instruments de financement du SEQE-UE (chapitres </w:t>
      </w:r>
      <w:r w:rsidRPr="00F43FC8">
        <w:rPr>
          <w:rFonts w:ascii="Times New Roman" w:hAnsi="Times New Roman"/>
          <w:noProof/>
          <w:sz w:val="24"/>
          <w:szCs w:val="24"/>
        </w:rPr>
        <w:t>3</w:t>
      </w:r>
      <w:r>
        <w:rPr>
          <w:rFonts w:ascii="Times New Roman" w:hAnsi="Times New Roman"/>
          <w:noProof/>
          <w:sz w:val="24"/>
          <w:szCs w:val="24"/>
        </w:rPr>
        <w:t>.</w:t>
      </w:r>
      <w:r w:rsidRPr="00F43FC8">
        <w:rPr>
          <w:rFonts w:ascii="Times New Roman" w:hAnsi="Times New Roman"/>
          <w:noProof/>
          <w:sz w:val="24"/>
          <w:szCs w:val="24"/>
        </w:rPr>
        <w:t>1</w:t>
      </w:r>
      <w:r>
        <w:rPr>
          <w:rFonts w:ascii="Times New Roman" w:hAnsi="Times New Roman"/>
          <w:noProof/>
          <w:sz w:val="24"/>
          <w:szCs w:val="24"/>
        </w:rPr>
        <w:t>.</w:t>
      </w:r>
      <w:r w:rsidRPr="00F43FC8">
        <w:rPr>
          <w:rFonts w:ascii="Times New Roman" w:hAnsi="Times New Roman"/>
          <w:noProof/>
          <w:sz w:val="24"/>
          <w:szCs w:val="24"/>
        </w:rPr>
        <w:t>4</w:t>
      </w:r>
      <w:r>
        <w:rPr>
          <w:rFonts w:ascii="Times New Roman" w:hAnsi="Times New Roman"/>
          <w:noProof/>
          <w:sz w:val="24"/>
          <w:szCs w:val="24"/>
        </w:rPr>
        <w:t> à </w:t>
      </w:r>
      <w:r w:rsidRPr="00F43FC8">
        <w:rPr>
          <w:rFonts w:ascii="Times New Roman" w:hAnsi="Times New Roman"/>
          <w:noProof/>
          <w:sz w:val="24"/>
          <w:szCs w:val="24"/>
        </w:rPr>
        <w:t>3</w:t>
      </w:r>
      <w:r>
        <w:rPr>
          <w:rFonts w:ascii="Times New Roman" w:hAnsi="Times New Roman"/>
          <w:noProof/>
          <w:sz w:val="24"/>
          <w:szCs w:val="24"/>
        </w:rPr>
        <w:t>.</w:t>
      </w:r>
      <w:r w:rsidRPr="00F43FC8">
        <w:rPr>
          <w:rFonts w:ascii="Times New Roman" w:hAnsi="Times New Roman"/>
          <w:noProof/>
          <w:sz w:val="24"/>
          <w:szCs w:val="24"/>
        </w:rPr>
        <w:t>1</w:t>
      </w:r>
      <w:r>
        <w:rPr>
          <w:rFonts w:ascii="Times New Roman" w:hAnsi="Times New Roman"/>
          <w:noProof/>
          <w:sz w:val="24"/>
          <w:szCs w:val="24"/>
        </w:rPr>
        <w:t>.</w:t>
      </w:r>
      <w:r w:rsidRPr="00F43FC8">
        <w:rPr>
          <w:rFonts w:ascii="Times New Roman" w:hAnsi="Times New Roman"/>
          <w:noProof/>
          <w:sz w:val="24"/>
          <w:szCs w:val="24"/>
        </w:rPr>
        <w:t>8</w:t>
      </w:r>
      <w:r>
        <w:rPr>
          <w:rFonts w:ascii="Times New Roman" w:hAnsi="Times New Roman"/>
          <w:noProof/>
          <w:sz w:val="24"/>
          <w:szCs w:val="24"/>
        </w:rPr>
        <w:t>), de la surveillance du marché (chapitre </w:t>
      </w:r>
      <w:r w:rsidRPr="00F43FC8">
        <w:rPr>
          <w:rFonts w:ascii="Times New Roman" w:hAnsi="Times New Roman"/>
          <w:noProof/>
          <w:sz w:val="24"/>
          <w:szCs w:val="24"/>
        </w:rPr>
        <w:t>5</w:t>
      </w:r>
      <w:r>
        <w:rPr>
          <w:rFonts w:ascii="Times New Roman" w:hAnsi="Times New Roman"/>
          <w:noProof/>
          <w:sz w:val="24"/>
          <w:szCs w:val="24"/>
        </w:rPr>
        <w:t>) et de l’efficacité de la mise en œuvre du SEQE-UE dans les pays participants (chapitre </w:t>
      </w:r>
      <w:r w:rsidRPr="00F43FC8">
        <w:rPr>
          <w:rFonts w:ascii="Times New Roman" w:hAnsi="Times New Roman"/>
          <w:noProof/>
          <w:sz w:val="24"/>
          <w:szCs w:val="24"/>
        </w:rPr>
        <w:t>6</w:t>
      </w:r>
      <w:r>
        <w:rPr>
          <w:rFonts w:ascii="Times New Roman" w:hAnsi="Times New Roman"/>
          <w:noProof/>
          <w:sz w:val="24"/>
          <w:szCs w:val="24"/>
        </w:rPr>
        <w:t>). Le rapport comprend deux nouveaux chapitres: le chapitre </w:t>
      </w:r>
      <w:r w:rsidRPr="00F43FC8">
        <w:rPr>
          <w:rFonts w:ascii="Times New Roman" w:hAnsi="Times New Roman"/>
          <w:noProof/>
          <w:sz w:val="24"/>
          <w:szCs w:val="24"/>
        </w:rPr>
        <w:t>7</w:t>
      </w:r>
      <w:r>
        <w:rPr>
          <w:rFonts w:ascii="Times New Roman" w:hAnsi="Times New Roman"/>
          <w:noProof/>
          <w:sz w:val="24"/>
          <w:szCs w:val="24"/>
        </w:rPr>
        <w:t xml:space="preserve"> décrit le couplage entre le SEQE de l’UE et celui de la Suisse et analyse l’effet qu’a eu ce couplage sur les deux marchés du carbone, tandis que le chapitre </w:t>
      </w:r>
      <w:r w:rsidRPr="00F43FC8">
        <w:rPr>
          <w:rFonts w:ascii="Times New Roman" w:hAnsi="Times New Roman"/>
          <w:noProof/>
          <w:sz w:val="24"/>
          <w:szCs w:val="24"/>
        </w:rPr>
        <w:t>8</w:t>
      </w:r>
      <w:r>
        <w:rPr>
          <w:rFonts w:ascii="Times New Roman" w:hAnsi="Times New Roman"/>
          <w:noProof/>
          <w:sz w:val="24"/>
          <w:szCs w:val="24"/>
        </w:rPr>
        <w:t xml:space="preserve"> examine l’incidence de la mise en œuvre de la directive </w:t>
      </w:r>
      <w:r w:rsidRPr="00F43FC8">
        <w:rPr>
          <w:rFonts w:ascii="Times New Roman" w:hAnsi="Times New Roman"/>
          <w:noProof/>
          <w:sz w:val="24"/>
          <w:szCs w:val="24"/>
        </w:rPr>
        <w:t>2012</w:t>
      </w:r>
      <w:r>
        <w:rPr>
          <w:rFonts w:ascii="Times New Roman" w:hAnsi="Times New Roman"/>
          <w:noProof/>
          <w:sz w:val="24"/>
          <w:szCs w:val="24"/>
        </w:rPr>
        <w:t>/</w:t>
      </w:r>
      <w:r w:rsidRPr="00F43FC8">
        <w:rPr>
          <w:rFonts w:ascii="Times New Roman" w:hAnsi="Times New Roman"/>
          <w:noProof/>
          <w:sz w:val="24"/>
          <w:szCs w:val="24"/>
        </w:rPr>
        <w:t>27</w:t>
      </w:r>
      <w:r>
        <w:rPr>
          <w:rFonts w:ascii="Times New Roman" w:hAnsi="Times New Roman"/>
          <w:noProof/>
          <w:sz w:val="24"/>
          <w:szCs w:val="24"/>
        </w:rPr>
        <w:t>/UE telle que modifiée par la directive (UE) </w:t>
      </w:r>
      <w:r w:rsidRPr="00F43FC8">
        <w:rPr>
          <w:rFonts w:ascii="Times New Roman" w:hAnsi="Times New Roman"/>
          <w:noProof/>
          <w:sz w:val="24"/>
          <w:szCs w:val="24"/>
        </w:rPr>
        <w:t>2018</w:t>
      </w:r>
      <w:r>
        <w:rPr>
          <w:rFonts w:ascii="Times New Roman" w:hAnsi="Times New Roman"/>
          <w:noProof/>
          <w:sz w:val="24"/>
          <w:szCs w:val="24"/>
        </w:rPr>
        <w:t>/</w:t>
      </w:r>
      <w:r w:rsidRPr="00F43FC8">
        <w:rPr>
          <w:rFonts w:ascii="Times New Roman" w:hAnsi="Times New Roman"/>
          <w:noProof/>
          <w:sz w:val="24"/>
          <w:szCs w:val="24"/>
        </w:rPr>
        <w:t>2002</w:t>
      </w:r>
      <w:r w:rsidR="00531E62" w:rsidRPr="00DA11F1">
        <w:rPr>
          <w:rStyle w:val="FootnoteReference"/>
          <w:rFonts w:ascii="Times New Roman" w:hAnsi="Times New Roman"/>
          <w:noProof/>
          <w:sz w:val="24"/>
          <w:szCs w:val="24"/>
        </w:rPr>
        <w:footnoteReference w:id="13"/>
      </w:r>
      <w:r>
        <w:rPr>
          <w:rFonts w:ascii="Times New Roman" w:hAnsi="Times New Roman"/>
          <w:noProof/>
          <w:sz w:val="24"/>
          <w:szCs w:val="24"/>
        </w:rPr>
        <w:t xml:space="preserve"> (directive sur l’efficacité énergétique) et des plans nationaux intégrés en matière d’énergie et de climat (PNEC) de </w:t>
      </w:r>
      <w:r w:rsidRPr="00F43FC8">
        <w:rPr>
          <w:rFonts w:ascii="Times New Roman" w:hAnsi="Times New Roman"/>
          <w:noProof/>
          <w:sz w:val="24"/>
          <w:szCs w:val="24"/>
        </w:rPr>
        <w:t>2019</w:t>
      </w:r>
      <w:r>
        <w:rPr>
          <w:rFonts w:ascii="Times New Roman" w:hAnsi="Times New Roman"/>
          <w:noProof/>
          <w:sz w:val="24"/>
          <w:szCs w:val="24"/>
        </w:rPr>
        <w:t xml:space="preserve"> sur le SEQE-UE. </w:t>
      </w:r>
    </w:p>
    <w:p w14:paraId="59FC7AE9" w14:textId="20910BE2" w:rsidR="0042389A" w:rsidRPr="00DA11F1" w:rsidRDefault="0042389A">
      <w:pPr>
        <w:jc w:val="both"/>
        <w:rPr>
          <w:rFonts w:ascii="Times New Roman" w:hAnsi="Times New Roman"/>
          <w:noProof/>
          <w:sz w:val="24"/>
          <w:szCs w:val="24"/>
        </w:rPr>
      </w:pPr>
      <w:r>
        <w:rPr>
          <w:rFonts w:ascii="Times New Roman" w:hAnsi="Times New Roman"/>
          <w:noProof/>
          <w:sz w:val="24"/>
          <w:szCs w:val="24"/>
        </w:rPr>
        <w:t>Sauf indication contraire, les données utilisées aux fins du présent rapport étaient des données qui étaient accessibles au public ou à la Commission à la fin du mois de juin </w:t>
      </w:r>
      <w:r w:rsidRPr="00F43FC8">
        <w:rPr>
          <w:rFonts w:ascii="Times New Roman" w:hAnsi="Times New Roman"/>
          <w:noProof/>
          <w:sz w:val="24"/>
          <w:szCs w:val="24"/>
        </w:rPr>
        <w:t>2021</w:t>
      </w:r>
      <w:r>
        <w:rPr>
          <w:rFonts w:ascii="Times New Roman" w:hAnsi="Times New Roman"/>
          <w:noProof/>
          <w:sz w:val="24"/>
          <w:szCs w:val="24"/>
        </w:rPr>
        <w:t>. Le rapport couvre les données de </w:t>
      </w:r>
      <w:r w:rsidRPr="00F43FC8">
        <w:rPr>
          <w:rFonts w:ascii="Times New Roman" w:hAnsi="Times New Roman"/>
          <w:noProof/>
          <w:sz w:val="24"/>
          <w:szCs w:val="24"/>
        </w:rPr>
        <w:t>2020</w:t>
      </w:r>
      <w:r>
        <w:rPr>
          <w:rFonts w:ascii="Times New Roman" w:hAnsi="Times New Roman"/>
          <w:noProof/>
          <w:sz w:val="24"/>
          <w:szCs w:val="24"/>
        </w:rPr>
        <w:t xml:space="preserve"> relatives au Royaume-Uni, afin de refléter le champ d’application du SEQE-UE jusqu’au </w:t>
      </w:r>
      <w:r w:rsidRPr="00F43FC8">
        <w:rPr>
          <w:rFonts w:ascii="Times New Roman" w:hAnsi="Times New Roman"/>
          <w:noProof/>
          <w:sz w:val="24"/>
          <w:szCs w:val="24"/>
        </w:rPr>
        <w:t>31</w:t>
      </w:r>
      <w:r>
        <w:rPr>
          <w:rFonts w:ascii="Times New Roman" w:hAnsi="Times New Roman"/>
          <w:noProof/>
          <w:sz w:val="24"/>
          <w:szCs w:val="24"/>
        </w:rPr>
        <w:t> décembre </w:t>
      </w:r>
      <w:r w:rsidRPr="00F43FC8">
        <w:rPr>
          <w:rFonts w:ascii="Times New Roman" w:hAnsi="Times New Roman"/>
          <w:noProof/>
          <w:sz w:val="24"/>
          <w:szCs w:val="24"/>
        </w:rPr>
        <w:t>2020</w:t>
      </w:r>
      <w:r>
        <w:rPr>
          <w:rFonts w:ascii="Times New Roman" w:hAnsi="Times New Roman"/>
          <w:noProof/>
          <w:sz w:val="24"/>
          <w:szCs w:val="24"/>
        </w:rPr>
        <w:t xml:space="preserve">. Des informations techniques et descriptives sur le SEQE-UE sont fournies dans les annexes du document de travail des services de la Commission accompagnant le présent rapport.  </w:t>
      </w:r>
    </w:p>
    <w:p w14:paraId="768A3AD1" w14:textId="7436ADF5" w:rsidR="009C349A" w:rsidRPr="00DA11F1" w:rsidRDefault="00FA7EBD" w:rsidP="00006E10">
      <w:pPr>
        <w:pStyle w:val="Heading1"/>
        <w:rPr>
          <w:noProof/>
        </w:rPr>
      </w:pPr>
      <w:bookmarkStart w:id="8" w:name="_Toc426378556"/>
      <w:bookmarkStart w:id="9" w:name="_Toc89707758"/>
      <w:bookmarkStart w:id="10" w:name="_Toc490850421"/>
      <w:bookmarkStart w:id="11" w:name="_Toc519009677"/>
      <w:bookmarkEnd w:id="8"/>
      <w:r w:rsidRPr="00F43FC8">
        <w:rPr>
          <w:noProof/>
        </w:rPr>
        <w:t>2</w:t>
      </w:r>
      <w:r>
        <w:rPr>
          <w:noProof/>
        </w:rPr>
        <w:t>. INFRASTRUCTURE ET COUVERTURE DU SEQE-UE</w:t>
      </w:r>
      <w:bookmarkEnd w:id="9"/>
    </w:p>
    <w:p w14:paraId="2240193B" w14:textId="7E31B42C" w:rsidR="00C163CB" w:rsidRPr="00DA11F1" w:rsidRDefault="000D6521" w:rsidP="00EE2F8D">
      <w:pPr>
        <w:suppressAutoHyphens/>
        <w:jc w:val="both"/>
        <w:rPr>
          <w:rFonts w:ascii="Times New Roman" w:hAnsi="Times New Roman"/>
          <w:noProof/>
          <w:sz w:val="24"/>
          <w:szCs w:val="24"/>
        </w:rPr>
      </w:pPr>
      <w:r>
        <w:rPr>
          <w:rFonts w:ascii="Times New Roman" w:hAnsi="Times New Roman"/>
          <w:noProof/>
          <w:sz w:val="24"/>
          <w:szCs w:val="24"/>
        </w:rPr>
        <w:t>Tout au long de la phase </w:t>
      </w:r>
      <w:r w:rsidRPr="00F43FC8">
        <w:rPr>
          <w:rFonts w:ascii="Times New Roman" w:hAnsi="Times New Roman"/>
          <w:noProof/>
          <w:sz w:val="24"/>
          <w:szCs w:val="24"/>
        </w:rPr>
        <w:t>3</w:t>
      </w:r>
      <w:r>
        <w:rPr>
          <w:rFonts w:ascii="Times New Roman" w:hAnsi="Times New Roman"/>
          <w:noProof/>
          <w:sz w:val="24"/>
          <w:szCs w:val="24"/>
        </w:rPr>
        <w:t xml:space="preserve"> du SEQE-UE (</w:t>
      </w:r>
      <w:r w:rsidRPr="00F43FC8">
        <w:rPr>
          <w:rFonts w:ascii="Times New Roman" w:hAnsi="Times New Roman"/>
          <w:noProof/>
          <w:sz w:val="24"/>
          <w:szCs w:val="24"/>
        </w:rPr>
        <w:t>2013</w:t>
      </w:r>
      <w:r>
        <w:rPr>
          <w:rFonts w:ascii="Times New Roman" w:hAnsi="Times New Roman"/>
          <w:noProof/>
          <w:sz w:val="24"/>
          <w:szCs w:val="24"/>
        </w:rPr>
        <w:t>-</w:t>
      </w:r>
      <w:r w:rsidRPr="00F43FC8">
        <w:rPr>
          <w:rFonts w:ascii="Times New Roman" w:hAnsi="Times New Roman"/>
          <w:noProof/>
          <w:sz w:val="24"/>
          <w:szCs w:val="24"/>
        </w:rPr>
        <w:t>2020</w:t>
      </w:r>
      <w:r>
        <w:rPr>
          <w:rFonts w:ascii="Times New Roman" w:hAnsi="Times New Roman"/>
          <w:noProof/>
          <w:sz w:val="24"/>
          <w:szCs w:val="24"/>
        </w:rPr>
        <w:t xml:space="preserve">), le système a couvert les </w:t>
      </w:r>
      <w:r w:rsidRPr="00F43FC8">
        <w:rPr>
          <w:rFonts w:ascii="Times New Roman" w:hAnsi="Times New Roman"/>
          <w:noProof/>
          <w:sz w:val="24"/>
          <w:szCs w:val="24"/>
        </w:rPr>
        <w:t>28</w:t>
      </w:r>
      <w:r>
        <w:rPr>
          <w:rFonts w:ascii="Times New Roman" w:hAnsi="Times New Roman"/>
          <w:noProof/>
          <w:sz w:val="24"/>
          <w:szCs w:val="24"/>
        </w:rPr>
        <w:t xml:space="preserve"> États membres de l’UE (y compris le Royaume-Uni) et trois pays de l’AELE — l’Islande, le Liechtenstein et la Norvège. Au </w:t>
      </w:r>
      <w:r w:rsidRPr="00F43FC8">
        <w:rPr>
          <w:rFonts w:ascii="Times New Roman" w:hAnsi="Times New Roman"/>
          <w:noProof/>
          <w:sz w:val="24"/>
          <w:szCs w:val="24"/>
        </w:rPr>
        <w:t>1</w:t>
      </w:r>
      <w:r>
        <w:rPr>
          <w:rFonts w:ascii="Times New Roman" w:hAnsi="Times New Roman"/>
          <w:noProof/>
          <w:sz w:val="24"/>
          <w:szCs w:val="24"/>
          <w:vertAlign w:val="superscript"/>
        </w:rPr>
        <w:t>er</w:t>
      </w:r>
      <w:r>
        <w:rPr>
          <w:rFonts w:ascii="Times New Roman" w:hAnsi="Times New Roman"/>
          <w:noProof/>
          <w:sz w:val="24"/>
          <w:szCs w:val="24"/>
        </w:rPr>
        <w:t xml:space="preserve"> janvier </w:t>
      </w:r>
      <w:r w:rsidRPr="00F43FC8">
        <w:rPr>
          <w:rFonts w:ascii="Times New Roman" w:hAnsi="Times New Roman"/>
          <w:noProof/>
          <w:sz w:val="24"/>
          <w:szCs w:val="24"/>
        </w:rPr>
        <w:t>2021</w:t>
      </w:r>
      <w:r>
        <w:rPr>
          <w:rFonts w:ascii="Times New Roman" w:hAnsi="Times New Roman"/>
          <w:noProof/>
          <w:sz w:val="24"/>
          <w:szCs w:val="24"/>
        </w:rPr>
        <w:t xml:space="preserve">, le SEQE-UE couvre les </w:t>
      </w:r>
      <w:r w:rsidRPr="00F43FC8">
        <w:rPr>
          <w:rFonts w:ascii="Times New Roman" w:hAnsi="Times New Roman"/>
          <w:noProof/>
          <w:sz w:val="24"/>
          <w:szCs w:val="24"/>
        </w:rPr>
        <w:t>27</w:t>
      </w:r>
      <w:r>
        <w:rPr>
          <w:rFonts w:ascii="Times New Roman" w:hAnsi="Times New Roman"/>
          <w:noProof/>
          <w:sz w:val="24"/>
          <w:szCs w:val="24"/>
        </w:rPr>
        <w:t xml:space="preserve"> États membres de l’UE et l’Islande, le Liechtenstein et la Norvège, ainsi que les installations de production d’électricité d’Irlande du Nord. Depuis le </w:t>
      </w:r>
      <w:r w:rsidRPr="00F43FC8">
        <w:rPr>
          <w:rFonts w:ascii="Times New Roman" w:hAnsi="Times New Roman"/>
          <w:noProof/>
          <w:sz w:val="24"/>
          <w:szCs w:val="24"/>
        </w:rPr>
        <w:t>1</w:t>
      </w:r>
      <w:r>
        <w:rPr>
          <w:rFonts w:ascii="Times New Roman" w:hAnsi="Times New Roman"/>
          <w:noProof/>
          <w:sz w:val="24"/>
          <w:szCs w:val="24"/>
          <w:vertAlign w:val="superscript"/>
        </w:rPr>
        <w:t>er</w:t>
      </w:r>
      <w:r>
        <w:rPr>
          <w:rFonts w:ascii="Times New Roman" w:hAnsi="Times New Roman"/>
          <w:noProof/>
          <w:sz w:val="24"/>
          <w:szCs w:val="24"/>
        </w:rPr>
        <w:t xml:space="preserve"> janvier </w:t>
      </w:r>
      <w:r w:rsidRPr="00F43FC8">
        <w:rPr>
          <w:rFonts w:ascii="Times New Roman" w:hAnsi="Times New Roman"/>
          <w:noProof/>
          <w:sz w:val="24"/>
          <w:szCs w:val="24"/>
        </w:rPr>
        <w:t>2020</w:t>
      </w:r>
      <w:r>
        <w:rPr>
          <w:rFonts w:ascii="Times New Roman" w:hAnsi="Times New Roman"/>
          <w:noProof/>
          <w:sz w:val="24"/>
          <w:szCs w:val="24"/>
        </w:rPr>
        <w:t>, le SEQE-UE est couplé au marché suisse du carbone (voir chapitre </w:t>
      </w:r>
      <w:r w:rsidRPr="00F43FC8">
        <w:rPr>
          <w:rFonts w:ascii="Times New Roman" w:hAnsi="Times New Roman"/>
          <w:noProof/>
          <w:sz w:val="24"/>
          <w:szCs w:val="24"/>
        </w:rPr>
        <w:t>7</w:t>
      </w:r>
      <w:r>
        <w:rPr>
          <w:rFonts w:ascii="Times New Roman" w:hAnsi="Times New Roman"/>
          <w:noProof/>
          <w:sz w:val="24"/>
          <w:szCs w:val="24"/>
        </w:rPr>
        <w:t xml:space="preserve">). </w:t>
      </w:r>
    </w:p>
    <w:p w14:paraId="724E336A" w14:textId="174C1134" w:rsidR="00E72DBC" w:rsidRPr="00DA11F1" w:rsidRDefault="00686C15" w:rsidP="00EE2F8D">
      <w:pPr>
        <w:suppressAutoHyphens/>
        <w:jc w:val="both"/>
        <w:rPr>
          <w:rFonts w:ascii="Times New Roman" w:hAnsi="Times New Roman"/>
          <w:noProof/>
          <w:sz w:val="24"/>
          <w:szCs w:val="24"/>
        </w:rPr>
      </w:pPr>
      <w:r>
        <w:rPr>
          <w:rFonts w:ascii="Times New Roman" w:hAnsi="Times New Roman"/>
          <w:noProof/>
          <w:sz w:val="24"/>
          <w:szCs w:val="24"/>
        </w:rPr>
        <w:t xml:space="preserve">Au total, le SEQE-UE régit les émissions de plus de </w:t>
      </w:r>
      <w:r w:rsidRPr="00F43FC8">
        <w:rPr>
          <w:rFonts w:ascii="Times New Roman" w:hAnsi="Times New Roman"/>
          <w:noProof/>
          <w:sz w:val="24"/>
          <w:szCs w:val="24"/>
        </w:rPr>
        <w:t>10</w:t>
      </w:r>
      <w:r>
        <w:rPr>
          <w:rFonts w:ascii="Times New Roman" w:hAnsi="Times New Roman"/>
          <w:noProof/>
          <w:sz w:val="24"/>
          <w:szCs w:val="24"/>
        </w:rPr>
        <w:t> </w:t>
      </w:r>
      <w:r w:rsidRPr="00F43FC8">
        <w:rPr>
          <w:rFonts w:ascii="Times New Roman" w:hAnsi="Times New Roman"/>
          <w:noProof/>
          <w:sz w:val="24"/>
          <w:szCs w:val="24"/>
        </w:rPr>
        <w:t>400</w:t>
      </w:r>
      <w:r>
        <w:rPr>
          <w:rFonts w:ascii="Times New Roman" w:hAnsi="Times New Roman"/>
          <w:noProof/>
          <w:sz w:val="24"/>
          <w:szCs w:val="24"/>
        </w:rPr>
        <w:t xml:space="preserve"> centrales et installations de production d’électricité et de chaleur, ainsi que de plus de </w:t>
      </w:r>
      <w:r w:rsidRPr="00F43FC8">
        <w:rPr>
          <w:rFonts w:ascii="Times New Roman" w:hAnsi="Times New Roman"/>
          <w:noProof/>
          <w:sz w:val="24"/>
          <w:szCs w:val="24"/>
        </w:rPr>
        <w:t>350</w:t>
      </w:r>
      <w:r>
        <w:rPr>
          <w:rFonts w:ascii="Times New Roman" w:hAnsi="Times New Roman"/>
          <w:noProof/>
          <w:sz w:val="24"/>
          <w:szCs w:val="24"/>
        </w:rPr>
        <w:t> exploitants d’aéronefs assurant des vols entre des aéroports de l’Espace économique européen (EEE) et de l’EEE vers la Suisse et le Royaume-Uni. Si, au début de la phase </w:t>
      </w:r>
      <w:r w:rsidRPr="00F43FC8">
        <w:rPr>
          <w:rFonts w:ascii="Times New Roman" w:hAnsi="Times New Roman"/>
          <w:noProof/>
          <w:sz w:val="24"/>
          <w:szCs w:val="24"/>
        </w:rPr>
        <w:t>3</w:t>
      </w:r>
      <w:r>
        <w:rPr>
          <w:rFonts w:ascii="Times New Roman" w:hAnsi="Times New Roman"/>
          <w:noProof/>
          <w:sz w:val="24"/>
          <w:szCs w:val="24"/>
        </w:rPr>
        <w:t xml:space="preserve">, le SEQE-UE couvrait environ la moitié de l’ensemble des émissions de GES dans l’UE, il couvre actuellement approximativement </w:t>
      </w:r>
      <w:r w:rsidRPr="00F43FC8">
        <w:rPr>
          <w:rFonts w:ascii="Times New Roman" w:hAnsi="Times New Roman"/>
          <w:noProof/>
          <w:sz w:val="24"/>
          <w:szCs w:val="24"/>
        </w:rPr>
        <w:t>36</w:t>
      </w:r>
      <w:r>
        <w:rPr>
          <w:rFonts w:ascii="Times New Roman" w:hAnsi="Times New Roman"/>
          <w:noProof/>
          <w:sz w:val="24"/>
          <w:szCs w:val="24"/>
        </w:rPr>
        <w:t> % des émissions de GES de l’UE. Un aperçu détaillé de la couverture du SEQE-UE au cours de la phase </w:t>
      </w:r>
      <w:r w:rsidRPr="00F43FC8">
        <w:rPr>
          <w:rFonts w:ascii="Times New Roman" w:hAnsi="Times New Roman"/>
          <w:noProof/>
          <w:sz w:val="24"/>
          <w:szCs w:val="24"/>
        </w:rPr>
        <w:t>3</w:t>
      </w:r>
      <w:r>
        <w:rPr>
          <w:rFonts w:ascii="Times New Roman" w:hAnsi="Times New Roman"/>
          <w:noProof/>
          <w:sz w:val="24"/>
          <w:szCs w:val="24"/>
        </w:rPr>
        <w:t xml:space="preserve"> est disponible à l’annexe </w:t>
      </w:r>
      <w:r w:rsidRPr="00F43FC8">
        <w:rPr>
          <w:rFonts w:ascii="Times New Roman" w:hAnsi="Times New Roman"/>
          <w:noProof/>
          <w:sz w:val="24"/>
          <w:szCs w:val="24"/>
        </w:rPr>
        <w:t>1</w:t>
      </w:r>
      <w:r>
        <w:rPr>
          <w:rFonts w:ascii="Times New Roman" w:hAnsi="Times New Roman"/>
          <w:noProof/>
          <w:sz w:val="24"/>
          <w:szCs w:val="24"/>
        </w:rPr>
        <w:t xml:space="preserve"> du document de travail des services de la Commission accompagnant le présent rapport. </w:t>
      </w:r>
    </w:p>
    <w:p w14:paraId="10B8BB53" w14:textId="7B677BD4" w:rsidR="00131369" w:rsidRPr="00DA11F1" w:rsidRDefault="009B1524" w:rsidP="00C163CB">
      <w:pPr>
        <w:pStyle w:val="Heading1"/>
        <w:rPr>
          <w:rStyle w:val="Heading2Char"/>
          <w:b/>
          <w:bCs/>
          <w:i w:val="0"/>
          <w:iCs w:val="0"/>
          <w:noProof/>
          <w:szCs w:val="32"/>
        </w:rPr>
      </w:pPr>
      <w:bookmarkStart w:id="12" w:name="_Toc89707759"/>
      <w:r w:rsidRPr="00F43FC8">
        <w:rPr>
          <w:rStyle w:val="Heading2Char"/>
          <w:b/>
          <w:bCs/>
          <w:i w:val="0"/>
          <w:iCs w:val="0"/>
          <w:noProof/>
          <w:szCs w:val="32"/>
        </w:rPr>
        <w:t>2</w:t>
      </w:r>
      <w:r>
        <w:rPr>
          <w:rStyle w:val="Heading2Char"/>
          <w:b/>
          <w:bCs/>
          <w:i w:val="0"/>
          <w:iCs w:val="0"/>
          <w:noProof/>
          <w:szCs w:val="32"/>
        </w:rPr>
        <w:t>.</w:t>
      </w:r>
      <w:r w:rsidRPr="00F43FC8">
        <w:rPr>
          <w:rStyle w:val="Heading2Char"/>
          <w:b/>
          <w:bCs/>
          <w:i w:val="0"/>
          <w:iCs w:val="0"/>
          <w:noProof/>
          <w:szCs w:val="32"/>
        </w:rPr>
        <w:t>1</w:t>
      </w:r>
      <w:r>
        <w:rPr>
          <w:rStyle w:val="Heading2Char"/>
          <w:b/>
          <w:bCs/>
          <w:i w:val="0"/>
          <w:iCs w:val="0"/>
          <w:noProof/>
          <w:szCs w:val="32"/>
        </w:rPr>
        <w:t xml:space="preserve"> Registre de l’UE et journal des transactions de l’Union européenne</w:t>
      </w:r>
      <w:bookmarkEnd w:id="12"/>
      <w:r>
        <w:rPr>
          <w:rStyle w:val="Heading2Char"/>
          <w:b/>
          <w:bCs/>
          <w:i w:val="0"/>
          <w:iCs w:val="0"/>
          <w:noProof/>
          <w:szCs w:val="32"/>
        </w:rPr>
        <w:t xml:space="preserve"> </w:t>
      </w:r>
      <w:bookmarkEnd w:id="10"/>
      <w:bookmarkEnd w:id="11"/>
    </w:p>
    <w:p w14:paraId="36505F23" w14:textId="0710B0DE" w:rsidR="002D560B" w:rsidRPr="00DA11F1" w:rsidRDefault="002D560B" w:rsidP="002D560B">
      <w:pPr>
        <w:jc w:val="both"/>
        <w:rPr>
          <w:rFonts w:ascii="Times New Roman" w:hAnsi="Times New Roman"/>
          <w:noProof/>
          <w:sz w:val="24"/>
          <w:szCs w:val="24"/>
        </w:rPr>
      </w:pPr>
      <w:r>
        <w:rPr>
          <w:rFonts w:ascii="Times New Roman" w:hAnsi="Times New Roman"/>
          <w:noProof/>
          <w:sz w:val="24"/>
          <w:szCs w:val="24"/>
        </w:rPr>
        <w:t xml:space="preserve">Le registre de l’Union et le journal des transactions de l’Union européenne (EUTL) permettent de retrouver des informations ayant trait à la possession de quotas généraux et de quotas aviation; y sont consignées les quantités détenues sur les comptes ainsi que les transactions entre comptes. Ces systèmes enregistrent également les émissions des installations fixes (électricité, chauffage et industrie) et des exploitants d’aéronefs, ainsi que le respect des obligations découlant de ces émissions. Les deux systèmes sont gérés et tenus à jour par la Commission, tandis que les administrateurs des registres nationaux des pays participants font office de points de contact pour les titulaires et les représentants des comptes (sociétés ou particuliers). Tandis que le registre de l’UE détient les comptes et enregistre les informations relatives au respect des obligations, l’EUTL vérifie, enregistre et autorise automatiquement toutes les transactions entre comptes, garantissant ainsi le respect des règles du SEQE-UE pour tous les transferts. </w:t>
      </w:r>
    </w:p>
    <w:p w14:paraId="445E86CC" w14:textId="5461618B" w:rsidR="002D560B" w:rsidRPr="00DA11F1" w:rsidRDefault="00154570" w:rsidP="00EE2F8D">
      <w:pPr>
        <w:jc w:val="both"/>
        <w:rPr>
          <w:rFonts w:ascii="Times New Roman" w:hAnsi="Times New Roman"/>
          <w:noProof/>
          <w:sz w:val="24"/>
          <w:szCs w:val="24"/>
        </w:rPr>
      </w:pPr>
      <w:r>
        <w:rPr>
          <w:rFonts w:ascii="Times New Roman" w:hAnsi="Times New Roman"/>
          <w:noProof/>
          <w:sz w:val="24"/>
          <w:szCs w:val="24"/>
        </w:rPr>
        <w:t>Les données enregistrées dans le registre de l’UE et dans l’EUTL demeurent une importante source d’information sur laquelle sont fondées de nombreuses déclarations au titre du SEQE, telles que le calcul de l’indicateur d’excédent concernant la réserve de stabilité du marché (RSM) (voir chapitre </w:t>
      </w:r>
      <w:r w:rsidRPr="00F43FC8">
        <w:rPr>
          <w:rFonts w:ascii="Times New Roman" w:hAnsi="Times New Roman"/>
          <w:noProof/>
          <w:sz w:val="24"/>
          <w:szCs w:val="24"/>
        </w:rPr>
        <w:t>3</w:t>
      </w:r>
      <w:r>
        <w:rPr>
          <w:rFonts w:ascii="Times New Roman" w:hAnsi="Times New Roman"/>
          <w:noProof/>
          <w:sz w:val="24"/>
          <w:szCs w:val="24"/>
        </w:rPr>
        <w:t>.</w:t>
      </w:r>
      <w:r w:rsidRPr="00F43FC8">
        <w:rPr>
          <w:rFonts w:ascii="Times New Roman" w:hAnsi="Times New Roman"/>
          <w:noProof/>
          <w:sz w:val="24"/>
          <w:szCs w:val="24"/>
        </w:rPr>
        <w:t>2</w:t>
      </w:r>
      <w:r>
        <w:rPr>
          <w:rFonts w:ascii="Times New Roman" w:hAnsi="Times New Roman"/>
          <w:noProof/>
          <w:sz w:val="24"/>
          <w:szCs w:val="24"/>
        </w:rPr>
        <w:t>.</w:t>
      </w:r>
      <w:r w:rsidRPr="00F43FC8">
        <w:rPr>
          <w:rFonts w:ascii="Times New Roman" w:hAnsi="Times New Roman"/>
          <w:noProof/>
          <w:sz w:val="24"/>
          <w:szCs w:val="24"/>
        </w:rPr>
        <w:t>2</w:t>
      </w:r>
      <w:r>
        <w:rPr>
          <w:rFonts w:ascii="Times New Roman" w:hAnsi="Times New Roman"/>
          <w:noProof/>
          <w:sz w:val="24"/>
          <w:szCs w:val="24"/>
        </w:rPr>
        <w:t>) et les rapports établis par l’Agence européenne pour l’environnement. L’EUTL assure également la transparence du SEQE-UE en publiant des informations sur la conformité des installations fixes et des exploitants d’aéronefs aux dispositions du SEQE-UE et sur les transactions entre comptes.</w:t>
      </w:r>
    </w:p>
    <w:p w14:paraId="79662C14" w14:textId="3966A845" w:rsidR="004D6E35" w:rsidRPr="00DA11F1" w:rsidRDefault="004D3B9F" w:rsidP="004D3B9F">
      <w:pPr>
        <w:jc w:val="both"/>
        <w:rPr>
          <w:rFonts w:ascii="Times New Roman" w:hAnsi="Times New Roman"/>
          <w:noProof/>
          <w:sz w:val="24"/>
          <w:szCs w:val="24"/>
        </w:rPr>
      </w:pPr>
      <w:r>
        <w:rPr>
          <w:rFonts w:ascii="Times New Roman" w:hAnsi="Times New Roman"/>
          <w:noProof/>
          <w:sz w:val="24"/>
          <w:szCs w:val="24"/>
        </w:rPr>
        <w:t>Pendant la phase </w:t>
      </w:r>
      <w:r w:rsidRPr="00F43FC8">
        <w:rPr>
          <w:rFonts w:ascii="Times New Roman" w:hAnsi="Times New Roman"/>
          <w:noProof/>
          <w:sz w:val="24"/>
          <w:szCs w:val="24"/>
        </w:rPr>
        <w:t>3</w:t>
      </w:r>
      <w:r>
        <w:rPr>
          <w:rFonts w:ascii="Times New Roman" w:hAnsi="Times New Roman"/>
          <w:noProof/>
          <w:sz w:val="24"/>
          <w:szCs w:val="24"/>
        </w:rPr>
        <w:t xml:space="preserve">, le site web public de l’EUTL a fonctionné de manière fiable, en restant opérationnel pendant </w:t>
      </w:r>
      <w:r w:rsidRPr="00F43FC8">
        <w:rPr>
          <w:rFonts w:ascii="Times New Roman" w:hAnsi="Times New Roman"/>
          <w:noProof/>
          <w:sz w:val="24"/>
          <w:szCs w:val="24"/>
        </w:rPr>
        <w:t>365</w:t>
      </w:r>
      <w:r>
        <w:rPr>
          <w:rFonts w:ascii="Times New Roman" w:hAnsi="Times New Roman"/>
          <w:noProof/>
          <w:sz w:val="24"/>
          <w:szCs w:val="24"/>
        </w:rPr>
        <w:t xml:space="preserve"> jours, </w:t>
      </w:r>
      <w:r w:rsidRPr="00F43FC8">
        <w:rPr>
          <w:rFonts w:ascii="Times New Roman" w:hAnsi="Times New Roman"/>
          <w:noProof/>
          <w:sz w:val="24"/>
          <w:szCs w:val="24"/>
        </w:rPr>
        <w:t>24</w:t>
      </w:r>
      <w:r>
        <w:rPr>
          <w:rFonts w:ascii="Times New Roman" w:hAnsi="Times New Roman"/>
          <w:noProof/>
          <w:sz w:val="24"/>
          <w:szCs w:val="24"/>
        </w:rPr>
        <w:t xml:space="preserve"> heures sur </w:t>
      </w:r>
      <w:r w:rsidRPr="00F43FC8">
        <w:rPr>
          <w:rFonts w:ascii="Times New Roman" w:hAnsi="Times New Roman"/>
          <w:noProof/>
          <w:sz w:val="24"/>
          <w:szCs w:val="24"/>
        </w:rPr>
        <w:t>24</w:t>
      </w:r>
      <w:r>
        <w:rPr>
          <w:rFonts w:ascii="Times New Roman" w:hAnsi="Times New Roman"/>
          <w:noProof/>
          <w:sz w:val="24"/>
          <w:szCs w:val="24"/>
        </w:rPr>
        <w:t>, chaque année, seules des interruptions mineures ayant été effectuées pour des mises à niveau techniques programmées. C’était déjà le cas en </w:t>
      </w:r>
      <w:r w:rsidRPr="00F43FC8">
        <w:rPr>
          <w:rFonts w:ascii="Times New Roman" w:hAnsi="Times New Roman"/>
          <w:noProof/>
          <w:sz w:val="24"/>
          <w:szCs w:val="24"/>
        </w:rPr>
        <w:t>2020</w:t>
      </w:r>
      <w:r>
        <w:rPr>
          <w:rFonts w:ascii="Times New Roman" w:hAnsi="Times New Roman"/>
          <w:noProof/>
          <w:sz w:val="24"/>
          <w:szCs w:val="24"/>
        </w:rPr>
        <w:t xml:space="preserve">. Le </w:t>
      </w:r>
      <w:r w:rsidRPr="00F43FC8">
        <w:rPr>
          <w:rFonts w:ascii="Times New Roman" w:hAnsi="Times New Roman"/>
          <w:noProof/>
          <w:sz w:val="24"/>
          <w:szCs w:val="24"/>
        </w:rPr>
        <w:t>18</w:t>
      </w:r>
      <w:r>
        <w:rPr>
          <w:rFonts w:ascii="Times New Roman" w:hAnsi="Times New Roman"/>
          <w:noProof/>
          <w:sz w:val="24"/>
          <w:szCs w:val="24"/>
        </w:rPr>
        <w:t> août </w:t>
      </w:r>
      <w:r w:rsidRPr="00F43FC8">
        <w:rPr>
          <w:rFonts w:ascii="Times New Roman" w:hAnsi="Times New Roman"/>
          <w:noProof/>
          <w:sz w:val="24"/>
          <w:szCs w:val="24"/>
        </w:rPr>
        <w:t>2020</w:t>
      </w:r>
      <w:r>
        <w:rPr>
          <w:rFonts w:ascii="Times New Roman" w:hAnsi="Times New Roman"/>
          <w:noProof/>
          <w:sz w:val="24"/>
          <w:szCs w:val="24"/>
        </w:rPr>
        <w:t xml:space="preserve"> a fait exception à la règle: en raison de problèmes techniques, plusieurs transactions n’ont pas été correctement traitées. Le registre de l’UE a été indisponible entre le </w:t>
      </w:r>
      <w:r w:rsidRPr="00F43FC8">
        <w:rPr>
          <w:rFonts w:ascii="Times New Roman" w:hAnsi="Times New Roman"/>
          <w:noProof/>
          <w:sz w:val="24"/>
          <w:szCs w:val="24"/>
        </w:rPr>
        <w:t>19</w:t>
      </w:r>
      <w:r>
        <w:rPr>
          <w:rFonts w:ascii="Times New Roman" w:hAnsi="Times New Roman"/>
          <w:noProof/>
          <w:sz w:val="24"/>
          <w:szCs w:val="24"/>
        </w:rPr>
        <w:t xml:space="preserve"> et le </w:t>
      </w:r>
      <w:r w:rsidRPr="00F43FC8">
        <w:rPr>
          <w:rFonts w:ascii="Times New Roman" w:hAnsi="Times New Roman"/>
          <w:noProof/>
          <w:sz w:val="24"/>
          <w:szCs w:val="24"/>
        </w:rPr>
        <w:t>21</w:t>
      </w:r>
      <w:r>
        <w:rPr>
          <w:rFonts w:ascii="Times New Roman" w:hAnsi="Times New Roman"/>
          <w:noProof/>
          <w:sz w:val="24"/>
          <w:szCs w:val="24"/>
        </w:rPr>
        <w:t xml:space="preserve"> août en raison de travaux de dépannage et de réparation. </w:t>
      </w:r>
    </w:p>
    <w:p w14:paraId="62046D35" w14:textId="677F325B" w:rsidR="004D3B9F" w:rsidRPr="00DA11F1" w:rsidRDefault="004D6E35" w:rsidP="004D3B9F">
      <w:pPr>
        <w:jc w:val="both"/>
        <w:rPr>
          <w:rFonts w:ascii="Times New Roman" w:hAnsi="Times New Roman"/>
          <w:noProof/>
          <w:sz w:val="24"/>
          <w:szCs w:val="24"/>
        </w:rPr>
      </w:pPr>
      <w:r>
        <w:rPr>
          <w:rFonts w:ascii="Times New Roman" w:hAnsi="Times New Roman"/>
          <w:noProof/>
          <w:sz w:val="24"/>
          <w:szCs w:val="24"/>
        </w:rPr>
        <w:t>Plusieurs interventions de développement majeures ont été effectuées sur le registre de l’UE en </w:t>
      </w:r>
      <w:r w:rsidRPr="00F43FC8">
        <w:rPr>
          <w:rFonts w:ascii="Times New Roman" w:hAnsi="Times New Roman"/>
          <w:noProof/>
          <w:sz w:val="24"/>
          <w:szCs w:val="24"/>
        </w:rPr>
        <w:t>2020</w:t>
      </w:r>
      <w:r>
        <w:rPr>
          <w:rFonts w:ascii="Times New Roman" w:hAnsi="Times New Roman"/>
          <w:noProof/>
          <w:sz w:val="24"/>
          <w:szCs w:val="24"/>
        </w:rPr>
        <w:t xml:space="preserve"> et au premier semestre </w:t>
      </w:r>
      <w:r w:rsidRPr="00F43FC8">
        <w:rPr>
          <w:rFonts w:ascii="Times New Roman" w:hAnsi="Times New Roman"/>
          <w:noProof/>
          <w:sz w:val="24"/>
          <w:szCs w:val="24"/>
        </w:rPr>
        <w:t>2021</w:t>
      </w:r>
      <w:r>
        <w:rPr>
          <w:rFonts w:ascii="Times New Roman" w:hAnsi="Times New Roman"/>
          <w:noProof/>
          <w:sz w:val="24"/>
          <w:szCs w:val="24"/>
        </w:rPr>
        <w:t>. Premièrement, l’accord de commerce et de coopération</w:t>
      </w:r>
      <w:r w:rsidR="004D3B9F" w:rsidRPr="00DA11F1">
        <w:rPr>
          <w:rStyle w:val="FootnoteReference"/>
          <w:rFonts w:ascii="Times New Roman" w:hAnsi="Times New Roman"/>
          <w:noProof/>
          <w:sz w:val="24"/>
          <w:szCs w:val="24"/>
        </w:rPr>
        <w:footnoteReference w:id="14"/>
      </w:r>
      <w:r>
        <w:rPr>
          <w:rFonts w:ascii="Times New Roman" w:hAnsi="Times New Roman"/>
          <w:noProof/>
          <w:sz w:val="24"/>
          <w:szCs w:val="24"/>
        </w:rPr>
        <w:t xml:space="preserve"> entre l’UE et le Royaume-Uni est entré provisoirement en application le </w:t>
      </w:r>
      <w:r w:rsidRPr="00F43FC8">
        <w:rPr>
          <w:rFonts w:ascii="Times New Roman" w:hAnsi="Times New Roman"/>
          <w:noProof/>
          <w:sz w:val="24"/>
          <w:szCs w:val="24"/>
        </w:rPr>
        <w:t>1</w:t>
      </w:r>
      <w:r>
        <w:rPr>
          <w:rFonts w:ascii="Times New Roman" w:hAnsi="Times New Roman"/>
          <w:noProof/>
          <w:sz w:val="24"/>
          <w:szCs w:val="24"/>
          <w:vertAlign w:val="superscript"/>
        </w:rPr>
        <w:t>er</w:t>
      </w:r>
      <w:r>
        <w:rPr>
          <w:rFonts w:ascii="Times New Roman" w:hAnsi="Times New Roman"/>
          <w:noProof/>
          <w:sz w:val="24"/>
          <w:szCs w:val="24"/>
        </w:rPr>
        <w:t> janvier </w:t>
      </w:r>
      <w:r w:rsidRPr="00F43FC8">
        <w:rPr>
          <w:rFonts w:ascii="Times New Roman" w:hAnsi="Times New Roman"/>
          <w:noProof/>
          <w:sz w:val="24"/>
          <w:szCs w:val="24"/>
        </w:rPr>
        <w:t>2021</w:t>
      </w:r>
      <w:r>
        <w:rPr>
          <w:rFonts w:ascii="Times New Roman" w:hAnsi="Times New Roman"/>
          <w:noProof/>
          <w:sz w:val="24"/>
          <w:szCs w:val="24"/>
        </w:rPr>
        <w:t xml:space="preserve"> et est entré en vigueur le </w:t>
      </w:r>
      <w:r w:rsidRPr="00F43FC8">
        <w:rPr>
          <w:rFonts w:ascii="Times New Roman" w:hAnsi="Times New Roman"/>
          <w:noProof/>
          <w:sz w:val="24"/>
          <w:szCs w:val="24"/>
        </w:rPr>
        <w:t>1</w:t>
      </w:r>
      <w:r>
        <w:rPr>
          <w:rFonts w:ascii="Times New Roman" w:hAnsi="Times New Roman"/>
          <w:noProof/>
          <w:sz w:val="24"/>
          <w:szCs w:val="24"/>
          <w:vertAlign w:val="superscript"/>
        </w:rPr>
        <w:t>er</w:t>
      </w:r>
      <w:r>
        <w:rPr>
          <w:rFonts w:ascii="Times New Roman" w:hAnsi="Times New Roman"/>
          <w:noProof/>
          <w:sz w:val="24"/>
          <w:szCs w:val="24"/>
        </w:rPr>
        <w:t> mai </w:t>
      </w:r>
      <w:r w:rsidRPr="00F43FC8">
        <w:rPr>
          <w:rFonts w:ascii="Times New Roman" w:hAnsi="Times New Roman"/>
          <w:noProof/>
          <w:sz w:val="24"/>
          <w:szCs w:val="24"/>
        </w:rPr>
        <w:t>2021</w:t>
      </w:r>
      <w:r>
        <w:rPr>
          <w:rFonts w:ascii="Times New Roman" w:hAnsi="Times New Roman"/>
          <w:noProof/>
          <w:sz w:val="24"/>
          <w:szCs w:val="24"/>
        </w:rPr>
        <w:t>.</w:t>
      </w:r>
      <w:r>
        <w:rPr>
          <w:rFonts w:ascii="Times New Roman" w:hAnsi="Times New Roman"/>
          <w:noProof/>
        </w:rPr>
        <w:t xml:space="preserve"> </w:t>
      </w:r>
      <w:r>
        <w:rPr>
          <w:rFonts w:ascii="Times New Roman" w:hAnsi="Times New Roman"/>
          <w:noProof/>
          <w:sz w:val="24"/>
          <w:szCs w:val="24"/>
        </w:rPr>
        <w:t>Dans cet accord, l’UE et le Royaume-Uni se sont engagés à maintenir le niveau d’ambition de leurs politiques climatiques et environnementales tel qu’existant fin </w:t>
      </w:r>
      <w:r w:rsidRPr="00F43FC8">
        <w:rPr>
          <w:rFonts w:ascii="Times New Roman" w:hAnsi="Times New Roman"/>
          <w:noProof/>
          <w:sz w:val="24"/>
          <w:szCs w:val="24"/>
        </w:rPr>
        <w:t>2020</w:t>
      </w:r>
      <w:r>
        <w:rPr>
          <w:rFonts w:ascii="Times New Roman" w:hAnsi="Times New Roman"/>
          <w:noProof/>
          <w:sz w:val="24"/>
          <w:szCs w:val="24"/>
        </w:rPr>
        <w:t>, ainsi qu’à adapter ces politiques conformément à leurs obligations internationales. L’article </w:t>
      </w:r>
      <w:r w:rsidRPr="00F43FC8">
        <w:rPr>
          <w:rFonts w:ascii="Times New Roman" w:hAnsi="Times New Roman"/>
          <w:noProof/>
          <w:sz w:val="24"/>
          <w:szCs w:val="24"/>
        </w:rPr>
        <w:t>392</w:t>
      </w:r>
      <w:r>
        <w:rPr>
          <w:rFonts w:ascii="Times New Roman" w:hAnsi="Times New Roman"/>
          <w:noProof/>
          <w:sz w:val="24"/>
          <w:szCs w:val="24"/>
        </w:rPr>
        <w:t xml:space="preserve"> de l’accord prévoit qu’au </w:t>
      </w:r>
      <w:r w:rsidRPr="00F43FC8">
        <w:rPr>
          <w:rFonts w:ascii="Times New Roman" w:hAnsi="Times New Roman"/>
          <w:noProof/>
          <w:sz w:val="24"/>
          <w:szCs w:val="24"/>
        </w:rPr>
        <w:t>1</w:t>
      </w:r>
      <w:r>
        <w:rPr>
          <w:rFonts w:ascii="Times New Roman" w:hAnsi="Times New Roman"/>
          <w:noProof/>
          <w:sz w:val="24"/>
          <w:szCs w:val="24"/>
          <w:vertAlign w:val="superscript"/>
        </w:rPr>
        <w:t>er</w:t>
      </w:r>
      <w:r>
        <w:rPr>
          <w:rFonts w:ascii="Times New Roman" w:hAnsi="Times New Roman"/>
          <w:noProof/>
          <w:sz w:val="24"/>
          <w:szCs w:val="24"/>
        </w:rPr>
        <w:t> janvier </w:t>
      </w:r>
      <w:r w:rsidRPr="00F43FC8">
        <w:rPr>
          <w:rFonts w:ascii="Times New Roman" w:hAnsi="Times New Roman"/>
          <w:noProof/>
          <w:sz w:val="24"/>
          <w:szCs w:val="24"/>
        </w:rPr>
        <w:t>2021</w:t>
      </w:r>
      <w:r>
        <w:rPr>
          <w:rFonts w:ascii="Times New Roman" w:hAnsi="Times New Roman"/>
          <w:noProof/>
          <w:sz w:val="24"/>
          <w:szCs w:val="24"/>
        </w:rPr>
        <w:t>, les deux parties doivent avoir mis en place un système de tarification du carbone couvrant les émissions de GES provenant de la production d’électricité, de la production de chaleur, de l’industrie et de l’aviation. Les producteurs d’électricité d’Irlande du Nord et les vols au départ de l’EEE à destination du Royaume-Uni restent couverts par le SEQE-UE, tandis que les vols au départ du Royaume-Uni à destination de l’EEE relèvent du système de tarification du carbone du Royaume-Uni (voir chapitre </w:t>
      </w:r>
      <w:r w:rsidRPr="00F43FC8">
        <w:rPr>
          <w:rFonts w:ascii="Times New Roman" w:hAnsi="Times New Roman"/>
          <w:noProof/>
          <w:sz w:val="24"/>
          <w:szCs w:val="24"/>
        </w:rPr>
        <w:t>4</w:t>
      </w:r>
      <w:r>
        <w:rPr>
          <w:rFonts w:ascii="Times New Roman" w:hAnsi="Times New Roman"/>
          <w:noProof/>
          <w:sz w:val="24"/>
          <w:szCs w:val="24"/>
        </w:rPr>
        <w:t>). Par conséquent, les producteurs d’électricité de l’Irlande du Nord sont restés dans le registre de l’UE, et la directive SEQE-UE a été modifiée afin de tenir compte des modifications de la couverture des vols</w:t>
      </w:r>
      <w:r w:rsidR="00795EB2" w:rsidRPr="00DA11F1">
        <w:rPr>
          <w:rStyle w:val="FootnoteReference"/>
          <w:rFonts w:ascii="Times New Roman" w:hAnsi="Times New Roman"/>
          <w:noProof/>
          <w:sz w:val="24"/>
          <w:szCs w:val="24"/>
        </w:rPr>
        <w:footnoteReference w:id="15"/>
      </w:r>
      <w:r>
        <w:rPr>
          <w:rFonts w:ascii="Times New Roman" w:hAnsi="Times New Roman"/>
          <w:noProof/>
          <w:sz w:val="24"/>
          <w:szCs w:val="24"/>
        </w:rPr>
        <w:t>.</w:t>
      </w:r>
    </w:p>
    <w:p w14:paraId="5EDE666A" w14:textId="2E61951C" w:rsidR="004D3B9F" w:rsidRPr="00DA11F1" w:rsidRDefault="00C65511" w:rsidP="004D3B9F">
      <w:pPr>
        <w:jc w:val="both"/>
        <w:rPr>
          <w:rFonts w:ascii="Times New Roman" w:hAnsi="Times New Roman"/>
          <w:noProof/>
          <w:sz w:val="24"/>
          <w:szCs w:val="24"/>
        </w:rPr>
      </w:pPr>
      <w:r>
        <w:rPr>
          <w:rFonts w:ascii="Times New Roman" w:hAnsi="Times New Roman"/>
          <w:noProof/>
          <w:sz w:val="24"/>
          <w:szCs w:val="24"/>
        </w:rPr>
        <w:t>L’amendement de Doha instaurant la deuxième période d’engagement (PC</w:t>
      </w:r>
      <w:r w:rsidRPr="00F43FC8">
        <w:rPr>
          <w:rFonts w:ascii="Times New Roman" w:hAnsi="Times New Roman"/>
          <w:noProof/>
          <w:sz w:val="24"/>
          <w:szCs w:val="24"/>
        </w:rPr>
        <w:t>2</w:t>
      </w:r>
      <w:r>
        <w:rPr>
          <w:rFonts w:ascii="Times New Roman" w:hAnsi="Times New Roman"/>
          <w:noProof/>
          <w:sz w:val="24"/>
          <w:szCs w:val="24"/>
        </w:rPr>
        <w:t>) du protocole de Kyoto (</w:t>
      </w:r>
      <w:r w:rsidRPr="00F43FC8">
        <w:rPr>
          <w:rFonts w:ascii="Times New Roman" w:hAnsi="Times New Roman"/>
          <w:noProof/>
          <w:sz w:val="24"/>
          <w:szCs w:val="24"/>
        </w:rPr>
        <w:t>1</w:t>
      </w:r>
      <w:r>
        <w:rPr>
          <w:rFonts w:ascii="Times New Roman" w:hAnsi="Times New Roman"/>
          <w:noProof/>
          <w:sz w:val="24"/>
          <w:szCs w:val="24"/>
          <w:vertAlign w:val="superscript"/>
        </w:rPr>
        <w:t>er</w:t>
      </w:r>
      <w:r>
        <w:rPr>
          <w:rFonts w:ascii="Times New Roman" w:hAnsi="Times New Roman"/>
          <w:noProof/>
          <w:sz w:val="24"/>
          <w:szCs w:val="24"/>
        </w:rPr>
        <w:t> janvier </w:t>
      </w:r>
      <w:r w:rsidRPr="00F43FC8">
        <w:rPr>
          <w:rFonts w:ascii="Times New Roman" w:hAnsi="Times New Roman"/>
          <w:noProof/>
          <w:sz w:val="24"/>
          <w:szCs w:val="24"/>
        </w:rPr>
        <w:t>2013</w:t>
      </w:r>
      <w:r>
        <w:rPr>
          <w:rFonts w:ascii="Times New Roman" w:hAnsi="Times New Roman"/>
          <w:noProof/>
          <w:sz w:val="24"/>
          <w:szCs w:val="24"/>
        </w:rPr>
        <w:t xml:space="preserve"> – </w:t>
      </w:r>
      <w:r w:rsidRPr="00F43FC8">
        <w:rPr>
          <w:rFonts w:ascii="Times New Roman" w:hAnsi="Times New Roman"/>
          <w:noProof/>
          <w:sz w:val="24"/>
          <w:szCs w:val="24"/>
        </w:rPr>
        <w:t>31</w:t>
      </w:r>
      <w:r>
        <w:rPr>
          <w:rFonts w:ascii="Times New Roman" w:hAnsi="Times New Roman"/>
          <w:noProof/>
          <w:sz w:val="24"/>
          <w:szCs w:val="24"/>
        </w:rPr>
        <w:t> décembre </w:t>
      </w:r>
      <w:r w:rsidRPr="00F43FC8">
        <w:rPr>
          <w:rFonts w:ascii="Times New Roman" w:hAnsi="Times New Roman"/>
          <w:noProof/>
          <w:sz w:val="24"/>
          <w:szCs w:val="24"/>
        </w:rPr>
        <w:t>2020</w:t>
      </w:r>
      <w:r>
        <w:rPr>
          <w:rFonts w:ascii="Times New Roman" w:hAnsi="Times New Roman"/>
          <w:noProof/>
          <w:sz w:val="24"/>
          <w:szCs w:val="24"/>
        </w:rPr>
        <w:t>) est également entré en vigueur</w:t>
      </w:r>
      <w:r w:rsidR="004D3B9F" w:rsidRPr="00DA11F1">
        <w:rPr>
          <w:rStyle w:val="FootnoteReference"/>
          <w:rFonts w:ascii="Times New Roman" w:hAnsi="Times New Roman"/>
          <w:noProof/>
          <w:sz w:val="24"/>
          <w:szCs w:val="24"/>
        </w:rPr>
        <w:footnoteReference w:id="16"/>
      </w:r>
      <w:r>
        <w:rPr>
          <w:rFonts w:ascii="Times New Roman" w:hAnsi="Times New Roman"/>
          <w:noProof/>
          <w:sz w:val="24"/>
          <w:szCs w:val="24"/>
        </w:rPr>
        <w:t xml:space="preserve"> le </w:t>
      </w:r>
      <w:r w:rsidRPr="00F43FC8">
        <w:rPr>
          <w:rFonts w:ascii="Times New Roman" w:hAnsi="Times New Roman"/>
          <w:noProof/>
          <w:sz w:val="24"/>
          <w:szCs w:val="24"/>
        </w:rPr>
        <w:t>31</w:t>
      </w:r>
      <w:r>
        <w:rPr>
          <w:rFonts w:ascii="Times New Roman" w:hAnsi="Times New Roman"/>
          <w:noProof/>
          <w:sz w:val="24"/>
          <w:szCs w:val="24"/>
        </w:rPr>
        <w:t> décembre </w:t>
      </w:r>
      <w:r w:rsidRPr="00F43FC8">
        <w:rPr>
          <w:rFonts w:ascii="Times New Roman" w:hAnsi="Times New Roman"/>
          <w:noProof/>
          <w:sz w:val="24"/>
          <w:szCs w:val="24"/>
        </w:rPr>
        <w:t>2020</w:t>
      </w:r>
      <w:r>
        <w:rPr>
          <w:rFonts w:ascii="Times New Roman" w:hAnsi="Times New Roman"/>
          <w:noProof/>
          <w:sz w:val="24"/>
          <w:szCs w:val="24"/>
        </w:rPr>
        <w:t>. Conformément à l’article </w:t>
      </w:r>
      <w:r w:rsidRPr="00F43FC8">
        <w:rPr>
          <w:rFonts w:ascii="Times New Roman" w:hAnsi="Times New Roman"/>
          <w:noProof/>
          <w:sz w:val="24"/>
          <w:szCs w:val="24"/>
        </w:rPr>
        <w:t>5</w:t>
      </w:r>
      <w:r>
        <w:rPr>
          <w:rFonts w:ascii="Times New Roman" w:hAnsi="Times New Roman"/>
          <w:noProof/>
          <w:sz w:val="24"/>
          <w:szCs w:val="24"/>
        </w:rPr>
        <w:t xml:space="preserve"> du règlement (UE) nº </w:t>
      </w:r>
      <w:r w:rsidRPr="00F43FC8">
        <w:rPr>
          <w:rFonts w:ascii="Times New Roman" w:hAnsi="Times New Roman"/>
          <w:noProof/>
          <w:sz w:val="24"/>
          <w:szCs w:val="24"/>
        </w:rPr>
        <w:t>389</w:t>
      </w:r>
      <w:r>
        <w:rPr>
          <w:rFonts w:ascii="Times New Roman" w:hAnsi="Times New Roman"/>
          <w:noProof/>
          <w:sz w:val="24"/>
          <w:szCs w:val="24"/>
        </w:rPr>
        <w:t>/</w:t>
      </w:r>
      <w:r w:rsidRPr="00F43FC8">
        <w:rPr>
          <w:rFonts w:ascii="Times New Roman" w:hAnsi="Times New Roman"/>
          <w:noProof/>
          <w:sz w:val="24"/>
          <w:szCs w:val="24"/>
        </w:rPr>
        <w:t>2013</w:t>
      </w:r>
      <w:r>
        <w:rPr>
          <w:rFonts w:ascii="Times New Roman" w:hAnsi="Times New Roman"/>
          <w:noProof/>
          <w:sz w:val="24"/>
          <w:szCs w:val="24"/>
        </w:rPr>
        <w:t xml:space="preserve"> de la Commission (le règlement sur le registre)</w:t>
      </w:r>
      <w:r w:rsidR="008157E5" w:rsidRPr="00DA11F1">
        <w:rPr>
          <w:rStyle w:val="FootnoteReference"/>
          <w:rFonts w:ascii="Times New Roman" w:hAnsi="Times New Roman"/>
          <w:noProof/>
          <w:sz w:val="24"/>
          <w:szCs w:val="24"/>
        </w:rPr>
        <w:footnoteReference w:id="17"/>
      </w:r>
      <w:r>
        <w:rPr>
          <w:rFonts w:ascii="Times New Roman" w:hAnsi="Times New Roman"/>
          <w:noProof/>
          <w:sz w:val="24"/>
          <w:szCs w:val="24"/>
        </w:rPr>
        <w:t>, la Commission agit en tant qu’administrateur du registre du protocole de Kyoto de l’UE, qui fait partie du registre de l’UE. Bien que le PC</w:t>
      </w:r>
      <w:r w:rsidRPr="00F43FC8">
        <w:rPr>
          <w:rFonts w:ascii="Times New Roman" w:hAnsi="Times New Roman"/>
          <w:noProof/>
          <w:sz w:val="24"/>
          <w:szCs w:val="24"/>
        </w:rPr>
        <w:t>2</w:t>
      </w:r>
      <w:r>
        <w:rPr>
          <w:rFonts w:ascii="Times New Roman" w:hAnsi="Times New Roman"/>
          <w:noProof/>
          <w:sz w:val="24"/>
          <w:szCs w:val="24"/>
        </w:rPr>
        <w:t xml:space="preserve"> ait pris fin le </w:t>
      </w:r>
      <w:r w:rsidRPr="00F43FC8">
        <w:rPr>
          <w:rFonts w:ascii="Times New Roman" w:hAnsi="Times New Roman"/>
          <w:noProof/>
          <w:sz w:val="24"/>
          <w:szCs w:val="24"/>
        </w:rPr>
        <w:t>31</w:t>
      </w:r>
      <w:r>
        <w:rPr>
          <w:rFonts w:ascii="Times New Roman" w:hAnsi="Times New Roman"/>
          <w:noProof/>
          <w:sz w:val="24"/>
          <w:szCs w:val="24"/>
        </w:rPr>
        <w:t> décembre </w:t>
      </w:r>
      <w:r w:rsidRPr="00F43FC8">
        <w:rPr>
          <w:rFonts w:ascii="Times New Roman" w:hAnsi="Times New Roman"/>
          <w:noProof/>
          <w:sz w:val="24"/>
          <w:szCs w:val="24"/>
        </w:rPr>
        <w:t>2020</w:t>
      </w:r>
      <w:r>
        <w:rPr>
          <w:rFonts w:ascii="Times New Roman" w:hAnsi="Times New Roman"/>
          <w:noProof/>
          <w:sz w:val="24"/>
          <w:szCs w:val="24"/>
        </w:rPr>
        <w:t>, le système de transparence et de conformité du protocole de Kyoto restera opérationnel jusqu’au dernier contrôle de conformité. En </w:t>
      </w:r>
      <w:r w:rsidRPr="00F43FC8">
        <w:rPr>
          <w:rFonts w:ascii="Times New Roman" w:hAnsi="Times New Roman"/>
          <w:noProof/>
          <w:sz w:val="24"/>
          <w:szCs w:val="24"/>
        </w:rPr>
        <w:t>2023</w:t>
      </w:r>
      <w:r>
        <w:rPr>
          <w:rFonts w:ascii="Times New Roman" w:hAnsi="Times New Roman"/>
          <w:noProof/>
          <w:sz w:val="24"/>
          <w:szCs w:val="24"/>
        </w:rPr>
        <w:t>, l’inventaire des émissions relatif à la dernière année du PC</w:t>
      </w:r>
      <w:r w:rsidRPr="00F43FC8">
        <w:rPr>
          <w:rFonts w:ascii="Times New Roman" w:hAnsi="Times New Roman"/>
          <w:noProof/>
          <w:sz w:val="24"/>
          <w:szCs w:val="24"/>
        </w:rPr>
        <w:t>2</w:t>
      </w:r>
      <w:r>
        <w:rPr>
          <w:rFonts w:ascii="Times New Roman" w:hAnsi="Times New Roman"/>
          <w:noProof/>
          <w:sz w:val="24"/>
          <w:szCs w:val="24"/>
        </w:rPr>
        <w:t xml:space="preserve"> sera communiqué et contrôlé et un rapport final sera soumis. </w:t>
      </w:r>
    </w:p>
    <w:p w14:paraId="150BDA62" w14:textId="5FE5ADF5" w:rsidR="004D3B9F" w:rsidRPr="00DA11F1" w:rsidRDefault="004D3B9F" w:rsidP="004D3B9F">
      <w:pPr>
        <w:jc w:val="both"/>
        <w:rPr>
          <w:rFonts w:ascii="Times New Roman" w:hAnsi="Times New Roman"/>
          <w:noProof/>
          <w:sz w:val="24"/>
          <w:szCs w:val="24"/>
        </w:rPr>
      </w:pPr>
      <w:r>
        <w:rPr>
          <w:rFonts w:ascii="Times New Roman" w:hAnsi="Times New Roman"/>
          <w:noProof/>
          <w:sz w:val="24"/>
          <w:szCs w:val="24"/>
        </w:rPr>
        <w:t>L’accord couplant le SEQE de l’UE avec celui de la Suisse</w:t>
      </w:r>
      <w:r w:rsidRPr="00DA11F1">
        <w:rPr>
          <w:rStyle w:val="FootnoteReference"/>
          <w:rFonts w:ascii="Times New Roman" w:hAnsi="Times New Roman"/>
          <w:noProof/>
          <w:sz w:val="24"/>
          <w:szCs w:val="24"/>
        </w:rPr>
        <w:footnoteReference w:id="18"/>
      </w:r>
      <w:r>
        <w:rPr>
          <w:rFonts w:ascii="Times New Roman" w:hAnsi="Times New Roman"/>
          <w:noProof/>
          <w:sz w:val="24"/>
          <w:szCs w:val="24"/>
        </w:rPr>
        <w:t xml:space="preserve"> est entré en vigueur le </w:t>
      </w:r>
      <w:r w:rsidRPr="00F43FC8">
        <w:rPr>
          <w:rFonts w:ascii="Times New Roman" w:hAnsi="Times New Roman"/>
          <w:noProof/>
          <w:sz w:val="24"/>
          <w:szCs w:val="24"/>
        </w:rPr>
        <w:t>1</w:t>
      </w:r>
      <w:r>
        <w:rPr>
          <w:rFonts w:ascii="Times New Roman" w:hAnsi="Times New Roman"/>
          <w:noProof/>
          <w:sz w:val="24"/>
          <w:szCs w:val="24"/>
          <w:vertAlign w:val="superscript"/>
        </w:rPr>
        <w:t>er</w:t>
      </w:r>
      <w:r>
        <w:rPr>
          <w:rFonts w:ascii="Times New Roman" w:hAnsi="Times New Roman"/>
          <w:noProof/>
          <w:sz w:val="24"/>
          <w:szCs w:val="24"/>
        </w:rPr>
        <w:t> janvier </w:t>
      </w:r>
      <w:r w:rsidRPr="00F43FC8">
        <w:rPr>
          <w:rFonts w:ascii="Times New Roman" w:hAnsi="Times New Roman"/>
          <w:noProof/>
          <w:sz w:val="24"/>
          <w:szCs w:val="24"/>
        </w:rPr>
        <w:t>2020</w:t>
      </w:r>
      <w:r>
        <w:rPr>
          <w:rFonts w:ascii="Times New Roman" w:hAnsi="Times New Roman"/>
          <w:noProof/>
          <w:sz w:val="24"/>
          <w:szCs w:val="24"/>
        </w:rPr>
        <w:t xml:space="preserve">. Pour rendre opérationnel le couplage entre les deux systèmes, une solution provisoire a été mise en place le </w:t>
      </w:r>
      <w:r w:rsidRPr="00F43FC8">
        <w:rPr>
          <w:rFonts w:ascii="Times New Roman" w:hAnsi="Times New Roman"/>
          <w:noProof/>
          <w:sz w:val="24"/>
          <w:szCs w:val="24"/>
        </w:rPr>
        <w:t>21</w:t>
      </w:r>
      <w:r>
        <w:rPr>
          <w:rFonts w:ascii="Times New Roman" w:hAnsi="Times New Roman"/>
          <w:noProof/>
          <w:sz w:val="24"/>
          <w:szCs w:val="24"/>
        </w:rPr>
        <w:t> septembre </w:t>
      </w:r>
      <w:r w:rsidRPr="00F43FC8">
        <w:rPr>
          <w:rFonts w:ascii="Times New Roman" w:hAnsi="Times New Roman"/>
          <w:noProof/>
          <w:sz w:val="24"/>
          <w:szCs w:val="24"/>
        </w:rPr>
        <w:t>2020</w:t>
      </w:r>
      <w:r>
        <w:rPr>
          <w:rFonts w:ascii="Times New Roman" w:hAnsi="Times New Roman"/>
          <w:noProof/>
          <w:sz w:val="24"/>
          <w:szCs w:val="24"/>
        </w:rPr>
        <w:t xml:space="preserve"> afin de relier les registres des deux systèmes et de permettre le transfert de quotas entre eux (voir chapitre </w:t>
      </w:r>
      <w:r w:rsidRPr="00F43FC8">
        <w:rPr>
          <w:rFonts w:ascii="Times New Roman" w:hAnsi="Times New Roman"/>
          <w:noProof/>
          <w:sz w:val="24"/>
          <w:szCs w:val="24"/>
        </w:rPr>
        <w:t>7</w:t>
      </w:r>
      <w:r>
        <w:rPr>
          <w:rFonts w:ascii="Times New Roman" w:hAnsi="Times New Roman"/>
          <w:noProof/>
          <w:sz w:val="24"/>
          <w:szCs w:val="24"/>
        </w:rPr>
        <w:t xml:space="preserve">). </w:t>
      </w:r>
    </w:p>
    <w:p w14:paraId="02C5AE55" w14:textId="0D0C000B" w:rsidR="004D3B9F" w:rsidRPr="00DA11F1" w:rsidRDefault="001D33C2" w:rsidP="004D3B9F">
      <w:pPr>
        <w:jc w:val="both"/>
        <w:rPr>
          <w:rFonts w:ascii="Times New Roman" w:hAnsi="Times New Roman"/>
          <w:noProof/>
          <w:sz w:val="24"/>
          <w:szCs w:val="24"/>
        </w:rPr>
      </w:pPr>
      <w:r>
        <w:rPr>
          <w:rFonts w:ascii="Times New Roman" w:hAnsi="Times New Roman"/>
          <w:noProof/>
          <w:sz w:val="24"/>
          <w:szCs w:val="24"/>
        </w:rPr>
        <w:t>Enfin, la mise en œuvre technique des nouvelles règles introduites par le règlement délégué (UE) </w:t>
      </w:r>
      <w:r w:rsidRPr="00F43FC8">
        <w:rPr>
          <w:rFonts w:ascii="Times New Roman" w:hAnsi="Times New Roman"/>
          <w:noProof/>
          <w:sz w:val="24"/>
          <w:szCs w:val="24"/>
        </w:rPr>
        <w:t>2019</w:t>
      </w:r>
      <w:r>
        <w:rPr>
          <w:rFonts w:ascii="Times New Roman" w:hAnsi="Times New Roman"/>
          <w:noProof/>
          <w:sz w:val="24"/>
          <w:szCs w:val="24"/>
        </w:rPr>
        <w:t>/</w:t>
      </w:r>
      <w:r w:rsidRPr="00F43FC8">
        <w:rPr>
          <w:rFonts w:ascii="Times New Roman" w:hAnsi="Times New Roman"/>
          <w:noProof/>
          <w:sz w:val="24"/>
          <w:szCs w:val="24"/>
        </w:rPr>
        <w:t>1122</w:t>
      </w:r>
      <w:r>
        <w:rPr>
          <w:rFonts w:ascii="Times New Roman" w:hAnsi="Times New Roman"/>
          <w:noProof/>
          <w:sz w:val="24"/>
          <w:szCs w:val="24"/>
        </w:rPr>
        <w:t xml:space="preserve"> de la Commission</w:t>
      </w:r>
      <w:r w:rsidR="001A4B9C" w:rsidRPr="00DA11F1">
        <w:rPr>
          <w:rStyle w:val="FootnoteReference"/>
          <w:rFonts w:ascii="Times New Roman" w:hAnsi="Times New Roman"/>
          <w:noProof/>
          <w:sz w:val="24"/>
          <w:szCs w:val="24"/>
        </w:rPr>
        <w:footnoteReference w:id="19"/>
      </w:r>
      <w:r>
        <w:rPr>
          <w:rFonts w:ascii="Times New Roman" w:hAnsi="Times New Roman"/>
          <w:noProof/>
          <w:sz w:val="24"/>
          <w:szCs w:val="24"/>
        </w:rPr>
        <w:t xml:space="preserve"> a été achevée avec succès et les nouvelles fonctionnalités sont disponibles dans le registre de l’UE depuis le </w:t>
      </w:r>
      <w:r w:rsidRPr="00F43FC8">
        <w:rPr>
          <w:rFonts w:ascii="Times New Roman" w:hAnsi="Times New Roman"/>
          <w:noProof/>
          <w:sz w:val="24"/>
          <w:szCs w:val="24"/>
        </w:rPr>
        <w:t>1</w:t>
      </w:r>
      <w:r>
        <w:rPr>
          <w:rFonts w:ascii="Times New Roman" w:hAnsi="Times New Roman"/>
          <w:noProof/>
          <w:sz w:val="24"/>
          <w:szCs w:val="24"/>
          <w:vertAlign w:val="superscript"/>
        </w:rPr>
        <w:t>er</w:t>
      </w:r>
      <w:r>
        <w:rPr>
          <w:rFonts w:ascii="Times New Roman" w:hAnsi="Times New Roman"/>
          <w:noProof/>
          <w:sz w:val="24"/>
          <w:szCs w:val="24"/>
        </w:rPr>
        <w:t> janvier </w:t>
      </w:r>
      <w:r w:rsidRPr="00F43FC8">
        <w:rPr>
          <w:rFonts w:ascii="Times New Roman" w:hAnsi="Times New Roman"/>
          <w:noProof/>
          <w:sz w:val="24"/>
          <w:szCs w:val="24"/>
        </w:rPr>
        <w:t>2021</w:t>
      </w:r>
      <w:r>
        <w:rPr>
          <w:rFonts w:ascii="Times New Roman" w:hAnsi="Times New Roman"/>
          <w:noProof/>
          <w:sz w:val="24"/>
          <w:szCs w:val="24"/>
        </w:rPr>
        <w:t>.</w:t>
      </w:r>
    </w:p>
    <w:p w14:paraId="144C54C9" w14:textId="0CCCA991" w:rsidR="00131369" w:rsidRPr="00DA11F1" w:rsidRDefault="009B1524" w:rsidP="00A7440C">
      <w:pPr>
        <w:pStyle w:val="Heading1"/>
        <w:spacing w:before="0" w:after="200"/>
        <w:rPr>
          <w:noProof/>
        </w:rPr>
      </w:pPr>
      <w:bookmarkStart w:id="13" w:name="_Toc490850422"/>
      <w:bookmarkStart w:id="14" w:name="_Toc519009678"/>
      <w:bookmarkStart w:id="15" w:name="_Toc89707760"/>
      <w:r w:rsidRPr="00F43FC8">
        <w:rPr>
          <w:noProof/>
        </w:rPr>
        <w:t>3</w:t>
      </w:r>
      <w:r>
        <w:rPr>
          <w:noProof/>
        </w:rPr>
        <w:t>. FONCTIONNEMENT DU MARCHÉ DU CARBONE</w:t>
      </w:r>
      <w:bookmarkEnd w:id="13"/>
      <w:bookmarkEnd w:id="14"/>
      <w:bookmarkEnd w:id="15"/>
    </w:p>
    <w:p w14:paraId="4F5E92BC" w14:textId="4DCC2DCB" w:rsidR="00006E10" w:rsidRPr="00DA11F1" w:rsidRDefault="009B1524" w:rsidP="00006E10">
      <w:pPr>
        <w:pStyle w:val="Heading2"/>
        <w:rPr>
          <w:i w:val="0"/>
          <w:noProof/>
        </w:rPr>
      </w:pPr>
      <w:bookmarkStart w:id="16" w:name="_Toc490850423"/>
      <w:bookmarkStart w:id="17" w:name="_Toc519009679"/>
      <w:bookmarkStart w:id="18" w:name="_Toc89707761"/>
      <w:r w:rsidRPr="00F43FC8">
        <w:rPr>
          <w:i w:val="0"/>
          <w:noProof/>
        </w:rPr>
        <w:t>3</w:t>
      </w:r>
      <w:r>
        <w:rPr>
          <w:i w:val="0"/>
          <w:noProof/>
        </w:rPr>
        <w:t>.</w:t>
      </w:r>
      <w:r w:rsidRPr="00F43FC8">
        <w:rPr>
          <w:i w:val="0"/>
          <w:noProof/>
        </w:rPr>
        <w:t>1</w:t>
      </w:r>
      <w:r>
        <w:rPr>
          <w:i w:val="0"/>
          <w:noProof/>
        </w:rPr>
        <w:t>. Offre: quotas mis en circulation</w:t>
      </w:r>
      <w:bookmarkEnd w:id="16"/>
      <w:bookmarkEnd w:id="17"/>
      <w:bookmarkEnd w:id="18"/>
      <w:r>
        <w:rPr>
          <w:i w:val="0"/>
          <w:noProof/>
        </w:rPr>
        <w:t xml:space="preserve"> </w:t>
      </w:r>
    </w:p>
    <w:p w14:paraId="4D475B3A" w14:textId="77777777" w:rsidR="00131369" w:rsidRPr="00DA11F1" w:rsidRDefault="009B1524">
      <w:pPr>
        <w:pStyle w:val="Heading3"/>
        <w:spacing w:before="0" w:after="200"/>
        <w:ind w:left="720"/>
        <w:rPr>
          <w:i/>
          <w:noProof/>
        </w:rPr>
      </w:pPr>
      <w:bookmarkStart w:id="19" w:name="_Toc490850424"/>
      <w:bookmarkStart w:id="20" w:name="_Toc519009680"/>
      <w:bookmarkStart w:id="21" w:name="_Toc89707762"/>
      <w:r w:rsidRPr="00F43FC8">
        <w:rPr>
          <w:i/>
          <w:noProof/>
        </w:rPr>
        <w:t>3</w:t>
      </w:r>
      <w:r>
        <w:rPr>
          <w:i/>
          <w:noProof/>
        </w:rPr>
        <w:t>.</w:t>
      </w:r>
      <w:r w:rsidRPr="00F43FC8">
        <w:rPr>
          <w:i/>
          <w:noProof/>
        </w:rPr>
        <w:t>1</w:t>
      </w:r>
      <w:r>
        <w:rPr>
          <w:i/>
          <w:noProof/>
        </w:rPr>
        <w:t>.</w:t>
      </w:r>
      <w:r w:rsidRPr="00F43FC8">
        <w:rPr>
          <w:i/>
          <w:noProof/>
        </w:rPr>
        <w:t>1</w:t>
      </w:r>
      <w:r>
        <w:rPr>
          <w:i/>
          <w:noProof/>
        </w:rPr>
        <w:t xml:space="preserve"> Plafond</w:t>
      </w:r>
      <w:bookmarkEnd w:id="19"/>
      <w:bookmarkEnd w:id="20"/>
      <w:bookmarkEnd w:id="21"/>
    </w:p>
    <w:p w14:paraId="363D6FF5" w14:textId="4A68E2D9" w:rsidR="00F81DAA" w:rsidRPr="00DA11F1" w:rsidRDefault="00E00988" w:rsidP="00155B66">
      <w:pPr>
        <w:jc w:val="both"/>
        <w:rPr>
          <w:rFonts w:ascii="Times New Roman" w:hAnsi="Times New Roman"/>
          <w:noProof/>
          <w:sz w:val="24"/>
          <w:szCs w:val="24"/>
        </w:rPr>
      </w:pPr>
      <w:r>
        <w:rPr>
          <w:rFonts w:ascii="Times New Roman" w:hAnsi="Times New Roman"/>
          <w:noProof/>
          <w:sz w:val="24"/>
          <w:szCs w:val="24"/>
        </w:rPr>
        <w:t>Le plafond est la quantité absolue maximale de GES pouvant être émise par des entités couvertes par le SEQE-UE pour garantir la réalisation de l’objectif de réduction des émissions du SEQE; il correspond au nombre de quotas mis en circulation au cours d’une période d’échange. Un plafond commun à l’échelle de l’UE s’applique au SEQE-UE dans son ensemble (pour des informations détaillées sur le plafond, voir l’annexe </w:t>
      </w:r>
      <w:r w:rsidRPr="00F43FC8">
        <w:rPr>
          <w:rFonts w:ascii="Times New Roman" w:hAnsi="Times New Roman"/>
          <w:noProof/>
          <w:sz w:val="24"/>
          <w:szCs w:val="24"/>
        </w:rPr>
        <w:t>2</w:t>
      </w:r>
      <w:r>
        <w:rPr>
          <w:rFonts w:ascii="Times New Roman" w:hAnsi="Times New Roman"/>
          <w:noProof/>
          <w:sz w:val="24"/>
          <w:szCs w:val="24"/>
        </w:rPr>
        <w:t xml:space="preserve"> du document de travail des services de la Commission accompagnant le présent rapport). Au cours de la phase </w:t>
      </w:r>
      <w:r w:rsidRPr="00F43FC8">
        <w:rPr>
          <w:rFonts w:ascii="Times New Roman" w:hAnsi="Times New Roman"/>
          <w:noProof/>
          <w:sz w:val="24"/>
          <w:szCs w:val="24"/>
        </w:rPr>
        <w:t>3</w:t>
      </w:r>
      <w:r>
        <w:rPr>
          <w:rFonts w:ascii="Times New Roman" w:hAnsi="Times New Roman"/>
          <w:noProof/>
          <w:sz w:val="24"/>
          <w:szCs w:val="24"/>
        </w:rPr>
        <w:t xml:space="preserve"> du SEQE-UE (</w:t>
      </w:r>
      <w:r w:rsidRPr="00F43FC8">
        <w:rPr>
          <w:rFonts w:ascii="Times New Roman" w:hAnsi="Times New Roman"/>
          <w:noProof/>
          <w:sz w:val="24"/>
          <w:szCs w:val="24"/>
        </w:rPr>
        <w:t>2013</w:t>
      </w:r>
      <w:r>
        <w:rPr>
          <w:rFonts w:ascii="Times New Roman" w:hAnsi="Times New Roman"/>
          <w:noProof/>
          <w:sz w:val="24"/>
          <w:szCs w:val="24"/>
        </w:rPr>
        <w:t>-</w:t>
      </w:r>
      <w:r w:rsidRPr="00F43FC8">
        <w:rPr>
          <w:rFonts w:ascii="Times New Roman" w:hAnsi="Times New Roman"/>
          <w:noProof/>
          <w:sz w:val="24"/>
          <w:szCs w:val="24"/>
        </w:rPr>
        <w:t>2020</w:t>
      </w:r>
      <w:r>
        <w:rPr>
          <w:rFonts w:ascii="Times New Roman" w:hAnsi="Times New Roman"/>
          <w:noProof/>
          <w:sz w:val="24"/>
          <w:szCs w:val="24"/>
        </w:rPr>
        <w:t xml:space="preserve">), le plafond a été réduit chaque année en appliquant un facteur de réduction linéaire de </w:t>
      </w:r>
      <w:r w:rsidRPr="00F43FC8">
        <w:rPr>
          <w:rFonts w:ascii="Times New Roman" w:hAnsi="Times New Roman"/>
          <w:noProof/>
          <w:sz w:val="24"/>
          <w:szCs w:val="24"/>
        </w:rPr>
        <w:t>1</w:t>
      </w:r>
      <w:r>
        <w:rPr>
          <w:rFonts w:ascii="Times New Roman" w:hAnsi="Times New Roman"/>
          <w:noProof/>
          <w:sz w:val="24"/>
          <w:szCs w:val="24"/>
        </w:rPr>
        <w:t>,</w:t>
      </w:r>
      <w:r w:rsidRPr="00F43FC8">
        <w:rPr>
          <w:rFonts w:ascii="Times New Roman" w:hAnsi="Times New Roman"/>
          <w:noProof/>
          <w:sz w:val="24"/>
          <w:szCs w:val="24"/>
        </w:rPr>
        <w:t>74</w:t>
      </w:r>
      <w:r>
        <w:rPr>
          <w:rFonts w:ascii="Times New Roman" w:hAnsi="Times New Roman"/>
          <w:noProof/>
          <w:sz w:val="24"/>
          <w:szCs w:val="24"/>
        </w:rPr>
        <w:t> %, en assurant ainsi la baisse des émissions totales (voir chapitre </w:t>
      </w:r>
      <w:r w:rsidRPr="00F43FC8">
        <w:rPr>
          <w:rFonts w:ascii="Times New Roman" w:hAnsi="Times New Roman"/>
          <w:noProof/>
          <w:sz w:val="24"/>
          <w:szCs w:val="24"/>
        </w:rPr>
        <w:t>3</w:t>
      </w:r>
      <w:r>
        <w:rPr>
          <w:rFonts w:ascii="Times New Roman" w:hAnsi="Times New Roman"/>
          <w:noProof/>
          <w:sz w:val="24"/>
          <w:szCs w:val="24"/>
        </w:rPr>
        <w:t>.</w:t>
      </w:r>
      <w:r w:rsidRPr="00F43FC8">
        <w:rPr>
          <w:rFonts w:ascii="Times New Roman" w:hAnsi="Times New Roman"/>
          <w:noProof/>
          <w:sz w:val="24"/>
          <w:szCs w:val="24"/>
        </w:rPr>
        <w:t>2</w:t>
      </w:r>
      <w:r>
        <w:rPr>
          <w:rFonts w:ascii="Times New Roman" w:hAnsi="Times New Roman"/>
          <w:noProof/>
          <w:sz w:val="24"/>
          <w:szCs w:val="24"/>
        </w:rPr>
        <w:t>.</w:t>
      </w:r>
      <w:r w:rsidRPr="00F43FC8">
        <w:rPr>
          <w:rFonts w:ascii="Times New Roman" w:hAnsi="Times New Roman"/>
          <w:noProof/>
          <w:sz w:val="24"/>
          <w:szCs w:val="24"/>
        </w:rPr>
        <w:t>1</w:t>
      </w:r>
      <w:r>
        <w:rPr>
          <w:rFonts w:ascii="Times New Roman" w:hAnsi="Times New Roman"/>
          <w:noProof/>
          <w:sz w:val="24"/>
          <w:szCs w:val="24"/>
        </w:rPr>
        <w:t>). Au cours de la phase </w:t>
      </w:r>
      <w:r w:rsidRPr="00F43FC8">
        <w:rPr>
          <w:rFonts w:ascii="Times New Roman" w:hAnsi="Times New Roman"/>
          <w:noProof/>
          <w:sz w:val="24"/>
          <w:szCs w:val="24"/>
        </w:rPr>
        <w:t>4</w:t>
      </w:r>
      <w:r>
        <w:rPr>
          <w:rFonts w:ascii="Times New Roman" w:hAnsi="Times New Roman"/>
          <w:noProof/>
          <w:sz w:val="24"/>
          <w:szCs w:val="24"/>
        </w:rPr>
        <w:t xml:space="preserve"> du SEQE-UE (</w:t>
      </w:r>
      <w:r w:rsidRPr="00F43FC8">
        <w:rPr>
          <w:rFonts w:ascii="Times New Roman" w:hAnsi="Times New Roman"/>
          <w:noProof/>
          <w:sz w:val="24"/>
          <w:szCs w:val="24"/>
        </w:rPr>
        <w:t>2021</w:t>
      </w:r>
      <w:r>
        <w:rPr>
          <w:rFonts w:ascii="Times New Roman" w:hAnsi="Times New Roman"/>
          <w:noProof/>
          <w:sz w:val="24"/>
          <w:szCs w:val="24"/>
        </w:rPr>
        <w:t>-</w:t>
      </w:r>
      <w:r w:rsidRPr="00F43FC8">
        <w:rPr>
          <w:rFonts w:ascii="Times New Roman" w:hAnsi="Times New Roman"/>
          <w:noProof/>
          <w:sz w:val="24"/>
          <w:szCs w:val="24"/>
        </w:rPr>
        <w:t>2030</w:t>
      </w:r>
      <w:r>
        <w:rPr>
          <w:rFonts w:ascii="Times New Roman" w:hAnsi="Times New Roman"/>
          <w:noProof/>
          <w:sz w:val="24"/>
          <w:szCs w:val="24"/>
        </w:rPr>
        <w:t xml:space="preserve">), le plafond pour les installations fixes et pour l’aviation diminuera chaque année d’un facteur de réduction linéaire de </w:t>
      </w:r>
      <w:r w:rsidRPr="00F43FC8">
        <w:rPr>
          <w:rFonts w:ascii="Times New Roman" w:hAnsi="Times New Roman"/>
          <w:noProof/>
          <w:sz w:val="24"/>
          <w:szCs w:val="24"/>
        </w:rPr>
        <w:t>2</w:t>
      </w:r>
      <w:r>
        <w:rPr>
          <w:rFonts w:ascii="Times New Roman" w:hAnsi="Times New Roman"/>
          <w:noProof/>
          <w:sz w:val="24"/>
          <w:szCs w:val="24"/>
        </w:rPr>
        <w:t>,</w:t>
      </w:r>
      <w:r w:rsidRPr="00F43FC8">
        <w:rPr>
          <w:rFonts w:ascii="Times New Roman" w:hAnsi="Times New Roman"/>
          <w:noProof/>
          <w:sz w:val="24"/>
          <w:szCs w:val="24"/>
        </w:rPr>
        <w:t>2</w:t>
      </w:r>
      <w:r>
        <w:rPr>
          <w:rFonts w:ascii="Times New Roman" w:hAnsi="Times New Roman"/>
          <w:noProof/>
          <w:sz w:val="24"/>
          <w:szCs w:val="24"/>
        </w:rPr>
        <w:t> %. Le</w:t>
      </w:r>
      <w:r w:rsidR="00155B66">
        <w:rPr>
          <w:rFonts w:ascii="Times New Roman" w:hAnsi="Times New Roman"/>
          <w:noProof/>
          <w:sz w:val="24"/>
          <w:szCs w:val="24"/>
        </w:rPr>
        <w:t xml:space="preserve"> tableau </w:t>
      </w:r>
      <w:r w:rsidR="00155B66" w:rsidRPr="00F43FC8">
        <w:rPr>
          <w:rFonts w:ascii="Times New Roman" w:hAnsi="Times New Roman"/>
          <w:noProof/>
          <w:sz w:val="24"/>
          <w:szCs w:val="24"/>
        </w:rPr>
        <w:t>1</w:t>
      </w:r>
      <w:r>
        <w:rPr>
          <w:rFonts w:ascii="Times New Roman" w:hAnsi="Times New Roman"/>
          <w:noProof/>
          <w:sz w:val="24"/>
          <w:szCs w:val="24"/>
        </w:rPr>
        <w:t xml:space="preserve"> présente les données chiffrées correspondant au plafond des émissions provenant des installations fixes et au nombre de quotas aviation mis en circulation</w:t>
      </w:r>
      <w:r w:rsidR="009B1524" w:rsidRPr="00DA11F1">
        <w:rPr>
          <w:rStyle w:val="FootnoteReference"/>
          <w:rFonts w:ascii="Times New Roman" w:hAnsi="Times New Roman"/>
          <w:noProof/>
          <w:sz w:val="24"/>
          <w:szCs w:val="24"/>
        </w:rPr>
        <w:footnoteReference w:id="20"/>
      </w:r>
      <w:r>
        <w:rPr>
          <w:rFonts w:ascii="Times New Roman" w:hAnsi="Times New Roman"/>
          <w:noProof/>
          <w:sz w:val="24"/>
          <w:szCs w:val="24"/>
        </w:rPr>
        <w:t xml:space="preserve"> chaque année au cours de la phase </w:t>
      </w:r>
      <w:r w:rsidRPr="00F43FC8">
        <w:rPr>
          <w:rFonts w:ascii="Times New Roman" w:hAnsi="Times New Roman"/>
          <w:noProof/>
          <w:sz w:val="24"/>
          <w:szCs w:val="24"/>
        </w:rPr>
        <w:t>3</w:t>
      </w:r>
      <w:r>
        <w:rPr>
          <w:rFonts w:ascii="Times New Roman" w:hAnsi="Times New Roman"/>
          <w:noProof/>
          <w:sz w:val="24"/>
          <w:szCs w:val="24"/>
        </w:rPr>
        <w:t xml:space="preserve">. </w:t>
      </w:r>
    </w:p>
    <w:p w14:paraId="4DD3FF59" w14:textId="15F726A9" w:rsidR="00A9289A" w:rsidRPr="00DA11F1" w:rsidRDefault="00A9289A" w:rsidP="00561BA5">
      <w:pPr>
        <w:pStyle w:val="Caption"/>
        <w:keepNext/>
        <w:rPr>
          <w:rFonts w:ascii="Times New Roman" w:hAnsi="Times New Roman"/>
          <w:noProof/>
          <w:sz w:val="22"/>
        </w:rPr>
      </w:pPr>
      <w:bookmarkStart w:id="22" w:name="_Ref85018775"/>
      <w:r>
        <w:rPr>
          <w:rFonts w:ascii="Times New Roman" w:hAnsi="Times New Roman"/>
          <w:noProof/>
          <w:sz w:val="22"/>
        </w:rPr>
        <w:t>Tableau </w:t>
      </w:r>
      <w:r w:rsidRPr="00DA11F1">
        <w:rPr>
          <w:rFonts w:ascii="Times New Roman" w:hAnsi="Times New Roman"/>
          <w:noProof/>
          <w:sz w:val="22"/>
        </w:rPr>
        <w:fldChar w:fldCharType="begin"/>
      </w:r>
      <w:r w:rsidRPr="00DA11F1">
        <w:rPr>
          <w:rFonts w:ascii="Times New Roman" w:hAnsi="Times New Roman"/>
          <w:noProof/>
          <w:sz w:val="22"/>
        </w:rPr>
        <w:instrText xml:space="preserve"> SEQ Table \* ARABIC </w:instrText>
      </w:r>
      <w:r w:rsidRPr="00DA11F1">
        <w:rPr>
          <w:rFonts w:ascii="Times New Roman" w:hAnsi="Times New Roman"/>
          <w:noProof/>
          <w:sz w:val="22"/>
        </w:rPr>
        <w:fldChar w:fldCharType="separate"/>
      </w:r>
      <w:r w:rsidR="00676166" w:rsidRPr="00F43FC8">
        <w:rPr>
          <w:rFonts w:ascii="Times New Roman" w:hAnsi="Times New Roman"/>
          <w:noProof/>
          <w:sz w:val="22"/>
        </w:rPr>
        <w:t>1</w:t>
      </w:r>
      <w:r w:rsidRPr="00DA11F1">
        <w:rPr>
          <w:rFonts w:ascii="Times New Roman" w:hAnsi="Times New Roman"/>
          <w:noProof/>
          <w:sz w:val="22"/>
        </w:rPr>
        <w:fldChar w:fldCharType="end"/>
      </w:r>
      <w:bookmarkEnd w:id="22"/>
      <w:r>
        <w:rPr>
          <w:rFonts w:ascii="Times New Roman" w:hAnsi="Times New Roman"/>
          <w:noProof/>
          <w:sz w:val="22"/>
        </w:rPr>
        <w:t>. Plafond du SEQE-UE au cours de la phase </w:t>
      </w:r>
      <w:r w:rsidRPr="00F43FC8">
        <w:rPr>
          <w:rFonts w:ascii="Times New Roman" w:hAnsi="Times New Roman"/>
          <w:noProof/>
          <w:sz w:val="22"/>
        </w:rPr>
        <w:t>3</w:t>
      </w:r>
      <w:r>
        <w:rPr>
          <w:rFonts w:ascii="Times New Roman" w:hAnsi="Times New Roman"/>
          <w:noProof/>
          <w:sz w:val="22"/>
        </w:rPr>
        <w:t xml:space="preserve"> du SEQE-UE (</w:t>
      </w:r>
      <w:r w:rsidRPr="00F43FC8">
        <w:rPr>
          <w:rFonts w:ascii="Times New Roman" w:hAnsi="Times New Roman"/>
          <w:noProof/>
          <w:sz w:val="22"/>
        </w:rPr>
        <w:t>2013</w:t>
      </w:r>
      <w:r>
        <w:rPr>
          <w:rFonts w:ascii="Times New Roman" w:hAnsi="Times New Roman"/>
          <w:noProof/>
          <w:sz w:val="22"/>
        </w:rPr>
        <w:t>-</w:t>
      </w:r>
      <w:r w:rsidRPr="00F43FC8">
        <w:rPr>
          <w:rFonts w:ascii="Times New Roman" w:hAnsi="Times New Roman"/>
          <w:noProof/>
          <w:sz w:val="22"/>
        </w:rPr>
        <w:t>2020</w:t>
      </w:r>
      <w:r>
        <w:rPr>
          <w:rFonts w:ascii="Times New Roman" w:hAnsi="Times New Roman"/>
          <w:noProof/>
          <w:sz w:val="22"/>
        </w:rPr>
        <w:t>)</w:t>
      </w: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994"/>
        <w:gridCol w:w="3207"/>
        <w:gridCol w:w="3810"/>
      </w:tblGrid>
      <w:tr w:rsidR="00131369" w:rsidRPr="00DA11F1" w14:paraId="34A125D2" w14:textId="77777777" w:rsidTr="00D24249">
        <w:trPr>
          <w:trHeight w:val="615"/>
          <w:jc w:val="center"/>
        </w:trPr>
        <w:tc>
          <w:tcPr>
            <w:tcW w:w="1994" w:type="dxa"/>
            <w:vAlign w:val="center"/>
          </w:tcPr>
          <w:p w14:paraId="06D1F290" w14:textId="5399CE89" w:rsidR="00131369" w:rsidRPr="00DA11F1" w:rsidRDefault="009B1524" w:rsidP="00A51737">
            <w:pPr>
              <w:spacing w:line="276" w:lineRule="auto"/>
              <w:jc w:val="center"/>
              <w:rPr>
                <w:rFonts w:ascii="Times New Roman" w:hAnsi="Times New Roman"/>
                <w:b/>
                <w:noProof/>
              </w:rPr>
            </w:pPr>
            <w:r>
              <w:rPr>
                <w:rFonts w:ascii="Times New Roman" w:hAnsi="Times New Roman"/>
                <w:b/>
                <w:noProof/>
              </w:rPr>
              <w:t>Année</w:t>
            </w:r>
          </w:p>
        </w:tc>
        <w:tc>
          <w:tcPr>
            <w:tcW w:w="3207" w:type="dxa"/>
            <w:vAlign w:val="center"/>
          </w:tcPr>
          <w:p w14:paraId="3F5343FF" w14:textId="5D852561" w:rsidR="00131369" w:rsidRPr="00DA11F1" w:rsidRDefault="009B1524" w:rsidP="00A51737">
            <w:pPr>
              <w:spacing w:line="276" w:lineRule="auto"/>
              <w:jc w:val="center"/>
              <w:rPr>
                <w:rFonts w:ascii="Times New Roman" w:hAnsi="Times New Roman"/>
                <w:b/>
                <w:noProof/>
              </w:rPr>
            </w:pPr>
            <w:r>
              <w:rPr>
                <w:rFonts w:ascii="Times New Roman" w:hAnsi="Times New Roman"/>
                <w:b/>
                <w:noProof/>
              </w:rPr>
              <w:t>Plafond annuel (installations fixes)</w:t>
            </w:r>
          </w:p>
        </w:tc>
        <w:tc>
          <w:tcPr>
            <w:tcW w:w="3810" w:type="dxa"/>
            <w:vAlign w:val="center"/>
          </w:tcPr>
          <w:p w14:paraId="3E7549E8" w14:textId="77777777" w:rsidR="00131369" w:rsidRPr="00DA11F1" w:rsidRDefault="009B1524" w:rsidP="00A51737">
            <w:pPr>
              <w:spacing w:line="276" w:lineRule="auto"/>
              <w:jc w:val="center"/>
              <w:rPr>
                <w:rFonts w:ascii="Times New Roman" w:hAnsi="Times New Roman"/>
                <w:b/>
                <w:noProof/>
              </w:rPr>
            </w:pPr>
            <w:r>
              <w:rPr>
                <w:rFonts w:ascii="Times New Roman" w:hAnsi="Times New Roman"/>
                <w:b/>
                <w:noProof/>
              </w:rPr>
              <w:t>Quotas aviation mis en circulation annuellement</w:t>
            </w:r>
            <w:r w:rsidRPr="00DA11F1">
              <w:rPr>
                <w:rStyle w:val="FootnoteReference"/>
                <w:rFonts w:ascii="Times New Roman" w:hAnsi="Times New Roman"/>
                <w:b/>
                <w:noProof/>
              </w:rPr>
              <w:footnoteReference w:id="21"/>
            </w:r>
          </w:p>
        </w:tc>
      </w:tr>
      <w:tr w:rsidR="00131369" w:rsidRPr="00DA11F1" w14:paraId="7E1EABD4" w14:textId="77777777" w:rsidTr="00A51737">
        <w:trPr>
          <w:trHeight w:val="546"/>
          <w:jc w:val="center"/>
        </w:trPr>
        <w:tc>
          <w:tcPr>
            <w:tcW w:w="1994" w:type="dxa"/>
            <w:vAlign w:val="center"/>
          </w:tcPr>
          <w:p w14:paraId="704EE746" w14:textId="2A3C6EA3" w:rsidR="00131369" w:rsidRPr="00DA11F1" w:rsidRDefault="009B1524" w:rsidP="00A51737">
            <w:pPr>
              <w:spacing w:line="276" w:lineRule="auto"/>
              <w:jc w:val="center"/>
              <w:rPr>
                <w:rFonts w:ascii="Times New Roman" w:hAnsi="Times New Roman"/>
                <w:noProof/>
              </w:rPr>
            </w:pPr>
            <w:r w:rsidRPr="00F43FC8">
              <w:rPr>
                <w:rFonts w:ascii="Times New Roman" w:hAnsi="Times New Roman"/>
                <w:noProof/>
              </w:rPr>
              <w:t>2013</w:t>
            </w:r>
          </w:p>
        </w:tc>
        <w:tc>
          <w:tcPr>
            <w:tcW w:w="3207" w:type="dxa"/>
            <w:vAlign w:val="center"/>
          </w:tcPr>
          <w:p w14:paraId="1E0B6A82" w14:textId="70318B8C" w:rsidR="00131369" w:rsidRPr="00DA11F1" w:rsidRDefault="009B1524" w:rsidP="00A51737">
            <w:pPr>
              <w:spacing w:line="276" w:lineRule="auto"/>
              <w:jc w:val="center"/>
              <w:rPr>
                <w:rFonts w:ascii="Times New Roman" w:hAnsi="Times New Roman"/>
                <w:noProof/>
              </w:rPr>
            </w:pPr>
            <w:r w:rsidRPr="00F43FC8">
              <w:rPr>
                <w:rFonts w:ascii="Times New Roman" w:hAnsi="Times New Roman"/>
                <w:noProof/>
              </w:rPr>
              <w:t>2</w:t>
            </w:r>
            <w:r>
              <w:rPr>
                <w:rFonts w:ascii="Times New Roman" w:hAnsi="Times New Roman"/>
                <w:noProof/>
              </w:rPr>
              <w:t> </w:t>
            </w:r>
            <w:r w:rsidRPr="00F43FC8">
              <w:rPr>
                <w:rFonts w:ascii="Times New Roman" w:hAnsi="Times New Roman"/>
                <w:noProof/>
              </w:rPr>
              <w:t>084</w:t>
            </w:r>
            <w:r>
              <w:rPr>
                <w:rFonts w:ascii="Times New Roman" w:hAnsi="Times New Roman"/>
                <w:noProof/>
              </w:rPr>
              <w:t> </w:t>
            </w:r>
            <w:r w:rsidRPr="00F43FC8">
              <w:rPr>
                <w:rFonts w:ascii="Times New Roman" w:hAnsi="Times New Roman"/>
                <w:noProof/>
              </w:rPr>
              <w:t>301</w:t>
            </w:r>
            <w:r>
              <w:rPr>
                <w:rFonts w:ascii="Times New Roman" w:hAnsi="Times New Roman"/>
                <w:noProof/>
              </w:rPr>
              <w:t> </w:t>
            </w:r>
            <w:r w:rsidRPr="00F43FC8">
              <w:rPr>
                <w:rFonts w:ascii="Times New Roman" w:hAnsi="Times New Roman"/>
                <w:noProof/>
              </w:rPr>
              <w:t>856</w:t>
            </w:r>
          </w:p>
        </w:tc>
        <w:tc>
          <w:tcPr>
            <w:tcW w:w="3810" w:type="dxa"/>
            <w:vAlign w:val="center"/>
          </w:tcPr>
          <w:p w14:paraId="58C7A556" w14:textId="77777777" w:rsidR="00131369" w:rsidRPr="00DA11F1" w:rsidRDefault="009B1524" w:rsidP="00A51737">
            <w:pPr>
              <w:spacing w:line="276" w:lineRule="auto"/>
              <w:jc w:val="center"/>
              <w:rPr>
                <w:rFonts w:ascii="Times New Roman" w:hAnsi="Times New Roman"/>
                <w:noProof/>
              </w:rPr>
            </w:pPr>
            <w:r w:rsidRPr="00F43FC8">
              <w:rPr>
                <w:rFonts w:ascii="Times New Roman" w:hAnsi="Times New Roman"/>
                <w:noProof/>
              </w:rPr>
              <w:t>32</w:t>
            </w:r>
            <w:r>
              <w:rPr>
                <w:rFonts w:ascii="Times New Roman" w:hAnsi="Times New Roman"/>
                <w:noProof/>
              </w:rPr>
              <w:t> </w:t>
            </w:r>
            <w:r w:rsidRPr="00F43FC8">
              <w:rPr>
                <w:rFonts w:ascii="Times New Roman" w:hAnsi="Times New Roman"/>
                <w:noProof/>
              </w:rPr>
              <w:t>455</w:t>
            </w:r>
            <w:r>
              <w:rPr>
                <w:rFonts w:ascii="Times New Roman" w:hAnsi="Times New Roman"/>
                <w:noProof/>
              </w:rPr>
              <w:t> </w:t>
            </w:r>
            <w:r w:rsidRPr="00F43FC8">
              <w:rPr>
                <w:rFonts w:ascii="Times New Roman" w:hAnsi="Times New Roman"/>
                <w:noProof/>
              </w:rPr>
              <w:t>296</w:t>
            </w:r>
          </w:p>
        </w:tc>
      </w:tr>
      <w:tr w:rsidR="00131369" w:rsidRPr="00DA11F1" w14:paraId="2E09E3F1" w14:textId="77777777" w:rsidTr="00A51737">
        <w:trPr>
          <w:trHeight w:val="534"/>
          <w:jc w:val="center"/>
        </w:trPr>
        <w:tc>
          <w:tcPr>
            <w:tcW w:w="1994" w:type="dxa"/>
            <w:vAlign w:val="center"/>
          </w:tcPr>
          <w:p w14:paraId="60DB53A4" w14:textId="701FCD4A" w:rsidR="00131369" w:rsidRPr="00DA11F1" w:rsidRDefault="009B1524" w:rsidP="00A51737">
            <w:pPr>
              <w:spacing w:line="276" w:lineRule="auto"/>
              <w:jc w:val="center"/>
              <w:rPr>
                <w:rFonts w:ascii="Times New Roman" w:hAnsi="Times New Roman"/>
                <w:noProof/>
              </w:rPr>
            </w:pPr>
            <w:r w:rsidRPr="00F43FC8">
              <w:rPr>
                <w:rFonts w:ascii="Times New Roman" w:hAnsi="Times New Roman"/>
                <w:noProof/>
              </w:rPr>
              <w:t>2014</w:t>
            </w:r>
          </w:p>
        </w:tc>
        <w:tc>
          <w:tcPr>
            <w:tcW w:w="3207" w:type="dxa"/>
            <w:vAlign w:val="center"/>
          </w:tcPr>
          <w:p w14:paraId="5924A400" w14:textId="5AA086AA" w:rsidR="00131369" w:rsidRPr="00DA11F1" w:rsidRDefault="009B1524" w:rsidP="00A51737">
            <w:pPr>
              <w:spacing w:line="276" w:lineRule="auto"/>
              <w:jc w:val="center"/>
              <w:rPr>
                <w:rFonts w:ascii="Times New Roman" w:hAnsi="Times New Roman"/>
                <w:noProof/>
              </w:rPr>
            </w:pPr>
            <w:r w:rsidRPr="00F43FC8">
              <w:rPr>
                <w:rFonts w:ascii="Times New Roman" w:hAnsi="Times New Roman"/>
                <w:noProof/>
              </w:rPr>
              <w:t>2</w:t>
            </w:r>
            <w:r>
              <w:rPr>
                <w:rFonts w:ascii="Times New Roman" w:hAnsi="Times New Roman"/>
                <w:noProof/>
              </w:rPr>
              <w:t> </w:t>
            </w:r>
            <w:r w:rsidRPr="00F43FC8">
              <w:rPr>
                <w:rFonts w:ascii="Times New Roman" w:hAnsi="Times New Roman"/>
                <w:noProof/>
              </w:rPr>
              <w:t>046</w:t>
            </w:r>
            <w:r>
              <w:rPr>
                <w:rFonts w:ascii="Times New Roman" w:hAnsi="Times New Roman"/>
                <w:noProof/>
              </w:rPr>
              <w:t> </w:t>
            </w:r>
            <w:r w:rsidRPr="00F43FC8">
              <w:rPr>
                <w:rFonts w:ascii="Times New Roman" w:hAnsi="Times New Roman"/>
                <w:noProof/>
              </w:rPr>
              <w:t>037</w:t>
            </w:r>
            <w:r>
              <w:rPr>
                <w:rFonts w:ascii="Times New Roman" w:hAnsi="Times New Roman"/>
                <w:noProof/>
              </w:rPr>
              <w:t> </w:t>
            </w:r>
            <w:r w:rsidRPr="00F43FC8">
              <w:rPr>
                <w:rFonts w:ascii="Times New Roman" w:hAnsi="Times New Roman"/>
                <w:noProof/>
              </w:rPr>
              <w:t>610</w:t>
            </w:r>
          </w:p>
        </w:tc>
        <w:tc>
          <w:tcPr>
            <w:tcW w:w="3810" w:type="dxa"/>
            <w:vAlign w:val="center"/>
          </w:tcPr>
          <w:p w14:paraId="412B1D25" w14:textId="77777777" w:rsidR="00131369" w:rsidRPr="00DA11F1" w:rsidRDefault="009B1524" w:rsidP="00A51737">
            <w:pPr>
              <w:spacing w:line="276" w:lineRule="auto"/>
              <w:jc w:val="center"/>
              <w:rPr>
                <w:rFonts w:ascii="Times New Roman" w:hAnsi="Times New Roman"/>
                <w:noProof/>
              </w:rPr>
            </w:pPr>
            <w:r w:rsidRPr="00F43FC8">
              <w:rPr>
                <w:rFonts w:ascii="Times New Roman" w:hAnsi="Times New Roman"/>
                <w:noProof/>
              </w:rPr>
              <w:t>41</w:t>
            </w:r>
            <w:r>
              <w:rPr>
                <w:rFonts w:ascii="Times New Roman" w:hAnsi="Times New Roman"/>
                <w:noProof/>
              </w:rPr>
              <w:t> </w:t>
            </w:r>
            <w:r w:rsidRPr="00F43FC8">
              <w:rPr>
                <w:rFonts w:ascii="Times New Roman" w:hAnsi="Times New Roman"/>
                <w:noProof/>
              </w:rPr>
              <w:t>866</w:t>
            </w:r>
            <w:r>
              <w:rPr>
                <w:rFonts w:ascii="Times New Roman" w:hAnsi="Times New Roman"/>
                <w:noProof/>
              </w:rPr>
              <w:t> </w:t>
            </w:r>
            <w:r w:rsidRPr="00F43FC8">
              <w:rPr>
                <w:rFonts w:ascii="Times New Roman" w:hAnsi="Times New Roman"/>
                <w:noProof/>
              </w:rPr>
              <w:t>834</w:t>
            </w:r>
          </w:p>
        </w:tc>
      </w:tr>
      <w:tr w:rsidR="00131369" w:rsidRPr="00DA11F1" w14:paraId="0EA117D6" w14:textId="77777777" w:rsidTr="00A51737">
        <w:trPr>
          <w:trHeight w:val="522"/>
          <w:jc w:val="center"/>
        </w:trPr>
        <w:tc>
          <w:tcPr>
            <w:tcW w:w="1994" w:type="dxa"/>
            <w:vAlign w:val="center"/>
          </w:tcPr>
          <w:p w14:paraId="0E4EB67F" w14:textId="2F1B1115" w:rsidR="00131369" w:rsidRPr="00DA11F1" w:rsidRDefault="009B1524" w:rsidP="00A51737">
            <w:pPr>
              <w:spacing w:line="276" w:lineRule="auto"/>
              <w:jc w:val="center"/>
              <w:rPr>
                <w:rFonts w:ascii="Times New Roman" w:hAnsi="Times New Roman"/>
                <w:noProof/>
              </w:rPr>
            </w:pPr>
            <w:r w:rsidRPr="00F43FC8">
              <w:rPr>
                <w:rFonts w:ascii="Times New Roman" w:hAnsi="Times New Roman"/>
                <w:noProof/>
              </w:rPr>
              <w:t>2015</w:t>
            </w:r>
          </w:p>
        </w:tc>
        <w:tc>
          <w:tcPr>
            <w:tcW w:w="3207" w:type="dxa"/>
            <w:vAlign w:val="center"/>
          </w:tcPr>
          <w:p w14:paraId="7CBBE705" w14:textId="17D70EEA" w:rsidR="00131369" w:rsidRPr="00DA11F1" w:rsidRDefault="009B1524" w:rsidP="00A51737">
            <w:pPr>
              <w:spacing w:line="276" w:lineRule="auto"/>
              <w:jc w:val="center"/>
              <w:rPr>
                <w:rFonts w:ascii="Times New Roman" w:hAnsi="Times New Roman"/>
                <w:noProof/>
              </w:rPr>
            </w:pPr>
            <w:r w:rsidRPr="00F43FC8">
              <w:rPr>
                <w:rFonts w:ascii="Times New Roman" w:hAnsi="Times New Roman"/>
                <w:noProof/>
              </w:rPr>
              <w:t>2</w:t>
            </w:r>
            <w:r>
              <w:rPr>
                <w:rFonts w:ascii="Times New Roman" w:hAnsi="Times New Roman"/>
                <w:noProof/>
              </w:rPr>
              <w:t> </w:t>
            </w:r>
            <w:r w:rsidRPr="00F43FC8">
              <w:rPr>
                <w:rFonts w:ascii="Times New Roman" w:hAnsi="Times New Roman"/>
                <w:noProof/>
              </w:rPr>
              <w:t>007</w:t>
            </w:r>
            <w:r>
              <w:rPr>
                <w:rFonts w:ascii="Times New Roman" w:hAnsi="Times New Roman"/>
                <w:noProof/>
              </w:rPr>
              <w:t> </w:t>
            </w:r>
            <w:r w:rsidRPr="00F43FC8">
              <w:rPr>
                <w:rFonts w:ascii="Times New Roman" w:hAnsi="Times New Roman"/>
                <w:noProof/>
              </w:rPr>
              <w:t>773</w:t>
            </w:r>
            <w:r>
              <w:rPr>
                <w:rFonts w:ascii="Times New Roman" w:hAnsi="Times New Roman"/>
                <w:noProof/>
              </w:rPr>
              <w:t> </w:t>
            </w:r>
            <w:r w:rsidRPr="00F43FC8">
              <w:rPr>
                <w:rFonts w:ascii="Times New Roman" w:hAnsi="Times New Roman"/>
                <w:noProof/>
              </w:rPr>
              <w:t>364</w:t>
            </w:r>
          </w:p>
        </w:tc>
        <w:tc>
          <w:tcPr>
            <w:tcW w:w="3810" w:type="dxa"/>
            <w:vAlign w:val="center"/>
          </w:tcPr>
          <w:p w14:paraId="7D5A5CA5" w14:textId="77777777" w:rsidR="00131369" w:rsidRPr="00DA11F1" w:rsidRDefault="009B1524" w:rsidP="00A51737">
            <w:pPr>
              <w:spacing w:line="276" w:lineRule="auto"/>
              <w:jc w:val="center"/>
              <w:rPr>
                <w:rFonts w:ascii="Times New Roman" w:hAnsi="Times New Roman"/>
                <w:noProof/>
              </w:rPr>
            </w:pPr>
            <w:r w:rsidRPr="00F43FC8">
              <w:rPr>
                <w:rFonts w:ascii="Times New Roman" w:hAnsi="Times New Roman"/>
                <w:noProof/>
              </w:rPr>
              <w:t>50</w:t>
            </w:r>
            <w:r>
              <w:rPr>
                <w:rFonts w:ascii="Times New Roman" w:hAnsi="Times New Roman"/>
                <w:noProof/>
              </w:rPr>
              <w:t> </w:t>
            </w:r>
            <w:r w:rsidRPr="00F43FC8">
              <w:rPr>
                <w:rFonts w:ascii="Times New Roman" w:hAnsi="Times New Roman"/>
                <w:noProof/>
              </w:rPr>
              <w:t>669</w:t>
            </w:r>
            <w:r>
              <w:rPr>
                <w:rFonts w:ascii="Times New Roman" w:hAnsi="Times New Roman"/>
                <w:noProof/>
              </w:rPr>
              <w:t> </w:t>
            </w:r>
            <w:r w:rsidRPr="00F43FC8">
              <w:rPr>
                <w:rFonts w:ascii="Times New Roman" w:hAnsi="Times New Roman"/>
                <w:noProof/>
              </w:rPr>
              <w:t>024</w:t>
            </w:r>
          </w:p>
        </w:tc>
      </w:tr>
      <w:tr w:rsidR="00131369" w:rsidRPr="00DA11F1" w14:paraId="46BBB521" w14:textId="77777777" w:rsidTr="00A51737">
        <w:trPr>
          <w:trHeight w:val="510"/>
          <w:jc w:val="center"/>
        </w:trPr>
        <w:tc>
          <w:tcPr>
            <w:tcW w:w="1994" w:type="dxa"/>
            <w:vAlign w:val="center"/>
          </w:tcPr>
          <w:p w14:paraId="3396CFCF" w14:textId="392E2A22" w:rsidR="00131369" w:rsidRPr="00DA11F1" w:rsidRDefault="009B1524" w:rsidP="00A51737">
            <w:pPr>
              <w:spacing w:line="276" w:lineRule="auto"/>
              <w:jc w:val="center"/>
              <w:rPr>
                <w:rFonts w:ascii="Times New Roman" w:hAnsi="Times New Roman"/>
                <w:noProof/>
              </w:rPr>
            </w:pPr>
            <w:r w:rsidRPr="00F43FC8">
              <w:rPr>
                <w:rFonts w:ascii="Times New Roman" w:hAnsi="Times New Roman"/>
                <w:noProof/>
              </w:rPr>
              <w:t>2016</w:t>
            </w:r>
          </w:p>
        </w:tc>
        <w:tc>
          <w:tcPr>
            <w:tcW w:w="3207" w:type="dxa"/>
            <w:vAlign w:val="center"/>
          </w:tcPr>
          <w:p w14:paraId="3BAF0B98" w14:textId="3CF8EA0A" w:rsidR="00131369" w:rsidRPr="00DA11F1" w:rsidRDefault="009B1524" w:rsidP="00A51737">
            <w:pPr>
              <w:spacing w:line="276" w:lineRule="auto"/>
              <w:jc w:val="center"/>
              <w:rPr>
                <w:rFonts w:ascii="Times New Roman" w:hAnsi="Times New Roman"/>
                <w:noProof/>
              </w:rPr>
            </w:pPr>
            <w:r w:rsidRPr="00F43FC8">
              <w:rPr>
                <w:rFonts w:ascii="Times New Roman" w:hAnsi="Times New Roman"/>
                <w:noProof/>
              </w:rPr>
              <w:t>1</w:t>
            </w:r>
            <w:r>
              <w:rPr>
                <w:rFonts w:ascii="Times New Roman" w:hAnsi="Times New Roman"/>
                <w:noProof/>
              </w:rPr>
              <w:t> </w:t>
            </w:r>
            <w:r w:rsidRPr="00F43FC8">
              <w:rPr>
                <w:rFonts w:ascii="Times New Roman" w:hAnsi="Times New Roman"/>
                <w:noProof/>
              </w:rPr>
              <w:t>969</w:t>
            </w:r>
            <w:r>
              <w:rPr>
                <w:rFonts w:ascii="Times New Roman" w:hAnsi="Times New Roman"/>
                <w:noProof/>
              </w:rPr>
              <w:t> </w:t>
            </w:r>
            <w:r w:rsidRPr="00F43FC8">
              <w:rPr>
                <w:rFonts w:ascii="Times New Roman" w:hAnsi="Times New Roman"/>
                <w:noProof/>
              </w:rPr>
              <w:t>509</w:t>
            </w:r>
            <w:r>
              <w:rPr>
                <w:rFonts w:ascii="Times New Roman" w:hAnsi="Times New Roman"/>
                <w:noProof/>
              </w:rPr>
              <w:t> </w:t>
            </w:r>
            <w:r w:rsidRPr="00F43FC8">
              <w:rPr>
                <w:rFonts w:ascii="Times New Roman" w:hAnsi="Times New Roman"/>
                <w:noProof/>
              </w:rPr>
              <w:t>118</w:t>
            </w:r>
          </w:p>
        </w:tc>
        <w:tc>
          <w:tcPr>
            <w:tcW w:w="3810" w:type="dxa"/>
            <w:vAlign w:val="center"/>
          </w:tcPr>
          <w:p w14:paraId="014B745D" w14:textId="706A3FCF" w:rsidR="00131369" w:rsidRPr="00DA11F1" w:rsidRDefault="009B1524" w:rsidP="00A51737">
            <w:pPr>
              <w:spacing w:line="276" w:lineRule="auto"/>
              <w:jc w:val="center"/>
              <w:rPr>
                <w:rFonts w:ascii="Times New Roman" w:hAnsi="Times New Roman"/>
                <w:noProof/>
              </w:rPr>
            </w:pPr>
            <w:r w:rsidRPr="00F43FC8">
              <w:rPr>
                <w:rFonts w:ascii="Times New Roman" w:hAnsi="Times New Roman"/>
                <w:noProof/>
              </w:rPr>
              <w:t>38</w:t>
            </w:r>
            <w:r>
              <w:rPr>
                <w:rFonts w:ascii="Times New Roman" w:hAnsi="Times New Roman"/>
                <w:noProof/>
              </w:rPr>
              <w:t> </w:t>
            </w:r>
            <w:r w:rsidRPr="00F43FC8">
              <w:rPr>
                <w:rFonts w:ascii="Times New Roman" w:hAnsi="Times New Roman"/>
                <w:noProof/>
              </w:rPr>
              <w:t>879</w:t>
            </w:r>
            <w:r>
              <w:rPr>
                <w:rFonts w:ascii="Times New Roman" w:hAnsi="Times New Roman"/>
                <w:noProof/>
              </w:rPr>
              <w:t> </w:t>
            </w:r>
            <w:r w:rsidRPr="00F43FC8">
              <w:rPr>
                <w:rFonts w:ascii="Times New Roman" w:hAnsi="Times New Roman"/>
                <w:noProof/>
              </w:rPr>
              <w:t>316</w:t>
            </w:r>
          </w:p>
        </w:tc>
      </w:tr>
      <w:tr w:rsidR="00131369" w:rsidRPr="00DA11F1" w14:paraId="2C61FFDE" w14:textId="77777777" w:rsidTr="00A51737">
        <w:trPr>
          <w:trHeight w:val="603"/>
          <w:jc w:val="center"/>
        </w:trPr>
        <w:tc>
          <w:tcPr>
            <w:tcW w:w="1994" w:type="dxa"/>
            <w:vAlign w:val="center"/>
          </w:tcPr>
          <w:p w14:paraId="3CCD6967" w14:textId="6A502370" w:rsidR="00131369" w:rsidRPr="00DA11F1" w:rsidRDefault="009B1524" w:rsidP="00A51737">
            <w:pPr>
              <w:spacing w:line="276" w:lineRule="auto"/>
              <w:jc w:val="center"/>
              <w:rPr>
                <w:rFonts w:ascii="Times New Roman" w:hAnsi="Times New Roman"/>
                <w:noProof/>
              </w:rPr>
            </w:pPr>
            <w:r w:rsidRPr="00F43FC8">
              <w:rPr>
                <w:rFonts w:ascii="Times New Roman" w:hAnsi="Times New Roman"/>
                <w:noProof/>
              </w:rPr>
              <w:t>2017</w:t>
            </w:r>
          </w:p>
        </w:tc>
        <w:tc>
          <w:tcPr>
            <w:tcW w:w="3207" w:type="dxa"/>
            <w:vAlign w:val="center"/>
          </w:tcPr>
          <w:p w14:paraId="2F51730E" w14:textId="5D894857" w:rsidR="00131369" w:rsidRPr="00DA11F1" w:rsidRDefault="009B1524" w:rsidP="00A51737">
            <w:pPr>
              <w:spacing w:line="276" w:lineRule="auto"/>
              <w:jc w:val="center"/>
              <w:rPr>
                <w:rFonts w:ascii="Times New Roman" w:hAnsi="Times New Roman"/>
                <w:noProof/>
              </w:rPr>
            </w:pPr>
            <w:r w:rsidRPr="00F43FC8">
              <w:rPr>
                <w:rFonts w:ascii="Times New Roman" w:hAnsi="Times New Roman"/>
                <w:noProof/>
              </w:rPr>
              <w:t>1</w:t>
            </w:r>
            <w:r>
              <w:rPr>
                <w:rFonts w:ascii="Times New Roman" w:hAnsi="Times New Roman"/>
                <w:noProof/>
              </w:rPr>
              <w:t> </w:t>
            </w:r>
            <w:r w:rsidRPr="00F43FC8">
              <w:rPr>
                <w:rFonts w:ascii="Times New Roman" w:hAnsi="Times New Roman"/>
                <w:noProof/>
              </w:rPr>
              <w:t>931</w:t>
            </w:r>
            <w:r>
              <w:rPr>
                <w:rFonts w:ascii="Times New Roman" w:hAnsi="Times New Roman"/>
                <w:noProof/>
              </w:rPr>
              <w:t> </w:t>
            </w:r>
            <w:r w:rsidRPr="00F43FC8">
              <w:rPr>
                <w:rFonts w:ascii="Times New Roman" w:hAnsi="Times New Roman"/>
                <w:noProof/>
              </w:rPr>
              <w:t>244</w:t>
            </w:r>
            <w:r>
              <w:rPr>
                <w:rFonts w:ascii="Times New Roman" w:hAnsi="Times New Roman"/>
                <w:noProof/>
              </w:rPr>
              <w:t> </w:t>
            </w:r>
            <w:r w:rsidRPr="00F43FC8">
              <w:rPr>
                <w:rFonts w:ascii="Times New Roman" w:hAnsi="Times New Roman"/>
                <w:noProof/>
              </w:rPr>
              <w:t>873</w:t>
            </w:r>
          </w:p>
        </w:tc>
        <w:tc>
          <w:tcPr>
            <w:tcW w:w="3810" w:type="dxa"/>
            <w:vAlign w:val="center"/>
          </w:tcPr>
          <w:p w14:paraId="3A0351B3" w14:textId="77777777" w:rsidR="00131369" w:rsidRPr="00DA11F1" w:rsidRDefault="009B1524" w:rsidP="00A51737">
            <w:pPr>
              <w:spacing w:line="276" w:lineRule="auto"/>
              <w:jc w:val="center"/>
              <w:rPr>
                <w:rFonts w:ascii="Times New Roman" w:hAnsi="Times New Roman"/>
                <w:noProof/>
              </w:rPr>
            </w:pPr>
            <w:r w:rsidRPr="00F43FC8">
              <w:rPr>
                <w:rFonts w:ascii="Times New Roman" w:hAnsi="Times New Roman"/>
                <w:noProof/>
              </w:rPr>
              <w:t>38</w:t>
            </w:r>
            <w:r>
              <w:rPr>
                <w:rFonts w:ascii="Times New Roman" w:hAnsi="Times New Roman"/>
                <w:noProof/>
              </w:rPr>
              <w:t> </w:t>
            </w:r>
            <w:r w:rsidRPr="00F43FC8">
              <w:rPr>
                <w:rFonts w:ascii="Times New Roman" w:hAnsi="Times New Roman"/>
                <w:noProof/>
              </w:rPr>
              <w:t>711</w:t>
            </w:r>
            <w:r>
              <w:rPr>
                <w:rFonts w:ascii="Times New Roman" w:hAnsi="Times New Roman"/>
                <w:noProof/>
              </w:rPr>
              <w:t> </w:t>
            </w:r>
            <w:r w:rsidRPr="00F43FC8">
              <w:rPr>
                <w:rFonts w:ascii="Times New Roman" w:hAnsi="Times New Roman"/>
                <w:noProof/>
              </w:rPr>
              <w:t>651</w:t>
            </w:r>
          </w:p>
        </w:tc>
      </w:tr>
      <w:tr w:rsidR="00131369" w:rsidRPr="00DA11F1" w14:paraId="39A17954" w14:textId="77777777" w:rsidTr="00A51737">
        <w:trPr>
          <w:trHeight w:val="603"/>
          <w:jc w:val="center"/>
        </w:trPr>
        <w:tc>
          <w:tcPr>
            <w:tcW w:w="1994" w:type="dxa"/>
            <w:vAlign w:val="center"/>
          </w:tcPr>
          <w:p w14:paraId="45243A1E" w14:textId="01FC4EF4" w:rsidR="00131369" w:rsidRPr="00DA11F1" w:rsidRDefault="009B1524" w:rsidP="00A51737">
            <w:pPr>
              <w:spacing w:line="276" w:lineRule="auto"/>
              <w:jc w:val="center"/>
              <w:rPr>
                <w:rFonts w:ascii="Times New Roman" w:hAnsi="Times New Roman"/>
                <w:noProof/>
              </w:rPr>
            </w:pPr>
            <w:r w:rsidRPr="00F43FC8">
              <w:rPr>
                <w:rFonts w:ascii="Times New Roman" w:hAnsi="Times New Roman"/>
                <w:noProof/>
              </w:rPr>
              <w:t>2018</w:t>
            </w:r>
          </w:p>
        </w:tc>
        <w:tc>
          <w:tcPr>
            <w:tcW w:w="3207" w:type="dxa"/>
            <w:vAlign w:val="center"/>
          </w:tcPr>
          <w:p w14:paraId="19D67694" w14:textId="2E040594" w:rsidR="00131369" w:rsidRPr="00DA11F1" w:rsidRDefault="009B1524" w:rsidP="00A51737">
            <w:pPr>
              <w:spacing w:line="276" w:lineRule="auto"/>
              <w:jc w:val="center"/>
              <w:rPr>
                <w:rFonts w:ascii="Times New Roman" w:hAnsi="Times New Roman"/>
                <w:noProof/>
              </w:rPr>
            </w:pPr>
            <w:r w:rsidRPr="00F43FC8">
              <w:rPr>
                <w:rFonts w:ascii="Times New Roman" w:hAnsi="Times New Roman"/>
                <w:noProof/>
              </w:rPr>
              <w:t>1</w:t>
            </w:r>
            <w:r>
              <w:rPr>
                <w:rFonts w:ascii="Times New Roman" w:hAnsi="Times New Roman"/>
                <w:noProof/>
              </w:rPr>
              <w:t> </w:t>
            </w:r>
            <w:r w:rsidRPr="00F43FC8">
              <w:rPr>
                <w:rFonts w:ascii="Times New Roman" w:hAnsi="Times New Roman"/>
                <w:noProof/>
              </w:rPr>
              <w:t>892</w:t>
            </w:r>
            <w:r>
              <w:rPr>
                <w:rFonts w:ascii="Times New Roman" w:hAnsi="Times New Roman"/>
                <w:noProof/>
              </w:rPr>
              <w:t> </w:t>
            </w:r>
            <w:r w:rsidRPr="00F43FC8">
              <w:rPr>
                <w:rFonts w:ascii="Times New Roman" w:hAnsi="Times New Roman"/>
                <w:noProof/>
              </w:rPr>
              <w:t>980</w:t>
            </w:r>
            <w:r>
              <w:rPr>
                <w:rFonts w:ascii="Times New Roman" w:hAnsi="Times New Roman"/>
                <w:noProof/>
              </w:rPr>
              <w:t> </w:t>
            </w:r>
            <w:r w:rsidRPr="00F43FC8">
              <w:rPr>
                <w:rFonts w:ascii="Times New Roman" w:hAnsi="Times New Roman"/>
                <w:noProof/>
              </w:rPr>
              <w:t>627</w:t>
            </w:r>
          </w:p>
        </w:tc>
        <w:tc>
          <w:tcPr>
            <w:tcW w:w="3810" w:type="dxa"/>
            <w:vAlign w:val="center"/>
          </w:tcPr>
          <w:p w14:paraId="4F743EFE" w14:textId="77777777" w:rsidR="00131369" w:rsidRPr="00DA11F1" w:rsidRDefault="009B1524" w:rsidP="00A51737">
            <w:pPr>
              <w:spacing w:line="276" w:lineRule="auto"/>
              <w:jc w:val="center"/>
              <w:rPr>
                <w:rFonts w:ascii="Times New Roman" w:hAnsi="Times New Roman"/>
                <w:noProof/>
              </w:rPr>
            </w:pPr>
            <w:r w:rsidRPr="00F43FC8">
              <w:rPr>
                <w:rFonts w:ascii="Times New Roman" w:hAnsi="Times New Roman"/>
                <w:noProof/>
              </w:rPr>
              <w:t>38</w:t>
            </w:r>
            <w:r>
              <w:rPr>
                <w:rFonts w:ascii="Times New Roman" w:hAnsi="Times New Roman"/>
                <w:noProof/>
              </w:rPr>
              <w:t> </w:t>
            </w:r>
            <w:r w:rsidRPr="00F43FC8">
              <w:rPr>
                <w:rFonts w:ascii="Times New Roman" w:hAnsi="Times New Roman"/>
                <w:noProof/>
              </w:rPr>
              <w:t>909</w:t>
            </w:r>
            <w:r>
              <w:rPr>
                <w:rFonts w:ascii="Times New Roman" w:hAnsi="Times New Roman"/>
                <w:noProof/>
              </w:rPr>
              <w:t> </w:t>
            </w:r>
            <w:r w:rsidRPr="00F43FC8">
              <w:rPr>
                <w:rFonts w:ascii="Times New Roman" w:hAnsi="Times New Roman"/>
                <w:noProof/>
              </w:rPr>
              <w:t>585</w:t>
            </w:r>
          </w:p>
        </w:tc>
      </w:tr>
      <w:tr w:rsidR="00131369" w:rsidRPr="00DA11F1" w14:paraId="0C9A0078" w14:textId="77777777" w:rsidTr="00F81DAA">
        <w:trPr>
          <w:trHeight w:val="603"/>
          <w:jc w:val="center"/>
        </w:trPr>
        <w:tc>
          <w:tcPr>
            <w:tcW w:w="1994" w:type="dxa"/>
            <w:vAlign w:val="center"/>
          </w:tcPr>
          <w:p w14:paraId="77D2DD31" w14:textId="76EC58DD" w:rsidR="00131369" w:rsidRPr="00DA11F1" w:rsidRDefault="009B1524" w:rsidP="00A51737">
            <w:pPr>
              <w:spacing w:line="276" w:lineRule="auto"/>
              <w:jc w:val="center"/>
              <w:rPr>
                <w:rFonts w:ascii="Times New Roman" w:hAnsi="Times New Roman"/>
                <w:noProof/>
              </w:rPr>
            </w:pPr>
            <w:r w:rsidRPr="00F43FC8">
              <w:rPr>
                <w:rFonts w:ascii="Times New Roman" w:hAnsi="Times New Roman"/>
                <w:noProof/>
              </w:rPr>
              <w:t>2019</w:t>
            </w:r>
          </w:p>
        </w:tc>
        <w:tc>
          <w:tcPr>
            <w:tcW w:w="3207" w:type="dxa"/>
            <w:vAlign w:val="center"/>
          </w:tcPr>
          <w:p w14:paraId="6F7C9D1B" w14:textId="19382462" w:rsidR="00131369" w:rsidRPr="00DA11F1" w:rsidRDefault="009B1524" w:rsidP="00A51737">
            <w:pPr>
              <w:spacing w:line="276" w:lineRule="auto"/>
              <w:jc w:val="center"/>
              <w:rPr>
                <w:rFonts w:ascii="Times New Roman" w:hAnsi="Times New Roman"/>
                <w:noProof/>
              </w:rPr>
            </w:pPr>
            <w:r w:rsidRPr="00F43FC8">
              <w:rPr>
                <w:rFonts w:ascii="Times New Roman" w:hAnsi="Times New Roman"/>
                <w:noProof/>
              </w:rPr>
              <w:t>1</w:t>
            </w:r>
            <w:r>
              <w:rPr>
                <w:rFonts w:ascii="Times New Roman" w:hAnsi="Times New Roman"/>
                <w:noProof/>
              </w:rPr>
              <w:t> </w:t>
            </w:r>
            <w:r w:rsidRPr="00F43FC8">
              <w:rPr>
                <w:rFonts w:ascii="Times New Roman" w:hAnsi="Times New Roman"/>
                <w:noProof/>
              </w:rPr>
              <w:t>854</w:t>
            </w:r>
            <w:r>
              <w:rPr>
                <w:rFonts w:ascii="Times New Roman" w:hAnsi="Times New Roman"/>
                <w:noProof/>
              </w:rPr>
              <w:t> </w:t>
            </w:r>
            <w:r w:rsidRPr="00F43FC8">
              <w:rPr>
                <w:rFonts w:ascii="Times New Roman" w:hAnsi="Times New Roman"/>
                <w:noProof/>
              </w:rPr>
              <w:t>716</w:t>
            </w:r>
            <w:r>
              <w:rPr>
                <w:rFonts w:ascii="Times New Roman" w:hAnsi="Times New Roman"/>
                <w:noProof/>
              </w:rPr>
              <w:t> </w:t>
            </w:r>
            <w:r w:rsidRPr="00F43FC8">
              <w:rPr>
                <w:rFonts w:ascii="Times New Roman" w:hAnsi="Times New Roman"/>
                <w:noProof/>
              </w:rPr>
              <w:t>381</w:t>
            </w:r>
          </w:p>
        </w:tc>
        <w:tc>
          <w:tcPr>
            <w:tcW w:w="3810" w:type="dxa"/>
            <w:vAlign w:val="center"/>
          </w:tcPr>
          <w:p w14:paraId="342BBA62" w14:textId="4CF5278F" w:rsidR="00131369" w:rsidRPr="00DA11F1" w:rsidRDefault="008157E5" w:rsidP="00A51737">
            <w:pPr>
              <w:spacing w:line="276" w:lineRule="auto"/>
              <w:jc w:val="center"/>
              <w:rPr>
                <w:rFonts w:ascii="Times New Roman" w:hAnsi="Times New Roman"/>
                <w:noProof/>
                <w:color w:val="000000"/>
              </w:rPr>
            </w:pPr>
            <w:r w:rsidRPr="00F43FC8">
              <w:rPr>
                <w:rFonts w:ascii="Times New Roman" w:hAnsi="Times New Roman"/>
                <w:noProof/>
                <w:color w:val="000000"/>
              </w:rPr>
              <w:t>38</w:t>
            </w:r>
            <w:r>
              <w:rPr>
                <w:rFonts w:ascii="Times New Roman" w:hAnsi="Times New Roman"/>
                <w:noProof/>
                <w:color w:val="000000"/>
              </w:rPr>
              <w:t> </w:t>
            </w:r>
            <w:r w:rsidRPr="00F43FC8">
              <w:rPr>
                <w:rFonts w:ascii="Times New Roman" w:hAnsi="Times New Roman"/>
                <w:noProof/>
                <w:color w:val="000000"/>
              </w:rPr>
              <w:t>830</w:t>
            </w:r>
            <w:r>
              <w:rPr>
                <w:rFonts w:ascii="Times New Roman" w:hAnsi="Times New Roman"/>
                <w:noProof/>
                <w:color w:val="000000"/>
              </w:rPr>
              <w:t> </w:t>
            </w:r>
            <w:r w:rsidRPr="00F43FC8">
              <w:rPr>
                <w:rFonts w:ascii="Times New Roman" w:hAnsi="Times New Roman"/>
                <w:noProof/>
                <w:color w:val="000000"/>
              </w:rPr>
              <w:t>950</w:t>
            </w:r>
          </w:p>
        </w:tc>
      </w:tr>
      <w:tr w:rsidR="00131369" w:rsidRPr="00DA11F1" w14:paraId="55B24EAD" w14:textId="77777777" w:rsidTr="00A51737">
        <w:trPr>
          <w:trHeight w:val="510"/>
          <w:jc w:val="center"/>
        </w:trPr>
        <w:tc>
          <w:tcPr>
            <w:tcW w:w="1994" w:type="dxa"/>
            <w:vAlign w:val="center"/>
          </w:tcPr>
          <w:p w14:paraId="1C609CF6" w14:textId="734A261B" w:rsidR="00131369" w:rsidRPr="00DA11F1" w:rsidRDefault="009B1524" w:rsidP="009718FE">
            <w:pPr>
              <w:spacing w:line="276" w:lineRule="auto"/>
              <w:jc w:val="center"/>
              <w:rPr>
                <w:rFonts w:ascii="Times New Roman" w:hAnsi="Times New Roman"/>
                <w:noProof/>
              </w:rPr>
            </w:pPr>
            <w:r w:rsidRPr="00F43FC8">
              <w:rPr>
                <w:rFonts w:ascii="Times New Roman" w:hAnsi="Times New Roman"/>
                <w:noProof/>
              </w:rPr>
              <w:t>2020</w:t>
            </w:r>
          </w:p>
        </w:tc>
        <w:tc>
          <w:tcPr>
            <w:tcW w:w="3207" w:type="dxa"/>
            <w:vAlign w:val="center"/>
          </w:tcPr>
          <w:p w14:paraId="417243D0" w14:textId="5CDA4510" w:rsidR="00131369" w:rsidRPr="00DA11F1" w:rsidRDefault="009B1524" w:rsidP="009718FE">
            <w:pPr>
              <w:spacing w:line="276" w:lineRule="auto"/>
              <w:jc w:val="center"/>
              <w:rPr>
                <w:rFonts w:ascii="Times New Roman" w:hAnsi="Times New Roman"/>
                <w:noProof/>
              </w:rPr>
            </w:pPr>
            <w:r w:rsidRPr="00F43FC8">
              <w:rPr>
                <w:rFonts w:ascii="Times New Roman" w:hAnsi="Times New Roman"/>
                <w:noProof/>
              </w:rPr>
              <w:t>1</w:t>
            </w:r>
            <w:r>
              <w:rPr>
                <w:rFonts w:ascii="Times New Roman" w:hAnsi="Times New Roman"/>
                <w:noProof/>
              </w:rPr>
              <w:t> </w:t>
            </w:r>
            <w:r w:rsidRPr="00F43FC8">
              <w:rPr>
                <w:rFonts w:ascii="Times New Roman" w:hAnsi="Times New Roman"/>
                <w:noProof/>
              </w:rPr>
              <w:t>816</w:t>
            </w:r>
            <w:r>
              <w:rPr>
                <w:rFonts w:ascii="Times New Roman" w:hAnsi="Times New Roman"/>
                <w:noProof/>
              </w:rPr>
              <w:t> </w:t>
            </w:r>
            <w:r w:rsidRPr="00F43FC8">
              <w:rPr>
                <w:rFonts w:ascii="Times New Roman" w:hAnsi="Times New Roman"/>
                <w:noProof/>
              </w:rPr>
              <w:t>452</w:t>
            </w:r>
            <w:r>
              <w:rPr>
                <w:rFonts w:ascii="Times New Roman" w:hAnsi="Times New Roman"/>
                <w:noProof/>
              </w:rPr>
              <w:t> </w:t>
            </w:r>
            <w:r w:rsidRPr="00F43FC8">
              <w:rPr>
                <w:rFonts w:ascii="Times New Roman" w:hAnsi="Times New Roman"/>
                <w:noProof/>
              </w:rPr>
              <w:t>135</w:t>
            </w:r>
          </w:p>
        </w:tc>
        <w:tc>
          <w:tcPr>
            <w:tcW w:w="3810" w:type="dxa"/>
            <w:vAlign w:val="center"/>
          </w:tcPr>
          <w:p w14:paraId="3C2E424D" w14:textId="68EA0E63" w:rsidR="00131369" w:rsidRPr="00DA11F1" w:rsidRDefault="000D1780" w:rsidP="009718FE">
            <w:pPr>
              <w:spacing w:line="276" w:lineRule="auto"/>
              <w:jc w:val="center"/>
              <w:rPr>
                <w:rFonts w:ascii="Times New Roman" w:hAnsi="Times New Roman"/>
                <w:noProof/>
              </w:rPr>
            </w:pPr>
            <w:r w:rsidRPr="00F43FC8">
              <w:rPr>
                <w:rFonts w:ascii="Times New Roman" w:hAnsi="Times New Roman"/>
                <w:noProof/>
              </w:rPr>
              <w:t>42</w:t>
            </w:r>
            <w:r>
              <w:rPr>
                <w:rFonts w:ascii="Times New Roman" w:hAnsi="Times New Roman"/>
                <w:noProof/>
              </w:rPr>
              <w:t> </w:t>
            </w:r>
            <w:r w:rsidRPr="00F43FC8">
              <w:rPr>
                <w:rFonts w:ascii="Times New Roman" w:hAnsi="Times New Roman"/>
                <w:noProof/>
              </w:rPr>
              <w:t>803</w:t>
            </w:r>
            <w:r>
              <w:rPr>
                <w:rFonts w:ascii="Times New Roman" w:hAnsi="Times New Roman"/>
                <w:noProof/>
              </w:rPr>
              <w:t> </w:t>
            </w:r>
            <w:r w:rsidRPr="00F43FC8">
              <w:rPr>
                <w:rFonts w:ascii="Times New Roman" w:hAnsi="Times New Roman"/>
                <w:noProof/>
              </w:rPr>
              <w:t>537</w:t>
            </w:r>
          </w:p>
        </w:tc>
      </w:tr>
    </w:tbl>
    <w:p w14:paraId="542C47B4" w14:textId="4684615F" w:rsidR="00131369" w:rsidRPr="00DA11F1" w:rsidRDefault="009B1524" w:rsidP="00F81DAA">
      <w:pPr>
        <w:spacing w:before="200"/>
        <w:jc w:val="both"/>
        <w:rPr>
          <w:rFonts w:ascii="Times New Roman" w:hAnsi="Times New Roman"/>
          <w:noProof/>
          <w:sz w:val="24"/>
          <w:szCs w:val="24"/>
        </w:rPr>
      </w:pPr>
      <w:bookmarkStart w:id="23" w:name="_Toc490850425"/>
      <w:bookmarkStart w:id="24" w:name="_Toc519009681"/>
      <w:r>
        <w:rPr>
          <w:rFonts w:ascii="Times New Roman" w:hAnsi="Times New Roman"/>
          <w:noProof/>
          <w:sz w:val="24"/>
          <w:szCs w:val="24"/>
        </w:rPr>
        <w:t xml:space="preserve">Le </w:t>
      </w:r>
      <w:r w:rsidRPr="00F43FC8">
        <w:rPr>
          <w:rFonts w:ascii="Times New Roman" w:hAnsi="Times New Roman"/>
          <w:noProof/>
          <w:sz w:val="24"/>
          <w:szCs w:val="24"/>
        </w:rPr>
        <w:t>1</w:t>
      </w:r>
      <w:r>
        <w:rPr>
          <w:rFonts w:ascii="Times New Roman" w:hAnsi="Times New Roman"/>
          <w:noProof/>
          <w:sz w:val="24"/>
          <w:szCs w:val="24"/>
          <w:vertAlign w:val="superscript"/>
        </w:rPr>
        <w:t>er</w:t>
      </w:r>
      <w:r>
        <w:rPr>
          <w:rFonts w:ascii="Times New Roman" w:hAnsi="Times New Roman"/>
          <w:noProof/>
          <w:sz w:val="24"/>
          <w:szCs w:val="24"/>
        </w:rPr>
        <w:t> février </w:t>
      </w:r>
      <w:r w:rsidRPr="00F43FC8">
        <w:rPr>
          <w:rFonts w:ascii="Times New Roman" w:hAnsi="Times New Roman"/>
          <w:noProof/>
          <w:sz w:val="24"/>
          <w:szCs w:val="24"/>
        </w:rPr>
        <w:t>2020</w:t>
      </w:r>
      <w:r>
        <w:rPr>
          <w:rFonts w:ascii="Times New Roman" w:hAnsi="Times New Roman"/>
          <w:noProof/>
          <w:sz w:val="24"/>
          <w:szCs w:val="24"/>
        </w:rPr>
        <w:t>, l’accord sur le retrait du Royaume-Uni de l’Union européenne</w:t>
      </w:r>
      <w:r w:rsidRPr="00DA11F1">
        <w:rPr>
          <w:rStyle w:val="FootnoteReference"/>
          <w:rFonts w:ascii="Times New Roman" w:hAnsi="Times New Roman"/>
          <w:noProof/>
          <w:sz w:val="24"/>
          <w:szCs w:val="24"/>
        </w:rPr>
        <w:footnoteReference w:id="22"/>
      </w:r>
      <w:r>
        <w:rPr>
          <w:rFonts w:ascii="Times New Roman" w:hAnsi="Times New Roman"/>
          <w:noProof/>
          <w:sz w:val="24"/>
          <w:szCs w:val="24"/>
        </w:rPr>
        <w:t xml:space="preserve"> est entré en vigueur. La directive SEQE s’appliquait au Royaume-Uni jusqu’au </w:t>
      </w:r>
      <w:r w:rsidRPr="00F43FC8">
        <w:rPr>
          <w:rFonts w:ascii="Times New Roman" w:hAnsi="Times New Roman"/>
          <w:noProof/>
          <w:sz w:val="24"/>
          <w:szCs w:val="24"/>
        </w:rPr>
        <w:t>31</w:t>
      </w:r>
      <w:r>
        <w:rPr>
          <w:rFonts w:ascii="Times New Roman" w:hAnsi="Times New Roman"/>
          <w:noProof/>
          <w:sz w:val="24"/>
          <w:szCs w:val="24"/>
        </w:rPr>
        <w:t> décembre </w:t>
      </w:r>
      <w:r w:rsidRPr="00F43FC8">
        <w:rPr>
          <w:rFonts w:ascii="Times New Roman" w:hAnsi="Times New Roman"/>
          <w:noProof/>
          <w:sz w:val="24"/>
          <w:szCs w:val="24"/>
        </w:rPr>
        <w:t>2020</w:t>
      </w:r>
      <w:r>
        <w:rPr>
          <w:rFonts w:ascii="Times New Roman" w:hAnsi="Times New Roman"/>
          <w:noProof/>
          <w:sz w:val="24"/>
          <w:szCs w:val="24"/>
        </w:rPr>
        <w:t>, et conformément au protocole sur l’Irlande et l’Irlande du Nord</w:t>
      </w:r>
      <w:r w:rsidRPr="00DA11F1">
        <w:rPr>
          <w:rStyle w:val="FootnoteReference"/>
          <w:rFonts w:ascii="Times New Roman" w:hAnsi="Times New Roman"/>
          <w:noProof/>
          <w:sz w:val="24"/>
          <w:szCs w:val="24"/>
        </w:rPr>
        <w:footnoteReference w:id="23"/>
      </w:r>
      <w:r>
        <w:rPr>
          <w:rFonts w:ascii="Times New Roman" w:hAnsi="Times New Roman"/>
          <w:noProof/>
          <w:sz w:val="24"/>
          <w:szCs w:val="24"/>
        </w:rPr>
        <w:t xml:space="preserve">, la production d’électricité située en Irlande du Nord reste dans le SEQE-UE avec les droits et obligations correspondants. </w:t>
      </w:r>
    </w:p>
    <w:p w14:paraId="4828E735" w14:textId="6D3B7D49" w:rsidR="00124323" w:rsidRPr="00DA11F1" w:rsidRDefault="009B1524" w:rsidP="004D276F">
      <w:pPr>
        <w:jc w:val="both"/>
        <w:rPr>
          <w:rFonts w:ascii="Times New Roman" w:hAnsi="Times New Roman"/>
          <w:noProof/>
          <w:sz w:val="24"/>
          <w:szCs w:val="24"/>
        </w:rPr>
      </w:pPr>
      <w:r>
        <w:rPr>
          <w:rFonts w:ascii="Times New Roman" w:hAnsi="Times New Roman"/>
          <w:noProof/>
          <w:sz w:val="24"/>
          <w:szCs w:val="24"/>
        </w:rPr>
        <w:t xml:space="preserve">La Commission a réagi à ces changements en adoptant, le </w:t>
      </w:r>
      <w:r w:rsidRPr="00F43FC8">
        <w:rPr>
          <w:rFonts w:ascii="Times New Roman" w:hAnsi="Times New Roman"/>
          <w:noProof/>
          <w:sz w:val="24"/>
          <w:szCs w:val="24"/>
        </w:rPr>
        <w:t>16</w:t>
      </w:r>
      <w:r>
        <w:rPr>
          <w:rFonts w:ascii="Times New Roman" w:hAnsi="Times New Roman"/>
          <w:noProof/>
          <w:sz w:val="24"/>
          <w:szCs w:val="24"/>
        </w:rPr>
        <w:t> novembre </w:t>
      </w:r>
      <w:r w:rsidRPr="00F43FC8">
        <w:rPr>
          <w:rFonts w:ascii="Times New Roman" w:hAnsi="Times New Roman"/>
          <w:noProof/>
          <w:sz w:val="24"/>
          <w:szCs w:val="24"/>
        </w:rPr>
        <w:t>2020</w:t>
      </w:r>
      <w:r>
        <w:rPr>
          <w:rFonts w:ascii="Times New Roman" w:hAnsi="Times New Roman"/>
          <w:noProof/>
          <w:sz w:val="24"/>
          <w:szCs w:val="24"/>
        </w:rPr>
        <w:t>, la décision sur la quantité de quotas ajustée à l’échelle de l’Union</w:t>
      </w:r>
      <w:r w:rsidR="004D276F" w:rsidRPr="00DA11F1">
        <w:rPr>
          <w:rStyle w:val="FootnoteReference"/>
          <w:rFonts w:ascii="Times New Roman" w:hAnsi="Times New Roman"/>
          <w:noProof/>
          <w:sz w:val="24"/>
          <w:szCs w:val="24"/>
        </w:rPr>
        <w:footnoteReference w:id="24"/>
      </w:r>
      <w:r>
        <w:rPr>
          <w:rFonts w:ascii="Times New Roman" w:hAnsi="Times New Roman"/>
          <w:noProof/>
          <w:sz w:val="24"/>
          <w:szCs w:val="24"/>
        </w:rPr>
        <w:t>. Seules les émissions provenant de la production d’électricité en Irlande du Nord ont été prises en considération dans le plafond actualisé (appliqué à partir de la période de base </w:t>
      </w:r>
      <w:r w:rsidRPr="00F43FC8">
        <w:rPr>
          <w:rFonts w:ascii="Times New Roman" w:hAnsi="Times New Roman"/>
          <w:noProof/>
          <w:sz w:val="24"/>
          <w:szCs w:val="24"/>
        </w:rPr>
        <w:t>2008</w:t>
      </w:r>
      <w:r>
        <w:rPr>
          <w:rFonts w:ascii="Times New Roman" w:hAnsi="Times New Roman"/>
          <w:noProof/>
          <w:sz w:val="24"/>
          <w:szCs w:val="24"/>
        </w:rPr>
        <w:t>-</w:t>
      </w:r>
      <w:r w:rsidRPr="00F43FC8">
        <w:rPr>
          <w:rFonts w:ascii="Times New Roman" w:hAnsi="Times New Roman"/>
          <w:noProof/>
          <w:sz w:val="24"/>
          <w:szCs w:val="24"/>
        </w:rPr>
        <w:t>2012</w:t>
      </w:r>
      <w:r>
        <w:rPr>
          <w:rFonts w:ascii="Times New Roman" w:hAnsi="Times New Roman"/>
          <w:noProof/>
          <w:sz w:val="24"/>
          <w:szCs w:val="24"/>
        </w:rPr>
        <w:t>), pour lequel une réduction du plafond a été calculée en proportion des émissions du Royaume-Uni qui n’étaient plus prises en considération</w:t>
      </w:r>
      <w:r w:rsidR="00595C69" w:rsidRPr="00DA11F1">
        <w:rPr>
          <w:rStyle w:val="FootnoteReference"/>
          <w:rFonts w:ascii="Times New Roman" w:hAnsi="Times New Roman"/>
          <w:noProof/>
          <w:sz w:val="24"/>
          <w:szCs w:val="24"/>
        </w:rPr>
        <w:footnoteReference w:id="25"/>
      </w:r>
      <w:r>
        <w:rPr>
          <w:rFonts w:ascii="Times New Roman" w:hAnsi="Times New Roman"/>
          <w:noProof/>
          <w:sz w:val="24"/>
          <w:szCs w:val="24"/>
        </w:rPr>
        <w:t>.</w:t>
      </w:r>
    </w:p>
    <w:p w14:paraId="6A269D00" w14:textId="272F621F" w:rsidR="00131369" w:rsidRPr="00DA11F1" w:rsidRDefault="00522110" w:rsidP="00155B66">
      <w:pPr>
        <w:spacing w:after="0"/>
        <w:jc w:val="both"/>
        <w:rPr>
          <w:rFonts w:ascii="Times New Roman" w:hAnsi="Times New Roman"/>
          <w:b/>
          <w:bCs/>
          <w:noProof/>
        </w:rPr>
      </w:pPr>
      <w:r>
        <w:rPr>
          <w:rFonts w:ascii="Times New Roman" w:hAnsi="Times New Roman"/>
          <w:noProof/>
          <w:sz w:val="24"/>
          <w:szCs w:val="24"/>
        </w:rPr>
        <w:t>L</w:t>
      </w:r>
      <w:r w:rsidR="00155B66">
        <w:rPr>
          <w:rFonts w:ascii="Times New Roman" w:hAnsi="Times New Roman"/>
          <w:noProof/>
          <w:sz w:val="24"/>
          <w:szCs w:val="24"/>
        </w:rPr>
        <w:t xml:space="preserve">e graphique </w:t>
      </w:r>
      <w:r w:rsidR="00155B66" w:rsidRPr="00F43FC8">
        <w:rPr>
          <w:rFonts w:ascii="Times New Roman" w:hAnsi="Times New Roman"/>
          <w:noProof/>
          <w:sz w:val="24"/>
          <w:szCs w:val="24"/>
        </w:rPr>
        <w:t>1</w:t>
      </w:r>
      <w:r>
        <w:rPr>
          <w:rFonts w:ascii="Times New Roman" w:hAnsi="Times New Roman"/>
          <w:noProof/>
          <w:sz w:val="24"/>
          <w:szCs w:val="24"/>
        </w:rPr>
        <w:t xml:space="preserve"> résume la réduction du plafond à la suite de l’augmentation du facteur de réduction linéaire à </w:t>
      </w:r>
      <w:r w:rsidRPr="00F43FC8">
        <w:rPr>
          <w:rFonts w:ascii="Times New Roman" w:hAnsi="Times New Roman"/>
          <w:noProof/>
          <w:sz w:val="24"/>
          <w:szCs w:val="24"/>
        </w:rPr>
        <w:t>2</w:t>
      </w:r>
      <w:r>
        <w:rPr>
          <w:rFonts w:ascii="Times New Roman" w:hAnsi="Times New Roman"/>
          <w:noProof/>
          <w:sz w:val="24"/>
          <w:szCs w:val="24"/>
        </w:rPr>
        <w:t>,</w:t>
      </w:r>
      <w:r w:rsidRPr="00F43FC8">
        <w:rPr>
          <w:rFonts w:ascii="Times New Roman" w:hAnsi="Times New Roman"/>
          <w:noProof/>
          <w:sz w:val="24"/>
          <w:szCs w:val="24"/>
        </w:rPr>
        <w:t>2</w:t>
      </w:r>
      <w:r>
        <w:rPr>
          <w:rFonts w:ascii="Times New Roman" w:hAnsi="Times New Roman"/>
          <w:noProof/>
          <w:sz w:val="24"/>
          <w:szCs w:val="24"/>
        </w:rPr>
        <w:t> % à partir de </w:t>
      </w:r>
      <w:r w:rsidRPr="00F43FC8">
        <w:rPr>
          <w:rFonts w:ascii="Times New Roman" w:hAnsi="Times New Roman"/>
          <w:noProof/>
          <w:sz w:val="24"/>
          <w:szCs w:val="24"/>
        </w:rPr>
        <w:t>2021</w:t>
      </w:r>
      <w:r>
        <w:rPr>
          <w:rFonts w:ascii="Times New Roman" w:hAnsi="Times New Roman"/>
          <w:noProof/>
          <w:sz w:val="24"/>
          <w:szCs w:val="24"/>
        </w:rPr>
        <w:t>. Elle illustre également le rôle des ajouts à la réserve de stabilité du marché (RSM) et des contributions de rétrocession à la RSM (voir chapitre </w:t>
      </w:r>
      <w:r w:rsidRPr="00F43FC8">
        <w:rPr>
          <w:rFonts w:ascii="Times New Roman" w:hAnsi="Times New Roman"/>
          <w:noProof/>
          <w:sz w:val="24"/>
          <w:szCs w:val="24"/>
        </w:rPr>
        <w:t>3</w:t>
      </w:r>
      <w:r>
        <w:rPr>
          <w:rFonts w:ascii="Times New Roman" w:hAnsi="Times New Roman"/>
          <w:noProof/>
          <w:sz w:val="24"/>
          <w:szCs w:val="24"/>
        </w:rPr>
        <w:t>.</w:t>
      </w:r>
      <w:r w:rsidRPr="00F43FC8">
        <w:rPr>
          <w:rFonts w:ascii="Times New Roman" w:hAnsi="Times New Roman"/>
          <w:noProof/>
          <w:sz w:val="24"/>
          <w:szCs w:val="24"/>
        </w:rPr>
        <w:t>2</w:t>
      </w:r>
      <w:r>
        <w:rPr>
          <w:rFonts w:ascii="Times New Roman" w:hAnsi="Times New Roman"/>
          <w:noProof/>
          <w:sz w:val="24"/>
          <w:szCs w:val="24"/>
        </w:rPr>
        <w:t>.</w:t>
      </w:r>
      <w:r w:rsidRPr="00F43FC8">
        <w:rPr>
          <w:rFonts w:ascii="Times New Roman" w:hAnsi="Times New Roman"/>
          <w:noProof/>
          <w:sz w:val="24"/>
          <w:szCs w:val="24"/>
        </w:rPr>
        <w:t>2</w:t>
      </w:r>
      <w:r>
        <w:rPr>
          <w:rFonts w:ascii="Times New Roman" w:hAnsi="Times New Roman"/>
          <w:noProof/>
          <w:sz w:val="24"/>
          <w:szCs w:val="24"/>
        </w:rPr>
        <w:t xml:space="preserve">). Les bâtons en pointillés inclus dans </w:t>
      </w:r>
      <w:r w:rsidR="00155B66">
        <w:rPr>
          <w:rFonts w:ascii="Times New Roman" w:hAnsi="Times New Roman"/>
          <w:noProof/>
          <w:sz w:val="24"/>
          <w:szCs w:val="24"/>
        </w:rPr>
        <w:t>le graphique</w:t>
      </w:r>
      <w:r>
        <w:rPr>
          <w:rFonts w:ascii="Times New Roman" w:hAnsi="Times New Roman"/>
          <w:noProof/>
          <w:sz w:val="24"/>
          <w:szCs w:val="24"/>
        </w:rPr>
        <w:t xml:space="preserve"> représentent une estimation de l’incidence qu’aurait la revue à la hausse de l’objectif de réduction des émissions de GES proposée par la Commission dans son train de mesures de révision du </w:t>
      </w:r>
      <w:r w:rsidRPr="00F43FC8">
        <w:rPr>
          <w:rFonts w:ascii="Times New Roman" w:hAnsi="Times New Roman"/>
          <w:noProof/>
          <w:sz w:val="24"/>
          <w:szCs w:val="24"/>
        </w:rPr>
        <w:t>14</w:t>
      </w:r>
      <w:r>
        <w:rPr>
          <w:rFonts w:ascii="Times New Roman" w:hAnsi="Times New Roman"/>
          <w:noProof/>
          <w:sz w:val="24"/>
          <w:szCs w:val="24"/>
        </w:rPr>
        <w:t> juillet </w:t>
      </w:r>
      <w:r w:rsidRPr="00F43FC8">
        <w:rPr>
          <w:rFonts w:ascii="Times New Roman" w:hAnsi="Times New Roman"/>
          <w:noProof/>
          <w:sz w:val="24"/>
          <w:szCs w:val="24"/>
        </w:rPr>
        <w:t>2021</w:t>
      </w:r>
      <w:r>
        <w:rPr>
          <w:rFonts w:ascii="Times New Roman" w:hAnsi="Times New Roman"/>
          <w:noProof/>
          <w:sz w:val="24"/>
          <w:szCs w:val="24"/>
        </w:rPr>
        <w:t xml:space="preserve"> visant à mettre en œuvre le pacte vert pour l’Europe.</w:t>
      </w:r>
    </w:p>
    <w:p w14:paraId="46D3F9E9" w14:textId="60EEDACC" w:rsidR="00131369" w:rsidRPr="00DA11F1" w:rsidRDefault="00131369">
      <w:pPr>
        <w:spacing w:after="0"/>
        <w:jc w:val="both"/>
        <w:rPr>
          <w:rFonts w:ascii="Times New Roman" w:hAnsi="Times New Roman"/>
          <w:noProof/>
          <w:sz w:val="24"/>
          <w:szCs w:val="24"/>
        </w:rPr>
      </w:pPr>
    </w:p>
    <w:p w14:paraId="69301BFB" w14:textId="77777777" w:rsidR="006E039C" w:rsidRPr="00DA11F1" w:rsidRDefault="006E039C" w:rsidP="00561BA5">
      <w:pPr>
        <w:pStyle w:val="Caption"/>
        <w:keepNext/>
        <w:jc w:val="both"/>
        <w:rPr>
          <w:rFonts w:ascii="Times New Roman" w:hAnsi="Times New Roman"/>
          <w:noProof/>
          <w:sz w:val="22"/>
        </w:rPr>
        <w:sectPr w:rsidR="006E039C" w:rsidRPr="00DA11F1" w:rsidSect="006F13D7">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20"/>
          <w:docGrid w:linePitch="360"/>
        </w:sectPr>
      </w:pPr>
      <w:bookmarkStart w:id="25" w:name="_Ref85019140"/>
    </w:p>
    <w:p w14:paraId="7BDB2BFE" w14:textId="64383E1F" w:rsidR="00522110" w:rsidRPr="00DA11F1" w:rsidRDefault="00155B66" w:rsidP="00155B66">
      <w:pPr>
        <w:pStyle w:val="Caption"/>
        <w:keepNext/>
        <w:jc w:val="both"/>
        <w:rPr>
          <w:rFonts w:ascii="Times New Roman" w:hAnsi="Times New Roman"/>
          <w:noProof/>
          <w:sz w:val="22"/>
        </w:rPr>
      </w:pPr>
      <w:r>
        <w:rPr>
          <w:rFonts w:ascii="Times New Roman" w:hAnsi="Times New Roman"/>
          <w:noProof/>
          <w:sz w:val="22"/>
        </w:rPr>
        <w:t>Graphique</w:t>
      </w:r>
      <w:r w:rsidR="00522110">
        <w:rPr>
          <w:rFonts w:ascii="Times New Roman" w:hAnsi="Times New Roman"/>
          <w:noProof/>
          <w:sz w:val="22"/>
        </w:rPr>
        <w:t> </w:t>
      </w:r>
      <w:r w:rsidR="00F2602C" w:rsidRPr="00DA11F1">
        <w:rPr>
          <w:rFonts w:ascii="Times New Roman" w:hAnsi="Times New Roman"/>
          <w:noProof/>
          <w:sz w:val="22"/>
        </w:rPr>
        <w:fldChar w:fldCharType="begin"/>
      </w:r>
      <w:r w:rsidR="00F2602C" w:rsidRPr="00DA11F1">
        <w:rPr>
          <w:rFonts w:ascii="Times New Roman" w:hAnsi="Times New Roman"/>
          <w:noProof/>
          <w:sz w:val="22"/>
        </w:rPr>
        <w:instrText xml:space="preserve"> SEQ Figure \* ARABIC </w:instrText>
      </w:r>
      <w:r w:rsidR="00F2602C" w:rsidRPr="00DA11F1">
        <w:rPr>
          <w:rFonts w:ascii="Times New Roman" w:hAnsi="Times New Roman"/>
          <w:noProof/>
          <w:sz w:val="22"/>
        </w:rPr>
        <w:fldChar w:fldCharType="separate"/>
      </w:r>
      <w:r w:rsidR="00F2602C" w:rsidRPr="00F43FC8">
        <w:rPr>
          <w:rFonts w:ascii="Times New Roman" w:hAnsi="Times New Roman"/>
          <w:noProof/>
          <w:sz w:val="22"/>
        </w:rPr>
        <w:t>1</w:t>
      </w:r>
      <w:r w:rsidR="00F2602C" w:rsidRPr="00DA11F1">
        <w:rPr>
          <w:rFonts w:ascii="Times New Roman" w:hAnsi="Times New Roman"/>
          <w:noProof/>
          <w:sz w:val="22"/>
        </w:rPr>
        <w:fldChar w:fldCharType="end"/>
      </w:r>
      <w:bookmarkEnd w:id="25"/>
      <w:r w:rsidR="00522110">
        <w:rPr>
          <w:rFonts w:ascii="Times New Roman" w:hAnsi="Times New Roman"/>
          <w:noProof/>
          <w:sz w:val="22"/>
        </w:rPr>
        <w:t xml:space="preserve">. Réduction du plafond avec application du facteur de réduction linéaire de </w:t>
      </w:r>
      <w:r w:rsidR="00522110" w:rsidRPr="00F43FC8">
        <w:rPr>
          <w:rFonts w:ascii="Times New Roman" w:hAnsi="Times New Roman"/>
          <w:noProof/>
          <w:sz w:val="22"/>
        </w:rPr>
        <w:t>2</w:t>
      </w:r>
      <w:r w:rsidR="00522110">
        <w:rPr>
          <w:rFonts w:ascii="Times New Roman" w:hAnsi="Times New Roman"/>
          <w:noProof/>
          <w:sz w:val="22"/>
        </w:rPr>
        <w:t>,</w:t>
      </w:r>
      <w:r w:rsidR="00522110" w:rsidRPr="00F43FC8">
        <w:rPr>
          <w:rFonts w:ascii="Times New Roman" w:hAnsi="Times New Roman"/>
          <w:noProof/>
          <w:sz w:val="22"/>
        </w:rPr>
        <w:t>2</w:t>
      </w:r>
      <w:r w:rsidR="00522110">
        <w:rPr>
          <w:rFonts w:ascii="Times New Roman" w:hAnsi="Times New Roman"/>
          <w:noProof/>
          <w:sz w:val="22"/>
        </w:rPr>
        <w:t> % à partir de </w:t>
      </w:r>
      <w:r w:rsidR="00522110" w:rsidRPr="00F43FC8">
        <w:rPr>
          <w:rFonts w:ascii="Times New Roman" w:hAnsi="Times New Roman"/>
          <w:noProof/>
          <w:sz w:val="22"/>
        </w:rPr>
        <w:t>2021</w:t>
      </w:r>
      <w:r w:rsidR="00522110" w:rsidRPr="00DA11F1">
        <w:rPr>
          <w:rFonts w:ascii="Times New Roman" w:hAnsi="Times New Roman"/>
          <w:b w:val="0"/>
          <w:bCs w:val="0"/>
          <w:noProof/>
          <w:sz w:val="22"/>
          <w:vertAlign w:val="superscript"/>
        </w:rPr>
        <w:footnoteReference w:id="26"/>
      </w:r>
    </w:p>
    <w:p w14:paraId="7807FC93" w14:textId="2E8292EA" w:rsidR="00D3119A" w:rsidRPr="00DA11F1" w:rsidRDefault="005A2756" w:rsidP="00774BD0">
      <w:pPr>
        <w:spacing w:after="0"/>
        <w:jc w:val="both"/>
        <w:rPr>
          <w:rFonts w:ascii="Times New Roman" w:hAnsi="Times New Roman"/>
          <w:noProof/>
          <w:sz w:val="24"/>
          <w:szCs w:val="24"/>
        </w:rPr>
      </w:pPr>
      <w:r>
        <w:rPr>
          <w:rFonts w:ascii="Times New Roman" w:hAnsi="Times New Roman"/>
          <w:noProof/>
          <w:sz w:val="24"/>
          <w:szCs w:val="24"/>
          <w:lang w:val="en-GB" w:eastAsia="en-GB"/>
        </w:rPr>
        <w:drawing>
          <wp:inline distT="0" distB="0" distL="0" distR="0" wp14:anchorId="2C73A5E2" wp14:editId="6C94EB07">
            <wp:extent cx="8652957" cy="20116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909094" cy="2071228"/>
                    </a:xfrm>
                    <a:prstGeom prst="rect">
                      <a:avLst/>
                    </a:prstGeom>
                    <a:noFill/>
                  </pic:spPr>
                </pic:pic>
              </a:graphicData>
            </a:graphic>
          </wp:inline>
        </w:drawing>
      </w:r>
    </w:p>
    <w:p w14:paraId="0214C823" w14:textId="624AF226" w:rsidR="006E039C" w:rsidRPr="00DA11F1" w:rsidRDefault="006E039C" w:rsidP="00774BD0">
      <w:pPr>
        <w:spacing w:after="0"/>
        <w:jc w:val="both"/>
        <w:rPr>
          <w:rFonts w:ascii="Times New Roman" w:hAnsi="Times New Roman"/>
          <w:noProof/>
          <w:sz w:val="24"/>
          <w:szCs w:val="24"/>
        </w:rPr>
      </w:pPr>
      <w:r>
        <w:rPr>
          <w:rFonts w:ascii="Times New Roman" w:hAnsi="Times New Roman"/>
          <w:noProof/>
          <w:sz w:val="24"/>
          <w:szCs w:val="24"/>
          <w:lang w:val="en-GB" w:eastAsia="en-GB"/>
        </w:rPr>
        <mc:AlternateContent>
          <mc:Choice Requires="wpg">
            <w:drawing>
              <wp:anchor distT="0" distB="0" distL="114300" distR="114300" simplePos="0" relativeHeight="251660288" behindDoc="0" locked="0" layoutInCell="1" allowOverlap="1" wp14:anchorId="193A379D" wp14:editId="094F3338">
                <wp:simplePos x="0" y="0"/>
                <wp:positionH relativeFrom="column">
                  <wp:posOffset>57874</wp:posOffset>
                </wp:positionH>
                <wp:positionV relativeFrom="paragraph">
                  <wp:posOffset>163750</wp:posOffset>
                </wp:positionV>
                <wp:extent cx="7020521" cy="660414"/>
                <wp:effectExtent l="57150" t="0" r="0" b="25400"/>
                <wp:wrapNone/>
                <wp:docPr id="10" name="Group 56"/>
                <wp:cNvGraphicFramePr/>
                <a:graphic xmlns:a="http://schemas.openxmlformats.org/drawingml/2006/main">
                  <a:graphicData uri="http://schemas.microsoft.com/office/word/2010/wordprocessingGroup">
                    <wpg:wgp>
                      <wpg:cNvGrpSpPr/>
                      <wpg:grpSpPr>
                        <a:xfrm>
                          <a:off x="0" y="0"/>
                          <a:ext cx="7020521" cy="660414"/>
                          <a:chOff x="0" y="0"/>
                          <a:chExt cx="7020521" cy="660414"/>
                        </a:xfrm>
                      </wpg:grpSpPr>
                      <wps:wsp>
                        <wps:cNvPr id="12" name="5-Point Star 12"/>
                        <wps:cNvSpPr/>
                        <wps:spPr>
                          <a:xfrm>
                            <a:off x="35986" y="93773"/>
                            <a:ext cx="71810" cy="71882"/>
                          </a:xfrm>
                          <a:prstGeom prst="star5">
                            <a:avLst/>
                          </a:prstGeom>
                          <a:solidFill>
                            <a:srgbClr val="133176"/>
                          </a:solidFill>
                          <a:ln>
                            <a:solidFill>
                              <a:srgbClr val="133176"/>
                            </a:solidFill>
                          </a:ln>
                        </wps:spPr>
                        <wps:style>
                          <a:lnRef idx="1">
                            <a:schemeClr val="accent1"/>
                          </a:lnRef>
                          <a:fillRef idx="3">
                            <a:schemeClr val="accent1"/>
                          </a:fillRef>
                          <a:effectRef idx="2">
                            <a:schemeClr val="accent1"/>
                          </a:effectRef>
                          <a:fontRef idx="minor">
                            <a:schemeClr val="lt1"/>
                          </a:fontRef>
                        </wps:style>
                        <wps:bodyPr rtlCol="0" anchor="ctr"/>
                      </wps:wsp>
                      <wps:wsp>
                        <wps:cNvPr id="13" name="Isosceles Triangle 13"/>
                        <wps:cNvSpPr/>
                        <wps:spPr>
                          <a:xfrm>
                            <a:off x="38653" y="304342"/>
                            <a:ext cx="66476" cy="71361"/>
                          </a:xfrm>
                          <a:prstGeom prst="triangle">
                            <a:avLst/>
                          </a:prstGeom>
                          <a:solidFill>
                            <a:srgbClr val="133176"/>
                          </a:solidFill>
                          <a:ln>
                            <a:solidFill>
                              <a:srgbClr val="133176"/>
                            </a:solidFill>
                          </a:ln>
                        </wps:spPr>
                        <wps:style>
                          <a:lnRef idx="1">
                            <a:schemeClr val="accent1"/>
                          </a:lnRef>
                          <a:fillRef idx="3">
                            <a:schemeClr val="accent1"/>
                          </a:fillRef>
                          <a:effectRef idx="2">
                            <a:schemeClr val="accent1"/>
                          </a:effectRef>
                          <a:fontRef idx="minor">
                            <a:schemeClr val="lt1"/>
                          </a:fontRef>
                        </wps:style>
                        <wps:bodyPr rtlCol="0" anchor="ctr"/>
                      </wps:wsp>
                      <wps:wsp>
                        <wps:cNvPr id="15" name="Rectangle 15"/>
                        <wps:cNvSpPr/>
                        <wps:spPr>
                          <a:xfrm>
                            <a:off x="0" y="485775"/>
                            <a:ext cx="144016" cy="104172"/>
                          </a:xfrm>
                          <a:prstGeom prst="rect">
                            <a:avLst/>
                          </a:prstGeom>
                          <a:noFill/>
                          <a:ln>
                            <a:solidFill>
                              <a:srgbClr val="133176"/>
                            </a:solidFill>
                            <a:prstDash val="sysDash"/>
                          </a:ln>
                        </wps:spPr>
                        <wps:style>
                          <a:lnRef idx="1">
                            <a:schemeClr val="accent1"/>
                          </a:lnRef>
                          <a:fillRef idx="3">
                            <a:schemeClr val="accent1"/>
                          </a:fillRef>
                          <a:effectRef idx="2">
                            <a:schemeClr val="accent1"/>
                          </a:effectRef>
                          <a:fontRef idx="minor">
                            <a:schemeClr val="lt1"/>
                          </a:fontRef>
                        </wps:style>
                        <wps:bodyPr rtlCol="0" anchor="ctr"/>
                      </wps:wsp>
                      <wps:wsp>
                        <wps:cNvPr id="17" name="TextBox 60"/>
                        <wps:cNvSpPr txBox="1"/>
                        <wps:spPr>
                          <a:xfrm>
                            <a:off x="107911" y="0"/>
                            <a:ext cx="6912610" cy="253365"/>
                          </a:xfrm>
                          <a:prstGeom prst="rect">
                            <a:avLst/>
                          </a:prstGeom>
                          <a:noFill/>
                        </wps:spPr>
                        <wps:txbx>
                          <w:txbxContent>
                            <w:p w14:paraId="7C23D0D2" w14:textId="77777777" w:rsidR="00372F2A" w:rsidRPr="006E039C" w:rsidRDefault="00372F2A" w:rsidP="006E039C">
                              <w:pPr>
                                <w:pStyle w:val="NormalWeb"/>
                                <w:spacing w:before="0" w:beforeAutospacing="0" w:after="0" w:afterAutospacing="0"/>
                                <w:textAlignment w:val="baseline"/>
                                <w:rPr>
                                  <w:rFonts w:asciiTheme="minorHAnsi" w:hAnsiTheme="minorHAnsi" w:cstheme="minorHAnsi"/>
                                </w:rPr>
                              </w:pPr>
                              <w:r>
                                <w:rPr>
                                  <w:rFonts w:asciiTheme="minorHAnsi" w:hAnsiTheme="minorHAnsi"/>
                                  <w:color w:val="0F5494"/>
                                  <w:sz w:val="21"/>
                                  <w:szCs w:val="21"/>
                                </w:rPr>
                                <w:t>Quotas gelés (900 millions au total)</w:t>
                              </w:r>
                            </w:p>
                          </w:txbxContent>
                        </wps:txbx>
                        <wps:bodyPr wrap="square" rtlCol="0">
                          <a:spAutoFit/>
                        </wps:bodyPr>
                      </wps:wsp>
                      <wps:wsp>
                        <wps:cNvPr id="18" name="TextBox 61"/>
                        <wps:cNvSpPr txBox="1"/>
                        <wps:spPr>
                          <a:xfrm>
                            <a:off x="107911" y="203525"/>
                            <a:ext cx="6912610" cy="253365"/>
                          </a:xfrm>
                          <a:prstGeom prst="rect">
                            <a:avLst/>
                          </a:prstGeom>
                          <a:noFill/>
                        </wps:spPr>
                        <wps:txbx>
                          <w:txbxContent>
                            <w:p w14:paraId="2928052A" w14:textId="4E10924E" w:rsidR="00372F2A" w:rsidRPr="006E039C" w:rsidRDefault="00372F2A" w:rsidP="006E039C">
                              <w:pPr>
                                <w:pStyle w:val="NormalWeb"/>
                                <w:spacing w:before="0" w:beforeAutospacing="0" w:after="0" w:afterAutospacing="0"/>
                                <w:textAlignment w:val="baseline"/>
                                <w:rPr>
                                  <w:rFonts w:asciiTheme="minorHAnsi" w:hAnsiTheme="minorHAnsi" w:cstheme="minorHAnsi"/>
                                </w:rPr>
                              </w:pPr>
                              <w:r>
                                <w:rPr>
                                  <w:rFonts w:asciiTheme="minorHAnsi" w:hAnsiTheme="minorHAnsi"/>
                                  <w:color w:val="0F5494"/>
                                  <w:sz w:val="21"/>
                                  <w:szCs w:val="21"/>
                                </w:rPr>
                                <w:t xml:space="preserve">Ajouts à la réserve de stabilité du marché </w:t>
                              </w:r>
                            </w:p>
                          </w:txbxContent>
                        </wps:txbx>
                        <wps:bodyPr wrap="square" rtlCol="0">
                          <a:spAutoFit/>
                        </wps:bodyPr>
                      </wps:wsp>
                      <wps:wsp>
                        <wps:cNvPr id="19" name="TextBox 62"/>
                        <wps:cNvSpPr txBox="1"/>
                        <wps:spPr>
                          <a:xfrm>
                            <a:off x="107911" y="407049"/>
                            <a:ext cx="6912610" cy="253365"/>
                          </a:xfrm>
                          <a:prstGeom prst="rect">
                            <a:avLst/>
                          </a:prstGeom>
                          <a:noFill/>
                        </wps:spPr>
                        <wps:txbx>
                          <w:txbxContent>
                            <w:p w14:paraId="5E3E5EA9" w14:textId="77777777" w:rsidR="00372F2A" w:rsidRPr="006E039C" w:rsidRDefault="00372F2A" w:rsidP="006E039C">
                              <w:pPr>
                                <w:pStyle w:val="NormalWeb"/>
                                <w:spacing w:before="0" w:beforeAutospacing="0" w:after="0" w:afterAutospacing="0"/>
                                <w:textAlignment w:val="baseline"/>
                                <w:rPr>
                                  <w:rFonts w:asciiTheme="minorHAnsi" w:hAnsiTheme="minorHAnsi" w:cstheme="minorHAnsi"/>
                                </w:rPr>
                              </w:pPr>
                              <w:r>
                                <w:rPr>
                                  <w:rFonts w:asciiTheme="minorHAnsi" w:hAnsiTheme="minorHAnsi"/>
                                  <w:color w:val="0F5494"/>
                                  <w:sz w:val="21"/>
                                  <w:szCs w:val="21"/>
                                </w:rPr>
                                <w:t>Ajouts/retraits à la réserve de stabilité du marché en fonction de l’excédent du marché</w:t>
                              </w:r>
                            </w:p>
                          </w:txbxContent>
                        </wps:txbx>
                        <wps:bodyPr wrap="square" rtlCol="0">
                          <a:spAutoFit/>
                        </wps:bodyPr>
                      </wps:wsp>
                    </wpg:wgp>
                  </a:graphicData>
                </a:graphic>
              </wp:anchor>
            </w:drawing>
          </mc:Choice>
          <mc:Fallback>
            <w:pict>
              <v:group w14:anchorId="193A379D" id="Group 56" o:spid="_x0000_s1026" style="position:absolute;left:0;text-align:left;margin-left:4.55pt;margin-top:12.9pt;width:552.8pt;height:52pt;z-index:251660288" coordsize="70205,6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">
                <v:shape id="5-Point Star 12" o:spid="_x0000_s1027" style="position:absolute;left:359;top:937;width:718;height:719;visibility:visible;mso-wrap-style:square;v-text-anchor:middle" coordsize="71810,71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" path="m,27456r27429,1l35905,r8476,27457l71810,27456,49619,44425r8476,27457l35905,54913,13715,71882,22191,44425,,27456xe" fillcolor="#133176" strokecolor="#133176">
                  <v:shadow on="t" color="black" opacity="22937f" origin=",.5" offset="0,.63889mm"/>
                  <v:path arrowok="t" o:connecttype="custom" o:connectlocs="0,27456;27429,27457;35905,0;44381,27457;71810,27456;49619,44425;58095,71882;35905,54913;13715,71882;22191,44425;0,27456" o:connectangles="0,0,0,0,0,0,0,0,0,0,0"/>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3" o:spid="_x0000_s1028" type="#_x0000_t5" style="position:absolute;left:386;top:3043;width:665;height: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" fillcolor="#133176" strokecolor="#133176">
                  <v:shadow on="t" color="black" opacity="22937f" origin=",.5" offset="0,.63889mm"/>
                </v:shape>
                <v:rect id="Rectangle 15" o:spid="_x0000_s1029" style="position:absolute;top:4857;width:1440;height:10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" filled="f" strokecolor="#133176">
                  <v:stroke dashstyle="3 1"/>
                  <v:shadow on="t" color="black" opacity="22937f" origin=",.5" offset="0,.63889mm"/>
                </v:rect>
                <v:shapetype id="_x0000_t202" coordsize="21600,21600" o:spt="202" path="m,l,21600r21600,l21600,xe">
                  <v:stroke joinstyle="miter"/>
                  <v:path gradientshapeok="t" o:connecttype="rect"/>
                </v:shapetype>
                <v:shape id="TextBox 60" o:spid="_x0000_s1030" type="#_x0000_t202" style="position:absolute;left:1079;width:69126;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" filled="f" stroked="f">
                  <v:textbox style="mso-fit-shape-to-text:t">
                    <w:txbxContent>
                      <w:p w14:paraId="7C23D0D2" w14:textId="77777777" w:rsidR="00372F2A" w:rsidRPr="006E039C" w:rsidRDefault="00372F2A" w:rsidP="006E039C">
                        <w:pPr>
                          <w:pStyle w:val="NormalWeb"/>
                          <w:spacing w:before="0" w:beforeAutospacing="0" w:after="0" w:afterAutospacing="0"/>
                          <w:textAlignment w:val="baseline"/>
                          <w:rPr>
                            <w:rFonts w:asciiTheme="minorHAnsi" w:hAnsiTheme="minorHAnsi" w:cstheme="minorHAnsi"/>
                          </w:rPr>
                        </w:pPr>
                        <w:r>
                          <w:rPr>
                            <w:rFonts w:asciiTheme="minorHAnsi" w:hAnsiTheme="minorHAnsi"/>
                            <w:color w:val="0F5494"/>
                            <w:sz w:val="21"/>
                            <w:szCs w:val="21"/>
                          </w:rPr>
                          <w:t>Quotas gelés (900 millions au total)</w:t>
                        </w:r>
                      </w:p>
                    </w:txbxContent>
                  </v:textbox>
                </v:shape>
                <v:shape id="TextBox 61" o:spid="_x0000_s1031" type="#_x0000_t202" style="position:absolute;left:1079;top:2035;width:69126;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" filled="f" stroked="f">
                  <v:textbox style="mso-fit-shape-to-text:t">
                    <w:txbxContent>
                      <w:p w14:paraId="2928052A" w14:textId="4E10924E" w:rsidR="00372F2A" w:rsidRPr="006E039C" w:rsidRDefault="00372F2A" w:rsidP="006E039C">
                        <w:pPr>
                          <w:pStyle w:val="NormalWeb"/>
                          <w:spacing w:before="0" w:beforeAutospacing="0" w:after="0" w:afterAutospacing="0"/>
                          <w:textAlignment w:val="baseline"/>
                          <w:rPr>
                            <w:rFonts w:asciiTheme="minorHAnsi" w:hAnsiTheme="minorHAnsi" w:cstheme="minorHAnsi"/>
                          </w:rPr>
                        </w:pPr>
                        <w:r>
                          <w:rPr>
                            <w:rFonts w:asciiTheme="minorHAnsi" w:hAnsiTheme="minorHAnsi"/>
                            <w:color w:val="0F5494"/>
                            <w:sz w:val="21"/>
                            <w:szCs w:val="21"/>
                          </w:rPr>
                          <w:t xml:space="preserve">Ajouts à la réserve de stabilité du marché </w:t>
                        </w:r>
                      </w:p>
                    </w:txbxContent>
                  </v:textbox>
                </v:shape>
                <v:shape id="TextBox 62" o:spid="_x0000_s1032" type="#_x0000_t202" style="position:absolute;left:1079;top:4070;width:69126;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" filled="f" stroked="f">
                  <v:textbox style="mso-fit-shape-to-text:t">
                    <w:txbxContent>
                      <w:p w14:paraId="5E3E5EA9" w14:textId="77777777" w:rsidR="00372F2A" w:rsidRPr="006E039C" w:rsidRDefault="00372F2A" w:rsidP="006E039C">
                        <w:pPr>
                          <w:pStyle w:val="NormalWeb"/>
                          <w:spacing w:before="0" w:beforeAutospacing="0" w:after="0" w:afterAutospacing="0"/>
                          <w:textAlignment w:val="baseline"/>
                          <w:rPr>
                            <w:rFonts w:asciiTheme="minorHAnsi" w:hAnsiTheme="minorHAnsi" w:cstheme="minorHAnsi"/>
                          </w:rPr>
                        </w:pPr>
                        <w:r>
                          <w:rPr>
                            <w:rFonts w:asciiTheme="minorHAnsi" w:hAnsiTheme="minorHAnsi"/>
                            <w:color w:val="0F5494"/>
                            <w:sz w:val="21"/>
                            <w:szCs w:val="21"/>
                          </w:rPr>
                          <w:t>Ajouts/retraits à la réserve de stabilité du marché en fonction de l’excédent du marché</w:t>
                        </w:r>
                      </w:p>
                    </w:txbxContent>
                  </v:textbox>
                </v:shape>
              </v:group>
            </w:pict>
          </mc:Fallback>
        </mc:AlternateContent>
      </w:r>
    </w:p>
    <w:p w14:paraId="3F756428" w14:textId="77777777" w:rsidR="006E039C" w:rsidRPr="00DA11F1" w:rsidRDefault="006E039C" w:rsidP="00774BD0">
      <w:pPr>
        <w:pStyle w:val="Heading3"/>
        <w:spacing w:before="0" w:after="200"/>
        <w:ind w:firstLine="720"/>
        <w:rPr>
          <w:i/>
          <w:noProof/>
        </w:rPr>
        <w:sectPr w:rsidR="006E039C" w:rsidRPr="00DA11F1" w:rsidSect="006E039C">
          <w:headerReference w:type="even" r:id="rId25"/>
          <w:headerReference w:type="default" r:id="rId26"/>
          <w:footerReference w:type="even" r:id="rId27"/>
          <w:footerReference w:type="default" r:id="rId28"/>
          <w:headerReference w:type="first" r:id="rId29"/>
          <w:footerReference w:type="first" r:id="rId30"/>
          <w:pgSz w:w="16838" w:h="11906" w:orient="landscape"/>
          <w:pgMar w:top="1440" w:right="1440" w:bottom="1440" w:left="1440" w:header="709" w:footer="709" w:gutter="0"/>
          <w:cols w:space="720"/>
          <w:docGrid w:linePitch="360"/>
        </w:sectPr>
      </w:pPr>
    </w:p>
    <w:p w14:paraId="09988246" w14:textId="75AE6C15" w:rsidR="00131369" w:rsidRPr="00DA11F1" w:rsidRDefault="009B1524" w:rsidP="00774BD0">
      <w:pPr>
        <w:pStyle w:val="Heading3"/>
        <w:spacing w:before="0" w:after="200"/>
        <w:ind w:firstLine="720"/>
        <w:rPr>
          <w:i/>
          <w:noProof/>
        </w:rPr>
      </w:pPr>
      <w:bookmarkStart w:id="26" w:name="_Toc89707763"/>
      <w:r w:rsidRPr="00F43FC8">
        <w:rPr>
          <w:i/>
          <w:noProof/>
        </w:rPr>
        <w:t>3</w:t>
      </w:r>
      <w:r>
        <w:rPr>
          <w:i/>
          <w:noProof/>
        </w:rPr>
        <w:t>.</w:t>
      </w:r>
      <w:r w:rsidRPr="00F43FC8">
        <w:rPr>
          <w:i/>
          <w:noProof/>
        </w:rPr>
        <w:t>1</w:t>
      </w:r>
      <w:r>
        <w:rPr>
          <w:i/>
          <w:noProof/>
        </w:rPr>
        <w:t>.</w:t>
      </w:r>
      <w:r w:rsidRPr="00F43FC8">
        <w:rPr>
          <w:i/>
          <w:noProof/>
        </w:rPr>
        <w:t>2</w:t>
      </w:r>
      <w:r>
        <w:rPr>
          <w:i/>
          <w:noProof/>
        </w:rPr>
        <w:t xml:space="preserve"> </w:t>
      </w:r>
      <w:bookmarkEnd w:id="23"/>
      <w:bookmarkEnd w:id="24"/>
      <w:r>
        <w:rPr>
          <w:i/>
          <w:noProof/>
        </w:rPr>
        <w:t>Allocation à titre gratuit</w:t>
      </w:r>
      <w:bookmarkEnd w:id="26"/>
    </w:p>
    <w:p w14:paraId="4BF51444" w14:textId="5F52178C" w:rsidR="00CA0B73" w:rsidRPr="00DA11F1" w:rsidRDefault="002D1C0C" w:rsidP="008606BF">
      <w:pPr>
        <w:jc w:val="both"/>
        <w:rPr>
          <w:rFonts w:ascii="Times New Roman" w:hAnsi="Times New Roman"/>
          <w:noProof/>
          <w:sz w:val="24"/>
          <w:szCs w:val="24"/>
        </w:rPr>
      </w:pPr>
      <w:r>
        <w:rPr>
          <w:rFonts w:ascii="Times New Roman" w:hAnsi="Times New Roman"/>
          <w:noProof/>
          <w:sz w:val="24"/>
          <w:szCs w:val="24"/>
        </w:rPr>
        <w:t>Bien que, depuis la phase </w:t>
      </w:r>
      <w:r w:rsidRPr="00F43FC8">
        <w:rPr>
          <w:rFonts w:ascii="Times New Roman" w:hAnsi="Times New Roman"/>
          <w:noProof/>
          <w:sz w:val="24"/>
          <w:szCs w:val="24"/>
        </w:rPr>
        <w:t>3</w:t>
      </w:r>
      <w:r>
        <w:rPr>
          <w:rFonts w:ascii="Times New Roman" w:hAnsi="Times New Roman"/>
          <w:noProof/>
          <w:sz w:val="24"/>
          <w:szCs w:val="24"/>
        </w:rPr>
        <w:t xml:space="preserve">, </w:t>
      </w:r>
      <w:r w:rsidRPr="00F43FC8">
        <w:rPr>
          <w:rFonts w:ascii="Times New Roman" w:hAnsi="Times New Roman"/>
          <w:noProof/>
          <w:sz w:val="24"/>
          <w:szCs w:val="24"/>
        </w:rPr>
        <w:t>57</w:t>
      </w:r>
      <w:r>
        <w:rPr>
          <w:rFonts w:ascii="Times New Roman" w:hAnsi="Times New Roman"/>
          <w:noProof/>
          <w:sz w:val="24"/>
          <w:szCs w:val="24"/>
        </w:rPr>
        <w:t> % du volume total des quotas soient théoriquement alloués par mise aux enchères, un volume considérable de quotas est alloué à titre gratuit afin d’éviter le risque de fuite de carbone (lorsque les activités sont déplacées vers des pays tiers ayant des politiques climatiques moins ambitieuses en matière d’émissions de GES, ce qui risque d’entraîner une hausse globale des émissions). La production d’électricité n’était pas admissible au bénéfice des quotas alloués à titre gratuit, et l’allocation gratuite à l’industrie s’appuyait sur des référentiels de performance pour renforcer les incitations à réduire les émissions de GES et accroître l’innovation.</w:t>
      </w:r>
    </w:p>
    <w:p w14:paraId="1034E6A0" w14:textId="0CF89708" w:rsidR="007A43A4" w:rsidRPr="00DA11F1" w:rsidRDefault="005E1F51" w:rsidP="008606BF">
      <w:pPr>
        <w:jc w:val="both"/>
        <w:rPr>
          <w:rFonts w:ascii="Times New Roman" w:hAnsi="Times New Roman"/>
          <w:noProof/>
          <w:sz w:val="24"/>
          <w:szCs w:val="24"/>
        </w:rPr>
      </w:pPr>
      <w:r>
        <w:rPr>
          <w:rFonts w:ascii="Times New Roman" w:hAnsi="Times New Roman"/>
          <w:noProof/>
          <w:sz w:val="24"/>
          <w:szCs w:val="24"/>
        </w:rPr>
        <w:t>Au début de la phase </w:t>
      </w:r>
      <w:r w:rsidRPr="00F43FC8">
        <w:rPr>
          <w:rFonts w:ascii="Times New Roman" w:hAnsi="Times New Roman"/>
          <w:noProof/>
          <w:sz w:val="24"/>
          <w:szCs w:val="24"/>
        </w:rPr>
        <w:t>3</w:t>
      </w:r>
      <w:r>
        <w:rPr>
          <w:rFonts w:ascii="Times New Roman" w:hAnsi="Times New Roman"/>
          <w:noProof/>
          <w:sz w:val="24"/>
          <w:szCs w:val="24"/>
        </w:rPr>
        <w:t xml:space="preserve">, la réserve destinée aux nouveaux entrants (RNE) a été créée dans le SEQE-UE afin d’allouer davantage de quotas à titre gratuit aux nouvelles installations industrielles et aux installations dont la capacité augmentait de manière significative; l’allocation supplémentaire équivalait à </w:t>
      </w:r>
      <w:r w:rsidRPr="00F43FC8">
        <w:rPr>
          <w:rFonts w:ascii="Times New Roman" w:hAnsi="Times New Roman"/>
          <w:noProof/>
          <w:sz w:val="24"/>
          <w:szCs w:val="24"/>
        </w:rPr>
        <w:t>5</w:t>
      </w:r>
      <w:r>
        <w:rPr>
          <w:rFonts w:ascii="Times New Roman" w:hAnsi="Times New Roman"/>
          <w:noProof/>
          <w:sz w:val="24"/>
          <w:szCs w:val="24"/>
        </w:rPr>
        <w:t> % du volume total des quotas pour cette période. Les secteurs et sous-secteurs considérés comme exposés à un risque important de fuite de carbone et bénéficiant donc d’une part plus importante de l’allocation à titre gratuit ont été placés sur une liste des secteurs exposés au risque de fuite de carbone</w:t>
      </w:r>
      <w:r w:rsidR="00E43CBA" w:rsidRPr="00DA11F1">
        <w:rPr>
          <w:rStyle w:val="FootnoteReference"/>
          <w:rFonts w:ascii="Times New Roman" w:hAnsi="Times New Roman"/>
          <w:noProof/>
          <w:sz w:val="24"/>
          <w:szCs w:val="24"/>
        </w:rPr>
        <w:footnoteReference w:id="27"/>
      </w:r>
      <w:r>
        <w:rPr>
          <w:rFonts w:ascii="Times New Roman" w:hAnsi="Times New Roman"/>
          <w:noProof/>
          <w:sz w:val="24"/>
          <w:szCs w:val="24"/>
        </w:rPr>
        <w:t>. Étant donné que la demande de quotas à titre gratuit dépassait l’offre disponible, l’allocation a été réduite d’un pourcentage identique pour toutes les installations par l’application du facteur de correction transsectoriel</w:t>
      </w:r>
      <w:r w:rsidR="00E43CBA" w:rsidRPr="00DA11F1">
        <w:rPr>
          <w:rStyle w:val="FootnoteReference"/>
          <w:rFonts w:ascii="Times New Roman" w:hAnsi="Times New Roman"/>
          <w:noProof/>
          <w:sz w:val="24"/>
          <w:szCs w:val="24"/>
        </w:rPr>
        <w:footnoteReference w:id="28"/>
      </w:r>
      <w:r>
        <w:rPr>
          <w:rFonts w:ascii="Times New Roman" w:hAnsi="Times New Roman"/>
          <w:noProof/>
          <w:sz w:val="24"/>
          <w:szCs w:val="24"/>
        </w:rPr>
        <w:t>, qui a été révisé</w:t>
      </w:r>
      <w:r w:rsidR="008606BF" w:rsidRPr="00DA11F1">
        <w:rPr>
          <w:rStyle w:val="FootnoteReference"/>
          <w:rFonts w:ascii="Times New Roman" w:hAnsi="Times New Roman"/>
          <w:noProof/>
          <w:sz w:val="24"/>
          <w:szCs w:val="24"/>
        </w:rPr>
        <w:footnoteReference w:id="29"/>
      </w:r>
      <w:r>
        <w:rPr>
          <w:rFonts w:ascii="Times New Roman" w:hAnsi="Times New Roman"/>
          <w:noProof/>
          <w:sz w:val="24"/>
          <w:szCs w:val="24"/>
        </w:rPr>
        <w:t xml:space="preserve"> en </w:t>
      </w:r>
      <w:r w:rsidRPr="00F43FC8">
        <w:rPr>
          <w:rFonts w:ascii="Times New Roman" w:hAnsi="Times New Roman"/>
          <w:noProof/>
          <w:sz w:val="24"/>
          <w:szCs w:val="24"/>
        </w:rPr>
        <w:t>2017</w:t>
      </w:r>
      <w:r>
        <w:rPr>
          <w:rFonts w:ascii="Times New Roman" w:hAnsi="Times New Roman"/>
          <w:noProof/>
          <w:sz w:val="24"/>
          <w:szCs w:val="24"/>
        </w:rPr>
        <w:t>. Les valeurs du facteur de correction transsectoriel sont présentées dans le tableau </w:t>
      </w:r>
      <w:r w:rsidRPr="00F43FC8">
        <w:rPr>
          <w:rFonts w:ascii="Times New Roman" w:hAnsi="Times New Roman"/>
          <w:noProof/>
          <w:sz w:val="24"/>
          <w:szCs w:val="24"/>
        </w:rPr>
        <w:t>3</w:t>
      </w:r>
      <w:r>
        <w:rPr>
          <w:rFonts w:ascii="Times New Roman" w:hAnsi="Times New Roman"/>
          <w:noProof/>
          <w:sz w:val="24"/>
          <w:szCs w:val="24"/>
        </w:rPr>
        <w:t>.</w:t>
      </w:r>
      <w:r w:rsidRPr="00F43FC8">
        <w:rPr>
          <w:rFonts w:ascii="Times New Roman" w:hAnsi="Times New Roman"/>
          <w:noProof/>
          <w:sz w:val="24"/>
          <w:szCs w:val="24"/>
        </w:rPr>
        <w:t>1</w:t>
      </w:r>
      <w:r>
        <w:rPr>
          <w:rFonts w:ascii="Times New Roman" w:hAnsi="Times New Roman"/>
          <w:noProof/>
          <w:sz w:val="24"/>
          <w:szCs w:val="24"/>
        </w:rPr>
        <w:t xml:space="preserve"> de l’annexe </w:t>
      </w:r>
      <w:r w:rsidRPr="00F43FC8">
        <w:rPr>
          <w:rFonts w:ascii="Times New Roman" w:hAnsi="Times New Roman"/>
          <w:noProof/>
          <w:sz w:val="24"/>
          <w:szCs w:val="24"/>
        </w:rPr>
        <w:t>3</w:t>
      </w:r>
      <w:r>
        <w:rPr>
          <w:rFonts w:ascii="Times New Roman" w:hAnsi="Times New Roman"/>
          <w:noProof/>
          <w:sz w:val="24"/>
          <w:szCs w:val="24"/>
        </w:rPr>
        <w:t xml:space="preserve"> du document de travail des services de la Commission accompagnant le présent rapport.</w:t>
      </w:r>
    </w:p>
    <w:p w14:paraId="7C0B2096" w14:textId="057F189B" w:rsidR="00AF58CC" w:rsidRPr="00DA11F1" w:rsidRDefault="009B1524" w:rsidP="00AF58CC">
      <w:pPr>
        <w:pStyle w:val="NormalWeb"/>
        <w:spacing w:before="0" w:beforeAutospacing="0" w:after="300" w:afterAutospacing="0" w:line="276" w:lineRule="auto"/>
        <w:jc w:val="both"/>
        <w:rPr>
          <w:noProof/>
        </w:rPr>
      </w:pPr>
      <w:r>
        <w:rPr>
          <w:noProof/>
        </w:rPr>
        <w:t xml:space="preserve">La réserve contenait initialement </w:t>
      </w:r>
      <w:r w:rsidRPr="00F43FC8">
        <w:rPr>
          <w:noProof/>
        </w:rPr>
        <w:t>480</w:t>
      </w:r>
      <w:r>
        <w:rPr>
          <w:noProof/>
        </w:rPr>
        <w:t>,</w:t>
      </w:r>
      <w:r w:rsidRPr="00F43FC8">
        <w:rPr>
          <w:noProof/>
        </w:rPr>
        <w:t>2</w:t>
      </w:r>
      <w:r>
        <w:rPr>
          <w:noProof/>
        </w:rPr>
        <w:t xml:space="preserve"> millions de quotas, après déduction des </w:t>
      </w:r>
      <w:r w:rsidRPr="00F43FC8">
        <w:rPr>
          <w:noProof/>
        </w:rPr>
        <w:t>300</w:t>
      </w:r>
      <w:r>
        <w:rPr>
          <w:noProof/>
        </w:rPr>
        <w:t> millions de quotas dévolus au programme NER </w:t>
      </w:r>
      <w:r w:rsidRPr="00F43FC8">
        <w:rPr>
          <w:noProof/>
        </w:rPr>
        <w:t>300</w:t>
      </w:r>
      <w:r>
        <w:rPr>
          <w:noProof/>
        </w:rPr>
        <w:t xml:space="preserve"> visant à soutenir l’innovation (voir chapitre </w:t>
      </w:r>
      <w:r w:rsidRPr="00F43FC8">
        <w:rPr>
          <w:noProof/>
        </w:rPr>
        <w:t>3</w:t>
      </w:r>
      <w:r>
        <w:rPr>
          <w:noProof/>
        </w:rPr>
        <w:t>.</w:t>
      </w:r>
      <w:r w:rsidRPr="00F43FC8">
        <w:rPr>
          <w:noProof/>
        </w:rPr>
        <w:t>1</w:t>
      </w:r>
      <w:r>
        <w:rPr>
          <w:noProof/>
        </w:rPr>
        <w:t>.</w:t>
      </w:r>
      <w:r w:rsidRPr="00F43FC8">
        <w:rPr>
          <w:noProof/>
        </w:rPr>
        <w:t>5</w:t>
      </w:r>
      <w:r>
        <w:rPr>
          <w:noProof/>
        </w:rPr>
        <w:t>). Au mois de juin </w:t>
      </w:r>
      <w:r w:rsidRPr="00F43FC8">
        <w:rPr>
          <w:noProof/>
        </w:rPr>
        <w:t>2021</w:t>
      </w:r>
      <w:r>
        <w:rPr>
          <w:noProof/>
        </w:rPr>
        <w:t xml:space="preserve">, </w:t>
      </w:r>
      <w:r w:rsidRPr="00F43FC8">
        <w:rPr>
          <w:noProof/>
        </w:rPr>
        <w:t>178</w:t>
      </w:r>
      <w:r>
        <w:rPr>
          <w:noProof/>
        </w:rPr>
        <w:t>,</w:t>
      </w:r>
      <w:r w:rsidRPr="00F43FC8">
        <w:rPr>
          <w:noProof/>
        </w:rPr>
        <w:t>3</w:t>
      </w:r>
      <w:r>
        <w:rPr>
          <w:noProof/>
        </w:rPr>
        <w:t xml:space="preserve"> millions de quotas avaient été réservés pour </w:t>
      </w:r>
      <w:r w:rsidRPr="00F43FC8">
        <w:rPr>
          <w:noProof/>
        </w:rPr>
        <w:t>1</w:t>
      </w:r>
      <w:r>
        <w:rPr>
          <w:noProof/>
        </w:rPr>
        <w:t> </w:t>
      </w:r>
      <w:r w:rsidRPr="00F43FC8">
        <w:rPr>
          <w:noProof/>
        </w:rPr>
        <w:t>392</w:t>
      </w:r>
      <w:r>
        <w:rPr>
          <w:noProof/>
        </w:rPr>
        <w:t> installations sur l’ensemble de la phase </w:t>
      </w:r>
      <w:r w:rsidRPr="00F43FC8">
        <w:rPr>
          <w:noProof/>
        </w:rPr>
        <w:t>3</w:t>
      </w:r>
      <w:r>
        <w:rPr>
          <w:noProof/>
        </w:rPr>
        <w:t xml:space="preserve">. Il reste donc </w:t>
      </w:r>
      <w:r w:rsidRPr="00F43FC8">
        <w:rPr>
          <w:noProof/>
        </w:rPr>
        <w:t>301</w:t>
      </w:r>
      <w:r>
        <w:rPr>
          <w:noProof/>
        </w:rPr>
        <w:t>,</w:t>
      </w:r>
      <w:r w:rsidRPr="00F43FC8">
        <w:rPr>
          <w:noProof/>
        </w:rPr>
        <w:t>9</w:t>
      </w:r>
      <w:r>
        <w:rPr>
          <w:noProof/>
        </w:rPr>
        <w:t xml:space="preserve"> millions de quotas dans la réserve. Sur ce volume, </w:t>
      </w:r>
      <w:r w:rsidRPr="00F43FC8">
        <w:rPr>
          <w:noProof/>
        </w:rPr>
        <w:t>200</w:t>
      </w:r>
      <w:r>
        <w:rPr>
          <w:noProof/>
        </w:rPr>
        <w:t> millions de quotas seront placés dans la réserve pour la phase </w:t>
      </w:r>
      <w:r w:rsidRPr="00F43FC8">
        <w:rPr>
          <w:noProof/>
        </w:rPr>
        <w:t>4</w:t>
      </w:r>
      <w:r>
        <w:rPr>
          <w:noProof/>
        </w:rPr>
        <w:t xml:space="preserve"> et le reste sera placé dans la RSM.</w:t>
      </w:r>
    </w:p>
    <w:p w14:paraId="273881FC" w14:textId="690F2470" w:rsidR="00131369" w:rsidRPr="00DA11F1" w:rsidRDefault="007446BD" w:rsidP="00155B66">
      <w:pPr>
        <w:pStyle w:val="NormalWeb"/>
        <w:spacing w:before="0" w:beforeAutospacing="0" w:after="300" w:afterAutospacing="0" w:line="276" w:lineRule="auto"/>
        <w:jc w:val="both"/>
        <w:rPr>
          <w:noProof/>
        </w:rPr>
      </w:pPr>
      <w:r>
        <w:rPr>
          <w:noProof/>
        </w:rPr>
        <w:t>Au mois de juin </w:t>
      </w:r>
      <w:r w:rsidRPr="00F43FC8">
        <w:rPr>
          <w:noProof/>
        </w:rPr>
        <w:t>2021</w:t>
      </w:r>
      <w:r>
        <w:rPr>
          <w:noProof/>
        </w:rPr>
        <w:t>, le volume initialement approuvé de l’allocation à titre gratuit pour la phase </w:t>
      </w:r>
      <w:r w:rsidRPr="00F43FC8">
        <w:rPr>
          <w:noProof/>
        </w:rPr>
        <w:t>3</w:t>
      </w:r>
      <w:r>
        <w:rPr>
          <w:noProof/>
        </w:rPr>
        <w:t xml:space="preserve"> avait été réduit d’environ </w:t>
      </w:r>
      <w:r w:rsidRPr="00F43FC8">
        <w:rPr>
          <w:noProof/>
        </w:rPr>
        <w:t>585</w:t>
      </w:r>
      <w:r>
        <w:rPr>
          <w:noProof/>
        </w:rPr>
        <w:t xml:space="preserve"> millions sur </w:t>
      </w:r>
      <w:r w:rsidRPr="00F43FC8">
        <w:rPr>
          <w:noProof/>
        </w:rPr>
        <w:t>6</w:t>
      </w:r>
      <w:r>
        <w:rPr>
          <w:noProof/>
        </w:rPr>
        <w:t>,</w:t>
      </w:r>
      <w:r w:rsidRPr="00F43FC8">
        <w:rPr>
          <w:noProof/>
        </w:rPr>
        <w:t>5</w:t>
      </w:r>
      <w:r>
        <w:rPr>
          <w:noProof/>
        </w:rPr>
        <w:t xml:space="preserve"> milliards de quotas, en raison de la fermeture d’installations ou de la réduction de leur production ou de leur capacité de production. Le </w:t>
      </w:r>
      <w:r w:rsidR="00155B66">
        <w:rPr>
          <w:noProof/>
        </w:rPr>
        <w:t xml:space="preserve">tableau </w:t>
      </w:r>
      <w:r w:rsidR="00155B66" w:rsidRPr="00F43FC8">
        <w:rPr>
          <w:noProof/>
        </w:rPr>
        <w:t>2</w:t>
      </w:r>
      <w:r w:rsidR="00561BA5" w:rsidRPr="00DA11F1">
        <w:rPr>
          <w:noProof/>
        </w:rPr>
        <w:fldChar w:fldCharType="begin"/>
      </w:r>
      <w:r w:rsidR="00561BA5" w:rsidRPr="00DA11F1">
        <w:rPr>
          <w:noProof/>
        </w:rPr>
        <w:instrText xml:space="preserve"> REF _Ref85020258 </w:instrText>
      </w:r>
      <w:r w:rsidR="008968F7" w:rsidRPr="00DA11F1">
        <w:rPr>
          <w:noProof/>
        </w:rPr>
        <w:instrText xml:space="preserve"> \* MERGEFORMAT </w:instrText>
      </w:r>
      <w:r w:rsidR="00561BA5" w:rsidRPr="00DA11F1">
        <w:rPr>
          <w:noProof/>
        </w:rPr>
        <w:fldChar w:fldCharType="end"/>
      </w:r>
      <w:r>
        <w:rPr>
          <w:noProof/>
        </w:rPr>
        <w:t xml:space="preserve"> résume les allocations à titre gratuit à l’industrie au cours de la phase </w:t>
      </w:r>
      <w:r w:rsidRPr="00F43FC8">
        <w:rPr>
          <w:noProof/>
        </w:rPr>
        <w:t>3</w:t>
      </w:r>
      <w:r>
        <w:rPr>
          <w:noProof/>
        </w:rPr>
        <w:t xml:space="preserve">. </w:t>
      </w:r>
    </w:p>
    <w:p w14:paraId="28086E4F" w14:textId="4F18E2D4" w:rsidR="00561BA5" w:rsidRPr="00DA11F1" w:rsidRDefault="00561BA5" w:rsidP="00561BA5">
      <w:pPr>
        <w:pStyle w:val="Caption"/>
        <w:keepNext/>
        <w:rPr>
          <w:rFonts w:ascii="Times New Roman" w:hAnsi="Times New Roman"/>
          <w:noProof/>
          <w:sz w:val="22"/>
        </w:rPr>
      </w:pPr>
      <w:bookmarkStart w:id="27" w:name="_Ref85020258"/>
      <w:r>
        <w:rPr>
          <w:rFonts w:ascii="Times New Roman" w:hAnsi="Times New Roman"/>
          <w:noProof/>
          <w:sz w:val="22"/>
        </w:rPr>
        <w:t>Tableau </w:t>
      </w:r>
      <w:r w:rsidRPr="00DA11F1">
        <w:rPr>
          <w:rFonts w:ascii="Times New Roman" w:hAnsi="Times New Roman"/>
          <w:noProof/>
          <w:sz w:val="22"/>
        </w:rPr>
        <w:fldChar w:fldCharType="begin"/>
      </w:r>
      <w:r w:rsidRPr="00DA11F1">
        <w:rPr>
          <w:rFonts w:ascii="Times New Roman" w:hAnsi="Times New Roman"/>
          <w:noProof/>
          <w:sz w:val="22"/>
        </w:rPr>
        <w:instrText xml:space="preserve"> SEQ Table \* ARABIC </w:instrText>
      </w:r>
      <w:r w:rsidRPr="00DA11F1">
        <w:rPr>
          <w:rFonts w:ascii="Times New Roman" w:hAnsi="Times New Roman"/>
          <w:noProof/>
          <w:sz w:val="22"/>
        </w:rPr>
        <w:fldChar w:fldCharType="separate"/>
      </w:r>
      <w:r w:rsidR="00676166" w:rsidRPr="00F43FC8">
        <w:rPr>
          <w:rFonts w:ascii="Times New Roman" w:hAnsi="Times New Roman"/>
          <w:noProof/>
          <w:sz w:val="22"/>
        </w:rPr>
        <w:t>2</w:t>
      </w:r>
      <w:r w:rsidRPr="00DA11F1">
        <w:rPr>
          <w:rFonts w:ascii="Times New Roman" w:hAnsi="Times New Roman"/>
          <w:noProof/>
          <w:sz w:val="22"/>
        </w:rPr>
        <w:fldChar w:fldCharType="end"/>
      </w:r>
      <w:bookmarkEnd w:id="27"/>
      <w:r>
        <w:rPr>
          <w:rFonts w:ascii="Times New Roman" w:hAnsi="Times New Roman"/>
          <w:noProof/>
          <w:sz w:val="22"/>
        </w:rPr>
        <w:t>. Quotas alloués à titre gratuit à l’industrie, janvier </w:t>
      </w:r>
      <w:r w:rsidRPr="00F43FC8">
        <w:rPr>
          <w:rFonts w:ascii="Times New Roman" w:hAnsi="Times New Roman"/>
          <w:noProof/>
          <w:sz w:val="22"/>
        </w:rPr>
        <w:t>2013</w:t>
      </w:r>
      <w:r>
        <w:rPr>
          <w:rFonts w:ascii="Times New Roman" w:hAnsi="Times New Roman"/>
          <w:noProof/>
          <w:sz w:val="22"/>
        </w:rPr>
        <w:t> – juin </w:t>
      </w:r>
      <w:r w:rsidRPr="00F43FC8">
        <w:rPr>
          <w:rFonts w:ascii="Times New Roman" w:hAnsi="Times New Roman"/>
          <w:noProof/>
          <w:sz w:val="22"/>
        </w:rPr>
        <w:t>2021</w:t>
      </w:r>
      <w:r>
        <w:rPr>
          <w:rFonts w:ascii="Times New Roman" w:hAnsi="Times New Roman"/>
          <w:noProof/>
          <w:sz w:val="22"/>
        </w:rPr>
        <w:t xml:space="preserve"> (en millions)</w:t>
      </w:r>
      <w:r>
        <w:rPr>
          <w:rStyle w:val="FootnoteReference"/>
          <w:rFonts w:ascii="Times New Roman" w:hAnsi="Times New Roman"/>
          <w:b w:val="0"/>
          <w:noProof/>
          <w:sz w:val="22"/>
          <w:szCs w:val="22"/>
        </w:rPr>
        <w:t xml:space="preserve"> </w:t>
      </w:r>
      <w:r w:rsidRPr="00DA11F1">
        <w:rPr>
          <w:rStyle w:val="FootnoteReference"/>
          <w:rFonts w:ascii="Times New Roman" w:hAnsi="Times New Roman"/>
          <w:b w:val="0"/>
          <w:noProof/>
          <w:sz w:val="22"/>
          <w:szCs w:val="22"/>
          <w:lang w:eastAsia="en-GB"/>
        </w:rPr>
        <w:footnoteReference w:id="30"/>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21"/>
        <w:gridCol w:w="878"/>
        <w:gridCol w:w="885"/>
        <w:gridCol w:w="885"/>
        <w:gridCol w:w="885"/>
        <w:gridCol w:w="887"/>
        <w:gridCol w:w="867"/>
        <w:gridCol w:w="867"/>
        <w:gridCol w:w="867"/>
      </w:tblGrid>
      <w:tr w:rsidR="00131369" w:rsidRPr="00DA11F1" w14:paraId="23712954" w14:textId="77777777" w:rsidTr="00CD4003">
        <w:trPr>
          <w:trHeight w:val="510"/>
        </w:trPr>
        <w:tc>
          <w:tcPr>
            <w:tcW w:w="1201" w:type="pct"/>
            <w:shd w:val="clear" w:color="auto" w:fill="auto"/>
            <w:vAlign w:val="center"/>
          </w:tcPr>
          <w:p w14:paraId="4138FBB5" w14:textId="77777777" w:rsidR="00131369" w:rsidRPr="00DA11F1" w:rsidRDefault="00131369" w:rsidP="00A51737">
            <w:pPr>
              <w:spacing w:after="0"/>
              <w:jc w:val="center"/>
              <w:rPr>
                <w:rFonts w:ascii="Times New Roman" w:hAnsi="Times New Roman"/>
                <w:b/>
                <w:noProof/>
                <w:sz w:val="20"/>
                <w:szCs w:val="20"/>
                <w:lang w:eastAsia="en-GB"/>
              </w:rPr>
            </w:pPr>
          </w:p>
        </w:tc>
        <w:tc>
          <w:tcPr>
            <w:tcW w:w="475" w:type="pct"/>
            <w:shd w:val="clear" w:color="auto" w:fill="auto"/>
            <w:vAlign w:val="center"/>
          </w:tcPr>
          <w:p w14:paraId="421D1D5B" w14:textId="77777777" w:rsidR="00131369" w:rsidRPr="00DA11F1" w:rsidRDefault="009B1524" w:rsidP="00A51737">
            <w:pPr>
              <w:spacing w:after="0"/>
              <w:jc w:val="center"/>
              <w:rPr>
                <w:rFonts w:ascii="Times New Roman" w:hAnsi="Times New Roman"/>
                <w:b/>
                <w:noProof/>
                <w:sz w:val="20"/>
                <w:szCs w:val="20"/>
              </w:rPr>
            </w:pPr>
            <w:r w:rsidRPr="00F43FC8">
              <w:rPr>
                <w:rFonts w:ascii="Times New Roman" w:hAnsi="Times New Roman"/>
                <w:b/>
                <w:noProof/>
                <w:sz w:val="20"/>
                <w:szCs w:val="20"/>
              </w:rPr>
              <w:t>2013</w:t>
            </w:r>
          </w:p>
        </w:tc>
        <w:tc>
          <w:tcPr>
            <w:tcW w:w="479" w:type="pct"/>
            <w:shd w:val="clear" w:color="auto" w:fill="auto"/>
            <w:vAlign w:val="center"/>
          </w:tcPr>
          <w:p w14:paraId="71FBF449" w14:textId="77777777" w:rsidR="00131369" w:rsidRPr="00DA11F1" w:rsidRDefault="009B1524" w:rsidP="00A51737">
            <w:pPr>
              <w:spacing w:after="0"/>
              <w:jc w:val="center"/>
              <w:rPr>
                <w:rFonts w:ascii="Times New Roman" w:hAnsi="Times New Roman"/>
                <w:b/>
                <w:noProof/>
                <w:sz w:val="20"/>
                <w:szCs w:val="20"/>
              </w:rPr>
            </w:pPr>
            <w:r w:rsidRPr="00F43FC8">
              <w:rPr>
                <w:rFonts w:ascii="Times New Roman" w:hAnsi="Times New Roman"/>
                <w:b/>
                <w:noProof/>
                <w:sz w:val="20"/>
                <w:szCs w:val="20"/>
              </w:rPr>
              <w:t>2014</w:t>
            </w:r>
          </w:p>
        </w:tc>
        <w:tc>
          <w:tcPr>
            <w:tcW w:w="479" w:type="pct"/>
            <w:vAlign w:val="center"/>
          </w:tcPr>
          <w:p w14:paraId="69D7989E" w14:textId="77777777" w:rsidR="00131369" w:rsidRPr="00DA11F1" w:rsidRDefault="009B1524" w:rsidP="00A51737">
            <w:pPr>
              <w:spacing w:after="0"/>
              <w:jc w:val="center"/>
              <w:rPr>
                <w:rFonts w:ascii="Times New Roman" w:hAnsi="Times New Roman"/>
                <w:b/>
                <w:noProof/>
                <w:sz w:val="20"/>
                <w:szCs w:val="20"/>
              </w:rPr>
            </w:pPr>
            <w:r w:rsidRPr="00F43FC8">
              <w:rPr>
                <w:rFonts w:ascii="Times New Roman" w:hAnsi="Times New Roman"/>
                <w:b/>
                <w:noProof/>
                <w:sz w:val="20"/>
                <w:szCs w:val="20"/>
              </w:rPr>
              <w:t>2015</w:t>
            </w:r>
          </w:p>
        </w:tc>
        <w:tc>
          <w:tcPr>
            <w:tcW w:w="479" w:type="pct"/>
            <w:vAlign w:val="center"/>
          </w:tcPr>
          <w:p w14:paraId="0F06C83B" w14:textId="77777777" w:rsidR="00131369" w:rsidRPr="00DA11F1" w:rsidRDefault="009B1524" w:rsidP="00A51737">
            <w:pPr>
              <w:spacing w:after="0"/>
              <w:jc w:val="center"/>
              <w:rPr>
                <w:rFonts w:ascii="Times New Roman" w:hAnsi="Times New Roman"/>
                <w:b/>
                <w:noProof/>
                <w:sz w:val="20"/>
                <w:szCs w:val="20"/>
              </w:rPr>
            </w:pPr>
            <w:r w:rsidRPr="00F43FC8">
              <w:rPr>
                <w:rFonts w:ascii="Times New Roman" w:hAnsi="Times New Roman"/>
                <w:b/>
                <w:noProof/>
                <w:sz w:val="20"/>
                <w:szCs w:val="20"/>
              </w:rPr>
              <w:t>2016</w:t>
            </w:r>
          </w:p>
        </w:tc>
        <w:tc>
          <w:tcPr>
            <w:tcW w:w="480" w:type="pct"/>
            <w:vAlign w:val="center"/>
          </w:tcPr>
          <w:p w14:paraId="123C4951" w14:textId="77777777" w:rsidR="00131369" w:rsidRPr="00DA11F1" w:rsidRDefault="009B1524" w:rsidP="00A51737">
            <w:pPr>
              <w:spacing w:after="0"/>
              <w:jc w:val="center"/>
              <w:rPr>
                <w:rFonts w:ascii="Times New Roman" w:hAnsi="Times New Roman"/>
                <w:b/>
                <w:noProof/>
                <w:sz w:val="20"/>
                <w:szCs w:val="20"/>
              </w:rPr>
            </w:pPr>
            <w:r w:rsidRPr="00F43FC8">
              <w:rPr>
                <w:rFonts w:ascii="Times New Roman" w:hAnsi="Times New Roman"/>
                <w:b/>
                <w:noProof/>
                <w:sz w:val="20"/>
                <w:szCs w:val="20"/>
              </w:rPr>
              <w:t>2017</w:t>
            </w:r>
          </w:p>
        </w:tc>
        <w:tc>
          <w:tcPr>
            <w:tcW w:w="469" w:type="pct"/>
            <w:vAlign w:val="center"/>
          </w:tcPr>
          <w:p w14:paraId="2DD55FA6" w14:textId="77777777" w:rsidR="00131369" w:rsidRPr="00DA11F1" w:rsidRDefault="009B1524" w:rsidP="00A51737">
            <w:pPr>
              <w:spacing w:after="0"/>
              <w:jc w:val="center"/>
              <w:rPr>
                <w:rFonts w:ascii="Times New Roman" w:hAnsi="Times New Roman"/>
                <w:b/>
                <w:noProof/>
                <w:sz w:val="20"/>
                <w:szCs w:val="20"/>
                <w:highlight w:val="yellow"/>
              </w:rPr>
            </w:pPr>
            <w:r w:rsidRPr="00F43FC8">
              <w:rPr>
                <w:rFonts w:ascii="Times New Roman" w:hAnsi="Times New Roman"/>
                <w:b/>
                <w:noProof/>
                <w:sz w:val="20"/>
                <w:szCs w:val="20"/>
              </w:rPr>
              <w:t>2018</w:t>
            </w:r>
          </w:p>
        </w:tc>
        <w:tc>
          <w:tcPr>
            <w:tcW w:w="469" w:type="pct"/>
            <w:vAlign w:val="center"/>
          </w:tcPr>
          <w:p w14:paraId="6DC3381F" w14:textId="77777777" w:rsidR="00131369" w:rsidRPr="00DA11F1" w:rsidRDefault="009B1524" w:rsidP="00A51737">
            <w:pPr>
              <w:spacing w:after="0"/>
              <w:jc w:val="center"/>
              <w:rPr>
                <w:rFonts w:ascii="Times New Roman" w:hAnsi="Times New Roman"/>
                <w:b/>
                <w:noProof/>
                <w:sz w:val="20"/>
                <w:szCs w:val="20"/>
              </w:rPr>
            </w:pPr>
            <w:r w:rsidRPr="00F43FC8">
              <w:rPr>
                <w:rFonts w:ascii="Times New Roman" w:hAnsi="Times New Roman"/>
                <w:b/>
                <w:noProof/>
                <w:sz w:val="20"/>
                <w:szCs w:val="20"/>
              </w:rPr>
              <w:t>2019</w:t>
            </w:r>
          </w:p>
        </w:tc>
        <w:tc>
          <w:tcPr>
            <w:tcW w:w="469" w:type="pct"/>
            <w:vAlign w:val="center"/>
          </w:tcPr>
          <w:p w14:paraId="754CEEC6" w14:textId="77777777" w:rsidR="00131369" w:rsidRPr="00DA11F1" w:rsidRDefault="009B1524" w:rsidP="00A51737">
            <w:pPr>
              <w:spacing w:after="0"/>
              <w:jc w:val="center"/>
              <w:rPr>
                <w:rFonts w:ascii="Times New Roman" w:hAnsi="Times New Roman"/>
                <w:b/>
                <w:noProof/>
                <w:sz w:val="20"/>
                <w:szCs w:val="20"/>
              </w:rPr>
            </w:pPr>
            <w:r w:rsidRPr="00F43FC8">
              <w:rPr>
                <w:rFonts w:ascii="Times New Roman" w:hAnsi="Times New Roman"/>
                <w:b/>
                <w:noProof/>
                <w:sz w:val="20"/>
                <w:szCs w:val="20"/>
              </w:rPr>
              <w:t>2020</w:t>
            </w:r>
          </w:p>
        </w:tc>
      </w:tr>
      <w:tr w:rsidR="00131369" w:rsidRPr="00DA11F1" w14:paraId="23E770DE" w14:textId="77777777" w:rsidTr="006C746A">
        <w:trPr>
          <w:trHeight w:val="1165"/>
        </w:trPr>
        <w:tc>
          <w:tcPr>
            <w:tcW w:w="1201" w:type="pct"/>
            <w:shd w:val="clear" w:color="auto" w:fill="auto"/>
            <w:vAlign w:val="center"/>
          </w:tcPr>
          <w:p w14:paraId="474B37AF" w14:textId="5ED8B1CC" w:rsidR="00131369" w:rsidRPr="00DA11F1" w:rsidRDefault="009B1524" w:rsidP="006C746A">
            <w:pPr>
              <w:spacing w:after="0"/>
              <w:rPr>
                <w:rFonts w:ascii="Times New Roman" w:hAnsi="Times New Roman"/>
                <w:b/>
                <w:noProof/>
                <w:sz w:val="20"/>
                <w:szCs w:val="20"/>
              </w:rPr>
            </w:pPr>
            <w:r>
              <w:rPr>
                <w:rFonts w:ascii="Times New Roman" w:hAnsi="Times New Roman"/>
                <w:b/>
                <w:noProof/>
                <w:sz w:val="20"/>
                <w:szCs w:val="20"/>
              </w:rPr>
              <w:t>Allocation à titre gratuit</w:t>
            </w:r>
            <w:r w:rsidRPr="00DA11F1">
              <w:rPr>
                <w:rFonts w:ascii="Times New Roman" w:hAnsi="Times New Roman"/>
                <w:b/>
                <w:noProof/>
                <w:sz w:val="20"/>
                <w:szCs w:val="20"/>
                <w:vertAlign w:val="superscript"/>
                <w:lang w:eastAsia="en-GB"/>
              </w:rPr>
              <w:footnoteReference w:id="31"/>
            </w:r>
            <w:r>
              <w:rPr>
                <w:rFonts w:ascii="Times New Roman" w:hAnsi="Times New Roman"/>
                <w:b/>
                <w:noProof/>
                <w:sz w:val="20"/>
                <w:szCs w:val="20"/>
              </w:rPr>
              <w:t xml:space="preserve"> </w:t>
            </w:r>
            <w:r>
              <w:rPr>
                <w:rFonts w:ascii="Times New Roman" w:hAnsi="Times New Roman"/>
                <w:b/>
                <w:noProof/>
                <w:sz w:val="20"/>
                <w:szCs w:val="20"/>
              </w:rPr>
              <w:cr/>
            </w:r>
            <w:r>
              <w:rPr>
                <w:rFonts w:ascii="Times New Roman" w:hAnsi="Times New Roman"/>
                <w:b/>
                <w:noProof/>
                <w:sz w:val="20"/>
                <w:szCs w:val="20"/>
              </w:rPr>
              <w:br/>
              <w:t>(EU-</w:t>
            </w:r>
            <w:r w:rsidRPr="00F43FC8">
              <w:rPr>
                <w:rFonts w:ascii="Times New Roman" w:hAnsi="Times New Roman"/>
                <w:b/>
                <w:noProof/>
                <w:sz w:val="20"/>
                <w:szCs w:val="20"/>
              </w:rPr>
              <w:t>27</w:t>
            </w:r>
            <w:r>
              <w:rPr>
                <w:rFonts w:ascii="Times New Roman" w:hAnsi="Times New Roman"/>
                <w:b/>
                <w:noProof/>
                <w:sz w:val="20"/>
                <w:szCs w:val="20"/>
              </w:rPr>
              <w:t xml:space="preserve"> + Royaume-Uni + Islande, Liechtenstein et Norvège)</w:t>
            </w:r>
          </w:p>
        </w:tc>
        <w:tc>
          <w:tcPr>
            <w:tcW w:w="475" w:type="pct"/>
            <w:shd w:val="clear" w:color="auto" w:fill="auto"/>
            <w:vAlign w:val="center"/>
          </w:tcPr>
          <w:p w14:paraId="2BA408F2" w14:textId="77777777" w:rsidR="00131369" w:rsidRPr="00DA11F1" w:rsidRDefault="009B1524" w:rsidP="008606BF">
            <w:pPr>
              <w:spacing w:after="0"/>
              <w:jc w:val="center"/>
              <w:rPr>
                <w:rFonts w:ascii="Times New Roman" w:hAnsi="Times New Roman"/>
                <w:noProof/>
                <w:sz w:val="20"/>
                <w:szCs w:val="20"/>
              </w:rPr>
            </w:pPr>
            <w:r w:rsidRPr="00F43FC8">
              <w:rPr>
                <w:rFonts w:ascii="Times New Roman" w:hAnsi="Times New Roman"/>
                <w:noProof/>
                <w:sz w:val="20"/>
                <w:szCs w:val="20"/>
              </w:rPr>
              <w:t>903</w:t>
            </w:r>
            <w:r>
              <w:rPr>
                <w:rFonts w:ascii="Times New Roman" w:hAnsi="Times New Roman"/>
                <w:noProof/>
                <w:sz w:val="20"/>
                <w:szCs w:val="20"/>
              </w:rPr>
              <w:t>,</w:t>
            </w:r>
            <w:r w:rsidRPr="00F43FC8">
              <w:rPr>
                <w:rFonts w:ascii="Times New Roman" w:hAnsi="Times New Roman"/>
                <w:noProof/>
                <w:sz w:val="20"/>
                <w:szCs w:val="20"/>
              </w:rPr>
              <w:t>0</w:t>
            </w:r>
          </w:p>
        </w:tc>
        <w:tc>
          <w:tcPr>
            <w:tcW w:w="479" w:type="pct"/>
            <w:shd w:val="clear" w:color="auto" w:fill="auto"/>
            <w:vAlign w:val="center"/>
          </w:tcPr>
          <w:p w14:paraId="4EF7F39F" w14:textId="77777777" w:rsidR="00131369" w:rsidRPr="00DA11F1" w:rsidRDefault="009B1524" w:rsidP="008606BF">
            <w:pPr>
              <w:spacing w:after="0"/>
              <w:jc w:val="center"/>
              <w:rPr>
                <w:rFonts w:ascii="Times New Roman" w:hAnsi="Times New Roman"/>
                <w:noProof/>
                <w:sz w:val="20"/>
                <w:szCs w:val="20"/>
              </w:rPr>
            </w:pPr>
            <w:r w:rsidRPr="00F43FC8">
              <w:rPr>
                <w:rFonts w:ascii="Times New Roman" w:hAnsi="Times New Roman"/>
                <w:noProof/>
                <w:sz w:val="20"/>
                <w:szCs w:val="20"/>
              </w:rPr>
              <w:t>874</w:t>
            </w:r>
            <w:r>
              <w:rPr>
                <w:rFonts w:ascii="Times New Roman" w:hAnsi="Times New Roman"/>
                <w:noProof/>
                <w:sz w:val="20"/>
                <w:szCs w:val="20"/>
              </w:rPr>
              <w:t>,</w:t>
            </w:r>
            <w:r w:rsidRPr="00F43FC8">
              <w:rPr>
                <w:rFonts w:ascii="Times New Roman" w:hAnsi="Times New Roman"/>
                <w:noProof/>
                <w:sz w:val="20"/>
                <w:szCs w:val="20"/>
              </w:rPr>
              <w:t>8</w:t>
            </w:r>
          </w:p>
        </w:tc>
        <w:tc>
          <w:tcPr>
            <w:tcW w:w="479" w:type="pct"/>
            <w:vAlign w:val="center"/>
          </w:tcPr>
          <w:p w14:paraId="1949EE16" w14:textId="77777777" w:rsidR="00131369" w:rsidRPr="00DA11F1" w:rsidRDefault="009B1524" w:rsidP="008606BF">
            <w:pPr>
              <w:spacing w:after="0"/>
              <w:jc w:val="center"/>
              <w:rPr>
                <w:rFonts w:ascii="Times New Roman" w:hAnsi="Times New Roman"/>
                <w:noProof/>
                <w:sz w:val="20"/>
                <w:szCs w:val="20"/>
              </w:rPr>
            </w:pPr>
            <w:r w:rsidRPr="00F43FC8">
              <w:rPr>
                <w:rFonts w:ascii="Times New Roman" w:hAnsi="Times New Roman"/>
                <w:noProof/>
                <w:sz w:val="20"/>
                <w:szCs w:val="20"/>
              </w:rPr>
              <w:t>847</w:t>
            </w:r>
            <w:r>
              <w:rPr>
                <w:rFonts w:ascii="Times New Roman" w:hAnsi="Times New Roman"/>
                <w:noProof/>
                <w:sz w:val="20"/>
                <w:szCs w:val="20"/>
              </w:rPr>
              <w:t>,</w:t>
            </w:r>
            <w:r w:rsidRPr="00F43FC8">
              <w:rPr>
                <w:rFonts w:ascii="Times New Roman" w:hAnsi="Times New Roman"/>
                <w:noProof/>
                <w:sz w:val="20"/>
                <w:szCs w:val="20"/>
              </w:rPr>
              <w:t>6</w:t>
            </w:r>
          </w:p>
        </w:tc>
        <w:tc>
          <w:tcPr>
            <w:tcW w:w="479" w:type="pct"/>
            <w:vAlign w:val="center"/>
          </w:tcPr>
          <w:p w14:paraId="443F74DE" w14:textId="77777777" w:rsidR="00131369" w:rsidRPr="00DA11F1" w:rsidRDefault="009B1524" w:rsidP="008606BF">
            <w:pPr>
              <w:spacing w:after="0"/>
              <w:jc w:val="center"/>
              <w:rPr>
                <w:rFonts w:ascii="Times New Roman" w:hAnsi="Times New Roman"/>
                <w:noProof/>
                <w:sz w:val="20"/>
                <w:szCs w:val="20"/>
              </w:rPr>
            </w:pPr>
            <w:r w:rsidRPr="00F43FC8">
              <w:rPr>
                <w:rFonts w:ascii="Times New Roman" w:hAnsi="Times New Roman"/>
                <w:noProof/>
                <w:sz w:val="20"/>
                <w:szCs w:val="20"/>
              </w:rPr>
              <w:t>821</w:t>
            </w:r>
            <w:r>
              <w:rPr>
                <w:rFonts w:ascii="Times New Roman" w:hAnsi="Times New Roman"/>
                <w:noProof/>
                <w:sz w:val="20"/>
                <w:szCs w:val="20"/>
              </w:rPr>
              <w:t>,</w:t>
            </w:r>
            <w:r w:rsidRPr="00F43FC8">
              <w:rPr>
                <w:rFonts w:ascii="Times New Roman" w:hAnsi="Times New Roman"/>
                <w:noProof/>
                <w:sz w:val="20"/>
                <w:szCs w:val="20"/>
              </w:rPr>
              <w:t>3</w:t>
            </w:r>
          </w:p>
        </w:tc>
        <w:tc>
          <w:tcPr>
            <w:tcW w:w="480" w:type="pct"/>
            <w:vAlign w:val="center"/>
          </w:tcPr>
          <w:p w14:paraId="51734F4D" w14:textId="77777777" w:rsidR="00131369" w:rsidRPr="00DA11F1" w:rsidRDefault="009B1524" w:rsidP="008606BF">
            <w:pPr>
              <w:spacing w:after="0"/>
              <w:jc w:val="center"/>
              <w:rPr>
                <w:rFonts w:ascii="Times New Roman" w:hAnsi="Times New Roman"/>
                <w:noProof/>
                <w:sz w:val="20"/>
                <w:szCs w:val="20"/>
              </w:rPr>
            </w:pPr>
            <w:r w:rsidRPr="00F43FC8">
              <w:rPr>
                <w:rFonts w:ascii="Times New Roman" w:hAnsi="Times New Roman"/>
                <w:noProof/>
                <w:sz w:val="20"/>
                <w:szCs w:val="20"/>
              </w:rPr>
              <w:t>796</w:t>
            </w:r>
            <w:r>
              <w:rPr>
                <w:rFonts w:ascii="Times New Roman" w:hAnsi="Times New Roman"/>
                <w:noProof/>
                <w:sz w:val="20"/>
                <w:szCs w:val="20"/>
              </w:rPr>
              <w:t>,</w:t>
            </w:r>
            <w:r w:rsidRPr="00F43FC8">
              <w:rPr>
                <w:rFonts w:ascii="Times New Roman" w:hAnsi="Times New Roman"/>
                <w:noProof/>
                <w:sz w:val="20"/>
                <w:szCs w:val="20"/>
              </w:rPr>
              <w:t>2</w:t>
            </w:r>
          </w:p>
        </w:tc>
        <w:tc>
          <w:tcPr>
            <w:tcW w:w="469" w:type="pct"/>
            <w:vAlign w:val="center"/>
          </w:tcPr>
          <w:p w14:paraId="4FB610F7" w14:textId="77777777" w:rsidR="00131369" w:rsidRPr="00DA11F1" w:rsidRDefault="009B1524" w:rsidP="008606BF">
            <w:pPr>
              <w:spacing w:after="0"/>
              <w:jc w:val="center"/>
              <w:rPr>
                <w:rFonts w:ascii="Times New Roman" w:hAnsi="Times New Roman"/>
                <w:noProof/>
                <w:sz w:val="20"/>
                <w:szCs w:val="20"/>
              </w:rPr>
            </w:pPr>
            <w:r w:rsidRPr="00F43FC8">
              <w:rPr>
                <w:rFonts w:ascii="Times New Roman" w:hAnsi="Times New Roman"/>
                <w:noProof/>
                <w:sz w:val="20"/>
                <w:szCs w:val="20"/>
              </w:rPr>
              <w:t>771</w:t>
            </w:r>
            <w:r>
              <w:rPr>
                <w:rFonts w:ascii="Times New Roman" w:hAnsi="Times New Roman"/>
                <w:noProof/>
                <w:sz w:val="20"/>
                <w:szCs w:val="20"/>
              </w:rPr>
              <w:t>,</w:t>
            </w:r>
            <w:r w:rsidRPr="00F43FC8">
              <w:rPr>
                <w:rFonts w:ascii="Times New Roman" w:hAnsi="Times New Roman"/>
                <w:noProof/>
                <w:sz w:val="20"/>
                <w:szCs w:val="20"/>
              </w:rPr>
              <w:t>9</w:t>
            </w:r>
          </w:p>
        </w:tc>
        <w:tc>
          <w:tcPr>
            <w:tcW w:w="469" w:type="pct"/>
            <w:vAlign w:val="center"/>
          </w:tcPr>
          <w:p w14:paraId="16B5C553" w14:textId="77777777" w:rsidR="00131369" w:rsidRPr="00DA11F1" w:rsidRDefault="009B1524" w:rsidP="008606BF">
            <w:pPr>
              <w:spacing w:after="0"/>
              <w:jc w:val="center"/>
              <w:rPr>
                <w:rFonts w:ascii="Times New Roman" w:hAnsi="Times New Roman"/>
                <w:noProof/>
                <w:sz w:val="20"/>
                <w:szCs w:val="20"/>
              </w:rPr>
            </w:pPr>
            <w:r w:rsidRPr="00F43FC8">
              <w:rPr>
                <w:rFonts w:ascii="Times New Roman" w:hAnsi="Times New Roman"/>
                <w:noProof/>
                <w:sz w:val="20"/>
                <w:szCs w:val="20"/>
              </w:rPr>
              <w:t>748</w:t>
            </w:r>
            <w:r>
              <w:rPr>
                <w:rFonts w:ascii="Times New Roman" w:hAnsi="Times New Roman"/>
                <w:noProof/>
                <w:sz w:val="20"/>
                <w:szCs w:val="20"/>
              </w:rPr>
              <w:t>,</w:t>
            </w:r>
            <w:r w:rsidRPr="00F43FC8">
              <w:rPr>
                <w:rFonts w:ascii="Times New Roman" w:hAnsi="Times New Roman"/>
                <w:noProof/>
                <w:sz w:val="20"/>
                <w:szCs w:val="20"/>
              </w:rPr>
              <w:t>1</w:t>
            </w:r>
            <w:r w:rsidRPr="00DA11F1">
              <w:rPr>
                <w:rStyle w:val="FootnoteReference"/>
                <w:rFonts w:ascii="Times New Roman" w:hAnsi="Times New Roman"/>
                <w:noProof/>
                <w:sz w:val="20"/>
                <w:szCs w:val="20"/>
                <w:lang w:eastAsia="en-GB"/>
              </w:rPr>
              <w:footnoteReference w:id="32"/>
            </w:r>
          </w:p>
        </w:tc>
        <w:tc>
          <w:tcPr>
            <w:tcW w:w="469" w:type="pct"/>
            <w:vAlign w:val="center"/>
          </w:tcPr>
          <w:p w14:paraId="3428FFBB" w14:textId="4BFF5301" w:rsidR="00131369" w:rsidRPr="00DA11F1" w:rsidRDefault="009B1524" w:rsidP="008606BF">
            <w:pPr>
              <w:spacing w:after="0"/>
              <w:jc w:val="center"/>
              <w:rPr>
                <w:rFonts w:ascii="Times New Roman" w:hAnsi="Times New Roman"/>
                <w:noProof/>
                <w:sz w:val="20"/>
                <w:szCs w:val="20"/>
              </w:rPr>
            </w:pPr>
            <w:r w:rsidRPr="00F43FC8">
              <w:rPr>
                <w:rFonts w:ascii="Times New Roman" w:hAnsi="Times New Roman"/>
                <w:noProof/>
                <w:sz w:val="20"/>
                <w:szCs w:val="20"/>
              </w:rPr>
              <w:t>724</w:t>
            </w:r>
            <w:r>
              <w:rPr>
                <w:rFonts w:ascii="Times New Roman" w:hAnsi="Times New Roman"/>
                <w:noProof/>
                <w:sz w:val="20"/>
                <w:szCs w:val="20"/>
              </w:rPr>
              <w:t>,</w:t>
            </w:r>
            <w:r w:rsidRPr="00F43FC8">
              <w:rPr>
                <w:rFonts w:ascii="Times New Roman" w:hAnsi="Times New Roman"/>
                <w:noProof/>
                <w:sz w:val="20"/>
                <w:szCs w:val="20"/>
              </w:rPr>
              <w:t>8</w:t>
            </w:r>
          </w:p>
        </w:tc>
      </w:tr>
      <w:tr w:rsidR="00131369" w:rsidRPr="00DA11F1" w14:paraId="73EA1F85" w14:textId="77777777" w:rsidTr="006C746A">
        <w:trPr>
          <w:trHeight w:val="1172"/>
        </w:trPr>
        <w:tc>
          <w:tcPr>
            <w:tcW w:w="1201" w:type="pct"/>
            <w:shd w:val="clear" w:color="auto" w:fill="auto"/>
            <w:vAlign w:val="center"/>
          </w:tcPr>
          <w:p w14:paraId="00E1B684" w14:textId="5D529EB8" w:rsidR="00131369" w:rsidRPr="00DA11F1" w:rsidRDefault="009B1524" w:rsidP="006C746A">
            <w:pPr>
              <w:spacing w:after="0"/>
              <w:rPr>
                <w:rFonts w:ascii="Times New Roman" w:hAnsi="Times New Roman"/>
                <w:b/>
                <w:noProof/>
                <w:sz w:val="20"/>
                <w:szCs w:val="20"/>
              </w:rPr>
            </w:pPr>
            <w:r>
              <w:rPr>
                <w:rFonts w:ascii="Times New Roman" w:hAnsi="Times New Roman"/>
                <w:b/>
                <w:noProof/>
                <w:sz w:val="20"/>
                <w:szCs w:val="20"/>
              </w:rPr>
              <w:t>Allocation de quotas provenant de la réserve destinée aux nouveaux entrants (investissements en installations nouvelles et extensions de capacité)</w:t>
            </w:r>
          </w:p>
        </w:tc>
        <w:tc>
          <w:tcPr>
            <w:tcW w:w="475" w:type="pct"/>
            <w:shd w:val="clear" w:color="auto" w:fill="auto"/>
            <w:vAlign w:val="center"/>
          </w:tcPr>
          <w:p w14:paraId="6E238C77" w14:textId="77777777" w:rsidR="00131369" w:rsidRPr="00DA11F1" w:rsidRDefault="009B1524" w:rsidP="008606BF">
            <w:pPr>
              <w:spacing w:after="0"/>
              <w:jc w:val="center"/>
              <w:rPr>
                <w:rFonts w:ascii="Times New Roman" w:hAnsi="Times New Roman"/>
                <w:noProof/>
                <w:sz w:val="20"/>
                <w:szCs w:val="20"/>
              </w:rPr>
            </w:pPr>
            <w:r w:rsidRPr="00F43FC8">
              <w:rPr>
                <w:rFonts w:ascii="Times New Roman" w:hAnsi="Times New Roman"/>
                <w:noProof/>
                <w:sz w:val="20"/>
                <w:szCs w:val="20"/>
              </w:rPr>
              <w:t>11</w:t>
            </w:r>
            <w:r>
              <w:rPr>
                <w:rFonts w:ascii="Times New Roman" w:hAnsi="Times New Roman"/>
                <w:noProof/>
                <w:sz w:val="20"/>
                <w:szCs w:val="20"/>
              </w:rPr>
              <w:t>,</w:t>
            </w:r>
            <w:r w:rsidRPr="00F43FC8">
              <w:rPr>
                <w:rFonts w:ascii="Times New Roman" w:hAnsi="Times New Roman"/>
                <w:noProof/>
                <w:sz w:val="20"/>
                <w:szCs w:val="20"/>
              </w:rPr>
              <w:t>7</w:t>
            </w:r>
          </w:p>
        </w:tc>
        <w:tc>
          <w:tcPr>
            <w:tcW w:w="479" w:type="pct"/>
            <w:shd w:val="clear" w:color="auto" w:fill="auto"/>
            <w:vAlign w:val="center"/>
          </w:tcPr>
          <w:p w14:paraId="64D09901" w14:textId="77777777" w:rsidR="00131369" w:rsidRPr="00DA11F1" w:rsidRDefault="009B1524" w:rsidP="008606BF">
            <w:pPr>
              <w:spacing w:after="0"/>
              <w:jc w:val="center"/>
              <w:rPr>
                <w:rFonts w:ascii="Times New Roman" w:hAnsi="Times New Roman"/>
                <w:noProof/>
                <w:sz w:val="20"/>
                <w:szCs w:val="20"/>
              </w:rPr>
            </w:pPr>
            <w:r w:rsidRPr="00F43FC8">
              <w:rPr>
                <w:rFonts w:ascii="Times New Roman" w:hAnsi="Times New Roman"/>
                <w:noProof/>
                <w:sz w:val="20"/>
                <w:szCs w:val="20"/>
              </w:rPr>
              <w:t>15</w:t>
            </w:r>
            <w:r>
              <w:rPr>
                <w:rFonts w:ascii="Times New Roman" w:hAnsi="Times New Roman"/>
                <w:noProof/>
                <w:sz w:val="20"/>
                <w:szCs w:val="20"/>
              </w:rPr>
              <w:t>,</w:t>
            </w:r>
            <w:r w:rsidRPr="00F43FC8">
              <w:rPr>
                <w:rFonts w:ascii="Times New Roman" w:hAnsi="Times New Roman"/>
                <w:noProof/>
                <w:sz w:val="20"/>
                <w:szCs w:val="20"/>
              </w:rPr>
              <w:t>2</w:t>
            </w:r>
          </w:p>
        </w:tc>
        <w:tc>
          <w:tcPr>
            <w:tcW w:w="479" w:type="pct"/>
            <w:vAlign w:val="center"/>
          </w:tcPr>
          <w:p w14:paraId="318AB6C5" w14:textId="77777777" w:rsidR="00131369" w:rsidRPr="00DA11F1" w:rsidRDefault="009B1524" w:rsidP="008606BF">
            <w:pPr>
              <w:spacing w:after="0"/>
              <w:jc w:val="center"/>
              <w:rPr>
                <w:rFonts w:ascii="Times New Roman" w:hAnsi="Times New Roman"/>
                <w:noProof/>
                <w:sz w:val="20"/>
                <w:szCs w:val="20"/>
              </w:rPr>
            </w:pPr>
            <w:r w:rsidRPr="00F43FC8">
              <w:rPr>
                <w:rFonts w:ascii="Times New Roman" w:hAnsi="Times New Roman"/>
                <w:noProof/>
                <w:sz w:val="20"/>
                <w:szCs w:val="20"/>
              </w:rPr>
              <w:t>18</w:t>
            </w:r>
            <w:r>
              <w:rPr>
                <w:rFonts w:ascii="Times New Roman" w:hAnsi="Times New Roman"/>
                <w:noProof/>
                <w:sz w:val="20"/>
                <w:szCs w:val="20"/>
              </w:rPr>
              <w:t>,</w:t>
            </w:r>
            <w:r w:rsidRPr="00F43FC8">
              <w:rPr>
                <w:rFonts w:ascii="Times New Roman" w:hAnsi="Times New Roman"/>
                <w:noProof/>
                <w:sz w:val="20"/>
                <w:szCs w:val="20"/>
              </w:rPr>
              <w:t>9</w:t>
            </w:r>
          </w:p>
        </w:tc>
        <w:tc>
          <w:tcPr>
            <w:tcW w:w="479" w:type="pct"/>
            <w:vAlign w:val="center"/>
          </w:tcPr>
          <w:p w14:paraId="319283A0" w14:textId="570CF48E" w:rsidR="00131369" w:rsidRPr="00DA11F1" w:rsidRDefault="009B1524" w:rsidP="008606BF">
            <w:pPr>
              <w:spacing w:after="0"/>
              <w:jc w:val="center"/>
              <w:rPr>
                <w:rFonts w:ascii="Times New Roman" w:hAnsi="Times New Roman"/>
                <w:noProof/>
                <w:sz w:val="20"/>
                <w:szCs w:val="20"/>
              </w:rPr>
            </w:pPr>
            <w:r w:rsidRPr="00F43FC8">
              <w:rPr>
                <w:rFonts w:ascii="Times New Roman" w:hAnsi="Times New Roman"/>
                <w:noProof/>
                <w:sz w:val="20"/>
                <w:szCs w:val="20"/>
              </w:rPr>
              <w:t>22</w:t>
            </w:r>
            <w:r>
              <w:rPr>
                <w:rFonts w:ascii="Times New Roman" w:hAnsi="Times New Roman"/>
                <w:noProof/>
                <w:sz w:val="20"/>
                <w:szCs w:val="20"/>
              </w:rPr>
              <w:t>,</w:t>
            </w:r>
            <w:r w:rsidRPr="00F43FC8">
              <w:rPr>
                <w:rFonts w:ascii="Times New Roman" w:hAnsi="Times New Roman"/>
                <w:noProof/>
                <w:sz w:val="20"/>
                <w:szCs w:val="20"/>
              </w:rPr>
              <w:t>8</w:t>
            </w:r>
          </w:p>
        </w:tc>
        <w:tc>
          <w:tcPr>
            <w:tcW w:w="480" w:type="pct"/>
            <w:vAlign w:val="center"/>
          </w:tcPr>
          <w:p w14:paraId="5CD065B8" w14:textId="270ECE7E" w:rsidR="00131369" w:rsidRPr="00DA11F1" w:rsidRDefault="009B1524" w:rsidP="008606BF">
            <w:pPr>
              <w:spacing w:after="0"/>
              <w:jc w:val="center"/>
              <w:rPr>
                <w:rFonts w:ascii="Times New Roman" w:hAnsi="Times New Roman"/>
                <w:noProof/>
                <w:sz w:val="20"/>
                <w:szCs w:val="20"/>
              </w:rPr>
            </w:pPr>
            <w:r w:rsidRPr="00F43FC8">
              <w:rPr>
                <w:rFonts w:ascii="Times New Roman" w:hAnsi="Times New Roman"/>
                <w:noProof/>
                <w:sz w:val="20"/>
                <w:szCs w:val="20"/>
              </w:rPr>
              <w:t>24</w:t>
            </w:r>
            <w:r>
              <w:rPr>
                <w:rFonts w:ascii="Times New Roman" w:hAnsi="Times New Roman"/>
                <w:noProof/>
                <w:sz w:val="20"/>
                <w:szCs w:val="20"/>
              </w:rPr>
              <w:t>,</w:t>
            </w:r>
            <w:r w:rsidRPr="00F43FC8">
              <w:rPr>
                <w:rFonts w:ascii="Times New Roman" w:hAnsi="Times New Roman"/>
                <w:noProof/>
                <w:sz w:val="20"/>
                <w:szCs w:val="20"/>
              </w:rPr>
              <w:t>6</w:t>
            </w:r>
          </w:p>
        </w:tc>
        <w:tc>
          <w:tcPr>
            <w:tcW w:w="469" w:type="pct"/>
            <w:vAlign w:val="center"/>
          </w:tcPr>
          <w:p w14:paraId="41DB2075" w14:textId="7E14889E" w:rsidR="00131369" w:rsidRPr="00DA11F1" w:rsidRDefault="009B1524" w:rsidP="008606BF">
            <w:pPr>
              <w:spacing w:after="0"/>
              <w:jc w:val="center"/>
              <w:rPr>
                <w:rFonts w:ascii="Times New Roman" w:hAnsi="Times New Roman"/>
                <w:noProof/>
                <w:sz w:val="20"/>
                <w:szCs w:val="20"/>
              </w:rPr>
            </w:pPr>
            <w:r w:rsidRPr="00F43FC8">
              <w:rPr>
                <w:rFonts w:ascii="Times New Roman" w:hAnsi="Times New Roman"/>
                <w:noProof/>
                <w:sz w:val="20"/>
                <w:szCs w:val="20"/>
              </w:rPr>
              <w:t>26</w:t>
            </w:r>
            <w:r>
              <w:rPr>
                <w:rFonts w:ascii="Times New Roman" w:hAnsi="Times New Roman"/>
                <w:noProof/>
                <w:sz w:val="20"/>
                <w:szCs w:val="20"/>
              </w:rPr>
              <w:t>,</w:t>
            </w:r>
            <w:r w:rsidRPr="00F43FC8">
              <w:rPr>
                <w:rFonts w:ascii="Times New Roman" w:hAnsi="Times New Roman"/>
                <w:noProof/>
                <w:sz w:val="20"/>
                <w:szCs w:val="20"/>
              </w:rPr>
              <w:t>9</w:t>
            </w:r>
          </w:p>
        </w:tc>
        <w:tc>
          <w:tcPr>
            <w:tcW w:w="469" w:type="pct"/>
            <w:vAlign w:val="center"/>
          </w:tcPr>
          <w:p w14:paraId="0E78EF77" w14:textId="079D276B" w:rsidR="00131369" w:rsidRPr="00DA11F1" w:rsidRDefault="009B1524" w:rsidP="008606BF">
            <w:pPr>
              <w:spacing w:after="0"/>
              <w:jc w:val="center"/>
              <w:rPr>
                <w:rFonts w:ascii="Times New Roman" w:hAnsi="Times New Roman"/>
                <w:noProof/>
                <w:sz w:val="20"/>
                <w:szCs w:val="20"/>
              </w:rPr>
            </w:pPr>
            <w:r w:rsidRPr="00F43FC8">
              <w:rPr>
                <w:rFonts w:ascii="Times New Roman" w:hAnsi="Times New Roman"/>
                <w:noProof/>
                <w:sz w:val="20"/>
                <w:szCs w:val="20"/>
              </w:rPr>
              <w:t>29</w:t>
            </w:r>
            <w:r>
              <w:rPr>
                <w:rFonts w:ascii="Times New Roman" w:hAnsi="Times New Roman"/>
                <w:noProof/>
                <w:sz w:val="20"/>
                <w:szCs w:val="20"/>
              </w:rPr>
              <w:t>,</w:t>
            </w:r>
            <w:r w:rsidRPr="00F43FC8">
              <w:rPr>
                <w:rFonts w:ascii="Times New Roman" w:hAnsi="Times New Roman"/>
                <w:noProof/>
                <w:sz w:val="20"/>
                <w:szCs w:val="20"/>
              </w:rPr>
              <w:t>1</w:t>
            </w:r>
          </w:p>
        </w:tc>
        <w:tc>
          <w:tcPr>
            <w:tcW w:w="469" w:type="pct"/>
            <w:vAlign w:val="center"/>
          </w:tcPr>
          <w:p w14:paraId="50875C3B" w14:textId="51001A3F" w:rsidR="00131369" w:rsidRPr="00DA11F1" w:rsidRDefault="009B1524" w:rsidP="008606BF">
            <w:pPr>
              <w:spacing w:after="0"/>
              <w:jc w:val="center"/>
              <w:rPr>
                <w:rFonts w:ascii="Times New Roman" w:hAnsi="Times New Roman"/>
                <w:noProof/>
                <w:sz w:val="20"/>
                <w:szCs w:val="20"/>
              </w:rPr>
            </w:pPr>
            <w:r w:rsidRPr="00F43FC8">
              <w:rPr>
                <w:rFonts w:ascii="Times New Roman" w:hAnsi="Times New Roman"/>
                <w:noProof/>
                <w:sz w:val="20"/>
                <w:szCs w:val="20"/>
              </w:rPr>
              <w:t>28</w:t>
            </w:r>
            <w:r>
              <w:rPr>
                <w:rFonts w:ascii="Times New Roman" w:hAnsi="Times New Roman"/>
                <w:noProof/>
                <w:sz w:val="20"/>
                <w:szCs w:val="20"/>
              </w:rPr>
              <w:t>,</w:t>
            </w:r>
            <w:r w:rsidRPr="00F43FC8">
              <w:rPr>
                <w:rFonts w:ascii="Times New Roman" w:hAnsi="Times New Roman"/>
                <w:noProof/>
                <w:sz w:val="20"/>
                <w:szCs w:val="20"/>
              </w:rPr>
              <w:t>9</w:t>
            </w:r>
          </w:p>
        </w:tc>
      </w:tr>
      <w:tr w:rsidR="00131369" w:rsidRPr="00DA11F1" w14:paraId="7016D9A7" w14:textId="77777777" w:rsidTr="006C746A">
        <w:trPr>
          <w:trHeight w:val="931"/>
        </w:trPr>
        <w:tc>
          <w:tcPr>
            <w:tcW w:w="1201" w:type="pct"/>
            <w:shd w:val="clear" w:color="auto" w:fill="auto"/>
            <w:vAlign w:val="center"/>
          </w:tcPr>
          <w:p w14:paraId="77C81438" w14:textId="77777777" w:rsidR="00131369" w:rsidRPr="00DA11F1" w:rsidRDefault="009B1524" w:rsidP="006C746A">
            <w:pPr>
              <w:spacing w:after="0"/>
              <w:rPr>
                <w:rFonts w:ascii="Times New Roman" w:hAnsi="Times New Roman"/>
                <w:b/>
                <w:noProof/>
                <w:sz w:val="20"/>
                <w:szCs w:val="20"/>
              </w:rPr>
            </w:pPr>
            <w:r>
              <w:rPr>
                <w:rFonts w:ascii="Times New Roman" w:hAnsi="Times New Roman"/>
                <w:b/>
                <w:noProof/>
                <w:sz w:val="20"/>
                <w:szCs w:val="20"/>
              </w:rPr>
              <w:t>Quotas gratuits restant non alloués du fait de fermetures ou d’évolutions dans la production ou les capacités de production</w:t>
            </w:r>
          </w:p>
        </w:tc>
        <w:tc>
          <w:tcPr>
            <w:tcW w:w="475" w:type="pct"/>
            <w:shd w:val="clear" w:color="auto" w:fill="auto"/>
            <w:vAlign w:val="center"/>
          </w:tcPr>
          <w:p w14:paraId="51BC9F8E" w14:textId="5389BCFC" w:rsidR="00131369" w:rsidRPr="00DA11F1" w:rsidRDefault="009B1524" w:rsidP="008606BF">
            <w:pPr>
              <w:spacing w:after="0"/>
              <w:jc w:val="center"/>
              <w:rPr>
                <w:rFonts w:ascii="Times New Roman" w:hAnsi="Times New Roman"/>
                <w:noProof/>
                <w:sz w:val="20"/>
                <w:szCs w:val="20"/>
                <w:highlight w:val="yellow"/>
              </w:rPr>
            </w:pPr>
            <w:r w:rsidRPr="00F43FC8">
              <w:rPr>
                <w:rFonts w:ascii="Times New Roman" w:hAnsi="Times New Roman"/>
                <w:noProof/>
                <w:sz w:val="20"/>
                <w:szCs w:val="20"/>
              </w:rPr>
              <w:t>41</w:t>
            </w:r>
            <w:r>
              <w:rPr>
                <w:rFonts w:ascii="Times New Roman" w:hAnsi="Times New Roman"/>
                <w:noProof/>
                <w:sz w:val="20"/>
                <w:szCs w:val="20"/>
              </w:rPr>
              <w:t>,</w:t>
            </w:r>
            <w:r w:rsidRPr="00F43FC8">
              <w:rPr>
                <w:rFonts w:ascii="Times New Roman" w:hAnsi="Times New Roman"/>
                <w:noProof/>
                <w:sz w:val="20"/>
                <w:szCs w:val="20"/>
              </w:rPr>
              <w:t>9</w:t>
            </w:r>
          </w:p>
        </w:tc>
        <w:tc>
          <w:tcPr>
            <w:tcW w:w="479" w:type="pct"/>
            <w:shd w:val="clear" w:color="auto" w:fill="auto"/>
            <w:vAlign w:val="center"/>
          </w:tcPr>
          <w:p w14:paraId="4C41E420" w14:textId="096FDBA4" w:rsidR="00131369" w:rsidRPr="00DA11F1" w:rsidRDefault="001F5D15" w:rsidP="008606BF">
            <w:pPr>
              <w:spacing w:after="0"/>
              <w:jc w:val="center"/>
              <w:rPr>
                <w:rFonts w:ascii="Times New Roman" w:hAnsi="Times New Roman"/>
                <w:noProof/>
                <w:sz w:val="20"/>
                <w:szCs w:val="20"/>
              </w:rPr>
            </w:pPr>
            <w:r w:rsidRPr="00F43FC8">
              <w:rPr>
                <w:rFonts w:ascii="Times New Roman" w:hAnsi="Times New Roman"/>
                <w:noProof/>
                <w:sz w:val="20"/>
                <w:szCs w:val="20"/>
              </w:rPr>
              <w:t>61</w:t>
            </w:r>
            <w:r>
              <w:rPr>
                <w:rFonts w:ascii="Times New Roman" w:hAnsi="Times New Roman"/>
                <w:noProof/>
                <w:sz w:val="20"/>
                <w:szCs w:val="20"/>
              </w:rPr>
              <w:t>,</w:t>
            </w:r>
            <w:r w:rsidRPr="00F43FC8">
              <w:rPr>
                <w:rFonts w:ascii="Times New Roman" w:hAnsi="Times New Roman"/>
                <w:noProof/>
                <w:sz w:val="20"/>
                <w:szCs w:val="20"/>
              </w:rPr>
              <w:t>3</w:t>
            </w:r>
          </w:p>
        </w:tc>
        <w:tc>
          <w:tcPr>
            <w:tcW w:w="479" w:type="pct"/>
            <w:vAlign w:val="center"/>
          </w:tcPr>
          <w:p w14:paraId="16D97BCA" w14:textId="653ACB03" w:rsidR="00131369" w:rsidRPr="00DA11F1" w:rsidRDefault="009B1524" w:rsidP="008606BF">
            <w:pPr>
              <w:spacing w:after="0"/>
              <w:jc w:val="center"/>
              <w:rPr>
                <w:rFonts w:ascii="Times New Roman" w:hAnsi="Times New Roman"/>
                <w:noProof/>
                <w:sz w:val="20"/>
                <w:szCs w:val="20"/>
              </w:rPr>
            </w:pPr>
            <w:r w:rsidRPr="00F43FC8">
              <w:rPr>
                <w:rFonts w:ascii="Times New Roman" w:hAnsi="Times New Roman"/>
                <w:noProof/>
                <w:sz w:val="20"/>
                <w:szCs w:val="20"/>
              </w:rPr>
              <w:t>74</w:t>
            </w:r>
            <w:r>
              <w:rPr>
                <w:rFonts w:ascii="Times New Roman" w:hAnsi="Times New Roman"/>
                <w:noProof/>
                <w:sz w:val="20"/>
                <w:szCs w:val="20"/>
              </w:rPr>
              <w:t>,</w:t>
            </w:r>
            <w:r w:rsidRPr="00F43FC8">
              <w:rPr>
                <w:rFonts w:ascii="Times New Roman" w:hAnsi="Times New Roman"/>
                <w:noProof/>
                <w:sz w:val="20"/>
                <w:szCs w:val="20"/>
              </w:rPr>
              <w:t>0</w:t>
            </w:r>
          </w:p>
        </w:tc>
        <w:tc>
          <w:tcPr>
            <w:tcW w:w="479" w:type="pct"/>
            <w:vAlign w:val="center"/>
          </w:tcPr>
          <w:p w14:paraId="306EB7E5" w14:textId="1B8B16B9" w:rsidR="00131369" w:rsidRPr="00DA11F1" w:rsidRDefault="009B1524" w:rsidP="008606BF">
            <w:pPr>
              <w:spacing w:after="0"/>
              <w:jc w:val="center"/>
              <w:rPr>
                <w:rFonts w:ascii="Times New Roman" w:hAnsi="Times New Roman"/>
                <w:noProof/>
                <w:sz w:val="20"/>
                <w:szCs w:val="20"/>
              </w:rPr>
            </w:pPr>
            <w:r w:rsidRPr="00F43FC8">
              <w:rPr>
                <w:rFonts w:ascii="Times New Roman" w:hAnsi="Times New Roman"/>
                <w:noProof/>
                <w:sz w:val="20"/>
                <w:szCs w:val="20"/>
              </w:rPr>
              <w:t>76</w:t>
            </w:r>
            <w:r>
              <w:rPr>
                <w:rFonts w:ascii="Times New Roman" w:hAnsi="Times New Roman"/>
                <w:noProof/>
                <w:sz w:val="20"/>
                <w:szCs w:val="20"/>
              </w:rPr>
              <w:t>,</w:t>
            </w:r>
            <w:r w:rsidRPr="00F43FC8">
              <w:rPr>
                <w:rFonts w:ascii="Times New Roman" w:hAnsi="Times New Roman"/>
                <w:noProof/>
                <w:sz w:val="20"/>
                <w:szCs w:val="20"/>
              </w:rPr>
              <w:t>5</w:t>
            </w:r>
          </w:p>
        </w:tc>
        <w:tc>
          <w:tcPr>
            <w:tcW w:w="480" w:type="pct"/>
            <w:vAlign w:val="center"/>
          </w:tcPr>
          <w:p w14:paraId="229198EC" w14:textId="41F36883" w:rsidR="00131369" w:rsidRPr="00DA11F1" w:rsidRDefault="009B1524" w:rsidP="008606BF">
            <w:pPr>
              <w:spacing w:after="0"/>
              <w:jc w:val="center"/>
              <w:rPr>
                <w:rFonts w:ascii="Times New Roman" w:hAnsi="Times New Roman"/>
                <w:noProof/>
                <w:sz w:val="20"/>
                <w:szCs w:val="20"/>
              </w:rPr>
            </w:pPr>
            <w:r w:rsidRPr="00F43FC8">
              <w:rPr>
                <w:rFonts w:ascii="Times New Roman" w:hAnsi="Times New Roman"/>
                <w:noProof/>
                <w:sz w:val="20"/>
                <w:szCs w:val="20"/>
              </w:rPr>
              <w:t>79</w:t>
            </w:r>
            <w:r>
              <w:rPr>
                <w:rFonts w:ascii="Times New Roman" w:hAnsi="Times New Roman"/>
                <w:noProof/>
                <w:sz w:val="20"/>
                <w:szCs w:val="20"/>
              </w:rPr>
              <w:t>,</w:t>
            </w:r>
            <w:r w:rsidRPr="00F43FC8">
              <w:rPr>
                <w:rFonts w:ascii="Times New Roman" w:hAnsi="Times New Roman"/>
                <w:noProof/>
                <w:sz w:val="20"/>
                <w:szCs w:val="20"/>
              </w:rPr>
              <w:t>9</w:t>
            </w:r>
          </w:p>
        </w:tc>
        <w:tc>
          <w:tcPr>
            <w:tcW w:w="469" w:type="pct"/>
            <w:vAlign w:val="center"/>
          </w:tcPr>
          <w:p w14:paraId="46A44936" w14:textId="594D8472" w:rsidR="00131369" w:rsidRPr="00DA11F1" w:rsidRDefault="009B1524" w:rsidP="008606BF">
            <w:pPr>
              <w:spacing w:after="0"/>
              <w:jc w:val="center"/>
              <w:rPr>
                <w:rFonts w:ascii="Times New Roman" w:hAnsi="Times New Roman"/>
                <w:noProof/>
                <w:sz w:val="20"/>
                <w:szCs w:val="20"/>
              </w:rPr>
            </w:pPr>
            <w:r w:rsidRPr="00F43FC8">
              <w:rPr>
                <w:rFonts w:ascii="Times New Roman" w:hAnsi="Times New Roman"/>
                <w:noProof/>
                <w:sz w:val="20"/>
                <w:szCs w:val="20"/>
              </w:rPr>
              <w:t>85</w:t>
            </w:r>
            <w:r>
              <w:rPr>
                <w:rFonts w:ascii="Times New Roman" w:hAnsi="Times New Roman"/>
                <w:noProof/>
                <w:sz w:val="20"/>
                <w:szCs w:val="20"/>
              </w:rPr>
              <w:t>,</w:t>
            </w:r>
            <w:r w:rsidRPr="00F43FC8">
              <w:rPr>
                <w:rFonts w:ascii="Times New Roman" w:hAnsi="Times New Roman"/>
                <w:noProof/>
                <w:sz w:val="20"/>
                <w:szCs w:val="20"/>
              </w:rPr>
              <w:t>1</w:t>
            </w:r>
          </w:p>
        </w:tc>
        <w:tc>
          <w:tcPr>
            <w:tcW w:w="469" w:type="pct"/>
            <w:vAlign w:val="center"/>
          </w:tcPr>
          <w:p w14:paraId="27996E4A" w14:textId="3D226ADE" w:rsidR="00131369" w:rsidRPr="00DA11F1" w:rsidRDefault="001F5D15" w:rsidP="008606BF">
            <w:pPr>
              <w:spacing w:after="0"/>
              <w:jc w:val="center"/>
              <w:rPr>
                <w:rFonts w:ascii="Times New Roman" w:hAnsi="Times New Roman"/>
                <w:noProof/>
                <w:sz w:val="20"/>
                <w:szCs w:val="20"/>
              </w:rPr>
            </w:pPr>
            <w:r w:rsidRPr="00F43FC8">
              <w:rPr>
                <w:rFonts w:ascii="Times New Roman" w:hAnsi="Times New Roman"/>
                <w:noProof/>
                <w:sz w:val="20"/>
                <w:szCs w:val="20"/>
              </w:rPr>
              <w:t>80</w:t>
            </w:r>
            <w:r>
              <w:rPr>
                <w:rFonts w:ascii="Times New Roman" w:hAnsi="Times New Roman"/>
                <w:noProof/>
                <w:sz w:val="20"/>
                <w:szCs w:val="20"/>
              </w:rPr>
              <w:t>,</w:t>
            </w:r>
            <w:r w:rsidRPr="00F43FC8">
              <w:rPr>
                <w:rFonts w:ascii="Times New Roman" w:hAnsi="Times New Roman"/>
                <w:noProof/>
                <w:sz w:val="20"/>
                <w:szCs w:val="20"/>
              </w:rPr>
              <w:t>3</w:t>
            </w:r>
          </w:p>
        </w:tc>
        <w:tc>
          <w:tcPr>
            <w:tcW w:w="469" w:type="pct"/>
            <w:vAlign w:val="center"/>
          </w:tcPr>
          <w:p w14:paraId="4428E646" w14:textId="52D7DEDB" w:rsidR="00131369" w:rsidRPr="00DA11F1" w:rsidRDefault="009B1524" w:rsidP="008606BF">
            <w:pPr>
              <w:spacing w:after="0"/>
              <w:jc w:val="center"/>
              <w:rPr>
                <w:rFonts w:ascii="Times New Roman" w:hAnsi="Times New Roman"/>
                <w:noProof/>
                <w:sz w:val="20"/>
                <w:szCs w:val="20"/>
              </w:rPr>
            </w:pPr>
            <w:r w:rsidRPr="00F43FC8">
              <w:rPr>
                <w:rFonts w:ascii="Times New Roman" w:hAnsi="Times New Roman"/>
                <w:noProof/>
                <w:sz w:val="20"/>
                <w:szCs w:val="20"/>
              </w:rPr>
              <w:t>85</w:t>
            </w:r>
            <w:r>
              <w:rPr>
                <w:rFonts w:ascii="Times New Roman" w:hAnsi="Times New Roman"/>
                <w:noProof/>
                <w:sz w:val="20"/>
                <w:szCs w:val="20"/>
              </w:rPr>
              <w:t>,</w:t>
            </w:r>
            <w:r w:rsidRPr="00F43FC8">
              <w:rPr>
                <w:rFonts w:ascii="Times New Roman" w:hAnsi="Times New Roman"/>
                <w:noProof/>
                <w:sz w:val="20"/>
                <w:szCs w:val="20"/>
              </w:rPr>
              <w:t>9</w:t>
            </w:r>
          </w:p>
        </w:tc>
      </w:tr>
    </w:tbl>
    <w:p w14:paraId="70E64CF5" w14:textId="567DA65A" w:rsidR="00E86B2F" w:rsidRPr="00DA11F1" w:rsidRDefault="00E86B2F" w:rsidP="00E86B2F">
      <w:pPr>
        <w:pStyle w:val="NormalWeb"/>
        <w:spacing w:line="276" w:lineRule="auto"/>
        <w:jc w:val="both"/>
        <w:rPr>
          <w:noProof/>
        </w:rPr>
      </w:pPr>
      <w:r>
        <w:rPr>
          <w:noProof/>
        </w:rPr>
        <w:t>Si les pays participants avaient encore la possibilité en </w:t>
      </w:r>
      <w:r w:rsidRPr="00F43FC8">
        <w:rPr>
          <w:noProof/>
        </w:rPr>
        <w:t>2021</w:t>
      </w:r>
      <w:r>
        <w:rPr>
          <w:noProof/>
        </w:rPr>
        <w:t xml:space="preserve"> de communiquer leurs modifications de l’allocation à titre gratuit relatives à la dernière année de la phase </w:t>
      </w:r>
      <w:r w:rsidRPr="00F43FC8">
        <w:rPr>
          <w:noProof/>
        </w:rPr>
        <w:t>3</w:t>
      </w:r>
      <w:r>
        <w:rPr>
          <w:noProof/>
        </w:rPr>
        <w:t>, la grande majorité des changements avaient déjà été signalés. On peut donc conclure qu’à la fin de la phase </w:t>
      </w:r>
      <w:r w:rsidRPr="00F43FC8">
        <w:rPr>
          <w:noProof/>
        </w:rPr>
        <w:t>3</w:t>
      </w:r>
      <w:r>
        <w:rPr>
          <w:noProof/>
        </w:rPr>
        <w:t xml:space="preserve">, il y avait approximativement: </w:t>
      </w:r>
    </w:p>
    <w:p w14:paraId="4E234532" w14:textId="0DBB4C39" w:rsidR="00E86B2F" w:rsidRPr="00DA11F1" w:rsidRDefault="00E86B2F" w:rsidP="00FB7B0D">
      <w:pPr>
        <w:pStyle w:val="NormalWeb"/>
        <w:numPr>
          <w:ilvl w:val="0"/>
          <w:numId w:val="25"/>
        </w:numPr>
        <w:spacing w:line="276" w:lineRule="auto"/>
        <w:jc w:val="both"/>
        <w:rPr>
          <w:noProof/>
        </w:rPr>
      </w:pPr>
      <w:r w:rsidRPr="00F43FC8">
        <w:rPr>
          <w:noProof/>
        </w:rPr>
        <w:t>1</w:t>
      </w:r>
      <w:r>
        <w:rPr>
          <w:noProof/>
        </w:rPr>
        <w:t> </w:t>
      </w:r>
      <w:r w:rsidRPr="00F43FC8">
        <w:rPr>
          <w:noProof/>
        </w:rPr>
        <w:t>821</w:t>
      </w:r>
      <w:r>
        <w:rPr>
          <w:noProof/>
        </w:rPr>
        <w:t xml:space="preserve"> installations sur </w:t>
      </w:r>
      <w:r w:rsidRPr="00F43FC8">
        <w:rPr>
          <w:noProof/>
        </w:rPr>
        <w:t>11</w:t>
      </w:r>
      <w:r>
        <w:rPr>
          <w:noProof/>
        </w:rPr>
        <w:t> </w:t>
      </w:r>
      <w:r w:rsidRPr="00F43FC8">
        <w:rPr>
          <w:noProof/>
        </w:rPr>
        <w:t>646</w:t>
      </w:r>
      <w:r>
        <w:rPr>
          <w:noProof/>
        </w:rPr>
        <w:t xml:space="preserve"> qui ont cessé leurs activités ou connu une modification physique ayant fait passer leur capacité sous le seuil, avec pour conséquence le retrait de leur autorisation GES; </w:t>
      </w:r>
    </w:p>
    <w:p w14:paraId="3A22621C" w14:textId="756B2AB2" w:rsidR="00E86B2F" w:rsidRPr="00DA11F1" w:rsidRDefault="00E86B2F" w:rsidP="00E86B2F">
      <w:pPr>
        <w:pStyle w:val="NormalWeb"/>
        <w:numPr>
          <w:ilvl w:val="0"/>
          <w:numId w:val="25"/>
        </w:numPr>
        <w:spacing w:line="276" w:lineRule="auto"/>
        <w:jc w:val="both"/>
        <w:rPr>
          <w:noProof/>
        </w:rPr>
      </w:pPr>
      <w:r w:rsidRPr="00F43FC8">
        <w:rPr>
          <w:noProof/>
        </w:rPr>
        <w:t>505</w:t>
      </w:r>
      <w:r>
        <w:rPr>
          <w:noProof/>
        </w:rPr>
        <w:t xml:space="preserve"> nouveaux entrants; </w:t>
      </w:r>
    </w:p>
    <w:p w14:paraId="541AA8EF" w14:textId="1D7D350C" w:rsidR="00E86B2F" w:rsidRPr="00DA11F1" w:rsidRDefault="00E86B2F" w:rsidP="00E86B2F">
      <w:pPr>
        <w:pStyle w:val="NormalWeb"/>
        <w:numPr>
          <w:ilvl w:val="0"/>
          <w:numId w:val="25"/>
        </w:numPr>
        <w:spacing w:line="276" w:lineRule="auto"/>
        <w:jc w:val="both"/>
        <w:rPr>
          <w:noProof/>
        </w:rPr>
      </w:pPr>
      <w:r w:rsidRPr="00F43FC8">
        <w:rPr>
          <w:noProof/>
        </w:rPr>
        <w:t>887</w:t>
      </w:r>
      <w:r>
        <w:rPr>
          <w:noProof/>
        </w:rPr>
        <w:t xml:space="preserve"> extensions significatives de capacité; </w:t>
      </w:r>
    </w:p>
    <w:p w14:paraId="1DCFADB8" w14:textId="0666CE85" w:rsidR="00E86B2F" w:rsidRPr="00DA11F1" w:rsidRDefault="00E86B2F" w:rsidP="00E86B2F">
      <w:pPr>
        <w:pStyle w:val="NormalWeb"/>
        <w:numPr>
          <w:ilvl w:val="0"/>
          <w:numId w:val="25"/>
        </w:numPr>
        <w:spacing w:line="276" w:lineRule="auto"/>
        <w:jc w:val="both"/>
        <w:rPr>
          <w:noProof/>
        </w:rPr>
      </w:pPr>
      <w:r w:rsidRPr="00F43FC8">
        <w:rPr>
          <w:noProof/>
        </w:rPr>
        <w:t>378</w:t>
      </w:r>
      <w:r>
        <w:rPr>
          <w:noProof/>
        </w:rPr>
        <w:t xml:space="preserve"> réductions significatives de capacité; </w:t>
      </w:r>
    </w:p>
    <w:p w14:paraId="43483DF7" w14:textId="4611D557" w:rsidR="00E86B2F" w:rsidRPr="00DA11F1" w:rsidRDefault="00E86B2F" w:rsidP="00E86B2F">
      <w:pPr>
        <w:pStyle w:val="NormalWeb"/>
        <w:numPr>
          <w:ilvl w:val="0"/>
          <w:numId w:val="25"/>
        </w:numPr>
        <w:spacing w:line="276" w:lineRule="auto"/>
        <w:jc w:val="both"/>
        <w:rPr>
          <w:noProof/>
        </w:rPr>
      </w:pPr>
      <w:r w:rsidRPr="00F43FC8">
        <w:rPr>
          <w:noProof/>
        </w:rPr>
        <w:t>2</w:t>
      </w:r>
      <w:r>
        <w:rPr>
          <w:noProof/>
        </w:rPr>
        <w:t> </w:t>
      </w:r>
      <w:r w:rsidRPr="00F43FC8">
        <w:rPr>
          <w:noProof/>
        </w:rPr>
        <w:t>985</w:t>
      </w:r>
      <w:r>
        <w:rPr>
          <w:noProof/>
        </w:rPr>
        <w:t xml:space="preserve"> installations qui ont subi une cessation partielle d’activité; et </w:t>
      </w:r>
    </w:p>
    <w:p w14:paraId="457E0991" w14:textId="6B5BE76F" w:rsidR="00E86B2F" w:rsidRPr="00DA11F1" w:rsidRDefault="00E86B2F" w:rsidP="00E86B2F">
      <w:pPr>
        <w:pStyle w:val="NormalWeb"/>
        <w:numPr>
          <w:ilvl w:val="0"/>
          <w:numId w:val="25"/>
        </w:numPr>
        <w:spacing w:line="276" w:lineRule="auto"/>
        <w:jc w:val="both"/>
        <w:rPr>
          <w:noProof/>
        </w:rPr>
      </w:pPr>
      <w:r w:rsidRPr="00F43FC8">
        <w:rPr>
          <w:noProof/>
        </w:rPr>
        <w:t>1</w:t>
      </w:r>
      <w:r>
        <w:rPr>
          <w:noProof/>
        </w:rPr>
        <w:t> </w:t>
      </w:r>
      <w:r w:rsidRPr="00F43FC8">
        <w:rPr>
          <w:noProof/>
        </w:rPr>
        <w:t>434</w:t>
      </w:r>
      <w:r>
        <w:rPr>
          <w:noProof/>
        </w:rPr>
        <w:t xml:space="preserve"> installations qui se sont rétablies après une cessation partielle d’activité. </w:t>
      </w:r>
    </w:p>
    <w:p w14:paraId="0F41DB8B" w14:textId="6932A51C" w:rsidR="00E86B2F" w:rsidRPr="00DA11F1" w:rsidRDefault="00B833EF" w:rsidP="00E86B2F">
      <w:pPr>
        <w:pStyle w:val="NormalWeb"/>
        <w:spacing w:line="276" w:lineRule="auto"/>
        <w:jc w:val="both"/>
        <w:rPr>
          <w:noProof/>
        </w:rPr>
      </w:pPr>
      <w:r>
        <w:rPr>
          <w:noProof/>
        </w:rPr>
        <w:t>Les quotas non alloués en raison de fermetures, de cessations partielles d’activité ou de réductions significatives de capacité (au sens de l’article </w:t>
      </w:r>
      <w:r w:rsidRPr="00F43FC8">
        <w:rPr>
          <w:noProof/>
        </w:rPr>
        <w:t>10</w:t>
      </w:r>
      <w:r>
        <w:rPr>
          <w:noProof/>
        </w:rPr>
        <w:t> </w:t>
      </w:r>
      <w:r>
        <w:rPr>
          <w:i/>
          <w:iCs/>
          <w:noProof/>
        </w:rPr>
        <w:t>bis</w:t>
      </w:r>
      <w:r>
        <w:rPr>
          <w:noProof/>
        </w:rPr>
        <w:t>, paragraphes </w:t>
      </w:r>
      <w:r w:rsidRPr="00F43FC8">
        <w:rPr>
          <w:noProof/>
        </w:rPr>
        <w:t>19</w:t>
      </w:r>
      <w:r>
        <w:rPr>
          <w:noProof/>
        </w:rPr>
        <w:t> et </w:t>
      </w:r>
      <w:r w:rsidRPr="00F43FC8">
        <w:rPr>
          <w:noProof/>
        </w:rPr>
        <w:t>20</w:t>
      </w:r>
      <w:r>
        <w:rPr>
          <w:noProof/>
        </w:rPr>
        <w:t>, de la directive SEQE-UE) seront placés dans la RSM conformément à l’article </w:t>
      </w:r>
      <w:r w:rsidRPr="00F43FC8">
        <w:rPr>
          <w:noProof/>
        </w:rPr>
        <w:t>1</w:t>
      </w:r>
      <w:r>
        <w:rPr>
          <w:noProof/>
          <w:vertAlign w:val="superscript"/>
        </w:rPr>
        <w:t>er</w:t>
      </w:r>
      <w:r>
        <w:rPr>
          <w:noProof/>
        </w:rPr>
        <w:t>, paragraphe </w:t>
      </w:r>
      <w:r w:rsidRPr="00F43FC8">
        <w:rPr>
          <w:noProof/>
        </w:rPr>
        <w:t>3</w:t>
      </w:r>
      <w:r>
        <w:rPr>
          <w:noProof/>
        </w:rPr>
        <w:t>, de la décision (UE) </w:t>
      </w:r>
      <w:r w:rsidRPr="00F43FC8">
        <w:rPr>
          <w:noProof/>
        </w:rPr>
        <w:t>2015</w:t>
      </w:r>
      <w:r>
        <w:rPr>
          <w:noProof/>
        </w:rPr>
        <w:t>/</w:t>
      </w:r>
      <w:r w:rsidRPr="00F43FC8">
        <w:rPr>
          <w:noProof/>
        </w:rPr>
        <w:t>1814</w:t>
      </w:r>
      <w:r>
        <w:rPr>
          <w:noProof/>
        </w:rPr>
        <w:t xml:space="preserve"> (décision concernant la RSM)</w:t>
      </w:r>
      <w:r w:rsidR="006C2372" w:rsidRPr="00DA11F1">
        <w:rPr>
          <w:rStyle w:val="FootnoteReference"/>
          <w:noProof/>
          <w:lang w:val="en"/>
        </w:rPr>
        <w:footnoteReference w:id="33"/>
      </w:r>
      <w:r>
        <w:rPr>
          <w:noProof/>
        </w:rPr>
        <w:t>, comme les quotas non alloués provenant de la NER.</w:t>
      </w:r>
    </w:p>
    <w:p w14:paraId="653E10A7" w14:textId="7A04D009" w:rsidR="00E86B2F" w:rsidRPr="00DA11F1" w:rsidRDefault="00E86B2F" w:rsidP="008356AC">
      <w:pPr>
        <w:pStyle w:val="NormalWeb"/>
        <w:spacing w:line="276" w:lineRule="auto"/>
        <w:jc w:val="both"/>
        <w:rPr>
          <w:noProof/>
        </w:rPr>
      </w:pPr>
      <w:r>
        <w:rPr>
          <w:noProof/>
        </w:rPr>
        <w:t>Pour prévenir le risque de fuite de carbone, l’allocation de quotas à titre gratuit se poursuivra durant la phase </w:t>
      </w:r>
      <w:r w:rsidRPr="00F43FC8">
        <w:rPr>
          <w:noProof/>
        </w:rPr>
        <w:t>4</w:t>
      </w:r>
      <w:r>
        <w:rPr>
          <w:noProof/>
        </w:rPr>
        <w:t xml:space="preserve"> et s’appuiera sur des valeurs de référence mises à jour, établies sur la base des performances des </w:t>
      </w:r>
      <w:r w:rsidRPr="00F43FC8">
        <w:rPr>
          <w:noProof/>
        </w:rPr>
        <w:t>10</w:t>
      </w:r>
      <w:r>
        <w:rPr>
          <w:noProof/>
        </w:rPr>
        <w:t> % d’installations les plus efficaces de l’Union. À la suite de l’accord politique trouvé en novembre </w:t>
      </w:r>
      <w:r w:rsidRPr="00F43FC8">
        <w:rPr>
          <w:noProof/>
        </w:rPr>
        <w:t>2017</w:t>
      </w:r>
      <w:r>
        <w:rPr>
          <w:noProof/>
        </w:rPr>
        <w:t xml:space="preserve"> au sujet de la directive SEQE-UE révisée, la Commission a adopté des textes législatifs en vue de mettre en œuvre l’allocation gratuite à l’industrie lors de la phase </w:t>
      </w:r>
      <w:r w:rsidRPr="00F43FC8">
        <w:rPr>
          <w:noProof/>
        </w:rPr>
        <w:t>4</w:t>
      </w:r>
      <w:r>
        <w:rPr>
          <w:noProof/>
        </w:rPr>
        <w:t>. Les actes juridiques adoptés sont énumérés dans le tableau </w:t>
      </w:r>
      <w:r w:rsidRPr="00F43FC8">
        <w:rPr>
          <w:noProof/>
        </w:rPr>
        <w:t>4</w:t>
      </w:r>
      <w:r>
        <w:rPr>
          <w:noProof/>
        </w:rPr>
        <w:t>.</w:t>
      </w:r>
      <w:r w:rsidRPr="00F43FC8">
        <w:rPr>
          <w:noProof/>
        </w:rPr>
        <w:t>1</w:t>
      </w:r>
      <w:r>
        <w:rPr>
          <w:noProof/>
        </w:rPr>
        <w:t xml:space="preserve"> de l’annexe </w:t>
      </w:r>
      <w:r w:rsidRPr="00F43FC8">
        <w:rPr>
          <w:noProof/>
        </w:rPr>
        <w:t>4</w:t>
      </w:r>
      <w:r>
        <w:rPr>
          <w:noProof/>
        </w:rPr>
        <w:t xml:space="preserve"> du document de travail des services de la Commission accompagnant le présent rapport. </w:t>
      </w:r>
    </w:p>
    <w:p w14:paraId="074842BB" w14:textId="5AA4678C" w:rsidR="00131369" w:rsidRPr="00DA11F1" w:rsidRDefault="00FA7EBD" w:rsidP="00006E10">
      <w:pPr>
        <w:pStyle w:val="Heading3"/>
        <w:ind w:left="720"/>
        <w:rPr>
          <w:i/>
          <w:noProof/>
          <w:color w:val="000000" w:themeColor="text1"/>
        </w:rPr>
      </w:pPr>
      <w:bookmarkStart w:id="28" w:name="_Toc89707764"/>
      <w:r w:rsidRPr="00F43FC8">
        <w:rPr>
          <w:i/>
          <w:noProof/>
        </w:rPr>
        <w:t>3</w:t>
      </w:r>
      <w:r>
        <w:rPr>
          <w:i/>
          <w:noProof/>
        </w:rPr>
        <w:t>.</w:t>
      </w:r>
      <w:r w:rsidRPr="00F43FC8">
        <w:rPr>
          <w:i/>
          <w:noProof/>
        </w:rPr>
        <w:t>1</w:t>
      </w:r>
      <w:r>
        <w:rPr>
          <w:i/>
          <w:noProof/>
        </w:rPr>
        <w:t>.</w:t>
      </w:r>
      <w:r w:rsidRPr="00F43FC8">
        <w:rPr>
          <w:i/>
          <w:noProof/>
        </w:rPr>
        <w:t>3</w:t>
      </w:r>
      <w:r>
        <w:rPr>
          <w:i/>
          <w:noProof/>
        </w:rPr>
        <w:t xml:space="preserve"> Mise aux enchères des quotas</w:t>
      </w:r>
      <w:bookmarkEnd w:id="28"/>
    </w:p>
    <w:p w14:paraId="2A88BCFE" w14:textId="18865885" w:rsidR="002D27E2" w:rsidRPr="00DA11F1" w:rsidRDefault="002D1C0C">
      <w:pPr>
        <w:jc w:val="both"/>
        <w:rPr>
          <w:rFonts w:ascii="Times New Roman" w:hAnsi="Times New Roman"/>
          <w:noProof/>
          <w:sz w:val="24"/>
          <w:szCs w:val="24"/>
        </w:rPr>
      </w:pPr>
      <w:r>
        <w:rPr>
          <w:rFonts w:ascii="Times New Roman" w:hAnsi="Times New Roman"/>
          <w:noProof/>
          <w:sz w:val="24"/>
          <w:szCs w:val="24"/>
        </w:rPr>
        <w:t>Depuis la phase </w:t>
      </w:r>
      <w:r w:rsidRPr="00F43FC8">
        <w:rPr>
          <w:rFonts w:ascii="Times New Roman" w:hAnsi="Times New Roman"/>
          <w:noProof/>
          <w:sz w:val="24"/>
          <w:szCs w:val="24"/>
        </w:rPr>
        <w:t>3</w:t>
      </w:r>
      <w:r>
        <w:rPr>
          <w:rFonts w:ascii="Times New Roman" w:hAnsi="Times New Roman"/>
          <w:noProof/>
          <w:sz w:val="24"/>
          <w:szCs w:val="24"/>
        </w:rPr>
        <w:t xml:space="preserve">, la mise aux enchères constitue la principale méthode utilisée pour la répartition des quotas dans le SEQE-UE: elle représente </w:t>
      </w:r>
      <w:r w:rsidRPr="00F43FC8">
        <w:rPr>
          <w:rFonts w:ascii="Times New Roman" w:hAnsi="Times New Roman"/>
          <w:noProof/>
          <w:sz w:val="24"/>
          <w:szCs w:val="24"/>
        </w:rPr>
        <w:t>57</w:t>
      </w:r>
      <w:r>
        <w:rPr>
          <w:rFonts w:ascii="Times New Roman" w:hAnsi="Times New Roman"/>
          <w:noProof/>
          <w:sz w:val="24"/>
          <w:szCs w:val="24"/>
        </w:rPr>
        <w:t> % du volume total. La mise aux enchères est régie par le règlement (UE) nº </w:t>
      </w:r>
      <w:r w:rsidRPr="00F43FC8">
        <w:rPr>
          <w:rFonts w:ascii="Times New Roman" w:hAnsi="Times New Roman"/>
          <w:noProof/>
          <w:sz w:val="24"/>
          <w:szCs w:val="24"/>
        </w:rPr>
        <w:t>1031</w:t>
      </w:r>
      <w:r>
        <w:rPr>
          <w:rFonts w:ascii="Times New Roman" w:hAnsi="Times New Roman"/>
          <w:noProof/>
          <w:sz w:val="24"/>
          <w:szCs w:val="24"/>
        </w:rPr>
        <w:t>/</w:t>
      </w:r>
      <w:r w:rsidRPr="00F43FC8">
        <w:rPr>
          <w:rFonts w:ascii="Times New Roman" w:hAnsi="Times New Roman"/>
          <w:noProof/>
          <w:sz w:val="24"/>
          <w:szCs w:val="24"/>
        </w:rPr>
        <w:t>2010</w:t>
      </w:r>
      <w:r>
        <w:rPr>
          <w:rFonts w:ascii="Times New Roman" w:hAnsi="Times New Roman"/>
          <w:noProof/>
          <w:sz w:val="24"/>
          <w:szCs w:val="24"/>
        </w:rPr>
        <w:t xml:space="preserve"> de la Commission</w:t>
      </w:r>
      <w:r w:rsidR="007B08FA" w:rsidRPr="00DA11F1">
        <w:rPr>
          <w:rStyle w:val="FootnoteReference"/>
          <w:rFonts w:ascii="Times New Roman" w:hAnsi="Times New Roman"/>
          <w:noProof/>
          <w:sz w:val="24"/>
          <w:szCs w:val="24"/>
        </w:rPr>
        <w:footnoteReference w:id="34"/>
      </w:r>
      <w:r>
        <w:rPr>
          <w:rFonts w:ascii="Times New Roman" w:hAnsi="Times New Roman"/>
          <w:noProof/>
          <w:sz w:val="24"/>
          <w:szCs w:val="24"/>
        </w:rPr>
        <w:t xml:space="preserve"> (règlement sur la mise aux enchères), établissant les règles applicables en ce qui concerne le calendrier, la gestion et d’autres aspects du déroulement des enchères afin de garantir un processus ouvert, transparent, harmonisé et non discriminatoire.</w:t>
      </w:r>
    </w:p>
    <w:p w14:paraId="22BC9BF5" w14:textId="19DFA2DA" w:rsidR="002D27E2" w:rsidRPr="00DA11F1" w:rsidRDefault="00B833EF" w:rsidP="002D27E2">
      <w:pPr>
        <w:jc w:val="both"/>
        <w:rPr>
          <w:rFonts w:ascii="Times New Roman" w:hAnsi="Times New Roman"/>
          <w:noProof/>
          <w:sz w:val="24"/>
          <w:szCs w:val="24"/>
        </w:rPr>
      </w:pPr>
      <w:r>
        <w:rPr>
          <w:rFonts w:ascii="Times New Roman" w:hAnsi="Times New Roman"/>
          <w:noProof/>
          <w:sz w:val="24"/>
          <w:szCs w:val="24"/>
        </w:rPr>
        <w:t>Pendant la phase </w:t>
      </w:r>
      <w:r w:rsidRPr="00F43FC8">
        <w:rPr>
          <w:rFonts w:ascii="Times New Roman" w:hAnsi="Times New Roman"/>
          <w:noProof/>
          <w:sz w:val="24"/>
          <w:szCs w:val="24"/>
        </w:rPr>
        <w:t>3</w:t>
      </w:r>
      <w:r>
        <w:rPr>
          <w:rFonts w:ascii="Times New Roman" w:hAnsi="Times New Roman"/>
          <w:noProof/>
          <w:sz w:val="24"/>
          <w:szCs w:val="24"/>
        </w:rPr>
        <w:t>, les enchères se sont déroulées sur les plates-formes d’enchères suivantes:</w:t>
      </w:r>
    </w:p>
    <w:p w14:paraId="38B7B9EE" w14:textId="1D8CD260" w:rsidR="002D27E2" w:rsidRPr="00DA11F1" w:rsidRDefault="002D27E2" w:rsidP="007B08FA">
      <w:pPr>
        <w:pStyle w:val="ListParagraph"/>
        <w:numPr>
          <w:ilvl w:val="0"/>
          <w:numId w:val="34"/>
        </w:numPr>
        <w:jc w:val="both"/>
        <w:rPr>
          <w:rFonts w:ascii="Times New Roman" w:hAnsi="Times New Roman"/>
          <w:noProof/>
          <w:sz w:val="24"/>
          <w:szCs w:val="24"/>
        </w:rPr>
      </w:pPr>
      <w:r>
        <w:rPr>
          <w:rFonts w:ascii="Times New Roman" w:hAnsi="Times New Roman"/>
          <w:noProof/>
          <w:sz w:val="24"/>
          <w:szCs w:val="24"/>
        </w:rPr>
        <w:t xml:space="preserve">European Energy Exchange AG (EEX), opérant comme plate-forme d’enchères commune pour </w:t>
      </w:r>
      <w:r w:rsidRPr="00F43FC8">
        <w:rPr>
          <w:rFonts w:ascii="Times New Roman" w:hAnsi="Times New Roman"/>
          <w:noProof/>
          <w:sz w:val="24"/>
          <w:szCs w:val="24"/>
        </w:rPr>
        <w:t>25</w:t>
      </w:r>
      <w:r>
        <w:rPr>
          <w:rFonts w:ascii="Times New Roman" w:hAnsi="Times New Roman"/>
          <w:noProof/>
          <w:sz w:val="24"/>
          <w:szCs w:val="24"/>
        </w:rPr>
        <w:t> États membres engagés dans une procédure conjointe de passation de marché, ainsi que pour la Pologne (qui a choisi de se retirer de ladite procédure, mais qui n’a pas encore désigné sa propre plate-forme d’enchères) et, depuis juin </w:t>
      </w:r>
      <w:r w:rsidRPr="00F43FC8">
        <w:rPr>
          <w:rFonts w:ascii="Times New Roman" w:hAnsi="Times New Roman"/>
          <w:noProof/>
          <w:sz w:val="24"/>
          <w:szCs w:val="24"/>
        </w:rPr>
        <w:t>2019</w:t>
      </w:r>
      <w:r>
        <w:rPr>
          <w:rFonts w:ascii="Times New Roman" w:hAnsi="Times New Roman"/>
          <w:noProof/>
          <w:sz w:val="24"/>
          <w:szCs w:val="24"/>
        </w:rPr>
        <w:t>, pour l’Islande, le Liechtenstein et la Norvège (après que l’accord EEE a été modifié pour permettre à ces pays d’être parties à l’accord sur une procédure conjointe de passation de marché pour la plate-forme d’enchères commune);</w:t>
      </w:r>
    </w:p>
    <w:p w14:paraId="7B64B494" w14:textId="3B1D3EC1" w:rsidR="002D27E2" w:rsidRPr="00DA11F1" w:rsidRDefault="002D27E2" w:rsidP="007B08FA">
      <w:pPr>
        <w:pStyle w:val="ListParagraph"/>
        <w:numPr>
          <w:ilvl w:val="0"/>
          <w:numId w:val="34"/>
        </w:numPr>
        <w:jc w:val="both"/>
        <w:rPr>
          <w:rFonts w:ascii="Times New Roman" w:hAnsi="Times New Roman"/>
          <w:noProof/>
          <w:sz w:val="24"/>
          <w:szCs w:val="24"/>
        </w:rPr>
      </w:pPr>
      <w:r>
        <w:rPr>
          <w:rFonts w:ascii="Times New Roman" w:hAnsi="Times New Roman"/>
          <w:noProof/>
          <w:sz w:val="24"/>
          <w:szCs w:val="24"/>
        </w:rPr>
        <w:t>EEX, opérant pour le compte de l’Allemagne en tant que plate-forme d’enchères «dérogatoire»;</w:t>
      </w:r>
    </w:p>
    <w:p w14:paraId="0D574BCA" w14:textId="3B4DAE76" w:rsidR="002D27E2" w:rsidRPr="00DA11F1" w:rsidRDefault="002D27E2" w:rsidP="007B08FA">
      <w:pPr>
        <w:pStyle w:val="ListParagraph"/>
        <w:numPr>
          <w:ilvl w:val="0"/>
          <w:numId w:val="34"/>
        </w:numPr>
        <w:jc w:val="both"/>
        <w:rPr>
          <w:rFonts w:ascii="Times New Roman" w:hAnsi="Times New Roman"/>
          <w:noProof/>
          <w:sz w:val="24"/>
          <w:szCs w:val="24"/>
        </w:rPr>
      </w:pPr>
      <w:r>
        <w:rPr>
          <w:rFonts w:ascii="Times New Roman" w:hAnsi="Times New Roman"/>
          <w:noProof/>
          <w:sz w:val="24"/>
          <w:szCs w:val="24"/>
        </w:rPr>
        <w:t>ICE Futures Europe («ICE«), qui opérait pour le compte du Royaume-Uni en tant que plate-forme d’enchères «dérogatoire» jusqu’à la fin </w:t>
      </w:r>
      <w:r w:rsidRPr="00F43FC8">
        <w:rPr>
          <w:rFonts w:ascii="Times New Roman" w:hAnsi="Times New Roman"/>
          <w:noProof/>
          <w:sz w:val="24"/>
          <w:szCs w:val="24"/>
        </w:rPr>
        <w:t>2020</w:t>
      </w:r>
      <w:r>
        <w:rPr>
          <w:rFonts w:ascii="Times New Roman" w:hAnsi="Times New Roman"/>
          <w:noProof/>
          <w:sz w:val="24"/>
          <w:szCs w:val="24"/>
        </w:rPr>
        <w:t>.</w:t>
      </w:r>
    </w:p>
    <w:p w14:paraId="0CFC448B" w14:textId="1F14BFE4" w:rsidR="008D20C3" w:rsidRPr="00DA11F1" w:rsidRDefault="008D20C3" w:rsidP="004144EE">
      <w:pPr>
        <w:jc w:val="both"/>
        <w:rPr>
          <w:rFonts w:ascii="Times New Roman" w:hAnsi="Times New Roman"/>
          <w:noProof/>
          <w:sz w:val="24"/>
          <w:szCs w:val="24"/>
        </w:rPr>
      </w:pPr>
      <w:r>
        <w:rPr>
          <w:rFonts w:ascii="Times New Roman" w:hAnsi="Times New Roman"/>
          <w:noProof/>
          <w:sz w:val="24"/>
          <w:szCs w:val="24"/>
        </w:rPr>
        <w:t>EEX a été à nouveau choisi comme plate-forme d’enchères commune à compter de </w:t>
      </w:r>
      <w:r w:rsidRPr="00F43FC8">
        <w:rPr>
          <w:rFonts w:ascii="Times New Roman" w:hAnsi="Times New Roman"/>
          <w:noProof/>
          <w:sz w:val="24"/>
          <w:szCs w:val="24"/>
        </w:rPr>
        <w:t>2021</w:t>
      </w:r>
      <w:r>
        <w:rPr>
          <w:rFonts w:ascii="Times New Roman" w:hAnsi="Times New Roman"/>
          <w:noProof/>
          <w:sz w:val="24"/>
          <w:szCs w:val="24"/>
        </w:rPr>
        <w:t>, sans que de grands changements soient apportés à la participation aux enchères.</w:t>
      </w:r>
    </w:p>
    <w:p w14:paraId="13CCEB40" w14:textId="3DC4D94B" w:rsidR="002D27E2" w:rsidRPr="00DA11F1" w:rsidRDefault="00FE3846" w:rsidP="00087600">
      <w:pPr>
        <w:jc w:val="both"/>
        <w:rPr>
          <w:rFonts w:ascii="Times New Roman" w:hAnsi="Times New Roman"/>
          <w:noProof/>
          <w:sz w:val="24"/>
          <w:szCs w:val="24"/>
        </w:rPr>
      </w:pPr>
      <w:r>
        <w:rPr>
          <w:rFonts w:ascii="Times New Roman" w:hAnsi="Times New Roman"/>
          <w:noProof/>
          <w:sz w:val="24"/>
          <w:szCs w:val="24"/>
        </w:rPr>
        <w:t xml:space="preserve">Plus de </w:t>
      </w:r>
      <w:r w:rsidRPr="00F43FC8">
        <w:rPr>
          <w:rFonts w:ascii="Times New Roman" w:hAnsi="Times New Roman"/>
          <w:noProof/>
          <w:sz w:val="24"/>
          <w:szCs w:val="24"/>
        </w:rPr>
        <w:t>1</w:t>
      </w:r>
      <w:r>
        <w:rPr>
          <w:rFonts w:ascii="Times New Roman" w:hAnsi="Times New Roman"/>
          <w:noProof/>
          <w:sz w:val="24"/>
          <w:szCs w:val="24"/>
        </w:rPr>
        <w:t> </w:t>
      </w:r>
      <w:r w:rsidRPr="00F43FC8">
        <w:rPr>
          <w:rFonts w:ascii="Times New Roman" w:hAnsi="Times New Roman"/>
          <w:noProof/>
          <w:sz w:val="24"/>
          <w:szCs w:val="24"/>
        </w:rPr>
        <w:t>800</w:t>
      </w:r>
      <w:r>
        <w:rPr>
          <w:rFonts w:ascii="Times New Roman" w:hAnsi="Times New Roman"/>
          <w:noProof/>
          <w:sz w:val="24"/>
          <w:szCs w:val="24"/>
        </w:rPr>
        <w:t> enchères ont eu lieu pendant la phase </w:t>
      </w:r>
      <w:r w:rsidRPr="00F43FC8">
        <w:rPr>
          <w:rFonts w:ascii="Times New Roman" w:hAnsi="Times New Roman"/>
          <w:noProof/>
          <w:sz w:val="24"/>
          <w:szCs w:val="24"/>
        </w:rPr>
        <w:t>3</w:t>
      </w:r>
      <w:r>
        <w:rPr>
          <w:rFonts w:ascii="Times New Roman" w:hAnsi="Times New Roman"/>
          <w:noProof/>
          <w:sz w:val="24"/>
          <w:szCs w:val="24"/>
        </w:rPr>
        <w:t xml:space="preserve">, et, au </w:t>
      </w:r>
      <w:r w:rsidRPr="00F43FC8">
        <w:rPr>
          <w:rFonts w:ascii="Times New Roman" w:hAnsi="Times New Roman"/>
          <w:noProof/>
          <w:sz w:val="24"/>
          <w:szCs w:val="24"/>
        </w:rPr>
        <w:t>30</w:t>
      </w:r>
      <w:r>
        <w:rPr>
          <w:rFonts w:ascii="Times New Roman" w:hAnsi="Times New Roman"/>
          <w:noProof/>
          <w:sz w:val="24"/>
          <w:szCs w:val="24"/>
        </w:rPr>
        <w:t> juin </w:t>
      </w:r>
      <w:r w:rsidRPr="00F43FC8">
        <w:rPr>
          <w:rFonts w:ascii="Times New Roman" w:hAnsi="Times New Roman"/>
          <w:noProof/>
          <w:sz w:val="24"/>
          <w:szCs w:val="24"/>
        </w:rPr>
        <w:t>2021</w:t>
      </w:r>
      <w:r>
        <w:rPr>
          <w:rFonts w:ascii="Times New Roman" w:hAnsi="Times New Roman"/>
          <w:noProof/>
          <w:sz w:val="24"/>
          <w:szCs w:val="24"/>
        </w:rPr>
        <w:t>, ce chiffre dépassait largement</w:t>
      </w:r>
      <w:r w:rsidR="00087600">
        <w:rPr>
          <w:rFonts w:ascii="Times New Roman" w:hAnsi="Times New Roman"/>
          <w:noProof/>
          <w:sz w:val="24"/>
          <w:szCs w:val="24"/>
        </w:rPr>
        <w:t xml:space="preserve"> les </w:t>
      </w:r>
      <w:r w:rsidR="00087600" w:rsidRPr="00F43FC8">
        <w:rPr>
          <w:rFonts w:ascii="Times New Roman" w:hAnsi="Times New Roman"/>
          <w:noProof/>
          <w:sz w:val="24"/>
          <w:szCs w:val="24"/>
        </w:rPr>
        <w:t>1</w:t>
      </w:r>
      <w:r w:rsidR="00087600">
        <w:rPr>
          <w:rFonts w:ascii="Times New Roman" w:hAnsi="Times New Roman"/>
          <w:noProof/>
          <w:sz w:val="24"/>
          <w:szCs w:val="24"/>
        </w:rPr>
        <w:t> </w:t>
      </w:r>
      <w:r w:rsidR="00087600" w:rsidRPr="00F43FC8">
        <w:rPr>
          <w:rFonts w:ascii="Times New Roman" w:hAnsi="Times New Roman"/>
          <w:noProof/>
          <w:sz w:val="24"/>
          <w:szCs w:val="24"/>
        </w:rPr>
        <w:t>900</w:t>
      </w:r>
      <w:r w:rsidR="00087600">
        <w:rPr>
          <w:rFonts w:ascii="Times New Roman" w:hAnsi="Times New Roman"/>
          <w:noProof/>
          <w:sz w:val="24"/>
          <w:szCs w:val="24"/>
        </w:rPr>
        <w:t xml:space="preserve"> enchères. Le tableau </w:t>
      </w:r>
      <w:r w:rsidR="00087600" w:rsidRPr="00F43FC8">
        <w:rPr>
          <w:rFonts w:ascii="Times New Roman" w:hAnsi="Times New Roman"/>
          <w:noProof/>
          <w:sz w:val="24"/>
          <w:szCs w:val="24"/>
        </w:rPr>
        <w:t>3</w:t>
      </w:r>
      <w:r>
        <w:rPr>
          <w:rFonts w:ascii="Times New Roman" w:hAnsi="Times New Roman"/>
          <w:noProof/>
          <w:sz w:val="24"/>
          <w:szCs w:val="24"/>
        </w:rPr>
        <w:t xml:space="preserve"> donne un aperçu des volumes de quotas</w:t>
      </w:r>
      <w:r w:rsidR="002D27E2" w:rsidRPr="00DA11F1">
        <w:rPr>
          <w:rFonts w:ascii="Times New Roman" w:hAnsi="Times New Roman"/>
          <w:noProof/>
          <w:sz w:val="24"/>
          <w:szCs w:val="24"/>
          <w:vertAlign w:val="superscript"/>
          <w:lang w:val="en-IE"/>
        </w:rPr>
        <w:footnoteReference w:id="35"/>
      </w:r>
      <w:r>
        <w:rPr>
          <w:rFonts w:ascii="Times New Roman" w:hAnsi="Times New Roman"/>
          <w:noProof/>
          <w:sz w:val="24"/>
          <w:szCs w:val="24"/>
        </w:rPr>
        <w:t xml:space="preserve"> mis aux enchères par les plateformes EEX et ICE jusqu’au </w:t>
      </w:r>
      <w:r w:rsidRPr="00F43FC8">
        <w:rPr>
          <w:rFonts w:ascii="Times New Roman" w:hAnsi="Times New Roman"/>
          <w:noProof/>
          <w:sz w:val="24"/>
          <w:szCs w:val="24"/>
        </w:rPr>
        <w:t>30</w:t>
      </w:r>
      <w:r>
        <w:rPr>
          <w:rFonts w:ascii="Times New Roman" w:hAnsi="Times New Roman"/>
          <w:noProof/>
          <w:sz w:val="24"/>
          <w:szCs w:val="24"/>
        </w:rPr>
        <w:t> juin </w:t>
      </w:r>
      <w:r w:rsidRPr="00F43FC8">
        <w:rPr>
          <w:rFonts w:ascii="Times New Roman" w:hAnsi="Times New Roman"/>
          <w:noProof/>
          <w:sz w:val="24"/>
          <w:szCs w:val="24"/>
        </w:rPr>
        <w:t>2021</w:t>
      </w:r>
      <w:r>
        <w:rPr>
          <w:rFonts w:ascii="Times New Roman" w:hAnsi="Times New Roman"/>
          <w:noProof/>
          <w:sz w:val="24"/>
          <w:szCs w:val="24"/>
        </w:rPr>
        <w:t>, y compris les mises aux enchères anticipées</w:t>
      </w:r>
      <w:r w:rsidR="002D27E2" w:rsidRPr="00DA11F1">
        <w:rPr>
          <w:rFonts w:ascii="Times New Roman" w:hAnsi="Times New Roman"/>
          <w:noProof/>
          <w:sz w:val="24"/>
          <w:szCs w:val="24"/>
          <w:vertAlign w:val="superscript"/>
          <w:lang w:val="en-IE"/>
        </w:rPr>
        <w:footnoteReference w:id="36"/>
      </w:r>
      <w:r>
        <w:rPr>
          <w:rFonts w:ascii="Times New Roman" w:hAnsi="Times New Roman"/>
          <w:noProof/>
          <w:sz w:val="24"/>
          <w:szCs w:val="24"/>
        </w:rPr>
        <w:t xml:space="preserve"> de quotas généraux.</w:t>
      </w:r>
    </w:p>
    <w:p w14:paraId="4017CD8B" w14:textId="40AD702E" w:rsidR="00FE3846" w:rsidRPr="00DA11F1" w:rsidRDefault="00FE3846" w:rsidP="00FE3846">
      <w:pPr>
        <w:pStyle w:val="Caption"/>
        <w:keepNext/>
        <w:rPr>
          <w:rFonts w:ascii="Times New Roman" w:hAnsi="Times New Roman"/>
          <w:noProof/>
          <w:sz w:val="22"/>
        </w:rPr>
      </w:pPr>
      <w:bookmarkStart w:id="29" w:name="_Ref85022081"/>
      <w:r>
        <w:rPr>
          <w:rFonts w:ascii="Times New Roman" w:hAnsi="Times New Roman"/>
          <w:noProof/>
          <w:sz w:val="22"/>
        </w:rPr>
        <w:t>Tableau </w:t>
      </w:r>
      <w:r w:rsidRPr="00DA11F1">
        <w:rPr>
          <w:rFonts w:ascii="Times New Roman" w:hAnsi="Times New Roman"/>
          <w:noProof/>
          <w:sz w:val="22"/>
        </w:rPr>
        <w:fldChar w:fldCharType="begin"/>
      </w:r>
      <w:r w:rsidRPr="00DA11F1">
        <w:rPr>
          <w:rFonts w:ascii="Times New Roman" w:hAnsi="Times New Roman"/>
          <w:noProof/>
          <w:sz w:val="22"/>
        </w:rPr>
        <w:instrText xml:space="preserve"> SEQ Table \* ARABIC </w:instrText>
      </w:r>
      <w:r w:rsidRPr="00DA11F1">
        <w:rPr>
          <w:rFonts w:ascii="Times New Roman" w:hAnsi="Times New Roman"/>
          <w:noProof/>
          <w:sz w:val="22"/>
        </w:rPr>
        <w:fldChar w:fldCharType="separate"/>
      </w:r>
      <w:r w:rsidR="00676166" w:rsidRPr="00F43FC8">
        <w:rPr>
          <w:rFonts w:ascii="Times New Roman" w:hAnsi="Times New Roman"/>
          <w:noProof/>
          <w:sz w:val="22"/>
        </w:rPr>
        <w:t>3</w:t>
      </w:r>
      <w:r w:rsidRPr="00DA11F1">
        <w:rPr>
          <w:rFonts w:ascii="Times New Roman" w:hAnsi="Times New Roman"/>
          <w:noProof/>
          <w:sz w:val="22"/>
        </w:rPr>
        <w:fldChar w:fldCharType="end"/>
      </w:r>
      <w:bookmarkEnd w:id="29"/>
      <w:r>
        <w:rPr>
          <w:rFonts w:ascii="Times New Roman" w:hAnsi="Times New Roman"/>
          <w:noProof/>
          <w:sz w:val="22"/>
        </w:rPr>
        <w:t>. Volumes totaux de quotas de la phase </w:t>
      </w:r>
      <w:r w:rsidRPr="00F43FC8">
        <w:rPr>
          <w:rFonts w:ascii="Times New Roman" w:hAnsi="Times New Roman"/>
          <w:noProof/>
          <w:sz w:val="22"/>
        </w:rPr>
        <w:t>3</w:t>
      </w:r>
      <w:r>
        <w:rPr>
          <w:rFonts w:ascii="Times New Roman" w:hAnsi="Times New Roman"/>
          <w:noProof/>
          <w:sz w:val="22"/>
        </w:rPr>
        <w:t xml:space="preserve"> mis aux enchères entre janvier </w:t>
      </w:r>
      <w:r w:rsidRPr="00F43FC8">
        <w:rPr>
          <w:rFonts w:ascii="Times New Roman" w:hAnsi="Times New Roman"/>
          <w:noProof/>
          <w:sz w:val="22"/>
        </w:rPr>
        <w:t>2012</w:t>
      </w:r>
      <w:r>
        <w:rPr>
          <w:rFonts w:ascii="Times New Roman" w:hAnsi="Times New Roman"/>
          <w:noProof/>
          <w:sz w:val="22"/>
        </w:rPr>
        <w:t xml:space="preserve"> et le </w:t>
      </w:r>
      <w:r w:rsidRPr="00F43FC8">
        <w:rPr>
          <w:rFonts w:ascii="Times New Roman" w:hAnsi="Times New Roman"/>
          <w:noProof/>
          <w:sz w:val="22"/>
        </w:rPr>
        <w:t>30</w:t>
      </w:r>
      <w:r>
        <w:rPr>
          <w:rFonts w:ascii="Times New Roman" w:hAnsi="Times New Roman"/>
          <w:noProof/>
          <w:sz w:val="22"/>
        </w:rPr>
        <w:t> juin </w:t>
      </w:r>
      <w:r w:rsidRPr="00F43FC8">
        <w:rPr>
          <w:rFonts w:ascii="Times New Roman" w:hAnsi="Times New Roman"/>
          <w:noProof/>
          <w:sz w:val="22"/>
        </w:rPr>
        <w:t>2021</w:t>
      </w:r>
      <w:r w:rsidRPr="00DA11F1">
        <w:rPr>
          <w:rStyle w:val="FootnoteReference"/>
          <w:rFonts w:ascii="Times New Roman" w:hAnsi="Times New Roman"/>
          <w:b w:val="0"/>
          <w:bCs w:val="0"/>
          <w:noProof/>
        </w:rPr>
        <w:footnoteReference w:id="37"/>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003"/>
        <w:gridCol w:w="3152"/>
        <w:gridCol w:w="3087"/>
      </w:tblGrid>
      <w:tr w:rsidR="00131369" w:rsidRPr="00DA11F1" w14:paraId="6FE937B2"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4FC96CFE" w14:textId="77777777" w:rsidR="00131369" w:rsidRPr="00DA11F1" w:rsidRDefault="009B1524" w:rsidP="004144EE">
            <w:pPr>
              <w:spacing w:after="0"/>
              <w:jc w:val="center"/>
              <w:rPr>
                <w:rFonts w:ascii="Times New Roman" w:eastAsia="Times New Roman" w:hAnsi="Times New Roman"/>
                <w:b/>
                <w:noProof/>
                <w:sz w:val="20"/>
                <w:szCs w:val="20"/>
              </w:rPr>
            </w:pPr>
            <w:r>
              <w:rPr>
                <w:rFonts w:ascii="Times New Roman" w:hAnsi="Times New Roman"/>
                <w:b/>
                <w:noProof/>
                <w:sz w:val="20"/>
                <w:szCs w:val="20"/>
              </w:rPr>
              <w:t>Année</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7D671BD8" w14:textId="77777777" w:rsidR="00131369" w:rsidRPr="00DA11F1" w:rsidRDefault="009B1524" w:rsidP="004144EE">
            <w:pPr>
              <w:spacing w:after="0"/>
              <w:jc w:val="center"/>
              <w:rPr>
                <w:rFonts w:ascii="Times New Roman" w:eastAsia="Times New Roman" w:hAnsi="Times New Roman"/>
                <w:b/>
                <w:noProof/>
                <w:sz w:val="20"/>
                <w:szCs w:val="20"/>
              </w:rPr>
            </w:pPr>
            <w:r>
              <w:rPr>
                <w:rFonts w:ascii="Times New Roman" w:hAnsi="Times New Roman"/>
                <w:b/>
                <w:noProof/>
                <w:sz w:val="20"/>
                <w:szCs w:val="20"/>
              </w:rPr>
              <w:t xml:space="preserve">Quotas généraux </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77A429EC" w14:textId="77777777" w:rsidR="00131369" w:rsidRPr="00DA11F1" w:rsidRDefault="009B1524" w:rsidP="004144EE">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 xml:space="preserve">Quotas aviation </w:t>
            </w:r>
          </w:p>
        </w:tc>
      </w:tr>
      <w:tr w:rsidR="00131369" w:rsidRPr="00DA11F1" w14:paraId="3D070D61"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610A9655" w14:textId="77777777" w:rsidR="00131369" w:rsidRPr="00DA11F1" w:rsidRDefault="009B1524" w:rsidP="004144EE">
            <w:pPr>
              <w:spacing w:after="0"/>
              <w:jc w:val="center"/>
              <w:rPr>
                <w:rFonts w:ascii="Times New Roman" w:eastAsia="Times New Roman" w:hAnsi="Times New Roman"/>
                <w:noProof/>
                <w:sz w:val="20"/>
                <w:szCs w:val="20"/>
              </w:rPr>
            </w:pPr>
            <w:r w:rsidRPr="00F43FC8">
              <w:rPr>
                <w:rFonts w:ascii="Times New Roman" w:hAnsi="Times New Roman"/>
                <w:noProof/>
                <w:sz w:val="20"/>
                <w:szCs w:val="20"/>
              </w:rPr>
              <w:t>2012</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6E361FA8" w14:textId="77777777" w:rsidR="00131369" w:rsidRPr="00DA11F1" w:rsidRDefault="009B1524" w:rsidP="004144EE">
            <w:pPr>
              <w:spacing w:after="0"/>
              <w:jc w:val="center"/>
              <w:rPr>
                <w:rFonts w:ascii="Times New Roman" w:eastAsia="Times New Roman" w:hAnsi="Times New Roman"/>
                <w:noProof/>
                <w:sz w:val="20"/>
                <w:szCs w:val="20"/>
              </w:rPr>
            </w:pPr>
            <w:r w:rsidRPr="00F43FC8">
              <w:rPr>
                <w:rFonts w:ascii="Times New Roman" w:hAnsi="Times New Roman"/>
                <w:noProof/>
                <w:sz w:val="20"/>
                <w:szCs w:val="20"/>
              </w:rPr>
              <w:t>89</w:t>
            </w:r>
            <w:r>
              <w:rPr>
                <w:rFonts w:ascii="Times New Roman" w:hAnsi="Times New Roman"/>
                <w:noProof/>
                <w:sz w:val="20"/>
                <w:szCs w:val="20"/>
              </w:rPr>
              <w:t> </w:t>
            </w:r>
            <w:r w:rsidRPr="00F43FC8">
              <w:rPr>
                <w:rFonts w:ascii="Times New Roman" w:hAnsi="Times New Roman"/>
                <w:noProof/>
                <w:sz w:val="20"/>
                <w:szCs w:val="20"/>
              </w:rPr>
              <w:t>701</w:t>
            </w:r>
            <w:r>
              <w:rPr>
                <w:rFonts w:ascii="Times New Roman" w:hAnsi="Times New Roman"/>
                <w:noProof/>
                <w:sz w:val="20"/>
                <w:szCs w:val="20"/>
              </w:rPr>
              <w:t> </w:t>
            </w:r>
            <w:r w:rsidRPr="00F43FC8">
              <w:rPr>
                <w:rFonts w:ascii="Times New Roman" w:hAnsi="Times New Roman"/>
                <w:noProof/>
                <w:sz w:val="20"/>
                <w:szCs w:val="20"/>
              </w:rPr>
              <w:t>500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2D6955A3" w14:textId="77777777" w:rsidR="00131369" w:rsidRPr="00DA11F1" w:rsidRDefault="009B1524" w:rsidP="004144EE">
            <w:pPr>
              <w:spacing w:after="0"/>
              <w:jc w:val="center"/>
              <w:rPr>
                <w:rFonts w:ascii="Times New Roman" w:hAnsi="Times New Roman"/>
                <w:bCs/>
                <w:noProof/>
                <w:color w:val="000000"/>
                <w:sz w:val="20"/>
                <w:szCs w:val="20"/>
              </w:rPr>
            </w:pPr>
            <w:r w:rsidRPr="00F43FC8">
              <w:rPr>
                <w:rFonts w:ascii="Times New Roman" w:hAnsi="Times New Roman"/>
                <w:bCs/>
                <w:noProof/>
                <w:color w:val="000000"/>
                <w:sz w:val="20"/>
                <w:szCs w:val="20"/>
              </w:rPr>
              <w:t>2</w:t>
            </w:r>
            <w:r>
              <w:rPr>
                <w:rFonts w:ascii="Times New Roman" w:hAnsi="Times New Roman"/>
                <w:bCs/>
                <w:noProof/>
                <w:color w:val="000000"/>
                <w:sz w:val="20"/>
                <w:szCs w:val="20"/>
              </w:rPr>
              <w:t> </w:t>
            </w:r>
            <w:r w:rsidRPr="00F43FC8">
              <w:rPr>
                <w:rFonts w:ascii="Times New Roman" w:hAnsi="Times New Roman"/>
                <w:bCs/>
                <w:noProof/>
                <w:color w:val="000000"/>
                <w:sz w:val="20"/>
                <w:szCs w:val="20"/>
              </w:rPr>
              <w:t>500</w:t>
            </w:r>
            <w:r>
              <w:rPr>
                <w:rFonts w:ascii="Times New Roman" w:hAnsi="Times New Roman"/>
                <w:bCs/>
                <w:noProof/>
                <w:color w:val="000000"/>
                <w:sz w:val="20"/>
                <w:szCs w:val="20"/>
              </w:rPr>
              <w:t> </w:t>
            </w:r>
            <w:r w:rsidRPr="00F43FC8">
              <w:rPr>
                <w:rFonts w:ascii="Times New Roman" w:hAnsi="Times New Roman"/>
                <w:bCs/>
                <w:noProof/>
                <w:color w:val="000000"/>
                <w:sz w:val="20"/>
                <w:szCs w:val="20"/>
              </w:rPr>
              <w:t>000</w:t>
            </w:r>
          </w:p>
        </w:tc>
      </w:tr>
      <w:tr w:rsidR="00131369" w:rsidRPr="00DA11F1" w14:paraId="755E24C3"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529920CC" w14:textId="77777777" w:rsidR="00131369" w:rsidRPr="00DA11F1" w:rsidRDefault="009B1524" w:rsidP="004144EE">
            <w:pPr>
              <w:spacing w:after="0"/>
              <w:jc w:val="center"/>
              <w:rPr>
                <w:rFonts w:ascii="Times New Roman" w:eastAsia="Times New Roman" w:hAnsi="Times New Roman"/>
                <w:noProof/>
                <w:sz w:val="20"/>
                <w:szCs w:val="20"/>
              </w:rPr>
            </w:pPr>
            <w:r w:rsidRPr="00F43FC8">
              <w:rPr>
                <w:rFonts w:ascii="Times New Roman" w:hAnsi="Times New Roman"/>
                <w:noProof/>
                <w:sz w:val="20"/>
                <w:szCs w:val="20"/>
              </w:rPr>
              <w:t>2013</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578C14CA" w14:textId="77777777" w:rsidR="00131369" w:rsidRPr="00DA11F1" w:rsidRDefault="009B1524" w:rsidP="004144EE">
            <w:pPr>
              <w:spacing w:after="0"/>
              <w:jc w:val="center"/>
              <w:rPr>
                <w:rFonts w:ascii="Times New Roman" w:eastAsia="Times New Roman" w:hAnsi="Times New Roman"/>
                <w:noProof/>
                <w:sz w:val="20"/>
                <w:szCs w:val="20"/>
              </w:rPr>
            </w:pPr>
            <w:r w:rsidRPr="00F43FC8">
              <w:rPr>
                <w:rFonts w:ascii="Times New Roman" w:hAnsi="Times New Roman"/>
                <w:noProof/>
                <w:sz w:val="20"/>
                <w:szCs w:val="20"/>
              </w:rPr>
              <w:t>808</w:t>
            </w:r>
            <w:r>
              <w:rPr>
                <w:rFonts w:ascii="Times New Roman" w:hAnsi="Times New Roman"/>
                <w:noProof/>
                <w:sz w:val="20"/>
                <w:szCs w:val="20"/>
              </w:rPr>
              <w:t> </w:t>
            </w:r>
            <w:r w:rsidRPr="00F43FC8">
              <w:rPr>
                <w:rFonts w:ascii="Times New Roman" w:hAnsi="Times New Roman"/>
                <w:noProof/>
                <w:sz w:val="20"/>
                <w:szCs w:val="20"/>
              </w:rPr>
              <w:t>146</w:t>
            </w:r>
            <w:r>
              <w:rPr>
                <w:rFonts w:ascii="Times New Roman" w:hAnsi="Times New Roman"/>
                <w:noProof/>
                <w:sz w:val="20"/>
                <w:szCs w:val="20"/>
              </w:rPr>
              <w:t> </w:t>
            </w:r>
            <w:r w:rsidRPr="00F43FC8">
              <w:rPr>
                <w:rFonts w:ascii="Times New Roman" w:hAnsi="Times New Roman"/>
                <w:noProof/>
                <w:sz w:val="20"/>
                <w:szCs w:val="20"/>
              </w:rPr>
              <w:t>500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34066BB1" w14:textId="77777777" w:rsidR="00131369" w:rsidRPr="00DA11F1" w:rsidRDefault="009B1524" w:rsidP="004144EE">
            <w:pPr>
              <w:spacing w:after="0"/>
              <w:jc w:val="center"/>
              <w:rPr>
                <w:rFonts w:ascii="Times New Roman" w:hAnsi="Times New Roman"/>
                <w:bCs/>
                <w:noProof/>
                <w:color w:val="000000"/>
                <w:sz w:val="20"/>
                <w:szCs w:val="20"/>
              </w:rPr>
            </w:pPr>
            <w:r w:rsidRPr="00F43FC8">
              <w:rPr>
                <w:rFonts w:ascii="Times New Roman" w:hAnsi="Times New Roman"/>
                <w:bCs/>
                <w:noProof/>
                <w:color w:val="000000"/>
                <w:sz w:val="20"/>
                <w:szCs w:val="20"/>
              </w:rPr>
              <w:t>0</w:t>
            </w:r>
            <w:r>
              <w:rPr>
                <w:rFonts w:ascii="Times New Roman" w:hAnsi="Times New Roman"/>
                <w:bCs/>
                <w:noProof/>
                <w:color w:val="000000"/>
                <w:sz w:val="20"/>
                <w:szCs w:val="20"/>
              </w:rPr>
              <w:t xml:space="preserve"> </w:t>
            </w:r>
          </w:p>
        </w:tc>
      </w:tr>
      <w:tr w:rsidR="00131369" w:rsidRPr="00DA11F1" w14:paraId="739208FB"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37B54746" w14:textId="77777777" w:rsidR="00131369" w:rsidRPr="00DA11F1" w:rsidRDefault="009B1524" w:rsidP="004144EE">
            <w:pPr>
              <w:spacing w:after="0"/>
              <w:jc w:val="center"/>
              <w:rPr>
                <w:rFonts w:ascii="Times New Roman" w:eastAsia="Times New Roman" w:hAnsi="Times New Roman"/>
                <w:noProof/>
                <w:sz w:val="20"/>
                <w:szCs w:val="20"/>
              </w:rPr>
            </w:pPr>
            <w:r w:rsidRPr="00F43FC8">
              <w:rPr>
                <w:rFonts w:ascii="Times New Roman" w:hAnsi="Times New Roman"/>
                <w:noProof/>
                <w:sz w:val="20"/>
                <w:szCs w:val="20"/>
              </w:rPr>
              <w:t>2014</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407C1AC7" w14:textId="77777777" w:rsidR="00131369" w:rsidRPr="00DA11F1" w:rsidRDefault="009B1524" w:rsidP="004144EE">
            <w:pPr>
              <w:spacing w:after="0"/>
              <w:jc w:val="center"/>
              <w:rPr>
                <w:rFonts w:ascii="Times New Roman" w:eastAsia="Times New Roman" w:hAnsi="Times New Roman"/>
                <w:noProof/>
                <w:sz w:val="20"/>
                <w:szCs w:val="20"/>
              </w:rPr>
            </w:pPr>
            <w:r w:rsidRPr="00F43FC8">
              <w:rPr>
                <w:rFonts w:ascii="Times New Roman" w:hAnsi="Times New Roman"/>
                <w:noProof/>
                <w:sz w:val="20"/>
                <w:szCs w:val="20"/>
              </w:rPr>
              <w:t>528</w:t>
            </w:r>
            <w:r>
              <w:rPr>
                <w:rFonts w:ascii="Times New Roman" w:hAnsi="Times New Roman"/>
                <w:noProof/>
                <w:sz w:val="20"/>
                <w:szCs w:val="20"/>
              </w:rPr>
              <w:t> </w:t>
            </w:r>
            <w:r w:rsidRPr="00F43FC8">
              <w:rPr>
                <w:rFonts w:ascii="Times New Roman" w:hAnsi="Times New Roman"/>
                <w:noProof/>
                <w:sz w:val="20"/>
                <w:szCs w:val="20"/>
              </w:rPr>
              <w:t>399</w:t>
            </w:r>
            <w:r>
              <w:rPr>
                <w:rFonts w:ascii="Times New Roman" w:hAnsi="Times New Roman"/>
                <w:noProof/>
                <w:sz w:val="20"/>
                <w:szCs w:val="20"/>
              </w:rPr>
              <w:t> </w:t>
            </w:r>
            <w:r w:rsidRPr="00F43FC8">
              <w:rPr>
                <w:rFonts w:ascii="Times New Roman" w:hAnsi="Times New Roman"/>
                <w:noProof/>
                <w:sz w:val="20"/>
                <w:szCs w:val="20"/>
              </w:rPr>
              <w:t>500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741C0FAB" w14:textId="77777777" w:rsidR="00131369" w:rsidRPr="00DA11F1" w:rsidRDefault="009B1524" w:rsidP="004144EE">
            <w:pPr>
              <w:spacing w:after="0"/>
              <w:jc w:val="center"/>
              <w:rPr>
                <w:rFonts w:ascii="Times New Roman" w:hAnsi="Times New Roman"/>
                <w:bCs/>
                <w:noProof/>
                <w:color w:val="000000"/>
                <w:sz w:val="20"/>
                <w:szCs w:val="20"/>
              </w:rPr>
            </w:pPr>
            <w:r w:rsidRPr="00F43FC8">
              <w:rPr>
                <w:rFonts w:ascii="Times New Roman" w:hAnsi="Times New Roman"/>
                <w:bCs/>
                <w:noProof/>
                <w:color w:val="000000"/>
                <w:sz w:val="20"/>
                <w:szCs w:val="20"/>
              </w:rPr>
              <w:t>9</w:t>
            </w:r>
            <w:r>
              <w:rPr>
                <w:rFonts w:ascii="Times New Roman" w:hAnsi="Times New Roman"/>
                <w:bCs/>
                <w:noProof/>
                <w:color w:val="000000"/>
                <w:sz w:val="20"/>
                <w:szCs w:val="20"/>
              </w:rPr>
              <w:t> </w:t>
            </w:r>
            <w:r w:rsidRPr="00F43FC8">
              <w:rPr>
                <w:rFonts w:ascii="Times New Roman" w:hAnsi="Times New Roman"/>
                <w:bCs/>
                <w:noProof/>
                <w:color w:val="000000"/>
                <w:sz w:val="20"/>
                <w:szCs w:val="20"/>
              </w:rPr>
              <w:t>278</w:t>
            </w:r>
            <w:r>
              <w:rPr>
                <w:rFonts w:ascii="Times New Roman" w:hAnsi="Times New Roman"/>
                <w:bCs/>
                <w:noProof/>
                <w:color w:val="000000"/>
                <w:sz w:val="20"/>
                <w:szCs w:val="20"/>
              </w:rPr>
              <w:t> </w:t>
            </w:r>
            <w:r w:rsidRPr="00F43FC8">
              <w:rPr>
                <w:rFonts w:ascii="Times New Roman" w:hAnsi="Times New Roman"/>
                <w:bCs/>
                <w:noProof/>
                <w:color w:val="000000"/>
                <w:sz w:val="20"/>
                <w:szCs w:val="20"/>
              </w:rPr>
              <w:t>000</w:t>
            </w:r>
          </w:p>
        </w:tc>
      </w:tr>
      <w:tr w:rsidR="00131369" w:rsidRPr="00DA11F1" w14:paraId="7B1B1BA1"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446F7ABF" w14:textId="77777777" w:rsidR="00131369" w:rsidRPr="00DA11F1" w:rsidRDefault="009B1524" w:rsidP="004144EE">
            <w:pPr>
              <w:spacing w:after="0"/>
              <w:jc w:val="center"/>
              <w:rPr>
                <w:rFonts w:ascii="Times New Roman" w:eastAsia="Times New Roman" w:hAnsi="Times New Roman"/>
                <w:noProof/>
                <w:sz w:val="20"/>
                <w:szCs w:val="20"/>
              </w:rPr>
            </w:pPr>
            <w:r w:rsidRPr="00F43FC8">
              <w:rPr>
                <w:rFonts w:ascii="Times New Roman" w:hAnsi="Times New Roman"/>
                <w:noProof/>
                <w:sz w:val="20"/>
                <w:szCs w:val="20"/>
              </w:rPr>
              <w:t>2015</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03C4CB14" w14:textId="77777777" w:rsidR="00131369" w:rsidRPr="00DA11F1" w:rsidRDefault="009B1524" w:rsidP="004144EE">
            <w:pPr>
              <w:spacing w:after="0"/>
              <w:jc w:val="center"/>
              <w:rPr>
                <w:rFonts w:ascii="Times New Roman" w:eastAsia="Times New Roman" w:hAnsi="Times New Roman"/>
                <w:noProof/>
                <w:sz w:val="20"/>
                <w:szCs w:val="20"/>
              </w:rPr>
            </w:pPr>
            <w:r w:rsidRPr="00F43FC8">
              <w:rPr>
                <w:rFonts w:ascii="Times New Roman" w:hAnsi="Times New Roman"/>
                <w:noProof/>
                <w:sz w:val="20"/>
                <w:szCs w:val="20"/>
              </w:rPr>
              <w:t>632</w:t>
            </w:r>
            <w:r>
              <w:rPr>
                <w:rFonts w:ascii="Times New Roman" w:hAnsi="Times New Roman"/>
                <w:noProof/>
                <w:sz w:val="20"/>
                <w:szCs w:val="20"/>
              </w:rPr>
              <w:t> </w:t>
            </w:r>
            <w:r w:rsidRPr="00F43FC8">
              <w:rPr>
                <w:rFonts w:ascii="Times New Roman" w:hAnsi="Times New Roman"/>
                <w:noProof/>
                <w:sz w:val="20"/>
                <w:szCs w:val="20"/>
              </w:rPr>
              <w:t>725</w:t>
            </w:r>
            <w:r>
              <w:rPr>
                <w:rFonts w:ascii="Times New Roman" w:hAnsi="Times New Roman"/>
                <w:noProof/>
                <w:sz w:val="20"/>
                <w:szCs w:val="20"/>
              </w:rPr>
              <w:t> </w:t>
            </w:r>
            <w:r w:rsidRPr="00F43FC8">
              <w:rPr>
                <w:rFonts w:ascii="Times New Roman" w:hAnsi="Times New Roman"/>
                <w:noProof/>
                <w:sz w:val="20"/>
                <w:szCs w:val="20"/>
              </w:rPr>
              <w:t>500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2FAF8201" w14:textId="77777777" w:rsidR="00131369" w:rsidRPr="00DA11F1" w:rsidRDefault="009B1524" w:rsidP="004144EE">
            <w:pPr>
              <w:spacing w:after="0"/>
              <w:jc w:val="center"/>
              <w:rPr>
                <w:rFonts w:ascii="Times New Roman" w:hAnsi="Times New Roman"/>
                <w:bCs/>
                <w:noProof/>
                <w:color w:val="000000"/>
                <w:sz w:val="20"/>
                <w:szCs w:val="20"/>
              </w:rPr>
            </w:pPr>
            <w:r w:rsidRPr="00F43FC8">
              <w:rPr>
                <w:rFonts w:ascii="Times New Roman" w:hAnsi="Times New Roman"/>
                <w:bCs/>
                <w:noProof/>
                <w:color w:val="000000"/>
                <w:sz w:val="20"/>
                <w:szCs w:val="20"/>
              </w:rPr>
              <w:t>16</w:t>
            </w:r>
            <w:r>
              <w:rPr>
                <w:rFonts w:ascii="Times New Roman" w:hAnsi="Times New Roman"/>
                <w:bCs/>
                <w:noProof/>
                <w:color w:val="000000"/>
                <w:sz w:val="20"/>
                <w:szCs w:val="20"/>
              </w:rPr>
              <w:t> </w:t>
            </w:r>
            <w:r w:rsidRPr="00F43FC8">
              <w:rPr>
                <w:rFonts w:ascii="Times New Roman" w:hAnsi="Times New Roman"/>
                <w:bCs/>
                <w:noProof/>
                <w:color w:val="000000"/>
                <w:sz w:val="20"/>
                <w:szCs w:val="20"/>
              </w:rPr>
              <w:t>390</w:t>
            </w:r>
            <w:r>
              <w:rPr>
                <w:rFonts w:ascii="Times New Roman" w:hAnsi="Times New Roman"/>
                <w:bCs/>
                <w:noProof/>
                <w:color w:val="000000"/>
                <w:sz w:val="20"/>
                <w:szCs w:val="20"/>
              </w:rPr>
              <w:t> </w:t>
            </w:r>
            <w:r w:rsidRPr="00F43FC8">
              <w:rPr>
                <w:rFonts w:ascii="Times New Roman" w:hAnsi="Times New Roman"/>
                <w:bCs/>
                <w:noProof/>
                <w:color w:val="000000"/>
                <w:sz w:val="20"/>
                <w:szCs w:val="20"/>
              </w:rPr>
              <w:t>500</w:t>
            </w:r>
          </w:p>
        </w:tc>
      </w:tr>
      <w:tr w:rsidR="00131369" w:rsidRPr="00DA11F1" w14:paraId="22AF5462"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59FFE354" w14:textId="77777777" w:rsidR="00131369" w:rsidRPr="00DA11F1" w:rsidRDefault="009B1524" w:rsidP="004144EE">
            <w:pPr>
              <w:spacing w:after="0"/>
              <w:jc w:val="center"/>
              <w:rPr>
                <w:rFonts w:ascii="Times New Roman" w:eastAsia="Times New Roman" w:hAnsi="Times New Roman"/>
                <w:noProof/>
                <w:sz w:val="20"/>
                <w:szCs w:val="20"/>
              </w:rPr>
            </w:pPr>
            <w:r w:rsidRPr="00F43FC8">
              <w:rPr>
                <w:rFonts w:ascii="Times New Roman" w:hAnsi="Times New Roman"/>
                <w:noProof/>
                <w:sz w:val="20"/>
                <w:szCs w:val="20"/>
              </w:rPr>
              <w:t>2016</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48C0E076" w14:textId="77777777" w:rsidR="00131369" w:rsidRPr="00DA11F1" w:rsidRDefault="009B1524" w:rsidP="004144EE">
            <w:pPr>
              <w:spacing w:after="0"/>
              <w:jc w:val="center"/>
              <w:rPr>
                <w:rFonts w:ascii="Times New Roman" w:eastAsia="Times New Roman" w:hAnsi="Times New Roman"/>
                <w:noProof/>
                <w:sz w:val="20"/>
                <w:szCs w:val="20"/>
              </w:rPr>
            </w:pPr>
            <w:r w:rsidRPr="00F43FC8">
              <w:rPr>
                <w:rFonts w:ascii="Times New Roman" w:hAnsi="Times New Roman"/>
                <w:noProof/>
                <w:sz w:val="20"/>
                <w:szCs w:val="20"/>
              </w:rPr>
              <w:t>715</w:t>
            </w:r>
            <w:r>
              <w:rPr>
                <w:rFonts w:ascii="Times New Roman" w:hAnsi="Times New Roman"/>
                <w:noProof/>
                <w:sz w:val="20"/>
                <w:szCs w:val="20"/>
              </w:rPr>
              <w:t> </w:t>
            </w:r>
            <w:r w:rsidRPr="00F43FC8">
              <w:rPr>
                <w:rFonts w:ascii="Times New Roman" w:hAnsi="Times New Roman"/>
                <w:noProof/>
                <w:sz w:val="20"/>
                <w:szCs w:val="20"/>
              </w:rPr>
              <w:t>289</w:t>
            </w:r>
            <w:r>
              <w:rPr>
                <w:rFonts w:ascii="Times New Roman" w:hAnsi="Times New Roman"/>
                <w:noProof/>
                <w:sz w:val="20"/>
                <w:szCs w:val="20"/>
              </w:rPr>
              <w:t> </w:t>
            </w:r>
            <w:r w:rsidRPr="00F43FC8">
              <w:rPr>
                <w:rFonts w:ascii="Times New Roman" w:hAnsi="Times New Roman"/>
                <w:noProof/>
                <w:sz w:val="20"/>
                <w:szCs w:val="20"/>
              </w:rPr>
              <w:t>500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2A6FEBA1" w14:textId="77777777" w:rsidR="00131369" w:rsidRPr="00DA11F1" w:rsidRDefault="009B1524" w:rsidP="004144EE">
            <w:pPr>
              <w:spacing w:after="0"/>
              <w:jc w:val="center"/>
              <w:rPr>
                <w:rFonts w:ascii="Times New Roman" w:hAnsi="Times New Roman"/>
                <w:bCs/>
                <w:noProof/>
                <w:color w:val="000000"/>
                <w:sz w:val="20"/>
                <w:szCs w:val="20"/>
              </w:rPr>
            </w:pPr>
            <w:r w:rsidRPr="00F43FC8">
              <w:rPr>
                <w:rFonts w:ascii="Times New Roman" w:hAnsi="Times New Roman"/>
                <w:bCs/>
                <w:noProof/>
                <w:color w:val="000000"/>
                <w:sz w:val="20"/>
                <w:szCs w:val="20"/>
              </w:rPr>
              <w:t>5</w:t>
            </w:r>
            <w:r>
              <w:rPr>
                <w:rFonts w:ascii="Times New Roman" w:hAnsi="Times New Roman"/>
                <w:bCs/>
                <w:noProof/>
                <w:color w:val="000000"/>
                <w:sz w:val="20"/>
                <w:szCs w:val="20"/>
              </w:rPr>
              <w:t> </w:t>
            </w:r>
            <w:r w:rsidRPr="00F43FC8">
              <w:rPr>
                <w:rFonts w:ascii="Times New Roman" w:hAnsi="Times New Roman"/>
                <w:bCs/>
                <w:noProof/>
                <w:color w:val="000000"/>
                <w:sz w:val="20"/>
                <w:szCs w:val="20"/>
              </w:rPr>
              <w:t>997</w:t>
            </w:r>
            <w:r>
              <w:rPr>
                <w:rFonts w:ascii="Times New Roman" w:hAnsi="Times New Roman"/>
                <w:bCs/>
                <w:noProof/>
                <w:color w:val="000000"/>
                <w:sz w:val="20"/>
                <w:szCs w:val="20"/>
              </w:rPr>
              <w:t> </w:t>
            </w:r>
            <w:r w:rsidRPr="00F43FC8">
              <w:rPr>
                <w:rFonts w:ascii="Times New Roman" w:hAnsi="Times New Roman"/>
                <w:bCs/>
                <w:noProof/>
                <w:color w:val="000000"/>
                <w:sz w:val="20"/>
                <w:szCs w:val="20"/>
              </w:rPr>
              <w:t>500</w:t>
            </w:r>
          </w:p>
        </w:tc>
      </w:tr>
      <w:tr w:rsidR="00131369" w:rsidRPr="00DA11F1" w14:paraId="7D7581EB"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3B4505B9" w14:textId="77777777" w:rsidR="00131369" w:rsidRPr="00DA11F1" w:rsidRDefault="009B1524" w:rsidP="004144EE">
            <w:pPr>
              <w:spacing w:after="0"/>
              <w:jc w:val="center"/>
              <w:rPr>
                <w:rFonts w:ascii="Times New Roman" w:eastAsia="Times New Roman" w:hAnsi="Times New Roman"/>
                <w:noProof/>
                <w:sz w:val="20"/>
                <w:szCs w:val="20"/>
              </w:rPr>
            </w:pPr>
            <w:r w:rsidRPr="00F43FC8">
              <w:rPr>
                <w:rFonts w:ascii="Times New Roman" w:hAnsi="Times New Roman"/>
                <w:noProof/>
                <w:sz w:val="20"/>
                <w:szCs w:val="20"/>
              </w:rPr>
              <w:t>2017</w:t>
            </w:r>
            <w:r>
              <w:rPr>
                <w:rFonts w:ascii="Times New Roman" w:hAnsi="Times New Roman"/>
                <w:noProof/>
                <w:sz w:val="20"/>
                <w:szCs w:val="20"/>
              </w:rPr>
              <w:t xml:space="preserve">  </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61F9670B" w14:textId="77777777" w:rsidR="00131369" w:rsidRPr="00DA11F1" w:rsidRDefault="009B1524" w:rsidP="004144EE">
            <w:pPr>
              <w:spacing w:after="0"/>
              <w:jc w:val="center"/>
              <w:rPr>
                <w:rFonts w:ascii="Times New Roman" w:eastAsia="Times New Roman" w:hAnsi="Times New Roman"/>
                <w:noProof/>
                <w:sz w:val="20"/>
                <w:szCs w:val="20"/>
              </w:rPr>
            </w:pPr>
            <w:r w:rsidRPr="00F43FC8">
              <w:rPr>
                <w:rFonts w:ascii="Times New Roman" w:hAnsi="Times New Roman"/>
                <w:noProof/>
                <w:sz w:val="20"/>
                <w:szCs w:val="20"/>
              </w:rPr>
              <w:t>951</w:t>
            </w:r>
            <w:r>
              <w:rPr>
                <w:rFonts w:ascii="Times New Roman" w:hAnsi="Times New Roman"/>
                <w:noProof/>
                <w:sz w:val="20"/>
                <w:szCs w:val="20"/>
              </w:rPr>
              <w:t> </w:t>
            </w:r>
            <w:r w:rsidRPr="00F43FC8">
              <w:rPr>
                <w:rFonts w:ascii="Times New Roman" w:hAnsi="Times New Roman"/>
                <w:noProof/>
                <w:sz w:val="20"/>
                <w:szCs w:val="20"/>
              </w:rPr>
              <w:t>195</w:t>
            </w:r>
            <w:r>
              <w:rPr>
                <w:rFonts w:ascii="Times New Roman" w:hAnsi="Times New Roman"/>
                <w:noProof/>
                <w:sz w:val="20"/>
                <w:szCs w:val="20"/>
              </w:rPr>
              <w:t> </w:t>
            </w:r>
            <w:r w:rsidRPr="00F43FC8">
              <w:rPr>
                <w:rFonts w:ascii="Times New Roman" w:hAnsi="Times New Roman"/>
                <w:noProof/>
                <w:sz w:val="20"/>
                <w:szCs w:val="20"/>
              </w:rPr>
              <w:t>500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37F2ECDC" w14:textId="77777777" w:rsidR="00131369" w:rsidRPr="00DA11F1" w:rsidRDefault="009B1524" w:rsidP="004144EE">
            <w:pPr>
              <w:spacing w:after="0"/>
              <w:jc w:val="center"/>
              <w:rPr>
                <w:rFonts w:ascii="Times New Roman" w:hAnsi="Times New Roman"/>
                <w:bCs/>
                <w:noProof/>
                <w:color w:val="000000"/>
                <w:sz w:val="20"/>
                <w:szCs w:val="20"/>
              </w:rPr>
            </w:pPr>
            <w:r w:rsidRPr="00F43FC8">
              <w:rPr>
                <w:rFonts w:ascii="Times New Roman" w:hAnsi="Times New Roman"/>
                <w:bCs/>
                <w:noProof/>
                <w:color w:val="000000"/>
                <w:sz w:val="20"/>
                <w:szCs w:val="20"/>
              </w:rPr>
              <w:t>4</w:t>
            </w:r>
            <w:r>
              <w:rPr>
                <w:rFonts w:ascii="Times New Roman" w:hAnsi="Times New Roman"/>
                <w:bCs/>
                <w:noProof/>
                <w:color w:val="000000"/>
                <w:sz w:val="20"/>
                <w:szCs w:val="20"/>
              </w:rPr>
              <w:t> </w:t>
            </w:r>
            <w:r w:rsidRPr="00F43FC8">
              <w:rPr>
                <w:rFonts w:ascii="Times New Roman" w:hAnsi="Times New Roman"/>
                <w:bCs/>
                <w:noProof/>
                <w:color w:val="000000"/>
                <w:sz w:val="20"/>
                <w:szCs w:val="20"/>
              </w:rPr>
              <w:t>730</w:t>
            </w:r>
            <w:r>
              <w:rPr>
                <w:rFonts w:ascii="Times New Roman" w:hAnsi="Times New Roman"/>
                <w:bCs/>
                <w:noProof/>
                <w:color w:val="000000"/>
                <w:sz w:val="20"/>
                <w:szCs w:val="20"/>
              </w:rPr>
              <w:t> </w:t>
            </w:r>
            <w:r w:rsidRPr="00F43FC8">
              <w:rPr>
                <w:rFonts w:ascii="Times New Roman" w:hAnsi="Times New Roman"/>
                <w:bCs/>
                <w:noProof/>
                <w:color w:val="000000"/>
                <w:sz w:val="20"/>
                <w:szCs w:val="20"/>
              </w:rPr>
              <w:t>500</w:t>
            </w:r>
          </w:p>
        </w:tc>
      </w:tr>
      <w:tr w:rsidR="00131369" w:rsidRPr="00DA11F1" w14:paraId="23F19399"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200617F3" w14:textId="77777777" w:rsidR="00131369" w:rsidRPr="00DA11F1" w:rsidRDefault="009B1524" w:rsidP="004144EE">
            <w:pPr>
              <w:spacing w:after="0"/>
              <w:jc w:val="center"/>
              <w:rPr>
                <w:rFonts w:ascii="Times New Roman" w:eastAsia="Times New Roman" w:hAnsi="Times New Roman"/>
                <w:noProof/>
                <w:sz w:val="20"/>
                <w:szCs w:val="20"/>
              </w:rPr>
            </w:pPr>
            <w:r w:rsidRPr="00F43FC8">
              <w:rPr>
                <w:rFonts w:ascii="Times New Roman" w:hAnsi="Times New Roman"/>
                <w:noProof/>
                <w:sz w:val="20"/>
                <w:szCs w:val="20"/>
              </w:rPr>
              <w:t>2018</w:t>
            </w:r>
            <w:r>
              <w:rPr>
                <w:rFonts w:ascii="Times New Roman" w:hAnsi="Times New Roman"/>
                <w:noProof/>
                <w:sz w:val="20"/>
                <w:szCs w:val="20"/>
              </w:rPr>
              <w:t xml:space="preserve"> </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24D17742" w14:textId="77777777" w:rsidR="00131369" w:rsidRPr="00DA11F1" w:rsidRDefault="009B1524" w:rsidP="004144EE">
            <w:pPr>
              <w:spacing w:after="0"/>
              <w:jc w:val="center"/>
              <w:rPr>
                <w:rFonts w:ascii="Times New Roman" w:eastAsia="Times New Roman" w:hAnsi="Times New Roman"/>
                <w:noProof/>
                <w:sz w:val="20"/>
                <w:szCs w:val="20"/>
              </w:rPr>
            </w:pPr>
            <w:r w:rsidRPr="00F43FC8">
              <w:rPr>
                <w:rFonts w:ascii="Times New Roman" w:hAnsi="Times New Roman"/>
                <w:noProof/>
                <w:sz w:val="20"/>
                <w:szCs w:val="20"/>
              </w:rPr>
              <w:t>915</w:t>
            </w:r>
            <w:r>
              <w:rPr>
                <w:rFonts w:ascii="Times New Roman" w:hAnsi="Times New Roman"/>
                <w:noProof/>
                <w:sz w:val="20"/>
                <w:szCs w:val="20"/>
              </w:rPr>
              <w:t> </w:t>
            </w:r>
            <w:r w:rsidRPr="00F43FC8">
              <w:rPr>
                <w:rFonts w:ascii="Times New Roman" w:hAnsi="Times New Roman"/>
                <w:noProof/>
                <w:sz w:val="20"/>
                <w:szCs w:val="20"/>
              </w:rPr>
              <w:t>750</w:t>
            </w:r>
            <w:r>
              <w:rPr>
                <w:rFonts w:ascii="Times New Roman" w:hAnsi="Times New Roman"/>
                <w:noProof/>
                <w:sz w:val="20"/>
                <w:szCs w:val="20"/>
              </w:rPr>
              <w:t> </w:t>
            </w:r>
            <w:r w:rsidRPr="00F43FC8">
              <w:rPr>
                <w:rFonts w:ascii="Times New Roman" w:hAnsi="Times New Roman"/>
                <w:noProof/>
                <w:sz w:val="20"/>
                <w:szCs w:val="20"/>
              </w:rPr>
              <w:t>000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12D8D860" w14:textId="77777777" w:rsidR="00131369" w:rsidRPr="00DA11F1" w:rsidRDefault="009B1524" w:rsidP="004144EE">
            <w:pPr>
              <w:spacing w:after="0"/>
              <w:jc w:val="center"/>
              <w:rPr>
                <w:rFonts w:ascii="Times New Roman" w:hAnsi="Times New Roman"/>
                <w:bCs/>
                <w:noProof/>
                <w:color w:val="000000"/>
                <w:sz w:val="20"/>
                <w:szCs w:val="20"/>
              </w:rPr>
            </w:pPr>
            <w:r w:rsidRPr="00F43FC8">
              <w:rPr>
                <w:rFonts w:ascii="Times New Roman" w:hAnsi="Times New Roman"/>
                <w:noProof/>
                <w:sz w:val="20"/>
                <w:szCs w:val="20"/>
              </w:rPr>
              <w:t>5</w:t>
            </w:r>
            <w:r>
              <w:rPr>
                <w:rFonts w:ascii="Times New Roman" w:hAnsi="Times New Roman"/>
                <w:noProof/>
                <w:sz w:val="20"/>
                <w:szCs w:val="20"/>
              </w:rPr>
              <w:t> </w:t>
            </w:r>
            <w:r w:rsidRPr="00F43FC8">
              <w:rPr>
                <w:rFonts w:ascii="Times New Roman" w:hAnsi="Times New Roman"/>
                <w:noProof/>
                <w:sz w:val="20"/>
                <w:szCs w:val="20"/>
              </w:rPr>
              <w:t>601</w:t>
            </w:r>
            <w:r>
              <w:rPr>
                <w:rFonts w:ascii="Times New Roman" w:hAnsi="Times New Roman"/>
                <w:noProof/>
                <w:sz w:val="20"/>
                <w:szCs w:val="20"/>
              </w:rPr>
              <w:t> </w:t>
            </w:r>
            <w:r w:rsidRPr="00F43FC8">
              <w:rPr>
                <w:rFonts w:ascii="Times New Roman" w:hAnsi="Times New Roman"/>
                <w:noProof/>
                <w:sz w:val="20"/>
                <w:szCs w:val="20"/>
              </w:rPr>
              <w:t>500</w:t>
            </w:r>
          </w:p>
        </w:tc>
      </w:tr>
      <w:tr w:rsidR="00131369" w:rsidRPr="00DA11F1" w14:paraId="610AA001"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05B81B51" w14:textId="77777777" w:rsidR="00131369" w:rsidRPr="00DA11F1" w:rsidRDefault="009B1524" w:rsidP="004144EE">
            <w:pPr>
              <w:spacing w:after="0"/>
              <w:jc w:val="center"/>
              <w:rPr>
                <w:rFonts w:ascii="Times New Roman" w:eastAsia="Times New Roman" w:hAnsi="Times New Roman"/>
                <w:noProof/>
                <w:sz w:val="20"/>
                <w:szCs w:val="20"/>
              </w:rPr>
            </w:pPr>
            <w:r w:rsidRPr="00F43FC8">
              <w:rPr>
                <w:rFonts w:ascii="Times New Roman" w:hAnsi="Times New Roman"/>
                <w:noProof/>
                <w:sz w:val="20"/>
                <w:szCs w:val="20"/>
              </w:rPr>
              <w:t>2019</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02FCB7E3" w14:textId="77777777" w:rsidR="00131369" w:rsidRPr="00DA11F1" w:rsidRDefault="009B1524" w:rsidP="004144EE">
            <w:pPr>
              <w:spacing w:after="0"/>
              <w:jc w:val="center"/>
              <w:rPr>
                <w:rFonts w:ascii="Times New Roman" w:eastAsia="Times New Roman" w:hAnsi="Times New Roman"/>
                <w:noProof/>
                <w:sz w:val="20"/>
                <w:szCs w:val="20"/>
              </w:rPr>
            </w:pPr>
            <w:r w:rsidRPr="00F43FC8">
              <w:rPr>
                <w:rFonts w:ascii="Times New Roman" w:hAnsi="Times New Roman"/>
                <w:noProof/>
                <w:sz w:val="20"/>
                <w:szCs w:val="20"/>
              </w:rPr>
              <w:t>588</w:t>
            </w:r>
            <w:r>
              <w:rPr>
                <w:rFonts w:ascii="Times New Roman" w:hAnsi="Times New Roman"/>
                <w:noProof/>
                <w:sz w:val="20"/>
                <w:szCs w:val="20"/>
              </w:rPr>
              <w:t> </w:t>
            </w:r>
            <w:r w:rsidRPr="00F43FC8">
              <w:rPr>
                <w:rFonts w:ascii="Times New Roman" w:hAnsi="Times New Roman"/>
                <w:noProof/>
                <w:sz w:val="20"/>
                <w:szCs w:val="20"/>
              </w:rPr>
              <w:t>540</w:t>
            </w:r>
            <w:r>
              <w:rPr>
                <w:rFonts w:ascii="Times New Roman" w:hAnsi="Times New Roman"/>
                <w:noProof/>
                <w:sz w:val="20"/>
                <w:szCs w:val="20"/>
              </w:rPr>
              <w:t> </w:t>
            </w:r>
            <w:r w:rsidRPr="00F43FC8">
              <w:rPr>
                <w:rFonts w:ascii="Times New Roman" w:hAnsi="Times New Roman"/>
                <w:noProof/>
                <w:sz w:val="20"/>
                <w:szCs w:val="20"/>
              </w:rPr>
              <w:t>000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3427418D" w14:textId="77777777" w:rsidR="00131369" w:rsidRPr="00DA11F1" w:rsidRDefault="009B1524" w:rsidP="004144EE">
            <w:pPr>
              <w:spacing w:after="0"/>
              <w:jc w:val="center"/>
              <w:rPr>
                <w:rFonts w:ascii="Times New Roman" w:eastAsia="Times New Roman" w:hAnsi="Times New Roman"/>
                <w:noProof/>
                <w:sz w:val="20"/>
                <w:szCs w:val="20"/>
              </w:rPr>
            </w:pPr>
            <w:r w:rsidRPr="00F43FC8">
              <w:rPr>
                <w:rFonts w:ascii="Times New Roman" w:hAnsi="Times New Roman"/>
                <w:noProof/>
                <w:sz w:val="20"/>
                <w:szCs w:val="20"/>
              </w:rPr>
              <w:t>5</w:t>
            </w:r>
            <w:r>
              <w:rPr>
                <w:rFonts w:ascii="Times New Roman" w:hAnsi="Times New Roman"/>
                <w:noProof/>
                <w:sz w:val="20"/>
                <w:szCs w:val="20"/>
              </w:rPr>
              <w:t> </w:t>
            </w:r>
            <w:r w:rsidRPr="00F43FC8">
              <w:rPr>
                <w:rFonts w:ascii="Times New Roman" w:hAnsi="Times New Roman"/>
                <w:noProof/>
                <w:sz w:val="20"/>
                <w:szCs w:val="20"/>
              </w:rPr>
              <w:t>502</w:t>
            </w:r>
            <w:r>
              <w:rPr>
                <w:rFonts w:ascii="Times New Roman" w:hAnsi="Times New Roman"/>
                <w:noProof/>
                <w:sz w:val="20"/>
                <w:szCs w:val="20"/>
              </w:rPr>
              <w:t> </w:t>
            </w:r>
            <w:r w:rsidRPr="00F43FC8">
              <w:rPr>
                <w:rFonts w:ascii="Times New Roman" w:hAnsi="Times New Roman"/>
                <w:noProof/>
                <w:sz w:val="20"/>
                <w:szCs w:val="20"/>
              </w:rPr>
              <w:t>500</w:t>
            </w:r>
          </w:p>
        </w:tc>
      </w:tr>
      <w:tr w:rsidR="00131369" w:rsidRPr="00DA11F1" w14:paraId="5A4BFEDD"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6FA938C7" w14:textId="6EDA9B08" w:rsidR="00131369" w:rsidRPr="00DA11F1" w:rsidRDefault="009B1524" w:rsidP="004144EE">
            <w:pPr>
              <w:spacing w:after="0"/>
              <w:jc w:val="center"/>
              <w:rPr>
                <w:rFonts w:ascii="Times New Roman" w:eastAsia="Times New Roman" w:hAnsi="Times New Roman"/>
                <w:noProof/>
                <w:sz w:val="20"/>
                <w:szCs w:val="20"/>
              </w:rPr>
            </w:pPr>
            <w:r w:rsidRPr="00F43FC8">
              <w:rPr>
                <w:rFonts w:ascii="Times New Roman" w:hAnsi="Times New Roman"/>
                <w:noProof/>
                <w:sz w:val="20"/>
                <w:szCs w:val="20"/>
              </w:rPr>
              <w:t>2020</w:t>
            </w:r>
            <w:r>
              <w:rPr>
                <w:rFonts w:ascii="Times New Roman" w:hAnsi="Times New Roman"/>
                <w:noProof/>
                <w:sz w:val="20"/>
                <w:szCs w:val="20"/>
              </w:rPr>
              <w:t xml:space="preserve"> </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49F41225" w14:textId="39FA1716" w:rsidR="00131369" w:rsidRPr="00DA11F1" w:rsidRDefault="00EC03F8" w:rsidP="004144EE">
            <w:pPr>
              <w:spacing w:after="0"/>
              <w:jc w:val="center"/>
              <w:rPr>
                <w:rFonts w:ascii="Times New Roman" w:eastAsia="Times New Roman" w:hAnsi="Times New Roman"/>
                <w:noProof/>
                <w:sz w:val="20"/>
                <w:szCs w:val="20"/>
              </w:rPr>
            </w:pPr>
            <w:r w:rsidRPr="00F43FC8">
              <w:rPr>
                <w:rFonts w:ascii="Times New Roman" w:hAnsi="Times New Roman"/>
                <w:noProof/>
                <w:sz w:val="20"/>
                <w:szCs w:val="20"/>
              </w:rPr>
              <w:t>778</w:t>
            </w:r>
            <w:r>
              <w:rPr>
                <w:rFonts w:ascii="Times New Roman" w:hAnsi="Times New Roman"/>
                <w:noProof/>
                <w:sz w:val="20"/>
                <w:szCs w:val="20"/>
              </w:rPr>
              <w:t> </w:t>
            </w:r>
            <w:r w:rsidRPr="00F43FC8">
              <w:rPr>
                <w:rFonts w:ascii="Times New Roman" w:hAnsi="Times New Roman"/>
                <w:noProof/>
                <w:sz w:val="20"/>
                <w:szCs w:val="20"/>
              </w:rPr>
              <w:t>505</w:t>
            </w:r>
            <w:r>
              <w:rPr>
                <w:rFonts w:ascii="Times New Roman" w:hAnsi="Times New Roman"/>
                <w:noProof/>
                <w:sz w:val="20"/>
                <w:szCs w:val="20"/>
              </w:rPr>
              <w:t> </w:t>
            </w:r>
            <w:r w:rsidRPr="00F43FC8">
              <w:rPr>
                <w:rFonts w:ascii="Times New Roman" w:hAnsi="Times New Roman"/>
                <w:noProof/>
                <w:sz w:val="20"/>
                <w:szCs w:val="20"/>
              </w:rPr>
              <w:t>000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3368E5FE" w14:textId="2D83C5B4" w:rsidR="00131369" w:rsidRPr="00DA11F1" w:rsidRDefault="00933B1C" w:rsidP="004144EE">
            <w:pPr>
              <w:spacing w:after="0"/>
              <w:jc w:val="center"/>
              <w:rPr>
                <w:rFonts w:ascii="Times New Roman" w:eastAsia="Times New Roman" w:hAnsi="Times New Roman"/>
                <w:noProof/>
                <w:sz w:val="20"/>
                <w:szCs w:val="20"/>
              </w:rPr>
            </w:pPr>
            <w:r w:rsidRPr="00F43FC8">
              <w:rPr>
                <w:rFonts w:ascii="Times New Roman" w:hAnsi="Times New Roman"/>
                <w:noProof/>
                <w:sz w:val="20"/>
                <w:szCs w:val="20"/>
              </w:rPr>
              <w:t>7</w:t>
            </w:r>
            <w:r>
              <w:rPr>
                <w:rFonts w:ascii="Times New Roman" w:hAnsi="Times New Roman"/>
                <w:noProof/>
                <w:sz w:val="20"/>
                <w:szCs w:val="20"/>
              </w:rPr>
              <w:t> </w:t>
            </w:r>
            <w:r w:rsidRPr="00F43FC8">
              <w:rPr>
                <w:rFonts w:ascii="Times New Roman" w:hAnsi="Times New Roman"/>
                <w:noProof/>
                <w:sz w:val="20"/>
                <w:szCs w:val="20"/>
              </w:rPr>
              <w:t>505</w:t>
            </w:r>
            <w:r>
              <w:rPr>
                <w:rFonts w:ascii="Times New Roman" w:hAnsi="Times New Roman"/>
                <w:noProof/>
                <w:sz w:val="20"/>
                <w:szCs w:val="20"/>
              </w:rPr>
              <w:t> </w:t>
            </w:r>
            <w:r w:rsidRPr="00F43FC8">
              <w:rPr>
                <w:rFonts w:ascii="Times New Roman" w:hAnsi="Times New Roman"/>
                <w:noProof/>
                <w:sz w:val="20"/>
                <w:szCs w:val="20"/>
              </w:rPr>
              <w:t>000</w:t>
            </w:r>
          </w:p>
        </w:tc>
      </w:tr>
      <w:tr w:rsidR="00EC03F8" w:rsidRPr="00DA11F1" w14:paraId="25D7524D"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4F72FA0F" w14:textId="57F61E59" w:rsidR="00EC03F8" w:rsidRPr="00DA11F1" w:rsidRDefault="00EC03F8" w:rsidP="004144EE">
            <w:pPr>
              <w:spacing w:after="0"/>
              <w:jc w:val="center"/>
              <w:rPr>
                <w:rFonts w:ascii="Times New Roman" w:eastAsia="Times New Roman" w:hAnsi="Times New Roman"/>
                <w:noProof/>
                <w:sz w:val="20"/>
                <w:szCs w:val="20"/>
              </w:rPr>
            </w:pPr>
            <w:r w:rsidRPr="00F43FC8">
              <w:rPr>
                <w:rFonts w:ascii="Times New Roman" w:hAnsi="Times New Roman"/>
                <w:noProof/>
                <w:sz w:val="20"/>
                <w:szCs w:val="20"/>
              </w:rPr>
              <w:t>2021</w:t>
            </w:r>
            <w:r>
              <w:rPr>
                <w:rFonts w:ascii="Times New Roman" w:hAnsi="Times New Roman"/>
                <w:noProof/>
                <w:sz w:val="20"/>
                <w:szCs w:val="20"/>
              </w:rPr>
              <w:t xml:space="preserve"> (jusqu’au </w:t>
            </w:r>
            <w:r w:rsidRPr="00F43FC8">
              <w:rPr>
                <w:rFonts w:ascii="Times New Roman" w:hAnsi="Times New Roman"/>
                <w:noProof/>
                <w:sz w:val="20"/>
                <w:szCs w:val="20"/>
              </w:rPr>
              <w:t>30</w:t>
            </w:r>
            <w:r>
              <w:rPr>
                <w:rFonts w:ascii="Times New Roman" w:hAnsi="Times New Roman"/>
                <w:noProof/>
                <w:sz w:val="20"/>
                <w:szCs w:val="20"/>
              </w:rPr>
              <w:t> juin </w:t>
            </w:r>
            <w:r w:rsidRPr="00F43FC8">
              <w:rPr>
                <w:rFonts w:ascii="Times New Roman" w:hAnsi="Times New Roman"/>
                <w:noProof/>
                <w:sz w:val="20"/>
                <w:szCs w:val="20"/>
              </w:rPr>
              <w:t>2021</w:t>
            </w:r>
            <w:r>
              <w:rPr>
                <w:rFonts w:ascii="Times New Roman" w:hAnsi="Times New Roman"/>
                <w:noProof/>
                <w:sz w:val="20"/>
                <w:szCs w:val="20"/>
              </w:rPr>
              <w:t>)</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08F0025F" w14:textId="0246F02E" w:rsidR="00EC03F8" w:rsidRPr="00DA11F1" w:rsidRDefault="00EC03F8" w:rsidP="004144EE">
            <w:pPr>
              <w:spacing w:after="0"/>
              <w:jc w:val="center"/>
              <w:rPr>
                <w:rFonts w:ascii="Times New Roman" w:eastAsia="Times New Roman" w:hAnsi="Times New Roman"/>
                <w:noProof/>
                <w:sz w:val="20"/>
                <w:szCs w:val="20"/>
              </w:rPr>
            </w:pPr>
            <w:r w:rsidRPr="00F43FC8">
              <w:rPr>
                <w:rFonts w:ascii="Times New Roman" w:hAnsi="Times New Roman"/>
                <w:noProof/>
                <w:sz w:val="20"/>
                <w:szCs w:val="20"/>
              </w:rPr>
              <w:t>308</w:t>
            </w:r>
            <w:r>
              <w:rPr>
                <w:rFonts w:ascii="Times New Roman" w:hAnsi="Times New Roman"/>
                <w:noProof/>
                <w:sz w:val="20"/>
                <w:szCs w:val="20"/>
              </w:rPr>
              <w:t> </w:t>
            </w:r>
            <w:r w:rsidRPr="00F43FC8">
              <w:rPr>
                <w:rFonts w:ascii="Times New Roman" w:hAnsi="Times New Roman"/>
                <w:noProof/>
                <w:sz w:val="20"/>
                <w:szCs w:val="20"/>
              </w:rPr>
              <w:t>326</w:t>
            </w:r>
            <w:r>
              <w:rPr>
                <w:rFonts w:ascii="Times New Roman" w:hAnsi="Times New Roman"/>
                <w:noProof/>
                <w:sz w:val="20"/>
                <w:szCs w:val="20"/>
              </w:rPr>
              <w:t> </w:t>
            </w:r>
            <w:r w:rsidRPr="00F43FC8">
              <w:rPr>
                <w:rFonts w:ascii="Times New Roman" w:hAnsi="Times New Roman"/>
                <w:noProof/>
                <w:sz w:val="20"/>
                <w:szCs w:val="20"/>
              </w:rPr>
              <w:t>000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7A979FB8" w14:textId="2A13A50C" w:rsidR="00EC03F8" w:rsidRPr="00DA11F1" w:rsidRDefault="00EC03F8" w:rsidP="004144EE">
            <w:pPr>
              <w:spacing w:after="0"/>
              <w:jc w:val="center"/>
              <w:rPr>
                <w:rFonts w:ascii="Times New Roman" w:eastAsia="Times New Roman" w:hAnsi="Times New Roman"/>
                <w:noProof/>
                <w:sz w:val="20"/>
                <w:szCs w:val="20"/>
              </w:rPr>
            </w:pPr>
            <w:r w:rsidRPr="00F43FC8">
              <w:rPr>
                <w:rFonts w:ascii="Times New Roman" w:hAnsi="Times New Roman"/>
                <w:noProof/>
                <w:sz w:val="20"/>
                <w:szCs w:val="20"/>
              </w:rPr>
              <w:t>1</w:t>
            </w:r>
            <w:r>
              <w:rPr>
                <w:rFonts w:ascii="Times New Roman" w:hAnsi="Times New Roman"/>
                <w:noProof/>
                <w:sz w:val="20"/>
                <w:szCs w:val="20"/>
              </w:rPr>
              <w:t> </w:t>
            </w:r>
            <w:r w:rsidRPr="00F43FC8">
              <w:rPr>
                <w:rFonts w:ascii="Times New Roman" w:hAnsi="Times New Roman"/>
                <w:noProof/>
                <w:sz w:val="20"/>
                <w:szCs w:val="20"/>
              </w:rPr>
              <w:t>343</w:t>
            </w:r>
            <w:r>
              <w:rPr>
                <w:rFonts w:ascii="Times New Roman" w:hAnsi="Times New Roman"/>
                <w:noProof/>
                <w:sz w:val="20"/>
                <w:szCs w:val="20"/>
              </w:rPr>
              <w:t> </w:t>
            </w:r>
            <w:r w:rsidRPr="00F43FC8">
              <w:rPr>
                <w:rFonts w:ascii="Times New Roman" w:hAnsi="Times New Roman"/>
                <w:noProof/>
                <w:sz w:val="20"/>
                <w:szCs w:val="20"/>
              </w:rPr>
              <w:t>000</w:t>
            </w:r>
          </w:p>
        </w:tc>
      </w:tr>
    </w:tbl>
    <w:p w14:paraId="518B4EDD" w14:textId="77777777" w:rsidR="00131369" w:rsidRPr="00DA11F1" w:rsidRDefault="009B1524" w:rsidP="00A51737">
      <w:pPr>
        <w:spacing w:before="120" w:after="120"/>
        <w:ind w:right="57"/>
        <w:jc w:val="both"/>
        <w:rPr>
          <w:rFonts w:ascii="Times New Roman" w:eastAsia="Times New Roman" w:hAnsi="Times New Roman"/>
          <w:noProof/>
          <w:sz w:val="20"/>
          <w:szCs w:val="18"/>
        </w:rPr>
      </w:pPr>
      <w:r>
        <w:rPr>
          <w:rFonts w:ascii="Times New Roman" w:hAnsi="Times New Roman"/>
          <w:noProof/>
          <w:sz w:val="20"/>
          <w:szCs w:val="18"/>
        </w:rPr>
        <w:t>Source: EEX</w:t>
      </w:r>
    </w:p>
    <w:p w14:paraId="43C3E631" w14:textId="18697DF2" w:rsidR="008D0350" w:rsidRPr="00DA11F1" w:rsidRDefault="008968F7" w:rsidP="004144EE">
      <w:pPr>
        <w:jc w:val="both"/>
        <w:rPr>
          <w:rFonts w:ascii="Times New Roman" w:hAnsi="Times New Roman"/>
          <w:noProof/>
          <w:sz w:val="24"/>
          <w:szCs w:val="24"/>
        </w:rPr>
      </w:pPr>
      <w:r>
        <w:rPr>
          <w:rFonts w:ascii="Times New Roman" w:hAnsi="Times New Roman"/>
          <w:noProof/>
          <w:sz w:val="24"/>
          <w:szCs w:val="24"/>
        </w:rPr>
        <w:t>Lorsque la RSM a été activée en janvier </w:t>
      </w:r>
      <w:r w:rsidRPr="00F43FC8">
        <w:rPr>
          <w:rFonts w:ascii="Times New Roman" w:hAnsi="Times New Roman"/>
          <w:noProof/>
          <w:sz w:val="24"/>
          <w:szCs w:val="24"/>
        </w:rPr>
        <w:t>2019</w:t>
      </w:r>
      <w:r>
        <w:rPr>
          <w:rFonts w:ascii="Times New Roman" w:hAnsi="Times New Roman"/>
          <w:noProof/>
          <w:sz w:val="24"/>
          <w:szCs w:val="24"/>
        </w:rPr>
        <w:t>, elle a considérablement réduit l’offre de quotas à mettre aux enchères. Dans l’ensemble, les enchères se sont déroulées correctement et les prix de clôture étaient conformes aux prix pratiqués sur le marché secondaire.</w:t>
      </w:r>
    </w:p>
    <w:p w14:paraId="5EA1F243" w14:textId="35AF3AC2" w:rsidR="00131369" w:rsidRPr="00DA11F1" w:rsidRDefault="008968F7" w:rsidP="00155B66">
      <w:pPr>
        <w:jc w:val="both"/>
        <w:rPr>
          <w:rFonts w:ascii="Times New Roman" w:hAnsi="Times New Roman"/>
          <w:b/>
          <w:noProof/>
          <w:sz w:val="20"/>
          <w:szCs w:val="20"/>
        </w:rPr>
      </w:pPr>
      <w:r>
        <w:rPr>
          <w:rFonts w:ascii="Times New Roman" w:hAnsi="Times New Roman"/>
          <w:noProof/>
          <w:sz w:val="24"/>
          <w:szCs w:val="24"/>
        </w:rPr>
        <w:t>Au cours de la phase </w:t>
      </w:r>
      <w:r w:rsidRPr="00F43FC8">
        <w:rPr>
          <w:rFonts w:ascii="Times New Roman" w:hAnsi="Times New Roman"/>
          <w:noProof/>
          <w:sz w:val="24"/>
          <w:szCs w:val="24"/>
        </w:rPr>
        <w:t>3</w:t>
      </w:r>
      <w:r>
        <w:rPr>
          <w:rFonts w:ascii="Times New Roman" w:hAnsi="Times New Roman"/>
          <w:noProof/>
          <w:sz w:val="24"/>
          <w:szCs w:val="24"/>
        </w:rPr>
        <w:t xml:space="preserve">, </w:t>
      </w:r>
      <w:r w:rsidRPr="00F43FC8">
        <w:rPr>
          <w:rFonts w:ascii="Times New Roman" w:hAnsi="Times New Roman"/>
          <w:noProof/>
          <w:sz w:val="24"/>
          <w:szCs w:val="24"/>
        </w:rPr>
        <w:t>15</w:t>
      </w:r>
      <w:r>
        <w:rPr>
          <w:rFonts w:ascii="Times New Roman" w:hAnsi="Times New Roman"/>
          <w:noProof/>
          <w:sz w:val="24"/>
          <w:szCs w:val="24"/>
        </w:rPr>
        <w:t xml:space="preserve"> enchères au total ont été annulées, sur plus de </w:t>
      </w:r>
      <w:r w:rsidRPr="00F43FC8">
        <w:rPr>
          <w:rFonts w:ascii="Times New Roman" w:hAnsi="Times New Roman"/>
          <w:noProof/>
          <w:sz w:val="24"/>
          <w:szCs w:val="24"/>
        </w:rPr>
        <w:t>1</w:t>
      </w:r>
      <w:r>
        <w:rPr>
          <w:rFonts w:ascii="Times New Roman" w:hAnsi="Times New Roman"/>
          <w:noProof/>
          <w:sz w:val="24"/>
          <w:szCs w:val="24"/>
        </w:rPr>
        <w:t> </w:t>
      </w:r>
      <w:r w:rsidRPr="00F43FC8">
        <w:rPr>
          <w:rFonts w:ascii="Times New Roman" w:hAnsi="Times New Roman"/>
          <w:noProof/>
          <w:sz w:val="24"/>
          <w:szCs w:val="24"/>
        </w:rPr>
        <w:t>800</w:t>
      </w:r>
      <w:r>
        <w:rPr>
          <w:rFonts w:ascii="Times New Roman" w:hAnsi="Times New Roman"/>
          <w:noProof/>
          <w:sz w:val="24"/>
          <w:szCs w:val="24"/>
        </w:rPr>
        <w:t>, soit parce que le prix de réserve n’avait pas été atteint, soit parce que le volume total d’une offre était inférieur au volume mis aux enchères, conformément aux règles du règl</w:t>
      </w:r>
      <w:r w:rsidR="00155B66">
        <w:rPr>
          <w:rFonts w:ascii="Times New Roman" w:hAnsi="Times New Roman"/>
          <w:noProof/>
          <w:sz w:val="24"/>
          <w:szCs w:val="24"/>
        </w:rPr>
        <w:t>ement sur la mise aux enchères.</w:t>
      </w:r>
      <w:r w:rsidRPr="00DA11F1">
        <w:rPr>
          <w:rFonts w:ascii="Times New Roman" w:hAnsi="Times New Roman"/>
          <w:noProof/>
          <w:sz w:val="24"/>
          <w:szCs w:val="24"/>
        </w:rPr>
        <w:fldChar w:fldCharType="begin"/>
      </w:r>
      <w:r w:rsidRPr="00DA11F1">
        <w:rPr>
          <w:rFonts w:ascii="Times New Roman" w:hAnsi="Times New Roman"/>
          <w:noProof/>
          <w:sz w:val="24"/>
          <w:szCs w:val="24"/>
        </w:rPr>
        <w:instrText xml:space="preserve"> REF _Ref85022371  \* MERGEFORMAT </w:instrText>
      </w:r>
      <w:r w:rsidRPr="00DA11F1">
        <w:rPr>
          <w:rFonts w:ascii="Times New Roman" w:hAnsi="Times New Roman"/>
          <w:noProof/>
          <w:sz w:val="24"/>
          <w:szCs w:val="24"/>
        </w:rPr>
        <w:fldChar w:fldCharType="end"/>
      </w:r>
      <w:r>
        <w:rPr>
          <w:rFonts w:ascii="Times New Roman" w:hAnsi="Times New Roman"/>
          <w:noProof/>
          <w:sz w:val="24"/>
          <w:szCs w:val="24"/>
        </w:rPr>
        <w:t xml:space="preserve"> </w:t>
      </w:r>
      <w:r w:rsidR="00155B66">
        <w:rPr>
          <w:rFonts w:ascii="Times New Roman" w:hAnsi="Times New Roman"/>
          <w:noProof/>
          <w:sz w:val="24"/>
          <w:szCs w:val="24"/>
        </w:rPr>
        <w:t xml:space="preserve">Le graphique </w:t>
      </w:r>
      <w:r w:rsidR="00155B66" w:rsidRPr="00F43FC8">
        <w:rPr>
          <w:rFonts w:ascii="Times New Roman" w:hAnsi="Times New Roman"/>
          <w:noProof/>
          <w:sz w:val="24"/>
          <w:szCs w:val="24"/>
        </w:rPr>
        <w:t>2</w:t>
      </w:r>
      <w:r w:rsidR="00155B66">
        <w:rPr>
          <w:rFonts w:ascii="Times New Roman" w:hAnsi="Times New Roman"/>
          <w:noProof/>
          <w:sz w:val="24"/>
          <w:szCs w:val="24"/>
        </w:rPr>
        <w:t xml:space="preserve"> </w:t>
      </w:r>
      <w:r>
        <w:rPr>
          <w:rFonts w:ascii="Times New Roman" w:hAnsi="Times New Roman"/>
          <w:noProof/>
          <w:sz w:val="24"/>
          <w:szCs w:val="24"/>
        </w:rPr>
        <w:t>donne une vue d’ensemble des prix de clôture des enchères sur le marché du carbone de l’UE depuis </w:t>
      </w:r>
      <w:r w:rsidRPr="00F43FC8">
        <w:rPr>
          <w:rFonts w:ascii="Times New Roman" w:hAnsi="Times New Roman"/>
          <w:noProof/>
          <w:sz w:val="24"/>
          <w:szCs w:val="24"/>
        </w:rPr>
        <w:t>2013</w:t>
      </w:r>
      <w:r>
        <w:rPr>
          <w:rFonts w:ascii="Times New Roman" w:hAnsi="Times New Roman"/>
          <w:noProof/>
          <w:sz w:val="24"/>
          <w:szCs w:val="24"/>
        </w:rPr>
        <w:t xml:space="preserve">. </w:t>
      </w:r>
    </w:p>
    <w:p w14:paraId="00ED68C6" w14:textId="488FD0B3" w:rsidR="008968F7" w:rsidRPr="00DA11F1" w:rsidRDefault="00155B66" w:rsidP="008968F7">
      <w:pPr>
        <w:pStyle w:val="Caption"/>
        <w:keepNext/>
        <w:rPr>
          <w:rFonts w:ascii="Times New Roman" w:hAnsi="Times New Roman"/>
          <w:noProof/>
          <w:sz w:val="22"/>
        </w:rPr>
      </w:pPr>
      <w:bookmarkStart w:id="30" w:name="_Ref85022371"/>
      <w:r>
        <w:rPr>
          <w:rFonts w:ascii="Times New Roman" w:hAnsi="Times New Roman"/>
          <w:noProof/>
          <w:sz w:val="22"/>
        </w:rPr>
        <w:t>Graphique</w:t>
      </w:r>
      <w:r w:rsidR="008968F7">
        <w:rPr>
          <w:rFonts w:ascii="Times New Roman" w:hAnsi="Times New Roman"/>
          <w:noProof/>
          <w:sz w:val="22"/>
        </w:rPr>
        <w:t> </w:t>
      </w:r>
      <w:r w:rsidR="00F2602C" w:rsidRPr="00DA11F1">
        <w:rPr>
          <w:rFonts w:ascii="Times New Roman" w:hAnsi="Times New Roman"/>
          <w:noProof/>
          <w:sz w:val="22"/>
        </w:rPr>
        <w:fldChar w:fldCharType="begin"/>
      </w:r>
      <w:r w:rsidR="00F2602C" w:rsidRPr="00DA11F1">
        <w:rPr>
          <w:rFonts w:ascii="Times New Roman" w:hAnsi="Times New Roman"/>
          <w:noProof/>
          <w:sz w:val="22"/>
        </w:rPr>
        <w:instrText xml:space="preserve"> SEQ Figure \* ARABIC </w:instrText>
      </w:r>
      <w:r w:rsidR="00F2602C" w:rsidRPr="00DA11F1">
        <w:rPr>
          <w:rFonts w:ascii="Times New Roman" w:hAnsi="Times New Roman"/>
          <w:noProof/>
          <w:sz w:val="22"/>
        </w:rPr>
        <w:fldChar w:fldCharType="separate"/>
      </w:r>
      <w:r w:rsidR="00F2602C" w:rsidRPr="00F43FC8">
        <w:rPr>
          <w:rFonts w:ascii="Times New Roman" w:hAnsi="Times New Roman"/>
          <w:noProof/>
          <w:sz w:val="22"/>
        </w:rPr>
        <w:t>2</w:t>
      </w:r>
      <w:r w:rsidR="00F2602C" w:rsidRPr="00DA11F1">
        <w:rPr>
          <w:rFonts w:ascii="Times New Roman" w:hAnsi="Times New Roman"/>
          <w:noProof/>
          <w:sz w:val="22"/>
        </w:rPr>
        <w:fldChar w:fldCharType="end"/>
      </w:r>
      <w:bookmarkEnd w:id="30"/>
      <w:r w:rsidR="008968F7">
        <w:rPr>
          <w:rFonts w:ascii="Times New Roman" w:hAnsi="Times New Roman"/>
          <w:noProof/>
          <w:sz w:val="22"/>
        </w:rPr>
        <w:t>. Prix de clôture des enchères de quotas généraux, janvier </w:t>
      </w:r>
      <w:r w:rsidR="008968F7" w:rsidRPr="00F43FC8">
        <w:rPr>
          <w:rFonts w:ascii="Times New Roman" w:hAnsi="Times New Roman"/>
          <w:noProof/>
          <w:sz w:val="22"/>
        </w:rPr>
        <w:t>2013</w:t>
      </w:r>
      <w:r w:rsidR="008968F7">
        <w:rPr>
          <w:rFonts w:ascii="Times New Roman" w:hAnsi="Times New Roman"/>
          <w:noProof/>
          <w:sz w:val="22"/>
        </w:rPr>
        <w:t xml:space="preserve"> – </w:t>
      </w:r>
      <w:r w:rsidR="008968F7" w:rsidRPr="00F43FC8">
        <w:rPr>
          <w:rFonts w:ascii="Times New Roman" w:hAnsi="Times New Roman"/>
          <w:noProof/>
          <w:sz w:val="22"/>
        </w:rPr>
        <w:t>30</w:t>
      </w:r>
      <w:r w:rsidR="008968F7">
        <w:rPr>
          <w:rFonts w:ascii="Times New Roman" w:hAnsi="Times New Roman"/>
          <w:noProof/>
          <w:sz w:val="22"/>
        </w:rPr>
        <w:t> juin </w:t>
      </w:r>
      <w:r w:rsidR="008968F7" w:rsidRPr="00F43FC8">
        <w:rPr>
          <w:rFonts w:ascii="Times New Roman" w:hAnsi="Times New Roman"/>
          <w:noProof/>
          <w:sz w:val="22"/>
        </w:rPr>
        <w:t>2021</w:t>
      </w:r>
    </w:p>
    <w:p w14:paraId="16ADF4CE" w14:textId="08DFE39D" w:rsidR="00131369" w:rsidRPr="00DA11F1" w:rsidRDefault="00FD0DAB">
      <w:pPr>
        <w:rPr>
          <w:rFonts w:ascii="Times New Roman" w:hAnsi="Times New Roman"/>
          <w:b/>
          <w:noProof/>
          <w:sz w:val="20"/>
          <w:szCs w:val="20"/>
        </w:rPr>
      </w:pPr>
      <w:r>
        <w:rPr>
          <w:rFonts w:ascii="Times New Roman" w:hAnsi="Times New Roman"/>
          <w:b/>
          <w:noProof/>
          <w:sz w:val="20"/>
          <w:szCs w:val="20"/>
          <w:lang w:val="en-GB" w:eastAsia="en-GB"/>
        </w:rPr>
        <w:drawing>
          <wp:inline distT="0" distB="0" distL="0" distR="0" wp14:anchorId="20F081CE" wp14:editId="41EE5739">
            <wp:extent cx="5773218" cy="291733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776540" cy="2919009"/>
                    </a:xfrm>
                    <a:prstGeom prst="rect">
                      <a:avLst/>
                    </a:prstGeom>
                    <a:noFill/>
                  </pic:spPr>
                </pic:pic>
              </a:graphicData>
            </a:graphic>
          </wp:inline>
        </w:drawing>
      </w:r>
    </w:p>
    <w:p w14:paraId="6BDF499E" w14:textId="6D678632" w:rsidR="008D0350" w:rsidRPr="00DA11F1" w:rsidRDefault="009B1524" w:rsidP="004144EE">
      <w:pPr>
        <w:spacing w:before="120" w:after="120"/>
        <w:ind w:right="57"/>
        <w:jc w:val="both"/>
        <w:rPr>
          <w:rFonts w:ascii="Times New Roman" w:eastAsia="Times New Roman" w:hAnsi="Times New Roman"/>
          <w:noProof/>
          <w:sz w:val="20"/>
          <w:szCs w:val="18"/>
        </w:rPr>
      </w:pPr>
      <w:r>
        <w:rPr>
          <w:rFonts w:ascii="Times New Roman" w:hAnsi="Times New Roman"/>
          <w:noProof/>
          <w:sz w:val="20"/>
          <w:szCs w:val="18"/>
        </w:rPr>
        <w:t>Source: EEX</w:t>
      </w:r>
    </w:p>
    <w:p w14:paraId="68D4BA6F" w14:textId="552DC2E0" w:rsidR="00C72145" w:rsidRPr="00DA11F1" w:rsidRDefault="00C72145" w:rsidP="0065781F">
      <w:pPr>
        <w:jc w:val="both"/>
        <w:rPr>
          <w:rFonts w:ascii="Times New Roman" w:hAnsi="Times New Roman"/>
          <w:noProof/>
          <w:sz w:val="24"/>
          <w:szCs w:val="24"/>
        </w:rPr>
      </w:pPr>
      <w:r>
        <w:rPr>
          <w:rFonts w:ascii="Times New Roman" w:hAnsi="Times New Roman"/>
          <w:noProof/>
          <w:sz w:val="24"/>
          <w:szCs w:val="24"/>
        </w:rPr>
        <w:t>Le nombre de participants aux enchères de quotas généraux pendant la phase </w:t>
      </w:r>
      <w:r w:rsidRPr="00F43FC8">
        <w:rPr>
          <w:rFonts w:ascii="Times New Roman" w:hAnsi="Times New Roman"/>
          <w:noProof/>
          <w:sz w:val="24"/>
          <w:szCs w:val="24"/>
        </w:rPr>
        <w:t>3</w:t>
      </w:r>
      <w:r>
        <w:rPr>
          <w:rFonts w:ascii="Times New Roman" w:hAnsi="Times New Roman"/>
          <w:noProof/>
          <w:sz w:val="24"/>
          <w:szCs w:val="24"/>
        </w:rPr>
        <w:t xml:space="preserve"> est indiqué à l’annexe </w:t>
      </w:r>
      <w:r w:rsidRPr="00F43FC8">
        <w:rPr>
          <w:rFonts w:ascii="Times New Roman" w:hAnsi="Times New Roman"/>
          <w:noProof/>
          <w:sz w:val="24"/>
          <w:szCs w:val="24"/>
        </w:rPr>
        <w:t>5</w:t>
      </w:r>
      <w:r>
        <w:rPr>
          <w:rFonts w:ascii="Times New Roman" w:hAnsi="Times New Roman"/>
          <w:noProof/>
          <w:sz w:val="24"/>
          <w:szCs w:val="24"/>
        </w:rPr>
        <w:t xml:space="preserve"> du document de travail des services de la Commission accompagnant le présent rapport. Les plates-formes d’enchères publient en temps utile les résultats détaillés de chaque séance d’enchères sur les sites internet spécifiques. Les rapports des pays participants publiés sur le site internet de la Commission</w:t>
      </w:r>
      <w:r w:rsidRPr="00DA11F1">
        <w:rPr>
          <w:rFonts w:ascii="Times New Roman" w:hAnsi="Times New Roman"/>
          <w:noProof/>
          <w:sz w:val="24"/>
          <w:szCs w:val="24"/>
          <w:vertAlign w:val="superscript"/>
          <w:lang w:val="en-IE"/>
        </w:rPr>
        <w:footnoteReference w:id="38"/>
      </w:r>
      <w:r>
        <w:rPr>
          <w:rFonts w:ascii="Times New Roman" w:hAnsi="Times New Roman"/>
          <w:noProof/>
          <w:sz w:val="24"/>
          <w:szCs w:val="24"/>
        </w:rPr>
        <w:t xml:space="preserve"> fournissent de plus amples informations sur le déroulement des enchères, notamment sur la participation, le taux de couverture et les prix. </w:t>
      </w:r>
    </w:p>
    <w:p w14:paraId="44011C40" w14:textId="07BDACCE" w:rsidR="00C72145" w:rsidRPr="00DA11F1" w:rsidRDefault="00C72145" w:rsidP="0065781F">
      <w:pPr>
        <w:jc w:val="both"/>
        <w:rPr>
          <w:rFonts w:ascii="Times New Roman" w:hAnsi="Times New Roman"/>
          <w:noProof/>
          <w:sz w:val="24"/>
          <w:szCs w:val="24"/>
        </w:rPr>
      </w:pPr>
      <w:r>
        <w:rPr>
          <w:rFonts w:ascii="Times New Roman" w:hAnsi="Times New Roman"/>
          <w:noProof/>
          <w:sz w:val="24"/>
          <w:szCs w:val="24"/>
        </w:rPr>
        <w:t>Les recettes totales des ventes aux enchères générées par les États membres, le Royaume-Uni et l’Islande, le Liechtenstein et la Norvège au cours de la phase </w:t>
      </w:r>
      <w:r w:rsidRPr="00F43FC8">
        <w:rPr>
          <w:rFonts w:ascii="Times New Roman" w:hAnsi="Times New Roman"/>
          <w:noProof/>
          <w:sz w:val="24"/>
          <w:szCs w:val="24"/>
        </w:rPr>
        <w:t>3</w:t>
      </w:r>
      <w:r>
        <w:rPr>
          <w:rFonts w:ascii="Times New Roman" w:hAnsi="Times New Roman"/>
          <w:noProof/>
          <w:sz w:val="24"/>
          <w:szCs w:val="24"/>
        </w:rPr>
        <w:t xml:space="preserve"> ont dépassé les </w:t>
      </w:r>
      <w:r w:rsidRPr="00F43FC8">
        <w:rPr>
          <w:rFonts w:ascii="Times New Roman" w:hAnsi="Times New Roman"/>
          <w:noProof/>
          <w:sz w:val="24"/>
          <w:szCs w:val="24"/>
        </w:rPr>
        <w:t>68</w:t>
      </w:r>
      <w:r>
        <w:rPr>
          <w:rFonts w:ascii="Times New Roman" w:hAnsi="Times New Roman"/>
          <w:noProof/>
          <w:sz w:val="24"/>
          <w:szCs w:val="24"/>
        </w:rPr>
        <w:t> milliards d’euros (voir les tableaux </w:t>
      </w:r>
      <w:r w:rsidRPr="00F43FC8">
        <w:rPr>
          <w:rFonts w:ascii="Times New Roman" w:hAnsi="Times New Roman"/>
          <w:noProof/>
          <w:sz w:val="24"/>
          <w:szCs w:val="24"/>
        </w:rPr>
        <w:t>5</w:t>
      </w:r>
      <w:r>
        <w:rPr>
          <w:rFonts w:ascii="Times New Roman" w:hAnsi="Times New Roman"/>
          <w:noProof/>
          <w:sz w:val="24"/>
          <w:szCs w:val="24"/>
        </w:rPr>
        <w:t>.</w:t>
      </w:r>
      <w:r w:rsidRPr="00F43FC8">
        <w:rPr>
          <w:rFonts w:ascii="Times New Roman" w:hAnsi="Times New Roman"/>
          <w:noProof/>
          <w:sz w:val="24"/>
          <w:szCs w:val="24"/>
        </w:rPr>
        <w:t>1</w:t>
      </w:r>
      <w:r>
        <w:rPr>
          <w:rFonts w:ascii="Times New Roman" w:hAnsi="Times New Roman"/>
          <w:noProof/>
          <w:sz w:val="24"/>
          <w:szCs w:val="24"/>
        </w:rPr>
        <w:t xml:space="preserve">, </w:t>
      </w:r>
      <w:r w:rsidRPr="00F43FC8">
        <w:rPr>
          <w:rFonts w:ascii="Times New Roman" w:hAnsi="Times New Roman"/>
          <w:noProof/>
          <w:sz w:val="24"/>
          <w:szCs w:val="24"/>
        </w:rPr>
        <w:t>5</w:t>
      </w:r>
      <w:r>
        <w:rPr>
          <w:rFonts w:ascii="Times New Roman" w:hAnsi="Times New Roman"/>
          <w:noProof/>
          <w:sz w:val="24"/>
          <w:szCs w:val="24"/>
        </w:rPr>
        <w:t>.</w:t>
      </w:r>
      <w:r w:rsidRPr="00F43FC8">
        <w:rPr>
          <w:rFonts w:ascii="Times New Roman" w:hAnsi="Times New Roman"/>
          <w:noProof/>
          <w:sz w:val="24"/>
          <w:szCs w:val="24"/>
        </w:rPr>
        <w:t>2</w:t>
      </w:r>
      <w:r>
        <w:rPr>
          <w:rFonts w:ascii="Times New Roman" w:hAnsi="Times New Roman"/>
          <w:noProof/>
          <w:sz w:val="24"/>
          <w:szCs w:val="24"/>
        </w:rPr>
        <w:t>, et </w:t>
      </w:r>
      <w:r w:rsidRPr="00F43FC8">
        <w:rPr>
          <w:rFonts w:ascii="Times New Roman" w:hAnsi="Times New Roman"/>
          <w:noProof/>
          <w:sz w:val="24"/>
          <w:szCs w:val="24"/>
        </w:rPr>
        <w:t>5</w:t>
      </w:r>
      <w:r>
        <w:rPr>
          <w:rFonts w:ascii="Times New Roman" w:hAnsi="Times New Roman"/>
          <w:noProof/>
          <w:sz w:val="24"/>
          <w:szCs w:val="24"/>
        </w:rPr>
        <w:t>.</w:t>
      </w:r>
      <w:r w:rsidRPr="00F43FC8">
        <w:rPr>
          <w:rFonts w:ascii="Times New Roman" w:hAnsi="Times New Roman"/>
          <w:noProof/>
          <w:sz w:val="24"/>
          <w:szCs w:val="24"/>
        </w:rPr>
        <w:t>3</w:t>
      </w:r>
      <w:r>
        <w:rPr>
          <w:rFonts w:ascii="Times New Roman" w:hAnsi="Times New Roman"/>
          <w:noProof/>
          <w:sz w:val="24"/>
          <w:szCs w:val="24"/>
        </w:rPr>
        <w:t xml:space="preserve"> du document de travail des services de la Commission accompagnant le présent rapport)</w:t>
      </w:r>
      <w:r w:rsidR="00061ADE" w:rsidRPr="00DA11F1">
        <w:rPr>
          <w:rStyle w:val="FootnoteReference"/>
          <w:rFonts w:ascii="Times New Roman" w:hAnsi="Times New Roman"/>
          <w:noProof/>
          <w:sz w:val="24"/>
          <w:szCs w:val="24"/>
          <w:lang w:val="en-IE"/>
        </w:rPr>
        <w:footnoteReference w:id="39"/>
      </w:r>
      <w:r>
        <w:rPr>
          <w:rFonts w:ascii="Times New Roman" w:hAnsi="Times New Roman"/>
          <w:noProof/>
          <w:sz w:val="24"/>
          <w:szCs w:val="24"/>
        </w:rPr>
        <w:t>. Sur la seule année </w:t>
      </w:r>
      <w:r w:rsidRPr="00F43FC8">
        <w:rPr>
          <w:rFonts w:ascii="Times New Roman" w:hAnsi="Times New Roman"/>
          <w:noProof/>
          <w:sz w:val="24"/>
          <w:szCs w:val="24"/>
        </w:rPr>
        <w:t>2020</w:t>
      </w:r>
      <w:r>
        <w:rPr>
          <w:rFonts w:ascii="Times New Roman" w:hAnsi="Times New Roman"/>
          <w:noProof/>
          <w:sz w:val="24"/>
          <w:szCs w:val="24"/>
        </w:rPr>
        <w:t xml:space="preserve">, les enchères ont généré au total plus de </w:t>
      </w:r>
      <w:r w:rsidRPr="00F43FC8">
        <w:rPr>
          <w:rFonts w:ascii="Times New Roman" w:hAnsi="Times New Roman"/>
          <w:noProof/>
          <w:sz w:val="24"/>
          <w:szCs w:val="24"/>
        </w:rPr>
        <w:t>19</w:t>
      </w:r>
      <w:r>
        <w:rPr>
          <w:rFonts w:ascii="Times New Roman" w:hAnsi="Times New Roman"/>
          <w:noProof/>
          <w:sz w:val="24"/>
          <w:szCs w:val="24"/>
        </w:rPr>
        <w:t xml:space="preserve"> milliards d’euros de recettes, et </w:t>
      </w:r>
      <w:r w:rsidRPr="00F43FC8">
        <w:rPr>
          <w:rFonts w:ascii="Times New Roman" w:hAnsi="Times New Roman"/>
          <w:noProof/>
          <w:sz w:val="24"/>
          <w:szCs w:val="24"/>
        </w:rPr>
        <w:t>13</w:t>
      </w:r>
      <w:r>
        <w:rPr>
          <w:rFonts w:ascii="Times New Roman" w:hAnsi="Times New Roman"/>
          <w:noProof/>
          <w:sz w:val="24"/>
          <w:szCs w:val="24"/>
        </w:rPr>
        <w:t>,</w:t>
      </w:r>
      <w:r w:rsidRPr="00F43FC8">
        <w:rPr>
          <w:rFonts w:ascii="Times New Roman" w:hAnsi="Times New Roman"/>
          <w:noProof/>
          <w:sz w:val="24"/>
          <w:szCs w:val="24"/>
        </w:rPr>
        <w:t>9</w:t>
      </w:r>
      <w:r>
        <w:rPr>
          <w:rFonts w:ascii="Times New Roman" w:hAnsi="Times New Roman"/>
          <w:noProof/>
          <w:sz w:val="24"/>
          <w:szCs w:val="24"/>
        </w:rPr>
        <w:t> milliards d’euros au premier semestre </w:t>
      </w:r>
      <w:r w:rsidRPr="00F43FC8">
        <w:rPr>
          <w:rFonts w:ascii="Times New Roman" w:hAnsi="Times New Roman"/>
          <w:noProof/>
          <w:sz w:val="24"/>
          <w:szCs w:val="24"/>
        </w:rPr>
        <w:t>2021</w:t>
      </w:r>
      <w:r>
        <w:rPr>
          <w:rFonts w:ascii="Times New Roman" w:hAnsi="Times New Roman"/>
          <w:noProof/>
          <w:sz w:val="24"/>
          <w:szCs w:val="24"/>
        </w:rPr>
        <w:t xml:space="preserve">. La directive SEQE-UE dispose que les États membres devraient utiliser au moins </w:t>
      </w:r>
      <w:r w:rsidRPr="00F43FC8">
        <w:rPr>
          <w:rFonts w:ascii="Times New Roman" w:hAnsi="Times New Roman"/>
          <w:noProof/>
          <w:sz w:val="24"/>
          <w:szCs w:val="24"/>
        </w:rPr>
        <w:t>50</w:t>
      </w:r>
      <w:r>
        <w:rPr>
          <w:rFonts w:ascii="Times New Roman" w:hAnsi="Times New Roman"/>
          <w:noProof/>
          <w:sz w:val="24"/>
          <w:szCs w:val="24"/>
        </w:rPr>
        <w:t xml:space="preserve"> % des recettes des enchères, dont la totalité des recettes générées par la distribution de quotas aux fins de la solidarité et de la croissance, et </w:t>
      </w:r>
      <w:r w:rsidRPr="00F43FC8">
        <w:rPr>
          <w:rFonts w:ascii="Times New Roman" w:hAnsi="Times New Roman"/>
          <w:noProof/>
          <w:sz w:val="24"/>
          <w:szCs w:val="24"/>
        </w:rPr>
        <w:t>100</w:t>
      </w:r>
      <w:r>
        <w:rPr>
          <w:rFonts w:ascii="Times New Roman" w:hAnsi="Times New Roman"/>
          <w:noProof/>
          <w:sz w:val="24"/>
          <w:szCs w:val="24"/>
        </w:rPr>
        <w:t> % des recettes provenant des quotas délivrés pour l’aviation</w:t>
      </w:r>
      <w:r w:rsidRPr="00DA11F1">
        <w:rPr>
          <w:rStyle w:val="FootnoteReference"/>
          <w:rFonts w:ascii="Times New Roman" w:hAnsi="Times New Roman"/>
          <w:noProof/>
          <w:sz w:val="24"/>
          <w:szCs w:val="24"/>
          <w:lang w:val="en-IE"/>
        </w:rPr>
        <w:footnoteReference w:id="40"/>
      </w:r>
      <w:r>
        <w:rPr>
          <w:rFonts w:ascii="Times New Roman" w:hAnsi="Times New Roman"/>
          <w:noProof/>
          <w:sz w:val="24"/>
          <w:szCs w:val="24"/>
        </w:rPr>
        <w:t xml:space="preserve"> dans des actions liées au climat et à l’énergie. </w:t>
      </w:r>
    </w:p>
    <w:p w14:paraId="79A59A9D" w14:textId="7EE2CDE5" w:rsidR="00C72145" w:rsidRPr="00DA11F1" w:rsidRDefault="00C72145" w:rsidP="0065781F">
      <w:pPr>
        <w:jc w:val="both"/>
        <w:rPr>
          <w:rFonts w:ascii="Times New Roman" w:hAnsi="Times New Roman"/>
          <w:noProof/>
        </w:rPr>
      </w:pPr>
      <w:r>
        <w:rPr>
          <w:rFonts w:ascii="Times New Roman" w:hAnsi="Times New Roman"/>
          <w:noProof/>
          <w:sz w:val="24"/>
          <w:szCs w:val="24"/>
        </w:rPr>
        <w:t>Selon les informations transmises par les États membres à la Commission, on estime qu’en </w:t>
      </w:r>
      <w:r w:rsidRPr="00F43FC8">
        <w:rPr>
          <w:rFonts w:ascii="Times New Roman" w:hAnsi="Times New Roman"/>
          <w:noProof/>
          <w:sz w:val="24"/>
          <w:szCs w:val="24"/>
        </w:rPr>
        <w:t>2020</w:t>
      </w:r>
      <w:r>
        <w:rPr>
          <w:rFonts w:ascii="Times New Roman" w:hAnsi="Times New Roman"/>
          <w:noProof/>
          <w:sz w:val="24"/>
          <w:szCs w:val="24"/>
        </w:rPr>
        <w:t xml:space="preserve">, environ </w:t>
      </w:r>
      <w:r w:rsidRPr="00F43FC8">
        <w:rPr>
          <w:rFonts w:ascii="Times New Roman" w:hAnsi="Times New Roman"/>
          <w:noProof/>
          <w:sz w:val="24"/>
          <w:szCs w:val="24"/>
        </w:rPr>
        <w:t>72</w:t>
      </w:r>
      <w:r>
        <w:rPr>
          <w:rFonts w:ascii="Times New Roman" w:hAnsi="Times New Roman"/>
          <w:noProof/>
          <w:sz w:val="24"/>
          <w:szCs w:val="24"/>
        </w:rPr>
        <w:t xml:space="preserve"> % des recettes des enchères ont été consacrées à des fins liées au climat et à l’énergie, et environ </w:t>
      </w:r>
      <w:r w:rsidRPr="00F43FC8">
        <w:rPr>
          <w:rFonts w:ascii="Times New Roman" w:hAnsi="Times New Roman"/>
          <w:noProof/>
          <w:sz w:val="24"/>
          <w:szCs w:val="24"/>
        </w:rPr>
        <w:t>75</w:t>
      </w:r>
      <w:r>
        <w:rPr>
          <w:rFonts w:ascii="Times New Roman" w:hAnsi="Times New Roman"/>
          <w:noProof/>
          <w:sz w:val="24"/>
          <w:szCs w:val="24"/>
        </w:rPr>
        <w:t> % (</w:t>
      </w:r>
      <w:r w:rsidRPr="00F43FC8">
        <w:rPr>
          <w:rFonts w:ascii="Times New Roman" w:hAnsi="Times New Roman"/>
          <w:noProof/>
          <w:sz w:val="24"/>
          <w:szCs w:val="24"/>
        </w:rPr>
        <w:t>56</w:t>
      </w:r>
      <w:r>
        <w:rPr>
          <w:rFonts w:ascii="Times New Roman" w:hAnsi="Times New Roman"/>
          <w:noProof/>
          <w:sz w:val="24"/>
          <w:szCs w:val="24"/>
        </w:rPr>
        <w:t>,</w:t>
      </w:r>
      <w:r w:rsidRPr="00F43FC8">
        <w:rPr>
          <w:rFonts w:ascii="Times New Roman" w:hAnsi="Times New Roman"/>
          <w:noProof/>
          <w:sz w:val="24"/>
          <w:szCs w:val="24"/>
        </w:rPr>
        <w:t>5</w:t>
      </w:r>
      <w:r>
        <w:rPr>
          <w:rFonts w:ascii="Times New Roman" w:hAnsi="Times New Roman"/>
          <w:noProof/>
          <w:sz w:val="24"/>
          <w:szCs w:val="24"/>
        </w:rPr>
        <w:t> milliards d’euros) des recettes totales sur l’ensemble de la phase </w:t>
      </w:r>
      <w:r w:rsidRPr="00F43FC8">
        <w:rPr>
          <w:rFonts w:ascii="Times New Roman" w:hAnsi="Times New Roman"/>
          <w:noProof/>
          <w:sz w:val="24"/>
          <w:szCs w:val="24"/>
        </w:rPr>
        <w:t>3</w:t>
      </w:r>
      <w:r>
        <w:rPr>
          <w:rFonts w:ascii="Times New Roman" w:hAnsi="Times New Roman"/>
          <w:noProof/>
          <w:sz w:val="24"/>
          <w:szCs w:val="24"/>
        </w:rPr>
        <w:t xml:space="preserve">. Si une petite partie de ce montant (environ </w:t>
      </w:r>
      <w:r w:rsidRPr="00F43FC8">
        <w:rPr>
          <w:rFonts w:ascii="Times New Roman" w:hAnsi="Times New Roman"/>
          <w:noProof/>
          <w:sz w:val="24"/>
          <w:szCs w:val="24"/>
        </w:rPr>
        <w:t>3</w:t>
      </w:r>
      <w:r>
        <w:rPr>
          <w:rFonts w:ascii="Times New Roman" w:hAnsi="Times New Roman"/>
          <w:noProof/>
          <w:sz w:val="24"/>
          <w:szCs w:val="24"/>
        </w:rPr>
        <w:t> % du total des recettes générées depuis </w:t>
      </w:r>
      <w:r w:rsidRPr="00F43FC8">
        <w:rPr>
          <w:rFonts w:ascii="Times New Roman" w:hAnsi="Times New Roman"/>
          <w:noProof/>
          <w:sz w:val="24"/>
          <w:szCs w:val="24"/>
        </w:rPr>
        <w:t>2013</w:t>
      </w:r>
      <w:r>
        <w:rPr>
          <w:rFonts w:ascii="Times New Roman" w:hAnsi="Times New Roman"/>
          <w:noProof/>
          <w:sz w:val="24"/>
          <w:szCs w:val="24"/>
        </w:rPr>
        <w:t>) a été dépensée au niveau international, la majorité des recettes provenant des enchères de la phase </w:t>
      </w:r>
      <w:r w:rsidRPr="00F43FC8">
        <w:rPr>
          <w:rFonts w:ascii="Times New Roman" w:hAnsi="Times New Roman"/>
          <w:noProof/>
          <w:sz w:val="24"/>
          <w:szCs w:val="24"/>
        </w:rPr>
        <w:t>3</w:t>
      </w:r>
      <w:r>
        <w:rPr>
          <w:rFonts w:ascii="Times New Roman" w:hAnsi="Times New Roman"/>
          <w:noProof/>
          <w:sz w:val="24"/>
          <w:szCs w:val="24"/>
        </w:rPr>
        <w:t xml:space="preserve"> ont été dépensées à des fins liées au climat et à l’énergie au niveau national (principalement pour les énergies renouvelables, l’efficacité énergétique et la recherche et le développement). Dans les faits, le montant dépensé par les États membres à des fins liées au climat et à l’énergie excède leurs recettes de la mise aux enchères</w:t>
      </w:r>
      <w:r w:rsidR="00EC0413" w:rsidRPr="00DA11F1">
        <w:rPr>
          <w:rStyle w:val="FootnoteReference"/>
          <w:rFonts w:ascii="Times New Roman" w:hAnsi="Times New Roman"/>
          <w:noProof/>
          <w:sz w:val="24"/>
          <w:szCs w:val="24"/>
          <w:lang w:val="en-IE"/>
        </w:rPr>
        <w:footnoteReference w:id="41"/>
      </w:r>
      <w:r>
        <w:rPr>
          <w:rFonts w:ascii="Times New Roman" w:hAnsi="Times New Roman"/>
          <w:noProof/>
          <w:sz w:val="24"/>
          <w:szCs w:val="24"/>
        </w:rPr>
        <w:t>.</w:t>
      </w:r>
    </w:p>
    <w:p w14:paraId="7B956BFB" w14:textId="3C902FC9" w:rsidR="00131369" w:rsidRPr="00DA11F1" w:rsidRDefault="00FA7EBD" w:rsidP="00006E10">
      <w:pPr>
        <w:pStyle w:val="Heading3"/>
        <w:ind w:left="720"/>
        <w:rPr>
          <w:i/>
          <w:noProof/>
        </w:rPr>
      </w:pPr>
      <w:bookmarkStart w:id="31" w:name="_Toc89707765"/>
      <w:r w:rsidRPr="00F43FC8">
        <w:rPr>
          <w:i/>
          <w:noProof/>
        </w:rPr>
        <w:t>3</w:t>
      </w:r>
      <w:r>
        <w:rPr>
          <w:i/>
          <w:noProof/>
        </w:rPr>
        <w:t>.</w:t>
      </w:r>
      <w:r w:rsidRPr="00F43FC8">
        <w:rPr>
          <w:i/>
          <w:noProof/>
        </w:rPr>
        <w:t>1</w:t>
      </w:r>
      <w:r>
        <w:rPr>
          <w:i/>
          <w:noProof/>
        </w:rPr>
        <w:t>.</w:t>
      </w:r>
      <w:r w:rsidRPr="00F43FC8">
        <w:rPr>
          <w:i/>
          <w:noProof/>
        </w:rPr>
        <w:t>4</w:t>
      </w:r>
      <w:r>
        <w:rPr>
          <w:i/>
          <w:noProof/>
        </w:rPr>
        <w:t xml:space="preserve"> Dérogation à la mise aux enchères intégrale pour la production d’électricité et de chaleur</w:t>
      </w:r>
      <w:bookmarkEnd w:id="31"/>
    </w:p>
    <w:p w14:paraId="202129CB" w14:textId="1CEE528B" w:rsidR="00BC21AD" w:rsidRPr="00DA11F1" w:rsidRDefault="00666776" w:rsidP="00061ADE">
      <w:pPr>
        <w:jc w:val="both"/>
        <w:rPr>
          <w:rFonts w:ascii="Times New Roman" w:hAnsi="Times New Roman"/>
          <w:noProof/>
          <w:sz w:val="24"/>
          <w:szCs w:val="24"/>
        </w:rPr>
      </w:pPr>
      <w:r>
        <w:rPr>
          <w:rFonts w:ascii="Times New Roman" w:hAnsi="Times New Roman"/>
          <w:noProof/>
          <w:sz w:val="24"/>
          <w:szCs w:val="24"/>
        </w:rPr>
        <w:t>Durant la phase </w:t>
      </w:r>
      <w:r w:rsidRPr="00F43FC8">
        <w:rPr>
          <w:rFonts w:ascii="Times New Roman" w:hAnsi="Times New Roman"/>
          <w:noProof/>
          <w:sz w:val="24"/>
          <w:szCs w:val="24"/>
        </w:rPr>
        <w:t>3</w:t>
      </w:r>
      <w:r>
        <w:rPr>
          <w:rFonts w:ascii="Times New Roman" w:hAnsi="Times New Roman"/>
          <w:noProof/>
          <w:sz w:val="24"/>
          <w:szCs w:val="24"/>
        </w:rPr>
        <w:t xml:space="preserve">, l’article </w:t>
      </w:r>
      <w:r w:rsidRPr="00F43FC8">
        <w:rPr>
          <w:rFonts w:ascii="Times New Roman" w:hAnsi="Times New Roman"/>
          <w:noProof/>
          <w:sz w:val="24"/>
          <w:szCs w:val="24"/>
        </w:rPr>
        <w:t>10</w:t>
      </w:r>
      <w:r>
        <w:rPr>
          <w:rFonts w:ascii="Times New Roman" w:hAnsi="Times New Roman"/>
          <w:noProof/>
          <w:sz w:val="24"/>
          <w:szCs w:val="24"/>
        </w:rPr>
        <w:t> </w:t>
      </w:r>
      <w:r>
        <w:rPr>
          <w:rFonts w:ascii="Times New Roman" w:hAnsi="Times New Roman"/>
          <w:i/>
          <w:iCs/>
          <w:noProof/>
          <w:sz w:val="24"/>
          <w:szCs w:val="24"/>
        </w:rPr>
        <w:t>quater</w:t>
      </w:r>
      <w:r>
        <w:rPr>
          <w:rFonts w:ascii="Times New Roman" w:hAnsi="Times New Roman"/>
          <w:noProof/>
          <w:sz w:val="24"/>
          <w:szCs w:val="24"/>
        </w:rPr>
        <w:t xml:space="preserve"> de la directive SEQE-UE a dérogé à la règle générale de mise aux enchères de quotas afin de soutenir les investissements dans la modernisation du secteur de l’électricité dans plusieurs États membres à faible revenu</w:t>
      </w:r>
      <w:r w:rsidR="00BC21AD" w:rsidRPr="00DA11F1">
        <w:rPr>
          <w:rStyle w:val="FootnoteReference"/>
          <w:rFonts w:ascii="Times New Roman" w:hAnsi="Times New Roman"/>
          <w:noProof/>
          <w:sz w:val="24"/>
          <w:szCs w:val="24"/>
        </w:rPr>
        <w:footnoteReference w:id="42"/>
      </w:r>
      <w:r>
        <w:rPr>
          <w:rFonts w:ascii="Times New Roman" w:hAnsi="Times New Roman"/>
          <w:noProof/>
          <w:sz w:val="24"/>
          <w:szCs w:val="24"/>
        </w:rPr>
        <w:t xml:space="preserve">. Les quotas alloués à titre gratuit en vertu de l’article </w:t>
      </w:r>
      <w:r w:rsidRPr="00F43FC8">
        <w:rPr>
          <w:rFonts w:ascii="Times New Roman" w:hAnsi="Times New Roman"/>
          <w:noProof/>
          <w:sz w:val="24"/>
          <w:szCs w:val="24"/>
        </w:rPr>
        <w:t>10</w:t>
      </w:r>
      <w:r>
        <w:rPr>
          <w:rFonts w:ascii="Times New Roman" w:hAnsi="Times New Roman"/>
          <w:noProof/>
          <w:sz w:val="24"/>
          <w:szCs w:val="24"/>
        </w:rPr>
        <w:t> </w:t>
      </w:r>
      <w:r>
        <w:rPr>
          <w:rFonts w:ascii="Times New Roman" w:hAnsi="Times New Roman"/>
          <w:i/>
          <w:iCs/>
          <w:noProof/>
          <w:sz w:val="24"/>
          <w:szCs w:val="24"/>
        </w:rPr>
        <w:t>quater</w:t>
      </w:r>
      <w:r>
        <w:rPr>
          <w:rFonts w:ascii="Times New Roman" w:hAnsi="Times New Roman"/>
          <w:noProof/>
          <w:sz w:val="24"/>
          <w:szCs w:val="24"/>
        </w:rPr>
        <w:t xml:space="preserve"> ont été déduits de la quantité de quotas que l’État membre devrait sinon mettre aux enchères. Étant donné que l’allocation à titre gratuit de quotas aux producteurs d’électricité en vertu de l’article </w:t>
      </w:r>
      <w:r w:rsidRPr="00F43FC8">
        <w:rPr>
          <w:rFonts w:ascii="Times New Roman" w:hAnsi="Times New Roman"/>
          <w:noProof/>
          <w:sz w:val="24"/>
          <w:szCs w:val="24"/>
        </w:rPr>
        <w:t>10</w:t>
      </w:r>
      <w:r>
        <w:rPr>
          <w:rFonts w:ascii="Times New Roman" w:hAnsi="Times New Roman"/>
          <w:noProof/>
          <w:sz w:val="24"/>
          <w:szCs w:val="24"/>
        </w:rPr>
        <w:t> </w:t>
      </w:r>
      <w:r>
        <w:rPr>
          <w:rFonts w:ascii="Times New Roman" w:hAnsi="Times New Roman"/>
          <w:i/>
          <w:iCs/>
          <w:noProof/>
          <w:sz w:val="24"/>
          <w:szCs w:val="24"/>
        </w:rPr>
        <w:t>quater</w:t>
      </w:r>
      <w:r>
        <w:rPr>
          <w:rFonts w:ascii="Times New Roman" w:hAnsi="Times New Roman"/>
          <w:noProof/>
          <w:sz w:val="24"/>
          <w:szCs w:val="24"/>
        </w:rPr>
        <w:t xml:space="preserve"> impliquait une aide d’État, les régimes nationaux établis afin de mettre en œuvre la dérogation visée à l’article </w:t>
      </w:r>
      <w:r w:rsidRPr="00F43FC8">
        <w:rPr>
          <w:rFonts w:ascii="Times New Roman" w:hAnsi="Times New Roman"/>
          <w:noProof/>
          <w:sz w:val="24"/>
          <w:szCs w:val="24"/>
        </w:rPr>
        <w:t>10</w:t>
      </w:r>
      <w:r>
        <w:rPr>
          <w:rFonts w:ascii="Times New Roman" w:hAnsi="Times New Roman"/>
          <w:noProof/>
          <w:sz w:val="24"/>
          <w:szCs w:val="24"/>
        </w:rPr>
        <w:t> </w:t>
      </w:r>
      <w:r>
        <w:rPr>
          <w:rFonts w:ascii="Times New Roman" w:hAnsi="Times New Roman"/>
          <w:i/>
          <w:iCs/>
          <w:noProof/>
          <w:sz w:val="24"/>
          <w:szCs w:val="24"/>
        </w:rPr>
        <w:t>quater</w:t>
      </w:r>
      <w:r>
        <w:rPr>
          <w:rFonts w:ascii="Times New Roman" w:hAnsi="Times New Roman"/>
          <w:noProof/>
          <w:sz w:val="24"/>
          <w:szCs w:val="24"/>
        </w:rPr>
        <w:t xml:space="preserve"> ont été autorisés en vertu des règles relatives aux aides d’État et ont été soumis aux exigences des lignes directrices dans ce domaine</w:t>
      </w:r>
      <w:r w:rsidR="00BC21AD" w:rsidRPr="00DA11F1">
        <w:rPr>
          <w:rStyle w:val="FootnoteReference"/>
          <w:rFonts w:ascii="Times New Roman" w:hAnsi="Times New Roman"/>
          <w:noProof/>
          <w:sz w:val="24"/>
          <w:szCs w:val="24"/>
        </w:rPr>
        <w:footnoteReference w:id="43"/>
      </w:r>
      <w:r>
        <w:rPr>
          <w:rFonts w:ascii="Times New Roman" w:hAnsi="Times New Roman"/>
          <w:noProof/>
          <w:sz w:val="24"/>
          <w:szCs w:val="24"/>
        </w:rPr>
        <w:t xml:space="preserve">. </w:t>
      </w:r>
    </w:p>
    <w:p w14:paraId="02343918" w14:textId="2A6F05E0" w:rsidR="00E46C5D" w:rsidRPr="00DA11F1" w:rsidRDefault="00E46C5D" w:rsidP="00155B66">
      <w:pPr>
        <w:jc w:val="both"/>
        <w:rPr>
          <w:rFonts w:ascii="Times New Roman" w:hAnsi="Times New Roman"/>
          <w:noProof/>
          <w:sz w:val="24"/>
          <w:szCs w:val="24"/>
        </w:rPr>
      </w:pPr>
      <w:r>
        <w:rPr>
          <w:rFonts w:ascii="Times New Roman" w:hAnsi="Times New Roman"/>
          <w:noProof/>
          <w:sz w:val="24"/>
          <w:szCs w:val="24"/>
        </w:rPr>
        <w:t>La valeur totale de l’aide à l’investissement déclarée au titre de l’article </w:t>
      </w:r>
      <w:r w:rsidRPr="00F43FC8">
        <w:rPr>
          <w:rFonts w:ascii="Times New Roman" w:hAnsi="Times New Roman"/>
          <w:noProof/>
          <w:sz w:val="24"/>
          <w:szCs w:val="24"/>
        </w:rPr>
        <w:t>10</w:t>
      </w:r>
      <w:r>
        <w:rPr>
          <w:rFonts w:ascii="Times New Roman" w:hAnsi="Times New Roman"/>
          <w:noProof/>
          <w:sz w:val="24"/>
          <w:szCs w:val="24"/>
        </w:rPr>
        <w:t> </w:t>
      </w:r>
      <w:r>
        <w:rPr>
          <w:rFonts w:ascii="Times New Roman" w:hAnsi="Times New Roman"/>
          <w:i/>
          <w:iCs/>
          <w:noProof/>
          <w:sz w:val="24"/>
          <w:szCs w:val="24"/>
        </w:rPr>
        <w:t>quater</w:t>
      </w:r>
      <w:r>
        <w:rPr>
          <w:rFonts w:ascii="Times New Roman" w:hAnsi="Times New Roman"/>
          <w:noProof/>
          <w:sz w:val="24"/>
          <w:szCs w:val="24"/>
        </w:rPr>
        <w:t xml:space="preserve"> pour les années </w:t>
      </w:r>
      <w:r w:rsidRPr="00F43FC8">
        <w:rPr>
          <w:rFonts w:ascii="Times New Roman" w:hAnsi="Times New Roman"/>
          <w:noProof/>
          <w:sz w:val="24"/>
          <w:szCs w:val="24"/>
        </w:rPr>
        <w:t>2009</w:t>
      </w:r>
      <w:r>
        <w:rPr>
          <w:rFonts w:ascii="Times New Roman" w:hAnsi="Times New Roman"/>
          <w:noProof/>
          <w:sz w:val="24"/>
          <w:szCs w:val="24"/>
        </w:rPr>
        <w:t xml:space="preserve"> à </w:t>
      </w:r>
      <w:r w:rsidRPr="00F43FC8">
        <w:rPr>
          <w:rFonts w:ascii="Times New Roman" w:hAnsi="Times New Roman"/>
          <w:noProof/>
          <w:sz w:val="24"/>
          <w:szCs w:val="24"/>
        </w:rPr>
        <w:t>2020</w:t>
      </w:r>
      <w:r>
        <w:rPr>
          <w:rFonts w:ascii="Times New Roman" w:hAnsi="Times New Roman"/>
          <w:noProof/>
          <w:sz w:val="24"/>
          <w:szCs w:val="24"/>
        </w:rPr>
        <w:t xml:space="preserve"> s’élève à plus de </w:t>
      </w:r>
      <w:r w:rsidRPr="00F43FC8">
        <w:rPr>
          <w:rFonts w:ascii="Times New Roman" w:hAnsi="Times New Roman"/>
          <w:noProof/>
          <w:sz w:val="24"/>
          <w:szCs w:val="24"/>
        </w:rPr>
        <w:t>13</w:t>
      </w:r>
      <w:r>
        <w:rPr>
          <w:rFonts w:ascii="Times New Roman" w:hAnsi="Times New Roman"/>
          <w:noProof/>
          <w:sz w:val="24"/>
          <w:szCs w:val="24"/>
        </w:rPr>
        <w:t>,</w:t>
      </w:r>
      <w:r w:rsidRPr="00F43FC8">
        <w:rPr>
          <w:rFonts w:ascii="Times New Roman" w:hAnsi="Times New Roman"/>
          <w:noProof/>
          <w:sz w:val="24"/>
          <w:szCs w:val="24"/>
        </w:rPr>
        <w:t>1</w:t>
      </w:r>
      <w:r>
        <w:rPr>
          <w:rFonts w:ascii="Times New Roman" w:hAnsi="Times New Roman"/>
          <w:noProof/>
          <w:sz w:val="24"/>
          <w:szCs w:val="24"/>
        </w:rPr>
        <w:t> milliards d’euros. Comme le montre l</w:t>
      </w:r>
      <w:r w:rsidR="00155B66">
        <w:rPr>
          <w:rFonts w:ascii="Times New Roman" w:hAnsi="Times New Roman"/>
          <w:noProof/>
          <w:sz w:val="24"/>
          <w:szCs w:val="24"/>
        </w:rPr>
        <w:t xml:space="preserve">e graphique </w:t>
      </w:r>
      <w:r w:rsidR="00155B66" w:rsidRPr="00F43FC8">
        <w:rPr>
          <w:rFonts w:ascii="Times New Roman" w:hAnsi="Times New Roman"/>
          <w:noProof/>
          <w:sz w:val="24"/>
          <w:szCs w:val="24"/>
        </w:rPr>
        <w:t>3</w:t>
      </w:r>
      <w:r w:rsidR="00F332F1">
        <w:rPr>
          <w:rFonts w:ascii="Times New Roman" w:hAnsi="Times New Roman"/>
          <w:noProof/>
          <w:sz w:val="24"/>
          <w:szCs w:val="24"/>
        </w:rPr>
        <w:t>,</w:t>
      </w:r>
      <w:r w:rsidRPr="00F43FC8">
        <w:rPr>
          <w:rFonts w:ascii="Times New Roman" w:hAnsi="Times New Roman"/>
          <w:noProof/>
          <w:sz w:val="24"/>
          <w:szCs w:val="24"/>
        </w:rPr>
        <w:t>83</w:t>
      </w:r>
      <w:r>
        <w:rPr>
          <w:rFonts w:ascii="Times New Roman" w:hAnsi="Times New Roman"/>
          <w:noProof/>
          <w:sz w:val="24"/>
          <w:szCs w:val="24"/>
        </w:rPr>
        <w:t xml:space="preserve"> % de ce montant a été consacré à la mise à niveau et à la réadaptation de l’infrastructure (essentiellement afin de moderniser les centrales électriques à gaz et à charbon ainsi que de mettre à niveau les réseaux d’électricité et de chaleur). Le reste des investissements a servi à diversifier le bouquet énergétique et à développer les technologies propres. </w:t>
      </w:r>
    </w:p>
    <w:p w14:paraId="2FDB5FD4" w14:textId="7DCE384D" w:rsidR="00D1761A" w:rsidRPr="00DA11F1" w:rsidRDefault="00155B66" w:rsidP="00D1761A">
      <w:pPr>
        <w:pStyle w:val="Caption"/>
        <w:keepNext/>
        <w:jc w:val="both"/>
        <w:rPr>
          <w:rFonts w:ascii="Times New Roman" w:hAnsi="Times New Roman"/>
          <w:noProof/>
          <w:sz w:val="22"/>
        </w:rPr>
      </w:pPr>
      <w:bookmarkStart w:id="32" w:name="_Ref85023567"/>
      <w:r>
        <w:rPr>
          <w:rFonts w:ascii="Times New Roman" w:hAnsi="Times New Roman"/>
          <w:noProof/>
          <w:sz w:val="22"/>
        </w:rPr>
        <w:t>Graphique</w:t>
      </w:r>
      <w:r w:rsidR="00D1761A">
        <w:rPr>
          <w:rFonts w:ascii="Times New Roman" w:hAnsi="Times New Roman"/>
          <w:noProof/>
          <w:sz w:val="22"/>
        </w:rPr>
        <w:t> </w:t>
      </w:r>
      <w:r w:rsidR="00F2602C" w:rsidRPr="00DA11F1">
        <w:rPr>
          <w:rFonts w:ascii="Times New Roman" w:hAnsi="Times New Roman"/>
          <w:noProof/>
          <w:sz w:val="22"/>
        </w:rPr>
        <w:fldChar w:fldCharType="begin"/>
      </w:r>
      <w:r w:rsidR="00F2602C" w:rsidRPr="00DA11F1">
        <w:rPr>
          <w:rFonts w:ascii="Times New Roman" w:hAnsi="Times New Roman"/>
          <w:noProof/>
          <w:sz w:val="22"/>
        </w:rPr>
        <w:instrText xml:space="preserve"> SEQ Figure \* ARABIC </w:instrText>
      </w:r>
      <w:r w:rsidR="00F2602C" w:rsidRPr="00DA11F1">
        <w:rPr>
          <w:rFonts w:ascii="Times New Roman" w:hAnsi="Times New Roman"/>
          <w:noProof/>
          <w:sz w:val="22"/>
        </w:rPr>
        <w:fldChar w:fldCharType="separate"/>
      </w:r>
      <w:r w:rsidR="00F2602C" w:rsidRPr="00F43FC8">
        <w:rPr>
          <w:rFonts w:ascii="Times New Roman" w:hAnsi="Times New Roman"/>
          <w:noProof/>
          <w:sz w:val="22"/>
        </w:rPr>
        <w:t>3</w:t>
      </w:r>
      <w:r w:rsidR="00F2602C" w:rsidRPr="00DA11F1">
        <w:rPr>
          <w:rFonts w:ascii="Times New Roman" w:hAnsi="Times New Roman"/>
          <w:noProof/>
          <w:sz w:val="22"/>
        </w:rPr>
        <w:fldChar w:fldCharType="end"/>
      </w:r>
      <w:bookmarkEnd w:id="32"/>
      <w:r w:rsidR="00D1761A">
        <w:rPr>
          <w:rFonts w:ascii="Times New Roman" w:hAnsi="Times New Roman"/>
          <w:noProof/>
          <w:sz w:val="22"/>
        </w:rPr>
        <w:t>. Aide totale octroyée au titre de l’article </w:t>
      </w:r>
      <w:r w:rsidR="00D1761A" w:rsidRPr="00F43FC8">
        <w:rPr>
          <w:rFonts w:ascii="Times New Roman" w:hAnsi="Times New Roman"/>
          <w:noProof/>
          <w:sz w:val="22"/>
        </w:rPr>
        <w:t>10</w:t>
      </w:r>
      <w:r w:rsidR="00D1761A">
        <w:rPr>
          <w:rFonts w:ascii="Times New Roman" w:hAnsi="Times New Roman"/>
          <w:noProof/>
          <w:sz w:val="22"/>
        </w:rPr>
        <w:t> </w:t>
      </w:r>
      <w:r w:rsidR="00D1761A">
        <w:rPr>
          <w:rFonts w:ascii="Times New Roman" w:hAnsi="Times New Roman"/>
          <w:i/>
          <w:iCs/>
          <w:noProof/>
          <w:sz w:val="22"/>
        </w:rPr>
        <w:t>quater</w:t>
      </w:r>
      <w:r w:rsidR="00D1761A">
        <w:rPr>
          <w:rFonts w:ascii="Times New Roman" w:hAnsi="Times New Roman"/>
          <w:noProof/>
          <w:sz w:val="22"/>
        </w:rPr>
        <w:t xml:space="preserve">, par type d’investissement, </w:t>
      </w:r>
      <w:r w:rsidR="00D1761A" w:rsidRPr="00F43FC8">
        <w:rPr>
          <w:rFonts w:ascii="Times New Roman" w:hAnsi="Times New Roman"/>
          <w:noProof/>
          <w:sz w:val="22"/>
        </w:rPr>
        <w:t>2013</w:t>
      </w:r>
      <w:r w:rsidR="00D1761A">
        <w:rPr>
          <w:rFonts w:ascii="Times New Roman" w:hAnsi="Times New Roman"/>
          <w:noProof/>
          <w:sz w:val="22"/>
        </w:rPr>
        <w:t>-</w:t>
      </w:r>
      <w:r w:rsidR="00D1761A" w:rsidRPr="00F43FC8">
        <w:rPr>
          <w:rFonts w:ascii="Times New Roman" w:hAnsi="Times New Roman"/>
          <w:noProof/>
          <w:sz w:val="22"/>
        </w:rPr>
        <w:t>2019</w:t>
      </w:r>
    </w:p>
    <w:p w14:paraId="2FF93BFB" w14:textId="5E4B88D7" w:rsidR="0073432A" w:rsidRPr="00DA11F1" w:rsidRDefault="005C0518" w:rsidP="005C0518">
      <w:pPr>
        <w:spacing w:after="160" w:line="259" w:lineRule="auto"/>
        <w:contextualSpacing/>
        <w:jc w:val="center"/>
        <w:rPr>
          <w:rFonts w:ascii="Times New Roman" w:hAnsi="Times New Roman"/>
          <w:noProof/>
          <w:sz w:val="24"/>
          <w:szCs w:val="24"/>
        </w:rPr>
      </w:pPr>
      <w:r w:rsidRPr="005C0518">
        <w:rPr>
          <w:noProof/>
          <w:lang w:val="en-GB" w:eastAsia="en-GB"/>
        </w:rPr>
        <w:drawing>
          <wp:inline distT="0" distB="0" distL="0" distR="0" wp14:anchorId="336289A3" wp14:editId="295F1D4B">
            <wp:extent cx="5731510" cy="3038994"/>
            <wp:effectExtent l="0" t="0" r="254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731510" cy="3038994"/>
                    </a:xfrm>
                    <a:prstGeom prst="rect">
                      <a:avLst/>
                    </a:prstGeom>
                    <a:noFill/>
                    <a:ln>
                      <a:noFill/>
                    </a:ln>
                  </pic:spPr>
                </pic:pic>
              </a:graphicData>
            </a:graphic>
          </wp:inline>
        </w:drawing>
      </w:r>
    </w:p>
    <w:p w14:paraId="620E077C" w14:textId="10373246" w:rsidR="005E0666" w:rsidRPr="00DA11F1" w:rsidRDefault="00F43627" w:rsidP="00061ADE">
      <w:pPr>
        <w:spacing w:before="120" w:after="120"/>
        <w:ind w:right="57"/>
        <w:jc w:val="both"/>
        <w:rPr>
          <w:rFonts w:ascii="Times New Roman" w:eastAsia="Times New Roman" w:hAnsi="Times New Roman"/>
          <w:noProof/>
          <w:sz w:val="20"/>
          <w:szCs w:val="18"/>
        </w:rPr>
      </w:pPr>
      <w:r>
        <w:rPr>
          <w:rFonts w:ascii="Times New Roman" w:hAnsi="Times New Roman"/>
          <w:noProof/>
          <w:sz w:val="20"/>
          <w:szCs w:val="18"/>
        </w:rPr>
        <w:t>Source: DG Action pour le climat</w:t>
      </w:r>
    </w:p>
    <w:p w14:paraId="0328CD64" w14:textId="2D7C551F" w:rsidR="007A2893" w:rsidRPr="00DA11F1" w:rsidRDefault="00D1761A" w:rsidP="00155B66">
      <w:pPr>
        <w:jc w:val="both"/>
        <w:rPr>
          <w:rFonts w:ascii="Times New Roman" w:hAnsi="Times New Roman"/>
          <w:noProof/>
          <w:sz w:val="24"/>
          <w:szCs w:val="24"/>
        </w:rPr>
      </w:pPr>
      <w:r>
        <w:rPr>
          <w:rFonts w:ascii="Times New Roman" w:hAnsi="Times New Roman"/>
          <w:noProof/>
          <w:sz w:val="24"/>
          <w:szCs w:val="24"/>
        </w:rPr>
        <w:t>L</w:t>
      </w:r>
      <w:r w:rsidR="00155B66">
        <w:rPr>
          <w:rFonts w:ascii="Times New Roman" w:hAnsi="Times New Roman"/>
          <w:noProof/>
          <w:sz w:val="24"/>
          <w:szCs w:val="24"/>
        </w:rPr>
        <w:t xml:space="preserve">e graphique </w:t>
      </w:r>
      <w:r w:rsidR="00155B66" w:rsidRPr="00F43FC8">
        <w:rPr>
          <w:rFonts w:ascii="Times New Roman" w:hAnsi="Times New Roman"/>
          <w:noProof/>
          <w:sz w:val="24"/>
          <w:szCs w:val="24"/>
        </w:rPr>
        <w:t>4</w:t>
      </w:r>
      <w:r>
        <w:rPr>
          <w:rFonts w:ascii="Times New Roman" w:hAnsi="Times New Roman"/>
          <w:noProof/>
          <w:sz w:val="24"/>
          <w:szCs w:val="24"/>
        </w:rPr>
        <w:t xml:space="preserve"> montre le nombre de quotas visés à l’article </w:t>
      </w:r>
      <w:r w:rsidRPr="00F43FC8">
        <w:rPr>
          <w:rFonts w:ascii="Times New Roman" w:hAnsi="Times New Roman"/>
          <w:noProof/>
          <w:sz w:val="24"/>
          <w:szCs w:val="24"/>
        </w:rPr>
        <w:t>10</w:t>
      </w:r>
      <w:r>
        <w:rPr>
          <w:rFonts w:ascii="Times New Roman" w:hAnsi="Times New Roman"/>
          <w:noProof/>
          <w:sz w:val="24"/>
          <w:szCs w:val="24"/>
        </w:rPr>
        <w:t> </w:t>
      </w:r>
      <w:r>
        <w:rPr>
          <w:rFonts w:ascii="Times New Roman" w:hAnsi="Times New Roman"/>
          <w:i/>
          <w:iCs/>
          <w:noProof/>
          <w:sz w:val="24"/>
          <w:szCs w:val="24"/>
        </w:rPr>
        <w:t>quater</w:t>
      </w:r>
      <w:r>
        <w:rPr>
          <w:rFonts w:ascii="Times New Roman" w:hAnsi="Times New Roman"/>
          <w:noProof/>
          <w:sz w:val="24"/>
          <w:szCs w:val="24"/>
        </w:rPr>
        <w:t xml:space="preserve"> alloués pour la période </w:t>
      </w:r>
      <w:r w:rsidRPr="00F43FC8">
        <w:rPr>
          <w:rFonts w:ascii="Times New Roman" w:hAnsi="Times New Roman"/>
          <w:noProof/>
          <w:sz w:val="24"/>
          <w:szCs w:val="24"/>
        </w:rPr>
        <w:t>2013</w:t>
      </w:r>
      <w:r>
        <w:rPr>
          <w:rFonts w:ascii="Times New Roman" w:hAnsi="Times New Roman"/>
          <w:noProof/>
          <w:sz w:val="24"/>
          <w:szCs w:val="24"/>
        </w:rPr>
        <w:t>-</w:t>
      </w:r>
      <w:r w:rsidRPr="00F43FC8">
        <w:rPr>
          <w:rFonts w:ascii="Times New Roman" w:hAnsi="Times New Roman"/>
          <w:noProof/>
          <w:sz w:val="24"/>
          <w:szCs w:val="24"/>
        </w:rPr>
        <w:t>2019</w:t>
      </w:r>
      <w:r>
        <w:rPr>
          <w:rFonts w:ascii="Times New Roman" w:hAnsi="Times New Roman"/>
          <w:noProof/>
          <w:sz w:val="24"/>
          <w:szCs w:val="24"/>
        </w:rPr>
        <w:t>, par État membre de l’UE (aucun quota n’a été alloué pour </w:t>
      </w:r>
      <w:r w:rsidRPr="00F43FC8">
        <w:rPr>
          <w:rFonts w:ascii="Times New Roman" w:hAnsi="Times New Roman"/>
          <w:noProof/>
          <w:sz w:val="24"/>
          <w:szCs w:val="24"/>
        </w:rPr>
        <w:t>2020</w:t>
      </w:r>
      <w:r>
        <w:rPr>
          <w:rFonts w:ascii="Times New Roman" w:hAnsi="Times New Roman"/>
          <w:noProof/>
          <w:sz w:val="24"/>
          <w:szCs w:val="24"/>
        </w:rPr>
        <w:t xml:space="preserve">). </w:t>
      </w:r>
    </w:p>
    <w:p w14:paraId="574F9F0B" w14:textId="5BDB9F7A" w:rsidR="00D1761A" w:rsidRPr="00DA11F1" w:rsidRDefault="00155B66" w:rsidP="00155B66">
      <w:pPr>
        <w:pStyle w:val="Caption"/>
        <w:keepNext/>
        <w:jc w:val="both"/>
        <w:rPr>
          <w:rFonts w:ascii="Times New Roman" w:hAnsi="Times New Roman"/>
          <w:noProof/>
          <w:sz w:val="22"/>
        </w:rPr>
      </w:pPr>
      <w:bookmarkStart w:id="33" w:name="_Ref85023753"/>
      <w:r>
        <w:rPr>
          <w:rFonts w:ascii="Times New Roman" w:hAnsi="Times New Roman"/>
          <w:noProof/>
          <w:sz w:val="22"/>
        </w:rPr>
        <w:t>Graphiqu</w:t>
      </w:r>
      <w:r w:rsidR="00D1761A">
        <w:rPr>
          <w:rFonts w:ascii="Times New Roman" w:hAnsi="Times New Roman"/>
          <w:noProof/>
          <w:sz w:val="22"/>
        </w:rPr>
        <w:t>e </w:t>
      </w:r>
      <w:r w:rsidR="00F2602C" w:rsidRPr="00DA11F1">
        <w:rPr>
          <w:rFonts w:ascii="Times New Roman" w:hAnsi="Times New Roman"/>
          <w:noProof/>
          <w:sz w:val="22"/>
        </w:rPr>
        <w:fldChar w:fldCharType="begin"/>
      </w:r>
      <w:r w:rsidR="00F2602C" w:rsidRPr="00DA11F1">
        <w:rPr>
          <w:rFonts w:ascii="Times New Roman" w:hAnsi="Times New Roman"/>
          <w:noProof/>
          <w:sz w:val="22"/>
        </w:rPr>
        <w:instrText xml:space="preserve"> SEQ Figure \* ARABIC </w:instrText>
      </w:r>
      <w:r w:rsidR="00F2602C" w:rsidRPr="00DA11F1">
        <w:rPr>
          <w:rFonts w:ascii="Times New Roman" w:hAnsi="Times New Roman"/>
          <w:noProof/>
          <w:sz w:val="22"/>
        </w:rPr>
        <w:fldChar w:fldCharType="separate"/>
      </w:r>
      <w:r w:rsidR="00F2602C" w:rsidRPr="00F43FC8">
        <w:rPr>
          <w:rFonts w:ascii="Times New Roman" w:hAnsi="Times New Roman"/>
          <w:noProof/>
          <w:sz w:val="22"/>
        </w:rPr>
        <w:t>4</w:t>
      </w:r>
      <w:r w:rsidR="00F2602C" w:rsidRPr="00DA11F1">
        <w:rPr>
          <w:rFonts w:ascii="Times New Roman" w:hAnsi="Times New Roman"/>
          <w:noProof/>
          <w:sz w:val="22"/>
        </w:rPr>
        <w:fldChar w:fldCharType="end"/>
      </w:r>
      <w:bookmarkEnd w:id="33"/>
      <w:r w:rsidR="00D1761A">
        <w:rPr>
          <w:rFonts w:ascii="Times New Roman" w:hAnsi="Times New Roman"/>
          <w:noProof/>
          <w:sz w:val="22"/>
        </w:rPr>
        <w:t>. Quotas alloués à titre gratuit en vertu de l’article </w:t>
      </w:r>
      <w:r w:rsidR="00D1761A" w:rsidRPr="00F43FC8">
        <w:rPr>
          <w:rFonts w:ascii="Times New Roman" w:hAnsi="Times New Roman"/>
          <w:noProof/>
          <w:sz w:val="22"/>
        </w:rPr>
        <w:t>10</w:t>
      </w:r>
      <w:r w:rsidR="00D1761A">
        <w:rPr>
          <w:rFonts w:ascii="Times New Roman" w:hAnsi="Times New Roman"/>
          <w:noProof/>
          <w:sz w:val="22"/>
        </w:rPr>
        <w:t> </w:t>
      </w:r>
      <w:r w:rsidR="00D1761A">
        <w:rPr>
          <w:rFonts w:ascii="Times New Roman" w:hAnsi="Times New Roman"/>
          <w:i/>
          <w:iCs/>
          <w:noProof/>
          <w:sz w:val="22"/>
        </w:rPr>
        <w:t>quater</w:t>
      </w:r>
      <w:r w:rsidR="00D1761A">
        <w:rPr>
          <w:rFonts w:ascii="Times New Roman" w:hAnsi="Times New Roman"/>
          <w:noProof/>
          <w:sz w:val="22"/>
        </w:rPr>
        <w:t xml:space="preserve">, </w:t>
      </w:r>
      <w:r w:rsidR="00D1761A" w:rsidRPr="00F43FC8">
        <w:rPr>
          <w:rFonts w:ascii="Times New Roman" w:hAnsi="Times New Roman"/>
          <w:noProof/>
          <w:sz w:val="22"/>
        </w:rPr>
        <w:t>2013</w:t>
      </w:r>
      <w:r w:rsidR="00D1761A">
        <w:rPr>
          <w:rFonts w:ascii="Times New Roman" w:hAnsi="Times New Roman"/>
          <w:noProof/>
          <w:sz w:val="22"/>
        </w:rPr>
        <w:t>-</w:t>
      </w:r>
      <w:r w:rsidR="00D1761A" w:rsidRPr="00F43FC8">
        <w:rPr>
          <w:rFonts w:ascii="Times New Roman" w:hAnsi="Times New Roman"/>
          <w:noProof/>
          <w:sz w:val="22"/>
        </w:rPr>
        <w:t>2019</w:t>
      </w:r>
      <w:r w:rsidR="00D1761A" w:rsidRPr="00DA11F1">
        <w:rPr>
          <w:rFonts w:ascii="Times New Roman" w:hAnsi="Times New Roman"/>
          <w:b w:val="0"/>
          <w:noProof/>
          <w:sz w:val="22"/>
          <w:vertAlign w:val="superscript"/>
        </w:rPr>
        <w:footnoteReference w:id="44"/>
      </w:r>
    </w:p>
    <w:p w14:paraId="6769DBD8" w14:textId="4FB57BF6" w:rsidR="00513E29" w:rsidRPr="00DA11F1" w:rsidRDefault="00513E29" w:rsidP="007A2893">
      <w:pPr>
        <w:jc w:val="both"/>
        <w:rPr>
          <w:rFonts w:ascii="Times New Roman" w:hAnsi="Times New Roman"/>
          <w:noProof/>
          <w:sz w:val="24"/>
          <w:szCs w:val="24"/>
        </w:rPr>
      </w:pPr>
      <w:r>
        <w:rPr>
          <w:rFonts w:ascii="Times New Roman" w:hAnsi="Times New Roman"/>
          <w:noProof/>
          <w:sz w:val="24"/>
          <w:szCs w:val="24"/>
          <w:lang w:val="en-GB" w:eastAsia="en-GB"/>
        </w:rPr>
        <w:drawing>
          <wp:inline distT="0" distB="0" distL="0" distR="0" wp14:anchorId="0132F991" wp14:editId="41F2C0ED">
            <wp:extent cx="5707216" cy="2968283"/>
            <wp:effectExtent l="0" t="0" r="825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53372" cy="2992288"/>
                    </a:xfrm>
                    <a:prstGeom prst="rect">
                      <a:avLst/>
                    </a:prstGeom>
                    <a:noFill/>
                  </pic:spPr>
                </pic:pic>
              </a:graphicData>
            </a:graphic>
          </wp:inline>
        </w:drawing>
      </w:r>
    </w:p>
    <w:p w14:paraId="6DD5B318" w14:textId="77777777" w:rsidR="00F43627" w:rsidRPr="00DA11F1" w:rsidRDefault="00F43627" w:rsidP="00BC21AD">
      <w:pPr>
        <w:spacing w:before="120" w:after="120"/>
        <w:ind w:right="57"/>
        <w:jc w:val="both"/>
        <w:rPr>
          <w:rFonts w:ascii="Times New Roman" w:eastAsia="Times New Roman" w:hAnsi="Times New Roman"/>
          <w:noProof/>
          <w:sz w:val="20"/>
          <w:szCs w:val="18"/>
        </w:rPr>
      </w:pPr>
      <w:r>
        <w:rPr>
          <w:rFonts w:ascii="Times New Roman" w:hAnsi="Times New Roman"/>
          <w:noProof/>
          <w:sz w:val="20"/>
          <w:szCs w:val="18"/>
        </w:rPr>
        <w:t>Source: DG Action pour le climat</w:t>
      </w:r>
    </w:p>
    <w:p w14:paraId="32501985" w14:textId="5215E468" w:rsidR="00BC3FA4" w:rsidRPr="00DA11F1" w:rsidRDefault="00A36E7B" w:rsidP="00BC3FA4">
      <w:pPr>
        <w:jc w:val="both"/>
        <w:rPr>
          <w:rFonts w:ascii="Times New Roman" w:hAnsi="Times New Roman"/>
          <w:noProof/>
          <w:sz w:val="24"/>
          <w:szCs w:val="24"/>
        </w:rPr>
      </w:pPr>
      <w:r>
        <w:rPr>
          <w:rFonts w:ascii="Times New Roman" w:hAnsi="Times New Roman"/>
          <w:noProof/>
          <w:sz w:val="24"/>
          <w:szCs w:val="24"/>
        </w:rPr>
        <w:t>Le tableau </w:t>
      </w:r>
      <w:r w:rsidRPr="00F43FC8">
        <w:rPr>
          <w:rFonts w:ascii="Times New Roman" w:hAnsi="Times New Roman"/>
          <w:noProof/>
          <w:sz w:val="24"/>
          <w:szCs w:val="24"/>
        </w:rPr>
        <w:t>6</w:t>
      </w:r>
      <w:r>
        <w:rPr>
          <w:rFonts w:ascii="Times New Roman" w:hAnsi="Times New Roman"/>
          <w:noProof/>
          <w:sz w:val="24"/>
          <w:szCs w:val="24"/>
        </w:rPr>
        <w:t>.</w:t>
      </w:r>
      <w:r w:rsidRPr="00F43FC8">
        <w:rPr>
          <w:rFonts w:ascii="Times New Roman" w:hAnsi="Times New Roman"/>
          <w:noProof/>
          <w:sz w:val="24"/>
          <w:szCs w:val="24"/>
        </w:rPr>
        <w:t>1</w:t>
      </w:r>
      <w:r>
        <w:rPr>
          <w:rFonts w:ascii="Times New Roman" w:hAnsi="Times New Roman"/>
          <w:noProof/>
          <w:sz w:val="24"/>
          <w:szCs w:val="24"/>
        </w:rPr>
        <w:t xml:space="preserve"> de l’annexe </w:t>
      </w:r>
      <w:r w:rsidRPr="00F43FC8">
        <w:rPr>
          <w:rFonts w:ascii="Times New Roman" w:hAnsi="Times New Roman"/>
          <w:noProof/>
          <w:sz w:val="24"/>
          <w:szCs w:val="24"/>
        </w:rPr>
        <w:t>6</w:t>
      </w:r>
      <w:r>
        <w:rPr>
          <w:rFonts w:ascii="Times New Roman" w:hAnsi="Times New Roman"/>
          <w:noProof/>
          <w:sz w:val="24"/>
          <w:szCs w:val="24"/>
        </w:rPr>
        <w:t xml:space="preserve"> du document de travail des services de la Commission accompagnant le présent rapport indique le nombre de quotas que les États membres remplissant les conditions requises ont alloués gratuitement aux producteurs d’électricité au cours de la phase </w:t>
      </w:r>
      <w:r w:rsidRPr="00F43FC8">
        <w:rPr>
          <w:rFonts w:ascii="Times New Roman" w:hAnsi="Times New Roman"/>
          <w:noProof/>
          <w:sz w:val="24"/>
          <w:szCs w:val="24"/>
        </w:rPr>
        <w:t>3</w:t>
      </w:r>
      <w:r>
        <w:rPr>
          <w:rFonts w:ascii="Times New Roman" w:hAnsi="Times New Roman"/>
          <w:noProof/>
          <w:sz w:val="24"/>
          <w:szCs w:val="24"/>
        </w:rPr>
        <w:t>. Le tableau </w:t>
      </w:r>
      <w:r w:rsidRPr="00F43FC8">
        <w:rPr>
          <w:rFonts w:ascii="Times New Roman" w:hAnsi="Times New Roman"/>
          <w:noProof/>
          <w:sz w:val="24"/>
          <w:szCs w:val="24"/>
        </w:rPr>
        <w:t>6</w:t>
      </w:r>
      <w:r>
        <w:rPr>
          <w:rFonts w:ascii="Times New Roman" w:hAnsi="Times New Roman"/>
          <w:noProof/>
          <w:sz w:val="24"/>
          <w:szCs w:val="24"/>
        </w:rPr>
        <w:t>.</w:t>
      </w:r>
      <w:r w:rsidRPr="00F43FC8">
        <w:rPr>
          <w:rFonts w:ascii="Times New Roman" w:hAnsi="Times New Roman"/>
          <w:noProof/>
          <w:sz w:val="24"/>
          <w:szCs w:val="24"/>
        </w:rPr>
        <w:t>2</w:t>
      </w:r>
      <w:r>
        <w:rPr>
          <w:rFonts w:ascii="Times New Roman" w:hAnsi="Times New Roman"/>
          <w:noProof/>
          <w:sz w:val="24"/>
          <w:szCs w:val="24"/>
        </w:rPr>
        <w:t xml:space="preserve"> de l’annexe </w:t>
      </w:r>
      <w:r w:rsidRPr="00F43FC8">
        <w:rPr>
          <w:rFonts w:ascii="Times New Roman" w:hAnsi="Times New Roman"/>
          <w:noProof/>
          <w:sz w:val="24"/>
          <w:szCs w:val="24"/>
        </w:rPr>
        <w:t>6</w:t>
      </w:r>
      <w:r>
        <w:rPr>
          <w:rFonts w:ascii="Times New Roman" w:hAnsi="Times New Roman"/>
          <w:noProof/>
          <w:sz w:val="24"/>
          <w:szCs w:val="24"/>
        </w:rPr>
        <w:t xml:space="preserve"> indique le nombre maximal de quotas pouvant être alloués chaque année en vertu de l’article </w:t>
      </w:r>
      <w:r w:rsidRPr="00F43FC8">
        <w:rPr>
          <w:rFonts w:ascii="Times New Roman" w:hAnsi="Times New Roman"/>
          <w:noProof/>
          <w:sz w:val="24"/>
          <w:szCs w:val="24"/>
        </w:rPr>
        <w:t>10</w:t>
      </w:r>
      <w:r>
        <w:rPr>
          <w:rFonts w:ascii="Times New Roman" w:hAnsi="Times New Roman"/>
          <w:noProof/>
          <w:sz w:val="24"/>
          <w:szCs w:val="24"/>
        </w:rPr>
        <w:t> </w:t>
      </w:r>
      <w:r>
        <w:rPr>
          <w:rFonts w:ascii="Times New Roman" w:hAnsi="Times New Roman"/>
          <w:i/>
          <w:iCs/>
          <w:noProof/>
          <w:sz w:val="24"/>
          <w:szCs w:val="24"/>
        </w:rPr>
        <w:t>quater</w:t>
      </w:r>
      <w:r>
        <w:rPr>
          <w:rFonts w:ascii="Times New Roman" w:hAnsi="Times New Roman"/>
          <w:noProof/>
          <w:sz w:val="24"/>
          <w:szCs w:val="24"/>
        </w:rPr>
        <w:t>.</w:t>
      </w:r>
    </w:p>
    <w:p w14:paraId="4C9134FD" w14:textId="46F5450B" w:rsidR="00A227C1" w:rsidRPr="00DA11F1" w:rsidRDefault="0053168B" w:rsidP="00155B66">
      <w:pPr>
        <w:jc w:val="both"/>
        <w:rPr>
          <w:rFonts w:ascii="Times New Roman" w:hAnsi="Times New Roman"/>
          <w:noProof/>
          <w:sz w:val="24"/>
          <w:szCs w:val="24"/>
        </w:rPr>
      </w:pPr>
      <w:r>
        <w:rPr>
          <w:rFonts w:ascii="Times New Roman" w:hAnsi="Times New Roman"/>
          <w:noProof/>
          <w:sz w:val="24"/>
          <w:szCs w:val="24"/>
        </w:rPr>
        <w:t>Les quotas visés à l’article </w:t>
      </w:r>
      <w:r w:rsidRPr="00F43FC8">
        <w:rPr>
          <w:rFonts w:ascii="Times New Roman" w:hAnsi="Times New Roman"/>
          <w:noProof/>
          <w:sz w:val="24"/>
          <w:szCs w:val="24"/>
        </w:rPr>
        <w:t>10</w:t>
      </w:r>
      <w:r>
        <w:rPr>
          <w:rFonts w:ascii="Times New Roman" w:hAnsi="Times New Roman"/>
          <w:noProof/>
          <w:sz w:val="24"/>
          <w:szCs w:val="24"/>
        </w:rPr>
        <w:t> </w:t>
      </w:r>
      <w:r>
        <w:rPr>
          <w:rFonts w:ascii="Times New Roman" w:hAnsi="Times New Roman"/>
          <w:i/>
          <w:iCs/>
          <w:noProof/>
          <w:sz w:val="24"/>
          <w:szCs w:val="24"/>
        </w:rPr>
        <w:t>quater</w:t>
      </w:r>
      <w:r>
        <w:rPr>
          <w:rFonts w:ascii="Times New Roman" w:hAnsi="Times New Roman"/>
          <w:noProof/>
          <w:sz w:val="24"/>
          <w:szCs w:val="24"/>
        </w:rPr>
        <w:t xml:space="preserve"> qui n’ont pas été alloués à partir de la phase </w:t>
      </w:r>
      <w:r w:rsidRPr="00F43FC8">
        <w:rPr>
          <w:rFonts w:ascii="Times New Roman" w:hAnsi="Times New Roman"/>
          <w:noProof/>
          <w:sz w:val="24"/>
          <w:szCs w:val="24"/>
        </w:rPr>
        <w:t>3</w:t>
      </w:r>
      <w:r>
        <w:rPr>
          <w:rFonts w:ascii="Times New Roman" w:hAnsi="Times New Roman"/>
          <w:noProof/>
          <w:sz w:val="24"/>
          <w:szCs w:val="24"/>
        </w:rPr>
        <w:t xml:space="preserve"> pouvaient être soit mis aux enchères, soit, conformément à la directive SEQE-UE, être alloués, pendant la phase </w:t>
      </w:r>
      <w:r w:rsidRPr="00F43FC8">
        <w:rPr>
          <w:rFonts w:ascii="Times New Roman" w:hAnsi="Times New Roman"/>
          <w:noProof/>
          <w:sz w:val="24"/>
          <w:szCs w:val="24"/>
        </w:rPr>
        <w:t>4</w:t>
      </w:r>
      <w:r>
        <w:rPr>
          <w:rFonts w:ascii="Times New Roman" w:hAnsi="Times New Roman"/>
          <w:noProof/>
          <w:sz w:val="24"/>
          <w:szCs w:val="24"/>
        </w:rPr>
        <w:t>, aux investissements visés à l’article </w:t>
      </w:r>
      <w:r w:rsidRPr="00F43FC8">
        <w:rPr>
          <w:rFonts w:ascii="Times New Roman" w:hAnsi="Times New Roman"/>
          <w:noProof/>
          <w:sz w:val="24"/>
          <w:szCs w:val="24"/>
        </w:rPr>
        <w:t>10</w:t>
      </w:r>
      <w:r>
        <w:rPr>
          <w:rFonts w:ascii="Times New Roman" w:hAnsi="Times New Roman"/>
          <w:noProof/>
          <w:sz w:val="24"/>
          <w:szCs w:val="24"/>
        </w:rPr>
        <w:t xml:space="preserve"> </w:t>
      </w:r>
      <w:r>
        <w:rPr>
          <w:rFonts w:ascii="Times New Roman" w:hAnsi="Times New Roman"/>
          <w:i/>
          <w:iCs/>
          <w:noProof/>
          <w:sz w:val="24"/>
          <w:szCs w:val="24"/>
        </w:rPr>
        <w:t>quater</w:t>
      </w:r>
      <w:r>
        <w:rPr>
          <w:rFonts w:ascii="Times New Roman" w:hAnsi="Times New Roman"/>
          <w:noProof/>
          <w:sz w:val="24"/>
          <w:szCs w:val="24"/>
        </w:rPr>
        <w:t xml:space="preserve"> sélectionnés par une mise en concurrence ou transférés au Fonds pour la modernisation. L</w:t>
      </w:r>
      <w:r w:rsidR="00155B66">
        <w:rPr>
          <w:rFonts w:ascii="Times New Roman" w:hAnsi="Times New Roman"/>
          <w:noProof/>
          <w:sz w:val="24"/>
          <w:szCs w:val="24"/>
        </w:rPr>
        <w:t xml:space="preserve">e graphique </w:t>
      </w:r>
      <w:r w:rsidR="00155B66" w:rsidRPr="00F43FC8">
        <w:rPr>
          <w:rFonts w:ascii="Times New Roman" w:hAnsi="Times New Roman"/>
          <w:noProof/>
          <w:sz w:val="24"/>
          <w:szCs w:val="24"/>
        </w:rPr>
        <w:t>5</w:t>
      </w:r>
      <w:r>
        <w:rPr>
          <w:rFonts w:ascii="Times New Roman" w:hAnsi="Times New Roman"/>
          <w:noProof/>
          <w:sz w:val="24"/>
          <w:szCs w:val="24"/>
        </w:rPr>
        <w:t xml:space="preserve"> montre la mesure dans laquelle les quotas visés à l’article </w:t>
      </w:r>
      <w:r w:rsidRPr="00F43FC8">
        <w:rPr>
          <w:rFonts w:ascii="Times New Roman" w:hAnsi="Times New Roman"/>
          <w:noProof/>
          <w:sz w:val="24"/>
          <w:szCs w:val="24"/>
        </w:rPr>
        <w:t>10</w:t>
      </w:r>
      <w:r>
        <w:rPr>
          <w:rFonts w:ascii="Times New Roman" w:hAnsi="Times New Roman"/>
          <w:noProof/>
          <w:sz w:val="24"/>
          <w:szCs w:val="24"/>
        </w:rPr>
        <w:t> </w:t>
      </w:r>
      <w:r>
        <w:rPr>
          <w:rFonts w:ascii="Times New Roman" w:hAnsi="Times New Roman"/>
          <w:i/>
          <w:iCs/>
          <w:noProof/>
          <w:sz w:val="24"/>
          <w:szCs w:val="24"/>
        </w:rPr>
        <w:t>quater</w:t>
      </w:r>
      <w:r>
        <w:rPr>
          <w:rFonts w:ascii="Times New Roman" w:hAnsi="Times New Roman"/>
          <w:noProof/>
          <w:sz w:val="24"/>
          <w:szCs w:val="24"/>
        </w:rPr>
        <w:t xml:space="preserve"> de chaque année d’allocation de la phase </w:t>
      </w:r>
      <w:r w:rsidRPr="00F43FC8">
        <w:rPr>
          <w:rFonts w:ascii="Times New Roman" w:hAnsi="Times New Roman"/>
          <w:noProof/>
          <w:sz w:val="24"/>
          <w:szCs w:val="24"/>
        </w:rPr>
        <w:t>3</w:t>
      </w:r>
      <w:r>
        <w:rPr>
          <w:rFonts w:ascii="Times New Roman" w:hAnsi="Times New Roman"/>
          <w:noProof/>
          <w:sz w:val="24"/>
          <w:szCs w:val="24"/>
        </w:rPr>
        <w:t xml:space="preserve"> ont été alloués, mis aux enchères ou transférés à la phase </w:t>
      </w:r>
      <w:r w:rsidRPr="00F43FC8">
        <w:rPr>
          <w:rFonts w:ascii="Times New Roman" w:hAnsi="Times New Roman"/>
          <w:noProof/>
          <w:sz w:val="24"/>
          <w:szCs w:val="24"/>
        </w:rPr>
        <w:t>4</w:t>
      </w:r>
      <w:r>
        <w:rPr>
          <w:rFonts w:ascii="Times New Roman" w:hAnsi="Times New Roman"/>
          <w:noProof/>
          <w:sz w:val="24"/>
          <w:szCs w:val="24"/>
        </w:rPr>
        <w:t>.</w:t>
      </w:r>
    </w:p>
    <w:p w14:paraId="37CC7504" w14:textId="0C6B6C5C" w:rsidR="00DD2B9B" w:rsidRPr="00DA11F1" w:rsidRDefault="00155B66" w:rsidP="00DD2B9B">
      <w:pPr>
        <w:pStyle w:val="Caption"/>
        <w:keepNext/>
        <w:jc w:val="both"/>
        <w:rPr>
          <w:rFonts w:ascii="Times New Roman" w:hAnsi="Times New Roman"/>
          <w:noProof/>
          <w:sz w:val="22"/>
        </w:rPr>
      </w:pPr>
      <w:bookmarkStart w:id="34" w:name="_Ref85026212"/>
      <w:r>
        <w:rPr>
          <w:rFonts w:ascii="Times New Roman" w:hAnsi="Times New Roman"/>
          <w:noProof/>
          <w:sz w:val="22"/>
        </w:rPr>
        <w:t>Graphique</w:t>
      </w:r>
      <w:r w:rsidR="00DD2B9B">
        <w:rPr>
          <w:rFonts w:ascii="Times New Roman" w:hAnsi="Times New Roman"/>
          <w:noProof/>
          <w:sz w:val="22"/>
        </w:rPr>
        <w:t> </w:t>
      </w:r>
      <w:r w:rsidR="00F2602C" w:rsidRPr="00DA11F1">
        <w:rPr>
          <w:rFonts w:ascii="Times New Roman" w:hAnsi="Times New Roman"/>
          <w:noProof/>
          <w:sz w:val="22"/>
        </w:rPr>
        <w:fldChar w:fldCharType="begin"/>
      </w:r>
      <w:r w:rsidR="00F2602C" w:rsidRPr="00DA11F1">
        <w:rPr>
          <w:rFonts w:ascii="Times New Roman" w:hAnsi="Times New Roman"/>
          <w:noProof/>
          <w:sz w:val="22"/>
        </w:rPr>
        <w:instrText xml:space="preserve"> SEQ Figure \* ARABIC </w:instrText>
      </w:r>
      <w:r w:rsidR="00F2602C" w:rsidRPr="00DA11F1">
        <w:rPr>
          <w:rFonts w:ascii="Times New Roman" w:hAnsi="Times New Roman"/>
          <w:noProof/>
          <w:sz w:val="22"/>
        </w:rPr>
        <w:fldChar w:fldCharType="separate"/>
      </w:r>
      <w:r w:rsidR="00F2602C" w:rsidRPr="00F43FC8">
        <w:rPr>
          <w:rFonts w:ascii="Times New Roman" w:hAnsi="Times New Roman"/>
          <w:noProof/>
          <w:sz w:val="22"/>
        </w:rPr>
        <w:t>5</w:t>
      </w:r>
      <w:r w:rsidR="00F2602C" w:rsidRPr="00DA11F1">
        <w:rPr>
          <w:rFonts w:ascii="Times New Roman" w:hAnsi="Times New Roman"/>
          <w:noProof/>
          <w:sz w:val="22"/>
        </w:rPr>
        <w:fldChar w:fldCharType="end"/>
      </w:r>
      <w:bookmarkEnd w:id="34"/>
      <w:r w:rsidR="00DD2B9B">
        <w:rPr>
          <w:rFonts w:ascii="Times New Roman" w:hAnsi="Times New Roman"/>
          <w:noProof/>
          <w:sz w:val="22"/>
        </w:rPr>
        <w:t>. Répartition du reste des quotas visés à l’article </w:t>
      </w:r>
      <w:r w:rsidR="00DD2B9B" w:rsidRPr="00F43FC8">
        <w:rPr>
          <w:rFonts w:ascii="Times New Roman" w:hAnsi="Times New Roman"/>
          <w:noProof/>
          <w:sz w:val="22"/>
        </w:rPr>
        <w:t>10</w:t>
      </w:r>
      <w:r w:rsidR="00DD2B9B">
        <w:rPr>
          <w:rFonts w:ascii="Times New Roman" w:hAnsi="Times New Roman"/>
          <w:noProof/>
          <w:sz w:val="22"/>
        </w:rPr>
        <w:t> </w:t>
      </w:r>
      <w:r w:rsidR="00DD2B9B">
        <w:rPr>
          <w:rFonts w:ascii="Times New Roman" w:hAnsi="Times New Roman"/>
          <w:i/>
          <w:iCs/>
          <w:noProof/>
          <w:sz w:val="22"/>
        </w:rPr>
        <w:t>quater</w:t>
      </w:r>
      <w:r w:rsidR="00DD2B9B">
        <w:rPr>
          <w:rFonts w:ascii="Times New Roman" w:hAnsi="Times New Roman"/>
          <w:noProof/>
          <w:sz w:val="22"/>
        </w:rPr>
        <w:t xml:space="preserve"> (alloués, mis aux enchères ou transférés à la phase </w:t>
      </w:r>
      <w:r w:rsidR="00DD2B9B" w:rsidRPr="00F43FC8">
        <w:rPr>
          <w:rFonts w:ascii="Times New Roman" w:hAnsi="Times New Roman"/>
          <w:noProof/>
          <w:sz w:val="22"/>
        </w:rPr>
        <w:t>4</w:t>
      </w:r>
      <w:r w:rsidR="00DD2B9B">
        <w:rPr>
          <w:rFonts w:ascii="Times New Roman" w:hAnsi="Times New Roman"/>
          <w:noProof/>
          <w:sz w:val="22"/>
        </w:rPr>
        <w:t>)</w:t>
      </w:r>
      <w:r w:rsidR="00DD2B9B">
        <w:rPr>
          <w:rFonts w:ascii="Times New Roman" w:hAnsi="Times New Roman"/>
          <w:b w:val="0"/>
          <w:noProof/>
          <w:vertAlign w:val="superscript"/>
        </w:rPr>
        <w:t xml:space="preserve"> </w:t>
      </w:r>
      <w:r w:rsidR="00DD2B9B" w:rsidRPr="00DA11F1">
        <w:rPr>
          <w:rFonts w:ascii="Times New Roman" w:hAnsi="Times New Roman"/>
          <w:b w:val="0"/>
          <w:noProof/>
          <w:vertAlign w:val="superscript"/>
        </w:rPr>
        <w:footnoteReference w:id="45"/>
      </w:r>
    </w:p>
    <w:p w14:paraId="4F4D6D43" w14:textId="6EB8FCCC" w:rsidR="007A2893" w:rsidRPr="00DA11F1" w:rsidRDefault="005C0518" w:rsidP="005C0518">
      <w:pPr>
        <w:jc w:val="center"/>
        <w:rPr>
          <w:rFonts w:ascii="Times New Roman" w:hAnsi="Times New Roman"/>
          <w:noProof/>
          <w:sz w:val="24"/>
          <w:szCs w:val="24"/>
        </w:rPr>
      </w:pPr>
      <w:r w:rsidRPr="005C0518">
        <w:rPr>
          <w:noProof/>
          <w:lang w:val="en-GB" w:eastAsia="en-GB"/>
        </w:rPr>
        <w:drawing>
          <wp:inline distT="0" distB="0" distL="0" distR="0" wp14:anchorId="45286628" wp14:editId="22475069">
            <wp:extent cx="5731510" cy="3085832"/>
            <wp:effectExtent l="0" t="0" r="254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731510" cy="3085832"/>
                    </a:xfrm>
                    <a:prstGeom prst="rect">
                      <a:avLst/>
                    </a:prstGeom>
                    <a:noFill/>
                    <a:ln>
                      <a:noFill/>
                    </a:ln>
                  </pic:spPr>
                </pic:pic>
              </a:graphicData>
            </a:graphic>
          </wp:inline>
        </w:drawing>
      </w:r>
    </w:p>
    <w:p w14:paraId="58716F01" w14:textId="77777777" w:rsidR="00F43627" w:rsidRPr="00DA11F1" w:rsidRDefault="00F43627" w:rsidP="00BC21AD">
      <w:pPr>
        <w:spacing w:before="120" w:after="120"/>
        <w:ind w:right="57"/>
        <w:jc w:val="both"/>
        <w:rPr>
          <w:rFonts w:ascii="Times New Roman" w:eastAsia="Times New Roman" w:hAnsi="Times New Roman"/>
          <w:noProof/>
          <w:sz w:val="20"/>
          <w:szCs w:val="18"/>
        </w:rPr>
      </w:pPr>
      <w:r>
        <w:rPr>
          <w:rFonts w:ascii="Times New Roman" w:hAnsi="Times New Roman"/>
          <w:noProof/>
          <w:sz w:val="20"/>
          <w:szCs w:val="18"/>
        </w:rPr>
        <w:t>Source: DG Action pour le climat</w:t>
      </w:r>
    </w:p>
    <w:p w14:paraId="59378776" w14:textId="6239D5BC" w:rsidR="00F43627" w:rsidRPr="00DA11F1" w:rsidRDefault="006B3A67" w:rsidP="00F43627">
      <w:pPr>
        <w:jc w:val="both"/>
        <w:rPr>
          <w:rFonts w:ascii="Times New Roman" w:hAnsi="Times New Roman"/>
          <w:noProof/>
        </w:rPr>
      </w:pPr>
      <w:r>
        <w:rPr>
          <w:rFonts w:ascii="Times New Roman" w:hAnsi="Times New Roman"/>
          <w:noProof/>
          <w:sz w:val="24"/>
          <w:szCs w:val="24"/>
        </w:rPr>
        <w:t xml:space="preserve">Dans l’ensemble, environ </w:t>
      </w:r>
      <w:r w:rsidRPr="00F43FC8">
        <w:rPr>
          <w:rFonts w:ascii="Times New Roman" w:hAnsi="Times New Roman"/>
          <w:noProof/>
          <w:sz w:val="24"/>
          <w:szCs w:val="24"/>
        </w:rPr>
        <w:t>74</w:t>
      </w:r>
      <w:r>
        <w:rPr>
          <w:rFonts w:ascii="Times New Roman" w:hAnsi="Times New Roman"/>
          <w:noProof/>
          <w:sz w:val="24"/>
          <w:szCs w:val="24"/>
        </w:rPr>
        <w:t> % des quotas visés à l’article </w:t>
      </w:r>
      <w:r w:rsidRPr="00F43FC8">
        <w:rPr>
          <w:rFonts w:ascii="Times New Roman" w:hAnsi="Times New Roman"/>
          <w:noProof/>
          <w:sz w:val="24"/>
          <w:szCs w:val="24"/>
        </w:rPr>
        <w:t>10</w:t>
      </w:r>
      <w:r>
        <w:rPr>
          <w:rFonts w:ascii="Times New Roman" w:hAnsi="Times New Roman"/>
          <w:noProof/>
          <w:sz w:val="24"/>
          <w:szCs w:val="24"/>
        </w:rPr>
        <w:t> </w:t>
      </w:r>
      <w:r>
        <w:rPr>
          <w:rFonts w:ascii="Times New Roman" w:hAnsi="Times New Roman"/>
          <w:i/>
          <w:iCs/>
          <w:noProof/>
          <w:sz w:val="24"/>
          <w:szCs w:val="24"/>
        </w:rPr>
        <w:t>quater</w:t>
      </w:r>
      <w:r>
        <w:rPr>
          <w:rFonts w:ascii="Times New Roman" w:hAnsi="Times New Roman"/>
          <w:noProof/>
          <w:sz w:val="24"/>
          <w:szCs w:val="24"/>
        </w:rPr>
        <w:t xml:space="preserve"> qui étaient disponibles ont été alloués entre </w:t>
      </w:r>
      <w:r w:rsidRPr="00F43FC8">
        <w:rPr>
          <w:rFonts w:ascii="Times New Roman" w:hAnsi="Times New Roman"/>
          <w:noProof/>
          <w:sz w:val="24"/>
          <w:szCs w:val="24"/>
        </w:rPr>
        <w:t>2013</w:t>
      </w:r>
      <w:r>
        <w:rPr>
          <w:rFonts w:ascii="Times New Roman" w:hAnsi="Times New Roman"/>
          <w:noProof/>
          <w:sz w:val="24"/>
          <w:szCs w:val="24"/>
        </w:rPr>
        <w:t> et </w:t>
      </w:r>
      <w:r w:rsidRPr="00F43FC8">
        <w:rPr>
          <w:rFonts w:ascii="Times New Roman" w:hAnsi="Times New Roman"/>
          <w:noProof/>
          <w:sz w:val="24"/>
          <w:szCs w:val="24"/>
        </w:rPr>
        <w:t>2019</w:t>
      </w:r>
      <w:r>
        <w:rPr>
          <w:rFonts w:ascii="Times New Roman" w:hAnsi="Times New Roman"/>
          <w:noProof/>
          <w:sz w:val="24"/>
          <w:szCs w:val="24"/>
        </w:rPr>
        <w:t xml:space="preserve">. La plupart des quotas restants ont été mis aux enchères, et seule une faible quantité (environ </w:t>
      </w:r>
      <w:r w:rsidRPr="00F43FC8">
        <w:rPr>
          <w:rFonts w:ascii="Times New Roman" w:hAnsi="Times New Roman"/>
          <w:noProof/>
          <w:sz w:val="24"/>
          <w:szCs w:val="24"/>
        </w:rPr>
        <w:t>0</w:t>
      </w:r>
      <w:r>
        <w:rPr>
          <w:rFonts w:ascii="Times New Roman" w:hAnsi="Times New Roman"/>
          <w:noProof/>
          <w:sz w:val="24"/>
          <w:szCs w:val="24"/>
        </w:rPr>
        <w:t>,</w:t>
      </w:r>
      <w:r w:rsidRPr="00F43FC8">
        <w:rPr>
          <w:rFonts w:ascii="Times New Roman" w:hAnsi="Times New Roman"/>
          <w:noProof/>
          <w:sz w:val="24"/>
          <w:szCs w:val="24"/>
        </w:rPr>
        <w:t>5</w:t>
      </w:r>
      <w:r>
        <w:rPr>
          <w:rFonts w:ascii="Times New Roman" w:hAnsi="Times New Roman"/>
          <w:noProof/>
          <w:sz w:val="24"/>
          <w:szCs w:val="24"/>
        </w:rPr>
        <w:t> %) a été transférée à la phase </w:t>
      </w:r>
      <w:r w:rsidRPr="00F43FC8">
        <w:rPr>
          <w:rFonts w:ascii="Times New Roman" w:hAnsi="Times New Roman"/>
          <w:noProof/>
          <w:sz w:val="24"/>
          <w:szCs w:val="24"/>
        </w:rPr>
        <w:t>4</w:t>
      </w:r>
      <w:r>
        <w:rPr>
          <w:rFonts w:ascii="Times New Roman" w:hAnsi="Times New Roman"/>
          <w:noProof/>
          <w:sz w:val="24"/>
          <w:szCs w:val="24"/>
        </w:rPr>
        <w:t xml:space="preserve">. Le nombre de quotas non alloués qui ont été mis aux enchères (ou dont la mise aux enchères est prévue), par État membre, au titre de la dérogation visée à l’article </w:t>
      </w:r>
      <w:r w:rsidRPr="00F43FC8">
        <w:rPr>
          <w:rFonts w:ascii="Times New Roman" w:hAnsi="Times New Roman"/>
          <w:noProof/>
          <w:sz w:val="24"/>
          <w:szCs w:val="24"/>
        </w:rPr>
        <w:t>10</w:t>
      </w:r>
      <w:r>
        <w:rPr>
          <w:rFonts w:ascii="Times New Roman" w:hAnsi="Times New Roman"/>
          <w:noProof/>
          <w:sz w:val="24"/>
          <w:szCs w:val="24"/>
        </w:rPr>
        <w:t> </w:t>
      </w:r>
      <w:r>
        <w:rPr>
          <w:rFonts w:ascii="Times New Roman" w:hAnsi="Times New Roman"/>
          <w:i/>
          <w:iCs/>
          <w:noProof/>
          <w:sz w:val="24"/>
          <w:szCs w:val="24"/>
        </w:rPr>
        <w:t>quater</w:t>
      </w:r>
      <w:r>
        <w:rPr>
          <w:rFonts w:ascii="Times New Roman" w:hAnsi="Times New Roman"/>
          <w:noProof/>
          <w:sz w:val="24"/>
          <w:szCs w:val="24"/>
        </w:rPr>
        <w:t xml:space="preserve"> au cours de la phase </w:t>
      </w:r>
      <w:r w:rsidRPr="00F43FC8">
        <w:rPr>
          <w:rFonts w:ascii="Times New Roman" w:hAnsi="Times New Roman"/>
          <w:noProof/>
          <w:sz w:val="24"/>
          <w:szCs w:val="24"/>
        </w:rPr>
        <w:t>3</w:t>
      </w:r>
      <w:r>
        <w:rPr>
          <w:rFonts w:ascii="Times New Roman" w:hAnsi="Times New Roman"/>
          <w:noProof/>
          <w:sz w:val="24"/>
          <w:szCs w:val="24"/>
        </w:rPr>
        <w:t xml:space="preserve"> est indiqué dans le tableau </w:t>
      </w:r>
      <w:r w:rsidRPr="00F43FC8">
        <w:rPr>
          <w:rFonts w:ascii="Times New Roman" w:hAnsi="Times New Roman"/>
          <w:noProof/>
          <w:sz w:val="24"/>
          <w:szCs w:val="24"/>
        </w:rPr>
        <w:t>6</w:t>
      </w:r>
      <w:r>
        <w:rPr>
          <w:rFonts w:ascii="Times New Roman" w:hAnsi="Times New Roman"/>
          <w:noProof/>
          <w:sz w:val="24"/>
          <w:szCs w:val="24"/>
        </w:rPr>
        <w:t>.</w:t>
      </w:r>
      <w:r w:rsidRPr="00F43FC8">
        <w:rPr>
          <w:rFonts w:ascii="Times New Roman" w:hAnsi="Times New Roman"/>
          <w:noProof/>
          <w:sz w:val="24"/>
          <w:szCs w:val="24"/>
        </w:rPr>
        <w:t>3</w:t>
      </w:r>
      <w:r>
        <w:rPr>
          <w:rFonts w:ascii="Times New Roman" w:hAnsi="Times New Roman"/>
          <w:noProof/>
          <w:sz w:val="24"/>
          <w:szCs w:val="24"/>
        </w:rPr>
        <w:t xml:space="preserve"> de l’annexe </w:t>
      </w:r>
      <w:r w:rsidRPr="00F43FC8">
        <w:rPr>
          <w:rFonts w:ascii="Times New Roman" w:hAnsi="Times New Roman"/>
          <w:noProof/>
          <w:sz w:val="24"/>
          <w:szCs w:val="24"/>
        </w:rPr>
        <w:t>6</w:t>
      </w:r>
      <w:r>
        <w:rPr>
          <w:rFonts w:ascii="Times New Roman" w:hAnsi="Times New Roman"/>
          <w:noProof/>
          <w:sz w:val="24"/>
          <w:szCs w:val="24"/>
        </w:rPr>
        <w:t xml:space="preserve"> du document de travail des services de la Commission accompagnant le présent rapport.</w:t>
      </w:r>
    </w:p>
    <w:p w14:paraId="3768CDE9" w14:textId="281116FD" w:rsidR="00A227C1" w:rsidRPr="00DA11F1" w:rsidRDefault="00F43627" w:rsidP="00DE3556">
      <w:pPr>
        <w:jc w:val="both"/>
        <w:rPr>
          <w:rFonts w:ascii="Times New Roman" w:hAnsi="Times New Roman"/>
          <w:noProof/>
          <w:sz w:val="24"/>
          <w:szCs w:val="24"/>
        </w:rPr>
      </w:pPr>
      <w:r>
        <w:rPr>
          <w:rFonts w:ascii="Times New Roman" w:hAnsi="Times New Roman"/>
          <w:noProof/>
          <w:sz w:val="24"/>
          <w:szCs w:val="24"/>
        </w:rPr>
        <w:t>L’allocation transitoire à titre gratuit visée à l’article </w:t>
      </w:r>
      <w:r w:rsidRPr="00F43FC8">
        <w:rPr>
          <w:rFonts w:ascii="Times New Roman" w:hAnsi="Times New Roman"/>
          <w:noProof/>
          <w:sz w:val="24"/>
          <w:szCs w:val="24"/>
        </w:rPr>
        <w:t>10</w:t>
      </w:r>
      <w:r>
        <w:rPr>
          <w:rFonts w:ascii="Times New Roman" w:hAnsi="Times New Roman"/>
          <w:noProof/>
          <w:sz w:val="24"/>
          <w:szCs w:val="24"/>
        </w:rPr>
        <w:t> </w:t>
      </w:r>
      <w:r>
        <w:rPr>
          <w:rFonts w:ascii="Times New Roman" w:hAnsi="Times New Roman"/>
          <w:i/>
          <w:iCs/>
          <w:noProof/>
          <w:sz w:val="24"/>
          <w:szCs w:val="24"/>
        </w:rPr>
        <w:t>quater</w:t>
      </w:r>
      <w:r>
        <w:rPr>
          <w:rFonts w:ascii="Times New Roman" w:hAnsi="Times New Roman"/>
          <w:noProof/>
          <w:sz w:val="24"/>
          <w:szCs w:val="24"/>
        </w:rPr>
        <w:t xml:space="preserve"> de la directive SEQE-UE continuera d’être disponible au cours de la phase </w:t>
      </w:r>
      <w:r w:rsidRPr="00F43FC8">
        <w:rPr>
          <w:rFonts w:ascii="Times New Roman" w:hAnsi="Times New Roman"/>
          <w:noProof/>
          <w:sz w:val="24"/>
          <w:szCs w:val="24"/>
        </w:rPr>
        <w:t>4</w:t>
      </w:r>
      <w:r>
        <w:rPr>
          <w:rFonts w:ascii="Times New Roman" w:hAnsi="Times New Roman"/>
          <w:noProof/>
          <w:sz w:val="24"/>
          <w:szCs w:val="24"/>
        </w:rPr>
        <w:t>, mais sera assortie de dispositions renforcées en matière de transparence et de la possibilité pour les États membres remplissant les conditions requises d’utiliser tout ou partie de leur allocation au titre de l’article </w:t>
      </w:r>
      <w:r w:rsidRPr="00F43FC8">
        <w:rPr>
          <w:rFonts w:ascii="Times New Roman" w:hAnsi="Times New Roman"/>
          <w:noProof/>
          <w:sz w:val="24"/>
          <w:szCs w:val="24"/>
        </w:rPr>
        <w:t>10</w:t>
      </w:r>
      <w:r>
        <w:rPr>
          <w:rFonts w:ascii="Times New Roman" w:hAnsi="Times New Roman"/>
          <w:noProof/>
          <w:sz w:val="24"/>
          <w:szCs w:val="24"/>
        </w:rPr>
        <w:t> </w:t>
      </w:r>
      <w:r>
        <w:rPr>
          <w:rFonts w:ascii="Times New Roman" w:hAnsi="Times New Roman"/>
          <w:i/>
          <w:iCs/>
          <w:noProof/>
          <w:sz w:val="24"/>
          <w:szCs w:val="24"/>
        </w:rPr>
        <w:t>quater</w:t>
      </w:r>
      <w:r>
        <w:rPr>
          <w:rFonts w:ascii="Times New Roman" w:hAnsi="Times New Roman"/>
          <w:noProof/>
          <w:sz w:val="24"/>
          <w:szCs w:val="24"/>
        </w:rPr>
        <w:t xml:space="preserve"> pour soutenir des investissements dans le cadre du Fonds pour la modernisation. La Bulgarie, la Roumanie et la Hongrie ont choisi de continuer d’utiliser l’article </w:t>
      </w:r>
      <w:r w:rsidRPr="00F43FC8">
        <w:rPr>
          <w:rFonts w:ascii="Times New Roman" w:hAnsi="Times New Roman"/>
          <w:noProof/>
          <w:sz w:val="24"/>
          <w:szCs w:val="24"/>
        </w:rPr>
        <w:t>10</w:t>
      </w:r>
      <w:r>
        <w:rPr>
          <w:rFonts w:ascii="Times New Roman" w:hAnsi="Times New Roman"/>
          <w:noProof/>
          <w:sz w:val="24"/>
          <w:szCs w:val="24"/>
        </w:rPr>
        <w:t> </w:t>
      </w:r>
      <w:r>
        <w:rPr>
          <w:rFonts w:ascii="Times New Roman" w:hAnsi="Times New Roman"/>
          <w:i/>
          <w:iCs/>
          <w:noProof/>
          <w:sz w:val="24"/>
          <w:szCs w:val="24"/>
        </w:rPr>
        <w:t>quater</w:t>
      </w:r>
      <w:r>
        <w:rPr>
          <w:rFonts w:ascii="Times New Roman" w:hAnsi="Times New Roman"/>
          <w:noProof/>
          <w:sz w:val="24"/>
          <w:szCs w:val="24"/>
        </w:rPr>
        <w:t xml:space="preserve"> lors de la phase </w:t>
      </w:r>
      <w:r w:rsidRPr="00F43FC8">
        <w:rPr>
          <w:rFonts w:ascii="Times New Roman" w:hAnsi="Times New Roman"/>
          <w:noProof/>
          <w:sz w:val="24"/>
          <w:szCs w:val="24"/>
        </w:rPr>
        <w:t>4</w:t>
      </w:r>
      <w:r w:rsidR="005B62BF">
        <w:rPr>
          <w:rStyle w:val="FootnoteReference"/>
          <w:rFonts w:ascii="Times New Roman" w:hAnsi="Times New Roman"/>
          <w:noProof/>
          <w:sz w:val="24"/>
          <w:szCs w:val="24"/>
        </w:rPr>
        <w:footnoteReference w:id="46"/>
      </w:r>
      <w:r>
        <w:rPr>
          <w:rFonts w:ascii="Times New Roman" w:hAnsi="Times New Roman"/>
          <w:noProof/>
          <w:sz w:val="24"/>
          <w:szCs w:val="24"/>
        </w:rPr>
        <w:t xml:space="preserve"> et élaborent actuellement des cadres nationaux en vue de mettre en œuvre cette disposition. Ces cadres doivent être approuvés par la Commission conformément aux règles relatives aux aides d’État</w:t>
      </w:r>
      <w:r w:rsidR="00F31B2B" w:rsidRPr="00DA11F1">
        <w:rPr>
          <w:rStyle w:val="FootnoteReference"/>
          <w:rFonts w:ascii="Times New Roman" w:hAnsi="Times New Roman"/>
          <w:noProof/>
          <w:sz w:val="24"/>
          <w:szCs w:val="24"/>
        </w:rPr>
        <w:footnoteReference w:id="47"/>
      </w:r>
      <w:r>
        <w:rPr>
          <w:rFonts w:ascii="Times New Roman" w:hAnsi="Times New Roman"/>
          <w:noProof/>
          <w:sz w:val="24"/>
          <w:szCs w:val="24"/>
        </w:rPr>
        <w:t>. Les autres États membres remplissant les conditions requises</w:t>
      </w:r>
      <w:r w:rsidR="00BF031E" w:rsidRPr="00DA11F1">
        <w:rPr>
          <w:rStyle w:val="FootnoteReference"/>
          <w:rFonts w:ascii="Times New Roman" w:hAnsi="Times New Roman"/>
          <w:noProof/>
          <w:sz w:val="24"/>
          <w:szCs w:val="24"/>
        </w:rPr>
        <w:footnoteReference w:id="48"/>
      </w:r>
      <w:r>
        <w:rPr>
          <w:rFonts w:ascii="Times New Roman" w:hAnsi="Times New Roman"/>
          <w:noProof/>
          <w:sz w:val="24"/>
          <w:szCs w:val="24"/>
        </w:rPr>
        <w:t xml:space="preserve"> ont choisi soit de mettre aux enchères leurs quotas de la phase </w:t>
      </w:r>
      <w:r w:rsidRPr="00F43FC8">
        <w:rPr>
          <w:rFonts w:ascii="Times New Roman" w:hAnsi="Times New Roman"/>
          <w:noProof/>
          <w:sz w:val="24"/>
          <w:szCs w:val="24"/>
        </w:rPr>
        <w:t>4</w:t>
      </w:r>
      <w:r>
        <w:rPr>
          <w:rFonts w:ascii="Times New Roman" w:hAnsi="Times New Roman"/>
          <w:noProof/>
          <w:sz w:val="24"/>
          <w:szCs w:val="24"/>
        </w:rPr>
        <w:t>, soit de les transférer vers le Fonds pour la modernisation. Le nombre de quotas de la phase </w:t>
      </w:r>
      <w:r w:rsidRPr="00F43FC8">
        <w:rPr>
          <w:rFonts w:ascii="Times New Roman" w:hAnsi="Times New Roman"/>
          <w:noProof/>
          <w:sz w:val="24"/>
          <w:szCs w:val="24"/>
        </w:rPr>
        <w:t>4</w:t>
      </w:r>
      <w:r>
        <w:rPr>
          <w:rFonts w:ascii="Times New Roman" w:hAnsi="Times New Roman"/>
          <w:noProof/>
          <w:sz w:val="24"/>
          <w:szCs w:val="24"/>
        </w:rPr>
        <w:t xml:space="preserve"> à utiliser au titre de la dérogation visée à l’article </w:t>
      </w:r>
      <w:r w:rsidRPr="00F43FC8">
        <w:rPr>
          <w:rFonts w:ascii="Times New Roman" w:hAnsi="Times New Roman"/>
          <w:noProof/>
          <w:sz w:val="24"/>
          <w:szCs w:val="24"/>
        </w:rPr>
        <w:t>10</w:t>
      </w:r>
      <w:r>
        <w:rPr>
          <w:rFonts w:ascii="Times New Roman" w:hAnsi="Times New Roman"/>
          <w:noProof/>
          <w:sz w:val="24"/>
          <w:szCs w:val="24"/>
        </w:rPr>
        <w:t> </w:t>
      </w:r>
      <w:r>
        <w:rPr>
          <w:rFonts w:ascii="Times New Roman" w:hAnsi="Times New Roman"/>
          <w:i/>
          <w:iCs/>
          <w:noProof/>
          <w:sz w:val="24"/>
          <w:szCs w:val="24"/>
        </w:rPr>
        <w:t>quater</w:t>
      </w:r>
      <w:r>
        <w:rPr>
          <w:rFonts w:ascii="Times New Roman" w:hAnsi="Times New Roman"/>
          <w:noProof/>
          <w:sz w:val="24"/>
          <w:szCs w:val="24"/>
        </w:rPr>
        <w:t>, à transférer vers le Fonds pour la modernisation ou à mettre aux enchères, est indiqué dans le tableau </w:t>
      </w:r>
      <w:r w:rsidRPr="00F43FC8">
        <w:rPr>
          <w:rFonts w:ascii="Times New Roman" w:hAnsi="Times New Roman"/>
          <w:noProof/>
          <w:sz w:val="24"/>
          <w:szCs w:val="24"/>
        </w:rPr>
        <w:t>6</w:t>
      </w:r>
      <w:r>
        <w:rPr>
          <w:rFonts w:ascii="Times New Roman" w:hAnsi="Times New Roman"/>
          <w:noProof/>
          <w:sz w:val="24"/>
          <w:szCs w:val="24"/>
        </w:rPr>
        <w:t>.</w:t>
      </w:r>
      <w:r w:rsidRPr="00F43FC8">
        <w:rPr>
          <w:rFonts w:ascii="Times New Roman" w:hAnsi="Times New Roman"/>
          <w:noProof/>
          <w:sz w:val="24"/>
          <w:szCs w:val="24"/>
        </w:rPr>
        <w:t>4</w:t>
      </w:r>
      <w:r>
        <w:rPr>
          <w:rFonts w:ascii="Times New Roman" w:hAnsi="Times New Roman"/>
          <w:noProof/>
          <w:sz w:val="24"/>
          <w:szCs w:val="24"/>
        </w:rPr>
        <w:t xml:space="preserve"> de l’annexe </w:t>
      </w:r>
      <w:r w:rsidRPr="00F43FC8">
        <w:rPr>
          <w:rFonts w:ascii="Times New Roman" w:hAnsi="Times New Roman"/>
          <w:noProof/>
          <w:sz w:val="24"/>
          <w:szCs w:val="24"/>
        </w:rPr>
        <w:t>6</w:t>
      </w:r>
      <w:r>
        <w:rPr>
          <w:rFonts w:ascii="Times New Roman" w:hAnsi="Times New Roman"/>
          <w:noProof/>
          <w:sz w:val="24"/>
          <w:szCs w:val="24"/>
        </w:rPr>
        <w:t xml:space="preserve"> du document de travail des services de la Commission accompagnant le présent rapport. </w:t>
      </w:r>
    </w:p>
    <w:p w14:paraId="378E918D" w14:textId="17E09717" w:rsidR="00131369" w:rsidRPr="00DA11F1" w:rsidRDefault="00FA7EBD" w:rsidP="00006E10">
      <w:pPr>
        <w:pStyle w:val="Heading3"/>
        <w:ind w:left="720"/>
        <w:rPr>
          <w:i/>
          <w:noProof/>
        </w:rPr>
      </w:pPr>
      <w:bookmarkStart w:id="35" w:name="_Toc490850427"/>
      <w:bookmarkStart w:id="36" w:name="_Toc89707766"/>
      <w:r w:rsidRPr="00F43FC8">
        <w:rPr>
          <w:i/>
          <w:noProof/>
        </w:rPr>
        <w:t>3</w:t>
      </w:r>
      <w:r>
        <w:rPr>
          <w:i/>
          <w:noProof/>
        </w:rPr>
        <w:t>.</w:t>
      </w:r>
      <w:r w:rsidRPr="00F43FC8">
        <w:rPr>
          <w:i/>
          <w:noProof/>
        </w:rPr>
        <w:t>1</w:t>
      </w:r>
      <w:r>
        <w:rPr>
          <w:i/>
          <w:noProof/>
        </w:rPr>
        <w:t>.</w:t>
      </w:r>
      <w:r w:rsidRPr="00F43FC8">
        <w:rPr>
          <w:i/>
          <w:noProof/>
        </w:rPr>
        <w:t>5</w:t>
      </w:r>
      <w:r>
        <w:rPr>
          <w:i/>
          <w:noProof/>
        </w:rPr>
        <w:t xml:space="preserve"> Programme NER </w:t>
      </w:r>
      <w:r w:rsidRPr="00F43FC8">
        <w:rPr>
          <w:i/>
          <w:noProof/>
        </w:rPr>
        <w:t>300</w:t>
      </w:r>
      <w:bookmarkEnd w:id="35"/>
      <w:bookmarkEnd w:id="36"/>
      <w:r>
        <w:rPr>
          <w:i/>
          <w:noProof/>
        </w:rPr>
        <w:t xml:space="preserve"> </w:t>
      </w:r>
    </w:p>
    <w:p w14:paraId="14567418" w14:textId="11C5847B" w:rsidR="00B04DED" w:rsidRPr="00DA11F1" w:rsidRDefault="001C6F82" w:rsidP="00DE3556">
      <w:pPr>
        <w:pStyle w:val="a3520normalp11"/>
        <w:spacing w:after="200" w:line="276" w:lineRule="auto"/>
        <w:rPr>
          <w:noProof/>
        </w:rPr>
      </w:pPr>
      <w:r>
        <w:rPr>
          <w:noProof/>
        </w:rPr>
        <w:t>Au cours de la phase </w:t>
      </w:r>
      <w:r w:rsidRPr="00F43FC8">
        <w:rPr>
          <w:noProof/>
        </w:rPr>
        <w:t>3</w:t>
      </w:r>
      <w:r>
        <w:rPr>
          <w:noProof/>
        </w:rPr>
        <w:t>, le NER </w:t>
      </w:r>
      <w:r w:rsidRPr="00F43FC8">
        <w:rPr>
          <w:noProof/>
        </w:rPr>
        <w:t>300</w:t>
      </w:r>
      <w:r>
        <w:rPr>
          <w:noProof/>
        </w:rPr>
        <w:t xml:space="preserve"> était un programme de financement de grande envergure destiné aux projets de démonstration novateurs dans le domaine des énergies à faibles émissions de carbone. Son objectif était la démonstration à l’échelle commerciale, dans l’Union, de technologies de captage et de stockage du carbone non nuisibles à l’environnement et de technologies innovantes liées aux énergies renouvelables. Le NER </w:t>
      </w:r>
      <w:r w:rsidRPr="00F43FC8">
        <w:rPr>
          <w:noProof/>
        </w:rPr>
        <w:t>300</w:t>
      </w:r>
      <w:r>
        <w:rPr>
          <w:noProof/>
        </w:rPr>
        <w:t xml:space="preserve"> a été financé par la monétisation de </w:t>
      </w:r>
      <w:r w:rsidRPr="00F43FC8">
        <w:rPr>
          <w:noProof/>
        </w:rPr>
        <w:t>300</w:t>
      </w:r>
      <w:r>
        <w:rPr>
          <w:noProof/>
        </w:rPr>
        <w:t> millions de quotas d’émission de la réserve destinée aux nouveaux entrants (NER). Les fonds ont été attribués à des projets sélectionnés à la suite de deux appels à propositions en décembre </w:t>
      </w:r>
      <w:r w:rsidRPr="00F43FC8">
        <w:rPr>
          <w:noProof/>
        </w:rPr>
        <w:t>2012</w:t>
      </w:r>
      <w:r>
        <w:rPr>
          <w:noProof/>
        </w:rPr>
        <w:t xml:space="preserve"> et en juillet </w:t>
      </w:r>
      <w:r w:rsidRPr="00F43FC8">
        <w:rPr>
          <w:noProof/>
        </w:rPr>
        <w:t>2014</w:t>
      </w:r>
      <w:r>
        <w:rPr>
          <w:noProof/>
        </w:rPr>
        <w:t xml:space="preserve">. </w:t>
      </w:r>
    </w:p>
    <w:p w14:paraId="07F2504F" w14:textId="7A6DA72A" w:rsidR="00085CF6" w:rsidRPr="00DA11F1" w:rsidRDefault="00507A09" w:rsidP="00AB73FF">
      <w:pPr>
        <w:ind w:right="57"/>
        <w:jc w:val="both"/>
        <w:rPr>
          <w:rFonts w:ascii="Times New Roman" w:eastAsia="Times New Roman" w:hAnsi="Times New Roman"/>
          <w:noProof/>
          <w:sz w:val="24"/>
          <w:szCs w:val="24"/>
        </w:rPr>
      </w:pPr>
      <w:r>
        <w:rPr>
          <w:rFonts w:ascii="Times New Roman" w:hAnsi="Times New Roman"/>
          <w:noProof/>
          <w:sz w:val="24"/>
          <w:szCs w:val="24"/>
        </w:rPr>
        <w:t xml:space="preserve">Au total, </w:t>
      </w:r>
      <w:r w:rsidRPr="00F43FC8">
        <w:rPr>
          <w:rFonts w:ascii="Times New Roman" w:hAnsi="Times New Roman"/>
          <w:noProof/>
          <w:sz w:val="24"/>
          <w:szCs w:val="24"/>
        </w:rPr>
        <w:t>38</w:t>
      </w:r>
      <w:r>
        <w:rPr>
          <w:rFonts w:ascii="Times New Roman" w:hAnsi="Times New Roman"/>
          <w:noProof/>
          <w:sz w:val="24"/>
          <w:szCs w:val="24"/>
        </w:rPr>
        <w:t xml:space="preserve"> projets liés aux énergies renouvelables et un projet de captage et stockage du carbone dans </w:t>
      </w:r>
      <w:r w:rsidRPr="00F43FC8">
        <w:rPr>
          <w:rFonts w:ascii="Times New Roman" w:hAnsi="Times New Roman"/>
          <w:noProof/>
          <w:sz w:val="24"/>
          <w:szCs w:val="24"/>
        </w:rPr>
        <w:t>20</w:t>
      </w:r>
      <w:r>
        <w:rPr>
          <w:rFonts w:ascii="Times New Roman" w:hAnsi="Times New Roman"/>
          <w:noProof/>
          <w:sz w:val="24"/>
          <w:szCs w:val="24"/>
        </w:rPr>
        <w:t> États membres ont reçu une aide au titre du NER </w:t>
      </w:r>
      <w:r w:rsidRPr="00F43FC8">
        <w:rPr>
          <w:rFonts w:ascii="Times New Roman" w:hAnsi="Times New Roman"/>
          <w:noProof/>
          <w:sz w:val="24"/>
          <w:szCs w:val="24"/>
        </w:rPr>
        <w:t>300</w:t>
      </w:r>
      <w:r>
        <w:rPr>
          <w:rFonts w:ascii="Times New Roman" w:hAnsi="Times New Roman"/>
          <w:noProof/>
          <w:sz w:val="24"/>
          <w:szCs w:val="24"/>
        </w:rPr>
        <w:t xml:space="preserve">, pour un montant de </w:t>
      </w:r>
      <w:r w:rsidRPr="00F43FC8">
        <w:rPr>
          <w:rFonts w:ascii="Times New Roman" w:hAnsi="Times New Roman"/>
          <w:noProof/>
          <w:sz w:val="24"/>
          <w:szCs w:val="24"/>
        </w:rPr>
        <w:t>2</w:t>
      </w:r>
      <w:r>
        <w:rPr>
          <w:rFonts w:ascii="Times New Roman" w:hAnsi="Times New Roman"/>
          <w:noProof/>
          <w:sz w:val="24"/>
          <w:szCs w:val="24"/>
        </w:rPr>
        <w:t>,</w:t>
      </w:r>
      <w:r w:rsidRPr="00F43FC8">
        <w:rPr>
          <w:rFonts w:ascii="Times New Roman" w:hAnsi="Times New Roman"/>
          <w:noProof/>
          <w:sz w:val="24"/>
          <w:szCs w:val="24"/>
        </w:rPr>
        <w:t>1</w:t>
      </w:r>
      <w:r>
        <w:rPr>
          <w:rFonts w:ascii="Times New Roman" w:hAnsi="Times New Roman"/>
          <w:noProof/>
          <w:sz w:val="24"/>
          <w:szCs w:val="24"/>
        </w:rPr>
        <w:t xml:space="preserve"> milliards d’euros. Au </w:t>
      </w:r>
      <w:r w:rsidRPr="00F43FC8">
        <w:rPr>
          <w:rFonts w:ascii="Times New Roman" w:hAnsi="Times New Roman"/>
          <w:noProof/>
          <w:sz w:val="24"/>
          <w:szCs w:val="24"/>
        </w:rPr>
        <w:t>30</w:t>
      </w:r>
      <w:r>
        <w:rPr>
          <w:rFonts w:ascii="Times New Roman" w:hAnsi="Times New Roman"/>
          <w:noProof/>
          <w:sz w:val="24"/>
          <w:szCs w:val="24"/>
        </w:rPr>
        <w:t> juin </w:t>
      </w:r>
      <w:r w:rsidRPr="00F43FC8">
        <w:rPr>
          <w:rFonts w:ascii="Times New Roman" w:hAnsi="Times New Roman"/>
          <w:noProof/>
          <w:sz w:val="24"/>
          <w:szCs w:val="24"/>
        </w:rPr>
        <w:t>2021</w:t>
      </w:r>
      <w:r>
        <w:rPr>
          <w:rFonts w:ascii="Times New Roman" w:hAnsi="Times New Roman"/>
          <w:noProof/>
          <w:sz w:val="24"/>
          <w:szCs w:val="24"/>
        </w:rPr>
        <w:t>, huit projets étaient devenus opérationnels: le projet de bioénergie Verbiostraw en Allemagne, le projet éolien terrestre Windpark Handalm en Autriche, les projets d’éoliennes en mer Veja Mate et Nordsee One en Allemagne, le projet de réseau intelligent Puglia Active Network en Italie, les projets d’éoliennes flottantes en mer Vertimed en France et Windfloat au Portugal, ainsi que le projet d’énergie solaire concentrée Minos en Grèce. Deux projets, le projet italien de bioénergie BEST et le projet éolien terrestre Windpark Blaiken en Suède, sont considérés comme achevés</w:t>
      </w:r>
      <w:r w:rsidR="00FE33CF" w:rsidRPr="00DA11F1">
        <w:rPr>
          <w:rStyle w:val="FootnoteReference"/>
          <w:rFonts w:ascii="Times New Roman" w:eastAsia="Times New Roman" w:hAnsi="Times New Roman"/>
          <w:noProof/>
          <w:sz w:val="24"/>
          <w:szCs w:val="24"/>
          <w:lang w:eastAsia="en-GB"/>
        </w:rPr>
        <w:footnoteReference w:id="49"/>
      </w:r>
      <w:r>
        <w:rPr>
          <w:rFonts w:ascii="Times New Roman" w:hAnsi="Times New Roman"/>
          <w:noProof/>
          <w:sz w:val="24"/>
          <w:szCs w:val="24"/>
        </w:rPr>
        <w:t xml:space="preserve">. </w:t>
      </w:r>
    </w:p>
    <w:p w14:paraId="769AF8C9" w14:textId="13B40530" w:rsidR="00085CF6" w:rsidRPr="00DA11F1" w:rsidRDefault="00E60092" w:rsidP="009631E7">
      <w:pPr>
        <w:ind w:right="57"/>
        <w:jc w:val="both"/>
        <w:rPr>
          <w:rFonts w:ascii="Times New Roman" w:eastAsia="Times New Roman" w:hAnsi="Times New Roman"/>
          <w:noProof/>
          <w:sz w:val="24"/>
          <w:szCs w:val="24"/>
        </w:rPr>
      </w:pPr>
      <w:r>
        <w:rPr>
          <w:rFonts w:ascii="Times New Roman" w:hAnsi="Times New Roman"/>
          <w:noProof/>
          <w:sz w:val="24"/>
          <w:szCs w:val="24"/>
        </w:rPr>
        <w:t>Quatre autres projets sélectionnés à la suite du deuxième appel à propositions sont en cours de préparation. Toutefois, en raison de la pandémie de COVID-</w:t>
      </w:r>
      <w:r w:rsidRPr="00F43FC8">
        <w:rPr>
          <w:rFonts w:ascii="Times New Roman" w:hAnsi="Times New Roman"/>
          <w:noProof/>
          <w:sz w:val="24"/>
          <w:szCs w:val="24"/>
        </w:rPr>
        <w:t>19</w:t>
      </w:r>
      <w:r>
        <w:rPr>
          <w:rFonts w:ascii="Times New Roman" w:hAnsi="Times New Roman"/>
          <w:noProof/>
          <w:sz w:val="24"/>
          <w:szCs w:val="24"/>
        </w:rPr>
        <w:t>, leurs dates de lancement ont été modifiées</w:t>
      </w:r>
      <w:r w:rsidR="00085CF6" w:rsidRPr="00DA11F1">
        <w:rPr>
          <w:rStyle w:val="FootnoteReference"/>
          <w:rFonts w:ascii="Times New Roman" w:eastAsia="Times New Roman" w:hAnsi="Times New Roman"/>
          <w:noProof/>
          <w:sz w:val="24"/>
          <w:szCs w:val="24"/>
          <w:lang w:eastAsia="en-GB"/>
        </w:rPr>
        <w:footnoteReference w:id="50"/>
      </w:r>
      <w:r>
        <w:rPr>
          <w:rFonts w:ascii="Times New Roman" w:hAnsi="Times New Roman"/>
          <w:noProof/>
          <w:sz w:val="24"/>
          <w:szCs w:val="24"/>
        </w:rPr>
        <w:t>. Compte tenu des difficultés rencontrées pour assurer leur cofinancement dans les conditions imposées par le programme NER </w:t>
      </w:r>
      <w:r w:rsidRPr="00F43FC8">
        <w:rPr>
          <w:rFonts w:ascii="Times New Roman" w:hAnsi="Times New Roman"/>
          <w:noProof/>
          <w:sz w:val="24"/>
          <w:szCs w:val="24"/>
        </w:rPr>
        <w:t>300</w:t>
      </w:r>
      <w:r>
        <w:rPr>
          <w:rFonts w:ascii="Times New Roman" w:hAnsi="Times New Roman"/>
          <w:noProof/>
          <w:sz w:val="24"/>
          <w:szCs w:val="24"/>
        </w:rPr>
        <w:t xml:space="preserve">, ainsi que du contexte économique et politique difficile, </w:t>
      </w:r>
      <w:r w:rsidRPr="00F43FC8">
        <w:rPr>
          <w:rFonts w:ascii="Times New Roman" w:hAnsi="Times New Roman"/>
          <w:noProof/>
          <w:sz w:val="24"/>
          <w:szCs w:val="24"/>
        </w:rPr>
        <w:t>23</w:t>
      </w:r>
      <w:r>
        <w:rPr>
          <w:rFonts w:ascii="Times New Roman" w:hAnsi="Times New Roman"/>
          <w:noProof/>
          <w:sz w:val="24"/>
          <w:szCs w:val="24"/>
        </w:rPr>
        <w:t xml:space="preserve"> projets n’ont pas été en mesure de lever un financement supplémentaire suffisant et ont été retirés du programme, ce qui a libéré près de </w:t>
      </w:r>
      <w:r w:rsidRPr="00F43FC8">
        <w:rPr>
          <w:rFonts w:ascii="Times New Roman" w:hAnsi="Times New Roman"/>
          <w:noProof/>
          <w:sz w:val="24"/>
          <w:szCs w:val="24"/>
        </w:rPr>
        <w:t>1</w:t>
      </w:r>
      <w:r>
        <w:rPr>
          <w:rFonts w:ascii="Times New Roman" w:hAnsi="Times New Roman"/>
          <w:noProof/>
          <w:sz w:val="24"/>
          <w:szCs w:val="24"/>
        </w:rPr>
        <w:t>,</w:t>
      </w:r>
      <w:r w:rsidRPr="00F43FC8">
        <w:rPr>
          <w:rFonts w:ascii="Times New Roman" w:hAnsi="Times New Roman"/>
          <w:noProof/>
          <w:sz w:val="24"/>
          <w:szCs w:val="24"/>
        </w:rPr>
        <w:t>5</w:t>
      </w:r>
      <w:r>
        <w:rPr>
          <w:rFonts w:ascii="Times New Roman" w:hAnsi="Times New Roman"/>
          <w:noProof/>
          <w:sz w:val="24"/>
          <w:szCs w:val="24"/>
        </w:rPr>
        <w:t xml:space="preserve"> milliard d’euros au total. </w:t>
      </w:r>
    </w:p>
    <w:p w14:paraId="6DF40BB7" w14:textId="4036A4AE" w:rsidR="009729F0" w:rsidRPr="00DA11F1" w:rsidRDefault="00851E0F" w:rsidP="009631E7">
      <w:pPr>
        <w:ind w:right="57"/>
        <w:jc w:val="both"/>
        <w:rPr>
          <w:rFonts w:ascii="Times New Roman" w:eastAsia="Times New Roman" w:hAnsi="Times New Roman"/>
          <w:noProof/>
          <w:sz w:val="24"/>
          <w:szCs w:val="24"/>
        </w:rPr>
      </w:pPr>
      <w:r>
        <w:rPr>
          <w:rFonts w:ascii="Times New Roman" w:hAnsi="Times New Roman"/>
          <w:noProof/>
          <w:sz w:val="24"/>
          <w:szCs w:val="24"/>
        </w:rPr>
        <w:t xml:space="preserve">En </w:t>
      </w:r>
      <w:r w:rsidRPr="00F43FC8">
        <w:rPr>
          <w:rFonts w:ascii="Times New Roman" w:hAnsi="Times New Roman"/>
          <w:noProof/>
          <w:sz w:val="24"/>
          <w:szCs w:val="24"/>
        </w:rPr>
        <w:t>2017</w:t>
      </w:r>
      <w:r>
        <w:rPr>
          <w:rFonts w:ascii="Times New Roman" w:hAnsi="Times New Roman"/>
          <w:noProof/>
          <w:sz w:val="24"/>
          <w:szCs w:val="24"/>
        </w:rPr>
        <w:t>, la décision NER </w:t>
      </w:r>
      <w:r w:rsidRPr="00F43FC8">
        <w:rPr>
          <w:rFonts w:ascii="Times New Roman" w:hAnsi="Times New Roman"/>
          <w:noProof/>
          <w:sz w:val="24"/>
          <w:szCs w:val="24"/>
        </w:rPr>
        <w:t>300</w:t>
      </w:r>
      <w:r>
        <w:rPr>
          <w:rFonts w:ascii="Times New Roman" w:hAnsi="Times New Roman"/>
          <w:noProof/>
          <w:sz w:val="24"/>
          <w:szCs w:val="24"/>
        </w:rPr>
        <w:t> modifiée</w:t>
      </w:r>
      <w:r w:rsidR="00060393" w:rsidRPr="00DA11F1">
        <w:rPr>
          <w:rFonts w:ascii="Times New Roman" w:eastAsia="Times New Roman" w:hAnsi="Times New Roman"/>
          <w:noProof/>
          <w:sz w:val="24"/>
          <w:szCs w:val="24"/>
          <w:vertAlign w:val="superscript"/>
          <w:lang w:eastAsia="en-GB"/>
        </w:rPr>
        <w:footnoteReference w:id="51"/>
      </w:r>
      <w:r>
        <w:rPr>
          <w:rFonts w:ascii="Times New Roman" w:hAnsi="Times New Roman"/>
          <w:noProof/>
          <w:sz w:val="24"/>
          <w:szCs w:val="24"/>
        </w:rPr>
        <w:t xml:space="preserve"> a permis le réinvestissement des fonds libérés de l’annulation de projets du premier appel à propositions (</w:t>
      </w:r>
      <w:r w:rsidRPr="00F43FC8">
        <w:rPr>
          <w:rFonts w:ascii="Times New Roman" w:hAnsi="Times New Roman"/>
          <w:noProof/>
          <w:sz w:val="24"/>
          <w:szCs w:val="24"/>
        </w:rPr>
        <w:t>708</w:t>
      </w:r>
      <w:r>
        <w:rPr>
          <w:rFonts w:ascii="Times New Roman" w:hAnsi="Times New Roman"/>
          <w:noProof/>
          <w:sz w:val="24"/>
          <w:szCs w:val="24"/>
        </w:rPr>
        <w:t>,</w:t>
      </w:r>
      <w:r w:rsidRPr="00F43FC8">
        <w:rPr>
          <w:rFonts w:ascii="Times New Roman" w:hAnsi="Times New Roman"/>
          <w:noProof/>
          <w:sz w:val="24"/>
          <w:szCs w:val="24"/>
        </w:rPr>
        <w:t>7</w:t>
      </w:r>
      <w:r>
        <w:rPr>
          <w:rFonts w:ascii="Times New Roman" w:hAnsi="Times New Roman"/>
          <w:noProof/>
          <w:sz w:val="24"/>
          <w:szCs w:val="24"/>
        </w:rPr>
        <w:t> millions d’euros) dans des projets soutenus au titre des instruments financiers existants, à savoir l’instrument de prêt pour les projets de démonstration liés à l’énergie du dispositif InnovFin et l’instrument de prêt du mécanisme pour l’interconnexion en Europe, tous deux gérés par la Banque européenne d’investissement.</w:t>
      </w:r>
      <w:r>
        <w:rPr>
          <w:rFonts w:ascii="Times New Roman" w:hAnsi="Times New Roman"/>
          <w:noProof/>
        </w:rPr>
        <w:t xml:space="preserve"> </w:t>
      </w:r>
      <w:r>
        <w:rPr>
          <w:rFonts w:ascii="Times New Roman" w:hAnsi="Times New Roman"/>
          <w:noProof/>
          <w:sz w:val="24"/>
          <w:szCs w:val="24"/>
        </w:rPr>
        <w:t>Ces projets, ainsi que les réserves s’y rapportant, prouvent que le mécanisme de financement mixte mis en place fonctionne de manière efficace. Les fonds non dépensés du NER </w:t>
      </w:r>
      <w:r w:rsidRPr="00F43FC8">
        <w:rPr>
          <w:rFonts w:ascii="Times New Roman" w:hAnsi="Times New Roman"/>
          <w:noProof/>
          <w:sz w:val="24"/>
          <w:szCs w:val="24"/>
        </w:rPr>
        <w:t>300</w:t>
      </w:r>
      <w:r>
        <w:rPr>
          <w:rFonts w:ascii="Times New Roman" w:hAnsi="Times New Roman"/>
          <w:noProof/>
          <w:sz w:val="24"/>
          <w:szCs w:val="24"/>
        </w:rPr>
        <w:t xml:space="preserve"> devraient avoir été entièrement alloués d’ici la fin </w:t>
      </w:r>
      <w:r w:rsidRPr="00F43FC8">
        <w:rPr>
          <w:rFonts w:ascii="Times New Roman" w:hAnsi="Times New Roman"/>
          <w:noProof/>
          <w:sz w:val="24"/>
          <w:szCs w:val="24"/>
        </w:rPr>
        <w:t>2022</w:t>
      </w:r>
      <w:r>
        <w:rPr>
          <w:rFonts w:ascii="Times New Roman" w:hAnsi="Times New Roman"/>
          <w:noProof/>
          <w:sz w:val="24"/>
          <w:szCs w:val="24"/>
        </w:rPr>
        <w:t>.</w:t>
      </w:r>
    </w:p>
    <w:p w14:paraId="0B02A50A" w14:textId="72D4BB1B" w:rsidR="009729F0" w:rsidRPr="00DA11F1" w:rsidRDefault="009729F0" w:rsidP="009631E7">
      <w:pPr>
        <w:ind w:right="57"/>
        <w:jc w:val="both"/>
        <w:rPr>
          <w:rFonts w:ascii="Times New Roman" w:eastAsia="Times New Roman" w:hAnsi="Times New Roman"/>
          <w:noProof/>
          <w:sz w:val="24"/>
          <w:szCs w:val="24"/>
        </w:rPr>
      </w:pPr>
      <w:r>
        <w:rPr>
          <w:rFonts w:ascii="Times New Roman" w:hAnsi="Times New Roman"/>
          <w:noProof/>
          <w:sz w:val="24"/>
          <w:szCs w:val="24"/>
        </w:rPr>
        <w:t xml:space="preserve">Les fonds non dépensés du deuxième cycle d’appels à propositions seront acheminés au Fonds pour l’innovation. À ce jour, </w:t>
      </w:r>
      <w:r w:rsidRPr="00F43FC8">
        <w:rPr>
          <w:rFonts w:ascii="Times New Roman" w:hAnsi="Times New Roman"/>
          <w:noProof/>
          <w:sz w:val="24"/>
          <w:szCs w:val="24"/>
        </w:rPr>
        <w:t>746</w:t>
      </w:r>
      <w:r>
        <w:rPr>
          <w:rFonts w:ascii="Times New Roman" w:hAnsi="Times New Roman"/>
          <w:noProof/>
          <w:sz w:val="24"/>
          <w:szCs w:val="24"/>
        </w:rPr>
        <w:t>,</w:t>
      </w:r>
      <w:r w:rsidRPr="00F43FC8">
        <w:rPr>
          <w:rFonts w:ascii="Times New Roman" w:hAnsi="Times New Roman"/>
          <w:noProof/>
          <w:sz w:val="24"/>
          <w:szCs w:val="24"/>
        </w:rPr>
        <w:t>6</w:t>
      </w:r>
      <w:r>
        <w:rPr>
          <w:rFonts w:ascii="Times New Roman" w:hAnsi="Times New Roman"/>
          <w:noProof/>
          <w:sz w:val="24"/>
          <w:szCs w:val="24"/>
        </w:rPr>
        <w:t xml:space="preserve"> millions d’euros ont été transférés au Fonds pour l’innovation. </w:t>
      </w:r>
    </w:p>
    <w:p w14:paraId="5BE7C782" w14:textId="7C30578F" w:rsidR="00131369" w:rsidRPr="00DA11F1" w:rsidRDefault="00507A9B" w:rsidP="009631E7">
      <w:pPr>
        <w:ind w:right="57"/>
        <w:jc w:val="both"/>
        <w:rPr>
          <w:rFonts w:ascii="Times New Roman" w:hAnsi="Times New Roman"/>
          <w:noProof/>
        </w:rPr>
      </w:pPr>
      <w:r>
        <w:rPr>
          <w:rFonts w:ascii="Times New Roman" w:hAnsi="Times New Roman"/>
          <w:noProof/>
          <w:sz w:val="24"/>
          <w:szCs w:val="24"/>
        </w:rPr>
        <w:t>L’annexe </w:t>
      </w:r>
      <w:r w:rsidRPr="00F43FC8">
        <w:rPr>
          <w:rFonts w:ascii="Times New Roman" w:hAnsi="Times New Roman"/>
          <w:noProof/>
          <w:sz w:val="24"/>
          <w:szCs w:val="24"/>
        </w:rPr>
        <w:t>7</w:t>
      </w:r>
      <w:r>
        <w:rPr>
          <w:rFonts w:ascii="Times New Roman" w:hAnsi="Times New Roman"/>
          <w:noProof/>
          <w:sz w:val="24"/>
          <w:szCs w:val="24"/>
        </w:rPr>
        <w:t xml:space="preserve"> du document de travail des services de la Commission accompagnant le présent rapport contient davantage d’informations sur le NER </w:t>
      </w:r>
      <w:r w:rsidRPr="00F43FC8">
        <w:rPr>
          <w:rFonts w:ascii="Times New Roman" w:hAnsi="Times New Roman"/>
          <w:noProof/>
          <w:sz w:val="24"/>
          <w:szCs w:val="24"/>
        </w:rPr>
        <w:t>300</w:t>
      </w:r>
      <w:r>
        <w:rPr>
          <w:rFonts w:ascii="Times New Roman" w:hAnsi="Times New Roman"/>
          <w:noProof/>
          <w:sz w:val="24"/>
          <w:szCs w:val="24"/>
        </w:rPr>
        <w:t>.</w:t>
      </w:r>
    </w:p>
    <w:p w14:paraId="65DD9F9D" w14:textId="04691D94" w:rsidR="00131369" w:rsidRPr="00DA11F1" w:rsidRDefault="00FA7EBD" w:rsidP="00006E10">
      <w:pPr>
        <w:pStyle w:val="Heading3"/>
        <w:ind w:left="720"/>
        <w:rPr>
          <w:i/>
          <w:noProof/>
        </w:rPr>
      </w:pPr>
      <w:bookmarkStart w:id="37" w:name="_Toc89707767"/>
      <w:r w:rsidRPr="00F43FC8">
        <w:rPr>
          <w:i/>
          <w:noProof/>
        </w:rPr>
        <w:t>3</w:t>
      </w:r>
      <w:r>
        <w:rPr>
          <w:i/>
          <w:noProof/>
        </w:rPr>
        <w:t>.</w:t>
      </w:r>
      <w:r w:rsidRPr="00F43FC8">
        <w:rPr>
          <w:i/>
          <w:noProof/>
        </w:rPr>
        <w:t>1</w:t>
      </w:r>
      <w:r>
        <w:rPr>
          <w:i/>
          <w:noProof/>
        </w:rPr>
        <w:t>.</w:t>
      </w:r>
      <w:r w:rsidRPr="00F43FC8">
        <w:rPr>
          <w:i/>
          <w:noProof/>
        </w:rPr>
        <w:t>6</w:t>
      </w:r>
      <w:r>
        <w:rPr>
          <w:i/>
          <w:noProof/>
        </w:rPr>
        <w:t xml:space="preserve"> Fonds pour l’innovation</w:t>
      </w:r>
      <w:bookmarkEnd w:id="37"/>
      <w:r>
        <w:rPr>
          <w:i/>
          <w:noProof/>
        </w:rPr>
        <w:t xml:space="preserve"> </w:t>
      </w:r>
    </w:p>
    <w:p w14:paraId="0DE49A10" w14:textId="0FD3D7AA" w:rsidR="007A5FC2" w:rsidRPr="00DA11F1" w:rsidRDefault="007A5FC2" w:rsidP="009631E7">
      <w:pPr>
        <w:jc w:val="both"/>
        <w:rPr>
          <w:rFonts w:ascii="Times New Roman" w:hAnsi="Times New Roman"/>
          <w:noProof/>
          <w:sz w:val="24"/>
          <w:szCs w:val="24"/>
        </w:rPr>
      </w:pPr>
      <w:r>
        <w:rPr>
          <w:rFonts w:ascii="Times New Roman" w:hAnsi="Times New Roman"/>
          <w:noProof/>
          <w:sz w:val="24"/>
          <w:szCs w:val="24"/>
        </w:rPr>
        <w:t xml:space="preserve">Le Fonds pour l’innovation créé dans le cadre de la directive SEQE a rassemblé au moins </w:t>
      </w:r>
      <w:r w:rsidRPr="00F43FC8">
        <w:rPr>
          <w:rFonts w:ascii="Times New Roman" w:hAnsi="Times New Roman"/>
          <w:noProof/>
          <w:sz w:val="24"/>
          <w:szCs w:val="24"/>
        </w:rPr>
        <w:t>20</w:t>
      </w:r>
      <w:r>
        <w:rPr>
          <w:rFonts w:ascii="Times New Roman" w:hAnsi="Times New Roman"/>
          <w:noProof/>
          <w:sz w:val="24"/>
          <w:szCs w:val="24"/>
        </w:rPr>
        <w:t> milliards d’euros</w:t>
      </w:r>
      <w:r w:rsidR="00B84343" w:rsidRPr="00DA11F1">
        <w:rPr>
          <w:rStyle w:val="FootnoteReference"/>
          <w:rFonts w:ascii="Times New Roman" w:hAnsi="Times New Roman"/>
          <w:noProof/>
          <w:sz w:val="24"/>
          <w:szCs w:val="24"/>
        </w:rPr>
        <w:footnoteReference w:id="52"/>
      </w:r>
      <w:r>
        <w:rPr>
          <w:rFonts w:ascii="Times New Roman" w:hAnsi="Times New Roman"/>
          <w:noProof/>
          <w:sz w:val="24"/>
          <w:szCs w:val="24"/>
        </w:rPr>
        <w:t xml:space="preserve"> pour la période </w:t>
      </w:r>
      <w:r w:rsidRPr="00F43FC8">
        <w:rPr>
          <w:rFonts w:ascii="Times New Roman" w:hAnsi="Times New Roman"/>
          <w:noProof/>
          <w:sz w:val="24"/>
          <w:szCs w:val="24"/>
        </w:rPr>
        <w:t>2020</w:t>
      </w:r>
      <w:r>
        <w:rPr>
          <w:rFonts w:ascii="Times New Roman" w:hAnsi="Times New Roman"/>
          <w:noProof/>
          <w:sz w:val="24"/>
          <w:szCs w:val="24"/>
        </w:rPr>
        <w:t>-</w:t>
      </w:r>
      <w:r w:rsidRPr="00F43FC8">
        <w:rPr>
          <w:rFonts w:ascii="Times New Roman" w:hAnsi="Times New Roman"/>
          <w:noProof/>
          <w:sz w:val="24"/>
          <w:szCs w:val="24"/>
        </w:rPr>
        <w:t>2030</w:t>
      </w:r>
      <w:r>
        <w:rPr>
          <w:rFonts w:ascii="Times New Roman" w:hAnsi="Times New Roman"/>
          <w:noProof/>
          <w:sz w:val="24"/>
          <w:szCs w:val="24"/>
        </w:rPr>
        <w:t xml:space="preserve">, grâce à la mise aux enchères de </w:t>
      </w:r>
      <w:r w:rsidRPr="00F43FC8">
        <w:rPr>
          <w:rFonts w:ascii="Times New Roman" w:hAnsi="Times New Roman"/>
          <w:noProof/>
          <w:sz w:val="24"/>
          <w:szCs w:val="24"/>
        </w:rPr>
        <w:t>450</w:t>
      </w:r>
      <w:r>
        <w:rPr>
          <w:rFonts w:ascii="Times New Roman" w:hAnsi="Times New Roman"/>
          <w:noProof/>
          <w:sz w:val="24"/>
          <w:szCs w:val="24"/>
        </w:rPr>
        <w:t> millions de quotas. Cela en fait l’un des plus vastes programmes au monde destinés à financer la démonstration commerciale de technologies et de solutions industrielles innovantes à faibles émissions de carbone en vue de décarboner les industries à forte intensité énergétique européennes, d’énergies renouvelables innovantes, du stockage de l’énergie et de la capture, de l’utilisation et du stockage du carbone.</w:t>
      </w:r>
    </w:p>
    <w:p w14:paraId="315838C1" w14:textId="1A9A0EB2" w:rsidR="001B7C08" w:rsidRPr="00DA11F1" w:rsidRDefault="00AC2F6D" w:rsidP="009631E7">
      <w:pPr>
        <w:jc w:val="both"/>
        <w:rPr>
          <w:rFonts w:ascii="Times New Roman" w:hAnsi="Times New Roman"/>
          <w:noProof/>
          <w:sz w:val="24"/>
          <w:szCs w:val="24"/>
        </w:rPr>
      </w:pPr>
      <w:r>
        <w:rPr>
          <w:rFonts w:ascii="Times New Roman" w:hAnsi="Times New Roman"/>
          <w:noProof/>
          <w:sz w:val="24"/>
          <w:szCs w:val="24"/>
        </w:rPr>
        <w:t>La Commission, en collaboration avec l’Agence exécutive européenne pour le climat, les infrastructures et l’environnement, a lancé les premiers appels à proposition au titre du Fonds pour l’innovation en </w:t>
      </w:r>
      <w:r w:rsidRPr="00F43FC8">
        <w:rPr>
          <w:rFonts w:ascii="Times New Roman" w:hAnsi="Times New Roman"/>
          <w:noProof/>
          <w:sz w:val="24"/>
          <w:szCs w:val="24"/>
        </w:rPr>
        <w:t>2020</w:t>
      </w:r>
      <w:r>
        <w:rPr>
          <w:rFonts w:ascii="Times New Roman" w:hAnsi="Times New Roman"/>
          <w:noProof/>
          <w:sz w:val="24"/>
          <w:szCs w:val="24"/>
        </w:rPr>
        <w:t>. Ces appels ont suscité un vif intérêt de la part d’entreprises de toutes tailles à la recherche d’un financement pour leurs projets innovants de technologies propres, dans une diversité de secteurs et dans tous les États membres, ainsi qu’en Islande et en Norvège. Dans le cadre de l’appel à projets à grande échelle</w:t>
      </w:r>
      <w:r w:rsidRPr="00DA11F1">
        <w:rPr>
          <w:rStyle w:val="FootnoteReference"/>
          <w:rFonts w:ascii="Times New Roman" w:hAnsi="Times New Roman"/>
          <w:noProof/>
          <w:sz w:val="24"/>
          <w:szCs w:val="24"/>
        </w:rPr>
        <w:footnoteReference w:id="53"/>
      </w:r>
      <w:r>
        <w:rPr>
          <w:rFonts w:ascii="Times New Roman" w:hAnsi="Times New Roman"/>
          <w:noProof/>
          <w:sz w:val="24"/>
          <w:szCs w:val="24"/>
        </w:rPr>
        <w:t xml:space="preserve">, les </w:t>
      </w:r>
      <w:r w:rsidRPr="00F43FC8">
        <w:rPr>
          <w:rFonts w:ascii="Times New Roman" w:hAnsi="Times New Roman"/>
          <w:noProof/>
          <w:sz w:val="24"/>
          <w:szCs w:val="24"/>
        </w:rPr>
        <w:t>70</w:t>
      </w:r>
      <w:r>
        <w:rPr>
          <w:rFonts w:ascii="Times New Roman" w:hAnsi="Times New Roman"/>
          <w:noProof/>
          <w:sz w:val="24"/>
          <w:szCs w:val="24"/>
        </w:rPr>
        <w:t xml:space="preserve"> projets ayant obtenu le meilleur classement (sur </w:t>
      </w:r>
      <w:r w:rsidRPr="00F43FC8">
        <w:rPr>
          <w:rFonts w:ascii="Times New Roman" w:hAnsi="Times New Roman"/>
          <w:noProof/>
          <w:sz w:val="24"/>
          <w:szCs w:val="24"/>
        </w:rPr>
        <w:t>311</w:t>
      </w:r>
      <w:r>
        <w:rPr>
          <w:rFonts w:ascii="Times New Roman" w:hAnsi="Times New Roman"/>
          <w:noProof/>
          <w:sz w:val="24"/>
          <w:szCs w:val="24"/>
        </w:rPr>
        <w:t xml:space="preserve"> demandes) ont été invités à soumettre une proposition complète pour la deuxième étape au plus tard pour le </w:t>
      </w:r>
      <w:r w:rsidRPr="00F43FC8">
        <w:rPr>
          <w:rFonts w:ascii="Times New Roman" w:hAnsi="Times New Roman"/>
          <w:noProof/>
          <w:sz w:val="24"/>
          <w:szCs w:val="24"/>
        </w:rPr>
        <w:t>23</w:t>
      </w:r>
      <w:r>
        <w:rPr>
          <w:rFonts w:ascii="Times New Roman" w:hAnsi="Times New Roman"/>
          <w:noProof/>
          <w:sz w:val="24"/>
          <w:szCs w:val="24"/>
        </w:rPr>
        <w:t> juin </w:t>
      </w:r>
      <w:r w:rsidRPr="00F43FC8">
        <w:rPr>
          <w:rFonts w:ascii="Times New Roman" w:hAnsi="Times New Roman"/>
          <w:noProof/>
          <w:sz w:val="24"/>
          <w:szCs w:val="24"/>
        </w:rPr>
        <w:t>2021</w:t>
      </w:r>
      <w:r>
        <w:rPr>
          <w:rFonts w:ascii="Times New Roman" w:hAnsi="Times New Roman"/>
          <w:noProof/>
          <w:sz w:val="24"/>
          <w:szCs w:val="24"/>
        </w:rPr>
        <w:t xml:space="preserve">. </w:t>
      </w:r>
      <w:r w:rsidRPr="00F43FC8">
        <w:rPr>
          <w:rFonts w:ascii="Times New Roman" w:hAnsi="Times New Roman"/>
          <w:noProof/>
          <w:sz w:val="24"/>
          <w:szCs w:val="24"/>
        </w:rPr>
        <w:t>66</w:t>
      </w:r>
      <w:r>
        <w:rPr>
          <w:rFonts w:ascii="Times New Roman" w:hAnsi="Times New Roman"/>
          <w:noProof/>
          <w:sz w:val="24"/>
          <w:szCs w:val="24"/>
        </w:rPr>
        <w:t xml:space="preserve"> propositions complètes ont été reçues, sollicitant environ </w:t>
      </w:r>
      <w:r w:rsidRPr="00F43FC8">
        <w:rPr>
          <w:rFonts w:ascii="Times New Roman" w:hAnsi="Times New Roman"/>
          <w:noProof/>
          <w:sz w:val="24"/>
          <w:szCs w:val="24"/>
        </w:rPr>
        <w:t>6</w:t>
      </w:r>
      <w:r>
        <w:rPr>
          <w:rFonts w:ascii="Times New Roman" w:hAnsi="Times New Roman"/>
          <w:noProof/>
          <w:sz w:val="24"/>
          <w:szCs w:val="24"/>
        </w:rPr>
        <w:t xml:space="preserve"> milliards d’euros d’aide, pour un financement total disponible de </w:t>
      </w:r>
      <w:r w:rsidRPr="00F43FC8">
        <w:rPr>
          <w:rFonts w:ascii="Times New Roman" w:hAnsi="Times New Roman"/>
          <w:noProof/>
          <w:sz w:val="24"/>
          <w:szCs w:val="24"/>
        </w:rPr>
        <w:t>1</w:t>
      </w:r>
      <w:r>
        <w:rPr>
          <w:rFonts w:ascii="Times New Roman" w:hAnsi="Times New Roman"/>
          <w:noProof/>
          <w:sz w:val="24"/>
          <w:szCs w:val="24"/>
        </w:rPr>
        <w:t> milliard d’euros dans le cadre de cet appel. Les résultats de l’évaluation seront disponibles au quatrième trimestre </w:t>
      </w:r>
      <w:r w:rsidRPr="00F43FC8">
        <w:rPr>
          <w:rFonts w:ascii="Times New Roman" w:hAnsi="Times New Roman"/>
          <w:noProof/>
          <w:sz w:val="24"/>
          <w:szCs w:val="24"/>
        </w:rPr>
        <w:t>2021</w:t>
      </w:r>
      <w:r>
        <w:rPr>
          <w:rFonts w:ascii="Times New Roman" w:hAnsi="Times New Roman"/>
          <w:noProof/>
          <w:sz w:val="24"/>
          <w:szCs w:val="24"/>
        </w:rPr>
        <w:t xml:space="preserve">. </w:t>
      </w:r>
    </w:p>
    <w:p w14:paraId="05E73AED" w14:textId="3EC3227B" w:rsidR="00AC2F6D" w:rsidRPr="00DA11F1" w:rsidRDefault="001F3C0C" w:rsidP="009631E7">
      <w:pPr>
        <w:jc w:val="both"/>
        <w:rPr>
          <w:rFonts w:ascii="Times New Roman" w:hAnsi="Times New Roman"/>
          <w:noProof/>
          <w:sz w:val="24"/>
          <w:szCs w:val="24"/>
        </w:rPr>
      </w:pPr>
      <w:r>
        <w:rPr>
          <w:rFonts w:ascii="Times New Roman" w:hAnsi="Times New Roman"/>
          <w:noProof/>
          <w:sz w:val="24"/>
          <w:szCs w:val="24"/>
        </w:rPr>
        <w:t>L’appel à projets à petite échelle</w:t>
      </w:r>
      <w:r w:rsidR="00EB179F" w:rsidRPr="00DA11F1">
        <w:rPr>
          <w:rStyle w:val="FootnoteReference"/>
          <w:rFonts w:ascii="Times New Roman" w:hAnsi="Times New Roman"/>
          <w:noProof/>
          <w:sz w:val="24"/>
          <w:szCs w:val="24"/>
        </w:rPr>
        <w:footnoteReference w:id="54"/>
      </w:r>
      <w:r>
        <w:rPr>
          <w:rFonts w:ascii="Times New Roman" w:hAnsi="Times New Roman"/>
          <w:noProof/>
          <w:sz w:val="24"/>
          <w:szCs w:val="24"/>
        </w:rPr>
        <w:t xml:space="preserve"> a été clôturé le </w:t>
      </w:r>
      <w:r w:rsidRPr="00F43FC8">
        <w:rPr>
          <w:rFonts w:ascii="Times New Roman" w:hAnsi="Times New Roman"/>
          <w:noProof/>
          <w:sz w:val="24"/>
          <w:szCs w:val="24"/>
        </w:rPr>
        <w:t>10</w:t>
      </w:r>
      <w:r>
        <w:rPr>
          <w:rFonts w:ascii="Times New Roman" w:hAnsi="Times New Roman"/>
          <w:noProof/>
          <w:sz w:val="24"/>
          <w:szCs w:val="24"/>
        </w:rPr>
        <w:t> mars </w:t>
      </w:r>
      <w:r w:rsidRPr="00F43FC8">
        <w:rPr>
          <w:rFonts w:ascii="Times New Roman" w:hAnsi="Times New Roman"/>
          <w:noProof/>
          <w:sz w:val="24"/>
          <w:szCs w:val="24"/>
        </w:rPr>
        <w:t>2021</w:t>
      </w:r>
      <w:r>
        <w:rPr>
          <w:rFonts w:ascii="Times New Roman" w:hAnsi="Times New Roman"/>
          <w:noProof/>
          <w:sz w:val="24"/>
          <w:szCs w:val="24"/>
        </w:rPr>
        <w:t xml:space="preserve">: </w:t>
      </w:r>
      <w:r w:rsidRPr="00F43FC8">
        <w:rPr>
          <w:rFonts w:ascii="Times New Roman" w:hAnsi="Times New Roman"/>
          <w:noProof/>
          <w:sz w:val="24"/>
          <w:szCs w:val="24"/>
        </w:rPr>
        <w:t>232</w:t>
      </w:r>
      <w:r>
        <w:rPr>
          <w:rFonts w:ascii="Times New Roman" w:hAnsi="Times New Roman"/>
          <w:noProof/>
          <w:sz w:val="24"/>
          <w:szCs w:val="24"/>
        </w:rPr>
        <w:t xml:space="preserve"> demandes ont été reçues. </w:t>
      </w:r>
      <w:r w:rsidRPr="00F43FC8">
        <w:rPr>
          <w:rFonts w:ascii="Times New Roman" w:hAnsi="Times New Roman"/>
          <w:noProof/>
          <w:sz w:val="24"/>
          <w:szCs w:val="24"/>
        </w:rPr>
        <w:t>32</w:t>
      </w:r>
      <w:r>
        <w:rPr>
          <w:rFonts w:ascii="Times New Roman" w:hAnsi="Times New Roman"/>
          <w:noProof/>
          <w:sz w:val="24"/>
          <w:szCs w:val="24"/>
        </w:rPr>
        <w:t> projets à petite échelle ont été sélectionnés en vue de recevoir un financement et ont été invités à la phase de préparation des subventions en juillet </w:t>
      </w:r>
      <w:r w:rsidRPr="00F43FC8">
        <w:rPr>
          <w:rFonts w:ascii="Times New Roman" w:hAnsi="Times New Roman"/>
          <w:noProof/>
          <w:sz w:val="24"/>
          <w:szCs w:val="24"/>
        </w:rPr>
        <w:t>2021</w:t>
      </w:r>
      <w:r>
        <w:rPr>
          <w:rFonts w:ascii="Times New Roman" w:hAnsi="Times New Roman"/>
          <w:noProof/>
          <w:sz w:val="24"/>
          <w:szCs w:val="24"/>
        </w:rPr>
        <w:t xml:space="preserve">, pour une dotation totale de </w:t>
      </w:r>
      <w:r w:rsidRPr="00F43FC8">
        <w:rPr>
          <w:rFonts w:ascii="Times New Roman" w:hAnsi="Times New Roman"/>
          <w:noProof/>
          <w:sz w:val="24"/>
          <w:szCs w:val="24"/>
        </w:rPr>
        <w:t>118</w:t>
      </w:r>
      <w:r>
        <w:rPr>
          <w:rFonts w:ascii="Times New Roman" w:hAnsi="Times New Roman"/>
          <w:noProof/>
          <w:sz w:val="24"/>
          <w:szCs w:val="24"/>
        </w:rPr>
        <w:t xml:space="preserve"> millions d’euros. Les projets retenus sont situés dans </w:t>
      </w:r>
      <w:r w:rsidRPr="00F43FC8">
        <w:rPr>
          <w:rFonts w:ascii="Times New Roman" w:hAnsi="Times New Roman"/>
          <w:noProof/>
          <w:sz w:val="24"/>
          <w:szCs w:val="24"/>
        </w:rPr>
        <w:t>12</w:t>
      </w:r>
      <w:r>
        <w:rPr>
          <w:rFonts w:ascii="Times New Roman" w:hAnsi="Times New Roman"/>
          <w:noProof/>
          <w:sz w:val="24"/>
          <w:szCs w:val="24"/>
        </w:rPr>
        <w:t xml:space="preserve"> États membres ainsi qu’en Islande et en Norvège, et réduiront les émissions de GES dans les secteurs de l’énergie et de l’industrie.  </w:t>
      </w:r>
    </w:p>
    <w:p w14:paraId="42F1C8CB" w14:textId="126431F8" w:rsidR="001B7C08" w:rsidRPr="00DA11F1" w:rsidRDefault="009F4C75" w:rsidP="00C02EC0">
      <w:pPr>
        <w:jc w:val="both"/>
        <w:rPr>
          <w:rFonts w:ascii="Times New Roman" w:hAnsi="Times New Roman"/>
          <w:noProof/>
          <w:sz w:val="24"/>
          <w:szCs w:val="24"/>
        </w:rPr>
      </w:pPr>
      <w:r w:rsidRPr="00F43FC8">
        <w:rPr>
          <w:rFonts w:ascii="Times New Roman" w:hAnsi="Times New Roman"/>
          <w:noProof/>
          <w:sz w:val="24"/>
          <w:szCs w:val="24"/>
        </w:rPr>
        <w:t>15</w:t>
      </w:r>
      <w:r>
        <w:rPr>
          <w:rFonts w:ascii="Times New Roman" w:hAnsi="Times New Roman"/>
          <w:noProof/>
          <w:sz w:val="24"/>
          <w:szCs w:val="24"/>
        </w:rPr>
        <w:t xml:space="preserve"> projets à grande échelle ont été sélectionnés afin de recevoir une aide au développement de projet au titre du Fonds pour l’innovation, pour un montant total de </w:t>
      </w:r>
      <w:r w:rsidRPr="00F43FC8">
        <w:rPr>
          <w:rFonts w:ascii="Times New Roman" w:hAnsi="Times New Roman"/>
          <w:noProof/>
          <w:sz w:val="24"/>
          <w:szCs w:val="24"/>
        </w:rPr>
        <w:t>4</w:t>
      </w:r>
      <w:r>
        <w:rPr>
          <w:rFonts w:ascii="Times New Roman" w:hAnsi="Times New Roman"/>
          <w:noProof/>
          <w:sz w:val="24"/>
          <w:szCs w:val="24"/>
        </w:rPr>
        <w:t xml:space="preserve"> millions d’euros.  </w:t>
      </w:r>
    </w:p>
    <w:p w14:paraId="0D2C8E63" w14:textId="2B8FD0D8" w:rsidR="00131369" w:rsidRPr="00DA11F1" w:rsidRDefault="00FA7EBD" w:rsidP="00006E10">
      <w:pPr>
        <w:pStyle w:val="Heading3"/>
        <w:ind w:left="720"/>
        <w:rPr>
          <w:i/>
          <w:noProof/>
        </w:rPr>
      </w:pPr>
      <w:bookmarkStart w:id="38" w:name="_Toc89707768"/>
      <w:r w:rsidRPr="00F43FC8">
        <w:rPr>
          <w:i/>
          <w:noProof/>
        </w:rPr>
        <w:t>3</w:t>
      </w:r>
      <w:r>
        <w:rPr>
          <w:i/>
          <w:noProof/>
        </w:rPr>
        <w:t>.</w:t>
      </w:r>
      <w:r w:rsidRPr="00F43FC8">
        <w:rPr>
          <w:i/>
          <w:noProof/>
        </w:rPr>
        <w:t>1</w:t>
      </w:r>
      <w:r>
        <w:rPr>
          <w:i/>
          <w:noProof/>
        </w:rPr>
        <w:t>.</w:t>
      </w:r>
      <w:r w:rsidRPr="00F43FC8">
        <w:rPr>
          <w:i/>
          <w:noProof/>
        </w:rPr>
        <w:t>7</w:t>
      </w:r>
      <w:r>
        <w:rPr>
          <w:i/>
          <w:noProof/>
        </w:rPr>
        <w:t xml:space="preserve"> Fonds pour la modernisation</w:t>
      </w:r>
      <w:bookmarkEnd w:id="38"/>
      <w:r>
        <w:rPr>
          <w:i/>
          <w:noProof/>
        </w:rPr>
        <w:t xml:space="preserve"> </w:t>
      </w:r>
    </w:p>
    <w:p w14:paraId="0BEC614C" w14:textId="65F244E5" w:rsidR="00407285" w:rsidRPr="00DA11F1" w:rsidRDefault="0085153B" w:rsidP="00E125E7">
      <w:pPr>
        <w:jc w:val="both"/>
        <w:rPr>
          <w:rFonts w:ascii="Times New Roman" w:hAnsi="Times New Roman"/>
          <w:noProof/>
          <w:sz w:val="24"/>
          <w:szCs w:val="24"/>
        </w:rPr>
      </w:pPr>
      <w:r>
        <w:rPr>
          <w:rFonts w:ascii="Times New Roman" w:hAnsi="Times New Roman"/>
          <w:noProof/>
          <w:sz w:val="24"/>
          <w:szCs w:val="24"/>
        </w:rPr>
        <w:t>Le Fonds pour la modernisation est le principal instrument de financement créé dans le cadre du SEQE-UE afin de soutenir la décarbonation dans les États membres d’Europe centrale et orientale</w:t>
      </w:r>
      <w:r w:rsidRPr="00DA11F1">
        <w:rPr>
          <w:rStyle w:val="FootnoteReference"/>
          <w:rFonts w:ascii="Times New Roman" w:hAnsi="Times New Roman"/>
          <w:noProof/>
          <w:sz w:val="24"/>
          <w:szCs w:val="24"/>
          <w:lang w:val="en-US"/>
        </w:rPr>
        <w:footnoteReference w:id="55"/>
      </w:r>
      <w:r>
        <w:rPr>
          <w:rFonts w:ascii="Times New Roman" w:hAnsi="Times New Roman"/>
          <w:noProof/>
          <w:sz w:val="24"/>
          <w:szCs w:val="24"/>
        </w:rPr>
        <w:t xml:space="preserve">. Il est doté d’environ </w:t>
      </w:r>
      <w:r w:rsidRPr="00F43FC8">
        <w:rPr>
          <w:rFonts w:ascii="Times New Roman" w:hAnsi="Times New Roman"/>
          <w:noProof/>
          <w:sz w:val="24"/>
          <w:szCs w:val="24"/>
        </w:rPr>
        <w:t>25</w:t>
      </w:r>
      <w:r>
        <w:rPr>
          <w:rFonts w:ascii="Times New Roman" w:hAnsi="Times New Roman"/>
          <w:noProof/>
          <w:sz w:val="24"/>
          <w:szCs w:val="24"/>
        </w:rPr>
        <w:t> milliards d’euros</w:t>
      </w:r>
      <w:r w:rsidRPr="00DA11F1">
        <w:rPr>
          <w:rStyle w:val="FootnoteReference"/>
          <w:rFonts w:ascii="Times New Roman" w:hAnsi="Times New Roman"/>
          <w:noProof/>
          <w:sz w:val="24"/>
          <w:szCs w:val="24"/>
          <w:lang w:val="en-US"/>
        </w:rPr>
        <w:footnoteReference w:id="56"/>
      </w:r>
      <w:r>
        <w:rPr>
          <w:rFonts w:ascii="Times New Roman" w:hAnsi="Times New Roman"/>
          <w:noProof/>
          <w:sz w:val="24"/>
          <w:szCs w:val="24"/>
        </w:rPr>
        <w:t xml:space="preserve">, levés grâce à la mise aux enchères de plus de </w:t>
      </w:r>
      <w:r w:rsidRPr="00F43FC8">
        <w:rPr>
          <w:rFonts w:ascii="Times New Roman" w:hAnsi="Times New Roman"/>
          <w:noProof/>
          <w:sz w:val="24"/>
          <w:szCs w:val="24"/>
        </w:rPr>
        <w:t>643</w:t>
      </w:r>
      <w:r>
        <w:rPr>
          <w:rFonts w:ascii="Times New Roman" w:hAnsi="Times New Roman"/>
          <w:noProof/>
          <w:sz w:val="24"/>
          <w:szCs w:val="24"/>
        </w:rPr>
        <w:t> millions de quotas</w:t>
      </w:r>
      <w:r w:rsidR="009F4C75" w:rsidRPr="00DA11F1">
        <w:rPr>
          <w:rStyle w:val="FootnoteReference"/>
          <w:rFonts w:ascii="Times New Roman" w:hAnsi="Times New Roman"/>
          <w:noProof/>
          <w:sz w:val="24"/>
          <w:szCs w:val="24"/>
          <w:lang w:val="en-US"/>
        </w:rPr>
        <w:footnoteReference w:id="57"/>
      </w:r>
      <w:r>
        <w:rPr>
          <w:rFonts w:ascii="Times New Roman" w:hAnsi="Times New Roman"/>
          <w:noProof/>
          <w:sz w:val="24"/>
          <w:szCs w:val="24"/>
        </w:rPr>
        <w:t xml:space="preserve"> lors de la phase </w:t>
      </w:r>
      <w:r w:rsidRPr="00F43FC8">
        <w:rPr>
          <w:rFonts w:ascii="Times New Roman" w:hAnsi="Times New Roman"/>
          <w:noProof/>
          <w:sz w:val="24"/>
          <w:szCs w:val="24"/>
        </w:rPr>
        <w:t>4</w:t>
      </w:r>
      <w:r>
        <w:rPr>
          <w:rFonts w:ascii="Times New Roman" w:hAnsi="Times New Roman"/>
          <w:noProof/>
          <w:sz w:val="24"/>
          <w:szCs w:val="24"/>
        </w:rPr>
        <w:t xml:space="preserve">.   </w:t>
      </w:r>
    </w:p>
    <w:p w14:paraId="79384D3C" w14:textId="060BB664" w:rsidR="00407285" w:rsidRPr="00DA11F1" w:rsidRDefault="0085153B" w:rsidP="00E125E7">
      <w:pPr>
        <w:jc w:val="both"/>
        <w:rPr>
          <w:rFonts w:ascii="Times New Roman" w:hAnsi="Times New Roman"/>
          <w:noProof/>
          <w:sz w:val="24"/>
          <w:szCs w:val="24"/>
        </w:rPr>
      </w:pPr>
      <w:r>
        <w:rPr>
          <w:rFonts w:ascii="Times New Roman" w:hAnsi="Times New Roman"/>
          <w:noProof/>
          <w:sz w:val="24"/>
          <w:szCs w:val="24"/>
        </w:rPr>
        <w:t>Le Fonds pour la modernisation est devenu opérationnel en janvier </w:t>
      </w:r>
      <w:r w:rsidRPr="00F43FC8">
        <w:rPr>
          <w:rFonts w:ascii="Times New Roman" w:hAnsi="Times New Roman"/>
          <w:noProof/>
          <w:sz w:val="24"/>
          <w:szCs w:val="24"/>
        </w:rPr>
        <w:t>2021</w:t>
      </w:r>
      <w:r>
        <w:rPr>
          <w:rFonts w:ascii="Times New Roman" w:hAnsi="Times New Roman"/>
          <w:noProof/>
          <w:sz w:val="24"/>
          <w:szCs w:val="24"/>
        </w:rPr>
        <w:t xml:space="preserve">. Lors du premier cycle de décaissement semestriel, six régimes pluriannuels ont été confirmés en Hongrie, en Pologne et en Tchéquie, pour un montant total de </w:t>
      </w:r>
      <w:r w:rsidRPr="00F43FC8">
        <w:rPr>
          <w:rFonts w:ascii="Times New Roman" w:hAnsi="Times New Roman"/>
          <w:noProof/>
          <w:sz w:val="24"/>
          <w:szCs w:val="24"/>
        </w:rPr>
        <w:t>304</w:t>
      </w:r>
      <w:r>
        <w:rPr>
          <w:rFonts w:ascii="Times New Roman" w:hAnsi="Times New Roman"/>
          <w:noProof/>
          <w:sz w:val="24"/>
          <w:szCs w:val="24"/>
        </w:rPr>
        <w:t> millions d’euros. Ces régimes incluent des investissements dans les énergies renouvelables, l’efficacité énergétique, les réseaux intelligents et le développement des réseaux électriques et des communautés d’énergie.</w:t>
      </w:r>
    </w:p>
    <w:p w14:paraId="02366EAC" w14:textId="250337D0" w:rsidR="00131369" w:rsidRPr="00DA11F1" w:rsidRDefault="00BE4015" w:rsidP="00E125E7">
      <w:pPr>
        <w:jc w:val="both"/>
        <w:rPr>
          <w:rFonts w:ascii="Times New Roman" w:hAnsi="Times New Roman"/>
          <w:noProof/>
          <w:sz w:val="24"/>
          <w:szCs w:val="24"/>
        </w:rPr>
      </w:pPr>
      <w:r>
        <w:rPr>
          <w:rFonts w:ascii="Times New Roman" w:hAnsi="Times New Roman"/>
          <w:noProof/>
          <w:sz w:val="24"/>
          <w:szCs w:val="24"/>
        </w:rPr>
        <w:t>Le tableau </w:t>
      </w:r>
      <w:r w:rsidRPr="00F43FC8">
        <w:rPr>
          <w:rFonts w:ascii="Times New Roman" w:hAnsi="Times New Roman"/>
          <w:noProof/>
          <w:sz w:val="24"/>
          <w:szCs w:val="24"/>
        </w:rPr>
        <w:t>7</w:t>
      </w:r>
      <w:r>
        <w:rPr>
          <w:rFonts w:ascii="Times New Roman" w:hAnsi="Times New Roman"/>
          <w:noProof/>
          <w:sz w:val="24"/>
          <w:szCs w:val="24"/>
        </w:rPr>
        <w:t>.</w:t>
      </w:r>
      <w:r w:rsidRPr="00F43FC8">
        <w:rPr>
          <w:rFonts w:ascii="Times New Roman" w:hAnsi="Times New Roman"/>
          <w:noProof/>
          <w:sz w:val="24"/>
          <w:szCs w:val="24"/>
        </w:rPr>
        <w:t>3</w:t>
      </w:r>
      <w:r>
        <w:rPr>
          <w:rFonts w:ascii="Times New Roman" w:hAnsi="Times New Roman"/>
          <w:noProof/>
          <w:sz w:val="24"/>
          <w:szCs w:val="24"/>
        </w:rPr>
        <w:t xml:space="preserve"> de l’annexe </w:t>
      </w:r>
      <w:r w:rsidRPr="00F43FC8">
        <w:rPr>
          <w:rFonts w:ascii="Times New Roman" w:hAnsi="Times New Roman"/>
          <w:noProof/>
          <w:sz w:val="24"/>
          <w:szCs w:val="24"/>
        </w:rPr>
        <w:t>7</w:t>
      </w:r>
      <w:r>
        <w:rPr>
          <w:rFonts w:ascii="Times New Roman" w:hAnsi="Times New Roman"/>
          <w:noProof/>
          <w:sz w:val="24"/>
          <w:szCs w:val="24"/>
        </w:rPr>
        <w:t xml:space="preserve"> du document de travail des services de la Commission accompagnant le présent rapport montre le nombre total de quotas par État membre bénéficiaire au cours de la phase </w:t>
      </w:r>
      <w:r w:rsidRPr="00F43FC8">
        <w:rPr>
          <w:rFonts w:ascii="Times New Roman" w:hAnsi="Times New Roman"/>
          <w:noProof/>
          <w:sz w:val="24"/>
          <w:szCs w:val="24"/>
        </w:rPr>
        <w:t>4</w:t>
      </w:r>
      <w:r>
        <w:rPr>
          <w:rFonts w:ascii="Times New Roman" w:hAnsi="Times New Roman"/>
          <w:noProof/>
          <w:sz w:val="24"/>
          <w:szCs w:val="24"/>
        </w:rPr>
        <w:t xml:space="preserve">. </w:t>
      </w:r>
    </w:p>
    <w:p w14:paraId="7D40694A" w14:textId="7DEDD768" w:rsidR="00131369" w:rsidRPr="00DA11F1" w:rsidRDefault="00FA7EBD" w:rsidP="00B02C8A">
      <w:pPr>
        <w:pStyle w:val="Heading3"/>
        <w:ind w:left="720"/>
        <w:rPr>
          <w:rStyle w:val="Heading3Char"/>
          <w:b/>
          <w:i/>
          <w:noProof/>
        </w:rPr>
      </w:pPr>
      <w:bookmarkStart w:id="39" w:name="_Toc490850428"/>
      <w:bookmarkStart w:id="40" w:name="_Toc89707769"/>
      <w:r w:rsidRPr="00F43FC8">
        <w:rPr>
          <w:i/>
          <w:noProof/>
        </w:rPr>
        <w:t>3</w:t>
      </w:r>
      <w:r>
        <w:rPr>
          <w:rStyle w:val="Heading3Char"/>
          <w:b/>
          <w:i/>
          <w:noProof/>
        </w:rPr>
        <w:t>.</w:t>
      </w:r>
      <w:r w:rsidRPr="00F43FC8">
        <w:rPr>
          <w:rStyle w:val="Heading3Char"/>
          <w:b/>
          <w:i/>
          <w:noProof/>
        </w:rPr>
        <w:t>1</w:t>
      </w:r>
      <w:r>
        <w:rPr>
          <w:rStyle w:val="Heading3Char"/>
          <w:b/>
          <w:i/>
          <w:noProof/>
        </w:rPr>
        <w:t>.</w:t>
      </w:r>
      <w:r w:rsidRPr="00F43FC8">
        <w:rPr>
          <w:rStyle w:val="Heading3Char"/>
          <w:b/>
          <w:i/>
          <w:noProof/>
        </w:rPr>
        <w:t>8</w:t>
      </w:r>
      <w:r>
        <w:rPr>
          <w:rStyle w:val="Heading3Char"/>
          <w:b/>
          <w:i/>
          <w:noProof/>
        </w:rPr>
        <w:t>. Compensation des coûts indirects du carbone</w:t>
      </w:r>
      <w:bookmarkStart w:id="41" w:name="_Toc463015542"/>
      <w:bookmarkStart w:id="42" w:name="_Toc490850429"/>
      <w:bookmarkEnd w:id="39"/>
      <w:bookmarkEnd w:id="40"/>
    </w:p>
    <w:p w14:paraId="6EA5A395" w14:textId="271B1EAF" w:rsidR="00700047" w:rsidRPr="00DA11F1" w:rsidRDefault="00700047" w:rsidP="00E125E7">
      <w:pPr>
        <w:jc w:val="both"/>
        <w:rPr>
          <w:rFonts w:ascii="Times New Roman" w:hAnsi="Times New Roman"/>
          <w:noProof/>
          <w:sz w:val="24"/>
          <w:szCs w:val="24"/>
        </w:rPr>
      </w:pPr>
      <w:r>
        <w:rPr>
          <w:rFonts w:ascii="Times New Roman" w:hAnsi="Times New Roman"/>
          <w:noProof/>
          <w:sz w:val="24"/>
          <w:szCs w:val="24"/>
        </w:rPr>
        <w:t>Outre l’allocation à titre gratuit couvrant les émissions directes, les États membres peuvent octroyer des aides d’État pour indemniser certains secteurs à forte consommation d’énergie électrique de leurs coûts de carbone résultant d’émissions indirectes, par exemple, les coûts résultant de l’augmentation des tarifs de l’électricité due à la répercussion des coûts d’achat de quotas par les producteurs d’électricité sur les consommateurs. Afin de garantir l’application harmonisée de la compensation des coûts indirects liés au carbone entre les États membres et de limiter le plus possible les distorsions de la concurrence au sein du marché intérieur, la Commission a adopté les lignes directrices concernant les aides d’État dans le contexte du SEQE-UE. La première édition de ces lignes directrices s’appliquait aux coûts indirects engagés entre </w:t>
      </w:r>
      <w:r w:rsidRPr="00F43FC8">
        <w:rPr>
          <w:rFonts w:ascii="Times New Roman" w:hAnsi="Times New Roman"/>
          <w:noProof/>
          <w:sz w:val="24"/>
          <w:szCs w:val="24"/>
        </w:rPr>
        <w:t>2013</w:t>
      </w:r>
      <w:r>
        <w:rPr>
          <w:rFonts w:ascii="Times New Roman" w:hAnsi="Times New Roman"/>
          <w:noProof/>
          <w:sz w:val="24"/>
          <w:szCs w:val="24"/>
        </w:rPr>
        <w:t xml:space="preserve"> et </w:t>
      </w:r>
      <w:r w:rsidRPr="00F43FC8">
        <w:rPr>
          <w:rFonts w:ascii="Times New Roman" w:hAnsi="Times New Roman"/>
          <w:noProof/>
          <w:sz w:val="24"/>
          <w:szCs w:val="24"/>
        </w:rPr>
        <w:t>2020</w:t>
      </w:r>
      <w:r w:rsidR="00C00ECD" w:rsidRPr="00DA11F1">
        <w:rPr>
          <w:rStyle w:val="FootnoteReference"/>
          <w:rFonts w:ascii="Times New Roman" w:hAnsi="Times New Roman"/>
          <w:noProof/>
          <w:sz w:val="24"/>
          <w:szCs w:val="24"/>
        </w:rPr>
        <w:footnoteReference w:id="58"/>
      </w:r>
      <w:r>
        <w:rPr>
          <w:rFonts w:ascii="Times New Roman" w:hAnsi="Times New Roman"/>
          <w:noProof/>
          <w:sz w:val="24"/>
          <w:szCs w:val="24"/>
        </w:rPr>
        <w:t>. Elle a été ultérieurement révisée afin de couvrir la période </w:t>
      </w:r>
      <w:r w:rsidRPr="00F43FC8">
        <w:rPr>
          <w:rFonts w:ascii="Times New Roman" w:hAnsi="Times New Roman"/>
          <w:noProof/>
          <w:sz w:val="24"/>
          <w:szCs w:val="24"/>
        </w:rPr>
        <w:t>2021</w:t>
      </w:r>
      <w:r>
        <w:rPr>
          <w:rFonts w:ascii="Times New Roman" w:hAnsi="Times New Roman"/>
          <w:noProof/>
          <w:sz w:val="24"/>
          <w:szCs w:val="24"/>
        </w:rPr>
        <w:t>-</w:t>
      </w:r>
      <w:r w:rsidRPr="00F43FC8">
        <w:rPr>
          <w:rFonts w:ascii="Times New Roman" w:hAnsi="Times New Roman"/>
          <w:noProof/>
          <w:sz w:val="24"/>
          <w:szCs w:val="24"/>
        </w:rPr>
        <w:t>2030</w:t>
      </w:r>
      <w:r w:rsidR="00C00ECD" w:rsidRPr="00DA11F1">
        <w:rPr>
          <w:rStyle w:val="FootnoteReference"/>
          <w:rFonts w:ascii="Times New Roman" w:hAnsi="Times New Roman"/>
          <w:noProof/>
          <w:sz w:val="24"/>
          <w:szCs w:val="24"/>
        </w:rPr>
        <w:footnoteReference w:id="59"/>
      </w:r>
      <w:r>
        <w:rPr>
          <w:rFonts w:ascii="Times New Roman" w:hAnsi="Times New Roman"/>
          <w:noProof/>
          <w:sz w:val="24"/>
          <w:szCs w:val="24"/>
        </w:rPr>
        <w:t xml:space="preserve">. </w:t>
      </w:r>
    </w:p>
    <w:p w14:paraId="638180EA" w14:textId="7ECE20F0" w:rsidR="00700047" w:rsidRPr="00DA11F1" w:rsidRDefault="00B52704" w:rsidP="00E125E7">
      <w:pPr>
        <w:jc w:val="both"/>
        <w:rPr>
          <w:rFonts w:ascii="Times New Roman" w:hAnsi="Times New Roman"/>
          <w:noProof/>
          <w:sz w:val="24"/>
          <w:szCs w:val="24"/>
        </w:rPr>
      </w:pPr>
      <w:r>
        <w:rPr>
          <w:rFonts w:ascii="Times New Roman" w:hAnsi="Times New Roman"/>
          <w:noProof/>
          <w:sz w:val="24"/>
          <w:szCs w:val="24"/>
        </w:rPr>
        <w:t>Le présent rapport décrit les dépenses effectuées par les États membres en </w:t>
      </w:r>
      <w:r w:rsidRPr="00F43FC8">
        <w:rPr>
          <w:rFonts w:ascii="Times New Roman" w:hAnsi="Times New Roman"/>
          <w:noProof/>
          <w:sz w:val="24"/>
          <w:szCs w:val="24"/>
        </w:rPr>
        <w:t>2020</w:t>
      </w:r>
      <w:r>
        <w:rPr>
          <w:rFonts w:ascii="Times New Roman" w:hAnsi="Times New Roman"/>
          <w:noProof/>
          <w:sz w:val="24"/>
          <w:szCs w:val="24"/>
        </w:rPr>
        <w:t xml:space="preserve"> pour les coûts indirects engagés en </w:t>
      </w:r>
      <w:r w:rsidRPr="00F43FC8">
        <w:rPr>
          <w:rFonts w:ascii="Times New Roman" w:hAnsi="Times New Roman"/>
          <w:noProof/>
          <w:sz w:val="24"/>
          <w:szCs w:val="24"/>
        </w:rPr>
        <w:t>2019</w:t>
      </w:r>
      <w:r>
        <w:rPr>
          <w:rFonts w:ascii="Times New Roman" w:hAnsi="Times New Roman"/>
          <w:noProof/>
          <w:sz w:val="24"/>
          <w:szCs w:val="24"/>
        </w:rPr>
        <w:t>, dans le cadre de la première édition des lignes directrices. Les données relatives à la compensation des coûts indirects engagés en </w:t>
      </w:r>
      <w:r w:rsidRPr="00F43FC8">
        <w:rPr>
          <w:rFonts w:ascii="Times New Roman" w:hAnsi="Times New Roman"/>
          <w:noProof/>
          <w:sz w:val="24"/>
          <w:szCs w:val="24"/>
        </w:rPr>
        <w:t>2020</w:t>
      </w:r>
      <w:r>
        <w:rPr>
          <w:rFonts w:ascii="Times New Roman" w:hAnsi="Times New Roman"/>
          <w:noProof/>
          <w:sz w:val="24"/>
          <w:szCs w:val="24"/>
        </w:rPr>
        <w:t xml:space="preserve"> ne sont pas encore disponibles. Les États membres qui choisissent de commencer ou de continuer à compenser les coûts indirects engagés en </w:t>
      </w:r>
      <w:r w:rsidRPr="00F43FC8">
        <w:rPr>
          <w:rFonts w:ascii="Times New Roman" w:hAnsi="Times New Roman"/>
          <w:noProof/>
          <w:sz w:val="24"/>
          <w:szCs w:val="24"/>
        </w:rPr>
        <w:t>2021</w:t>
      </w:r>
      <w:r>
        <w:rPr>
          <w:rFonts w:ascii="Times New Roman" w:hAnsi="Times New Roman"/>
          <w:noProof/>
          <w:sz w:val="24"/>
          <w:szCs w:val="24"/>
        </w:rPr>
        <w:t xml:space="preserve"> et au-delà, conformément aux lignes directrices révisées, doivent notifier leurs régimes à la Commission.</w:t>
      </w:r>
    </w:p>
    <w:p w14:paraId="3ABD6C71" w14:textId="09F4CB32" w:rsidR="00700047" w:rsidRPr="00DA11F1" w:rsidRDefault="00A1108B" w:rsidP="00E125E7">
      <w:pPr>
        <w:jc w:val="both"/>
        <w:rPr>
          <w:rFonts w:ascii="Times New Roman" w:eastAsia="Times New Roman" w:hAnsi="Times New Roman"/>
          <w:noProof/>
          <w:sz w:val="24"/>
          <w:szCs w:val="24"/>
        </w:rPr>
      </w:pPr>
      <w:r>
        <w:rPr>
          <w:rFonts w:ascii="Times New Roman" w:hAnsi="Times New Roman"/>
          <w:noProof/>
          <w:sz w:val="24"/>
          <w:szCs w:val="24"/>
        </w:rPr>
        <w:t xml:space="preserve">Un nombre croissant d’États membres ont commencé à compenser leurs coûts indirects. À ce jour, la Commission a autorisé </w:t>
      </w:r>
      <w:r w:rsidRPr="00F43FC8">
        <w:rPr>
          <w:rFonts w:ascii="Times New Roman" w:hAnsi="Times New Roman"/>
          <w:noProof/>
          <w:sz w:val="24"/>
          <w:szCs w:val="24"/>
        </w:rPr>
        <w:t>16</w:t>
      </w:r>
      <w:r>
        <w:rPr>
          <w:rFonts w:ascii="Times New Roman" w:hAnsi="Times New Roman"/>
          <w:noProof/>
          <w:sz w:val="24"/>
          <w:szCs w:val="24"/>
        </w:rPr>
        <w:t xml:space="preserve"> régimes dans </w:t>
      </w:r>
      <w:r w:rsidRPr="00F43FC8">
        <w:rPr>
          <w:rFonts w:ascii="Times New Roman" w:hAnsi="Times New Roman"/>
          <w:noProof/>
          <w:sz w:val="24"/>
          <w:szCs w:val="24"/>
        </w:rPr>
        <w:t>15</w:t>
      </w:r>
      <w:r>
        <w:rPr>
          <w:rFonts w:ascii="Times New Roman" w:hAnsi="Times New Roman"/>
          <w:noProof/>
          <w:sz w:val="24"/>
          <w:szCs w:val="24"/>
        </w:rPr>
        <w:t> États membres. En </w:t>
      </w:r>
      <w:r w:rsidRPr="00F43FC8">
        <w:rPr>
          <w:rFonts w:ascii="Times New Roman" w:hAnsi="Times New Roman"/>
          <w:noProof/>
          <w:sz w:val="24"/>
          <w:szCs w:val="24"/>
        </w:rPr>
        <w:t>2020</w:t>
      </w:r>
      <w:r>
        <w:rPr>
          <w:rFonts w:ascii="Times New Roman" w:hAnsi="Times New Roman"/>
          <w:noProof/>
          <w:sz w:val="24"/>
          <w:szCs w:val="24"/>
        </w:rPr>
        <w:t>, la Pologne et la Roumanie ont commencé à compenser leurs coûts indirects pour la première fois. La Commission a approuvé un nouveau régime tchèque</w:t>
      </w:r>
      <w:r w:rsidR="00700047" w:rsidRPr="00DA11F1">
        <w:rPr>
          <w:rStyle w:val="FootnoteReference"/>
          <w:rFonts w:ascii="Times New Roman" w:eastAsia="Times New Roman" w:hAnsi="Times New Roman"/>
          <w:noProof/>
          <w:sz w:val="24"/>
          <w:szCs w:val="24"/>
          <w:lang w:eastAsia="de-DE"/>
        </w:rPr>
        <w:footnoteReference w:id="60"/>
      </w:r>
      <w:r>
        <w:rPr>
          <w:rFonts w:ascii="Times New Roman" w:hAnsi="Times New Roman"/>
          <w:noProof/>
          <w:sz w:val="24"/>
          <w:szCs w:val="24"/>
        </w:rPr>
        <w:t xml:space="preserve"> en novembre </w:t>
      </w:r>
      <w:r w:rsidRPr="00F43FC8">
        <w:rPr>
          <w:rFonts w:ascii="Times New Roman" w:hAnsi="Times New Roman"/>
          <w:noProof/>
          <w:sz w:val="24"/>
          <w:szCs w:val="24"/>
        </w:rPr>
        <w:t>2020</w:t>
      </w:r>
      <w:r>
        <w:rPr>
          <w:rFonts w:ascii="Times New Roman" w:hAnsi="Times New Roman"/>
          <w:noProof/>
          <w:sz w:val="24"/>
          <w:szCs w:val="24"/>
        </w:rPr>
        <w:t xml:space="preserve"> et un nouveau régime italien en juillet </w:t>
      </w:r>
      <w:r w:rsidRPr="00F43FC8">
        <w:rPr>
          <w:rFonts w:ascii="Times New Roman" w:hAnsi="Times New Roman"/>
          <w:noProof/>
          <w:sz w:val="24"/>
          <w:szCs w:val="24"/>
        </w:rPr>
        <w:t>2021</w:t>
      </w:r>
      <w:r w:rsidR="00700047" w:rsidRPr="00DA11F1">
        <w:rPr>
          <w:rStyle w:val="FootnoteReference"/>
          <w:rFonts w:ascii="Times New Roman" w:eastAsia="Times New Roman" w:hAnsi="Times New Roman"/>
          <w:noProof/>
          <w:sz w:val="24"/>
          <w:szCs w:val="24"/>
          <w:lang w:eastAsia="de-DE"/>
        </w:rPr>
        <w:footnoteReference w:id="61"/>
      </w:r>
      <w:r>
        <w:rPr>
          <w:rFonts w:ascii="Times New Roman" w:hAnsi="Times New Roman"/>
          <w:noProof/>
          <w:sz w:val="24"/>
          <w:szCs w:val="24"/>
        </w:rPr>
        <w:t>. La Tchéquie comme l’Italie commenceront à compenser les coûts indirects en </w:t>
      </w:r>
      <w:r w:rsidRPr="00F43FC8">
        <w:rPr>
          <w:rFonts w:ascii="Times New Roman" w:hAnsi="Times New Roman"/>
          <w:noProof/>
          <w:sz w:val="24"/>
          <w:szCs w:val="24"/>
        </w:rPr>
        <w:t>2021</w:t>
      </w:r>
      <w:r>
        <w:rPr>
          <w:rFonts w:ascii="Times New Roman" w:hAnsi="Times New Roman"/>
          <w:noProof/>
          <w:sz w:val="24"/>
          <w:szCs w:val="24"/>
        </w:rPr>
        <w:t xml:space="preserve"> (pour les coûts engagés en </w:t>
      </w:r>
      <w:r w:rsidRPr="00F43FC8">
        <w:rPr>
          <w:rFonts w:ascii="Times New Roman" w:hAnsi="Times New Roman"/>
          <w:noProof/>
          <w:sz w:val="24"/>
          <w:szCs w:val="24"/>
        </w:rPr>
        <w:t>2020</w:t>
      </w:r>
      <w:r>
        <w:rPr>
          <w:rFonts w:ascii="Times New Roman" w:hAnsi="Times New Roman"/>
          <w:noProof/>
          <w:sz w:val="24"/>
          <w:szCs w:val="24"/>
        </w:rPr>
        <w:t>).</w:t>
      </w:r>
    </w:p>
    <w:p w14:paraId="6BE45379" w14:textId="2A148925" w:rsidR="00700047" w:rsidRPr="00DA11F1" w:rsidRDefault="00700047" w:rsidP="00087600">
      <w:pPr>
        <w:jc w:val="both"/>
        <w:rPr>
          <w:rFonts w:ascii="Times New Roman" w:eastAsia="Times New Roman" w:hAnsi="Times New Roman"/>
          <w:noProof/>
          <w:sz w:val="24"/>
          <w:szCs w:val="24"/>
        </w:rPr>
      </w:pPr>
      <w:r>
        <w:rPr>
          <w:rFonts w:ascii="Times New Roman" w:hAnsi="Times New Roman"/>
          <w:noProof/>
          <w:sz w:val="24"/>
          <w:szCs w:val="24"/>
        </w:rPr>
        <w:t>La directive SEQE-UE précise que, dans un délai de trois mois à compter de la fin de chaque année, les États membres qui ont mis en place un régime de compensation des coûts indirects mettent à la disposition du public, sous une forme aisément accessible, la totalité des compensations et une ventilation par secteur et sous-secteur bénéficiaire. Le</w:t>
      </w:r>
      <w:r w:rsidR="00087600">
        <w:rPr>
          <w:rFonts w:ascii="Times New Roman" w:hAnsi="Times New Roman"/>
          <w:noProof/>
          <w:sz w:val="24"/>
          <w:szCs w:val="24"/>
        </w:rPr>
        <w:t xml:space="preserve"> tableau </w:t>
      </w:r>
      <w:r w:rsidR="00087600" w:rsidRPr="00F43FC8">
        <w:rPr>
          <w:rFonts w:ascii="Times New Roman" w:hAnsi="Times New Roman"/>
          <w:noProof/>
          <w:sz w:val="24"/>
          <w:szCs w:val="24"/>
        </w:rPr>
        <w:t>4</w:t>
      </w:r>
      <w:r>
        <w:rPr>
          <w:rFonts w:ascii="Times New Roman" w:hAnsi="Times New Roman"/>
          <w:noProof/>
          <w:sz w:val="24"/>
          <w:szCs w:val="24"/>
        </w:rPr>
        <w:t xml:space="preserve"> ci-dessous présente un résumé des données publiées par les États membres concernant la compensation versée en </w:t>
      </w:r>
      <w:r w:rsidRPr="00F43FC8">
        <w:rPr>
          <w:rFonts w:ascii="Times New Roman" w:hAnsi="Times New Roman"/>
          <w:noProof/>
          <w:sz w:val="24"/>
          <w:szCs w:val="24"/>
        </w:rPr>
        <w:t>2020</w:t>
      </w:r>
      <w:r>
        <w:rPr>
          <w:rFonts w:ascii="Times New Roman" w:hAnsi="Times New Roman"/>
          <w:noProof/>
          <w:sz w:val="24"/>
          <w:szCs w:val="24"/>
        </w:rPr>
        <w:t xml:space="preserve"> pour les coûts indirects engagés en </w:t>
      </w:r>
      <w:r w:rsidRPr="00F43FC8">
        <w:rPr>
          <w:rFonts w:ascii="Times New Roman" w:hAnsi="Times New Roman"/>
          <w:noProof/>
          <w:sz w:val="24"/>
          <w:szCs w:val="24"/>
        </w:rPr>
        <w:t>2019</w:t>
      </w:r>
      <w:r>
        <w:rPr>
          <w:rFonts w:ascii="Times New Roman" w:hAnsi="Times New Roman"/>
          <w:noProof/>
          <w:sz w:val="24"/>
          <w:szCs w:val="24"/>
        </w:rPr>
        <w:t>. Ces données sont comparées aux recettes des ventes aux enchères en </w:t>
      </w:r>
      <w:r w:rsidRPr="00F43FC8">
        <w:rPr>
          <w:rFonts w:ascii="Times New Roman" w:hAnsi="Times New Roman"/>
          <w:noProof/>
          <w:sz w:val="24"/>
          <w:szCs w:val="24"/>
        </w:rPr>
        <w:t>2019</w:t>
      </w:r>
      <w:r>
        <w:rPr>
          <w:rFonts w:ascii="Times New Roman" w:hAnsi="Times New Roman"/>
          <w:noProof/>
          <w:sz w:val="24"/>
          <w:szCs w:val="24"/>
        </w:rPr>
        <w:t>.</w:t>
      </w:r>
    </w:p>
    <w:p w14:paraId="2A2F4D4D" w14:textId="2632B74B" w:rsidR="00B441CA" w:rsidRPr="00DA11F1" w:rsidRDefault="00B441CA" w:rsidP="00B441CA">
      <w:pPr>
        <w:pStyle w:val="Caption"/>
        <w:keepNext/>
        <w:rPr>
          <w:rFonts w:ascii="Times New Roman" w:hAnsi="Times New Roman"/>
          <w:noProof/>
          <w:sz w:val="22"/>
        </w:rPr>
      </w:pPr>
      <w:bookmarkStart w:id="43" w:name="_Ref85028906"/>
      <w:r>
        <w:rPr>
          <w:rFonts w:ascii="Times New Roman" w:hAnsi="Times New Roman"/>
          <w:noProof/>
          <w:sz w:val="22"/>
        </w:rPr>
        <w:t>Tableau </w:t>
      </w:r>
      <w:r w:rsidRPr="00DA11F1">
        <w:rPr>
          <w:rFonts w:ascii="Times New Roman" w:hAnsi="Times New Roman"/>
          <w:noProof/>
          <w:sz w:val="22"/>
        </w:rPr>
        <w:fldChar w:fldCharType="begin"/>
      </w:r>
      <w:r w:rsidRPr="00DA11F1">
        <w:rPr>
          <w:rFonts w:ascii="Times New Roman" w:hAnsi="Times New Roman"/>
          <w:noProof/>
          <w:sz w:val="22"/>
        </w:rPr>
        <w:instrText xml:space="preserve"> SEQ Table \* ARABIC </w:instrText>
      </w:r>
      <w:r w:rsidRPr="00DA11F1">
        <w:rPr>
          <w:rFonts w:ascii="Times New Roman" w:hAnsi="Times New Roman"/>
          <w:noProof/>
          <w:sz w:val="22"/>
        </w:rPr>
        <w:fldChar w:fldCharType="separate"/>
      </w:r>
      <w:r w:rsidR="00676166" w:rsidRPr="00F43FC8">
        <w:rPr>
          <w:rFonts w:ascii="Times New Roman" w:hAnsi="Times New Roman"/>
          <w:noProof/>
          <w:sz w:val="22"/>
        </w:rPr>
        <w:t>4</w:t>
      </w:r>
      <w:r w:rsidRPr="00DA11F1">
        <w:rPr>
          <w:rFonts w:ascii="Times New Roman" w:hAnsi="Times New Roman"/>
          <w:noProof/>
          <w:sz w:val="22"/>
        </w:rPr>
        <w:fldChar w:fldCharType="end"/>
      </w:r>
      <w:bookmarkEnd w:id="43"/>
      <w:r>
        <w:rPr>
          <w:rFonts w:ascii="Times New Roman" w:hAnsi="Times New Roman"/>
          <w:noProof/>
          <w:sz w:val="22"/>
        </w:rPr>
        <w:t>. Compensation des coûts indirects du carbone versée par les États membres de l’UE et le Royaume-Uni en </w:t>
      </w:r>
      <w:r w:rsidRPr="00F43FC8">
        <w:rPr>
          <w:rFonts w:ascii="Times New Roman" w:hAnsi="Times New Roman"/>
          <w:noProof/>
          <w:sz w:val="22"/>
        </w:rPr>
        <w:t>2020</w:t>
      </w:r>
      <w:r w:rsidRPr="00DA11F1">
        <w:rPr>
          <w:rStyle w:val="FootnoteReference"/>
          <w:rFonts w:ascii="Times New Roman" w:eastAsia="Times New Roman" w:hAnsi="Times New Roman"/>
          <w:b w:val="0"/>
          <w:noProof/>
          <w:lang w:eastAsia="en-GB"/>
        </w:rPr>
        <w:footnoteReference w:id="62"/>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6"/>
        <w:gridCol w:w="2689"/>
        <w:gridCol w:w="1711"/>
        <w:gridCol w:w="1801"/>
        <w:gridCol w:w="2075"/>
      </w:tblGrid>
      <w:tr w:rsidR="00700047" w:rsidRPr="00DA11F1" w14:paraId="29E2822C" w14:textId="77777777" w:rsidTr="00865DDA">
        <w:trPr>
          <w:trHeight w:val="1020"/>
        </w:trPr>
        <w:tc>
          <w:tcPr>
            <w:tcW w:w="520" w:type="pct"/>
            <w:shd w:val="clear" w:color="auto" w:fill="auto"/>
            <w:vAlign w:val="center"/>
            <w:hideMark/>
          </w:tcPr>
          <w:p w14:paraId="45DE3F8A" w14:textId="77777777" w:rsidR="00700047" w:rsidRPr="00DA11F1" w:rsidRDefault="00700047" w:rsidP="00865DDA">
            <w:pPr>
              <w:spacing w:after="0"/>
              <w:jc w:val="center"/>
              <w:rPr>
                <w:rFonts w:ascii="Times New Roman" w:eastAsia="Times New Roman" w:hAnsi="Times New Roman"/>
                <w:b/>
                <w:bCs/>
                <w:noProof/>
                <w:color w:val="000000"/>
                <w:sz w:val="20"/>
                <w:szCs w:val="20"/>
              </w:rPr>
            </w:pPr>
            <w:r>
              <w:rPr>
                <w:rFonts w:ascii="Times New Roman" w:hAnsi="Times New Roman"/>
                <w:b/>
                <w:bCs/>
                <w:noProof/>
                <w:color w:val="000000"/>
                <w:sz w:val="20"/>
                <w:szCs w:val="20"/>
              </w:rPr>
              <w:t>État membre</w:t>
            </w:r>
          </w:p>
        </w:tc>
        <w:tc>
          <w:tcPr>
            <w:tcW w:w="1456" w:type="pct"/>
            <w:shd w:val="clear" w:color="auto" w:fill="auto"/>
            <w:vAlign w:val="center"/>
            <w:hideMark/>
          </w:tcPr>
          <w:p w14:paraId="7A386F17" w14:textId="77777777" w:rsidR="00700047" w:rsidRPr="00DA11F1" w:rsidRDefault="00700047" w:rsidP="00865DDA">
            <w:pPr>
              <w:spacing w:after="0"/>
              <w:jc w:val="center"/>
              <w:rPr>
                <w:rFonts w:ascii="Times New Roman" w:eastAsia="Times New Roman" w:hAnsi="Times New Roman"/>
                <w:b/>
                <w:bCs/>
                <w:noProof/>
                <w:color w:val="000000"/>
                <w:sz w:val="20"/>
                <w:szCs w:val="20"/>
              </w:rPr>
            </w:pPr>
            <w:r>
              <w:rPr>
                <w:rFonts w:ascii="Times New Roman" w:hAnsi="Times New Roman"/>
                <w:b/>
                <w:bCs/>
                <w:noProof/>
                <w:color w:val="000000"/>
                <w:sz w:val="20"/>
                <w:szCs w:val="20"/>
              </w:rPr>
              <w:t>Compensation versée en </w:t>
            </w:r>
            <w:r w:rsidRPr="00F43FC8">
              <w:rPr>
                <w:rFonts w:ascii="Times New Roman" w:hAnsi="Times New Roman"/>
                <w:b/>
                <w:bCs/>
                <w:noProof/>
                <w:color w:val="000000"/>
                <w:sz w:val="20"/>
                <w:szCs w:val="20"/>
              </w:rPr>
              <w:t>2020</w:t>
            </w:r>
            <w:r>
              <w:rPr>
                <w:rFonts w:ascii="Times New Roman" w:hAnsi="Times New Roman"/>
                <w:b/>
                <w:bCs/>
                <w:noProof/>
                <w:color w:val="000000"/>
                <w:sz w:val="20"/>
                <w:szCs w:val="20"/>
              </w:rPr>
              <w:t xml:space="preserve"> pour les coûts indirects engagés en </w:t>
            </w:r>
            <w:r w:rsidRPr="00F43FC8">
              <w:rPr>
                <w:rFonts w:ascii="Times New Roman" w:hAnsi="Times New Roman"/>
                <w:b/>
                <w:bCs/>
                <w:noProof/>
                <w:color w:val="000000"/>
                <w:sz w:val="20"/>
                <w:szCs w:val="20"/>
              </w:rPr>
              <w:t>2019</w:t>
            </w:r>
            <w:r>
              <w:rPr>
                <w:rFonts w:ascii="Times New Roman" w:hAnsi="Times New Roman"/>
                <w:b/>
                <w:bCs/>
                <w:noProof/>
                <w:color w:val="000000"/>
                <w:sz w:val="20"/>
                <w:szCs w:val="20"/>
              </w:rPr>
              <w:t xml:space="preserve"> (en millions d’euros)</w:t>
            </w:r>
          </w:p>
        </w:tc>
        <w:tc>
          <w:tcPr>
            <w:tcW w:w="926" w:type="pct"/>
            <w:shd w:val="clear" w:color="auto" w:fill="auto"/>
            <w:vAlign w:val="center"/>
            <w:hideMark/>
          </w:tcPr>
          <w:p w14:paraId="620ABD04" w14:textId="77777777" w:rsidR="00700047" w:rsidRPr="00DA11F1" w:rsidRDefault="00700047" w:rsidP="00865DDA">
            <w:pPr>
              <w:spacing w:after="0"/>
              <w:jc w:val="center"/>
              <w:rPr>
                <w:rFonts w:ascii="Times New Roman" w:eastAsia="Times New Roman" w:hAnsi="Times New Roman"/>
                <w:b/>
                <w:bCs/>
                <w:noProof/>
                <w:color w:val="000000"/>
                <w:sz w:val="20"/>
                <w:szCs w:val="20"/>
              </w:rPr>
            </w:pPr>
            <w:r>
              <w:rPr>
                <w:rFonts w:ascii="Times New Roman" w:hAnsi="Times New Roman"/>
                <w:b/>
                <w:bCs/>
                <w:noProof/>
                <w:color w:val="000000"/>
                <w:sz w:val="20"/>
                <w:szCs w:val="20"/>
              </w:rPr>
              <w:t>Nombre de bénéficiaires (installations)</w:t>
            </w:r>
          </w:p>
        </w:tc>
        <w:tc>
          <w:tcPr>
            <w:tcW w:w="975" w:type="pct"/>
            <w:shd w:val="clear" w:color="auto" w:fill="auto"/>
            <w:vAlign w:val="center"/>
            <w:hideMark/>
          </w:tcPr>
          <w:p w14:paraId="51021F70" w14:textId="16C1F4B3" w:rsidR="00700047" w:rsidRPr="00DA11F1" w:rsidRDefault="00700047" w:rsidP="00865DDA">
            <w:pPr>
              <w:spacing w:after="0"/>
              <w:jc w:val="center"/>
              <w:rPr>
                <w:rFonts w:ascii="Times New Roman" w:eastAsia="Times New Roman" w:hAnsi="Times New Roman"/>
                <w:b/>
                <w:bCs/>
                <w:noProof/>
                <w:color w:val="000000"/>
                <w:sz w:val="20"/>
                <w:szCs w:val="20"/>
              </w:rPr>
            </w:pPr>
            <w:r>
              <w:rPr>
                <w:rFonts w:ascii="Times New Roman" w:hAnsi="Times New Roman"/>
                <w:b/>
                <w:bCs/>
                <w:noProof/>
                <w:color w:val="000000"/>
                <w:sz w:val="20"/>
                <w:szCs w:val="20"/>
              </w:rPr>
              <w:t>Recettes des ventes aux enchères en </w:t>
            </w:r>
            <w:r w:rsidRPr="00F43FC8">
              <w:rPr>
                <w:rFonts w:ascii="Times New Roman" w:hAnsi="Times New Roman"/>
                <w:b/>
                <w:bCs/>
                <w:noProof/>
                <w:color w:val="000000"/>
                <w:sz w:val="20"/>
                <w:szCs w:val="20"/>
              </w:rPr>
              <w:t>2019</w:t>
            </w:r>
            <w:r>
              <w:rPr>
                <w:rFonts w:ascii="Times New Roman" w:hAnsi="Times New Roman"/>
                <w:b/>
                <w:bCs/>
                <w:noProof/>
                <w:color w:val="000000"/>
                <w:sz w:val="20"/>
                <w:szCs w:val="20"/>
              </w:rPr>
              <w:t xml:space="preserve"> (hors quotas aviation, en millions d’euros)</w:t>
            </w:r>
          </w:p>
        </w:tc>
        <w:tc>
          <w:tcPr>
            <w:tcW w:w="1123" w:type="pct"/>
            <w:shd w:val="clear" w:color="auto" w:fill="auto"/>
            <w:vAlign w:val="center"/>
            <w:hideMark/>
          </w:tcPr>
          <w:p w14:paraId="597CF57C" w14:textId="77777777" w:rsidR="00700047" w:rsidRPr="00DA11F1" w:rsidRDefault="00700047" w:rsidP="00865DDA">
            <w:pPr>
              <w:spacing w:after="0"/>
              <w:jc w:val="center"/>
              <w:rPr>
                <w:rFonts w:ascii="Times New Roman" w:eastAsia="Times New Roman" w:hAnsi="Times New Roman"/>
                <w:b/>
                <w:bCs/>
                <w:noProof/>
                <w:color w:val="000000"/>
                <w:sz w:val="20"/>
                <w:szCs w:val="20"/>
              </w:rPr>
            </w:pPr>
            <w:r>
              <w:rPr>
                <w:rFonts w:ascii="Times New Roman" w:hAnsi="Times New Roman"/>
                <w:b/>
                <w:bCs/>
                <w:noProof/>
                <w:color w:val="000000"/>
                <w:sz w:val="20"/>
                <w:szCs w:val="20"/>
              </w:rPr>
              <w:t>Pourcentage des recettes des ventes aux enchères consacrées à la compensation des coûts indirects</w:t>
            </w:r>
          </w:p>
        </w:tc>
      </w:tr>
      <w:tr w:rsidR="00700047" w:rsidRPr="00DA11F1" w14:paraId="48FD447C" w14:textId="77777777" w:rsidTr="005F2380">
        <w:trPr>
          <w:trHeight w:val="300"/>
        </w:trPr>
        <w:tc>
          <w:tcPr>
            <w:tcW w:w="520" w:type="pct"/>
            <w:shd w:val="clear" w:color="000000" w:fill="FFFFFF"/>
            <w:noWrap/>
            <w:vAlign w:val="center"/>
            <w:hideMark/>
          </w:tcPr>
          <w:p w14:paraId="081EF082"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DE</w:t>
            </w:r>
          </w:p>
        </w:tc>
        <w:tc>
          <w:tcPr>
            <w:tcW w:w="1456" w:type="pct"/>
            <w:shd w:val="clear" w:color="auto" w:fill="auto"/>
            <w:vAlign w:val="center"/>
            <w:hideMark/>
          </w:tcPr>
          <w:p w14:paraId="25FD5DA8" w14:textId="77777777" w:rsidR="00700047" w:rsidRPr="00DA11F1" w:rsidRDefault="00700047" w:rsidP="00865DDA">
            <w:pPr>
              <w:spacing w:after="0"/>
              <w:jc w:val="center"/>
              <w:rPr>
                <w:rFonts w:ascii="Times New Roman" w:eastAsia="Times New Roman" w:hAnsi="Times New Roman"/>
                <w:noProof/>
                <w:color w:val="000000"/>
                <w:sz w:val="20"/>
                <w:szCs w:val="20"/>
              </w:rPr>
            </w:pPr>
            <w:r w:rsidRPr="00F43FC8">
              <w:rPr>
                <w:rFonts w:ascii="Times New Roman" w:hAnsi="Times New Roman"/>
                <w:noProof/>
                <w:color w:val="000000"/>
                <w:sz w:val="20"/>
                <w:szCs w:val="20"/>
              </w:rPr>
              <w:t>546</w:t>
            </w:r>
          </w:p>
        </w:tc>
        <w:tc>
          <w:tcPr>
            <w:tcW w:w="926" w:type="pct"/>
            <w:shd w:val="clear" w:color="auto" w:fill="auto"/>
            <w:vAlign w:val="center"/>
            <w:hideMark/>
          </w:tcPr>
          <w:p w14:paraId="03FEB2E1" w14:textId="77777777" w:rsidR="00700047" w:rsidRPr="00DA11F1" w:rsidRDefault="00700047" w:rsidP="00865DDA">
            <w:pPr>
              <w:spacing w:after="0"/>
              <w:jc w:val="center"/>
              <w:rPr>
                <w:rFonts w:ascii="Times New Roman" w:eastAsia="Times New Roman" w:hAnsi="Times New Roman"/>
                <w:noProof/>
                <w:color w:val="000000"/>
                <w:sz w:val="20"/>
                <w:szCs w:val="20"/>
              </w:rPr>
            </w:pPr>
            <w:r w:rsidRPr="00F43FC8">
              <w:rPr>
                <w:rFonts w:ascii="Times New Roman" w:hAnsi="Times New Roman"/>
                <w:noProof/>
                <w:color w:val="000000"/>
                <w:sz w:val="20"/>
                <w:szCs w:val="20"/>
              </w:rPr>
              <w:t>902</w:t>
            </w:r>
          </w:p>
        </w:tc>
        <w:tc>
          <w:tcPr>
            <w:tcW w:w="975" w:type="pct"/>
            <w:shd w:val="clear" w:color="auto" w:fill="auto"/>
            <w:vAlign w:val="center"/>
            <w:hideMark/>
          </w:tcPr>
          <w:p w14:paraId="5D2101BB" w14:textId="52EAE4C7" w:rsidR="00700047" w:rsidRPr="00DA11F1" w:rsidRDefault="00D86FF3" w:rsidP="00865DDA">
            <w:pPr>
              <w:spacing w:after="0"/>
              <w:jc w:val="center"/>
              <w:rPr>
                <w:rFonts w:ascii="Times New Roman" w:eastAsia="Times New Roman" w:hAnsi="Times New Roman"/>
                <w:noProof/>
                <w:color w:val="000000"/>
                <w:sz w:val="20"/>
                <w:szCs w:val="20"/>
              </w:rPr>
            </w:pPr>
            <w:r w:rsidRPr="00F43FC8">
              <w:rPr>
                <w:rFonts w:ascii="Times New Roman" w:hAnsi="Times New Roman"/>
                <w:noProof/>
                <w:color w:val="000000"/>
                <w:sz w:val="20"/>
                <w:szCs w:val="20"/>
              </w:rPr>
              <w:t>3146</w:t>
            </w:r>
            <w:r>
              <w:rPr>
                <w:rFonts w:ascii="Times New Roman" w:hAnsi="Times New Roman"/>
                <w:noProof/>
                <w:color w:val="000000"/>
                <w:sz w:val="20"/>
                <w:szCs w:val="20"/>
              </w:rPr>
              <w:t>,</w:t>
            </w:r>
            <w:r w:rsidRPr="00F43FC8">
              <w:rPr>
                <w:rFonts w:ascii="Times New Roman" w:hAnsi="Times New Roman"/>
                <w:noProof/>
                <w:color w:val="000000"/>
                <w:sz w:val="20"/>
                <w:szCs w:val="20"/>
              </w:rPr>
              <w:t>1</w:t>
            </w:r>
          </w:p>
        </w:tc>
        <w:tc>
          <w:tcPr>
            <w:tcW w:w="1123" w:type="pct"/>
            <w:shd w:val="clear" w:color="auto" w:fill="auto"/>
            <w:vAlign w:val="center"/>
            <w:hideMark/>
          </w:tcPr>
          <w:p w14:paraId="564C5247" w14:textId="224B66D2" w:rsidR="00700047" w:rsidRPr="00DA11F1" w:rsidRDefault="00D86FF3" w:rsidP="00865DDA">
            <w:pPr>
              <w:spacing w:after="0"/>
              <w:jc w:val="center"/>
              <w:rPr>
                <w:rFonts w:ascii="Times New Roman" w:eastAsia="Times New Roman" w:hAnsi="Times New Roman"/>
                <w:noProof/>
                <w:color w:val="000000"/>
                <w:sz w:val="20"/>
                <w:szCs w:val="20"/>
              </w:rPr>
            </w:pPr>
            <w:r w:rsidRPr="00F43FC8">
              <w:rPr>
                <w:rFonts w:ascii="Times New Roman" w:hAnsi="Times New Roman"/>
                <w:noProof/>
                <w:color w:val="000000"/>
                <w:sz w:val="20"/>
                <w:szCs w:val="20"/>
              </w:rPr>
              <w:t>17</w:t>
            </w:r>
            <w:r>
              <w:rPr>
                <w:rFonts w:ascii="Times New Roman" w:hAnsi="Times New Roman"/>
                <w:noProof/>
                <w:color w:val="000000"/>
                <w:sz w:val="20"/>
                <w:szCs w:val="20"/>
              </w:rPr>
              <w:t>,</w:t>
            </w:r>
            <w:r w:rsidRPr="00F43FC8">
              <w:rPr>
                <w:rFonts w:ascii="Times New Roman" w:hAnsi="Times New Roman"/>
                <w:noProof/>
                <w:color w:val="000000"/>
                <w:sz w:val="20"/>
                <w:szCs w:val="20"/>
              </w:rPr>
              <w:t>4</w:t>
            </w:r>
            <w:r>
              <w:rPr>
                <w:rFonts w:ascii="Times New Roman" w:hAnsi="Times New Roman"/>
                <w:noProof/>
                <w:color w:val="000000"/>
                <w:sz w:val="20"/>
                <w:szCs w:val="20"/>
              </w:rPr>
              <w:t> %</w:t>
            </w:r>
          </w:p>
        </w:tc>
      </w:tr>
      <w:tr w:rsidR="00700047" w:rsidRPr="00DA11F1" w14:paraId="34852094" w14:textId="77777777" w:rsidTr="005F2380">
        <w:trPr>
          <w:trHeight w:val="300"/>
        </w:trPr>
        <w:tc>
          <w:tcPr>
            <w:tcW w:w="520" w:type="pct"/>
            <w:shd w:val="clear" w:color="000000" w:fill="FFFFFF"/>
            <w:noWrap/>
            <w:vAlign w:val="center"/>
            <w:hideMark/>
          </w:tcPr>
          <w:p w14:paraId="373928F5"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BE (FL)</w:t>
            </w:r>
          </w:p>
        </w:tc>
        <w:tc>
          <w:tcPr>
            <w:tcW w:w="1456" w:type="pct"/>
            <w:shd w:val="clear" w:color="auto" w:fill="auto"/>
            <w:vAlign w:val="center"/>
            <w:hideMark/>
          </w:tcPr>
          <w:p w14:paraId="26E505AA" w14:textId="03210E0E" w:rsidR="00700047" w:rsidRPr="00DA11F1" w:rsidRDefault="00D86FF3" w:rsidP="00865DDA">
            <w:pPr>
              <w:spacing w:after="0"/>
              <w:jc w:val="center"/>
              <w:rPr>
                <w:rFonts w:ascii="Times New Roman" w:eastAsia="Times New Roman" w:hAnsi="Times New Roman"/>
                <w:noProof/>
                <w:sz w:val="20"/>
                <w:szCs w:val="20"/>
              </w:rPr>
            </w:pPr>
            <w:r w:rsidRPr="00F43FC8">
              <w:rPr>
                <w:rFonts w:ascii="Times New Roman" w:hAnsi="Times New Roman"/>
                <w:noProof/>
                <w:sz w:val="20"/>
                <w:szCs w:val="20"/>
              </w:rPr>
              <w:t>89</w:t>
            </w:r>
            <w:r>
              <w:rPr>
                <w:rFonts w:ascii="Times New Roman" w:hAnsi="Times New Roman"/>
                <w:noProof/>
                <w:sz w:val="20"/>
                <w:szCs w:val="20"/>
              </w:rPr>
              <w:t>,</w:t>
            </w:r>
            <w:r w:rsidRPr="00F43FC8">
              <w:rPr>
                <w:rFonts w:ascii="Times New Roman" w:hAnsi="Times New Roman"/>
                <w:noProof/>
                <w:sz w:val="20"/>
                <w:szCs w:val="20"/>
              </w:rPr>
              <w:t>4</w:t>
            </w:r>
          </w:p>
        </w:tc>
        <w:tc>
          <w:tcPr>
            <w:tcW w:w="926" w:type="pct"/>
            <w:shd w:val="clear" w:color="auto" w:fill="auto"/>
            <w:vAlign w:val="center"/>
            <w:hideMark/>
          </w:tcPr>
          <w:p w14:paraId="3B170940" w14:textId="5A8525FE"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 </w:t>
            </w:r>
            <w:r w:rsidRPr="00F43FC8">
              <w:rPr>
                <w:rFonts w:ascii="Times New Roman" w:hAnsi="Times New Roman"/>
                <w:noProof/>
                <w:sz w:val="20"/>
                <w:szCs w:val="20"/>
              </w:rPr>
              <w:t>108</w:t>
            </w:r>
          </w:p>
        </w:tc>
        <w:tc>
          <w:tcPr>
            <w:tcW w:w="975" w:type="pct"/>
            <w:vMerge w:val="restart"/>
            <w:shd w:val="clear" w:color="auto" w:fill="auto"/>
            <w:vAlign w:val="center"/>
            <w:hideMark/>
          </w:tcPr>
          <w:p w14:paraId="7DCAA274" w14:textId="2652B967" w:rsidR="00700047" w:rsidRPr="00DA11F1" w:rsidRDefault="00D86FF3" w:rsidP="00865DDA">
            <w:pPr>
              <w:spacing w:after="0"/>
              <w:jc w:val="center"/>
              <w:rPr>
                <w:rFonts w:ascii="Times New Roman" w:eastAsia="Times New Roman" w:hAnsi="Times New Roman"/>
                <w:noProof/>
                <w:sz w:val="20"/>
                <w:szCs w:val="20"/>
              </w:rPr>
            </w:pPr>
            <w:r w:rsidRPr="00F43FC8">
              <w:rPr>
                <w:rFonts w:ascii="Times New Roman" w:hAnsi="Times New Roman"/>
                <w:noProof/>
                <w:sz w:val="20"/>
                <w:szCs w:val="20"/>
              </w:rPr>
              <w:t>353</w:t>
            </w:r>
            <w:r>
              <w:rPr>
                <w:rFonts w:ascii="Times New Roman" w:hAnsi="Times New Roman"/>
                <w:noProof/>
                <w:sz w:val="20"/>
                <w:szCs w:val="20"/>
              </w:rPr>
              <w:t>,</w:t>
            </w:r>
            <w:r w:rsidRPr="00F43FC8">
              <w:rPr>
                <w:rFonts w:ascii="Times New Roman" w:hAnsi="Times New Roman"/>
                <w:noProof/>
                <w:sz w:val="20"/>
                <w:szCs w:val="20"/>
              </w:rPr>
              <w:t>5</w:t>
            </w:r>
          </w:p>
        </w:tc>
        <w:tc>
          <w:tcPr>
            <w:tcW w:w="1123" w:type="pct"/>
            <w:vMerge w:val="restart"/>
            <w:shd w:val="clear" w:color="auto" w:fill="auto"/>
            <w:vAlign w:val="center"/>
            <w:hideMark/>
          </w:tcPr>
          <w:p w14:paraId="61C743E9" w14:textId="210190DC"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 </w:t>
            </w:r>
            <w:r w:rsidRPr="00F43FC8">
              <w:rPr>
                <w:rFonts w:ascii="Times New Roman" w:hAnsi="Times New Roman"/>
                <w:noProof/>
                <w:sz w:val="20"/>
                <w:szCs w:val="20"/>
              </w:rPr>
              <w:t>30</w:t>
            </w:r>
            <w:r>
              <w:rPr>
                <w:rFonts w:ascii="Times New Roman" w:hAnsi="Times New Roman"/>
                <w:noProof/>
                <w:sz w:val="20"/>
                <w:szCs w:val="20"/>
              </w:rPr>
              <w:t>,</w:t>
            </w:r>
            <w:r w:rsidRPr="00F43FC8">
              <w:rPr>
                <w:rFonts w:ascii="Times New Roman" w:hAnsi="Times New Roman"/>
                <w:noProof/>
                <w:sz w:val="20"/>
                <w:szCs w:val="20"/>
              </w:rPr>
              <w:t>9</w:t>
            </w:r>
            <w:r>
              <w:rPr>
                <w:rFonts w:ascii="Times New Roman" w:hAnsi="Times New Roman"/>
                <w:noProof/>
                <w:sz w:val="20"/>
                <w:szCs w:val="20"/>
              </w:rPr>
              <w:t> %</w:t>
            </w:r>
          </w:p>
        </w:tc>
      </w:tr>
      <w:tr w:rsidR="00700047" w:rsidRPr="00DA11F1" w14:paraId="3F62D210" w14:textId="77777777" w:rsidTr="005F2380">
        <w:trPr>
          <w:trHeight w:val="300"/>
        </w:trPr>
        <w:tc>
          <w:tcPr>
            <w:tcW w:w="520" w:type="pct"/>
            <w:shd w:val="clear" w:color="000000" w:fill="FFFFFF"/>
            <w:noWrap/>
            <w:vAlign w:val="center"/>
            <w:hideMark/>
          </w:tcPr>
          <w:p w14:paraId="723FACEC"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BE (WL)</w:t>
            </w:r>
          </w:p>
        </w:tc>
        <w:tc>
          <w:tcPr>
            <w:tcW w:w="1456" w:type="pct"/>
            <w:shd w:val="clear" w:color="auto" w:fill="auto"/>
            <w:vAlign w:val="center"/>
            <w:hideMark/>
          </w:tcPr>
          <w:p w14:paraId="0FD9CDCD" w14:textId="788D6152" w:rsidR="00700047" w:rsidRPr="00DA11F1" w:rsidRDefault="002B3C40" w:rsidP="00865DDA">
            <w:pPr>
              <w:spacing w:after="0"/>
              <w:jc w:val="center"/>
              <w:rPr>
                <w:rFonts w:ascii="Times New Roman" w:eastAsia="Times New Roman" w:hAnsi="Times New Roman"/>
                <w:noProof/>
                <w:sz w:val="20"/>
                <w:szCs w:val="20"/>
              </w:rPr>
            </w:pPr>
            <w:r w:rsidRPr="00F43FC8">
              <w:rPr>
                <w:rFonts w:ascii="Times New Roman" w:hAnsi="Times New Roman"/>
                <w:noProof/>
                <w:sz w:val="20"/>
                <w:szCs w:val="20"/>
              </w:rPr>
              <w:t>20</w:t>
            </w:r>
          </w:p>
        </w:tc>
        <w:tc>
          <w:tcPr>
            <w:tcW w:w="926" w:type="pct"/>
            <w:shd w:val="clear" w:color="auto" w:fill="auto"/>
            <w:vAlign w:val="center"/>
            <w:hideMark/>
          </w:tcPr>
          <w:p w14:paraId="31B8F2E3" w14:textId="1759174C"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 </w:t>
            </w:r>
            <w:r w:rsidRPr="00F43FC8">
              <w:rPr>
                <w:rFonts w:ascii="Times New Roman" w:hAnsi="Times New Roman"/>
                <w:noProof/>
                <w:sz w:val="20"/>
                <w:szCs w:val="20"/>
              </w:rPr>
              <w:t>31</w:t>
            </w:r>
          </w:p>
        </w:tc>
        <w:tc>
          <w:tcPr>
            <w:tcW w:w="975" w:type="pct"/>
            <w:vMerge/>
            <w:vAlign w:val="center"/>
            <w:hideMark/>
          </w:tcPr>
          <w:p w14:paraId="1F4AB7E6" w14:textId="77777777" w:rsidR="00700047" w:rsidRPr="00DA11F1" w:rsidRDefault="00700047" w:rsidP="00865DDA">
            <w:pPr>
              <w:spacing w:after="0"/>
              <w:rPr>
                <w:rFonts w:ascii="Times New Roman" w:eastAsia="Times New Roman" w:hAnsi="Times New Roman"/>
                <w:noProof/>
                <w:sz w:val="20"/>
                <w:szCs w:val="20"/>
                <w:lang w:eastAsia="en-GB"/>
              </w:rPr>
            </w:pPr>
          </w:p>
        </w:tc>
        <w:tc>
          <w:tcPr>
            <w:tcW w:w="1123" w:type="pct"/>
            <w:vMerge/>
            <w:vAlign w:val="center"/>
            <w:hideMark/>
          </w:tcPr>
          <w:p w14:paraId="107DA655" w14:textId="77777777" w:rsidR="00700047" w:rsidRPr="00DA11F1" w:rsidRDefault="00700047" w:rsidP="00865DDA">
            <w:pPr>
              <w:spacing w:after="0"/>
              <w:rPr>
                <w:rFonts w:ascii="Times New Roman" w:eastAsia="Times New Roman" w:hAnsi="Times New Roman"/>
                <w:noProof/>
                <w:sz w:val="20"/>
                <w:szCs w:val="20"/>
                <w:lang w:eastAsia="en-GB"/>
              </w:rPr>
            </w:pPr>
          </w:p>
        </w:tc>
      </w:tr>
      <w:tr w:rsidR="00700047" w:rsidRPr="00DA11F1" w14:paraId="72B9F7C0" w14:textId="77777777" w:rsidTr="005F2380">
        <w:trPr>
          <w:trHeight w:val="300"/>
        </w:trPr>
        <w:tc>
          <w:tcPr>
            <w:tcW w:w="520" w:type="pct"/>
            <w:shd w:val="clear" w:color="000000" w:fill="FFFFFF"/>
            <w:noWrap/>
            <w:vAlign w:val="center"/>
            <w:hideMark/>
          </w:tcPr>
          <w:p w14:paraId="4D2178B8"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NL</w:t>
            </w:r>
          </w:p>
        </w:tc>
        <w:tc>
          <w:tcPr>
            <w:tcW w:w="1456" w:type="pct"/>
            <w:shd w:val="clear" w:color="auto" w:fill="auto"/>
            <w:vAlign w:val="center"/>
            <w:hideMark/>
          </w:tcPr>
          <w:p w14:paraId="1820FA92" w14:textId="71FC366A" w:rsidR="00700047" w:rsidRPr="00DA11F1" w:rsidRDefault="00D86FF3" w:rsidP="00865DDA">
            <w:pPr>
              <w:spacing w:after="0"/>
              <w:jc w:val="center"/>
              <w:rPr>
                <w:rFonts w:ascii="Times New Roman" w:eastAsia="Times New Roman" w:hAnsi="Times New Roman"/>
                <w:noProof/>
                <w:sz w:val="20"/>
                <w:szCs w:val="20"/>
              </w:rPr>
            </w:pPr>
            <w:r w:rsidRPr="00F43FC8">
              <w:rPr>
                <w:rFonts w:ascii="Times New Roman" w:hAnsi="Times New Roman"/>
                <w:noProof/>
                <w:sz w:val="20"/>
                <w:szCs w:val="20"/>
              </w:rPr>
              <w:t>110</w:t>
            </w:r>
            <w:r>
              <w:rPr>
                <w:rFonts w:ascii="Times New Roman" w:hAnsi="Times New Roman"/>
                <w:noProof/>
                <w:sz w:val="20"/>
                <w:szCs w:val="20"/>
              </w:rPr>
              <w:t>,</w:t>
            </w:r>
            <w:r w:rsidRPr="00F43FC8">
              <w:rPr>
                <w:rFonts w:ascii="Times New Roman" w:hAnsi="Times New Roman"/>
                <w:noProof/>
                <w:sz w:val="20"/>
                <w:szCs w:val="20"/>
              </w:rPr>
              <w:t>1</w:t>
            </w:r>
          </w:p>
        </w:tc>
        <w:tc>
          <w:tcPr>
            <w:tcW w:w="926" w:type="pct"/>
            <w:shd w:val="clear" w:color="auto" w:fill="auto"/>
            <w:vAlign w:val="center"/>
            <w:hideMark/>
          </w:tcPr>
          <w:p w14:paraId="443970B5" w14:textId="77777777" w:rsidR="00700047" w:rsidRPr="00DA11F1" w:rsidRDefault="00700047" w:rsidP="00865DDA">
            <w:pPr>
              <w:spacing w:after="0"/>
              <w:jc w:val="center"/>
              <w:rPr>
                <w:rFonts w:ascii="Times New Roman" w:eastAsia="Times New Roman" w:hAnsi="Times New Roman"/>
                <w:noProof/>
                <w:sz w:val="20"/>
                <w:szCs w:val="20"/>
              </w:rPr>
            </w:pPr>
            <w:r w:rsidRPr="00F43FC8">
              <w:rPr>
                <w:rFonts w:ascii="Times New Roman" w:hAnsi="Times New Roman"/>
                <w:noProof/>
                <w:sz w:val="20"/>
                <w:szCs w:val="20"/>
              </w:rPr>
              <w:t>93</w:t>
            </w:r>
          </w:p>
        </w:tc>
        <w:tc>
          <w:tcPr>
            <w:tcW w:w="975" w:type="pct"/>
            <w:shd w:val="clear" w:color="auto" w:fill="auto"/>
            <w:vAlign w:val="center"/>
            <w:hideMark/>
          </w:tcPr>
          <w:p w14:paraId="6AA59609" w14:textId="6E6706FF" w:rsidR="00700047" w:rsidRPr="00DA11F1" w:rsidRDefault="00D86FF3" w:rsidP="00865DDA">
            <w:pPr>
              <w:spacing w:after="0"/>
              <w:jc w:val="center"/>
              <w:rPr>
                <w:rFonts w:ascii="Times New Roman" w:eastAsia="Times New Roman" w:hAnsi="Times New Roman"/>
                <w:noProof/>
                <w:sz w:val="20"/>
                <w:szCs w:val="20"/>
              </w:rPr>
            </w:pPr>
            <w:r w:rsidRPr="00F43FC8">
              <w:rPr>
                <w:rFonts w:ascii="Times New Roman" w:hAnsi="Times New Roman"/>
                <w:noProof/>
                <w:sz w:val="20"/>
                <w:szCs w:val="20"/>
              </w:rPr>
              <w:t>435</w:t>
            </w:r>
            <w:r>
              <w:rPr>
                <w:rFonts w:ascii="Times New Roman" w:hAnsi="Times New Roman"/>
                <w:noProof/>
                <w:sz w:val="20"/>
                <w:szCs w:val="20"/>
              </w:rPr>
              <w:t>,</w:t>
            </w:r>
            <w:r w:rsidRPr="00F43FC8">
              <w:rPr>
                <w:rFonts w:ascii="Times New Roman" w:hAnsi="Times New Roman"/>
                <w:noProof/>
                <w:sz w:val="20"/>
                <w:szCs w:val="20"/>
              </w:rPr>
              <w:t>6</w:t>
            </w:r>
          </w:p>
        </w:tc>
        <w:tc>
          <w:tcPr>
            <w:tcW w:w="1123" w:type="pct"/>
            <w:shd w:val="clear" w:color="auto" w:fill="auto"/>
            <w:vAlign w:val="center"/>
            <w:hideMark/>
          </w:tcPr>
          <w:p w14:paraId="6D79BFA4" w14:textId="3CAC6ADD" w:rsidR="00700047" w:rsidRPr="00DA11F1" w:rsidRDefault="00D86FF3" w:rsidP="00865DDA">
            <w:pPr>
              <w:spacing w:after="0"/>
              <w:jc w:val="center"/>
              <w:rPr>
                <w:rFonts w:ascii="Times New Roman" w:eastAsia="Times New Roman" w:hAnsi="Times New Roman"/>
                <w:noProof/>
                <w:sz w:val="20"/>
                <w:szCs w:val="20"/>
              </w:rPr>
            </w:pPr>
            <w:r w:rsidRPr="00F43FC8">
              <w:rPr>
                <w:rFonts w:ascii="Times New Roman" w:hAnsi="Times New Roman"/>
                <w:noProof/>
                <w:sz w:val="20"/>
                <w:szCs w:val="20"/>
              </w:rPr>
              <w:t>25</w:t>
            </w:r>
            <w:r>
              <w:rPr>
                <w:rFonts w:ascii="Times New Roman" w:hAnsi="Times New Roman"/>
                <w:noProof/>
                <w:sz w:val="20"/>
                <w:szCs w:val="20"/>
              </w:rPr>
              <w:t>,</w:t>
            </w:r>
            <w:r w:rsidRPr="00F43FC8">
              <w:rPr>
                <w:rFonts w:ascii="Times New Roman" w:hAnsi="Times New Roman"/>
                <w:noProof/>
                <w:sz w:val="20"/>
                <w:szCs w:val="20"/>
              </w:rPr>
              <w:t>3</w:t>
            </w:r>
            <w:r>
              <w:rPr>
                <w:rFonts w:ascii="Times New Roman" w:hAnsi="Times New Roman"/>
                <w:noProof/>
                <w:sz w:val="20"/>
                <w:szCs w:val="20"/>
              </w:rPr>
              <w:t> %</w:t>
            </w:r>
          </w:p>
        </w:tc>
      </w:tr>
      <w:tr w:rsidR="00700047" w:rsidRPr="00DA11F1" w14:paraId="55153B27" w14:textId="77777777" w:rsidTr="005F2380">
        <w:trPr>
          <w:trHeight w:val="300"/>
        </w:trPr>
        <w:tc>
          <w:tcPr>
            <w:tcW w:w="520" w:type="pct"/>
            <w:shd w:val="clear" w:color="000000" w:fill="FFFFFF"/>
            <w:noWrap/>
            <w:vAlign w:val="center"/>
            <w:hideMark/>
          </w:tcPr>
          <w:p w14:paraId="636286A5"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EL</w:t>
            </w:r>
          </w:p>
        </w:tc>
        <w:tc>
          <w:tcPr>
            <w:tcW w:w="1456" w:type="pct"/>
            <w:shd w:val="clear" w:color="auto" w:fill="auto"/>
            <w:vAlign w:val="center"/>
            <w:hideMark/>
          </w:tcPr>
          <w:p w14:paraId="55D4588F" w14:textId="3C223DCF" w:rsidR="00700047" w:rsidRPr="00DA11F1" w:rsidRDefault="00D86FF3" w:rsidP="00865DDA">
            <w:pPr>
              <w:spacing w:after="0"/>
              <w:jc w:val="center"/>
              <w:rPr>
                <w:rFonts w:ascii="Times New Roman" w:eastAsia="Times New Roman" w:hAnsi="Times New Roman"/>
                <w:noProof/>
                <w:sz w:val="20"/>
                <w:szCs w:val="20"/>
              </w:rPr>
            </w:pPr>
            <w:r w:rsidRPr="00F43FC8">
              <w:rPr>
                <w:rFonts w:ascii="Times New Roman" w:hAnsi="Times New Roman"/>
                <w:noProof/>
                <w:sz w:val="20"/>
                <w:szCs w:val="20"/>
              </w:rPr>
              <w:t>42</w:t>
            </w:r>
            <w:r>
              <w:rPr>
                <w:rFonts w:ascii="Times New Roman" w:hAnsi="Times New Roman"/>
                <w:noProof/>
                <w:sz w:val="20"/>
                <w:szCs w:val="20"/>
              </w:rPr>
              <w:t>,</w:t>
            </w:r>
            <w:r w:rsidRPr="00F43FC8">
              <w:rPr>
                <w:rFonts w:ascii="Times New Roman" w:hAnsi="Times New Roman"/>
                <w:noProof/>
                <w:sz w:val="20"/>
                <w:szCs w:val="20"/>
              </w:rPr>
              <w:t>2</w:t>
            </w:r>
          </w:p>
        </w:tc>
        <w:tc>
          <w:tcPr>
            <w:tcW w:w="926" w:type="pct"/>
            <w:shd w:val="clear" w:color="auto" w:fill="auto"/>
            <w:vAlign w:val="center"/>
            <w:hideMark/>
          </w:tcPr>
          <w:p w14:paraId="4E564003" w14:textId="77777777" w:rsidR="00700047" w:rsidRPr="00DA11F1" w:rsidRDefault="00700047" w:rsidP="00865DDA">
            <w:pPr>
              <w:spacing w:after="0"/>
              <w:jc w:val="center"/>
              <w:rPr>
                <w:rFonts w:ascii="Times New Roman" w:eastAsia="Times New Roman" w:hAnsi="Times New Roman"/>
                <w:noProof/>
                <w:sz w:val="20"/>
                <w:szCs w:val="20"/>
              </w:rPr>
            </w:pPr>
            <w:r w:rsidRPr="00F43FC8">
              <w:rPr>
                <w:rFonts w:ascii="Times New Roman" w:hAnsi="Times New Roman"/>
                <w:noProof/>
                <w:sz w:val="20"/>
                <w:szCs w:val="20"/>
              </w:rPr>
              <w:t>48</w:t>
            </w:r>
          </w:p>
        </w:tc>
        <w:tc>
          <w:tcPr>
            <w:tcW w:w="975" w:type="pct"/>
            <w:shd w:val="clear" w:color="auto" w:fill="auto"/>
            <w:vAlign w:val="center"/>
            <w:hideMark/>
          </w:tcPr>
          <w:p w14:paraId="5DE299AA" w14:textId="291AFF32" w:rsidR="00700047" w:rsidRPr="00DA11F1" w:rsidRDefault="00D86FF3" w:rsidP="00865DDA">
            <w:pPr>
              <w:spacing w:after="0"/>
              <w:jc w:val="center"/>
              <w:rPr>
                <w:rFonts w:ascii="Times New Roman" w:eastAsia="Times New Roman" w:hAnsi="Times New Roman"/>
                <w:noProof/>
                <w:sz w:val="20"/>
                <w:szCs w:val="20"/>
              </w:rPr>
            </w:pPr>
            <w:r w:rsidRPr="00F43FC8">
              <w:rPr>
                <w:rFonts w:ascii="Times New Roman" w:hAnsi="Times New Roman"/>
                <w:noProof/>
                <w:sz w:val="20"/>
                <w:szCs w:val="20"/>
              </w:rPr>
              <w:t>503</w:t>
            </w:r>
            <w:r>
              <w:rPr>
                <w:rFonts w:ascii="Times New Roman" w:hAnsi="Times New Roman"/>
                <w:noProof/>
                <w:sz w:val="20"/>
                <w:szCs w:val="20"/>
              </w:rPr>
              <w:t>,</w:t>
            </w:r>
            <w:r w:rsidRPr="00F43FC8">
              <w:rPr>
                <w:rFonts w:ascii="Times New Roman" w:hAnsi="Times New Roman"/>
                <w:noProof/>
                <w:sz w:val="20"/>
                <w:szCs w:val="20"/>
              </w:rPr>
              <w:t>3</w:t>
            </w:r>
          </w:p>
        </w:tc>
        <w:tc>
          <w:tcPr>
            <w:tcW w:w="1123" w:type="pct"/>
            <w:shd w:val="clear" w:color="auto" w:fill="auto"/>
            <w:vAlign w:val="center"/>
            <w:hideMark/>
          </w:tcPr>
          <w:p w14:paraId="592E0225" w14:textId="5D1944C7" w:rsidR="00700047" w:rsidRPr="00DA11F1" w:rsidRDefault="00D86FF3" w:rsidP="00865DDA">
            <w:pPr>
              <w:spacing w:after="0"/>
              <w:jc w:val="center"/>
              <w:rPr>
                <w:rFonts w:ascii="Times New Roman" w:eastAsia="Times New Roman" w:hAnsi="Times New Roman"/>
                <w:noProof/>
                <w:sz w:val="20"/>
                <w:szCs w:val="20"/>
              </w:rPr>
            </w:pPr>
            <w:r w:rsidRPr="00F43FC8">
              <w:rPr>
                <w:rFonts w:ascii="Times New Roman" w:hAnsi="Times New Roman"/>
                <w:noProof/>
                <w:sz w:val="20"/>
                <w:szCs w:val="20"/>
              </w:rPr>
              <w:t>8</w:t>
            </w:r>
            <w:r>
              <w:rPr>
                <w:rFonts w:ascii="Times New Roman" w:hAnsi="Times New Roman"/>
                <w:noProof/>
                <w:sz w:val="20"/>
                <w:szCs w:val="20"/>
              </w:rPr>
              <w:t>,</w:t>
            </w:r>
            <w:r w:rsidRPr="00F43FC8">
              <w:rPr>
                <w:rFonts w:ascii="Times New Roman" w:hAnsi="Times New Roman"/>
                <w:noProof/>
                <w:sz w:val="20"/>
                <w:szCs w:val="20"/>
              </w:rPr>
              <w:t>3</w:t>
            </w:r>
            <w:r>
              <w:rPr>
                <w:rFonts w:ascii="Times New Roman" w:hAnsi="Times New Roman"/>
                <w:noProof/>
                <w:sz w:val="20"/>
                <w:szCs w:val="20"/>
              </w:rPr>
              <w:t> %</w:t>
            </w:r>
          </w:p>
        </w:tc>
      </w:tr>
      <w:tr w:rsidR="00700047" w:rsidRPr="00DA11F1" w14:paraId="1EDFAF9C" w14:textId="77777777" w:rsidTr="005F2380">
        <w:trPr>
          <w:trHeight w:val="300"/>
        </w:trPr>
        <w:tc>
          <w:tcPr>
            <w:tcW w:w="520" w:type="pct"/>
            <w:shd w:val="clear" w:color="000000" w:fill="FFFFFF"/>
            <w:noWrap/>
            <w:vAlign w:val="center"/>
            <w:hideMark/>
          </w:tcPr>
          <w:p w14:paraId="2A8B2EB8"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LT</w:t>
            </w:r>
          </w:p>
        </w:tc>
        <w:tc>
          <w:tcPr>
            <w:tcW w:w="1456" w:type="pct"/>
            <w:shd w:val="clear" w:color="auto" w:fill="auto"/>
            <w:vAlign w:val="center"/>
            <w:hideMark/>
          </w:tcPr>
          <w:p w14:paraId="388C23BC" w14:textId="452CDF51" w:rsidR="00700047" w:rsidRPr="00DA11F1" w:rsidRDefault="00D86FF3" w:rsidP="00865DDA">
            <w:pPr>
              <w:spacing w:after="0"/>
              <w:jc w:val="center"/>
              <w:rPr>
                <w:rFonts w:ascii="Times New Roman" w:eastAsia="Times New Roman" w:hAnsi="Times New Roman"/>
                <w:noProof/>
                <w:sz w:val="20"/>
                <w:szCs w:val="20"/>
              </w:rPr>
            </w:pPr>
            <w:r w:rsidRPr="00F43FC8">
              <w:rPr>
                <w:rFonts w:ascii="Times New Roman" w:hAnsi="Times New Roman"/>
                <w:noProof/>
                <w:sz w:val="20"/>
                <w:szCs w:val="20"/>
              </w:rPr>
              <w:t>0</w:t>
            </w:r>
            <w:r>
              <w:rPr>
                <w:rFonts w:ascii="Times New Roman" w:hAnsi="Times New Roman"/>
                <w:noProof/>
                <w:sz w:val="20"/>
                <w:szCs w:val="20"/>
              </w:rPr>
              <w:t>,</w:t>
            </w:r>
            <w:r w:rsidRPr="00F43FC8">
              <w:rPr>
                <w:rFonts w:ascii="Times New Roman" w:hAnsi="Times New Roman"/>
                <w:noProof/>
                <w:sz w:val="20"/>
                <w:szCs w:val="20"/>
              </w:rPr>
              <w:t>66</w:t>
            </w:r>
          </w:p>
        </w:tc>
        <w:tc>
          <w:tcPr>
            <w:tcW w:w="926" w:type="pct"/>
            <w:shd w:val="clear" w:color="auto" w:fill="auto"/>
            <w:vAlign w:val="center"/>
            <w:hideMark/>
          </w:tcPr>
          <w:p w14:paraId="7343A36F" w14:textId="77777777" w:rsidR="00700047" w:rsidRPr="00DA11F1" w:rsidRDefault="00700047" w:rsidP="00865DDA">
            <w:pPr>
              <w:spacing w:after="0"/>
              <w:jc w:val="center"/>
              <w:rPr>
                <w:rFonts w:ascii="Times New Roman" w:eastAsia="Times New Roman" w:hAnsi="Times New Roman"/>
                <w:noProof/>
                <w:sz w:val="20"/>
                <w:szCs w:val="20"/>
              </w:rPr>
            </w:pPr>
            <w:r w:rsidRPr="00F43FC8">
              <w:rPr>
                <w:rFonts w:ascii="Times New Roman" w:hAnsi="Times New Roman"/>
                <w:noProof/>
                <w:sz w:val="20"/>
                <w:szCs w:val="20"/>
              </w:rPr>
              <w:t>1</w:t>
            </w:r>
          </w:p>
        </w:tc>
        <w:tc>
          <w:tcPr>
            <w:tcW w:w="975" w:type="pct"/>
            <w:shd w:val="clear" w:color="auto" w:fill="auto"/>
            <w:vAlign w:val="center"/>
            <w:hideMark/>
          </w:tcPr>
          <w:p w14:paraId="04E1C5C0" w14:textId="53E10672" w:rsidR="00700047" w:rsidRPr="00DA11F1" w:rsidRDefault="00D86FF3" w:rsidP="00865DDA">
            <w:pPr>
              <w:spacing w:after="0"/>
              <w:jc w:val="center"/>
              <w:rPr>
                <w:rFonts w:ascii="Times New Roman" w:eastAsia="Times New Roman" w:hAnsi="Times New Roman"/>
                <w:noProof/>
                <w:sz w:val="20"/>
                <w:szCs w:val="20"/>
              </w:rPr>
            </w:pPr>
            <w:r w:rsidRPr="00F43FC8">
              <w:rPr>
                <w:rFonts w:ascii="Times New Roman" w:hAnsi="Times New Roman"/>
                <w:noProof/>
                <w:sz w:val="20"/>
                <w:szCs w:val="20"/>
              </w:rPr>
              <w:t>83</w:t>
            </w:r>
            <w:r>
              <w:rPr>
                <w:rFonts w:ascii="Times New Roman" w:hAnsi="Times New Roman"/>
                <w:noProof/>
                <w:sz w:val="20"/>
                <w:szCs w:val="20"/>
              </w:rPr>
              <w:t>,</w:t>
            </w:r>
            <w:r w:rsidRPr="00F43FC8">
              <w:rPr>
                <w:rFonts w:ascii="Times New Roman" w:hAnsi="Times New Roman"/>
                <w:noProof/>
                <w:sz w:val="20"/>
                <w:szCs w:val="20"/>
              </w:rPr>
              <w:t>7</w:t>
            </w:r>
          </w:p>
        </w:tc>
        <w:tc>
          <w:tcPr>
            <w:tcW w:w="1123" w:type="pct"/>
            <w:shd w:val="clear" w:color="auto" w:fill="auto"/>
            <w:vAlign w:val="center"/>
            <w:hideMark/>
          </w:tcPr>
          <w:p w14:paraId="646C03EE" w14:textId="0BF691A1" w:rsidR="00700047" w:rsidRPr="00DA11F1" w:rsidRDefault="00D86FF3" w:rsidP="00865DDA">
            <w:pPr>
              <w:spacing w:after="0"/>
              <w:jc w:val="center"/>
              <w:rPr>
                <w:rFonts w:ascii="Times New Roman" w:eastAsia="Times New Roman" w:hAnsi="Times New Roman"/>
                <w:noProof/>
                <w:sz w:val="20"/>
                <w:szCs w:val="20"/>
              </w:rPr>
            </w:pPr>
            <w:r w:rsidRPr="00F43FC8">
              <w:rPr>
                <w:rFonts w:ascii="Times New Roman" w:hAnsi="Times New Roman"/>
                <w:noProof/>
                <w:sz w:val="20"/>
                <w:szCs w:val="20"/>
              </w:rPr>
              <w:t>0</w:t>
            </w:r>
            <w:r>
              <w:rPr>
                <w:rFonts w:ascii="Times New Roman" w:hAnsi="Times New Roman"/>
                <w:noProof/>
                <w:sz w:val="20"/>
                <w:szCs w:val="20"/>
              </w:rPr>
              <w:t>,</w:t>
            </w:r>
            <w:r w:rsidRPr="00F43FC8">
              <w:rPr>
                <w:rFonts w:ascii="Times New Roman" w:hAnsi="Times New Roman"/>
                <w:noProof/>
                <w:sz w:val="20"/>
                <w:szCs w:val="20"/>
              </w:rPr>
              <w:t>7</w:t>
            </w:r>
            <w:r>
              <w:rPr>
                <w:rFonts w:ascii="Times New Roman" w:hAnsi="Times New Roman"/>
                <w:noProof/>
                <w:sz w:val="20"/>
                <w:szCs w:val="20"/>
              </w:rPr>
              <w:t> %</w:t>
            </w:r>
          </w:p>
        </w:tc>
      </w:tr>
      <w:tr w:rsidR="00700047" w:rsidRPr="00DA11F1" w14:paraId="33D02CA0" w14:textId="77777777" w:rsidTr="005F2380">
        <w:trPr>
          <w:trHeight w:val="300"/>
        </w:trPr>
        <w:tc>
          <w:tcPr>
            <w:tcW w:w="520" w:type="pct"/>
            <w:shd w:val="clear" w:color="000000" w:fill="FFFFFF"/>
            <w:noWrap/>
            <w:vAlign w:val="center"/>
            <w:hideMark/>
          </w:tcPr>
          <w:p w14:paraId="0660A79A"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SK</w:t>
            </w:r>
          </w:p>
        </w:tc>
        <w:tc>
          <w:tcPr>
            <w:tcW w:w="1456" w:type="pct"/>
            <w:shd w:val="clear" w:color="auto" w:fill="auto"/>
            <w:vAlign w:val="center"/>
            <w:hideMark/>
          </w:tcPr>
          <w:p w14:paraId="450A6DB3" w14:textId="77777777" w:rsidR="00700047" w:rsidRPr="00DA11F1" w:rsidRDefault="00700047" w:rsidP="00865DDA">
            <w:pPr>
              <w:spacing w:after="0"/>
              <w:jc w:val="center"/>
              <w:rPr>
                <w:rFonts w:ascii="Times New Roman" w:eastAsia="Times New Roman" w:hAnsi="Times New Roman"/>
                <w:noProof/>
                <w:sz w:val="20"/>
                <w:szCs w:val="20"/>
              </w:rPr>
            </w:pPr>
            <w:r w:rsidRPr="00F43FC8">
              <w:rPr>
                <w:rFonts w:ascii="Times New Roman" w:hAnsi="Times New Roman"/>
                <w:noProof/>
                <w:sz w:val="20"/>
                <w:szCs w:val="20"/>
              </w:rPr>
              <w:t>4</w:t>
            </w:r>
          </w:p>
        </w:tc>
        <w:tc>
          <w:tcPr>
            <w:tcW w:w="926" w:type="pct"/>
            <w:shd w:val="clear" w:color="auto" w:fill="auto"/>
            <w:vAlign w:val="center"/>
            <w:hideMark/>
          </w:tcPr>
          <w:p w14:paraId="3C1F530E" w14:textId="77777777" w:rsidR="00700047" w:rsidRPr="00DA11F1" w:rsidRDefault="00700047" w:rsidP="00865DDA">
            <w:pPr>
              <w:spacing w:after="0"/>
              <w:jc w:val="center"/>
              <w:rPr>
                <w:rFonts w:ascii="Times New Roman" w:eastAsia="Times New Roman" w:hAnsi="Times New Roman"/>
                <w:noProof/>
                <w:sz w:val="20"/>
                <w:szCs w:val="20"/>
              </w:rPr>
            </w:pPr>
            <w:r w:rsidRPr="00F43FC8">
              <w:rPr>
                <w:rFonts w:ascii="Times New Roman" w:hAnsi="Times New Roman"/>
                <w:noProof/>
                <w:sz w:val="20"/>
                <w:szCs w:val="20"/>
              </w:rPr>
              <w:t>10</w:t>
            </w:r>
          </w:p>
        </w:tc>
        <w:tc>
          <w:tcPr>
            <w:tcW w:w="975" w:type="pct"/>
            <w:shd w:val="clear" w:color="auto" w:fill="auto"/>
            <w:vAlign w:val="center"/>
            <w:hideMark/>
          </w:tcPr>
          <w:p w14:paraId="18C21090" w14:textId="15750901" w:rsidR="00700047" w:rsidRPr="00DA11F1" w:rsidRDefault="00D86FF3" w:rsidP="00865DDA">
            <w:pPr>
              <w:spacing w:after="0"/>
              <w:jc w:val="center"/>
              <w:rPr>
                <w:rFonts w:ascii="Times New Roman" w:eastAsia="Times New Roman" w:hAnsi="Times New Roman"/>
                <w:noProof/>
                <w:sz w:val="20"/>
                <w:szCs w:val="20"/>
              </w:rPr>
            </w:pPr>
            <w:r w:rsidRPr="00F43FC8">
              <w:rPr>
                <w:rFonts w:ascii="Times New Roman" w:hAnsi="Times New Roman"/>
                <w:noProof/>
                <w:sz w:val="20"/>
                <w:szCs w:val="20"/>
              </w:rPr>
              <w:t>244</w:t>
            </w:r>
            <w:r>
              <w:rPr>
                <w:rFonts w:ascii="Times New Roman" w:hAnsi="Times New Roman"/>
                <w:noProof/>
                <w:sz w:val="20"/>
                <w:szCs w:val="20"/>
              </w:rPr>
              <w:t>,</w:t>
            </w:r>
            <w:r w:rsidRPr="00F43FC8">
              <w:rPr>
                <w:rFonts w:ascii="Times New Roman" w:hAnsi="Times New Roman"/>
                <w:noProof/>
                <w:sz w:val="20"/>
                <w:szCs w:val="20"/>
              </w:rPr>
              <w:t>4</w:t>
            </w:r>
          </w:p>
        </w:tc>
        <w:tc>
          <w:tcPr>
            <w:tcW w:w="1123" w:type="pct"/>
            <w:shd w:val="clear" w:color="auto" w:fill="auto"/>
            <w:vAlign w:val="center"/>
            <w:hideMark/>
          </w:tcPr>
          <w:p w14:paraId="68021AEF" w14:textId="358A9BB0" w:rsidR="00700047" w:rsidRPr="00DA11F1" w:rsidRDefault="00D86FF3" w:rsidP="00865DDA">
            <w:pPr>
              <w:spacing w:after="0"/>
              <w:jc w:val="center"/>
              <w:rPr>
                <w:rFonts w:ascii="Times New Roman" w:eastAsia="Times New Roman" w:hAnsi="Times New Roman"/>
                <w:noProof/>
                <w:sz w:val="20"/>
                <w:szCs w:val="20"/>
              </w:rPr>
            </w:pPr>
            <w:r w:rsidRPr="00F43FC8">
              <w:rPr>
                <w:rFonts w:ascii="Times New Roman" w:hAnsi="Times New Roman"/>
                <w:noProof/>
                <w:sz w:val="20"/>
                <w:szCs w:val="20"/>
              </w:rPr>
              <w:t>4</w:t>
            </w:r>
            <w:r>
              <w:rPr>
                <w:rFonts w:ascii="Times New Roman" w:hAnsi="Times New Roman"/>
                <w:noProof/>
                <w:sz w:val="20"/>
                <w:szCs w:val="20"/>
              </w:rPr>
              <w:t>,</w:t>
            </w:r>
            <w:r w:rsidRPr="00F43FC8">
              <w:rPr>
                <w:rFonts w:ascii="Times New Roman" w:hAnsi="Times New Roman"/>
                <w:noProof/>
                <w:sz w:val="20"/>
                <w:szCs w:val="20"/>
              </w:rPr>
              <w:t>1</w:t>
            </w:r>
            <w:r>
              <w:rPr>
                <w:rFonts w:ascii="Times New Roman" w:hAnsi="Times New Roman"/>
                <w:noProof/>
                <w:sz w:val="20"/>
                <w:szCs w:val="20"/>
              </w:rPr>
              <w:t> %</w:t>
            </w:r>
          </w:p>
        </w:tc>
      </w:tr>
      <w:tr w:rsidR="00700047" w:rsidRPr="00DA11F1" w14:paraId="1705D5C0" w14:textId="77777777" w:rsidTr="005F2380">
        <w:trPr>
          <w:trHeight w:val="300"/>
        </w:trPr>
        <w:tc>
          <w:tcPr>
            <w:tcW w:w="520" w:type="pct"/>
            <w:shd w:val="clear" w:color="000000" w:fill="FFFFFF"/>
            <w:noWrap/>
            <w:vAlign w:val="center"/>
            <w:hideMark/>
          </w:tcPr>
          <w:p w14:paraId="544CBBE2"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FR</w:t>
            </w:r>
          </w:p>
        </w:tc>
        <w:tc>
          <w:tcPr>
            <w:tcW w:w="1456" w:type="pct"/>
            <w:shd w:val="clear" w:color="auto" w:fill="auto"/>
            <w:vAlign w:val="center"/>
            <w:hideMark/>
          </w:tcPr>
          <w:p w14:paraId="1ED0AB10" w14:textId="4EF82E15" w:rsidR="00700047" w:rsidRPr="00DA11F1" w:rsidRDefault="00D86FF3" w:rsidP="00865DDA">
            <w:pPr>
              <w:spacing w:after="0"/>
              <w:jc w:val="center"/>
              <w:rPr>
                <w:rFonts w:ascii="Times New Roman" w:eastAsia="Times New Roman" w:hAnsi="Times New Roman"/>
                <w:noProof/>
                <w:sz w:val="20"/>
                <w:szCs w:val="20"/>
              </w:rPr>
            </w:pPr>
            <w:r w:rsidRPr="00F43FC8">
              <w:rPr>
                <w:rFonts w:ascii="Times New Roman" w:hAnsi="Times New Roman"/>
                <w:noProof/>
                <w:sz w:val="20"/>
                <w:szCs w:val="20"/>
              </w:rPr>
              <w:t>266</w:t>
            </w:r>
            <w:r>
              <w:rPr>
                <w:rFonts w:ascii="Times New Roman" w:hAnsi="Times New Roman"/>
                <w:noProof/>
                <w:sz w:val="20"/>
                <w:szCs w:val="20"/>
              </w:rPr>
              <w:t>,</w:t>
            </w:r>
            <w:r w:rsidRPr="00F43FC8">
              <w:rPr>
                <w:rFonts w:ascii="Times New Roman" w:hAnsi="Times New Roman"/>
                <w:noProof/>
                <w:sz w:val="20"/>
                <w:szCs w:val="20"/>
              </w:rPr>
              <w:t>4</w:t>
            </w:r>
          </w:p>
        </w:tc>
        <w:tc>
          <w:tcPr>
            <w:tcW w:w="926" w:type="pct"/>
            <w:shd w:val="clear" w:color="auto" w:fill="auto"/>
            <w:vAlign w:val="center"/>
            <w:hideMark/>
          </w:tcPr>
          <w:p w14:paraId="463F561C" w14:textId="77777777" w:rsidR="00700047" w:rsidRPr="00DA11F1" w:rsidRDefault="00700047" w:rsidP="00865DDA">
            <w:pPr>
              <w:spacing w:after="0"/>
              <w:jc w:val="center"/>
              <w:rPr>
                <w:rFonts w:ascii="Times New Roman" w:eastAsia="Times New Roman" w:hAnsi="Times New Roman"/>
                <w:noProof/>
                <w:sz w:val="20"/>
                <w:szCs w:val="20"/>
              </w:rPr>
            </w:pPr>
            <w:r w:rsidRPr="00F43FC8">
              <w:rPr>
                <w:rFonts w:ascii="Times New Roman" w:hAnsi="Times New Roman"/>
                <w:noProof/>
                <w:sz w:val="20"/>
                <w:szCs w:val="20"/>
              </w:rPr>
              <w:t>302</w:t>
            </w:r>
          </w:p>
        </w:tc>
        <w:tc>
          <w:tcPr>
            <w:tcW w:w="975" w:type="pct"/>
            <w:shd w:val="clear" w:color="auto" w:fill="auto"/>
            <w:vAlign w:val="center"/>
            <w:hideMark/>
          </w:tcPr>
          <w:p w14:paraId="06D74D16" w14:textId="5BB72BFD" w:rsidR="00700047" w:rsidRPr="00DA11F1" w:rsidRDefault="00D86FF3" w:rsidP="00865DDA">
            <w:pPr>
              <w:spacing w:after="0"/>
              <w:jc w:val="center"/>
              <w:rPr>
                <w:rFonts w:ascii="Times New Roman" w:eastAsia="Times New Roman" w:hAnsi="Times New Roman"/>
                <w:noProof/>
                <w:sz w:val="20"/>
                <w:szCs w:val="20"/>
              </w:rPr>
            </w:pPr>
            <w:r w:rsidRPr="00F43FC8">
              <w:rPr>
                <w:rFonts w:ascii="Times New Roman" w:hAnsi="Times New Roman"/>
                <w:noProof/>
                <w:sz w:val="20"/>
                <w:szCs w:val="20"/>
              </w:rPr>
              <w:t>711</w:t>
            </w:r>
            <w:r>
              <w:rPr>
                <w:rFonts w:ascii="Times New Roman" w:hAnsi="Times New Roman"/>
                <w:noProof/>
                <w:sz w:val="20"/>
                <w:szCs w:val="20"/>
              </w:rPr>
              <w:t>,</w:t>
            </w:r>
            <w:r w:rsidRPr="00F43FC8">
              <w:rPr>
                <w:rFonts w:ascii="Times New Roman" w:hAnsi="Times New Roman"/>
                <w:noProof/>
                <w:sz w:val="20"/>
                <w:szCs w:val="20"/>
              </w:rPr>
              <w:t>6</w:t>
            </w:r>
          </w:p>
        </w:tc>
        <w:tc>
          <w:tcPr>
            <w:tcW w:w="1123" w:type="pct"/>
            <w:shd w:val="clear" w:color="auto" w:fill="auto"/>
            <w:vAlign w:val="center"/>
            <w:hideMark/>
          </w:tcPr>
          <w:p w14:paraId="0CB50176" w14:textId="212ED041" w:rsidR="00700047" w:rsidRPr="00DA11F1" w:rsidRDefault="00D86FF3" w:rsidP="00865DDA">
            <w:pPr>
              <w:spacing w:after="0"/>
              <w:jc w:val="center"/>
              <w:rPr>
                <w:rFonts w:ascii="Times New Roman" w:eastAsia="Times New Roman" w:hAnsi="Times New Roman"/>
                <w:noProof/>
                <w:sz w:val="20"/>
                <w:szCs w:val="20"/>
              </w:rPr>
            </w:pPr>
            <w:r w:rsidRPr="00F43FC8">
              <w:rPr>
                <w:rFonts w:ascii="Times New Roman" w:hAnsi="Times New Roman"/>
                <w:noProof/>
                <w:sz w:val="20"/>
                <w:szCs w:val="20"/>
              </w:rPr>
              <w:t>37</w:t>
            </w:r>
            <w:r>
              <w:rPr>
                <w:rFonts w:ascii="Times New Roman" w:hAnsi="Times New Roman"/>
                <w:noProof/>
                <w:sz w:val="20"/>
                <w:szCs w:val="20"/>
              </w:rPr>
              <w:t>,</w:t>
            </w:r>
            <w:r w:rsidRPr="00F43FC8">
              <w:rPr>
                <w:rFonts w:ascii="Times New Roman" w:hAnsi="Times New Roman"/>
                <w:noProof/>
                <w:sz w:val="20"/>
                <w:szCs w:val="20"/>
              </w:rPr>
              <w:t>4</w:t>
            </w:r>
            <w:r>
              <w:rPr>
                <w:rFonts w:ascii="Times New Roman" w:hAnsi="Times New Roman"/>
                <w:noProof/>
                <w:sz w:val="20"/>
                <w:szCs w:val="20"/>
              </w:rPr>
              <w:t> %</w:t>
            </w:r>
          </w:p>
        </w:tc>
      </w:tr>
      <w:tr w:rsidR="00700047" w:rsidRPr="00DA11F1" w14:paraId="4F17EFC8" w14:textId="77777777" w:rsidTr="005F2380">
        <w:trPr>
          <w:trHeight w:val="300"/>
        </w:trPr>
        <w:tc>
          <w:tcPr>
            <w:tcW w:w="520" w:type="pct"/>
            <w:shd w:val="clear" w:color="000000" w:fill="FFFFFF"/>
            <w:noWrap/>
            <w:vAlign w:val="center"/>
            <w:hideMark/>
          </w:tcPr>
          <w:p w14:paraId="55E5DDF9"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FI</w:t>
            </w:r>
          </w:p>
        </w:tc>
        <w:tc>
          <w:tcPr>
            <w:tcW w:w="1456" w:type="pct"/>
            <w:shd w:val="clear" w:color="auto" w:fill="auto"/>
            <w:noWrap/>
            <w:vAlign w:val="center"/>
            <w:hideMark/>
          </w:tcPr>
          <w:p w14:paraId="6E816E46" w14:textId="10AB3C01" w:rsidR="00700047" w:rsidRPr="00DA11F1" w:rsidRDefault="00D86FF3" w:rsidP="00865DDA">
            <w:pPr>
              <w:spacing w:after="0"/>
              <w:jc w:val="center"/>
              <w:rPr>
                <w:rFonts w:ascii="Times New Roman" w:eastAsia="Times New Roman" w:hAnsi="Times New Roman"/>
                <w:noProof/>
                <w:sz w:val="20"/>
                <w:szCs w:val="20"/>
              </w:rPr>
            </w:pPr>
            <w:r w:rsidRPr="00F43FC8">
              <w:rPr>
                <w:rFonts w:ascii="Times New Roman" w:hAnsi="Times New Roman"/>
                <w:noProof/>
                <w:sz w:val="20"/>
                <w:szCs w:val="20"/>
              </w:rPr>
              <w:t>74</w:t>
            </w:r>
            <w:r>
              <w:rPr>
                <w:rFonts w:ascii="Times New Roman" w:hAnsi="Times New Roman"/>
                <w:noProof/>
                <w:sz w:val="20"/>
                <w:szCs w:val="20"/>
              </w:rPr>
              <w:t>,</w:t>
            </w:r>
            <w:r w:rsidRPr="00F43FC8">
              <w:rPr>
                <w:rFonts w:ascii="Times New Roman" w:hAnsi="Times New Roman"/>
                <w:noProof/>
                <w:sz w:val="20"/>
                <w:szCs w:val="20"/>
              </w:rPr>
              <w:t>6</w:t>
            </w:r>
          </w:p>
        </w:tc>
        <w:tc>
          <w:tcPr>
            <w:tcW w:w="926" w:type="pct"/>
            <w:shd w:val="clear" w:color="auto" w:fill="auto"/>
            <w:noWrap/>
            <w:vAlign w:val="center"/>
            <w:hideMark/>
          </w:tcPr>
          <w:p w14:paraId="767064F1" w14:textId="77777777" w:rsidR="00700047" w:rsidRPr="00DA11F1" w:rsidRDefault="00700047" w:rsidP="00865DDA">
            <w:pPr>
              <w:spacing w:after="0"/>
              <w:jc w:val="center"/>
              <w:rPr>
                <w:rFonts w:ascii="Times New Roman" w:eastAsia="Times New Roman" w:hAnsi="Times New Roman"/>
                <w:noProof/>
                <w:sz w:val="20"/>
                <w:szCs w:val="20"/>
              </w:rPr>
            </w:pPr>
            <w:r w:rsidRPr="00F43FC8">
              <w:rPr>
                <w:rFonts w:ascii="Times New Roman" w:hAnsi="Times New Roman"/>
                <w:noProof/>
                <w:sz w:val="20"/>
                <w:szCs w:val="20"/>
              </w:rPr>
              <w:t>61</w:t>
            </w:r>
          </w:p>
        </w:tc>
        <w:tc>
          <w:tcPr>
            <w:tcW w:w="975" w:type="pct"/>
            <w:shd w:val="clear" w:color="auto" w:fill="auto"/>
            <w:vAlign w:val="center"/>
            <w:hideMark/>
          </w:tcPr>
          <w:p w14:paraId="50DD78F2" w14:textId="6B8B8B12" w:rsidR="00700047" w:rsidRPr="00DA11F1" w:rsidRDefault="00D86FF3" w:rsidP="00865DDA">
            <w:pPr>
              <w:spacing w:after="0"/>
              <w:jc w:val="center"/>
              <w:rPr>
                <w:rFonts w:ascii="Times New Roman" w:eastAsia="Times New Roman" w:hAnsi="Times New Roman"/>
                <w:noProof/>
                <w:sz w:val="20"/>
                <w:szCs w:val="20"/>
              </w:rPr>
            </w:pPr>
            <w:r w:rsidRPr="00F43FC8">
              <w:rPr>
                <w:rFonts w:ascii="Times New Roman" w:hAnsi="Times New Roman"/>
                <w:noProof/>
                <w:sz w:val="20"/>
                <w:szCs w:val="20"/>
              </w:rPr>
              <w:t>217</w:t>
            </w:r>
            <w:r>
              <w:rPr>
                <w:rFonts w:ascii="Times New Roman" w:hAnsi="Times New Roman"/>
                <w:noProof/>
                <w:sz w:val="20"/>
                <w:szCs w:val="20"/>
              </w:rPr>
              <w:t>,</w:t>
            </w:r>
            <w:r w:rsidRPr="00F43FC8">
              <w:rPr>
                <w:rFonts w:ascii="Times New Roman" w:hAnsi="Times New Roman"/>
                <w:noProof/>
                <w:sz w:val="20"/>
                <w:szCs w:val="20"/>
              </w:rPr>
              <w:t>4</w:t>
            </w:r>
          </w:p>
        </w:tc>
        <w:tc>
          <w:tcPr>
            <w:tcW w:w="1123" w:type="pct"/>
            <w:shd w:val="clear" w:color="auto" w:fill="auto"/>
            <w:vAlign w:val="center"/>
            <w:hideMark/>
          </w:tcPr>
          <w:p w14:paraId="5B75BE72" w14:textId="4630DE2B" w:rsidR="00700047" w:rsidRPr="00DA11F1" w:rsidRDefault="00D86FF3" w:rsidP="00865DDA">
            <w:pPr>
              <w:spacing w:after="0"/>
              <w:jc w:val="center"/>
              <w:rPr>
                <w:rFonts w:ascii="Times New Roman" w:eastAsia="Times New Roman" w:hAnsi="Times New Roman"/>
                <w:noProof/>
                <w:sz w:val="20"/>
                <w:szCs w:val="20"/>
              </w:rPr>
            </w:pPr>
            <w:r w:rsidRPr="00F43FC8">
              <w:rPr>
                <w:rFonts w:ascii="Times New Roman" w:hAnsi="Times New Roman"/>
                <w:noProof/>
                <w:sz w:val="20"/>
                <w:szCs w:val="20"/>
              </w:rPr>
              <w:t>34</w:t>
            </w:r>
            <w:r>
              <w:rPr>
                <w:rFonts w:ascii="Times New Roman" w:hAnsi="Times New Roman"/>
                <w:noProof/>
                <w:sz w:val="20"/>
                <w:szCs w:val="20"/>
              </w:rPr>
              <w:t>,</w:t>
            </w:r>
            <w:r w:rsidRPr="00F43FC8">
              <w:rPr>
                <w:rFonts w:ascii="Times New Roman" w:hAnsi="Times New Roman"/>
                <w:noProof/>
                <w:sz w:val="20"/>
                <w:szCs w:val="20"/>
              </w:rPr>
              <w:t>3</w:t>
            </w:r>
            <w:r>
              <w:rPr>
                <w:rFonts w:ascii="Times New Roman" w:hAnsi="Times New Roman"/>
                <w:noProof/>
                <w:sz w:val="20"/>
                <w:szCs w:val="20"/>
              </w:rPr>
              <w:t> %</w:t>
            </w:r>
          </w:p>
        </w:tc>
      </w:tr>
      <w:tr w:rsidR="00700047" w:rsidRPr="00DA11F1" w14:paraId="688F6A35" w14:textId="77777777" w:rsidTr="005F2380">
        <w:trPr>
          <w:trHeight w:val="300"/>
        </w:trPr>
        <w:tc>
          <w:tcPr>
            <w:tcW w:w="520" w:type="pct"/>
            <w:shd w:val="clear" w:color="000000" w:fill="FFFFFF"/>
            <w:noWrap/>
            <w:vAlign w:val="center"/>
            <w:hideMark/>
          </w:tcPr>
          <w:p w14:paraId="6456B9B9"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ES</w:t>
            </w:r>
          </w:p>
        </w:tc>
        <w:tc>
          <w:tcPr>
            <w:tcW w:w="1456" w:type="pct"/>
            <w:tcBorders>
              <w:bottom w:val="double" w:sz="4" w:space="0" w:color="auto"/>
            </w:tcBorders>
            <w:shd w:val="clear" w:color="auto" w:fill="auto"/>
            <w:noWrap/>
            <w:vAlign w:val="center"/>
            <w:hideMark/>
          </w:tcPr>
          <w:p w14:paraId="6E1FE7E3" w14:textId="77777777" w:rsidR="00700047" w:rsidRPr="00DA11F1" w:rsidRDefault="00700047" w:rsidP="00865DDA">
            <w:pPr>
              <w:spacing w:after="0"/>
              <w:jc w:val="center"/>
              <w:rPr>
                <w:rFonts w:ascii="Times New Roman" w:eastAsia="Times New Roman" w:hAnsi="Times New Roman"/>
                <w:noProof/>
                <w:sz w:val="20"/>
                <w:szCs w:val="20"/>
              </w:rPr>
            </w:pPr>
            <w:r w:rsidRPr="00F43FC8">
              <w:rPr>
                <w:rFonts w:ascii="Times New Roman" w:hAnsi="Times New Roman"/>
                <w:noProof/>
                <w:sz w:val="20"/>
                <w:szCs w:val="20"/>
              </w:rPr>
              <w:t>61</w:t>
            </w:r>
          </w:p>
        </w:tc>
        <w:tc>
          <w:tcPr>
            <w:tcW w:w="926" w:type="pct"/>
            <w:tcBorders>
              <w:bottom w:val="double" w:sz="4" w:space="0" w:color="auto"/>
            </w:tcBorders>
            <w:shd w:val="clear" w:color="auto" w:fill="auto"/>
            <w:noWrap/>
            <w:vAlign w:val="center"/>
            <w:hideMark/>
          </w:tcPr>
          <w:p w14:paraId="590FEF11" w14:textId="77777777" w:rsidR="00700047" w:rsidRPr="00DA11F1" w:rsidRDefault="00700047" w:rsidP="00865DDA">
            <w:pPr>
              <w:spacing w:after="0"/>
              <w:jc w:val="center"/>
              <w:rPr>
                <w:rFonts w:ascii="Times New Roman" w:eastAsia="Times New Roman" w:hAnsi="Times New Roman"/>
                <w:noProof/>
                <w:sz w:val="20"/>
                <w:szCs w:val="20"/>
              </w:rPr>
            </w:pPr>
            <w:r w:rsidRPr="00F43FC8">
              <w:rPr>
                <w:rFonts w:ascii="Times New Roman" w:hAnsi="Times New Roman"/>
                <w:noProof/>
                <w:sz w:val="20"/>
                <w:szCs w:val="20"/>
              </w:rPr>
              <w:t>204</w:t>
            </w:r>
          </w:p>
        </w:tc>
        <w:tc>
          <w:tcPr>
            <w:tcW w:w="975" w:type="pct"/>
            <w:tcBorders>
              <w:bottom w:val="double" w:sz="4" w:space="0" w:color="auto"/>
            </w:tcBorders>
            <w:shd w:val="clear" w:color="auto" w:fill="auto"/>
            <w:vAlign w:val="center"/>
            <w:hideMark/>
          </w:tcPr>
          <w:p w14:paraId="535345E7" w14:textId="1CA9F731" w:rsidR="00700047" w:rsidRPr="00DA11F1" w:rsidRDefault="00D86FF3" w:rsidP="00865DDA">
            <w:pPr>
              <w:spacing w:after="0"/>
              <w:jc w:val="center"/>
              <w:rPr>
                <w:rFonts w:ascii="Times New Roman" w:eastAsia="Times New Roman" w:hAnsi="Times New Roman"/>
                <w:noProof/>
                <w:sz w:val="20"/>
                <w:szCs w:val="20"/>
              </w:rPr>
            </w:pPr>
            <w:r w:rsidRPr="00F43FC8">
              <w:rPr>
                <w:rFonts w:ascii="Times New Roman" w:hAnsi="Times New Roman"/>
                <w:noProof/>
                <w:sz w:val="20"/>
                <w:szCs w:val="20"/>
              </w:rPr>
              <w:t>1225</w:t>
            </w:r>
            <w:r>
              <w:rPr>
                <w:rFonts w:ascii="Times New Roman" w:hAnsi="Times New Roman"/>
                <w:noProof/>
                <w:sz w:val="20"/>
                <w:szCs w:val="20"/>
              </w:rPr>
              <w:t>,</w:t>
            </w:r>
            <w:r w:rsidRPr="00F43FC8">
              <w:rPr>
                <w:rFonts w:ascii="Times New Roman" w:hAnsi="Times New Roman"/>
                <w:noProof/>
                <w:sz w:val="20"/>
                <w:szCs w:val="20"/>
              </w:rPr>
              <w:t>2</w:t>
            </w:r>
          </w:p>
        </w:tc>
        <w:tc>
          <w:tcPr>
            <w:tcW w:w="1123" w:type="pct"/>
            <w:tcBorders>
              <w:bottom w:val="double" w:sz="4" w:space="0" w:color="auto"/>
            </w:tcBorders>
            <w:shd w:val="clear" w:color="auto" w:fill="auto"/>
            <w:vAlign w:val="center"/>
            <w:hideMark/>
          </w:tcPr>
          <w:p w14:paraId="3CAD89E2" w14:textId="198C6B93" w:rsidR="00700047" w:rsidRPr="00DA11F1" w:rsidRDefault="00D86FF3" w:rsidP="00865DDA">
            <w:pPr>
              <w:spacing w:after="0"/>
              <w:jc w:val="center"/>
              <w:rPr>
                <w:rFonts w:ascii="Times New Roman" w:eastAsia="Times New Roman" w:hAnsi="Times New Roman"/>
                <w:noProof/>
                <w:sz w:val="20"/>
                <w:szCs w:val="20"/>
              </w:rPr>
            </w:pPr>
            <w:r w:rsidRPr="00F43FC8">
              <w:rPr>
                <w:rFonts w:ascii="Times New Roman" w:hAnsi="Times New Roman"/>
                <w:noProof/>
                <w:sz w:val="20"/>
                <w:szCs w:val="20"/>
              </w:rPr>
              <w:t>5</w:t>
            </w:r>
            <w:r>
              <w:rPr>
                <w:rFonts w:ascii="Times New Roman" w:hAnsi="Times New Roman"/>
                <w:noProof/>
                <w:sz w:val="20"/>
                <w:szCs w:val="20"/>
              </w:rPr>
              <w:t>,</w:t>
            </w:r>
            <w:r w:rsidRPr="00F43FC8">
              <w:rPr>
                <w:rFonts w:ascii="Times New Roman" w:hAnsi="Times New Roman"/>
                <w:noProof/>
                <w:sz w:val="20"/>
                <w:szCs w:val="20"/>
              </w:rPr>
              <w:t>0</w:t>
            </w:r>
            <w:r>
              <w:rPr>
                <w:rFonts w:ascii="Times New Roman" w:hAnsi="Times New Roman"/>
                <w:noProof/>
                <w:sz w:val="20"/>
                <w:szCs w:val="20"/>
              </w:rPr>
              <w:t> %</w:t>
            </w:r>
          </w:p>
        </w:tc>
      </w:tr>
      <w:tr w:rsidR="00700047" w:rsidRPr="00DA11F1" w14:paraId="3A4B652B" w14:textId="77777777" w:rsidTr="005F2380">
        <w:trPr>
          <w:trHeight w:val="300"/>
        </w:trPr>
        <w:tc>
          <w:tcPr>
            <w:tcW w:w="520" w:type="pct"/>
            <w:shd w:val="clear" w:color="000000" w:fill="FFFFFF"/>
            <w:noWrap/>
            <w:vAlign w:val="center"/>
            <w:hideMark/>
          </w:tcPr>
          <w:p w14:paraId="60EA5B8D"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LU</w:t>
            </w:r>
          </w:p>
        </w:tc>
        <w:tc>
          <w:tcPr>
            <w:tcW w:w="1456" w:type="pct"/>
            <w:shd w:val="clear" w:color="auto" w:fill="auto"/>
            <w:noWrap/>
            <w:vAlign w:val="center"/>
            <w:hideMark/>
          </w:tcPr>
          <w:p w14:paraId="19C72A6F" w14:textId="75836C2C" w:rsidR="00700047" w:rsidRPr="00DA11F1" w:rsidRDefault="00D86FF3" w:rsidP="00865DDA">
            <w:pPr>
              <w:spacing w:after="0"/>
              <w:jc w:val="center"/>
              <w:rPr>
                <w:rFonts w:ascii="Times New Roman" w:eastAsia="Times New Roman" w:hAnsi="Times New Roman"/>
                <w:noProof/>
                <w:sz w:val="20"/>
                <w:szCs w:val="20"/>
              </w:rPr>
            </w:pPr>
            <w:r w:rsidRPr="00F43FC8">
              <w:rPr>
                <w:rFonts w:ascii="Times New Roman" w:hAnsi="Times New Roman"/>
                <w:noProof/>
                <w:sz w:val="20"/>
                <w:szCs w:val="20"/>
              </w:rPr>
              <w:t>10</w:t>
            </w:r>
            <w:r>
              <w:rPr>
                <w:rFonts w:ascii="Times New Roman" w:hAnsi="Times New Roman"/>
                <w:noProof/>
                <w:sz w:val="20"/>
                <w:szCs w:val="20"/>
              </w:rPr>
              <w:t>,</w:t>
            </w:r>
            <w:r w:rsidRPr="00F43FC8">
              <w:rPr>
                <w:rFonts w:ascii="Times New Roman" w:hAnsi="Times New Roman"/>
                <w:noProof/>
                <w:sz w:val="20"/>
                <w:szCs w:val="20"/>
              </w:rPr>
              <w:t>6</w:t>
            </w:r>
          </w:p>
        </w:tc>
        <w:tc>
          <w:tcPr>
            <w:tcW w:w="926" w:type="pct"/>
            <w:shd w:val="clear" w:color="auto" w:fill="auto"/>
            <w:noWrap/>
            <w:vAlign w:val="center"/>
            <w:hideMark/>
          </w:tcPr>
          <w:p w14:paraId="08B3A19F" w14:textId="77777777" w:rsidR="00700047" w:rsidRPr="00DA11F1" w:rsidRDefault="00700047" w:rsidP="00865DDA">
            <w:pPr>
              <w:spacing w:after="0"/>
              <w:jc w:val="center"/>
              <w:rPr>
                <w:rFonts w:ascii="Times New Roman" w:eastAsia="Times New Roman" w:hAnsi="Times New Roman"/>
                <w:noProof/>
                <w:sz w:val="20"/>
                <w:szCs w:val="20"/>
              </w:rPr>
            </w:pPr>
            <w:r w:rsidRPr="00F43FC8">
              <w:rPr>
                <w:rFonts w:ascii="Times New Roman" w:hAnsi="Times New Roman"/>
                <w:noProof/>
                <w:sz w:val="20"/>
                <w:szCs w:val="20"/>
              </w:rPr>
              <w:t>4</w:t>
            </w:r>
          </w:p>
        </w:tc>
        <w:tc>
          <w:tcPr>
            <w:tcW w:w="975" w:type="pct"/>
            <w:shd w:val="clear" w:color="auto" w:fill="auto"/>
            <w:vAlign w:val="center"/>
            <w:hideMark/>
          </w:tcPr>
          <w:p w14:paraId="6E4BF433" w14:textId="3E125B12" w:rsidR="00700047" w:rsidRPr="00DA11F1" w:rsidRDefault="00D86FF3" w:rsidP="00865DDA">
            <w:pPr>
              <w:spacing w:after="0"/>
              <w:jc w:val="center"/>
              <w:rPr>
                <w:rFonts w:ascii="Times New Roman" w:eastAsia="Times New Roman" w:hAnsi="Times New Roman"/>
                <w:noProof/>
                <w:sz w:val="20"/>
                <w:szCs w:val="20"/>
              </w:rPr>
            </w:pPr>
            <w:r w:rsidRPr="00F43FC8">
              <w:rPr>
                <w:rFonts w:ascii="Times New Roman" w:hAnsi="Times New Roman"/>
                <w:noProof/>
                <w:sz w:val="20"/>
                <w:szCs w:val="20"/>
              </w:rPr>
              <w:t>16</w:t>
            </w:r>
            <w:r>
              <w:rPr>
                <w:rFonts w:ascii="Times New Roman" w:hAnsi="Times New Roman"/>
                <w:noProof/>
                <w:sz w:val="20"/>
                <w:szCs w:val="20"/>
              </w:rPr>
              <w:t>,</w:t>
            </w:r>
            <w:r w:rsidRPr="00F43FC8">
              <w:rPr>
                <w:rFonts w:ascii="Times New Roman" w:hAnsi="Times New Roman"/>
                <w:noProof/>
                <w:sz w:val="20"/>
                <w:szCs w:val="20"/>
              </w:rPr>
              <w:t>8</w:t>
            </w:r>
          </w:p>
        </w:tc>
        <w:tc>
          <w:tcPr>
            <w:tcW w:w="1123" w:type="pct"/>
            <w:shd w:val="clear" w:color="auto" w:fill="auto"/>
            <w:vAlign w:val="center"/>
            <w:hideMark/>
          </w:tcPr>
          <w:p w14:paraId="72E44581" w14:textId="2081A303" w:rsidR="00700047" w:rsidRPr="00DA11F1" w:rsidRDefault="00D86FF3" w:rsidP="00865DDA">
            <w:pPr>
              <w:spacing w:after="0"/>
              <w:jc w:val="center"/>
              <w:rPr>
                <w:rFonts w:ascii="Times New Roman" w:eastAsia="Times New Roman" w:hAnsi="Times New Roman"/>
                <w:noProof/>
                <w:sz w:val="20"/>
                <w:szCs w:val="20"/>
              </w:rPr>
            </w:pPr>
            <w:r w:rsidRPr="00F43FC8">
              <w:rPr>
                <w:rFonts w:ascii="Times New Roman" w:hAnsi="Times New Roman"/>
                <w:noProof/>
                <w:sz w:val="20"/>
                <w:szCs w:val="20"/>
              </w:rPr>
              <w:t>63</w:t>
            </w:r>
            <w:r>
              <w:rPr>
                <w:rFonts w:ascii="Times New Roman" w:hAnsi="Times New Roman"/>
                <w:noProof/>
                <w:sz w:val="20"/>
                <w:szCs w:val="20"/>
              </w:rPr>
              <w:t>,</w:t>
            </w:r>
            <w:r w:rsidRPr="00F43FC8">
              <w:rPr>
                <w:rFonts w:ascii="Times New Roman" w:hAnsi="Times New Roman"/>
                <w:noProof/>
                <w:sz w:val="20"/>
                <w:szCs w:val="20"/>
              </w:rPr>
              <w:t>0</w:t>
            </w:r>
            <w:r>
              <w:rPr>
                <w:rFonts w:ascii="Times New Roman" w:hAnsi="Times New Roman"/>
                <w:noProof/>
                <w:sz w:val="20"/>
                <w:szCs w:val="20"/>
              </w:rPr>
              <w:t> %</w:t>
            </w:r>
          </w:p>
        </w:tc>
      </w:tr>
      <w:tr w:rsidR="00700047" w:rsidRPr="00DA11F1" w14:paraId="3CF8B15D" w14:textId="77777777" w:rsidTr="005F2380">
        <w:trPr>
          <w:trHeight w:val="300"/>
        </w:trPr>
        <w:tc>
          <w:tcPr>
            <w:tcW w:w="520" w:type="pct"/>
            <w:shd w:val="clear" w:color="000000" w:fill="FFFFFF"/>
            <w:noWrap/>
            <w:vAlign w:val="center"/>
            <w:hideMark/>
          </w:tcPr>
          <w:p w14:paraId="7974ED79"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PL</w:t>
            </w:r>
          </w:p>
        </w:tc>
        <w:tc>
          <w:tcPr>
            <w:tcW w:w="1456" w:type="pct"/>
            <w:shd w:val="clear" w:color="auto" w:fill="auto"/>
            <w:noWrap/>
            <w:vAlign w:val="center"/>
            <w:hideMark/>
          </w:tcPr>
          <w:p w14:paraId="15C72668" w14:textId="6D8E4E8A" w:rsidR="00700047" w:rsidRPr="00DA11F1" w:rsidRDefault="00D86FF3" w:rsidP="00865DDA">
            <w:pPr>
              <w:spacing w:after="0"/>
              <w:jc w:val="center"/>
              <w:rPr>
                <w:rFonts w:ascii="Times New Roman" w:eastAsia="Times New Roman" w:hAnsi="Times New Roman"/>
                <w:noProof/>
                <w:sz w:val="20"/>
                <w:szCs w:val="20"/>
              </w:rPr>
            </w:pPr>
            <w:r w:rsidRPr="00F43FC8">
              <w:rPr>
                <w:rFonts w:ascii="Times New Roman" w:hAnsi="Times New Roman"/>
                <w:noProof/>
                <w:sz w:val="20"/>
                <w:szCs w:val="20"/>
              </w:rPr>
              <w:t>76</w:t>
            </w:r>
            <w:r>
              <w:rPr>
                <w:rFonts w:ascii="Times New Roman" w:hAnsi="Times New Roman"/>
                <w:noProof/>
                <w:sz w:val="20"/>
                <w:szCs w:val="20"/>
              </w:rPr>
              <w:t>,</w:t>
            </w:r>
            <w:r w:rsidRPr="00F43FC8">
              <w:rPr>
                <w:rFonts w:ascii="Times New Roman" w:hAnsi="Times New Roman"/>
                <w:noProof/>
                <w:sz w:val="20"/>
                <w:szCs w:val="20"/>
              </w:rPr>
              <w:t>6</w:t>
            </w:r>
            <w:r>
              <w:rPr>
                <w:rFonts w:ascii="Times New Roman" w:hAnsi="Times New Roman"/>
                <w:noProof/>
                <w:sz w:val="20"/>
                <w:szCs w:val="20"/>
              </w:rPr>
              <w:t xml:space="preserve"> (</w:t>
            </w:r>
            <w:r w:rsidRPr="00F43FC8">
              <w:rPr>
                <w:rFonts w:ascii="Times New Roman" w:hAnsi="Times New Roman"/>
                <w:noProof/>
                <w:sz w:val="20"/>
                <w:szCs w:val="20"/>
              </w:rPr>
              <w:t>340</w:t>
            </w:r>
            <w:r>
              <w:rPr>
                <w:rFonts w:ascii="Times New Roman" w:hAnsi="Times New Roman"/>
                <w:noProof/>
                <w:sz w:val="20"/>
                <w:szCs w:val="20"/>
              </w:rPr>
              <w:t>,</w:t>
            </w:r>
            <w:r w:rsidRPr="00F43FC8">
              <w:rPr>
                <w:rFonts w:ascii="Times New Roman" w:hAnsi="Times New Roman"/>
                <w:noProof/>
                <w:sz w:val="20"/>
                <w:szCs w:val="20"/>
              </w:rPr>
              <w:t>9</w:t>
            </w:r>
            <w:r>
              <w:rPr>
                <w:rFonts w:ascii="Times New Roman" w:hAnsi="Times New Roman"/>
                <w:noProof/>
                <w:sz w:val="20"/>
                <w:szCs w:val="20"/>
              </w:rPr>
              <w:t xml:space="preserve"> PLN) </w:t>
            </w:r>
          </w:p>
        </w:tc>
        <w:tc>
          <w:tcPr>
            <w:tcW w:w="926" w:type="pct"/>
            <w:shd w:val="clear" w:color="auto" w:fill="auto"/>
            <w:noWrap/>
            <w:vAlign w:val="center"/>
            <w:hideMark/>
          </w:tcPr>
          <w:p w14:paraId="1419298B" w14:textId="77777777" w:rsidR="00700047" w:rsidRPr="00DA11F1" w:rsidRDefault="00700047" w:rsidP="00865DDA">
            <w:pPr>
              <w:spacing w:after="0"/>
              <w:jc w:val="center"/>
              <w:rPr>
                <w:rFonts w:ascii="Times New Roman" w:eastAsia="Times New Roman" w:hAnsi="Times New Roman"/>
                <w:noProof/>
                <w:sz w:val="20"/>
                <w:szCs w:val="20"/>
              </w:rPr>
            </w:pPr>
            <w:r w:rsidRPr="00F43FC8">
              <w:rPr>
                <w:rFonts w:ascii="Times New Roman" w:hAnsi="Times New Roman"/>
                <w:noProof/>
                <w:sz w:val="20"/>
                <w:szCs w:val="20"/>
              </w:rPr>
              <w:t>25</w:t>
            </w:r>
          </w:p>
        </w:tc>
        <w:tc>
          <w:tcPr>
            <w:tcW w:w="975" w:type="pct"/>
            <w:shd w:val="clear" w:color="auto" w:fill="auto"/>
            <w:vAlign w:val="center"/>
            <w:hideMark/>
          </w:tcPr>
          <w:p w14:paraId="245B7118" w14:textId="6EF83F2B" w:rsidR="00700047" w:rsidRPr="00DA11F1" w:rsidRDefault="00D86FF3" w:rsidP="00865DDA">
            <w:pPr>
              <w:spacing w:after="0"/>
              <w:jc w:val="center"/>
              <w:rPr>
                <w:rFonts w:ascii="Times New Roman" w:eastAsia="Times New Roman" w:hAnsi="Times New Roman"/>
                <w:noProof/>
                <w:sz w:val="20"/>
                <w:szCs w:val="20"/>
              </w:rPr>
            </w:pPr>
            <w:r w:rsidRPr="00F43FC8">
              <w:rPr>
                <w:rFonts w:ascii="Times New Roman" w:hAnsi="Times New Roman"/>
                <w:noProof/>
                <w:sz w:val="20"/>
                <w:szCs w:val="20"/>
              </w:rPr>
              <w:t>2545</w:t>
            </w:r>
            <w:r>
              <w:rPr>
                <w:rFonts w:ascii="Times New Roman" w:hAnsi="Times New Roman"/>
                <w:noProof/>
                <w:sz w:val="20"/>
                <w:szCs w:val="20"/>
              </w:rPr>
              <w:t>,</w:t>
            </w:r>
            <w:r w:rsidRPr="00F43FC8">
              <w:rPr>
                <w:rFonts w:ascii="Times New Roman" w:hAnsi="Times New Roman"/>
                <w:noProof/>
                <w:sz w:val="20"/>
                <w:szCs w:val="20"/>
              </w:rPr>
              <w:t>9</w:t>
            </w:r>
          </w:p>
        </w:tc>
        <w:tc>
          <w:tcPr>
            <w:tcW w:w="1123" w:type="pct"/>
            <w:shd w:val="clear" w:color="auto" w:fill="auto"/>
            <w:noWrap/>
            <w:vAlign w:val="bottom"/>
            <w:hideMark/>
          </w:tcPr>
          <w:p w14:paraId="630E7704" w14:textId="17863EB9"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 </w:t>
            </w:r>
            <w:r w:rsidRPr="00F43FC8">
              <w:rPr>
                <w:rFonts w:ascii="Times New Roman" w:hAnsi="Times New Roman"/>
                <w:noProof/>
                <w:sz w:val="20"/>
                <w:szCs w:val="20"/>
              </w:rPr>
              <w:t>3</w:t>
            </w:r>
            <w:r>
              <w:rPr>
                <w:rFonts w:ascii="Times New Roman" w:hAnsi="Times New Roman"/>
                <w:noProof/>
                <w:sz w:val="20"/>
                <w:szCs w:val="20"/>
              </w:rPr>
              <w:t> %</w:t>
            </w:r>
          </w:p>
        </w:tc>
      </w:tr>
      <w:tr w:rsidR="00700047" w:rsidRPr="00DA11F1" w14:paraId="234944E0" w14:textId="77777777" w:rsidTr="005F2380">
        <w:trPr>
          <w:trHeight w:val="300"/>
        </w:trPr>
        <w:tc>
          <w:tcPr>
            <w:tcW w:w="520" w:type="pct"/>
            <w:tcBorders>
              <w:bottom w:val="single" w:sz="12" w:space="0" w:color="auto"/>
            </w:tcBorders>
            <w:shd w:val="clear" w:color="000000" w:fill="FFFFFF"/>
            <w:noWrap/>
            <w:vAlign w:val="center"/>
            <w:hideMark/>
          </w:tcPr>
          <w:p w14:paraId="2BB91F9E"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RO</w:t>
            </w:r>
          </w:p>
        </w:tc>
        <w:tc>
          <w:tcPr>
            <w:tcW w:w="1456" w:type="pct"/>
            <w:tcBorders>
              <w:bottom w:val="single" w:sz="12" w:space="0" w:color="auto"/>
            </w:tcBorders>
            <w:shd w:val="clear" w:color="auto" w:fill="auto"/>
            <w:noWrap/>
            <w:vAlign w:val="center"/>
            <w:hideMark/>
          </w:tcPr>
          <w:p w14:paraId="77FEBA46" w14:textId="070C941D"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 S.O.</w:t>
            </w:r>
          </w:p>
        </w:tc>
        <w:tc>
          <w:tcPr>
            <w:tcW w:w="926" w:type="pct"/>
            <w:tcBorders>
              <w:bottom w:val="single" w:sz="12" w:space="0" w:color="auto"/>
            </w:tcBorders>
            <w:shd w:val="clear" w:color="auto" w:fill="auto"/>
            <w:noWrap/>
            <w:vAlign w:val="center"/>
            <w:hideMark/>
          </w:tcPr>
          <w:p w14:paraId="023D1362" w14:textId="77777777" w:rsidR="00700047" w:rsidRPr="00DA11F1" w:rsidRDefault="00700047" w:rsidP="00865DDA">
            <w:pPr>
              <w:spacing w:after="0"/>
              <w:jc w:val="center"/>
              <w:rPr>
                <w:rFonts w:ascii="Times New Roman" w:eastAsia="Times New Roman" w:hAnsi="Times New Roman"/>
                <w:noProof/>
                <w:sz w:val="20"/>
                <w:szCs w:val="20"/>
              </w:rPr>
            </w:pPr>
            <w:r w:rsidRPr="00F43FC8">
              <w:rPr>
                <w:rFonts w:ascii="Times New Roman" w:hAnsi="Times New Roman"/>
                <w:noProof/>
                <w:sz w:val="20"/>
                <w:szCs w:val="20"/>
              </w:rPr>
              <w:t>44</w:t>
            </w:r>
          </w:p>
        </w:tc>
        <w:tc>
          <w:tcPr>
            <w:tcW w:w="975" w:type="pct"/>
            <w:tcBorders>
              <w:bottom w:val="single" w:sz="12" w:space="0" w:color="auto"/>
            </w:tcBorders>
            <w:shd w:val="clear" w:color="auto" w:fill="auto"/>
            <w:vAlign w:val="center"/>
            <w:hideMark/>
          </w:tcPr>
          <w:p w14:paraId="7C1D4521" w14:textId="19B9BAD8" w:rsidR="00700047" w:rsidRPr="00DA11F1" w:rsidRDefault="00D86FF3" w:rsidP="00865DDA">
            <w:pPr>
              <w:spacing w:after="0"/>
              <w:jc w:val="center"/>
              <w:rPr>
                <w:rFonts w:ascii="Times New Roman" w:eastAsia="Times New Roman" w:hAnsi="Times New Roman"/>
                <w:noProof/>
                <w:sz w:val="20"/>
                <w:szCs w:val="20"/>
              </w:rPr>
            </w:pPr>
            <w:r w:rsidRPr="00F43FC8">
              <w:rPr>
                <w:rFonts w:ascii="Times New Roman" w:hAnsi="Times New Roman"/>
                <w:noProof/>
                <w:sz w:val="20"/>
                <w:szCs w:val="20"/>
              </w:rPr>
              <w:t>747</w:t>
            </w:r>
            <w:r>
              <w:rPr>
                <w:rFonts w:ascii="Times New Roman" w:hAnsi="Times New Roman"/>
                <w:noProof/>
                <w:sz w:val="20"/>
                <w:szCs w:val="20"/>
              </w:rPr>
              <w:t>,</w:t>
            </w:r>
            <w:r w:rsidRPr="00F43FC8">
              <w:rPr>
                <w:rFonts w:ascii="Times New Roman" w:hAnsi="Times New Roman"/>
                <w:noProof/>
                <w:sz w:val="20"/>
                <w:szCs w:val="20"/>
              </w:rPr>
              <w:t>9</w:t>
            </w:r>
          </w:p>
        </w:tc>
        <w:tc>
          <w:tcPr>
            <w:tcW w:w="1123" w:type="pct"/>
            <w:tcBorders>
              <w:bottom w:val="single" w:sz="12" w:space="0" w:color="auto"/>
            </w:tcBorders>
            <w:shd w:val="clear" w:color="auto" w:fill="auto"/>
            <w:noWrap/>
            <w:vAlign w:val="bottom"/>
            <w:hideMark/>
          </w:tcPr>
          <w:p w14:paraId="09F1FB7B" w14:textId="5C24EC36"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 S.O.</w:t>
            </w:r>
          </w:p>
        </w:tc>
      </w:tr>
      <w:tr w:rsidR="005F2380" w:rsidRPr="00DA11F1" w14:paraId="2E1B5EA0" w14:textId="77777777" w:rsidTr="005F2380">
        <w:trPr>
          <w:trHeight w:val="300"/>
        </w:trPr>
        <w:tc>
          <w:tcPr>
            <w:tcW w:w="520" w:type="pct"/>
            <w:tcBorders>
              <w:top w:val="single" w:sz="12" w:space="0" w:color="auto"/>
            </w:tcBorders>
            <w:shd w:val="clear" w:color="000000" w:fill="FFFFFF"/>
            <w:noWrap/>
            <w:vAlign w:val="center"/>
          </w:tcPr>
          <w:p w14:paraId="1CD0BE85" w14:textId="400BEB4E" w:rsidR="005F2380" w:rsidRPr="00DA11F1" w:rsidRDefault="005F2380"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UK</w:t>
            </w:r>
          </w:p>
        </w:tc>
        <w:tc>
          <w:tcPr>
            <w:tcW w:w="1456" w:type="pct"/>
            <w:tcBorders>
              <w:top w:val="single" w:sz="12" w:space="0" w:color="auto"/>
            </w:tcBorders>
            <w:shd w:val="clear" w:color="auto" w:fill="auto"/>
            <w:noWrap/>
            <w:vAlign w:val="center"/>
          </w:tcPr>
          <w:p w14:paraId="0F29B369" w14:textId="6E71D232" w:rsidR="005F2380" w:rsidRPr="00DA11F1" w:rsidRDefault="005F2380" w:rsidP="00865DDA">
            <w:pPr>
              <w:spacing w:after="0"/>
              <w:jc w:val="center"/>
              <w:rPr>
                <w:rFonts w:ascii="Times New Roman" w:eastAsia="Times New Roman" w:hAnsi="Times New Roman"/>
                <w:noProof/>
                <w:sz w:val="20"/>
                <w:szCs w:val="20"/>
              </w:rPr>
            </w:pPr>
            <w:r w:rsidRPr="00F43FC8">
              <w:rPr>
                <w:rFonts w:ascii="Times New Roman" w:hAnsi="Times New Roman"/>
                <w:noProof/>
                <w:sz w:val="20"/>
                <w:szCs w:val="20"/>
              </w:rPr>
              <w:t>57</w:t>
            </w:r>
            <w:r>
              <w:rPr>
                <w:rFonts w:ascii="Times New Roman" w:hAnsi="Times New Roman"/>
                <w:noProof/>
                <w:sz w:val="20"/>
                <w:szCs w:val="20"/>
              </w:rPr>
              <w:t>,</w:t>
            </w:r>
            <w:r w:rsidRPr="00F43FC8">
              <w:rPr>
                <w:rFonts w:ascii="Times New Roman" w:hAnsi="Times New Roman"/>
                <w:noProof/>
                <w:sz w:val="20"/>
                <w:szCs w:val="20"/>
              </w:rPr>
              <w:t>25</w:t>
            </w:r>
            <w:r>
              <w:rPr>
                <w:rFonts w:ascii="Times New Roman" w:hAnsi="Times New Roman"/>
                <w:noProof/>
                <w:sz w:val="20"/>
                <w:szCs w:val="20"/>
              </w:rPr>
              <w:t xml:space="preserve"> (</w:t>
            </w:r>
            <w:r w:rsidRPr="00F43FC8">
              <w:rPr>
                <w:rFonts w:ascii="Times New Roman" w:hAnsi="Times New Roman"/>
                <w:noProof/>
                <w:sz w:val="20"/>
                <w:szCs w:val="20"/>
              </w:rPr>
              <w:t>50</w:t>
            </w:r>
            <w:r>
              <w:rPr>
                <w:rFonts w:ascii="Times New Roman" w:hAnsi="Times New Roman"/>
                <w:noProof/>
                <w:sz w:val="20"/>
                <w:szCs w:val="20"/>
              </w:rPr>
              <w:t>,</w:t>
            </w:r>
            <w:r w:rsidRPr="00F43FC8">
              <w:rPr>
                <w:rFonts w:ascii="Times New Roman" w:hAnsi="Times New Roman"/>
                <w:noProof/>
                <w:sz w:val="20"/>
                <w:szCs w:val="20"/>
              </w:rPr>
              <w:t>9</w:t>
            </w:r>
            <w:r>
              <w:rPr>
                <w:rFonts w:ascii="Times New Roman" w:hAnsi="Times New Roman"/>
                <w:noProof/>
                <w:sz w:val="20"/>
                <w:szCs w:val="20"/>
              </w:rPr>
              <w:t> GBP)</w:t>
            </w:r>
          </w:p>
        </w:tc>
        <w:tc>
          <w:tcPr>
            <w:tcW w:w="926" w:type="pct"/>
            <w:tcBorders>
              <w:top w:val="single" w:sz="12" w:space="0" w:color="auto"/>
            </w:tcBorders>
            <w:shd w:val="clear" w:color="auto" w:fill="auto"/>
            <w:noWrap/>
            <w:vAlign w:val="center"/>
          </w:tcPr>
          <w:p w14:paraId="4DD4745F" w14:textId="06A82330" w:rsidR="005F2380" w:rsidRPr="00DA11F1" w:rsidRDefault="005F2380" w:rsidP="00865DDA">
            <w:pPr>
              <w:spacing w:after="0"/>
              <w:jc w:val="center"/>
              <w:rPr>
                <w:rFonts w:ascii="Times New Roman" w:eastAsia="Times New Roman" w:hAnsi="Times New Roman"/>
                <w:noProof/>
                <w:sz w:val="20"/>
                <w:szCs w:val="20"/>
              </w:rPr>
            </w:pPr>
            <w:r w:rsidRPr="00F43FC8">
              <w:rPr>
                <w:rFonts w:ascii="Times New Roman" w:hAnsi="Times New Roman"/>
                <w:noProof/>
                <w:sz w:val="20"/>
                <w:szCs w:val="20"/>
              </w:rPr>
              <w:t>61</w:t>
            </w:r>
          </w:p>
        </w:tc>
        <w:tc>
          <w:tcPr>
            <w:tcW w:w="975" w:type="pct"/>
            <w:tcBorders>
              <w:top w:val="single" w:sz="12" w:space="0" w:color="auto"/>
            </w:tcBorders>
            <w:shd w:val="clear" w:color="auto" w:fill="auto"/>
            <w:vAlign w:val="center"/>
          </w:tcPr>
          <w:p w14:paraId="6A814750" w14:textId="5ECB0BA0" w:rsidR="005F2380" w:rsidRPr="00DA11F1" w:rsidRDefault="002B3C40" w:rsidP="00865DDA">
            <w:pPr>
              <w:spacing w:after="0"/>
              <w:jc w:val="center"/>
              <w:rPr>
                <w:rFonts w:ascii="Times New Roman" w:eastAsia="Times New Roman" w:hAnsi="Times New Roman"/>
                <w:noProof/>
                <w:sz w:val="20"/>
                <w:szCs w:val="20"/>
              </w:rPr>
            </w:pPr>
            <w:r>
              <w:rPr>
                <w:rFonts w:ascii="Times New Roman" w:hAnsi="Times New Roman"/>
                <w:noProof/>
                <w:sz w:val="20"/>
                <w:szCs w:val="20"/>
              </w:rPr>
              <w:t>S.O.</w:t>
            </w:r>
          </w:p>
        </w:tc>
        <w:tc>
          <w:tcPr>
            <w:tcW w:w="1123" w:type="pct"/>
            <w:tcBorders>
              <w:top w:val="single" w:sz="12" w:space="0" w:color="auto"/>
            </w:tcBorders>
            <w:shd w:val="clear" w:color="auto" w:fill="auto"/>
            <w:noWrap/>
            <w:vAlign w:val="bottom"/>
          </w:tcPr>
          <w:p w14:paraId="7C99A9FE" w14:textId="1FF6DE4B" w:rsidR="005F2380" w:rsidRPr="00DA11F1" w:rsidRDefault="002B3C40" w:rsidP="00865DDA">
            <w:pPr>
              <w:spacing w:after="0"/>
              <w:jc w:val="center"/>
              <w:rPr>
                <w:rFonts w:ascii="Times New Roman" w:eastAsia="Times New Roman" w:hAnsi="Times New Roman"/>
                <w:noProof/>
              </w:rPr>
            </w:pPr>
            <w:r>
              <w:rPr>
                <w:rFonts w:ascii="Times New Roman" w:hAnsi="Times New Roman"/>
                <w:noProof/>
                <w:sz w:val="20"/>
                <w:szCs w:val="20"/>
              </w:rPr>
              <w:t>S.O.</w:t>
            </w:r>
          </w:p>
        </w:tc>
      </w:tr>
    </w:tbl>
    <w:p w14:paraId="60CBB4FF" w14:textId="4068F40A" w:rsidR="00700047" w:rsidRPr="00DA11F1" w:rsidRDefault="00700047" w:rsidP="00865DDA">
      <w:pPr>
        <w:spacing w:before="200"/>
        <w:jc w:val="both"/>
        <w:rPr>
          <w:rFonts w:ascii="Times New Roman" w:eastAsia="Times New Roman" w:hAnsi="Times New Roman"/>
          <w:noProof/>
          <w:sz w:val="24"/>
          <w:szCs w:val="24"/>
        </w:rPr>
      </w:pPr>
      <w:r>
        <w:rPr>
          <w:rFonts w:ascii="Times New Roman" w:hAnsi="Times New Roman"/>
          <w:noProof/>
          <w:sz w:val="24"/>
          <w:szCs w:val="24"/>
        </w:rPr>
        <w:t xml:space="preserve">Les compensations de coûts indirects versées par </w:t>
      </w:r>
      <w:r w:rsidRPr="00F43FC8">
        <w:rPr>
          <w:rFonts w:ascii="Times New Roman" w:hAnsi="Times New Roman"/>
          <w:noProof/>
          <w:sz w:val="24"/>
          <w:szCs w:val="24"/>
        </w:rPr>
        <w:t>13</w:t>
      </w:r>
      <w:r>
        <w:rPr>
          <w:rFonts w:ascii="Times New Roman" w:hAnsi="Times New Roman"/>
          <w:noProof/>
          <w:sz w:val="24"/>
          <w:szCs w:val="24"/>
        </w:rPr>
        <w:t> États membres de l’UE en </w:t>
      </w:r>
      <w:r w:rsidRPr="00F43FC8">
        <w:rPr>
          <w:rFonts w:ascii="Times New Roman" w:hAnsi="Times New Roman"/>
          <w:noProof/>
          <w:sz w:val="24"/>
          <w:szCs w:val="24"/>
        </w:rPr>
        <w:t>2020</w:t>
      </w:r>
      <w:r>
        <w:rPr>
          <w:rFonts w:ascii="Times New Roman" w:hAnsi="Times New Roman"/>
          <w:noProof/>
          <w:sz w:val="24"/>
          <w:szCs w:val="24"/>
        </w:rPr>
        <w:t xml:space="preserve"> pour les coûts engagés en </w:t>
      </w:r>
      <w:r w:rsidRPr="00F43FC8">
        <w:rPr>
          <w:rFonts w:ascii="Times New Roman" w:hAnsi="Times New Roman"/>
          <w:noProof/>
          <w:sz w:val="24"/>
          <w:szCs w:val="24"/>
        </w:rPr>
        <w:t>2019</w:t>
      </w:r>
      <w:r>
        <w:rPr>
          <w:rFonts w:ascii="Times New Roman" w:hAnsi="Times New Roman"/>
          <w:noProof/>
          <w:sz w:val="24"/>
          <w:szCs w:val="24"/>
        </w:rPr>
        <w:t xml:space="preserve"> ont totalisé au moins </w:t>
      </w:r>
      <w:r w:rsidRPr="00F43FC8">
        <w:rPr>
          <w:rFonts w:ascii="Times New Roman" w:hAnsi="Times New Roman"/>
          <w:noProof/>
          <w:sz w:val="24"/>
          <w:szCs w:val="24"/>
        </w:rPr>
        <w:t>1</w:t>
      </w:r>
      <w:r>
        <w:rPr>
          <w:rFonts w:ascii="Times New Roman" w:hAnsi="Times New Roman"/>
          <w:noProof/>
          <w:sz w:val="24"/>
          <w:szCs w:val="24"/>
        </w:rPr>
        <w:t>,</w:t>
      </w:r>
      <w:r w:rsidRPr="00F43FC8">
        <w:rPr>
          <w:rFonts w:ascii="Times New Roman" w:hAnsi="Times New Roman"/>
          <w:noProof/>
          <w:sz w:val="24"/>
          <w:szCs w:val="24"/>
        </w:rPr>
        <w:t>358</w:t>
      </w:r>
      <w:r>
        <w:rPr>
          <w:rFonts w:ascii="Times New Roman" w:hAnsi="Times New Roman"/>
          <w:noProof/>
          <w:sz w:val="24"/>
          <w:szCs w:val="24"/>
        </w:rPr>
        <w:t> milliard d’euros, soit plus du double du montant versé en </w:t>
      </w:r>
      <w:r w:rsidRPr="00F43FC8">
        <w:rPr>
          <w:rFonts w:ascii="Times New Roman" w:hAnsi="Times New Roman"/>
          <w:noProof/>
          <w:sz w:val="24"/>
          <w:szCs w:val="24"/>
        </w:rPr>
        <w:t>2019</w:t>
      </w:r>
      <w:r>
        <w:rPr>
          <w:rFonts w:ascii="Times New Roman" w:hAnsi="Times New Roman"/>
          <w:noProof/>
          <w:sz w:val="24"/>
          <w:szCs w:val="24"/>
        </w:rPr>
        <w:t xml:space="preserve"> (pour les coûts engagés en </w:t>
      </w:r>
      <w:r w:rsidRPr="00F43FC8">
        <w:rPr>
          <w:rFonts w:ascii="Times New Roman" w:hAnsi="Times New Roman"/>
          <w:noProof/>
          <w:sz w:val="24"/>
          <w:szCs w:val="24"/>
        </w:rPr>
        <w:t>2018</w:t>
      </w:r>
      <w:r>
        <w:rPr>
          <w:rFonts w:ascii="Times New Roman" w:hAnsi="Times New Roman"/>
          <w:noProof/>
          <w:sz w:val="24"/>
          <w:szCs w:val="24"/>
        </w:rPr>
        <w:t>). Cette augmentation considérable s’explique principalement par l’augmentation des prix du carbone. La majorité des régimes n’ont pas de budget fixe, mais compensent en fonction des coûts indirects réellement engagés. En outre, la formule de calcul de la compensation établie dans les lignes directrices concernant les aides d’État précise que les États membres doivent utiliser le prix moyen à terme des quotas pour l’année t-</w:t>
      </w:r>
      <w:r w:rsidRPr="00F43FC8">
        <w:rPr>
          <w:rFonts w:ascii="Times New Roman" w:hAnsi="Times New Roman"/>
          <w:noProof/>
          <w:sz w:val="24"/>
          <w:szCs w:val="24"/>
        </w:rPr>
        <w:t>1</w:t>
      </w:r>
      <w:r>
        <w:rPr>
          <w:rFonts w:ascii="Times New Roman" w:hAnsi="Times New Roman"/>
          <w:noProof/>
          <w:sz w:val="24"/>
          <w:szCs w:val="24"/>
        </w:rPr>
        <w:t xml:space="preserve"> lorsqu’ils calculent la compensation versée. Cela signifie que les prix à terme de </w:t>
      </w:r>
      <w:r w:rsidRPr="00F43FC8">
        <w:rPr>
          <w:rFonts w:ascii="Times New Roman" w:hAnsi="Times New Roman"/>
          <w:noProof/>
          <w:sz w:val="24"/>
          <w:szCs w:val="24"/>
        </w:rPr>
        <w:t>2018</w:t>
      </w:r>
      <w:r>
        <w:rPr>
          <w:rFonts w:ascii="Times New Roman" w:hAnsi="Times New Roman"/>
          <w:noProof/>
          <w:sz w:val="24"/>
          <w:szCs w:val="24"/>
        </w:rPr>
        <w:t xml:space="preserve"> sont utilisés pour calculer la compensation des coûts indirects engagés en </w:t>
      </w:r>
      <w:r w:rsidRPr="00F43FC8">
        <w:rPr>
          <w:rFonts w:ascii="Times New Roman" w:hAnsi="Times New Roman"/>
          <w:noProof/>
          <w:sz w:val="24"/>
          <w:szCs w:val="24"/>
        </w:rPr>
        <w:t>2019</w:t>
      </w:r>
      <w:r>
        <w:rPr>
          <w:rFonts w:ascii="Times New Roman" w:hAnsi="Times New Roman"/>
          <w:noProof/>
          <w:sz w:val="24"/>
          <w:szCs w:val="24"/>
        </w:rPr>
        <w:t>. Entre </w:t>
      </w:r>
      <w:r w:rsidRPr="00F43FC8">
        <w:rPr>
          <w:rFonts w:ascii="Times New Roman" w:hAnsi="Times New Roman"/>
          <w:noProof/>
          <w:sz w:val="24"/>
          <w:szCs w:val="24"/>
        </w:rPr>
        <w:t>2018</w:t>
      </w:r>
      <w:r>
        <w:rPr>
          <w:rFonts w:ascii="Times New Roman" w:hAnsi="Times New Roman"/>
          <w:noProof/>
          <w:sz w:val="24"/>
          <w:szCs w:val="24"/>
        </w:rPr>
        <w:t xml:space="preserve"> et </w:t>
      </w:r>
      <w:r w:rsidRPr="00F43FC8">
        <w:rPr>
          <w:rFonts w:ascii="Times New Roman" w:hAnsi="Times New Roman"/>
          <w:noProof/>
          <w:sz w:val="24"/>
          <w:szCs w:val="24"/>
        </w:rPr>
        <w:t>2019</w:t>
      </w:r>
      <w:r>
        <w:rPr>
          <w:rFonts w:ascii="Times New Roman" w:hAnsi="Times New Roman"/>
          <w:noProof/>
          <w:sz w:val="24"/>
          <w:szCs w:val="24"/>
        </w:rPr>
        <w:t xml:space="preserve">, le prix du carbone utilisé comme base pour calculer la compensation est passé d’environ </w:t>
      </w:r>
      <w:r w:rsidRPr="00F43FC8">
        <w:rPr>
          <w:rFonts w:ascii="Times New Roman" w:hAnsi="Times New Roman"/>
          <w:noProof/>
          <w:sz w:val="24"/>
          <w:szCs w:val="24"/>
        </w:rPr>
        <w:t>6</w:t>
      </w:r>
      <w:r>
        <w:rPr>
          <w:rFonts w:ascii="Times New Roman" w:hAnsi="Times New Roman"/>
          <w:noProof/>
          <w:sz w:val="24"/>
          <w:szCs w:val="24"/>
        </w:rPr>
        <w:t xml:space="preserve"> euros à environ </w:t>
      </w:r>
      <w:r w:rsidRPr="00F43FC8">
        <w:rPr>
          <w:rFonts w:ascii="Times New Roman" w:hAnsi="Times New Roman"/>
          <w:noProof/>
          <w:sz w:val="24"/>
          <w:szCs w:val="24"/>
        </w:rPr>
        <w:t>16</w:t>
      </w:r>
      <w:r>
        <w:rPr>
          <w:rFonts w:ascii="Times New Roman" w:hAnsi="Times New Roman"/>
          <w:noProof/>
          <w:sz w:val="24"/>
          <w:szCs w:val="24"/>
        </w:rPr>
        <w:t xml:space="preserve"> euros. </w:t>
      </w:r>
    </w:p>
    <w:p w14:paraId="3CFAE3A2" w14:textId="77777777" w:rsidR="001B48F7" w:rsidRPr="00DA11F1" w:rsidRDefault="00700047" w:rsidP="00700047">
      <w:pPr>
        <w:jc w:val="both"/>
        <w:rPr>
          <w:rFonts w:ascii="Times New Roman" w:eastAsia="Times New Roman" w:hAnsi="Times New Roman"/>
          <w:noProof/>
          <w:sz w:val="24"/>
          <w:szCs w:val="24"/>
        </w:rPr>
      </w:pPr>
      <w:r>
        <w:rPr>
          <w:rFonts w:ascii="Times New Roman" w:hAnsi="Times New Roman"/>
          <w:noProof/>
          <w:sz w:val="24"/>
          <w:szCs w:val="24"/>
        </w:rPr>
        <w:t xml:space="preserve">L’une des dispositions en matière de transparence de la directive SEQE-UE précise que les États membres qui consacrent plus de </w:t>
      </w:r>
      <w:r w:rsidRPr="00F43FC8">
        <w:rPr>
          <w:rFonts w:ascii="Times New Roman" w:hAnsi="Times New Roman"/>
          <w:noProof/>
          <w:sz w:val="24"/>
          <w:szCs w:val="24"/>
        </w:rPr>
        <w:t>25</w:t>
      </w:r>
      <w:r>
        <w:rPr>
          <w:rFonts w:ascii="Times New Roman" w:hAnsi="Times New Roman"/>
          <w:noProof/>
          <w:sz w:val="24"/>
          <w:szCs w:val="24"/>
        </w:rPr>
        <w:t> % de leurs recettes des enchères à la compensation des coûts indirects au cours d’une année donnée doivent publier un rapport exposant les raisons pour lesquelles ce montant a été dépassé. En </w:t>
      </w:r>
      <w:r w:rsidRPr="00F43FC8">
        <w:rPr>
          <w:rFonts w:ascii="Times New Roman" w:hAnsi="Times New Roman"/>
          <w:noProof/>
          <w:sz w:val="24"/>
          <w:szCs w:val="24"/>
        </w:rPr>
        <w:t>2020</w:t>
      </w:r>
      <w:r>
        <w:rPr>
          <w:rFonts w:ascii="Times New Roman" w:hAnsi="Times New Roman"/>
          <w:noProof/>
          <w:sz w:val="24"/>
          <w:szCs w:val="24"/>
        </w:rPr>
        <w:t xml:space="preserve">, au moins cinq États membres ont dépassé la limite de </w:t>
      </w:r>
      <w:r w:rsidRPr="00F43FC8">
        <w:rPr>
          <w:rFonts w:ascii="Times New Roman" w:hAnsi="Times New Roman"/>
          <w:noProof/>
          <w:sz w:val="24"/>
          <w:szCs w:val="24"/>
        </w:rPr>
        <w:t>25</w:t>
      </w:r>
      <w:r>
        <w:rPr>
          <w:rFonts w:ascii="Times New Roman" w:hAnsi="Times New Roman"/>
          <w:noProof/>
          <w:sz w:val="24"/>
          <w:szCs w:val="24"/>
        </w:rPr>
        <w:t> %, alors qu’aucun État membre n’était dans ce cas en </w:t>
      </w:r>
      <w:r w:rsidRPr="00F43FC8">
        <w:rPr>
          <w:rFonts w:ascii="Times New Roman" w:hAnsi="Times New Roman"/>
          <w:noProof/>
          <w:sz w:val="24"/>
          <w:szCs w:val="24"/>
        </w:rPr>
        <w:t>2019</w:t>
      </w:r>
      <w:r>
        <w:rPr>
          <w:rFonts w:ascii="Times New Roman" w:hAnsi="Times New Roman"/>
          <w:noProof/>
          <w:sz w:val="24"/>
          <w:szCs w:val="24"/>
        </w:rPr>
        <w:t xml:space="preserve">. De surcroît, la part moyenne de la compensation totale par rapport aux recettes totales des ventes aux enchères a considérablement augmenté, passant de </w:t>
      </w:r>
      <w:r w:rsidRPr="00F43FC8">
        <w:rPr>
          <w:rFonts w:ascii="Times New Roman" w:hAnsi="Times New Roman"/>
          <w:noProof/>
          <w:sz w:val="24"/>
          <w:szCs w:val="24"/>
        </w:rPr>
        <w:t>7</w:t>
      </w:r>
      <w:r>
        <w:rPr>
          <w:rFonts w:ascii="Times New Roman" w:hAnsi="Times New Roman"/>
          <w:noProof/>
          <w:sz w:val="24"/>
          <w:szCs w:val="24"/>
        </w:rPr>
        <w:t>,</w:t>
      </w:r>
      <w:r w:rsidRPr="00F43FC8">
        <w:rPr>
          <w:rFonts w:ascii="Times New Roman" w:hAnsi="Times New Roman"/>
          <w:noProof/>
          <w:sz w:val="24"/>
          <w:szCs w:val="24"/>
        </w:rPr>
        <w:t>9</w:t>
      </w:r>
      <w:r>
        <w:rPr>
          <w:rFonts w:ascii="Times New Roman" w:hAnsi="Times New Roman"/>
          <w:noProof/>
          <w:sz w:val="24"/>
          <w:szCs w:val="24"/>
        </w:rPr>
        <w:t> % en </w:t>
      </w:r>
      <w:r w:rsidRPr="00F43FC8">
        <w:rPr>
          <w:rFonts w:ascii="Times New Roman" w:hAnsi="Times New Roman"/>
          <w:noProof/>
          <w:sz w:val="24"/>
          <w:szCs w:val="24"/>
        </w:rPr>
        <w:t>2019</w:t>
      </w:r>
      <w:r>
        <w:rPr>
          <w:rFonts w:ascii="Times New Roman" w:hAnsi="Times New Roman"/>
          <w:noProof/>
          <w:sz w:val="24"/>
          <w:szCs w:val="24"/>
        </w:rPr>
        <w:t xml:space="preserve"> à </w:t>
      </w:r>
      <w:r w:rsidRPr="00F43FC8">
        <w:rPr>
          <w:rFonts w:ascii="Times New Roman" w:hAnsi="Times New Roman"/>
          <w:noProof/>
          <w:sz w:val="24"/>
          <w:szCs w:val="24"/>
        </w:rPr>
        <w:t>13</w:t>
      </w:r>
      <w:r>
        <w:rPr>
          <w:rFonts w:ascii="Times New Roman" w:hAnsi="Times New Roman"/>
          <w:noProof/>
          <w:sz w:val="24"/>
          <w:szCs w:val="24"/>
        </w:rPr>
        <w:t>,</w:t>
      </w:r>
      <w:r w:rsidRPr="00F43FC8">
        <w:rPr>
          <w:rFonts w:ascii="Times New Roman" w:hAnsi="Times New Roman"/>
          <w:noProof/>
          <w:sz w:val="24"/>
          <w:szCs w:val="24"/>
        </w:rPr>
        <w:t>7</w:t>
      </w:r>
      <w:r>
        <w:rPr>
          <w:rFonts w:ascii="Times New Roman" w:hAnsi="Times New Roman"/>
          <w:noProof/>
          <w:sz w:val="24"/>
          <w:szCs w:val="24"/>
        </w:rPr>
        <w:t> % en </w:t>
      </w:r>
      <w:r w:rsidRPr="00F43FC8">
        <w:rPr>
          <w:rFonts w:ascii="Times New Roman" w:hAnsi="Times New Roman"/>
          <w:noProof/>
          <w:sz w:val="24"/>
          <w:szCs w:val="24"/>
        </w:rPr>
        <w:t>2020</w:t>
      </w:r>
      <w:r>
        <w:rPr>
          <w:rFonts w:ascii="Times New Roman" w:hAnsi="Times New Roman"/>
          <w:noProof/>
          <w:sz w:val="24"/>
          <w:szCs w:val="24"/>
        </w:rPr>
        <w:t xml:space="preserve">. </w:t>
      </w:r>
    </w:p>
    <w:p w14:paraId="44E925AC" w14:textId="53096AF1" w:rsidR="00717F9C" w:rsidRPr="00DA11F1" w:rsidRDefault="00717F9C" w:rsidP="00700047">
      <w:pPr>
        <w:jc w:val="both"/>
        <w:rPr>
          <w:rFonts w:ascii="Times New Roman" w:eastAsia="Times New Roman" w:hAnsi="Times New Roman"/>
          <w:noProof/>
          <w:sz w:val="24"/>
          <w:szCs w:val="24"/>
        </w:rPr>
      </w:pPr>
      <w:r>
        <w:rPr>
          <w:rFonts w:ascii="Times New Roman" w:hAnsi="Times New Roman"/>
          <w:noProof/>
          <w:sz w:val="24"/>
          <w:szCs w:val="24"/>
        </w:rPr>
        <w:t>La montée des prix du carbone va de pair avec une augmentation des recettes des ventes aux enchères et de la compensation des coûts indirects; dès lors, la part relative ne devrait pas changer. En </w:t>
      </w:r>
      <w:r w:rsidRPr="00F43FC8">
        <w:rPr>
          <w:rFonts w:ascii="Times New Roman" w:hAnsi="Times New Roman"/>
          <w:noProof/>
          <w:sz w:val="24"/>
          <w:szCs w:val="24"/>
        </w:rPr>
        <w:t>2019</w:t>
      </w:r>
      <w:r>
        <w:rPr>
          <w:rFonts w:ascii="Times New Roman" w:hAnsi="Times New Roman"/>
          <w:noProof/>
          <w:sz w:val="24"/>
          <w:szCs w:val="24"/>
        </w:rPr>
        <w:t xml:space="preserve">, toutefois, l’augmentation des prix du carbone ne s’est pas traduite par une augmentation des recettes des ventes aux enchères, car il s’agissait de la première année de réduction du volume des quotas mis aux enchères du fait de la RSM. Le volume de quotas mis aux enchères a diminué d’environ </w:t>
      </w:r>
      <w:r w:rsidRPr="00F43FC8">
        <w:rPr>
          <w:rFonts w:ascii="Times New Roman" w:hAnsi="Times New Roman"/>
          <w:noProof/>
          <w:sz w:val="24"/>
          <w:szCs w:val="24"/>
        </w:rPr>
        <w:t>30</w:t>
      </w:r>
      <w:r>
        <w:rPr>
          <w:rFonts w:ascii="Times New Roman" w:hAnsi="Times New Roman"/>
          <w:noProof/>
          <w:sz w:val="24"/>
          <w:szCs w:val="24"/>
        </w:rPr>
        <w:t> % en </w:t>
      </w:r>
      <w:r w:rsidRPr="00F43FC8">
        <w:rPr>
          <w:rFonts w:ascii="Times New Roman" w:hAnsi="Times New Roman"/>
          <w:noProof/>
          <w:sz w:val="24"/>
          <w:szCs w:val="24"/>
        </w:rPr>
        <w:t>2019</w:t>
      </w:r>
      <w:r>
        <w:rPr>
          <w:rFonts w:ascii="Times New Roman" w:hAnsi="Times New Roman"/>
          <w:noProof/>
          <w:sz w:val="24"/>
          <w:szCs w:val="24"/>
        </w:rPr>
        <w:t xml:space="preserve"> par rapport à </w:t>
      </w:r>
      <w:r w:rsidRPr="00F43FC8">
        <w:rPr>
          <w:rFonts w:ascii="Times New Roman" w:hAnsi="Times New Roman"/>
          <w:noProof/>
          <w:sz w:val="24"/>
          <w:szCs w:val="24"/>
        </w:rPr>
        <w:t>2018</w:t>
      </w:r>
      <w:r>
        <w:rPr>
          <w:rFonts w:ascii="Times New Roman" w:hAnsi="Times New Roman"/>
          <w:noProof/>
          <w:sz w:val="24"/>
          <w:szCs w:val="24"/>
        </w:rPr>
        <w:t>. Il importe donc, au moment de comparer les coûts indirects engagés en </w:t>
      </w:r>
      <w:r w:rsidRPr="00F43FC8">
        <w:rPr>
          <w:rFonts w:ascii="Times New Roman" w:hAnsi="Times New Roman"/>
          <w:noProof/>
          <w:sz w:val="24"/>
          <w:szCs w:val="24"/>
        </w:rPr>
        <w:t>2019</w:t>
      </w:r>
      <w:r>
        <w:rPr>
          <w:rFonts w:ascii="Times New Roman" w:hAnsi="Times New Roman"/>
          <w:noProof/>
          <w:sz w:val="24"/>
          <w:szCs w:val="24"/>
        </w:rPr>
        <w:t xml:space="preserve"> et </w:t>
      </w:r>
      <w:r w:rsidRPr="00F43FC8">
        <w:rPr>
          <w:rFonts w:ascii="Times New Roman" w:hAnsi="Times New Roman"/>
          <w:noProof/>
          <w:sz w:val="24"/>
          <w:szCs w:val="24"/>
        </w:rPr>
        <w:t>2018</w:t>
      </w:r>
      <w:r>
        <w:rPr>
          <w:rFonts w:ascii="Times New Roman" w:hAnsi="Times New Roman"/>
          <w:noProof/>
          <w:sz w:val="24"/>
          <w:szCs w:val="24"/>
        </w:rPr>
        <w:t xml:space="preserve"> (pour une compensation payée respectivement en </w:t>
      </w:r>
      <w:r w:rsidRPr="00F43FC8">
        <w:rPr>
          <w:rFonts w:ascii="Times New Roman" w:hAnsi="Times New Roman"/>
          <w:noProof/>
          <w:sz w:val="24"/>
          <w:szCs w:val="24"/>
        </w:rPr>
        <w:t>2020</w:t>
      </w:r>
      <w:r>
        <w:rPr>
          <w:rFonts w:ascii="Times New Roman" w:hAnsi="Times New Roman"/>
          <w:noProof/>
          <w:sz w:val="24"/>
          <w:szCs w:val="24"/>
        </w:rPr>
        <w:t xml:space="preserve"> et </w:t>
      </w:r>
      <w:r w:rsidRPr="00F43FC8">
        <w:rPr>
          <w:rFonts w:ascii="Times New Roman" w:hAnsi="Times New Roman"/>
          <w:noProof/>
          <w:sz w:val="24"/>
          <w:szCs w:val="24"/>
        </w:rPr>
        <w:t>2019</w:t>
      </w:r>
      <w:r>
        <w:rPr>
          <w:rFonts w:ascii="Times New Roman" w:hAnsi="Times New Roman"/>
          <w:noProof/>
          <w:sz w:val="24"/>
          <w:szCs w:val="24"/>
        </w:rPr>
        <w:t>), de tenir compte du fait que le montant des compensations est calculé sur la base des futurs prix du carbone. Le prix moyen pour l’année t-</w:t>
      </w:r>
      <w:r w:rsidRPr="00F43FC8">
        <w:rPr>
          <w:rFonts w:ascii="Times New Roman" w:hAnsi="Times New Roman"/>
          <w:noProof/>
          <w:sz w:val="24"/>
          <w:szCs w:val="24"/>
        </w:rPr>
        <w:t>1</w:t>
      </w:r>
      <w:r>
        <w:rPr>
          <w:rFonts w:ascii="Times New Roman" w:hAnsi="Times New Roman"/>
          <w:noProof/>
          <w:sz w:val="24"/>
          <w:szCs w:val="24"/>
        </w:rPr>
        <w:t xml:space="preserve"> ayant davantage augmenté que les recettes des ventes aux enchères, la part relative de la compensation par rapport aux recettes des ventes aux enchères a également augmenté.</w:t>
      </w:r>
    </w:p>
    <w:p w14:paraId="03A3708A" w14:textId="2636D793" w:rsidR="003A77F9" w:rsidRPr="00DA11F1" w:rsidRDefault="00700047" w:rsidP="00FA7EBD">
      <w:pPr>
        <w:jc w:val="both"/>
        <w:rPr>
          <w:rFonts w:ascii="Times New Roman" w:eastAsia="Times New Roman" w:hAnsi="Times New Roman"/>
          <w:noProof/>
          <w:sz w:val="24"/>
          <w:szCs w:val="24"/>
        </w:rPr>
      </w:pPr>
      <w:r>
        <w:rPr>
          <w:rFonts w:ascii="Times New Roman" w:hAnsi="Times New Roman"/>
          <w:noProof/>
          <w:sz w:val="24"/>
          <w:szCs w:val="24"/>
        </w:rPr>
        <w:t>La baisse des recettes des ventes aux enchères est la principale raison citée par les États membres pour expliquer la part plus conséquente des recettes des ventes aux enchères dépensée pour la compensation des coûts indirects du carbone en </w:t>
      </w:r>
      <w:r w:rsidRPr="00F43FC8">
        <w:rPr>
          <w:rFonts w:ascii="Times New Roman" w:hAnsi="Times New Roman"/>
          <w:noProof/>
          <w:sz w:val="24"/>
          <w:szCs w:val="24"/>
        </w:rPr>
        <w:t>2020</w:t>
      </w:r>
      <w:r>
        <w:rPr>
          <w:rFonts w:ascii="Times New Roman" w:hAnsi="Times New Roman"/>
          <w:noProof/>
          <w:sz w:val="24"/>
          <w:szCs w:val="24"/>
        </w:rPr>
        <w:t xml:space="preserve">. La comparaison des recettes des ventes aux enchères des </w:t>
      </w:r>
      <w:r w:rsidRPr="00F43FC8">
        <w:rPr>
          <w:rFonts w:ascii="Times New Roman" w:hAnsi="Times New Roman"/>
          <w:noProof/>
          <w:sz w:val="24"/>
          <w:szCs w:val="24"/>
        </w:rPr>
        <w:t>10</w:t>
      </w:r>
      <w:r>
        <w:rPr>
          <w:rFonts w:ascii="Times New Roman" w:hAnsi="Times New Roman"/>
          <w:noProof/>
          <w:sz w:val="24"/>
          <w:szCs w:val="24"/>
        </w:rPr>
        <w:t> États membres ayant octroyé une compensation en </w:t>
      </w:r>
      <w:r w:rsidRPr="00F43FC8">
        <w:rPr>
          <w:rFonts w:ascii="Times New Roman" w:hAnsi="Times New Roman"/>
          <w:noProof/>
          <w:sz w:val="24"/>
          <w:szCs w:val="24"/>
        </w:rPr>
        <w:t>2019</w:t>
      </w:r>
      <w:r>
        <w:rPr>
          <w:rFonts w:ascii="Times New Roman" w:hAnsi="Times New Roman"/>
          <w:noProof/>
          <w:sz w:val="24"/>
          <w:szCs w:val="24"/>
        </w:rPr>
        <w:t xml:space="preserve"> et en </w:t>
      </w:r>
      <w:r w:rsidRPr="00F43FC8">
        <w:rPr>
          <w:rFonts w:ascii="Times New Roman" w:hAnsi="Times New Roman"/>
          <w:noProof/>
          <w:sz w:val="24"/>
          <w:szCs w:val="24"/>
        </w:rPr>
        <w:t>2020</w:t>
      </w:r>
      <w:r>
        <w:rPr>
          <w:rFonts w:ascii="Times New Roman" w:hAnsi="Times New Roman"/>
          <w:noProof/>
          <w:sz w:val="24"/>
          <w:szCs w:val="24"/>
        </w:rPr>
        <w:t xml:space="preserve"> (respectivement pour les coûts engagés en </w:t>
      </w:r>
      <w:r w:rsidRPr="00F43FC8">
        <w:rPr>
          <w:rFonts w:ascii="Times New Roman" w:hAnsi="Times New Roman"/>
          <w:noProof/>
          <w:sz w:val="24"/>
          <w:szCs w:val="24"/>
        </w:rPr>
        <w:t>2018</w:t>
      </w:r>
      <w:r>
        <w:rPr>
          <w:rFonts w:ascii="Times New Roman" w:hAnsi="Times New Roman"/>
          <w:noProof/>
          <w:sz w:val="24"/>
          <w:szCs w:val="24"/>
        </w:rPr>
        <w:t xml:space="preserve"> et </w:t>
      </w:r>
      <w:r w:rsidRPr="00F43FC8">
        <w:rPr>
          <w:rFonts w:ascii="Times New Roman" w:hAnsi="Times New Roman"/>
          <w:noProof/>
          <w:sz w:val="24"/>
          <w:szCs w:val="24"/>
        </w:rPr>
        <w:t>2019</w:t>
      </w:r>
      <w:r>
        <w:rPr>
          <w:rFonts w:ascii="Times New Roman" w:hAnsi="Times New Roman"/>
          <w:noProof/>
          <w:sz w:val="24"/>
          <w:szCs w:val="24"/>
        </w:rPr>
        <w:t xml:space="preserve">) montre que les recettes ont baissé d’environ </w:t>
      </w:r>
      <w:r w:rsidRPr="00F43FC8">
        <w:rPr>
          <w:rFonts w:ascii="Times New Roman" w:hAnsi="Times New Roman"/>
          <w:noProof/>
          <w:sz w:val="24"/>
          <w:szCs w:val="24"/>
        </w:rPr>
        <w:t>4</w:t>
      </w:r>
      <w:r>
        <w:rPr>
          <w:rFonts w:ascii="Times New Roman" w:hAnsi="Times New Roman"/>
          <w:noProof/>
          <w:sz w:val="24"/>
          <w:szCs w:val="24"/>
        </w:rPr>
        <w:t>,</w:t>
      </w:r>
      <w:r w:rsidRPr="00F43FC8">
        <w:rPr>
          <w:rFonts w:ascii="Times New Roman" w:hAnsi="Times New Roman"/>
          <w:noProof/>
          <w:sz w:val="24"/>
          <w:szCs w:val="24"/>
        </w:rPr>
        <w:t>2</w:t>
      </w:r>
      <w:r>
        <w:rPr>
          <w:rFonts w:ascii="Times New Roman" w:hAnsi="Times New Roman"/>
          <w:noProof/>
          <w:sz w:val="24"/>
          <w:szCs w:val="24"/>
        </w:rPr>
        <w:t> % du fait de la réduction, par la RSM, des volumes de quotas mis aux enchères. Une autre raison est que certains États membres affichent une proportion relativement élevée d’industries à forte consommation d’énergie électrique, et ont dès lors un montant relativement élevé de compensation des coûts indirects. Ces industries n’étant pas des émetteurs directs de CO</w:t>
      </w:r>
      <w:r w:rsidRPr="00F43FC8">
        <w:rPr>
          <w:rFonts w:ascii="Times New Roman" w:hAnsi="Times New Roman"/>
          <w:noProof/>
          <w:sz w:val="24"/>
          <w:szCs w:val="24"/>
          <w:vertAlign w:val="subscript"/>
        </w:rPr>
        <w:t>2</w:t>
      </w:r>
      <w:r>
        <w:rPr>
          <w:rFonts w:ascii="Times New Roman" w:hAnsi="Times New Roman"/>
          <w:noProof/>
          <w:sz w:val="24"/>
          <w:szCs w:val="24"/>
        </w:rPr>
        <w:t xml:space="preserve">, elles ne jouent aucun rôle dans la division des recettes des ventes aux enchères entre les États membres, qui est fondée sur les émissions historiques. Enfin, les États membres ayant des émissions traditionnellement faibles en raison d’un bouquet énergétique utilisant relativement peu de carbone ont tendance à afficher des proportions relativement élevées de recettes des ventes aux enchères utilisées pour la compensation des coûts indirects. </w:t>
      </w:r>
    </w:p>
    <w:p w14:paraId="3E135739" w14:textId="5C395EE1" w:rsidR="00700047" w:rsidRPr="00DA11F1" w:rsidRDefault="003A77F9" w:rsidP="00FA7EBD">
      <w:pPr>
        <w:jc w:val="both"/>
        <w:rPr>
          <w:rFonts w:ascii="Times New Roman" w:eastAsia="Times New Roman" w:hAnsi="Times New Roman"/>
          <w:noProof/>
          <w:sz w:val="24"/>
          <w:szCs w:val="24"/>
        </w:rPr>
      </w:pPr>
      <w:r>
        <w:rPr>
          <w:rFonts w:ascii="Times New Roman" w:hAnsi="Times New Roman"/>
          <w:noProof/>
          <w:sz w:val="24"/>
          <w:szCs w:val="24"/>
        </w:rPr>
        <w:t>On peut dès lors conclure que l’augmentation du montant des compensations en </w:t>
      </w:r>
      <w:r w:rsidRPr="00F43FC8">
        <w:rPr>
          <w:rFonts w:ascii="Times New Roman" w:hAnsi="Times New Roman"/>
          <w:noProof/>
          <w:sz w:val="24"/>
          <w:szCs w:val="24"/>
        </w:rPr>
        <w:t>2020</w:t>
      </w:r>
      <w:r>
        <w:rPr>
          <w:rFonts w:ascii="Times New Roman" w:hAnsi="Times New Roman"/>
          <w:noProof/>
          <w:sz w:val="24"/>
          <w:szCs w:val="24"/>
        </w:rPr>
        <w:t xml:space="preserve"> est liée à la hausse des prix du carbone. L’augmentation des parts de la compensation peut s’expliquer par l’utilisation du prix à terme du carbone pour déterminer la compensation ainsi que par la baisse des recettes des ventes aux enchères due à la réduction, par la RSM, des volumes de quotas mis aux enchères.</w:t>
      </w:r>
    </w:p>
    <w:p w14:paraId="6BEBB3D3" w14:textId="3BA6B121" w:rsidR="00131369" w:rsidRPr="00DA11F1" w:rsidRDefault="00FA7EBD">
      <w:pPr>
        <w:pStyle w:val="Heading3"/>
        <w:spacing w:before="0" w:after="200"/>
        <w:ind w:left="720"/>
        <w:rPr>
          <w:noProof/>
        </w:rPr>
      </w:pPr>
      <w:bookmarkStart w:id="44" w:name="_Toc490850431"/>
      <w:bookmarkStart w:id="45" w:name="_Toc519009682"/>
      <w:bookmarkStart w:id="46" w:name="_Toc89707770"/>
      <w:bookmarkEnd w:id="41"/>
      <w:bookmarkEnd w:id="42"/>
      <w:r w:rsidRPr="00F43FC8">
        <w:rPr>
          <w:i/>
          <w:noProof/>
        </w:rPr>
        <w:t>3</w:t>
      </w:r>
      <w:r>
        <w:rPr>
          <w:i/>
          <w:noProof/>
        </w:rPr>
        <w:t>.</w:t>
      </w:r>
      <w:r w:rsidRPr="00F43FC8">
        <w:rPr>
          <w:i/>
          <w:noProof/>
        </w:rPr>
        <w:t>1</w:t>
      </w:r>
      <w:r>
        <w:rPr>
          <w:i/>
          <w:noProof/>
        </w:rPr>
        <w:t>.</w:t>
      </w:r>
      <w:r w:rsidRPr="00F43FC8">
        <w:rPr>
          <w:i/>
          <w:noProof/>
        </w:rPr>
        <w:t>9</w:t>
      </w:r>
      <w:r>
        <w:rPr>
          <w:i/>
          <w:noProof/>
        </w:rPr>
        <w:t xml:space="preserve"> Crédits internationaux</w:t>
      </w:r>
      <w:bookmarkEnd w:id="44"/>
      <w:bookmarkEnd w:id="45"/>
      <w:bookmarkEnd w:id="46"/>
    </w:p>
    <w:p w14:paraId="097E4DB3" w14:textId="49C585ED" w:rsidR="008645A8" w:rsidRPr="00DA11F1" w:rsidRDefault="008645A8" w:rsidP="008645A8">
      <w:pPr>
        <w:jc w:val="both"/>
        <w:rPr>
          <w:rFonts w:ascii="Times New Roman" w:hAnsi="Times New Roman"/>
          <w:noProof/>
          <w:sz w:val="24"/>
          <w:szCs w:val="24"/>
        </w:rPr>
      </w:pPr>
      <w:r>
        <w:rPr>
          <w:rFonts w:ascii="Times New Roman" w:hAnsi="Times New Roman"/>
          <w:noProof/>
          <w:sz w:val="24"/>
          <w:szCs w:val="24"/>
        </w:rPr>
        <w:t>Lors de la phase </w:t>
      </w:r>
      <w:r w:rsidRPr="00F43FC8">
        <w:rPr>
          <w:rFonts w:ascii="Times New Roman" w:hAnsi="Times New Roman"/>
          <w:noProof/>
          <w:sz w:val="24"/>
          <w:szCs w:val="24"/>
        </w:rPr>
        <w:t>3</w:t>
      </w:r>
      <w:r>
        <w:rPr>
          <w:rFonts w:ascii="Times New Roman" w:hAnsi="Times New Roman"/>
          <w:noProof/>
          <w:sz w:val="24"/>
          <w:szCs w:val="24"/>
        </w:rPr>
        <w:t>, les participants au SEQE-UE pouvaient utiliser des crédits internationaux résultant de projets réalisés au titre du mécanisme pour un développement propre et de la mise en œuvre conjointe du protocole de Kyoto pour s’acquitter d’une partie de leurs obligations découlant du SEQE-UE. Ces crédits sont des instruments financiers qui devraient représenter l’élimination ou l’extraction d’une tonne de CO</w:t>
      </w:r>
      <w:r w:rsidRPr="00F43FC8">
        <w:rPr>
          <w:rFonts w:ascii="Times New Roman" w:hAnsi="Times New Roman"/>
          <w:noProof/>
          <w:sz w:val="24"/>
          <w:szCs w:val="24"/>
          <w:vertAlign w:val="subscript"/>
        </w:rPr>
        <w:t>2</w:t>
      </w:r>
      <w:r>
        <w:rPr>
          <w:rFonts w:ascii="Times New Roman" w:hAnsi="Times New Roman"/>
          <w:noProof/>
          <w:sz w:val="24"/>
          <w:szCs w:val="24"/>
        </w:rPr>
        <w:t xml:space="preserve"> de l’atmosphère grâce à un projet de réduction des émissions. Les participants pouvaient utiliser des crédits internationaux jusqu’à la fin du cycle de mise en conformité </w:t>
      </w:r>
      <w:r w:rsidRPr="00F43FC8">
        <w:rPr>
          <w:rFonts w:ascii="Times New Roman" w:hAnsi="Times New Roman"/>
          <w:noProof/>
          <w:sz w:val="24"/>
          <w:szCs w:val="24"/>
        </w:rPr>
        <w:t>2020</w:t>
      </w:r>
      <w:r w:rsidRPr="00DA11F1">
        <w:rPr>
          <w:rStyle w:val="FootnoteReference"/>
          <w:rFonts w:ascii="Times New Roman" w:hAnsi="Times New Roman"/>
          <w:noProof/>
          <w:sz w:val="24"/>
          <w:szCs w:val="24"/>
        </w:rPr>
        <w:footnoteReference w:id="63"/>
      </w:r>
      <w:r>
        <w:rPr>
          <w:rFonts w:ascii="Times New Roman" w:hAnsi="Times New Roman"/>
          <w:noProof/>
          <w:sz w:val="24"/>
          <w:szCs w:val="24"/>
        </w:rPr>
        <w:t>, sous réserve de restrictions qualitatives et quantitatives. Ces crédits n’étaient pas directement restitués, mais échangés contre des quotas du SEQE-UE.</w:t>
      </w:r>
      <w:r>
        <w:rPr>
          <w:rFonts w:ascii="Times New Roman" w:hAnsi="Times New Roman"/>
          <w:noProof/>
        </w:rPr>
        <w:t xml:space="preserve"> </w:t>
      </w:r>
    </w:p>
    <w:p w14:paraId="127C10E9" w14:textId="1F3F1D6C" w:rsidR="008645A8" w:rsidRPr="00DA11F1" w:rsidRDefault="008645A8" w:rsidP="008645A8">
      <w:pPr>
        <w:jc w:val="both"/>
        <w:rPr>
          <w:rFonts w:ascii="Times New Roman" w:hAnsi="Times New Roman"/>
          <w:noProof/>
          <w:sz w:val="24"/>
          <w:szCs w:val="24"/>
        </w:rPr>
      </w:pPr>
      <w:r>
        <w:rPr>
          <w:rFonts w:ascii="Times New Roman" w:hAnsi="Times New Roman"/>
          <w:noProof/>
          <w:sz w:val="24"/>
          <w:szCs w:val="24"/>
        </w:rPr>
        <w:t>Au début de la phase </w:t>
      </w:r>
      <w:r w:rsidRPr="00F43FC8">
        <w:rPr>
          <w:rFonts w:ascii="Times New Roman" w:hAnsi="Times New Roman"/>
          <w:noProof/>
          <w:sz w:val="24"/>
          <w:szCs w:val="24"/>
        </w:rPr>
        <w:t>3</w:t>
      </w:r>
      <w:r>
        <w:rPr>
          <w:rFonts w:ascii="Times New Roman" w:hAnsi="Times New Roman"/>
          <w:noProof/>
          <w:sz w:val="24"/>
          <w:szCs w:val="24"/>
        </w:rPr>
        <w:t>, les analystes du marché estimaient que la quantité de crédits internationaux utilisables durant les phases </w:t>
      </w:r>
      <w:r w:rsidRPr="00F43FC8">
        <w:rPr>
          <w:rFonts w:ascii="Times New Roman" w:hAnsi="Times New Roman"/>
          <w:noProof/>
          <w:sz w:val="24"/>
          <w:szCs w:val="24"/>
        </w:rPr>
        <w:t>2</w:t>
      </w:r>
      <w:r>
        <w:rPr>
          <w:rFonts w:ascii="Times New Roman" w:hAnsi="Times New Roman"/>
          <w:noProof/>
          <w:sz w:val="24"/>
          <w:szCs w:val="24"/>
        </w:rPr>
        <w:t xml:space="preserve"> et </w:t>
      </w:r>
      <w:r w:rsidRPr="00F43FC8">
        <w:rPr>
          <w:rFonts w:ascii="Times New Roman" w:hAnsi="Times New Roman"/>
          <w:noProof/>
          <w:sz w:val="24"/>
          <w:szCs w:val="24"/>
        </w:rPr>
        <w:t>3</w:t>
      </w:r>
      <w:r>
        <w:rPr>
          <w:rFonts w:ascii="Times New Roman" w:hAnsi="Times New Roman"/>
          <w:noProof/>
          <w:sz w:val="24"/>
          <w:szCs w:val="24"/>
        </w:rPr>
        <w:t xml:space="preserve"> (</w:t>
      </w:r>
      <w:r w:rsidRPr="00F43FC8">
        <w:rPr>
          <w:rFonts w:ascii="Times New Roman" w:hAnsi="Times New Roman"/>
          <w:noProof/>
          <w:sz w:val="24"/>
          <w:szCs w:val="24"/>
        </w:rPr>
        <w:t>2008</w:t>
      </w:r>
      <w:r>
        <w:rPr>
          <w:rFonts w:ascii="Times New Roman" w:hAnsi="Times New Roman"/>
          <w:noProof/>
          <w:sz w:val="24"/>
          <w:szCs w:val="24"/>
        </w:rPr>
        <w:t>-</w:t>
      </w:r>
      <w:r w:rsidRPr="00F43FC8">
        <w:rPr>
          <w:rFonts w:ascii="Times New Roman" w:hAnsi="Times New Roman"/>
          <w:noProof/>
          <w:sz w:val="24"/>
          <w:szCs w:val="24"/>
        </w:rPr>
        <w:t>2020</w:t>
      </w:r>
      <w:r>
        <w:rPr>
          <w:rFonts w:ascii="Times New Roman" w:hAnsi="Times New Roman"/>
          <w:noProof/>
          <w:sz w:val="24"/>
          <w:szCs w:val="24"/>
        </w:rPr>
        <w:t xml:space="preserve">) représenterait environ </w:t>
      </w:r>
      <w:r w:rsidRPr="00F43FC8">
        <w:rPr>
          <w:rFonts w:ascii="Times New Roman" w:hAnsi="Times New Roman"/>
          <w:noProof/>
          <w:sz w:val="24"/>
          <w:szCs w:val="24"/>
        </w:rPr>
        <w:t>1</w:t>
      </w:r>
      <w:r>
        <w:rPr>
          <w:rFonts w:ascii="Times New Roman" w:hAnsi="Times New Roman"/>
          <w:noProof/>
          <w:sz w:val="24"/>
          <w:szCs w:val="24"/>
        </w:rPr>
        <w:t>,</w:t>
      </w:r>
      <w:r w:rsidRPr="00F43FC8">
        <w:rPr>
          <w:rFonts w:ascii="Times New Roman" w:hAnsi="Times New Roman"/>
          <w:noProof/>
          <w:sz w:val="24"/>
          <w:szCs w:val="24"/>
        </w:rPr>
        <w:t>6</w:t>
      </w:r>
      <w:r>
        <w:rPr>
          <w:rFonts w:ascii="Times New Roman" w:hAnsi="Times New Roman"/>
          <w:noProof/>
          <w:sz w:val="24"/>
          <w:szCs w:val="24"/>
        </w:rPr>
        <w:t xml:space="preserve"> milliard de crédits. Au </w:t>
      </w:r>
      <w:r w:rsidRPr="00F43FC8">
        <w:rPr>
          <w:rFonts w:ascii="Times New Roman" w:hAnsi="Times New Roman"/>
          <w:noProof/>
          <w:sz w:val="24"/>
          <w:szCs w:val="24"/>
        </w:rPr>
        <w:t>1</w:t>
      </w:r>
      <w:r>
        <w:rPr>
          <w:rFonts w:ascii="Times New Roman" w:hAnsi="Times New Roman"/>
          <w:noProof/>
          <w:sz w:val="24"/>
          <w:szCs w:val="24"/>
          <w:vertAlign w:val="superscript"/>
        </w:rPr>
        <w:t>er</w:t>
      </w:r>
      <w:r>
        <w:rPr>
          <w:rFonts w:ascii="Times New Roman" w:hAnsi="Times New Roman"/>
          <w:noProof/>
          <w:sz w:val="24"/>
          <w:szCs w:val="24"/>
        </w:rPr>
        <w:t> mai </w:t>
      </w:r>
      <w:r w:rsidRPr="00F43FC8">
        <w:rPr>
          <w:rFonts w:ascii="Times New Roman" w:hAnsi="Times New Roman"/>
          <w:noProof/>
          <w:sz w:val="24"/>
          <w:szCs w:val="24"/>
        </w:rPr>
        <w:t>2021</w:t>
      </w:r>
      <w:r w:rsidRPr="00DA11F1">
        <w:rPr>
          <w:rStyle w:val="FootnoteReference"/>
          <w:rFonts w:ascii="Times New Roman" w:hAnsi="Times New Roman"/>
          <w:noProof/>
          <w:szCs w:val="24"/>
        </w:rPr>
        <w:footnoteReference w:id="64"/>
      </w:r>
      <w:r>
        <w:rPr>
          <w:rFonts w:ascii="Times New Roman" w:hAnsi="Times New Roman"/>
          <w:noProof/>
          <w:sz w:val="24"/>
          <w:szCs w:val="24"/>
        </w:rPr>
        <w:t xml:space="preserve">, environ </w:t>
      </w:r>
      <w:r w:rsidRPr="00F43FC8">
        <w:rPr>
          <w:rFonts w:ascii="Times New Roman" w:hAnsi="Times New Roman"/>
          <w:noProof/>
          <w:sz w:val="24"/>
          <w:szCs w:val="24"/>
        </w:rPr>
        <w:t>1</w:t>
      </w:r>
      <w:r>
        <w:rPr>
          <w:rFonts w:ascii="Times New Roman" w:hAnsi="Times New Roman"/>
          <w:noProof/>
          <w:sz w:val="24"/>
          <w:szCs w:val="24"/>
        </w:rPr>
        <w:t>,</w:t>
      </w:r>
      <w:r w:rsidRPr="00F43FC8">
        <w:rPr>
          <w:rFonts w:ascii="Times New Roman" w:hAnsi="Times New Roman"/>
          <w:noProof/>
          <w:sz w:val="24"/>
          <w:szCs w:val="24"/>
        </w:rPr>
        <w:t>57</w:t>
      </w:r>
      <w:r>
        <w:rPr>
          <w:rFonts w:ascii="Times New Roman" w:hAnsi="Times New Roman"/>
          <w:noProof/>
          <w:sz w:val="24"/>
          <w:szCs w:val="24"/>
        </w:rPr>
        <w:t xml:space="preserve"> milliard de crédits internationaux au total avaient été utilisés ou échangés, soit près de </w:t>
      </w:r>
      <w:r w:rsidRPr="00F43FC8">
        <w:rPr>
          <w:rFonts w:ascii="Times New Roman" w:hAnsi="Times New Roman"/>
          <w:noProof/>
          <w:sz w:val="24"/>
          <w:szCs w:val="24"/>
        </w:rPr>
        <w:t>98</w:t>
      </w:r>
      <w:r>
        <w:rPr>
          <w:rFonts w:ascii="Times New Roman" w:hAnsi="Times New Roman"/>
          <w:noProof/>
          <w:sz w:val="24"/>
          <w:szCs w:val="24"/>
        </w:rPr>
        <w:t> % du maximum estimé. Le nombre total de crédits internationaux échangés tout au long de la phase </w:t>
      </w:r>
      <w:r w:rsidRPr="00F43FC8">
        <w:rPr>
          <w:rFonts w:ascii="Times New Roman" w:hAnsi="Times New Roman"/>
          <w:noProof/>
          <w:sz w:val="24"/>
          <w:szCs w:val="24"/>
        </w:rPr>
        <w:t>3</w:t>
      </w:r>
      <w:r>
        <w:rPr>
          <w:rFonts w:ascii="Times New Roman" w:hAnsi="Times New Roman"/>
          <w:noProof/>
          <w:sz w:val="24"/>
          <w:szCs w:val="24"/>
        </w:rPr>
        <w:t xml:space="preserve"> n’a totalisé qu’environ </w:t>
      </w:r>
      <w:r w:rsidRPr="00F43FC8">
        <w:rPr>
          <w:rFonts w:ascii="Times New Roman" w:hAnsi="Times New Roman"/>
          <w:noProof/>
          <w:sz w:val="24"/>
          <w:szCs w:val="24"/>
        </w:rPr>
        <w:t>506</w:t>
      </w:r>
      <w:r>
        <w:rPr>
          <w:rFonts w:ascii="Times New Roman" w:hAnsi="Times New Roman"/>
          <w:noProof/>
          <w:sz w:val="24"/>
          <w:szCs w:val="24"/>
        </w:rPr>
        <w:t xml:space="preserve"> millions. </w:t>
      </w:r>
    </w:p>
    <w:p w14:paraId="02D32DBB" w14:textId="0F0F87F4" w:rsidR="008645A8" w:rsidRPr="00DA11F1" w:rsidRDefault="008645A8" w:rsidP="008356AC">
      <w:pPr>
        <w:spacing w:after="0"/>
        <w:jc w:val="both"/>
        <w:rPr>
          <w:rFonts w:ascii="Times New Roman" w:hAnsi="Times New Roman"/>
          <w:noProof/>
          <w:sz w:val="24"/>
          <w:szCs w:val="24"/>
        </w:rPr>
      </w:pPr>
      <w:r>
        <w:rPr>
          <w:rFonts w:ascii="Times New Roman" w:hAnsi="Times New Roman"/>
          <w:noProof/>
          <w:sz w:val="24"/>
          <w:szCs w:val="24"/>
        </w:rPr>
        <w:t>Pour un aperçu complet des restitutions et échanges de crédits internationaux, voir les tableaux </w:t>
      </w:r>
      <w:r w:rsidRPr="00F43FC8">
        <w:rPr>
          <w:rFonts w:ascii="Times New Roman" w:hAnsi="Times New Roman"/>
          <w:noProof/>
          <w:sz w:val="24"/>
          <w:szCs w:val="24"/>
        </w:rPr>
        <w:t>8</w:t>
      </w:r>
      <w:r>
        <w:rPr>
          <w:rFonts w:ascii="Times New Roman" w:hAnsi="Times New Roman"/>
          <w:noProof/>
          <w:sz w:val="24"/>
          <w:szCs w:val="24"/>
        </w:rPr>
        <w:t>.</w:t>
      </w:r>
      <w:r w:rsidRPr="00F43FC8">
        <w:rPr>
          <w:rFonts w:ascii="Times New Roman" w:hAnsi="Times New Roman"/>
          <w:noProof/>
          <w:sz w:val="24"/>
          <w:szCs w:val="24"/>
        </w:rPr>
        <w:t>1</w:t>
      </w:r>
      <w:r>
        <w:rPr>
          <w:rFonts w:ascii="Times New Roman" w:hAnsi="Times New Roman"/>
          <w:noProof/>
          <w:sz w:val="24"/>
          <w:szCs w:val="24"/>
        </w:rPr>
        <w:t xml:space="preserve">, </w:t>
      </w:r>
      <w:r w:rsidRPr="00F43FC8">
        <w:rPr>
          <w:rFonts w:ascii="Times New Roman" w:hAnsi="Times New Roman"/>
          <w:noProof/>
          <w:sz w:val="24"/>
          <w:szCs w:val="24"/>
        </w:rPr>
        <w:t>8</w:t>
      </w:r>
      <w:r>
        <w:rPr>
          <w:rFonts w:ascii="Times New Roman" w:hAnsi="Times New Roman"/>
          <w:noProof/>
          <w:sz w:val="24"/>
          <w:szCs w:val="24"/>
        </w:rPr>
        <w:t>.</w:t>
      </w:r>
      <w:r w:rsidRPr="00F43FC8">
        <w:rPr>
          <w:rFonts w:ascii="Times New Roman" w:hAnsi="Times New Roman"/>
          <w:noProof/>
          <w:sz w:val="24"/>
          <w:szCs w:val="24"/>
        </w:rPr>
        <w:t>2</w:t>
      </w:r>
      <w:r>
        <w:rPr>
          <w:rFonts w:ascii="Times New Roman" w:hAnsi="Times New Roman"/>
          <w:noProof/>
          <w:sz w:val="24"/>
          <w:szCs w:val="24"/>
        </w:rPr>
        <w:t xml:space="preserve"> et </w:t>
      </w:r>
      <w:r w:rsidRPr="00F43FC8">
        <w:rPr>
          <w:rFonts w:ascii="Times New Roman" w:hAnsi="Times New Roman"/>
          <w:noProof/>
          <w:sz w:val="24"/>
          <w:szCs w:val="24"/>
        </w:rPr>
        <w:t>8</w:t>
      </w:r>
      <w:r>
        <w:rPr>
          <w:rFonts w:ascii="Times New Roman" w:hAnsi="Times New Roman"/>
          <w:noProof/>
          <w:sz w:val="24"/>
          <w:szCs w:val="24"/>
        </w:rPr>
        <w:t>.</w:t>
      </w:r>
      <w:r w:rsidRPr="00F43FC8">
        <w:rPr>
          <w:rFonts w:ascii="Times New Roman" w:hAnsi="Times New Roman"/>
          <w:noProof/>
          <w:sz w:val="24"/>
          <w:szCs w:val="24"/>
        </w:rPr>
        <w:t>3</w:t>
      </w:r>
      <w:r>
        <w:rPr>
          <w:rFonts w:ascii="Times New Roman" w:hAnsi="Times New Roman"/>
          <w:noProof/>
          <w:sz w:val="24"/>
          <w:szCs w:val="24"/>
        </w:rPr>
        <w:t xml:space="preserve"> de l’annexe </w:t>
      </w:r>
      <w:r w:rsidRPr="00F43FC8">
        <w:rPr>
          <w:rFonts w:ascii="Times New Roman" w:hAnsi="Times New Roman"/>
          <w:noProof/>
          <w:sz w:val="24"/>
          <w:szCs w:val="24"/>
        </w:rPr>
        <w:t>8</w:t>
      </w:r>
      <w:r>
        <w:rPr>
          <w:rFonts w:ascii="Times New Roman" w:hAnsi="Times New Roman"/>
          <w:noProof/>
          <w:sz w:val="24"/>
          <w:szCs w:val="24"/>
        </w:rPr>
        <w:t xml:space="preserve"> du document de travail des services de la Commission accompagnant le présent rapport.</w:t>
      </w:r>
    </w:p>
    <w:p w14:paraId="71C6914D" w14:textId="1098E098" w:rsidR="00131369" w:rsidRPr="00DA11F1" w:rsidRDefault="00131369">
      <w:pPr>
        <w:spacing w:after="0"/>
        <w:jc w:val="both"/>
        <w:rPr>
          <w:rFonts w:ascii="Times New Roman" w:hAnsi="Times New Roman"/>
          <w:noProof/>
          <w:sz w:val="24"/>
          <w:szCs w:val="24"/>
        </w:rPr>
      </w:pPr>
      <w:bookmarkStart w:id="47" w:name="_Toc490850432"/>
      <w:bookmarkStart w:id="48" w:name="_Toc519009683"/>
    </w:p>
    <w:p w14:paraId="30C7D51A" w14:textId="2D857D62" w:rsidR="00131369" w:rsidRPr="00DA11F1" w:rsidRDefault="00E437B9" w:rsidP="00DB4BC0">
      <w:pPr>
        <w:jc w:val="both"/>
        <w:rPr>
          <w:rFonts w:ascii="Times New Roman" w:hAnsi="Times New Roman"/>
          <w:noProof/>
          <w:sz w:val="24"/>
          <w:szCs w:val="24"/>
        </w:rPr>
      </w:pPr>
      <w:r>
        <w:rPr>
          <w:rFonts w:ascii="Times New Roman" w:hAnsi="Times New Roman"/>
          <w:noProof/>
          <w:sz w:val="24"/>
          <w:szCs w:val="24"/>
        </w:rPr>
        <w:t>Conformément à la directive SEQE-UE, les crédits internationaux ne peuvent plus être utilisés à des fins de conformité aux règles du SEQE-UE à compter du cycle de mise en conformité </w:t>
      </w:r>
      <w:r w:rsidRPr="00F43FC8">
        <w:rPr>
          <w:rFonts w:ascii="Times New Roman" w:hAnsi="Times New Roman"/>
          <w:noProof/>
          <w:sz w:val="24"/>
          <w:szCs w:val="24"/>
        </w:rPr>
        <w:t>2021</w:t>
      </w:r>
      <w:r>
        <w:rPr>
          <w:rFonts w:ascii="Times New Roman" w:hAnsi="Times New Roman"/>
          <w:noProof/>
          <w:sz w:val="24"/>
          <w:szCs w:val="24"/>
        </w:rPr>
        <w:t>. Cela permet de faire en sorte que les émissions soient réduites au niveau national, en préservant ainsi l’intégrité environnementale du système, et de réduire l’offre excédentaire, en préservant ainsi son efficacité économique.</w:t>
      </w:r>
    </w:p>
    <w:p w14:paraId="52832B86" w14:textId="5FA18A49" w:rsidR="00131369" w:rsidRPr="00DA11F1" w:rsidRDefault="009B1524">
      <w:pPr>
        <w:pStyle w:val="Heading2"/>
        <w:rPr>
          <w:i w:val="0"/>
          <w:noProof/>
        </w:rPr>
      </w:pPr>
      <w:bookmarkStart w:id="49" w:name="_Toc89707771"/>
      <w:r w:rsidRPr="00F43FC8">
        <w:rPr>
          <w:i w:val="0"/>
          <w:noProof/>
        </w:rPr>
        <w:t>3</w:t>
      </w:r>
      <w:r>
        <w:rPr>
          <w:i w:val="0"/>
          <w:noProof/>
        </w:rPr>
        <w:t>.</w:t>
      </w:r>
      <w:r w:rsidRPr="00F43FC8">
        <w:rPr>
          <w:i w:val="0"/>
          <w:noProof/>
        </w:rPr>
        <w:t>2</w:t>
      </w:r>
      <w:r>
        <w:rPr>
          <w:i w:val="0"/>
          <w:noProof/>
        </w:rPr>
        <w:t>. Demande: quotas retirés de la circulation</w:t>
      </w:r>
      <w:bookmarkEnd w:id="47"/>
      <w:bookmarkEnd w:id="48"/>
      <w:bookmarkEnd w:id="49"/>
    </w:p>
    <w:p w14:paraId="66A403B0" w14:textId="1CAB1E26" w:rsidR="00FC6D24" w:rsidRPr="00DA11F1" w:rsidRDefault="00FC6D24" w:rsidP="00FC6D24">
      <w:pPr>
        <w:pStyle w:val="Heading3"/>
        <w:spacing w:before="0" w:after="200"/>
        <w:ind w:left="720"/>
        <w:rPr>
          <w:i/>
          <w:noProof/>
        </w:rPr>
      </w:pPr>
      <w:bookmarkStart w:id="50" w:name="_Toc89707772"/>
      <w:bookmarkStart w:id="51" w:name="_Ref85619942"/>
      <w:bookmarkStart w:id="52" w:name="_Ref85619948"/>
      <w:r w:rsidRPr="00F43FC8">
        <w:rPr>
          <w:i/>
          <w:noProof/>
        </w:rPr>
        <w:t>3</w:t>
      </w:r>
      <w:r>
        <w:rPr>
          <w:i/>
          <w:noProof/>
        </w:rPr>
        <w:t>.</w:t>
      </w:r>
      <w:r w:rsidRPr="00F43FC8">
        <w:rPr>
          <w:i/>
          <w:noProof/>
        </w:rPr>
        <w:t>2</w:t>
      </w:r>
      <w:r>
        <w:rPr>
          <w:i/>
          <w:noProof/>
        </w:rPr>
        <w:t>.</w:t>
      </w:r>
      <w:r w:rsidRPr="00F43FC8">
        <w:rPr>
          <w:i/>
          <w:noProof/>
        </w:rPr>
        <w:t>1</w:t>
      </w:r>
      <w:r>
        <w:rPr>
          <w:i/>
          <w:noProof/>
        </w:rPr>
        <w:t xml:space="preserve"> Réduction des émissions</w:t>
      </w:r>
      <w:bookmarkEnd w:id="50"/>
      <w:r>
        <w:rPr>
          <w:i/>
          <w:noProof/>
        </w:rPr>
        <w:t xml:space="preserve"> </w:t>
      </w:r>
      <w:bookmarkEnd w:id="51"/>
      <w:bookmarkEnd w:id="52"/>
    </w:p>
    <w:p w14:paraId="4FEC2D21" w14:textId="09D042AD" w:rsidR="0079431A" w:rsidRPr="00DA11F1" w:rsidRDefault="00CA4A70" w:rsidP="00CA4A70">
      <w:pPr>
        <w:jc w:val="both"/>
        <w:rPr>
          <w:rFonts w:ascii="Times New Roman" w:hAnsi="Times New Roman"/>
          <w:noProof/>
          <w:sz w:val="24"/>
          <w:szCs w:val="24"/>
        </w:rPr>
      </w:pPr>
      <w:r>
        <w:rPr>
          <w:rFonts w:ascii="Times New Roman" w:hAnsi="Times New Roman"/>
          <w:noProof/>
          <w:sz w:val="24"/>
          <w:szCs w:val="24"/>
        </w:rPr>
        <w:t>Depuis le début de la phase </w:t>
      </w:r>
      <w:r w:rsidRPr="00F43FC8">
        <w:rPr>
          <w:rFonts w:ascii="Times New Roman" w:hAnsi="Times New Roman"/>
          <w:noProof/>
          <w:sz w:val="24"/>
          <w:szCs w:val="24"/>
        </w:rPr>
        <w:t>3</w:t>
      </w:r>
      <w:r>
        <w:rPr>
          <w:rFonts w:ascii="Times New Roman" w:hAnsi="Times New Roman"/>
          <w:noProof/>
          <w:sz w:val="24"/>
          <w:szCs w:val="24"/>
        </w:rPr>
        <w:t xml:space="preserve"> en </w:t>
      </w:r>
      <w:r w:rsidRPr="00F43FC8">
        <w:rPr>
          <w:rFonts w:ascii="Times New Roman" w:hAnsi="Times New Roman"/>
          <w:noProof/>
          <w:sz w:val="24"/>
          <w:szCs w:val="24"/>
        </w:rPr>
        <w:t>2013</w:t>
      </w:r>
      <w:r>
        <w:rPr>
          <w:rFonts w:ascii="Times New Roman" w:hAnsi="Times New Roman"/>
          <w:noProof/>
          <w:sz w:val="24"/>
          <w:szCs w:val="24"/>
        </w:rPr>
        <w:t xml:space="preserve">, les émissions des installations fixes couvertes par le SEQE-UE (centrales électriques et installations de production) ont diminué de près de </w:t>
      </w:r>
      <w:r w:rsidRPr="00F43FC8">
        <w:rPr>
          <w:rFonts w:ascii="Times New Roman" w:hAnsi="Times New Roman"/>
          <w:noProof/>
          <w:sz w:val="24"/>
          <w:szCs w:val="24"/>
        </w:rPr>
        <w:t>29</w:t>
      </w:r>
      <w:r>
        <w:rPr>
          <w:rFonts w:ascii="Times New Roman" w:hAnsi="Times New Roman"/>
          <w:noProof/>
          <w:sz w:val="24"/>
          <w:szCs w:val="24"/>
        </w:rPr>
        <w:t xml:space="preserve"> %, contribuant ainsi à la baisse globale des émissions d’environ </w:t>
      </w:r>
      <w:r w:rsidRPr="00F43FC8">
        <w:rPr>
          <w:rFonts w:ascii="Times New Roman" w:hAnsi="Times New Roman"/>
          <w:noProof/>
          <w:sz w:val="24"/>
          <w:szCs w:val="24"/>
        </w:rPr>
        <w:t>43</w:t>
      </w:r>
      <w:r>
        <w:rPr>
          <w:rFonts w:ascii="Times New Roman" w:hAnsi="Times New Roman"/>
          <w:noProof/>
          <w:sz w:val="24"/>
          <w:szCs w:val="24"/>
        </w:rPr>
        <w:t> % depuis la création du système en </w:t>
      </w:r>
      <w:r w:rsidRPr="00F43FC8">
        <w:rPr>
          <w:rFonts w:ascii="Times New Roman" w:hAnsi="Times New Roman"/>
          <w:noProof/>
          <w:sz w:val="24"/>
          <w:szCs w:val="24"/>
        </w:rPr>
        <w:t>2005</w:t>
      </w:r>
      <w:r>
        <w:rPr>
          <w:rFonts w:ascii="Times New Roman" w:hAnsi="Times New Roman"/>
          <w:noProof/>
          <w:sz w:val="24"/>
          <w:szCs w:val="24"/>
        </w:rPr>
        <w:t>.</w:t>
      </w:r>
    </w:p>
    <w:p w14:paraId="6F50D1FA" w14:textId="5F6F4EE1" w:rsidR="004A71F9" w:rsidRPr="00DA11F1" w:rsidRDefault="00F66898" w:rsidP="00087600">
      <w:pPr>
        <w:jc w:val="both"/>
        <w:rPr>
          <w:rFonts w:ascii="Times New Roman" w:hAnsi="Times New Roman"/>
          <w:noProof/>
          <w:sz w:val="24"/>
          <w:szCs w:val="24"/>
        </w:rPr>
      </w:pPr>
      <w:r>
        <w:rPr>
          <w:rFonts w:ascii="Times New Roman" w:hAnsi="Times New Roman"/>
          <w:noProof/>
          <w:sz w:val="24"/>
          <w:szCs w:val="24"/>
        </w:rPr>
        <w:t xml:space="preserve">Selon les informations consignées dans le registre de l’UE, les émissions vérifiées des installations fixes ont représenté </w:t>
      </w:r>
      <w:r w:rsidRPr="00F43FC8">
        <w:rPr>
          <w:rFonts w:ascii="Times New Roman" w:hAnsi="Times New Roman"/>
          <w:noProof/>
          <w:sz w:val="24"/>
          <w:szCs w:val="24"/>
        </w:rPr>
        <w:t>1</w:t>
      </w:r>
      <w:r>
        <w:rPr>
          <w:rFonts w:ascii="Times New Roman" w:hAnsi="Times New Roman"/>
          <w:noProof/>
          <w:sz w:val="24"/>
          <w:szCs w:val="24"/>
        </w:rPr>
        <w:t>,</w:t>
      </w:r>
      <w:r w:rsidRPr="00F43FC8">
        <w:rPr>
          <w:rFonts w:ascii="Times New Roman" w:hAnsi="Times New Roman"/>
          <w:noProof/>
          <w:sz w:val="24"/>
          <w:szCs w:val="24"/>
        </w:rPr>
        <w:t>355</w:t>
      </w:r>
      <w:r>
        <w:rPr>
          <w:rFonts w:ascii="Times New Roman" w:hAnsi="Times New Roman"/>
          <w:noProof/>
          <w:sz w:val="24"/>
          <w:szCs w:val="24"/>
        </w:rPr>
        <w:t> million de tonnes de CO</w:t>
      </w:r>
      <w:r w:rsidRPr="00F43FC8">
        <w:rPr>
          <w:rFonts w:ascii="Times New Roman" w:hAnsi="Times New Roman"/>
          <w:noProof/>
          <w:sz w:val="24"/>
          <w:szCs w:val="24"/>
          <w:vertAlign w:val="subscript"/>
        </w:rPr>
        <w:t>2</w:t>
      </w:r>
      <w:r>
        <w:rPr>
          <w:rFonts w:ascii="Times New Roman" w:hAnsi="Times New Roman"/>
          <w:noProof/>
          <w:sz w:val="24"/>
          <w:szCs w:val="24"/>
        </w:rPr>
        <w:t xml:space="preserve"> en </w:t>
      </w:r>
      <w:r w:rsidRPr="00F43FC8">
        <w:rPr>
          <w:rFonts w:ascii="Times New Roman" w:hAnsi="Times New Roman"/>
          <w:noProof/>
          <w:sz w:val="24"/>
          <w:szCs w:val="24"/>
        </w:rPr>
        <w:t>2020</w:t>
      </w:r>
      <w:r>
        <w:rPr>
          <w:rFonts w:ascii="Times New Roman" w:hAnsi="Times New Roman"/>
          <w:noProof/>
          <w:sz w:val="24"/>
          <w:szCs w:val="24"/>
        </w:rPr>
        <w:t xml:space="preserve">, soit une baisse de </w:t>
      </w:r>
      <w:r w:rsidRPr="00F43FC8">
        <w:rPr>
          <w:rFonts w:ascii="Times New Roman" w:hAnsi="Times New Roman"/>
          <w:noProof/>
          <w:sz w:val="24"/>
          <w:szCs w:val="24"/>
        </w:rPr>
        <w:t>11</w:t>
      </w:r>
      <w:r>
        <w:rPr>
          <w:rFonts w:ascii="Times New Roman" w:hAnsi="Times New Roman"/>
          <w:noProof/>
          <w:sz w:val="24"/>
          <w:szCs w:val="24"/>
        </w:rPr>
        <w:t>,</w:t>
      </w:r>
      <w:r w:rsidRPr="00F43FC8">
        <w:rPr>
          <w:rFonts w:ascii="Times New Roman" w:hAnsi="Times New Roman"/>
          <w:noProof/>
          <w:sz w:val="24"/>
          <w:szCs w:val="24"/>
        </w:rPr>
        <w:t>4</w:t>
      </w:r>
      <w:r>
        <w:rPr>
          <w:rFonts w:ascii="Times New Roman" w:hAnsi="Times New Roman"/>
          <w:noProof/>
          <w:sz w:val="24"/>
          <w:szCs w:val="24"/>
        </w:rPr>
        <w:t> % par rapport à </w:t>
      </w:r>
      <w:r w:rsidRPr="00F43FC8">
        <w:rPr>
          <w:rFonts w:ascii="Times New Roman" w:hAnsi="Times New Roman"/>
          <w:noProof/>
          <w:sz w:val="24"/>
          <w:szCs w:val="24"/>
        </w:rPr>
        <w:t>2019</w:t>
      </w:r>
      <w:r>
        <w:rPr>
          <w:rFonts w:ascii="Times New Roman" w:hAnsi="Times New Roman"/>
          <w:noProof/>
          <w:sz w:val="24"/>
          <w:szCs w:val="24"/>
        </w:rPr>
        <w:t>. Comme démontré dans le</w:t>
      </w:r>
      <w:r w:rsidR="00087600">
        <w:rPr>
          <w:rFonts w:ascii="Times New Roman" w:hAnsi="Times New Roman"/>
          <w:noProof/>
          <w:sz w:val="24"/>
          <w:szCs w:val="24"/>
        </w:rPr>
        <w:t xml:space="preserve"> tableau </w:t>
      </w:r>
      <w:r w:rsidR="00087600" w:rsidRPr="00F43FC8">
        <w:rPr>
          <w:rFonts w:ascii="Times New Roman" w:hAnsi="Times New Roman"/>
          <w:noProof/>
          <w:sz w:val="24"/>
          <w:szCs w:val="24"/>
        </w:rPr>
        <w:t>5</w:t>
      </w:r>
      <w:r>
        <w:rPr>
          <w:rFonts w:ascii="Times New Roman" w:hAnsi="Times New Roman"/>
          <w:noProof/>
          <w:sz w:val="24"/>
          <w:szCs w:val="24"/>
        </w:rPr>
        <w:t xml:space="preserve">, cette baisse des émissions a été principalement imputable à la production d’électricité et de chaleur, qui a vu ses émissions diminuer de plus de </w:t>
      </w:r>
      <w:r w:rsidRPr="00F43FC8">
        <w:rPr>
          <w:rFonts w:ascii="Times New Roman" w:hAnsi="Times New Roman"/>
          <w:noProof/>
          <w:sz w:val="24"/>
          <w:szCs w:val="24"/>
        </w:rPr>
        <w:t>15</w:t>
      </w:r>
      <w:r>
        <w:rPr>
          <w:rFonts w:ascii="Times New Roman" w:hAnsi="Times New Roman"/>
          <w:noProof/>
          <w:sz w:val="24"/>
          <w:szCs w:val="24"/>
        </w:rPr>
        <w:t> % par rapport à </w:t>
      </w:r>
      <w:r w:rsidRPr="00F43FC8">
        <w:rPr>
          <w:rFonts w:ascii="Times New Roman" w:hAnsi="Times New Roman"/>
          <w:noProof/>
          <w:sz w:val="24"/>
          <w:szCs w:val="24"/>
        </w:rPr>
        <w:t>2019</w:t>
      </w:r>
      <w:r>
        <w:rPr>
          <w:rFonts w:ascii="Times New Roman" w:hAnsi="Times New Roman"/>
          <w:noProof/>
          <w:sz w:val="24"/>
          <w:szCs w:val="24"/>
        </w:rPr>
        <w:t>, ce qui reflète à la fois la baisse de la consommation d’électricité due à la pandémie de COVID-</w:t>
      </w:r>
      <w:r w:rsidRPr="00F43FC8">
        <w:rPr>
          <w:rFonts w:ascii="Times New Roman" w:hAnsi="Times New Roman"/>
          <w:noProof/>
          <w:sz w:val="24"/>
          <w:szCs w:val="24"/>
        </w:rPr>
        <w:t>19</w:t>
      </w:r>
      <w:r>
        <w:rPr>
          <w:rFonts w:ascii="Times New Roman" w:hAnsi="Times New Roman"/>
          <w:noProof/>
          <w:sz w:val="24"/>
          <w:szCs w:val="24"/>
        </w:rPr>
        <w:t xml:space="preserve"> et les tendances à la décarbonation observées précédemment. Ces tendances incluent à la fois la transition opérée dans le secteur de la production d’électricité du charbon vers le gaz naturel et le remplacement des carburants fossiles par des sources d’énergie renouvelables. Les émissions provenant des installations industrielles ont baissé de </w:t>
      </w:r>
      <w:r w:rsidRPr="00F43FC8">
        <w:rPr>
          <w:rFonts w:ascii="Times New Roman" w:hAnsi="Times New Roman"/>
          <w:noProof/>
          <w:sz w:val="24"/>
          <w:szCs w:val="24"/>
        </w:rPr>
        <w:t>7</w:t>
      </w:r>
      <w:r>
        <w:rPr>
          <w:rFonts w:ascii="Times New Roman" w:hAnsi="Times New Roman"/>
          <w:noProof/>
          <w:sz w:val="24"/>
          <w:szCs w:val="24"/>
        </w:rPr>
        <w:t> %, soit la plus forte diminution depuis le début de la phase </w:t>
      </w:r>
      <w:r w:rsidRPr="00F43FC8">
        <w:rPr>
          <w:rFonts w:ascii="Times New Roman" w:hAnsi="Times New Roman"/>
          <w:noProof/>
          <w:sz w:val="24"/>
          <w:szCs w:val="24"/>
        </w:rPr>
        <w:t>3</w:t>
      </w:r>
      <w:r>
        <w:rPr>
          <w:rFonts w:ascii="Times New Roman" w:hAnsi="Times New Roman"/>
          <w:noProof/>
          <w:sz w:val="24"/>
          <w:szCs w:val="24"/>
        </w:rPr>
        <w:t>, et le PIB de l’EU-</w:t>
      </w:r>
      <w:r w:rsidRPr="00F43FC8">
        <w:rPr>
          <w:rFonts w:ascii="Times New Roman" w:hAnsi="Times New Roman"/>
          <w:noProof/>
          <w:sz w:val="24"/>
          <w:szCs w:val="24"/>
        </w:rPr>
        <w:t>27</w:t>
      </w:r>
      <w:r>
        <w:rPr>
          <w:rFonts w:ascii="Times New Roman" w:hAnsi="Times New Roman"/>
          <w:noProof/>
          <w:sz w:val="24"/>
          <w:szCs w:val="24"/>
        </w:rPr>
        <w:t xml:space="preserve"> a reculé de </w:t>
      </w:r>
      <w:r w:rsidRPr="00F43FC8">
        <w:rPr>
          <w:rFonts w:ascii="Times New Roman" w:hAnsi="Times New Roman"/>
          <w:noProof/>
          <w:sz w:val="24"/>
          <w:szCs w:val="24"/>
        </w:rPr>
        <w:t>6</w:t>
      </w:r>
      <w:r>
        <w:rPr>
          <w:rFonts w:ascii="Times New Roman" w:hAnsi="Times New Roman"/>
          <w:noProof/>
          <w:sz w:val="24"/>
          <w:szCs w:val="24"/>
        </w:rPr>
        <w:t> % en raison de la pandémie.</w:t>
      </w:r>
    </w:p>
    <w:p w14:paraId="320C355D" w14:textId="77777777" w:rsidR="004A71F9" w:rsidRPr="00DA11F1" w:rsidRDefault="004A71F9">
      <w:pPr>
        <w:rPr>
          <w:rFonts w:ascii="Times New Roman" w:hAnsi="Times New Roman"/>
          <w:noProof/>
          <w:sz w:val="24"/>
          <w:szCs w:val="24"/>
        </w:rPr>
      </w:pPr>
      <w:r>
        <w:rPr>
          <w:noProof/>
        </w:rPr>
        <w:br w:type="page"/>
      </w:r>
    </w:p>
    <w:p w14:paraId="5940A2F4" w14:textId="77777777" w:rsidR="004A71F9" w:rsidRPr="00DA11F1" w:rsidRDefault="004A71F9" w:rsidP="00ED2743">
      <w:pPr>
        <w:pStyle w:val="Caption"/>
        <w:keepNext/>
        <w:rPr>
          <w:rFonts w:ascii="Times New Roman" w:hAnsi="Times New Roman"/>
          <w:noProof/>
          <w:sz w:val="22"/>
        </w:rPr>
        <w:sectPr w:rsidR="004A71F9" w:rsidRPr="00DA11F1" w:rsidSect="006F13D7">
          <w:headerReference w:type="even" r:id="rId35"/>
          <w:headerReference w:type="default" r:id="rId36"/>
          <w:footerReference w:type="even" r:id="rId37"/>
          <w:footerReference w:type="default" r:id="rId38"/>
          <w:headerReference w:type="first" r:id="rId39"/>
          <w:footerReference w:type="first" r:id="rId40"/>
          <w:pgSz w:w="11906" w:h="16838"/>
          <w:pgMar w:top="1440" w:right="1440" w:bottom="1440" w:left="1440" w:header="708" w:footer="708" w:gutter="0"/>
          <w:cols w:space="720"/>
          <w:docGrid w:linePitch="360"/>
        </w:sectPr>
      </w:pPr>
      <w:bookmarkStart w:id="53" w:name="_Ref85030711"/>
    </w:p>
    <w:p w14:paraId="1E685299" w14:textId="71DD7E3B" w:rsidR="00ED2743" w:rsidRPr="00DA11F1" w:rsidRDefault="00ED2743" w:rsidP="00ED2743">
      <w:pPr>
        <w:pStyle w:val="Caption"/>
        <w:keepNext/>
        <w:rPr>
          <w:rFonts w:ascii="Times New Roman" w:hAnsi="Times New Roman"/>
          <w:noProof/>
          <w:sz w:val="22"/>
        </w:rPr>
      </w:pPr>
      <w:r>
        <w:rPr>
          <w:rFonts w:ascii="Times New Roman" w:hAnsi="Times New Roman"/>
          <w:noProof/>
          <w:sz w:val="22"/>
        </w:rPr>
        <w:t>Tableau </w:t>
      </w:r>
      <w:r w:rsidRPr="00DA11F1">
        <w:rPr>
          <w:rFonts w:ascii="Times New Roman" w:hAnsi="Times New Roman"/>
          <w:noProof/>
          <w:sz w:val="22"/>
        </w:rPr>
        <w:fldChar w:fldCharType="begin"/>
      </w:r>
      <w:r w:rsidRPr="00DA11F1">
        <w:rPr>
          <w:rFonts w:ascii="Times New Roman" w:hAnsi="Times New Roman"/>
          <w:noProof/>
          <w:sz w:val="22"/>
        </w:rPr>
        <w:instrText xml:space="preserve"> SEQ Table \* ARABIC </w:instrText>
      </w:r>
      <w:r w:rsidRPr="00DA11F1">
        <w:rPr>
          <w:rFonts w:ascii="Times New Roman" w:hAnsi="Times New Roman"/>
          <w:noProof/>
          <w:sz w:val="22"/>
        </w:rPr>
        <w:fldChar w:fldCharType="separate"/>
      </w:r>
      <w:r w:rsidR="00676166" w:rsidRPr="00F43FC8">
        <w:rPr>
          <w:rFonts w:ascii="Times New Roman" w:hAnsi="Times New Roman"/>
          <w:noProof/>
          <w:sz w:val="22"/>
        </w:rPr>
        <w:t>5</w:t>
      </w:r>
      <w:r w:rsidRPr="00DA11F1">
        <w:rPr>
          <w:rFonts w:ascii="Times New Roman" w:hAnsi="Times New Roman"/>
          <w:noProof/>
          <w:sz w:val="22"/>
        </w:rPr>
        <w:fldChar w:fldCharType="end"/>
      </w:r>
      <w:bookmarkEnd w:id="53"/>
      <w:r>
        <w:rPr>
          <w:rFonts w:ascii="Times New Roman" w:hAnsi="Times New Roman"/>
          <w:noProof/>
          <w:sz w:val="22"/>
        </w:rPr>
        <w:t>. Émissions vérifiées des installations fixes (en millions de tonnes d’équivalent CO</w:t>
      </w:r>
      <w:r w:rsidRPr="00F43FC8">
        <w:rPr>
          <w:rFonts w:ascii="Times New Roman" w:hAnsi="Times New Roman"/>
          <w:noProof/>
          <w:sz w:val="22"/>
          <w:vertAlign w:val="subscript"/>
        </w:rPr>
        <w:t>2</w:t>
      </w:r>
      <w:r>
        <w:rPr>
          <w:rFonts w:ascii="Times New Roman" w:hAnsi="Times New Roman"/>
          <w:noProof/>
          <w:sz w:val="22"/>
        </w:rPr>
        <w:t>)</w:t>
      </w:r>
      <w:r w:rsidRPr="00DA11F1">
        <w:rPr>
          <w:rStyle w:val="FootnoteReference"/>
          <w:rFonts w:ascii="Times New Roman" w:hAnsi="Times New Roman"/>
          <w:noProof/>
          <w:color w:val="000000"/>
          <w:sz w:val="22"/>
          <w:szCs w:val="22"/>
          <w:lang w:eastAsia="en-GB"/>
        </w:rPr>
        <w:footnoteReference w:id="65"/>
      </w:r>
    </w:p>
    <w:tbl>
      <w:tblPr>
        <w:tblW w:w="5000" w:type="pct"/>
        <w:tblCellMar>
          <w:left w:w="0" w:type="dxa"/>
          <w:right w:w="0" w:type="dxa"/>
        </w:tblCellMar>
        <w:tblLook w:val="04A0" w:firstRow="1" w:lastRow="0" w:firstColumn="1" w:lastColumn="0" w:noHBand="0" w:noVBand="1"/>
      </w:tblPr>
      <w:tblGrid>
        <w:gridCol w:w="2688"/>
        <w:gridCol w:w="1157"/>
        <w:gridCol w:w="1141"/>
        <w:gridCol w:w="1143"/>
        <w:gridCol w:w="1143"/>
        <w:gridCol w:w="1141"/>
        <w:gridCol w:w="1143"/>
        <w:gridCol w:w="1138"/>
        <w:gridCol w:w="1132"/>
        <w:gridCol w:w="1129"/>
        <w:gridCol w:w="1126"/>
      </w:tblGrid>
      <w:tr w:rsidR="007102CE" w:rsidRPr="00DA11F1" w14:paraId="7453CAC3" w14:textId="5F392DCF" w:rsidTr="004A71F9">
        <w:trPr>
          <w:trHeight w:val="474"/>
        </w:trPr>
        <w:tc>
          <w:tcPr>
            <w:tcW w:w="954" w:type="pct"/>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tcPr>
          <w:p w14:paraId="1E0F90DC" w14:textId="77777777" w:rsidR="007102CE" w:rsidRPr="00DA11F1" w:rsidRDefault="007102CE" w:rsidP="00161C65">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Année</w:t>
            </w:r>
          </w:p>
        </w:tc>
        <w:tc>
          <w:tcPr>
            <w:tcW w:w="411"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tcPr>
          <w:p w14:paraId="56350E0E" w14:textId="77777777" w:rsidR="007102CE" w:rsidRPr="00DA11F1" w:rsidRDefault="007102CE" w:rsidP="00161C65">
            <w:pPr>
              <w:spacing w:after="0"/>
              <w:jc w:val="center"/>
              <w:rPr>
                <w:rFonts w:ascii="Times New Roman" w:hAnsi="Times New Roman"/>
                <w:b/>
                <w:noProof/>
                <w:sz w:val="20"/>
                <w:szCs w:val="20"/>
              </w:rPr>
            </w:pPr>
            <w:r w:rsidRPr="00F43FC8">
              <w:rPr>
                <w:rFonts w:ascii="Times New Roman" w:hAnsi="Times New Roman"/>
                <w:b/>
                <w:noProof/>
                <w:sz w:val="20"/>
                <w:szCs w:val="20"/>
              </w:rPr>
              <w:t>2011</w:t>
            </w:r>
          </w:p>
        </w:tc>
        <w:tc>
          <w:tcPr>
            <w:tcW w:w="405"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tcPr>
          <w:p w14:paraId="4C690986" w14:textId="77777777" w:rsidR="007102CE" w:rsidRPr="00DA11F1" w:rsidRDefault="007102CE" w:rsidP="00161C65">
            <w:pPr>
              <w:spacing w:after="0"/>
              <w:jc w:val="center"/>
              <w:rPr>
                <w:rFonts w:ascii="Times New Roman" w:hAnsi="Times New Roman"/>
                <w:b/>
                <w:noProof/>
                <w:sz w:val="20"/>
                <w:szCs w:val="20"/>
              </w:rPr>
            </w:pPr>
            <w:r w:rsidRPr="00F43FC8">
              <w:rPr>
                <w:rFonts w:ascii="Times New Roman" w:hAnsi="Times New Roman"/>
                <w:b/>
                <w:noProof/>
                <w:sz w:val="20"/>
                <w:szCs w:val="20"/>
              </w:rPr>
              <w:t>2012</w:t>
            </w:r>
          </w:p>
        </w:tc>
        <w:tc>
          <w:tcPr>
            <w:tcW w:w="406"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tcPr>
          <w:p w14:paraId="749F3CBB" w14:textId="77777777" w:rsidR="007102CE" w:rsidRPr="00DA11F1" w:rsidRDefault="007102CE" w:rsidP="00161C65">
            <w:pPr>
              <w:spacing w:after="0"/>
              <w:jc w:val="center"/>
              <w:rPr>
                <w:rFonts w:ascii="Times New Roman" w:hAnsi="Times New Roman"/>
                <w:b/>
                <w:noProof/>
                <w:sz w:val="20"/>
                <w:szCs w:val="20"/>
              </w:rPr>
            </w:pPr>
            <w:r w:rsidRPr="00F43FC8">
              <w:rPr>
                <w:rFonts w:ascii="Times New Roman" w:hAnsi="Times New Roman"/>
                <w:b/>
                <w:noProof/>
                <w:sz w:val="20"/>
                <w:szCs w:val="20"/>
              </w:rPr>
              <w:t>2013</w:t>
            </w:r>
          </w:p>
        </w:tc>
        <w:tc>
          <w:tcPr>
            <w:tcW w:w="406"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tcPr>
          <w:p w14:paraId="1BE9D715" w14:textId="77777777" w:rsidR="007102CE" w:rsidRPr="00DA11F1" w:rsidRDefault="007102CE" w:rsidP="00161C65">
            <w:pPr>
              <w:spacing w:after="0"/>
              <w:jc w:val="center"/>
              <w:rPr>
                <w:rFonts w:ascii="Times New Roman" w:hAnsi="Times New Roman"/>
                <w:b/>
                <w:noProof/>
                <w:sz w:val="20"/>
                <w:szCs w:val="20"/>
              </w:rPr>
            </w:pPr>
            <w:r w:rsidRPr="00F43FC8">
              <w:rPr>
                <w:rFonts w:ascii="Times New Roman" w:hAnsi="Times New Roman"/>
                <w:b/>
                <w:noProof/>
                <w:sz w:val="20"/>
                <w:szCs w:val="20"/>
              </w:rPr>
              <w:t>2014</w:t>
            </w:r>
          </w:p>
        </w:tc>
        <w:tc>
          <w:tcPr>
            <w:tcW w:w="405"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tcPr>
          <w:p w14:paraId="74ED11EC" w14:textId="77777777" w:rsidR="007102CE" w:rsidRPr="00DA11F1" w:rsidRDefault="007102CE" w:rsidP="00161C65">
            <w:pPr>
              <w:spacing w:after="0"/>
              <w:jc w:val="center"/>
              <w:rPr>
                <w:rFonts w:ascii="Times New Roman" w:hAnsi="Times New Roman"/>
                <w:b/>
                <w:noProof/>
                <w:sz w:val="20"/>
                <w:szCs w:val="20"/>
              </w:rPr>
            </w:pPr>
            <w:r w:rsidRPr="00F43FC8">
              <w:rPr>
                <w:rFonts w:ascii="Times New Roman" w:hAnsi="Times New Roman"/>
                <w:b/>
                <w:noProof/>
                <w:sz w:val="20"/>
                <w:szCs w:val="20"/>
              </w:rPr>
              <w:t>2015</w:t>
            </w:r>
          </w:p>
        </w:tc>
        <w:tc>
          <w:tcPr>
            <w:tcW w:w="406"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tcPr>
          <w:p w14:paraId="45D58E02" w14:textId="77777777" w:rsidR="007102CE" w:rsidRPr="00DA11F1" w:rsidRDefault="007102CE" w:rsidP="00161C65">
            <w:pPr>
              <w:spacing w:after="0"/>
              <w:jc w:val="center"/>
              <w:rPr>
                <w:rFonts w:ascii="Times New Roman" w:hAnsi="Times New Roman"/>
                <w:b/>
                <w:noProof/>
                <w:sz w:val="20"/>
                <w:szCs w:val="20"/>
              </w:rPr>
            </w:pPr>
            <w:r w:rsidRPr="00F43FC8">
              <w:rPr>
                <w:rFonts w:ascii="Times New Roman" w:hAnsi="Times New Roman"/>
                <w:b/>
                <w:noProof/>
                <w:sz w:val="20"/>
                <w:szCs w:val="20"/>
              </w:rPr>
              <w:t>2016</w:t>
            </w:r>
          </w:p>
        </w:tc>
        <w:tc>
          <w:tcPr>
            <w:tcW w:w="404"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tcPr>
          <w:p w14:paraId="2CB5C58F" w14:textId="77777777" w:rsidR="007102CE" w:rsidRPr="00DA11F1" w:rsidRDefault="007102CE" w:rsidP="00161C65">
            <w:pPr>
              <w:spacing w:after="0"/>
              <w:jc w:val="center"/>
              <w:rPr>
                <w:rFonts w:ascii="Times New Roman" w:hAnsi="Times New Roman"/>
                <w:b/>
                <w:noProof/>
                <w:sz w:val="20"/>
                <w:szCs w:val="20"/>
              </w:rPr>
            </w:pPr>
            <w:r w:rsidRPr="00F43FC8">
              <w:rPr>
                <w:rFonts w:ascii="Times New Roman" w:hAnsi="Times New Roman"/>
                <w:b/>
                <w:noProof/>
                <w:sz w:val="20"/>
                <w:szCs w:val="20"/>
              </w:rPr>
              <w:t>2017</w:t>
            </w:r>
          </w:p>
        </w:tc>
        <w:tc>
          <w:tcPr>
            <w:tcW w:w="402" w:type="pct"/>
            <w:tcBorders>
              <w:top w:val="double" w:sz="4" w:space="0" w:color="auto"/>
              <w:left w:val="nil"/>
              <w:bottom w:val="double" w:sz="4" w:space="0" w:color="auto"/>
              <w:right w:val="double" w:sz="4" w:space="0" w:color="auto"/>
            </w:tcBorders>
            <w:vAlign w:val="center"/>
          </w:tcPr>
          <w:p w14:paraId="5468C8D4" w14:textId="77777777" w:rsidR="007102CE" w:rsidRPr="00DA11F1" w:rsidRDefault="007102CE" w:rsidP="00161C65">
            <w:pPr>
              <w:spacing w:after="0"/>
              <w:jc w:val="center"/>
              <w:rPr>
                <w:rFonts w:ascii="Times New Roman" w:hAnsi="Times New Roman"/>
                <w:b/>
                <w:noProof/>
                <w:sz w:val="20"/>
                <w:szCs w:val="20"/>
              </w:rPr>
            </w:pPr>
            <w:r w:rsidRPr="00F43FC8">
              <w:rPr>
                <w:rFonts w:ascii="Times New Roman" w:hAnsi="Times New Roman"/>
                <w:b/>
                <w:noProof/>
                <w:sz w:val="20"/>
                <w:szCs w:val="20"/>
              </w:rPr>
              <w:t>2018</w:t>
            </w:r>
          </w:p>
        </w:tc>
        <w:tc>
          <w:tcPr>
            <w:tcW w:w="401" w:type="pct"/>
            <w:tcBorders>
              <w:top w:val="double" w:sz="4" w:space="0" w:color="auto"/>
              <w:left w:val="nil"/>
              <w:bottom w:val="double" w:sz="4" w:space="0" w:color="auto"/>
              <w:right w:val="double" w:sz="4" w:space="0" w:color="auto"/>
            </w:tcBorders>
            <w:vAlign w:val="center"/>
          </w:tcPr>
          <w:p w14:paraId="52ED4A9A" w14:textId="77777777" w:rsidR="007102CE" w:rsidRPr="00DA11F1" w:rsidRDefault="007102CE" w:rsidP="00161C65">
            <w:pPr>
              <w:spacing w:after="0"/>
              <w:jc w:val="center"/>
              <w:rPr>
                <w:rFonts w:ascii="Times New Roman" w:hAnsi="Times New Roman"/>
                <w:b/>
                <w:noProof/>
                <w:sz w:val="20"/>
                <w:szCs w:val="20"/>
              </w:rPr>
            </w:pPr>
            <w:r w:rsidRPr="00F43FC8">
              <w:rPr>
                <w:rFonts w:ascii="Times New Roman" w:hAnsi="Times New Roman"/>
                <w:b/>
                <w:noProof/>
                <w:sz w:val="20"/>
                <w:szCs w:val="20"/>
              </w:rPr>
              <w:t>2019</w:t>
            </w:r>
          </w:p>
        </w:tc>
        <w:tc>
          <w:tcPr>
            <w:tcW w:w="400" w:type="pct"/>
            <w:tcBorders>
              <w:top w:val="double" w:sz="4" w:space="0" w:color="auto"/>
              <w:left w:val="nil"/>
              <w:bottom w:val="double" w:sz="4" w:space="0" w:color="auto"/>
              <w:right w:val="double" w:sz="4" w:space="0" w:color="auto"/>
            </w:tcBorders>
            <w:vAlign w:val="center"/>
          </w:tcPr>
          <w:p w14:paraId="2F9F3B90" w14:textId="195DA8E6" w:rsidR="007102CE" w:rsidRPr="00DA11F1" w:rsidRDefault="007102CE" w:rsidP="00161C65">
            <w:pPr>
              <w:spacing w:after="0"/>
              <w:jc w:val="center"/>
              <w:rPr>
                <w:rFonts w:ascii="Times New Roman" w:hAnsi="Times New Roman"/>
                <w:b/>
                <w:noProof/>
                <w:sz w:val="20"/>
                <w:szCs w:val="20"/>
              </w:rPr>
            </w:pPr>
            <w:r w:rsidRPr="00F43FC8">
              <w:rPr>
                <w:rFonts w:ascii="Times New Roman" w:hAnsi="Times New Roman"/>
                <w:b/>
                <w:noProof/>
                <w:sz w:val="20"/>
                <w:szCs w:val="20"/>
              </w:rPr>
              <w:t>2020</w:t>
            </w:r>
          </w:p>
        </w:tc>
      </w:tr>
      <w:tr w:rsidR="007102CE" w:rsidRPr="00DA11F1" w14:paraId="13D885A5" w14:textId="0ABCC33B" w:rsidTr="004A71F9">
        <w:trPr>
          <w:trHeight w:val="474"/>
        </w:trPr>
        <w:tc>
          <w:tcPr>
            <w:tcW w:w="954"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4D968C5B" w14:textId="77777777" w:rsidR="007102CE" w:rsidRPr="00DA11F1" w:rsidRDefault="007102CE" w:rsidP="00161C65">
            <w:pPr>
              <w:spacing w:after="0"/>
              <w:jc w:val="center"/>
              <w:rPr>
                <w:rFonts w:ascii="Times New Roman" w:hAnsi="Times New Roman"/>
                <w:noProof/>
                <w:color w:val="FF0000"/>
                <w:sz w:val="20"/>
                <w:szCs w:val="20"/>
              </w:rPr>
            </w:pPr>
            <w:r>
              <w:rPr>
                <w:rFonts w:ascii="Times New Roman" w:hAnsi="Times New Roman"/>
                <w:b/>
                <w:bCs/>
                <w:noProof/>
                <w:color w:val="000000"/>
                <w:sz w:val="20"/>
                <w:szCs w:val="20"/>
              </w:rPr>
              <w:t>Émissions totales vérifiées</w:t>
            </w:r>
          </w:p>
        </w:tc>
        <w:tc>
          <w:tcPr>
            <w:tcW w:w="411"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23936018" w14:textId="77777777" w:rsidR="007102CE" w:rsidRPr="00DA11F1" w:rsidRDefault="007102CE" w:rsidP="00161C65">
            <w:pPr>
              <w:spacing w:after="0"/>
              <w:jc w:val="center"/>
              <w:rPr>
                <w:rFonts w:ascii="Times New Roman" w:hAnsi="Times New Roman"/>
                <w:noProof/>
                <w:sz w:val="20"/>
                <w:szCs w:val="20"/>
              </w:rPr>
            </w:pPr>
            <w:r w:rsidRPr="00F43FC8">
              <w:rPr>
                <w:rFonts w:ascii="Times New Roman" w:hAnsi="Times New Roman"/>
                <w:noProof/>
                <w:sz w:val="20"/>
                <w:szCs w:val="20"/>
              </w:rPr>
              <w:t>1</w:t>
            </w:r>
            <w:r>
              <w:rPr>
                <w:rFonts w:ascii="Times New Roman" w:hAnsi="Times New Roman"/>
                <w:noProof/>
                <w:sz w:val="20"/>
                <w:szCs w:val="20"/>
              </w:rPr>
              <w:t> </w:t>
            </w:r>
            <w:r w:rsidRPr="00F43FC8">
              <w:rPr>
                <w:rFonts w:ascii="Times New Roman" w:hAnsi="Times New Roman"/>
                <w:noProof/>
                <w:sz w:val="20"/>
                <w:szCs w:val="20"/>
              </w:rPr>
              <w:t>904</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67DA34CF" w14:textId="77777777" w:rsidR="007102CE" w:rsidRPr="00DA11F1" w:rsidRDefault="007102CE" w:rsidP="00161C65">
            <w:pPr>
              <w:spacing w:after="0"/>
              <w:jc w:val="center"/>
              <w:rPr>
                <w:rFonts w:ascii="Times New Roman" w:hAnsi="Times New Roman"/>
                <w:noProof/>
                <w:sz w:val="20"/>
                <w:szCs w:val="20"/>
              </w:rPr>
            </w:pPr>
            <w:r w:rsidRPr="00F43FC8">
              <w:rPr>
                <w:rFonts w:ascii="Times New Roman" w:hAnsi="Times New Roman"/>
                <w:noProof/>
                <w:sz w:val="20"/>
                <w:szCs w:val="20"/>
              </w:rPr>
              <w:t>1</w:t>
            </w:r>
            <w:r>
              <w:rPr>
                <w:rFonts w:ascii="Times New Roman" w:hAnsi="Times New Roman"/>
                <w:noProof/>
                <w:sz w:val="20"/>
                <w:szCs w:val="20"/>
              </w:rPr>
              <w:t> </w:t>
            </w:r>
            <w:r w:rsidRPr="00F43FC8">
              <w:rPr>
                <w:rFonts w:ascii="Times New Roman" w:hAnsi="Times New Roman"/>
                <w:noProof/>
                <w:sz w:val="20"/>
                <w:szCs w:val="20"/>
              </w:rPr>
              <w:t>867</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3928DCF7" w14:textId="77777777" w:rsidR="007102CE" w:rsidRPr="00DA11F1" w:rsidRDefault="007102CE" w:rsidP="00161C65">
            <w:pPr>
              <w:spacing w:after="0"/>
              <w:jc w:val="center"/>
              <w:rPr>
                <w:rFonts w:ascii="Times New Roman" w:hAnsi="Times New Roman"/>
                <w:noProof/>
                <w:sz w:val="20"/>
                <w:szCs w:val="20"/>
              </w:rPr>
            </w:pPr>
            <w:r w:rsidRPr="00F43FC8">
              <w:rPr>
                <w:rFonts w:ascii="Times New Roman" w:hAnsi="Times New Roman"/>
                <w:noProof/>
                <w:sz w:val="20"/>
                <w:szCs w:val="20"/>
              </w:rPr>
              <w:t>1</w:t>
            </w:r>
            <w:r>
              <w:rPr>
                <w:rFonts w:ascii="Times New Roman" w:hAnsi="Times New Roman"/>
                <w:noProof/>
                <w:sz w:val="20"/>
                <w:szCs w:val="20"/>
              </w:rPr>
              <w:t> </w:t>
            </w:r>
            <w:r w:rsidRPr="00F43FC8">
              <w:rPr>
                <w:rFonts w:ascii="Times New Roman" w:hAnsi="Times New Roman"/>
                <w:noProof/>
                <w:sz w:val="20"/>
                <w:szCs w:val="20"/>
              </w:rPr>
              <w:t>908</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6FB1BB8E" w14:textId="77777777" w:rsidR="007102CE" w:rsidRPr="00DA11F1" w:rsidRDefault="007102CE" w:rsidP="00161C65">
            <w:pPr>
              <w:spacing w:after="0"/>
              <w:jc w:val="center"/>
              <w:rPr>
                <w:rFonts w:ascii="Times New Roman" w:hAnsi="Times New Roman"/>
                <w:noProof/>
                <w:sz w:val="20"/>
                <w:szCs w:val="20"/>
              </w:rPr>
            </w:pPr>
            <w:r w:rsidRPr="00F43FC8">
              <w:rPr>
                <w:rFonts w:ascii="Times New Roman" w:hAnsi="Times New Roman"/>
                <w:noProof/>
                <w:sz w:val="20"/>
                <w:szCs w:val="20"/>
              </w:rPr>
              <w:t>1</w:t>
            </w:r>
            <w:r>
              <w:rPr>
                <w:rFonts w:ascii="Times New Roman" w:hAnsi="Times New Roman"/>
                <w:noProof/>
                <w:sz w:val="20"/>
                <w:szCs w:val="20"/>
              </w:rPr>
              <w:t> </w:t>
            </w:r>
            <w:r w:rsidRPr="00F43FC8">
              <w:rPr>
                <w:rFonts w:ascii="Times New Roman" w:hAnsi="Times New Roman"/>
                <w:noProof/>
                <w:sz w:val="20"/>
                <w:szCs w:val="20"/>
              </w:rPr>
              <w:t>814</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10752FE6" w14:textId="77777777" w:rsidR="007102CE" w:rsidRPr="00DA11F1" w:rsidRDefault="007102CE" w:rsidP="00161C65">
            <w:pPr>
              <w:spacing w:after="0"/>
              <w:jc w:val="center"/>
              <w:rPr>
                <w:rFonts w:ascii="Times New Roman" w:hAnsi="Times New Roman"/>
                <w:noProof/>
                <w:sz w:val="20"/>
                <w:szCs w:val="20"/>
              </w:rPr>
            </w:pPr>
            <w:r w:rsidRPr="00F43FC8">
              <w:rPr>
                <w:rFonts w:ascii="Times New Roman" w:hAnsi="Times New Roman"/>
                <w:noProof/>
                <w:sz w:val="20"/>
                <w:szCs w:val="20"/>
              </w:rPr>
              <w:t>1</w:t>
            </w:r>
            <w:r>
              <w:rPr>
                <w:rFonts w:ascii="Times New Roman" w:hAnsi="Times New Roman"/>
                <w:noProof/>
                <w:sz w:val="20"/>
                <w:szCs w:val="20"/>
              </w:rPr>
              <w:t> </w:t>
            </w:r>
            <w:r w:rsidRPr="00F43FC8">
              <w:rPr>
                <w:rFonts w:ascii="Times New Roman" w:hAnsi="Times New Roman"/>
                <w:noProof/>
                <w:sz w:val="20"/>
                <w:szCs w:val="20"/>
              </w:rPr>
              <w:t>803</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7ABB4106" w14:textId="43BDF508" w:rsidR="007102CE" w:rsidRPr="00DA11F1" w:rsidRDefault="007102CE" w:rsidP="00161C65">
            <w:pPr>
              <w:spacing w:after="0"/>
              <w:jc w:val="center"/>
              <w:rPr>
                <w:rFonts w:ascii="Times New Roman" w:hAnsi="Times New Roman"/>
                <w:noProof/>
                <w:sz w:val="20"/>
                <w:szCs w:val="20"/>
              </w:rPr>
            </w:pPr>
            <w:r w:rsidRPr="00F43FC8">
              <w:rPr>
                <w:rFonts w:ascii="Times New Roman" w:hAnsi="Times New Roman"/>
                <w:noProof/>
                <w:sz w:val="20"/>
                <w:szCs w:val="20"/>
              </w:rPr>
              <w:t>1</w:t>
            </w:r>
            <w:r>
              <w:rPr>
                <w:rFonts w:ascii="Times New Roman" w:hAnsi="Times New Roman"/>
                <w:noProof/>
                <w:sz w:val="20"/>
                <w:szCs w:val="20"/>
              </w:rPr>
              <w:t> </w:t>
            </w:r>
            <w:r w:rsidRPr="00F43FC8">
              <w:rPr>
                <w:rFonts w:ascii="Times New Roman" w:hAnsi="Times New Roman"/>
                <w:noProof/>
                <w:sz w:val="20"/>
                <w:szCs w:val="20"/>
              </w:rPr>
              <w:t>751</w:t>
            </w:r>
          </w:p>
        </w:tc>
        <w:tc>
          <w:tcPr>
            <w:tcW w:w="404"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7CBA8567" w14:textId="77777777" w:rsidR="007102CE" w:rsidRPr="00DA11F1" w:rsidRDefault="007102CE" w:rsidP="00161C65">
            <w:pPr>
              <w:spacing w:after="0"/>
              <w:jc w:val="center"/>
              <w:rPr>
                <w:rFonts w:ascii="Times New Roman" w:hAnsi="Times New Roman"/>
                <w:noProof/>
                <w:sz w:val="20"/>
                <w:szCs w:val="20"/>
              </w:rPr>
            </w:pPr>
            <w:r w:rsidRPr="00F43FC8">
              <w:rPr>
                <w:rFonts w:ascii="Times New Roman" w:hAnsi="Times New Roman"/>
                <w:noProof/>
                <w:sz w:val="20"/>
                <w:szCs w:val="20"/>
              </w:rPr>
              <w:t>1</w:t>
            </w:r>
            <w:r>
              <w:rPr>
                <w:rFonts w:ascii="Times New Roman" w:hAnsi="Times New Roman"/>
                <w:noProof/>
                <w:sz w:val="20"/>
                <w:szCs w:val="20"/>
              </w:rPr>
              <w:t> </w:t>
            </w:r>
            <w:r w:rsidRPr="00F43FC8">
              <w:rPr>
                <w:rFonts w:ascii="Times New Roman" w:hAnsi="Times New Roman"/>
                <w:noProof/>
                <w:sz w:val="20"/>
                <w:szCs w:val="20"/>
              </w:rPr>
              <w:t>755</w:t>
            </w:r>
          </w:p>
        </w:tc>
        <w:tc>
          <w:tcPr>
            <w:tcW w:w="402" w:type="pct"/>
            <w:tcBorders>
              <w:top w:val="nil"/>
              <w:left w:val="nil"/>
              <w:bottom w:val="double" w:sz="4" w:space="0" w:color="auto"/>
              <w:right w:val="double" w:sz="4" w:space="0" w:color="auto"/>
            </w:tcBorders>
            <w:vAlign w:val="center"/>
          </w:tcPr>
          <w:p w14:paraId="1A9CB4EF" w14:textId="696E12D7" w:rsidR="007102CE" w:rsidRPr="00DA11F1" w:rsidRDefault="007102CE" w:rsidP="00161C65">
            <w:pPr>
              <w:spacing w:after="0"/>
              <w:jc w:val="center"/>
              <w:rPr>
                <w:rFonts w:ascii="Times New Roman" w:hAnsi="Times New Roman"/>
                <w:noProof/>
                <w:sz w:val="20"/>
                <w:szCs w:val="20"/>
              </w:rPr>
            </w:pPr>
            <w:r w:rsidRPr="00F43FC8">
              <w:rPr>
                <w:rFonts w:ascii="Times New Roman" w:hAnsi="Times New Roman"/>
                <w:noProof/>
                <w:sz w:val="20"/>
                <w:szCs w:val="20"/>
              </w:rPr>
              <w:t>1</w:t>
            </w:r>
            <w:r>
              <w:rPr>
                <w:rFonts w:ascii="Times New Roman" w:hAnsi="Times New Roman"/>
                <w:noProof/>
                <w:sz w:val="20"/>
                <w:szCs w:val="20"/>
              </w:rPr>
              <w:t> </w:t>
            </w:r>
            <w:r w:rsidRPr="00F43FC8">
              <w:rPr>
                <w:rFonts w:ascii="Times New Roman" w:hAnsi="Times New Roman"/>
                <w:noProof/>
                <w:sz w:val="20"/>
                <w:szCs w:val="20"/>
              </w:rPr>
              <w:t>683</w:t>
            </w:r>
          </w:p>
        </w:tc>
        <w:tc>
          <w:tcPr>
            <w:tcW w:w="401" w:type="pct"/>
            <w:tcBorders>
              <w:top w:val="nil"/>
              <w:left w:val="nil"/>
              <w:bottom w:val="double" w:sz="4" w:space="0" w:color="auto"/>
              <w:right w:val="double" w:sz="4" w:space="0" w:color="auto"/>
            </w:tcBorders>
            <w:vAlign w:val="center"/>
          </w:tcPr>
          <w:p w14:paraId="08D5F9B0" w14:textId="77777777" w:rsidR="007102CE" w:rsidRPr="00DA11F1" w:rsidRDefault="007102CE" w:rsidP="00161C65">
            <w:pPr>
              <w:spacing w:after="0"/>
              <w:jc w:val="center"/>
              <w:rPr>
                <w:rFonts w:ascii="Times New Roman" w:hAnsi="Times New Roman"/>
                <w:noProof/>
                <w:sz w:val="20"/>
                <w:szCs w:val="20"/>
              </w:rPr>
            </w:pPr>
            <w:r w:rsidRPr="00F43FC8">
              <w:rPr>
                <w:rFonts w:ascii="Times New Roman" w:hAnsi="Times New Roman"/>
                <w:noProof/>
                <w:sz w:val="20"/>
                <w:szCs w:val="20"/>
              </w:rPr>
              <w:t>1</w:t>
            </w:r>
            <w:r>
              <w:rPr>
                <w:rFonts w:ascii="Times New Roman" w:hAnsi="Times New Roman"/>
                <w:noProof/>
                <w:sz w:val="20"/>
                <w:szCs w:val="20"/>
              </w:rPr>
              <w:t> </w:t>
            </w:r>
            <w:r w:rsidRPr="00F43FC8">
              <w:rPr>
                <w:rFonts w:ascii="Times New Roman" w:hAnsi="Times New Roman"/>
                <w:noProof/>
                <w:sz w:val="20"/>
                <w:szCs w:val="20"/>
              </w:rPr>
              <w:t>530</w:t>
            </w:r>
          </w:p>
        </w:tc>
        <w:tc>
          <w:tcPr>
            <w:tcW w:w="400" w:type="pct"/>
            <w:tcBorders>
              <w:top w:val="nil"/>
              <w:left w:val="nil"/>
              <w:bottom w:val="double" w:sz="4" w:space="0" w:color="auto"/>
              <w:right w:val="double" w:sz="4" w:space="0" w:color="auto"/>
            </w:tcBorders>
            <w:vAlign w:val="center"/>
          </w:tcPr>
          <w:p w14:paraId="069A5F97" w14:textId="1DB8D7FF" w:rsidR="007102CE" w:rsidRPr="00DA11F1" w:rsidRDefault="007102CE" w:rsidP="00161C65">
            <w:pPr>
              <w:spacing w:after="0"/>
              <w:jc w:val="center"/>
              <w:rPr>
                <w:rFonts w:ascii="Times New Roman" w:hAnsi="Times New Roman"/>
                <w:noProof/>
                <w:sz w:val="20"/>
                <w:szCs w:val="20"/>
              </w:rPr>
            </w:pPr>
            <w:r w:rsidRPr="00F43FC8">
              <w:rPr>
                <w:rFonts w:ascii="Times New Roman" w:hAnsi="Times New Roman"/>
                <w:noProof/>
                <w:sz w:val="20"/>
                <w:szCs w:val="20"/>
              </w:rPr>
              <w:t>1355</w:t>
            </w:r>
          </w:p>
        </w:tc>
      </w:tr>
      <w:tr w:rsidR="007102CE" w:rsidRPr="00DA11F1" w14:paraId="58BBE69A" w14:textId="6B51DD53" w:rsidTr="004A71F9">
        <w:tc>
          <w:tcPr>
            <w:tcW w:w="954"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748BC0F6" w14:textId="77777777" w:rsidR="007102CE" w:rsidRPr="00DA11F1" w:rsidRDefault="007102CE" w:rsidP="00161C65">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Changement par rapport à l’année</w:t>
            </w:r>
          </w:p>
          <w:p w14:paraId="30769C26" w14:textId="77777777" w:rsidR="007102CE" w:rsidRPr="00DA11F1" w:rsidRDefault="007102CE" w:rsidP="00161C65">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x-</w:t>
            </w:r>
            <w:r w:rsidRPr="00F43FC8">
              <w:rPr>
                <w:rFonts w:ascii="Times New Roman" w:hAnsi="Times New Roman"/>
                <w:b/>
                <w:bCs/>
                <w:noProof/>
                <w:color w:val="000000"/>
                <w:sz w:val="20"/>
                <w:szCs w:val="20"/>
              </w:rPr>
              <w:t>1</w:t>
            </w:r>
          </w:p>
        </w:tc>
        <w:tc>
          <w:tcPr>
            <w:tcW w:w="411"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1511E2B" w14:textId="77777777" w:rsidR="007102CE" w:rsidRPr="00DA11F1" w:rsidRDefault="007102CE" w:rsidP="00161C65">
            <w:pPr>
              <w:spacing w:after="0"/>
              <w:jc w:val="center"/>
              <w:rPr>
                <w:rFonts w:ascii="Times New Roman" w:hAnsi="Times New Roman"/>
                <w:noProof/>
                <w:color w:val="FF0000"/>
                <w:sz w:val="20"/>
                <w:szCs w:val="20"/>
              </w:rPr>
            </w:pP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2FFF3296" w14:textId="77777777" w:rsidR="007102CE" w:rsidRPr="00DA11F1" w:rsidRDefault="007102CE" w:rsidP="00161C65">
            <w:pPr>
              <w:spacing w:after="0"/>
              <w:jc w:val="center"/>
              <w:rPr>
                <w:rFonts w:ascii="Times New Roman" w:hAnsi="Times New Roman"/>
                <w:noProof/>
                <w:color w:val="FF0000"/>
                <w:sz w:val="20"/>
                <w:szCs w:val="20"/>
              </w:rPr>
            </w:pPr>
            <w:r>
              <w:rPr>
                <w:rFonts w:ascii="Times New Roman" w:hAnsi="Times New Roman"/>
                <w:noProof/>
                <w:sz w:val="20"/>
                <w:szCs w:val="20"/>
              </w:rPr>
              <w:t>-</w:t>
            </w:r>
            <w:r w:rsidRPr="00F43FC8">
              <w:rPr>
                <w:rFonts w:ascii="Times New Roman" w:hAnsi="Times New Roman"/>
                <w:noProof/>
                <w:sz w:val="20"/>
                <w:szCs w:val="20"/>
              </w:rPr>
              <w:t>2</w:t>
            </w:r>
            <w:r>
              <w:rPr>
                <w:rFonts w:ascii="Times New Roman" w:hAnsi="Times New Roman"/>
                <w:noProof/>
                <w:sz w:val="20"/>
                <w:szCs w:val="20"/>
              </w:rPr>
              <w:t>,</w:t>
            </w:r>
            <w:r w:rsidRPr="00F43FC8">
              <w:rPr>
                <w:rFonts w:ascii="Times New Roman" w:hAnsi="Times New Roman"/>
                <w:noProof/>
                <w:sz w:val="20"/>
                <w:szCs w:val="20"/>
              </w:rPr>
              <w:t>0</w:t>
            </w:r>
            <w:r>
              <w:rPr>
                <w:rFonts w:ascii="Times New Roman" w:hAnsi="Times New Roman"/>
                <w:noProof/>
                <w:sz w:val="20"/>
                <w:szCs w:val="20"/>
              </w:rPr>
              <w:t>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6C446B99" w14:textId="77777777" w:rsidR="007102CE" w:rsidRPr="00DA11F1" w:rsidRDefault="007102CE" w:rsidP="00161C65">
            <w:pPr>
              <w:spacing w:after="0"/>
              <w:jc w:val="center"/>
              <w:rPr>
                <w:rFonts w:ascii="Times New Roman" w:hAnsi="Times New Roman"/>
                <w:noProof/>
                <w:color w:val="FF0000"/>
                <w:sz w:val="20"/>
                <w:szCs w:val="20"/>
              </w:rPr>
            </w:pPr>
            <w:r w:rsidRPr="00F43FC8">
              <w:rPr>
                <w:rFonts w:ascii="Times New Roman" w:hAnsi="Times New Roman"/>
                <w:noProof/>
                <w:sz w:val="20"/>
                <w:szCs w:val="20"/>
              </w:rPr>
              <w:t>2</w:t>
            </w:r>
            <w:r>
              <w:rPr>
                <w:rFonts w:ascii="Times New Roman" w:hAnsi="Times New Roman"/>
                <w:noProof/>
                <w:sz w:val="20"/>
                <w:szCs w:val="20"/>
              </w:rPr>
              <w:t>,</w:t>
            </w:r>
            <w:r w:rsidRPr="00F43FC8">
              <w:rPr>
                <w:rFonts w:ascii="Times New Roman" w:hAnsi="Times New Roman"/>
                <w:noProof/>
                <w:sz w:val="20"/>
                <w:szCs w:val="20"/>
              </w:rPr>
              <w:t>2</w:t>
            </w:r>
            <w:r>
              <w:rPr>
                <w:rFonts w:ascii="Times New Roman" w:hAnsi="Times New Roman"/>
                <w:noProof/>
                <w:sz w:val="20"/>
                <w:szCs w:val="20"/>
              </w:rPr>
              <w:t>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17E0B4E3" w14:textId="77777777"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w:t>
            </w:r>
            <w:r w:rsidRPr="00F43FC8">
              <w:rPr>
                <w:rFonts w:ascii="Times New Roman" w:hAnsi="Times New Roman"/>
                <w:noProof/>
                <w:sz w:val="20"/>
                <w:szCs w:val="20"/>
              </w:rPr>
              <w:t>4</w:t>
            </w:r>
            <w:r>
              <w:rPr>
                <w:rFonts w:ascii="Times New Roman" w:hAnsi="Times New Roman"/>
                <w:noProof/>
                <w:sz w:val="20"/>
                <w:szCs w:val="20"/>
              </w:rPr>
              <w:t>,</w:t>
            </w:r>
            <w:r w:rsidRPr="00F43FC8">
              <w:rPr>
                <w:rFonts w:ascii="Times New Roman" w:hAnsi="Times New Roman"/>
                <w:noProof/>
                <w:sz w:val="20"/>
                <w:szCs w:val="20"/>
              </w:rPr>
              <w:t>9</w:t>
            </w:r>
            <w:r>
              <w:rPr>
                <w:rFonts w:ascii="Times New Roman" w:hAnsi="Times New Roman"/>
                <w:noProof/>
                <w:sz w:val="20"/>
                <w:szCs w:val="20"/>
              </w:rPr>
              <w:t> %</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228815F3" w14:textId="77777777"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w:t>
            </w:r>
            <w:r w:rsidRPr="00F43FC8">
              <w:rPr>
                <w:rFonts w:ascii="Times New Roman" w:hAnsi="Times New Roman"/>
                <w:noProof/>
                <w:sz w:val="20"/>
                <w:szCs w:val="20"/>
              </w:rPr>
              <w:t>0</w:t>
            </w:r>
            <w:r>
              <w:rPr>
                <w:rFonts w:ascii="Times New Roman" w:hAnsi="Times New Roman"/>
                <w:noProof/>
                <w:sz w:val="20"/>
                <w:szCs w:val="20"/>
              </w:rPr>
              <w:t>,</w:t>
            </w:r>
            <w:r w:rsidRPr="00F43FC8">
              <w:rPr>
                <w:rFonts w:ascii="Times New Roman" w:hAnsi="Times New Roman"/>
                <w:noProof/>
                <w:sz w:val="20"/>
                <w:szCs w:val="20"/>
              </w:rPr>
              <w:t>6</w:t>
            </w:r>
            <w:r>
              <w:rPr>
                <w:rFonts w:ascii="Times New Roman" w:hAnsi="Times New Roman"/>
                <w:noProof/>
                <w:sz w:val="20"/>
                <w:szCs w:val="20"/>
              </w:rPr>
              <w:t>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9BEC891" w14:textId="77777777"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w:t>
            </w:r>
            <w:r w:rsidRPr="00F43FC8">
              <w:rPr>
                <w:rFonts w:ascii="Times New Roman" w:hAnsi="Times New Roman"/>
                <w:noProof/>
                <w:sz w:val="20"/>
                <w:szCs w:val="20"/>
              </w:rPr>
              <w:t>2</w:t>
            </w:r>
            <w:r>
              <w:rPr>
                <w:rFonts w:ascii="Times New Roman" w:hAnsi="Times New Roman"/>
                <w:noProof/>
                <w:sz w:val="20"/>
                <w:szCs w:val="20"/>
              </w:rPr>
              <w:t>,</w:t>
            </w:r>
            <w:r w:rsidRPr="00F43FC8">
              <w:rPr>
                <w:rFonts w:ascii="Times New Roman" w:hAnsi="Times New Roman"/>
                <w:noProof/>
                <w:sz w:val="20"/>
                <w:szCs w:val="20"/>
              </w:rPr>
              <w:t>9</w:t>
            </w:r>
            <w:r>
              <w:rPr>
                <w:rFonts w:ascii="Times New Roman" w:hAnsi="Times New Roman"/>
                <w:noProof/>
                <w:sz w:val="20"/>
                <w:szCs w:val="20"/>
              </w:rPr>
              <w:t> %</w:t>
            </w:r>
          </w:p>
        </w:tc>
        <w:tc>
          <w:tcPr>
            <w:tcW w:w="404"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072152D9" w14:textId="77777777" w:rsidR="007102CE" w:rsidRPr="00DA11F1" w:rsidRDefault="007102CE" w:rsidP="00161C65">
            <w:pPr>
              <w:spacing w:after="0"/>
              <w:jc w:val="center"/>
              <w:rPr>
                <w:rFonts w:ascii="Times New Roman" w:hAnsi="Times New Roman"/>
                <w:noProof/>
                <w:color w:val="000000"/>
                <w:sz w:val="20"/>
                <w:szCs w:val="20"/>
              </w:rPr>
            </w:pPr>
            <w:r w:rsidRPr="00F43FC8">
              <w:rPr>
                <w:rFonts w:ascii="Times New Roman" w:hAnsi="Times New Roman"/>
                <w:noProof/>
                <w:sz w:val="20"/>
                <w:szCs w:val="20"/>
              </w:rPr>
              <w:t>0</w:t>
            </w:r>
            <w:r>
              <w:rPr>
                <w:rFonts w:ascii="Times New Roman" w:hAnsi="Times New Roman"/>
                <w:noProof/>
                <w:sz w:val="20"/>
                <w:szCs w:val="20"/>
              </w:rPr>
              <w:t>,</w:t>
            </w:r>
            <w:r w:rsidRPr="00F43FC8">
              <w:rPr>
                <w:rFonts w:ascii="Times New Roman" w:hAnsi="Times New Roman"/>
                <w:noProof/>
                <w:sz w:val="20"/>
                <w:szCs w:val="20"/>
              </w:rPr>
              <w:t>2</w:t>
            </w:r>
            <w:r>
              <w:rPr>
                <w:rFonts w:ascii="Times New Roman" w:hAnsi="Times New Roman"/>
                <w:noProof/>
                <w:sz w:val="20"/>
                <w:szCs w:val="20"/>
              </w:rPr>
              <w:t> %</w:t>
            </w:r>
          </w:p>
        </w:tc>
        <w:tc>
          <w:tcPr>
            <w:tcW w:w="402" w:type="pct"/>
            <w:tcBorders>
              <w:top w:val="nil"/>
              <w:left w:val="nil"/>
              <w:bottom w:val="double" w:sz="4" w:space="0" w:color="auto"/>
              <w:right w:val="double" w:sz="4" w:space="0" w:color="auto"/>
            </w:tcBorders>
            <w:vAlign w:val="center"/>
          </w:tcPr>
          <w:p w14:paraId="2473FF16" w14:textId="77777777"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w:t>
            </w:r>
            <w:r w:rsidRPr="00F43FC8">
              <w:rPr>
                <w:rFonts w:ascii="Times New Roman" w:hAnsi="Times New Roman"/>
                <w:noProof/>
                <w:sz w:val="20"/>
                <w:szCs w:val="20"/>
              </w:rPr>
              <w:t>4</w:t>
            </w:r>
            <w:r>
              <w:rPr>
                <w:rFonts w:ascii="Times New Roman" w:hAnsi="Times New Roman"/>
                <w:noProof/>
                <w:sz w:val="20"/>
                <w:szCs w:val="20"/>
              </w:rPr>
              <w:t>,</w:t>
            </w:r>
            <w:r w:rsidRPr="00F43FC8">
              <w:rPr>
                <w:rFonts w:ascii="Times New Roman" w:hAnsi="Times New Roman"/>
                <w:noProof/>
                <w:sz w:val="20"/>
                <w:szCs w:val="20"/>
              </w:rPr>
              <w:t>1</w:t>
            </w:r>
            <w:r>
              <w:rPr>
                <w:rFonts w:ascii="Times New Roman" w:hAnsi="Times New Roman"/>
                <w:noProof/>
                <w:sz w:val="20"/>
                <w:szCs w:val="20"/>
              </w:rPr>
              <w:t> %</w:t>
            </w:r>
          </w:p>
        </w:tc>
        <w:tc>
          <w:tcPr>
            <w:tcW w:w="401" w:type="pct"/>
            <w:tcBorders>
              <w:top w:val="nil"/>
              <w:left w:val="nil"/>
              <w:bottom w:val="double" w:sz="4" w:space="0" w:color="auto"/>
              <w:right w:val="double" w:sz="4" w:space="0" w:color="auto"/>
            </w:tcBorders>
            <w:vAlign w:val="center"/>
          </w:tcPr>
          <w:p w14:paraId="110DC7EF" w14:textId="77777777"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w:t>
            </w:r>
            <w:r w:rsidRPr="00F43FC8">
              <w:rPr>
                <w:rFonts w:ascii="Times New Roman" w:hAnsi="Times New Roman"/>
                <w:noProof/>
                <w:sz w:val="20"/>
                <w:szCs w:val="20"/>
              </w:rPr>
              <w:t>9</w:t>
            </w:r>
            <w:r>
              <w:rPr>
                <w:rFonts w:ascii="Times New Roman" w:hAnsi="Times New Roman"/>
                <w:noProof/>
                <w:sz w:val="20"/>
                <w:szCs w:val="20"/>
              </w:rPr>
              <w:t>,</w:t>
            </w:r>
            <w:r w:rsidRPr="00F43FC8">
              <w:rPr>
                <w:rFonts w:ascii="Times New Roman" w:hAnsi="Times New Roman"/>
                <w:noProof/>
                <w:sz w:val="20"/>
                <w:szCs w:val="20"/>
              </w:rPr>
              <w:t>1</w:t>
            </w:r>
            <w:r>
              <w:rPr>
                <w:rFonts w:ascii="Times New Roman" w:hAnsi="Times New Roman"/>
                <w:noProof/>
                <w:sz w:val="20"/>
                <w:szCs w:val="20"/>
              </w:rPr>
              <w:t> %</w:t>
            </w:r>
          </w:p>
        </w:tc>
        <w:tc>
          <w:tcPr>
            <w:tcW w:w="400" w:type="pct"/>
            <w:tcBorders>
              <w:top w:val="nil"/>
              <w:left w:val="nil"/>
              <w:bottom w:val="double" w:sz="4" w:space="0" w:color="auto"/>
              <w:right w:val="double" w:sz="4" w:space="0" w:color="auto"/>
            </w:tcBorders>
            <w:vAlign w:val="center"/>
          </w:tcPr>
          <w:p w14:paraId="3EA49F35" w14:textId="484F776F" w:rsidR="007102CE" w:rsidRPr="00DA11F1" w:rsidRDefault="007102CE" w:rsidP="00161C65">
            <w:pPr>
              <w:spacing w:after="0"/>
              <w:jc w:val="center"/>
              <w:rPr>
                <w:rFonts w:ascii="Times New Roman" w:hAnsi="Times New Roman"/>
                <w:noProof/>
                <w:sz w:val="20"/>
                <w:szCs w:val="20"/>
              </w:rPr>
            </w:pPr>
            <w:r>
              <w:rPr>
                <w:rFonts w:ascii="Times New Roman" w:hAnsi="Times New Roman"/>
                <w:noProof/>
                <w:sz w:val="20"/>
                <w:szCs w:val="20"/>
              </w:rPr>
              <w:t>-</w:t>
            </w:r>
            <w:r w:rsidRPr="00F43FC8">
              <w:rPr>
                <w:rFonts w:ascii="Times New Roman" w:hAnsi="Times New Roman"/>
                <w:noProof/>
                <w:sz w:val="20"/>
                <w:szCs w:val="20"/>
              </w:rPr>
              <w:t>11</w:t>
            </w:r>
            <w:r>
              <w:rPr>
                <w:rFonts w:ascii="Times New Roman" w:hAnsi="Times New Roman"/>
                <w:noProof/>
                <w:sz w:val="20"/>
                <w:szCs w:val="20"/>
              </w:rPr>
              <w:t>,</w:t>
            </w:r>
            <w:r w:rsidRPr="00F43FC8">
              <w:rPr>
                <w:rFonts w:ascii="Times New Roman" w:hAnsi="Times New Roman"/>
                <w:noProof/>
                <w:sz w:val="20"/>
                <w:szCs w:val="20"/>
              </w:rPr>
              <w:t>4</w:t>
            </w:r>
            <w:r>
              <w:rPr>
                <w:rFonts w:ascii="Times New Roman" w:hAnsi="Times New Roman"/>
                <w:noProof/>
                <w:sz w:val="20"/>
                <w:szCs w:val="20"/>
              </w:rPr>
              <w:t> %</w:t>
            </w:r>
          </w:p>
        </w:tc>
      </w:tr>
      <w:tr w:rsidR="007102CE" w:rsidRPr="00DA11F1" w14:paraId="71297D0E" w14:textId="4C7C7704" w:rsidTr="004A71F9">
        <w:trPr>
          <w:trHeight w:val="558"/>
        </w:trPr>
        <w:tc>
          <w:tcPr>
            <w:tcW w:w="954"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3B8A866D" w14:textId="77777777" w:rsidR="007102CE" w:rsidRPr="00DA11F1" w:rsidRDefault="007102CE" w:rsidP="009B1308">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Émissions vérifiées de la production d’électricité et de chaleur</w:t>
            </w:r>
          </w:p>
        </w:tc>
        <w:tc>
          <w:tcPr>
            <w:tcW w:w="411"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4C53CD54" w14:textId="3ED5A144" w:rsidR="007102CE" w:rsidRPr="00DA11F1" w:rsidRDefault="007102CE" w:rsidP="00161C65">
            <w:pPr>
              <w:spacing w:after="0"/>
              <w:jc w:val="center"/>
              <w:rPr>
                <w:rFonts w:ascii="Times New Roman" w:hAnsi="Times New Roman"/>
                <w:noProof/>
                <w:color w:val="000000"/>
                <w:sz w:val="20"/>
                <w:szCs w:val="20"/>
              </w:rPr>
            </w:pPr>
            <w:r w:rsidRPr="00F43FC8">
              <w:rPr>
                <w:rFonts w:ascii="Times New Roman" w:hAnsi="Times New Roman"/>
                <w:noProof/>
                <w:sz w:val="20"/>
                <w:szCs w:val="20"/>
              </w:rPr>
              <w:t>1</w:t>
            </w:r>
            <w:r>
              <w:rPr>
                <w:rFonts w:ascii="Times New Roman" w:hAnsi="Times New Roman"/>
                <w:noProof/>
                <w:sz w:val="20"/>
                <w:szCs w:val="20"/>
              </w:rPr>
              <w:t> </w:t>
            </w:r>
            <w:r w:rsidRPr="00F43FC8">
              <w:rPr>
                <w:rFonts w:ascii="Times New Roman" w:hAnsi="Times New Roman"/>
                <w:noProof/>
                <w:sz w:val="20"/>
                <w:szCs w:val="20"/>
              </w:rPr>
              <w:t>261</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45F8DF2A" w14:textId="24987B68" w:rsidR="007102CE" w:rsidRPr="00DA11F1" w:rsidRDefault="007102CE" w:rsidP="00161C65">
            <w:pPr>
              <w:spacing w:after="0"/>
              <w:jc w:val="center"/>
              <w:rPr>
                <w:rFonts w:ascii="Times New Roman" w:hAnsi="Times New Roman"/>
                <w:noProof/>
                <w:color w:val="000000"/>
                <w:sz w:val="20"/>
                <w:szCs w:val="20"/>
              </w:rPr>
            </w:pPr>
            <w:r w:rsidRPr="00F43FC8">
              <w:rPr>
                <w:rFonts w:ascii="Times New Roman" w:hAnsi="Times New Roman"/>
                <w:noProof/>
                <w:sz w:val="20"/>
                <w:szCs w:val="20"/>
              </w:rPr>
              <w:t>1</w:t>
            </w:r>
            <w:r>
              <w:rPr>
                <w:rFonts w:ascii="Times New Roman" w:hAnsi="Times New Roman"/>
                <w:noProof/>
                <w:sz w:val="20"/>
                <w:szCs w:val="20"/>
              </w:rPr>
              <w:t> </w:t>
            </w:r>
            <w:r w:rsidRPr="00F43FC8">
              <w:rPr>
                <w:rFonts w:ascii="Times New Roman" w:hAnsi="Times New Roman"/>
                <w:noProof/>
                <w:sz w:val="20"/>
                <w:szCs w:val="20"/>
              </w:rPr>
              <w:t>254</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77962B51" w14:textId="08C3061F" w:rsidR="007102CE" w:rsidRPr="00DA11F1" w:rsidRDefault="007102CE" w:rsidP="00161C65">
            <w:pPr>
              <w:spacing w:after="0"/>
              <w:jc w:val="center"/>
              <w:rPr>
                <w:rFonts w:ascii="Times New Roman" w:hAnsi="Times New Roman"/>
                <w:noProof/>
                <w:color w:val="000000"/>
                <w:sz w:val="20"/>
                <w:szCs w:val="20"/>
              </w:rPr>
            </w:pPr>
            <w:r w:rsidRPr="00F43FC8">
              <w:rPr>
                <w:rFonts w:ascii="Times New Roman" w:hAnsi="Times New Roman"/>
                <w:noProof/>
                <w:sz w:val="20"/>
                <w:szCs w:val="20"/>
              </w:rPr>
              <w:t>1</w:t>
            </w:r>
            <w:r>
              <w:rPr>
                <w:rFonts w:ascii="Times New Roman" w:hAnsi="Times New Roman"/>
                <w:noProof/>
                <w:sz w:val="20"/>
                <w:szCs w:val="20"/>
              </w:rPr>
              <w:t> </w:t>
            </w:r>
            <w:r w:rsidRPr="00F43FC8">
              <w:rPr>
                <w:rFonts w:ascii="Times New Roman" w:hAnsi="Times New Roman"/>
                <w:noProof/>
                <w:sz w:val="20"/>
                <w:szCs w:val="20"/>
              </w:rPr>
              <w:t>191</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708B331" w14:textId="3CCE95B9" w:rsidR="007102CE" w:rsidRPr="00DA11F1" w:rsidRDefault="007102CE" w:rsidP="00161C65">
            <w:pPr>
              <w:spacing w:after="0"/>
              <w:jc w:val="center"/>
              <w:rPr>
                <w:rFonts w:ascii="Times New Roman" w:hAnsi="Times New Roman"/>
                <w:noProof/>
                <w:color w:val="000000"/>
                <w:sz w:val="20"/>
                <w:szCs w:val="20"/>
              </w:rPr>
            </w:pPr>
            <w:r w:rsidRPr="00F43FC8">
              <w:rPr>
                <w:rFonts w:ascii="Times New Roman" w:hAnsi="Times New Roman"/>
                <w:noProof/>
                <w:sz w:val="20"/>
                <w:szCs w:val="20"/>
              </w:rPr>
              <w:t>1</w:t>
            </w:r>
            <w:r>
              <w:rPr>
                <w:rFonts w:ascii="Times New Roman" w:hAnsi="Times New Roman"/>
                <w:noProof/>
                <w:sz w:val="20"/>
                <w:szCs w:val="20"/>
              </w:rPr>
              <w:t> </w:t>
            </w:r>
            <w:r w:rsidRPr="00F43FC8">
              <w:rPr>
                <w:rFonts w:ascii="Times New Roman" w:hAnsi="Times New Roman"/>
                <w:noProof/>
                <w:sz w:val="20"/>
                <w:szCs w:val="20"/>
              </w:rPr>
              <w:t>100</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03CF46E1" w14:textId="5C52B877" w:rsidR="007102CE" w:rsidRPr="00DA11F1" w:rsidRDefault="007102CE" w:rsidP="00161C65">
            <w:pPr>
              <w:spacing w:after="0"/>
              <w:jc w:val="center"/>
              <w:rPr>
                <w:rFonts w:ascii="Times New Roman" w:hAnsi="Times New Roman"/>
                <w:noProof/>
                <w:color w:val="000000"/>
                <w:sz w:val="20"/>
                <w:szCs w:val="20"/>
              </w:rPr>
            </w:pPr>
            <w:r w:rsidRPr="00F43FC8">
              <w:rPr>
                <w:rFonts w:ascii="Times New Roman" w:hAnsi="Times New Roman"/>
                <w:noProof/>
                <w:sz w:val="20"/>
                <w:szCs w:val="20"/>
              </w:rPr>
              <w:t>1</w:t>
            </w:r>
            <w:r>
              <w:rPr>
                <w:rFonts w:ascii="Times New Roman" w:hAnsi="Times New Roman"/>
                <w:noProof/>
                <w:sz w:val="20"/>
                <w:szCs w:val="20"/>
              </w:rPr>
              <w:t> </w:t>
            </w:r>
            <w:r w:rsidRPr="00F43FC8">
              <w:rPr>
                <w:rFonts w:ascii="Times New Roman" w:hAnsi="Times New Roman"/>
                <w:noProof/>
                <w:sz w:val="20"/>
                <w:szCs w:val="20"/>
              </w:rPr>
              <w:t>091</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41DEE4AE" w14:textId="6C7B9A66" w:rsidR="007102CE" w:rsidRPr="00DA11F1" w:rsidRDefault="007102CE" w:rsidP="00161C65">
            <w:pPr>
              <w:spacing w:after="0"/>
              <w:jc w:val="center"/>
              <w:rPr>
                <w:rFonts w:ascii="Times New Roman" w:hAnsi="Times New Roman"/>
                <w:noProof/>
                <w:color w:val="000000"/>
                <w:sz w:val="20"/>
                <w:szCs w:val="20"/>
              </w:rPr>
            </w:pPr>
            <w:r w:rsidRPr="00F43FC8">
              <w:rPr>
                <w:rFonts w:ascii="Times New Roman" w:hAnsi="Times New Roman"/>
                <w:noProof/>
                <w:sz w:val="20"/>
                <w:szCs w:val="20"/>
              </w:rPr>
              <w:t>1</w:t>
            </w:r>
            <w:r>
              <w:rPr>
                <w:rFonts w:ascii="Times New Roman" w:hAnsi="Times New Roman"/>
                <w:noProof/>
                <w:sz w:val="20"/>
                <w:szCs w:val="20"/>
              </w:rPr>
              <w:t> </w:t>
            </w:r>
            <w:r w:rsidRPr="00F43FC8">
              <w:rPr>
                <w:rFonts w:ascii="Times New Roman" w:hAnsi="Times New Roman"/>
                <w:noProof/>
                <w:sz w:val="20"/>
                <w:szCs w:val="20"/>
              </w:rPr>
              <w:t>046</w:t>
            </w:r>
          </w:p>
        </w:tc>
        <w:tc>
          <w:tcPr>
            <w:tcW w:w="404"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1EF7B0DE" w14:textId="5CDF2DD8" w:rsidR="007102CE" w:rsidRPr="00DA11F1" w:rsidRDefault="007102CE" w:rsidP="00161C65">
            <w:pPr>
              <w:spacing w:after="0"/>
              <w:jc w:val="center"/>
              <w:rPr>
                <w:rFonts w:ascii="Times New Roman" w:hAnsi="Times New Roman"/>
                <w:noProof/>
                <w:color w:val="000000"/>
                <w:sz w:val="20"/>
                <w:szCs w:val="20"/>
              </w:rPr>
            </w:pPr>
            <w:r w:rsidRPr="00F43FC8">
              <w:rPr>
                <w:rFonts w:ascii="Times New Roman" w:hAnsi="Times New Roman"/>
                <w:noProof/>
                <w:sz w:val="20"/>
                <w:szCs w:val="20"/>
              </w:rPr>
              <w:t>1036</w:t>
            </w:r>
          </w:p>
        </w:tc>
        <w:tc>
          <w:tcPr>
            <w:tcW w:w="402" w:type="pct"/>
            <w:tcBorders>
              <w:top w:val="nil"/>
              <w:left w:val="nil"/>
              <w:bottom w:val="double" w:sz="4" w:space="0" w:color="auto"/>
              <w:right w:val="double" w:sz="4" w:space="0" w:color="auto"/>
            </w:tcBorders>
            <w:vAlign w:val="center"/>
          </w:tcPr>
          <w:p w14:paraId="1F48FD55" w14:textId="78EE9BCB" w:rsidR="007102CE" w:rsidRPr="00DA11F1" w:rsidRDefault="007102CE" w:rsidP="00161C65">
            <w:pPr>
              <w:spacing w:after="0"/>
              <w:jc w:val="center"/>
              <w:rPr>
                <w:rFonts w:ascii="Times New Roman" w:hAnsi="Times New Roman"/>
                <w:noProof/>
                <w:color w:val="000000"/>
                <w:sz w:val="20"/>
                <w:szCs w:val="20"/>
              </w:rPr>
            </w:pPr>
            <w:r w:rsidRPr="00F43FC8">
              <w:rPr>
                <w:rFonts w:ascii="Times New Roman" w:hAnsi="Times New Roman"/>
                <w:noProof/>
                <w:sz w:val="20"/>
                <w:szCs w:val="20"/>
              </w:rPr>
              <w:t>964</w:t>
            </w:r>
          </w:p>
        </w:tc>
        <w:tc>
          <w:tcPr>
            <w:tcW w:w="401" w:type="pct"/>
            <w:tcBorders>
              <w:top w:val="nil"/>
              <w:left w:val="nil"/>
              <w:bottom w:val="double" w:sz="4" w:space="0" w:color="auto"/>
              <w:right w:val="double" w:sz="4" w:space="0" w:color="auto"/>
            </w:tcBorders>
            <w:vAlign w:val="center"/>
          </w:tcPr>
          <w:p w14:paraId="4E2B60B2" w14:textId="74DBC343" w:rsidR="007102CE" w:rsidRPr="00DA11F1" w:rsidRDefault="007102CE" w:rsidP="00161C65">
            <w:pPr>
              <w:spacing w:after="0"/>
              <w:jc w:val="center"/>
              <w:rPr>
                <w:rFonts w:ascii="Times New Roman" w:hAnsi="Times New Roman"/>
                <w:noProof/>
                <w:color w:val="000000"/>
                <w:sz w:val="20"/>
                <w:szCs w:val="20"/>
              </w:rPr>
            </w:pPr>
            <w:r w:rsidRPr="00F43FC8">
              <w:rPr>
                <w:rFonts w:ascii="Times New Roman" w:hAnsi="Times New Roman"/>
                <w:noProof/>
                <w:sz w:val="20"/>
                <w:szCs w:val="20"/>
              </w:rPr>
              <w:t>822</w:t>
            </w:r>
          </w:p>
        </w:tc>
        <w:tc>
          <w:tcPr>
            <w:tcW w:w="400" w:type="pct"/>
            <w:tcBorders>
              <w:top w:val="nil"/>
              <w:left w:val="nil"/>
              <w:bottom w:val="double" w:sz="4" w:space="0" w:color="auto"/>
              <w:right w:val="double" w:sz="4" w:space="0" w:color="auto"/>
            </w:tcBorders>
            <w:vAlign w:val="center"/>
          </w:tcPr>
          <w:p w14:paraId="5DEEA839" w14:textId="19788191" w:rsidR="007102CE" w:rsidRPr="00DA11F1" w:rsidRDefault="007102CE" w:rsidP="00161C65">
            <w:pPr>
              <w:spacing w:after="0"/>
              <w:jc w:val="center"/>
              <w:rPr>
                <w:rFonts w:ascii="Times New Roman" w:hAnsi="Times New Roman"/>
                <w:noProof/>
                <w:sz w:val="20"/>
                <w:szCs w:val="20"/>
              </w:rPr>
            </w:pPr>
            <w:r w:rsidRPr="00F43FC8">
              <w:rPr>
                <w:rFonts w:ascii="Times New Roman" w:hAnsi="Times New Roman"/>
                <w:noProof/>
                <w:sz w:val="20"/>
                <w:szCs w:val="20"/>
              </w:rPr>
              <w:t>696</w:t>
            </w:r>
          </w:p>
        </w:tc>
      </w:tr>
      <w:tr w:rsidR="007102CE" w:rsidRPr="00DA11F1" w14:paraId="7E29135A" w14:textId="27B86F65" w:rsidTr="004A71F9">
        <w:tc>
          <w:tcPr>
            <w:tcW w:w="954"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5FAF6D9B" w14:textId="77777777" w:rsidR="007102CE" w:rsidRPr="00DA11F1" w:rsidRDefault="007102CE" w:rsidP="00161C65">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Changement par rapport à l’année</w:t>
            </w:r>
          </w:p>
          <w:p w14:paraId="680CC652" w14:textId="77777777" w:rsidR="007102CE" w:rsidRPr="00DA11F1" w:rsidRDefault="007102CE" w:rsidP="00161C65">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x-</w:t>
            </w:r>
            <w:r w:rsidRPr="00F43FC8">
              <w:rPr>
                <w:rFonts w:ascii="Times New Roman" w:hAnsi="Times New Roman"/>
                <w:b/>
                <w:bCs/>
                <w:noProof/>
                <w:color w:val="000000"/>
                <w:sz w:val="20"/>
                <w:szCs w:val="20"/>
              </w:rPr>
              <w:t>1</w:t>
            </w:r>
          </w:p>
        </w:tc>
        <w:tc>
          <w:tcPr>
            <w:tcW w:w="411" w:type="pct"/>
            <w:tcBorders>
              <w:top w:val="nil"/>
              <w:left w:val="nil"/>
              <w:bottom w:val="double" w:sz="4" w:space="0" w:color="auto"/>
              <w:right w:val="double" w:sz="4" w:space="0" w:color="auto"/>
            </w:tcBorders>
            <w:tcMar>
              <w:top w:w="0" w:type="dxa"/>
              <w:left w:w="108" w:type="dxa"/>
              <w:bottom w:w="0" w:type="dxa"/>
              <w:right w:w="108" w:type="dxa"/>
            </w:tcMar>
            <w:vAlign w:val="center"/>
          </w:tcPr>
          <w:p w14:paraId="4D213106" w14:textId="77777777" w:rsidR="007102CE" w:rsidRPr="00DA11F1" w:rsidRDefault="007102CE" w:rsidP="00161C65">
            <w:pPr>
              <w:spacing w:after="0"/>
              <w:jc w:val="center"/>
              <w:rPr>
                <w:rFonts w:ascii="Times New Roman" w:hAnsi="Times New Roman"/>
                <w:noProof/>
                <w:color w:val="000000"/>
                <w:sz w:val="20"/>
                <w:szCs w:val="20"/>
                <w:lang w:eastAsia="en-GB"/>
              </w:rPr>
            </w:pP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0D6288FA" w14:textId="77777777"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w:t>
            </w:r>
            <w:r w:rsidRPr="00F43FC8">
              <w:rPr>
                <w:rFonts w:ascii="Times New Roman" w:hAnsi="Times New Roman"/>
                <w:noProof/>
                <w:sz w:val="20"/>
                <w:szCs w:val="20"/>
              </w:rPr>
              <w:t>0</w:t>
            </w:r>
            <w:r>
              <w:rPr>
                <w:rFonts w:ascii="Times New Roman" w:hAnsi="Times New Roman"/>
                <w:noProof/>
                <w:sz w:val="20"/>
                <w:szCs w:val="20"/>
              </w:rPr>
              <w:t>,</w:t>
            </w:r>
            <w:r w:rsidRPr="00F43FC8">
              <w:rPr>
                <w:rFonts w:ascii="Times New Roman" w:hAnsi="Times New Roman"/>
                <w:noProof/>
                <w:sz w:val="20"/>
                <w:szCs w:val="20"/>
              </w:rPr>
              <w:t>5</w:t>
            </w:r>
            <w:r>
              <w:rPr>
                <w:rFonts w:ascii="Times New Roman" w:hAnsi="Times New Roman"/>
                <w:noProof/>
                <w:sz w:val="20"/>
                <w:szCs w:val="20"/>
              </w:rPr>
              <w:t>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182D9179" w14:textId="2DDEDFBF"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w:t>
            </w:r>
            <w:r w:rsidRPr="00F43FC8">
              <w:rPr>
                <w:rFonts w:ascii="Times New Roman" w:hAnsi="Times New Roman"/>
                <w:noProof/>
                <w:sz w:val="20"/>
                <w:szCs w:val="20"/>
              </w:rPr>
              <w:t>5</w:t>
            </w:r>
            <w:r>
              <w:rPr>
                <w:rFonts w:ascii="Times New Roman" w:hAnsi="Times New Roman"/>
                <w:noProof/>
                <w:sz w:val="20"/>
                <w:szCs w:val="20"/>
              </w:rPr>
              <w:t>,</w:t>
            </w:r>
            <w:r w:rsidRPr="00F43FC8">
              <w:rPr>
                <w:rFonts w:ascii="Times New Roman" w:hAnsi="Times New Roman"/>
                <w:noProof/>
                <w:sz w:val="20"/>
                <w:szCs w:val="20"/>
              </w:rPr>
              <w:t>0</w:t>
            </w:r>
            <w:r>
              <w:rPr>
                <w:rFonts w:ascii="Times New Roman" w:hAnsi="Times New Roman"/>
                <w:noProof/>
                <w:sz w:val="20"/>
                <w:szCs w:val="20"/>
              </w:rPr>
              <w:t>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2732A0B5" w14:textId="5A3A6658"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w:t>
            </w:r>
            <w:r w:rsidRPr="00F43FC8">
              <w:rPr>
                <w:rFonts w:ascii="Times New Roman" w:hAnsi="Times New Roman"/>
                <w:noProof/>
                <w:sz w:val="20"/>
                <w:szCs w:val="20"/>
              </w:rPr>
              <w:t>7</w:t>
            </w:r>
            <w:r>
              <w:rPr>
                <w:rFonts w:ascii="Times New Roman" w:hAnsi="Times New Roman"/>
                <w:noProof/>
                <w:sz w:val="20"/>
                <w:szCs w:val="20"/>
              </w:rPr>
              <w:t>,</w:t>
            </w:r>
            <w:r w:rsidRPr="00F43FC8">
              <w:rPr>
                <w:rFonts w:ascii="Times New Roman" w:hAnsi="Times New Roman"/>
                <w:noProof/>
                <w:sz w:val="20"/>
                <w:szCs w:val="20"/>
              </w:rPr>
              <w:t>7</w:t>
            </w:r>
            <w:r>
              <w:rPr>
                <w:rFonts w:ascii="Times New Roman" w:hAnsi="Times New Roman"/>
                <w:noProof/>
                <w:sz w:val="20"/>
                <w:szCs w:val="20"/>
              </w:rPr>
              <w:t> %</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C4BF9BF" w14:textId="0D753482"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w:t>
            </w:r>
            <w:r w:rsidRPr="00F43FC8">
              <w:rPr>
                <w:rFonts w:ascii="Times New Roman" w:hAnsi="Times New Roman"/>
                <w:noProof/>
                <w:sz w:val="20"/>
                <w:szCs w:val="20"/>
              </w:rPr>
              <w:t>0</w:t>
            </w:r>
            <w:r>
              <w:rPr>
                <w:rFonts w:ascii="Times New Roman" w:hAnsi="Times New Roman"/>
                <w:noProof/>
                <w:sz w:val="20"/>
                <w:szCs w:val="20"/>
              </w:rPr>
              <w:t>,</w:t>
            </w:r>
            <w:r w:rsidRPr="00F43FC8">
              <w:rPr>
                <w:rFonts w:ascii="Times New Roman" w:hAnsi="Times New Roman"/>
                <w:noProof/>
                <w:sz w:val="20"/>
                <w:szCs w:val="20"/>
              </w:rPr>
              <w:t>8</w:t>
            </w:r>
            <w:r>
              <w:rPr>
                <w:rFonts w:ascii="Times New Roman" w:hAnsi="Times New Roman"/>
                <w:noProof/>
                <w:sz w:val="20"/>
                <w:szCs w:val="20"/>
              </w:rPr>
              <w:t>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69B904DA" w14:textId="77777777"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w:t>
            </w:r>
            <w:r w:rsidRPr="00F43FC8">
              <w:rPr>
                <w:rFonts w:ascii="Times New Roman" w:hAnsi="Times New Roman"/>
                <w:noProof/>
                <w:sz w:val="20"/>
                <w:szCs w:val="20"/>
              </w:rPr>
              <w:t>4</w:t>
            </w:r>
            <w:r>
              <w:rPr>
                <w:rFonts w:ascii="Times New Roman" w:hAnsi="Times New Roman"/>
                <w:noProof/>
                <w:sz w:val="20"/>
                <w:szCs w:val="20"/>
              </w:rPr>
              <w:t>,</w:t>
            </w:r>
            <w:r w:rsidRPr="00F43FC8">
              <w:rPr>
                <w:rFonts w:ascii="Times New Roman" w:hAnsi="Times New Roman"/>
                <w:noProof/>
                <w:sz w:val="20"/>
                <w:szCs w:val="20"/>
              </w:rPr>
              <w:t>1</w:t>
            </w:r>
            <w:r>
              <w:rPr>
                <w:rFonts w:ascii="Times New Roman" w:hAnsi="Times New Roman"/>
                <w:noProof/>
                <w:sz w:val="20"/>
                <w:szCs w:val="20"/>
              </w:rPr>
              <w:t> %</w:t>
            </w:r>
          </w:p>
        </w:tc>
        <w:tc>
          <w:tcPr>
            <w:tcW w:w="404"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79FC11AF" w14:textId="646C2056"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w:t>
            </w:r>
            <w:r w:rsidRPr="00F43FC8">
              <w:rPr>
                <w:rFonts w:ascii="Times New Roman" w:hAnsi="Times New Roman"/>
                <w:noProof/>
                <w:sz w:val="20"/>
                <w:szCs w:val="20"/>
              </w:rPr>
              <w:t>1</w:t>
            </w:r>
            <w:r>
              <w:rPr>
                <w:rFonts w:ascii="Times New Roman" w:hAnsi="Times New Roman"/>
                <w:noProof/>
                <w:sz w:val="20"/>
                <w:szCs w:val="20"/>
              </w:rPr>
              <w:t>,</w:t>
            </w:r>
            <w:r w:rsidRPr="00F43FC8">
              <w:rPr>
                <w:rFonts w:ascii="Times New Roman" w:hAnsi="Times New Roman"/>
                <w:noProof/>
                <w:sz w:val="20"/>
                <w:szCs w:val="20"/>
              </w:rPr>
              <w:t>0</w:t>
            </w:r>
            <w:r>
              <w:rPr>
                <w:rFonts w:ascii="Times New Roman" w:hAnsi="Times New Roman"/>
                <w:noProof/>
                <w:sz w:val="20"/>
                <w:szCs w:val="20"/>
              </w:rPr>
              <w:t> %</w:t>
            </w:r>
          </w:p>
        </w:tc>
        <w:tc>
          <w:tcPr>
            <w:tcW w:w="402" w:type="pct"/>
            <w:tcBorders>
              <w:top w:val="nil"/>
              <w:left w:val="nil"/>
              <w:bottom w:val="double" w:sz="4" w:space="0" w:color="auto"/>
              <w:right w:val="double" w:sz="4" w:space="0" w:color="auto"/>
            </w:tcBorders>
            <w:vAlign w:val="center"/>
          </w:tcPr>
          <w:p w14:paraId="563F5564" w14:textId="23217D87"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w:t>
            </w:r>
            <w:r w:rsidRPr="00F43FC8">
              <w:rPr>
                <w:rFonts w:ascii="Times New Roman" w:hAnsi="Times New Roman"/>
                <w:noProof/>
                <w:sz w:val="20"/>
                <w:szCs w:val="20"/>
              </w:rPr>
              <w:t>7</w:t>
            </w:r>
            <w:r>
              <w:rPr>
                <w:rFonts w:ascii="Times New Roman" w:hAnsi="Times New Roman"/>
                <w:noProof/>
                <w:sz w:val="20"/>
                <w:szCs w:val="20"/>
              </w:rPr>
              <w:t>,</w:t>
            </w:r>
            <w:r w:rsidRPr="00F43FC8">
              <w:rPr>
                <w:rFonts w:ascii="Times New Roman" w:hAnsi="Times New Roman"/>
                <w:noProof/>
                <w:sz w:val="20"/>
                <w:szCs w:val="20"/>
              </w:rPr>
              <w:t>0</w:t>
            </w:r>
            <w:r>
              <w:rPr>
                <w:rFonts w:ascii="Times New Roman" w:hAnsi="Times New Roman"/>
                <w:noProof/>
                <w:sz w:val="20"/>
                <w:szCs w:val="20"/>
              </w:rPr>
              <w:t> %</w:t>
            </w:r>
          </w:p>
        </w:tc>
        <w:tc>
          <w:tcPr>
            <w:tcW w:w="401" w:type="pct"/>
            <w:tcBorders>
              <w:top w:val="nil"/>
              <w:left w:val="nil"/>
              <w:bottom w:val="double" w:sz="4" w:space="0" w:color="auto"/>
              <w:right w:val="double" w:sz="4" w:space="0" w:color="auto"/>
            </w:tcBorders>
            <w:vAlign w:val="center"/>
          </w:tcPr>
          <w:p w14:paraId="56BBD00B" w14:textId="56D9684D"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w:t>
            </w:r>
            <w:r w:rsidRPr="00F43FC8">
              <w:rPr>
                <w:rFonts w:ascii="Times New Roman" w:hAnsi="Times New Roman"/>
                <w:noProof/>
                <w:sz w:val="20"/>
                <w:szCs w:val="20"/>
              </w:rPr>
              <w:t>14</w:t>
            </w:r>
            <w:r>
              <w:rPr>
                <w:rFonts w:ascii="Times New Roman" w:hAnsi="Times New Roman"/>
                <w:noProof/>
                <w:sz w:val="20"/>
                <w:szCs w:val="20"/>
              </w:rPr>
              <w:t>,</w:t>
            </w:r>
            <w:r w:rsidRPr="00F43FC8">
              <w:rPr>
                <w:rFonts w:ascii="Times New Roman" w:hAnsi="Times New Roman"/>
                <w:noProof/>
                <w:sz w:val="20"/>
                <w:szCs w:val="20"/>
              </w:rPr>
              <w:t>7</w:t>
            </w:r>
            <w:r>
              <w:rPr>
                <w:rFonts w:ascii="Times New Roman" w:hAnsi="Times New Roman"/>
                <w:noProof/>
                <w:sz w:val="20"/>
                <w:szCs w:val="20"/>
              </w:rPr>
              <w:t> %</w:t>
            </w:r>
          </w:p>
        </w:tc>
        <w:tc>
          <w:tcPr>
            <w:tcW w:w="400" w:type="pct"/>
            <w:tcBorders>
              <w:top w:val="nil"/>
              <w:left w:val="nil"/>
              <w:bottom w:val="double" w:sz="4" w:space="0" w:color="auto"/>
              <w:right w:val="double" w:sz="4" w:space="0" w:color="auto"/>
            </w:tcBorders>
            <w:vAlign w:val="center"/>
          </w:tcPr>
          <w:p w14:paraId="6996439D" w14:textId="68A711BF" w:rsidR="007102CE" w:rsidRPr="00DA11F1" w:rsidRDefault="00DA5553" w:rsidP="00161C65">
            <w:pPr>
              <w:spacing w:after="0"/>
              <w:jc w:val="center"/>
              <w:rPr>
                <w:rFonts w:ascii="Times New Roman" w:hAnsi="Times New Roman"/>
                <w:noProof/>
                <w:sz w:val="20"/>
                <w:szCs w:val="20"/>
              </w:rPr>
            </w:pPr>
            <w:r>
              <w:rPr>
                <w:rFonts w:ascii="Times New Roman" w:hAnsi="Times New Roman"/>
                <w:noProof/>
                <w:sz w:val="20"/>
                <w:szCs w:val="20"/>
              </w:rPr>
              <w:t>-</w:t>
            </w:r>
            <w:r w:rsidRPr="00F43FC8">
              <w:rPr>
                <w:rFonts w:ascii="Times New Roman" w:hAnsi="Times New Roman"/>
                <w:noProof/>
                <w:sz w:val="20"/>
                <w:szCs w:val="20"/>
              </w:rPr>
              <w:t>15</w:t>
            </w:r>
            <w:r>
              <w:rPr>
                <w:rFonts w:ascii="Times New Roman" w:hAnsi="Times New Roman"/>
                <w:noProof/>
                <w:sz w:val="20"/>
                <w:szCs w:val="20"/>
              </w:rPr>
              <w:t>,</w:t>
            </w:r>
            <w:r w:rsidRPr="00F43FC8">
              <w:rPr>
                <w:rFonts w:ascii="Times New Roman" w:hAnsi="Times New Roman"/>
                <w:noProof/>
                <w:sz w:val="20"/>
                <w:szCs w:val="20"/>
              </w:rPr>
              <w:t>3</w:t>
            </w:r>
            <w:r>
              <w:rPr>
                <w:rFonts w:ascii="Times New Roman" w:hAnsi="Times New Roman"/>
                <w:noProof/>
                <w:sz w:val="20"/>
                <w:szCs w:val="20"/>
              </w:rPr>
              <w:t> %</w:t>
            </w:r>
          </w:p>
        </w:tc>
      </w:tr>
      <w:tr w:rsidR="007102CE" w:rsidRPr="00DA11F1" w14:paraId="2DEF19AB" w14:textId="44ACDAA4" w:rsidTr="004A71F9">
        <w:trPr>
          <w:trHeight w:val="582"/>
        </w:trPr>
        <w:tc>
          <w:tcPr>
            <w:tcW w:w="954"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08D87057" w14:textId="77777777" w:rsidR="007102CE" w:rsidRPr="00DA11F1" w:rsidRDefault="007102CE" w:rsidP="00161C65">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Émissions vérifiées des installations industrielles</w:t>
            </w:r>
          </w:p>
        </w:tc>
        <w:tc>
          <w:tcPr>
            <w:tcW w:w="411"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725A6AD5" w14:textId="6D833E04" w:rsidR="007102CE" w:rsidRPr="00DA11F1" w:rsidRDefault="007102CE" w:rsidP="00161C65">
            <w:pPr>
              <w:spacing w:after="0"/>
              <w:jc w:val="center"/>
              <w:rPr>
                <w:rFonts w:ascii="Times New Roman" w:hAnsi="Times New Roman"/>
                <w:noProof/>
                <w:color w:val="000000"/>
                <w:sz w:val="20"/>
                <w:szCs w:val="20"/>
              </w:rPr>
            </w:pPr>
            <w:r w:rsidRPr="00F43FC8">
              <w:rPr>
                <w:rFonts w:ascii="Times New Roman" w:hAnsi="Times New Roman"/>
                <w:noProof/>
                <w:sz w:val="20"/>
                <w:szCs w:val="20"/>
              </w:rPr>
              <w:t>643</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11C1542F" w14:textId="5EEF1CCE" w:rsidR="007102CE" w:rsidRPr="00DA11F1" w:rsidRDefault="007102CE" w:rsidP="00161C65">
            <w:pPr>
              <w:spacing w:after="0"/>
              <w:jc w:val="center"/>
              <w:rPr>
                <w:rFonts w:ascii="Times New Roman" w:hAnsi="Times New Roman"/>
                <w:noProof/>
                <w:color w:val="000000" w:themeColor="text1"/>
                <w:sz w:val="20"/>
                <w:szCs w:val="20"/>
              </w:rPr>
            </w:pPr>
            <w:r w:rsidRPr="00F43FC8">
              <w:rPr>
                <w:rFonts w:ascii="Times New Roman" w:hAnsi="Times New Roman"/>
                <w:noProof/>
                <w:sz w:val="20"/>
                <w:szCs w:val="20"/>
              </w:rPr>
              <w:t>613</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40C74AA4" w14:textId="163106B2" w:rsidR="007102CE" w:rsidRPr="00DA11F1" w:rsidRDefault="007102CE" w:rsidP="00161C65">
            <w:pPr>
              <w:spacing w:after="0"/>
              <w:jc w:val="center"/>
              <w:rPr>
                <w:rFonts w:ascii="Times New Roman" w:hAnsi="Times New Roman"/>
                <w:noProof/>
                <w:color w:val="000000" w:themeColor="text1"/>
                <w:sz w:val="20"/>
                <w:szCs w:val="20"/>
              </w:rPr>
            </w:pPr>
            <w:r w:rsidRPr="00F43FC8">
              <w:rPr>
                <w:rFonts w:ascii="Times New Roman" w:hAnsi="Times New Roman"/>
                <w:noProof/>
                <w:sz w:val="20"/>
                <w:szCs w:val="20"/>
              </w:rPr>
              <w:t>717</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38875EEE" w14:textId="71DA97CE" w:rsidR="007102CE" w:rsidRPr="00DA11F1" w:rsidRDefault="007102CE" w:rsidP="00161C65">
            <w:pPr>
              <w:spacing w:after="0"/>
              <w:jc w:val="center"/>
              <w:rPr>
                <w:rFonts w:ascii="Times New Roman" w:hAnsi="Times New Roman"/>
                <w:noProof/>
                <w:color w:val="000000" w:themeColor="text1"/>
                <w:sz w:val="20"/>
                <w:szCs w:val="20"/>
              </w:rPr>
            </w:pPr>
            <w:r w:rsidRPr="00F43FC8">
              <w:rPr>
                <w:rFonts w:ascii="Times New Roman" w:hAnsi="Times New Roman"/>
                <w:noProof/>
                <w:sz w:val="20"/>
                <w:szCs w:val="20"/>
              </w:rPr>
              <w:t>714</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3C5192C6" w14:textId="69FE9C11" w:rsidR="007102CE" w:rsidRPr="00DA11F1" w:rsidRDefault="007102CE" w:rsidP="00161C65">
            <w:pPr>
              <w:spacing w:after="0"/>
              <w:jc w:val="center"/>
              <w:rPr>
                <w:rFonts w:ascii="Times New Roman" w:hAnsi="Times New Roman"/>
                <w:noProof/>
                <w:color w:val="000000" w:themeColor="text1"/>
                <w:sz w:val="20"/>
                <w:szCs w:val="20"/>
              </w:rPr>
            </w:pPr>
            <w:r w:rsidRPr="00F43FC8">
              <w:rPr>
                <w:rFonts w:ascii="Times New Roman" w:hAnsi="Times New Roman"/>
                <w:noProof/>
                <w:sz w:val="20"/>
                <w:szCs w:val="20"/>
              </w:rPr>
              <w:t>712</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20788641" w14:textId="67B6171C" w:rsidR="007102CE" w:rsidRPr="00DA11F1" w:rsidRDefault="007102CE" w:rsidP="00161C65">
            <w:pPr>
              <w:spacing w:after="0"/>
              <w:jc w:val="center"/>
              <w:rPr>
                <w:rFonts w:ascii="Times New Roman" w:hAnsi="Times New Roman"/>
                <w:noProof/>
                <w:color w:val="000000" w:themeColor="text1"/>
                <w:sz w:val="20"/>
                <w:szCs w:val="20"/>
              </w:rPr>
            </w:pPr>
            <w:r w:rsidRPr="00F43FC8">
              <w:rPr>
                <w:rFonts w:ascii="Times New Roman" w:hAnsi="Times New Roman"/>
                <w:noProof/>
                <w:sz w:val="20"/>
                <w:szCs w:val="20"/>
              </w:rPr>
              <w:t>704</w:t>
            </w:r>
          </w:p>
        </w:tc>
        <w:tc>
          <w:tcPr>
            <w:tcW w:w="404"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4AC33AAA" w14:textId="4FA16C55" w:rsidR="007102CE" w:rsidRPr="00DA11F1" w:rsidRDefault="007102CE" w:rsidP="00161C65">
            <w:pPr>
              <w:spacing w:after="0"/>
              <w:jc w:val="center"/>
              <w:rPr>
                <w:rFonts w:ascii="Times New Roman" w:hAnsi="Times New Roman"/>
                <w:noProof/>
                <w:color w:val="000000" w:themeColor="text1"/>
                <w:sz w:val="20"/>
                <w:szCs w:val="20"/>
              </w:rPr>
            </w:pPr>
            <w:r w:rsidRPr="00F43FC8">
              <w:rPr>
                <w:rFonts w:ascii="Times New Roman" w:hAnsi="Times New Roman"/>
                <w:noProof/>
                <w:sz w:val="20"/>
                <w:szCs w:val="20"/>
              </w:rPr>
              <w:t>719</w:t>
            </w:r>
          </w:p>
        </w:tc>
        <w:tc>
          <w:tcPr>
            <w:tcW w:w="402" w:type="pct"/>
            <w:tcBorders>
              <w:top w:val="nil"/>
              <w:left w:val="nil"/>
              <w:bottom w:val="double" w:sz="4" w:space="0" w:color="auto"/>
              <w:right w:val="double" w:sz="4" w:space="0" w:color="auto"/>
            </w:tcBorders>
            <w:vAlign w:val="center"/>
          </w:tcPr>
          <w:p w14:paraId="3EAE5770" w14:textId="7EC5C693" w:rsidR="007102CE" w:rsidRPr="00DA11F1" w:rsidRDefault="007102CE" w:rsidP="00161C65">
            <w:pPr>
              <w:spacing w:after="0"/>
              <w:jc w:val="center"/>
              <w:rPr>
                <w:rFonts w:ascii="Times New Roman" w:hAnsi="Times New Roman"/>
                <w:noProof/>
                <w:color w:val="000000" w:themeColor="text1"/>
                <w:sz w:val="20"/>
                <w:szCs w:val="20"/>
              </w:rPr>
            </w:pPr>
            <w:r w:rsidRPr="00F43FC8">
              <w:rPr>
                <w:rFonts w:ascii="Times New Roman" w:hAnsi="Times New Roman"/>
                <w:noProof/>
                <w:sz w:val="20"/>
                <w:szCs w:val="20"/>
              </w:rPr>
              <w:t>719</w:t>
            </w:r>
          </w:p>
        </w:tc>
        <w:tc>
          <w:tcPr>
            <w:tcW w:w="401" w:type="pct"/>
            <w:tcBorders>
              <w:top w:val="nil"/>
              <w:left w:val="nil"/>
              <w:bottom w:val="double" w:sz="4" w:space="0" w:color="auto"/>
              <w:right w:val="double" w:sz="4" w:space="0" w:color="auto"/>
            </w:tcBorders>
            <w:vAlign w:val="center"/>
          </w:tcPr>
          <w:p w14:paraId="415D28B2" w14:textId="04600378" w:rsidR="007102CE" w:rsidRPr="00DA11F1" w:rsidRDefault="007102CE" w:rsidP="00161C65">
            <w:pPr>
              <w:spacing w:after="0"/>
              <w:jc w:val="center"/>
              <w:rPr>
                <w:rFonts w:ascii="Times New Roman" w:hAnsi="Times New Roman"/>
                <w:noProof/>
                <w:color w:val="000000" w:themeColor="text1"/>
                <w:sz w:val="20"/>
                <w:szCs w:val="20"/>
              </w:rPr>
            </w:pPr>
            <w:r w:rsidRPr="00F43FC8">
              <w:rPr>
                <w:rFonts w:ascii="Times New Roman" w:hAnsi="Times New Roman"/>
                <w:noProof/>
                <w:sz w:val="20"/>
                <w:szCs w:val="20"/>
              </w:rPr>
              <w:t>708</w:t>
            </w:r>
          </w:p>
        </w:tc>
        <w:tc>
          <w:tcPr>
            <w:tcW w:w="400" w:type="pct"/>
            <w:tcBorders>
              <w:top w:val="nil"/>
              <w:left w:val="nil"/>
              <w:bottom w:val="double" w:sz="4" w:space="0" w:color="auto"/>
              <w:right w:val="double" w:sz="4" w:space="0" w:color="auto"/>
            </w:tcBorders>
            <w:vAlign w:val="center"/>
          </w:tcPr>
          <w:p w14:paraId="364CA20A" w14:textId="37533C1B" w:rsidR="007102CE" w:rsidRPr="00DA11F1" w:rsidRDefault="00DA5553" w:rsidP="00161C65">
            <w:pPr>
              <w:spacing w:after="0"/>
              <w:jc w:val="center"/>
              <w:rPr>
                <w:rFonts w:ascii="Times New Roman" w:hAnsi="Times New Roman"/>
                <w:noProof/>
                <w:sz w:val="20"/>
                <w:szCs w:val="20"/>
              </w:rPr>
            </w:pPr>
            <w:r w:rsidRPr="00F43FC8">
              <w:rPr>
                <w:rFonts w:ascii="Times New Roman" w:hAnsi="Times New Roman"/>
                <w:noProof/>
                <w:sz w:val="20"/>
                <w:szCs w:val="20"/>
              </w:rPr>
              <w:t>659</w:t>
            </w:r>
          </w:p>
        </w:tc>
      </w:tr>
      <w:tr w:rsidR="007102CE" w:rsidRPr="00DA11F1" w14:paraId="05193ACC" w14:textId="34F13904" w:rsidTr="004A71F9">
        <w:tc>
          <w:tcPr>
            <w:tcW w:w="954"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48B88944" w14:textId="77777777" w:rsidR="007102CE" w:rsidRPr="00DA11F1" w:rsidRDefault="007102CE" w:rsidP="00161C65">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Changement par rapport à l’année</w:t>
            </w:r>
          </w:p>
          <w:p w14:paraId="6A76CEDE" w14:textId="77777777" w:rsidR="007102CE" w:rsidRPr="00DA11F1" w:rsidRDefault="007102CE" w:rsidP="00161C65">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x-</w:t>
            </w:r>
            <w:r w:rsidRPr="00F43FC8">
              <w:rPr>
                <w:rFonts w:ascii="Times New Roman" w:hAnsi="Times New Roman"/>
                <w:b/>
                <w:bCs/>
                <w:noProof/>
                <w:color w:val="000000"/>
                <w:sz w:val="20"/>
                <w:szCs w:val="20"/>
              </w:rPr>
              <w:t>1</w:t>
            </w:r>
          </w:p>
        </w:tc>
        <w:tc>
          <w:tcPr>
            <w:tcW w:w="411" w:type="pct"/>
            <w:tcBorders>
              <w:top w:val="nil"/>
              <w:left w:val="nil"/>
              <w:bottom w:val="double" w:sz="4" w:space="0" w:color="auto"/>
              <w:right w:val="double" w:sz="4" w:space="0" w:color="auto"/>
            </w:tcBorders>
            <w:tcMar>
              <w:top w:w="0" w:type="dxa"/>
              <w:left w:w="108" w:type="dxa"/>
              <w:bottom w:w="0" w:type="dxa"/>
              <w:right w:w="108" w:type="dxa"/>
            </w:tcMar>
            <w:vAlign w:val="center"/>
          </w:tcPr>
          <w:p w14:paraId="6AEAFA54" w14:textId="77777777" w:rsidR="007102CE" w:rsidRPr="00DA11F1" w:rsidRDefault="007102CE" w:rsidP="00161C65">
            <w:pPr>
              <w:spacing w:after="0"/>
              <w:jc w:val="center"/>
              <w:rPr>
                <w:rFonts w:ascii="Times New Roman" w:hAnsi="Times New Roman"/>
                <w:noProof/>
                <w:color w:val="000000"/>
                <w:sz w:val="20"/>
                <w:szCs w:val="20"/>
                <w:lang w:eastAsia="en-GB"/>
              </w:rPr>
            </w:pP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39266FE" w14:textId="7271D50D"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w:t>
            </w:r>
            <w:r w:rsidRPr="00F43FC8">
              <w:rPr>
                <w:rFonts w:ascii="Times New Roman" w:hAnsi="Times New Roman"/>
                <w:noProof/>
                <w:sz w:val="20"/>
                <w:szCs w:val="20"/>
              </w:rPr>
              <w:t>4</w:t>
            </w:r>
            <w:r>
              <w:rPr>
                <w:rFonts w:ascii="Times New Roman" w:hAnsi="Times New Roman"/>
                <w:noProof/>
                <w:sz w:val="20"/>
                <w:szCs w:val="20"/>
              </w:rPr>
              <w:t>,</w:t>
            </w:r>
            <w:r w:rsidRPr="00F43FC8">
              <w:rPr>
                <w:rFonts w:ascii="Times New Roman" w:hAnsi="Times New Roman"/>
                <w:noProof/>
                <w:sz w:val="20"/>
                <w:szCs w:val="20"/>
              </w:rPr>
              <w:t>7</w:t>
            </w:r>
            <w:r>
              <w:rPr>
                <w:rFonts w:ascii="Times New Roman" w:hAnsi="Times New Roman"/>
                <w:noProof/>
                <w:sz w:val="20"/>
                <w:szCs w:val="20"/>
              </w:rPr>
              <w:t>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32860F7E" w14:textId="78D51549" w:rsidR="007102CE" w:rsidRPr="00DA11F1" w:rsidRDefault="007102CE" w:rsidP="00161C65">
            <w:pPr>
              <w:spacing w:after="0"/>
              <w:jc w:val="center"/>
              <w:rPr>
                <w:rFonts w:ascii="Times New Roman" w:hAnsi="Times New Roman"/>
                <w:noProof/>
                <w:color w:val="000000" w:themeColor="text1"/>
                <w:sz w:val="20"/>
                <w:szCs w:val="20"/>
              </w:rPr>
            </w:pPr>
            <w:r w:rsidRPr="00F43FC8">
              <w:rPr>
                <w:rFonts w:ascii="Times New Roman" w:hAnsi="Times New Roman"/>
                <w:noProof/>
                <w:sz w:val="20"/>
                <w:szCs w:val="20"/>
              </w:rPr>
              <w:t>17</w:t>
            </w:r>
            <w:r>
              <w:rPr>
                <w:rFonts w:ascii="Times New Roman" w:hAnsi="Times New Roman"/>
                <w:noProof/>
                <w:sz w:val="20"/>
                <w:szCs w:val="20"/>
              </w:rPr>
              <w:t>,</w:t>
            </w:r>
            <w:r w:rsidRPr="00F43FC8">
              <w:rPr>
                <w:rFonts w:ascii="Times New Roman" w:hAnsi="Times New Roman"/>
                <w:noProof/>
                <w:sz w:val="20"/>
                <w:szCs w:val="20"/>
              </w:rPr>
              <w:t>0</w:t>
            </w:r>
            <w:r>
              <w:rPr>
                <w:rFonts w:ascii="Times New Roman" w:hAnsi="Times New Roman"/>
                <w:noProof/>
                <w:sz w:val="20"/>
                <w:szCs w:val="20"/>
              </w:rPr>
              <w:t>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C0D19DB" w14:textId="219E9240"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w:t>
            </w:r>
            <w:r w:rsidRPr="00F43FC8">
              <w:rPr>
                <w:rFonts w:ascii="Times New Roman" w:hAnsi="Times New Roman"/>
                <w:noProof/>
                <w:sz w:val="20"/>
                <w:szCs w:val="20"/>
              </w:rPr>
              <w:t>0</w:t>
            </w:r>
            <w:r>
              <w:rPr>
                <w:rFonts w:ascii="Times New Roman" w:hAnsi="Times New Roman"/>
                <w:noProof/>
                <w:sz w:val="20"/>
                <w:szCs w:val="20"/>
              </w:rPr>
              <w:t>,</w:t>
            </w:r>
            <w:r w:rsidRPr="00F43FC8">
              <w:rPr>
                <w:rFonts w:ascii="Times New Roman" w:hAnsi="Times New Roman"/>
                <w:noProof/>
                <w:sz w:val="20"/>
                <w:szCs w:val="20"/>
              </w:rPr>
              <w:t>4</w:t>
            </w:r>
            <w:r>
              <w:rPr>
                <w:rFonts w:ascii="Times New Roman" w:hAnsi="Times New Roman"/>
                <w:noProof/>
                <w:sz w:val="20"/>
                <w:szCs w:val="20"/>
              </w:rPr>
              <w:t> %</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7DA5D287" w14:textId="5B5D571F"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w:t>
            </w:r>
            <w:r w:rsidRPr="00F43FC8">
              <w:rPr>
                <w:rFonts w:ascii="Times New Roman" w:hAnsi="Times New Roman"/>
                <w:noProof/>
                <w:sz w:val="20"/>
                <w:szCs w:val="20"/>
              </w:rPr>
              <w:t>0</w:t>
            </w:r>
            <w:r>
              <w:rPr>
                <w:rFonts w:ascii="Times New Roman" w:hAnsi="Times New Roman"/>
                <w:noProof/>
                <w:sz w:val="20"/>
                <w:szCs w:val="20"/>
              </w:rPr>
              <w:t>,</w:t>
            </w:r>
            <w:r w:rsidRPr="00F43FC8">
              <w:rPr>
                <w:rFonts w:ascii="Times New Roman" w:hAnsi="Times New Roman"/>
                <w:noProof/>
                <w:sz w:val="20"/>
                <w:szCs w:val="20"/>
              </w:rPr>
              <w:t>3</w:t>
            </w:r>
            <w:r>
              <w:rPr>
                <w:rFonts w:ascii="Times New Roman" w:hAnsi="Times New Roman"/>
                <w:noProof/>
                <w:sz w:val="20"/>
                <w:szCs w:val="20"/>
              </w:rPr>
              <w:t>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D8A7B6E" w14:textId="26E4311B"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w:t>
            </w:r>
            <w:r w:rsidRPr="00F43FC8">
              <w:rPr>
                <w:rFonts w:ascii="Times New Roman" w:hAnsi="Times New Roman"/>
                <w:noProof/>
                <w:sz w:val="20"/>
                <w:szCs w:val="20"/>
              </w:rPr>
              <w:t>1</w:t>
            </w:r>
            <w:r>
              <w:rPr>
                <w:rFonts w:ascii="Times New Roman" w:hAnsi="Times New Roman"/>
                <w:noProof/>
                <w:sz w:val="20"/>
                <w:szCs w:val="20"/>
              </w:rPr>
              <w:t>,</w:t>
            </w:r>
            <w:r w:rsidRPr="00F43FC8">
              <w:rPr>
                <w:rFonts w:ascii="Times New Roman" w:hAnsi="Times New Roman"/>
                <w:noProof/>
                <w:sz w:val="20"/>
                <w:szCs w:val="20"/>
              </w:rPr>
              <w:t>1</w:t>
            </w:r>
            <w:r>
              <w:rPr>
                <w:rFonts w:ascii="Times New Roman" w:hAnsi="Times New Roman"/>
                <w:noProof/>
                <w:sz w:val="20"/>
                <w:szCs w:val="20"/>
              </w:rPr>
              <w:t> %</w:t>
            </w:r>
          </w:p>
        </w:tc>
        <w:tc>
          <w:tcPr>
            <w:tcW w:w="404"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24AE0481" w14:textId="000939BA" w:rsidR="007102CE" w:rsidRPr="00DA11F1" w:rsidRDefault="00D55513" w:rsidP="00161C65">
            <w:pPr>
              <w:spacing w:after="0"/>
              <w:jc w:val="center"/>
              <w:rPr>
                <w:rFonts w:ascii="Times New Roman" w:hAnsi="Times New Roman"/>
                <w:noProof/>
                <w:color w:val="000000" w:themeColor="text1"/>
                <w:sz w:val="20"/>
                <w:szCs w:val="20"/>
              </w:rPr>
            </w:pPr>
            <w:r w:rsidRPr="00F43FC8">
              <w:rPr>
                <w:rFonts w:ascii="Times New Roman" w:hAnsi="Times New Roman"/>
                <w:noProof/>
                <w:sz w:val="20"/>
                <w:szCs w:val="20"/>
              </w:rPr>
              <w:t>2</w:t>
            </w:r>
            <w:r>
              <w:rPr>
                <w:rFonts w:ascii="Times New Roman" w:hAnsi="Times New Roman"/>
                <w:noProof/>
                <w:sz w:val="20"/>
                <w:szCs w:val="20"/>
              </w:rPr>
              <w:t>,</w:t>
            </w:r>
            <w:r w:rsidRPr="00F43FC8">
              <w:rPr>
                <w:rFonts w:ascii="Times New Roman" w:hAnsi="Times New Roman"/>
                <w:noProof/>
                <w:sz w:val="20"/>
                <w:szCs w:val="20"/>
              </w:rPr>
              <w:t>0</w:t>
            </w:r>
            <w:r>
              <w:rPr>
                <w:rFonts w:ascii="Times New Roman" w:hAnsi="Times New Roman"/>
                <w:noProof/>
                <w:sz w:val="20"/>
                <w:szCs w:val="20"/>
              </w:rPr>
              <w:t> %</w:t>
            </w:r>
          </w:p>
        </w:tc>
        <w:tc>
          <w:tcPr>
            <w:tcW w:w="402" w:type="pct"/>
            <w:tcBorders>
              <w:top w:val="nil"/>
              <w:left w:val="nil"/>
              <w:bottom w:val="double" w:sz="4" w:space="0" w:color="auto"/>
              <w:right w:val="double" w:sz="4" w:space="0" w:color="auto"/>
            </w:tcBorders>
            <w:vAlign w:val="center"/>
          </w:tcPr>
          <w:p w14:paraId="42EF7EA9" w14:textId="5A305A35" w:rsidR="007102CE" w:rsidRPr="00DA11F1" w:rsidRDefault="007102CE" w:rsidP="00161C65">
            <w:pPr>
              <w:spacing w:after="0"/>
              <w:jc w:val="center"/>
              <w:rPr>
                <w:rFonts w:ascii="Times New Roman" w:hAnsi="Times New Roman"/>
                <w:noProof/>
                <w:color w:val="000000" w:themeColor="text1"/>
                <w:sz w:val="20"/>
                <w:szCs w:val="20"/>
              </w:rPr>
            </w:pPr>
            <w:r w:rsidRPr="00F43FC8">
              <w:rPr>
                <w:rFonts w:ascii="Times New Roman" w:hAnsi="Times New Roman"/>
                <w:noProof/>
                <w:sz w:val="20"/>
                <w:szCs w:val="20"/>
              </w:rPr>
              <w:t>0</w:t>
            </w:r>
            <w:r>
              <w:rPr>
                <w:rFonts w:ascii="Times New Roman" w:hAnsi="Times New Roman"/>
                <w:noProof/>
                <w:sz w:val="20"/>
                <w:szCs w:val="20"/>
              </w:rPr>
              <w:t>,</w:t>
            </w:r>
            <w:r w:rsidRPr="00F43FC8">
              <w:rPr>
                <w:rFonts w:ascii="Times New Roman" w:hAnsi="Times New Roman"/>
                <w:noProof/>
                <w:sz w:val="20"/>
                <w:szCs w:val="20"/>
              </w:rPr>
              <w:t>1</w:t>
            </w:r>
            <w:r>
              <w:rPr>
                <w:rFonts w:ascii="Times New Roman" w:hAnsi="Times New Roman"/>
                <w:noProof/>
                <w:sz w:val="20"/>
                <w:szCs w:val="20"/>
              </w:rPr>
              <w:t> %</w:t>
            </w:r>
          </w:p>
        </w:tc>
        <w:tc>
          <w:tcPr>
            <w:tcW w:w="401" w:type="pct"/>
            <w:tcBorders>
              <w:top w:val="nil"/>
              <w:left w:val="nil"/>
              <w:bottom w:val="double" w:sz="4" w:space="0" w:color="auto"/>
              <w:right w:val="double" w:sz="4" w:space="0" w:color="auto"/>
            </w:tcBorders>
            <w:vAlign w:val="center"/>
          </w:tcPr>
          <w:p w14:paraId="78DB0344" w14:textId="0C018124"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w:t>
            </w:r>
            <w:r w:rsidRPr="00F43FC8">
              <w:rPr>
                <w:rFonts w:ascii="Times New Roman" w:hAnsi="Times New Roman"/>
                <w:noProof/>
                <w:sz w:val="20"/>
                <w:szCs w:val="20"/>
              </w:rPr>
              <w:t>1</w:t>
            </w:r>
            <w:r>
              <w:rPr>
                <w:rFonts w:ascii="Times New Roman" w:hAnsi="Times New Roman"/>
                <w:noProof/>
                <w:sz w:val="20"/>
                <w:szCs w:val="20"/>
              </w:rPr>
              <w:t>,</w:t>
            </w:r>
            <w:r w:rsidRPr="00F43FC8">
              <w:rPr>
                <w:rFonts w:ascii="Times New Roman" w:hAnsi="Times New Roman"/>
                <w:noProof/>
                <w:sz w:val="20"/>
                <w:szCs w:val="20"/>
              </w:rPr>
              <w:t>6</w:t>
            </w:r>
            <w:r>
              <w:rPr>
                <w:rFonts w:ascii="Times New Roman" w:hAnsi="Times New Roman"/>
                <w:noProof/>
                <w:sz w:val="20"/>
                <w:szCs w:val="20"/>
              </w:rPr>
              <w:t> %</w:t>
            </w:r>
          </w:p>
        </w:tc>
        <w:tc>
          <w:tcPr>
            <w:tcW w:w="400" w:type="pct"/>
            <w:tcBorders>
              <w:top w:val="nil"/>
              <w:left w:val="nil"/>
              <w:bottom w:val="double" w:sz="4" w:space="0" w:color="auto"/>
              <w:right w:val="double" w:sz="4" w:space="0" w:color="auto"/>
            </w:tcBorders>
            <w:vAlign w:val="center"/>
          </w:tcPr>
          <w:p w14:paraId="25253110" w14:textId="29B3F71A" w:rsidR="007102CE" w:rsidRPr="00DA11F1" w:rsidRDefault="00D55513" w:rsidP="00161C65">
            <w:pPr>
              <w:spacing w:after="0"/>
              <w:jc w:val="center"/>
              <w:rPr>
                <w:rFonts w:ascii="Times New Roman" w:hAnsi="Times New Roman"/>
                <w:noProof/>
                <w:sz w:val="20"/>
                <w:szCs w:val="20"/>
              </w:rPr>
            </w:pPr>
            <w:r>
              <w:rPr>
                <w:rFonts w:ascii="Times New Roman" w:hAnsi="Times New Roman"/>
                <w:noProof/>
                <w:sz w:val="20"/>
                <w:szCs w:val="20"/>
              </w:rPr>
              <w:t>-</w:t>
            </w:r>
            <w:r w:rsidRPr="00F43FC8">
              <w:rPr>
                <w:rFonts w:ascii="Times New Roman" w:hAnsi="Times New Roman"/>
                <w:noProof/>
                <w:sz w:val="20"/>
                <w:szCs w:val="20"/>
              </w:rPr>
              <w:t>7</w:t>
            </w:r>
            <w:r>
              <w:rPr>
                <w:rFonts w:ascii="Times New Roman" w:hAnsi="Times New Roman"/>
                <w:noProof/>
                <w:sz w:val="20"/>
                <w:szCs w:val="20"/>
              </w:rPr>
              <w:t>,</w:t>
            </w:r>
            <w:r w:rsidRPr="00F43FC8">
              <w:rPr>
                <w:rFonts w:ascii="Times New Roman" w:hAnsi="Times New Roman"/>
                <w:noProof/>
                <w:sz w:val="20"/>
                <w:szCs w:val="20"/>
              </w:rPr>
              <w:t>0</w:t>
            </w:r>
            <w:r>
              <w:rPr>
                <w:rFonts w:ascii="Times New Roman" w:hAnsi="Times New Roman"/>
                <w:noProof/>
                <w:sz w:val="20"/>
                <w:szCs w:val="20"/>
              </w:rPr>
              <w:t> %</w:t>
            </w:r>
          </w:p>
        </w:tc>
      </w:tr>
      <w:tr w:rsidR="007102CE" w:rsidRPr="00DA11F1" w14:paraId="0915481A" w14:textId="1ED7E7CA" w:rsidTr="004A71F9">
        <w:trPr>
          <w:trHeight w:val="774"/>
        </w:trPr>
        <w:tc>
          <w:tcPr>
            <w:tcW w:w="954"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33F15796" w14:textId="3FAADEC5" w:rsidR="007102CE" w:rsidRPr="00DA11F1" w:rsidRDefault="007102CE" w:rsidP="00161C65">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Taux de croissance du PIB réel  EU-</w:t>
            </w:r>
            <w:r w:rsidRPr="00F43FC8">
              <w:rPr>
                <w:rFonts w:ascii="Times New Roman" w:hAnsi="Times New Roman"/>
                <w:b/>
                <w:bCs/>
                <w:noProof/>
                <w:color w:val="000000"/>
                <w:sz w:val="20"/>
                <w:szCs w:val="20"/>
              </w:rPr>
              <w:t>27</w:t>
            </w:r>
            <w:r>
              <w:rPr>
                <w:rFonts w:ascii="Times New Roman" w:hAnsi="Times New Roman"/>
                <w:b/>
                <w:bCs/>
                <w:noProof/>
                <w:color w:val="000000"/>
                <w:sz w:val="20"/>
                <w:szCs w:val="20"/>
              </w:rPr>
              <w:t xml:space="preserve"> + UK</w:t>
            </w:r>
          </w:p>
        </w:tc>
        <w:tc>
          <w:tcPr>
            <w:tcW w:w="411" w:type="pct"/>
            <w:tcBorders>
              <w:top w:val="nil"/>
              <w:left w:val="nil"/>
              <w:bottom w:val="double" w:sz="4" w:space="0" w:color="auto"/>
              <w:right w:val="double" w:sz="4" w:space="0" w:color="auto"/>
            </w:tcBorders>
            <w:tcMar>
              <w:top w:w="0" w:type="dxa"/>
              <w:left w:w="108" w:type="dxa"/>
              <w:bottom w:w="0" w:type="dxa"/>
              <w:right w:w="108" w:type="dxa"/>
            </w:tcMar>
            <w:vAlign w:val="center"/>
          </w:tcPr>
          <w:p w14:paraId="4CB9E72A" w14:textId="77777777" w:rsidR="007102CE" w:rsidRPr="00DA11F1" w:rsidRDefault="007102CE" w:rsidP="00161C65">
            <w:pPr>
              <w:spacing w:after="0"/>
              <w:jc w:val="center"/>
              <w:rPr>
                <w:rFonts w:ascii="Times New Roman" w:hAnsi="Times New Roman"/>
                <w:noProof/>
                <w:color w:val="FF0000"/>
                <w:sz w:val="20"/>
                <w:szCs w:val="20"/>
              </w:rPr>
            </w:pPr>
            <w:r w:rsidRPr="00F43FC8">
              <w:rPr>
                <w:rFonts w:ascii="Times New Roman" w:hAnsi="Times New Roman"/>
                <w:noProof/>
                <w:sz w:val="20"/>
                <w:szCs w:val="20"/>
              </w:rPr>
              <w:t>1</w:t>
            </w:r>
            <w:r>
              <w:rPr>
                <w:rFonts w:ascii="Times New Roman" w:hAnsi="Times New Roman"/>
                <w:noProof/>
                <w:sz w:val="20"/>
                <w:szCs w:val="20"/>
              </w:rPr>
              <w:t>,</w:t>
            </w:r>
            <w:r w:rsidRPr="00F43FC8">
              <w:rPr>
                <w:rFonts w:ascii="Times New Roman" w:hAnsi="Times New Roman"/>
                <w:noProof/>
                <w:sz w:val="20"/>
                <w:szCs w:val="20"/>
              </w:rPr>
              <w:t>8</w:t>
            </w:r>
            <w:r>
              <w:rPr>
                <w:rFonts w:ascii="Times New Roman" w:hAnsi="Times New Roman"/>
                <w:noProof/>
                <w:sz w:val="20"/>
                <w:szCs w:val="20"/>
              </w:rPr>
              <w:t> %</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tcPr>
          <w:p w14:paraId="12E60FA6" w14:textId="77777777" w:rsidR="007102CE" w:rsidRPr="00DA11F1" w:rsidRDefault="007102CE" w:rsidP="00161C65">
            <w:pPr>
              <w:spacing w:after="0"/>
              <w:jc w:val="center"/>
              <w:rPr>
                <w:rFonts w:ascii="Times New Roman" w:hAnsi="Times New Roman"/>
                <w:noProof/>
                <w:color w:val="FF0000"/>
                <w:sz w:val="20"/>
                <w:szCs w:val="20"/>
              </w:rPr>
            </w:pPr>
            <w:r>
              <w:rPr>
                <w:rFonts w:ascii="Times New Roman" w:hAnsi="Times New Roman"/>
                <w:noProof/>
                <w:sz w:val="20"/>
                <w:szCs w:val="20"/>
              </w:rPr>
              <w:t>-</w:t>
            </w:r>
            <w:r w:rsidRPr="00F43FC8">
              <w:rPr>
                <w:rFonts w:ascii="Times New Roman" w:hAnsi="Times New Roman"/>
                <w:noProof/>
                <w:sz w:val="20"/>
                <w:szCs w:val="20"/>
              </w:rPr>
              <w:t>0</w:t>
            </w:r>
            <w:r>
              <w:rPr>
                <w:rFonts w:ascii="Times New Roman" w:hAnsi="Times New Roman"/>
                <w:noProof/>
                <w:sz w:val="20"/>
                <w:szCs w:val="20"/>
              </w:rPr>
              <w:t>,</w:t>
            </w:r>
            <w:r w:rsidRPr="00F43FC8">
              <w:rPr>
                <w:rFonts w:ascii="Times New Roman" w:hAnsi="Times New Roman"/>
                <w:noProof/>
                <w:sz w:val="20"/>
                <w:szCs w:val="20"/>
              </w:rPr>
              <w:t>4</w:t>
            </w:r>
            <w:r>
              <w:rPr>
                <w:rFonts w:ascii="Times New Roman" w:hAnsi="Times New Roman"/>
                <w:noProof/>
                <w:sz w:val="20"/>
                <w:szCs w:val="20"/>
              </w:rPr>
              <w:t>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tcPr>
          <w:p w14:paraId="1EF32188" w14:textId="77777777" w:rsidR="007102CE" w:rsidRPr="00DA11F1" w:rsidRDefault="007102CE" w:rsidP="00161C65">
            <w:pPr>
              <w:spacing w:after="0"/>
              <w:jc w:val="center"/>
              <w:rPr>
                <w:rFonts w:ascii="Times New Roman" w:hAnsi="Times New Roman"/>
                <w:noProof/>
                <w:color w:val="FF0000"/>
                <w:sz w:val="20"/>
                <w:szCs w:val="20"/>
              </w:rPr>
            </w:pPr>
            <w:r w:rsidRPr="00F43FC8">
              <w:rPr>
                <w:rFonts w:ascii="Times New Roman" w:hAnsi="Times New Roman"/>
                <w:noProof/>
                <w:sz w:val="20"/>
                <w:szCs w:val="20"/>
              </w:rPr>
              <w:t>0</w:t>
            </w:r>
            <w:r>
              <w:rPr>
                <w:rFonts w:ascii="Times New Roman" w:hAnsi="Times New Roman"/>
                <w:noProof/>
                <w:sz w:val="20"/>
                <w:szCs w:val="20"/>
              </w:rPr>
              <w:t>,</w:t>
            </w:r>
            <w:r w:rsidRPr="00F43FC8">
              <w:rPr>
                <w:rFonts w:ascii="Times New Roman" w:hAnsi="Times New Roman"/>
                <w:noProof/>
                <w:sz w:val="20"/>
                <w:szCs w:val="20"/>
              </w:rPr>
              <w:t>3</w:t>
            </w:r>
            <w:r>
              <w:rPr>
                <w:rFonts w:ascii="Times New Roman" w:hAnsi="Times New Roman"/>
                <w:noProof/>
                <w:sz w:val="20"/>
                <w:szCs w:val="20"/>
              </w:rPr>
              <w:t>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tcPr>
          <w:p w14:paraId="705A2A28" w14:textId="30C40C69" w:rsidR="007102CE" w:rsidRPr="00DA11F1" w:rsidRDefault="007102CE" w:rsidP="00161C65">
            <w:pPr>
              <w:spacing w:after="0"/>
              <w:jc w:val="center"/>
              <w:rPr>
                <w:rFonts w:ascii="Times New Roman" w:hAnsi="Times New Roman"/>
                <w:noProof/>
                <w:color w:val="000000"/>
                <w:sz w:val="20"/>
                <w:szCs w:val="20"/>
              </w:rPr>
            </w:pPr>
            <w:r w:rsidRPr="00F43FC8">
              <w:rPr>
                <w:rFonts w:ascii="Times New Roman" w:hAnsi="Times New Roman"/>
                <w:noProof/>
                <w:sz w:val="20"/>
                <w:szCs w:val="20"/>
              </w:rPr>
              <w:t>1</w:t>
            </w:r>
            <w:r>
              <w:rPr>
                <w:rFonts w:ascii="Times New Roman" w:hAnsi="Times New Roman"/>
                <w:noProof/>
                <w:sz w:val="20"/>
                <w:szCs w:val="20"/>
              </w:rPr>
              <w:t>,</w:t>
            </w:r>
            <w:r w:rsidRPr="00F43FC8">
              <w:rPr>
                <w:rFonts w:ascii="Times New Roman" w:hAnsi="Times New Roman"/>
                <w:noProof/>
                <w:sz w:val="20"/>
                <w:szCs w:val="20"/>
              </w:rPr>
              <w:t>8</w:t>
            </w:r>
            <w:r>
              <w:rPr>
                <w:rFonts w:ascii="Times New Roman" w:hAnsi="Times New Roman"/>
                <w:noProof/>
                <w:sz w:val="20"/>
                <w:szCs w:val="20"/>
              </w:rPr>
              <w:t> %</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tcPr>
          <w:p w14:paraId="4E1032DF" w14:textId="6C1CD2D0" w:rsidR="007102CE" w:rsidRPr="00DA11F1" w:rsidRDefault="007102CE" w:rsidP="00161C65">
            <w:pPr>
              <w:spacing w:after="0"/>
              <w:jc w:val="center"/>
              <w:rPr>
                <w:rFonts w:ascii="Times New Roman" w:hAnsi="Times New Roman"/>
                <w:noProof/>
                <w:color w:val="000000"/>
                <w:sz w:val="20"/>
                <w:szCs w:val="20"/>
              </w:rPr>
            </w:pPr>
            <w:r w:rsidRPr="00F43FC8">
              <w:rPr>
                <w:rFonts w:ascii="Times New Roman" w:hAnsi="Times New Roman"/>
                <w:noProof/>
                <w:sz w:val="20"/>
                <w:szCs w:val="20"/>
              </w:rPr>
              <w:t>2</w:t>
            </w:r>
            <w:r>
              <w:rPr>
                <w:rFonts w:ascii="Times New Roman" w:hAnsi="Times New Roman"/>
                <w:noProof/>
                <w:sz w:val="20"/>
                <w:szCs w:val="20"/>
              </w:rPr>
              <w:t>,</w:t>
            </w:r>
            <w:r w:rsidRPr="00F43FC8">
              <w:rPr>
                <w:rFonts w:ascii="Times New Roman" w:hAnsi="Times New Roman"/>
                <w:noProof/>
                <w:sz w:val="20"/>
                <w:szCs w:val="20"/>
              </w:rPr>
              <w:t>3</w:t>
            </w:r>
            <w:r>
              <w:rPr>
                <w:rFonts w:ascii="Times New Roman" w:hAnsi="Times New Roman"/>
                <w:noProof/>
                <w:sz w:val="20"/>
                <w:szCs w:val="20"/>
              </w:rPr>
              <w:t>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tcPr>
          <w:p w14:paraId="5E7C760B" w14:textId="77777777" w:rsidR="007102CE" w:rsidRPr="00DA11F1" w:rsidRDefault="007102CE" w:rsidP="00161C65">
            <w:pPr>
              <w:spacing w:after="0"/>
              <w:jc w:val="center"/>
              <w:rPr>
                <w:rFonts w:ascii="Times New Roman" w:hAnsi="Times New Roman"/>
                <w:noProof/>
                <w:color w:val="000000"/>
                <w:sz w:val="20"/>
                <w:szCs w:val="20"/>
              </w:rPr>
            </w:pPr>
            <w:r w:rsidRPr="00F43FC8">
              <w:rPr>
                <w:rFonts w:ascii="Times New Roman" w:hAnsi="Times New Roman"/>
                <w:noProof/>
                <w:sz w:val="20"/>
                <w:szCs w:val="20"/>
              </w:rPr>
              <w:t>2</w:t>
            </w:r>
            <w:r>
              <w:rPr>
                <w:rFonts w:ascii="Times New Roman" w:hAnsi="Times New Roman"/>
                <w:noProof/>
                <w:sz w:val="20"/>
                <w:szCs w:val="20"/>
              </w:rPr>
              <w:t>,</w:t>
            </w:r>
            <w:r w:rsidRPr="00F43FC8">
              <w:rPr>
                <w:rFonts w:ascii="Times New Roman" w:hAnsi="Times New Roman"/>
                <w:noProof/>
                <w:sz w:val="20"/>
                <w:szCs w:val="20"/>
              </w:rPr>
              <w:t>0</w:t>
            </w:r>
            <w:r>
              <w:rPr>
                <w:rFonts w:ascii="Times New Roman" w:hAnsi="Times New Roman"/>
                <w:noProof/>
                <w:sz w:val="20"/>
                <w:szCs w:val="20"/>
              </w:rPr>
              <w:t> %</w:t>
            </w:r>
          </w:p>
        </w:tc>
        <w:tc>
          <w:tcPr>
            <w:tcW w:w="404" w:type="pct"/>
            <w:tcBorders>
              <w:top w:val="nil"/>
              <w:left w:val="nil"/>
              <w:bottom w:val="double" w:sz="4" w:space="0" w:color="auto"/>
              <w:right w:val="double" w:sz="4" w:space="0" w:color="auto"/>
            </w:tcBorders>
            <w:tcMar>
              <w:top w:w="0" w:type="dxa"/>
              <w:left w:w="108" w:type="dxa"/>
              <w:bottom w:w="0" w:type="dxa"/>
              <w:right w:w="108" w:type="dxa"/>
            </w:tcMar>
            <w:vAlign w:val="center"/>
          </w:tcPr>
          <w:p w14:paraId="67C96673" w14:textId="77777777" w:rsidR="007102CE" w:rsidRPr="00DA11F1" w:rsidRDefault="007102CE" w:rsidP="00161C65">
            <w:pPr>
              <w:spacing w:after="0"/>
              <w:jc w:val="center"/>
              <w:rPr>
                <w:rFonts w:ascii="Times New Roman" w:hAnsi="Times New Roman"/>
                <w:noProof/>
                <w:color w:val="000000"/>
                <w:sz w:val="20"/>
                <w:szCs w:val="20"/>
              </w:rPr>
            </w:pPr>
            <w:r w:rsidRPr="00F43FC8">
              <w:rPr>
                <w:rFonts w:ascii="Times New Roman" w:hAnsi="Times New Roman"/>
                <w:noProof/>
                <w:sz w:val="20"/>
                <w:szCs w:val="20"/>
              </w:rPr>
              <w:t>2</w:t>
            </w:r>
            <w:r>
              <w:rPr>
                <w:rFonts w:ascii="Times New Roman" w:hAnsi="Times New Roman"/>
                <w:noProof/>
                <w:sz w:val="20"/>
                <w:szCs w:val="20"/>
              </w:rPr>
              <w:t>,</w:t>
            </w:r>
            <w:r w:rsidRPr="00F43FC8">
              <w:rPr>
                <w:rFonts w:ascii="Times New Roman" w:hAnsi="Times New Roman"/>
                <w:noProof/>
                <w:sz w:val="20"/>
                <w:szCs w:val="20"/>
              </w:rPr>
              <w:t>6</w:t>
            </w:r>
            <w:r>
              <w:rPr>
                <w:rFonts w:ascii="Times New Roman" w:hAnsi="Times New Roman"/>
                <w:noProof/>
                <w:sz w:val="20"/>
                <w:szCs w:val="20"/>
              </w:rPr>
              <w:t> %</w:t>
            </w:r>
          </w:p>
        </w:tc>
        <w:tc>
          <w:tcPr>
            <w:tcW w:w="402" w:type="pct"/>
            <w:tcBorders>
              <w:top w:val="nil"/>
              <w:left w:val="nil"/>
              <w:bottom w:val="double" w:sz="4" w:space="0" w:color="auto"/>
              <w:right w:val="double" w:sz="4" w:space="0" w:color="auto"/>
            </w:tcBorders>
            <w:vAlign w:val="center"/>
          </w:tcPr>
          <w:p w14:paraId="346C3D8B" w14:textId="77777777" w:rsidR="007102CE" w:rsidRPr="00DA11F1" w:rsidRDefault="007102CE" w:rsidP="00161C65">
            <w:pPr>
              <w:spacing w:after="0"/>
              <w:jc w:val="center"/>
              <w:rPr>
                <w:rFonts w:ascii="Times New Roman" w:hAnsi="Times New Roman"/>
                <w:noProof/>
                <w:color w:val="000000"/>
                <w:sz w:val="20"/>
                <w:szCs w:val="20"/>
              </w:rPr>
            </w:pPr>
            <w:r w:rsidRPr="00F43FC8">
              <w:rPr>
                <w:rFonts w:ascii="Times New Roman" w:hAnsi="Times New Roman"/>
                <w:noProof/>
                <w:sz w:val="20"/>
                <w:szCs w:val="20"/>
              </w:rPr>
              <w:t>2</w:t>
            </w:r>
            <w:r>
              <w:rPr>
                <w:rFonts w:ascii="Times New Roman" w:hAnsi="Times New Roman"/>
                <w:noProof/>
                <w:sz w:val="20"/>
                <w:szCs w:val="20"/>
              </w:rPr>
              <w:t>,</w:t>
            </w:r>
            <w:r w:rsidRPr="00F43FC8">
              <w:rPr>
                <w:rFonts w:ascii="Times New Roman" w:hAnsi="Times New Roman"/>
                <w:noProof/>
                <w:sz w:val="20"/>
                <w:szCs w:val="20"/>
              </w:rPr>
              <w:t>0</w:t>
            </w:r>
            <w:r>
              <w:rPr>
                <w:rFonts w:ascii="Times New Roman" w:hAnsi="Times New Roman"/>
                <w:noProof/>
                <w:sz w:val="20"/>
                <w:szCs w:val="20"/>
              </w:rPr>
              <w:t> %</w:t>
            </w:r>
          </w:p>
        </w:tc>
        <w:tc>
          <w:tcPr>
            <w:tcW w:w="401" w:type="pct"/>
            <w:tcBorders>
              <w:top w:val="nil"/>
              <w:left w:val="nil"/>
              <w:bottom w:val="double" w:sz="4" w:space="0" w:color="auto"/>
              <w:right w:val="double" w:sz="4" w:space="0" w:color="auto"/>
            </w:tcBorders>
            <w:vAlign w:val="center"/>
          </w:tcPr>
          <w:p w14:paraId="3781C953" w14:textId="28D05805" w:rsidR="007102CE" w:rsidRPr="00DA11F1" w:rsidRDefault="007102CE" w:rsidP="00161C65">
            <w:pPr>
              <w:spacing w:after="0"/>
              <w:jc w:val="center"/>
              <w:rPr>
                <w:rFonts w:ascii="Times New Roman" w:hAnsi="Times New Roman"/>
                <w:noProof/>
                <w:color w:val="000000"/>
                <w:sz w:val="20"/>
                <w:szCs w:val="20"/>
              </w:rPr>
            </w:pPr>
            <w:r w:rsidRPr="00F43FC8">
              <w:rPr>
                <w:rFonts w:ascii="Times New Roman" w:hAnsi="Times New Roman"/>
                <w:noProof/>
                <w:sz w:val="20"/>
                <w:szCs w:val="20"/>
              </w:rPr>
              <w:t>1</w:t>
            </w:r>
            <w:r>
              <w:rPr>
                <w:rFonts w:ascii="Times New Roman" w:hAnsi="Times New Roman"/>
                <w:noProof/>
                <w:sz w:val="20"/>
                <w:szCs w:val="20"/>
              </w:rPr>
              <w:t>,</w:t>
            </w:r>
            <w:r w:rsidRPr="00F43FC8">
              <w:rPr>
                <w:rFonts w:ascii="Times New Roman" w:hAnsi="Times New Roman"/>
                <w:noProof/>
                <w:sz w:val="20"/>
                <w:szCs w:val="20"/>
              </w:rPr>
              <w:t>6</w:t>
            </w:r>
            <w:r>
              <w:rPr>
                <w:rFonts w:ascii="Times New Roman" w:hAnsi="Times New Roman"/>
                <w:noProof/>
                <w:sz w:val="20"/>
                <w:szCs w:val="20"/>
              </w:rPr>
              <w:t> %</w:t>
            </w:r>
          </w:p>
        </w:tc>
        <w:tc>
          <w:tcPr>
            <w:tcW w:w="400" w:type="pct"/>
            <w:tcBorders>
              <w:top w:val="nil"/>
              <w:left w:val="nil"/>
              <w:bottom w:val="double" w:sz="4" w:space="0" w:color="auto"/>
              <w:right w:val="double" w:sz="4" w:space="0" w:color="auto"/>
            </w:tcBorders>
            <w:vAlign w:val="center"/>
          </w:tcPr>
          <w:p w14:paraId="5BE3F3F7" w14:textId="2CB63889" w:rsidR="007102CE" w:rsidRPr="00DA11F1" w:rsidRDefault="0001267A" w:rsidP="00161C65">
            <w:pPr>
              <w:spacing w:after="0"/>
              <w:jc w:val="center"/>
              <w:rPr>
                <w:rFonts w:ascii="Times New Roman" w:hAnsi="Times New Roman"/>
                <w:noProof/>
                <w:sz w:val="20"/>
                <w:szCs w:val="20"/>
              </w:rPr>
            </w:pPr>
            <w:r>
              <w:rPr>
                <w:rFonts w:ascii="Times New Roman" w:hAnsi="Times New Roman"/>
                <w:noProof/>
                <w:sz w:val="20"/>
                <w:szCs w:val="20"/>
              </w:rPr>
              <w:t>-</w:t>
            </w:r>
            <w:r w:rsidRPr="00F43FC8">
              <w:rPr>
                <w:rFonts w:ascii="Times New Roman" w:hAnsi="Times New Roman"/>
                <w:noProof/>
                <w:sz w:val="20"/>
                <w:szCs w:val="20"/>
              </w:rPr>
              <w:t>6</w:t>
            </w:r>
            <w:r>
              <w:rPr>
                <w:rFonts w:ascii="Times New Roman" w:hAnsi="Times New Roman"/>
                <w:noProof/>
                <w:sz w:val="20"/>
                <w:szCs w:val="20"/>
              </w:rPr>
              <w:t> %</w:t>
            </w:r>
            <w:r w:rsidRPr="00DA11F1">
              <w:rPr>
                <w:rStyle w:val="FootnoteReference"/>
                <w:rFonts w:ascii="Times New Roman" w:hAnsi="Times New Roman"/>
                <w:noProof/>
                <w:sz w:val="20"/>
                <w:szCs w:val="20"/>
              </w:rPr>
              <w:footnoteReference w:id="66"/>
            </w:r>
          </w:p>
        </w:tc>
      </w:tr>
    </w:tbl>
    <w:p w14:paraId="263FDCBB" w14:textId="2C984FC1" w:rsidR="00CF7267" w:rsidRPr="00DA11F1" w:rsidRDefault="009B1524" w:rsidP="00161C65">
      <w:pPr>
        <w:spacing w:before="120" w:after="120"/>
        <w:ind w:right="57"/>
        <w:jc w:val="both"/>
        <w:rPr>
          <w:rFonts w:ascii="Times New Roman" w:eastAsia="Times New Roman" w:hAnsi="Times New Roman"/>
          <w:noProof/>
          <w:sz w:val="20"/>
          <w:szCs w:val="18"/>
        </w:rPr>
      </w:pPr>
      <w:r>
        <w:rPr>
          <w:rFonts w:ascii="Times New Roman" w:hAnsi="Times New Roman"/>
          <w:noProof/>
          <w:sz w:val="20"/>
          <w:szCs w:val="18"/>
        </w:rPr>
        <w:t>Source: EUTL, données sur le PIB telles que rapportées par Eurostat (code du tableau: tec</w:t>
      </w:r>
      <w:r w:rsidRPr="00F43FC8">
        <w:rPr>
          <w:rFonts w:ascii="Times New Roman" w:hAnsi="Times New Roman"/>
          <w:noProof/>
          <w:sz w:val="20"/>
          <w:szCs w:val="18"/>
        </w:rPr>
        <w:t>00115</w:t>
      </w:r>
      <w:r>
        <w:rPr>
          <w:rFonts w:ascii="Times New Roman" w:hAnsi="Times New Roman"/>
          <w:noProof/>
          <w:sz w:val="20"/>
          <w:szCs w:val="18"/>
        </w:rPr>
        <w:t>, consulté en juillet </w:t>
      </w:r>
      <w:r w:rsidRPr="00F43FC8">
        <w:rPr>
          <w:rFonts w:ascii="Times New Roman" w:hAnsi="Times New Roman"/>
          <w:noProof/>
          <w:sz w:val="20"/>
          <w:szCs w:val="18"/>
        </w:rPr>
        <w:t>2021</w:t>
      </w:r>
      <w:r>
        <w:rPr>
          <w:rFonts w:ascii="Times New Roman" w:hAnsi="Times New Roman"/>
          <w:noProof/>
          <w:sz w:val="20"/>
          <w:szCs w:val="18"/>
        </w:rPr>
        <w:t xml:space="preserve">). </w:t>
      </w:r>
      <w:r>
        <w:rPr>
          <w:rFonts w:ascii="Times New Roman" w:hAnsi="Times New Roman"/>
          <w:noProof/>
          <w:sz w:val="20"/>
        </w:rPr>
        <w:t xml:space="preserve">Les émissions </w:t>
      </w:r>
      <w:r>
        <w:rPr>
          <w:rFonts w:ascii="Times New Roman" w:hAnsi="Times New Roman"/>
          <w:noProof/>
          <w:sz w:val="20"/>
          <w:szCs w:val="18"/>
        </w:rPr>
        <w:t>vérifiées</w:t>
      </w:r>
      <w:r>
        <w:rPr>
          <w:rFonts w:ascii="Times New Roman" w:hAnsi="Times New Roman"/>
          <w:noProof/>
          <w:sz w:val="20"/>
        </w:rPr>
        <w:t xml:space="preserve"> du secteur de l’aviation sont présentées séparément au chapitre </w:t>
      </w:r>
      <w:r w:rsidRPr="00F43FC8">
        <w:rPr>
          <w:rFonts w:ascii="Times New Roman" w:hAnsi="Times New Roman"/>
          <w:noProof/>
          <w:sz w:val="20"/>
        </w:rPr>
        <w:t>4</w:t>
      </w:r>
      <w:r>
        <w:rPr>
          <w:rFonts w:ascii="Times New Roman" w:hAnsi="Times New Roman"/>
          <w:noProof/>
          <w:sz w:val="20"/>
        </w:rPr>
        <w:t>.</w:t>
      </w:r>
    </w:p>
    <w:p w14:paraId="7F1BC6D4" w14:textId="77777777" w:rsidR="004A71F9" w:rsidRPr="00DA11F1" w:rsidRDefault="004A71F9" w:rsidP="00CF7267">
      <w:pPr>
        <w:jc w:val="both"/>
        <w:rPr>
          <w:rFonts w:ascii="Times New Roman" w:hAnsi="Times New Roman"/>
          <w:noProof/>
          <w:sz w:val="24"/>
          <w:szCs w:val="24"/>
        </w:rPr>
        <w:sectPr w:rsidR="004A71F9" w:rsidRPr="00DA11F1" w:rsidSect="004A71F9">
          <w:headerReference w:type="even" r:id="rId41"/>
          <w:headerReference w:type="default" r:id="rId42"/>
          <w:footerReference w:type="even" r:id="rId43"/>
          <w:footerReference w:type="default" r:id="rId44"/>
          <w:headerReference w:type="first" r:id="rId45"/>
          <w:footerReference w:type="first" r:id="rId46"/>
          <w:pgSz w:w="16838" w:h="11906" w:orient="landscape"/>
          <w:pgMar w:top="1440" w:right="1440" w:bottom="1440" w:left="1440" w:header="709" w:footer="709" w:gutter="0"/>
          <w:cols w:space="720"/>
          <w:docGrid w:linePitch="360"/>
        </w:sectPr>
      </w:pPr>
    </w:p>
    <w:p w14:paraId="53A24324" w14:textId="5D730232" w:rsidR="00CF7267" w:rsidRPr="00DA11F1" w:rsidRDefault="00CF7267" w:rsidP="00CF7267">
      <w:pPr>
        <w:jc w:val="both"/>
        <w:rPr>
          <w:rFonts w:ascii="Times New Roman" w:hAnsi="Times New Roman"/>
          <w:noProof/>
          <w:sz w:val="24"/>
          <w:szCs w:val="24"/>
        </w:rPr>
      </w:pPr>
      <w:r>
        <w:rPr>
          <w:rFonts w:ascii="Times New Roman" w:hAnsi="Times New Roman"/>
          <w:noProof/>
          <w:sz w:val="24"/>
          <w:szCs w:val="24"/>
        </w:rPr>
        <w:t>La baisse des émissions en </w:t>
      </w:r>
      <w:r w:rsidRPr="00F43FC8">
        <w:rPr>
          <w:rFonts w:ascii="Times New Roman" w:hAnsi="Times New Roman"/>
          <w:noProof/>
          <w:sz w:val="24"/>
          <w:szCs w:val="24"/>
        </w:rPr>
        <w:t>2020</w:t>
      </w:r>
      <w:r>
        <w:rPr>
          <w:rFonts w:ascii="Times New Roman" w:hAnsi="Times New Roman"/>
          <w:noProof/>
          <w:sz w:val="24"/>
          <w:szCs w:val="24"/>
        </w:rPr>
        <w:t>, qui reflète également les conséquences de la pandémie de COVID-</w:t>
      </w:r>
      <w:r w:rsidRPr="00F43FC8">
        <w:rPr>
          <w:rFonts w:ascii="Times New Roman" w:hAnsi="Times New Roman"/>
          <w:noProof/>
          <w:sz w:val="24"/>
          <w:szCs w:val="24"/>
        </w:rPr>
        <w:t>19</w:t>
      </w:r>
      <w:r>
        <w:rPr>
          <w:rFonts w:ascii="Times New Roman" w:hAnsi="Times New Roman"/>
          <w:noProof/>
          <w:sz w:val="24"/>
          <w:szCs w:val="24"/>
        </w:rPr>
        <w:t>, a réduit la demande de quotas, ce qui a eu une incidence sur l’excédent global de quotas sur le marché du carbone de l’UE, en légère augmentation par rapport à </w:t>
      </w:r>
      <w:r w:rsidRPr="00F43FC8">
        <w:rPr>
          <w:rFonts w:ascii="Times New Roman" w:hAnsi="Times New Roman"/>
          <w:noProof/>
          <w:sz w:val="24"/>
          <w:szCs w:val="24"/>
        </w:rPr>
        <w:t>2019</w:t>
      </w:r>
      <w:r>
        <w:rPr>
          <w:rFonts w:ascii="Times New Roman" w:hAnsi="Times New Roman"/>
          <w:noProof/>
          <w:sz w:val="24"/>
          <w:szCs w:val="24"/>
        </w:rPr>
        <w:t xml:space="preserve"> (voir chapitre </w:t>
      </w:r>
      <w:r w:rsidRPr="00F43FC8">
        <w:rPr>
          <w:rFonts w:ascii="Times New Roman" w:hAnsi="Times New Roman"/>
          <w:noProof/>
          <w:sz w:val="24"/>
          <w:szCs w:val="24"/>
        </w:rPr>
        <w:t>3</w:t>
      </w:r>
      <w:r>
        <w:rPr>
          <w:rFonts w:ascii="Times New Roman" w:hAnsi="Times New Roman"/>
          <w:noProof/>
          <w:sz w:val="24"/>
          <w:szCs w:val="24"/>
        </w:rPr>
        <w:t>.</w:t>
      </w:r>
      <w:r w:rsidRPr="00F43FC8">
        <w:rPr>
          <w:rFonts w:ascii="Times New Roman" w:hAnsi="Times New Roman"/>
          <w:noProof/>
          <w:sz w:val="24"/>
          <w:szCs w:val="24"/>
        </w:rPr>
        <w:t>2</w:t>
      </w:r>
      <w:r>
        <w:rPr>
          <w:rFonts w:ascii="Times New Roman" w:hAnsi="Times New Roman"/>
          <w:noProof/>
          <w:sz w:val="24"/>
          <w:szCs w:val="24"/>
        </w:rPr>
        <w:t>.</w:t>
      </w:r>
      <w:r w:rsidRPr="00F43FC8">
        <w:rPr>
          <w:rFonts w:ascii="Times New Roman" w:hAnsi="Times New Roman"/>
          <w:noProof/>
          <w:sz w:val="24"/>
          <w:szCs w:val="24"/>
        </w:rPr>
        <w:t>2</w:t>
      </w:r>
      <w:r>
        <w:rPr>
          <w:rFonts w:ascii="Times New Roman" w:hAnsi="Times New Roman"/>
          <w:noProof/>
          <w:sz w:val="24"/>
          <w:szCs w:val="24"/>
        </w:rPr>
        <w:t>).</w:t>
      </w:r>
    </w:p>
    <w:p w14:paraId="6FE97DEF" w14:textId="3CF63D8B" w:rsidR="00C043C1" w:rsidRPr="00DA11F1" w:rsidRDefault="00BF167D" w:rsidP="00155B66">
      <w:pPr>
        <w:suppressAutoHyphens/>
        <w:jc w:val="both"/>
        <w:rPr>
          <w:rFonts w:ascii="Times New Roman" w:eastAsia="Times New Roman" w:hAnsi="Times New Roman"/>
          <w:noProof/>
          <w:sz w:val="24"/>
          <w:szCs w:val="24"/>
        </w:rPr>
      </w:pPr>
      <w:r>
        <w:rPr>
          <w:rFonts w:ascii="Times New Roman" w:hAnsi="Times New Roman"/>
          <w:noProof/>
          <w:sz w:val="24"/>
          <w:szCs w:val="24"/>
        </w:rPr>
        <w:t>Comme le montre l</w:t>
      </w:r>
      <w:r w:rsidR="00155B66">
        <w:rPr>
          <w:rFonts w:ascii="Times New Roman" w:hAnsi="Times New Roman"/>
          <w:noProof/>
          <w:sz w:val="24"/>
          <w:szCs w:val="24"/>
        </w:rPr>
        <w:t xml:space="preserve">e graphique </w:t>
      </w:r>
      <w:r w:rsidR="00155B66" w:rsidRPr="00F43FC8">
        <w:rPr>
          <w:rFonts w:ascii="Times New Roman" w:hAnsi="Times New Roman"/>
          <w:noProof/>
          <w:sz w:val="24"/>
          <w:szCs w:val="24"/>
        </w:rPr>
        <w:t>6</w:t>
      </w:r>
      <w:r>
        <w:rPr>
          <w:rFonts w:ascii="Times New Roman" w:hAnsi="Times New Roman"/>
          <w:noProof/>
          <w:sz w:val="24"/>
          <w:szCs w:val="24"/>
        </w:rPr>
        <w:t>, tout au long de la phase </w:t>
      </w:r>
      <w:r w:rsidRPr="00F43FC8">
        <w:rPr>
          <w:rFonts w:ascii="Times New Roman" w:hAnsi="Times New Roman"/>
          <w:noProof/>
          <w:sz w:val="24"/>
          <w:szCs w:val="24"/>
        </w:rPr>
        <w:t>3</w:t>
      </w:r>
      <w:r>
        <w:rPr>
          <w:rFonts w:ascii="Times New Roman" w:hAnsi="Times New Roman"/>
          <w:noProof/>
          <w:sz w:val="24"/>
          <w:szCs w:val="24"/>
        </w:rPr>
        <w:t xml:space="preserve">, les principaux flux d’énergie ont été la houille, le lignite (et les charbons sous-bitumineux) et le gaz naturel. Ces trois groupes représentent ensemble environ </w:t>
      </w:r>
      <w:r w:rsidRPr="00F43FC8">
        <w:rPr>
          <w:rFonts w:ascii="Times New Roman" w:hAnsi="Times New Roman"/>
          <w:noProof/>
          <w:sz w:val="24"/>
          <w:szCs w:val="24"/>
        </w:rPr>
        <w:t>75</w:t>
      </w:r>
      <w:r>
        <w:rPr>
          <w:rFonts w:ascii="Times New Roman" w:hAnsi="Times New Roman"/>
          <w:noProof/>
          <w:sz w:val="24"/>
          <w:szCs w:val="24"/>
        </w:rPr>
        <w:t> % des émissions annuelles des carburants fossiles, mais la part de la houille est clairement en baisse, tandis que celle du gaz naturel est en hausse. Cette tendance a été davantage prononcée en </w:t>
      </w:r>
      <w:r w:rsidRPr="00F43FC8">
        <w:rPr>
          <w:rFonts w:ascii="Times New Roman" w:hAnsi="Times New Roman"/>
          <w:noProof/>
          <w:sz w:val="24"/>
          <w:szCs w:val="24"/>
        </w:rPr>
        <w:t>2019</w:t>
      </w:r>
      <w:r>
        <w:rPr>
          <w:rFonts w:ascii="Times New Roman" w:hAnsi="Times New Roman"/>
          <w:noProof/>
          <w:sz w:val="24"/>
          <w:szCs w:val="24"/>
        </w:rPr>
        <w:t xml:space="preserve"> et </w:t>
      </w:r>
      <w:r w:rsidRPr="00F43FC8">
        <w:rPr>
          <w:rFonts w:ascii="Times New Roman" w:hAnsi="Times New Roman"/>
          <w:noProof/>
          <w:sz w:val="24"/>
          <w:szCs w:val="24"/>
        </w:rPr>
        <w:t>2020</w:t>
      </w:r>
      <w:r>
        <w:rPr>
          <w:rFonts w:ascii="Times New Roman" w:hAnsi="Times New Roman"/>
          <w:noProof/>
          <w:sz w:val="24"/>
          <w:szCs w:val="24"/>
        </w:rPr>
        <w:t xml:space="preserve">: les émissions provenant de la houille n’ont représenté qu’une part de </w:t>
      </w:r>
      <w:r w:rsidRPr="00F43FC8">
        <w:rPr>
          <w:rFonts w:ascii="Times New Roman" w:hAnsi="Times New Roman"/>
          <w:noProof/>
          <w:sz w:val="24"/>
          <w:szCs w:val="24"/>
        </w:rPr>
        <w:t>16</w:t>
      </w:r>
      <w:r>
        <w:rPr>
          <w:rFonts w:ascii="Times New Roman" w:hAnsi="Times New Roman"/>
          <w:noProof/>
          <w:sz w:val="24"/>
          <w:szCs w:val="24"/>
        </w:rPr>
        <w:t xml:space="preserve"> % des émissions totales sur ces deux années (en baisse par rapport aux </w:t>
      </w:r>
      <w:r w:rsidRPr="00F43FC8">
        <w:rPr>
          <w:rFonts w:ascii="Times New Roman" w:hAnsi="Times New Roman"/>
          <w:noProof/>
          <w:sz w:val="24"/>
          <w:szCs w:val="24"/>
        </w:rPr>
        <w:t>29</w:t>
      </w:r>
      <w:r>
        <w:rPr>
          <w:rFonts w:ascii="Times New Roman" w:hAnsi="Times New Roman"/>
          <w:noProof/>
          <w:sz w:val="24"/>
          <w:szCs w:val="24"/>
        </w:rPr>
        <w:t xml:space="preserve"> % de </w:t>
      </w:r>
      <w:r w:rsidRPr="00F43FC8">
        <w:rPr>
          <w:rFonts w:ascii="Times New Roman" w:hAnsi="Times New Roman"/>
          <w:noProof/>
          <w:sz w:val="24"/>
          <w:szCs w:val="24"/>
        </w:rPr>
        <w:t>2013</w:t>
      </w:r>
      <w:r>
        <w:rPr>
          <w:rFonts w:ascii="Times New Roman" w:hAnsi="Times New Roman"/>
          <w:noProof/>
          <w:sz w:val="24"/>
          <w:szCs w:val="24"/>
        </w:rPr>
        <w:t xml:space="preserve">), les émissions du gaz naturel ont représenté </w:t>
      </w:r>
      <w:r w:rsidRPr="00F43FC8">
        <w:rPr>
          <w:rFonts w:ascii="Times New Roman" w:hAnsi="Times New Roman"/>
          <w:noProof/>
          <w:sz w:val="24"/>
          <w:szCs w:val="24"/>
        </w:rPr>
        <w:t>35</w:t>
      </w:r>
      <w:r>
        <w:rPr>
          <w:rFonts w:ascii="Times New Roman" w:hAnsi="Times New Roman"/>
          <w:noProof/>
          <w:sz w:val="24"/>
          <w:szCs w:val="24"/>
        </w:rPr>
        <w:t> % en </w:t>
      </w:r>
      <w:r w:rsidRPr="00F43FC8">
        <w:rPr>
          <w:rFonts w:ascii="Times New Roman" w:hAnsi="Times New Roman"/>
          <w:noProof/>
          <w:sz w:val="24"/>
          <w:szCs w:val="24"/>
        </w:rPr>
        <w:t>2020</w:t>
      </w:r>
      <w:r>
        <w:rPr>
          <w:rFonts w:ascii="Times New Roman" w:hAnsi="Times New Roman"/>
          <w:noProof/>
          <w:sz w:val="24"/>
          <w:szCs w:val="24"/>
        </w:rPr>
        <w:t xml:space="preserve"> (en hausse par rapport aux </w:t>
      </w:r>
      <w:r w:rsidRPr="00F43FC8">
        <w:rPr>
          <w:rFonts w:ascii="Times New Roman" w:hAnsi="Times New Roman"/>
          <w:noProof/>
          <w:sz w:val="24"/>
          <w:szCs w:val="24"/>
        </w:rPr>
        <w:t>24</w:t>
      </w:r>
      <w:r>
        <w:rPr>
          <w:rFonts w:ascii="Times New Roman" w:hAnsi="Times New Roman"/>
          <w:noProof/>
          <w:sz w:val="24"/>
          <w:szCs w:val="24"/>
        </w:rPr>
        <w:t> % de </w:t>
      </w:r>
      <w:r w:rsidRPr="00F43FC8">
        <w:rPr>
          <w:rFonts w:ascii="Times New Roman" w:hAnsi="Times New Roman"/>
          <w:noProof/>
          <w:sz w:val="24"/>
          <w:szCs w:val="24"/>
        </w:rPr>
        <w:t>2013</w:t>
      </w:r>
      <w:r>
        <w:rPr>
          <w:rFonts w:ascii="Times New Roman" w:hAnsi="Times New Roman"/>
          <w:noProof/>
          <w:sz w:val="24"/>
          <w:szCs w:val="24"/>
        </w:rPr>
        <w:t xml:space="preserve">) et les émissions du lignite ont légèrement diminué par rapport à leur niveau record de </w:t>
      </w:r>
      <w:r w:rsidRPr="00F43FC8">
        <w:rPr>
          <w:rFonts w:ascii="Times New Roman" w:hAnsi="Times New Roman"/>
          <w:noProof/>
          <w:sz w:val="24"/>
          <w:szCs w:val="24"/>
        </w:rPr>
        <w:t>27</w:t>
      </w:r>
      <w:r>
        <w:rPr>
          <w:rFonts w:ascii="Times New Roman" w:hAnsi="Times New Roman"/>
          <w:noProof/>
          <w:sz w:val="24"/>
          <w:szCs w:val="24"/>
        </w:rPr>
        <w:t> % enregistré en </w:t>
      </w:r>
      <w:r w:rsidRPr="00F43FC8">
        <w:rPr>
          <w:rFonts w:ascii="Times New Roman" w:hAnsi="Times New Roman"/>
          <w:noProof/>
          <w:sz w:val="24"/>
          <w:szCs w:val="24"/>
        </w:rPr>
        <w:t>2014</w:t>
      </w:r>
      <w:r>
        <w:rPr>
          <w:rFonts w:ascii="Times New Roman" w:hAnsi="Times New Roman"/>
          <w:noProof/>
          <w:sz w:val="24"/>
          <w:szCs w:val="24"/>
        </w:rPr>
        <w:t xml:space="preserve">, pour atteindre </w:t>
      </w:r>
      <w:r w:rsidRPr="00F43FC8">
        <w:rPr>
          <w:rFonts w:ascii="Times New Roman" w:hAnsi="Times New Roman"/>
          <w:noProof/>
          <w:sz w:val="24"/>
          <w:szCs w:val="24"/>
        </w:rPr>
        <w:t>23</w:t>
      </w:r>
      <w:r>
        <w:rPr>
          <w:rFonts w:ascii="Times New Roman" w:hAnsi="Times New Roman"/>
          <w:noProof/>
          <w:sz w:val="24"/>
          <w:szCs w:val="24"/>
        </w:rPr>
        <w:t> % en </w:t>
      </w:r>
      <w:r w:rsidRPr="00F43FC8">
        <w:rPr>
          <w:rFonts w:ascii="Times New Roman" w:hAnsi="Times New Roman"/>
          <w:noProof/>
          <w:sz w:val="24"/>
          <w:szCs w:val="24"/>
        </w:rPr>
        <w:t>2020</w:t>
      </w:r>
      <w:r>
        <w:rPr>
          <w:rFonts w:ascii="Times New Roman" w:hAnsi="Times New Roman"/>
          <w:noProof/>
          <w:sz w:val="24"/>
          <w:szCs w:val="24"/>
        </w:rPr>
        <w:t>. Comme les années précédentes, au cours de la dernière année de la phase </w:t>
      </w:r>
      <w:r w:rsidRPr="00F43FC8">
        <w:rPr>
          <w:rFonts w:ascii="Times New Roman" w:hAnsi="Times New Roman"/>
          <w:noProof/>
          <w:sz w:val="24"/>
          <w:szCs w:val="24"/>
        </w:rPr>
        <w:t>3</w:t>
      </w:r>
      <w:r>
        <w:rPr>
          <w:rFonts w:ascii="Times New Roman" w:hAnsi="Times New Roman"/>
          <w:noProof/>
          <w:sz w:val="24"/>
          <w:szCs w:val="24"/>
        </w:rPr>
        <w:t xml:space="preserve">, les autres sources importantes d’énergie incluaient principalement le gaz de raffinerie (et autres gaz issus de procédés industriels) et d’autres types de carburants fossiles, représentant respectivement </w:t>
      </w:r>
      <w:r w:rsidRPr="00F43FC8">
        <w:rPr>
          <w:rFonts w:ascii="Times New Roman" w:hAnsi="Times New Roman"/>
          <w:noProof/>
          <w:sz w:val="24"/>
          <w:szCs w:val="24"/>
        </w:rPr>
        <w:t>8</w:t>
      </w:r>
      <w:r>
        <w:rPr>
          <w:rFonts w:ascii="Times New Roman" w:hAnsi="Times New Roman"/>
          <w:noProof/>
          <w:sz w:val="24"/>
          <w:szCs w:val="24"/>
        </w:rPr>
        <w:t>,</w:t>
      </w:r>
      <w:r w:rsidRPr="00F43FC8">
        <w:rPr>
          <w:rFonts w:ascii="Times New Roman" w:hAnsi="Times New Roman"/>
          <w:noProof/>
          <w:sz w:val="24"/>
          <w:szCs w:val="24"/>
        </w:rPr>
        <w:t>4</w:t>
      </w:r>
      <w:r>
        <w:rPr>
          <w:rFonts w:ascii="Times New Roman" w:hAnsi="Times New Roman"/>
          <w:noProof/>
          <w:sz w:val="24"/>
          <w:szCs w:val="24"/>
        </w:rPr>
        <w:t xml:space="preserve"> % et </w:t>
      </w:r>
      <w:r w:rsidRPr="00F43FC8">
        <w:rPr>
          <w:rFonts w:ascii="Times New Roman" w:hAnsi="Times New Roman"/>
          <w:noProof/>
          <w:sz w:val="24"/>
          <w:szCs w:val="24"/>
        </w:rPr>
        <w:t>6</w:t>
      </w:r>
      <w:r>
        <w:rPr>
          <w:rFonts w:ascii="Times New Roman" w:hAnsi="Times New Roman"/>
          <w:noProof/>
          <w:sz w:val="24"/>
          <w:szCs w:val="24"/>
        </w:rPr>
        <w:t>,</w:t>
      </w:r>
      <w:r w:rsidRPr="00F43FC8">
        <w:rPr>
          <w:rFonts w:ascii="Times New Roman" w:hAnsi="Times New Roman"/>
          <w:noProof/>
          <w:sz w:val="24"/>
          <w:szCs w:val="24"/>
        </w:rPr>
        <w:t>8</w:t>
      </w:r>
      <w:r>
        <w:rPr>
          <w:rFonts w:ascii="Times New Roman" w:hAnsi="Times New Roman"/>
          <w:noProof/>
          <w:sz w:val="24"/>
          <w:szCs w:val="24"/>
        </w:rPr>
        <w:t xml:space="preserve"> % du total des émissions de combustion déclarées. </w:t>
      </w:r>
    </w:p>
    <w:p w14:paraId="2603BDD8" w14:textId="4DDF3E32" w:rsidR="00C00BD7" w:rsidRPr="00DA11F1" w:rsidRDefault="00155B66" w:rsidP="00135FC5">
      <w:pPr>
        <w:pStyle w:val="Caption"/>
        <w:keepNext/>
        <w:jc w:val="both"/>
        <w:rPr>
          <w:rFonts w:ascii="Times New Roman" w:hAnsi="Times New Roman"/>
          <w:noProof/>
          <w:sz w:val="22"/>
        </w:rPr>
      </w:pPr>
      <w:bookmarkStart w:id="54" w:name="_Ref85031151"/>
      <w:r>
        <w:rPr>
          <w:rFonts w:ascii="Times New Roman" w:hAnsi="Times New Roman"/>
          <w:noProof/>
          <w:sz w:val="22"/>
        </w:rPr>
        <w:t>Graphique</w:t>
      </w:r>
      <w:r w:rsidR="00C00BD7">
        <w:rPr>
          <w:rFonts w:ascii="Times New Roman" w:hAnsi="Times New Roman"/>
          <w:noProof/>
          <w:sz w:val="22"/>
        </w:rPr>
        <w:t> </w:t>
      </w:r>
      <w:r w:rsidR="00F2602C" w:rsidRPr="00DA11F1">
        <w:rPr>
          <w:rFonts w:ascii="Times New Roman" w:hAnsi="Times New Roman"/>
          <w:noProof/>
          <w:sz w:val="22"/>
        </w:rPr>
        <w:fldChar w:fldCharType="begin"/>
      </w:r>
      <w:r w:rsidR="00F2602C" w:rsidRPr="00DA11F1">
        <w:rPr>
          <w:rFonts w:ascii="Times New Roman" w:hAnsi="Times New Roman"/>
          <w:noProof/>
          <w:sz w:val="22"/>
        </w:rPr>
        <w:instrText xml:space="preserve"> SEQ Figure \* ARABIC </w:instrText>
      </w:r>
      <w:r w:rsidR="00F2602C" w:rsidRPr="00DA11F1">
        <w:rPr>
          <w:rFonts w:ascii="Times New Roman" w:hAnsi="Times New Roman"/>
          <w:noProof/>
          <w:sz w:val="22"/>
        </w:rPr>
        <w:fldChar w:fldCharType="separate"/>
      </w:r>
      <w:r w:rsidR="00F2602C" w:rsidRPr="00F43FC8">
        <w:rPr>
          <w:rFonts w:ascii="Times New Roman" w:hAnsi="Times New Roman"/>
          <w:noProof/>
          <w:sz w:val="22"/>
        </w:rPr>
        <w:t>6</w:t>
      </w:r>
      <w:r w:rsidR="00F2602C" w:rsidRPr="00DA11F1">
        <w:rPr>
          <w:rFonts w:ascii="Times New Roman" w:hAnsi="Times New Roman"/>
          <w:noProof/>
          <w:sz w:val="22"/>
        </w:rPr>
        <w:fldChar w:fldCharType="end"/>
      </w:r>
      <w:bookmarkEnd w:id="54"/>
      <w:r w:rsidR="00C00BD7">
        <w:rPr>
          <w:rFonts w:ascii="Times New Roman" w:hAnsi="Times New Roman"/>
          <w:noProof/>
          <w:sz w:val="22"/>
        </w:rPr>
        <w:t xml:space="preserve">. Part des émissions par type de carburant (en % des émissions totales des carburants dans le SEQE-UE, intitulé de catégorie non affiché si le carburant n’excède jamais </w:t>
      </w:r>
      <w:r w:rsidR="00C00BD7" w:rsidRPr="00F43FC8">
        <w:rPr>
          <w:rFonts w:ascii="Times New Roman" w:hAnsi="Times New Roman"/>
          <w:noProof/>
          <w:sz w:val="22"/>
        </w:rPr>
        <w:t>3</w:t>
      </w:r>
      <w:r w:rsidR="00C00BD7">
        <w:rPr>
          <w:rFonts w:ascii="Times New Roman" w:hAnsi="Times New Roman"/>
          <w:noProof/>
          <w:sz w:val="22"/>
        </w:rPr>
        <w:t> % du total), [*] non couvert par les autres carburants indiqués</w:t>
      </w:r>
      <w:r w:rsidR="00C00BD7" w:rsidRPr="00DA11F1">
        <w:rPr>
          <w:rStyle w:val="FootnoteReference"/>
          <w:rFonts w:ascii="Times New Roman" w:eastAsia="Times New Roman" w:hAnsi="Times New Roman"/>
          <w:b w:val="0"/>
          <w:bCs w:val="0"/>
          <w:noProof/>
          <w:lang w:eastAsia="en-GB"/>
        </w:rPr>
        <w:footnoteReference w:id="67"/>
      </w:r>
    </w:p>
    <w:p w14:paraId="0B586F16" w14:textId="49D6E64F" w:rsidR="00CF7267" w:rsidRPr="005C0518" w:rsidRDefault="005C0518" w:rsidP="005C0518">
      <w:pPr>
        <w:suppressAutoHyphens/>
        <w:spacing w:after="120" w:line="270" w:lineRule="atLeast"/>
        <w:jc w:val="center"/>
        <w:rPr>
          <w:rFonts w:ascii="Times New Roman" w:eastAsia="Times New Roman" w:hAnsi="Times New Roman"/>
          <w:iCs/>
          <w:noProof/>
          <w:sz w:val="24"/>
          <w:szCs w:val="24"/>
        </w:rPr>
      </w:pPr>
      <w:r w:rsidRPr="005C0518">
        <w:rPr>
          <w:noProof/>
          <w:lang w:val="en-GB" w:eastAsia="en-GB"/>
        </w:rPr>
        <w:drawing>
          <wp:inline distT="0" distB="0" distL="0" distR="0" wp14:anchorId="76674040" wp14:editId="70956813">
            <wp:extent cx="5731510" cy="3491588"/>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731510" cy="3491588"/>
                    </a:xfrm>
                    <a:prstGeom prst="rect">
                      <a:avLst/>
                    </a:prstGeom>
                    <a:noFill/>
                    <a:ln>
                      <a:noFill/>
                    </a:ln>
                  </pic:spPr>
                </pic:pic>
              </a:graphicData>
            </a:graphic>
          </wp:inline>
        </w:drawing>
      </w:r>
    </w:p>
    <w:p w14:paraId="25DF8CE5" w14:textId="2863C79B" w:rsidR="00D515FC" w:rsidRPr="00DA11F1" w:rsidRDefault="00D515FC" w:rsidP="00135FC5">
      <w:pPr>
        <w:suppressAutoHyphens/>
        <w:jc w:val="both"/>
        <w:rPr>
          <w:rFonts w:ascii="Times New Roman" w:eastAsia="Times New Roman" w:hAnsi="Times New Roman"/>
          <w:noProof/>
          <w:sz w:val="24"/>
          <w:szCs w:val="24"/>
        </w:rPr>
      </w:pPr>
      <w:r>
        <w:rPr>
          <w:rFonts w:ascii="Times New Roman" w:hAnsi="Times New Roman"/>
          <w:noProof/>
          <w:sz w:val="24"/>
          <w:szCs w:val="24"/>
        </w:rPr>
        <w:t>Selon les rapports présentés par les États membres au titre de l’article </w:t>
      </w:r>
      <w:r w:rsidRPr="00F43FC8">
        <w:rPr>
          <w:rFonts w:ascii="Times New Roman" w:hAnsi="Times New Roman"/>
          <w:noProof/>
          <w:sz w:val="24"/>
          <w:szCs w:val="24"/>
        </w:rPr>
        <w:t>21</w:t>
      </w:r>
      <w:r>
        <w:rPr>
          <w:rFonts w:ascii="Times New Roman" w:hAnsi="Times New Roman"/>
          <w:noProof/>
          <w:sz w:val="24"/>
          <w:szCs w:val="24"/>
        </w:rPr>
        <w:t xml:space="preserve"> en </w:t>
      </w:r>
      <w:r w:rsidRPr="00F43FC8">
        <w:rPr>
          <w:rFonts w:ascii="Times New Roman" w:hAnsi="Times New Roman"/>
          <w:noProof/>
          <w:sz w:val="24"/>
          <w:szCs w:val="24"/>
        </w:rPr>
        <w:t>2021</w:t>
      </w:r>
      <w:r w:rsidR="005C4BD5" w:rsidRPr="00DA11F1">
        <w:rPr>
          <w:rStyle w:val="FootnoteReference"/>
          <w:rFonts w:ascii="Times New Roman" w:eastAsia="Times New Roman" w:hAnsi="Times New Roman"/>
          <w:noProof/>
          <w:sz w:val="24"/>
          <w:szCs w:val="24"/>
          <w:lang w:eastAsia="da-DK"/>
        </w:rPr>
        <w:footnoteReference w:id="68"/>
      </w:r>
      <w:r>
        <w:rPr>
          <w:rFonts w:ascii="Times New Roman" w:hAnsi="Times New Roman"/>
          <w:noProof/>
          <w:sz w:val="24"/>
          <w:szCs w:val="24"/>
        </w:rPr>
        <w:t xml:space="preserve">, les émissions imputables à la biomasse neutre ont diminué, passant de </w:t>
      </w:r>
      <w:r w:rsidRPr="00F43FC8">
        <w:rPr>
          <w:rFonts w:ascii="Times New Roman" w:hAnsi="Times New Roman"/>
          <w:noProof/>
          <w:sz w:val="24"/>
          <w:szCs w:val="24"/>
        </w:rPr>
        <w:t>150</w:t>
      </w:r>
      <w:r>
        <w:rPr>
          <w:rFonts w:ascii="Times New Roman" w:hAnsi="Times New Roman"/>
          <w:noProof/>
          <w:sz w:val="24"/>
          <w:szCs w:val="24"/>
        </w:rPr>
        <w:t> millions de tonnes en </w:t>
      </w:r>
      <w:r w:rsidRPr="00F43FC8">
        <w:rPr>
          <w:rFonts w:ascii="Times New Roman" w:hAnsi="Times New Roman"/>
          <w:noProof/>
          <w:sz w:val="24"/>
          <w:szCs w:val="24"/>
        </w:rPr>
        <w:t>2019</w:t>
      </w:r>
      <w:r>
        <w:rPr>
          <w:rFonts w:ascii="Times New Roman" w:hAnsi="Times New Roman"/>
          <w:noProof/>
          <w:sz w:val="24"/>
          <w:szCs w:val="24"/>
        </w:rPr>
        <w:t xml:space="preserve"> à </w:t>
      </w:r>
      <w:r w:rsidRPr="00F43FC8">
        <w:rPr>
          <w:rFonts w:ascii="Times New Roman" w:hAnsi="Times New Roman"/>
          <w:noProof/>
          <w:sz w:val="24"/>
          <w:szCs w:val="24"/>
        </w:rPr>
        <w:t>142</w:t>
      </w:r>
      <w:r>
        <w:rPr>
          <w:rFonts w:ascii="Times New Roman" w:hAnsi="Times New Roman"/>
          <w:noProof/>
          <w:sz w:val="24"/>
          <w:szCs w:val="24"/>
        </w:rPr>
        <w:t> millions de tonnes en </w:t>
      </w:r>
      <w:r w:rsidRPr="00F43FC8">
        <w:rPr>
          <w:rFonts w:ascii="Times New Roman" w:hAnsi="Times New Roman"/>
          <w:noProof/>
          <w:sz w:val="24"/>
          <w:szCs w:val="24"/>
        </w:rPr>
        <w:t>2020</w:t>
      </w:r>
      <w:r>
        <w:rPr>
          <w:noProof/>
          <w:lang w:val="en-GB" w:eastAsia="en-GB"/>
        </w:rPr>
        <mc:AlternateContent>
          <mc:Choice Requires="wps">
            <w:drawing>
              <wp:anchor distT="0" distB="0" distL="114300" distR="114300" simplePos="0" relativeHeight="251656192" behindDoc="0" locked="0" layoutInCell="1" allowOverlap="1" wp14:anchorId="0C2CEAC9" wp14:editId="74117D46">
                <wp:simplePos x="0" y="0"/>
                <wp:positionH relativeFrom="column">
                  <wp:posOffset>-5080</wp:posOffset>
                </wp:positionH>
                <wp:positionV relativeFrom="paragraph">
                  <wp:posOffset>4960620</wp:posOffset>
                </wp:positionV>
                <wp:extent cx="4972050" cy="280670"/>
                <wp:effectExtent l="0" t="0" r="0" b="0"/>
                <wp:wrapNone/>
                <wp:docPr id="7"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72050" cy="280670"/>
                        </a:xfrm>
                        <a:prstGeom prst="rect">
                          <a:avLst/>
                        </a:prstGeom>
                        <a:solidFill>
                          <a:prstClr val="white"/>
                        </a:solidFill>
                        <a:ln>
                          <a:noFill/>
                        </a:ln>
                        <a:effectLst/>
                      </wps:spPr>
                      <wps:txbx>
                        <w:txbxContent>
                          <w:p w14:paraId="70110FF6" w14:textId="77777777" w:rsidR="00372F2A" w:rsidRPr="00835319" w:rsidRDefault="00372F2A" w:rsidP="00D515FC">
                            <w:pPr>
                              <w:pStyle w:val="Caption"/>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0C2CEAC9" id="Textfeld 10" o:spid="_x0000_s1033" type="#_x0000_t202" style="position:absolute;left:0;text-align:left;margin-left:-.4pt;margin-top:390.6pt;width:391.5pt;height:22.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" stroked="f">
                <v:path arrowok="t"/>
                <v:textbox style="mso-fit-shape-to-text:t" inset="0,0,0,0">
                  <w:txbxContent>
                    <w:p w14:paraId="70110FF6" w14:textId="77777777" w:rsidR="00372F2A" w:rsidRPr="00835319" w:rsidRDefault="00372F2A" w:rsidP="00D515FC">
                      <w:pPr>
                        <w:pStyle w:val="Caption"/>
                      </w:pPr>
                    </w:p>
                  </w:txbxContent>
                </v:textbox>
              </v:shape>
            </w:pict>
          </mc:Fallback>
        </mc:AlternateContent>
      </w:r>
      <w:r>
        <w:rPr>
          <w:rFonts w:ascii="Times New Roman" w:hAnsi="Times New Roman"/>
          <w:noProof/>
          <w:sz w:val="24"/>
          <w:szCs w:val="24"/>
        </w:rPr>
        <w:t>, un niveau similaire à celui de </w:t>
      </w:r>
      <w:r w:rsidRPr="00F43FC8">
        <w:rPr>
          <w:rFonts w:ascii="Times New Roman" w:hAnsi="Times New Roman"/>
          <w:noProof/>
          <w:sz w:val="24"/>
          <w:szCs w:val="24"/>
        </w:rPr>
        <w:t>2018</w:t>
      </w:r>
      <w:r>
        <w:rPr>
          <w:rFonts w:ascii="Times New Roman" w:hAnsi="Times New Roman"/>
          <w:noProof/>
          <w:sz w:val="24"/>
          <w:szCs w:val="24"/>
        </w:rPr>
        <w:t xml:space="preserve">. </w:t>
      </w:r>
      <w:r>
        <w:rPr>
          <w:rFonts w:ascii="Times New Roman" w:hAnsi="Times New Roman"/>
          <w:noProof/>
          <w:sz w:val="24"/>
          <w:szCs w:val="24"/>
        </w:rPr>
        <w:br/>
      </w:r>
      <w:r w:rsidRPr="00F43FC8">
        <w:rPr>
          <w:rFonts w:ascii="Times New Roman" w:hAnsi="Times New Roman"/>
          <w:noProof/>
          <w:sz w:val="24"/>
          <w:szCs w:val="24"/>
        </w:rPr>
        <w:t>2</w:t>
      </w:r>
      <w:r>
        <w:rPr>
          <w:rFonts w:ascii="Times New Roman" w:hAnsi="Times New Roman"/>
          <w:noProof/>
          <w:sz w:val="24"/>
          <w:szCs w:val="24"/>
        </w:rPr>
        <w:t> </w:t>
      </w:r>
      <w:r w:rsidRPr="00F43FC8">
        <w:rPr>
          <w:rFonts w:ascii="Times New Roman" w:hAnsi="Times New Roman"/>
          <w:noProof/>
          <w:sz w:val="24"/>
          <w:szCs w:val="24"/>
        </w:rPr>
        <w:t>163</w:t>
      </w:r>
      <w:r>
        <w:rPr>
          <w:rFonts w:ascii="Times New Roman" w:hAnsi="Times New Roman"/>
          <w:noProof/>
          <w:sz w:val="24"/>
          <w:szCs w:val="24"/>
        </w:rPr>
        <w:t xml:space="preserve"> installations sur </w:t>
      </w:r>
      <w:r w:rsidRPr="00F43FC8">
        <w:rPr>
          <w:rFonts w:ascii="Times New Roman" w:hAnsi="Times New Roman"/>
          <w:noProof/>
          <w:sz w:val="24"/>
          <w:szCs w:val="24"/>
        </w:rPr>
        <w:t>9</w:t>
      </w:r>
      <w:r>
        <w:rPr>
          <w:rFonts w:ascii="Times New Roman" w:hAnsi="Times New Roman"/>
          <w:noProof/>
          <w:sz w:val="24"/>
          <w:szCs w:val="24"/>
        </w:rPr>
        <w:t> </w:t>
      </w:r>
      <w:r w:rsidRPr="00F43FC8">
        <w:rPr>
          <w:rFonts w:ascii="Times New Roman" w:hAnsi="Times New Roman"/>
          <w:noProof/>
          <w:sz w:val="24"/>
          <w:szCs w:val="24"/>
        </w:rPr>
        <w:t>623</w:t>
      </w:r>
      <w:r>
        <w:rPr>
          <w:rFonts w:ascii="Times New Roman" w:hAnsi="Times New Roman"/>
          <w:noProof/>
          <w:sz w:val="24"/>
          <w:szCs w:val="24"/>
        </w:rPr>
        <w:t xml:space="preserve"> (soit </w:t>
      </w:r>
      <w:r w:rsidRPr="00F43FC8">
        <w:rPr>
          <w:rFonts w:ascii="Times New Roman" w:hAnsi="Times New Roman"/>
          <w:noProof/>
          <w:sz w:val="24"/>
          <w:szCs w:val="24"/>
        </w:rPr>
        <w:t>22</w:t>
      </w:r>
      <w:r>
        <w:rPr>
          <w:rFonts w:ascii="Times New Roman" w:hAnsi="Times New Roman"/>
          <w:noProof/>
          <w:sz w:val="24"/>
          <w:szCs w:val="24"/>
        </w:rPr>
        <w:t>,</w:t>
      </w:r>
      <w:r w:rsidRPr="00F43FC8">
        <w:rPr>
          <w:rFonts w:ascii="Times New Roman" w:hAnsi="Times New Roman"/>
          <w:noProof/>
          <w:sz w:val="24"/>
          <w:szCs w:val="24"/>
        </w:rPr>
        <w:t>5</w:t>
      </w:r>
      <w:r>
        <w:rPr>
          <w:rFonts w:ascii="Times New Roman" w:hAnsi="Times New Roman"/>
          <w:noProof/>
          <w:sz w:val="24"/>
          <w:szCs w:val="24"/>
        </w:rPr>
        <w:t> % de l’ensemble des installations effectuant des déclarations dans le cadre du SEQE-UE) ont indiqué avoir recours à la biomasse. Les émissions totales imputables à la biomasse en </w:t>
      </w:r>
      <w:r w:rsidRPr="00F43FC8">
        <w:rPr>
          <w:rFonts w:ascii="Times New Roman" w:hAnsi="Times New Roman"/>
          <w:noProof/>
          <w:sz w:val="24"/>
          <w:szCs w:val="24"/>
        </w:rPr>
        <w:t>2020</w:t>
      </w:r>
      <w:r>
        <w:rPr>
          <w:rFonts w:ascii="Times New Roman" w:hAnsi="Times New Roman"/>
          <w:noProof/>
          <w:sz w:val="24"/>
          <w:szCs w:val="24"/>
        </w:rPr>
        <w:t xml:space="preserve"> sont environ </w:t>
      </w:r>
      <w:r w:rsidRPr="00F43FC8">
        <w:rPr>
          <w:rFonts w:ascii="Times New Roman" w:hAnsi="Times New Roman"/>
          <w:noProof/>
          <w:sz w:val="24"/>
          <w:szCs w:val="24"/>
        </w:rPr>
        <w:t>10</w:t>
      </w:r>
      <w:r>
        <w:rPr>
          <w:rFonts w:ascii="Times New Roman" w:hAnsi="Times New Roman"/>
          <w:noProof/>
          <w:sz w:val="24"/>
          <w:szCs w:val="24"/>
        </w:rPr>
        <w:t xml:space="preserve"> fois inférieures aux émissions des secteurs du SEQE-UE imputables aux carburants fossiles. Les émissions imputables à la biomasse non neutre restent peu élevées, à environ </w:t>
      </w:r>
      <w:r w:rsidRPr="00F43FC8">
        <w:rPr>
          <w:rFonts w:ascii="Times New Roman" w:hAnsi="Times New Roman"/>
          <w:noProof/>
          <w:sz w:val="24"/>
          <w:szCs w:val="24"/>
        </w:rPr>
        <w:t>0</w:t>
      </w:r>
      <w:r>
        <w:rPr>
          <w:rFonts w:ascii="Times New Roman" w:hAnsi="Times New Roman"/>
          <w:noProof/>
          <w:sz w:val="24"/>
          <w:szCs w:val="24"/>
        </w:rPr>
        <w:t>,</w:t>
      </w:r>
      <w:r w:rsidRPr="00F43FC8">
        <w:rPr>
          <w:rFonts w:ascii="Times New Roman" w:hAnsi="Times New Roman"/>
          <w:noProof/>
          <w:sz w:val="24"/>
          <w:szCs w:val="24"/>
        </w:rPr>
        <w:t>9</w:t>
      </w:r>
      <w:r>
        <w:rPr>
          <w:rFonts w:ascii="Times New Roman" w:hAnsi="Times New Roman"/>
          <w:noProof/>
          <w:sz w:val="24"/>
          <w:szCs w:val="24"/>
        </w:rPr>
        <w:t> million de tonnes équivalent CO</w:t>
      </w:r>
      <w:r w:rsidRPr="00F43FC8">
        <w:rPr>
          <w:rFonts w:ascii="Times New Roman" w:hAnsi="Times New Roman"/>
          <w:noProof/>
          <w:sz w:val="24"/>
          <w:szCs w:val="24"/>
          <w:vertAlign w:val="subscript"/>
        </w:rPr>
        <w:t>2</w:t>
      </w:r>
      <w:r>
        <w:rPr>
          <w:rFonts w:ascii="Times New Roman" w:hAnsi="Times New Roman"/>
          <w:noProof/>
          <w:sz w:val="24"/>
          <w:szCs w:val="24"/>
        </w:rPr>
        <w:t xml:space="preserve">, soit moins de </w:t>
      </w:r>
      <w:r w:rsidRPr="00F43FC8">
        <w:rPr>
          <w:rFonts w:ascii="Times New Roman" w:hAnsi="Times New Roman"/>
          <w:noProof/>
          <w:sz w:val="24"/>
          <w:szCs w:val="24"/>
        </w:rPr>
        <w:t>0</w:t>
      </w:r>
      <w:r>
        <w:rPr>
          <w:rFonts w:ascii="Times New Roman" w:hAnsi="Times New Roman"/>
          <w:noProof/>
          <w:sz w:val="24"/>
          <w:szCs w:val="24"/>
        </w:rPr>
        <w:t>,</w:t>
      </w:r>
      <w:r w:rsidRPr="00F43FC8">
        <w:rPr>
          <w:rFonts w:ascii="Times New Roman" w:hAnsi="Times New Roman"/>
          <w:noProof/>
          <w:sz w:val="24"/>
          <w:szCs w:val="24"/>
        </w:rPr>
        <w:t>1</w:t>
      </w:r>
      <w:r>
        <w:rPr>
          <w:rFonts w:ascii="Times New Roman" w:hAnsi="Times New Roman"/>
          <w:noProof/>
          <w:sz w:val="24"/>
          <w:szCs w:val="24"/>
        </w:rPr>
        <w:t> % des émissions totales du SEQE-UE.</w:t>
      </w:r>
    </w:p>
    <w:p w14:paraId="7A0BC1F3" w14:textId="19B925F1" w:rsidR="004911DB" w:rsidRPr="00DA11F1" w:rsidRDefault="002E3B73" w:rsidP="00155B66">
      <w:pPr>
        <w:suppressAutoHyphens/>
        <w:jc w:val="both"/>
        <w:rPr>
          <w:rFonts w:ascii="Times New Roman" w:eastAsia="Times New Roman" w:hAnsi="Times New Roman"/>
          <w:noProof/>
          <w:sz w:val="24"/>
          <w:szCs w:val="24"/>
        </w:rPr>
      </w:pPr>
      <w:r>
        <w:rPr>
          <w:rFonts w:ascii="Times New Roman" w:hAnsi="Times New Roman"/>
          <w:noProof/>
          <w:sz w:val="24"/>
          <w:szCs w:val="24"/>
        </w:rPr>
        <w:t xml:space="preserve">À partir du </w:t>
      </w:r>
      <w:r w:rsidRPr="00F43FC8">
        <w:rPr>
          <w:rFonts w:ascii="Times New Roman" w:hAnsi="Times New Roman"/>
          <w:noProof/>
          <w:sz w:val="24"/>
          <w:szCs w:val="24"/>
        </w:rPr>
        <w:t>1</w:t>
      </w:r>
      <w:r>
        <w:rPr>
          <w:rFonts w:ascii="Times New Roman" w:hAnsi="Times New Roman"/>
          <w:noProof/>
          <w:sz w:val="24"/>
          <w:szCs w:val="24"/>
          <w:vertAlign w:val="superscript"/>
        </w:rPr>
        <w:t>er</w:t>
      </w:r>
      <w:r>
        <w:rPr>
          <w:rFonts w:ascii="Times New Roman" w:hAnsi="Times New Roman"/>
          <w:noProof/>
          <w:sz w:val="24"/>
          <w:szCs w:val="24"/>
        </w:rPr>
        <w:t> janvier </w:t>
      </w:r>
      <w:r w:rsidRPr="00F43FC8">
        <w:rPr>
          <w:rFonts w:ascii="Times New Roman" w:hAnsi="Times New Roman"/>
          <w:noProof/>
          <w:sz w:val="24"/>
          <w:szCs w:val="24"/>
        </w:rPr>
        <w:t>2022</w:t>
      </w:r>
      <w:r>
        <w:rPr>
          <w:rFonts w:ascii="Times New Roman" w:hAnsi="Times New Roman"/>
          <w:noProof/>
          <w:sz w:val="24"/>
          <w:szCs w:val="24"/>
        </w:rPr>
        <w:t>, les nouveaux critères prévus par la directive </w:t>
      </w:r>
      <w:r w:rsidRPr="00F43FC8">
        <w:rPr>
          <w:rFonts w:ascii="Times New Roman" w:hAnsi="Times New Roman"/>
          <w:noProof/>
          <w:sz w:val="24"/>
          <w:szCs w:val="24"/>
        </w:rPr>
        <w:t>2018</w:t>
      </w:r>
      <w:r>
        <w:rPr>
          <w:rFonts w:ascii="Times New Roman" w:hAnsi="Times New Roman"/>
          <w:noProof/>
          <w:sz w:val="24"/>
          <w:szCs w:val="24"/>
        </w:rPr>
        <w:t>/</w:t>
      </w:r>
      <w:r w:rsidRPr="00F43FC8">
        <w:rPr>
          <w:rFonts w:ascii="Times New Roman" w:hAnsi="Times New Roman"/>
          <w:noProof/>
          <w:sz w:val="24"/>
          <w:szCs w:val="24"/>
        </w:rPr>
        <w:t>2001</w:t>
      </w:r>
      <w:r>
        <w:rPr>
          <w:rFonts w:ascii="Times New Roman" w:hAnsi="Times New Roman"/>
          <w:noProof/>
          <w:sz w:val="24"/>
          <w:szCs w:val="24"/>
        </w:rPr>
        <w:t xml:space="preserve"> (directive sur les énergies renouvelables)</w:t>
      </w:r>
      <w:r w:rsidRPr="00DA11F1">
        <w:rPr>
          <w:rFonts w:ascii="Times New Roman" w:eastAsia="Times New Roman" w:hAnsi="Times New Roman"/>
          <w:noProof/>
          <w:sz w:val="24"/>
          <w:szCs w:val="24"/>
          <w:vertAlign w:val="superscript"/>
          <w:lang w:eastAsia="da-DK"/>
        </w:rPr>
        <w:footnoteReference w:id="69"/>
      </w:r>
      <w:r>
        <w:rPr>
          <w:rFonts w:ascii="Times New Roman" w:hAnsi="Times New Roman"/>
          <w:noProof/>
          <w:sz w:val="24"/>
          <w:szCs w:val="24"/>
        </w:rPr>
        <w:t xml:space="preserve"> concernant les critères de durabilité et de réduction des émissions de GES s’appliqueront, dans le SEQE-UE, aux émissions provenant de la biomasse neutre. Les critères actuellement appliqués concernant les biocarburants et les bioliquides dans le SEQE-UE seront ainsi renforcés, tandis que de nouveaux critères seront ajoutés pour l</w:t>
      </w:r>
      <w:r w:rsidR="00155B66">
        <w:rPr>
          <w:rFonts w:ascii="Times New Roman" w:hAnsi="Times New Roman"/>
          <w:noProof/>
          <w:sz w:val="24"/>
          <w:szCs w:val="24"/>
        </w:rPr>
        <w:t xml:space="preserve">a biomasse solide et gazeuse. Le graphique </w:t>
      </w:r>
      <w:r w:rsidR="00155B66" w:rsidRPr="00F43FC8">
        <w:rPr>
          <w:rFonts w:ascii="Times New Roman" w:hAnsi="Times New Roman"/>
          <w:noProof/>
          <w:sz w:val="24"/>
          <w:szCs w:val="24"/>
        </w:rPr>
        <w:t>7</w:t>
      </w:r>
      <w:r>
        <w:rPr>
          <w:rFonts w:ascii="Times New Roman" w:hAnsi="Times New Roman"/>
          <w:noProof/>
          <w:sz w:val="24"/>
          <w:szCs w:val="24"/>
        </w:rPr>
        <w:t xml:space="preserve"> opère une distinction entre les installations de catégorie A, B ou C</w:t>
      </w:r>
      <w:r w:rsidR="00950562" w:rsidRPr="00DA11F1">
        <w:rPr>
          <w:rStyle w:val="FootnoteReference"/>
          <w:rFonts w:ascii="Times New Roman" w:eastAsia="Times New Roman" w:hAnsi="Times New Roman"/>
          <w:noProof/>
          <w:sz w:val="24"/>
          <w:szCs w:val="24"/>
          <w:lang w:eastAsia="da-DK"/>
        </w:rPr>
        <w:footnoteReference w:id="70"/>
      </w:r>
      <w:r>
        <w:rPr>
          <w:rFonts w:ascii="Times New Roman" w:hAnsi="Times New Roman"/>
          <w:noProof/>
          <w:sz w:val="24"/>
          <w:szCs w:val="24"/>
        </w:rPr>
        <w:t xml:space="preserve"> et présente les émissions provenant de la biomasse déclarées lors de la phase </w:t>
      </w:r>
      <w:r w:rsidRPr="00F43FC8">
        <w:rPr>
          <w:rFonts w:ascii="Times New Roman" w:hAnsi="Times New Roman"/>
          <w:noProof/>
          <w:sz w:val="24"/>
          <w:szCs w:val="24"/>
        </w:rPr>
        <w:t>3</w:t>
      </w:r>
      <w:r>
        <w:rPr>
          <w:rFonts w:ascii="Times New Roman" w:hAnsi="Times New Roman"/>
          <w:noProof/>
          <w:sz w:val="24"/>
          <w:szCs w:val="24"/>
        </w:rPr>
        <w:t>. Elle ne tient pas compte de la phase d’absorption ni de la valeur nette des émissions.</w:t>
      </w:r>
    </w:p>
    <w:p w14:paraId="240CB3C9" w14:textId="0BC34B25" w:rsidR="00DF3711" w:rsidRPr="00DA11F1" w:rsidRDefault="00155B66" w:rsidP="00B070AA">
      <w:pPr>
        <w:pStyle w:val="Caption"/>
        <w:keepNext/>
        <w:jc w:val="both"/>
        <w:rPr>
          <w:rFonts w:ascii="Times New Roman" w:hAnsi="Times New Roman"/>
          <w:noProof/>
          <w:sz w:val="22"/>
        </w:rPr>
      </w:pPr>
      <w:bookmarkStart w:id="55" w:name="_Ref85032479"/>
      <w:r>
        <w:rPr>
          <w:rFonts w:ascii="Times New Roman" w:hAnsi="Times New Roman"/>
          <w:noProof/>
          <w:sz w:val="22"/>
        </w:rPr>
        <w:t>Graphique</w:t>
      </w:r>
      <w:r w:rsidR="00DF3711">
        <w:rPr>
          <w:rFonts w:ascii="Times New Roman" w:hAnsi="Times New Roman"/>
          <w:noProof/>
          <w:sz w:val="22"/>
        </w:rPr>
        <w:t> </w:t>
      </w:r>
      <w:r w:rsidR="00F2602C" w:rsidRPr="00DA11F1">
        <w:rPr>
          <w:rFonts w:ascii="Times New Roman" w:hAnsi="Times New Roman"/>
          <w:noProof/>
          <w:sz w:val="22"/>
        </w:rPr>
        <w:fldChar w:fldCharType="begin"/>
      </w:r>
      <w:r w:rsidR="00F2602C" w:rsidRPr="00DA11F1">
        <w:rPr>
          <w:rFonts w:ascii="Times New Roman" w:hAnsi="Times New Roman"/>
          <w:noProof/>
          <w:sz w:val="22"/>
        </w:rPr>
        <w:instrText xml:space="preserve"> SEQ Figure \* ARABIC </w:instrText>
      </w:r>
      <w:r w:rsidR="00F2602C" w:rsidRPr="00DA11F1">
        <w:rPr>
          <w:rFonts w:ascii="Times New Roman" w:hAnsi="Times New Roman"/>
          <w:noProof/>
          <w:sz w:val="22"/>
        </w:rPr>
        <w:fldChar w:fldCharType="separate"/>
      </w:r>
      <w:r w:rsidR="00F2602C" w:rsidRPr="00F43FC8">
        <w:rPr>
          <w:rFonts w:ascii="Times New Roman" w:hAnsi="Times New Roman"/>
          <w:noProof/>
          <w:sz w:val="22"/>
        </w:rPr>
        <w:t>7</w:t>
      </w:r>
      <w:r w:rsidR="00F2602C" w:rsidRPr="00DA11F1">
        <w:rPr>
          <w:rFonts w:ascii="Times New Roman" w:hAnsi="Times New Roman"/>
          <w:noProof/>
          <w:sz w:val="22"/>
        </w:rPr>
        <w:fldChar w:fldCharType="end"/>
      </w:r>
      <w:bookmarkEnd w:id="55"/>
      <w:r w:rsidR="00DF3711">
        <w:rPr>
          <w:rFonts w:ascii="Times New Roman" w:hAnsi="Times New Roman"/>
          <w:noProof/>
          <w:sz w:val="22"/>
        </w:rPr>
        <w:t xml:space="preserve">. Émissions imputables à la biomasse neutre lors de la </w:t>
      </w:r>
      <w:r w:rsidR="00B070AA">
        <w:rPr>
          <w:rFonts w:ascii="Times New Roman" w:hAnsi="Times New Roman"/>
          <w:noProof/>
          <w:sz w:val="22"/>
        </w:rPr>
        <w:t>phase </w:t>
      </w:r>
      <w:r w:rsidR="00B070AA" w:rsidRPr="00F43FC8">
        <w:rPr>
          <w:rFonts w:ascii="Times New Roman" w:hAnsi="Times New Roman"/>
          <w:noProof/>
          <w:sz w:val="22"/>
        </w:rPr>
        <w:t>3</w:t>
      </w:r>
      <w:r w:rsidR="00B070AA">
        <w:rPr>
          <w:rFonts w:ascii="Times New Roman" w:hAnsi="Times New Roman"/>
          <w:noProof/>
          <w:sz w:val="22"/>
        </w:rPr>
        <w:t xml:space="preserve"> du SEQE-UE (</w:t>
      </w:r>
      <w:r w:rsidR="00B070AA" w:rsidRPr="00F43FC8">
        <w:rPr>
          <w:rFonts w:ascii="Times New Roman" w:hAnsi="Times New Roman"/>
          <w:noProof/>
          <w:sz w:val="22"/>
        </w:rPr>
        <w:t>2013</w:t>
      </w:r>
      <w:r w:rsidR="00B070AA">
        <w:rPr>
          <w:rFonts w:ascii="Times New Roman" w:hAnsi="Times New Roman"/>
          <w:noProof/>
          <w:sz w:val="22"/>
        </w:rPr>
        <w:t>-</w:t>
      </w:r>
      <w:r w:rsidR="00B070AA" w:rsidRPr="00F43FC8">
        <w:rPr>
          <w:rFonts w:ascii="Times New Roman" w:hAnsi="Times New Roman"/>
          <w:noProof/>
          <w:sz w:val="22"/>
        </w:rPr>
        <w:t>2020</w:t>
      </w:r>
      <w:r w:rsidR="00B070AA">
        <w:rPr>
          <w:rFonts w:ascii="Times New Roman" w:hAnsi="Times New Roman"/>
          <w:noProof/>
          <w:sz w:val="22"/>
        </w:rPr>
        <w:t xml:space="preserve">) </w:t>
      </w:r>
      <w:r w:rsidR="00DF3711">
        <w:rPr>
          <w:rFonts w:ascii="Times New Roman" w:hAnsi="Times New Roman"/>
          <w:noProof/>
          <w:sz w:val="22"/>
        </w:rPr>
        <w:t>(en tonnes équivalent CO</w:t>
      </w:r>
      <w:r w:rsidR="00DF3711" w:rsidRPr="00F43FC8">
        <w:rPr>
          <w:rFonts w:ascii="Times New Roman" w:hAnsi="Times New Roman"/>
          <w:noProof/>
          <w:sz w:val="22"/>
          <w:vertAlign w:val="subscript"/>
        </w:rPr>
        <w:t>2</w:t>
      </w:r>
      <w:r w:rsidR="00DF3711">
        <w:rPr>
          <w:rFonts w:ascii="Times New Roman" w:hAnsi="Times New Roman"/>
          <w:noProof/>
          <w:sz w:val="22"/>
        </w:rPr>
        <w:t>)</w:t>
      </w:r>
      <w:r w:rsidR="00DF3711" w:rsidRPr="00DA11F1">
        <w:rPr>
          <w:rStyle w:val="FootnoteReference"/>
          <w:rFonts w:ascii="Times New Roman" w:hAnsi="Times New Roman"/>
          <w:b w:val="0"/>
          <w:noProof/>
        </w:rPr>
        <w:footnoteReference w:id="71"/>
      </w:r>
    </w:p>
    <w:p w14:paraId="782A65B4" w14:textId="32CF20BF" w:rsidR="00CF7267" w:rsidRPr="00DA11F1" w:rsidRDefault="00B070AA" w:rsidP="00B070AA">
      <w:pPr>
        <w:jc w:val="center"/>
        <w:rPr>
          <w:rFonts w:ascii="Times New Roman" w:hAnsi="Times New Roman"/>
          <w:b/>
          <w:noProof/>
          <w:sz w:val="24"/>
          <w:szCs w:val="24"/>
        </w:rPr>
      </w:pPr>
      <w:r w:rsidRPr="00B070AA">
        <w:rPr>
          <w:noProof/>
          <w:lang w:val="en-GB" w:eastAsia="en-GB"/>
        </w:rPr>
        <w:drawing>
          <wp:inline distT="0" distB="0" distL="0" distR="0" wp14:anchorId="2A24C87D" wp14:editId="136207BA">
            <wp:extent cx="5637530" cy="3188335"/>
            <wp:effectExtent l="0" t="0" r="127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637530" cy="3188335"/>
                    </a:xfrm>
                    <a:prstGeom prst="rect">
                      <a:avLst/>
                    </a:prstGeom>
                    <a:noFill/>
                    <a:ln>
                      <a:noFill/>
                    </a:ln>
                  </pic:spPr>
                </pic:pic>
              </a:graphicData>
            </a:graphic>
          </wp:inline>
        </w:drawing>
      </w:r>
    </w:p>
    <w:p w14:paraId="7C05A3B2" w14:textId="24BB5849" w:rsidR="00295131" w:rsidRPr="00DA11F1" w:rsidRDefault="009B1524">
      <w:pPr>
        <w:jc w:val="both"/>
        <w:rPr>
          <w:rFonts w:ascii="Times New Roman" w:hAnsi="Times New Roman"/>
          <w:noProof/>
          <w:sz w:val="24"/>
          <w:szCs w:val="24"/>
        </w:rPr>
      </w:pPr>
      <w:r>
        <w:rPr>
          <w:rFonts w:ascii="Times New Roman" w:hAnsi="Times New Roman"/>
          <w:noProof/>
          <w:sz w:val="24"/>
          <w:szCs w:val="24"/>
        </w:rPr>
        <w:t>Une ventilation des émissions vérifiées de GES en phase </w:t>
      </w:r>
      <w:r w:rsidRPr="00F43FC8">
        <w:rPr>
          <w:rFonts w:ascii="Times New Roman" w:hAnsi="Times New Roman"/>
          <w:noProof/>
          <w:sz w:val="24"/>
          <w:szCs w:val="24"/>
        </w:rPr>
        <w:t>3</w:t>
      </w:r>
      <w:r>
        <w:rPr>
          <w:rFonts w:ascii="Times New Roman" w:hAnsi="Times New Roman"/>
          <w:noProof/>
          <w:sz w:val="24"/>
          <w:szCs w:val="24"/>
        </w:rPr>
        <w:t xml:space="preserve"> autres que le CO</w:t>
      </w:r>
      <w:r w:rsidRPr="00F43FC8">
        <w:rPr>
          <w:rFonts w:ascii="Times New Roman" w:hAnsi="Times New Roman"/>
          <w:noProof/>
          <w:sz w:val="24"/>
          <w:szCs w:val="24"/>
          <w:vertAlign w:val="subscript"/>
        </w:rPr>
        <w:t>2</w:t>
      </w:r>
      <w:r>
        <w:rPr>
          <w:rFonts w:ascii="Times New Roman" w:hAnsi="Times New Roman"/>
          <w:noProof/>
          <w:sz w:val="24"/>
          <w:szCs w:val="24"/>
        </w:rPr>
        <w:t xml:space="preserve"> en provenance d’installations fixes par type de GES (</w:t>
      </w:r>
      <w:r>
        <w:rPr>
          <w:rFonts w:ascii="Times New Roman" w:hAnsi="Times New Roman"/>
          <w:bCs/>
          <w:noProof/>
          <w:color w:val="262626"/>
          <w:sz w:val="24"/>
          <w:szCs w:val="24"/>
        </w:rPr>
        <w:t>N</w:t>
      </w:r>
      <w:r w:rsidRPr="00F43FC8">
        <w:rPr>
          <w:rFonts w:ascii="Times New Roman" w:hAnsi="Times New Roman"/>
          <w:bCs/>
          <w:noProof/>
          <w:color w:val="262626"/>
          <w:sz w:val="24"/>
          <w:szCs w:val="24"/>
          <w:bdr w:val="none" w:sz="0" w:space="0" w:color="auto" w:frame="1"/>
          <w:vertAlign w:val="subscript"/>
        </w:rPr>
        <w:t>2</w:t>
      </w:r>
      <w:r>
        <w:rPr>
          <w:rFonts w:ascii="Times New Roman" w:hAnsi="Times New Roman"/>
          <w:bCs/>
          <w:noProof/>
          <w:color w:val="262626"/>
          <w:sz w:val="24"/>
          <w:szCs w:val="24"/>
        </w:rPr>
        <w:t>O</w:t>
      </w:r>
      <w:r>
        <w:rPr>
          <w:rFonts w:ascii="Times New Roman" w:hAnsi="Times New Roman"/>
          <w:noProof/>
          <w:sz w:val="24"/>
          <w:szCs w:val="24"/>
        </w:rPr>
        <w:t xml:space="preserve"> et PFC) est fournie dans le tableau </w:t>
      </w:r>
      <w:r w:rsidRPr="00F43FC8">
        <w:rPr>
          <w:rFonts w:ascii="Times New Roman" w:hAnsi="Times New Roman"/>
          <w:noProof/>
          <w:sz w:val="24"/>
          <w:szCs w:val="24"/>
        </w:rPr>
        <w:t>9</w:t>
      </w:r>
      <w:r>
        <w:rPr>
          <w:rFonts w:ascii="Times New Roman" w:hAnsi="Times New Roman"/>
          <w:noProof/>
          <w:sz w:val="24"/>
          <w:szCs w:val="24"/>
        </w:rPr>
        <w:t>.</w:t>
      </w:r>
      <w:r w:rsidRPr="00F43FC8">
        <w:rPr>
          <w:rFonts w:ascii="Times New Roman" w:hAnsi="Times New Roman"/>
          <w:noProof/>
          <w:sz w:val="24"/>
          <w:szCs w:val="24"/>
        </w:rPr>
        <w:t>1</w:t>
      </w:r>
      <w:r>
        <w:rPr>
          <w:rFonts w:ascii="Times New Roman" w:hAnsi="Times New Roman"/>
          <w:noProof/>
          <w:sz w:val="24"/>
          <w:szCs w:val="24"/>
        </w:rPr>
        <w:t xml:space="preserve"> de l’annexe </w:t>
      </w:r>
      <w:r w:rsidRPr="00F43FC8">
        <w:rPr>
          <w:rFonts w:ascii="Times New Roman" w:hAnsi="Times New Roman"/>
          <w:noProof/>
          <w:sz w:val="24"/>
          <w:szCs w:val="24"/>
        </w:rPr>
        <w:t>9</w:t>
      </w:r>
      <w:r>
        <w:rPr>
          <w:rFonts w:ascii="Times New Roman" w:hAnsi="Times New Roman"/>
          <w:noProof/>
          <w:sz w:val="24"/>
          <w:szCs w:val="24"/>
        </w:rPr>
        <w:t xml:space="preserve"> du document de travail des services de la Commission accompagnant le présent rapport.</w:t>
      </w:r>
    </w:p>
    <w:p w14:paraId="6A74981D" w14:textId="23140A1F" w:rsidR="00131369" w:rsidRPr="00DA11F1" w:rsidRDefault="00E55F52">
      <w:pPr>
        <w:jc w:val="both"/>
        <w:rPr>
          <w:rFonts w:ascii="Times New Roman" w:hAnsi="Times New Roman"/>
          <w:noProof/>
          <w:sz w:val="24"/>
          <w:szCs w:val="24"/>
        </w:rPr>
      </w:pPr>
      <w:r>
        <w:rPr>
          <w:rFonts w:ascii="Times New Roman" w:hAnsi="Times New Roman"/>
          <w:noProof/>
          <w:sz w:val="24"/>
          <w:szCs w:val="24"/>
        </w:rPr>
        <w:t xml:space="preserve">En </w:t>
      </w:r>
      <w:r w:rsidRPr="00F43FC8">
        <w:rPr>
          <w:rFonts w:ascii="Times New Roman" w:hAnsi="Times New Roman"/>
          <w:noProof/>
          <w:sz w:val="24"/>
          <w:szCs w:val="24"/>
        </w:rPr>
        <w:t>2020</w:t>
      </w:r>
      <w:r>
        <w:rPr>
          <w:rFonts w:ascii="Times New Roman" w:hAnsi="Times New Roman"/>
          <w:noProof/>
          <w:sz w:val="24"/>
          <w:szCs w:val="24"/>
        </w:rPr>
        <w:t xml:space="preserve">, </w:t>
      </w:r>
      <w:r w:rsidRPr="00F43FC8">
        <w:rPr>
          <w:rFonts w:ascii="Times New Roman" w:hAnsi="Times New Roman"/>
          <w:noProof/>
          <w:sz w:val="24"/>
          <w:szCs w:val="24"/>
        </w:rPr>
        <w:t>92</w:t>
      </w:r>
      <w:r>
        <w:rPr>
          <w:rFonts w:ascii="Times New Roman" w:hAnsi="Times New Roman"/>
          <w:noProof/>
          <w:sz w:val="24"/>
          <w:szCs w:val="24"/>
        </w:rPr>
        <w:t> </w:t>
      </w:r>
      <w:r w:rsidRPr="00F43FC8">
        <w:rPr>
          <w:rFonts w:ascii="Times New Roman" w:hAnsi="Times New Roman"/>
          <w:noProof/>
          <w:sz w:val="24"/>
          <w:szCs w:val="24"/>
        </w:rPr>
        <w:t>812</w:t>
      </w:r>
      <w:r>
        <w:rPr>
          <w:rFonts w:ascii="Times New Roman" w:hAnsi="Times New Roman"/>
          <w:noProof/>
          <w:sz w:val="24"/>
          <w:szCs w:val="24"/>
        </w:rPr>
        <w:t> quotas ont été volontairement annulés. Pour l’ensemble de la phase </w:t>
      </w:r>
      <w:r w:rsidRPr="00F43FC8">
        <w:rPr>
          <w:rFonts w:ascii="Times New Roman" w:hAnsi="Times New Roman"/>
          <w:noProof/>
          <w:sz w:val="24"/>
          <w:szCs w:val="24"/>
        </w:rPr>
        <w:t>3</w:t>
      </w:r>
      <w:r>
        <w:rPr>
          <w:rFonts w:ascii="Times New Roman" w:hAnsi="Times New Roman"/>
          <w:noProof/>
          <w:sz w:val="24"/>
          <w:szCs w:val="24"/>
        </w:rPr>
        <w:t xml:space="preserve">, </w:t>
      </w:r>
      <w:r w:rsidRPr="00F43FC8">
        <w:rPr>
          <w:rFonts w:ascii="Times New Roman" w:hAnsi="Times New Roman"/>
          <w:noProof/>
          <w:sz w:val="24"/>
          <w:szCs w:val="24"/>
        </w:rPr>
        <w:t>498</w:t>
      </w:r>
      <w:r>
        <w:rPr>
          <w:rFonts w:ascii="Times New Roman" w:hAnsi="Times New Roman"/>
          <w:noProof/>
          <w:sz w:val="24"/>
          <w:szCs w:val="24"/>
        </w:rPr>
        <w:t> </w:t>
      </w:r>
      <w:r w:rsidRPr="00F43FC8">
        <w:rPr>
          <w:rFonts w:ascii="Times New Roman" w:hAnsi="Times New Roman"/>
          <w:noProof/>
          <w:sz w:val="24"/>
          <w:szCs w:val="24"/>
        </w:rPr>
        <w:t>435</w:t>
      </w:r>
      <w:r>
        <w:rPr>
          <w:rFonts w:ascii="Times New Roman" w:hAnsi="Times New Roman"/>
          <w:noProof/>
          <w:sz w:val="24"/>
          <w:szCs w:val="24"/>
        </w:rPr>
        <w:t> annulations volontaires de quotas avaient été enregistrées à la fin juin </w:t>
      </w:r>
      <w:r w:rsidRPr="00F43FC8">
        <w:rPr>
          <w:rFonts w:ascii="Times New Roman" w:hAnsi="Times New Roman"/>
          <w:noProof/>
          <w:sz w:val="24"/>
          <w:szCs w:val="24"/>
        </w:rPr>
        <w:t>2021</w:t>
      </w:r>
      <w:r>
        <w:rPr>
          <w:rFonts w:ascii="Times New Roman" w:hAnsi="Times New Roman"/>
          <w:noProof/>
          <w:sz w:val="24"/>
          <w:szCs w:val="24"/>
        </w:rPr>
        <w:t>.</w:t>
      </w:r>
      <w:r>
        <w:rPr>
          <w:rFonts w:ascii="Times New Roman" w:hAnsi="Times New Roman"/>
          <w:noProof/>
        </w:rPr>
        <w:t xml:space="preserve"> </w:t>
      </w:r>
      <w:r>
        <w:rPr>
          <w:rFonts w:ascii="Times New Roman" w:hAnsi="Times New Roman"/>
          <w:noProof/>
          <w:sz w:val="24"/>
          <w:szCs w:val="24"/>
        </w:rPr>
        <w:t>La plupart des annulations de la phase </w:t>
      </w:r>
      <w:r w:rsidRPr="00F43FC8">
        <w:rPr>
          <w:rFonts w:ascii="Times New Roman" w:hAnsi="Times New Roman"/>
          <w:noProof/>
          <w:sz w:val="24"/>
          <w:szCs w:val="24"/>
        </w:rPr>
        <w:t>3</w:t>
      </w:r>
      <w:r>
        <w:rPr>
          <w:rFonts w:ascii="Times New Roman" w:hAnsi="Times New Roman"/>
          <w:noProof/>
          <w:sz w:val="24"/>
          <w:szCs w:val="24"/>
        </w:rPr>
        <w:t xml:space="preserve"> ont été autorisées par les titulaires de comptes dans les registres de l’Allemagne, de la Suède, de la Norvège, des Pays-Bas et du Royaume-Uni.</w:t>
      </w:r>
    </w:p>
    <w:p w14:paraId="1638CC7D" w14:textId="1B2DF770" w:rsidR="00313428" w:rsidRPr="00DA11F1" w:rsidRDefault="00313428" w:rsidP="00313428">
      <w:pPr>
        <w:pStyle w:val="Heading3"/>
        <w:spacing w:before="0" w:after="200"/>
        <w:ind w:left="720"/>
        <w:rPr>
          <w:noProof/>
        </w:rPr>
      </w:pPr>
      <w:bookmarkStart w:id="56" w:name="_Toc89707773"/>
      <w:r w:rsidRPr="00F43FC8">
        <w:rPr>
          <w:i/>
          <w:noProof/>
        </w:rPr>
        <w:t>3</w:t>
      </w:r>
      <w:r>
        <w:rPr>
          <w:i/>
          <w:noProof/>
        </w:rPr>
        <w:t>.</w:t>
      </w:r>
      <w:r w:rsidRPr="00F43FC8">
        <w:rPr>
          <w:i/>
          <w:noProof/>
        </w:rPr>
        <w:t>2</w:t>
      </w:r>
      <w:r>
        <w:rPr>
          <w:i/>
          <w:noProof/>
        </w:rPr>
        <w:t>.</w:t>
      </w:r>
      <w:r w:rsidRPr="00F43FC8">
        <w:rPr>
          <w:i/>
          <w:noProof/>
        </w:rPr>
        <w:t>2</w:t>
      </w:r>
      <w:r>
        <w:rPr>
          <w:i/>
          <w:noProof/>
        </w:rPr>
        <w:t xml:space="preserve"> Équilibre de l’offre et de la demande</w:t>
      </w:r>
      <w:bookmarkEnd w:id="56"/>
      <w:r>
        <w:rPr>
          <w:i/>
          <w:noProof/>
        </w:rPr>
        <w:t xml:space="preserve"> </w:t>
      </w:r>
    </w:p>
    <w:p w14:paraId="257D9D45" w14:textId="25E3B9C9" w:rsidR="00CF452F" w:rsidRDefault="00035110">
      <w:pPr>
        <w:jc w:val="both"/>
        <w:rPr>
          <w:rFonts w:ascii="Times New Roman" w:eastAsia="Times New Roman" w:hAnsi="Times New Roman"/>
          <w:bCs/>
          <w:iCs/>
          <w:noProof/>
          <w:sz w:val="24"/>
          <w:szCs w:val="24"/>
        </w:rPr>
      </w:pPr>
      <w:r>
        <w:rPr>
          <w:rFonts w:ascii="Times New Roman" w:hAnsi="Times New Roman"/>
          <w:noProof/>
          <w:sz w:val="24"/>
          <w:szCs w:val="24"/>
        </w:rPr>
        <w:t>Au début de la phase </w:t>
      </w:r>
      <w:r w:rsidRPr="00F43FC8">
        <w:rPr>
          <w:rFonts w:ascii="Times New Roman" w:hAnsi="Times New Roman"/>
          <w:noProof/>
          <w:sz w:val="24"/>
          <w:szCs w:val="24"/>
        </w:rPr>
        <w:t>3</w:t>
      </w:r>
      <w:r>
        <w:rPr>
          <w:rFonts w:ascii="Times New Roman" w:hAnsi="Times New Roman"/>
          <w:noProof/>
          <w:sz w:val="24"/>
          <w:szCs w:val="24"/>
        </w:rPr>
        <w:t xml:space="preserve">, le SEQE-UE présentait un déséquilibre structurel important entre l’offre et la demande de quotas, avec un excédent d’environ </w:t>
      </w:r>
      <w:r w:rsidRPr="00F43FC8">
        <w:rPr>
          <w:rFonts w:ascii="Times New Roman" w:hAnsi="Times New Roman"/>
          <w:noProof/>
          <w:sz w:val="24"/>
          <w:szCs w:val="24"/>
        </w:rPr>
        <w:t>2</w:t>
      </w:r>
      <w:r>
        <w:rPr>
          <w:rFonts w:ascii="Times New Roman" w:hAnsi="Times New Roman"/>
          <w:noProof/>
          <w:sz w:val="24"/>
          <w:szCs w:val="24"/>
        </w:rPr>
        <w:t>,</w:t>
      </w:r>
      <w:r w:rsidRPr="00F43FC8">
        <w:rPr>
          <w:rFonts w:ascii="Times New Roman" w:hAnsi="Times New Roman"/>
          <w:noProof/>
          <w:sz w:val="24"/>
          <w:szCs w:val="24"/>
        </w:rPr>
        <w:t>1</w:t>
      </w:r>
      <w:r>
        <w:rPr>
          <w:rFonts w:ascii="Times New Roman" w:hAnsi="Times New Roman"/>
          <w:noProof/>
          <w:sz w:val="24"/>
          <w:szCs w:val="24"/>
        </w:rPr>
        <w:t> milliards de quotas. Pour remédier à ce déséquilibre, en </w:t>
      </w:r>
      <w:r w:rsidRPr="00F43FC8">
        <w:rPr>
          <w:rFonts w:ascii="Times New Roman" w:hAnsi="Times New Roman"/>
          <w:noProof/>
          <w:sz w:val="24"/>
          <w:szCs w:val="24"/>
        </w:rPr>
        <w:t>2014</w:t>
      </w:r>
      <w:r>
        <w:rPr>
          <w:rFonts w:ascii="Times New Roman" w:hAnsi="Times New Roman"/>
          <w:noProof/>
          <w:sz w:val="24"/>
          <w:szCs w:val="24"/>
        </w:rPr>
        <w:t xml:space="preserve">, comme mesure à court terme, la Commission a reporté la mise aux enchères de </w:t>
      </w:r>
      <w:r w:rsidRPr="00F43FC8">
        <w:rPr>
          <w:rFonts w:ascii="Times New Roman" w:hAnsi="Times New Roman"/>
          <w:noProof/>
          <w:sz w:val="24"/>
          <w:szCs w:val="24"/>
        </w:rPr>
        <w:t>900</w:t>
      </w:r>
      <w:r>
        <w:rPr>
          <w:rFonts w:ascii="Times New Roman" w:hAnsi="Times New Roman"/>
          <w:noProof/>
          <w:sz w:val="24"/>
          <w:szCs w:val="24"/>
        </w:rPr>
        <w:t> millions de quotas de </w:t>
      </w:r>
      <w:r w:rsidRPr="00F43FC8">
        <w:rPr>
          <w:rFonts w:ascii="Times New Roman" w:hAnsi="Times New Roman"/>
          <w:noProof/>
          <w:sz w:val="24"/>
          <w:szCs w:val="24"/>
        </w:rPr>
        <w:t>2014</w:t>
      </w:r>
      <w:r>
        <w:rPr>
          <w:rFonts w:ascii="Times New Roman" w:hAnsi="Times New Roman"/>
          <w:noProof/>
          <w:sz w:val="24"/>
          <w:szCs w:val="24"/>
        </w:rPr>
        <w:t xml:space="preserve">, </w:t>
      </w:r>
      <w:r w:rsidRPr="00F43FC8">
        <w:rPr>
          <w:rFonts w:ascii="Times New Roman" w:hAnsi="Times New Roman"/>
          <w:noProof/>
          <w:sz w:val="24"/>
          <w:szCs w:val="24"/>
        </w:rPr>
        <w:t>2015</w:t>
      </w:r>
      <w:r>
        <w:rPr>
          <w:rFonts w:ascii="Times New Roman" w:hAnsi="Times New Roman"/>
          <w:noProof/>
          <w:sz w:val="24"/>
          <w:szCs w:val="24"/>
        </w:rPr>
        <w:t> et </w:t>
      </w:r>
      <w:r w:rsidRPr="00F43FC8">
        <w:rPr>
          <w:rFonts w:ascii="Times New Roman" w:hAnsi="Times New Roman"/>
          <w:noProof/>
          <w:sz w:val="24"/>
          <w:szCs w:val="24"/>
        </w:rPr>
        <w:t>2016</w:t>
      </w:r>
      <w:r>
        <w:rPr>
          <w:rFonts w:ascii="Times New Roman" w:hAnsi="Times New Roman"/>
          <w:noProof/>
          <w:sz w:val="24"/>
          <w:szCs w:val="24"/>
        </w:rPr>
        <w:t xml:space="preserve"> à </w:t>
      </w:r>
      <w:r w:rsidRPr="00F43FC8">
        <w:rPr>
          <w:rFonts w:ascii="Times New Roman" w:hAnsi="Times New Roman"/>
          <w:noProof/>
          <w:sz w:val="24"/>
          <w:szCs w:val="24"/>
        </w:rPr>
        <w:t>2019</w:t>
      </w:r>
      <w:r>
        <w:rPr>
          <w:rFonts w:ascii="Times New Roman" w:hAnsi="Times New Roman"/>
          <w:noProof/>
          <w:sz w:val="24"/>
          <w:szCs w:val="24"/>
        </w:rPr>
        <w:t>-</w:t>
      </w:r>
      <w:r w:rsidRPr="00F43FC8">
        <w:rPr>
          <w:rFonts w:ascii="Times New Roman" w:hAnsi="Times New Roman"/>
          <w:noProof/>
          <w:sz w:val="24"/>
          <w:szCs w:val="24"/>
        </w:rPr>
        <w:t>2020</w:t>
      </w:r>
      <w:r>
        <w:rPr>
          <w:rFonts w:ascii="Times New Roman" w:hAnsi="Times New Roman"/>
          <w:noProof/>
          <w:sz w:val="24"/>
          <w:szCs w:val="24"/>
        </w:rPr>
        <w:t>, et, comme solution à long terme, elle a créé la RSM en </w:t>
      </w:r>
      <w:r w:rsidRPr="00F43FC8">
        <w:rPr>
          <w:rFonts w:ascii="Times New Roman" w:hAnsi="Times New Roman"/>
          <w:noProof/>
          <w:sz w:val="24"/>
          <w:szCs w:val="24"/>
        </w:rPr>
        <w:t>2015</w:t>
      </w:r>
      <w:r w:rsidRPr="00DA11F1">
        <w:rPr>
          <w:rFonts w:ascii="Times New Roman" w:hAnsi="Times New Roman"/>
          <w:noProof/>
          <w:sz w:val="24"/>
          <w:szCs w:val="24"/>
          <w:vertAlign w:val="superscript"/>
        </w:rPr>
        <w:footnoteReference w:id="72"/>
      </w:r>
      <w:r>
        <w:rPr>
          <w:rFonts w:ascii="Times New Roman" w:hAnsi="Times New Roman"/>
          <w:noProof/>
          <w:sz w:val="24"/>
          <w:szCs w:val="24"/>
        </w:rPr>
        <w:t>.</w:t>
      </w:r>
      <w:r>
        <w:rPr>
          <w:rFonts w:ascii="Times New Roman" w:hAnsi="Times New Roman"/>
          <w:bCs/>
          <w:iCs/>
          <w:noProof/>
          <w:sz w:val="24"/>
          <w:szCs w:val="24"/>
        </w:rPr>
        <w:t xml:space="preserve"> La RSM adapte les volumes de quotas mis aux enchères en fonction de seuils prédéfinis du nombre total de quotas en circulation (NTQC), de manière à maintenir un équilibre sur le marché du carbone.</w:t>
      </w:r>
    </w:p>
    <w:p w14:paraId="4DB44F35" w14:textId="7499E891" w:rsidR="00131369" w:rsidRPr="00DA11F1" w:rsidRDefault="00035110" w:rsidP="00155B66">
      <w:pPr>
        <w:jc w:val="both"/>
        <w:rPr>
          <w:rFonts w:ascii="Times New Roman" w:hAnsi="Times New Roman"/>
          <w:noProof/>
          <w:sz w:val="24"/>
          <w:szCs w:val="24"/>
        </w:rPr>
      </w:pPr>
      <w:r>
        <w:rPr>
          <w:rFonts w:ascii="Times New Roman" w:hAnsi="Times New Roman"/>
          <w:noProof/>
          <w:sz w:val="24"/>
          <w:szCs w:val="24"/>
        </w:rPr>
        <w:t>Entre </w:t>
      </w:r>
      <w:r w:rsidRPr="00F43FC8">
        <w:rPr>
          <w:rFonts w:ascii="Times New Roman" w:hAnsi="Times New Roman"/>
          <w:noProof/>
          <w:sz w:val="24"/>
          <w:szCs w:val="24"/>
        </w:rPr>
        <w:t>2018</w:t>
      </w:r>
      <w:r>
        <w:rPr>
          <w:rFonts w:ascii="Times New Roman" w:hAnsi="Times New Roman"/>
          <w:noProof/>
          <w:sz w:val="24"/>
          <w:szCs w:val="24"/>
        </w:rPr>
        <w:t xml:space="preserve"> et </w:t>
      </w:r>
      <w:r w:rsidRPr="00F43FC8">
        <w:rPr>
          <w:rFonts w:ascii="Times New Roman" w:hAnsi="Times New Roman"/>
          <w:noProof/>
          <w:sz w:val="24"/>
          <w:szCs w:val="24"/>
        </w:rPr>
        <w:t>2019</w:t>
      </w:r>
      <w:r>
        <w:rPr>
          <w:rFonts w:ascii="Times New Roman" w:hAnsi="Times New Roman"/>
          <w:noProof/>
          <w:sz w:val="24"/>
          <w:szCs w:val="24"/>
        </w:rPr>
        <w:t xml:space="preserve">, période à laquelle la RSM est devenue opérationnelle, l’excédent s’est considérablement réduit, passant de </w:t>
      </w:r>
      <w:r w:rsidRPr="00F43FC8">
        <w:rPr>
          <w:rFonts w:ascii="Times New Roman" w:hAnsi="Times New Roman"/>
          <w:noProof/>
          <w:sz w:val="24"/>
          <w:szCs w:val="24"/>
        </w:rPr>
        <w:t>1</w:t>
      </w:r>
      <w:r>
        <w:rPr>
          <w:rFonts w:ascii="Times New Roman" w:hAnsi="Times New Roman"/>
          <w:noProof/>
          <w:sz w:val="24"/>
          <w:szCs w:val="24"/>
        </w:rPr>
        <w:t>,</w:t>
      </w:r>
      <w:r w:rsidRPr="00F43FC8">
        <w:rPr>
          <w:rFonts w:ascii="Times New Roman" w:hAnsi="Times New Roman"/>
          <w:noProof/>
          <w:sz w:val="24"/>
          <w:szCs w:val="24"/>
        </w:rPr>
        <w:t>65</w:t>
      </w:r>
      <w:r>
        <w:rPr>
          <w:rFonts w:ascii="Times New Roman" w:hAnsi="Times New Roman"/>
          <w:noProof/>
          <w:sz w:val="24"/>
          <w:szCs w:val="24"/>
        </w:rPr>
        <w:t xml:space="preserve"> milliard à environ </w:t>
      </w:r>
      <w:r w:rsidRPr="00F43FC8">
        <w:rPr>
          <w:rFonts w:ascii="Times New Roman" w:hAnsi="Times New Roman"/>
          <w:noProof/>
          <w:sz w:val="24"/>
          <w:szCs w:val="24"/>
        </w:rPr>
        <w:t>1</w:t>
      </w:r>
      <w:r>
        <w:rPr>
          <w:rFonts w:ascii="Times New Roman" w:hAnsi="Times New Roman"/>
          <w:noProof/>
          <w:sz w:val="24"/>
          <w:szCs w:val="24"/>
        </w:rPr>
        <w:t>,</w:t>
      </w:r>
      <w:r w:rsidRPr="00F43FC8">
        <w:rPr>
          <w:rFonts w:ascii="Times New Roman" w:hAnsi="Times New Roman"/>
          <w:noProof/>
          <w:sz w:val="24"/>
          <w:szCs w:val="24"/>
        </w:rPr>
        <w:t>385</w:t>
      </w:r>
      <w:r>
        <w:rPr>
          <w:rFonts w:ascii="Times New Roman" w:hAnsi="Times New Roman"/>
          <w:noProof/>
          <w:sz w:val="24"/>
          <w:szCs w:val="24"/>
        </w:rPr>
        <w:t> milliard de quotas. En </w:t>
      </w:r>
      <w:r w:rsidRPr="00F43FC8">
        <w:rPr>
          <w:rFonts w:ascii="Times New Roman" w:hAnsi="Times New Roman"/>
          <w:noProof/>
          <w:sz w:val="24"/>
          <w:szCs w:val="24"/>
        </w:rPr>
        <w:t>2020</w:t>
      </w:r>
      <w:r>
        <w:rPr>
          <w:rFonts w:ascii="Times New Roman" w:hAnsi="Times New Roman"/>
          <w:noProof/>
          <w:sz w:val="24"/>
          <w:szCs w:val="24"/>
        </w:rPr>
        <w:t xml:space="preserve">, en raison d’une baisse de la demande, l’excédent a augmenté à </w:t>
      </w:r>
      <w:r w:rsidRPr="00F43FC8">
        <w:rPr>
          <w:rFonts w:ascii="Times New Roman" w:hAnsi="Times New Roman"/>
          <w:noProof/>
          <w:sz w:val="24"/>
          <w:szCs w:val="24"/>
        </w:rPr>
        <w:t>1</w:t>
      </w:r>
      <w:r>
        <w:rPr>
          <w:rFonts w:ascii="Times New Roman" w:hAnsi="Times New Roman"/>
          <w:noProof/>
          <w:sz w:val="24"/>
          <w:szCs w:val="24"/>
        </w:rPr>
        <w:t>,</w:t>
      </w:r>
      <w:r w:rsidRPr="00F43FC8">
        <w:rPr>
          <w:rFonts w:ascii="Times New Roman" w:hAnsi="Times New Roman"/>
          <w:noProof/>
          <w:sz w:val="24"/>
          <w:szCs w:val="24"/>
        </w:rPr>
        <w:t>579</w:t>
      </w:r>
      <w:r>
        <w:rPr>
          <w:rFonts w:ascii="Times New Roman" w:hAnsi="Times New Roman"/>
          <w:noProof/>
          <w:sz w:val="24"/>
          <w:szCs w:val="24"/>
        </w:rPr>
        <w:t> milliard de quotas. Cet excédent supplémentaire de </w:t>
      </w:r>
      <w:r w:rsidRPr="00F43FC8">
        <w:rPr>
          <w:rFonts w:ascii="Times New Roman" w:hAnsi="Times New Roman"/>
          <w:noProof/>
          <w:sz w:val="24"/>
          <w:szCs w:val="24"/>
        </w:rPr>
        <w:t>2020</w:t>
      </w:r>
      <w:r>
        <w:rPr>
          <w:rFonts w:ascii="Times New Roman" w:hAnsi="Times New Roman"/>
          <w:noProof/>
          <w:sz w:val="24"/>
          <w:szCs w:val="24"/>
        </w:rPr>
        <w:t xml:space="preserve"> devrait être absorbé dans les deux à quatre années à venir. </w:t>
      </w:r>
      <w:r w:rsidR="00155B66">
        <w:rPr>
          <w:rFonts w:ascii="Times New Roman" w:hAnsi="Times New Roman"/>
          <w:noProof/>
          <w:sz w:val="24"/>
          <w:szCs w:val="24"/>
        </w:rPr>
        <w:t xml:space="preserve">Le graphique </w:t>
      </w:r>
      <w:r w:rsidR="00155B66" w:rsidRPr="00F43FC8">
        <w:rPr>
          <w:rFonts w:ascii="Times New Roman" w:hAnsi="Times New Roman"/>
          <w:noProof/>
          <w:sz w:val="24"/>
          <w:szCs w:val="24"/>
        </w:rPr>
        <w:t>8</w:t>
      </w:r>
      <w:r w:rsidR="00155B66">
        <w:rPr>
          <w:rFonts w:ascii="Times New Roman" w:hAnsi="Times New Roman"/>
          <w:noProof/>
          <w:sz w:val="24"/>
          <w:szCs w:val="24"/>
        </w:rPr>
        <w:t xml:space="preserve"> </w:t>
      </w:r>
      <w:r>
        <w:rPr>
          <w:rFonts w:ascii="Times New Roman" w:hAnsi="Times New Roman"/>
          <w:noProof/>
          <w:sz w:val="24"/>
          <w:szCs w:val="24"/>
        </w:rPr>
        <w:t>présente l’évolution de l’excédent du marché européen du carbone jusqu’à la fin </w:t>
      </w:r>
      <w:r w:rsidRPr="00F43FC8">
        <w:rPr>
          <w:rFonts w:ascii="Times New Roman" w:hAnsi="Times New Roman"/>
          <w:noProof/>
          <w:sz w:val="24"/>
          <w:szCs w:val="24"/>
        </w:rPr>
        <w:t>2020</w:t>
      </w:r>
      <w:r>
        <w:rPr>
          <w:rFonts w:ascii="Times New Roman" w:hAnsi="Times New Roman"/>
          <w:noProof/>
          <w:sz w:val="24"/>
          <w:szCs w:val="24"/>
        </w:rPr>
        <w:t xml:space="preserve">. </w:t>
      </w:r>
    </w:p>
    <w:p w14:paraId="7FA05199" w14:textId="4E8B60E5" w:rsidR="00A90A62" w:rsidRPr="00DA11F1" w:rsidRDefault="00155B66" w:rsidP="003B0310">
      <w:pPr>
        <w:pStyle w:val="Caption"/>
        <w:keepNext/>
        <w:jc w:val="both"/>
        <w:rPr>
          <w:rFonts w:ascii="Times New Roman" w:hAnsi="Times New Roman"/>
          <w:noProof/>
          <w:sz w:val="22"/>
        </w:rPr>
      </w:pPr>
      <w:bookmarkStart w:id="57" w:name="_Ref85032985"/>
      <w:r>
        <w:rPr>
          <w:rFonts w:ascii="Times New Roman" w:hAnsi="Times New Roman"/>
          <w:noProof/>
          <w:sz w:val="22"/>
        </w:rPr>
        <w:t>Graphique</w:t>
      </w:r>
      <w:r w:rsidR="00A90A62">
        <w:rPr>
          <w:rFonts w:ascii="Times New Roman" w:hAnsi="Times New Roman"/>
          <w:noProof/>
          <w:sz w:val="22"/>
        </w:rPr>
        <w:t> </w:t>
      </w:r>
      <w:r w:rsidR="00F2602C" w:rsidRPr="00DA11F1">
        <w:rPr>
          <w:rFonts w:ascii="Times New Roman" w:hAnsi="Times New Roman"/>
          <w:noProof/>
          <w:sz w:val="22"/>
        </w:rPr>
        <w:fldChar w:fldCharType="begin"/>
      </w:r>
      <w:r w:rsidR="00F2602C" w:rsidRPr="00DA11F1">
        <w:rPr>
          <w:rFonts w:ascii="Times New Roman" w:hAnsi="Times New Roman"/>
          <w:noProof/>
          <w:sz w:val="22"/>
        </w:rPr>
        <w:instrText xml:space="preserve"> SEQ Figure \* ARABIC </w:instrText>
      </w:r>
      <w:r w:rsidR="00F2602C" w:rsidRPr="00DA11F1">
        <w:rPr>
          <w:rFonts w:ascii="Times New Roman" w:hAnsi="Times New Roman"/>
          <w:noProof/>
          <w:sz w:val="22"/>
        </w:rPr>
        <w:fldChar w:fldCharType="separate"/>
      </w:r>
      <w:r w:rsidR="00F2602C" w:rsidRPr="00F43FC8">
        <w:rPr>
          <w:rFonts w:ascii="Times New Roman" w:hAnsi="Times New Roman"/>
          <w:noProof/>
          <w:sz w:val="22"/>
        </w:rPr>
        <w:t>8</w:t>
      </w:r>
      <w:r w:rsidR="00F2602C" w:rsidRPr="00DA11F1">
        <w:rPr>
          <w:rFonts w:ascii="Times New Roman" w:hAnsi="Times New Roman"/>
          <w:noProof/>
          <w:sz w:val="22"/>
        </w:rPr>
        <w:fldChar w:fldCharType="end"/>
      </w:r>
      <w:bookmarkEnd w:id="57"/>
      <w:r w:rsidR="00A90A62">
        <w:rPr>
          <w:rFonts w:ascii="Times New Roman" w:hAnsi="Times New Roman"/>
          <w:noProof/>
          <w:sz w:val="22"/>
        </w:rPr>
        <w:t>. Excédent de quotas lors de la phase </w:t>
      </w:r>
      <w:r w:rsidR="00A90A62" w:rsidRPr="00F43FC8">
        <w:rPr>
          <w:rFonts w:ascii="Times New Roman" w:hAnsi="Times New Roman"/>
          <w:noProof/>
          <w:sz w:val="22"/>
        </w:rPr>
        <w:t>3</w:t>
      </w:r>
      <w:r w:rsidR="00A90A62">
        <w:rPr>
          <w:rFonts w:ascii="Times New Roman" w:hAnsi="Times New Roman"/>
          <w:noProof/>
          <w:sz w:val="22"/>
        </w:rPr>
        <w:t xml:space="preserve"> du SEQE-UE (</w:t>
      </w:r>
      <w:r w:rsidR="00A90A62" w:rsidRPr="00F43FC8">
        <w:rPr>
          <w:rFonts w:ascii="Times New Roman" w:hAnsi="Times New Roman"/>
          <w:noProof/>
          <w:sz w:val="22"/>
        </w:rPr>
        <w:t>2013</w:t>
      </w:r>
      <w:r w:rsidR="00A90A62">
        <w:rPr>
          <w:rFonts w:ascii="Times New Roman" w:hAnsi="Times New Roman"/>
          <w:noProof/>
          <w:sz w:val="22"/>
        </w:rPr>
        <w:t>-</w:t>
      </w:r>
      <w:r w:rsidR="00A90A62" w:rsidRPr="00F43FC8">
        <w:rPr>
          <w:rFonts w:ascii="Times New Roman" w:hAnsi="Times New Roman"/>
          <w:noProof/>
          <w:sz w:val="22"/>
        </w:rPr>
        <w:t>2020</w:t>
      </w:r>
      <w:r w:rsidR="00A90A62">
        <w:rPr>
          <w:rFonts w:ascii="Times New Roman" w:hAnsi="Times New Roman"/>
          <w:noProof/>
          <w:sz w:val="22"/>
        </w:rPr>
        <w:t>)</w:t>
      </w:r>
    </w:p>
    <w:p w14:paraId="197A1255" w14:textId="66BAF7FC" w:rsidR="00131369" w:rsidRPr="00DA11F1" w:rsidRDefault="00B070AA" w:rsidP="00B070AA">
      <w:pPr>
        <w:jc w:val="center"/>
        <w:rPr>
          <w:rFonts w:ascii="Times New Roman" w:hAnsi="Times New Roman"/>
          <w:b/>
          <w:noProof/>
        </w:rPr>
      </w:pPr>
      <w:r w:rsidRPr="00B070AA">
        <w:rPr>
          <w:noProof/>
          <w:lang w:val="en-GB" w:eastAsia="en-GB"/>
        </w:rPr>
        <w:drawing>
          <wp:inline distT="0" distB="0" distL="0" distR="0" wp14:anchorId="74C874D2" wp14:editId="4B3854ED">
            <wp:extent cx="5731510" cy="3186314"/>
            <wp:effectExtent l="0" t="0" r="254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731510" cy="3186314"/>
                    </a:xfrm>
                    <a:prstGeom prst="rect">
                      <a:avLst/>
                    </a:prstGeom>
                    <a:noFill/>
                    <a:ln>
                      <a:noFill/>
                    </a:ln>
                  </pic:spPr>
                </pic:pic>
              </a:graphicData>
            </a:graphic>
          </wp:inline>
        </w:drawing>
      </w:r>
    </w:p>
    <w:p w14:paraId="7B1E115B" w14:textId="6208DE35" w:rsidR="00131369" w:rsidRPr="00DA11F1" w:rsidRDefault="009B1524">
      <w:pPr>
        <w:jc w:val="both"/>
        <w:rPr>
          <w:rFonts w:ascii="Times New Roman" w:eastAsia="Times New Roman" w:hAnsi="Times New Roman"/>
          <w:noProof/>
          <w:sz w:val="20"/>
          <w:szCs w:val="18"/>
        </w:rPr>
      </w:pPr>
      <w:r>
        <w:rPr>
          <w:rFonts w:ascii="Times New Roman" w:hAnsi="Times New Roman"/>
          <w:noProof/>
          <w:sz w:val="20"/>
          <w:szCs w:val="18"/>
        </w:rPr>
        <w:t>Source: DG Action pour le climat</w:t>
      </w:r>
    </w:p>
    <w:p w14:paraId="6DC8F6BD" w14:textId="0E0FEE7E" w:rsidR="00CC7FE3" w:rsidRPr="00DA11F1" w:rsidRDefault="00A90A62" w:rsidP="00155B66">
      <w:pPr>
        <w:jc w:val="both"/>
        <w:rPr>
          <w:rFonts w:ascii="Times New Roman" w:hAnsi="Times New Roman"/>
          <w:noProof/>
          <w:sz w:val="24"/>
          <w:szCs w:val="24"/>
        </w:rPr>
      </w:pPr>
      <w:r>
        <w:rPr>
          <w:rFonts w:ascii="Times New Roman" w:hAnsi="Times New Roman"/>
          <w:bCs/>
          <w:iCs/>
          <w:noProof/>
          <w:sz w:val="24"/>
          <w:szCs w:val="24"/>
        </w:rPr>
        <w:t>Lors de la révision du SEQE-UE en </w:t>
      </w:r>
      <w:r w:rsidRPr="00F43FC8">
        <w:rPr>
          <w:rFonts w:ascii="Times New Roman" w:hAnsi="Times New Roman"/>
          <w:bCs/>
          <w:iCs/>
          <w:noProof/>
          <w:sz w:val="24"/>
          <w:szCs w:val="24"/>
        </w:rPr>
        <w:t>2018</w:t>
      </w:r>
      <w:r w:rsidR="00CC7FE3" w:rsidRPr="00DA11F1">
        <w:rPr>
          <w:rFonts w:ascii="Times New Roman" w:eastAsia="Times New Roman" w:hAnsi="Times New Roman"/>
          <w:bCs/>
          <w:iCs/>
          <w:noProof/>
          <w:sz w:val="24"/>
          <w:szCs w:val="24"/>
          <w:vertAlign w:val="superscript"/>
          <w:lang w:eastAsia="en-GB"/>
        </w:rPr>
        <w:footnoteReference w:id="73"/>
      </w:r>
      <w:r>
        <w:rPr>
          <w:rFonts w:ascii="Times New Roman" w:hAnsi="Times New Roman"/>
          <w:bCs/>
          <w:iCs/>
          <w:noProof/>
          <w:sz w:val="24"/>
          <w:szCs w:val="24"/>
        </w:rPr>
        <w:t>, des changements majeurs ont été apportés au fonctionnement de la RSM, comme le montre l</w:t>
      </w:r>
      <w:r w:rsidR="00155B66">
        <w:rPr>
          <w:rFonts w:ascii="Times New Roman" w:hAnsi="Times New Roman"/>
          <w:bCs/>
          <w:iCs/>
          <w:noProof/>
          <w:sz w:val="24"/>
          <w:szCs w:val="24"/>
        </w:rPr>
        <w:t>e graphique</w:t>
      </w:r>
      <w:r>
        <w:rPr>
          <w:rFonts w:ascii="Times New Roman" w:hAnsi="Times New Roman"/>
          <w:bCs/>
          <w:iCs/>
          <w:noProof/>
          <w:sz w:val="24"/>
          <w:szCs w:val="24"/>
        </w:rPr>
        <w:t> </w:t>
      </w:r>
      <w:r w:rsidRPr="00F43FC8">
        <w:rPr>
          <w:rFonts w:ascii="Times New Roman" w:hAnsi="Times New Roman"/>
          <w:bCs/>
          <w:iCs/>
          <w:noProof/>
          <w:sz w:val="24"/>
          <w:szCs w:val="24"/>
        </w:rPr>
        <w:t>10</w:t>
      </w:r>
      <w:r>
        <w:rPr>
          <w:rFonts w:ascii="Times New Roman" w:hAnsi="Times New Roman"/>
          <w:bCs/>
          <w:iCs/>
          <w:noProof/>
          <w:sz w:val="24"/>
          <w:szCs w:val="24"/>
        </w:rPr>
        <w:t>.</w:t>
      </w:r>
      <w:r w:rsidRPr="00F43FC8">
        <w:rPr>
          <w:rFonts w:ascii="Times New Roman" w:hAnsi="Times New Roman"/>
          <w:bCs/>
          <w:iCs/>
          <w:noProof/>
          <w:sz w:val="24"/>
          <w:szCs w:val="24"/>
        </w:rPr>
        <w:t>1</w:t>
      </w:r>
      <w:r>
        <w:rPr>
          <w:rFonts w:ascii="Times New Roman" w:hAnsi="Times New Roman"/>
          <w:bCs/>
          <w:iCs/>
          <w:noProof/>
          <w:sz w:val="24"/>
          <w:szCs w:val="24"/>
        </w:rPr>
        <w:t xml:space="preserve"> de l’annexe </w:t>
      </w:r>
      <w:r w:rsidRPr="00F43FC8">
        <w:rPr>
          <w:rFonts w:ascii="Times New Roman" w:hAnsi="Times New Roman"/>
          <w:bCs/>
          <w:iCs/>
          <w:noProof/>
          <w:sz w:val="24"/>
          <w:szCs w:val="24"/>
        </w:rPr>
        <w:t>10</w:t>
      </w:r>
      <w:r>
        <w:rPr>
          <w:rFonts w:ascii="Times New Roman" w:hAnsi="Times New Roman"/>
          <w:bCs/>
          <w:iCs/>
          <w:noProof/>
          <w:sz w:val="24"/>
          <w:szCs w:val="24"/>
        </w:rPr>
        <w:t xml:space="preserve"> du document de travail des services de la Commission accompagnant le présent rapport.</w:t>
      </w:r>
    </w:p>
    <w:p w14:paraId="246C69B4" w14:textId="1C0D3395" w:rsidR="005F6CC0" w:rsidRDefault="00D21DEF" w:rsidP="00155B66">
      <w:pPr>
        <w:jc w:val="both"/>
        <w:rPr>
          <w:rFonts w:ascii="Times New Roman" w:hAnsi="Times New Roman"/>
          <w:noProof/>
        </w:rPr>
      </w:pPr>
      <w:r>
        <w:rPr>
          <w:rFonts w:ascii="Times New Roman" w:hAnsi="Times New Roman"/>
          <w:noProof/>
          <w:sz w:val="24"/>
          <w:szCs w:val="24"/>
        </w:rPr>
        <w:t>Le présent rapport consolide les chiffres de l’offre et de la demande, publiés conformément au calendrier des obligations de déclaration découlant de la directive SEQE-UE et de ses dispositions d’exécution. L</w:t>
      </w:r>
      <w:r w:rsidR="00155B66">
        <w:rPr>
          <w:rFonts w:ascii="Times New Roman" w:hAnsi="Times New Roman"/>
          <w:noProof/>
          <w:sz w:val="24"/>
          <w:szCs w:val="24"/>
        </w:rPr>
        <w:t xml:space="preserve">e graphique </w:t>
      </w:r>
      <w:r w:rsidR="00155B66" w:rsidRPr="00F43FC8">
        <w:rPr>
          <w:rFonts w:ascii="Times New Roman" w:hAnsi="Times New Roman"/>
          <w:noProof/>
          <w:sz w:val="24"/>
          <w:szCs w:val="24"/>
        </w:rPr>
        <w:t>9</w:t>
      </w:r>
      <w:r>
        <w:rPr>
          <w:rFonts w:ascii="Times New Roman" w:hAnsi="Times New Roman"/>
          <w:noProof/>
          <w:sz w:val="24"/>
          <w:szCs w:val="24"/>
        </w:rPr>
        <w:t xml:space="preserve"> illustre la composition de l’offre et de la demande cumulées en </w:t>
      </w:r>
      <w:r w:rsidRPr="00F43FC8">
        <w:rPr>
          <w:rFonts w:ascii="Times New Roman" w:hAnsi="Times New Roman"/>
          <w:noProof/>
          <w:sz w:val="24"/>
          <w:szCs w:val="24"/>
        </w:rPr>
        <w:t>2020</w:t>
      </w:r>
      <w:r>
        <w:rPr>
          <w:rFonts w:ascii="Times New Roman" w:hAnsi="Times New Roman"/>
          <w:noProof/>
          <w:sz w:val="24"/>
          <w:szCs w:val="24"/>
        </w:rPr>
        <w:t>. Les données pertinentes ont également été publiées dans la communication de la Commission sur le NTQC aux fins de la RSM</w:t>
      </w:r>
      <w:r w:rsidR="002E6DE2" w:rsidRPr="00DA11F1">
        <w:rPr>
          <w:rFonts w:ascii="Times New Roman" w:hAnsi="Times New Roman"/>
          <w:noProof/>
          <w:sz w:val="24"/>
          <w:szCs w:val="24"/>
          <w:vertAlign w:val="superscript"/>
        </w:rPr>
        <w:footnoteReference w:id="74"/>
      </w:r>
      <w:r>
        <w:rPr>
          <w:rFonts w:ascii="Times New Roman" w:hAnsi="Times New Roman"/>
          <w:noProof/>
        </w:rPr>
        <w:t>.</w:t>
      </w:r>
    </w:p>
    <w:p w14:paraId="3655E83D" w14:textId="77777777" w:rsidR="00B070AA" w:rsidRPr="00DA11F1" w:rsidRDefault="00B070AA" w:rsidP="004A71F9">
      <w:pPr>
        <w:jc w:val="both"/>
        <w:rPr>
          <w:rFonts w:ascii="Times New Roman" w:hAnsi="Times New Roman"/>
          <w:noProof/>
        </w:rPr>
      </w:pPr>
    </w:p>
    <w:p w14:paraId="190A9966" w14:textId="6416CE41" w:rsidR="00F2602C" w:rsidRPr="00DA11F1" w:rsidRDefault="00155B66" w:rsidP="00F2602C">
      <w:pPr>
        <w:pStyle w:val="Caption"/>
        <w:keepNext/>
        <w:rPr>
          <w:rFonts w:ascii="Times New Roman" w:hAnsi="Times New Roman"/>
          <w:noProof/>
          <w:sz w:val="22"/>
        </w:rPr>
      </w:pPr>
      <w:bookmarkStart w:id="58" w:name="_Ref85624062"/>
      <w:r>
        <w:rPr>
          <w:rFonts w:ascii="Times New Roman" w:hAnsi="Times New Roman"/>
          <w:noProof/>
          <w:sz w:val="22"/>
        </w:rPr>
        <w:t>Graphique</w:t>
      </w:r>
      <w:r w:rsidR="00F2602C">
        <w:rPr>
          <w:rFonts w:ascii="Times New Roman" w:hAnsi="Times New Roman"/>
          <w:noProof/>
          <w:sz w:val="22"/>
        </w:rPr>
        <w:t> </w:t>
      </w:r>
      <w:r w:rsidR="00F2602C" w:rsidRPr="00DA11F1">
        <w:rPr>
          <w:rFonts w:ascii="Times New Roman" w:hAnsi="Times New Roman"/>
          <w:noProof/>
          <w:sz w:val="22"/>
        </w:rPr>
        <w:fldChar w:fldCharType="begin"/>
      </w:r>
      <w:r w:rsidR="00F2602C" w:rsidRPr="00DA11F1">
        <w:rPr>
          <w:rFonts w:ascii="Times New Roman" w:hAnsi="Times New Roman"/>
          <w:noProof/>
          <w:sz w:val="22"/>
        </w:rPr>
        <w:instrText xml:space="preserve"> SEQ Figure \* ARABIC </w:instrText>
      </w:r>
      <w:r w:rsidR="00F2602C" w:rsidRPr="00DA11F1">
        <w:rPr>
          <w:rFonts w:ascii="Times New Roman" w:hAnsi="Times New Roman"/>
          <w:noProof/>
          <w:sz w:val="22"/>
        </w:rPr>
        <w:fldChar w:fldCharType="separate"/>
      </w:r>
      <w:r w:rsidR="00F2602C" w:rsidRPr="00F43FC8">
        <w:rPr>
          <w:rFonts w:ascii="Times New Roman" w:hAnsi="Times New Roman"/>
          <w:noProof/>
          <w:sz w:val="22"/>
        </w:rPr>
        <w:t>9</w:t>
      </w:r>
      <w:r w:rsidR="00F2602C" w:rsidRPr="00DA11F1">
        <w:rPr>
          <w:rFonts w:ascii="Times New Roman" w:hAnsi="Times New Roman"/>
          <w:noProof/>
          <w:sz w:val="22"/>
        </w:rPr>
        <w:fldChar w:fldCharType="end"/>
      </w:r>
      <w:bookmarkEnd w:id="58"/>
      <w:r w:rsidR="00F2602C">
        <w:rPr>
          <w:rFonts w:ascii="Times New Roman" w:hAnsi="Times New Roman"/>
          <w:noProof/>
          <w:sz w:val="22"/>
        </w:rPr>
        <w:t>. Offre et demande cumulées dans le SEQE-UE à la fin </w:t>
      </w:r>
      <w:r w:rsidR="00F2602C" w:rsidRPr="00F43FC8">
        <w:rPr>
          <w:rFonts w:ascii="Times New Roman" w:hAnsi="Times New Roman"/>
          <w:noProof/>
          <w:sz w:val="22"/>
        </w:rPr>
        <w:t>2020</w:t>
      </w:r>
    </w:p>
    <w:p w14:paraId="53480C44" w14:textId="77777777" w:rsidR="00F2602C" w:rsidRPr="00DA11F1" w:rsidRDefault="00F2602C" w:rsidP="00F2602C">
      <w:pPr>
        <w:jc w:val="center"/>
        <w:rPr>
          <w:rFonts w:ascii="Times New Roman" w:hAnsi="Times New Roman"/>
          <w:noProof/>
          <w:sz w:val="20"/>
          <w:szCs w:val="20"/>
        </w:rPr>
      </w:pPr>
      <w:r>
        <w:rPr>
          <w:rFonts w:ascii="Times New Roman" w:hAnsi="Times New Roman"/>
          <w:b/>
          <w:bCs/>
          <w:noProof/>
          <w:color w:val="000000"/>
          <w:sz w:val="20"/>
          <w:szCs w:val="20"/>
        </w:rPr>
        <w:t>Offre</w:t>
      </w:r>
      <w:r>
        <w:rPr>
          <w:rFonts w:ascii="Times New Roman" w:hAnsi="Times New Roman"/>
          <w:noProof/>
          <w:color w:val="000000"/>
          <w:sz w:val="20"/>
          <w:szCs w:val="20"/>
        </w:rPr>
        <w:t xml:space="preserve"> (cumulée, en milliards)</w:t>
      </w:r>
      <w:r>
        <w:rPr>
          <w:rFonts w:ascii="Times New Roman" w:hAnsi="Times New Roman"/>
          <w:noProof/>
          <w:color w:val="000000"/>
          <w:sz w:val="20"/>
          <w:szCs w:val="20"/>
        </w:rPr>
        <w:tab/>
        <w:t xml:space="preserve">                                               </w:t>
      </w:r>
      <w:r>
        <w:rPr>
          <w:rFonts w:ascii="Times New Roman" w:hAnsi="Times New Roman"/>
          <w:b/>
          <w:bCs/>
          <w:noProof/>
          <w:color w:val="000000"/>
          <w:sz w:val="20"/>
          <w:szCs w:val="20"/>
        </w:rPr>
        <w:t>Demande</w:t>
      </w:r>
      <w:r>
        <w:rPr>
          <w:rFonts w:ascii="Times New Roman" w:hAnsi="Times New Roman"/>
          <w:noProof/>
          <w:color w:val="000000"/>
          <w:sz w:val="20"/>
          <w:szCs w:val="20"/>
        </w:rPr>
        <w:t xml:space="preserve"> (cumulée, en milliards)</w:t>
      </w:r>
    </w:p>
    <w:p w14:paraId="7625F8E5" w14:textId="6C7B9FFD" w:rsidR="00A90A62" w:rsidRPr="00DA11F1" w:rsidRDefault="00286454" w:rsidP="00D21DEF">
      <w:pPr>
        <w:rPr>
          <w:rFonts w:ascii="Times New Roman" w:hAnsi="Times New Roman"/>
          <w:noProof/>
        </w:rPr>
      </w:pPr>
      <w:r>
        <w:rPr>
          <w:rFonts w:ascii="Times New Roman" w:hAnsi="Times New Roman"/>
          <w:noProof/>
          <w:lang w:val="en-GB" w:eastAsia="en-GB"/>
        </w:rPr>
        <w:drawing>
          <wp:inline distT="0" distB="0" distL="0" distR="0" wp14:anchorId="5391F19D" wp14:editId="6E5C1B53">
            <wp:extent cx="5731510" cy="3225800"/>
            <wp:effectExtent l="0" t="0" r="2540" b="1270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25763A64" w14:textId="5F95AEE2" w:rsidR="009A6CDD" w:rsidRPr="00DA11F1" w:rsidRDefault="005574A7" w:rsidP="009A6CDD">
      <w:pPr>
        <w:jc w:val="both"/>
        <w:rPr>
          <w:rFonts w:ascii="Times New Roman" w:eastAsia="Times New Roman" w:hAnsi="Times New Roman"/>
          <w:noProof/>
          <w:sz w:val="20"/>
          <w:szCs w:val="18"/>
        </w:rPr>
      </w:pPr>
      <w:r>
        <w:rPr>
          <w:rFonts w:ascii="Times New Roman" w:hAnsi="Times New Roman"/>
          <w:noProof/>
          <w:sz w:val="20"/>
          <w:szCs w:val="18"/>
        </w:rPr>
        <w:t>Source: DG Action pour le climat (*Le chiffre définitif des quotas non alloués aux installations au titre de l’article </w:t>
      </w:r>
      <w:r w:rsidRPr="00F43FC8">
        <w:rPr>
          <w:rFonts w:ascii="Times New Roman" w:hAnsi="Times New Roman"/>
          <w:noProof/>
          <w:sz w:val="20"/>
          <w:szCs w:val="18"/>
        </w:rPr>
        <w:t>10</w:t>
      </w:r>
      <w:r>
        <w:rPr>
          <w:rFonts w:ascii="Times New Roman" w:hAnsi="Times New Roman"/>
          <w:noProof/>
          <w:sz w:val="20"/>
          <w:szCs w:val="18"/>
        </w:rPr>
        <w:t> </w:t>
      </w:r>
      <w:r>
        <w:rPr>
          <w:rFonts w:ascii="Times New Roman" w:hAnsi="Times New Roman"/>
          <w:i/>
          <w:iCs/>
          <w:noProof/>
          <w:sz w:val="20"/>
          <w:szCs w:val="18"/>
        </w:rPr>
        <w:t>bis</w:t>
      </w:r>
      <w:r>
        <w:rPr>
          <w:rFonts w:ascii="Times New Roman" w:hAnsi="Times New Roman"/>
          <w:noProof/>
          <w:sz w:val="20"/>
          <w:szCs w:val="18"/>
        </w:rPr>
        <w:t>, paragraphe </w:t>
      </w:r>
      <w:r w:rsidRPr="00F43FC8">
        <w:rPr>
          <w:rFonts w:ascii="Times New Roman" w:hAnsi="Times New Roman"/>
          <w:noProof/>
          <w:sz w:val="20"/>
          <w:szCs w:val="18"/>
        </w:rPr>
        <w:t>7</w:t>
      </w:r>
      <w:r>
        <w:rPr>
          <w:rFonts w:ascii="Times New Roman" w:hAnsi="Times New Roman"/>
          <w:noProof/>
          <w:sz w:val="20"/>
          <w:szCs w:val="18"/>
        </w:rPr>
        <w:t>, de la directive </w:t>
      </w:r>
      <w:r w:rsidRPr="00F43FC8">
        <w:rPr>
          <w:rFonts w:ascii="Times New Roman" w:hAnsi="Times New Roman"/>
          <w:noProof/>
          <w:sz w:val="20"/>
          <w:szCs w:val="18"/>
        </w:rPr>
        <w:t>2003</w:t>
      </w:r>
      <w:r>
        <w:rPr>
          <w:rFonts w:ascii="Times New Roman" w:hAnsi="Times New Roman"/>
          <w:noProof/>
          <w:sz w:val="20"/>
          <w:szCs w:val="18"/>
        </w:rPr>
        <w:t>/</w:t>
      </w:r>
      <w:r w:rsidRPr="00F43FC8">
        <w:rPr>
          <w:rFonts w:ascii="Times New Roman" w:hAnsi="Times New Roman"/>
          <w:noProof/>
          <w:sz w:val="20"/>
          <w:szCs w:val="18"/>
        </w:rPr>
        <w:t>87</w:t>
      </w:r>
      <w:r>
        <w:rPr>
          <w:rFonts w:ascii="Times New Roman" w:hAnsi="Times New Roman"/>
          <w:noProof/>
          <w:sz w:val="20"/>
          <w:szCs w:val="18"/>
        </w:rPr>
        <w:t>/CE et des quotas non alloués aux installations en raison de l’application de l’article </w:t>
      </w:r>
      <w:r w:rsidRPr="00F43FC8">
        <w:rPr>
          <w:rFonts w:ascii="Times New Roman" w:hAnsi="Times New Roman"/>
          <w:noProof/>
          <w:sz w:val="20"/>
          <w:szCs w:val="18"/>
        </w:rPr>
        <w:t>10</w:t>
      </w:r>
      <w:r>
        <w:rPr>
          <w:rFonts w:ascii="Times New Roman" w:hAnsi="Times New Roman"/>
          <w:noProof/>
          <w:sz w:val="20"/>
          <w:szCs w:val="18"/>
        </w:rPr>
        <w:t> </w:t>
      </w:r>
      <w:r>
        <w:rPr>
          <w:rFonts w:ascii="Times New Roman" w:hAnsi="Times New Roman"/>
          <w:i/>
          <w:iCs/>
          <w:noProof/>
          <w:sz w:val="20"/>
          <w:szCs w:val="18"/>
        </w:rPr>
        <w:t>bis</w:t>
      </w:r>
      <w:r>
        <w:rPr>
          <w:rFonts w:ascii="Times New Roman" w:hAnsi="Times New Roman"/>
          <w:noProof/>
          <w:sz w:val="20"/>
          <w:szCs w:val="18"/>
        </w:rPr>
        <w:t>, paragraphes </w:t>
      </w:r>
      <w:r w:rsidRPr="00F43FC8">
        <w:rPr>
          <w:rFonts w:ascii="Times New Roman" w:hAnsi="Times New Roman"/>
          <w:noProof/>
          <w:sz w:val="20"/>
          <w:szCs w:val="18"/>
        </w:rPr>
        <w:t>19</w:t>
      </w:r>
      <w:r>
        <w:rPr>
          <w:rFonts w:ascii="Times New Roman" w:hAnsi="Times New Roman"/>
          <w:noProof/>
          <w:sz w:val="20"/>
          <w:szCs w:val="18"/>
        </w:rPr>
        <w:t> et </w:t>
      </w:r>
      <w:r w:rsidRPr="00F43FC8">
        <w:rPr>
          <w:rFonts w:ascii="Times New Roman" w:hAnsi="Times New Roman"/>
          <w:noProof/>
          <w:sz w:val="20"/>
          <w:szCs w:val="18"/>
        </w:rPr>
        <w:t>20</w:t>
      </w:r>
      <w:r>
        <w:rPr>
          <w:rFonts w:ascii="Times New Roman" w:hAnsi="Times New Roman"/>
          <w:noProof/>
          <w:sz w:val="20"/>
          <w:szCs w:val="18"/>
        </w:rPr>
        <w:t>, de la même directive n’était pas encore disponible au moment de l’achèvement du rapport).</w:t>
      </w:r>
    </w:p>
    <w:p w14:paraId="3E7C4C4E" w14:textId="3F4B368D" w:rsidR="005574A7" w:rsidRPr="00DA11F1" w:rsidRDefault="00D21DEF" w:rsidP="00CB35FE">
      <w:pPr>
        <w:jc w:val="both"/>
        <w:rPr>
          <w:rFonts w:ascii="Times New Roman" w:hAnsi="Times New Roman"/>
          <w:noProof/>
          <w:sz w:val="24"/>
          <w:szCs w:val="24"/>
        </w:rPr>
      </w:pPr>
      <w:r>
        <w:rPr>
          <w:rFonts w:ascii="Times New Roman" w:hAnsi="Times New Roman"/>
          <w:noProof/>
          <w:sz w:val="24"/>
          <w:szCs w:val="24"/>
        </w:rPr>
        <w:t>En préparation de l’activation de la RSM en </w:t>
      </w:r>
      <w:r w:rsidRPr="00F43FC8">
        <w:rPr>
          <w:rFonts w:ascii="Times New Roman" w:hAnsi="Times New Roman"/>
          <w:noProof/>
          <w:sz w:val="24"/>
          <w:szCs w:val="24"/>
        </w:rPr>
        <w:t>2019</w:t>
      </w:r>
      <w:r>
        <w:rPr>
          <w:rFonts w:ascii="Times New Roman" w:hAnsi="Times New Roman"/>
          <w:noProof/>
          <w:sz w:val="24"/>
          <w:szCs w:val="24"/>
        </w:rPr>
        <w:t>, la Commission a publié régulièrement le NTQC pour l’année précédente, à partir de la mi-mai </w:t>
      </w:r>
      <w:r w:rsidRPr="00F43FC8">
        <w:rPr>
          <w:rFonts w:ascii="Times New Roman" w:hAnsi="Times New Roman"/>
          <w:noProof/>
          <w:sz w:val="24"/>
          <w:szCs w:val="24"/>
        </w:rPr>
        <w:t>2017</w:t>
      </w:r>
      <w:r w:rsidR="00BA0871" w:rsidRPr="00DA11F1">
        <w:rPr>
          <w:rFonts w:ascii="Times New Roman" w:hAnsi="Times New Roman"/>
          <w:noProof/>
          <w:sz w:val="24"/>
          <w:szCs w:val="24"/>
          <w:vertAlign w:val="superscript"/>
        </w:rPr>
        <w:footnoteReference w:id="75"/>
      </w:r>
      <w:r>
        <w:rPr>
          <w:rFonts w:ascii="Times New Roman" w:hAnsi="Times New Roman"/>
          <w:noProof/>
          <w:sz w:val="24"/>
          <w:szCs w:val="24"/>
        </w:rPr>
        <w:t>. En mai </w:t>
      </w:r>
      <w:r w:rsidRPr="00F43FC8">
        <w:rPr>
          <w:rFonts w:ascii="Times New Roman" w:hAnsi="Times New Roman"/>
          <w:noProof/>
          <w:sz w:val="24"/>
          <w:szCs w:val="24"/>
        </w:rPr>
        <w:t>2021</w:t>
      </w:r>
      <w:r>
        <w:rPr>
          <w:rFonts w:ascii="Times New Roman" w:hAnsi="Times New Roman"/>
          <w:noProof/>
          <w:sz w:val="24"/>
          <w:szCs w:val="24"/>
        </w:rPr>
        <w:t xml:space="preserve">, le NTQC a été publié pour la cinquième fois et s’élevait à </w:t>
      </w:r>
      <w:r w:rsidRPr="00F43FC8">
        <w:rPr>
          <w:rFonts w:ascii="Times New Roman" w:hAnsi="Times New Roman"/>
          <w:noProof/>
          <w:sz w:val="24"/>
          <w:szCs w:val="24"/>
        </w:rPr>
        <w:t>1</w:t>
      </w:r>
      <w:r>
        <w:rPr>
          <w:rFonts w:ascii="Times New Roman" w:hAnsi="Times New Roman"/>
          <w:noProof/>
          <w:sz w:val="24"/>
          <w:szCs w:val="24"/>
        </w:rPr>
        <w:t> </w:t>
      </w:r>
      <w:r w:rsidRPr="00F43FC8">
        <w:rPr>
          <w:rFonts w:ascii="Times New Roman" w:hAnsi="Times New Roman"/>
          <w:noProof/>
          <w:sz w:val="24"/>
          <w:szCs w:val="24"/>
        </w:rPr>
        <w:t>578</w:t>
      </w:r>
      <w:r>
        <w:rPr>
          <w:rFonts w:ascii="Times New Roman" w:hAnsi="Times New Roman"/>
          <w:noProof/>
          <w:sz w:val="24"/>
          <w:szCs w:val="24"/>
        </w:rPr>
        <w:t> </w:t>
      </w:r>
      <w:r w:rsidRPr="00F43FC8">
        <w:rPr>
          <w:rFonts w:ascii="Times New Roman" w:hAnsi="Times New Roman"/>
          <w:noProof/>
          <w:sz w:val="24"/>
          <w:szCs w:val="24"/>
        </w:rPr>
        <w:t>772</w:t>
      </w:r>
      <w:r>
        <w:rPr>
          <w:rFonts w:ascii="Times New Roman" w:hAnsi="Times New Roman"/>
          <w:noProof/>
          <w:sz w:val="24"/>
          <w:szCs w:val="24"/>
        </w:rPr>
        <w:t> </w:t>
      </w:r>
      <w:r w:rsidRPr="00F43FC8">
        <w:rPr>
          <w:rFonts w:ascii="Times New Roman" w:hAnsi="Times New Roman"/>
          <w:noProof/>
          <w:sz w:val="24"/>
          <w:szCs w:val="24"/>
        </w:rPr>
        <w:t>426</w:t>
      </w:r>
      <w:r>
        <w:rPr>
          <w:rFonts w:ascii="Times New Roman" w:hAnsi="Times New Roman"/>
          <w:noProof/>
          <w:sz w:val="24"/>
          <w:szCs w:val="24"/>
        </w:rPr>
        <w:t> quotas</w:t>
      </w:r>
      <w:r w:rsidRPr="00DA11F1">
        <w:rPr>
          <w:rFonts w:ascii="Times New Roman" w:hAnsi="Times New Roman"/>
          <w:noProof/>
          <w:sz w:val="24"/>
          <w:szCs w:val="24"/>
          <w:vertAlign w:val="superscript"/>
        </w:rPr>
        <w:footnoteReference w:id="76"/>
      </w:r>
      <w:r>
        <w:rPr>
          <w:rFonts w:ascii="Times New Roman" w:hAnsi="Times New Roman"/>
          <w:noProof/>
          <w:sz w:val="24"/>
          <w:szCs w:val="24"/>
        </w:rPr>
        <w:t>. Ici encore, la communication conduit au placement de quotas dans la RSM, réduisant ainsi les volumes d’enchères en </w:t>
      </w:r>
      <w:r w:rsidRPr="00F43FC8">
        <w:rPr>
          <w:rFonts w:ascii="Times New Roman" w:hAnsi="Times New Roman"/>
          <w:noProof/>
          <w:sz w:val="24"/>
          <w:szCs w:val="24"/>
        </w:rPr>
        <w:t>2021</w:t>
      </w:r>
      <w:r>
        <w:rPr>
          <w:rFonts w:ascii="Times New Roman" w:hAnsi="Times New Roman"/>
          <w:noProof/>
          <w:sz w:val="24"/>
          <w:szCs w:val="24"/>
        </w:rPr>
        <w:t xml:space="preserve"> et en </w:t>
      </w:r>
      <w:r w:rsidRPr="00F43FC8">
        <w:rPr>
          <w:rFonts w:ascii="Times New Roman" w:hAnsi="Times New Roman"/>
          <w:noProof/>
          <w:sz w:val="24"/>
          <w:szCs w:val="24"/>
        </w:rPr>
        <w:t>2022</w:t>
      </w:r>
      <w:r>
        <w:rPr>
          <w:rFonts w:ascii="Times New Roman" w:hAnsi="Times New Roman"/>
          <w:noProof/>
          <w:sz w:val="24"/>
          <w:szCs w:val="24"/>
        </w:rPr>
        <w:t>.</w:t>
      </w:r>
    </w:p>
    <w:p w14:paraId="757051F8" w14:textId="1215F681" w:rsidR="004707AB" w:rsidRPr="00DA11F1" w:rsidRDefault="00A33951" w:rsidP="00CB35FE">
      <w:pPr>
        <w:jc w:val="both"/>
        <w:rPr>
          <w:rFonts w:ascii="Times New Roman" w:hAnsi="Times New Roman"/>
          <w:noProof/>
          <w:sz w:val="24"/>
          <w:szCs w:val="24"/>
        </w:rPr>
      </w:pPr>
      <w:r>
        <w:rPr>
          <w:rFonts w:ascii="Times New Roman" w:hAnsi="Times New Roman"/>
          <w:noProof/>
          <w:sz w:val="24"/>
          <w:szCs w:val="24"/>
        </w:rPr>
        <w:t>Sur la base du fonctionnement du SEQE-UE en </w:t>
      </w:r>
      <w:r w:rsidRPr="00F43FC8">
        <w:rPr>
          <w:rFonts w:ascii="Times New Roman" w:hAnsi="Times New Roman"/>
          <w:noProof/>
          <w:sz w:val="24"/>
          <w:szCs w:val="24"/>
        </w:rPr>
        <w:t>2020</w:t>
      </w:r>
      <w:r>
        <w:rPr>
          <w:rFonts w:ascii="Times New Roman" w:hAnsi="Times New Roman"/>
          <w:noProof/>
          <w:sz w:val="24"/>
          <w:szCs w:val="24"/>
        </w:rPr>
        <w:t xml:space="preserve"> et </w:t>
      </w:r>
      <w:r w:rsidRPr="00F43FC8">
        <w:rPr>
          <w:rFonts w:ascii="Times New Roman" w:hAnsi="Times New Roman"/>
          <w:noProof/>
          <w:sz w:val="24"/>
          <w:szCs w:val="24"/>
        </w:rPr>
        <w:t>2021</w:t>
      </w:r>
      <w:r>
        <w:rPr>
          <w:rFonts w:ascii="Times New Roman" w:hAnsi="Times New Roman"/>
          <w:noProof/>
          <w:sz w:val="24"/>
          <w:szCs w:val="24"/>
        </w:rPr>
        <w:t>, du NTQC et de la législation révisée, les volumes de mise aux enchères en </w:t>
      </w:r>
      <w:r w:rsidRPr="00F43FC8">
        <w:rPr>
          <w:rFonts w:ascii="Times New Roman" w:hAnsi="Times New Roman"/>
          <w:noProof/>
          <w:sz w:val="24"/>
          <w:szCs w:val="24"/>
        </w:rPr>
        <w:t>2021</w:t>
      </w:r>
      <w:r>
        <w:rPr>
          <w:rFonts w:ascii="Times New Roman" w:hAnsi="Times New Roman"/>
          <w:noProof/>
          <w:sz w:val="24"/>
          <w:szCs w:val="24"/>
        </w:rPr>
        <w:t xml:space="preserve"> ont été réduits de près de </w:t>
      </w:r>
      <w:r w:rsidRPr="00F43FC8">
        <w:rPr>
          <w:rFonts w:ascii="Times New Roman" w:hAnsi="Times New Roman"/>
          <w:noProof/>
          <w:sz w:val="24"/>
          <w:szCs w:val="24"/>
        </w:rPr>
        <w:t>40</w:t>
      </w:r>
      <w:r>
        <w:rPr>
          <w:rFonts w:ascii="Times New Roman" w:hAnsi="Times New Roman"/>
          <w:noProof/>
          <w:sz w:val="24"/>
          <w:szCs w:val="24"/>
        </w:rPr>
        <w:t xml:space="preserve"> %, soit </w:t>
      </w:r>
      <w:r w:rsidRPr="00F43FC8">
        <w:rPr>
          <w:rFonts w:ascii="Times New Roman" w:hAnsi="Times New Roman"/>
          <w:noProof/>
          <w:sz w:val="24"/>
          <w:szCs w:val="24"/>
        </w:rPr>
        <w:t>320</w:t>
      </w:r>
      <w:r>
        <w:rPr>
          <w:rFonts w:ascii="Times New Roman" w:hAnsi="Times New Roman"/>
          <w:noProof/>
          <w:sz w:val="24"/>
          <w:szCs w:val="24"/>
        </w:rPr>
        <w:t> millions de quotas environ. Les volumes mis aux enchères en </w:t>
      </w:r>
      <w:r w:rsidRPr="00F43FC8">
        <w:rPr>
          <w:rFonts w:ascii="Times New Roman" w:hAnsi="Times New Roman"/>
          <w:noProof/>
          <w:sz w:val="24"/>
          <w:szCs w:val="24"/>
        </w:rPr>
        <w:t>2022</w:t>
      </w:r>
      <w:r>
        <w:rPr>
          <w:rFonts w:ascii="Times New Roman" w:hAnsi="Times New Roman"/>
          <w:noProof/>
          <w:sz w:val="24"/>
          <w:szCs w:val="24"/>
        </w:rPr>
        <w:t xml:space="preserve"> seront réduits de la même manière. Le tableau </w:t>
      </w:r>
      <w:r w:rsidRPr="00F43FC8">
        <w:rPr>
          <w:rFonts w:ascii="Times New Roman" w:hAnsi="Times New Roman"/>
          <w:noProof/>
          <w:sz w:val="24"/>
          <w:szCs w:val="24"/>
        </w:rPr>
        <w:t>10</w:t>
      </w:r>
      <w:r>
        <w:rPr>
          <w:rFonts w:ascii="Times New Roman" w:hAnsi="Times New Roman"/>
          <w:noProof/>
          <w:sz w:val="24"/>
          <w:szCs w:val="24"/>
        </w:rPr>
        <w:t>.</w:t>
      </w:r>
      <w:r w:rsidRPr="00F43FC8">
        <w:rPr>
          <w:rFonts w:ascii="Times New Roman" w:hAnsi="Times New Roman"/>
          <w:noProof/>
          <w:sz w:val="24"/>
          <w:szCs w:val="24"/>
        </w:rPr>
        <w:t>1</w:t>
      </w:r>
      <w:r>
        <w:rPr>
          <w:rFonts w:ascii="Times New Roman" w:hAnsi="Times New Roman"/>
          <w:noProof/>
          <w:sz w:val="24"/>
          <w:szCs w:val="24"/>
        </w:rPr>
        <w:t xml:space="preserve"> de l’annexe </w:t>
      </w:r>
      <w:r w:rsidRPr="00F43FC8">
        <w:rPr>
          <w:rFonts w:ascii="Times New Roman" w:hAnsi="Times New Roman"/>
          <w:noProof/>
          <w:sz w:val="24"/>
          <w:szCs w:val="24"/>
        </w:rPr>
        <w:t>10</w:t>
      </w:r>
      <w:r>
        <w:rPr>
          <w:rFonts w:ascii="Times New Roman" w:hAnsi="Times New Roman"/>
          <w:noProof/>
          <w:sz w:val="24"/>
          <w:szCs w:val="24"/>
        </w:rPr>
        <w:t xml:space="preserve"> du document de travail des services de la Commission accompagnant le présent rapport fournit des informations sur les contributions des États membres à la RSM depuis son activation en </w:t>
      </w:r>
      <w:r w:rsidRPr="00F43FC8">
        <w:rPr>
          <w:rFonts w:ascii="Times New Roman" w:hAnsi="Times New Roman"/>
          <w:noProof/>
          <w:sz w:val="24"/>
          <w:szCs w:val="24"/>
        </w:rPr>
        <w:t>2019</w:t>
      </w:r>
      <w:r>
        <w:rPr>
          <w:rFonts w:ascii="Times New Roman" w:hAnsi="Times New Roman"/>
          <w:noProof/>
          <w:sz w:val="24"/>
          <w:szCs w:val="24"/>
        </w:rPr>
        <w:t xml:space="preserve"> jusqu’à la fin de l’année </w:t>
      </w:r>
      <w:r w:rsidRPr="00F43FC8">
        <w:rPr>
          <w:rFonts w:ascii="Times New Roman" w:hAnsi="Times New Roman"/>
          <w:noProof/>
          <w:sz w:val="24"/>
          <w:szCs w:val="24"/>
        </w:rPr>
        <w:t>2021</w:t>
      </w:r>
      <w:r>
        <w:rPr>
          <w:rFonts w:ascii="Times New Roman" w:hAnsi="Times New Roman"/>
          <w:noProof/>
          <w:sz w:val="24"/>
          <w:szCs w:val="24"/>
        </w:rPr>
        <w:t>.</w:t>
      </w:r>
    </w:p>
    <w:p w14:paraId="7F47C7D1" w14:textId="486276CC" w:rsidR="004707AB" w:rsidRPr="00DA11F1" w:rsidRDefault="004707AB" w:rsidP="000F63B2">
      <w:pPr>
        <w:jc w:val="both"/>
        <w:rPr>
          <w:rFonts w:ascii="Times New Roman" w:hAnsi="Times New Roman"/>
          <w:noProof/>
        </w:rPr>
      </w:pPr>
      <w:r>
        <w:rPr>
          <w:rFonts w:ascii="Times New Roman" w:hAnsi="Times New Roman"/>
          <w:noProof/>
          <w:sz w:val="24"/>
          <w:szCs w:val="24"/>
        </w:rPr>
        <w:t>En </w:t>
      </w:r>
      <w:r w:rsidRPr="00F43FC8">
        <w:rPr>
          <w:rFonts w:ascii="Times New Roman" w:hAnsi="Times New Roman"/>
          <w:noProof/>
          <w:sz w:val="24"/>
          <w:szCs w:val="24"/>
        </w:rPr>
        <w:t>2021</w:t>
      </w:r>
      <w:r>
        <w:rPr>
          <w:rFonts w:ascii="Times New Roman" w:hAnsi="Times New Roman"/>
          <w:noProof/>
          <w:sz w:val="24"/>
          <w:szCs w:val="24"/>
        </w:rPr>
        <w:t>, la Commission a procédé au premier réexamen de la RSM</w:t>
      </w:r>
      <w:r w:rsidRPr="00DA11F1">
        <w:rPr>
          <w:rFonts w:ascii="Times New Roman" w:hAnsi="Times New Roman"/>
          <w:noProof/>
          <w:sz w:val="24"/>
          <w:szCs w:val="24"/>
          <w:vertAlign w:val="superscript"/>
        </w:rPr>
        <w:footnoteReference w:id="77"/>
      </w:r>
      <w:r>
        <w:rPr>
          <w:rFonts w:ascii="Times New Roman" w:hAnsi="Times New Roman"/>
          <w:noProof/>
          <w:sz w:val="24"/>
          <w:szCs w:val="24"/>
        </w:rPr>
        <w:t>, dans le cadre de l’initiative plus vaste visant à renforcer le SEQE-UE</w:t>
      </w:r>
      <w:r w:rsidR="00CB35FE" w:rsidRPr="00DA11F1">
        <w:rPr>
          <w:rStyle w:val="FootnoteReference"/>
          <w:rFonts w:ascii="Times New Roman" w:hAnsi="Times New Roman"/>
          <w:noProof/>
          <w:sz w:val="24"/>
          <w:szCs w:val="24"/>
        </w:rPr>
        <w:footnoteReference w:id="78"/>
      </w:r>
      <w:r>
        <w:rPr>
          <w:rFonts w:ascii="Times New Roman" w:hAnsi="Times New Roman"/>
          <w:noProof/>
          <w:sz w:val="24"/>
          <w:szCs w:val="24"/>
        </w:rPr>
        <w:t>. Ce réexamen a montré que la RSM remplissait sa mission de réduire l’excédent de quotas et de stabiliser le marché du carbone de l’UE, même pendant la pandémie de COVID-</w:t>
      </w:r>
      <w:r w:rsidRPr="00F43FC8">
        <w:rPr>
          <w:rFonts w:ascii="Times New Roman" w:hAnsi="Times New Roman"/>
          <w:noProof/>
          <w:sz w:val="24"/>
          <w:szCs w:val="24"/>
        </w:rPr>
        <w:t>19</w:t>
      </w:r>
      <w:r>
        <w:rPr>
          <w:rFonts w:ascii="Times New Roman" w:hAnsi="Times New Roman"/>
          <w:noProof/>
          <w:sz w:val="24"/>
          <w:szCs w:val="24"/>
        </w:rPr>
        <w:t>.</w:t>
      </w:r>
    </w:p>
    <w:p w14:paraId="7FC9A046" w14:textId="4253C76E" w:rsidR="004707AB" w:rsidRPr="00DA11F1" w:rsidRDefault="004707AB" w:rsidP="000F63B2">
      <w:pPr>
        <w:jc w:val="both"/>
        <w:rPr>
          <w:rFonts w:ascii="Times New Roman" w:hAnsi="Times New Roman"/>
          <w:noProof/>
          <w:sz w:val="24"/>
          <w:szCs w:val="24"/>
        </w:rPr>
      </w:pPr>
      <w:r>
        <w:rPr>
          <w:rFonts w:ascii="Times New Roman" w:hAnsi="Times New Roman"/>
          <w:noProof/>
          <w:sz w:val="24"/>
          <w:szCs w:val="24"/>
        </w:rPr>
        <w:t>La RSM a commencé en </w:t>
      </w:r>
      <w:r w:rsidRPr="00F43FC8">
        <w:rPr>
          <w:rFonts w:ascii="Times New Roman" w:hAnsi="Times New Roman"/>
          <w:noProof/>
          <w:sz w:val="24"/>
          <w:szCs w:val="24"/>
        </w:rPr>
        <w:t>2019</w:t>
      </w:r>
      <w:r>
        <w:rPr>
          <w:rFonts w:ascii="Times New Roman" w:hAnsi="Times New Roman"/>
          <w:noProof/>
          <w:sz w:val="24"/>
          <w:szCs w:val="24"/>
        </w:rPr>
        <w:t xml:space="preserve"> à remédier aux déséquilibres historiques, ce qui a conduit à des admissions de près de </w:t>
      </w:r>
      <w:r w:rsidRPr="00F43FC8">
        <w:rPr>
          <w:rFonts w:ascii="Times New Roman" w:hAnsi="Times New Roman"/>
          <w:noProof/>
          <w:sz w:val="24"/>
          <w:szCs w:val="24"/>
        </w:rPr>
        <w:t>1</w:t>
      </w:r>
      <w:r>
        <w:rPr>
          <w:rFonts w:ascii="Times New Roman" w:hAnsi="Times New Roman"/>
          <w:noProof/>
          <w:sz w:val="24"/>
          <w:szCs w:val="24"/>
        </w:rPr>
        <w:t xml:space="preserve"> milliard de quotas, dont un ajustement de </w:t>
      </w:r>
      <w:r w:rsidRPr="00F43FC8">
        <w:rPr>
          <w:rFonts w:ascii="Times New Roman" w:hAnsi="Times New Roman"/>
          <w:noProof/>
          <w:sz w:val="24"/>
          <w:szCs w:val="24"/>
        </w:rPr>
        <w:t>264</w:t>
      </w:r>
      <w:r>
        <w:rPr>
          <w:rFonts w:ascii="Times New Roman" w:hAnsi="Times New Roman"/>
          <w:noProof/>
          <w:sz w:val="24"/>
          <w:szCs w:val="24"/>
        </w:rPr>
        <w:t> millions de quotas retirés des volumes d’enchères en </w:t>
      </w:r>
      <w:r w:rsidRPr="00F43FC8">
        <w:rPr>
          <w:rFonts w:ascii="Times New Roman" w:hAnsi="Times New Roman"/>
          <w:noProof/>
          <w:sz w:val="24"/>
          <w:szCs w:val="24"/>
        </w:rPr>
        <w:t>2019</w:t>
      </w:r>
      <w:r>
        <w:rPr>
          <w:rFonts w:ascii="Times New Roman" w:hAnsi="Times New Roman"/>
          <w:noProof/>
          <w:sz w:val="24"/>
          <w:szCs w:val="24"/>
        </w:rPr>
        <w:t xml:space="preserve">, </w:t>
      </w:r>
      <w:r w:rsidRPr="00F43FC8">
        <w:rPr>
          <w:rFonts w:ascii="Times New Roman" w:hAnsi="Times New Roman"/>
          <w:noProof/>
          <w:sz w:val="24"/>
          <w:szCs w:val="24"/>
        </w:rPr>
        <w:t>397</w:t>
      </w:r>
      <w:r>
        <w:rPr>
          <w:rFonts w:ascii="Times New Roman" w:hAnsi="Times New Roman"/>
          <w:noProof/>
          <w:sz w:val="24"/>
          <w:szCs w:val="24"/>
        </w:rPr>
        <w:t> millions de quotas retirés des volumes d’enchères sur la période </w:t>
      </w:r>
      <w:r w:rsidRPr="00F43FC8">
        <w:rPr>
          <w:rFonts w:ascii="Times New Roman" w:hAnsi="Times New Roman"/>
          <w:noProof/>
          <w:sz w:val="24"/>
          <w:szCs w:val="24"/>
        </w:rPr>
        <w:t>2019</w:t>
      </w:r>
      <w:r>
        <w:rPr>
          <w:rFonts w:ascii="Times New Roman" w:hAnsi="Times New Roman"/>
          <w:noProof/>
          <w:sz w:val="24"/>
          <w:szCs w:val="24"/>
        </w:rPr>
        <w:t>-</w:t>
      </w:r>
      <w:r w:rsidRPr="00F43FC8">
        <w:rPr>
          <w:rFonts w:ascii="Times New Roman" w:hAnsi="Times New Roman"/>
          <w:noProof/>
          <w:sz w:val="24"/>
          <w:szCs w:val="24"/>
        </w:rPr>
        <w:t>2020</w:t>
      </w:r>
      <w:r>
        <w:rPr>
          <w:rFonts w:ascii="Times New Roman" w:hAnsi="Times New Roman"/>
          <w:noProof/>
          <w:sz w:val="24"/>
          <w:szCs w:val="24"/>
        </w:rPr>
        <w:t xml:space="preserve"> et plus de </w:t>
      </w:r>
      <w:r w:rsidRPr="00F43FC8">
        <w:rPr>
          <w:rFonts w:ascii="Times New Roman" w:hAnsi="Times New Roman"/>
          <w:noProof/>
          <w:sz w:val="24"/>
          <w:szCs w:val="24"/>
        </w:rPr>
        <w:t>300</w:t>
      </w:r>
      <w:r>
        <w:rPr>
          <w:rFonts w:ascii="Times New Roman" w:hAnsi="Times New Roman"/>
          <w:noProof/>
          <w:sz w:val="24"/>
          <w:szCs w:val="24"/>
        </w:rPr>
        <w:t> millions de quotas qui seront retirés des volumes d’enchères sur la période </w:t>
      </w:r>
      <w:r w:rsidRPr="00F43FC8">
        <w:rPr>
          <w:rFonts w:ascii="Times New Roman" w:hAnsi="Times New Roman"/>
          <w:noProof/>
          <w:sz w:val="24"/>
          <w:szCs w:val="24"/>
        </w:rPr>
        <w:t>2020</w:t>
      </w:r>
      <w:r>
        <w:rPr>
          <w:rFonts w:ascii="Times New Roman" w:hAnsi="Times New Roman"/>
          <w:noProof/>
          <w:sz w:val="24"/>
          <w:szCs w:val="24"/>
        </w:rPr>
        <w:t>-</w:t>
      </w:r>
      <w:r w:rsidRPr="00F43FC8">
        <w:rPr>
          <w:rFonts w:ascii="Times New Roman" w:hAnsi="Times New Roman"/>
          <w:noProof/>
          <w:sz w:val="24"/>
          <w:szCs w:val="24"/>
        </w:rPr>
        <w:t>2021</w:t>
      </w:r>
      <w:r>
        <w:rPr>
          <w:rFonts w:ascii="Times New Roman" w:hAnsi="Times New Roman"/>
          <w:noProof/>
          <w:sz w:val="24"/>
          <w:szCs w:val="24"/>
        </w:rPr>
        <w:t xml:space="preserve">, soit, à chaque fois, </w:t>
      </w:r>
      <w:r w:rsidRPr="00F43FC8">
        <w:rPr>
          <w:rFonts w:ascii="Times New Roman" w:hAnsi="Times New Roman"/>
          <w:noProof/>
          <w:sz w:val="24"/>
          <w:szCs w:val="24"/>
        </w:rPr>
        <w:t>24</w:t>
      </w:r>
      <w:r>
        <w:rPr>
          <w:rFonts w:ascii="Times New Roman" w:hAnsi="Times New Roman"/>
          <w:noProof/>
          <w:sz w:val="24"/>
          <w:szCs w:val="24"/>
        </w:rPr>
        <w:t> % de l’excédent de l’année précédente. La réduction des émissions enregistrée en </w:t>
      </w:r>
      <w:r w:rsidRPr="00F43FC8">
        <w:rPr>
          <w:rFonts w:ascii="Times New Roman" w:hAnsi="Times New Roman"/>
          <w:noProof/>
          <w:sz w:val="24"/>
          <w:szCs w:val="24"/>
        </w:rPr>
        <w:t>2020</w:t>
      </w:r>
      <w:r>
        <w:rPr>
          <w:rFonts w:ascii="Times New Roman" w:hAnsi="Times New Roman"/>
          <w:noProof/>
          <w:sz w:val="24"/>
          <w:szCs w:val="24"/>
        </w:rPr>
        <w:t xml:space="preserve"> en raison de la crise de la COVID-</w:t>
      </w:r>
      <w:r w:rsidRPr="00F43FC8">
        <w:rPr>
          <w:rFonts w:ascii="Times New Roman" w:hAnsi="Times New Roman"/>
          <w:noProof/>
          <w:sz w:val="24"/>
          <w:szCs w:val="24"/>
        </w:rPr>
        <w:t>19</w:t>
      </w:r>
      <w:r>
        <w:rPr>
          <w:rFonts w:ascii="Times New Roman" w:hAnsi="Times New Roman"/>
          <w:noProof/>
          <w:sz w:val="24"/>
          <w:szCs w:val="24"/>
        </w:rPr>
        <w:t xml:space="preserve"> entraînera une augmentation du taux d’admission de la RSM au cours de la période </w:t>
      </w:r>
      <w:r w:rsidRPr="00F43FC8">
        <w:rPr>
          <w:rFonts w:ascii="Times New Roman" w:hAnsi="Times New Roman"/>
          <w:noProof/>
          <w:sz w:val="24"/>
          <w:szCs w:val="24"/>
        </w:rPr>
        <w:t>2021</w:t>
      </w:r>
      <w:r>
        <w:rPr>
          <w:rFonts w:ascii="Times New Roman" w:hAnsi="Times New Roman"/>
          <w:noProof/>
          <w:sz w:val="24"/>
          <w:szCs w:val="24"/>
        </w:rPr>
        <w:t>-</w:t>
      </w:r>
      <w:r w:rsidRPr="00F43FC8">
        <w:rPr>
          <w:rFonts w:ascii="Times New Roman" w:hAnsi="Times New Roman"/>
          <w:noProof/>
          <w:sz w:val="24"/>
          <w:szCs w:val="24"/>
        </w:rPr>
        <w:t>2022</w:t>
      </w:r>
      <w:r>
        <w:rPr>
          <w:rFonts w:ascii="Times New Roman" w:hAnsi="Times New Roman"/>
          <w:noProof/>
          <w:sz w:val="24"/>
          <w:szCs w:val="24"/>
        </w:rPr>
        <w:t xml:space="preserve">, soit un volume de </w:t>
      </w:r>
      <w:r w:rsidRPr="00F43FC8">
        <w:rPr>
          <w:rFonts w:ascii="Times New Roman" w:hAnsi="Times New Roman"/>
          <w:noProof/>
          <w:sz w:val="24"/>
          <w:szCs w:val="24"/>
        </w:rPr>
        <w:t>379</w:t>
      </w:r>
      <w:r>
        <w:rPr>
          <w:rFonts w:ascii="Times New Roman" w:hAnsi="Times New Roman"/>
          <w:noProof/>
          <w:sz w:val="24"/>
          <w:szCs w:val="24"/>
        </w:rPr>
        <w:t xml:space="preserve"> millions de quotas. </w:t>
      </w:r>
    </w:p>
    <w:p w14:paraId="7C518822" w14:textId="1B8FAB29" w:rsidR="004707AB" w:rsidRPr="00DA11F1" w:rsidRDefault="004707AB" w:rsidP="000F63B2">
      <w:pPr>
        <w:jc w:val="both"/>
        <w:rPr>
          <w:rFonts w:ascii="Times New Roman" w:hAnsi="Times New Roman"/>
          <w:noProof/>
          <w:sz w:val="24"/>
          <w:szCs w:val="24"/>
        </w:rPr>
      </w:pPr>
      <w:r>
        <w:rPr>
          <w:rFonts w:ascii="Times New Roman" w:hAnsi="Times New Roman"/>
          <w:noProof/>
          <w:sz w:val="24"/>
          <w:szCs w:val="24"/>
        </w:rPr>
        <w:t>Les admissions dans la RSM devraient continuer de réduire l’offre de quotas mis aux enchères dans les années à venir, avec un maintien de l’excédent au-dessus du seuil supérieur et des répercussions de la pandémie de COVID-</w:t>
      </w:r>
      <w:r w:rsidRPr="00F43FC8">
        <w:rPr>
          <w:rFonts w:ascii="Times New Roman" w:hAnsi="Times New Roman"/>
          <w:noProof/>
          <w:sz w:val="24"/>
          <w:szCs w:val="24"/>
        </w:rPr>
        <w:t>19</w:t>
      </w:r>
      <w:r>
        <w:rPr>
          <w:rFonts w:ascii="Times New Roman" w:hAnsi="Times New Roman"/>
          <w:noProof/>
          <w:sz w:val="24"/>
          <w:szCs w:val="24"/>
        </w:rPr>
        <w:t xml:space="preserve"> sur la demande. La RSM continuera donc à remédier au déséquilibre historique qui s’est constitué sur le marché du carbone de l’UE au cours des phases </w:t>
      </w:r>
      <w:r w:rsidRPr="00F43FC8">
        <w:rPr>
          <w:rFonts w:ascii="Times New Roman" w:hAnsi="Times New Roman"/>
          <w:noProof/>
          <w:sz w:val="24"/>
          <w:szCs w:val="24"/>
        </w:rPr>
        <w:t>2</w:t>
      </w:r>
      <w:r>
        <w:rPr>
          <w:rFonts w:ascii="Times New Roman" w:hAnsi="Times New Roman"/>
          <w:noProof/>
          <w:sz w:val="24"/>
          <w:szCs w:val="24"/>
        </w:rPr>
        <w:t> et </w:t>
      </w:r>
      <w:r w:rsidRPr="00F43FC8">
        <w:rPr>
          <w:rFonts w:ascii="Times New Roman" w:hAnsi="Times New Roman"/>
          <w:noProof/>
          <w:sz w:val="24"/>
          <w:szCs w:val="24"/>
        </w:rPr>
        <w:t>3</w:t>
      </w:r>
      <w:r>
        <w:rPr>
          <w:rFonts w:ascii="Times New Roman" w:hAnsi="Times New Roman"/>
          <w:noProof/>
          <w:sz w:val="24"/>
          <w:szCs w:val="24"/>
        </w:rPr>
        <w:t xml:space="preserve"> tout en répondant en même temps aux effets du choc sur la demande provoqué par la pandémie. </w:t>
      </w:r>
    </w:p>
    <w:p w14:paraId="523E256B" w14:textId="77777777" w:rsidR="00131369" w:rsidRPr="00DA11F1" w:rsidRDefault="009B1524">
      <w:pPr>
        <w:pStyle w:val="Heading1"/>
        <w:spacing w:before="0" w:after="200"/>
        <w:rPr>
          <w:noProof/>
        </w:rPr>
      </w:pPr>
      <w:bookmarkStart w:id="59" w:name="_Toc490850434"/>
      <w:bookmarkStart w:id="60" w:name="_Toc519009685"/>
      <w:bookmarkStart w:id="61" w:name="_Toc89707774"/>
      <w:r w:rsidRPr="00F43FC8">
        <w:rPr>
          <w:noProof/>
        </w:rPr>
        <w:t>4</w:t>
      </w:r>
      <w:r>
        <w:rPr>
          <w:noProof/>
        </w:rPr>
        <w:t>. SECTEUR DE L’AVIATION</w:t>
      </w:r>
      <w:bookmarkEnd w:id="59"/>
      <w:bookmarkEnd w:id="60"/>
      <w:bookmarkEnd w:id="61"/>
    </w:p>
    <w:p w14:paraId="501E4825" w14:textId="115B5007" w:rsidR="00745119" w:rsidRPr="00DA11F1" w:rsidRDefault="00745119" w:rsidP="00745119">
      <w:pPr>
        <w:jc w:val="both"/>
        <w:rPr>
          <w:rFonts w:ascii="Times New Roman" w:hAnsi="Times New Roman"/>
          <w:noProof/>
          <w:sz w:val="24"/>
          <w:szCs w:val="24"/>
        </w:rPr>
      </w:pPr>
      <w:r>
        <w:rPr>
          <w:rFonts w:ascii="Times New Roman" w:hAnsi="Times New Roman"/>
          <w:noProof/>
          <w:sz w:val="24"/>
          <w:szCs w:val="24"/>
        </w:rPr>
        <w:t>Le secteur de l’aviation fait partie du SEQE-UE depuis </w:t>
      </w:r>
      <w:r w:rsidRPr="00F43FC8">
        <w:rPr>
          <w:rFonts w:ascii="Times New Roman" w:hAnsi="Times New Roman"/>
          <w:noProof/>
          <w:sz w:val="24"/>
          <w:szCs w:val="24"/>
        </w:rPr>
        <w:t>2012</w:t>
      </w:r>
      <w:r>
        <w:rPr>
          <w:rFonts w:ascii="Times New Roman" w:hAnsi="Times New Roman"/>
          <w:noProof/>
          <w:sz w:val="24"/>
          <w:szCs w:val="24"/>
        </w:rPr>
        <w:t xml:space="preserve">. Le texte législatif initial concernait tous les vols au départ et à destination de l’EEE. Cependant, l’Union a temporairement limité les obligations du SEQE aux vols intra-EEE de toutes les nationalités afin de favoriser l’élaboration, par l’Organisation de l’aviation civile internationale (OACI), d’un mécanisme de marché mondial visant à réduire les émissions de l’aviation.  </w:t>
      </w:r>
    </w:p>
    <w:p w14:paraId="34C298AC" w14:textId="6F8FDED6" w:rsidR="00745119" w:rsidRPr="00DA11F1" w:rsidRDefault="00745119" w:rsidP="00745119">
      <w:pPr>
        <w:jc w:val="both"/>
        <w:rPr>
          <w:rFonts w:ascii="Times New Roman" w:hAnsi="Times New Roman"/>
          <w:noProof/>
          <w:sz w:val="24"/>
          <w:szCs w:val="24"/>
        </w:rPr>
      </w:pPr>
      <w:r>
        <w:rPr>
          <w:rFonts w:ascii="Times New Roman" w:hAnsi="Times New Roman"/>
          <w:noProof/>
          <w:sz w:val="24"/>
          <w:szCs w:val="24"/>
        </w:rPr>
        <w:t>En octobre </w:t>
      </w:r>
      <w:r w:rsidRPr="00F43FC8">
        <w:rPr>
          <w:rFonts w:ascii="Times New Roman" w:hAnsi="Times New Roman"/>
          <w:noProof/>
          <w:sz w:val="24"/>
          <w:szCs w:val="24"/>
        </w:rPr>
        <w:t>2016</w:t>
      </w:r>
      <w:r>
        <w:rPr>
          <w:rFonts w:ascii="Times New Roman" w:hAnsi="Times New Roman"/>
          <w:noProof/>
          <w:sz w:val="24"/>
          <w:szCs w:val="24"/>
        </w:rPr>
        <w:t>, l’assemblée de l’OACI a marqué son accord sur une résolution concernant le régime CORSIA, qui devrait entrer en vigueur en </w:t>
      </w:r>
      <w:r w:rsidRPr="00F43FC8">
        <w:rPr>
          <w:rFonts w:ascii="Times New Roman" w:hAnsi="Times New Roman"/>
          <w:noProof/>
          <w:sz w:val="24"/>
          <w:szCs w:val="24"/>
        </w:rPr>
        <w:t>2021</w:t>
      </w:r>
      <w:r>
        <w:rPr>
          <w:rFonts w:ascii="Times New Roman" w:hAnsi="Times New Roman"/>
          <w:noProof/>
          <w:sz w:val="24"/>
          <w:szCs w:val="24"/>
        </w:rPr>
        <w:t>. Le CORSIA est un régime de compensation du carbone dont l’objectif est de stabiliser les émissions nettes de l’aviation internationale à des niveaux fixes par l’achat et l’annulation de crédits internationaux. Dans ce contexte, la directive SEQE-UE a été modifiée en </w:t>
      </w:r>
      <w:r w:rsidRPr="00F43FC8">
        <w:rPr>
          <w:rFonts w:ascii="Times New Roman" w:hAnsi="Times New Roman"/>
          <w:noProof/>
          <w:sz w:val="24"/>
          <w:szCs w:val="24"/>
        </w:rPr>
        <w:t>2017</w:t>
      </w:r>
      <w:r>
        <w:rPr>
          <w:rFonts w:ascii="Times New Roman" w:hAnsi="Times New Roman"/>
          <w:noProof/>
          <w:sz w:val="24"/>
          <w:szCs w:val="24"/>
        </w:rPr>
        <w:t xml:space="preserve"> pour prolonger la restriction du champ d’application du SEQE-UE à l’EEE pour l’aviation jusqu’à la fin </w:t>
      </w:r>
      <w:r w:rsidRPr="00F43FC8">
        <w:rPr>
          <w:rFonts w:ascii="Times New Roman" w:hAnsi="Times New Roman"/>
          <w:noProof/>
          <w:sz w:val="24"/>
          <w:szCs w:val="24"/>
        </w:rPr>
        <w:t>2023</w:t>
      </w:r>
      <w:r>
        <w:rPr>
          <w:rFonts w:ascii="Times New Roman" w:hAnsi="Times New Roman"/>
          <w:noProof/>
          <w:sz w:val="24"/>
          <w:szCs w:val="24"/>
        </w:rPr>
        <w:t xml:space="preserve">. </w:t>
      </w:r>
    </w:p>
    <w:p w14:paraId="2F6A81CA" w14:textId="3A78D5A7" w:rsidR="00745119" w:rsidRPr="00DA11F1" w:rsidRDefault="00745119" w:rsidP="00745119">
      <w:pPr>
        <w:jc w:val="both"/>
        <w:rPr>
          <w:rFonts w:ascii="Times New Roman" w:hAnsi="Times New Roman"/>
          <w:noProof/>
          <w:sz w:val="24"/>
          <w:szCs w:val="24"/>
        </w:rPr>
      </w:pPr>
      <w:r>
        <w:rPr>
          <w:rFonts w:ascii="Times New Roman" w:hAnsi="Times New Roman"/>
          <w:noProof/>
          <w:sz w:val="24"/>
          <w:szCs w:val="24"/>
        </w:rPr>
        <w:t>À la suite de l’accord conclu entre l’UE et la Suisse en vue de coupler leurs marchés du carbone respectifs (voir chapitre </w:t>
      </w:r>
      <w:r w:rsidRPr="00F43FC8">
        <w:rPr>
          <w:rFonts w:ascii="Times New Roman" w:hAnsi="Times New Roman"/>
          <w:noProof/>
          <w:sz w:val="24"/>
          <w:szCs w:val="24"/>
        </w:rPr>
        <w:t>7</w:t>
      </w:r>
      <w:r>
        <w:rPr>
          <w:rFonts w:ascii="Times New Roman" w:hAnsi="Times New Roman"/>
          <w:noProof/>
          <w:sz w:val="24"/>
          <w:szCs w:val="24"/>
        </w:rPr>
        <w:t xml:space="preserve">), le champ d’application du SEQE-UE dans le domaine de l’aviation a été étendu le </w:t>
      </w:r>
      <w:r w:rsidRPr="00F43FC8">
        <w:rPr>
          <w:rFonts w:ascii="Times New Roman" w:hAnsi="Times New Roman"/>
          <w:noProof/>
          <w:sz w:val="24"/>
          <w:szCs w:val="24"/>
        </w:rPr>
        <w:t>1</w:t>
      </w:r>
      <w:r>
        <w:rPr>
          <w:rFonts w:ascii="Times New Roman" w:hAnsi="Times New Roman"/>
          <w:noProof/>
          <w:sz w:val="24"/>
          <w:szCs w:val="24"/>
          <w:vertAlign w:val="superscript"/>
        </w:rPr>
        <w:t>er</w:t>
      </w:r>
      <w:r>
        <w:rPr>
          <w:rFonts w:ascii="Times New Roman" w:hAnsi="Times New Roman"/>
          <w:noProof/>
          <w:sz w:val="24"/>
          <w:szCs w:val="24"/>
        </w:rPr>
        <w:t> janvier </w:t>
      </w:r>
      <w:r w:rsidRPr="00F43FC8">
        <w:rPr>
          <w:rFonts w:ascii="Times New Roman" w:hAnsi="Times New Roman"/>
          <w:noProof/>
          <w:sz w:val="24"/>
          <w:szCs w:val="24"/>
        </w:rPr>
        <w:t>2020</w:t>
      </w:r>
      <w:r>
        <w:rPr>
          <w:rFonts w:ascii="Times New Roman" w:hAnsi="Times New Roman"/>
          <w:noProof/>
          <w:sz w:val="24"/>
          <w:szCs w:val="24"/>
        </w:rPr>
        <w:t xml:space="preserve"> à l’ensemble des vols au départ de l’EEE et à destination de la Suisse. La Suisse applique également son SEQE à l’ensemble des vols à destination d’aéroports de l’EEE. Des conditions de concurrence équitables sont ainsi garanties dans les deux directions. </w:t>
      </w:r>
    </w:p>
    <w:p w14:paraId="2401DCD4" w14:textId="5A5BD47E" w:rsidR="00745119" w:rsidRPr="00DA11F1" w:rsidRDefault="00D4002B" w:rsidP="000F63B2">
      <w:pPr>
        <w:jc w:val="both"/>
        <w:rPr>
          <w:rFonts w:ascii="Times New Roman" w:hAnsi="Times New Roman"/>
          <w:noProof/>
          <w:sz w:val="24"/>
          <w:szCs w:val="24"/>
        </w:rPr>
      </w:pPr>
      <w:r>
        <w:rPr>
          <w:rFonts w:ascii="Times New Roman" w:hAnsi="Times New Roman"/>
          <w:noProof/>
          <w:sz w:val="24"/>
          <w:szCs w:val="24"/>
        </w:rPr>
        <w:t>Conformément à l’accord de commerce et de coopération entre l’UE et le Royaume-Uni, conclu en décembre </w:t>
      </w:r>
      <w:r w:rsidRPr="00F43FC8">
        <w:rPr>
          <w:rFonts w:ascii="Times New Roman" w:hAnsi="Times New Roman"/>
          <w:noProof/>
          <w:sz w:val="24"/>
          <w:szCs w:val="24"/>
        </w:rPr>
        <w:t>2020</w:t>
      </w:r>
      <w:r>
        <w:rPr>
          <w:rFonts w:ascii="Times New Roman" w:hAnsi="Times New Roman"/>
          <w:noProof/>
          <w:sz w:val="24"/>
          <w:szCs w:val="24"/>
        </w:rPr>
        <w:t xml:space="preserve"> et entré en application le </w:t>
      </w:r>
      <w:r w:rsidRPr="00F43FC8">
        <w:rPr>
          <w:rFonts w:ascii="Times New Roman" w:hAnsi="Times New Roman"/>
          <w:noProof/>
          <w:sz w:val="24"/>
          <w:szCs w:val="24"/>
        </w:rPr>
        <w:t>1</w:t>
      </w:r>
      <w:r>
        <w:rPr>
          <w:rFonts w:ascii="Times New Roman" w:hAnsi="Times New Roman"/>
          <w:noProof/>
          <w:sz w:val="24"/>
          <w:szCs w:val="24"/>
          <w:vertAlign w:val="superscript"/>
        </w:rPr>
        <w:t>er</w:t>
      </w:r>
      <w:r>
        <w:rPr>
          <w:rFonts w:ascii="Times New Roman" w:hAnsi="Times New Roman"/>
          <w:noProof/>
          <w:sz w:val="24"/>
          <w:szCs w:val="24"/>
        </w:rPr>
        <w:t> janvier </w:t>
      </w:r>
      <w:r w:rsidRPr="00F43FC8">
        <w:rPr>
          <w:rFonts w:ascii="Times New Roman" w:hAnsi="Times New Roman"/>
          <w:noProof/>
          <w:sz w:val="24"/>
          <w:szCs w:val="24"/>
        </w:rPr>
        <w:t>2021</w:t>
      </w:r>
      <w:r>
        <w:rPr>
          <w:rFonts w:ascii="Times New Roman" w:hAnsi="Times New Roman"/>
          <w:noProof/>
          <w:sz w:val="24"/>
          <w:szCs w:val="24"/>
        </w:rPr>
        <w:t>, le SEQE-UE continue également de s’appliquer aux vols au départ de l’EEE à destination du Royaume-Uni, tandis que le nouveau SEQE du Royaume-Uni s’applique aux vols au départ du Royaume-Uni à destination de l’EEE.</w:t>
      </w:r>
    </w:p>
    <w:p w14:paraId="3BE1409C" w14:textId="3C7FAFC3" w:rsidR="00D4002B" w:rsidRPr="00DA11F1" w:rsidRDefault="00D4002B" w:rsidP="000F63B2">
      <w:pPr>
        <w:jc w:val="both"/>
        <w:rPr>
          <w:rFonts w:ascii="Times New Roman" w:hAnsi="Times New Roman"/>
          <w:noProof/>
          <w:sz w:val="24"/>
          <w:szCs w:val="24"/>
        </w:rPr>
      </w:pPr>
      <w:r>
        <w:rPr>
          <w:rFonts w:ascii="Times New Roman" w:hAnsi="Times New Roman"/>
          <w:noProof/>
          <w:sz w:val="24"/>
          <w:szCs w:val="24"/>
        </w:rPr>
        <w:t>En </w:t>
      </w:r>
      <w:r w:rsidRPr="00F43FC8">
        <w:rPr>
          <w:rFonts w:ascii="Times New Roman" w:hAnsi="Times New Roman"/>
          <w:noProof/>
          <w:sz w:val="24"/>
          <w:szCs w:val="24"/>
        </w:rPr>
        <w:t>2020</w:t>
      </w:r>
      <w:r>
        <w:rPr>
          <w:rFonts w:ascii="Times New Roman" w:hAnsi="Times New Roman"/>
          <w:noProof/>
          <w:sz w:val="24"/>
          <w:szCs w:val="24"/>
        </w:rPr>
        <w:t xml:space="preserve">, des quotas ont été délivrés compte tenu de la restriction du champ d’application à l’EEE pour l’aviation, étendue à la Suisse. Le nombre de quotas alloués à titre gratuit a légèrement dépassé les </w:t>
      </w:r>
      <w:r w:rsidRPr="00F43FC8">
        <w:rPr>
          <w:rFonts w:ascii="Times New Roman" w:hAnsi="Times New Roman"/>
          <w:noProof/>
          <w:sz w:val="24"/>
          <w:szCs w:val="24"/>
        </w:rPr>
        <w:t>32</w:t>
      </w:r>
      <w:r>
        <w:rPr>
          <w:rFonts w:ascii="Times New Roman" w:hAnsi="Times New Roman"/>
          <w:noProof/>
          <w:sz w:val="24"/>
          <w:szCs w:val="24"/>
        </w:rPr>
        <w:t>,</w:t>
      </w:r>
      <w:r w:rsidRPr="00F43FC8">
        <w:rPr>
          <w:rFonts w:ascii="Times New Roman" w:hAnsi="Times New Roman"/>
          <w:noProof/>
          <w:sz w:val="24"/>
          <w:szCs w:val="24"/>
        </w:rPr>
        <w:t>5</w:t>
      </w:r>
      <w:r>
        <w:rPr>
          <w:rFonts w:ascii="Times New Roman" w:hAnsi="Times New Roman"/>
          <w:noProof/>
          <w:sz w:val="24"/>
          <w:szCs w:val="24"/>
        </w:rPr>
        <w:t xml:space="preserve"> millions. Ce nombre comprend l’allocation à titre gratuit (un peu plus de </w:t>
      </w:r>
      <w:r w:rsidRPr="00F43FC8">
        <w:rPr>
          <w:rFonts w:ascii="Times New Roman" w:hAnsi="Times New Roman"/>
          <w:noProof/>
          <w:sz w:val="24"/>
          <w:szCs w:val="24"/>
        </w:rPr>
        <w:t>31</w:t>
      </w:r>
      <w:r>
        <w:rPr>
          <w:rFonts w:ascii="Times New Roman" w:hAnsi="Times New Roman"/>
          <w:noProof/>
          <w:sz w:val="24"/>
          <w:szCs w:val="24"/>
        </w:rPr>
        <w:t>,</w:t>
      </w:r>
      <w:r w:rsidRPr="00F43FC8">
        <w:rPr>
          <w:rFonts w:ascii="Times New Roman" w:hAnsi="Times New Roman"/>
          <w:noProof/>
          <w:sz w:val="24"/>
          <w:szCs w:val="24"/>
        </w:rPr>
        <w:t>7</w:t>
      </w:r>
      <w:r>
        <w:rPr>
          <w:rFonts w:ascii="Times New Roman" w:hAnsi="Times New Roman"/>
          <w:noProof/>
          <w:sz w:val="24"/>
          <w:szCs w:val="24"/>
        </w:rPr>
        <w:t xml:space="preserve"> millions de quotas) pour les opérateurs présents sur le marché et près de </w:t>
      </w:r>
      <w:r w:rsidRPr="00F43FC8">
        <w:rPr>
          <w:rFonts w:ascii="Times New Roman" w:hAnsi="Times New Roman"/>
          <w:noProof/>
          <w:sz w:val="24"/>
          <w:szCs w:val="24"/>
        </w:rPr>
        <w:t>0</w:t>
      </w:r>
      <w:r>
        <w:rPr>
          <w:rFonts w:ascii="Times New Roman" w:hAnsi="Times New Roman"/>
          <w:noProof/>
          <w:sz w:val="24"/>
          <w:szCs w:val="24"/>
        </w:rPr>
        <w:t>,</w:t>
      </w:r>
      <w:r w:rsidRPr="00F43FC8">
        <w:rPr>
          <w:rFonts w:ascii="Times New Roman" w:hAnsi="Times New Roman"/>
          <w:noProof/>
          <w:sz w:val="24"/>
          <w:szCs w:val="24"/>
        </w:rPr>
        <w:t>8</w:t>
      </w:r>
      <w:r>
        <w:rPr>
          <w:rFonts w:ascii="Times New Roman" w:hAnsi="Times New Roman"/>
          <w:noProof/>
          <w:sz w:val="24"/>
          <w:szCs w:val="24"/>
        </w:rPr>
        <w:t xml:space="preserve"> million de quotas alloués à partir de la réserve spéciale destinée aux nouveaux entrants et aux exploitants en croissance rapide. En outre, les exploitants d’aéronefs gérés par des administrateurs nationaux dans l’EEE ont reçu environ </w:t>
      </w:r>
      <w:r w:rsidRPr="00F43FC8">
        <w:rPr>
          <w:rFonts w:ascii="Times New Roman" w:hAnsi="Times New Roman"/>
          <w:noProof/>
          <w:sz w:val="24"/>
          <w:szCs w:val="24"/>
        </w:rPr>
        <w:t>0</w:t>
      </w:r>
      <w:r>
        <w:rPr>
          <w:rFonts w:ascii="Times New Roman" w:hAnsi="Times New Roman"/>
          <w:noProof/>
          <w:sz w:val="24"/>
          <w:szCs w:val="24"/>
        </w:rPr>
        <w:t>,</w:t>
      </w:r>
      <w:r w:rsidRPr="00F43FC8">
        <w:rPr>
          <w:rFonts w:ascii="Times New Roman" w:hAnsi="Times New Roman"/>
          <w:noProof/>
          <w:sz w:val="24"/>
          <w:szCs w:val="24"/>
        </w:rPr>
        <w:t>5</w:t>
      </w:r>
      <w:r>
        <w:rPr>
          <w:rFonts w:ascii="Times New Roman" w:hAnsi="Times New Roman"/>
          <w:noProof/>
          <w:sz w:val="24"/>
          <w:szCs w:val="24"/>
        </w:rPr>
        <w:t xml:space="preserve"> million de quotas aviation suisses à titre gratuit dans le cadre du SEQE de la Suisse. </w:t>
      </w:r>
    </w:p>
    <w:p w14:paraId="79523E4C" w14:textId="2E7BD549" w:rsidR="00792796" w:rsidRPr="00DA11F1" w:rsidRDefault="00D4002B" w:rsidP="000F63B2">
      <w:pPr>
        <w:jc w:val="both"/>
        <w:rPr>
          <w:rFonts w:ascii="Times New Roman" w:hAnsi="Times New Roman"/>
          <w:noProof/>
          <w:sz w:val="24"/>
          <w:szCs w:val="24"/>
        </w:rPr>
      </w:pPr>
      <w:r>
        <w:rPr>
          <w:rFonts w:ascii="Times New Roman" w:hAnsi="Times New Roman"/>
          <w:noProof/>
          <w:sz w:val="24"/>
          <w:szCs w:val="24"/>
        </w:rPr>
        <w:t>Le volume des quotas aviation mis aux enchères en </w:t>
      </w:r>
      <w:r w:rsidRPr="00F43FC8">
        <w:rPr>
          <w:rFonts w:ascii="Times New Roman" w:hAnsi="Times New Roman"/>
          <w:noProof/>
          <w:sz w:val="24"/>
          <w:szCs w:val="24"/>
        </w:rPr>
        <w:t>2020</w:t>
      </w:r>
      <w:r>
        <w:rPr>
          <w:rFonts w:ascii="Times New Roman" w:hAnsi="Times New Roman"/>
          <w:noProof/>
          <w:sz w:val="24"/>
          <w:szCs w:val="24"/>
        </w:rPr>
        <w:t xml:space="preserve"> s’est chiffré approximativement à </w:t>
      </w:r>
      <w:r w:rsidRPr="00F43FC8">
        <w:rPr>
          <w:rFonts w:ascii="Times New Roman" w:hAnsi="Times New Roman"/>
          <w:noProof/>
          <w:sz w:val="24"/>
          <w:szCs w:val="24"/>
        </w:rPr>
        <w:t>9</w:t>
      </w:r>
      <w:r>
        <w:rPr>
          <w:rFonts w:ascii="Times New Roman" w:hAnsi="Times New Roman"/>
          <w:noProof/>
          <w:sz w:val="24"/>
          <w:szCs w:val="24"/>
        </w:rPr>
        <w:t>,</w:t>
      </w:r>
      <w:r w:rsidRPr="00F43FC8">
        <w:rPr>
          <w:rFonts w:ascii="Times New Roman" w:hAnsi="Times New Roman"/>
          <w:noProof/>
          <w:sz w:val="24"/>
          <w:szCs w:val="24"/>
        </w:rPr>
        <w:t>2</w:t>
      </w:r>
      <w:r>
        <w:rPr>
          <w:rFonts w:ascii="Times New Roman" w:hAnsi="Times New Roman"/>
          <w:noProof/>
          <w:sz w:val="24"/>
          <w:szCs w:val="24"/>
        </w:rPr>
        <w:t xml:space="preserve"> millions. </w:t>
      </w:r>
    </w:p>
    <w:p w14:paraId="0AF6CE7E" w14:textId="48B01B28" w:rsidR="00D4002B" w:rsidRPr="00DA11F1" w:rsidRDefault="00FF4081" w:rsidP="00087600">
      <w:pPr>
        <w:jc w:val="both"/>
        <w:rPr>
          <w:rFonts w:ascii="Times New Roman" w:hAnsi="Times New Roman"/>
          <w:b/>
          <w:noProof/>
        </w:rPr>
      </w:pPr>
      <w:r>
        <w:rPr>
          <w:rFonts w:ascii="Times New Roman" w:hAnsi="Times New Roman"/>
          <w:noProof/>
          <w:sz w:val="24"/>
          <w:szCs w:val="24"/>
        </w:rPr>
        <w:t>Au cours de la phase </w:t>
      </w:r>
      <w:r w:rsidRPr="00F43FC8">
        <w:rPr>
          <w:rFonts w:ascii="Times New Roman" w:hAnsi="Times New Roman"/>
          <w:noProof/>
          <w:sz w:val="24"/>
          <w:szCs w:val="24"/>
        </w:rPr>
        <w:t>3</w:t>
      </w:r>
      <w:r>
        <w:rPr>
          <w:rFonts w:ascii="Times New Roman" w:hAnsi="Times New Roman"/>
          <w:noProof/>
          <w:sz w:val="24"/>
          <w:szCs w:val="24"/>
        </w:rPr>
        <w:t xml:space="preserve"> du SEQE-UE (</w:t>
      </w:r>
      <w:r w:rsidRPr="00F43FC8">
        <w:rPr>
          <w:rFonts w:ascii="Times New Roman" w:hAnsi="Times New Roman"/>
          <w:noProof/>
          <w:sz w:val="24"/>
          <w:szCs w:val="24"/>
        </w:rPr>
        <w:t>2013</w:t>
      </w:r>
      <w:r>
        <w:rPr>
          <w:rFonts w:ascii="Times New Roman" w:hAnsi="Times New Roman"/>
          <w:noProof/>
          <w:sz w:val="24"/>
          <w:szCs w:val="24"/>
        </w:rPr>
        <w:t>-</w:t>
      </w:r>
      <w:r w:rsidRPr="00F43FC8">
        <w:rPr>
          <w:rFonts w:ascii="Times New Roman" w:hAnsi="Times New Roman"/>
          <w:noProof/>
          <w:sz w:val="24"/>
          <w:szCs w:val="24"/>
        </w:rPr>
        <w:t>2020</w:t>
      </w:r>
      <w:r>
        <w:rPr>
          <w:rFonts w:ascii="Times New Roman" w:hAnsi="Times New Roman"/>
          <w:noProof/>
          <w:sz w:val="24"/>
          <w:szCs w:val="24"/>
        </w:rPr>
        <w:t>), les émissions de l’aviation ont connu une augmentation annuelle jusqu’en </w:t>
      </w:r>
      <w:r w:rsidRPr="00F43FC8">
        <w:rPr>
          <w:rFonts w:ascii="Times New Roman" w:hAnsi="Times New Roman"/>
          <w:noProof/>
          <w:sz w:val="24"/>
          <w:szCs w:val="24"/>
        </w:rPr>
        <w:t>2020</w:t>
      </w:r>
      <w:r>
        <w:rPr>
          <w:rFonts w:ascii="Times New Roman" w:hAnsi="Times New Roman"/>
          <w:noProof/>
          <w:sz w:val="24"/>
          <w:szCs w:val="24"/>
        </w:rPr>
        <w:t>, lorsque cette tendance a été inversée par la pandémie de COVID-</w:t>
      </w:r>
      <w:r w:rsidRPr="00F43FC8">
        <w:rPr>
          <w:rFonts w:ascii="Times New Roman" w:hAnsi="Times New Roman"/>
          <w:noProof/>
          <w:sz w:val="24"/>
          <w:szCs w:val="24"/>
        </w:rPr>
        <w:t>19</w:t>
      </w:r>
      <w:r>
        <w:rPr>
          <w:rFonts w:ascii="Times New Roman" w:hAnsi="Times New Roman"/>
          <w:noProof/>
          <w:sz w:val="24"/>
          <w:szCs w:val="24"/>
        </w:rPr>
        <w:t>. Entre </w:t>
      </w:r>
      <w:r w:rsidRPr="00F43FC8">
        <w:rPr>
          <w:rFonts w:ascii="Times New Roman" w:hAnsi="Times New Roman"/>
          <w:noProof/>
          <w:sz w:val="24"/>
          <w:szCs w:val="24"/>
        </w:rPr>
        <w:t>2013</w:t>
      </w:r>
      <w:r>
        <w:rPr>
          <w:rFonts w:ascii="Times New Roman" w:hAnsi="Times New Roman"/>
          <w:noProof/>
          <w:sz w:val="24"/>
          <w:szCs w:val="24"/>
        </w:rPr>
        <w:t> et </w:t>
      </w:r>
      <w:r w:rsidRPr="00F43FC8">
        <w:rPr>
          <w:rFonts w:ascii="Times New Roman" w:hAnsi="Times New Roman"/>
          <w:noProof/>
          <w:sz w:val="24"/>
          <w:szCs w:val="24"/>
        </w:rPr>
        <w:t>2019</w:t>
      </w:r>
      <w:r>
        <w:rPr>
          <w:rFonts w:ascii="Times New Roman" w:hAnsi="Times New Roman"/>
          <w:noProof/>
          <w:sz w:val="24"/>
          <w:szCs w:val="24"/>
        </w:rPr>
        <w:t xml:space="preserve">, les émissions des vols couverts par le SEQE-UE ont augmenté de </w:t>
      </w:r>
      <w:r w:rsidRPr="00F43FC8">
        <w:rPr>
          <w:rFonts w:ascii="Times New Roman" w:hAnsi="Times New Roman"/>
          <w:noProof/>
          <w:sz w:val="24"/>
          <w:szCs w:val="24"/>
        </w:rPr>
        <w:t>27</w:t>
      </w:r>
      <w:r>
        <w:rPr>
          <w:rFonts w:ascii="Times New Roman" w:hAnsi="Times New Roman"/>
          <w:noProof/>
          <w:sz w:val="24"/>
          <w:szCs w:val="24"/>
        </w:rPr>
        <w:t>,</w:t>
      </w:r>
      <w:r w:rsidRPr="00F43FC8">
        <w:rPr>
          <w:rFonts w:ascii="Times New Roman" w:hAnsi="Times New Roman"/>
          <w:noProof/>
          <w:sz w:val="24"/>
          <w:szCs w:val="24"/>
        </w:rPr>
        <w:t>5</w:t>
      </w:r>
      <w:r>
        <w:rPr>
          <w:rFonts w:ascii="Times New Roman" w:hAnsi="Times New Roman"/>
          <w:noProof/>
          <w:sz w:val="24"/>
          <w:szCs w:val="24"/>
        </w:rPr>
        <w:t> %. En </w:t>
      </w:r>
      <w:r w:rsidRPr="00F43FC8">
        <w:rPr>
          <w:rFonts w:ascii="Times New Roman" w:hAnsi="Times New Roman"/>
          <w:noProof/>
          <w:sz w:val="24"/>
          <w:szCs w:val="24"/>
        </w:rPr>
        <w:t>2020</w:t>
      </w:r>
      <w:r>
        <w:rPr>
          <w:rFonts w:ascii="Times New Roman" w:hAnsi="Times New Roman"/>
          <w:noProof/>
          <w:sz w:val="24"/>
          <w:szCs w:val="24"/>
        </w:rPr>
        <w:t xml:space="preserve">, les émissions vérifiées des exploitants d’aéronefs dont les États de l’EEE ont la responsabilité ont considérablement diminué, de </w:t>
      </w:r>
      <w:r w:rsidRPr="00F43FC8">
        <w:rPr>
          <w:rFonts w:ascii="Times New Roman" w:hAnsi="Times New Roman"/>
          <w:noProof/>
          <w:sz w:val="24"/>
          <w:szCs w:val="24"/>
        </w:rPr>
        <w:t>63</w:t>
      </w:r>
      <w:r>
        <w:rPr>
          <w:rFonts w:ascii="Times New Roman" w:hAnsi="Times New Roman"/>
          <w:noProof/>
          <w:sz w:val="24"/>
          <w:szCs w:val="24"/>
        </w:rPr>
        <w:t> % par rapport à </w:t>
      </w:r>
      <w:r w:rsidRPr="00F43FC8">
        <w:rPr>
          <w:rFonts w:ascii="Times New Roman" w:hAnsi="Times New Roman"/>
          <w:noProof/>
          <w:sz w:val="24"/>
          <w:szCs w:val="24"/>
        </w:rPr>
        <w:t>2019</w:t>
      </w:r>
      <w:r>
        <w:rPr>
          <w:rFonts w:ascii="Times New Roman" w:hAnsi="Times New Roman"/>
          <w:noProof/>
          <w:sz w:val="24"/>
          <w:szCs w:val="24"/>
        </w:rPr>
        <w:t xml:space="preserve">, en raison de la pandémie et des restrictions de déplacement adoptées en réponse à celle-ci, pour atteindre </w:t>
      </w:r>
      <w:r w:rsidRPr="00F43FC8">
        <w:rPr>
          <w:rFonts w:ascii="Times New Roman" w:hAnsi="Times New Roman"/>
          <w:noProof/>
          <w:sz w:val="24"/>
          <w:szCs w:val="24"/>
        </w:rPr>
        <w:t>24</w:t>
      </w:r>
      <w:r>
        <w:rPr>
          <w:rFonts w:ascii="Times New Roman" w:hAnsi="Times New Roman"/>
          <w:noProof/>
          <w:sz w:val="24"/>
          <w:szCs w:val="24"/>
        </w:rPr>
        <w:t>,</w:t>
      </w:r>
      <w:r w:rsidRPr="00F43FC8">
        <w:rPr>
          <w:rFonts w:ascii="Times New Roman" w:hAnsi="Times New Roman"/>
          <w:noProof/>
          <w:sz w:val="24"/>
          <w:szCs w:val="24"/>
        </w:rPr>
        <w:t>9</w:t>
      </w:r>
      <w:r>
        <w:rPr>
          <w:rFonts w:ascii="Times New Roman" w:hAnsi="Times New Roman"/>
          <w:noProof/>
          <w:sz w:val="24"/>
          <w:szCs w:val="24"/>
        </w:rPr>
        <w:t> millions de tonnes de CO</w:t>
      </w:r>
      <w:r w:rsidRPr="00F43FC8">
        <w:rPr>
          <w:rFonts w:ascii="Times New Roman" w:hAnsi="Times New Roman"/>
          <w:noProof/>
          <w:sz w:val="24"/>
          <w:szCs w:val="24"/>
          <w:vertAlign w:val="subscript"/>
        </w:rPr>
        <w:t>2</w:t>
      </w:r>
      <w:r>
        <w:rPr>
          <w:rFonts w:ascii="Times New Roman" w:hAnsi="Times New Roman"/>
          <w:noProof/>
          <w:sz w:val="24"/>
          <w:szCs w:val="24"/>
        </w:rPr>
        <w:t xml:space="preserve"> dans le cadre du SEQE-UE et </w:t>
      </w:r>
      <w:r w:rsidRPr="00F43FC8">
        <w:rPr>
          <w:rFonts w:ascii="Times New Roman" w:hAnsi="Times New Roman"/>
          <w:noProof/>
          <w:sz w:val="24"/>
          <w:szCs w:val="24"/>
        </w:rPr>
        <w:t>0</w:t>
      </w:r>
      <w:r>
        <w:rPr>
          <w:rFonts w:ascii="Times New Roman" w:hAnsi="Times New Roman"/>
          <w:noProof/>
          <w:sz w:val="24"/>
          <w:szCs w:val="24"/>
        </w:rPr>
        <w:t>,</w:t>
      </w:r>
      <w:r w:rsidRPr="00F43FC8">
        <w:rPr>
          <w:rFonts w:ascii="Times New Roman" w:hAnsi="Times New Roman"/>
          <w:noProof/>
          <w:sz w:val="24"/>
          <w:szCs w:val="24"/>
        </w:rPr>
        <w:t>3</w:t>
      </w:r>
      <w:r>
        <w:rPr>
          <w:rFonts w:ascii="Times New Roman" w:hAnsi="Times New Roman"/>
          <w:noProof/>
          <w:sz w:val="24"/>
          <w:szCs w:val="24"/>
        </w:rPr>
        <w:t> million de tonnes dans le cadre du SEQE de la Suisse (</w:t>
      </w:r>
      <w:r w:rsidRPr="00F43FC8">
        <w:rPr>
          <w:rFonts w:ascii="Times New Roman" w:hAnsi="Times New Roman"/>
          <w:noProof/>
          <w:sz w:val="24"/>
          <w:szCs w:val="24"/>
        </w:rPr>
        <w:t>25</w:t>
      </w:r>
      <w:r>
        <w:rPr>
          <w:rFonts w:ascii="Times New Roman" w:hAnsi="Times New Roman"/>
          <w:noProof/>
          <w:sz w:val="24"/>
          <w:szCs w:val="24"/>
        </w:rPr>
        <w:t>,</w:t>
      </w:r>
      <w:r w:rsidRPr="00F43FC8">
        <w:rPr>
          <w:rFonts w:ascii="Times New Roman" w:hAnsi="Times New Roman"/>
          <w:noProof/>
          <w:sz w:val="24"/>
          <w:szCs w:val="24"/>
        </w:rPr>
        <w:t>2</w:t>
      </w:r>
      <w:r>
        <w:rPr>
          <w:rFonts w:ascii="Times New Roman" w:hAnsi="Times New Roman"/>
          <w:noProof/>
          <w:sz w:val="24"/>
          <w:szCs w:val="24"/>
        </w:rPr>
        <w:t> millions de tonnes de CO</w:t>
      </w:r>
      <w:r w:rsidRPr="00F43FC8">
        <w:rPr>
          <w:rFonts w:ascii="Times New Roman" w:hAnsi="Times New Roman"/>
          <w:noProof/>
          <w:sz w:val="24"/>
          <w:szCs w:val="24"/>
          <w:vertAlign w:val="subscript"/>
        </w:rPr>
        <w:t>2</w:t>
      </w:r>
      <w:r>
        <w:rPr>
          <w:rFonts w:ascii="Times New Roman" w:hAnsi="Times New Roman"/>
          <w:noProof/>
          <w:sz w:val="24"/>
          <w:szCs w:val="24"/>
        </w:rPr>
        <w:t xml:space="preserve"> dans le </w:t>
      </w:r>
      <w:r w:rsidR="00087600">
        <w:rPr>
          <w:rFonts w:ascii="Times New Roman" w:hAnsi="Times New Roman"/>
          <w:noProof/>
          <w:sz w:val="24"/>
          <w:szCs w:val="24"/>
        </w:rPr>
        <w:t xml:space="preserve">tableau </w:t>
      </w:r>
      <w:r w:rsidR="00087600" w:rsidRPr="00F43FC8">
        <w:rPr>
          <w:rFonts w:ascii="Times New Roman" w:hAnsi="Times New Roman"/>
          <w:noProof/>
          <w:sz w:val="24"/>
          <w:szCs w:val="24"/>
        </w:rPr>
        <w:t>6</w:t>
      </w:r>
      <w:r w:rsidR="00087600">
        <w:rPr>
          <w:rFonts w:ascii="Times New Roman" w:hAnsi="Times New Roman"/>
          <w:noProof/>
          <w:sz w:val="24"/>
          <w:szCs w:val="24"/>
        </w:rPr>
        <w:t xml:space="preserve"> </w:t>
      </w:r>
      <w:r>
        <w:rPr>
          <w:rFonts w:ascii="Times New Roman" w:hAnsi="Times New Roman"/>
          <w:noProof/>
          <w:sz w:val="24"/>
          <w:szCs w:val="24"/>
        </w:rPr>
        <w:t xml:space="preserve">ci-dessous). </w:t>
      </w:r>
      <w:r w:rsidRPr="00F43FC8">
        <w:rPr>
          <w:rFonts w:ascii="Times New Roman" w:hAnsi="Times New Roman"/>
          <w:noProof/>
          <w:sz w:val="24"/>
          <w:szCs w:val="24"/>
        </w:rPr>
        <w:t>2019</w:t>
      </w:r>
      <w:r>
        <w:rPr>
          <w:rFonts w:ascii="Times New Roman" w:hAnsi="Times New Roman"/>
          <w:noProof/>
          <w:sz w:val="24"/>
          <w:szCs w:val="24"/>
        </w:rPr>
        <w:t xml:space="preserve"> est donc, à ce jour, l’année durant laquelle les émissions les plus élevées ont été enregistrées pour le secteur de l’aviation. Le</w:t>
      </w:r>
      <w:r w:rsidR="00155B66">
        <w:rPr>
          <w:rFonts w:ascii="Times New Roman" w:hAnsi="Times New Roman"/>
          <w:noProof/>
          <w:sz w:val="24"/>
          <w:szCs w:val="24"/>
        </w:rPr>
        <w:t xml:space="preserve"> tableau </w:t>
      </w:r>
      <w:r w:rsidR="00155B66" w:rsidRPr="00F43FC8">
        <w:rPr>
          <w:rFonts w:ascii="Times New Roman" w:hAnsi="Times New Roman"/>
          <w:noProof/>
          <w:sz w:val="24"/>
          <w:szCs w:val="24"/>
        </w:rPr>
        <w:t>6</w:t>
      </w:r>
      <w:r>
        <w:rPr>
          <w:rFonts w:ascii="Times New Roman" w:hAnsi="Times New Roman"/>
          <w:noProof/>
          <w:sz w:val="24"/>
          <w:szCs w:val="24"/>
        </w:rPr>
        <w:t xml:space="preserve"> récapitule les émissions vérifiées, les quotas alloués à titre gratuit et les volumes de quotas mis aux enchères pour le secteur de l’aviation depuis le début de la phase </w:t>
      </w:r>
      <w:r w:rsidRPr="00F43FC8">
        <w:rPr>
          <w:rFonts w:ascii="Times New Roman" w:hAnsi="Times New Roman"/>
          <w:noProof/>
          <w:sz w:val="24"/>
          <w:szCs w:val="24"/>
        </w:rPr>
        <w:t>3</w:t>
      </w:r>
      <w:r>
        <w:rPr>
          <w:rFonts w:ascii="Times New Roman" w:hAnsi="Times New Roman"/>
          <w:noProof/>
          <w:sz w:val="24"/>
          <w:szCs w:val="24"/>
        </w:rPr>
        <w:t>.</w:t>
      </w:r>
      <w:r>
        <w:rPr>
          <w:rFonts w:ascii="Times New Roman" w:hAnsi="Times New Roman"/>
          <w:b/>
          <w:noProof/>
        </w:rPr>
        <w:t xml:space="preserve"> </w:t>
      </w:r>
    </w:p>
    <w:p w14:paraId="4E7FEA9A" w14:textId="74970CC5" w:rsidR="00C023D7" w:rsidRPr="00DA11F1" w:rsidRDefault="00C023D7" w:rsidP="00155B66">
      <w:pPr>
        <w:pStyle w:val="Caption"/>
        <w:keepNext/>
        <w:rPr>
          <w:rFonts w:ascii="Times New Roman" w:hAnsi="Times New Roman"/>
          <w:noProof/>
          <w:sz w:val="22"/>
        </w:rPr>
      </w:pPr>
      <w:bookmarkStart w:id="62" w:name="_Ref85037379"/>
      <w:r>
        <w:rPr>
          <w:rFonts w:ascii="Times New Roman" w:hAnsi="Times New Roman"/>
          <w:noProof/>
          <w:sz w:val="22"/>
        </w:rPr>
        <w:t>Tableau </w:t>
      </w:r>
      <w:r w:rsidRPr="00DA11F1">
        <w:rPr>
          <w:rFonts w:ascii="Times New Roman" w:hAnsi="Times New Roman"/>
          <w:noProof/>
          <w:sz w:val="22"/>
        </w:rPr>
        <w:fldChar w:fldCharType="begin"/>
      </w:r>
      <w:r w:rsidRPr="00DA11F1">
        <w:rPr>
          <w:rFonts w:ascii="Times New Roman" w:hAnsi="Times New Roman"/>
          <w:noProof/>
          <w:sz w:val="22"/>
        </w:rPr>
        <w:instrText xml:space="preserve"> SEQ Table \* ARABIC </w:instrText>
      </w:r>
      <w:r w:rsidRPr="00DA11F1">
        <w:rPr>
          <w:rFonts w:ascii="Times New Roman" w:hAnsi="Times New Roman"/>
          <w:noProof/>
          <w:sz w:val="22"/>
        </w:rPr>
        <w:fldChar w:fldCharType="separate"/>
      </w:r>
      <w:r w:rsidR="00676166" w:rsidRPr="00F43FC8">
        <w:rPr>
          <w:rFonts w:ascii="Times New Roman" w:hAnsi="Times New Roman"/>
          <w:noProof/>
          <w:sz w:val="22"/>
        </w:rPr>
        <w:t>6</w:t>
      </w:r>
      <w:r w:rsidRPr="00DA11F1">
        <w:rPr>
          <w:rFonts w:ascii="Times New Roman" w:hAnsi="Times New Roman"/>
          <w:noProof/>
          <w:sz w:val="22"/>
        </w:rPr>
        <w:fldChar w:fldCharType="end"/>
      </w:r>
      <w:bookmarkEnd w:id="62"/>
      <w:r>
        <w:rPr>
          <w:rFonts w:ascii="Times New Roman" w:hAnsi="Times New Roman"/>
          <w:noProof/>
          <w:sz w:val="22"/>
        </w:rPr>
        <w:t>. Secteur de l’aviation: émissions vérifiées, allocation à titre gratuit et volum</w:t>
      </w:r>
      <w:r w:rsidR="00155B66">
        <w:rPr>
          <w:rFonts w:ascii="Times New Roman" w:hAnsi="Times New Roman"/>
          <w:noProof/>
          <w:sz w:val="22"/>
        </w:rPr>
        <w:t xml:space="preserve">es mis aux enchères, </w:t>
      </w:r>
      <w:r w:rsidR="00155B66" w:rsidRPr="00F43FC8">
        <w:rPr>
          <w:rFonts w:ascii="Times New Roman" w:hAnsi="Times New Roman"/>
          <w:noProof/>
          <w:sz w:val="22"/>
        </w:rPr>
        <w:t>2013</w:t>
      </w:r>
      <w:r w:rsidR="00155B66">
        <w:rPr>
          <w:rFonts w:ascii="Times New Roman" w:hAnsi="Times New Roman"/>
          <w:noProof/>
          <w:sz w:val="22"/>
        </w:rPr>
        <w:t>-</w:t>
      </w:r>
      <w:r w:rsidR="00155B66" w:rsidRPr="00F43FC8">
        <w:rPr>
          <w:rFonts w:ascii="Times New Roman" w:hAnsi="Times New Roman"/>
          <w:noProof/>
          <w:sz w:val="22"/>
        </w:rPr>
        <w:t>2021</w:t>
      </w:r>
      <w:r w:rsidR="00155B66">
        <w:rPr>
          <w:rFonts w:ascii="Times New Roman" w:hAnsi="Times New Roman"/>
          <w:noProof/>
          <w:sz w:val="22"/>
        </w:rPr>
        <w:t xml:space="preserve"> </w:t>
      </w:r>
      <w:r>
        <w:rPr>
          <w:rFonts w:ascii="Times New Roman" w:hAnsi="Times New Roman"/>
          <w:noProof/>
          <w:sz w:val="22"/>
        </w:rPr>
        <w:t>(en millions)</w:t>
      </w:r>
    </w:p>
    <w:tbl>
      <w:tblPr>
        <w:tblW w:w="4941" w:type="pct"/>
        <w:tblInd w:w="108" w:type="dxa"/>
        <w:tblCellMar>
          <w:left w:w="0" w:type="dxa"/>
          <w:right w:w="0" w:type="dxa"/>
        </w:tblCellMar>
        <w:tblLook w:val="04A0" w:firstRow="1" w:lastRow="0" w:firstColumn="1" w:lastColumn="0" w:noHBand="0" w:noVBand="1"/>
      </w:tblPr>
      <w:tblGrid>
        <w:gridCol w:w="2117"/>
        <w:gridCol w:w="847"/>
        <w:gridCol w:w="705"/>
        <w:gridCol w:w="705"/>
        <w:gridCol w:w="703"/>
        <w:gridCol w:w="707"/>
        <w:gridCol w:w="599"/>
        <w:gridCol w:w="665"/>
        <w:gridCol w:w="667"/>
        <w:gridCol w:w="664"/>
        <w:gridCol w:w="662"/>
      </w:tblGrid>
      <w:tr w:rsidR="00AE5BE3" w:rsidRPr="00DA11F1" w14:paraId="3AC82975" w14:textId="77777777" w:rsidTr="00115ADC">
        <w:trPr>
          <w:trHeight w:val="594"/>
        </w:trPr>
        <w:tc>
          <w:tcPr>
            <w:tcW w:w="1170" w:type="pct"/>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3CA5ABBB" w14:textId="1A02FE55" w:rsidR="00AE5BE3" w:rsidRPr="00DA11F1" w:rsidRDefault="00AE5BE3" w:rsidP="00CC361B">
            <w:pPr>
              <w:spacing w:after="0"/>
              <w:jc w:val="center"/>
              <w:rPr>
                <w:rFonts w:ascii="Times New Roman" w:hAnsi="Times New Roman"/>
                <w:b/>
                <w:bCs/>
                <w:noProof/>
                <w:sz w:val="20"/>
                <w:szCs w:val="20"/>
              </w:rPr>
            </w:pPr>
            <w:r>
              <w:rPr>
                <w:rFonts w:ascii="Times New Roman" w:hAnsi="Times New Roman"/>
                <w:b/>
                <w:bCs/>
                <w:noProof/>
                <w:sz w:val="20"/>
                <w:szCs w:val="20"/>
              </w:rPr>
              <w:t>Année</w:t>
            </w:r>
          </w:p>
        </w:tc>
        <w:tc>
          <w:tcPr>
            <w:tcW w:w="468" w:type="pct"/>
            <w:tcBorders>
              <w:top w:val="double" w:sz="4" w:space="0" w:color="auto"/>
              <w:left w:val="nil"/>
              <w:bottom w:val="double" w:sz="4" w:space="0" w:color="auto"/>
              <w:right w:val="double" w:sz="4" w:space="0" w:color="auto"/>
            </w:tcBorders>
            <w:vAlign w:val="center"/>
          </w:tcPr>
          <w:p w14:paraId="3AB9EC7E" w14:textId="77777777" w:rsidR="00AE5BE3" w:rsidRPr="00DA11F1" w:rsidRDefault="00AE5BE3" w:rsidP="00CC361B">
            <w:pPr>
              <w:spacing w:after="0"/>
              <w:jc w:val="center"/>
              <w:rPr>
                <w:rFonts w:ascii="Times New Roman" w:hAnsi="Times New Roman"/>
                <w:b/>
                <w:bCs/>
                <w:noProof/>
                <w:sz w:val="20"/>
                <w:szCs w:val="20"/>
              </w:rPr>
            </w:pPr>
            <w:r w:rsidRPr="00F43FC8">
              <w:rPr>
                <w:rFonts w:ascii="Times New Roman" w:hAnsi="Times New Roman"/>
                <w:b/>
                <w:bCs/>
                <w:noProof/>
                <w:sz w:val="20"/>
                <w:szCs w:val="20"/>
              </w:rPr>
              <w:t>2012</w:t>
            </w:r>
          </w:p>
        </w:tc>
        <w:tc>
          <w:tcPr>
            <w:tcW w:w="390" w:type="pct"/>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09B26329" w14:textId="77777777" w:rsidR="00AE5BE3" w:rsidRPr="00DA11F1" w:rsidRDefault="00AE5BE3" w:rsidP="00CC361B">
            <w:pPr>
              <w:spacing w:after="0"/>
              <w:jc w:val="center"/>
              <w:rPr>
                <w:rFonts w:ascii="Times New Roman" w:hAnsi="Times New Roman"/>
                <w:b/>
                <w:bCs/>
                <w:noProof/>
                <w:sz w:val="20"/>
                <w:szCs w:val="20"/>
              </w:rPr>
            </w:pPr>
            <w:r w:rsidRPr="00F43FC8">
              <w:rPr>
                <w:rFonts w:ascii="Times New Roman" w:hAnsi="Times New Roman"/>
                <w:b/>
                <w:bCs/>
                <w:noProof/>
                <w:sz w:val="20"/>
                <w:szCs w:val="20"/>
              </w:rPr>
              <w:t>2013</w:t>
            </w:r>
          </w:p>
        </w:tc>
        <w:tc>
          <w:tcPr>
            <w:tcW w:w="390"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hideMark/>
          </w:tcPr>
          <w:p w14:paraId="1B92D704" w14:textId="77777777" w:rsidR="00AE5BE3" w:rsidRPr="00DA11F1" w:rsidRDefault="00AE5BE3" w:rsidP="00CC361B">
            <w:pPr>
              <w:spacing w:after="0"/>
              <w:jc w:val="center"/>
              <w:rPr>
                <w:rFonts w:ascii="Times New Roman" w:hAnsi="Times New Roman"/>
                <w:b/>
                <w:bCs/>
                <w:noProof/>
                <w:sz w:val="20"/>
                <w:szCs w:val="20"/>
              </w:rPr>
            </w:pPr>
            <w:r w:rsidRPr="00F43FC8">
              <w:rPr>
                <w:rFonts w:ascii="Times New Roman" w:hAnsi="Times New Roman"/>
                <w:b/>
                <w:bCs/>
                <w:noProof/>
                <w:sz w:val="20"/>
                <w:szCs w:val="20"/>
              </w:rPr>
              <w:t>2014</w:t>
            </w:r>
          </w:p>
        </w:tc>
        <w:tc>
          <w:tcPr>
            <w:tcW w:w="389"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hideMark/>
          </w:tcPr>
          <w:p w14:paraId="6B4F73FD" w14:textId="77777777" w:rsidR="00AE5BE3" w:rsidRPr="00DA11F1" w:rsidRDefault="00AE5BE3" w:rsidP="00CC361B">
            <w:pPr>
              <w:spacing w:after="0"/>
              <w:jc w:val="center"/>
              <w:rPr>
                <w:rFonts w:ascii="Times New Roman" w:hAnsi="Times New Roman"/>
                <w:b/>
                <w:bCs/>
                <w:noProof/>
                <w:sz w:val="20"/>
                <w:szCs w:val="20"/>
              </w:rPr>
            </w:pPr>
            <w:r w:rsidRPr="00F43FC8">
              <w:rPr>
                <w:rFonts w:ascii="Times New Roman" w:hAnsi="Times New Roman"/>
                <w:b/>
                <w:bCs/>
                <w:noProof/>
                <w:sz w:val="20"/>
                <w:szCs w:val="20"/>
              </w:rPr>
              <w:t>2015</w:t>
            </w:r>
          </w:p>
        </w:tc>
        <w:tc>
          <w:tcPr>
            <w:tcW w:w="391"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hideMark/>
          </w:tcPr>
          <w:p w14:paraId="6221B24F" w14:textId="77777777" w:rsidR="00AE5BE3" w:rsidRPr="00DA11F1" w:rsidRDefault="00AE5BE3" w:rsidP="00CC361B">
            <w:pPr>
              <w:spacing w:after="0"/>
              <w:jc w:val="center"/>
              <w:rPr>
                <w:rFonts w:ascii="Times New Roman" w:hAnsi="Times New Roman"/>
                <w:b/>
                <w:bCs/>
                <w:noProof/>
                <w:sz w:val="20"/>
                <w:szCs w:val="20"/>
              </w:rPr>
            </w:pPr>
            <w:r w:rsidRPr="00F43FC8">
              <w:rPr>
                <w:rFonts w:ascii="Times New Roman" w:hAnsi="Times New Roman"/>
                <w:b/>
                <w:bCs/>
                <w:noProof/>
                <w:sz w:val="20"/>
                <w:szCs w:val="20"/>
              </w:rPr>
              <w:t>2016</w:t>
            </w:r>
          </w:p>
        </w:tc>
        <w:tc>
          <w:tcPr>
            <w:tcW w:w="331" w:type="pct"/>
            <w:tcBorders>
              <w:top w:val="double" w:sz="4" w:space="0" w:color="auto"/>
              <w:left w:val="nil"/>
              <w:bottom w:val="double" w:sz="4" w:space="0" w:color="auto"/>
              <w:right w:val="double" w:sz="4" w:space="0" w:color="auto"/>
            </w:tcBorders>
            <w:vAlign w:val="center"/>
          </w:tcPr>
          <w:p w14:paraId="41C27537" w14:textId="77777777" w:rsidR="00AE5BE3" w:rsidRPr="00DA11F1" w:rsidRDefault="00AE5BE3" w:rsidP="00CC361B">
            <w:pPr>
              <w:spacing w:after="0"/>
              <w:jc w:val="center"/>
              <w:rPr>
                <w:rFonts w:ascii="Times New Roman" w:hAnsi="Times New Roman"/>
                <w:b/>
                <w:bCs/>
                <w:noProof/>
                <w:sz w:val="20"/>
                <w:szCs w:val="20"/>
              </w:rPr>
            </w:pPr>
            <w:r w:rsidRPr="00F43FC8">
              <w:rPr>
                <w:rFonts w:ascii="Times New Roman" w:hAnsi="Times New Roman"/>
                <w:b/>
                <w:bCs/>
                <w:noProof/>
                <w:sz w:val="20"/>
                <w:szCs w:val="20"/>
              </w:rPr>
              <w:t>2017</w:t>
            </w:r>
          </w:p>
        </w:tc>
        <w:tc>
          <w:tcPr>
            <w:tcW w:w="368" w:type="pct"/>
            <w:tcBorders>
              <w:top w:val="double" w:sz="4" w:space="0" w:color="auto"/>
              <w:left w:val="nil"/>
              <w:bottom w:val="double" w:sz="4" w:space="0" w:color="auto"/>
              <w:right w:val="double" w:sz="4" w:space="0" w:color="auto"/>
            </w:tcBorders>
            <w:vAlign w:val="center"/>
          </w:tcPr>
          <w:p w14:paraId="5C1783C3" w14:textId="77777777" w:rsidR="00AE5BE3" w:rsidRPr="00DA11F1" w:rsidRDefault="00AE5BE3" w:rsidP="00CC361B">
            <w:pPr>
              <w:spacing w:after="0"/>
              <w:jc w:val="center"/>
              <w:rPr>
                <w:rFonts w:ascii="Times New Roman" w:hAnsi="Times New Roman"/>
                <w:b/>
                <w:bCs/>
                <w:noProof/>
                <w:sz w:val="20"/>
                <w:szCs w:val="20"/>
              </w:rPr>
            </w:pPr>
            <w:r w:rsidRPr="00F43FC8">
              <w:rPr>
                <w:rFonts w:ascii="Times New Roman" w:hAnsi="Times New Roman"/>
                <w:b/>
                <w:bCs/>
                <w:noProof/>
                <w:sz w:val="20"/>
                <w:szCs w:val="20"/>
              </w:rPr>
              <w:t>2018</w:t>
            </w:r>
          </w:p>
        </w:tc>
        <w:tc>
          <w:tcPr>
            <w:tcW w:w="369" w:type="pct"/>
            <w:tcBorders>
              <w:top w:val="double" w:sz="4" w:space="0" w:color="auto"/>
              <w:left w:val="nil"/>
              <w:bottom w:val="double" w:sz="4" w:space="0" w:color="auto"/>
              <w:right w:val="double" w:sz="4" w:space="0" w:color="auto"/>
            </w:tcBorders>
            <w:vAlign w:val="center"/>
          </w:tcPr>
          <w:p w14:paraId="0D26C64E" w14:textId="77777777" w:rsidR="00AE5BE3" w:rsidRPr="00DA11F1" w:rsidRDefault="00AE5BE3" w:rsidP="00CC361B">
            <w:pPr>
              <w:spacing w:after="0"/>
              <w:jc w:val="center"/>
              <w:rPr>
                <w:rFonts w:ascii="Times New Roman" w:hAnsi="Times New Roman"/>
                <w:b/>
                <w:bCs/>
                <w:noProof/>
                <w:sz w:val="20"/>
                <w:szCs w:val="20"/>
              </w:rPr>
            </w:pPr>
            <w:r w:rsidRPr="00F43FC8">
              <w:rPr>
                <w:rFonts w:ascii="Times New Roman" w:hAnsi="Times New Roman"/>
                <w:b/>
                <w:bCs/>
                <w:noProof/>
                <w:sz w:val="20"/>
                <w:szCs w:val="20"/>
              </w:rPr>
              <w:t>2019</w:t>
            </w:r>
          </w:p>
        </w:tc>
        <w:tc>
          <w:tcPr>
            <w:tcW w:w="367" w:type="pct"/>
            <w:tcBorders>
              <w:top w:val="double" w:sz="4" w:space="0" w:color="auto"/>
              <w:left w:val="nil"/>
              <w:bottom w:val="double" w:sz="4" w:space="0" w:color="auto"/>
              <w:right w:val="double" w:sz="4" w:space="0" w:color="auto"/>
            </w:tcBorders>
            <w:vAlign w:val="center"/>
          </w:tcPr>
          <w:p w14:paraId="2392587B" w14:textId="77777777" w:rsidR="00AE5BE3" w:rsidRPr="00DA11F1" w:rsidRDefault="00AE5BE3" w:rsidP="00CC361B">
            <w:pPr>
              <w:spacing w:after="0"/>
              <w:jc w:val="center"/>
              <w:rPr>
                <w:rFonts w:ascii="Times New Roman" w:hAnsi="Times New Roman"/>
                <w:b/>
                <w:bCs/>
                <w:noProof/>
                <w:sz w:val="20"/>
                <w:szCs w:val="20"/>
              </w:rPr>
            </w:pPr>
            <w:r w:rsidRPr="00F43FC8">
              <w:rPr>
                <w:rFonts w:ascii="Times New Roman" w:hAnsi="Times New Roman"/>
                <w:b/>
                <w:bCs/>
                <w:noProof/>
                <w:sz w:val="20"/>
                <w:szCs w:val="20"/>
              </w:rPr>
              <w:t>2020</w:t>
            </w:r>
          </w:p>
        </w:tc>
        <w:tc>
          <w:tcPr>
            <w:tcW w:w="366" w:type="pct"/>
            <w:tcBorders>
              <w:top w:val="double" w:sz="4" w:space="0" w:color="auto"/>
              <w:left w:val="nil"/>
              <w:bottom w:val="double" w:sz="4" w:space="0" w:color="auto"/>
              <w:right w:val="double" w:sz="4" w:space="0" w:color="auto"/>
            </w:tcBorders>
            <w:vAlign w:val="center"/>
          </w:tcPr>
          <w:p w14:paraId="40593EBA" w14:textId="77777777" w:rsidR="00AE5BE3" w:rsidRPr="00DA11F1" w:rsidRDefault="00AE5BE3" w:rsidP="00CC361B">
            <w:pPr>
              <w:spacing w:after="0"/>
              <w:jc w:val="center"/>
              <w:rPr>
                <w:rFonts w:ascii="Times New Roman" w:hAnsi="Times New Roman"/>
                <w:b/>
                <w:bCs/>
                <w:noProof/>
                <w:sz w:val="20"/>
                <w:szCs w:val="20"/>
              </w:rPr>
            </w:pPr>
            <w:r w:rsidRPr="00F43FC8">
              <w:rPr>
                <w:rFonts w:ascii="Times New Roman" w:hAnsi="Times New Roman"/>
                <w:b/>
                <w:bCs/>
                <w:noProof/>
                <w:sz w:val="20"/>
                <w:szCs w:val="20"/>
              </w:rPr>
              <w:t>2021</w:t>
            </w:r>
          </w:p>
        </w:tc>
      </w:tr>
      <w:tr w:rsidR="00AE5BE3" w:rsidRPr="00DA11F1" w14:paraId="55BB0C6F" w14:textId="77777777" w:rsidTr="00115ADC">
        <w:trPr>
          <w:trHeight w:val="748"/>
        </w:trPr>
        <w:tc>
          <w:tcPr>
            <w:tcW w:w="117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2BEB36B6" w14:textId="525CED53" w:rsidR="00AE5BE3" w:rsidRPr="00DA11F1" w:rsidRDefault="00AE5BE3" w:rsidP="00CC361B">
            <w:pPr>
              <w:spacing w:after="0"/>
              <w:jc w:val="center"/>
              <w:rPr>
                <w:rFonts w:ascii="Times New Roman" w:hAnsi="Times New Roman"/>
                <w:noProof/>
                <w:color w:val="FF0000"/>
                <w:sz w:val="20"/>
                <w:szCs w:val="20"/>
              </w:rPr>
            </w:pPr>
            <w:r>
              <w:rPr>
                <w:rFonts w:ascii="Times New Roman" w:hAnsi="Times New Roman"/>
                <w:b/>
                <w:bCs/>
                <w:noProof/>
                <w:color w:val="000000"/>
                <w:sz w:val="20"/>
                <w:szCs w:val="20"/>
              </w:rPr>
              <w:t>Émissions vérifiées (en millions de tonnes équivalent CO</w:t>
            </w:r>
            <w:r w:rsidRPr="00F43FC8">
              <w:rPr>
                <w:rFonts w:ascii="Times New Roman" w:hAnsi="Times New Roman"/>
                <w:b/>
                <w:bCs/>
                <w:noProof/>
                <w:color w:val="000000"/>
                <w:sz w:val="20"/>
                <w:szCs w:val="20"/>
                <w:vertAlign w:val="subscript"/>
              </w:rPr>
              <w:t>2</w:t>
            </w:r>
            <w:r>
              <w:rPr>
                <w:rFonts w:ascii="Times New Roman" w:hAnsi="Times New Roman"/>
                <w:b/>
                <w:bCs/>
                <w:noProof/>
                <w:color w:val="000000"/>
                <w:sz w:val="20"/>
                <w:szCs w:val="20"/>
              </w:rPr>
              <w:t>)</w:t>
            </w:r>
          </w:p>
        </w:tc>
        <w:tc>
          <w:tcPr>
            <w:tcW w:w="468" w:type="pct"/>
            <w:tcBorders>
              <w:top w:val="double" w:sz="4" w:space="0" w:color="auto"/>
              <w:left w:val="nil"/>
              <w:bottom w:val="double" w:sz="4" w:space="0" w:color="auto"/>
              <w:right w:val="double" w:sz="4" w:space="0" w:color="auto"/>
            </w:tcBorders>
            <w:vAlign w:val="center"/>
          </w:tcPr>
          <w:p w14:paraId="799EA959" w14:textId="77777777" w:rsidR="00AE5BE3" w:rsidRPr="00DA11F1" w:rsidRDefault="00AE5BE3" w:rsidP="00CC361B">
            <w:pPr>
              <w:spacing w:after="0"/>
              <w:jc w:val="center"/>
              <w:rPr>
                <w:rFonts w:ascii="Times New Roman" w:hAnsi="Times New Roman"/>
                <w:noProof/>
                <w:color w:val="000000"/>
                <w:sz w:val="20"/>
                <w:szCs w:val="20"/>
              </w:rPr>
            </w:pPr>
            <w:r w:rsidRPr="00F43FC8">
              <w:rPr>
                <w:rFonts w:ascii="Times New Roman" w:hAnsi="Times New Roman"/>
                <w:noProof/>
                <w:color w:val="000000"/>
                <w:sz w:val="20"/>
                <w:szCs w:val="20"/>
              </w:rPr>
              <w:t>84</w:t>
            </w:r>
          </w:p>
        </w:tc>
        <w:tc>
          <w:tcPr>
            <w:tcW w:w="39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56D3B53D" w14:textId="77777777" w:rsidR="00AE5BE3" w:rsidRPr="00DA11F1" w:rsidRDefault="00AE5BE3" w:rsidP="00CC361B">
            <w:pPr>
              <w:spacing w:after="0"/>
              <w:jc w:val="center"/>
              <w:rPr>
                <w:rFonts w:ascii="Times New Roman" w:hAnsi="Times New Roman"/>
                <w:noProof/>
                <w:color w:val="000000"/>
                <w:sz w:val="20"/>
                <w:szCs w:val="20"/>
              </w:rPr>
            </w:pPr>
            <w:r w:rsidRPr="00F43FC8">
              <w:rPr>
                <w:rFonts w:ascii="Times New Roman" w:hAnsi="Times New Roman"/>
                <w:noProof/>
                <w:color w:val="000000"/>
                <w:sz w:val="20"/>
                <w:szCs w:val="20"/>
              </w:rPr>
              <w:t>53</w:t>
            </w:r>
            <w:r>
              <w:rPr>
                <w:rFonts w:ascii="Times New Roman" w:hAnsi="Times New Roman"/>
                <w:noProof/>
                <w:color w:val="000000"/>
                <w:sz w:val="20"/>
                <w:szCs w:val="20"/>
              </w:rPr>
              <w:t>,</w:t>
            </w:r>
            <w:r w:rsidRPr="00F43FC8">
              <w:rPr>
                <w:rFonts w:ascii="Times New Roman" w:hAnsi="Times New Roman"/>
                <w:noProof/>
                <w:color w:val="000000"/>
                <w:sz w:val="20"/>
                <w:szCs w:val="20"/>
              </w:rPr>
              <w:t>5</w:t>
            </w:r>
          </w:p>
        </w:tc>
        <w:tc>
          <w:tcPr>
            <w:tcW w:w="390"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12DCD362" w14:textId="77777777" w:rsidR="00AE5BE3" w:rsidRPr="00DA11F1" w:rsidRDefault="00AE5BE3" w:rsidP="00CC361B">
            <w:pPr>
              <w:spacing w:after="0"/>
              <w:jc w:val="center"/>
              <w:rPr>
                <w:rFonts w:ascii="Times New Roman" w:hAnsi="Times New Roman"/>
                <w:noProof/>
                <w:color w:val="000000"/>
                <w:sz w:val="20"/>
                <w:szCs w:val="20"/>
              </w:rPr>
            </w:pPr>
            <w:r w:rsidRPr="00F43FC8">
              <w:rPr>
                <w:rFonts w:ascii="Times New Roman" w:hAnsi="Times New Roman"/>
                <w:noProof/>
                <w:color w:val="000000"/>
                <w:sz w:val="20"/>
                <w:szCs w:val="20"/>
              </w:rPr>
              <w:t>54</w:t>
            </w:r>
            <w:r>
              <w:rPr>
                <w:rFonts w:ascii="Times New Roman" w:hAnsi="Times New Roman"/>
                <w:noProof/>
                <w:color w:val="000000"/>
                <w:sz w:val="20"/>
                <w:szCs w:val="20"/>
              </w:rPr>
              <w:t>,</w:t>
            </w:r>
            <w:r w:rsidRPr="00F43FC8">
              <w:rPr>
                <w:rFonts w:ascii="Times New Roman" w:hAnsi="Times New Roman"/>
                <w:noProof/>
                <w:color w:val="000000"/>
                <w:sz w:val="20"/>
                <w:szCs w:val="20"/>
              </w:rPr>
              <w:t>8</w:t>
            </w:r>
          </w:p>
        </w:tc>
        <w:tc>
          <w:tcPr>
            <w:tcW w:w="389"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3CA6117F" w14:textId="77777777" w:rsidR="00AE5BE3" w:rsidRPr="00DA11F1" w:rsidRDefault="00AE5BE3" w:rsidP="00CC361B">
            <w:pPr>
              <w:spacing w:after="0"/>
              <w:jc w:val="center"/>
              <w:rPr>
                <w:rFonts w:ascii="Times New Roman" w:hAnsi="Times New Roman"/>
                <w:noProof/>
                <w:color w:val="000000"/>
                <w:sz w:val="20"/>
                <w:szCs w:val="20"/>
              </w:rPr>
            </w:pPr>
            <w:r w:rsidRPr="00F43FC8">
              <w:rPr>
                <w:rFonts w:ascii="Times New Roman" w:hAnsi="Times New Roman"/>
                <w:noProof/>
                <w:color w:val="000000"/>
                <w:sz w:val="20"/>
                <w:szCs w:val="20"/>
              </w:rPr>
              <w:t>57</w:t>
            </w:r>
            <w:r>
              <w:rPr>
                <w:rFonts w:ascii="Times New Roman" w:hAnsi="Times New Roman"/>
                <w:noProof/>
                <w:color w:val="000000"/>
                <w:sz w:val="20"/>
                <w:szCs w:val="20"/>
              </w:rPr>
              <w:t>,</w:t>
            </w:r>
            <w:r w:rsidRPr="00F43FC8">
              <w:rPr>
                <w:rFonts w:ascii="Times New Roman" w:hAnsi="Times New Roman"/>
                <w:noProof/>
                <w:color w:val="000000"/>
                <w:sz w:val="20"/>
                <w:szCs w:val="20"/>
              </w:rPr>
              <w:t>1</w:t>
            </w:r>
          </w:p>
        </w:tc>
        <w:tc>
          <w:tcPr>
            <w:tcW w:w="391"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49FA0622" w14:textId="77777777" w:rsidR="00AE5BE3" w:rsidRPr="00DA11F1" w:rsidRDefault="00AE5BE3" w:rsidP="00CC361B">
            <w:pPr>
              <w:spacing w:after="0"/>
              <w:jc w:val="center"/>
              <w:rPr>
                <w:rFonts w:ascii="Times New Roman" w:hAnsi="Times New Roman"/>
                <w:noProof/>
                <w:color w:val="000000"/>
                <w:sz w:val="20"/>
                <w:szCs w:val="20"/>
              </w:rPr>
            </w:pPr>
            <w:r w:rsidRPr="00F43FC8">
              <w:rPr>
                <w:rFonts w:ascii="Times New Roman" w:hAnsi="Times New Roman"/>
                <w:noProof/>
                <w:color w:val="000000"/>
                <w:sz w:val="20"/>
                <w:szCs w:val="20"/>
              </w:rPr>
              <w:t>61</w:t>
            </w:r>
            <w:r>
              <w:rPr>
                <w:rFonts w:ascii="Times New Roman" w:hAnsi="Times New Roman"/>
                <w:noProof/>
                <w:color w:val="000000"/>
                <w:sz w:val="20"/>
                <w:szCs w:val="20"/>
              </w:rPr>
              <w:t>,</w:t>
            </w:r>
            <w:r w:rsidRPr="00F43FC8">
              <w:rPr>
                <w:rFonts w:ascii="Times New Roman" w:hAnsi="Times New Roman"/>
                <w:noProof/>
                <w:color w:val="000000"/>
                <w:sz w:val="20"/>
                <w:szCs w:val="20"/>
              </w:rPr>
              <w:t>5</w:t>
            </w:r>
          </w:p>
        </w:tc>
        <w:tc>
          <w:tcPr>
            <w:tcW w:w="331" w:type="pct"/>
            <w:tcBorders>
              <w:top w:val="nil"/>
              <w:left w:val="nil"/>
              <w:bottom w:val="double" w:sz="4" w:space="0" w:color="auto"/>
              <w:right w:val="double" w:sz="4" w:space="0" w:color="auto"/>
            </w:tcBorders>
            <w:vAlign w:val="center"/>
          </w:tcPr>
          <w:p w14:paraId="17CA2DC1" w14:textId="77777777" w:rsidR="00AE5BE3" w:rsidRPr="00DA11F1" w:rsidRDefault="00AE5BE3" w:rsidP="00CC361B">
            <w:pPr>
              <w:spacing w:after="0"/>
              <w:jc w:val="center"/>
              <w:rPr>
                <w:rFonts w:ascii="Times New Roman" w:hAnsi="Times New Roman"/>
                <w:noProof/>
                <w:color w:val="000000"/>
                <w:sz w:val="20"/>
                <w:szCs w:val="20"/>
              </w:rPr>
            </w:pPr>
            <w:r w:rsidRPr="00F43FC8">
              <w:rPr>
                <w:rFonts w:ascii="Times New Roman" w:hAnsi="Times New Roman"/>
                <w:noProof/>
                <w:color w:val="000000"/>
                <w:sz w:val="20"/>
                <w:szCs w:val="20"/>
              </w:rPr>
              <w:t>64</w:t>
            </w:r>
            <w:r>
              <w:rPr>
                <w:rFonts w:ascii="Times New Roman" w:hAnsi="Times New Roman"/>
                <w:noProof/>
                <w:color w:val="000000"/>
                <w:sz w:val="20"/>
                <w:szCs w:val="20"/>
              </w:rPr>
              <w:t>,</w:t>
            </w:r>
            <w:r w:rsidRPr="00F43FC8">
              <w:rPr>
                <w:rFonts w:ascii="Times New Roman" w:hAnsi="Times New Roman"/>
                <w:noProof/>
                <w:color w:val="000000"/>
                <w:sz w:val="20"/>
                <w:szCs w:val="20"/>
              </w:rPr>
              <w:t>4</w:t>
            </w:r>
          </w:p>
        </w:tc>
        <w:tc>
          <w:tcPr>
            <w:tcW w:w="368" w:type="pct"/>
            <w:tcBorders>
              <w:top w:val="nil"/>
              <w:left w:val="nil"/>
              <w:bottom w:val="double" w:sz="4" w:space="0" w:color="auto"/>
              <w:right w:val="double" w:sz="4" w:space="0" w:color="auto"/>
            </w:tcBorders>
            <w:vAlign w:val="center"/>
          </w:tcPr>
          <w:p w14:paraId="424A1211" w14:textId="77777777" w:rsidR="00AE5BE3" w:rsidRPr="00DA11F1" w:rsidRDefault="00AE5BE3" w:rsidP="00CC361B">
            <w:pPr>
              <w:spacing w:after="0"/>
              <w:jc w:val="center"/>
              <w:rPr>
                <w:rFonts w:ascii="Times New Roman" w:hAnsi="Times New Roman"/>
                <w:noProof/>
                <w:color w:val="000000"/>
                <w:sz w:val="20"/>
                <w:szCs w:val="20"/>
              </w:rPr>
            </w:pPr>
            <w:r w:rsidRPr="00F43FC8">
              <w:rPr>
                <w:rFonts w:ascii="Times New Roman" w:hAnsi="Times New Roman"/>
                <w:noProof/>
                <w:color w:val="000000"/>
                <w:sz w:val="20"/>
                <w:szCs w:val="20"/>
              </w:rPr>
              <w:t>67</w:t>
            </w:r>
            <w:r>
              <w:rPr>
                <w:rFonts w:ascii="Times New Roman" w:hAnsi="Times New Roman"/>
                <w:noProof/>
                <w:color w:val="000000"/>
                <w:sz w:val="20"/>
                <w:szCs w:val="20"/>
              </w:rPr>
              <w:t>,</w:t>
            </w:r>
            <w:r w:rsidRPr="00F43FC8">
              <w:rPr>
                <w:rFonts w:ascii="Times New Roman" w:hAnsi="Times New Roman"/>
                <w:noProof/>
                <w:color w:val="000000"/>
                <w:sz w:val="20"/>
                <w:szCs w:val="20"/>
              </w:rPr>
              <w:t>5</w:t>
            </w:r>
          </w:p>
        </w:tc>
        <w:tc>
          <w:tcPr>
            <w:tcW w:w="369" w:type="pct"/>
            <w:tcBorders>
              <w:top w:val="nil"/>
              <w:left w:val="nil"/>
              <w:bottom w:val="double" w:sz="4" w:space="0" w:color="auto"/>
              <w:right w:val="double" w:sz="4" w:space="0" w:color="auto"/>
            </w:tcBorders>
            <w:vAlign w:val="center"/>
          </w:tcPr>
          <w:p w14:paraId="2EA3DE8F" w14:textId="77777777" w:rsidR="00AE5BE3" w:rsidRPr="00DA11F1" w:rsidRDefault="00AE5BE3" w:rsidP="00CC361B">
            <w:pPr>
              <w:spacing w:after="0"/>
              <w:jc w:val="center"/>
              <w:rPr>
                <w:rFonts w:ascii="Times New Roman" w:hAnsi="Times New Roman"/>
                <w:noProof/>
                <w:color w:val="000000"/>
                <w:sz w:val="20"/>
                <w:szCs w:val="20"/>
              </w:rPr>
            </w:pPr>
            <w:r w:rsidRPr="00F43FC8">
              <w:rPr>
                <w:rFonts w:ascii="Times New Roman" w:hAnsi="Times New Roman"/>
                <w:noProof/>
                <w:color w:val="000000"/>
                <w:sz w:val="20"/>
                <w:szCs w:val="20"/>
              </w:rPr>
              <w:t>68</w:t>
            </w:r>
            <w:r>
              <w:rPr>
                <w:rFonts w:ascii="Times New Roman" w:hAnsi="Times New Roman"/>
                <w:noProof/>
                <w:color w:val="000000"/>
                <w:sz w:val="20"/>
                <w:szCs w:val="20"/>
              </w:rPr>
              <w:t>,</w:t>
            </w:r>
            <w:r w:rsidRPr="00F43FC8">
              <w:rPr>
                <w:rFonts w:ascii="Times New Roman" w:hAnsi="Times New Roman"/>
                <w:noProof/>
                <w:color w:val="000000"/>
                <w:sz w:val="20"/>
                <w:szCs w:val="20"/>
              </w:rPr>
              <w:t>2</w:t>
            </w:r>
          </w:p>
        </w:tc>
        <w:tc>
          <w:tcPr>
            <w:tcW w:w="367" w:type="pct"/>
            <w:tcBorders>
              <w:top w:val="nil"/>
              <w:left w:val="nil"/>
              <w:bottom w:val="double" w:sz="4" w:space="0" w:color="auto"/>
              <w:right w:val="double" w:sz="4" w:space="0" w:color="auto"/>
            </w:tcBorders>
            <w:vAlign w:val="center"/>
          </w:tcPr>
          <w:p w14:paraId="5F9DD942" w14:textId="77777777" w:rsidR="00AE5BE3" w:rsidRPr="00DA11F1" w:rsidRDefault="00AE5BE3" w:rsidP="00CC361B">
            <w:pPr>
              <w:spacing w:after="0"/>
              <w:jc w:val="center"/>
              <w:rPr>
                <w:rFonts w:ascii="Times New Roman" w:hAnsi="Times New Roman"/>
                <w:noProof/>
                <w:color w:val="000000"/>
                <w:sz w:val="20"/>
                <w:szCs w:val="20"/>
              </w:rPr>
            </w:pPr>
            <w:r w:rsidRPr="00F43FC8">
              <w:rPr>
                <w:rFonts w:ascii="Times New Roman" w:hAnsi="Times New Roman"/>
                <w:noProof/>
                <w:color w:val="000000"/>
                <w:sz w:val="20"/>
                <w:szCs w:val="20"/>
              </w:rPr>
              <w:t>25</w:t>
            </w:r>
            <w:r>
              <w:rPr>
                <w:rFonts w:ascii="Times New Roman" w:hAnsi="Times New Roman"/>
                <w:noProof/>
                <w:color w:val="000000"/>
                <w:sz w:val="20"/>
                <w:szCs w:val="20"/>
              </w:rPr>
              <w:t>,</w:t>
            </w:r>
            <w:r w:rsidRPr="00F43FC8">
              <w:rPr>
                <w:rFonts w:ascii="Times New Roman" w:hAnsi="Times New Roman"/>
                <w:noProof/>
                <w:color w:val="000000"/>
                <w:sz w:val="20"/>
                <w:szCs w:val="20"/>
              </w:rPr>
              <w:t>2</w:t>
            </w:r>
            <w:r w:rsidRPr="00DA11F1">
              <w:rPr>
                <w:rStyle w:val="FootnoteReference"/>
                <w:rFonts w:ascii="Times New Roman" w:hAnsi="Times New Roman"/>
                <w:noProof/>
                <w:color w:val="000000"/>
                <w:sz w:val="20"/>
                <w:szCs w:val="20"/>
                <w:lang w:eastAsia="en-GB"/>
              </w:rPr>
              <w:footnoteReference w:id="79"/>
            </w:r>
          </w:p>
        </w:tc>
        <w:tc>
          <w:tcPr>
            <w:tcW w:w="366" w:type="pct"/>
            <w:tcBorders>
              <w:top w:val="nil"/>
              <w:left w:val="nil"/>
              <w:bottom w:val="double" w:sz="4" w:space="0" w:color="auto"/>
              <w:right w:val="double" w:sz="4" w:space="0" w:color="auto"/>
            </w:tcBorders>
            <w:vAlign w:val="center"/>
          </w:tcPr>
          <w:p w14:paraId="45A4937D" w14:textId="77777777" w:rsidR="00AE5BE3" w:rsidRPr="00DA11F1" w:rsidRDefault="00AE5BE3" w:rsidP="00CC361B">
            <w:pPr>
              <w:spacing w:after="0"/>
              <w:jc w:val="center"/>
              <w:rPr>
                <w:rFonts w:ascii="Times New Roman" w:hAnsi="Times New Roman"/>
                <w:noProof/>
                <w:color w:val="000000"/>
                <w:sz w:val="20"/>
                <w:szCs w:val="20"/>
                <w:lang w:eastAsia="en-GB"/>
              </w:rPr>
            </w:pPr>
          </w:p>
        </w:tc>
      </w:tr>
      <w:tr w:rsidR="00AE5BE3" w:rsidRPr="00DA11F1" w14:paraId="1F13CDEA" w14:textId="77777777" w:rsidTr="00115ADC">
        <w:trPr>
          <w:trHeight w:val="758"/>
        </w:trPr>
        <w:tc>
          <w:tcPr>
            <w:tcW w:w="117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03D8D8FE" w14:textId="1F501F1B" w:rsidR="00AE5BE3" w:rsidRPr="00DA11F1" w:rsidRDefault="00AE5BE3" w:rsidP="00CC361B">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Évolution des émissions vérifiées par rapport à l’année x-</w:t>
            </w:r>
            <w:r w:rsidRPr="00F43FC8">
              <w:rPr>
                <w:rFonts w:ascii="Times New Roman" w:hAnsi="Times New Roman"/>
                <w:b/>
                <w:bCs/>
                <w:noProof/>
                <w:color w:val="000000"/>
                <w:sz w:val="20"/>
                <w:szCs w:val="20"/>
              </w:rPr>
              <w:t>1</w:t>
            </w:r>
          </w:p>
        </w:tc>
        <w:tc>
          <w:tcPr>
            <w:tcW w:w="468" w:type="pct"/>
            <w:tcBorders>
              <w:top w:val="double" w:sz="4" w:space="0" w:color="auto"/>
              <w:left w:val="nil"/>
              <w:bottom w:val="double" w:sz="4" w:space="0" w:color="auto"/>
              <w:right w:val="double" w:sz="4" w:space="0" w:color="auto"/>
            </w:tcBorders>
            <w:vAlign w:val="center"/>
          </w:tcPr>
          <w:p w14:paraId="31093382" w14:textId="77777777" w:rsidR="00AE5BE3" w:rsidRPr="00DA11F1" w:rsidRDefault="00AE5BE3" w:rsidP="00CC361B">
            <w:pPr>
              <w:spacing w:after="0"/>
              <w:jc w:val="center"/>
              <w:rPr>
                <w:rFonts w:ascii="Times New Roman" w:hAnsi="Times New Roman"/>
                <w:noProof/>
                <w:color w:val="000000"/>
                <w:sz w:val="20"/>
                <w:szCs w:val="20"/>
                <w:lang w:eastAsia="en-GB"/>
              </w:rPr>
            </w:pPr>
          </w:p>
        </w:tc>
        <w:tc>
          <w:tcPr>
            <w:tcW w:w="39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4909D4A6"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w:t>
            </w:r>
            <w:r w:rsidRPr="00DA11F1">
              <w:rPr>
                <w:rStyle w:val="FootnoteReference"/>
                <w:rFonts w:ascii="Times New Roman" w:hAnsi="Times New Roman"/>
                <w:noProof/>
                <w:color w:val="000000"/>
                <w:sz w:val="20"/>
                <w:szCs w:val="20"/>
                <w:lang w:eastAsia="en-GB"/>
              </w:rPr>
              <w:footnoteReference w:id="80"/>
            </w:r>
          </w:p>
        </w:tc>
        <w:tc>
          <w:tcPr>
            <w:tcW w:w="390"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192FB6A7" w14:textId="77777777" w:rsidR="00AE5BE3" w:rsidRPr="00DA11F1" w:rsidRDefault="00AE5BE3" w:rsidP="00CC361B">
            <w:pPr>
              <w:spacing w:after="0"/>
              <w:jc w:val="center"/>
              <w:rPr>
                <w:rFonts w:ascii="Times New Roman" w:hAnsi="Times New Roman"/>
                <w:noProof/>
                <w:color w:val="000000"/>
                <w:sz w:val="20"/>
                <w:szCs w:val="20"/>
              </w:rPr>
            </w:pPr>
            <w:r w:rsidRPr="00F43FC8">
              <w:rPr>
                <w:rFonts w:ascii="Times New Roman" w:hAnsi="Times New Roman"/>
                <w:noProof/>
                <w:color w:val="000000"/>
                <w:sz w:val="20"/>
                <w:szCs w:val="20"/>
              </w:rPr>
              <w:t>2</w:t>
            </w:r>
            <w:r>
              <w:rPr>
                <w:rFonts w:ascii="Times New Roman" w:hAnsi="Times New Roman"/>
                <w:noProof/>
                <w:color w:val="000000"/>
                <w:sz w:val="20"/>
                <w:szCs w:val="20"/>
              </w:rPr>
              <w:t>,</w:t>
            </w:r>
            <w:r w:rsidRPr="00F43FC8">
              <w:rPr>
                <w:rFonts w:ascii="Times New Roman" w:hAnsi="Times New Roman"/>
                <w:noProof/>
                <w:color w:val="000000"/>
                <w:sz w:val="20"/>
                <w:szCs w:val="20"/>
              </w:rPr>
              <w:t>5</w:t>
            </w:r>
            <w:r>
              <w:rPr>
                <w:rFonts w:ascii="Times New Roman" w:hAnsi="Times New Roman"/>
                <w:noProof/>
                <w:color w:val="000000"/>
                <w:sz w:val="20"/>
                <w:szCs w:val="20"/>
              </w:rPr>
              <w:t> %</w:t>
            </w:r>
          </w:p>
        </w:tc>
        <w:tc>
          <w:tcPr>
            <w:tcW w:w="389"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67EF00B" w14:textId="77777777" w:rsidR="00AE5BE3" w:rsidRPr="00DA11F1" w:rsidRDefault="00AE5BE3" w:rsidP="00CC361B">
            <w:pPr>
              <w:spacing w:after="0"/>
              <w:jc w:val="center"/>
              <w:rPr>
                <w:rFonts w:ascii="Times New Roman" w:hAnsi="Times New Roman"/>
                <w:noProof/>
                <w:color w:val="000000"/>
                <w:sz w:val="20"/>
                <w:szCs w:val="20"/>
              </w:rPr>
            </w:pPr>
            <w:r w:rsidRPr="00F43FC8">
              <w:rPr>
                <w:rFonts w:ascii="Times New Roman" w:hAnsi="Times New Roman"/>
                <w:noProof/>
                <w:color w:val="000000"/>
                <w:sz w:val="20"/>
                <w:szCs w:val="20"/>
              </w:rPr>
              <w:t>4</w:t>
            </w:r>
            <w:r>
              <w:rPr>
                <w:rFonts w:ascii="Times New Roman" w:hAnsi="Times New Roman"/>
                <w:noProof/>
                <w:color w:val="000000"/>
                <w:sz w:val="20"/>
                <w:szCs w:val="20"/>
              </w:rPr>
              <w:t>,</w:t>
            </w:r>
            <w:r w:rsidRPr="00F43FC8">
              <w:rPr>
                <w:rFonts w:ascii="Times New Roman" w:hAnsi="Times New Roman"/>
                <w:noProof/>
                <w:color w:val="000000"/>
                <w:sz w:val="20"/>
                <w:szCs w:val="20"/>
              </w:rPr>
              <w:t>1</w:t>
            </w:r>
            <w:r>
              <w:rPr>
                <w:rFonts w:ascii="Times New Roman" w:hAnsi="Times New Roman"/>
                <w:noProof/>
                <w:color w:val="000000"/>
                <w:sz w:val="20"/>
                <w:szCs w:val="20"/>
              </w:rPr>
              <w:t> %</w:t>
            </w:r>
          </w:p>
        </w:tc>
        <w:tc>
          <w:tcPr>
            <w:tcW w:w="391"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ECBCBDB" w14:textId="77777777" w:rsidR="00AE5BE3" w:rsidRPr="00DA11F1" w:rsidRDefault="00AE5BE3" w:rsidP="00CC361B">
            <w:pPr>
              <w:spacing w:after="0"/>
              <w:jc w:val="center"/>
              <w:rPr>
                <w:rFonts w:ascii="Times New Roman" w:hAnsi="Times New Roman"/>
                <w:noProof/>
                <w:color w:val="000000"/>
                <w:sz w:val="20"/>
                <w:szCs w:val="20"/>
              </w:rPr>
            </w:pPr>
            <w:r w:rsidRPr="00F43FC8">
              <w:rPr>
                <w:rFonts w:ascii="Times New Roman" w:hAnsi="Times New Roman"/>
                <w:noProof/>
                <w:color w:val="000000"/>
                <w:sz w:val="20"/>
                <w:szCs w:val="20"/>
              </w:rPr>
              <w:t>7</w:t>
            </w:r>
            <w:r>
              <w:rPr>
                <w:rFonts w:ascii="Times New Roman" w:hAnsi="Times New Roman"/>
                <w:noProof/>
                <w:color w:val="000000"/>
                <w:sz w:val="20"/>
                <w:szCs w:val="20"/>
              </w:rPr>
              <w:t>,</w:t>
            </w:r>
            <w:r w:rsidRPr="00F43FC8">
              <w:rPr>
                <w:rFonts w:ascii="Times New Roman" w:hAnsi="Times New Roman"/>
                <w:noProof/>
                <w:color w:val="000000"/>
                <w:sz w:val="20"/>
                <w:szCs w:val="20"/>
              </w:rPr>
              <w:t>7</w:t>
            </w:r>
            <w:r>
              <w:rPr>
                <w:rFonts w:ascii="Times New Roman" w:hAnsi="Times New Roman"/>
                <w:noProof/>
                <w:color w:val="000000"/>
                <w:sz w:val="20"/>
                <w:szCs w:val="20"/>
              </w:rPr>
              <w:t> %</w:t>
            </w:r>
          </w:p>
        </w:tc>
        <w:tc>
          <w:tcPr>
            <w:tcW w:w="331" w:type="pct"/>
            <w:tcBorders>
              <w:top w:val="nil"/>
              <w:left w:val="nil"/>
              <w:bottom w:val="double" w:sz="4" w:space="0" w:color="auto"/>
              <w:right w:val="double" w:sz="4" w:space="0" w:color="auto"/>
            </w:tcBorders>
            <w:vAlign w:val="center"/>
          </w:tcPr>
          <w:p w14:paraId="4B58860C" w14:textId="77777777" w:rsidR="00AE5BE3" w:rsidRPr="00DA11F1" w:rsidRDefault="00AE5BE3" w:rsidP="00CC361B">
            <w:pPr>
              <w:spacing w:after="0"/>
              <w:jc w:val="center"/>
              <w:rPr>
                <w:rFonts w:ascii="Times New Roman" w:hAnsi="Times New Roman"/>
                <w:noProof/>
                <w:color w:val="000000"/>
                <w:sz w:val="20"/>
                <w:szCs w:val="20"/>
              </w:rPr>
            </w:pPr>
            <w:r w:rsidRPr="00F43FC8">
              <w:rPr>
                <w:rFonts w:ascii="Times New Roman" w:hAnsi="Times New Roman"/>
                <w:noProof/>
                <w:color w:val="000000"/>
                <w:sz w:val="20"/>
                <w:szCs w:val="20"/>
              </w:rPr>
              <w:t>4</w:t>
            </w:r>
            <w:r>
              <w:rPr>
                <w:rFonts w:ascii="Times New Roman" w:hAnsi="Times New Roman"/>
                <w:noProof/>
                <w:color w:val="000000"/>
                <w:sz w:val="20"/>
                <w:szCs w:val="20"/>
              </w:rPr>
              <w:t>,</w:t>
            </w:r>
            <w:r w:rsidRPr="00F43FC8">
              <w:rPr>
                <w:rFonts w:ascii="Times New Roman" w:hAnsi="Times New Roman"/>
                <w:noProof/>
                <w:color w:val="000000"/>
                <w:sz w:val="20"/>
                <w:szCs w:val="20"/>
              </w:rPr>
              <w:t>8</w:t>
            </w:r>
            <w:r>
              <w:rPr>
                <w:rFonts w:ascii="Times New Roman" w:hAnsi="Times New Roman"/>
                <w:noProof/>
                <w:color w:val="000000"/>
                <w:sz w:val="20"/>
                <w:szCs w:val="20"/>
              </w:rPr>
              <w:t> %</w:t>
            </w:r>
          </w:p>
        </w:tc>
        <w:tc>
          <w:tcPr>
            <w:tcW w:w="368" w:type="pct"/>
            <w:tcBorders>
              <w:top w:val="nil"/>
              <w:left w:val="nil"/>
              <w:bottom w:val="double" w:sz="4" w:space="0" w:color="auto"/>
              <w:right w:val="double" w:sz="4" w:space="0" w:color="auto"/>
            </w:tcBorders>
            <w:vAlign w:val="center"/>
          </w:tcPr>
          <w:p w14:paraId="1E1B4D02" w14:textId="77777777" w:rsidR="00AE5BE3" w:rsidRPr="00DA11F1" w:rsidRDefault="00AE5BE3" w:rsidP="00CC361B">
            <w:pPr>
              <w:spacing w:after="0"/>
              <w:jc w:val="center"/>
              <w:rPr>
                <w:rFonts w:ascii="Times New Roman" w:hAnsi="Times New Roman"/>
                <w:noProof/>
                <w:color w:val="000000"/>
                <w:sz w:val="20"/>
                <w:szCs w:val="20"/>
              </w:rPr>
            </w:pPr>
            <w:r w:rsidRPr="00F43FC8">
              <w:rPr>
                <w:rFonts w:ascii="Times New Roman" w:hAnsi="Times New Roman"/>
                <w:noProof/>
                <w:color w:val="000000"/>
                <w:sz w:val="20"/>
                <w:szCs w:val="20"/>
              </w:rPr>
              <w:t>4</w:t>
            </w:r>
            <w:r>
              <w:rPr>
                <w:rFonts w:ascii="Times New Roman" w:hAnsi="Times New Roman"/>
                <w:noProof/>
                <w:color w:val="000000"/>
                <w:sz w:val="20"/>
                <w:szCs w:val="20"/>
              </w:rPr>
              <w:t>,</w:t>
            </w:r>
            <w:r w:rsidRPr="00F43FC8">
              <w:rPr>
                <w:rFonts w:ascii="Times New Roman" w:hAnsi="Times New Roman"/>
                <w:noProof/>
                <w:color w:val="000000"/>
                <w:sz w:val="20"/>
                <w:szCs w:val="20"/>
              </w:rPr>
              <w:t>8</w:t>
            </w:r>
            <w:r>
              <w:rPr>
                <w:rFonts w:ascii="Times New Roman" w:hAnsi="Times New Roman"/>
                <w:noProof/>
                <w:color w:val="000000"/>
                <w:sz w:val="20"/>
                <w:szCs w:val="20"/>
              </w:rPr>
              <w:t> %</w:t>
            </w:r>
          </w:p>
        </w:tc>
        <w:tc>
          <w:tcPr>
            <w:tcW w:w="369" w:type="pct"/>
            <w:tcBorders>
              <w:top w:val="nil"/>
              <w:left w:val="nil"/>
              <w:bottom w:val="double" w:sz="4" w:space="0" w:color="auto"/>
              <w:right w:val="double" w:sz="4" w:space="0" w:color="auto"/>
            </w:tcBorders>
            <w:vAlign w:val="center"/>
          </w:tcPr>
          <w:p w14:paraId="1866069E" w14:textId="77777777" w:rsidR="00AE5BE3" w:rsidRPr="00DA11F1" w:rsidRDefault="00AE5BE3" w:rsidP="00CC361B">
            <w:pPr>
              <w:spacing w:after="0"/>
              <w:jc w:val="center"/>
              <w:rPr>
                <w:rFonts w:ascii="Times New Roman" w:hAnsi="Times New Roman"/>
                <w:noProof/>
                <w:color w:val="000000"/>
                <w:sz w:val="20"/>
                <w:szCs w:val="20"/>
              </w:rPr>
            </w:pPr>
            <w:r w:rsidRPr="00F43FC8">
              <w:rPr>
                <w:rFonts w:ascii="Times New Roman" w:hAnsi="Times New Roman"/>
                <w:noProof/>
                <w:color w:val="000000"/>
                <w:sz w:val="20"/>
                <w:szCs w:val="20"/>
              </w:rPr>
              <w:t>1</w:t>
            </w:r>
            <w:r>
              <w:rPr>
                <w:rFonts w:ascii="Times New Roman" w:hAnsi="Times New Roman"/>
                <w:noProof/>
                <w:color w:val="000000"/>
                <w:sz w:val="20"/>
                <w:szCs w:val="20"/>
              </w:rPr>
              <w:t> %</w:t>
            </w:r>
          </w:p>
        </w:tc>
        <w:tc>
          <w:tcPr>
            <w:tcW w:w="367" w:type="pct"/>
            <w:tcBorders>
              <w:top w:val="nil"/>
              <w:left w:val="nil"/>
              <w:bottom w:val="double" w:sz="4" w:space="0" w:color="auto"/>
              <w:right w:val="double" w:sz="4" w:space="0" w:color="auto"/>
            </w:tcBorders>
            <w:vAlign w:val="center"/>
          </w:tcPr>
          <w:p w14:paraId="1D189A6A"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w:t>
            </w:r>
            <w:r w:rsidRPr="00F43FC8">
              <w:rPr>
                <w:rFonts w:ascii="Times New Roman" w:hAnsi="Times New Roman"/>
                <w:noProof/>
                <w:color w:val="000000"/>
                <w:sz w:val="20"/>
                <w:szCs w:val="20"/>
              </w:rPr>
              <w:t>63</w:t>
            </w:r>
            <w:r>
              <w:rPr>
                <w:rFonts w:ascii="Times New Roman" w:hAnsi="Times New Roman"/>
                <w:noProof/>
                <w:color w:val="000000"/>
                <w:sz w:val="20"/>
                <w:szCs w:val="20"/>
              </w:rPr>
              <w:t> %</w:t>
            </w:r>
          </w:p>
        </w:tc>
        <w:tc>
          <w:tcPr>
            <w:tcW w:w="366" w:type="pct"/>
            <w:tcBorders>
              <w:top w:val="nil"/>
              <w:left w:val="nil"/>
              <w:bottom w:val="double" w:sz="4" w:space="0" w:color="auto"/>
              <w:right w:val="double" w:sz="4" w:space="0" w:color="auto"/>
            </w:tcBorders>
            <w:vAlign w:val="center"/>
          </w:tcPr>
          <w:p w14:paraId="53E8A521" w14:textId="77777777" w:rsidR="00AE5BE3" w:rsidRPr="00DA11F1" w:rsidRDefault="00AE5BE3" w:rsidP="00CC361B">
            <w:pPr>
              <w:spacing w:after="0"/>
              <w:jc w:val="center"/>
              <w:rPr>
                <w:rFonts w:ascii="Times New Roman" w:hAnsi="Times New Roman"/>
                <w:noProof/>
                <w:color w:val="000000"/>
                <w:sz w:val="20"/>
                <w:szCs w:val="20"/>
                <w:lang w:eastAsia="en-GB"/>
              </w:rPr>
            </w:pPr>
          </w:p>
        </w:tc>
      </w:tr>
      <w:tr w:rsidR="00AE5BE3" w:rsidRPr="00DA11F1" w14:paraId="598781E5" w14:textId="77777777" w:rsidTr="00115ADC">
        <w:trPr>
          <w:trHeight w:val="758"/>
        </w:trPr>
        <w:tc>
          <w:tcPr>
            <w:tcW w:w="117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55CF4533" w14:textId="08F268DD" w:rsidR="00AE5BE3" w:rsidRPr="00DA11F1" w:rsidRDefault="00AE5BE3" w:rsidP="00CC361B">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Allocation à titre gratuit (EU-</w:t>
            </w:r>
            <w:r w:rsidRPr="00F43FC8">
              <w:rPr>
                <w:rFonts w:ascii="Times New Roman" w:hAnsi="Times New Roman"/>
                <w:b/>
                <w:bCs/>
                <w:noProof/>
                <w:color w:val="000000"/>
                <w:sz w:val="20"/>
                <w:szCs w:val="20"/>
              </w:rPr>
              <w:t>27</w:t>
            </w:r>
            <w:r>
              <w:rPr>
                <w:rFonts w:ascii="Times New Roman" w:hAnsi="Times New Roman"/>
                <w:b/>
                <w:bCs/>
                <w:noProof/>
                <w:color w:val="000000"/>
                <w:sz w:val="20"/>
                <w:szCs w:val="20"/>
              </w:rPr>
              <w:t xml:space="preserve"> + Royaume-Uni + Islande, Liechtenstein et Norvège </w:t>
            </w:r>
            <w:r>
              <w:rPr>
                <w:rFonts w:ascii="Times New Roman" w:hAnsi="Times New Roman"/>
                <w:b/>
                <w:bCs/>
                <w:noProof/>
                <w:color w:val="000000"/>
                <w:sz w:val="20"/>
                <w:szCs w:val="20"/>
              </w:rPr>
              <w:cr/>
            </w:r>
            <w:r>
              <w:rPr>
                <w:rFonts w:ascii="Times New Roman" w:hAnsi="Times New Roman"/>
                <w:b/>
                <w:bCs/>
                <w:noProof/>
                <w:color w:val="000000"/>
                <w:sz w:val="20"/>
                <w:szCs w:val="20"/>
              </w:rPr>
              <w:br/>
              <w:t>+ Suisse pour </w:t>
            </w:r>
            <w:r w:rsidRPr="00F43FC8">
              <w:rPr>
                <w:rFonts w:ascii="Times New Roman" w:hAnsi="Times New Roman"/>
                <w:b/>
                <w:bCs/>
                <w:noProof/>
                <w:color w:val="000000"/>
                <w:sz w:val="20"/>
                <w:szCs w:val="20"/>
              </w:rPr>
              <w:t>2020</w:t>
            </w:r>
            <w:r>
              <w:rPr>
                <w:rFonts w:ascii="Times New Roman" w:hAnsi="Times New Roman"/>
                <w:b/>
                <w:bCs/>
                <w:noProof/>
                <w:color w:val="000000"/>
                <w:sz w:val="20"/>
                <w:szCs w:val="20"/>
              </w:rPr>
              <w:t xml:space="preserve"> et </w:t>
            </w:r>
            <w:r w:rsidRPr="00F43FC8">
              <w:rPr>
                <w:rFonts w:ascii="Times New Roman" w:hAnsi="Times New Roman"/>
                <w:b/>
                <w:bCs/>
                <w:noProof/>
                <w:color w:val="000000"/>
                <w:sz w:val="20"/>
                <w:szCs w:val="20"/>
              </w:rPr>
              <w:t>2021</w:t>
            </w:r>
            <w:r>
              <w:rPr>
                <w:rFonts w:ascii="Times New Roman" w:hAnsi="Times New Roman"/>
                <w:b/>
                <w:bCs/>
                <w:noProof/>
                <w:color w:val="000000"/>
                <w:sz w:val="20"/>
                <w:szCs w:val="20"/>
              </w:rPr>
              <w:t>)</w:t>
            </w:r>
            <w:r w:rsidRPr="00DA11F1">
              <w:rPr>
                <w:rStyle w:val="FootnoteReference"/>
                <w:rFonts w:ascii="Times New Roman" w:hAnsi="Times New Roman"/>
                <w:b/>
                <w:bCs/>
                <w:noProof/>
                <w:color w:val="000000"/>
                <w:sz w:val="20"/>
                <w:szCs w:val="20"/>
                <w:lang w:eastAsia="en-GB"/>
              </w:rPr>
              <w:footnoteReference w:id="81"/>
            </w:r>
          </w:p>
        </w:tc>
        <w:tc>
          <w:tcPr>
            <w:tcW w:w="468" w:type="pct"/>
            <w:tcBorders>
              <w:top w:val="double" w:sz="4" w:space="0" w:color="auto"/>
              <w:left w:val="nil"/>
              <w:bottom w:val="double" w:sz="4" w:space="0" w:color="auto"/>
              <w:right w:val="double" w:sz="4" w:space="0" w:color="auto"/>
            </w:tcBorders>
            <w:vAlign w:val="center"/>
          </w:tcPr>
          <w:p w14:paraId="0B9EA267" w14:textId="77777777" w:rsidR="00AE5BE3" w:rsidRPr="00DA11F1" w:rsidRDefault="00AE5BE3" w:rsidP="00CC361B">
            <w:pPr>
              <w:spacing w:after="0"/>
              <w:jc w:val="center"/>
              <w:rPr>
                <w:rFonts w:ascii="Times New Roman" w:hAnsi="Times New Roman"/>
                <w:noProof/>
                <w:color w:val="000000"/>
                <w:sz w:val="20"/>
                <w:szCs w:val="20"/>
              </w:rPr>
            </w:pPr>
            <w:r w:rsidRPr="00F43FC8">
              <w:rPr>
                <w:rFonts w:ascii="Times New Roman" w:hAnsi="Times New Roman"/>
                <w:noProof/>
                <w:color w:val="000000"/>
                <w:sz w:val="20"/>
                <w:szCs w:val="20"/>
              </w:rPr>
              <w:t>173</w:t>
            </w:r>
            <w:r>
              <w:rPr>
                <w:rFonts w:ascii="Times New Roman" w:hAnsi="Times New Roman"/>
                <w:noProof/>
                <w:color w:val="000000"/>
                <w:sz w:val="20"/>
                <w:szCs w:val="20"/>
              </w:rPr>
              <w:t>,</w:t>
            </w:r>
            <w:r w:rsidRPr="00F43FC8">
              <w:rPr>
                <w:rFonts w:ascii="Times New Roman" w:hAnsi="Times New Roman"/>
                <w:noProof/>
                <w:color w:val="000000"/>
                <w:sz w:val="20"/>
                <w:szCs w:val="20"/>
              </w:rPr>
              <w:t>8</w:t>
            </w:r>
          </w:p>
        </w:tc>
        <w:tc>
          <w:tcPr>
            <w:tcW w:w="39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5FC8F9F8" w14:textId="77777777" w:rsidR="00AE5BE3" w:rsidRPr="00DA11F1" w:rsidRDefault="00AE5BE3" w:rsidP="00CC361B">
            <w:pPr>
              <w:spacing w:after="0"/>
              <w:jc w:val="center"/>
              <w:rPr>
                <w:rFonts w:ascii="Times New Roman" w:hAnsi="Times New Roman"/>
                <w:noProof/>
                <w:color w:val="000000"/>
                <w:sz w:val="20"/>
                <w:szCs w:val="20"/>
              </w:rPr>
            </w:pPr>
            <w:r w:rsidRPr="00F43FC8">
              <w:rPr>
                <w:rFonts w:ascii="Times New Roman" w:hAnsi="Times New Roman"/>
                <w:noProof/>
                <w:color w:val="000000"/>
                <w:sz w:val="20"/>
                <w:szCs w:val="20"/>
              </w:rPr>
              <w:t>32</w:t>
            </w:r>
            <w:r>
              <w:rPr>
                <w:rFonts w:ascii="Times New Roman" w:hAnsi="Times New Roman"/>
                <w:noProof/>
                <w:color w:val="000000"/>
                <w:sz w:val="20"/>
                <w:szCs w:val="20"/>
              </w:rPr>
              <w:t>,</w:t>
            </w:r>
            <w:r w:rsidRPr="00F43FC8">
              <w:rPr>
                <w:rFonts w:ascii="Times New Roman" w:hAnsi="Times New Roman"/>
                <w:noProof/>
                <w:color w:val="000000"/>
                <w:sz w:val="20"/>
                <w:szCs w:val="20"/>
              </w:rPr>
              <w:t>4</w:t>
            </w:r>
          </w:p>
        </w:tc>
        <w:tc>
          <w:tcPr>
            <w:tcW w:w="390"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3C2A93E8" w14:textId="77777777" w:rsidR="00AE5BE3" w:rsidRPr="00DA11F1" w:rsidRDefault="00AE5BE3" w:rsidP="00CC361B">
            <w:pPr>
              <w:spacing w:after="0"/>
              <w:jc w:val="center"/>
              <w:rPr>
                <w:rFonts w:ascii="Times New Roman" w:hAnsi="Times New Roman"/>
                <w:noProof/>
                <w:color w:val="000000"/>
                <w:sz w:val="20"/>
                <w:szCs w:val="20"/>
              </w:rPr>
            </w:pPr>
            <w:r w:rsidRPr="00F43FC8">
              <w:rPr>
                <w:rFonts w:ascii="Times New Roman" w:hAnsi="Times New Roman"/>
                <w:noProof/>
                <w:color w:val="000000"/>
                <w:sz w:val="20"/>
                <w:szCs w:val="20"/>
              </w:rPr>
              <w:t>32</w:t>
            </w:r>
            <w:r>
              <w:rPr>
                <w:rFonts w:ascii="Times New Roman" w:hAnsi="Times New Roman"/>
                <w:noProof/>
                <w:color w:val="000000"/>
                <w:sz w:val="20"/>
                <w:szCs w:val="20"/>
              </w:rPr>
              <w:t>,</w:t>
            </w:r>
            <w:r w:rsidRPr="00F43FC8">
              <w:rPr>
                <w:rFonts w:ascii="Times New Roman" w:hAnsi="Times New Roman"/>
                <w:noProof/>
                <w:color w:val="000000"/>
                <w:sz w:val="20"/>
                <w:szCs w:val="20"/>
              </w:rPr>
              <w:t>4</w:t>
            </w:r>
          </w:p>
        </w:tc>
        <w:tc>
          <w:tcPr>
            <w:tcW w:w="389"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48790BF0" w14:textId="77777777" w:rsidR="00AE5BE3" w:rsidRPr="00DA11F1" w:rsidRDefault="00AE5BE3" w:rsidP="00CC361B">
            <w:pPr>
              <w:spacing w:after="0"/>
              <w:jc w:val="center"/>
              <w:rPr>
                <w:rFonts w:ascii="Times New Roman" w:hAnsi="Times New Roman"/>
                <w:noProof/>
                <w:color w:val="000000"/>
                <w:sz w:val="20"/>
                <w:szCs w:val="20"/>
              </w:rPr>
            </w:pPr>
            <w:r w:rsidRPr="00F43FC8">
              <w:rPr>
                <w:rFonts w:ascii="Times New Roman" w:hAnsi="Times New Roman"/>
                <w:noProof/>
                <w:color w:val="000000"/>
                <w:sz w:val="20"/>
                <w:szCs w:val="20"/>
              </w:rPr>
              <w:t>32</w:t>
            </w:r>
            <w:r>
              <w:rPr>
                <w:rFonts w:ascii="Times New Roman" w:hAnsi="Times New Roman"/>
                <w:noProof/>
                <w:color w:val="000000"/>
                <w:sz w:val="20"/>
                <w:szCs w:val="20"/>
              </w:rPr>
              <w:t>,</w:t>
            </w:r>
            <w:r w:rsidRPr="00F43FC8">
              <w:rPr>
                <w:rFonts w:ascii="Times New Roman" w:hAnsi="Times New Roman"/>
                <w:noProof/>
                <w:color w:val="000000"/>
                <w:sz w:val="20"/>
                <w:szCs w:val="20"/>
              </w:rPr>
              <w:t>1</w:t>
            </w:r>
          </w:p>
        </w:tc>
        <w:tc>
          <w:tcPr>
            <w:tcW w:w="391"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66CBDC2A" w14:textId="77777777" w:rsidR="00AE5BE3" w:rsidRPr="00DA11F1" w:rsidRDefault="00AE5BE3" w:rsidP="00CC361B">
            <w:pPr>
              <w:spacing w:after="0"/>
              <w:jc w:val="center"/>
              <w:rPr>
                <w:rFonts w:ascii="Times New Roman" w:hAnsi="Times New Roman"/>
                <w:noProof/>
                <w:color w:val="000000"/>
                <w:sz w:val="20"/>
                <w:szCs w:val="20"/>
              </w:rPr>
            </w:pPr>
            <w:r w:rsidRPr="00F43FC8">
              <w:rPr>
                <w:rFonts w:ascii="Times New Roman" w:hAnsi="Times New Roman"/>
                <w:noProof/>
                <w:color w:val="000000"/>
                <w:sz w:val="20"/>
                <w:szCs w:val="20"/>
              </w:rPr>
              <w:t>32</w:t>
            </w:r>
            <w:r>
              <w:rPr>
                <w:rFonts w:ascii="Times New Roman" w:hAnsi="Times New Roman"/>
                <w:noProof/>
                <w:color w:val="000000"/>
                <w:sz w:val="20"/>
                <w:szCs w:val="20"/>
              </w:rPr>
              <w:t>,</w:t>
            </w:r>
            <w:r w:rsidRPr="00F43FC8">
              <w:rPr>
                <w:rFonts w:ascii="Times New Roman" w:hAnsi="Times New Roman"/>
                <w:noProof/>
                <w:color w:val="000000"/>
                <w:sz w:val="20"/>
                <w:szCs w:val="20"/>
              </w:rPr>
              <w:t>0</w:t>
            </w:r>
          </w:p>
        </w:tc>
        <w:tc>
          <w:tcPr>
            <w:tcW w:w="331" w:type="pct"/>
            <w:tcBorders>
              <w:top w:val="nil"/>
              <w:left w:val="nil"/>
              <w:bottom w:val="double" w:sz="4" w:space="0" w:color="auto"/>
              <w:right w:val="double" w:sz="4" w:space="0" w:color="auto"/>
            </w:tcBorders>
            <w:vAlign w:val="center"/>
          </w:tcPr>
          <w:p w14:paraId="35CA1944" w14:textId="77777777" w:rsidR="00AE5BE3" w:rsidRPr="00DA11F1" w:rsidRDefault="00AE5BE3" w:rsidP="00CC361B">
            <w:pPr>
              <w:spacing w:after="0"/>
              <w:jc w:val="center"/>
              <w:rPr>
                <w:rFonts w:ascii="Times New Roman" w:hAnsi="Times New Roman"/>
                <w:noProof/>
                <w:color w:val="000000"/>
                <w:sz w:val="20"/>
                <w:szCs w:val="20"/>
              </w:rPr>
            </w:pPr>
            <w:r w:rsidRPr="00F43FC8">
              <w:rPr>
                <w:rFonts w:ascii="Times New Roman" w:hAnsi="Times New Roman"/>
                <w:noProof/>
                <w:color w:val="000000"/>
                <w:sz w:val="20"/>
                <w:szCs w:val="20"/>
              </w:rPr>
              <w:t>33</w:t>
            </w:r>
            <w:r>
              <w:rPr>
                <w:rFonts w:ascii="Times New Roman" w:hAnsi="Times New Roman"/>
                <w:noProof/>
                <w:color w:val="000000"/>
                <w:sz w:val="20"/>
                <w:szCs w:val="20"/>
              </w:rPr>
              <w:t>,</w:t>
            </w:r>
            <w:r w:rsidRPr="00F43FC8">
              <w:rPr>
                <w:rFonts w:ascii="Times New Roman" w:hAnsi="Times New Roman"/>
                <w:noProof/>
                <w:color w:val="000000"/>
                <w:sz w:val="20"/>
                <w:szCs w:val="20"/>
              </w:rPr>
              <w:t>1</w:t>
            </w:r>
          </w:p>
        </w:tc>
        <w:tc>
          <w:tcPr>
            <w:tcW w:w="368" w:type="pct"/>
            <w:tcBorders>
              <w:top w:val="nil"/>
              <w:left w:val="nil"/>
              <w:bottom w:val="double" w:sz="4" w:space="0" w:color="auto"/>
              <w:right w:val="double" w:sz="4" w:space="0" w:color="auto"/>
            </w:tcBorders>
            <w:vAlign w:val="center"/>
          </w:tcPr>
          <w:p w14:paraId="25380FA9" w14:textId="77777777" w:rsidR="00AE5BE3" w:rsidRPr="00DA11F1" w:rsidRDefault="00AE5BE3" w:rsidP="00CC361B">
            <w:pPr>
              <w:spacing w:after="0"/>
              <w:jc w:val="center"/>
              <w:rPr>
                <w:rFonts w:ascii="Times New Roman" w:hAnsi="Times New Roman"/>
                <w:noProof/>
                <w:color w:val="000000"/>
                <w:sz w:val="20"/>
                <w:szCs w:val="20"/>
              </w:rPr>
            </w:pPr>
            <w:r w:rsidRPr="00F43FC8">
              <w:rPr>
                <w:rFonts w:ascii="Times New Roman" w:hAnsi="Times New Roman"/>
                <w:noProof/>
                <w:color w:val="000000"/>
                <w:sz w:val="20"/>
                <w:szCs w:val="20"/>
              </w:rPr>
              <w:t>31</w:t>
            </w:r>
            <w:r>
              <w:rPr>
                <w:rFonts w:ascii="Times New Roman" w:hAnsi="Times New Roman"/>
                <w:noProof/>
                <w:color w:val="000000"/>
                <w:sz w:val="20"/>
                <w:szCs w:val="20"/>
              </w:rPr>
              <w:t>,</w:t>
            </w:r>
            <w:r w:rsidRPr="00F43FC8">
              <w:rPr>
                <w:rFonts w:ascii="Times New Roman" w:hAnsi="Times New Roman"/>
                <w:noProof/>
                <w:color w:val="000000"/>
                <w:sz w:val="20"/>
                <w:szCs w:val="20"/>
              </w:rPr>
              <w:t>3</w:t>
            </w:r>
          </w:p>
        </w:tc>
        <w:tc>
          <w:tcPr>
            <w:tcW w:w="369" w:type="pct"/>
            <w:tcBorders>
              <w:top w:val="nil"/>
              <w:left w:val="nil"/>
              <w:bottom w:val="double" w:sz="4" w:space="0" w:color="auto"/>
              <w:right w:val="double" w:sz="4" w:space="0" w:color="auto"/>
            </w:tcBorders>
            <w:vAlign w:val="center"/>
          </w:tcPr>
          <w:p w14:paraId="72BD8495" w14:textId="77777777" w:rsidR="00AE5BE3" w:rsidRPr="00DA11F1" w:rsidRDefault="00AE5BE3" w:rsidP="00CC361B">
            <w:pPr>
              <w:spacing w:after="0"/>
              <w:jc w:val="center"/>
              <w:rPr>
                <w:rFonts w:ascii="Times New Roman" w:hAnsi="Times New Roman"/>
                <w:noProof/>
                <w:color w:val="000000"/>
                <w:sz w:val="20"/>
                <w:szCs w:val="20"/>
              </w:rPr>
            </w:pPr>
            <w:r w:rsidRPr="00F43FC8">
              <w:rPr>
                <w:rFonts w:ascii="Times New Roman" w:hAnsi="Times New Roman"/>
                <w:noProof/>
                <w:color w:val="000000"/>
                <w:sz w:val="20"/>
                <w:szCs w:val="20"/>
              </w:rPr>
              <w:t>31</w:t>
            </w:r>
            <w:r>
              <w:rPr>
                <w:rFonts w:ascii="Times New Roman" w:hAnsi="Times New Roman"/>
                <w:noProof/>
                <w:color w:val="000000"/>
                <w:sz w:val="20"/>
                <w:szCs w:val="20"/>
              </w:rPr>
              <w:t>,</w:t>
            </w:r>
            <w:r w:rsidRPr="00F43FC8">
              <w:rPr>
                <w:rFonts w:ascii="Times New Roman" w:hAnsi="Times New Roman"/>
                <w:noProof/>
                <w:color w:val="000000"/>
                <w:sz w:val="20"/>
                <w:szCs w:val="20"/>
              </w:rPr>
              <w:t>3</w:t>
            </w:r>
            <w:r w:rsidRPr="00DA11F1">
              <w:rPr>
                <w:rStyle w:val="FootnoteReference"/>
                <w:rFonts w:ascii="Times New Roman" w:hAnsi="Times New Roman"/>
                <w:noProof/>
                <w:color w:val="000000"/>
                <w:sz w:val="20"/>
                <w:szCs w:val="20"/>
                <w:lang w:eastAsia="en-GB"/>
              </w:rPr>
              <w:footnoteReference w:id="82"/>
            </w:r>
          </w:p>
        </w:tc>
        <w:tc>
          <w:tcPr>
            <w:tcW w:w="367" w:type="pct"/>
            <w:tcBorders>
              <w:top w:val="nil"/>
              <w:left w:val="nil"/>
              <w:bottom w:val="double" w:sz="4" w:space="0" w:color="auto"/>
              <w:right w:val="double" w:sz="4" w:space="0" w:color="auto"/>
            </w:tcBorders>
            <w:vAlign w:val="center"/>
          </w:tcPr>
          <w:p w14:paraId="6B943F30" w14:textId="2C64449A" w:rsidR="00AE5BE3" w:rsidRPr="00DA11F1" w:rsidRDefault="00AE5BE3" w:rsidP="00D50098">
            <w:pPr>
              <w:spacing w:after="0"/>
              <w:jc w:val="center"/>
              <w:rPr>
                <w:rFonts w:ascii="Times New Roman" w:hAnsi="Times New Roman"/>
                <w:noProof/>
                <w:color w:val="000000"/>
                <w:sz w:val="20"/>
                <w:szCs w:val="20"/>
              </w:rPr>
            </w:pPr>
            <w:r w:rsidRPr="00F43FC8">
              <w:rPr>
                <w:rFonts w:ascii="Times New Roman" w:hAnsi="Times New Roman"/>
                <w:noProof/>
                <w:color w:val="000000"/>
                <w:sz w:val="20"/>
                <w:szCs w:val="20"/>
              </w:rPr>
              <w:t>32</w:t>
            </w:r>
            <w:r>
              <w:rPr>
                <w:rFonts w:ascii="Times New Roman" w:hAnsi="Times New Roman"/>
                <w:noProof/>
                <w:color w:val="000000"/>
                <w:sz w:val="20"/>
                <w:szCs w:val="20"/>
              </w:rPr>
              <w:t>,</w:t>
            </w:r>
            <w:r w:rsidRPr="00F43FC8">
              <w:rPr>
                <w:rFonts w:ascii="Times New Roman" w:hAnsi="Times New Roman"/>
                <w:noProof/>
                <w:color w:val="000000"/>
                <w:sz w:val="20"/>
                <w:szCs w:val="20"/>
              </w:rPr>
              <w:t>5</w:t>
            </w:r>
            <w:r w:rsidRPr="00DA11F1">
              <w:rPr>
                <w:rStyle w:val="FootnoteReference"/>
                <w:rFonts w:ascii="Times New Roman" w:hAnsi="Times New Roman"/>
                <w:noProof/>
                <w:color w:val="000000"/>
                <w:sz w:val="20"/>
                <w:szCs w:val="20"/>
                <w:lang w:eastAsia="en-GB"/>
              </w:rPr>
              <w:footnoteReference w:id="83"/>
            </w:r>
          </w:p>
        </w:tc>
        <w:tc>
          <w:tcPr>
            <w:tcW w:w="366" w:type="pct"/>
            <w:tcBorders>
              <w:top w:val="nil"/>
              <w:left w:val="nil"/>
              <w:bottom w:val="double" w:sz="4" w:space="0" w:color="auto"/>
              <w:right w:val="double" w:sz="4" w:space="0" w:color="auto"/>
            </w:tcBorders>
            <w:vAlign w:val="center"/>
          </w:tcPr>
          <w:p w14:paraId="31490668" w14:textId="77777777" w:rsidR="00AE5BE3" w:rsidRPr="00DA11F1" w:rsidRDefault="00AE5BE3" w:rsidP="00CC361B">
            <w:pPr>
              <w:spacing w:after="0"/>
              <w:jc w:val="center"/>
              <w:rPr>
                <w:rFonts w:ascii="Times New Roman" w:hAnsi="Times New Roman"/>
                <w:noProof/>
                <w:color w:val="000000"/>
                <w:sz w:val="20"/>
                <w:szCs w:val="20"/>
              </w:rPr>
            </w:pPr>
            <w:r w:rsidRPr="00F43FC8">
              <w:rPr>
                <w:rFonts w:ascii="Times New Roman" w:hAnsi="Times New Roman"/>
                <w:noProof/>
                <w:color w:val="000000"/>
                <w:sz w:val="20"/>
                <w:szCs w:val="20"/>
              </w:rPr>
              <w:t>17</w:t>
            </w:r>
            <w:r>
              <w:rPr>
                <w:rFonts w:ascii="Times New Roman" w:hAnsi="Times New Roman"/>
                <w:noProof/>
                <w:color w:val="000000"/>
                <w:sz w:val="20"/>
                <w:szCs w:val="20"/>
              </w:rPr>
              <w:t>,</w:t>
            </w:r>
            <w:r w:rsidRPr="00F43FC8">
              <w:rPr>
                <w:rFonts w:ascii="Times New Roman" w:hAnsi="Times New Roman"/>
                <w:noProof/>
                <w:color w:val="000000"/>
                <w:sz w:val="20"/>
                <w:szCs w:val="20"/>
              </w:rPr>
              <w:t>3</w:t>
            </w:r>
            <w:r w:rsidRPr="00DA11F1">
              <w:rPr>
                <w:rStyle w:val="FootnoteReference"/>
                <w:rFonts w:ascii="Times New Roman" w:hAnsi="Times New Roman"/>
                <w:noProof/>
                <w:color w:val="000000"/>
                <w:sz w:val="20"/>
                <w:szCs w:val="20"/>
                <w:lang w:eastAsia="en-GB"/>
              </w:rPr>
              <w:footnoteReference w:id="84"/>
            </w:r>
          </w:p>
        </w:tc>
      </w:tr>
      <w:tr w:rsidR="00AE5BE3" w:rsidRPr="00DA11F1" w14:paraId="3C0772C7" w14:textId="77777777" w:rsidTr="00115ADC">
        <w:trPr>
          <w:trHeight w:val="750"/>
        </w:trPr>
        <w:tc>
          <w:tcPr>
            <w:tcW w:w="117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3E8F1E49" w14:textId="77777777" w:rsidR="00AE5BE3" w:rsidRPr="00DA11F1" w:rsidRDefault="00AE5BE3" w:rsidP="00CC361B">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Quotas alloués à titre gratuit à partir de la réserve spéciale destinée aux nouveaux entrants et aux exploitants en croissance rapide</w:t>
            </w:r>
          </w:p>
        </w:tc>
        <w:tc>
          <w:tcPr>
            <w:tcW w:w="468" w:type="pct"/>
            <w:tcBorders>
              <w:top w:val="double" w:sz="4" w:space="0" w:color="auto"/>
              <w:left w:val="nil"/>
              <w:bottom w:val="double" w:sz="4" w:space="0" w:color="auto"/>
              <w:right w:val="double" w:sz="4" w:space="0" w:color="auto"/>
            </w:tcBorders>
            <w:vAlign w:val="center"/>
          </w:tcPr>
          <w:p w14:paraId="1389A62C" w14:textId="77777777" w:rsidR="00AE5BE3" w:rsidRPr="00DA11F1" w:rsidRDefault="00AE5BE3" w:rsidP="00CC361B">
            <w:pPr>
              <w:spacing w:after="0"/>
              <w:jc w:val="center"/>
              <w:rPr>
                <w:rFonts w:ascii="Times New Roman" w:hAnsi="Times New Roman"/>
                <w:noProof/>
                <w:color w:val="000000"/>
                <w:sz w:val="20"/>
                <w:szCs w:val="20"/>
              </w:rPr>
            </w:pPr>
            <w:r w:rsidRPr="00F43FC8">
              <w:rPr>
                <w:rFonts w:ascii="Times New Roman" w:hAnsi="Times New Roman"/>
                <w:noProof/>
                <w:color w:val="000000"/>
                <w:sz w:val="20"/>
                <w:szCs w:val="20"/>
              </w:rPr>
              <w:t>0</w:t>
            </w:r>
          </w:p>
        </w:tc>
        <w:tc>
          <w:tcPr>
            <w:tcW w:w="39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tcPr>
          <w:p w14:paraId="22B89CAF" w14:textId="77777777" w:rsidR="00AE5BE3" w:rsidRPr="00DA11F1" w:rsidRDefault="00AE5BE3" w:rsidP="00CC361B">
            <w:pPr>
              <w:spacing w:after="0"/>
              <w:jc w:val="center"/>
              <w:rPr>
                <w:rFonts w:ascii="Times New Roman" w:hAnsi="Times New Roman"/>
                <w:noProof/>
                <w:color w:val="000000"/>
                <w:sz w:val="20"/>
                <w:szCs w:val="20"/>
              </w:rPr>
            </w:pPr>
            <w:r w:rsidRPr="00F43FC8">
              <w:rPr>
                <w:rFonts w:ascii="Times New Roman" w:hAnsi="Times New Roman"/>
                <w:noProof/>
                <w:color w:val="000000"/>
                <w:sz w:val="20"/>
                <w:szCs w:val="20"/>
              </w:rPr>
              <w:t>0</w:t>
            </w:r>
          </w:p>
        </w:tc>
        <w:tc>
          <w:tcPr>
            <w:tcW w:w="390" w:type="pct"/>
            <w:tcBorders>
              <w:top w:val="nil"/>
              <w:left w:val="nil"/>
              <w:bottom w:val="double" w:sz="4" w:space="0" w:color="auto"/>
              <w:right w:val="double" w:sz="4" w:space="0" w:color="auto"/>
            </w:tcBorders>
            <w:tcMar>
              <w:top w:w="0" w:type="dxa"/>
              <w:left w:w="108" w:type="dxa"/>
              <w:bottom w:w="0" w:type="dxa"/>
              <w:right w:w="108" w:type="dxa"/>
            </w:tcMar>
            <w:vAlign w:val="center"/>
          </w:tcPr>
          <w:p w14:paraId="1F5FAFFB" w14:textId="77777777" w:rsidR="00AE5BE3" w:rsidRPr="00DA11F1" w:rsidRDefault="00AE5BE3" w:rsidP="00CC361B">
            <w:pPr>
              <w:spacing w:after="0"/>
              <w:jc w:val="center"/>
              <w:rPr>
                <w:rFonts w:ascii="Times New Roman" w:hAnsi="Times New Roman"/>
                <w:noProof/>
                <w:color w:val="000000"/>
                <w:sz w:val="20"/>
                <w:szCs w:val="20"/>
              </w:rPr>
            </w:pPr>
            <w:r w:rsidRPr="00F43FC8">
              <w:rPr>
                <w:rFonts w:ascii="Times New Roman" w:hAnsi="Times New Roman"/>
                <w:noProof/>
                <w:color w:val="000000"/>
                <w:sz w:val="20"/>
                <w:szCs w:val="20"/>
              </w:rPr>
              <w:t>0</w:t>
            </w:r>
          </w:p>
        </w:tc>
        <w:tc>
          <w:tcPr>
            <w:tcW w:w="389" w:type="pct"/>
            <w:tcBorders>
              <w:top w:val="nil"/>
              <w:left w:val="nil"/>
              <w:bottom w:val="double" w:sz="4" w:space="0" w:color="auto"/>
              <w:right w:val="double" w:sz="4" w:space="0" w:color="auto"/>
            </w:tcBorders>
            <w:tcMar>
              <w:top w:w="0" w:type="dxa"/>
              <w:left w:w="108" w:type="dxa"/>
              <w:bottom w:w="0" w:type="dxa"/>
              <w:right w:w="108" w:type="dxa"/>
            </w:tcMar>
            <w:vAlign w:val="center"/>
          </w:tcPr>
          <w:p w14:paraId="34EEF1D2" w14:textId="77777777" w:rsidR="00AE5BE3" w:rsidRPr="00DA11F1" w:rsidRDefault="00AE5BE3" w:rsidP="00CC361B">
            <w:pPr>
              <w:spacing w:after="0"/>
              <w:jc w:val="center"/>
              <w:rPr>
                <w:rFonts w:ascii="Times New Roman" w:hAnsi="Times New Roman"/>
                <w:noProof/>
                <w:color w:val="000000"/>
                <w:sz w:val="20"/>
                <w:szCs w:val="20"/>
              </w:rPr>
            </w:pPr>
            <w:r w:rsidRPr="00F43FC8">
              <w:rPr>
                <w:rFonts w:ascii="Times New Roman" w:hAnsi="Times New Roman"/>
                <w:noProof/>
                <w:color w:val="000000"/>
                <w:sz w:val="20"/>
                <w:szCs w:val="20"/>
              </w:rPr>
              <w:t>0</w:t>
            </w:r>
          </w:p>
        </w:tc>
        <w:tc>
          <w:tcPr>
            <w:tcW w:w="391" w:type="pct"/>
            <w:tcBorders>
              <w:top w:val="nil"/>
              <w:left w:val="nil"/>
              <w:bottom w:val="double" w:sz="4" w:space="0" w:color="auto"/>
              <w:right w:val="double" w:sz="4" w:space="0" w:color="auto"/>
            </w:tcBorders>
            <w:tcMar>
              <w:top w:w="0" w:type="dxa"/>
              <w:left w:w="108" w:type="dxa"/>
              <w:bottom w:w="0" w:type="dxa"/>
              <w:right w:w="108" w:type="dxa"/>
            </w:tcMar>
            <w:vAlign w:val="center"/>
          </w:tcPr>
          <w:p w14:paraId="4DBFE3A0" w14:textId="77777777" w:rsidR="00AE5BE3" w:rsidRPr="00DA11F1" w:rsidRDefault="00AE5BE3" w:rsidP="00CC361B">
            <w:pPr>
              <w:spacing w:after="0"/>
              <w:jc w:val="center"/>
              <w:rPr>
                <w:rFonts w:ascii="Times New Roman" w:hAnsi="Times New Roman"/>
                <w:noProof/>
                <w:color w:val="000000"/>
                <w:sz w:val="20"/>
                <w:szCs w:val="20"/>
              </w:rPr>
            </w:pPr>
            <w:r w:rsidRPr="00F43FC8">
              <w:rPr>
                <w:rFonts w:ascii="Times New Roman" w:hAnsi="Times New Roman"/>
                <w:noProof/>
                <w:color w:val="000000"/>
                <w:sz w:val="20"/>
                <w:szCs w:val="20"/>
              </w:rPr>
              <w:t>0</w:t>
            </w:r>
          </w:p>
        </w:tc>
        <w:tc>
          <w:tcPr>
            <w:tcW w:w="331" w:type="pct"/>
            <w:tcBorders>
              <w:top w:val="nil"/>
              <w:left w:val="nil"/>
              <w:bottom w:val="double" w:sz="4" w:space="0" w:color="auto"/>
              <w:right w:val="double" w:sz="4" w:space="0" w:color="auto"/>
            </w:tcBorders>
            <w:vAlign w:val="center"/>
          </w:tcPr>
          <w:p w14:paraId="558C3EE6" w14:textId="77777777" w:rsidR="00AE5BE3" w:rsidRPr="00DA11F1" w:rsidRDefault="00AE5BE3" w:rsidP="00CC361B">
            <w:pPr>
              <w:spacing w:after="0"/>
              <w:jc w:val="center"/>
              <w:rPr>
                <w:rFonts w:ascii="Times New Roman" w:hAnsi="Times New Roman"/>
                <w:noProof/>
                <w:color w:val="000000"/>
                <w:sz w:val="20"/>
                <w:szCs w:val="20"/>
              </w:rPr>
            </w:pPr>
            <w:r w:rsidRPr="00F43FC8">
              <w:rPr>
                <w:rFonts w:ascii="Times New Roman" w:hAnsi="Times New Roman"/>
                <w:noProof/>
                <w:color w:val="000000"/>
                <w:sz w:val="20"/>
                <w:szCs w:val="20"/>
              </w:rPr>
              <w:t>1</w:t>
            </w:r>
            <w:r>
              <w:rPr>
                <w:rFonts w:ascii="Times New Roman" w:hAnsi="Times New Roman"/>
                <w:noProof/>
                <w:color w:val="000000"/>
                <w:sz w:val="20"/>
                <w:szCs w:val="20"/>
              </w:rPr>
              <w:t>,</w:t>
            </w:r>
            <w:r w:rsidRPr="00F43FC8">
              <w:rPr>
                <w:rFonts w:ascii="Times New Roman" w:hAnsi="Times New Roman"/>
                <w:noProof/>
                <w:color w:val="000000"/>
                <w:sz w:val="20"/>
                <w:szCs w:val="20"/>
              </w:rPr>
              <w:t>1</w:t>
            </w:r>
          </w:p>
        </w:tc>
        <w:tc>
          <w:tcPr>
            <w:tcW w:w="368" w:type="pct"/>
            <w:tcBorders>
              <w:top w:val="nil"/>
              <w:left w:val="nil"/>
              <w:bottom w:val="double" w:sz="4" w:space="0" w:color="auto"/>
              <w:right w:val="double" w:sz="4" w:space="0" w:color="auto"/>
            </w:tcBorders>
            <w:vAlign w:val="center"/>
          </w:tcPr>
          <w:p w14:paraId="0055EC3A" w14:textId="77777777" w:rsidR="00AE5BE3" w:rsidRPr="00DA11F1" w:rsidRDefault="00AE5BE3" w:rsidP="00CC361B">
            <w:pPr>
              <w:spacing w:after="0"/>
              <w:jc w:val="center"/>
              <w:rPr>
                <w:rFonts w:ascii="Times New Roman" w:hAnsi="Times New Roman"/>
                <w:noProof/>
                <w:color w:val="000000"/>
                <w:sz w:val="20"/>
                <w:szCs w:val="20"/>
              </w:rPr>
            </w:pPr>
            <w:r w:rsidRPr="00F43FC8">
              <w:rPr>
                <w:rFonts w:ascii="Times New Roman" w:hAnsi="Times New Roman"/>
                <w:noProof/>
                <w:color w:val="000000"/>
                <w:sz w:val="20"/>
                <w:szCs w:val="20"/>
              </w:rPr>
              <w:t>1</w:t>
            </w:r>
            <w:r>
              <w:rPr>
                <w:rFonts w:ascii="Times New Roman" w:hAnsi="Times New Roman"/>
                <w:noProof/>
                <w:color w:val="000000"/>
                <w:sz w:val="20"/>
                <w:szCs w:val="20"/>
              </w:rPr>
              <w:t>,</w:t>
            </w:r>
            <w:r w:rsidRPr="00F43FC8">
              <w:rPr>
                <w:rFonts w:ascii="Times New Roman" w:hAnsi="Times New Roman"/>
                <w:noProof/>
                <w:color w:val="000000"/>
                <w:sz w:val="20"/>
                <w:szCs w:val="20"/>
              </w:rPr>
              <w:t>1</w:t>
            </w:r>
          </w:p>
        </w:tc>
        <w:tc>
          <w:tcPr>
            <w:tcW w:w="369" w:type="pct"/>
            <w:tcBorders>
              <w:top w:val="nil"/>
              <w:left w:val="nil"/>
              <w:bottom w:val="double" w:sz="4" w:space="0" w:color="auto"/>
              <w:right w:val="double" w:sz="4" w:space="0" w:color="auto"/>
            </w:tcBorders>
            <w:vAlign w:val="center"/>
          </w:tcPr>
          <w:p w14:paraId="7B542B68" w14:textId="77777777" w:rsidR="00AE5BE3" w:rsidRPr="00DA11F1" w:rsidRDefault="00AE5BE3" w:rsidP="00CC361B">
            <w:pPr>
              <w:spacing w:after="0"/>
              <w:jc w:val="center"/>
              <w:rPr>
                <w:rFonts w:ascii="Times New Roman" w:hAnsi="Times New Roman"/>
                <w:noProof/>
                <w:color w:val="000000"/>
                <w:sz w:val="20"/>
                <w:szCs w:val="20"/>
              </w:rPr>
            </w:pPr>
            <w:r w:rsidRPr="00F43FC8">
              <w:rPr>
                <w:rFonts w:ascii="Times New Roman" w:hAnsi="Times New Roman"/>
                <w:noProof/>
                <w:color w:val="000000"/>
                <w:sz w:val="20"/>
                <w:szCs w:val="20"/>
              </w:rPr>
              <w:t>1</w:t>
            </w:r>
            <w:r>
              <w:rPr>
                <w:rFonts w:ascii="Times New Roman" w:hAnsi="Times New Roman"/>
                <w:noProof/>
                <w:color w:val="000000"/>
                <w:sz w:val="20"/>
                <w:szCs w:val="20"/>
              </w:rPr>
              <w:t>,</w:t>
            </w:r>
            <w:r w:rsidRPr="00F43FC8">
              <w:rPr>
                <w:rFonts w:ascii="Times New Roman" w:hAnsi="Times New Roman"/>
                <w:noProof/>
                <w:color w:val="000000"/>
                <w:sz w:val="20"/>
                <w:szCs w:val="20"/>
              </w:rPr>
              <w:t>0</w:t>
            </w:r>
          </w:p>
        </w:tc>
        <w:tc>
          <w:tcPr>
            <w:tcW w:w="367" w:type="pct"/>
            <w:tcBorders>
              <w:top w:val="nil"/>
              <w:left w:val="nil"/>
              <w:bottom w:val="double" w:sz="4" w:space="0" w:color="auto"/>
              <w:right w:val="double" w:sz="4" w:space="0" w:color="auto"/>
            </w:tcBorders>
            <w:vAlign w:val="center"/>
          </w:tcPr>
          <w:p w14:paraId="671239C7" w14:textId="77777777" w:rsidR="00AE5BE3" w:rsidRPr="00DA11F1" w:rsidRDefault="00AE5BE3" w:rsidP="00CC361B">
            <w:pPr>
              <w:spacing w:after="0"/>
              <w:jc w:val="center"/>
              <w:rPr>
                <w:rFonts w:ascii="Times New Roman" w:hAnsi="Times New Roman"/>
                <w:noProof/>
                <w:color w:val="000000"/>
                <w:sz w:val="20"/>
                <w:szCs w:val="20"/>
              </w:rPr>
            </w:pPr>
            <w:r w:rsidRPr="00F43FC8">
              <w:rPr>
                <w:rFonts w:ascii="Times New Roman" w:hAnsi="Times New Roman"/>
                <w:noProof/>
                <w:color w:val="000000"/>
                <w:sz w:val="20"/>
                <w:szCs w:val="20"/>
              </w:rPr>
              <w:t>0</w:t>
            </w:r>
            <w:r>
              <w:rPr>
                <w:rFonts w:ascii="Times New Roman" w:hAnsi="Times New Roman"/>
                <w:noProof/>
                <w:color w:val="000000"/>
                <w:sz w:val="20"/>
                <w:szCs w:val="20"/>
              </w:rPr>
              <w:t>,</w:t>
            </w:r>
            <w:r w:rsidRPr="00F43FC8">
              <w:rPr>
                <w:rFonts w:ascii="Times New Roman" w:hAnsi="Times New Roman"/>
                <w:noProof/>
                <w:color w:val="000000"/>
                <w:sz w:val="20"/>
                <w:szCs w:val="20"/>
              </w:rPr>
              <w:t>8</w:t>
            </w:r>
          </w:p>
        </w:tc>
        <w:tc>
          <w:tcPr>
            <w:tcW w:w="366" w:type="pct"/>
            <w:tcBorders>
              <w:top w:val="nil"/>
              <w:left w:val="nil"/>
              <w:bottom w:val="double" w:sz="4" w:space="0" w:color="auto"/>
              <w:right w:val="double" w:sz="4" w:space="0" w:color="auto"/>
            </w:tcBorders>
            <w:vAlign w:val="center"/>
          </w:tcPr>
          <w:p w14:paraId="413F7F67" w14:textId="77777777" w:rsidR="00AE5BE3" w:rsidRPr="00DA11F1" w:rsidRDefault="00AE5BE3" w:rsidP="00CC361B">
            <w:pPr>
              <w:spacing w:after="0"/>
              <w:jc w:val="center"/>
              <w:rPr>
                <w:rFonts w:ascii="Times New Roman" w:hAnsi="Times New Roman"/>
                <w:noProof/>
                <w:color w:val="000000"/>
                <w:sz w:val="20"/>
                <w:szCs w:val="20"/>
              </w:rPr>
            </w:pPr>
            <w:r w:rsidRPr="00F43FC8">
              <w:rPr>
                <w:rFonts w:ascii="Times New Roman" w:hAnsi="Times New Roman"/>
                <w:noProof/>
                <w:color w:val="000000"/>
                <w:sz w:val="20"/>
                <w:szCs w:val="20"/>
              </w:rPr>
              <w:t>0</w:t>
            </w:r>
            <w:r>
              <w:rPr>
                <w:rFonts w:ascii="Times New Roman" w:hAnsi="Times New Roman"/>
                <w:noProof/>
                <w:color w:val="000000"/>
                <w:sz w:val="20"/>
                <w:szCs w:val="20"/>
              </w:rPr>
              <w:t>,</w:t>
            </w:r>
            <w:r w:rsidRPr="00F43FC8">
              <w:rPr>
                <w:rFonts w:ascii="Times New Roman" w:hAnsi="Times New Roman"/>
                <w:noProof/>
                <w:color w:val="000000"/>
                <w:sz w:val="20"/>
                <w:szCs w:val="20"/>
              </w:rPr>
              <w:t>3</w:t>
            </w:r>
          </w:p>
        </w:tc>
      </w:tr>
      <w:tr w:rsidR="00AE5BE3" w:rsidRPr="00DA11F1" w14:paraId="6C571D6F" w14:textId="77777777" w:rsidTr="00115ADC">
        <w:trPr>
          <w:trHeight w:val="620"/>
        </w:trPr>
        <w:tc>
          <w:tcPr>
            <w:tcW w:w="117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04CB0667" w14:textId="77777777" w:rsidR="00AE5BE3" w:rsidRPr="00DA11F1" w:rsidRDefault="00AE5BE3" w:rsidP="00CC361B">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Volumes de quotas mis aux enchères</w:t>
            </w:r>
          </w:p>
        </w:tc>
        <w:tc>
          <w:tcPr>
            <w:tcW w:w="468" w:type="pct"/>
            <w:tcBorders>
              <w:top w:val="double" w:sz="4" w:space="0" w:color="auto"/>
              <w:left w:val="nil"/>
              <w:bottom w:val="double" w:sz="4" w:space="0" w:color="auto"/>
              <w:right w:val="double" w:sz="4" w:space="0" w:color="auto"/>
            </w:tcBorders>
            <w:vAlign w:val="center"/>
          </w:tcPr>
          <w:p w14:paraId="7BC1432E" w14:textId="77777777" w:rsidR="00AE5BE3" w:rsidRPr="00DA11F1" w:rsidRDefault="00AE5BE3" w:rsidP="00CC361B">
            <w:pPr>
              <w:spacing w:after="0"/>
              <w:jc w:val="center"/>
              <w:rPr>
                <w:rFonts w:ascii="Times New Roman" w:hAnsi="Times New Roman"/>
                <w:noProof/>
                <w:color w:val="000000"/>
                <w:sz w:val="20"/>
                <w:szCs w:val="20"/>
              </w:rPr>
            </w:pPr>
            <w:r w:rsidRPr="00F43FC8">
              <w:rPr>
                <w:rFonts w:ascii="Times New Roman" w:hAnsi="Times New Roman"/>
                <w:noProof/>
                <w:color w:val="000000"/>
                <w:sz w:val="20"/>
                <w:szCs w:val="20"/>
              </w:rPr>
              <w:t>2</w:t>
            </w:r>
            <w:r>
              <w:rPr>
                <w:rFonts w:ascii="Times New Roman" w:hAnsi="Times New Roman"/>
                <w:noProof/>
                <w:color w:val="000000"/>
                <w:sz w:val="20"/>
                <w:szCs w:val="20"/>
              </w:rPr>
              <w:t>,</w:t>
            </w:r>
            <w:r w:rsidRPr="00F43FC8">
              <w:rPr>
                <w:rFonts w:ascii="Times New Roman" w:hAnsi="Times New Roman"/>
                <w:noProof/>
                <w:color w:val="000000"/>
                <w:sz w:val="20"/>
                <w:szCs w:val="20"/>
              </w:rPr>
              <w:t>5</w:t>
            </w:r>
          </w:p>
        </w:tc>
        <w:tc>
          <w:tcPr>
            <w:tcW w:w="39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403B2A88" w14:textId="77777777" w:rsidR="00AE5BE3" w:rsidRPr="00DA11F1" w:rsidRDefault="00AE5BE3" w:rsidP="00CC361B">
            <w:pPr>
              <w:spacing w:after="0"/>
              <w:jc w:val="center"/>
              <w:rPr>
                <w:rFonts w:ascii="Times New Roman" w:hAnsi="Times New Roman"/>
                <w:noProof/>
                <w:color w:val="000000"/>
                <w:sz w:val="20"/>
                <w:szCs w:val="20"/>
              </w:rPr>
            </w:pPr>
            <w:r w:rsidRPr="00F43FC8">
              <w:rPr>
                <w:rFonts w:ascii="Times New Roman" w:hAnsi="Times New Roman"/>
                <w:noProof/>
                <w:color w:val="000000"/>
                <w:sz w:val="20"/>
                <w:szCs w:val="20"/>
              </w:rPr>
              <w:t>0</w:t>
            </w:r>
          </w:p>
        </w:tc>
        <w:tc>
          <w:tcPr>
            <w:tcW w:w="390"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38DB6FC2" w14:textId="77777777" w:rsidR="00AE5BE3" w:rsidRPr="00DA11F1" w:rsidRDefault="00AE5BE3" w:rsidP="00CC361B">
            <w:pPr>
              <w:spacing w:after="0"/>
              <w:jc w:val="center"/>
              <w:rPr>
                <w:rFonts w:ascii="Times New Roman" w:hAnsi="Times New Roman"/>
                <w:noProof/>
                <w:color w:val="000000"/>
                <w:sz w:val="20"/>
                <w:szCs w:val="20"/>
              </w:rPr>
            </w:pPr>
            <w:r w:rsidRPr="00F43FC8">
              <w:rPr>
                <w:rFonts w:ascii="Times New Roman" w:hAnsi="Times New Roman"/>
                <w:noProof/>
                <w:color w:val="000000"/>
                <w:sz w:val="20"/>
                <w:szCs w:val="20"/>
              </w:rPr>
              <w:t>9</w:t>
            </w:r>
            <w:r>
              <w:rPr>
                <w:rFonts w:ascii="Times New Roman" w:hAnsi="Times New Roman"/>
                <w:noProof/>
                <w:color w:val="000000"/>
                <w:sz w:val="20"/>
                <w:szCs w:val="20"/>
              </w:rPr>
              <w:t>,</w:t>
            </w:r>
            <w:r w:rsidRPr="00F43FC8">
              <w:rPr>
                <w:rFonts w:ascii="Times New Roman" w:hAnsi="Times New Roman"/>
                <w:noProof/>
                <w:color w:val="000000"/>
                <w:sz w:val="20"/>
                <w:szCs w:val="20"/>
              </w:rPr>
              <w:t>3</w:t>
            </w:r>
          </w:p>
        </w:tc>
        <w:tc>
          <w:tcPr>
            <w:tcW w:w="389"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55B42D6" w14:textId="77777777" w:rsidR="00AE5BE3" w:rsidRPr="00DA11F1" w:rsidRDefault="00AE5BE3" w:rsidP="00CC361B">
            <w:pPr>
              <w:spacing w:after="0"/>
              <w:jc w:val="center"/>
              <w:rPr>
                <w:rFonts w:ascii="Times New Roman" w:hAnsi="Times New Roman"/>
                <w:noProof/>
                <w:color w:val="000000"/>
                <w:sz w:val="20"/>
                <w:szCs w:val="20"/>
              </w:rPr>
            </w:pPr>
            <w:r w:rsidRPr="00F43FC8">
              <w:rPr>
                <w:rFonts w:ascii="Times New Roman" w:hAnsi="Times New Roman"/>
                <w:noProof/>
                <w:color w:val="000000"/>
                <w:sz w:val="20"/>
                <w:szCs w:val="20"/>
              </w:rPr>
              <w:t>16</w:t>
            </w:r>
            <w:r>
              <w:rPr>
                <w:rFonts w:ascii="Times New Roman" w:hAnsi="Times New Roman"/>
                <w:noProof/>
                <w:color w:val="000000"/>
                <w:sz w:val="20"/>
                <w:szCs w:val="20"/>
              </w:rPr>
              <w:t>,</w:t>
            </w:r>
            <w:r w:rsidRPr="00F43FC8">
              <w:rPr>
                <w:rFonts w:ascii="Times New Roman" w:hAnsi="Times New Roman"/>
                <w:noProof/>
                <w:color w:val="000000"/>
                <w:sz w:val="20"/>
                <w:szCs w:val="20"/>
              </w:rPr>
              <w:t>4</w:t>
            </w:r>
          </w:p>
        </w:tc>
        <w:tc>
          <w:tcPr>
            <w:tcW w:w="391"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291FF205" w14:textId="77777777" w:rsidR="00AE5BE3" w:rsidRPr="00DA11F1" w:rsidRDefault="00AE5BE3" w:rsidP="00CC361B">
            <w:pPr>
              <w:spacing w:after="0"/>
              <w:jc w:val="center"/>
              <w:rPr>
                <w:rFonts w:ascii="Times New Roman" w:hAnsi="Times New Roman"/>
                <w:noProof/>
                <w:color w:val="000000"/>
                <w:sz w:val="20"/>
                <w:szCs w:val="20"/>
              </w:rPr>
            </w:pPr>
            <w:r w:rsidRPr="00F43FC8">
              <w:rPr>
                <w:rFonts w:ascii="Times New Roman" w:hAnsi="Times New Roman"/>
                <w:noProof/>
                <w:color w:val="000000"/>
                <w:sz w:val="20"/>
                <w:szCs w:val="20"/>
              </w:rPr>
              <w:t>6</w:t>
            </w:r>
            <w:r>
              <w:rPr>
                <w:rFonts w:ascii="Times New Roman" w:hAnsi="Times New Roman"/>
                <w:noProof/>
                <w:color w:val="000000"/>
                <w:sz w:val="20"/>
                <w:szCs w:val="20"/>
              </w:rPr>
              <w:t>,</w:t>
            </w:r>
            <w:r w:rsidRPr="00F43FC8">
              <w:rPr>
                <w:rFonts w:ascii="Times New Roman" w:hAnsi="Times New Roman"/>
                <w:noProof/>
                <w:color w:val="000000"/>
                <w:sz w:val="20"/>
                <w:szCs w:val="20"/>
              </w:rPr>
              <w:t>0</w:t>
            </w:r>
          </w:p>
        </w:tc>
        <w:tc>
          <w:tcPr>
            <w:tcW w:w="331" w:type="pct"/>
            <w:tcBorders>
              <w:top w:val="nil"/>
              <w:left w:val="nil"/>
              <w:bottom w:val="double" w:sz="4" w:space="0" w:color="auto"/>
              <w:right w:val="double" w:sz="4" w:space="0" w:color="auto"/>
            </w:tcBorders>
            <w:vAlign w:val="center"/>
          </w:tcPr>
          <w:p w14:paraId="49948155" w14:textId="77777777" w:rsidR="00AE5BE3" w:rsidRPr="00DA11F1" w:rsidRDefault="00AE5BE3" w:rsidP="00CC361B">
            <w:pPr>
              <w:spacing w:after="0"/>
              <w:jc w:val="center"/>
              <w:rPr>
                <w:rFonts w:ascii="Times New Roman" w:hAnsi="Times New Roman"/>
                <w:noProof/>
                <w:color w:val="000000"/>
                <w:sz w:val="20"/>
                <w:szCs w:val="20"/>
              </w:rPr>
            </w:pPr>
            <w:r w:rsidRPr="00F43FC8">
              <w:rPr>
                <w:rFonts w:ascii="Times New Roman" w:hAnsi="Times New Roman"/>
                <w:noProof/>
                <w:color w:val="000000"/>
                <w:sz w:val="20"/>
                <w:szCs w:val="20"/>
              </w:rPr>
              <w:t>4</w:t>
            </w:r>
            <w:r>
              <w:rPr>
                <w:rFonts w:ascii="Times New Roman" w:hAnsi="Times New Roman"/>
                <w:noProof/>
                <w:color w:val="000000"/>
                <w:sz w:val="20"/>
                <w:szCs w:val="20"/>
              </w:rPr>
              <w:t>,</w:t>
            </w:r>
            <w:r w:rsidRPr="00F43FC8">
              <w:rPr>
                <w:rFonts w:ascii="Times New Roman" w:hAnsi="Times New Roman"/>
                <w:noProof/>
                <w:color w:val="000000"/>
                <w:sz w:val="20"/>
                <w:szCs w:val="20"/>
              </w:rPr>
              <w:t>7</w:t>
            </w:r>
          </w:p>
        </w:tc>
        <w:tc>
          <w:tcPr>
            <w:tcW w:w="368" w:type="pct"/>
            <w:tcBorders>
              <w:top w:val="nil"/>
              <w:left w:val="nil"/>
              <w:bottom w:val="double" w:sz="4" w:space="0" w:color="auto"/>
              <w:right w:val="double" w:sz="4" w:space="0" w:color="auto"/>
            </w:tcBorders>
            <w:vAlign w:val="center"/>
          </w:tcPr>
          <w:p w14:paraId="613279B6" w14:textId="77777777" w:rsidR="00AE5BE3" w:rsidRPr="00DA11F1" w:rsidRDefault="00AE5BE3" w:rsidP="00CC361B">
            <w:pPr>
              <w:spacing w:after="0"/>
              <w:jc w:val="center"/>
              <w:rPr>
                <w:rFonts w:ascii="Times New Roman" w:hAnsi="Times New Roman"/>
                <w:noProof/>
                <w:color w:val="000000"/>
                <w:sz w:val="20"/>
                <w:szCs w:val="20"/>
              </w:rPr>
            </w:pPr>
            <w:r w:rsidRPr="00F43FC8">
              <w:rPr>
                <w:rFonts w:ascii="Times New Roman" w:hAnsi="Times New Roman"/>
                <w:noProof/>
                <w:color w:val="000000"/>
                <w:sz w:val="20"/>
                <w:szCs w:val="20"/>
              </w:rPr>
              <w:t>5</w:t>
            </w:r>
            <w:r>
              <w:rPr>
                <w:rFonts w:ascii="Times New Roman" w:hAnsi="Times New Roman"/>
                <w:noProof/>
                <w:color w:val="000000"/>
                <w:sz w:val="20"/>
                <w:szCs w:val="20"/>
              </w:rPr>
              <w:t>,</w:t>
            </w:r>
            <w:r w:rsidRPr="00F43FC8">
              <w:rPr>
                <w:rFonts w:ascii="Times New Roman" w:hAnsi="Times New Roman"/>
                <w:noProof/>
                <w:color w:val="000000"/>
                <w:sz w:val="20"/>
                <w:szCs w:val="20"/>
              </w:rPr>
              <w:t>6</w:t>
            </w:r>
          </w:p>
        </w:tc>
        <w:tc>
          <w:tcPr>
            <w:tcW w:w="369" w:type="pct"/>
            <w:tcBorders>
              <w:top w:val="nil"/>
              <w:left w:val="nil"/>
              <w:bottom w:val="double" w:sz="4" w:space="0" w:color="auto"/>
              <w:right w:val="double" w:sz="4" w:space="0" w:color="auto"/>
            </w:tcBorders>
            <w:vAlign w:val="center"/>
          </w:tcPr>
          <w:p w14:paraId="6874212B" w14:textId="77777777" w:rsidR="00AE5BE3" w:rsidRPr="00DA11F1" w:rsidRDefault="00AE5BE3" w:rsidP="00CC361B">
            <w:pPr>
              <w:spacing w:after="0"/>
              <w:jc w:val="center"/>
              <w:rPr>
                <w:rFonts w:ascii="Times New Roman" w:hAnsi="Times New Roman"/>
                <w:noProof/>
                <w:color w:val="000000"/>
                <w:sz w:val="20"/>
                <w:szCs w:val="20"/>
              </w:rPr>
            </w:pPr>
            <w:r w:rsidRPr="00F43FC8">
              <w:rPr>
                <w:rFonts w:ascii="Times New Roman" w:hAnsi="Times New Roman"/>
                <w:noProof/>
                <w:color w:val="000000"/>
                <w:sz w:val="20"/>
                <w:szCs w:val="20"/>
              </w:rPr>
              <w:t>5</w:t>
            </w:r>
            <w:r>
              <w:rPr>
                <w:rFonts w:ascii="Times New Roman" w:hAnsi="Times New Roman"/>
                <w:noProof/>
                <w:color w:val="000000"/>
                <w:sz w:val="20"/>
                <w:szCs w:val="20"/>
              </w:rPr>
              <w:t>,</w:t>
            </w:r>
            <w:r w:rsidRPr="00F43FC8">
              <w:rPr>
                <w:rFonts w:ascii="Times New Roman" w:hAnsi="Times New Roman"/>
                <w:noProof/>
                <w:color w:val="000000"/>
                <w:sz w:val="20"/>
                <w:szCs w:val="20"/>
              </w:rPr>
              <w:t>5</w:t>
            </w:r>
          </w:p>
        </w:tc>
        <w:tc>
          <w:tcPr>
            <w:tcW w:w="367" w:type="pct"/>
            <w:tcBorders>
              <w:top w:val="nil"/>
              <w:left w:val="nil"/>
              <w:bottom w:val="double" w:sz="4" w:space="0" w:color="auto"/>
              <w:right w:val="double" w:sz="4" w:space="0" w:color="auto"/>
            </w:tcBorders>
            <w:vAlign w:val="center"/>
          </w:tcPr>
          <w:p w14:paraId="4A295798" w14:textId="77777777" w:rsidR="00AE5BE3" w:rsidRPr="00DA11F1" w:rsidRDefault="00AE5BE3" w:rsidP="00CC361B">
            <w:pPr>
              <w:spacing w:after="0"/>
              <w:jc w:val="center"/>
              <w:rPr>
                <w:rFonts w:ascii="Times New Roman" w:hAnsi="Times New Roman"/>
                <w:noProof/>
                <w:color w:val="000000"/>
                <w:sz w:val="20"/>
                <w:szCs w:val="20"/>
                <w:highlight w:val="yellow"/>
              </w:rPr>
            </w:pPr>
            <w:r w:rsidRPr="00F43FC8">
              <w:rPr>
                <w:rFonts w:ascii="Times New Roman" w:hAnsi="Times New Roman"/>
                <w:noProof/>
                <w:color w:val="000000"/>
                <w:sz w:val="20"/>
                <w:szCs w:val="20"/>
              </w:rPr>
              <w:t>9</w:t>
            </w:r>
            <w:r>
              <w:rPr>
                <w:rFonts w:ascii="Times New Roman" w:hAnsi="Times New Roman"/>
                <w:noProof/>
                <w:color w:val="000000"/>
                <w:sz w:val="20"/>
                <w:szCs w:val="20"/>
              </w:rPr>
              <w:t>,</w:t>
            </w:r>
            <w:r w:rsidRPr="00F43FC8">
              <w:rPr>
                <w:rFonts w:ascii="Times New Roman" w:hAnsi="Times New Roman"/>
                <w:noProof/>
                <w:color w:val="000000"/>
                <w:sz w:val="20"/>
                <w:szCs w:val="20"/>
              </w:rPr>
              <w:t>2</w:t>
            </w:r>
          </w:p>
        </w:tc>
        <w:tc>
          <w:tcPr>
            <w:tcW w:w="366" w:type="pct"/>
            <w:tcBorders>
              <w:top w:val="nil"/>
              <w:left w:val="nil"/>
              <w:bottom w:val="double" w:sz="4" w:space="0" w:color="auto"/>
              <w:right w:val="double" w:sz="4" w:space="0" w:color="auto"/>
            </w:tcBorders>
            <w:vAlign w:val="center"/>
          </w:tcPr>
          <w:p w14:paraId="2F124E6B" w14:textId="77777777" w:rsidR="00AE5BE3" w:rsidRPr="00DA11F1" w:rsidRDefault="00AE5BE3" w:rsidP="00CC361B">
            <w:pPr>
              <w:spacing w:after="0"/>
              <w:jc w:val="center"/>
              <w:rPr>
                <w:rFonts w:ascii="Times New Roman" w:hAnsi="Times New Roman"/>
                <w:noProof/>
                <w:color w:val="000000"/>
                <w:sz w:val="20"/>
                <w:szCs w:val="20"/>
                <w:highlight w:val="yellow"/>
              </w:rPr>
            </w:pPr>
            <w:r w:rsidRPr="00F43FC8">
              <w:rPr>
                <w:rFonts w:ascii="Times New Roman" w:hAnsi="Times New Roman"/>
                <w:noProof/>
                <w:color w:val="000000"/>
                <w:sz w:val="20"/>
                <w:szCs w:val="20"/>
              </w:rPr>
              <w:t>1</w:t>
            </w:r>
            <w:r>
              <w:rPr>
                <w:rFonts w:ascii="Times New Roman" w:hAnsi="Times New Roman"/>
                <w:noProof/>
                <w:color w:val="000000"/>
                <w:sz w:val="20"/>
                <w:szCs w:val="20"/>
              </w:rPr>
              <w:t>,</w:t>
            </w:r>
            <w:r w:rsidRPr="00F43FC8">
              <w:rPr>
                <w:rFonts w:ascii="Times New Roman" w:hAnsi="Times New Roman"/>
                <w:noProof/>
                <w:color w:val="000000"/>
                <w:sz w:val="20"/>
                <w:szCs w:val="20"/>
              </w:rPr>
              <w:t>3</w:t>
            </w:r>
            <w:r w:rsidRPr="00DA11F1">
              <w:rPr>
                <w:rStyle w:val="FootnoteReference"/>
                <w:rFonts w:ascii="Times New Roman" w:hAnsi="Times New Roman"/>
                <w:noProof/>
                <w:color w:val="000000"/>
                <w:sz w:val="20"/>
                <w:szCs w:val="20"/>
                <w:lang w:eastAsia="en-GB"/>
              </w:rPr>
              <w:footnoteReference w:id="85"/>
            </w:r>
          </w:p>
        </w:tc>
      </w:tr>
    </w:tbl>
    <w:p w14:paraId="1CA1EE1E" w14:textId="7DE1D509" w:rsidR="00D4002B" w:rsidRPr="00DA11F1" w:rsidRDefault="00D4002B" w:rsidP="00D4002B">
      <w:pPr>
        <w:jc w:val="both"/>
        <w:rPr>
          <w:rFonts w:ascii="Times New Roman" w:eastAsia="Times New Roman" w:hAnsi="Times New Roman"/>
          <w:noProof/>
          <w:sz w:val="20"/>
          <w:szCs w:val="18"/>
        </w:rPr>
      </w:pPr>
      <w:r>
        <w:rPr>
          <w:rFonts w:ascii="Times New Roman" w:hAnsi="Times New Roman"/>
          <w:noProof/>
          <w:sz w:val="20"/>
          <w:szCs w:val="18"/>
        </w:rPr>
        <w:t>Source: EUTL, DG Action pour le climat</w:t>
      </w:r>
    </w:p>
    <w:p w14:paraId="036C49ED" w14:textId="18C89AF0" w:rsidR="009A5418" w:rsidRPr="00DA11F1" w:rsidRDefault="009A5418" w:rsidP="009A5418">
      <w:pPr>
        <w:jc w:val="both"/>
        <w:rPr>
          <w:rFonts w:ascii="Times New Roman" w:hAnsi="Times New Roman"/>
          <w:noProof/>
          <w:sz w:val="24"/>
          <w:szCs w:val="24"/>
        </w:rPr>
      </w:pPr>
      <w:r>
        <w:rPr>
          <w:rFonts w:ascii="Times New Roman" w:hAnsi="Times New Roman"/>
          <w:noProof/>
          <w:sz w:val="24"/>
          <w:szCs w:val="24"/>
        </w:rPr>
        <w:t>Les volumes de quotas aviation mis aux enchères au cours de la période </w:t>
      </w:r>
      <w:r w:rsidRPr="00F43FC8">
        <w:rPr>
          <w:rFonts w:ascii="Times New Roman" w:hAnsi="Times New Roman"/>
          <w:noProof/>
          <w:sz w:val="24"/>
          <w:szCs w:val="24"/>
        </w:rPr>
        <w:t>2013</w:t>
      </w:r>
      <w:r>
        <w:rPr>
          <w:rFonts w:ascii="Times New Roman" w:hAnsi="Times New Roman"/>
          <w:noProof/>
          <w:sz w:val="24"/>
          <w:szCs w:val="24"/>
        </w:rPr>
        <w:t>-</w:t>
      </w:r>
      <w:r w:rsidRPr="00F43FC8">
        <w:rPr>
          <w:rFonts w:ascii="Times New Roman" w:hAnsi="Times New Roman"/>
          <w:noProof/>
          <w:sz w:val="24"/>
          <w:szCs w:val="24"/>
        </w:rPr>
        <w:t>2015</w:t>
      </w:r>
      <w:r>
        <w:rPr>
          <w:rFonts w:ascii="Times New Roman" w:hAnsi="Times New Roman"/>
          <w:noProof/>
          <w:sz w:val="24"/>
          <w:szCs w:val="24"/>
        </w:rPr>
        <w:t xml:space="preserve"> traduisent la décision suspensive prise par les colégislateurs en </w:t>
      </w:r>
      <w:r w:rsidRPr="00F43FC8">
        <w:rPr>
          <w:rFonts w:ascii="Times New Roman" w:hAnsi="Times New Roman"/>
          <w:noProof/>
          <w:sz w:val="24"/>
          <w:szCs w:val="24"/>
        </w:rPr>
        <w:t>2014</w:t>
      </w:r>
      <w:r w:rsidRPr="00DA11F1">
        <w:rPr>
          <w:rFonts w:ascii="Times New Roman" w:hAnsi="Times New Roman"/>
          <w:noProof/>
          <w:sz w:val="24"/>
          <w:szCs w:val="24"/>
          <w:vertAlign w:val="superscript"/>
        </w:rPr>
        <w:footnoteReference w:id="86"/>
      </w:r>
      <w:r>
        <w:rPr>
          <w:rFonts w:ascii="Times New Roman" w:hAnsi="Times New Roman"/>
          <w:noProof/>
          <w:sz w:val="24"/>
          <w:szCs w:val="24"/>
        </w:rPr>
        <w:t xml:space="preserve"> qui limite les obligations en matière de climat aux seuls vols intra-EEE. La mise en conformité du secteur de l’aviation a été reportée pour </w:t>
      </w:r>
      <w:r w:rsidRPr="00F43FC8">
        <w:rPr>
          <w:rFonts w:ascii="Times New Roman" w:hAnsi="Times New Roman"/>
          <w:noProof/>
          <w:sz w:val="24"/>
          <w:szCs w:val="24"/>
        </w:rPr>
        <w:t>2013</w:t>
      </w:r>
      <w:r w:rsidRPr="00DA11F1">
        <w:rPr>
          <w:rFonts w:ascii="Times New Roman" w:hAnsi="Times New Roman"/>
          <w:noProof/>
          <w:sz w:val="24"/>
          <w:szCs w:val="24"/>
          <w:vertAlign w:val="superscript"/>
        </w:rPr>
        <w:footnoteReference w:id="87"/>
      </w:r>
      <w:r>
        <w:rPr>
          <w:rFonts w:ascii="Times New Roman" w:hAnsi="Times New Roman"/>
          <w:noProof/>
          <w:sz w:val="24"/>
          <w:szCs w:val="24"/>
        </w:rPr>
        <w:t>. Pour les émissions de l’aviation en </w:t>
      </w:r>
      <w:r w:rsidRPr="00F43FC8">
        <w:rPr>
          <w:rFonts w:ascii="Times New Roman" w:hAnsi="Times New Roman"/>
          <w:noProof/>
          <w:sz w:val="24"/>
          <w:szCs w:val="24"/>
        </w:rPr>
        <w:t>2013</w:t>
      </w:r>
      <w:r>
        <w:rPr>
          <w:rFonts w:ascii="Times New Roman" w:hAnsi="Times New Roman"/>
          <w:noProof/>
          <w:sz w:val="24"/>
          <w:szCs w:val="24"/>
        </w:rPr>
        <w:t xml:space="preserve"> et </w:t>
      </w:r>
      <w:r w:rsidRPr="00F43FC8">
        <w:rPr>
          <w:rFonts w:ascii="Times New Roman" w:hAnsi="Times New Roman"/>
          <w:noProof/>
          <w:sz w:val="24"/>
          <w:szCs w:val="24"/>
        </w:rPr>
        <w:t>2014</w:t>
      </w:r>
      <w:r>
        <w:rPr>
          <w:rFonts w:ascii="Times New Roman" w:hAnsi="Times New Roman"/>
          <w:noProof/>
          <w:sz w:val="24"/>
          <w:szCs w:val="24"/>
        </w:rPr>
        <w:t>, le secteur s’est mis en conformité entre janvier et avril </w:t>
      </w:r>
      <w:r w:rsidRPr="00F43FC8">
        <w:rPr>
          <w:rFonts w:ascii="Times New Roman" w:hAnsi="Times New Roman"/>
          <w:noProof/>
          <w:sz w:val="24"/>
          <w:szCs w:val="24"/>
        </w:rPr>
        <w:t>2015</w:t>
      </w:r>
      <w:r>
        <w:rPr>
          <w:rFonts w:ascii="Times New Roman" w:hAnsi="Times New Roman"/>
          <w:noProof/>
          <w:sz w:val="24"/>
          <w:szCs w:val="24"/>
        </w:rPr>
        <w:t>.</w:t>
      </w:r>
    </w:p>
    <w:p w14:paraId="4EE960C5" w14:textId="62EAF8AF" w:rsidR="009A5418" w:rsidRPr="00DA11F1" w:rsidRDefault="003541AB" w:rsidP="00D4002B">
      <w:pPr>
        <w:jc w:val="both"/>
        <w:rPr>
          <w:rFonts w:ascii="Times New Roman" w:hAnsi="Times New Roman"/>
          <w:noProof/>
          <w:sz w:val="24"/>
          <w:szCs w:val="24"/>
        </w:rPr>
      </w:pPr>
      <w:r>
        <w:rPr>
          <w:rFonts w:ascii="Times New Roman" w:hAnsi="Times New Roman"/>
          <w:noProof/>
          <w:sz w:val="24"/>
          <w:szCs w:val="24"/>
        </w:rPr>
        <w:t>L’inclusion du secteur de l’aviation dans le SEQE-UE a eu un impact significatif sur la performance environnementale du système dans son ensemble au cours de la phase </w:t>
      </w:r>
      <w:r w:rsidRPr="00F43FC8">
        <w:rPr>
          <w:rFonts w:ascii="Times New Roman" w:hAnsi="Times New Roman"/>
          <w:noProof/>
          <w:sz w:val="24"/>
          <w:szCs w:val="24"/>
        </w:rPr>
        <w:t>3</w:t>
      </w:r>
      <w:r>
        <w:rPr>
          <w:rFonts w:ascii="Times New Roman" w:hAnsi="Times New Roman"/>
          <w:noProof/>
          <w:sz w:val="24"/>
          <w:szCs w:val="24"/>
        </w:rPr>
        <w:t>. En </w:t>
      </w:r>
      <w:r w:rsidRPr="00F43FC8">
        <w:rPr>
          <w:rFonts w:ascii="Times New Roman" w:hAnsi="Times New Roman"/>
          <w:noProof/>
          <w:sz w:val="24"/>
          <w:szCs w:val="24"/>
        </w:rPr>
        <w:t>2020</w:t>
      </w:r>
      <w:r>
        <w:rPr>
          <w:rFonts w:ascii="Times New Roman" w:hAnsi="Times New Roman"/>
          <w:noProof/>
          <w:sz w:val="24"/>
          <w:szCs w:val="24"/>
        </w:rPr>
        <w:t xml:space="preserve">, les exploitants d’aéronefs avaient restitué </w:t>
      </w:r>
      <w:r w:rsidRPr="00F43FC8">
        <w:rPr>
          <w:rFonts w:ascii="Times New Roman" w:hAnsi="Times New Roman"/>
          <w:noProof/>
          <w:sz w:val="24"/>
          <w:szCs w:val="24"/>
        </w:rPr>
        <w:t>308</w:t>
      </w:r>
      <w:r>
        <w:rPr>
          <w:rFonts w:ascii="Times New Roman" w:hAnsi="Times New Roman"/>
          <w:noProof/>
          <w:sz w:val="24"/>
          <w:szCs w:val="24"/>
        </w:rPr>
        <w:t xml:space="preserve"> millions de quotas aviation et </w:t>
      </w:r>
      <w:r w:rsidRPr="00F43FC8">
        <w:rPr>
          <w:rFonts w:ascii="Times New Roman" w:hAnsi="Times New Roman"/>
          <w:noProof/>
          <w:sz w:val="24"/>
          <w:szCs w:val="24"/>
        </w:rPr>
        <w:t>139</w:t>
      </w:r>
      <w:r>
        <w:rPr>
          <w:rFonts w:ascii="Times New Roman" w:hAnsi="Times New Roman"/>
          <w:noProof/>
          <w:sz w:val="24"/>
          <w:szCs w:val="24"/>
        </w:rPr>
        <w:t xml:space="preserve"> millions de quotas généraux. Ce dernier chiffre prouve que le secteur de l’aviation a dû acheter d’importants volumes de quotas aux installations fixes, contribuant ainsi à la rigueur générale et à l’ambition du SEQE-UE. </w:t>
      </w:r>
    </w:p>
    <w:p w14:paraId="279DD7FC" w14:textId="65526D86" w:rsidR="009A5418" w:rsidRPr="00DA11F1" w:rsidRDefault="009A5418" w:rsidP="009A5418">
      <w:pPr>
        <w:jc w:val="both"/>
        <w:rPr>
          <w:rFonts w:ascii="Times New Roman" w:hAnsi="Times New Roman"/>
          <w:noProof/>
          <w:sz w:val="24"/>
          <w:szCs w:val="24"/>
        </w:rPr>
      </w:pPr>
      <w:r>
        <w:rPr>
          <w:rFonts w:ascii="Times New Roman" w:hAnsi="Times New Roman"/>
          <w:noProof/>
          <w:sz w:val="24"/>
          <w:szCs w:val="24"/>
        </w:rPr>
        <w:t>L’impact significatif de la COVID-</w:t>
      </w:r>
      <w:r w:rsidRPr="00F43FC8">
        <w:rPr>
          <w:rFonts w:ascii="Times New Roman" w:hAnsi="Times New Roman"/>
          <w:noProof/>
          <w:sz w:val="24"/>
          <w:szCs w:val="24"/>
        </w:rPr>
        <w:t>19</w:t>
      </w:r>
      <w:r>
        <w:rPr>
          <w:rFonts w:ascii="Times New Roman" w:hAnsi="Times New Roman"/>
          <w:noProof/>
          <w:sz w:val="24"/>
          <w:szCs w:val="24"/>
        </w:rPr>
        <w:t xml:space="preserve"> sur l’aviation internationale a également eu des répercussions sur le régime CORSIA. En </w:t>
      </w:r>
      <w:r w:rsidRPr="00F43FC8">
        <w:rPr>
          <w:rFonts w:ascii="Times New Roman" w:hAnsi="Times New Roman"/>
          <w:noProof/>
          <w:sz w:val="24"/>
          <w:szCs w:val="24"/>
        </w:rPr>
        <w:t>2020</w:t>
      </w:r>
      <w:r>
        <w:rPr>
          <w:rFonts w:ascii="Times New Roman" w:hAnsi="Times New Roman"/>
          <w:noProof/>
          <w:sz w:val="24"/>
          <w:szCs w:val="24"/>
        </w:rPr>
        <w:t xml:space="preserve">, les émissions mondiales sont tombées en deçà de </w:t>
      </w:r>
      <w:r w:rsidRPr="00F43FC8">
        <w:rPr>
          <w:rFonts w:ascii="Times New Roman" w:hAnsi="Times New Roman"/>
          <w:noProof/>
          <w:sz w:val="24"/>
          <w:szCs w:val="24"/>
        </w:rPr>
        <w:t>54</w:t>
      </w:r>
      <w:r>
        <w:rPr>
          <w:rFonts w:ascii="Times New Roman" w:hAnsi="Times New Roman"/>
          <w:noProof/>
          <w:sz w:val="24"/>
          <w:szCs w:val="24"/>
        </w:rPr>
        <w:t xml:space="preserve"> % des niveaux de </w:t>
      </w:r>
      <w:r w:rsidRPr="00F43FC8">
        <w:rPr>
          <w:rFonts w:ascii="Times New Roman" w:hAnsi="Times New Roman"/>
          <w:noProof/>
          <w:sz w:val="24"/>
          <w:szCs w:val="24"/>
        </w:rPr>
        <w:t>2019</w:t>
      </w:r>
      <w:r w:rsidR="00355B68" w:rsidRPr="00DA11F1">
        <w:rPr>
          <w:rStyle w:val="FootnoteReference"/>
          <w:rFonts w:ascii="Times New Roman" w:hAnsi="Times New Roman"/>
          <w:noProof/>
          <w:sz w:val="24"/>
          <w:szCs w:val="24"/>
        </w:rPr>
        <w:footnoteReference w:id="88"/>
      </w:r>
      <w:r>
        <w:rPr>
          <w:rFonts w:ascii="Times New Roman" w:hAnsi="Times New Roman"/>
          <w:noProof/>
          <w:sz w:val="24"/>
          <w:szCs w:val="24"/>
        </w:rPr>
        <w:t>. Compte tenu de cet impact, le secteur de l’aviation, soutenu par de nombreux pays participants de l’OACI, a demandé et obtenu l’adaptation du niveau de référence du CORSIA qui est passé de la moyenne initiale des émissions de </w:t>
      </w:r>
      <w:r w:rsidRPr="00F43FC8">
        <w:rPr>
          <w:rFonts w:ascii="Times New Roman" w:hAnsi="Times New Roman"/>
          <w:noProof/>
          <w:sz w:val="24"/>
          <w:szCs w:val="24"/>
        </w:rPr>
        <w:t>2019</w:t>
      </w:r>
      <w:r>
        <w:rPr>
          <w:rFonts w:ascii="Times New Roman" w:hAnsi="Times New Roman"/>
          <w:noProof/>
          <w:sz w:val="24"/>
          <w:szCs w:val="24"/>
        </w:rPr>
        <w:t>-</w:t>
      </w:r>
      <w:r w:rsidRPr="00F43FC8">
        <w:rPr>
          <w:rFonts w:ascii="Times New Roman" w:hAnsi="Times New Roman"/>
          <w:noProof/>
          <w:sz w:val="24"/>
          <w:szCs w:val="24"/>
        </w:rPr>
        <w:t>2020</w:t>
      </w:r>
      <w:r>
        <w:rPr>
          <w:rFonts w:ascii="Times New Roman" w:hAnsi="Times New Roman"/>
          <w:noProof/>
          <w:sz w:val="24"/>
          <w:szCs w:val="24"/>
        </w:rPr>
        <w:t xml:space="preserve"> aux émissions de </w:t>
      </w:r>
      <w:r w:rsidRPr="00F43FC8">
        <w:rPr>
          <w:rFonts w:ascii="Times New Roman" w:hAnsi="Times New Roman"/>
          <w:noProof/>
          <w:sz w:val="24"/>
          <w:szCs w:val="24"/>
        </w:rPr>
        <w:t>2019</w:t>
      </w:r>
      <w:r>
        <w:rPr>
          <w:rFonts w:ascii="Times New Roman" w:hAnsi="Times New Roman"/>
          <w:noProof/>
          <w:sz w:val="24"/>
          <w:szCs w:val="24"/>
        </w:rPr>
        <w:t xml:space="preserve"> pour la phase pilote (années </w:t>
      </w:r>
      <w:r w:rsidRPr="00F43FC8">
        <w:rPr>
          <w:rFonts w:ascii="Times New Roman" w:hAnsi="Times New Roman"/>
          <w:noProof/>
          <w:sz w:val="24"/>
          <w:szCs w:val="24"/>
        </w:rPr>
        <w:t>2021</w:t>
      </w:r>
      <w:r>
        <w:rPr>
          <w:rFonts w:ascii="Times New Roman" w:hAnsi="Times New Roman"/>
          <w:noProof/>
          <w:sz w:val="24"/>
          <w:szCs w:val="24"/>
        </w:rPr>
        <w:t>-</w:t>
      </w:r>
      <w:r w:rsidRPr="00F43FC8">
        <w:rPr>
          <w:rFonts w:ascii="Times New Roman" w:hAnsi="Times New Roman"/>
          <w:noProof/>
          <w:sz w:val="24"/>
          <w:szCs w:val="24"/>
        </w:rPr>
        <w:t>2023</w:t>
      </w:r>
      <w:r>
        <w:rPr>
          <w:rFonts w:ascii="Times New Roman" w:hAnsi="Times New Roman"/>
          <w:noProof/>
          <w:sz w:val="24"/>
          <w:szCs w:val="24"/>
        </w:rPr>
        <w:t>). Le rétablissement du secteur de l’aviation n’étant pas escompté avant </w:t>
      </w:r>
      <w:r w:rsidRPr="00F43FC8">
        <w:rPr>
          <w:rFonts w:ascii="Times New Roman" w:hAnsi="Times New Roman"/>
          <w:noProof/>
          <w:sz w:val="24"/>
          <w:szCs w:val="24"/>
        </w:rPr>
        <w:t>2023</w:t>
      </w:r>
      <w:r w:rsidR="00355B68" w:rsidRPr="00DA11F1">
        <w:rPr>
          <w:rStyle w:val="FootnoteReference"/>
          <w:rFonts w:ascii="Times New Roman" w:hAnsi="Times New Roman"/>
          <w:noProof/>
          <w:sz w:val="24"/>
          <w:szCs w:val="24"/>
        </w:rPr>
        <w:footnoteReference w:id="89"/>
      </w:r>
      <w:r>
        <w:rPr>
          <w:rFonts w:ascii="Times New Roman" w:hAnsi="Times New Roman"/>
          <w:noProof/>
          <w:sz w:val="24"/>
          <w:szCs w:val="24"/>
        </w:rPr>
        <w:t xml:space="preserve"> (retour aux niveaux de trafic de </w:t>
      </w:r>
      <w:r w:rsidRPr="00F43FC8">
        <w:rPr>
          <w:rFonts w:ascii="Times New Roman" w:hAnsi="Times New Roman"/>
          <w:noProof/>
          <w:sz w:val="24"/>
          <w:szCs w:val="24"/>
        </w:rPr>
        <w:t>2019</w:t>
      </w:r>
      <w:r>
        <w:rPr>
          <w:rFonts w:ascii="Times New Roman" w:hAnsi="Times New Roman"/>
          <w:noProof/>
          <w:sz w:val="24"/>
          <w:szCs w:val="24"/>
        </w:rPr>
        <w:t xml:space="preserve">), les compagnies aériennes n’auraient probablement que peu, voire aucune obligation de compensation pendant la phase pilote du CORSIA. </w:t>
      </w:r>
    </w:p>
    <w:p w14:paraId="1B3A35C1" w14:textId="6FABACA3" w:rsidR="008E044F" w:rsidRPr="00DA11F1" w:rsidRDefault="008E044F" w:rsidP="008E044F">
      <w:pPr>
        <w:jc w:val="both"/>
        <w:rPr>
          <w:rFonts w:ascii="Times New Roman" w:hAnsi="Times New Roman"/>
          <w:noProof/>
          <w:sz w:val="24"/>
          <w:szCs w:val="24"/>
        </w:rPr>
      </w:pPr>
      <w:r>
        <w:rPr>
          <w:rFonts w:ascii="Times New Roman" w:hAnsi="Times New Roman"/>
          <w:noProof/>
          <w:sz w:val="24"/>
          <w:szCs w:val="24"/>
        </w:rPr>
        <w:t>La directive SEQE-UE impose à la Commission de rendre compte au Parlement européen et au Conseil sur l’ambition générale et l’intégrité environnementale globale du CORSIA. L’article </w:t>
      </w:r>
      <w:r w:rsidRPr="00F43FC8">
        <w:rPr>
          <w:rFonts w:ascii="Times New Roman" w:hAnsi="Times New Roman"/>
          <w:noProof/>
          <w:sz w:val="24"/>
          <w:szCs w:val="24"/>
        </w:rPr>
        <w:t>3</w:t>
      </w:r>
      <w:r>
        <w:rPr>
          <w:rFonts w:ascii="Times New Roman" w:hAnsi="Times New Roman"/>
          <w:noProof/>
          <w:sz w:val="24"/>
          <w:szCs w:val="24"/>
        </w:rPr>
        <w:t> </w:t>
      </w:r>
      <w:r>
        <w:rPr>
          <w:rFonts w:ascii="Times New Roman" w:hAnsi="Times New Roman"/>
          <w:i/>
          <w:iCs/>
          <w:noProof/>
          <w:sz w:val="24"/>
          <w:szCs w:val="24"/>
        </w:rPr>
        <w:t>quinquies</w:t>
      </w:r>
      <w:r>
        <w:rPr>
          <w:rFonts w:ascii="Times New Roman" w:hAnsi="Times New Roman"/>
          <w:noProof/>
          <w:sz w:val="24"/>
          <w:szCs w:val="24"/>
        </w:rPr>
        <w:t xml:space="preserve"> de la directive l’oblige également à réaliser «une étude de la capacité du secteur de l’aviation à répercuter le coût du CO</w:t>
      </w:r>
      <w:r w:rsidRPr="00F43FC8">
        <w:rPr>
          <w:rFonts w:ascii="Times New Roman" w:hAnsi="Times New Roman"/>
          <w:noProof/>
          <w:sz w:val="24"/>
          <w:szCs w:val="24"/>
          <w:vertAlign w:val="subscript"/>
        </w:rPr>
        <w:t>2</w:t>
      </w:r>
      <w:r>
        <w:rPr>
          <w:rFonts w:ascii="Times New Roman" w:hAnsi="Times New Roman"/>
          <w:noProof/>
          <w:sz w:val="24"/>
          <w:szCs w:val="24"/>
        </w:rPr>
        <w:t xml:space="preserve"> sur ses clients [...] en vue de faire une proposition visant à accroître le pourcentage des mises aux enchères».</w:t>
      </w:r>
    </w:p>
    <w:p w14:paraId="726E61F0" w14:textId="0F01A655" w:rsidR="00131369" w:rsidRPr="00DA11F1" w:rsidRDefault="00D4002B">
      <w:pPr>
        <w:jc w:val="both"/>
        <w:rPr>
          <w:rFonts w:ascii="Times New Roman" w:hAnsi="Times New Roman"/>
          <w:noProof/>
          <w:sz w:val="24"/>
          <w:szCs w:val="24"/>
        </w:rPr>
      </w:pPr>
      <w:r>
        <w:rPr>
          <w:rFonts w:ascii="Times New Roman" w:hAnsi="Times New Roman"/>
          <w:noProof/>
          <w:sz w:val="24"/>
          <w:szCs w:val="24"/>
        </w:rPr>
        <w:t xml:space="preserve">Dans le cadre du paquet législatif plus large publié le </w:t>
      </w:r>
      <w:r w:rsidRPr="00F43FC8">
        <w:rPr>
          <w:rFonts w:ascii="Times New Roman" w:hAnsi="Times New Roman"/>
          <w:noProof/>
          <w:sz w:val="24"/>
          <w:szCs w:val="24"/>
        </w:rPr>
        <w:t>14</w:t>
      </w:r>
      <w:r>
        <w:rPr>
          <w:rFonts w:ascii="Times New Roman" w:hAnsi="Times New Roman"/>
          <w:noProof/>
          <w:sz w:val="24"/>
          <w:szCs w:val="24"/>
        </w:rPr>
        <w:t> juillet </w:t>
      </w:r>
      <w:r w:rsidRPr="00F43FC8">
        <w:rPr>
          <w:rFonts w:ascii="Times New Roman" w:hAnsi="Times New Roman"/>
          <w:noProof/>
          <w:sz w:val="24"/>
          <w:szCs w:val="24"/>
        </w:rPr>
        <w:t>2021</w:t>
      </w:r>
      <w:r>
        <w:rPr>
          <w:rFonts w:ascii="Times New Roman" w:hAnsi="Times New Roman"/>
          <w:noProof/>
          <w:sz w:val="24"/>
          <w:szCs w:val="24"/>
        </w:rPr>
        <w:t xml:space="preserve"> en vue de mettre en œuvre le pacte vert pour l’Europe, et sur la base de la directive SEQE-UE telle que modifiée en </w:t>
      </w:r>
      <w:r w:rsidRPr="00F43FC8">
        <w:rPr>
          <w:rFonts w:ascii="Times New Roman" w:hAnsi="Times New Roman"/>
          <w:noProof/>
          <w:sz w:val="24"/>
          <w:szCs w:val="24"/>
        </w:rPr>
        <w:t>2017</w:t>
      </w:r>
      <w:r w:rsidRPr="00DA11F1">
        <w:rPr>
          <w:rFonts w:ascii="Times New Roman" w:hAnsi="Times New Roman"/>
          <w:noProof/>
          <w:sz w:val="24"/>
          <w:szCs w:val="24"/>
          <w:vertAlign w:val="superscript"/>
        </w:rPr>
        <w:footnoteReference w:id="90"/>
      </w:r>
      <w:r>
        <w:rPr>
          <w:rFonts w:ascii="Times New Roman" w:hAnsi="Times New Roman"/>
          <w:noProof/>
          <w:sz w:val="24"/>
          <w:szCs w:val="24"/>
        </w:rPr>
        <w:t>, la Commission a proposé de modifier le SEQE-UE pour l’aviation</w:t>
      </w:r>
      <w:r w:rsidR="008E044F" w:rsidRPr="00DA11F1">
        <w:rPr>
          <w:rFonts w:ascii="Times New Roman" w:hAnsi="Times New Roman"/>
          <w:noProof/>
          <w:sz w:val="24"/>
          <w:szCs w:val="24"/>
          <w:vertAlign w:val="superscript"/>
        </w:rPr>
        <w:footnoteReference w:id="91"/>
      </w:r>
      <w:r>
        <w:rPr>
          <w:rFonts w:ascii="Times New Roman" w:hAnsi="Times New Roman"/>
          <w:noProof/>
          <w:sz w:val="24"/>
          <w:szCs w:val="24"/>
        </w:rPr>
        <w:t>. Cette proposition inclut, dans l’analyse d’impact qui l’accompagne</w:t>
      </w:r>
      <w:r w:rsidR="00697D4B" w:rsidRPr="00DA11F1">
        <w:rPr>
          <w:rStyle w:val="FootnoteReference"/>
          <w:rFonts w:ascii="Times New Roman" w:hAnsi="Times New Roman"/>
          <w:noProof/>
          <w:sz w:val="24"/>
          <w:szCs w:val="24"/>
        </w:rPr>
        <w:footnoteReference w:id="92"/>
      </w:r>
      <w:r>
        <w:rPr>
          <w:rFonts w:ascii="Times New Roman" w:hAnsi="Times New Roman"/>
          <w:noProof/>
          <w:sz w:val="24"/>
          <w:szCs w:val="24"/>
        </w:rPr>
        <w:t>, un rapport sur l’évaluation du CORSIA et l’étude relative à la répercussion des coûts. Elle vise également à transposer le CORSIA dans le droit de l’Union d’une manière qui soit compatible avec les objectifs climatiques de l’UE pour </w:t>
      </w:r>
      <w:r w:rsidRPr="00F43FC8">
        <w:rPr>
          <w:rFonts w:ascii="Times New Roman" w:hAnsi="Times New Roman"/>
          <w:noProof/>
          <w:sz w:val="24"/>
          <w:szCs w:val="24"/>
        </w:rPr>
        <w:t>2030</w:t>
      </w:r>
      <w:r>
        <w:rPr>
          <w:rFonts w:ascii="Times New Roman" w:hAnsi="Times New Roman"/>
          <w:noProof/>
          <w:sz w:val="24"/>
          <w:szCs w:val="24"/>
        </w:rPr>
        <w:t>.</w:t>
      </w:r>
      <w:r>
        <w:rPr>
          <w:rFonts w:ascii="Times New Roman" w:hAnsi="Times New Roman"/>
          <w:noProof/>
        </w:rPr>
        <w:t xml:space="preserve"> </w:t>
      </w:r>
    </w:p>
    <w:p w14:paraId="4A4ACB2E" w14:textId="1DD64852" w:rsidR="009B3224" w:rsidRPr="00DA11F1" w:rsidRDefault="009B1524" w:rsidP="008356AC">
      <w:pPr>
        <w:pStyle w:val="Heading1"/>
        <w:spacing w:before="0" w:after="200"/>
        <w:rPr>
          <w:noProof/>
        </w:rPr>
      </w:pPr>
      <w:bookmarkStart w:id="63" w:name="_Toc490850435"/>
      <w:bookmarkStart w:id="64" w:name="_Toc519009686"/>
      <w:bookmarkStart w:id="65" w:name="_Toc89707775"/>
      <w:r w:rsidRPr="00F43FC8">
        <w:rPr>
          <w:noProof/>
        </w:rPr>
        <w:t>5</w:t>
      </w:r>
      <w:r>
        <w:rPr>
          <w:noProof/>
        </w:rPr>
        <w:t>. SURVEILLANCE DU MARCHÉ</w:t>
      </w:r>
      <w:bookmarkEnd w:id="63"/>
      <w:bookmarkEnd w:id="64"/>
      <w:bookmarkEnd w:id="65"/>
    </w:p>
    <w:p w14:paraId="326191DB" w14:textId="46940952" w:rsidR="009B3224" w:rsidRPr="00DA11F1" w:rsidRDefault="009B3224" w:rsidP="009B3224">
      <w:pPr>
        <w:jc w:val="both"/>
        <w:rPr>
          <w:rFonts w:ascii="Times New Roman" w:hAnsi="Times New Roman"/>
          <w:noProof/>
          <w:sz w:val="24"/>
          <w:szCs w:val="24"/>
        </w:rPr>
      </w:pPr>
      <w:r>
        <w:rPr>
          <w:rFonts w:ascii="Times New Roman" w:hAnsi="Times New Roman"/>
          <w:noProof/>
          <w:sz w:val="24"/>
          <w:szCs w:val="24"/>
        </w:rPr>
        <w:t>Au cours de la phase </w:t>
      </w:r>
      <w:r w:rsidRPr="00F43FC8">
        <w:rPr>
          <w:rFonts w:ascii="Times New Roman" w:hAnsi="Times New Roman"/>
          <w:noProof/>
          <w:sz w:val="24"/>
          <w:szCs w:val="24"/>
        </w:rPr>
        <w:t>3</w:t>
      </w:r>
      <w:r>
        <w:rPr>
          <w:rFonts w:ascii="Times New Roman" w:hAnsi="Times New Roman"/>
          <w:noProof/>
          <w:sz w:val="24"/>
          <w:szCs w:val="24"/>
        </w:rPr>
        <w:t xml:space="preserve"> du SEQE-UE (</w:t>
      </w:r>
      <w:r w:rsidRPr="00F43FC8">
        <w:rPr>
          <w:rFonts w:ascii="Times New Roman" w:hAnsi="Times New Roman"/>
          <w:noProof/>
          <w:sz w:val="24"/>
          <w:szCs w:val="24"/>
        </w:rPr>
        <w:t>2013</w:t>
      </w:r>
      <w:r>
        <w:rPr>
          <w:rFonts w:ascii="Times New Roman" w:hAnsi="Times New Roman"/>
          <w:noProof/>
          <w:sz w:val="24"/>
          <w:szCs w:val="24"/>
        </w:rPr>
        <w:t>-</w:t>
      </w:r>
      <w:r w:rsidRPr="00F43FC8">
        <w:rPr>
          <w:rFonts w:ascii="Times New Roman" w:hAnsi="Times New Roman"/>
          <w:noProof/>
          <w:sz w:val="24"/>
          <w:szCs w:val="24"/>
        </w:rPr>
        <w:t>2020</w:t>
      </w:r>
      <w:r>
        <w:rPr>
          <w:rFonts w:ascii="Times New Roman" w:hAnsi="Times New Roman"/>
          <w:noProof/>
          <w:sz w:val="24"/>
          <w:szCs w:val="24"/>
        </w:rPr>
        <w:t>), un solide cadre juridique a été mis en place afin de superviser le marché du carbone de l’UE. Les instruments dérivés sur quotas d’émission ont été considérés dès le début du SEQE-UE comme des instruments financiers. Toutefois, depuis janvier </w:t>
      </w:r>
      <w:r w:rsidRPr="00F43FC8">
        <w:rPr>
          <w:rFonts w:ascii="Times New Roman" w:hAnsi="Times New Roman"/>
          <w:noProof/>
          <w:sz w:val="24"/>
          <w:szCs w:val="24"/>
        </w:rPr>
        <w:t>2018</w:t>
      </w:r>
      <w:r>
        <w:rPr>
          <w:rFonts w:ascii="Times New Roman" w:hAnsi="Times New Roman"/>
          <w:noProof/>
          <w:sz w:val="24"/>
          <w:szCs w:val="24"/>
        </w:rPr>
        <w:t>, les quotas d’émission au comptant</w:t>
      </w:r>
      <w:r w:rsidRPr="00DA11F1">
        <w:rPr>
          <w:rStyle w:val="FootnoteReference"/>
          <w:rFonts w:ascii="Times New Roman" w:hAnsi="Times New Roman"/>
          <w:noProof/>
          <w:sz w:val="24"/>
          <w:szCs w:val="24"/>
        </w:rPr>
        <w:footnoteReference w:id="93"/>
      </w:r>
      <w:r>
        <w:rPr>
          <w:rFonts w:ascii="Times New Roman" w:hAnsi="Times New Roman"/>
          <w:noProof/>
          <w:sz w:val="24"/>
          <w:szCs w:val="24"/>
        </w:rPr>
        <w:t xml:space="preserve"> sont également considérés comme des instruments financiers au titre de la directive concernant les marchés d’instruments financiers</w:t>
      </w:r>
      <w:r w:rsidRPr="00DA11F1">
        <w:rPr>
          <w:rStyle w:val="FootnoteReference"/>
          <w:rFonts w:ascii="Times New Roman" w:hAnsi="Times New Roman"/>
          <w:noProof/>
          <w:sz w:val="24"/>
          <w:szCs w:val="24"/>
        </w:rPr>
        <w:footnoteReference w:id="94"/>
      </w:r>
      <w:r>
        <w:rPr>
          <w:rFonts w:ascii="Times New Roman" w:hAnsi="Times New Roman"/>
          <w:noProof/>
          <w:sz w:val="24"/>
          <w:szCs w:val="24"/>
        </w:rPr>
        <w:t xml:space="preserve"> (MiFID). La classification des quotas d’émission a été reflétée dans plusieurs actes de droit dérivé, dont le règlement sur la mise aux enchères</w:t>
      </w:r>
      <w:r w:rsidR="00AE5689" w:rsidRPr="00DA11F1">
        <w:rPr>
          <w:rStyle w:val="FootnoteReference"/>
          <w:rFonts w:ascii="Times New Roman" w:hAnsi="Times New Roman"/>
          <w:noProof/>
          <w:sz w:val="24"/>
          <w:szCs w:val="24"/>
        </w:rPr>
        <w:footnoteReference w:id="95"/>
      </w:r>
      <w:r>
        <w:rPr>
          <w:rFonts w:ascii="Times New Roman" w:hAnsi="Times New Roman"/>
          <w:noProof/>
          <w:sz w:val="24"/>
          <w:szCs w:val="24"/>
        </w:rPr>
        <w:t xml:space="preserve">, aux fins de la supervision du marché primaire (enchères). Dès lors, tous les échanges de quotas d’émission sont effectivement soumis au même régime applicable aux marchés financiers de l’UE. </w:t>
      </w:r>
    </w:p>
    <w:p w14:paraId="642558D8" w14:textId="54D9A597" w:rsidR="009B3224" w:rsidRPr="00DA11F1" w:rsidRDefault="009B3224" w:rsidP="007D7CA6">
      <w:pPr>
        <w:jc w:val="both"/>
        <w:rPr>
          <w:rFonts w:ascii="Times New Roman" w:hAnsi="Times New Roman"/>
          <w:noProof/>
          <w:sz w:val="24"/>
          <w:szCs w:val="24"/>
        </w:rPr>
      </w:pPr>
      <w:r>
        <w:rPr>
          <w:rFonts w:ascii="Times New Roman" w:hAnsi="Times New Roman"/>
          <w:noProof/>
          <w:sz w:val="24"/>
          <w:szCs w:val="24"/>
        </w:rPr>
        <w:t xml:space="preserve">Les principales règles du marché financier applicables aux échanges de quotas d’émission sont celles ci-après: </w:t>
      </w:r>
    </w:p>
    <w:p w14:paraId="07CE51F4" w14:textId="54BA3026" w:rsidR="009B3224" w:rsidRPr="00DA11F1" w:rsidRDefault="009B3224" w:rsidP="007D7CA6">
      <w:pPr>
        <w:pStyle w:val="ListParagraph"/>
        <w:numPr>
          <w:ilvl w:val="0"/>
          <w:numId w:val="27"/>
        </w:numPr>
        <w:ind w:left="714" w:hanging="357"/>
        <w:contextualSpacing w:val="0"/>
        <w:jc w:val="both"/>
        <w:rPr>
          <w:rFonts w:ascii="Times New Roman" w:hAnsi="Times New Roman"/>
          <w:noProof/>
          <w:sz w:val="24"/>
          <w:szCs w:val="24"/>
        </w:rPr>
      </w:pPr>
      <w:r>
        <w:rPr>
          <w:rFonts w:ascii="Times New Roman" w:hAnsi="Times New Roman"/>
          <w:noProof/>
          <w:sz w:val="24"/>
          <w:szCs w:val="24"/>
        </w:rPr>
        <w:t xml:space="preserve">la </w:t>
      </w:r>
      <w:r>
        <w:rPr>
          <w:rFonts w:ascii="Times New Roman" w:hAnsi="Times New Roman"/>
          <w:b/>
          <w:noProof/>
          <w:sz w:val="24"/>
          <w:szCs w:val="24"/>
        </w:rPr>
        <w:t>directive et le règlement concernant les marchés d’instruments financiers (MIFID II/MIFIR)</w:t>
      </w:r>
      <w:r>
        <w:rPr>
          <w:rFonts w:ascii="Times New Roman" w:hAnsi="Times New Roman"/>
          <w:noProof/>
          <w:sz w:val="24"/>
          <w:szCs w:val="24"/>
        </w:rPr>
        <w:t xml:space="preserve">, qui établissent des conditions d’autorisation pour les plates-formes de négociation et les intermédiaires financiers (entreprises d’investissement), des obligations importantes en matière de déclaration et de transparence afin d’éviter les abus de marché ainsi que des règles relatives à la surveillance et à la coopération entre les autorités nationales compétentes; </w:t>
      </w:r>
    </w:p>
    <w:p w14:paraId="112ABE4F" w14:textId="4D5C32B7" w:rsidR="009B3224" w:rsidRPr="00DA11F1" w:rsidRDefault="009B3224" w:rsidP="007D7CA6">
      <w:pPr>
        <w:pStyle w:val="ListParagraph"/>
        <w:numPr>
          <w:ilvl w:val="0"/>
          <w:numId w:val="27"/>
        </w:numPr>
        <w:contextualSpacing w:val="0"/>
        <w:jc w:val="both"/>
        <w:rPr>
          <w:rFonts w:ascii="Times New Roman" w:hAnsi="Times New Roman"/>
          <w:noProof/>
          <w:sz w:val="24"/>
          <w:szCs w:val="24"/>
        </w:rPr>
      </w:pPr>
      <w:r>
        <w:rPr>
          <w:rFonts w:ascii="Times New Roman" w:hAnsi="Times New Roman"/>
          <w:noProof/>
          <w:sz w:val="24"/>
          <w:szCs w:val="24"/>
        </w:rPr>
        <w:t xml:space="preserve">le </w:t>
      </w:r>
      <w:r>
        <w:rPr>
          <w:rFonts w:ascii="Times New Roman" w:hAnsi="Times New Roman"/>
          <w:b/>
          <w:noProof/>
          <w:sz w:val="24"/>
          <w:szCs w:val="24"/>
        </w:rPr>
        <w:t>règlement sur les abus de marché</w:t>
      </w:r>
      <w:r w:rsidRPr="00DA11F1">
        <w:rPr>
          <w:rStyle w:val="FootnoteReference"/>
          <w:rFonts w:ascii="Times New Roman" w:hAnsi="Times New Roman"/>
          <w:b/>
          <w:noProof/>
          <w:sz w:val="24"/>
          <w:szCs w:val="24"/>
        </w:rPr>
        <w:footnoteReference w:id="96"/>
      </w:r>
      <w:r>
        <w:rPr>
          <w:rFonts w:ascii="Times New Roman" w:hAnsi="Times New Roman"/>
          <w:noProof/>
          <w:sz w:val="24"/>
          <w:szCs w:val="24"/>
        </w:rPr>
        <w:t>, qui est le règlement de l’UE interdisant différentes formes d’abus de marché, telles que les opérations d’initiés ou les manipulations du marché au moyen de pratiques telles que la propagation de fausses informations ou rumeurs. Ce règlement s’applique à tous les acteurs du marché, indépendamment du fait que l’abus ait lieu ou non sur le territoire de l’UE;</w:t>
      </w:r>
    </w:p>
    <w:p w14:paraId="2FD386CF" w14:textId="05E7DCB5" w:rsidR="009B3224" w:rsidRPr="00DA11F1" w:rsidRDefault="009B3224" w:rsidP="007D7CA6">
      <w:pPr>
        <w:pStyle w:val="ListParagraph"/>
        <w:numPr>
          <w:ilvl w:val="0"/>
          <w:numId w:val="27"/>
        </w:numPr>
        <w:ind w:left="714" w:hanging="357"/>
        <w:contextualSpacing w:val="0"/>
        <w:jc w:val="both"/>
        <w:rPr>
          <w:rFonts w:ascii="Times New Roman" w:hAnsi="Times New Roman"/>
          <w:noProof/>
          <w:sz w:val="24"/>
          <w:szCs w:val="24"/>
        </w:rPr>
      </w:pPr>
      <w:r>
        <w:rPr>
          <w:rFonts w:ascii="Times New Roman" w:hAnsi="Times New Roman"/>
          <w:noProof/>
          <w:sz w:val="24"/>
          <w:szCs w:val="24"/>
        </w:rPr>
        <w:t>la</w:t>
      </w:r>
      <w:r>
        <w:rPr>
          <w:rFonts w:ascii="Times New Roman" w:hAnsi="Times New Roman"/>
          <w:b/>
          <w:noProof/>
          <w:sz w:val="24"/>
          <w:szCs w:val="24"/>
        </w:rPr>
        <w:t xml:space="preserve"> directive anti-blanchiment</w:t>
      </w:r>
      <w:r w:rsidRPr="00DA11F1">
        <w:rPr>
          <w:rStyle w:val="FootnoteReference"/>
          <w:rFonts w:ascii="Times New Roman" w:hAnsi="Times New Roman"/>
          <w:b/>
          <w:noProof/>
          <w:sz w:val="24"/>
          <w:szCs w:val="24"/>
        </w:rPr>
        <w:footnoteReference w:id="97"/>
      </w:r>
      <w:r>
        <w:rPr>
          <w:rFonts w:ascii="Times New Roman" w:hAnsi="Times New Roman"/>
          <w:noProof/>
          <w:sz w:val="24"/>
          <w:szCs w:val="24"/>
        </w:rPr>
        <w:t xml:space="preserve">, qui établit d’importantes garanties contre le blanchiment de capitaux et le financement du terrorisme. </w:t>
      </w:r>
    </w:p>
    <w:p w14:paraId="60E7902F" w14:textId="04F46E05" w:rsidR="009B3224" w:rsidRPr="00DA11F1" w:rsidRDefault="009B3224" w:rsidP="009B3224">
      <w:pPr>
        <w:jc w:val="both"/>
        <w:rPr>
          <w:rFonts w:ascii="Times New Roman" w:hAnsi="Times New Roman"/>
          <w:noProof/>
          <w:sz w:val="24"/>
          <w:szCs w:val="24"/>
        </w:rPr>
      </w:pPr>
      <w:r>
        <w:rPr>
          <w:rFonts w:ascii="Times New Roman" w:hAnsi="Times New Roman"/>
          <w:noProof/>
          <w:sz w:val="24"/>
          <w:szCs w:val="24"/>
        </w:rPr>
        <w:t xml:space="preserve">Le marché est supervisé par les autorités financières des </w:t>
      </w:r>
      <w:r w:rsidRPr="00F43FC8">
        <w:rPr>
          <w:rFonts w:ascii="Times New Roman" w:hAnsi="Times New Roman"/>
          <w:noProof/>
          <w:sz w:val="24"/>
          <w:szCs w:val="24"/>
        </w:rPr>
        <w:t>27</w:t>
      </w:r>
      <w:r>
        <w:rPr>
          <w:rFonts w:ascii="Times New Roman" w:hAnsi="Times New Roman"/>
          <w:noProof/>
          <w:sz w:val="24"/>
          <w:szCs w:val="24"/>
        </w:rPr>
        <w:t> États membres</w:t>
      </w:r>
      <w:r w:rsidRPr="00DA11F1">
        <w:rPr>
          <w:rStyle w:val="FootnoteReference"/>
          <w:rFonts w:ascii="Times New Roman" w:hAnsi="Times New Roman"/>
          <w:noProof/>
          <w:sz w:val="24"/>
          <w:szCs w:val="24"/>
        </w:rPr>
        <w:footnoteReference w:id="98"/>
      </w:r>
      <w:r>
        <w:rPr>
          <w:rFonts w:ascii="Times New Roman" w:hAnsi="Times New Roman"/>
          <w:noProof/>
          <w:sz w:val="24"/>
          <w:szCs w:val="24"/>
        </w:rPr>
        <w:t>, sous la coordination du régulateur européen, l’Autorité européenne des marchés financiers (AEMF). Conformément aux règles relatives aux marchés financiers, les plates-formes de négociation et les entreprises d’investissement sont soumises à de strictes obligations de déclaration et de transparence. Cela permet aux autorités compétentes des États membres de surveiller les comportements de négociation des acteurs du marché. Le règlement sur les abus de marché oblige en outre ces derniers à signaler sans délai les ordres et transactions suspects. Les autorités nationales ont le pouvoir d’imposer des mesures correctives ou des sanctions lorsqu’elles jugent que certains comportements peuvent donner lieu à des abus de marché.</w:t>
      </w:r>
    </w:p>
    <w:p w14:paraId="2E9344E0" w14:textId="52E7B7EB" w:rsidR="009B3224" w:rsidRPr="00DA11F1" w:rsidRDefault="009B3224" w:rsidP="009B3224">
      <w:pPr>
        <w:jc w:val="both"/>
        <w:rPr>
          <w:rFonts w:ascii="Times New Roman" w:hAnsi="Times New Roman"/>
          <w:noProof/>
          <w:sz w:val="24"/>
          <w:szCs w:val="24"/>
        </w:rPr>
      </w:pPr>
      <w:r>
        <w:rPr>
          <w:rFonts w:ascii="Times New Roman" w:hAnsi="Times New Roman"/>
          <w:noProof/>
          <w:sz w:val="24"/>
          <w:szCs w:val="24"/>
        </w:rPr>
        <w:t>Les règles relatives aux marchés financiers constituent une garantie importante de l’intégrité et de la transparence du marché du carbone de l’UE. À ce jour, le cadre mis en place a fait preuve d’efficacité, et il est essentiel de veiller à ce que les règles soient correctement appliquées.</w:t>
      </w:r>
    </w:p>
    <w:p w14:paraId="62A5F54F" w14:textId="60A0E84F" w:rsidR="009B3224" w:rsidRPr="00DA11F1" w:rsidRDefault="009B3224" w:rsidP="009B3224">
      <w:pPr>
        <w:jc w:val="both"/>
        <w:rPr>
          <w:rFonts w:ascii="Times New Roman" w:hAnsi="Times New Roman"/>
          <w:noProof/>
          <w:sz w:val="24"/>
          <w:szCs w:val="24"/>
        </w:rPr>
      </w:pPr>
      <w:r>
        <w:rPr>
          <w:rFonts w:ascii="Times New Roman" w:hAnsi="Times New Roman"/>
          <w:noProof/>
          <w:sz w:val="24"/>
          <w:szCs w:val="24"/>
        </w:rPr>
        <w:t>L’AEMF publie chaque année une estimation de la taille des différents marchés européens, y compris du marché du carbone. Dans sa dernière estimation en date, relative à </w:t>
      </w:r>
      <w:r w:rsidRPr="00F43FC8">
        <w:rPr>
          <w:rFonts w:ascii="Times New Roman" w:hAnsi="Times New Roman"/>
          <w:noProof/>
          <w:sz w:val="24"/>
          <w:szCs w:val="24"/>
        </w:rPr>
        <w:t>2020</w:t>
      </w:r>
      <w:r>
        <w:rPr>
          <w:rFonts w:ascii="Times New Roman" w:hAnsi="Times New Roman"/>
          <w:noProof/>
          <w:sz w:val="24"/>
          <w:szCs w:val="24"/>
        </w:rPr>
        <w:t xml:space="preserve">, elle a chiffré à environ </w:t>
      </w:r>
      <w:r w:rsidRPr="00F43FC8">
        <w:rPr>
          <w:rFonts w:ascii="Times New Roman" w:hAnsi="Times New Roman"/>
          <w:noProof/>
          <w:sz w:val="24"/>
          <w:szCs w:val="24"/>
        </w:rPr>
        <w:t>687</w:t>
      </w:r>
      <w:r>
        <w:rPr>
          <w:rFonts w:ascii="Times New Roman" w:hAnsi="Times New Roman"/>
          <w:noProof/>
          <w:sz w:val="24"/>
          <w:szCs w:val="24"/>
        </w:rPr>
        <w:t> milliards d’euros l’activité de négociation totale concernant les quotas d’émission</w:t>
      </w:r>
      <w:r w:rsidRPr="00DA11F1">
        <w:rPr>
          <w:rStyle w:val="FootnoteReference"/>
          <w:rFonts w:ascii="Times New Roman" w:hAnsi="Times New Roman"/>
          <w:noProof/>
          <w:sz w:val="24"/>
          <w:szCs w:val="24"/>
        </w:rPr>
        <w:footnoteReference w:id="99"/>
      </w:r>
      <w:r>
        <w:rPr>
          <w:rFonts w:ascii="Times New Roman" w:hAnsi="Times New Roman"/>
          <w:noProof/>
          <w:sz w:val="24"/>
          <w:szCs w:val="24"/>
        </w:rPr>
        <w:t>. Sur ce total, les instruments dérivés sur quotas d’émission représentent de loin la part la plus importante du marché. La plupart des transactions (</w:t>
      </w:r>
      <w:r w:rsidRPr="00F43FC8">
        <w:rPr>
          <w:rFonts w:ascii="Times New Roman" w:hAnsi="Times New Roman"/>
          <w:noProof/>
          <w:sz w:val="24"/>
          <w:szCs w:val="24"/>
        </w:rPr>
        <w:t>95</w:t>
      </w:r>
      <w:r>
        <w:rPr>
          <w:rFonts w:ascii="Times New Roman" w:hAnsi="Times New Roman"/>
          <w:noProof/>
          <w:sz w:val="24"/>
          <w:szCs w:val="24"/>
        </w:rPr>
        <w:t xml:space="preserve"> % environ) ont lieu sur des plates-formes de négociation, tandis que seul un faible pourcentage d’entre elles est réalisé de gré à gré. </w:t>
      </w:r>
    </w:p>
    <w:p w14:paraId="13C0CF5D" w14:textId="6A3E150D" w:rsidR="009B3224" w:rsidRPr="00DA11F1" w:rsidRDefault="009B3224" w:rsidP="009B3224">
      <w:pPr>
        <w:jc w:val="both"/>
        <w:rPr>
          <w:rFonts w:ascii="Times New Roman" w:hAnsi="Times New Roman"/>
          <w:noProof/>
          <w:sz w:val="24"/>
          <w:szCs w:val="24"/>
        </w:rPr>
      </w:pPr>
      <w:r>
        <w:rPr>
          <w:rFonts w:ascii="Times New Roman" w:hAnsi="Times New Roman"/>
          <w:noProof/>
          <w:sz w:val="24"/>
          <w:szCs w:val="24"/>
        </w:rPr>
        <w:t xml:space="preserve">Les instruments dérivés jouent un rôle essentiel en offrant aux exploitants relevant du SEQE des moyens flexibles de gérer leur risque lié au prix du carbone. Ces contrats sont offerts par des intermédiaires d’échange et intermédiaires financiers, qui sont libres de «conditionner» les quotas d’émission dans différents produits financiers, en fonction des préférences du marché et du cadre juridique applicable. </w:t>
      </w:r>
    </w:p>
    <w:p w14:paraId="66DFD955" w14:textId="0C80B276" w:rsidR="009B3224" w:rsidRPr="00DA11F1" w:rsidRDefault="009B3224" w:rsidP="009B3224">
      <w:pPr>
        <w:jc w:val="both"/>
        <w:rPr>
          <w:rFonts w:ascii="Times New Roman" w:hAnsi="Times New Roman"/>
          <w:noProof/>
          <w:sz w:val="24"/>
          <w:szCs w:val="24"/>
        </w:rPr>
      </w:pPr>
      <w:r>
        <w:rPr>
          <w:rFonts w:ascii="Times New Roman" w:hAnsi="Times New Roman"/>
          <w:noProof/>
          <w:sz w:val="24"/>
          <w:szCs w:val="24"/>
        </w:rPr>
        <w:t>Comme tous les marchés, le marché du carbone de l’UE a également ressenti les effets de la pandémie de COVID-</w:t>
      </w:r>
      <w:r w:rsidRPr="00F43FC8">
        <w:rPr>
          <w:rFonts w:ascii="Times New Roman" w:hAnsi="Times New Roman"/>
          <w:noProof/>
          <w:sz w:val="24"/>
          <w:szCs w:val="24"/>
        </w:rPr>
        <w:t>19</w:t>
      </w:r>
      <w:r>
        <w:rPr>
          <w:rFonts w:ascii="Times New Roman" w:hAnsi="Times New Roman"/>
          <w:noProof/>
          <w:sz w:val="24"/>
          <w:szCs w:val="24"/>
        </w:rPr>
        <w:t xml:space="preserve"> en </w:t>
      </w:r>
      <w:r w:rsidRPr="00F43FC8">
        <w:rPr>
          <w:rFonts w:ascii="Times New Roman" w:hAnsi="Times New Roman"/>
          <w:noProof/>
          <w:sz w:val="24"/>
          <w:szCs w:val="24"/>
        </w:rPr>
        <w:t>2020</w:t>
      </w:r>
      <w:r>
        <w:rPr>
          <w:rFonts w:ascii="Times New Roman" w:hAnsi="Times New Roman"/>
          <w:noProof/>
          <w:sz w:val="24"/>
          <w:szCs w:val="24"/>
        </w:rPr>
        <w:t xml:space="preserve">. À la suite de la crise, le prix des quotas d’émission a baissé à </w:t>
      </w:r>
      <w:r w:rsidRPr="00F43FC8">
        <w:rPr>
          <w:rFonts w:ascii="Times New Roman" w:hAnsi="Times New Roman"/>
          <w:noProof/>
          <w:sz w:val="24"/>
          <w:szCs w:val="24"/>
        </w:rPr>
        <w:t>14</w:t>
      </w:r>
      <w:r>
        <w:rPr>
          <w:rFonts w:ascii="Times New Roman" w:hAnsi="Times New Roman"/>
          <w:noProof/>
          <w:sz w:val="24"/>
          <w:szCs w:val="24"/>
        </w:rPr>
        <w:t>,</w:t>
      </w:r>
      <w:r w:rsidRPr="00F43FC8">
        <w:rPr>
          <w:rFonts w:ascii="Times New Roman" w:hAnsi="Times New Roman"/>
          <w:noProof/>
          <w:sz w:val="24"/>
          <w:szCs w:val="24"/>
        </w:rPr>
        <w:t>71</w:t>
      </w:r>
      <w:r>
        <w:rPr>
          <w:rFonts w:ascii="Times New Roman" w:hAnsi="Times New Roman"/>
          <w:noProof/>
          <w:sz w:val="24"/>
          <w:szCs w:val="24"/>
        </w:rPr>
        <w:t xml:space="preserve"> euros, contre </w:t>
      </w:r>
      <w:r w:rsidRPr="00F43FC8">
        <w:rPr>
          <w:rFonts w:ascii="Times New Roman" w:hAnsi="Times New Roman"/>
          <w:noProof/>
          <w:sz w:val="24"/>
          <w:szCs w:val="24"/>
        </w:rPr>
        <w:t>24</w:t>
      </w:r>
      <w:r>
        <w:rPr>
          <w:rFonts w:ascii="Times New Roman" w:hAnsi="Times New Roman"/>
          <w:noProof/>
          <w:sz w:val="24"/>
          <w:szCs w:val="24"/>
        </w:rPr>
        <w:t>,</w:t>
      </w:r>
      <w:r w:rsidRPr="00F43FC8">
        <w:rPr>
          <w:rFonts w:ascii="Times New Roman" w:hAnsi="Times New Roman"/>
          <w:noProof/>
          <w:sz w:val="24"/>
          <w:szCs w:val="24"/>
        </w:rPr>
        <w:t>84</w:t>
      </w:r>
      <w:r>
        <w:rPr>
          <w:rFonts w:ascii="Times New Roman" w:hAnsi="Times New Roman"/>
          <w:noProof/>
          <w:sz w:val="24"/>
          <w:szCs w:val="24"/>
        </w:rPr>
        <w:t> euros en moyenne en </w:t>
      </w:r>
      <w:r w:rsidRPr="00F43FC8">
        <w:rPr>
          <w:rFonts w:ascii="Times New Roman" w:hAnsi="Times New Roman"/>
          <w:noProof/>
          <w:sz w:val="24"/>
          <w:szCs w:val="24"/>
        </w:rPr>
        <w:t>2019</w:t>
      </w:r>
      <w:r w:rsidRPr="00DA11F1">
        <w:rPr>
          <w:rStyle w:val="FootnoteReference"/>
          <w:rFonts w:ascii="Times New Roman" w:hAnsi="Times New Roman"/>
          <w:noProof/>
          <w:sz w:val="24"/>
          <w:szCs w:val="24"/>
        </w:rPr>
        <w:footnoteReference w:id="100"/>
      </w:r>
      <w:r>
        <w:rPr>
          <w:rFonts w:ascii="Times New Roman" w:hAnsi="Times New Roman"/>
          <w:noProof/>
          <w:sz w:val="24"/>
          <w:szCs w:val="24"/>
        </w:rPr>
        <w:t>. Les prix du carbone ont néanmoins rapidement rebondi. Les analystes du marché ont souligné que la réserve de stabilité du marché (RSM) avait considérablement amélioré la résilience du marché aux grands chocs de la demande, tels que celui causé par la pandémie mondiale.</w:t>
      </w:r>
    </w:p>
    <w:p w14:paraId="310733FF" w14:textId="6617457F" w:rsidR="009B3224" w:rsidRPr="00DA11F1" w:rsidRDefault="00B22445" w:rsidP="009B3224">
      <w:pPr>
        <w:jc w:val="both"/>
        <w:rPr>
          <w:rFonts w:ascii="Times New Roman" w:hAnsi="Times New Roman"/>
          <w:noProof/>
          <w:sz w:val="24"/>
          <w:szCs w:val="24"/>
        </w:rPr>
      </w:pPr>
      <w:r>
        <w:rPr>
          <w:rFonts w:ascii="Times New Roman" w:hAnsi="Times New Roman"/>
          <w:noProof/>
          <w:sz w:val="24"/>
          <w:szCs w:val="24"/>
        </w:rPr>
        <w:t>De nombreux facteurs peuvent influencer le prix des quotas d’émission</w:t>
      </w:r>
      <w:r w:rsidR="009A2EF4" w:rsidRPr="00DA11F1">
        <w:rPr>
          <w:rFonts w:ascii="Times New Roman" w:hAnsi="Times New Roman"/>
          <w:noProof/>
          <w:sz w:val="24"/>
          <w:szCs w:val="24"/>
          <w:vertAlign w:val="superscript"/>
        </w:rPr>
        <w:footnoteReference w:id="101"/>
      </w:r>
      <w:r>
        <w:rPr>
          <w:rFonts w:ascii="Times New Roman" w:hAnsi="Times New Roman"/>
          <w:noProof/>
          <w:sz w:val="24"/>
          <w:szCs w:val="24"/>
        </w:rPr>
        <w:t>. Les grands analystes du marché citent, en particulier, la RSM, qui absorbe l’excédent du marché, ainsi que les attentes stratégiques à long terme des acteurs du marché. Le marché du carbone est de nature prospective et anticipe les futures évolutions législatives. La revue à la hausse de l’ambition en matière de climat pour </w:t>
      </w:r>
      <w:r w:rsidRPr="00F43FC8">
        <w:rPr>
          <w:rFonts w:ascii="Times New Roman" w:hAnsi="Times New Roman"/>
          <w:noProof/>
          <w:sz w:val="24"/>
          <w:szCs w:val="24"/>
        </w:rPr>
        <w:t>2030</w:t>
      </w:r>
      <w:r>
        <w:rPr>
          <w:rFonts w:ascii="Times New Roman" w:hAnsi="Times New Roman"/>
          <w:noProof/>
          <w:sz w:val="24"/>
          <w:szCs w:val="24"/>
        </w:rPr>
        <w:t>, consacrée dans la loi européenne sur le climat, nécessite un abaissement du plafond des émissions du SEQE-UE, qui réduirait l’offre de quotas. Selon les analystes, les acteurs du marché tiennent déjà compte de ce changement attendu.</w:t>
      </w:r>
    </w:p>
    <w:p w14:paraId="6EA5B7BE" w14:textId="0472AD45" w:rsidR="009A2EF4" w:rsidRPr="00DA11F1" w:rsidRDefault="009A2EF4" w:rsidP="009A2EF4">
      <w:pPr>
        <w:jc w:val="both"/>
        <w:rPr>
          <w:rFonts w:ascii="Times New Roman" w:hAnsi="Times New Roman"/>
          <w:noProof/>
          <w:sz w:val="24"/>
          <w:szCs w:val="24"/>
        </w:rPr>
      </w:pPr>
      <w:r>
        <w:rPr>
          <w:rFonts w:ascii="Times New Roman" w:hAnsi="Times New Roman"/>
          <w:noProof/>
          <w:sz w:val="24"/>
          <w:szCs w:val="24"/>
        </w:rPr>
        <w:t xml:space="preserve">Les entités en conformité avec le SEQE restent la catégorie dominante, tant sur le marché primaire que sur le marché secondaire. Le nombre de soumissionnaires remplissant les conditions requises pour être admis aux enchères sur la plate-forme commune a légèrement augmenté et atteignait </w:t>
      </w:r>
      <w:r w:rsidRPr="00F43FC8">
        <w:rPr>
          <w:rFonts w:ascii="Times New Roman" w:hAnsi="Times New Roman"/>
          <w:noProof/>
          <w:sz w:val="24"/>
          <w:szCs w:val="24"/>
        </w:rPr>
        <w:t>90</w:t>
      </w:r>
      <w:r>
        <w:rPr>
          <w:rFonts w:ascii="Times New Roman" w:hAnsi="Times New Roman"/>
          <w:noProof/>
          <w:sz w:val="24"/>
          <w:szCs w:val="24"/>
        </w:rPr>
        <w:t> participants en décembre </w:t>
      </w:r>
      <w:r w:rsidRPr="00F43FC8">
        <w:rPr>
          <w:rFonts w:ascii="Times New Roman" w:hAnsi="Times New Roman"/>
          <w:noProof/>
          <w:sz w:val="24"/>
          <w:szCs w:val="24"/>
        </w:rPr>
        <w:t>2020</w:t>
      </w:r>
      <w:r>
        <w:rPr>
          <w:rFonts w:ascii="Times New Roman" w:hAnsi="Times New Roman"/>
          <w:noProof/>
          <w:sz w:val="24"/>
          <w:szCs w:val="24"/>
        </w:rPr>
        <w:t>. La grande majorité des participants étaient des exploitants (</w:t>
      </w:r>
      <w:r w:rsidRPr="00F43FC8">
        <w:rPr>
          <w:rFonts w:ascii="Times New Roman" w:hAnsi="Times New Roman"/>
          <w:noProof/>
          <w:sz w:val="24"/>
          <w:szCs w:val="24"/>
        </w:rPr>
        <w:t>72</w:t>
      </w:r>
      <w:r>
        <w:rPr>
          <w:rFonts w:ascii="Times New Roman" w:hAnsi="Times New Roman"/>
          <w:noProof/>
          <w:sz w:val="24"/>
          <w:szCs w:val="24"/>
        </w:rPr>
        <w:t> %), le reste étant constitué d’entreprises d’investissement et d’établissements de crédit (</w:t>
      </w:r>
      <w:r w:rsidRPr="00F43FC8">
        <w:rPr>
          <w:rFonts w:ascii="Times New Roman" w:hAnsi="Times New Roman"/>
          <w:noProof/>
          <w:sz w:val="24"/>
          <w:szCs w:val="24"/>
        </w:rPr>
        <w:t>18</w:t>
      </w:r>
      <w:r>
        <w:rPr>
          <w:rFonts w:ascii="Times New Roman" w:hAnsi="Times New Roman"/>
          <w:noProof/>
          <w:sz w:val="24"/>
          <w:szCs w:val="24"/>
        </w:rPr>
        <w:t> %), ainsi que de personnes non soumises aux exigences de la MiFID (</w:t>
      </w:r>
      <w:r w:rsidRPr="00F43FC8">
        <w:rPr>
          <w:rFonts w:ascii="Times New Roman" w:hAnsi="Times New Roman"/>
          <w:noProof/>
          <w:sz w:val="24"/>
          <w:szCs w:val="24"/>
        </w:rPr>
        <w:t>10</w:t>
      </w:r>
      <w:r>
        <w:rPr>
          <w:rFonts w:ascii="Times New Roman" w:hAnsi="Times New Roman"/>
          <w:noProof/>
          <w:sz w:val="24"/>
          <w:szCs w:val="24"/>
        </w:rPr>
        <w:t> %)</w:t>
      </w:r>
      <w:r w:rsidR="00380E3A" w:rsidRPr="00DA11F1">
        <w:rPr>
          <w:rStyle w:val="FootnoteReference"/>
          <w:rFonts w:ascii="Times New Roman" w:hAnsi="Times New Roman"/>
          <w:noProof/>
          <w:sz w:val="24"/>
          <w:szCs w:val="24"/>
        </w:rPr>
        <w:footnoteReference w:id="102"/>
      </w:r>
      <w:r>
        <w:rPr>
          <w:rFonts w:ascii="Times New Roman" w:hAnsi="Times New Roman"/>
          <w:noProof/>
          <w:sz w:val="24"/>
          <w:szCs w:val="24"/>
        </w:rPr>
        <w:t xml:space="preserve">. </w:t>
      </w:r>
    </w:p>
    <w:p w14:paraId="6DE9AE86" w14:textId="13336B6A" w:rsidR="009B3224" w:rsidRPr="00DA11F1" w:rsidRDefault="009B3224" w:rsidP="009B3224">
      <w:pPr>
        <w:jc w:val="both"/>
        <w:rPr>
          <w:rFonts w:ascii="Times New Roman" w:hAnsi="Times New Roman"/>
          <w:noProof/>
          <w:sz w:val="24"/>
          <w:szCs w:val="24"/>
        </w:rPr>
      </w:pPr>
      <w:r>
        <w:rPr>
          <w:rFonts w:ascii="Times New Roman" w:hAnsi="Times New Roman"/>
          <w:noProof/>
          <w:sz w:val="24"/>
          <w:szCs w:val="24"/>
        </w:rPr>
        <w:t>Sur le marché secondaire, les règles de la MiFID imposent aux plates-formes de négociation et aux entreprises d’investissement de déclarer aux autorités compétentes leurs positions détenues en quotas d’émission. Les ventilations agrégées des positions en quotas d’émission détenues par les différents acteurs du marché, y compris les entreprises d’investissement, sont également accessibles au public et publiées chaque semaine sur le site web de l’AEMF</w:t>
      </w:r>
      <w:r w:rsidRPr="00DA11F1">
        <w:rPr>
          <w:rStyle w:val="FootnoteReference"/>
          <w:rFonts w:ascii="Times New Roman" w:hAnsi="Times New Roman"/>
          <w:noProof/>
          <w:sz w:val="24"/>
          <w:szCs w:val="24"/>
        </w:rPr>
        <w:footnoteReference w:id="103"/>
      </w:r>
      <w:r>
        <w:rPr>
          <w:rFonts w:ascii="Times New Roman" w:hAnsi="Times New Roman"/>
          <w:noProof/>
          <w:sz w:val="24"/>
          <w:szCs w:val="24"/>
        </w:rPr>
        <w:t>. Ces rapports fournissent une bonne indication de la répartition des volumes entre les acteurs du marché et montrent que les fonds d’investissement, qui peuvent être associés à des comportements spéculatifs, détiennent actuellement une faible part des positions totales sur le marché.</w:t>
      </w:r>
    </w:p>
    <w:p w14:paraId="588C9C5F" w14:textId="7BF0320C" w:rsidR="005811CF" w:rsidRPr="00DA11F1" w:rsidRDefault="009B3224" w:rsidP="005811CF">
      <w:pPr>
        <w:jc w:val="both"/>
        <w:rPr>
          <w:rFonts w:ascii="Times New Roman" w:hAnsi="Times New Roman"/>
          <w:noProof/>
          <w:sz w:val="24"/>
          <w:szCs w:val="24"/>
        </w:rPr>
      </w:pPr>
      <w:r>
        <w:rPr>
          <w:rFonts w:ascii="Times New Roman" w:hAnsi="Times New Roman"/>
          <w:noProof/>
          <w:sz w:val="24"/>
          <w:szCs w:val="24"/>
        </w:rPr>
        <w:t>Le lancement de la phase </w:t>
      </w:r>
      <w:r w:rsidRPr="00F43FC8">
        <w:rPr>
          <w:rFonts w:ascii="Times New Roman" w:hAnsi="Times New Roman"/>
          <w:noProof/>
          <w:sz w:val="24"/>
          <w:szCs w:val="24"/>
        </w:rPr>
        <w:t>4</w:t>
      </w:r>
      <w:r>
        <w:rPr>
          <w:rFonts w:ascii="Times New Roman" w:hAnsi="Times New Roman"/>
          <w:noProof/>
          <w:sz w:val="24"/>
          <w:szCs w:val="24"/>
        </w:rPr>
        <w:t xml:space="preserve"> a été marqué par un changement majeur intervenu sur le marché secondaire. Traditionnellement, la majeure partie des échanges sur le marché secondaire étaient réalisés sur la plate-forme d’échange ICE Futures Europe, basée au Royaume-Uni. Le </w:t>
      </w:r>
      <w:r w:rsidRPr="00F43FC8">
        <w:rPr>
          <w:rFonts w:ascii="Times New Roman" w:hAnsi="Times New Roman"/>
          <w:noProof/>
          <w:sz w:val="24"/>
          <w:szCs w:val="24"/>
        </w:rPr>
        <w:t>7</w:t>
      </w:r>
      <w:r>
        <w:rPr>
          <w:rFonts w:ascii="Times New Roman" w:hAnsi="Times New Roman"/>
          <w:noProof/>
          <w:sz w:val="24"/>
          <w:szCs w:val="24"/>
        </w:rPr>
        <w:t> juin </w:t>
      </w:r>
      <w:r w:rsidRPr="00F43FC8">
        <w:rPr>
          <w:rFonts w:ascii="Times New Roman" w:hAnsi="Times New Roman"/>
          <w:noProof/>
          <w:sz w:val="24"/>
          <w:szCs w:val="24"/>
        </w:rPr>
        <w:t>2021</w:t>
      </w:r>
      <w:r>
        <w:rPr>
          <w:rFonts w:ascii="Times New Roman" w:hAnsi="Times New Roman"/>
          <w:noProof/>
          <w:sz w:val="24"/>
          <w:szCs w:val="24"/>
        </w:rPr>
        <w:t>, ICE London a transféré les échanges de quotas d’émission de l’UE (au comptant et sur la base d’instruments dérivés) vers sa filiale aux Pays-Bas, ICE Endex. Les échanges effectués sur ICE Endex sont placés sous la surveillance de l’autorité néerlandaise des marchés financiers.</w:t>
      </w:r>
    </w:p>
    <w:p w14:paraId="48BCECD2" w14:textId="701E8CEB" w:rsidR="00270A58" w:rsidRPr="00DA11F1" w:rsidRDefault="00270A58" w:rsidP="005811CF">
      <w:pPr>
        <w:jc w:val="both"/>
        <w:rPr>
          <w:rFonts w:ascii="Times New Roman" w:hAnsi="Times New Roman"/>
          <w:noProof/>
          <w:sz w:val="24"/>
          <w:szCs w:val="24"/>
        </w:rPr>
      </w:pPr>
      <w:r>
        <w:rPr>
          <w:rFonts w:ascii="Times New Roman" w:hAnsi="Times New Roman"/>
          <w:noProof/>
          <w:sz w:val="24"/>
          <w:szCs w:val="24"/>
        </w:rPr>
        <w:t>L’augmentation des prix de l’énergie en </w:t>
      </w:r>
      <w:r w:rsidRPr="00F43FC8">
        <w:rPr>
          <w:rFonts w:ascii="Times New Roman" w:hAnsi="Times New Roman"/>
          <w:noProof/>
          <w:sz w:val="24"/>
          <w:szCs w:val="24"/>
        </w:rPr>
        <w:t>2021</w:t>
      </w:r>
      <w:r>
        <w:rPr>
          <w:rFonts w:ascii="Times New Roman" w:hAnsi="Times New Roman"/>
          <w:noProof/>
          <w:sz w:val="24"/>
          <w:szCs w:val="24"/>
        </w:rPr>
        <w:t xml:space="preserve"> a ravivé l’intérêt pour les prix du carbone et le régime de surveillance du marché du carbone de l’UE. Il existe un consensus quant au fait que cette augmentation est principalement imputable au niveau record des prix mondiaux du gaz, tandis que l’augmentation du prix du carbone a un effet bien moindre. Dans sa communication du </w:t>
      </w:r>
      <w:r w:rsidRPr="00F43FC8">
        <w:rPr>
          <w:rFonts w:ascii="Times New Roman" w:hAnsi="Times New Roman"/>
          <w:noProof/>
          <w:sz w:val="24"/>
          <w:szCs w:val="24"/>
        </w:rPr>
        <w:t>13</w:t>
      </w:r>
      <w:r>
        <w:rPr>
          <w:rFonts w:ascii="Times New Roman" w:hAnsi="Times New Roman"/>
          <w:noProof/>
          <w:sz w:val="24"/>
          <w:szCs w:val="24"/>
        </w:rPr>
        <w:t> octobre </w:t>
      </w:r>
      <w:r w:rsidRPr="00F43FC8">
        <w:rPr>
          <w:rFonts w:ascii="Times New Roman" w:hAnsi="Times New Roman"/>
          <w:noProof/>
          <w:sz w:val="24"/>
          <w:szCs w:val="24"/>
        </w:rPr>
        <w:t>2021</w:t>
      </w:r>
      <w:r w:rsidRPr="00DA11F1">
        <w:rPr>
          <w:rStyle w:val="FootnoteReference"/>
          <w:rFonts w:ascii="Times New Roman" w:hAnsi="Times New Roman"/>
          <w:noProof/>
          <w:sz w:val="24"/>
          <w:szCs w:val="24"/>
        </w:rPr>
        <w:footnoteReference w:id="104"/>
      </w:r>
      <w:r>
        <w:rPr>
          <w:rFonts w:ascii="Times New Roman" w:hAnsi="Times New Roman"/>
          <w:noProof/>
          <w:sz w:val="24"/>
          <w:szCs w:val="24"/>
        </w:rPr>
        <w:t>, la Commission démontre que l’effet de la hausse du prix du gaz sur le prix de l’électricité est neuf fois plus important que l’effet de la hausse du prix du carbone. La formation équitable des prix et l’intégrité du marché du carbone de l’UE sont garanties par un régime de surveillance solide également applicable aux autres marchés financiers. La Commission a néanmoins annoncé qu’elle allait demander à l’AEMF de renforcer encore le suivi de l’évolution du marché du carbone de l’UE.</w:t>
      </w:r>
    </w:p>
    <w:p w14:paraId="2557DA68" w14:textId="77777777" w:rsidR="005811CF" w:rsidRPr="00DA11F1" w:rsidRDefault="005811CF" w:rsidP="005811CF">
      <w:pPr>
        <w:pStyle w:val="Heading1"/>
        <w:spacing w:before="0" w:after="200"/>
        <w:rPr>
          <w:noProof/>
        </w:rPr>
      </w:pPr>
      <w:bookmarkStart w:id="66" w:name="_Toc490850437"/>
      <w:bookmarkStart w:id="67" w:name="_Toc519009688"/>
      <w:bookmarkStart w:id="68" w:name="_Toc89707776"/>
      <w:r w:rsidRPr="00F43FC8">
        <w:rPr>
          <w:noProof/>
        </w:rPr>
        <w:t>6</w:t>
      </w:r>
      <w:r>
        <w:rPr>
          <w:noProof/>
        </w:rPr>
        <w:t>. SURVEILLANCE, DÉCLARATION ET VÉRIFICATION DES ÉMISSIONS</w:t>
      </w:r>
      <w:bookmarkEnd w:id="66"/>
      <w:bookmarkEnd w:id="67"/>
      <w:bookmarkEnd w:id="68"/>
    </w:p>
    <w:p w14:paraId="36627EDB" w14:textId="7B574A0C" w:rsidR="005811CF" w:rsidRPr="00DA11F1" w:rsidRDefault="005811CF" w:rsidP="005811CF">
      <w:pPr>
        <w:jc w:val="both"/>
        <w:rPr>
          <w:rFonts w:ascii="Times New Roman" w:hAnsi="Times New Roman"/>
          <w:noProof/>
          <w:sz w:val="24"/>
          <w:szCs w:val="24"/>
        </w:rPr>
      </w:pPr>
      <w:r>
        <w:rPr>
          <w:rFonts w:ascii="Times New Roman" w:hAnsi="Times New Roman"/>
          <w:noProof/>
          <w:sz w:val="24"/>
          <w:szCs w:val="24"/>
        </w:rPr>
        <w:t>Pour les phases </w:t>
      </w:r>
      <w:r w:rsidRPr="00F43FC8">
        <w:rPr>
          <w:rFonts w:ascii="Times New Roman" w:hAnsi="Times New Roman"/>
          <w:noProof/>
          <w:sz w:val="24"/>
          <w:szCs w:val="24"/>
        </w:rPr>
        <w:t>3</w:t>
      </w:r>
      <w:r>
        <w:rPr>
          <w:rFonts w:ascii="Times New Roman" w:hAnsi="Times New Roman"/>
          <w:noProof/>
          <w:sz w:val="24"/>
          <w:szCs w:val="24"/>
        </w:rPr>
        <w:t xml:space="preserve"> (</w:t>
      </w:r>
      <w:r w:rsidRPr="00F43FC8">
        <w:rPr>
          <w:rFonts w:ascii="Times New Roman" w:hAnsi="Times New Roman"/>
          <w:noProof/>
          <w:sz w:val="24"/>
          <w:szCs w:val="24"/>
        </w:rPr>
        <w:t>2013</w:t>
      </w:r>
      <w:r>
        <w:rPr>
          <w:rFonts w:ascii="Times New Roman" w:hAnsi="Times New Roman"/>
          <w:noProof/>
          <w:sz w:val="24"/>
          <w:szCs w:val="24"/>
        </w:rPr>
        <w:t>-</w:t>
      </w:r>
      <w:r w:rsidRPr="00F43FC8">
        <w:rPr>
          <w:rFonts w:ascii="Times New Roman" w:hAnsi="Times New Roman"/>
          <w:noProof/>
          <w:sz w:val="24"/>
          <w:szCs w:val="24"/>
        </w:rPr>
        <w:t>2020</w:t>
      </w:r>
      <w:r>
        <w:rPr>
          <w:rFonts w:ascii="Times New Roman" w:hAnsi="Times New Roman"/>
          <w:noProof/>
          <w:sz w:val="24"/>
          <w:szCs w:val="24"/>
        </w:rPr>
        <w:t>) et ultérieures, les exigences en matière de surveillance, déclaration, vérification et accréditation du SEQE-UE sont harmonisées dans le règlement relatif à la surveillance et à la déclaration (RSD)</w:t>
      </w:r>
      <w:r w:rsidRPr="00DA11F1">
        <w:rPr>
          <w:rStyle w:val="FootnoteReference"/>
          <w:rFonts w:ascii="Times New Roman" w:hAnsi="Times New Roman"/>
          <w:noProof/>
          <w:szCs w:val="24"/>
        </w:rPr>
        <w:footnoteReference w:id="105"/>
      </w:r>
      <w:r>
        <w:rPr>
          <w:rFonts w:ascii="Times New Roman" w:hAnsi="Times New Roman"/>
          <w:noProof/>
          <w:sz w:val="24"/>
          <w:szCs w:val="24"/>
        </w:rPr>
        <w:t xml:space="preserve"> et le règlement relatif à l’accréditation et à la vérification (RAV)</w:t>
      </w:r>
      <w:r w:rsidRPr="00DA11F1">
        <w:rPr>
          <w:rStyle w:val="FootnoteReference"/>
          <w:rFonts w:ascii="Times New Roman" w:hAnsi="Times New Roman"/>
          <w:noProof/>
          <w:szCs w:val="24"/>
        </w:rPr>
        <w:footnoteReference w:id="106"/>
      </w:r>
      <w:r>
        <w:rPr>
          <w:rFonts w:ascii="Times New Roman" w:hAnsi="Times New Roman"/>
          <w:noProof/>
          <w:sz w:val="24"/>
          <w:szCs w:val="24"/>
        </w:rPr>
        <w:t>.</w:t>
      </w:r>
    </w:p>
    <w:p w14:paraId="7BA95E70" w14:textId="2F78B6BD" w:rsidR="005811CF" w:rsidRPr="00DA11F1" w:rsidRDefault="005811CF" w:rsidP="005811CF">
      <w:pPr>
        <w:jc w:val="both"/>
        <w:rPr>
          <w:rFonts w:ascii="Times New Roman" w:hAnsi="Times New Roman"/>
          <w:noProof/>
          <w:sz w:val="24"/>
          <w:szCs w:val="24"/>
        </w:rPr>
      </w:pPr>
      <w:r>
        <w:rPr>
          <w:rFonts w:ascii="Times New Roman" w:hAnsi="Times New Roman"/>
          <w:noProof/>
          <w:sz w:val="24"/>
          <w:szCs w:val="24"/>
        </w:rPr>
        <w:t>Le système de surveillance du SEQE-UE est conçu comme un dispositif modulaire, ce qui offre aux exploitants un degré élevé de flexibilité afin de favoriser une mise en œuvre efficiente tout en assurant une fiabilité élevée des données sur les émissions soumises à la surveillance. À cet effet, les exploitants peuvent utiliser plusieurs méthodes de surveillance («fondée sur le calcul», «fondée sur la mesure» ou, à titre exceptionnel, une «méthode alternative»), et même combiner différentes méthodes pour des parties données d’une installation. Seules les méthodes fondées sur le calcul sont autorisées pour les exploitants d’aéronefs, la consommation de carburant constituant le paramètre central à calculer pour les vols couverts par le SEQE. L’obligation pour les installations et les exploitants d’aéronefs de disposer d’un plan de surveillance approuvé par l’autorité compétente sur la base du RSD prévient le choix arbitraire des méthodes de surveillance ainsi que les changements temporaires (pour un aperçu détaillé de la surveillance appliquée dans les pays participant au SEQE-UE, voir chapitre </w:t>
      </w:r>
      <w:r w:rsidRPr="00F43FC8">
        <w:rPr>
          <w:rFonts w:ascii="Times New Roman" w:hAnsi="Times New Roman"/>
          <w:noProof/>
          <w:sz w:val="24"/>
          <w:szCs w:val="24"/>
        </w:rPr>
        <w:t>11</w:t>
      </w:r>
      <w:r>
        <w:rPr>
          <w:rFonts w:ascii="Times New Roman" w:hAnsi="Times New Roman"/>
          <w:noProof/>
          <w:sz w:val="24"/>
          <w:szCs w:val="24"/>
        </w:rPr>
        <w:t>.</w:t>
      </w:r>
      <w:r w:rsidRPr="00F43FC8">
        <w:rPr>
          <w:rFonts w:ascii="Times New Roman" w:hAnsi="Times New Roman"/>
          <w:noProof/>
          <w:sz w:val="24"/>
          <w:szCs w:val="24"/>
        </w:rPr>
        <w:t>1</w:t>
      </w:r>
      <w:r>
        <w:rPr>
          <w:rFonts w:ascii="Times New Roman" w:hAnsi="Times New Roman"/>
          <w:noProof/>
          <w:sz w:val="24"/>
          <w:szCs w:val="24"/>
        </w:rPr>
        <w:t xml:space="preserve"> de l’annexe </w:t>
      </w:r>
      <w:r w:rsidRPr="00F43FC8">
        <w:rPr>
          <w:rFonts w:ascii="Times New Roman" w:hAnsi="Times New Roman"/>
          <w:noProof/>
          <w:sz w:val="24"/>
          <w:szCs w:val="24"/>
        </w:rPr>
        <w:t>11</w:t>
      </w:r>
      <w:r>
        <w:rPr>
          <w:rFonts w:ascii="Times New Roman" w:hAnsi="Times New Roman"/>
          <w:noProof/>
          <w:sz w:val="24"/>
          <w:szCs w:val="24"/>
        </w:rPr>
        <w:t xml:space="preserve"> du document de travail des services de la Commission accompagnant le présent rapport).</w:t>
      </w:r>
    </w:p>
    <w:p w14:paraId="2B98E873" w14:textId="40B83E9D" w:rsidR="005811CF" w:rsidRPr="00DA11F1" w:rsidRDefault="0037484C" w:rsidP="005811CF">
      <w:pPr>
        <w:jc w:val="both"/>
        <w:rPr>
          <w:rFonts w:ascii="Times New Roman" w:hAnsi="Times New Roman"/>
          <w:noProof/>
          <w:color w:val="000000" w:themeColor="text1"/>
          <w:sz w:val="24"/>
          <w:szCs w:val="24"/>
        </w:rPr>
      </w:pPr>
      <w:r>
        <w:rPr>
          <w:rFonts w:ascii="Times New Roman" w:hAnsi="Times New Roman"/>
          <w:noProof/>
          <w:color w:val="000000" w:themeColor="text1"/>
          <w:sz w:val="24"/>
          <w:szCs w:val="24"/>
        </w:rPr>
        <w:t>Le RAV a instauré une approche harmonisée à l’échelle de l’Union à l’égard de l’accréditation des vérificateurs. Les vérificateurs doivent être accrédités par un organisme national d’accréditation afin de procéder aux vérifications conformément aux dispositions du RAV. Ce système d’accréditation harmonisé permet aux vérificateurs de jouir d’une reconnaissance mutuelle dans tous les pays participants et de tirer ainsi pleinement parti du marché intérieur tout en garantissant une disponibilité suffisante dans l’ensemble de l’UE (pour un aperçu détaillé de la mise en œuvre du RAV dans les pays participant au SEQE-UE, voir chapitre </w:t>
      </w:r>
      <w:r w:rsidRPr="00F43FC8">
        <w:rPr>
          <w:rFonts w:ascii="Times New Roman" w:hAnsi="Times New Roman"/>
          <w:noProof/>
          <w:color w:val="000000" w:themeColor="text1"/>
          <w:sz w:val="24"/>
          <w:szCs w:val="24"/>
        </w:rPr>
        <w:t>11</w:t>
      </w:r>
      <w:r>
        <w:rPr>
          <w:rFonts w:ascii="Times New Roman" w:hAnsi="Times New Roman"/>
          <w:noProof/>
          <w:color w:val="000000" w:themeColor="text1"/>
          <w:sz w:val="24"/>
          <w:szCs w:val="24"/>
        </w:rPr>
        <w:t>.</w:t>
      </w:r>
      <w:r w:rsidRPr="00F43FC8">
        <w:rPr>
          <w:rFonts w:ascii="Times New Roman" w:hAnsi="Times New Roman"/>
          <w:noProof/>
          <w:color w:val="000000" w:themeColor="text1"/>
          <w:sz w:val="24"/>
          <w:szCs w:val="24"/>
        </w:rPr>
        <w:t>2</w:t>
      </w:r>
      <w:r>
        <w:rPr>
          <w:rFonts w:ascii="Times New Roman" w:hAnsi="Times New Roman"/>
          <w:noProof/>
          <w:color w:val="000000" w:themeColor="text1"/>
          <w:sz w:val="24"/>
          <w:szCs w:val="24"/>
        </w:rPr>
        <w:t xml:space="preserve"> de l’annexe </w:t>
      </w:r>
      <w:r w:rsidRPr="00F43FC8">
        <w:rPr>
          <w:rFonts w:ascii="Times New Roman" w:hAnsi="Times New Roman"/>
          <w:noProof/>
          <w:color w:val="000000" w:themeColor="text1"/>
          <w:sz w:val="24"/>
          <w:szCs w:val="24"/>
        </w:rPr>
        <w:t>11</w:t>
      </w:r>
      <w:r>
        <w:rPr>
          <w:rFonts w:ascii="Times New Roman" w:hAnsi="Times New Roman"/>
          <w:noProof/>
          <w:color w:val="000000" w:themeColor="text1"/>
          <w:sz w:val="24"/>
          <w:szCs w:val="24"/>
        </w:rPr>
        <w:t xml:space="preserve"> du document de travail des services de la Commission accompagnant le présent rapport). </w:t>
      </w:r>
    </w:p>
    <w:p w14:paraId="241A3DB3" w14:textId="2C65F632" w:rsidR="005811CF" w:rsidRPr="00DA11F1" w:rsidRDefault="005811CF" w:rsidP="005811CF">
      <w:pPr>
        <w:jc w:val="both"/>
        <w:rPr>
          <w:rFonts w:ascii="Times New Roman" w:hAnsi="Times New Roman"/>
          <w:noProof/>
          <w:sz w:val="24"/>
          <w:szCs w:val="24"/>
        </w:rPr>
      </w:pPr>
      <w:r>
        <w:rPr>
          <w:rFonts w:ascii="Times New Roman" w:hAnsi="Times New Roman"/>
          <w:noProof/>
          <w:sz w:val="24"/>
          <w:szCs w:val="24"/>
        </w:rPr>
        <w:t>À la suite de la première mise à jour du RSD et du RAV effectuée en </w:t>
      </w:r>
      <w:r w:rsidRPr="00F43FC8">
        <w:rPr>
          <w:rFonts w:ascii="Times New Roman" w:hAnsi="Times New Roman"/>
          <w:noProof/>
          <w:sz w:val="24"/>
          <w:szCs w:val="24"/>
        </w:rPr>
        <w:t>2018</w:t>
      </w:r>
      <w:r>
        <w:rPr>
          <w:rFonts w:ascii="Times New Roman" w:hAnsi="Times New Roman"/>
          <w:noProof/>
          <w:sz w:val="24"/>
          <w:szCs w:val="24"/>
        </w:rPr>
        <w:t xml:space="preserve"> afin d’améliorer, de clarifier et de simplifier les règles de surveillance, de déclaration, de vérification et d’accréditation et d’améliorer l’efficacité du système, une deuxième mise à jour des deux règlements a débuté en février </w:t>
      </w:r>
      <w:r w:rsidRPr="00F43FC8">
        <w:rPr>
          <w:rFonts w:ascii="Times New Roman" w:hAnsi="Times New Roman"/>
          <w:noProof/>
          <w:sz w:val="24"/>
          <w:szCs w:val="24"/>
        </w:rPr>
        <w:t>2019</w:t>
      </w:r>
      <w:r>
        <w:rPr>
          <w:rFonts w:ascii="Times New Roman" w:hAnsi="Times New Roman"/>
          <w:noProof/>
          <w:sz w:val="24"/>
          <w:szCs w:val="24"/>
        </w:rPr>
        <w:t xml:space="preserve">. Le but était de traiter les questions non résolues telles que la mise en œuvre de la refonte de la directive sur les énergies renouvelables. Cette deuxième mise à jour a débouché sur l’adoption, le </w:t>
      </w:r>
      <w:r w:rsidRPr="00F43FC8">
        <w:rPr>
          <w:rFonts w:ascii="Times New Roman" w:hAnsi="Times New Roman"/>
          <w:noProof/>
          <w:sz w:val="24"/>
          <w:szCs w:val="24"/>
        </w:rPr>
        <w:t>14</w:t>
      </w:r>
      <w:r>
        <w:rPr>
          <w:rFonts w:ascii="Times New Roman" w:hAnsi="Times New Roman"/>
          <w:noProof/>
          <w:sz w:val="24"/>
          <w:szCs w:val="24"/>
        </w:rPr>
        <w:t> décembre </w:t>
      </w:r>
      <w:r w:rsidRPr="00F43FC8">
        <w:rPr>
          <w:rFonts w:ascii="Times New Roman" w:hAnsi="Times New Roman"/>
          <w:noProof/>
          <w:sz w:val="24"/>
          <w:szCs w:val="24"/>
        </w:rPr>
        <w:t>2020</w:t>
      </w:r>
      <w:r>
        <w:rPr>
          <w:rFonts w:ascii="Times New Roman" w:hAnsi="Times New Roman"/>
          <w:noProof/>
          <w:sz w:val="24"/>
          <w:szCs w:val="24"/>
        </w:rPr>
        <w:t>, du règlement d’exécution </w:t>
      </w:r>
      <w:r w:rsidRPr="00F43FC8">
        <w:rPr>
          <w:rFonts w:ascii="Times New Roman" w:hAnsi="Times New Roman"/>
          <w:noProof/>
          <w:sz w:val="24"/>
          <w:szCs w:val="24"/>
        </w:rPr>
        <w:t>2020</w:t>
      </w:r>
      <w:r>
        <w:rPr>
          <w:rFonts w:ascii="Times New Roman" w:hAnsi="Times New Roman"/>
          <w:noProof/>
          <w:sz w:val="24"/>
          <w:szCs w:val="24"/>
        </w:rPr>
        <w:t>/</w:t>
      </w:r>
      <w:r w:rsidRPr="00F43FC8">
        <w:rPr>
          <w:rFonts w:ascii="Times New Roman" w:hAnsi="Times New Roman"/>
          <w:noProof/>
          <w:sz w:val="24"/>
          <w:szCs w:val="24"/>
        </w:rPr>
        <w:t>2085</w:t>
      </w:r>
      <w:r>
        <w:rPr>
          <w:rFonts w:ascii="Times New Roman" w:hAnsi="Times New Roman"/>
          <w:noProof/>
          <w:sz w:val="24"/>
          <w:szCs w:val="24"/>
        </w:rPr>
        <w:t xml:space="preserve"> de la Commission modifiant le RSD</w:t>
      </w:r>
      <w:r w:rsidRPr="00DA11F1">
        <w:rPr>
          <w:rStyle w:val="FootnoteReference"/>
          <w:rFonts w:ascii="Times New Roman" w:hAnsi="Times New Roman"/>
          <w:noProof/>
          <w:szCs w:val="24"/>
        </w:rPr>
        <w:footnoteReference w:id="107"/>
      </w:r>
      <w:r>
        <w:rPr>
          <w:rFonts w:ascii="Times New Roman" w:hAnsi="Times New Roman"/>
          <w:noProof/>
          <w:sz w:val="24"/>
          <w:szCs w:val="24"/>
        </w:rPr>
        <w:t xml:space="preserve"> et du règlement d’exécution </w:t>
      </w:r>
      <w:r w:rsidRPr="00F43FC8">
        <w:rPr>
          <w:rFonts w:ascii="Times New Roman" w:hAnsi="Times New Roman"/>
          <w:noProof/>
          <w:sz w:val="24"/>
          <w:szCs w:val="24"/>
        </w:rPr>
        <w:t>2020</w:t>
      </w:r>
      <w:r>
        <w:rPr>
          <w:rFonts w:ascii="Times New Roman" w:hAnsi="Times New Roman"/>
          <w:noProof/>
          <w:sz w:val="24"/>
          <w:szCs w:val="24"/>
        </w:rPr>
        <w:t>/</w:t>
      </w:r>
      <w:r w:rsidRPr="00F43FC8">
        <w:rPr>
          <w:rFonts w:ascii="Times New Roman" w:hAnsi="Times New Roman"/>
          <w:noProof/>
          <w:sz w:val="24"/>
          <w:szCs w:val="24"/>
        </w:rPr>
        <w:t>2084</w:t>
      </w:r>
      <w:r>
        <w:rPr>
          <w:rFonts w:ascii="Times New Roman" w:hAnsi="Times New Roman"/>
          <w:noProof/>
          <w:sz w:val="24"/>
          <w:szCs w:val="24"/>
        </w:rPr>
        <w:t xml:space="preserve"> de la Commission modifiant le RAV</w:t>
      </w:r>
      <w:r w:rsidRPr="00DA11F1">
        <w:rPr>
          <w:rStyle w:val="FootnoteReference"/>
          <w:rFonts w:ascii="Times New Roman" w:hAnsi="Times New Roman"/>
          <w:noProof/>
          <w:szCs w:val="24"/>
        </w:rPr>
        <w:footnoteReference w:id="108"/>
      </w:r>
      <w:r>
        <w:rPr>
          <w:rFonts w:ascii="Times New Roman" w:hAnsi="Times New Roman"/>
          <w:noProof/>
          <w:sz w:val="24"/>
          <w:szCs w:val="24"/>
        </w:rPr>
        <w:t>.</w:t>
      </w:r>
    </w:p>
    <w:p w14:paraId="3C4AD199" w14:textId="26672575" w:rsidR="009A2EF4" w:rsidRPr="00DA11F1" w:rsidRDefault="005811CF" w:rsidP="009A2EF4">
      <w:pPr>
        <w:jc w:val="both"/>
        <w:rPr>
          <w:rFonts w:ascii="Times New Roman" w:hAnsi="Times New Roman"/>
          <w:noProof/>
          <w:sz w:val="24"/>
          <w:szCs w:val="24"/>
        </w:rPr>
      </w:pPr>
      <w:r>
        <w:rPr>
          <w:rFonts w:ascii="Times New Roman" w:hAnsi="Times New Roman"/>
          <w:noProof/>
          <w:sz w:val="24"/>
          <w:szCs w:val="24"/>
        </w:rPr>
        <w:t>Les pays participant au SEQE-UE divergent dans leur approche à l’égard des autorités compétentes chargées de sa mise en œuvre. Dans certains pays, plusieurs autorités locales interviennent, tandis que dans d’autres, la mise en œuvre est plus centralisée (pour un aperçu détaillé des dispositions administratives prises dans les pays participant au SEQE-UE, voir chapitre </w:t>
      </w:r>
      <w:r w:rsidRPr="00F43FC8">
        <w:rPr>
          <w:rFonts w:ascii="Times New Roman" w:hAnsi="Times New Roman"/>
          <w:noProof/>
          <w:sz w:val="24"/>
          <w:szCs w:val="24"/>
        </w:rPr>
        <w:t>11</w:t>
      </w:r>
      <w:r>
        <w:rPr>
          <w:rFonts w:ascii="Times New Roman" w:hAnsi="Times New Roman"/>
          <w:noProof/>
          <w:sz w:val="24"/>
          <w:szCs w:val="24"/>
        </w:rPr>
        <w:t>.</w:t>
      </w:r>
      <w:r w:rsidRPr="00F43FC8">
        <w:rPr>
          <w:rFonts w:ascii="Times New Roman" w:hAnsi="Times New Roman"/>
          <w:noProof/>
          <w:sz w:val="24"/>
          <w:szCs w:val="24"/>
        </w:rPr>
        <w:t>3</w:t>
      </w:r>
      <w:r>
        <w:rPr>
          <w:rFonts w:ascii="Times New Roman" w:hAnsi="Times New Roman"/>
          <w:noProof/>
          <w:sz w:val="24"/>
          <w:szCs w:val="24"/>
        </w:rPr>
        <w:t xml:space="preserve"> de l’annexe </w:t>
      </w:r>
      <w:r w:rsidRPr="00F43FC8">
        <w:rPr>
          <w:rFonts w:ascii="Times New Roman" w:hAnsi="Times New Roman"/>
          <w:noProof/>
          <w:sz w:val="24"/>
          <w:szCs w:val="24"/>
        </w:rPr>
        <w:t>11</w:t>
      </w:r>
      <w:r>
        <w:rPr>
          <w:rFonts w:ascii="Times New Roman" w:hAnsi="Times New Roman"/>
          <w:noProof/>
          <w:sz w:val="24"/>
          <w:szCs w:val="24"/>
        </w:rPr>
        <w:t xml:space="preserve"> du document de travail des services de la Commission accompagnant le présent rapport). Dans l’ensemble, l’organisation de la gestion du SEQE-UE dans les pays participants s’est révélée largement efficace tout au long de la phase </w:t>
      </w:r>
      <w:r w:rsidRPr="00F43FC8">
        <w:rPr>
          <w:rFonts w:ascii="Times New Roman" w:hAnsi="Times New Roman"/>
          <w:noProof/>
          <w:sz w:val="24"/>
          <w:szCs w:val="24"/>
        </w:rPr>
        <w:t>3</w:t>
      </w:r>
      <w:r>
        <w:rPr>
          <w:rFonts w:ascii="Times New Roman" w:hAnsi="Times New Roman"/>
          <w:noProof/>
          <w:sz w:val="24"/>
          <w:szCs w:val="24"/>
        </w:rPr>
        <w:t xml:space="preserve">. </w:t>
      </w:r>
    </w:p>
    <w:p w14:paraId="3CB5BCEF" w14:textId="63DF544A" w:rsidR="009A2EF4" w:rsidRPr="00DA11F1" w:rsidRDefault="009A2EF4" w:rsidP="009A2EF4">
      <w:pPr>
        <w:jc w:val="both"/>
        <w:rPr>
          <w:rFonts w:ascii="Times New Roman" w:hAnsi="Times New Roman"/>
          <w:noProof/>
          <w:sz w:val="24"/>
          <w:szCs w:val="24"/>
        </w:rPr>
      </w:pPr>
      <w:r>
        <w:rPr>
          <w:rFonts w:ascii="Times New Roman" w:hAnsi="Times New Roman"/>
          <w:noProof/>
          <w:sz w:val="24"/>
          <w:szCs w:val="24"/>
        </w:rPr>
        <w:t xml:space="preserve">En ce qui concerne les mesures de mise en conformité, la directive SEQE-UE prévoit une amende de </w:t>
      </w:r>
      <w:r w:rsidRPr="00F43FC8">
        <w:rPr>
          <w:rFonts w:ascii="Times New Roman" w:hAnsi="Times New Roman"/>
          <w:noProof/>
          <w:sz w:val="24"/>
          <w:szCs w:val="24"/>
        </w:rPr>
        <w:t>100</w:t>
      </w:r>
      <w:r>
        <w:rPr>
          <w:rFonts w:ascii="Times New Roman" w:hAnsi="Times New Roman"/>
          <w:noProof/>
          <w:sz w:val="24"/>
          <w:szCs w:val="24"/>
        </w:rPr>
        <w:t> euros (indexée sur l’inflation) par tonne de CO</w:t>
      </w:r>
      <w:r w:rsidRPr="00F43FC8">
        <w:rPr>
          <w:rFonts w:ascii="Times New Roman" w:hAnsi="Times New Roman"/>
          <w:noProof/>
          <w:sz w:val="24"/>
          <w:szCs w:val="24"/>
          <w:vertAlign w:val="subscript"/>
        </w:rPr>
        <w:t>2</w:t>
      </w:r>
      <w:r>
        <w:rPr>
          <w:rFonts w:ascii="Times New Roman" w:hAnsi="Times New Roman"/>
          <w:noProof/>
          <w:sz w:val="24"/>
          <w:szCs w:val="24"/>
        </w:rPr>
        <w:t xml:space="preserve"> émise pour laquelle il n’a pas été restitué de quotas en temps utile, en plus du prix de la restitution. Les autres sanctions applicables aux infractions à la mise en œuvre du SEQE-UE sont fondées sur les dispositions nationales adoptées par chaque pays concerné (pour un aperçu détaillé de la conformité aux règles du SEQE-UE dans les pays participants, voir chapitre </w:t>
      </w:r>
      <w:r w:rsidRPr="00F43FC8">
        <w:rPr>
          <w:rFonts w:ascii="Times New Roman" w:hAnsi="Times New Roman"/>
          <w:noProof/>
          <w:sz w:val="24"/>
          <w:szCs w:val="24"/>
        </w:rPr>
        <w:t>11</w:t>
      </w:r>
      <w:r>
        <w:rPr>
          <w:rFonts w:ascii="Times New Roman" w:hAnsi="Times New Roman"/>
          <w:noProof/>
          <w:sz w:val="24"/>
          <w:szCs w:val="24"/>
        </w:rPr>
        <w:t>.</w:t>
      </w:r>
      <w:r w:rsidRPr="00F43FC8">
        <w:rPr>
          <w:rFonts w:ascii="Times New Roman" w:hAnsi="Times New Roman"/>
          <w:noProof/>
          <w:sz w:val="24"/>
          <w:szCs w:val="24"/>
        </w:rPr>
        <w:t>4</w:t>
      </w:r>
      <w:r>
        <w:rPr>
          <w:rFonts w:ascii="Times New Roman" w:hAnsi="Times New Roman"/>
          <w:noProof/>
          <w:sz w:val="24"/>
          <w:szCs w:val="24"/>
        </w:rPr>
        <w:t xml:space="preserve"> de l’annexe </w:t>
      </w:r>
      <w:r w:rsidRPr="00F43FC8">
        <w:rPr>
          <w:rFonts w:ascii="Times New Roman" w:hAnsi="Times New Roman"/>
          <w:noProof/>
          <w:sz w:val="24"/>
          <w:szCs w:val="24"/>
        </w:rPr>
        <w:t>11</w:t>
      </w:r>
      <w:r>
        <w:rPr>
          <w:rFonts w:ascii="Times New Roman" w:hAnsi="Times New Roman"/>
          <w:noProof/>
          <w:sz w:val="24"/>
          <w:szCs w:val="24"/>
        </w:rPr>
        <w:t xml:space="preserve"> du document de travail des services de la Commission accompagnant le présent rapport).</w:t>
      </w:r>
    </w:p>
    <w:p w14:paraId="231DDF83" w14:textId="5E52E849" w:rsidR="009A2EF4" w:rsidRPr="00DA11F1" w:rsidRDefault="009A2EF4" w:rsidP="009A2EF4">
      <w:pPr>
        <w:jc w:val="both"/>
        <w:rPr>
          <w:rFonts w:ascii="Times New Roman" w:hAnsi="Times New Roman"/>
          <w:noProof/>
          <w:sz w:val="24"/>
          <w:szCs w:val="24"/>
        </w:rPr>
      </w:pPr>
      <w:r>
        <w:rPr>
          <w:rFonts w:ascii="Times New Roman" w:hAnsi="Times New Roman"/>
          <w:noProof/>
          <w:sz w:val="24"/>
          <w:szCs w:val="24"/>
        </w:rPr>
        <w:t>Le système de mise en conformité a gagné en efficacité depuis que le RSD autorise les pays à rendre obligatoires les déclarations par voie électronique. Tout au long de la phase </w:t>
      </w:r>
      <w:r w:rsidRPr="00F43FC8">
        <w:rPr>
          <w:rFonts w:ascii="Times New Roman" w:hAnsi="Times New Roman"/>
          <w:noProof/>
          <w:sz w:val="24"/>
          <w:szCs w:val="24"/>
        </w:rPr>
        <w:t>3</w:t>
      </w:r>
      <w:r>
        <w:rPr>
          <w:rFonts w:ascii="Times New Roman" w:hAnsi="Times New Roman"/>
          <w:noProof/>
          <w:sz w:val="24"/>
          <w:szCs w:val="24"/>
        </w:rPr>
        <w:t>, plus de la moitié des pays participant au SEQE-UE ont déclaré utiliser des modèles électroniques pour les plans de surveillance, les rapports d’émissions, les rapports de vérification et/ou les rapports d’amélioration. L’autre moitié des pays ont déclaré utiliser une forme ou une autre de système informatique automatisé pour s’acquitter de leurs obligations déclaratives au titre du SEQE-UE.</w:t>
      </w:r>
    </w:p>
    <w:p w14:paraId="4C147164" w14:textId="05BE5658" w:rsidR="009A2EF4" w:rsidRPr="00DA11F1" w:rsidRDefault="009A2EF4" w:rsidP="009A2EF4">
      <w:pPr>
        <w:spacing w:after="120"/>
        <w:jc w:val="both"/>
        <w:rPr>
          <w:rFonts w:ascii="Times New Roman" w:eastAsia="Times New Roman" w:hAnsi="Times New Roman"/>
          <w:noProof/>
          <w:sz w:val="24"/>
          <w:szCs w:val="24"/>
        </w:rPr>
      </w:pPr>
      <w:r>
        <w:rPr>
          <w:rFonts w:ascii="Times New Roman" w:hAnsi="Times New Roman"/>
          <w:noProof/>
          <w:sz w:val="24"/>
          <w:szCs w:val="24"/>
        </w:rPr>
        <w:t>Tout au long de la phase </w:t>
      </w:r>
      <w:r w:rsidRPr="00F43FC8">
        <w:rPr>
          <w:rFonts w:ascii="Times New Roman" w:hAnsi="Times New Roman"/>
          <w:noProof/>
          <w:sz w:val="24"/>
          <w:szCs w:val="24"/>
        </w:rPr>
        <w:t>3</w:t>
      </w:r>
      <w:r>
        <w:rPr>
          <w:rFonts w:ascii="Times New Roman" w:hAnsi="Times New Roman"/>
          <w:noProof/>
          <w:sz w:val="24"/>
          <w:szCs w:val="24"/>
        </w:rPr>
        <w:t>, et malgré la situation économique difficile due à la crise de la COVID-</w:t>
      </w:r>
      <w:r w:rsidRPr="00F43FC8">
        <w:rPr>
          <w:rFonts w:ascii="Times New Roman" w:hAnsi="Times New Roman"/>
          <w:noProof/>
          <w:sz w:val="24"/>
          <w:szCs w:val="24"/>
        </w:rPr>
        <w:t>19</w:t>
      </w:r>
      <w:r>
        <w:rPr>
          <w:rFonts w:ascii="Times New Roman" w:hAnsi="Times New Roman"/>
          <w:noProof/>
          <w:sz w:val="24"/>
          <w:szCs w:val="24"/>
        </w:rPr>
        <w:t xml:space="preserve"> qui a affecté les cycles de mise en conformité </w:t>
      </w:r>
      <w:r w:rsidRPr="00F43FC8">
        <w:rPr>
          <w:rFonts w:ascii="Times New Roman" w:hAnsi="Times New Roman"/>
          <w:noProof/>
          <w:sz w:val="24"/>
          <w:szCs w:val="24"/>
        </w:rPr>
        <w:t>2020</w:t>
      </w:r>
      <w:r>
        <w:rPr>
          <w:rFonts w:ascii="Times New Roman" w:hAnsi="Times New Roman"/>
          <w:noProof/>
          <w:sz w:val="24"/>
          <w:szCs w:val="24"/>
        </w:rPr>
        <w:t xml:space="preserve"> et </w:t>
      </w:r>
      <w:r w:rsidRPr="00F43FC8">
        <w:rPr>
          <w:rFonts w:ascii="Times New Roman" w:hAnsi="Times New Roman"/>
          <w:noProof/>
          <w:sz w:val="24"/>
          <w:szCs w:val="24"/>
        </w:rPr>
        <w:t>2021</w:t>
      </w:r>
      <w:r>
        <w:rPr>
          <w:rFonts w:ascii="Times New Roman" w:hAnsi="Times New Roman"/>
          <w:noProof/>
          <w:sz w:val="24"/>
          <w:szCs w:val="24"/>
        </w:rPr>
        <w:t xml:space="preserve">, le niveau de conformité au SEQE-UE est toujours resté très élevé. Les exploitants responsables, la plupart des années, de plus de </w:t>
      </w:r>
      <w:r w:rsidRPr="00F43FC8">
        <w:rPr>
          <w:rFonts w:ascii="Times New Roman" w:hAnsi="Times New Roman"/>
          <w:noProof/>
          <w:sz w:val="24"/>
          <w:szCs w:val="24"/>
        </w:rPr>
        <w:t>99</w:t>
      </w:r>
      <w:r>
        <w:rPr>
          <w:rFonts w:ascii="Times New Roman" w:hAnsi="Times New Roman"/>
          <w:noProof/>
          <w:sz w:val="24"/>
          <w:szCs w:val="24"/>
        </w:rPr>
        <w:t xml:space="preserve"> % des émissions des installations fixes et de l’aviation ont satisfait à leurs obligations légales. </w:t>
      </w:r>
    </w:p>
    <w:p w14:paraId="290DFE83" w14:textId="19C9CE5A" w:rsidR="00066EB2" w:rsidRPr="00DA11F1" w:rsidRDefault="00066EB2" w:rsidP="00066EB2">
      <w:pPr>
        <w:spacing w:after="120"/>
        <w:jc w:val="both"/>
        <w:rPr>
          <w:rFonts w:ascii="Times New Roman" w:eastAsia="Times New Roman" w:hAnsi="Times New Roman"/>
          <w:noProof/>
          <w:sz w:val="24"/>
          <w:szCs w:val="24"/>
          <w:lang w:eastAsia="de-DE"/>
        </w:rPr>
      </w:pPr>
    </w:p>
    <w:p w14:paraId="5802E480" w14:textId="4A2A92C9" w:rsidR="00B70767" w:rsidRPr="00DA11F1" w:rsidRDefault="005811CF" w:rsidP="008356AC">
      <w:pPr>
        <w:jc w:val="both"/>
        <w:rPr>
          <w:rFonts w:ascii="Times New Roman" w:hAnsi="Times New Roman"/>
          <w:b/>
          <w:noProof/>
        </w:rPr>
      </w:pPr>
      <w:bookmarkStart w:id="69" w:name="_Toc89707777"/>
      <w:r w:rsidRPr="00F43FC8">
        <w:rPr>
          <w:rStyle w:val="Heading1Char"/>
          <w:rFonts w:eastAsia="Calibri"/>
          <w:noProof/>
        </w:rPr>
        <w:t>7</w:t>
      </w:r>
      <w:r>
        <w:rPr>
          <w:rStyle w:val="Heading1Char"/>
          <w:rFonts w:eastAsia="Calibri"/>
          <w:noProof/>
        </w:rPr>
        <w:t>. COUPLAGE DU SEQE-UE ET DU SEQE DE LA SUISSE</w:t>
      </w:r>
      <w:bookmarkEnd w:id="69"/>
    </w:p>
    <w:p w14:paraId="3BA2367F" w14:textId="77777777" w:rsidR="00AA1752" w:rsidRPr="00DA11F1" w:rsidRDefault="00B70767" w:rsidP="008356AC">
      <w:pPr>
        <w:jc w:val="both"/>
        <w:rPr>
          <w:rFonts w:ascii="Times New Roman" w:eastAsia="SimSun" w:hAnsi="Times New Roman"/>
          <w:noProof/>
          <w:sz w:val="24"/>
          <w:szCs w:val="24"/>
        </w:rPr>
      </w:pPr>
      <w:r>
        <w:rPr>
          <w:rFonts w:ascii="Times New Roman" w:hAnsi="Times New Roman"/>
          <w:noProof/>
          <w:sz w:val="24"/>
          <w:szCs w:val="24"/>
        </w:rPr>
        <w:t xml:space="preserve">Les négociations relatives au couplage du SEQE-UE avec le marché du carbone de la Suisse se sont conclues lors de la </w:t>
      </w:r>
      <w:r w:rsidRPr="00F43FC8">
        <w:rPr>
          <w:rFonts w:ascii="Times New Roman" w:hAnsi="Times New Roman"/>
          <w:noProof/>
          <w:sz w:val="24"/>
          <w:szCs w:val="24"/>
        </w:rPr>
        <w:t>21</w:t>
      </w:r>
      <w:r>
        <w:rPr>
          <w:rFonts w:ascii="Times New Roman" w:hAnsi="Times New Roman"/>
          <w:noProof/>
          <w:sz w:val="24"/>
          <w:szCs w:val="24"/>
          <w:vertAlign w:val="superscript"/>
        </w:rPr>
        <w:t>e</w:t>
      </w:r>
      <w:r>
        <w:rPr>
          <w:rFonts w:ascii="Times New Roman" w:hAnsi="Times New Roman"/>
          <w:noProof/>
          <w:sz w:val="24"/>
          <w:szCs w:val="24"/>
        </w:rPr>
        <w:t> conférence des parties à la CCNUCC, en décembre </w:t>
      </w:r>
      <w:r w:rsidRPr="00F43FC8">
        <w:rPr>
          <w:rFonts w:ascii="Times New Roman" w:hAnsi="Times New Roman"/>
          <w:noProof/>
          <w:sz w:val="24"/>
          <w:szCs w:val="24"/>
        </w:rPr>
        <w:t>2015</w:t>
      </w:r>
      <w:r>
        <w:rPr>
          <w:rFonts w:ascii="Times New Roman" w:hAnsi="Times New Roman"/>
          <w:noProof/>
          <w:sz w:val="24"/>
          <w:szCs w:val="24"/>
        </w:rPr>
        <w:t>. Sur la base de la décision (UE) </w:t>
      </w:r>
      <w:r w:rsidRPr="00F43FC8">
        <w:rPr>
          <w:rFonts w:ascii="Times New Roman" w:hAnsi="Times New Roman"/>
          <w:noProof/>
          <w:sz w:val="24"/>
          <w:szCs w:val="24"/>
        </w:rPr>
        <w:t>2017</w:t>
      </w:r>
      <w:r>
        <w:rPr>
          <w:rFonts w:ascii="Times New Roman" w:hAnsi="Times New Roman"/>
          <w:noProof/>
          <w:sz w:val="24"/>
          <w:szCs w:val="24"/>
        </w:rPr>
        <w:t>/</w:t>
      </w:r>
      <w:r w:rsidRPr="00F43FC8">
        <w:rPr>
          <w:rFonts w:ascii="Times New Roman" w:hAnsi="Times New Roman"/>
          <w:noProof/>
          <w:sz w:val="24"/>
          <w:szCs w:val="24"/>
        </w:rPr>
        <w:t>2240</w:t>
      </w:r>
      <w:r>
        <w:rPr>
          <w:rFonts w:ascii="Times New Roman" w:hAnsi="Times New Roman"/>
          <w:noProof/>
          <w:sz w:val="24"/>
          <w:szCs w:val="24"/>
        </w:rPr>
        <w:t xml:space="preserve"> du Conseil</w:t>
      </w:r>
      <w:r w:rsidRPr="00DA11F1">
        <w:rPr>
          <w:rFonts w:ascii="Times New Roman" w:eastAsia="SimSun" w:hAnsi="Times New Roman"/>
          <w:noProof/>
          <w:sz w:val="24"/>
          <w:szCs w:val="24"/>
          <w:vertAlign w:val="superscript"/>
          <w:lang w:eastAsia="zh-CN"/>
        </w:rPr>
        <w:footnoteReference w:id="109"/>
      </w:r>
      <w:r>
        <w:rPr>
          <w:rFonts w:ascii="Times New Roman" w:hAnsi="Times New Roman"/>
          <w:noProof/>
          <w:sz w:val="24"/>
          <w:szCs w:val="24"/>
        </w:rPr>
        <w:t>, l’accord de couplage</w:t>
      </w:r>
      <w:r w:rsidRPr="00DA11F1">
        <w:rPr>
          <w:rFonts w:ascii="Times New Roman" w:eastAsia="SimSun" w:hAnsi="Times New Roman"/>
          <w:noProof/>
          <w:sz w:val="24"/>
          <w:szCs w:val="24"/>
          <w:vertAlign w:val="superscript"/>
          <w:lang w:eastAsia="zh-CN"/>
        </w:rPr>
        <w:footnoteReference w:id="110"/>
      </w:r>
      <w:r>
        <w:rPr>
          <w:rFonts w:ascii="Times New Roman" w:hAnsi="Times New Roman"/>
          <w:noProof/>
          <w:sz w:val="24"/>
          <w:szCs w:val="24"/>
        </w:rPr>
        <w:t xml:space="preserve"> a été signé, appliqué à titre provisoire à compter du </w:t>
      </w:r>
      <w:r w:rsidRPr="00F43FC8">
        <w:rPr>
          <w:rFonts w:ascii="Times New Roman" w:hAnsi="Times New Roman"/>
          <w:noProof/>
          <w:sz w:val="24"/>
          <w:szCs w:val="24"/>
        </w:rPr>
        <w:t>23</w:t>
      </w:r>
      <w:r>
        <w:rPr>
          <w:rFonts w:ascii="Times New Roman" w:hAnsi="Times New Roman"/>
          <w:noProof/>
          <w:sz w:val="24"/>
          <w:szCs w:val="24"/>
        </w:rPr>
        <w:t> novembre </w:t>
      </w:r>
      <w:r w:rsidRPr="00F43FC8">
        <w:rPr>
          <w:rFonts w:ascii="Times New Roman" w:hAnsi="Times New Roman"/>
          <w:noProof/>
          <w:sz w:val="24"/>
          <w:szCs w:val="24"/>
        </w:rPr>
        <w:t>2017</w:t>
      </w:r>
      <w:r>
        <w:rPr>
          <w:rFonts w:ascii="Times New Roman" w:hAnsi="Times New Roman"/>
          <w:noProof/>
          <w:sz w:val="24"/>
          <w:szCs w:val="24"/>
        </w:rPr>
        <w:t xml:space="preserve"> et approuvé au nom de l’UE par la décision (UE) </w:t>
      </w:r>
      <w:r w:rsidRPr="00F43FC8">
        <w:rPr>
          <w:rFonts w:ascii="Times New Roman" w:hAnsi="Times New Roman"/>
          <w:noProof/>
          <w:sz w:val="24"/>
          <w:szCs w:val="24"/>
        </w:rPr>
        <w:t>2018</w:t>
      </w:r>
      <w:r>
        <w:rPr>
          <w:rFonts w:ascii="Times New Roman" w:hAnsi="Times New Roman"/>
          <w:noProof/>
          <w:sz w:val="24"/>
          <w:szCs w:val="24"/>
        </w:rPr>
        <w:t>/</w:t>
      </w:r>
      <w:r w:rsidRPr="00F43FC8">
        <w:rPr>
          <w:rFonts w:ascii="Times New Roman" w:hAnsi="Times New Roman"/>
          <w:noProof/>
          <w:sz w:val="24"/>
          <w:szCs w:val="24"/>
        </w:rPr>
        <w:t>219</w:t>
      </w:r>
      <w:r>
        <w:rPr>
          <w:rFonts w:ascii="Times New Roman" w:hAnsi="Times New Roman"/>
          <w:noProof/>
          <w:sz w:val="24"/>
          <w:szCs w:val="24"/>
        </w:rPr>
        <w:t xml:space="preserve"> du Conseil</w:t>
      </w:r>
      <w:r w:rsidRPr="00DA11F1">
        <w:rPr>
          <w:rFonts w:ascii="Times New Roman" w:eastAsia="SimSun" w:hAnsi="Times New Roman"/>
          <w:noProof/>
          <w:sz w:val="24"/>
          <w:szCs w:val="24"/>
          <w:vertAlign w:val="superscript"/>
          <w:lang w:eastAsia="zh-CN"/>
        </w:rPr>
        <w:footnoteReference w:id="111"/>
      </w:r>
      <w:r>
        <w:rPr>
          <w:rFonts w:ascii="Times New Roman" w:hAnsi="Times New Roman"/>
          <w:noProof/>
          <w:sz w:val="24"/>
          <w:szCs w:val="24"/>
        </w:rPr>
        <w:t xml:space="preserve">. L’UE et la Confédération suisse ont échangé leurs instruments de ratification le </w:t>
      </w:r>
      <w:r w:rsidRPr="00F43FC8">
        <w:rPr>
          <w:rFonts w:ascii="Times New Roman" w:hAnsi="Times New Roman"/>
          <w:noProof/>
          <w:sz w:val="24"/>
          <w:szCs w:val="24"/>
        </w:rPr>
        <w:t>6</w:t>
      </w:r>
      <w:r>
        <w:rPr>
          <w:rFonts w:ascii="Times New Roman" w:hAnsi="Times New Roman"/>
          <w:noProof/>
          <w:sz w:val="24"/>
          <w:szCs w:val="24"/>
        </w:rPr>
        <w:t> décembre </w:t>
      </w:r>
      <w:r w:rsidRPr="00F43FC8">
        <w:rPr>
          <w:rFonts w:ascii="Times New Roman" w:hAnsi="Times New Roman"/>
          <w:noProof/>
          <w:sz w:val="24"/>
          <w:szCs w:val="24"/>
        </w:rPr>
        <w:t>2019</w:t>
      </w:r>
      <w:r>
        <w:rPr>
          <w:rFonts w:ascii="Times New Roman" w:hAnsi="Times New Roman"/>
          <w:noProof/>
          <w:sz w:val="24"/>
          <w:szCs w:val="24"/>
        </w:rPr>
        <w:t>, après que la Confédération suisse a étendu son SEQE à l’aviation par la décision </w:t>
      </w:r>
      <w:r w:rsidRPr="00F43FC8">
        <w:rPr>
          <w:rFonts w:ascii="Times New Roman" w:hAnsi="Times New Roman"/>
          <w:noProof/>
          <w:sz w:val="24"/>
          <w:szCs w:val="24"/>
        </w:rPr>
        <w:t>2</w:t>
      </w:r>
      <w:r>
        <w:rPr>
          <w:rFonts w:ascii="Times New Roman" w:hAnsi="Times New Roman"/>
          <w:noProof/>
          <w:sz w:val="24"/>
          <w:szCs w:val="24"/>
        </w:rPr>
        <w:t>/</w:t>
      </w:r>
      <w:r w:rsidRPr="00F43FC8">
        <w:rPr>
          <w:rFonts w:ascii="Times New Roman" w:hAnsi="Times New Roman"/>
          <w:noProof/>
          <w:sz w:val="24"/>
          <w:szCs w:val="24"/>
        </w:rPr>
        <w:t>2019</w:t>
      </w:r>
      <w:r>
        <w:rPr>
          <w:rFonts w:ascii="Times New Roman" w:hAnsi="Times New Roman"/>
          <w:noProof/>
          <w:sz w:val="24"/>
          <w:szCs w:val="24"/>
        </w:rPr>
        <w:t xml:space="preserve"> le </w:t>
      </w:r>
      <w:r w:rsidRPr="00F43FC8">
        <w:rPr>
          <w:rFonts w:ascii="Times New Roman" w:hAnsi="Times New Roman"/>
          <w:noProof/>
          <w:sz w:val="24"/>
          <w:szCs w:val="24"/>
        </w:rPr>
        <w:t>5</w:t>
      </w:r>
      <w:r>
        <w:rPr>
          <w:rFonts w:ascii="Times New Roman" w:hAnsi="Times New Roman"/>
          <w:noProof/>
          <w:sz w:val="24"/>
          <w:szCs w:val="24"/>
        </w:rPr>
        <w:t> décembre </w:t>
      </w:r>
      <w:r w:rsidRPr="00F43FC8">
        <w:rPr>
          <w:rFonts w:ascii="Times New Roman" w:hAnsi="Times New Roman"/>
          <w:noProof/>
          <w:sz w:val="24"/>
          <w:szCs w:val="24"/>
        </w:rPr>
        <w:t>2019</w:t>
      </w:r>
      <w:r w:rsidR="006F0522" w:rsidRPr="00DA11F1">
        <w:rPr>
          <w:rFonts w:ascii="Times New Roman" w:eastAsia="SimSun" w:hAnsi="Times New Roman"/>
          <w:noProof/>
          <w:sz w:val="24"/>
          <w:szCs w:val="24"/>
          <w:vertAlign w:val="superscript"/>
          <w:lang w:eastAsia="zh-CN"/>
        </w:rPr>
        <w:footnoteReference w:id="112"/>
      </w:r>
      <w:r>
        <w:rPr>
          <w:rFonts w:ascii="Times New Roman" w:hAnsi="Times New Roman"/>
          <w:noProof/>
          <w:sz w:val="24"/>
          <w:szCs w:val="24"/>
        </w:rPr>
        <w:t xml:space="preserve">. L’accord de couplage est donc entré en vigueur le </w:t>
      </w:r>
      <w:r w:rsidRPr="00F43FC8">
        <w:rPr>
          <w:rFonts w:ascii="Times New Roman" w:hAnsi="Times New Roman"/>
          <w:noProof/>
          <w:sz w:val="24"/>
          <w:szCs w:val="24"/>
        </w:rPr>
        <w:t>1</w:t>
      </w:r>
      <w:r>
        <w:rPr>
          <w:rFonts w:ascii="Times New Roman" w:hAnsi="Times New Roman"/>
          <w:noProof/>
          <w:sz w:val="24"/>
          <w:szCs w:val="24"/>
          <w:vertAlign w:val="superscript"/>
        </w:rPr>
        <w:t>er</w:t>
      </w:r>
      <w:r>
        <w:rPr>
          <w:rFonts w:ascii="Times New Roman" w:hAnsi="Times New Roman"/>
          <w:noProof/>
          <w:sz w:val="24"/>
          <w:szCs w:val="24"/>
        </w:rPr>
        <w:t> janvier </w:t>
      </w:r>
      <w:r w:rsidRPr="00F43FC8">
        <w:rPr>
          <w:rFonts w:ascii="Times New Roman" w:hAnsi="Times New Roman"/>
          <w:noProof/>
          <w:sz w:val="24"/>
          <w:szCs w:val="24"/>
        </w:rPr>
        <w:t>2020</w:t>
      </w:r>
      <w:r w:rsidRPr="00DA11F1">
        <w:rPr>
          <w:rFonts w:ascii="Times New Roman" w:eastAsia="SimSun" w:hAnsi="Times New Roman"/>
          <w:noProof/>
          <w:sz w:val="24"/>
          <w:szCs w:val="24"/>
          <w:vertAlign w:val="superscript"/>
          <w:lang w:eastAsia="zh-CN"/>
        </w:rPr>
        <w:footnoteReference w:id="113"/>
      </w:r>
      <w:r>
        <w:rPr>
          <w:rFonts w:ascii="Times New Roman" w:hAnsi="Times New Roman"/>
          <w:noProof/>
          <w:sz w:val="24"/>
          <w:szCs w:val="24"/>
        </w:rPr>
        <w:t>. Depuis lors, les émissions du SEQE-UE et du SEQE de la Suisse de </w:t>
      </w:r>
      <w:r w:rsidRPr="00F43FC8">
        <w:rPr>
          <w:rFonts w:ascii="Times New Roman" w:hAnsi="Times New Roman"/>
          <w:noProof/>
          <w:sz w:val="24"/>
          <w:szCs w:val="24"/>
        </w:rPr>
        <w:t>2020</w:t>
      </w:r>
      <w:r>
        <w:rPr>
          <w:rFonts w:ascii="Times New Roman" w:hAnsi="Times New Roman"/>
          <w:noProof/>
          <w:sz w:val="24"/>
          <w:szCs w:val="24"/>
        </w:rPr>
        <w:t xml:space="preserve"> sont couvertes par les systèmes couplés. </w:t>
      </w:r>
    </w:p>
    <w:p w14:paraId="4EBA42A9" w14:textId="052EC26A" w:rsidR="00ED4EB3" w:rsidRPr="00DA11F1" w:rsidRDefault="00B70767" w:rsidP="008356AC">
      <w:pPr>
        <w:jc w:val="both"/>
        <w:rPr>
          <w:rFonts w:ascii="Times New Roman" w:eastAsia="SimSun" w:hAnsi="Times New Roman"/>
          <w:noProof/>
          <w:sz w:val="24"/>
          <w:szCs w:val="24"/>
        </w:rPr>
      </w:pPr>
      <w:r>
        <w:rPr>
          <w:rFonts w:ascii="Times New Roman" w:hAnsi="Times New Roman"/>
          <w:noProof/>
          <w:sz w:val="24"/>
          <w:szCs w:val="24"/>
        </w:rPr>
        <w:t>L’accord de couplage n’affecte pas l’indépendance du SEQE-UE et du SEQE de la Suisse. Les deux systèmes restent indépendants, contrairement à ceux de l’Islande, du Liechtenstein et de la Norvège, qui sont pleinement intégrés au SEQE-UE par les mécanismes établis dans l’accord EEE. L’accord de couplage définit les conditions et obligations régissant le couplage des deux systèmes et établit le mécanisme nécessaire pour assurer le respect des conditions de couplage énoncées à l’article </w:t>
      </w:r>
      <w:r w:rsidRPr="00F43FC8">
        <w:rPr>
          <w:rFonts w:ascii="Times New Roman" w:hAnsi="Times New Roman"/>
          <w:noProof/>
          <w:sz w:val="24"/>
          <w:szCs w:val="24"/>
        </w:rPr>
        <w:t>25</w:t>
      </w:r>
      <w:r>
        <w:rPr>
          <w:rFonts w:ascii="Times New Roman" w:hAnsi="Times New Roman"/>
          <w:noProof/>
          <w:sz w:val="24"/>
          <w:szCs w:val="24"/>
        </w:rPr>
        <w:t xml:space="preserve"> de la directive SEQE-UE</w:t>
      </w:r>
      <w:r w:rsidRPr="00DA11F1">
        <w:rPr>
          <w:rFonts w:ascii="Times New Roman" w:eastAsia="SimSun" w:hAnsi="Times New Roman"/>
          <w:noProof/>
          <w:sz w:val="24"/>
          <w:szCs w:val="24"/>
          <w:vertAlign w:val="superscript"/>
          <w:lang w:eastAsia="zh-CN"/>
        </w:rPr>
        <w:footnoteReference w:id="114"/>
      </w:r>
      <w:r>
        <w:rPr>
          <w:rFonts w:ascii="Times New Roman" w:hAnsi="Times New Roman"/>
          <w:noProof/>
          <w:sz w:val="24"/>
          <w:szCs w:val="24"/>
        </w:rPr>
        <w:t>.</w:t>
      </w:r>
    </w:p>
    <w:p w14:paraId="44DFBFD6" w14:textId="0667A69E" w:rsidR="00ED4EB3" w:rsidRPr="00DA11F1" w:rsidRDefault="00B70767" w:rsidP="008356AC">
      <w:pPr>
        <w:jc w:val="both"/>
        <w:rPr>
          <w:rFonts w:ascii="Times New Roman" w:eastAsia="SimSun" w:hAnsi="Times New Roman"/>
          <w:noProof/>
          <w:sz w:val="24"/>
          <w:szCs w:val="24"/>
        </w:rPr>
      </w:pPr>
      <w:r>
        <w:rPr>
          <w:rFonts w:ascii="Times New Roman" w:hAnsi="Times New Roman"/>
          <w:noProof/>
          <w:sz w:val="24"/>
          <w:szCs w:val="24"/>
        </w:rPr>
        <w:t>L’inclusion de l’aviation dans l’accord de couplage était une exigence essentielle pour l’UE. Au titre de l’article </w:t>
      </w:r>
      <w:r w:rsidRPr="00F43FC8">
        <w:rPr>
          <w:rFonts w:ascii="Times New Roman" w:hAnsi="Times New Roman"/>
          <w:noProof/>
          <w:sz w:val="24"/>
          <w:szCs w:val="24"/>
        </w:rPr>
        <w:t>6</w:t>
      </w:r>
      <w:r>
        <w:rPr>
          <w:rFonts w:ascii="Times New Roman" w:hAnsi="Times New Roman"/>
          <w:noProof/>
          <w:sz w:val="24"/>
          <w:szCs w:val="24"/>
        </w:rPr>
        <w:t xml:space="preserve"> de l’accord, la Suisse applique la même approche que celle du SEQE-UE en ce qui concerne la couverture, le plafonnement et l’allocation des quotas. Les vols intérieurs suisses et les vols au départ de la Suisse à destination de l’EEE sont couverts par le SEQE de la Suisse, tandis que les vols au départ de l’EEE à destination de la Suisse relèvent du SEQE-UE. L’accord de couplage peut ainsi contribuer à l’intégrité environnementale du SEQE-UE et du SEQE de la Suisse. </w:t>
      </w:r>
    </w:p>
    <w:p w14:paraId="4F5C3228" w14:textId="45574CAA" w:rsidR="00B70767" w:rsidRDefault="005B6D58" w:rsidP="00087600">
      <w:pPr>
        <w:jc w:val="both"/>
        <w:rPr>
          <w:rFonts w:ascii="Times New Roman" w:hAnsi="Times New Roman"/>
          <w:noProof/>
          <w:sz w:val="24"/>
          <w:szCs w:val="24"/>
        </w:rPr>
      </w:pPr>
      <w:r>
        <w:rPr>
          <w:rFonts w:ascii="Times New Roman" w:hAnsi="Times New Roman"/>
          <w:noProof/>
          <w:sz w:val="24"/>
          <w:szCs w:val="24"/>
        </w:rPr>
        <w:t>Comme le montre le</w:t>
      </w:r>
      <w:r w:rsidR="00087600">
        <w:rPr>
          <w:rFonts w:ascii="Times New Roman" w:hAnsi="Times New Roman"/>
          <w:noProof/>
          <w:sz w:val="24"/>
          <w:szCs w:val="24"/>
        </w:rPr>
        <w:t xml:space="preserve"> tableau</w:t>
      </w:r>
      <w:r w:rsidR="00087600">
        <w:rPr>
          <w:rFonts w:ascii="Times New Roman" w:eastAsia="SimSun" w:hAnsi="Times New Roman"/>
          <w:noProof/>
          <w:sz w:val="24"/>
          <w:szCs w:val="24"/>
        </w:rPr>
        <w:t xml:space="preserve"> </w:t>
      </w:r>
      <w:r w:rsidR="00087600" w:rsidRPr="00F43FC8">
        <w:rPr>
          <w:rFonts w:ascii="Times New Roman" w:eastAsia="SimSun" w:hAnsi="Times New Roman"/>
          <w:noProof/>
          <w:sz w:val="24"/>
          <w:szCs w:val="24"/>
        </w:rPr>
        <w:t>7</w:t>
      </w:r>
      <w:r>
        <w:rPr>
          <w:rFonts w:ascii="Times New Roman" w:hAnsi="Times New Roman"/>
          <w:noProof/>
          <w:sz w:val="24"/>
          <w:szCs w:val="24"/>
        </w:rPr>
        <w:t>, la compatibilité des deux systèmes n’est pas une question de taille, mais une question d’exigences et de considérations qualitatives afin de préserver l’intégrité des marchés du carbone couplés et l’équité des conditions de co</w:t>
      </w:r>
      <w:r w:rsidR="009515EA">
        <w:rPr>
          <w:rFonts w:ascii="Times New Roman" w:hAnsi="Times New Roman"/>
          <w:noProof/>
          <w:sz w:val="24"/>
          <w:szCs w:val="24"/>
        </w:rPr>
        <w:t>ncurrence pour les exploitants.</w:t>
      </w:r>
    </w:p>
    <w:p w14:paraId="0C2480CA" w14:textId="288A5B8F" w:rsidR="00E14169" w:rsidRPr="00DA11F1" w:rsidRDefault="00E14169" w:rsidP="00E14169">
      <w:pPr>
        <w:pStyle w:val="Caption"/>
        <w:keepNext/>
        <w:rPr>
          <w:rFonts w:ascii="Times New Roman" w:hAnsi="Times New Roman"/>
          <w:noProof/>
          <w:sz w:val="22"/>
        </w:rPr>
      </w:pPr>
      <w:bookmarkStart w:id="70" w:name="_Ref85055025"/>
      <w:r>
        <w:rPr>
          <w:rFonts w:ascii="Times New Roman" w:hAnsi="Times New Roman"/>
          <w:noProof/>
          <w:sz w:val="22"/>
        </w:rPr>
        <w:t>Tableau </w:t>
      </w:r>
      <w:r w:rsidRPr="00DA11F1">
        <w:rPr>
          <w:rFonts w:ascii="Times New Roman" w:hAnsi="Times New Roman"/>
          <w:noProof/>
          <w:sz w:val="22"/>
        </w:rPr>
        <w:fldChar w:fldCharType="begin"/>
      </w:r>
      <w:r w:rsidRPr="00DA11F1">
        <w:rPr>
          <w:rFonts w:ascii="Times New Roman" w:hAnsi="Times New Roman"/>
          <w:noProof/>
          <w:sz w:val="22"/>
        </w:rPr>
        <w:instrText xml:space="preserve"> SEQ Table \* ARABIC </w:instrText>
      </w:r>
      <w:r w:rsidRPr="00DA11F1">
        <w:rPr>
          <w:rFonts w:ascii="Times New Roman" w:hAnsi="Times New Roman"/>
          <w:noProof/>
          <w:sz w:val="22"/>
        </w:rPr>
        <w:fldChar w:fldCharType="separate"/>
      </w:r>
      <w:r w:rsidR="00676166" w:rsidRPr="00F43FC8">
        <w:rPr>
          <w:rFonts w:ascii="Times New Roman" w:hAnsi="Times New Roman"/>
          <w:noProof/>
          <w:sz w:val="22"/>
        </w:rPr>
        <w:t>7</w:t>
      </w:r>
      <w:r w:rsidRPr="00DA11F1">
        <w:rPr>
          <w:rFonts w:ascii="Times New Roman" w:hAnsi="Times New Roman"/>
          <w:noProof/>
          <w:sz w:val="22"/>
        </w:rPr>
        <w:fldChar w:fldCharType="end"/>
      </w:r>
      <w:bookmarkEnd w:id="70"/>
      <w:r>
        <w:rPr>
          <w:rFonts w:ascii="Times New Roman" w:hAnsi="Times New Roman"/>
          <w:noProof/>
          <w:sz w:val="22"/>
        </w:rPr>
        <w:t>. Comparaison du SEQE-UE et du SEQE de la Suisse</w:t>
      </w:r>
    </w:p>
    <w:tbl>
      <w:tblPr>
        <w:tblStyle w:val="TableGrid71"/>
        <w:tblW w:w="0" w:type="auto"/>
        <w:tblInd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892"/>
        <w:gridCol w:w="1501"/>
        <w:gridCol w:w="1500"/>
        <w:gridCol w:w="1677"/>
        <w:gridCol w:w="1672"/>
      </w:tblGrid>
      <w:tr w:rsidR="00ED4EB3" w:rsidRPr="00DA11F1" w14:paraId="7B507A37" w14:textId="77777777" w:rsidTr="00817385">
        <w:tc>
          <w:tcPr>
            <w:tcW w:w="2888" w:type="dxa"/>
            <w:tcBorders>
              <w:top w:val="double" w:sz="4" w:space="0" w:color="auto"/>
              <w:left w:val="double" w:sz="4" w:space="0" w:color="auto"/>
              <w:bottom w:val="double" w:sz="4" w:space="0" w:color="auto"/>
              <w:right w:val="double" w:sz="4" w:space="0" w:color="auto"/>
            </w:tcBorders>
            <w:vAlign w:val="center"/>
          </w:tcPr>
          <w:p w14:paraId="38C80B21" w14:textId="77777777" w:rsidR="00ED4EB3" w:rsidRPr="00DA11F1" w:rsidRDefault="00ED4EB3" w:rsidP="003805F8">
            <w:pPr>
              <w:spacing w:line="276" w:lineRule="auto"/>
              <w:rPr>
                <w:rFonts w:ascii="Times New Roman" w:eastAsia="SimSun" w:hAnsi="Times New Roman"/>
                <w:noProof/>
                <w:sz w:val="20"/>
                <w:szCs w:val="20"/>
              </w:rPr>
            </w:pPr>
          </w:p>
        </w:tc>
        <w:tc>
          <w:tcPr>
            <w:tcW w:w="3004" w:type="dxa"/>
            <w:gridSpan w:val="2"/>
            <w:tcBorders>
              <w:top w:val="double" w:sz="4" w:space="0" w:color="auto"/>
              <w:left w:val="double" w:sz="4" w:space="0" w:color="auto"/>
              <w:bottom w:val="double" w:sz="4" w:space="0" w:color="auto"/>
              <w:right w:val="double" w:sz="4" w:space="0" w:color="auto"/>
            </w:tcBorders>
            <w:vAlign w:val="center"/>
            <w:hideMark/>
          </w:tcPr>
          <w:p w14:paraId="6D5FB03A" w14:textId="77777777" w:rsidR="00ED4EB3" w:rsidRPr="00DA11F1" w:rsidRDefault="00ED4EB3" w:rsidP="003805F8">
            <w:pPr>
              <w:spacing w:line="276" w:lineRule="auto"/>
              <w:jc w:val="center"/>
              <w:rPr>
                <w:rFonts w:ascii="Times New Roman" w:hAnsi="Times New Roman"/>
                <w:b/>
                <w:noProof/>
                <w:sz w:val="20"/>
                <w:szCs w:val="20"/>
              </w:rPr>
            </w:pPr>
            <w:r>
              <w:rPr>
                <w:rFonts w:ascii="Times New Roman" w:hAnsi="Times New Roman"/>
                <w:b/>
                <w:noProof/>
                <w:sz w:val="20"/>
                <w:szCs w:val="20"/>
              </w:rPr>
              <w:t>SEQE-UE</w:t>
            </w:r>
          </w:p>
        </w:tc>
        <w:tc>
          <w:tcPr>
            <w:tcW w:w="3350" w:type="dxa"/>
            <w:gridSpan w:val="2"/>
            <w:tcBorders>
              <w:top w:val="double" w:sz="4" w:space="0" w:color="auto"/>
              <w:left w:val="double" w:sz="4" w:space="0" w:color="auto"/>
              <w:bottom w:val="double" w:sz="4" w:space="0" w:color="auto"/>
              <w:right w:val="double" w:sz="4" w:space="0" w:color="auto"/>
            </w:tcBorders>
            <w:vAlign w:val="center"/>
            <w:hideMark/>
          </w:tcPr>
          <w:p w14:paraId="0AF8869A" w14:textId="77777777" w:rsidR="00ED4EB3" w:rsidRPr="00DA11F1" w:rsidRDefault="00ED4EB3" w:rsidP="003805F8">
            <w:pPr>
              <w:spacing w:line="276" w:lineRule="auto"/>
              <w:jc w:val="center"/>
              <w:rPr>
                <w:rFonts w:ascii="Times New Roman" w:hAnsi="Times New Roman"/>
                <w:b/>
                <w:noProof/>
                <w:sz w:val="20"/>
                <w:szCs w:val="20"/>
                <w:highlight w:val="yellow"/>
              </w:rPr>
            </w:pPr>
            <w:r>
              <w:rPr>
                <w:rFonts w:ascii="Times New Roman" w:hAnsi="Times New Roman"/>
                <w:b/>
                <w:noProof/>
                <w:sz w:val="20"/>
                <w:szCs w:val="20"/>
              </w:rPr>
              <w:t>SEQE de la Suisse</w:t>
            </w:r>
          </w:p>
        </w:tc>
      </w:tr>
      <w:tr w:rsidR="00ED4EB3" w:rsidRPr="00DA11F1" w14:paraId="34854B45" w14:textId="77777777" w:rsidTr="00817385">
        <w:tc>
          <w:tcPr>
            <w:tcW w:w="2888" w:type="dxa"/>
            <w:tcBorders>
              <w:top w:val="double" w:sz="4" w:space="0" w:color="auto"/>
              <w:left w:val="double" w:sz="4" w:space="0" w:color="auto"/>
              <w:bottom w:val="double" w:sz="4" w:space="0" w:color="auto"/>
              <w:right w:val="double" w:sz="4" w:space="0" w:color="auto"/>
            </w:tcBorders>
            <w:vAlign w:val="center"/>
            <w:hideMark/>
          </w:tcPr>
          <w:p w14:paraId="596D79A1" w14:textId="77777777" w:rsidR="00ED4EB3" w:rsidRPr="00DA11F1" w:rsidRDefault="00ED4EB3" w:rsidP="003805F8">
            <w:pPr>
              <w:spacing w:line="276" w:lineRule="auto"/>
              <w:rPr>
                <w:rFonts w:ascii="Times New Roman" w:hAnsi="Times New Roman"/>
                <w:b/>
                <w:noProof/>
                <w:sz w:val="20"/>
                <w:szCs w:val="20"/>
              </w:rPr>
            </w:pPr>
            <w:r>
              <w:rPr>
                <w:rFonts w:ascii="Times New Roman" w:hAnsi="Times New Roman"/>
                <w:b/>
                <w:noProof/>
                <w:sz w:val="20"/>
                <w:szCs w:val="20"/>
              </w:rPr>
              <w:t>Nombre de quotas généraux mis aux enchères en </w:t>
            </w:r>
            <w:r w:rsidRPr="00F43FC8">
              <w:rPr>
                <w:rFonts w:ascii="Times New Roman" w:hAnsi="Times New Roman"/>
                <w:b/>
                <w:noProof/>
                <w:sz w:val="20"/>
                <w:szCs w:val="20"/>
              </w:rPr>
              <w:t>2020</w:t>
            </w:r>
          </w:p>
        </w:tc>
        <w:tc>
          <w:tcPr>
            <w:tcW w:w="3004" w:type="dxa"/>
            <w:gridSpan w:val="2"/>
            <w:tcBorders>
              <w:top w:val="double" w:sz="4" w:space="0" w:color="auto"/>
              <w:left w:val="double" w:sz="4" w:space="0" w:color="auto"/>
              <w:bottom w:val="double" w:sz="4" w:space="0" w:color="auto"/>
              <w:right w:val="double" w:sz="4" w:space="0" w:color="auto"/>
            </w:tcBorders>
            <w:vAlign w:val="center"/>
            <w:hideMark/>
          </w:tcPr>
          <w:p w14:paraId="57DFF3D2" w14:textId="0510E559" w:rsidR="00ED4EB3" w:rsidRPr="00DA11F1" w:rsidRDefault="00D5706E" w:rsidP="00DE640A">
            <w:pPr>
              <w:spacing w:line="276" w:lineRule="auto"/>
              <w:rPr>
                <w:rFonts w:ascii="Times New Roman" w:hAnsi="Times New Roman"/>
                <w:noProof/>
                <w:sz w:val="20"/>
                <w:szCs w:val="20"/>
              </w:rPr>
            </w:pPr>
            <w:r w:rsidRPr="00F43FC8">
              <w:rPr>
                <w:rFonts w:ascii="Times New Roman" w:hAnsi="Times New Roman"/>
                <w:noProof/>
                <w:sz w:val="20"/>
                <w:szCs w:val="20"/>
              </w:rPr>
              <w:t>778</w:t>
            </w:r>
            <w:r>
              <w:rPr>
                <w:rFonts w:ascii="Times New Roman" w:hAnsi="Times New Roman"/>
                <w:noProof/>
                <w:sz w:val="20"/>
                <w:szCs w:val="20"/>
              </w:rPr>
              <w:t> </w:t>
            </w:r>
            <w:r w:rsidRPr="00F43FC8">
              <w:rPr>
                <w:rFonts w:ascii="Times New Roman" w:hAnsi="Times New Roman"/>
                <w:noProof/>
                <w:sz w:val="20"/>
                <w:szCs w:val="20"/>
              </w:rPr>
              <w:t>505</w:t>
            </w:r>
            <w:r>
              <w:rPr>
                <w:rFonts w:ascii="Times New Roman" w:hAnsi="Times New Roman"/>
                <w:noProof/>
                <w:sz w:val="20"/>
                <w:szCs w:val="20"/>
              </w:rPr>
              <w:t> </w:t>
            </w:r>
            <w:r w:rsidRPr="00F43FC8">
              <w:rPr>
                <w:rFonts w:ascii="Times New Roman" w:hAnsi="Times New Roman"/>
                <w:noProof/>
                <w:sz w:val="20"/>
                <w:szCs w:val="20"/>
              </w:rPr>
              <w:t>000</w:t>
            </w:r>
          </w:p>
        </w:tc>
        <w:tc>
          <w:tcPr>
            <w:tcW w:w="3350" w:type="dxa"/>
            <w:gridSpan w:val="2"/>
            <w:tcBorders>
              <w:top w:val="double" w:sz="4" w:space="0" w:color="auto"/>
              <w:left w:val="double" w:sz="4" w:space="0" w:color="auto"/>
              <w:bottom w:val="double" w:sz="4" w:space="0" w:color="auto"/>
              <w:right w:val="double" w:sz="4" w:space="0" w:color="auto"/>
            </w:tcBorders>
            <w:vAlign w:val="center"/>
            <w:hideMark/>
          </w:tcPr>
          <w:p w14:paraId="4599B36E" w14:textId="46AB1DDD" w:rsidR="00ED4EB3" w:rsidRPr="00DA11F1" w:rsidRDefault="00ED4EB3" w:rsidP="00DE640A">
            <w:pPr>
              <w:spacing w:line="276" w:lineRule="auto"/>
              <w:rPr>
                <w:rFonts w:ascii="Times New Roman" w:hAnsi="Times New Roman"/>
                <w:noProof/>
                <w:sz w:val="20"/>
                <w:szCs w:val="20"/>
                <w:highlight w:val="yellow"/>
              </w:rPr>
            </w:pPr>
            <w:r w:rsidRPr="00F43FC8">
              <w:rPr>
                <w:rFonts w:ascii="Times New Roman" w:hAnsi="Times New Roman"/>
                <w:noProof/>
                <w:sz w:val="20"/>
                <w:szCs w:val="20"/>
              </w:rPr>
              <w:t>265</w:t>
            </w:r>
            <w:r>
              <w:rPr>
                <w:rFonts w:ascii="Times New Roman" w:hAnsi="Times New Roman"/>
                <w:noProof/>
                <w:sz w:val="20"/>
                <w:szCs w:val="20"/>
              </w:rPr>
              <w:t> </w:t>
            </w:r>
            <w:r w:rsidRPr="00F43FC8">
              <w:rPr>
                <w:rFonts w:ascii="Times New Roman" w:hAnsi="Times New Roman"/>
                <w:noProof/>
                <w:sz w:val="20"/>
                <w:szCs w:val="20"/>
              </w:rPr>
              <w:t>000</w:t>
            </w:r>
            <w:r>
              <w:rPr>
                <w:rFonts w:ascii="Times New Roman" w:hAnsi="Times New Roman"/>
                <w:noProof/>
                <w:sz w:val="20"/>
                <w:szCs w:val="20"/>
              </w:rPr>
              <w:t xml:space="preserve"> (dont </w:t>
            </w:r>
            <w:r w:rsidRPr="00F43FC8">
              <w:rPr>
                <w:rFonts w:ascii="Times New Roman" w:hAnsi="Times New Roman"/>
                <w:noProof/>
                <w:sz w:val="20"/>
                <w:szCs w:val="20"/>
              </w:rPr>
              <w:t>175</w:t>
            </w:r>
            <w:r>
              <w:rPr>
                <w:rFonts w:ascii="Times New Roman" w:hAnsi="Times New Roman"/>
                <w:noProof/>
                <w:sz w:val="20"/>
                <w:szCs w:val="20"/>
              </w:rPr>
              <w:t> </w:t>
            </w:r>
            <w:r w:rsidRPr="00F43FC8">
              <w:rPr>
                <w:rFonts w:ascii="Times New Roman" w:hAnsi="Times New Roman"/>
                <w:noProof/>
                <w:sz w:val="20"/>
                <w:szCs w:val="20"/>
              </w:rPr>
              <w:t>000</w:t>
            </w:r>
            <w:r>
              <w:rPr>
                <w:rFonts w:ascii="Times New Roman" w:hAnsi="Times New Roman"/>
                <w:noProof/>
                <w:sz w:val="20"/>
                <w:szCs w:val="20"/>
              </w:rPr>
              <w:t> mis aux enchères en </w:t>
            </w:r>
            <w:r w:rsidRPr="00F43FC8">
              <w:rPr>
                <w:rFonts w:ascii="Times New Roman" w:hAnsi="Times New Roman"/>
                <w:noProof/>
                <w:sz w:val="20"/>
                <w:szCs w:val="20"/>
              </w:rPr>
              <w:t>2021</w:t>
            </w:r>
            <w:r>
              <w:rPr>
                <w:rFonts w:ascii="Times New Roman" w:hAnsi="Times New Roman"/>
                <w:noProof/>
                <w:sz w:val="20"/>
                <w:szCs w:val="20"/>
              </w:rPr>
              <w:t xml:space="preserve"> en raison de l’annulation d’enchères en </w:t>
            </w:r>
            <w:r w:rsidRPr="00F43FC8">
              <w:rPr>
                <w:rFonts w:ascii="Times New Roman" w:hAnsi="Times New Roman"/>
                <w:noProof/>
                <w:sz w:val="20"/>
                <w:szCs w:val="20"/>
              </w:rPr>
              <w:t>2020</w:t>
            </w:r>
            <w:r>
              <w:rPr>
                <w:rFonts w:ascii="Times New Roman" w:hAnsi="Times New Roman"/>
                <w:noProof/>
                <w:sz w:val="20"/>
                <w:szCs w:val="20"/>
              </w:rPr>
              <w:t>)</w:t>
            </w:r>
          </w:p>
        </w:tc>
      </w:tr>
      <w:tr w:rsidR="00ED4EB3" w:rsidRPr="00DA11F1" w14:paraId="52A990A9" w14:textId="77777777" w:rsidTr="003805F8">
        <w:tc>
          <w:tcPr>
            <w:tcW w:w="2910" w:type="dxa"/>
            <w:tcBorders>
              <w:top w:val="double" w:sz="4" w:space="0" w:color="auto"/>
              <w:left w:val="double" w:sz="4" w:space="0" w:color="auto"/>
              <w:bottom w:val="double" w:sz="4" w:space="0" w:color="auto"/>
              <w:right w:val="double" w:sz="4" w:space="0" w:color="auto"/>
            </w:tcBorders>
            <w:vAlign w:val="center"/>
            <w:hideMark/>
          </w:tcPr>
          <w:p w14:paraId="78A55467" w14:textId="77777777" w:rsidR="00ED4EB3" w:rsidRPr="00DA11F1" w:rsidRDefault="00ED4EB3" w:rsidP="003805F8">
            <w:pPr>
              <w:spacing w:line="276" w:lineRule="auto"/>
              <w:rPr>
                <w:rFonts w:ascii="Times New Roman" w:hAnsi="Times New Roman"/>
                <w:b/>
                <w:noProof/>
                <w:sz w:val="20"/>
                <w:szCs w:val="20"/>
              </w:rPr>
            </w:pPr>
            <w:r>
              <w:rPr>
                <w:rFonts w:ascii="Times New Roman" w:hAnsi="Times New Roman"/>
                <w:b/>
                <w:noProof/>
                <w:sz w:val="20"/>
                <w:szCs w:val="20"/>
              </w:rPr>
              <w:t>Nombre de quotas aviation mis aux enchères en </w:t>
            </w:r>
            <w:r w:rsidRPr="00F43FC8">
              <w:rPr>
                <w:rFonts w:ascii="Times New Roman" w:hAnsi="Times New Roman"/>
                <w:b/>
                <w:noProof/>
                <w:sz w:val="20"/>
                <w:szCs w:val="20"/>
              </w:rPr>
              <w:t>2020</w:t>
            </w:r>
          </w:p>
        </w:tc>
        <w:tc>
          <w:tcPr>
            <w:tcW w:w="3014" w:type="dxa"/>
            <w:gridSpan w:val="2"/>
            <w:tcBorders>
              <w:top w:val="double" w:sz="4" w:space="0" w:color="auto"/>
              <w:left w:val="double" w:sz="4" w:space="0" w:color="auto"/>
              <w:bottom w:val="double" w:sz="4" w:space="0" w:color="auto"/>
              <w:right w:val="double" w:sz="4" w:space="0" w:color="auto"/>
            </w:tcBorders>
            <w:vAlign w:val="center"/>
            <w:hideMark/>
          </w:tcPr>
          <w:p w14:paraId="79A3F86A" w14:textId="5DE359F4" w:rsidR="00ED4EB3" w:rsidRPr="00DA11F1" w:rsidRDefault="00D5706E" w:rsidP="00DE640A">
            <w:pPr>
              <w:spacing w:line="276" w:lineRule="auto"/>
              <w:rPr>
                <w:rFonts w:ascii="Times New Roman" w:hAnsi="Times New Roman"/>
                <w:noProof/>
                <w:sz w:val="20"/>
                <w:szCs w:val="20"/>
                <w:highlight w:val="yellow"/>
              </w:rPr>
            </w:pPr>
            <w:r w:rsidRPr="00F43FC8">
              <w:rPr>
                <w:rFonts w:ascii="Times New Roman" w:hAnsi="Times New Roman"/>
                <w:noProof/>
                <w:sz w:val="20"/>
                <w:szCs w:val="20"/>
              </w:rPr>
              <w:t>9</w:t>
            </w:r>
            <w:r>
              <w:rPr>
                <w:rFonts w:ascii="Times New Roman" w:hAnsi="Times New Roman"/>
                <w:noProof/>
                <w:sz w:val="20"/>
                <w:szCs w:val="20"/>
              </w:rPr>
              <w:t> </w:t>
            </w:r>
            <w:r w:rsidRPr="00F43FC8">
              <w:rPr>
                <w:rFonts w:ascii="Times New Roman" w:hAnsi="Times New Roman"/>
                <w:noProof/>
                <w:sz w:val="20"/>
                <w:szCs w:val="20"/>
              </w:rPr>
              <w:t>174</w:t>
            </w:r>
            <w:r>
              <w:rPr>
                <w:rFonts w:ascii="Times New Roman" w:hAnsi="Times New Roman"/>
                <w:noProof/>
                <w:sz w:val="20"/>
                <w:szCs w:val="20"/>
              </w:rPr>
              <w:t> </w:t>
            </w:r>
            <w:r w:rsidRPr="00F43FC8">
              <w:rPr>
                <w:rFonts w:ascii="Times New Roman" w:hAnsi="Times New Roman"/>
                <w:noProof/>
                <w:sz w:val="20"/>
                <w:szCs w:val="20"/>
              </w:rPr>
              <w:t>000</w:t>
            </w:r>
          </w:p>
        </w:tc>
        <w:tc>
          <w:tcPr>
            <w:tcW w:w="3364" w:type="dxa"/>
            <w:gridSpan w:val="2"/>
            <w:tcBorders>
              <w:top w:val="double" w:sz="4" w:space="0" w:color="auto"/>
              <w:left w:val="double" w:sz="4" w:space="0" w:color="auto"/>
              <w:bottom w:val="double" w:sz="4" w:space="0" w:color="auto"/>
              <w:right w:val="double" w:sz="4" w:space="0" w:color="auto"/>
            </w:tcBorders>
            <w:vAlign w:val="center"/>
            <w:hideMark/>
          </w:tcPr>
          <w:p w14:paraId="227DE43C" w14:textId="50A68F3D" w:rsidR="00ED4EB3" w:rsidRPr="00DA11F1" w:rsidRDefault="00D5706E" w:rsidP="00DE640A">
            <w:pPr>
              <w:spacing w:line="276" w:lineRule="auto"/>
              <w:rPr>
                <w:rFonts w:ascii="Times New Roman" w:hAnsi="Times New Roman"/>
                <w:noProof/>
                <w:sz w:val="20"/>
                <w:szCs w:val="20"/>
                <w:highlight w:val="yellow"/>
              </w:rPr>
            </w:pPr>
            <w:r w:rsidRPr="00F43FC8">
              <w:rPr>
                <w:rFonts w:ascii="Times New Roman" w:hAnsi="Times New Roman"/>
                <w:noProof/>
                <w:sz w:val="20"/>
                <w:szCs w:val="20"/>
              </w:rPr>
              <w:t>196</w:t>
            </w:r>
            <w:r>
              <w:rPr>
                <w:rFonts w:ascii="Times New Roman" w:hAnsi="Times New Roman"/>
                <w:noProof/>
                <w:sz w:val="20"/>
                <w:szCs w:val="20"/>
              </w:rPr>
              <w:t> </w:t>
            </w:r>
            <w:r w:rsidRPr="00F43FC8">
              <w:rPr>
                <w:rFonts w:ascii="Times New Roman" w:hAnsi="Times New Roman"/>
                <w:noProof/>
                <w:sz w:val="20"/>
                <w:szCs w:val="20"/>
              </w:rPr>
              <w:t>500</w:t>
            </w:r>
          </w:p>
        </w:tc>
      </w:tr>
      <w:tr w:rsidR="00ED4EB3" w:rsidRPr="00DA11F1" w14:paraId="1C9926F0" w14:textId="77777777" w:rsidTr="003805F8">
        <w:tc>
          <w:tcPr>
            <w:tcW w:w="2910" w:type="dxa"/>
            <w:tcBorders>
              <w:top w:val="double" w:sz="4" w:space="0" w:color="auto"/>
              <w:left w:val="double" w:sz="4" w:space="0" w:color="auto"/>
              <w:bottom w:val="double" w:sz="4" w:space="0" w:color="auto"/>
              <w:right w:val="double" w:sz="4" w:space="0" w:color="auto"/>
            </w:tcBorders>
            <w:vAlign w:val="center"/>
            <w:hideMark/>
          </w:tcPr>
          <w:p w14:paraId="4E1F8C72" w14:textId="77777777" w:rsidR="00ED4EB3" w:rsidRPr="00DA11F1" w:rsidRDefault="00ED4EB3" w:rsidP="003805F8">
            <w:pPr>
              <w:spacing w:line="276" w:lineRule="auto"/>
              <w:rPr>
                <w:rFonts w:ascii="Times New Roman" w:hAnsi="Times New Roman"/>
                <w:b/>
                <w:noProof/>
                <w:sz w:val="20"/>
                <w:szCs w:val="20"/>
              </w:rPr>
            </w:pPr>
            <w:r>
              <w:rPr>
                <w:rFonts w:ascii="Times New Roman" w:hAnsi="Times New Roman"/>
                <w:b/>
                <w:noProof/>
                <w:sz w:val="20"/>
                <w:szCs w:val="20"/>
              </w:rPr>
              <w:t>Nombre de quotas généraux alloués à titre gratuit en </w:t>
            </w:r>
            <w:r w:rsidRPr="00F43FC8">
              <w:rPr>
                <w:rFonts w:ascii="Times New Roman" w:hAnsi="Times New Roman"/>
                <w:b/>
                <w:noProof/>
                <w:sz w:val="20"/>
                <w:szCs w:val="20"/>
              </w:rPr>
              <w:t>2020</w:t>
            </w:r>
          </w:p>
        </w:tc>
        <w:tc>
          <w:tcPr>
            <w:tcW w:w="3014" w:type="dxa"/>
            <w:gridSpan w:val="2"/>
            <w:tcBorders>
              <w:top w:val="double" w:sz="4" w:space="0" w:color="auto"/>
              <w:left w:val="double" w:sz="4" w:space="0" w:color="auto"/>
              <w:bottom w:val="double" w:sz="4" w:space="0" w:color="auto"/>
              <w:right w:val="double" w:sz="4" w:space="0" w:color="auto"/>
            </w:tcBorders>
            <w:vAlign w:val="center"/>
            <w:hideMark/>
          </w:tcPr>
          <w:p w14:paraId="2B5BBE38" w14:textId="1050E032" w:rsidR="00ED4EB3" w:rsidRPr="00DA11F1" w:rsidRDefault="00ED4EB3" w:rsidP="00DE640A">
            <w:pPr>
              <w:spacing w:line="276" w:lineRule="auto"/>
              <w:rPr>
                <w:rFonts w:ascii="Times New Roman" w:hAnsi="Times New Roman"/>
                <w:noProof/>
                <w:sz w:val="20"/>
                <w:szCs w:val="20"/>
              </w:rPr>
            </w:pPr>
            <w:r w:rsidRPr="00F43FC8">
              <w:rPr>
                <w:rFonts w:ascii="Times New Roman" w:hAnsi="Times New Roman"/>
                <w:noProof/>
                <w:sz w:val="20"/>
                <w:szCs w:val="20"/>
              </w:rPr>
              <w:t>66</w:t>
            </w:r>
            <w:r>
              <w:rPr>
                <w:rFonts w:ascii="Times New Roman" w:hAnsi="Times New Roman"/>
                <w:noProof/>
                <w:sz w:val="20"/>
                <w:szCs w:val="20"/>
              </w:rPr>
              <w:t> </w:t>
            </w:r>
            <w:r w:rsidRPr="00F43FC8">
              <w:rPr>
                <w:rFonts w:ascii="Times New Roman" w:hAnsi="Times New Roman"/>
                <w:noProof/>
                <w:sz w:val="20"/>
                <w:szCs w:val="20"/>
              </w:rPr>
              <w:t>775</w:t>
            </w:r>
            <w:r>
              <w:rPr>
                <w:rFonts w:ascii="Times New Roman" w:hAnsi="Times New Roman"/>
                <w:noProof/>
                <w:sz w:val="20"/>
                <w:szCs w:val="20"/>
              </w:rPr>
              <w:t> </w:t>
            </w:r>
            <w:r w:rsidRPr="00F43FC8">
              <w:rPr>
                <w:rFonts w:ascii="Times New Roman" w:hAnsi="Times New Roman"/>
                <w:noProof/>
                <w:sz w:val="20"/>
                <w:szCs w:val="20"/>
              </w:rPr>
              <w:t>8544</w:t>
            </w:r>
          </w:p>
        </w:tc>
        <w:tc>
          <w:tcPr>
            <w:tcW w:w="3364" w:type="dxa"/>
            <w:gridSpan w:val="2"/>
            <w:tcBorders>
              <w:top w:val="double" w:sz="4" w:space="0" w:color="auto"/>
              <w:left w:val="double" w:sz="4" w:space="0" w:color="auto"/>
              <w:bottom w:val="double" w:sz="4" w:space="0" w:color="auto"/>
              <w:right w:val="double" w:sz="4" w:space="0" w:color="auto"/>
            </w:tcBorders>
            <w:vAlign w:val="center"/>
            <w:hideMark/>
          </w:tcPr>
          <w:p w14:paraId="799D24C9" w14:textId="29A71FFA" w:rsidR="00ED4EB3" w:rsidRPr="00DA11F1" w:rsidRDefault="00ED4EB3" w:rsidP="00DE640A">
            <w:pPr>
              <w:spacing w:line="276" w:lineRule="auto"/>
              <w:rPr>
                <w:rFonts w:ascii="Times New Roman" w:hAnsi="Times New Roman"/>
                <w:noProof/>
                <w:sz w:val="20"/>
                <w:szCs w:val="20"/>
                <w:highlight w:val="yellow"/>
              </w:rPr>
            </w:pPr>
            <w:r w:rsidRPr="00F43FC8">
              <w:rPr>
                <w:rFonts w:ascii="Times New Roman" w:hAnsi="Times New Roman"/>
                <w:noProof/>
                <w:sz w:val="20"/>
                <w:szCs w:val="20"/>
              </w:rPr>
              <w:t>4</w:t>
            </w:r>
            <w:r>
              <w:rPr>
                <w:rFonts w:ascii="Times New Roman" w:hAnsi="Times New Roman"/>
                <w:noProof/>
                <w:sz w:val="20"/>
                <w:szCs w:val="20"/>
              </w:rPr>
              <w:t> </w:t>
            </w:r>
            <w:r w:rsidRPr="00F43FC8">
              <w:rPr>
                <w:rFonts w:ascii="Times New Roman" w:hAnsi="Times New Roman"/>
                <w:noProof/>
                <w:sz w:val="20"/>
                <w:szCs w:val="20"/>
              </w:rPr>
              <w:t>391</w:t>
            </w:r>
            <w:r>
              <w:rPr>
                <w:rFonts w:ascii="Times New Roman" w:hAnsi="Times New Roman"/>
                <w:noProof/>
                <w:sz w:val="20"/>
                <w:szCs w:val="20"/>
              </w:rPr>
              <w:t> </w:t>
            </w:r>
            <w:r w:rsidRPr="00F43FC8">
              <w:rPr>
                <w:rFonts w:ascii="Times New Roman" w:hAnsi="Times New Roman"/>
                <w:noProof/>
                <w:sz w:val="20"/>
                <w:szCs w:val="20"/>
              </w:rPr>
              <w:t>331</w:t>
            </w:r>
          </w:p>
        </w:tc>
      </w:tr>
      <w:tr w:rsidR="00817385" w:rsidRPr="00292813" w14:paraId="681F8263" w14:textId="77777777" w:rsidTr="00673D33">
        <w:tc>
          <w:tcPr>
            <w:tcW w:w="2910" w:type="dxa"/>
            <w:vMerge w:val="restart"/>
            <w:tcBorders>
              <w:top w:val="double" w:sz="4" w:space="0" w:color="auto"/>
              <w:left w:val="double" w:sz="4" w:space="0" w:color="auto"/>
              <w:right w:val="double" w:sz="4" w:space="0" w:color="auto"/>
            </w:tcBorders>
            <w:vAlign w:val="center"/>
            <w:hideMark/>
          </w:tcPr>
          <w:p w14:paraId="3A7778AA" w14:textId="5ACE5E9D" w:rsidR="00817385" w:rsidRPr="00DA11F1" w:rsidRDefault="00817385" w:rsidP="00817385">
            <w:pPr>
              <w:spacing w:line="276" w:lineRule="auto"/>
              <w:rPr>
                <w:rFonts w:ascii="Times New Roman" w:hAnsi="Times New Roman"/>
                <w:b/>
                <w:noProof/>
                <w:sz w:val="20"/>
                <w:szCs w:val="20"/>
              </w:rPr>
            </w:pPr>
            <w:r>
              <w:rPr>
                <w:rFonts w:ascii="Times New Roman" w:hAnsi="Times New Roman"/>
                <w:b/>
                <w:noProof/>
                <w:sz w:val="20"/>
                <w:szCs w:val="20"/>
              </w:rPr>
              <w:t>Nombre de quotas aviation alloués à titre gratuit aux exploitants en </w:t>
            </w:r>
            <w:r w:rsidRPr="00F43FC8">
              <w:rPr>
                <w:rFonts w:ascii="Times New Roman" w:hAnsi="Times New Roman"/>
                <w:b/>
                <w:noProof/>
                <w:sz w:val="20"/>
                <w:szCs w:val="20"/>
              </w:rPr>
              <w:t>2020</w:t>
            </w:r>
            <w:r>
              <w:rPr>
                <w:rFonts w:ascii="Times New Roman" w:hAnsi="Times New Roman"/>
                <w:b/>
                <w:noProof/>
                <w:sz w:val="20"/>
                <w:szCs w:val="20"/>
              </w:rPr>
              <w:t xml:space="preserve">  </w:t>
            </w:r>
          </w:p>
        </w:tc>
        <w:tc>
          <w:tcPr>
            <w:tcW w:w="1506" w:type="dxa"/>
            <w:tcBorders>
              <w:top w:val="double" w:sz="4" w:space="0" w:color="auto"/>
              <w:left w:val="double" w:sz="4" w:space="0" w:color="auto"/>
              <w:bottom w:val="double" w:sz="4" w:space="0" w:color="auto"/>
              <w:right w:val="double" w:sz="4" w:space="0" w:color="auto"/>
            </w:tcBorders>
            <w:vAlign w:val="center"/>
            <w:hideMark/>
          </w:tcPr>
          <w:p w14:paraId="145CE36F" w14:textId="77777777"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Quotas aviation de l’UE pour le SEQE-UE</w:t>
            </w:r>
          </w:p>
        </w:tc>
        <w:tc>
          <w:tcPr>
            <w:tcW w:w="1508" w:type="dxa"/>
            <w:tcBorders>
              <w:top w:val="double" w:sz="4" w:space="0" w:color="auto"/>
              <w:left w:val="double" w:sz="4" w:space="0" w:color="auto"/>
              <w:bottom w:val="double" w:sz="4" w:space="0" w:color="auto"/>
              <w:right w:val="double" w:sz="4" w:space="0" w:color="auto"/>
            </w:tcBorders>
            <w:vAlign w:val="center"/>
          </w:tcPr>
          <w:p w14:paraId="4A8DCC5A" w14:textId="77777777"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Quotas aviation suisses pour le SEQE de la Suisse</w:t>
            </w:r>
          </w:p>
        </w:tc>
        <w:tc>
          <w:tcPr>
            <w:tcW w:w="1682" w:type="dxa"/>
            <w:tcBorders>
              <w:top w:val="double" w:sz="4" w:space="0" w:color="auto"/>
              <w:left w:val="double" w:sz="4" w:space="0" w:color="auto"/>
              <w:bottom w:val="double" w:sz="4" w:space="0" w:color="auto"/>
              <w:right w:val="double" w:sz="4" w:space="0" w:color="auto"/>
            </w:tcBorders>
            <w:vAlign w:val="center"/>
            <w:hideMark/>
          </w:tcPr>
          <w:p w14:paraId="3CE566EC" w14:textId="77777777"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Quotas aviation suisses pour le SEQE de la Suisse</w:t>
            </w:r>
          </w:p>
        </w:tc>
        <w:tc>
          <w:tcPr>
            <w:tcW w:w="1682" w:type="dxa"/>
            <w:tcBorders>
              <w:top w:val="double" w:sz="4" w:space="0" w:color="auto"/>
              <w:left w:val="double" w:sz="4" w:space="0" w:color="auto"/>
              <w:bottom w:val="double" w:sz="4" w:space="0" w:color="auto"/>
              <w:right w:val="double" w:sz="4" w:space="0" w:color="auto"/>
            </w:tcBorders>
            <w:vAlign w:val="center"/>
          </w:tcPr>
          <w:p w14:paraId="47AA377D" w14:textId="77777777"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Quotas aviation de l’UE pour le SEQE-UE</w:t>
            </w:r>
          </w:p>
        </w:tc>
      </w:tr>
      <w:tr w:rsidR="00817385" w:rsidRPr="00DA11F1" w14:paraId="7B5D41EB" w14:textId="77777777" w:rsidTr="00817385">
        <w:tc>
          <w:tcPr>
            <w:tcW w:w="2888" w:type="dxa"/>
            <w:vMerge/>
            <w:tcBorders>
              <w:left w:val="double" w:sz="4" w:space="0" w:color="auto"/>
              <w:bottom w:val="double" w:sz="4" w:space="0" w:color="auto"/>
              <w:right w:val="double" w:sz="4" w:space="0" w:color="auto"/>
            </w:tcBorders>
            <w:vAlign w:val="center"/>
          </w:tcPr>
          <w:p w14:paraId="1BD9F0DA" w14:textId="77777777" w:rsidR="00817385" w:rsidRPr="00DA11F1" w:rsidRDefault="00817385" w:rsidP="003805F8">
            <w:pPr>
              <w:spacing w:line="276" w:lineRule="auto"/>
              <w:rPr>
                <w:rFonts w:ascii="Times New Roman" w:hAnsi="Times New Roman"/>
                <w:b/>
                <w:noProof/>
                <w:sz w:val="20"/>
                <w:szCs w:val="20"/>
              </w:rPr>
            </w:pPr>
          </w:p>
        </w:tc>
        <w:tc>
          <w:tcPr>
            <w:tcW w:w="1501" w:type="dxa"/>
            <w:tcBorders>
              <w:top w:val="double" w:sz="4" w:space="0" w:color="auto"/>
              <w:left w:val="double" w:sz="4" w:space="0" w:color="auto"/>
              <w:bottom w:val="double" w:sz="4" w:space="0" w:color="auto"/>
              <w:right w:val="double" w:sz="4" w:space="0" w:color="auto"/>
            </w:tcBorders>
            <w:vAlign w:val="center"/>
          </w:tcPr>
          <w:p w14:paraId="12F9895B" w14:textId="4DBC27A5" w:rsidR="00817385" w:rsidRPr="00DA11F1" w:rsidRDefault="00817385" w:rsidP="00D50098">
            <w:pPr>
              <w:spacing w:line="276" w:lineRule="auto"/>
              <w:rPr>
                <w:rFonts w:ascii="Times New Roman" w:hAnsi="Times New Roman"/>
                <w:noProof/>
                <w:sz w:val="20"/>
                <w:szCs w:val="20"/>
              </w:rPr>
            </w:pPr>
            <w:r w:rsidRPr="00F43FC8">
              <w:rPr>
                <w:rFonts w:ascii="Times New Roman" w:hAnsi="Times New Roman"/>
                <w:noProof/>
                <w:sz w:val="20"/>
                <w:szCs w:val="20"/>
              </w:rPr>
              <w:t>32</w:t>
            </w:r>
            <w:r>
              <w:rPr>
                <w:rFonts w:ascii="Times New Roman" w:hAnsi="Times New Roman"/>
                <w:noProof/>
                <w:sz w:val="20"/>
                <w:szCs w:val="20"/>
              </w:rPr>
              <w:t> </w:t>
            </w:r>
            <w:r w:rsidRPr="00F43FC8">
              <w:rPr>
                <w:rFonts w:ascii="Times New Roman" w:hAnsi="Times New Roman"/>
                <w:noProof/>
                <w:sz w:val="20"/>
                <w:szCs w:val="20"/>
              </w:rPr>
              <w:t>486</w:t>
            </w:r>
            <w:r>
              <w:rPr>
                <w:rFonts w:ascii="Times New Roman" w:hAnsi="Times New Roman"/>
                <w:noProof/>
                <w:sz w:val="20"/>
                <w:szCs w:val="20"/>
              </w:rPr>
              <w:t> </w:t>
            </w:r>
            <w:r w:rsidRPr="00F43FC8">
              <w:rPr>
                <w:rFonts w:ascii="Times New Roman" w:hAnsi="Times New Roman"/>
                <w:noProof/>
                <w:sz w:val="20"/>
                <w:szCs w:val="20"/>
              </w:rPr>
              <w:t>017</w:t>
            </w:r>
          </w:p>
        </w:tc>
        <w:tc>
          <w:tcPr>
            <w:tcW w:w="1503" w:type="dxa"/>
            <w:tcBorders>
              <w:top w:val="double" w:sz="4" w:space="0" w:color="auto"/>
              <w:left w:val="double" w:sz="4" w:space="0" w:color="auto"/>
              <w:bottom w:val="double" w:sz="4" w:space="0" w:color="auto"/>
              <w:right w:val="double" w:sz="4" w:space="0" w:color="auto"/>
            </w:tcBorders>
            <w:vAlign w:val="center"/>
          </w:tcPr>
          <w:p w14:paraId="0A171758" w14:textId="1BE1B4BE" w:rsidR="00817385" w:rsidRPr="00DA11F1" w:rsidRDefault="00817385" w:rsidP="003805F8">
            <w:pPr>
              <w:spacing w:line="276" w:lineRule="auto"/>
              <w:rPr>
                <w:rFonts w:ascii="Times New Roman" w:hAnsi="Times New Roman"/>
                <w:noProof/>
                <w:sz w:val="20"/>
                <w:szCs w:val="20"/>
              </w:rPr>
            </w:pPr>
            <w:r w:rsidRPr="00F43FC8">
              <w:rPr>
                <w:rFonts w:ascii="Times New Roman" w:hAnsi="Times New Roman"/>
                <w:noProof/>
                <w:sz w:val="20"/>
                <w:szCs w:val="20"/>
              </w:rPr>
              <w:t>501</w:t>
            </w:r>
            <w:r>
              <w:rPr>
                <w:rFonts w:ascii="Times New Roman" w:hAnsi="Times New Roman"/>
                <w:noProof/>
                <w:sz w:val="20"/>
                <w:szCs w:val="20"/>
              </w:rPr>
              <w:t> </w:t>
            </w:r>
            <w:r w:rsidRPr="00F43FC8">
              <w:rPr>
                <w:rFonts w:ascii="Times New Roman" w:hAnsi="Times New Roman"/>
                <w:noProof/>
                <w:sz w:val="20"/>
                <w:szCs w:val="20"/>
              </w:rPr>
              <w:t>278</w:t>
            </w:r>
          </w:p>
        </w:tc>
        <w:tc>
          <w:tcPr>
            <w:tcW w:w="1687" w:type="dxa"/>
            <w:tcBorders>
              <w:top w:val="double" w:sz="4" w:space="0" w:color="auto"/>
              <w:left w:val="double" w:sz="4" w:space="0" w:color="auto"/>
              <w:bottom w:val="double" w:sz="4" w:space="0" w:color="auto"/>
              <w:right w:val="double" w:sz="4" w:space="0" w:color="auto"/>
            </w:tcBorders>
            <w:vAlign w:val="center"/>
          </w:tcPr>
          <w:p w14:paraId="32E72FAF" w14:textId="6F8C5DCC" w:rsidR="00817385" w:rsidRPr="00DA11F1" w:rsidRDefault="00817385" w:rsidP="003805F8">
            <w:pPr>
              <w:spacing w:line="276" w:lineRule="auto"/>
              <w:rPr>
                <w:rFonts w:ascii="Times New Roman" w:hAnsi="Times New Roman"/>
                <w:noProof/>
                <w:sz w:val="20"/>
                <w:szCs w:val="20"/>
              </w:rPr>
            </w:pPr>
            <w:r w:rsidRPr="00F43FC8">
              <w:rPr>
                <w:rFonts w:ascii="Times New Roman" w:hAnsi="Times New Roman"/>
                <w:noProof/>
                <w:sz w:val="20"/>
                <w:szCs w:val="20"/>
              </w:rPr>
              <w:t>570</w:t>
            </w:r>
            <w:r>
              <w:rPr>
                <w:rFonts w:ascii="Times New Roman" w:hAnsi="Times New Roman"/>
                <w:noProof/>
                <w:sz w:val="20"/>
                <w:szCs w:val="20"/>
              </w:rPr>
              <w:t> </w:t>
            </w:r>
            <w:r w:rsidRPr="00F43FC8">
              <w:rPr>
                <w:rFonts w:ascii="Times New Roman" w:hAnsi="Times New Roman"/>
                <w:noProof/>
                <w:sz w:val="20"/>
                <w:szCs w:val="20"/>
              </w:rPr>
              <w:t>696</w:t>
            </w:r>
          </w:p>
        </w:tc>
        <w:tc>
          <w:tcPr>
            <w:tcW w:w="1663" w:type="dxa"/>
            <w:tcBorders>
              <w:top w:val="double" w:sz="4" w:space="0" w:color="auto"/>
              <w:left w:val="double" w:sz="4" w:space="0" w:color="auto"/>
              <w:bottom w:val="double" w:sz="4" w:space="0" w:color="auto"/>
              <w:right w:val="double" w:sz="4" w:space="0" w:color="auto"/>
            </w:tcBorders>
            <w:vAlign w:val="center"/>
          </w:tcPr>
          <w:p w14:paraId="6A1D2690" w14:textId="5CFFF146" w:rsidR="00817385" w:rsidRPr="00DA11F1" w:rsidRDefault="00817385" w:rsidP="003805F8">
            <w:pPr>
              <w:spacing w:line="276" w:lineRule="auto"/>
              <w:rPr>
                <w:rFonts w:ascii="Times New Roman" w:hAnsi="Times New Roman"/>
                <w:noProof/>
                <w:sz w:val="20"/>
                <w:szCs w:val="20"/>
              </w:rPr>
            </w:pPr>
            <w:r w:rsidRPr="00F43FC8">
              <w:rPr>
                <w:rFonts w:ascii="Times New Roman" w:hAnsi="Times New Roman"/>
                <w:noProof/>
                <w:sz w:val="20"/>
                <w:szCs w:val="20"/>
              </w:rPr>
              <w:t>473</w:t>
            </w:r>
            <w:r>
              <w:rPr>
                <w:rFonts w:ascii="Times New Roman" w:hAnsi="Times New Roman"/>
                <w:noProof/>
                <w:sz w:val="20"/>
                <w:szCs w:val="20"/>
              </w:rPr>
              <w:t> </w:t>
            </w:r>
            <w:r w:rsidRPr="00F43FC8">
              <w:rPr>
                <w:rFonts w:ascii="Times New Roman" w:hAnsi="Times New Roman"/>
                <w:noProof/>
                <w:sz w:val="20"/>
                <w:szCs w:val="20"/>
              </w:rPr>
              <w:t>521</w:t>
            </w:r>
          </w:p>
        </w:tc>
      </w:tr>
      <w:tr w:rsidR="00ED4EB3" w:rsidRPr="00DA11F1" w14:paraId="07AD4CD8" w14:textId="77777777" w:rsidTr="00817385">
        <w:tc>
          <w:tcPr>
            <w:tcW w:w="2888" w:type="dxa"/>
            <w:tcBorders>
              <w:top w:val="double" w:sz="4" w:space="0" w:color="auto"/>
              <w:left w:val="double" w:sz="4" w:space="0" w:color="auto"/>
              <w:bottom w:val="double" w:sz="4" w:space="0" w:color="auto"/>
              <w:right w:val="double" w:sz="4" w:space="0" w:color="auto"/>
            </w:tcBorders>
            <w:vAlign w:val="center"/>
            <w:hideMark/>
          </w:tcPr>
          <w:p w14:paraId="43B6CBE2" w14:textId="77777777" w:rsidR="00ED4EB3" w:rsidRPr="00DA11F1" w:rsidRDefault="00ED4EB3" w:rsidP="003805F8">
            <w:pPr>
              <w:spacing w:line="276" w:lineRule="auto"/>
              <w:rPr>
                <w:rFonts w:ascii="Times New Roman" w:hAnsi="Times New Roman"/>
                <w:b/>
                <w:noProof/>
                <w:sz w:val="20"/>
                <w:szCs w:val="20"/>
              </w:rPr>
            </w:pPr>
            <w:r>
              <w:rPr>
                <w:rFonts w:ascii="Times New Roman" w:hAnsi="Times New Roman"/>
                <w:b/>
                <w:noProof/>
                <w:sz w:val="20"/>
                <w:szCs w:val="20"/>
              </w:rPr>
              <w:t>Émissions vérifiées des installations fixes en </w:t>
            </w:r>
            <w:r w:rsidRPr="00F43FC8">
              <w:rPr>
                <w:rFonts w:ascii="Times New Roman" w:hAnsi="Times New Roman"/>
                <w:b/>
                <w:noProof/>
                <w:sz w:val="20"/>
                <w:szCs w:val="20"/>
              </w:rPr>
              <w:t>2020</w:t>
            </w:r>
            <w:r>
              <w:rPr>
                <w:rFonts w:ascii="Times New Roman" w:hAnsi="Times New Roman"/>
                <w:b/>
                <w:noProof/>
                <w:sz w:val="20"/>
                <w:szCs w:val="20"/>
              </w:rPr>
              <w:t xml:space="preserve"> </w:t>
            </w:r>
          </w:p>
        </w:tc>
        <w:tc>
          <w:tcPr>
            <w:tcW w:w="3004" w:type="dxa"/>
            <w:gridSpan w:val="2"/>
            <w:tcBorders>
              <w:top w:val="double" w:sz="4" w:space="0" w:color="auto"/>
              <w:left w:val="double" w:sz="4" w:space="0" w:color="auto"/>
              <w:bottom w:val="double" w:sz="4" w:space="0" w:color="auto"/>
              <w:right w:val="double" w:sz="4" w:space="0" w:color="auto"/>
            </w:tcBorders>
            <w:vAlign w:val="center"/>
            <w:hideMark/>
          </w:tcPr>
          <w:p w14:paraId="56B86C26" w14:textId="2113D107" w:rsidR="00ED4EB3" w:rsidRPr="00DA11F1" w:rsidRDefault="00B92BC4" w:rsidP="003805F8">
            <w:pPr>
              <w:spacing w:line="276" w:lineRule="auto"/>
              <w:rPr>
                <w:rFonts w:ascii="Times New Roman" w:hAnsi="Times New Roman"/>
                <w:noProof/>
                <w:sz w:val="20"/>
                <w:szCs w:val="20"/>
              </w:rPr>
            </w:pPr>
            <w:r w:rsidRPr="00F43FC8">
              <w:rPr>
                <w:rFonts w:ascii="Times New Roman" w:hAnsi="Times New Roman"/>
                <w:noProof/>
                <w:sz w:val="20"/>
                <w:szCs w:val="20"/>
              </w:rPr>
              <w:t>1</w:t>
            </w:r>
            <w:r>
              <w:rPr>
                <w:rFonts w:ascii="Times New Roman" w:hAnsi="Times New Roman"/>
                <w:noProof/>
                <w:sz w:val="20"/>
                <w:szCs w:val="20"/>
              </w:rPr>
              <w:t> </w:t>
            </w:r>
            <w:r w:rsidRPr="00F43FC8">
              <w:rPr>
                <w:rFonts w:ascii="Times New Roman" w:hAnsi="Times New Roman"/>
                <w:noProof/>
                <w:sz w:val="20"/>
                <w:szCs w:val="20"/>
              </w:rPr>
              <w:t>355</w:t>
            </w:r>
            <w:r>
              <w:rPr>
                <w:rFonts w:ascii="Times New Roman" w:hAnsi="Times New Roman"/>
                <w:noProof/>
                <w:sz w:val="20"/>
                <w:szCs w:val="20"/>
              </w:rPr>
              <w:t> </w:t>
            </w:r>
            <w:r w:rsidRPr="00F43FC8">
              <w:rPr>
                <w:rFonts w:ascii="Times New Roman" w:hAnsi="Times New Roman"/>
                <w:noProof/>
                <w:sz w:val="20"/>
                <w:szCs w:val="20"/>
              </w:rPr>
              <w:t>141</w:t>
            </w:r>
            <w:r>
              <w:rPr>
                <w:rFonts w:ascii="Times New Roman" w:hAnsi="Times New Roman"/>
                <w:noProof/>
                <w:sz w:val="20"/>
                <w:szCs w:val="20"/>
              </w:rPr>
              <w:t> </w:t>
            </w:r>
            <w:r w:rsidRPr="00F43FC8">
              <w:rPr>
                <w:rFonts w:ascii="Times New Roman" w:hAnsi="Times New Roman"/>
                <w:noProof/>
                <w:sz w:val="20"/>
                <w:szCs w:val="20"/>
              </w:rPr>
              <w:t>953</w:t>
            </w:r>
          </w:p>
        </w:tc>
        <w:tc>
          <w:tcPr>
            <w:tcW w:w="3350" w:type="dxa"/>
            <w:gridSpan w:val="2"/>
            <w:tcBorders>
              <w:top w:val="double" w:sz="4" w:space="0" w:color="auto"/>
              <w:left w:val="double" w:sz="4" w:space="0" w:color="auto"/>
              <w:bottom w:val="double" w:sz="4" w:space="0" w:color="auto"/>
              <w:right w:val="double" w:sz="4" w:space="0" w:color="auto"/>
            </w:tcBorders>
            <w:vAlign w:val="center"/>
            <w:hideMark/>
          </w:tcPr>
          <w:p w14:paraId="7C19DFD8" w14:textId="251E3B00" w:rsidR="00ED4EB3" w:rsidRPr="00DA11F1" w:rsidRDefault="00D5706E" w:rsidP="003805F8">
            <w:pPr>
              <w:spacing w:line="276" w:lineRule="auto"/>
              <w:rPr>
                <w:rFonts w:ascii="Times New Roman" w:hAnsi="Times New Roman"/>
                <w:noProof/>
                <w:sz w:val="20"/>
                <w:szCs w:val="20"/>
                <w:highlight w:val="yellow"/>
              </w:rPr>
            </w:pPr>
            <w:r w:rsidRPr="00F43FC8">
              <w:rPr>
                <w:rFonts w:ascii="Times New Roman" w:hAnsi="Times New Roman"/>
                <w:noProof/>
                <w:sz w:val="20"/>
                <w:szCs w:val="20"/>
              </w:rPr>
              <w:t>4</w:t>
            </w:r>
            <w:r>
              <w:rPr>
                <w:rFonts w:ascii="Times New Roman" w:hAnsi="Times New Roman"/>
                <w:noProof/>
                <w:sz w:val="20"/>
                <w:szCs w:val="20"/>
              </w:rPr>
              <w:t> </w:t>
            </w:r>
            <w:r w:rsidRPr="00F43FC8">
              <w:rPr>
                <w:rFonts w:ascii="Times New Roman" w:hAnsi="Times New Roman"/>
                <w:noProof/>
                <w:sz w:val="20"/>
                <w:szCs w:val="20"/>
              </w:rPr>
              <w:t>874</w:t>
            </w:r>
            <w:r>
              <w:rPr>
                <w:rFonts w:ascii="Times New Roman" w:hAnsi="Times New Roman"/>
                <w:noProof/>
                <w:sz w:val="20"/>
                <w:szCs w:val="20"/>
              </w:rPr>
              <w:t> </w:t>
            </w:r>
            <w:r w:rsidRPr="00F43FC8">
              <w:rPr>
                <w:rFonts w:ascii="Times New Roman" w:hAnsi="Times New Roman"/>
                <w:noProof/>
                <w:sz w:val="20"/>
                <w:szCs w:val="20"/>
              </w:rPr>
              <w:t>278</w:t>
            </w:r>
          </w:p>
        </w:tc>
      </w:tr>
      <w:tr w:rsidR="00817385" w:rsidRPr="00DA11F1" w14:paraId="3956EA03" w14:textId="77777777" w:rsidTr="00673D33">
        <w:tc>
          <w:tcPr>
            <w:tcW w:w="2888" w:type="dxa"/>
            <w:vMerge w:val="restart"/>
            <w:tcBorders>
              <w:top w:val="double" w:sz="4" w:space="0" w:color="auto"/>
              <w:left w:val="double" w:sz="4" w:space="0" w:color="auto"/>
              <w:right w:val="double" w:sz="4" w:space="0" w:color="auto"/>
            </w:tcBorders>
            <w:vAlign w:val="center"/>
            <w:hideMark/>
          </w:tcPr>
          <w:p w14:paraId="1E69B930" w14:textId="77777777" w:rsidR="00817385" w:rsidRPr="00DA11F1" w:rsidRDefault="00817385" w:rsidP="003805F8">
            <w:pPr>
              <w:spacing w:line="276" w:lineRule="auto"/>
              <w:rPr>
                <w:rFonts w:ascii="Times New Roman" w:hAnsi="Times New Roman"/>
                <w:b/>
                <w:noProof/>
                <w:sz w:val="20"/>
                <w:szCs w:val="20"/>
              </w:rPr>
            </w:pPr>
            <w:r>
              <w:rPr>
                <w:rFonts w:ascii="Times New Roman" w:hAnsi="Times New Roman"/>
                <w:b/>
                <w:noProof/>
                <w:sz w:val="20"/>
                <w:szCs w:val="20"/>
              </w:rPr>
              <w:t>Émissions vérifiées des exploitants d’aéronefs en </w:t>
            </w:r>
            <w:r w:rsidRPr="00F43FC8">
              <w:rPr>
                <w:rFonts w:ascii="Times New Roman" w:hAnsi="Times New Roman"/>
                <w:b/>
                <w:noProof/>
                <w:sz w:val="20"/>
                <w:szCs w:val="20"/>
              </w:rPr>
              <w:t>2020</w:t>
            </w:r>
            <w:r w:rsidRPr="00DA11F1">
              <w:rPr>
                <w:rFonts w:ascii="Times New Roman" w:hAnsi="Times New Roman"/>
                <w:b/>
                <w:noProof/>
                <w:sz w:val="20"/>
                <w:szCs w:val="20"/>
                <w:vertAlign w:val="superscript"/>
              </w:rPr>
              <w:footnoteReference w:id="115"/>
            </w:r>
          </w:p>
        </w:tc>
        <w:tc>
          <w:tcPr>
            <w:tcW w:w="1501" w:type="dxa"/>
            <w:tcBorders>
              <w:top w:val="double" w:sz="4" w:space="0" w:color="auto"/>
              <w:left w:val="double" w:sz="4" w:space="0" w:color="auto"/>
              <w:bottom w:val="double" w:sz="4" w:space="0" w:color="auto"/>
              <w:right w:val="double" w:sz="4" w:space="0" w:color="auto"/>
            </w:tcBorders>
            <w:vAlign w:val="center"/>
          </w:tcPr>
          <w:p w14:paraId="58F21B30" w14:textId="77777777"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SEQE-UE</w:t>
            </w:r>
          </w:p>
        </w:tc>
        <w:tc>
          <w:tcPr>
            <w:tcW w:w="1503" w:type="dxa"/>
            <w:tcBorders>
              <w:top w:val="double" w:sz="4" w:space="0" w:color="auto"/>
              <w:left w:val="double" w:sz="4" w:space="0" w:color="auto"/>
              <w:bottom w:val="double" w:sz="4" w:space="0" w:color="auto"/>
              <w:right w:val="double" w:sz="4" w:space="0" w:color="auto"/>
            </w:tcBorders>
            <w:vAlign w:val="center"/>
          </w:tcPr>
          <w:p w14:paraId="5B09D57B" w14:textId="77777777"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SEQE de la Suisse</w:t>
            </w:r>
          </w:p>
        </w:tc>
        <w:tc>
          <w:tcPr>
            <w:tcW w:w="1687" w:type="dxa"/>
            <w:tcBorders>
              <w:top w:val="double" w:sz="4" w:space="0" w:color="auto"/>
              <w:left w:val="double" w:sz="4" w:space="0" w:color="auto"/>
              <w:bottom w:val="double" w:sz="4" w:space="0" w:color="auto"/>
              <w:right w:val="double" w:sz="4" w:space="0" w:color="auto"/>
            </w:tcBorders>
            <w:vAlign w:val="center"/>
          </w:tcPr>
          <w:p w14:paraId="234FAFBE" w14:textId="77777777"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SEQE de la Suisse</w:t>
            </w:r>
          </w:p>
        </w:tc>
        <w:tc>
          <w:tcPr>
            <w:tcW w:w="1663" w:type="dxa"/>
            <w:tcBorders>
              <w:top w:val="double" w:sz="4" w:space="0" w:color="auto"/>
              <w:left w:val="double" w:sz="4" w:space="0" w:color="auto"/>
              <w:bottom w:val="double" w:sz="4" w:space="0" w:color="auto"/>
              <w:right w:val="double" w:sz="4" w:space="0" w:color="auto"/>
            </w:tcBorders>
            <w:vAlign w:val="center"/>
          </w:tcPr>
          <w:p w14:paraId="4315E09E" w14:textId="77777777"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SEQE-UE</w:t>
            </w:r>
          </w:p>
        </w:tc>
      </w:tr>
      <w:tr w:rsidR="00817385" w:rsidRPr="00DA11F1" w14:paraId="69E1F2EA" w14:textId="77777777" w:rsidTr="00817385">
        <w:tc>
          <w:tcPr>
            <w:tcW w:w="2888" w:type="dxa"/>
            <w:vMerge/>
            <w:tcBorders>
              <w:left w:val="double" w:sz="4" w:space="0" w:color="auto"/>
              <w:bottom w:val="double" w:sz="4" w:space="0" w:color="auto"/>
              <w:right w:val="double" w:sz="4" w:space="0" w:color="auto"/>
            </w:tcBorders>
            <w:vAlign w:val="center"/>
          </w:tcPr>
          <w:p w14:paraId="565C3C0C" w14:textId="77777777" w:rsidR="00817385" w:rsidRPr="00DA11F1" w:rsidRDefault="00817385" w:rsidP="003805F8">
            <w:pPr>
              <w:spacing w:line="276" w:lineRule="auto"/>
              <w:rPr>
                <w:rFonts w:ascii="Times New Roman" w:hAnsi="Times New Roman"/>
                <w:b/>
                <w:noProof/>
                <w:sz w:val="20"/>
                <w:szCs w:val="20"/>
              </w:rPr>
            </w:pPr>
          </w:p>
        </w:tc>
        <w:tc>
          <w:tcPr>
            <w:tcW w:w="1501" w:type="dxa"/>
            <w:tcBorders>
              <w:top w:val="double" w:sz="4" w:space="0" w:color="auto"/>
              <w:left w:val="double" w:sz="4" w:space="0" w:color="auto"/>
              <w:bottom w:val="double" w:sz="4" w:space="0" w:color="auto"/>
              <w:right w:val="double" w:sz="4" w:space="0" w:color="auto"/>
            </w:tcBorders>
            <w:vAlign w:val="center"/>
          </w:tcPr>
          <w:p w14:paraId="2B7872B9" w14:textId="2DF11D2E" w:rsidR="00817385" w:rsidRPr="00DA11F1" w:rsidRDefault="00817385" w:rsidP="003805F8">
            <w:pPr>
              <w:spacing w:line="276" w:lineRule="auto"/>
              <w:rPr>
                <w:rFonts w:ascii="Times New Roman" w:hAnsi="Times New Roman"/>
                <w:noProof/>
                <w:sz w:val="20"/>
                <w:szCs w:val="20"/>
              </w:rPr>
            </w:pPr>
            <w:r w:rsidRPr="00F43FC8">
              <w:rPr>
                <w:rFonts w:ascii="Times New Roman" w:hAnsi="Times New Roman"/>
                <w:noProof/>
                <w:sz w:val="20"/>
                <w:szCs w:val="20"/>
              </w:rPr>
              <w:t>24</w:t>
            </w:r>
            <w:r>
              <w:rPr>
                <w:rFonts w:ascii="Times New Roman" w:hAnsi="Times New Roman"/>
                <w:noProof/>
                <w:sz w:val="20"/>
                <w:szCs w:val="20"/>
              </w:rPr>
              <w:t> </w:t>
            </w:r>
            <w:r w:rsidRPr="00F43FC8">
              <w:rPr>
                <w:rFonts w:ascii="Times New Roman" w:hAnsi="Times New Roman"/>
                <w:noProof/>
                <w:sz w:val="20"/>
                <w:szCs w:val="20"/>
              </w:rPr>
              <w:t>917</w:t>
            </w:r>
            <w:r>
              <w:rPr>
                <w:rFonts w:ascii="Times New Roman" w:hAnsi="Times New Roman"/>
                <w:noProof/>
                <w:sz w:val="20"/>
                <w:szCs w:val="20"/>
              </w:rPr>
              <w:t> </w:t>
            </w:r>
            <w:r w:rsidRPr="00F43FC8">
              <w:rPr>
                <w:rFonts w:ascii="Times New Roman" w:hAnsi="Times New Roman"/>
                <w:noProof/>
                <w:sz w:val="20"/>
                <w:szCs w:val="20"/>
              </w:rPr>
              <w:t>481</w:t>
            </w:r>
          </w:p>
        </w:tc>
        <w:tc>
          <w:tcPr>
            <w:tcW w:w="1503" w:type="dxa"/>
            <w:tcBorders>
              <w:top w:val="double" w:sz="4" w:space="0" w:color="auto"/>
              <w:left w:val="double" w:sz="4" w:space="0" w:color="auto"/>
              <w:bottom w:val="double" w:sz="4" w:space="0" w:color="auto"/>
              <w:right w:val="double" w:sz="4" w:space="0" w:color="auto"/>
            </w:tcBorders>
            <w:vAlign w:val="center"/>
          </w:tcPr>
          <w:p w14:paraId="46D5FF4B" w14:textId="1F13F460" w:rsidR="00817385" w:rsidRPr="00DA11F1" w:rsidRDefault="00817385" w:rsidP="003805F8">
            <w:pPr>
              <w:spacing w:line="276" w:lineRule="auto"/>
              <w:rPr>
                <w:rFonts w:ascii="Times New Roman" w:hAnsi="Times New Roman"/>
                <w:noProof/>
                <w:sz w:val="20"/>
                <w:szCs w:val="20"/>
              </w:rPr>
            </w:pPr>
            <w:r w:rsidRPr="00F43FC8">
              <w:rPr>
                <w:rFonts w:ascii="Times New Roman" w:hAnsi="Times New Roman"/>
                <w:noProof/>
                <w:sz w:val="20"/>
                <w:szCs w:val="20"/>
              </w:rPr>
              <w:t>299</w:t>
            </w:r>
            <w:r>
              <w:rPr>
                <w:rFonts w:ascii="Times New Roman" w:hAnsi="Times New Roman"/>
                <w:noProof/>
                <w:sz w:val="20"/>
                <w:szCs w:val="20"/>
              </w:rPr>
              <w:t> </w:t>
            </w:r>
            <w:r w:rsidRPr="00F43FC8">
              <w:rPr>
                <w:rFonts w:ascii="Times New Roman" w:hAnsi="Times New Roman"/>
                <w:noProof/>
                <w:sz w:val="20"/>
                <w:szCs w:val="20"/>
              </w:rPr>
              <w:t>610</w:t>
            </w:r>
          </w:p>
        </w:tc>
        <w:tc>
          <w:tcPr>
            <w:tcW w:w="1680" w:type="dxa"/>
            <w:tcBorders>
              <w:top w:val="double" w:sz="4" w:space="0" w:color="auto"/>
              <w:left w:val="double" w:sz="4" w:space="0" w:color="auto"/>
              <w:bottom w:val="double" w:sz="4" w:space="0" w:color="auto"/>
              <w:right w:val="double" w:sz="4" w:space="0" w:color="auto"/>
            </w:tcBorders>
            <w:vAlign w:val="center"/>
          </w:tcPr>
          <w:p w14:paraId="1AAFC327" w14:textId="5BD017D8" w:rsidR="00817385" w:rsidRPr="00DA11F1" w:rsidRDefault="00817385" w:rsidP="003805F8">
            <w:pPr>
              <w:spacing w:line="276" w:lineRule="auto"/>
              <w:rPr>
                <w:rFonts w:ascii="Times New Roman" w:hAnsi="Times New Roman"/>
                <w:noProof/>
                <w:sz w:val="20"/>
                <w:szCs w:val="20"/>
              </w:rPr>
            </w:pPr>
            <w:r w:rsidRPr="00F43FC8">
              <w:rPr>
                <w:rFonts w:ascii="Times New Roman" w:hAnsi="Times New Roman"/>
                <w:noProof/>
                <w:sz w:val="20"/>
                <w:szCs w:val="20"/>
              </w:rPr>
              <w:t>283</w:t>
            </w:r>
            <w:r>
              <w:rPr>
                <w:rFonts w:ascii="Times New Roman" w:hAnsi="Times New Roman"/>
                <w:noProof/>
                <w:sz w:val="20"/>
                <w:szCs w:val="20"/>
              </w:rPr>
              <w:t> </w:t>
            </w:r>
            <w:r w:rsidRPr="00F43FC8">
              <w:rPr>
                <w:rFonts w:ascii="Times New Roman" w:hAnsi="Times New Roman"/>
                <w:noProof/>
                <w:sz w:val="20"/>
                <w:szCs w:val="20"/>
              </w:rPr>
              <w:t>329</w:t>
            </w:r>
          </w:p>
        </w:tc>
        <w:tc>
          <w:tcPr>
            <w:tcW w:w="1670" w:type="dxa"/>
            <w:tcBorders>
              <w:top w:val="double" w:sz="4" w:space="0" w:color="auto"/>
              <w:left w:val="double" w:sz="4" w:space="0" w:color="auto"/>
              <w:bottom w:val="double" w:sz="4" w:space="0" w:color="auto"/>
              <w:right w:val="double" w:sz="4" w:space="0" w:color="auto"/>
            </w:tcBorders>
            <w:vAlign w:val="center"/>
          </w:tcPr>
          <w:p w14:paraId="63DE8004" w14:textId="00D89AB7" w:rsidR="00817385" w:rsidRPr="00DA11F1" w:rsidRDefault="00817385" w:rsidP="003805F8">
            <w:pPr>
              <w:spacing w:line="276" w:lineRule="auto"/>
              <w:rPr>
                <w:rFonts w:ascii="Times New Roman" w:hAnsi="Times New Roman"/>
                <w:noProof/>
                <w:sz w:val="20"/>
                <w:szCs w:val="20"/>
              </w:rPr>
            </w:pPr>
            <w:r w:rsidRPr="00F43FC8">
              <w:rPr>
                <w:rFonts w:ascii="Times New Roman" w:hAnsi="Times New Roman"/>
                <w:noProof/>
                <w:sz w:val="20"/>
                <w:szCs w:val="20"/>
              </w:rPr>
              <w:t>366</w:t>
            </w:r>
            <w:r>
              <w:rPr>
                <w:rFonts w:ascii="Times New Roman" w:hAnsi="Times New Roman"/>
                <w:noProof/>
                <w:sz w:val="20"/>
                <w:szCs w:val="20"/>
              </w:rPr>
              <w:t> </w:t>
            </w:r>
            <w:r w:rsidRPr="00F43FC8">
              <w:rPr>
                <w:rFonts w:ascii="Times New Roman" w:hAnsi="Times New Roman"/>
                <w:noProof/>
                <w:sz w:val="20"/>
                <w:szCs w:val="20"/>
              </w:rPr>
              <w:t>102</w:t>
            </w:r>
          </w:p>
        </w:tc>
      </w:tr>
      <w:tr w:rsidR="00ED4EB3" w:rsidRPr="00DA11F1" w14:paraId="706AE715" w14:textId="77777777" w:rsidTr="00817385">
        <w:tc>
          <w:tcPr>
            <w:tcW w:w="2888" w:type="dxa"/>
            <w:tcBorders>
              <w:top w:val="double" w:sz="4" w:space="0" w:color="auto"/>
              <w:left w:val="double" w:sz="4" w:space="0" w:color="auto"/>
              <w:bottom w:val="double" w:sz="4" w:space="0" w:color="auto"/>
              <w:right w:val="double" w:sz="4" w:space="0" w:color="auto"/>
            </w:tcBorders>
            <w:vAlign w:val="center"/>
            <w:hideMark/>
          </w:tcPr>
          <w:p w14:paraId="1C30F691" w14:textId="77777777" w:rsidR="00ED4EB3" w:rsidRPr="00DA11F1" w:rsidRDefault="00ED4EB3" w:rsidP="003805F8">
            <w:pPr>
              <w:spacing w:line="276" w:lineRule="auto"/>
              <w:rPr>
                <w:rFonts w:ascii="Times New Roman" w:hAnsi="Times New Roman"/>
                <w:b/>
                <w:noProof/>
                <w:sz w:val="20"/>
                <w:szCs w:val="20"/>
              </w:rPr>
            </w:pPr>
            <w:r>
              <w:rPr>
                <w:rFonts w:ascii="Times New Roman" w:hAnsi="Times New Roman"/>
                <w:b/>
                <w:noProof/>
                <w:sz w:val="20"/>
                <w:szCs w:val="20"/>
              </w:rPr>
              <w:t>Nombre d’installations fixes en </w:t>
            </w:r>
            <w:r w:rsidRPr="00F43FC8">
              <w:rPr>
                <w:rFonts w:ascii="Times New Roman" w:hAnsi="Times New Roman"/>
                <w:b/>
                <w:noProof/>
                <w:sz w:val="20"/>
                <w:szCs w:val="20"/>
              </w:rPr>
              <w:t>2020</w:t>
            </w:r>
            <w:r>
              <w:rPr>
                <w:rFonts w:ascii="Times New Roman" w:hAnsi="Times New Roman"/>
                <w:b/>
                <w:noProof/>
                <w:sz w:val="20"/>
                <w:szCs w:val="20"/>
              </w:rPr>
              <w:t xml:space="preserve"> </w:t>
            </w:r>
          </w:p>
        </w:tc>
        <w:tc>
          <w:tcPr>
            <w:tcW w:w="3004" w:type="dxa"/>
            <w:gridSpan w:val="2"/>
            <w:tcBorders>
              <w:top w:val="double" w:sz="4" w:space="0" w:color="auto"/>
              <w:left w:val="double" w:sz="4" w:space="0" w:color="auto"/>
              <w:bottom w:val="double" w:sz="4" w:space="0" w:color="auto"/>
              <w:right w:val="double" w:sz="4" w:space="0" w:color="auto"/>
            </w:tcBorders>
            <w:vAlign w:val="center"/>
            <w:hideMark/>
          </w:tcPr>
          <w:p w14:paraId="1D6FE04F" w14:textId="10D62589" w:rsidR="00ED4EB3" w:rsidRPr="00DA11F1" w:rsidRDefault="00853904" w:rsidP="003805F8">
            <w:pPr>
              <w:spacing w:line="276" w:lineRule="auto"/>
              <w:rPr>
                <w:rFonts w:ascii="Times New Roman" w:hAnsi="Times New Roman"/>
                <w:noProof/>
                <w:sz w:val="20"/>
                <w:szCs w:val="20"/>
              </w:rPr>
            </w:pPr>
            <w:r w:rsidRPr="00F43FC8">
              <w:rPr>
                <w:rFonts w:ascii="Times New Roman" w:hAnsi="Times New Roman"/>
                <w:noProof/>
                <w:sz w:val="20"/>
                <w:szCs w:val="20"/>
              </w:rPr>
              <w:t>10</w:t>
            </w:r>
            <w:r>
              <w:rPr>
                <w:rFonts w:ascii="Times New Roman" w:hAnsi="Times New Roman"/>
                <w:noProof/>
                <w:sz w:val="20"/>
                <w:szCs w:val="20"/>
              </w:rPr>
              <w:t> </w:t>
            </w:r>
            <w:r w:rsidRPr="00F43FC8">
              <w:rPr>
                <w:rFonts w:ascii="Times New Roman" w:hAnsi="Times New Roman"/>
                <w:noProof/>
                <w:sz w:val="20"/>
                <w:szCs w:val="20"/>
              </w:rPr>
              <w:t>437</w:t>
            </w:r>
            <w:r w:rsidR="00FA2C7C" w:rsidRPr="00DA11F1">
              <w:rPr>
                <w:rStyle w:val="FootnoteReference"/>
                <w:rFonts w:ascii="Times New Roman" w:hAnsi="Times New Roman"/>
                <w:noProof/>
                <w:sz w:val="20"/>
                <w:szCs w:val="20"/>
              </w:rPr>
              <w:footnoteReference w:id="116"/>
            </w:r>
          </w:p>
        </w:tc>
        <w:tc>
          <w:tcPr>
            <w:tcW w:w="3350" w:type="dxa"/>
            <w:gridSpan w:val="2"/>
            <w:tcBorders>
              <w:top w:val="double" w:sz="4" w:space="0" w:color="auto"/>
              <w:left w:val="double" w:sz="4" w:space="0" w:color="auto"/>
              <w:bottom w:val="double" w:sz="4" w:space="0" w:color="auto"/>
              <w:right w:val="double" w:sz="4" w:space="0" w:color="auto"/>
            </w:tcBorders>
            <w:vAlign w:val="center"/>
            <w:hideMark/>
          </w:tcPr>
          <w:p w14:paraId="67FD030D" w14:textId="77777777" w:rsidR="00ED4EB3" w:rsidRPr="00DA11F1" w:rsidRDefault="00ED4EB3" w:rsidP="003805F8">
            <w:pPr>
              <w:spacing w:line="276" w:lineRule="auto"/>
              <w:rPr>
                <w:rFonts w:ascii="Times New Roman" w:hAnsi="Times New Roman"/>
                <w:noProof/>
                <w:sz w:val="20"/>
                <w:szCs w:val="20"/>
                <w:highlight w:val="yellow"/>
              </w:rPr>
            </w:pPr>
            <w:r w:rsidRPr="00F43FC8">
              <w:rPr>
                <w:rFonts w:ascii="Times New Roman" w:hAnsi="Times New Roman"/>
                <w:noProof/>
                <w:sz w:val="20"/>
                <w:szCs w:val="20"/>
              </w:rPr>
              <w:t>51</w:t>
            </w:r>
          </w:p>
        </w:tc>
      </w:tr>
      <w:tr w:rsidR="00ED4EB3" w:rsidRPr="00DA11F1" w14:paraId="48F4FB7E" w14:textId="77777777" w:rsidTr="00817385">
        <w:tc>
          <w:tcPr>
            <w:tcW w:w="2888" w:type="dxa"/>
            <w:tcBorders>
              <w:top w:val="double" w:sz="4" w:space="0" w:color="auto"/>
              <w:left w:val="double" w:sz="4" w:space="0" w:color="auto"/>
              <w:bottom w:val="double" w:sz="4" w:space="0" w:color="auto"/>
              <w:right w:val="double" w:sz="4" w:space="0" w:color="auto"/>
            </w:tcBorders>
            <w:vAlign w:val="center"/>
            <w:hideMark/>
          </w:tcPr>
          <w:p w14:paraId="502FF6E8" w14:textId="77777777" w:rsidR="00ED4EB3" w:rsidRPr="00DA11F1" w:rsidRDefault="00ED4EB3" w:rsidP="003805F8">
            <w:pPr>
              <w:spacing w:line="276" w:lineRule="auto"/>
              <w:rPr>
                <w:rFonts w:ascii="Times New Roman" w:hAnsi="Times New Roman"/>
                <w:b/>
                <w:noProof/>
                <w:sz w:val="20"/>
                <w:szCs w:val="20"/>
              </w:rPr>
            </w:pPr>
            <w:r>
              <w:rPr>
                <w:rFonts w:ascii="Times New Roman" w:hAnsi="Times New Roman"/>
                <w:b/>
                <w:noProof/>
                <w:sz w:val="20"/>
                <w:szCs w:val="20"/>
              </w:rPr>
              <w:t xml:space="preserve">Nombre d’exploitants d’aéronefs en </w:t>
            </w:r>
            <w:r w:rsidRPr="00F43FC8">
              <w:rPr>
                <w:rFonts w:ascii="Times New Roman" w:hAnsi="Times New Roman"/>
                <w:b/>
                <w:noProof/>
                <w:sz w:val="20"/>
                <w:szCs w:val="20"/>
              </w:rPr>
              <w:t>2020</w:t>
            </w:r>
          </w:p>
        </w:tc>
        <w:tc>
          <w:tcPr>
            <w:tcW w:w="3004" w:type="dxa"/>
            <w:gridSpan w:val="2"/>
            <w:tcBorders>
              <w:top w:val="double" w:sz="4" w:space="0" w:color="auto"/>
              <w:left w:val="double" w:sz="4" w:space="0" w:color="auto"/>
              <w:bottom w:val="double" w:sz="4" w:space="0" w:color="auto"/>
              <w:right w:val="double" w:sz="4" w:space="0" w:color="auto"/>
            </w:tcBorders>
            <w:vAlign w:val="center"/>
            <w:hideMark/>
          </w:tcPr>
          <w:p w14:paraId="5B1FF9DF" w14:textId="5C0B3DD2" w:rsidR="00ED4EB3" w:rsidRPr="00DA11F1" w:rsidRDefault="00853904" w:rsidP="003805F8">
            <w:pPr>
              <w:spacing w:line="276" w:lineRule="auto"/>
              <w:rPr>
                <w:rFonts w:ascii="Times New Roman" w:hAnsi="Times New Roman"/>
                <w:noProof/>
                <w:sz w:val="20"/>
                <w:szCs w:val="20"/>
              </w:rPr>
            </w:pPr>
            <w:r w:rsidRPr="00F43FC8">
              <w:rPr>
                <w:rFonts w:ascii="Times New Roman" w:hAnsi="Times New Roman"/>
                <w:noProof/>
                <w:sz w:val="20"/>
                <w:szCs w:val="20"/>
              </w:rPr>
              <w:t>352</w:t>
            </w:r>
            <w:r w:rsidR="00FA2C7C" w:rsidRPr="00DA11F1">
              <w:rPr>
                <w:rStyle w:val="FootnoteReference"/>
                <w:rFonts w:ascii="Times New Roman" w:hAnsi="Times New Roman"/>
                <w:noProof/>
                <w:sz w:val="20"/>
                <w:szCs w:val="20"/>
              </w:rPr>
              <w:footnoteReference w:id="117"/>
            </w:r>
          </w:p>
        </w:tc>
        <w:tc>
          <w:tcPr>
            <w:tcW w:w="3350" w:type="dxa"/>
            <w:gridSpan w:val="2"/>
            <w:tcBorders>
              <w:top w:val="double" w:sz="4" w:space="0" w:color="auto"/>
              <w:left w:val="double" w:sz="4" w:space="0" w:color="auto"/>
              <w:bottom w:val="double" w:sz="4" w:space="0" w:color="auto"/>
              <w:right w:val="double" w:sz="4" w:space="0" w:color="auto"/>
            </w:tcBorders>
            <w:vAlign w:val="center"/>
            <w:hideMark/>
          </w:tcPr>
          <w:p w14:paraId="74C1C6CF" w14:textId="77777777" w:rsidR="00ED4EB3" w:rsidRPr="00DA11F1" w:rsidRDefault="00ED4EB3" w:rsidP="003805F8">
            <w:pPr>
              <w:spacing w:line="276" w:lineRule="auto"/>
              <w:rPr>
                <w:rFonts w:ascii="Times New Roman" w:hAnsi="Times New Roman"/>
                <w:noProof/>
                <w:sz w:val="20"/>
                <w:szCs w:val="20"/>
                <w:highlight w:val="yellow"/>
              </w:rPr>
            </w:pPr>
            <w:r w:rsidRPr="00F43FC8">
              <w:rPr>
                <w:rFonts w:ascii="Times New Roman" w:hAnsi="Times New Roman"/>
                <w:noProof/>
                <w:sz w:val="20"/>
                <w:szCs w:val="20"/>
              </w:rPr>
              <w:t>3</w:t>
            </w:r>
          </w:p>
        </w:tc>
      </w:tr>
    </w:tbl>
    <w:p w14:paraId="7960FA32" w14:textId="08CF9660" w:rsidR="00ED4EB3" w:rsidRPr="00DA11F1" w:rsidRDefault="00ED4EB3" w:rsidP="003805F8">
      <w:pPr>
        <w:jc w:val="both"/>
        <w:rPr>
          <w:rFonts w:ascii="Times New Roman" w:eastAsia="Times New Roman" w:hAnsi="Times New Roman"/>
          <w:noProof/>
          <w:sz w:val="20"/>
          <w:szCs w:val="18"/>
        </w:rPr>
      </w:pPr>
      <w:r>
        <w:rPr>
          <w:rFonts w:ascii="Times New Roman" w:hAnsi="Times New Roman"/>
          <w:noProof/>
          <w:sz w:val="20"/>
          <w:szCs w:val="18"/>
        </w:rPr>
        <w:t>Source: EUTL et le registre suisse</w:t>
      </w:r>
      <w:r w:rsidR="003805F8" w:rsidRPr="00DA11F1">
        <w:rPr>
          <w:rStyle w:val="FootnoteReference"/>
          <w:rFonts w:ascii="Times New Roman" w:eastAsia="Times New Roman" w:hAnsi="Times New Roman"/>
          <w:noProof/>
          <w:sz w:val="20"/>
          <w:szCs w:val="18"/>
          <w:lang w:eastAsia="en-GB"/>
        </w:rPr>
        <w:footnoteReference w:id="118"/>
      </w:r>
      <w:r>
        <w:rPr>
          <w:rFonts w:ascii="Times New Roman" w:hAnsi="Times New Roman"/>
          <w:noProof/>
          <w:sz w:val="20"/>
          <w:szCs w:val="18"/>
        </w:rPr>
        <w:t xml:space="preserve">. </w:t>
      </w:r>
    </w:p>
    <w:p w14:paraId="314A4F28" w14:textId="43BF9861" w:rsidR="00ED4EB3" w:rsidRPr="00DA11F1" w:rsidRDefault="00B70767" w:rsidP="008356AC">
      <w:pPr>
        <w:jc w:val="both"/>
        <w:rPr>
          <w:rFonts w:ascii="Times New Roman" w:eastAsia="SimSun" w:hAnsi="Times New Roman"/>
          <w:noProof/>
          <w:sz w:val="24"/>
          <w:szCs w:val="24"/>
        </w:rPr>
      </w:pPr>
      <w:r>
        <w:rPr>
          <w:rFonts w:ascii="Times New Roman" w:hAnsi="Times New Roman"/>
          <w:noProof/>
          <w:sz w:val="24"/>
          <w:szCs w:val="24"/>
        </w:rPr>
        <w:t>Depuis l’entrée en vigueur de l’accord de couplage, les émissions générées dans le cadre de l’un ou l’autre système peuvent être couvertes en restituant des quotas dans les deux systèmes. Les exploitants des deux systèmes peuvent ainsi accéder à un plus vaste marché, ce qui pourrait générer des gains d’efficacité. Pour concrétiser cette possibilité, un lien direct a été établi, conformément à l’article </w:t>
      </w:r>
      <w:r w:rsidRPr="00F43FC8">
        <w:rPr>
          <w:rFonts w:ascii="Times New Roman" w:hAnsi="Times New Roman"/>
          <w:noProof/>
          <w:sz w:val="24"/>
          <w:szCs w:val="24"/>
        </w:rPr>
        <w:t>3</w:t>
      </w:r>
      <w:r>
        <w:rPr>
          <w:rFonts w:ascii="Times New Roman" w:hAnsi="Times New Roman"/>
          <w:noProof/>
          <w:sz w:val="24"/>
          <w:szCs w:val="24"/>
        </w:rPr>
        <w:t>, paragraphe </w:t>
      </w:r>
      <w:r w:rsidRPr="00F43FC8">
        <w:rPr>
          <w:rFonts w:ascii="Times New Roman" w:hAnsi="Times New Roman"/>
          <w:noProof/>
          <w:sz w:val="24"/>
          <w:szCs w:val="24"/>
        </w:rPr>
        <w:t>2</w:t>
      </w:r>
      <w:r>
        <w:rPr>
          <w:rFonts w:ascii="Times New Roman" w:hAnsi="Times New Roman"/>
          <w:noProof/>
          <w:sz w:val="24"/>
          <w:szCs w:val="24"/>
        </w:rPr>
        <w:t xml:space="preserve">, de l’accord, entre les registres des deux systèmes afin de transférer les quotas d’un compte sur un système vers un compte de l’autre système. </w:t>
      </w:r>
    </w:p>
    <w:p w14:paraId="574EF562" w14:textId="1C562E42" w:rsidR="00B70767" w:rsidRPr="00DA11F1" w:rsidRDefault="00B70767" w:rsidP="008356AC">
      <w:pPr>
        <w:jc w:val="both"/>
        <w:rPr>
          <w:rFonts w:ascii="Times New Roman" w:eastAsia="SimSun" w:hAnsi="Times New Roman"/>
          <w:noProof/>
          <w:sz w:val="24"/>
          <w:szCs w:val="24"/>
        </w:rPr>
      </w:pPr>
      <w:r>
        <w:rPr>
          <w:rFonts w:ascii="Times New Roman" w:hAnsi="Times New Roman"/>
          <w:noProof/>
          <w:sz w:val="24"/>
          <w:szCs w:val="24"/>
        </w:rPr>
        <w:t>À la suite de l’entrée en vigueur de l’accord de couplage en </w:t>
      </w:r>
      <w:r w:rsidRPr="00F43FC8">
        <w:rPr>
          <w:rFonts w:ascii="Times New Roman" w:hAnsi="Times New Roman"/>
          <w:noProof/>
          <w:sz w:val="24"/>
          <w:szCs w:val="24"/>
        </w:rPr>
        <w:t>2020</w:t>
      </w:r>
      <w:r>
        <w:rPr>
          <w:rFonts w:ascii="Times New Roman" w:hAnsi="Times New Roman"/>
          <w:noProof/>
          <w:sz w:val="24"/>
          <w:szCs w:val="24"/>
        </w:rPr>
        <w:t xml:space="preserve">, les exploitants (d’installations fixes et d’aéronefs) ont utilisé </w:t>
      </w:r>
      <w:r w:rsidRPr="00F43FC8">
        <w:rPr>
          <w:rFonts w:ascii="Times New Roman" w:hAnsi="Times New Roman"/>
          <w:noProof/>
          <w:sz w:val="24"/>
          <w:szCs w:val="24"/>
        </w:rPr>
        <w:t>642</w:t>
      </w:r>
      <w:r>
        <w:rPr>
          <w:rFonts w:ascii="Times New Roman" w:hAnsi="Times New Roman"/>
          <w:noProof/>
          <w:sz w:val="24"/>
          <w:szCs w:val="24"/>
        </w:rPr>
        <w:t> </w:t>
      </w:r>
      <w:r w:rsidRPr="00F43FC8">
        <w:rPr>
          <w:rFonts w:ascii="Times New Roman" w:hAnsi="Times New Roman"/>
          <w:noProof/>
          <w:sz w:val="24"/>
          <w:szCs w:val="24"/>
        </w:rPr>
        <w:t>413</w:t>
      </w:r>
      <w:r>
        <w:rPr>
          <w:rFonts w:ascii="Times New Roman" w:hAnsi="Times New Roman"/>
          <w:noProof/>
          <w:sz w:val="24"/>
          <w:szCs w:val="24"/>
        </w:rPr>
        <w:t> quotas émis dans le cadre du SEQE de la Suisse</w:t>
      </w:r>
      <w:r w:rsidR="00475FF5" w:rsidRPr="00DA11F1">
        <w:rPr>
          <w:rStyle w:val="FootnoteReference"/>
          <w:rFonts w:ascii="Times New Roman" w:eastAsia="SimSun" w:hAnsi="Times New Roman"/>
          <w:noProof/>
          <w:sz w:val="24"/>
          <w:szCs w:val="24"/>
          <w:lang w:eastAsia="zh-CN"/>
        </w:rPr>
        <w:footnoteReference w:id="119"/>
      </w:r>
      <w:r>
        <w:rPr>
          <w:rFonts w:ascii="Times New Roman" w:hAnsi="Times New Roman"/>
          <w:noProof/>
          <w:sz w:val="24"/>
          <w:szCs w:val="24"/>
        </w:rPr>
        <w:t xml:space="preserve">, faisant ainsi usage de la flexibilité accrue offerte par le couplage des SEQE de l’UE et de la Suisse. </w:t>
      </w:r>
    </w:p>
    <w:p w14:paraId="6A4C50DE" w14:textId="03A96BFD" w:rsidR="00B70767" w:rsidRPr="00DA11F1" w:rsidRDefault="001C7AFF" w:rsidP="00087600">
      <w:pPr>
        <w:jc w:val="both"/>
        <w:rPr>
          <w:rFonts w:ascii="Times New Roman" w:eastAsia="SimSun" w:hAnsi="Times New Roman"/>
          <w:noProof/>
          <w:sz w:val="24"/>
          <w:szCs w:val="24"/>
        </w:rPr>
      </w:pPr>
      <w:r>
        <w:rPr>
          <w:rFonts w:ascii="Times New Roman" w:hAnsi="Times New Roman"/>
          <w:noProof/>
          <w:sz w:val="24"/>
          <w:szCs w:val="24"/>
        </w:rPr>
        <w:t>Les tableaux </w:t>
      </w:r>
      <w:r w:rsidRPr="00F43FC8">
        <w:rPr>
          <w:rFonts w:ascii="Times New Roman" w:hAnsi="Times New Roman"/>
          <w:noProof/>
          <w:sz w:val="24"/>
          <w:szCs w:val="24"/>
        </w:rPr>
        <w:t>8</w:t>
      </w:r>
      <w:r>
        <w:rPr>
          <w:rFonts w:ascii="Times New Roman" w:hAnsi="Times New Roman"/>
          <w:noProof/>
          <w:sz w:val="24"/>
          <w:szCs w:val="24"/>
        </w:rPr>
        <w:t> et </w:t>
      </w:r>
      <w:r w:rsidRPr="00F43FC8">
        <w:rPr>
          <w:rFonts w:ascii="Times New Roman" w:hAnsi="Times New Roman"/>
          <w:noProof/>
          <w:sz w:val="24"/>
          <w:szCs w:val="24"/>
        </w:rPr>
        <w:t>9</w:t>
      </w:r>
      <w:r>
        <w:rPr>
          <w:rFonts w:ascii="Times New Roman" w:hAnsi="Times New Roman"/>
          <w:noProof/>
          <w:sz w:val="24"/>
          <w:szCs w:val="24"/>
        </w:rPr>
        <w:t xml:space="preserve"> ci-dessous montrent l’effet du couplage ou la mesure dans laquelle les exploitants relevant du SEQE-UE (</w:t>
      </w:r>
      <w:r w:rsidR="00351634" w:rsidRPr="00DA11F1">
        <w:rPr>
          <w:rFonts w:ascii="Times New Roman" w:eastAsia="SimSun" w:hAnsi="Times New Roman"/>
          <w:noProof/>
          <w:sz w:val="24"/>
          <w:szCs w:val="24"/>
        </w:rPr>
        <w:fldChar w:fldCharType="begin"/>
      </w:r>
      <w:r w:rsidR="00351634" w:rsidRPr="00DA11F1">
        <w:rPr>
          <w:rFonts w:ascii="Times New Roman" w:eastAsia="SimSun" w:hAnsi="Times New Roman"/>
          <w:noProof/>
          <w:sz w:val="24"/>
          <w:szCs w:val="24"/>
        </w:rPr>
        <w:instrText xml:space="preserve"> REF _Ref85055473 </w:instrText>
      </w:r>
      <w:r w:rsidR="0066011F" w:rsidRPr="00DA11F1">
        <w:rPr>
          <w:rFonts w:ascii="Times New Roman" w:eastAsia="SimSun" w:hAnsi="Times New Roman"/>
          <w:noProof/>
          <w:sz w:val="24"/>
          <w:szCs w:val="24"/>
        </w:rPr>
        <w:instrText xml:space="preserve"> \* MERGEFORMAT </w:instrText>
      </w:r>
      <w:r w:rsidR="00351634" w:rsidRPr="00DA11F1">
        <w:rPr>
          <w:rFonts w:ascii="Times New Roman" w:eastAsia="SimSun" w:hAnsi="Times New Roman"/>
          <w:noProof/>
          <w:sz w:val="24"/>
          <w:szCs w:val="24"/>
        </w:rPr>
        <w:fldChar w:fldCharType="separate"/>
      </w:r>
      <w:r w:rsidR="00087600">
        <w:rPr>
          <w:rFonts w:ascii="Times New Roman" w:hAnsi="Times New Roman"/>
          <w:noProof/>
          <w:sz w:val="24"/>
          <w:szCs w:val="24"/>
        </w:rPr>
        <w:t xml:space="preserve">tableau </w:t>
      </w:r>
      <w:r w:rsidR="00087600" w:rsidRPr="00F43FC8">
        <w:rPr>
          <w:rFonts w:ascii="Times New Roman" w:hAnsi="Times New Roman"/>
          <w:noProof/>
          <w:sz w:val="24"/>
          <w:szCs w:val="24"/>
        </w:rPr>
        <w:t>8</w:t>
      </w:r>
      <w:r w:rsidR="00351634" w:rsidRPr="00DA11F1">
        <w:rPr>
          <w:rFonts w:ascii="Times New Roman" w:eastAsia="SimSun" w:hAnsi="Times New Roman"/>
          <w:noProof/>
          <w:sz w:val="24"/>
          <w:szCs w:val="24"/>
        </w:rPr>
        <w:fldChar w:fldCharType="end"/>
      </w:r>
      <w:r>
        <w:rPr>
          <w:rFonts w:ascii="Times New Roman" w:hAnsi="Times New Roman"/>
          <w:noProof/>
          <w:sz w:val="24"/>
          <w:szCs w:val="24"/>
        </w:rPr>
        <w:t>) ou du SEQE de la Suisse (</w:t>
      </w:r>
      <w:r w:rsidR="00351634" w:rsidRPr="00DA11F1">
        <w:rPr>
          <w:rFonts w:ascii="Times New Roman" w:eastAsia="SimSun" w:hAnsi="Times New Roman"/>
          <w:noProof/>
          <w:sz w:val="28"/>
          <w:szCs w:val="24"/>
        </w:rPr>
        <w:fldChar w:fldCharType="begin"/>
      </w:r>
      <w:r w:rsidR="00351634" w:rsidRPr="00DA11F1">
        <w:rPr>
          <w:rFonts w:ascii="Times New Roman" w:eastAsia="SimSun" w:hAnsi="Times New Roman"/>
          <w:noProof/>
          <w:sz w:val="28"/>
          <w:szCs w:val="24"/>
        </w:rPr>
        <w:instrText xml:space="preserve"> REF _Ref85055597 </w:instrText>
      </w:r>
      <w:r w:rsidR="0066011F" w:rsidRPr="00DA11F1">
        <w:rPr>
          <w:rFonts w:ascii="Times New Roman" w:eastAsia="SimSun" w:hAnsi="Times New Roman"/>
          <w:noProof/>
          <w:sz w:val="28"/>
          <w:szCs w:val="24"/>
        </w:rPr>
        <w:instrText xml:space="preserve"> \* MERGEFORMAT </w:instrText>
      </w:r>
      <w:r w:rsidR="00351634" w:rsidRPr="00DA11F1">
        <w:rPr>
          <w:rFonts w:ascii="Times New Roman" w:eastAsia="SimSun" w:hAnsi="Times New Roman"/>
          <w:noProof/>
          <w:sz w:val="28"/>
          <w:szCs w:val="24"/>
        </w:rPr>
        <w:fldChar w:fldCharType="separate"/>
      </w:r>
      <w:r w:rsidR="00087600">
        <w:rPr>
          <w:rFonts w:ascii="Times New Roman" w:hAnsi="Times New Roman"/>
          <w:noProof/>
          <w:sz w:val="24"/>
        </w:rPr>
        <w:t xml:space="preserve">tableau </w:t>
      </w:r>
      <w:r w:rsidR="00351634" w:rsidRPr="00DA11F1">
        <w:rPr>
          <w:rFonts w:ascii="Times New Roman" w:eastAsia="SimSun" w:hAnsi="Times New Roman"/>
          <w:noProof/>
          <w:sz w:val="28"/>
          <w:szCs w:val="24"/>
        </w:rPr>
        <w:fldChar w:fldCharType="end"/>
      </w:r>
      <w:r w:rsidR="00087600" w:rsidRPr="00F43FC8">
        <w:rPr>
          <w:rFonts w:ascii="Times New Roman" w:eastAsia="SimSun" w:hAnsi="Times New Roman"/>
          <w:noProof/>
          <w:sz w:val="28"/>
          <w:szCs w:val="24"/>
        </w:rPr>
        <w:t>9</w:t>
      </w:r>
      <w:r>
        <w:rPr>
          <w:rFonts w:ascii="Times New Roman" w:hAnsi="Times New Roman"/>
          <w:noProof/>
          <w:sz w:val="24"/>
          <w:szCs w:val="24"/>
        </w:rPr>
        <w:t xml:space="preserve">) ont bénéficié du couplage en utilisant des quotas émis dans l’autre système pour répondre à leurs obligations de restitution. </w:t>
      </w:r>
    </w:p>
    <w:p w14:paraId="39722BC3" w14:textId="32AC2833" w:rsidR="003B74E6" w:rsidRPr="00DA11F1" w:rsidRDefault="003B74E6" w:rsidP="003B74E6">
      <w:pPr>
        <w:jc w:val="both"/>
        <w:rPr>
          <w:rFonts w:ascii="Times New Roman" w:eastAsia="SimSun" w:hAnsi="Times New Roman"/>
          <w:noProof/>
          <w:sz w:val="24"/>
        </w:rPr>
      </w:pPr>
      <w:r>
        <w:rPr>
          <w:rFonts w:ascii="Times New Roman" w:hAnsi="Times New Roman"/>
          <w:noProof/>
          <w:sz w:val="24"/>
        </w:rPr>
        <w:t xml:space="preserve">Dans le SEQE-UE, les installations fixes n’ont que très peu utilisé des quotas du SEQE de la Suisse à des fins de conformité, avec </w:t>
      </w:r>
      <w:r w:rsidRPr="00F43FC8">
        <w:rPr>
          <w:rFonts w:ascii="Times New Roman" w:hAnsi="Times New Roman"/>
          <w:noProof/>
          <w:sz w:val="24"/>
        </w:rPr>
        <w:t>0</w:t>
      </w:r>
      <w:r>
        <w:rPr>
          <w:rFonts w:ascii="Times New Roman" w:hAnsi="Times New Roman"/>
          <w:noProof/>
          <w:sz w:val="24"/>
        </w:rPr>
        <w:t>,</w:t>
      </w:r>
      <w:r w:rsidRPr="00F43FC8">
        <w:rPr>
          <w:rFonts w:ascii="Times New Roman" w:hAnsi="Times New Roman"/>
          <w:noProof/>
          <w:sz w:val="24"/>
        </w:rPr>
        <w:t>0044</w:t>
      </w:r>
      <w:r>
        <w:rPr>
          <w:rFonts w:ascii="Times New Roman" w:hAnsi="Times New Roman"/>
          <w:noProof/>
          <w:sz w:val="24"/>
        </w:rPr>
        <w:t xml:space="preserve"> % d’obligations satisfaites au moyen de moins de </w:t>
      </w:r>
      <w:r w:rsidRPr="00F43FC8">
        <w:rPr>
          <w:rFonts w:ascii="Times New Roman" w:hAnsi="Times New Roman"/>
          <w:noProof/>
          <w:sz w:val="24"/>
        </w:rPr>
        <w:t>60</w:t>
      </w:r>
      <w:r>
        <w:rPr>
          <w:rFonts w:ascii="Times New Roman" w:hAnsi="Times New Roman"/>
          <w:noProof/>
          <w:sz w:val="24"/>
        </w:rPr>
        <w:t> </w:t>
      </w:r>
      <w:r w:rsidRPr="00F43FC8">
        <w:rPr>
          <w:rFonts w:ascii="Times New Roman" w:hAnsi="Times New Roman"/>
          <w:noProof/>
          <w:sz w:val="24"/>
        </w:rPr>
        <w:t>000</w:t>
      </w:r>
      <w:r>
        <w:rPr>
          <w:rFonts w:ascii="Times New Roman" w:hAnsi="Times New Roman"/>
          <w:noProof/>
          <w:sz w:val="24"/>
        </w:rPr>
        <w:t xml:space="preserve"> quotas généraux suisses. Les exploitants d’aéronefs couverts par le SEQE-UE ont satisfait à </w:t>
      </w:r>
      <w:r w:rsidRPr="00F43FC8">
        <w:rPr>
          <w:rFonts w:ascii="Times New Roman" w:hAnsi="Times New Roman"/>
          <w:noProof/>
          <w:sz w:val="24"/>
        </w:rPr>
        <w:t>2</w:t>
      </w:r>
      <w:r>
        <w:rPr>
          <w:rFonts w:ascii="Times New Roman" w:hAnsi="Times New Roman"/>
          <w:noProof/>
          <w:sz w:val="24"/>
        </w:rPr>
        <w:t>,</w:t>
      </w:r>
      <w:r w:rsidRPr="00F43FC8">
        <w:rPr>
          <w:rFonts w:ascii="Times New Roman" w:hAnsi="Times New Roman"/>
          <w:noProof/>
          <w:sz w:val="24"/>
        </w:rPr>
        <w:t>34</w:t>
      </w:r>
      <w:r>
        <w:rPr>
          <w:rFonts w:ascii="Times New Roman" w:hAnsi="Times New Roman"/>
          <w:noProof/>
          <w:sz w:val="24"/>
        </w:rPr>
        <w:t xml:space="preserve"> % d’obligations en utilisant des quotas aviation suisses, mais aucun quota général. </w:t>
      </w:r>
    </w:p>
    <w:p w14:paraId="2208D3C9" w14:textId="1DF3B5EA" w:rsidR="00DB4F75" w:rsidRPr="00DA11F1" w:rsidRDefault="00DB4F75" w:rsidP="00DB4F75">
      <w:pPr>
        <w:pStyle w:val="Caption"/>
        <w:keepNext/>
        <w:rPr>
          <w:rFonts w:ascii="Times New Roman" w:hAnsi="Times New Roman"/>
          <w:noProof/>
          <w:sz w:val="24"/>
        </w:rPr>
      </w:pPr>
      <w:bookmarkStart w:id="71" w:name="_Ref85055473"/>
      <w:r>
        <w:rPr>
          <w:rFonts w:ascii="Times New Roman" w:hAnsi="Times New Roman"/>
          <w:noProof/>
          <w:sz w:val="22"/>
        </w:rPr>
        <w:t>Tableau </w:t>
      </w:r>
      <w:r w:rsidRPr="00DA11F1">
        <w:rPr>
          <w:rFonts w:ascii="Times New Roman" w:hAnsi="Times New Roman"/>
          <w:noProof/>
          <w:sz w:val="22"/>
        </w:rPr>
        <w:fldChar w:fldCharType="begin"/>
      </w:r>
      <w:r w:rsidRPr="00DA11F1">
        <w:rPr>
          <w:rFonts w:ascii="Times New Roman" w:hAnsi="Times New Roman"/>
          <w:noProof/>
          <w:sz w:val="22"/>
        </w:rPr>
        <w:instrText xml:space="preserve"> SEQ Table \* ARABIC </w:instrText>
      </w:r>
      <w:r w:rsidRPr="00DA11F1">
        <w:rPr>
          <w:rFonts w:ascii="Times New Roman" w:hAnsi="Times New Roman"/>
          <w:noProof/>
          <w:sz w:val="22"/>
        </w:rPr>
        <w:fldChar w:fldCharType="separate"/>
      </w:r>
      <w:r w:rsidR="006050B5" w:rsidRPr="00F43FC8">
        <w:rPr>
          <w:rFonts w:ascii="Times New Roman" w:hAnsi="Times New Roman"/>
          <w:noProof/>
          <w:sz w:val="22"/>
        </w:rPr>
        <w:t>8</w:t>
      </w:r>
      <w:r w:rsidRPr="00DA11F1">
        <w:rPr>
          <w:rFonts w:ascii="Times New Roman" w:hAnsi="Times New Roman"/>
          <w:noProof/>
          <w:sz w:val="22"/>
        </w:rPr>
        <w:fldChar w:fldCharType="end"/>
      </w:r>
      <w:bookmarkEnd w:id="71"/>
      <w:r>
        <w:rPr>
          <w:rFonts w:ascii="Times New Roman" w:hAnsi="Times New Roman"/>
          <w:noProof/>
          <w:sz w:val="22"/>
        </w:rPr>
        <w:t>. Unités utilisées à des fins de conformité dans le SEQE-UE</w:t>
      </w:r>
    </w:p>
    <w:p w14:paraId="772AF1B3" w14:textId="5FB02C0D" w:rsidR="00133817" w:rsidRDefault="00133817" w:rsidP="00133817">
      <w:pPr>
        <w:jc w:val="center"/>
        <w:rPr>
          <w:noProof/>
          <w:lang w:val="en-US"/>
        </w:rPr>
      </w:pPr>
      <w:r>
        <w:rPr>
          <w:noProof/>
          <w:lang w:val="en-GB" w:eastAsia="en-GB"/>
        </w:rPr>
        <w:drawing>
          <wp:inline distT="0" distB="0" distL="0" distR="0" wp14:anchorId="0496E56A" wp14:editId="5C03E152">
            <wp:extent cx="5731510" cy="215582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5731510" cy="2155825"/>
                    </a:xfrm>
                    <a:prstGeom prst="rect">
                      <a:avLst/>
                    </a:prstGeom>
                  </pic:spPr>
                </pic:pic>
              </a:graphicData>
            </a:graphic>
          </wp:inline>
        </w:drawing>
      </w:r>
    </w:p>
    <w:p w14:paraId="481AFF75" w14:textId="1F17EB1F" w:rsidR="003B74E6" w:rsidRDefault="003B74E6" w:rsidP="00133817">
      <w:pPr>
        <w:jc w:val="center"/>
        <w:rPr>
          <w:rFonts w:ascii="Times New Roman" w:eastAsia="SimSun" w:hAnsi="Times New Roman"/>
          <w:noProof/>
          <w:sz w:val="24"/>
          <w:szCs w:val="24"/>
        </w:rPr>
      </w:pPr>
      <w:r>
        <w:rPr>
          <w:rFonts w:ascii="Times New Roman" w:hAnsi="Times New Roman"/>
          <w:noProof/>
          <w:sz w:val="24"/>
          <w:szCs w:val="24"/>
        </w:rPr>
        <w:t xml:space="preserve">Dans le SEQE de la Suisse, les installations fixes ont satisfait à </w:t>
      </w:r>
      <w:r w:rsidRPr="00F43FC8">
        <w:rPr>
          <w:rFonts w:ascii="Times New Roman" w:hAnsi="Times New Roman"/>
          <w:noProof/>
          <w:sz w:val="24"/>
          <w:szCs w:val="24"/>
        </w:rPr>
        <w:t>0</w:t>
      </w:r>
      <w:r>
        <w:rPr>
          <w:rFonts w:ascii="Times New Roman" w:hAnsi="Times New Roman"/>
          <w:noProof/>
          <w:sz w:val="24"/>
          <w:szCs w:val="24"/>
        </w:rPr>
        <w:t>,</w:t>
      </w:r>
      <w:r w:rsidRPr="00F43FC8">
        <w:rPr>
          <w:rFonts w:ascii="Times New Roman" w:hAnsi="Times New Roman"/>
          <w:noProof/>
          <w:sz w:val="24"/>
          <w:szCs w:val="24"/>
        </w:rPr>
        <w:t>19</w:t>
      </w:r>
      <w:r>
        <w:rPr>
          <w:rFonts w:ascii="Times New Roman" w:hAnsi="Times New Roman"/>
          <w:noProof/>
          <w:sz w:val="24"/>
          <w:szCs w:val="24"/>
        </w:rPr>
        <w:t xml:space="preserve"> % de leurs obligations au moyen de quotas du SEQE-UE. En revanche, les quotas généraux et aviation du SEQE-UE ont représenté plus de </w:t>
      </w:r>
      <w:r w:rsidRPr="00F43FC8">
        <w:rPr>
          <w:rFonts w:ascii="Times New Roman" w:hAnsi="Times New Roman"/>
          <w:noProof/>
          <w:sz w:val="24"/>
          <w:szCs w:val="24"/>
        </w:rPr>
        <w:t>40</w:t>
      </w:r>
      <w:r>
        <w:rPr>
          <w:rFonts w:ascii="Times New Roman" w:hAnsi="Times New Roman"/>
          <w:noProof/>
          <w:sz w:val="24"/>
          <w:szCs w:val="24"/>
        </w:rPr>
        <w:t> % de la mise en conformité des exploitants d’aéronefs couverts par le SEQE de la Suisse. Cela s’explique par le fait que certains exploitants du SEQE de la Suisse se sont vu allouer des quotas de l’UE pour couvrir leurs émissions relevant du SEQE-UE.</w:t>
      </w:r>
    </w:p>
    <w:p w14:paraId="736F358A" w14:textId="355B142C" w:rsidR="00351634" w:rsidRPr="00DA11F1" w:rsidRDefault="00351634" w:rsidP="00554C5C">
      <w:pPr>
        <w:pStyle w:val="Caption"/>
        <w:keepNext/>
        <w:jc w:val="both"/>
        <w:rPr>
          <w:rFonts w:ascii="Times New Roman" w:hAnsi="Times New Roman"/>
          <w:noProof/>
          <w:sz w:val="22"/>
        </w:rPr>
      </w:pPr>
      <w:bookmarkStart w:id="72" w:name="_Ref85055597"/>
      <w:r>
        <w:rPr>
          <w:rFonts w:ascii="Times New Roman" w:hAnsi="Times New Roman"/>
          <w:noProof/>
          <w:sz w:val="22"/>
        </w:rPr>
        <w:t>Tableau </w:t>
      </w:r>
      <w:r w:rsidRPr="00DA11F1">
        <w:rPr>
          <w:rFonts w:ascii="Times New Roman" w:hAnsi="Times New Roman"/>
          <w:noProof/>
          <w:sz w:val="22"/>
        </w:rPr>
        <w:fldChar w:fldCharType="begin"/>
      </w:r>
      <w:r w:rsidRPr="00DA11F1">
        <w:rPr>
          <w:rFonts w:ascii="Times New Roman" w:hAnsi="Times New Roman"/>
          <w:noProof/>
          <w:sz w:val="22"/>
        </w:rPr>
        <w:instrText xml:space="preserve"> SEQ Table \* ARABIC </w:instrText>
      </w:r>
      <w:r w:rsidRPr="00DA11F1">
        <w:rPr>
          <w:rFonts w:ascii="Times New Roman" w:hAnsi="Times New Roman"/>
          <w:noProof/>
          <w:sz w:val="22"/>
        </w:rPr>
        <w:fldChar w:fldCharType="separate"/>
      </w:r>
      <w:r w:rsidR="006050B5" w:rsidRPr="00F43FC8">
        <w:rPr>
          <w:rFonts w:ascii="Times New Roman" w:hAnsi="Times New Roman"/>
          <w:noProof/>
          <w:sz w:val="22"/>
        </w:rPr>
        <w:t>9</w:t>
      </w:r>
      <w:r w:rsidRPr="00DA11F1">
        <w:rPr>
          <w:rFonts w:ascii="Times New Roman" w:hAnsi="Times New Roman"/>
          <w:noProof/>
          <w:sz w:val="22"/>
        </w:rPr>
        <w:fldChar w:fldCharType="end"/>
      </w:r>
      <w:bookmarkEnd w:id="72"/>
      <w:r>
        <w:rPr>
          <w:rFonts w:ascii="Times New Roman" w:hAnsi="Times New Roman"/>
          <w:noProof/>
          <w:sz w:val="22"/>
        </w:rPr>
        <w:t>. Unités utilisées à des fins de conformité dans le SEQE de la Suisse</w:t>
      </w:r>
    </w:p>
    <w:p w14:paraId="1F63C4D9" w14:textId="001AE2FB" w:rsidR="00CF3C68" w:rsidRPr="00DA11F1" w:rsidRDefault="00FA2BF8" w:rsidP="00FA2BF8">
      <w:pPr>
        <w:jc w:val="center"/>
        <w:rPr>
          <w:rFonts w:ascii="Times New Roman" w:eastAsia="SimSun" w:hAnsi="Times New Roman"/>
          <w:noProof/>
          <w:sz w:val="24"/>
        </w:rPr>
      </w:pPr>
      <w:r w:rsidRPr="00FA2BF8">
        <w:rPr>
          <w:noProof/>
          <w:lang w:val="en-GB" w:eastAsia="en-GB"/>
        </w:rPr>
        <w:drawing>
          <wp:inline distT="0" distB="0" distL="0" distR="0" wp14:anchorId="22825B60" wp14:editId="33FE0D46">
            <wp:extent cx="5731510" cy="1913255"/>
            <wp:effectExtent l="0" t="0" r="254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5731510" cy="1913255"/>
                    </a:xfrm>
                    <a:prstGeom prst="rect">
                      <a:avLst/>
                    </a:prstGeom>
                  </pic:spPr>
                </pic:pic>
              </a:graphicData>
            </a:graphic>
          </wp:inline>
        </w:drawing>
      </w:r>
    </w:p>
    <w:p w14:paraId="5265427A" w14:textId="2CAD76D5" w:rsidR="00676166" w:rsidRPr="00DA11F1" w:rsidRDefault="00676166" w:rsidP="00554C5C">
      <w:pPr>
        <w:pStyle w:val="Caption"/>
        <w:keepNext/>
        <w:jc w:val="both"/>
        <w:rPr>
          <w:rFonts w:ascii="Times New Roman" w:hAnsi="Times New Roman"/>
          <w:noProof/>
          <w:sz w:val="22"/>
        </w:rPr>
      </w:pPr>
      <w:bookmarkStart w:id="73" w:name="_Ref85057015"/>
      <w:r>
        <w:rPr>
          <w:rFonts w:ascii="Times New Roman" w:hAnsi="Times New Roman"/>
          <w:noProof/>
          <w:sz w:val="22"/>
        </w:rPr>
        <w:t>Tableau </w:t>
      </w:r>
      <w:r w:rsidRPr="00DA11F1">
        <w:rPr>
          <w:rFonts w:ascii="Times New Roman" w:hAnsi="Times New Roman"/>
          <w:noProof/>
          <w:sz w:val="22"/>
        </w:rPr>
        <w:fldChar w:fldCharType="begin"/>
      </w:r>
      <w:r w:rsidRPr="00DA11F1">
        <w:rPr>
          <w:rFonts w:ascii="Times New Roman" w:hAnsi="Times New Roman"/>
          <w:noProof/>
          <w:sz w:val="22"/>
        </w:rPr>
        <w:instrText xml:space="preserve"> SEQ Table \* ARABIC </w:instrText>
      </w:r>
      <w:r w:rsidRPr="00DA11F1">
        <w:rPr>
          <w:rFonts w:ascii="Times New Roman" w:hAnsi="Times New Roman"/>
          <w:noProof/>
          <w:sz w:val="22"/>
        </w:rPr>
        <w:fldChar w:fldCharType="separate"/>
      </w:r>
      <w:r w:rsidR="004745AA" w:rsidRPr="00F43FC8">
        <w:rPr>
          <w:rFonts w:ascii="Times New Roman" w:hAnsi="Times New Roman"/>
          <w:noProof/>
          <w:sz w:val="22"/>
        </w:rPr>
        <w:t>10</w:t>
      </w:r>
      <w:r w:rsidRPr="00DA11F1">
        <w:rPr>
          <w:rFonts w:ascii="Times New Roman" w:hAnsi="Times New Roman"/>
          <w:noProof/>
          <w:sz w:val="22"/>
        </w:rPr>
        <w:fldChar w:fldCharType="end"/>
      </w:r>
      <w:bookmarkEnd w:id="73"/>
      <w:r>
        <w:rPr>
          <w:rFonts w:ascii="Times New Roman" w:hAnsi="Times New Roman"/>
          <w:noProof/>
          <w:sz w:val="22"/>
        </w:rPr>
        <w:t>. Transferts de quotas entre les SEQE de l’UE et de la Suisse, septembre </w:t>
      </w:r>
      <w:r w:rsidRPr="00F43FC8">
        <w:rPr>
          <w:rFonts w:ascii="Times New Roman" w:hAnsi="Times New Roman"/>
          <w:noProof/>
          <w:sz w:val="22"/>
        </w:rPr>
        <w:t>2020</w:t>
      </w:r>
      <w:r>
        <w:rPr>
          <w:rFonts w:ascii="Times New Roman" w:hAnsi="Times New Roman"/>
          <w:noProof/>
          <w:sz w:val="22"/>
        </w:rPr>
        <w:t> – avril </w:t>
      </w:r>
      <w:r w:rsidRPr="00F43FC8">
        <w:rPr>
          <w:rFonts w:ascii="Times New Roman" w:hAnsi="Times New Roman"/>
          <w:noProof/>
          <w:sz w:val="22"/>
        </w:rPr>
        <w:t>2021</w:t>
      </w:r>
    </w:p>
    <w:tbl>
      <w:tblPr>
        <w:tblStyle w:val="TableGrid71"/>
        <w:tblW w:w="4865" w:type="pct"/>
        <w:jc w:val="center"/>
        <w:tblInd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73"/>
        <w:gridCol w:w="1194"/>
        <w:gridCol w:w="5625"/>
      </w:tblGrid>
      <w:tr w:rsidR="004745AA" w:rsidRPr="004745AA" w14:paraId="7E683205" w14:textId="77777777" w:rsidTr="00F21266">
        <w:trPr>
          <w:trHeight w:val="657"/>
          <w:jc w:val="center"/>
        </w:trPr>
        <w:tc>
          <w:tcPr>
            <w:tcW w:w="5000" w:type="pct"/>
            <w:gridSpan w:val="3"/>
            <w:vAlign w:val="center"/>
            <w:hideMark/>
          </w:tcPr>
          <w:p w14:paraId="3AC44DA1" w14:textId="77777777" w:rsidR="00F21266" w:rsidRDefault="004745AA" w:rsidP="00F21266">
            <w:pPr>
              <w:jc w:val="center"/>
              <w:rPr>
                <w:rFonts w:eastAsia="Times New Roman" w:cs="Calibri"/>
                <w:b/>
                <w:bCs/>
                <w:noProof/>
              </w:rPr>
            </w:pPr>
            <w:r>
              <w:rPr>
                <w:b/>
                <w:bCs/>
                <w:noProof/>
              </w:rPr>
              <w:t xml:space="preserve">Transferts </w:t>
            </w:r>
          </w:p>
          <w:p w14:paraId="67E6055A" w14:textId="3FC67005" w:rsidR="004745AA" w:rsidRPr="004745AA" w:rsidRDefault="004745AA" w:rsidP="00F21266">
            <w:pPr>
              <w:jc w:val="center"/>
              <w:rPr>
                <w:rFonts w:eastAsia="Times New Roman" w:cs="Calibri"/>
                <w:b/>
                <w:bCs/>
                <w:noProof/>
                <w:color w:val="FFFFFF"/>
              </w:rPr>
            </w:pPr>
            <w:r>
              <w:rPr>
                <w:b/>
                <w:bCs/>
                <w:noProof/>
              </w:rPr>
              <w:t>(quotas généraux et aviation des deux systèmes)</w:t>
            </w:r>
          </w:p>
        </w:tc>
      </w:tr>
      <w:tr w:rsidR="004745AA" w:rsidRPr="004745AA" w14:paraId="456A2FEF" w14:textId="77777777" w:rsidTr="00F21266">
        <w:trPr>
          <w:trHeight w:val="312"/>
          <w:jc w:val="center"/>
        </w:trPr>
        <w:tc>
          <w:tcPr>
            <w:tcW w:w="1208" w:type="pct"/>
            <w:noWrap/>
            <w:vAlign w:val="center"/>
            <w:hideMark/>
          </w:tcPr>
          <w:p w14:paraId="7E53F255" w14:textId="3EEF0C8E" w:rsidR="004745AA" w:rsidRPr="004745AA" w:rsidRDefault="004745AA" w:rsidP="00F21266">
            <w:pPr>
              <w:jc w:val="center"/>
              <w:rPr>
                <w:rFonts w:eastAsia="Times New Roman" w:cs="Calibri"/>
                <w:i/>
                <w:iCs/>
                <w:noProof/>
                <w:color w:val="000000"/>
              </w:rPr>
            </w:pPr>
            <w:r>
              <w:rPr>
                <w:i/>
                <w:iCs/>
                <w:noProof/>
                <w:color w:val="000000"/>
              </w:rPr>
              <w:t>De</w:t>
            </w:r>
          </w:p>
        </w:tc>
        <w:tc>
          <w:tcPr>
            <w:tcW w:w="663" w:type="pct"/>
            <w:noWrap/>
            <w:vAlign w:val="center"/>
            <w:hideMark/>
          </w:tcPr>
          <w:p w14:paraId="7584A548" w14:textId="77777777" w:rsidR="004745AA" w:rsidRPr="004745AA" w:rsidRDefault="004745AA" w:rsidP="00F21266">
            <w:pPr>
              <w:jc w:val="center"/>
              <w:rPr>
                <w:rFonts w:eastAsia="Times New Roman" w:cs="Calibri"/>
                <w:i/>
                <w:iCs/>
                <w:noProof/>
                <w:color w:val="000000"/>
              </w:rPr>
            </w:pPr>
            <w:r>
              <w:rPr>
                <w:i/>
                <w:iCs/>
                <w:noProof/>
                <w:color w:val="000000"/>
              </w:rPr>
              <w:t>Vers</w:t>
            </w:r>
          </w:p>
        </w:tc>
        <w:tc>
          <w:tcPr>
            <w:tcW w:w="3128" w:type="pct"/>
            <w:noWrap/>
            <w:vAlign w:val="center"/>
            <w:hideMark/>
          </w:tcPr>
          <w:p w14:paraId="7CC5A57A" w14:textId="77777777" w:rsidR="004745AA" w:rsidRPr="004745AA" w:rsidRDefault="004745AA" w:rsidP="00F21266">
            <w:pPr>
              <w:jc w:val="center"/>
              <w:rPr>
                <w:rFonts w:eastAsia="Times New Roman" w:cs="Calibri"/>
                <w:i/>
                <w:iCs/>
                <w:noProof/>
                <w:color w:val="000000"/>
              </w:rPr>
            </w:pPr>
            <w:r>
              <w:rPr>
                <w:i/>
                <w:iCs/>
                <w:noProof/>
                <w:color w:val="000000"/>
              </w:rPr>
              <w:t>Nombre total</w:t>
            </w:r>
          </w:p>
        </w:tc>
      </w:tr>
      <w:tr w:rsidR="004745AA" w:rsidRPr="004745AA" w14:paraId="3FD2D011" w14:textId="77777777" w:rsidTr="00F21266">
        <w:trPr>
          <w:trHeight w:val="312"/>
          <w:jc w:val="center"/>
        </w:trPr>
        <w:tc>
          <w:tcPr>
            <w:tcW w:w="1208" w:type="pct"/>
            <w:noWrap/>
            <w:vAlign w:val="center"/>
            <w:hideMark/>
          </w:tcPr>
          <w:p w14:paraId="15BDABFC" w14:textId="77777777" w:rsidR="004745AA" w:rsidRPr="004745AA" w:rsidRDefault="004745AA" w:rsidP="00F21266">
            <w:pPr>
              <w:jc w:val="center"/>
              <w:rPr>
                <w:rFonts w:eastAsia="Times New Roman" w:cs="Calibri"/>
                <w:noProof/>
                <w:color w:val="000000"/>
              </w:rPr>
            </w:pPr>
            <w:r>
              <w:rPr>
                <w:noProof/>
                <w:color w:val="000000"/>
              </w:rPr>
              <w:t>UE</w:t>
            </w:r>
          </w:p>
        </w:tc>
        <w:tc>
          <w:tcPr>
            <w:tcW w:w="663" w:type="pct"/>
            <w:noWrap/>
            <w:vAlign w:val="center"/>
            <w:hideMark/>
          </w:tcPr>
          <w:p w14:paraId="287B92F4" w14:textId="77777777" w:rsidR="004745AA" w:rsidRPr="004745AA" w:rsidRDefault="004745AA" w:rsidP="00F21266">
            <w:pPr>
              <w:jc w:val="center"/>
              <w:rPr>
                <w:rFonts w:eastAsia="Times New Roman" w:cs="Calibri"/>
                <w:noProof/>
                <w:color w:val="000000"/>
              </w:rPr>
            </w:pPr>
            <w:r>
              <w:rPr>
                <w:noProof/>
                <w:color w:val="000000"/>
              </w:rPr>
              <w:t>CH</w:t>
            </w:r>
          </w:p>
        </w:tc>
        <w:tc>
          <w:tcPr>
            <w:tcW w:w="3128" w:type="pct"/>
            <w:noWrap/>
            <w:vAlign w:val="center"/>
            <w:hideMark/>
          </w:tcPr>
          <w:p w14:paraId="27C15B28" w14:textId="77777777" w:rsidR="004745AA" w:rsidRPr="004745AA" w:rsidRDefault="004745AA" w:rsidP="00F21266">
            <w:pPr>
              <w:jc w:val="center"/>
              <w:rPr>
                <w:rFonts w:eastAsia="Times New Roman" w:cs="Calibri"/>
                <w:noProof/>
                <w:color w:val="000000"/>
              </w:rPr>
            </w:pPr>
            <w:r w:rsidRPr="00F43FC8">
              <w:rPr>
                <w:noProof/>
                <w:color w:val="000000"/>
              </w:rPr>
              <w:t>977</w:t>
            </w:r>
            <w:r>
              <w:rPr>
                <w:noProof/>
                <w:color w:val="000000"/>
              </w:rPr>
              <w:t> </w:t>
            </w:r>
            <w:r w:rsidRPr="00F43FC8">
              <w:rPr>
                <w:noProof/>
                <w:color w:val="000000"/>
              </w:rPr>
              <w:t>065</w:t>
            </w:r>
          </w:p>
        </w:tc>
      </w:tr>
      <w:tr w:rsidR="004745AA" w:rsidRPr="004745AA" w14:paraId="0C94C881" w14:textId="77777777" w:rsidTr="00F21266">
        <w:trPr>
          <w:trHeight w:val="312"/>
          <w:jc w:val="center"/>
        </w:trPr>
        <w:tc>
          <w:tcPr>
            <w:tcW w:w="1208" w:type="pct"/>
            <w:noWrap/>
            <w:vAlign w:val="center"/>
            <w:hideMark/>
          </w:tcPr>
          <w:p w14:paraId="15850168" w14:textId="77777777" w:rsidR="004745AA" w:rsidRPr="004745AA" w:rsidRDefault="004745AA" w:rsidP="00F21266">
            <w:pPr>
              <w:jc w:val="center"/>
              <w:rPr>
                <w:rFonts w:eastAsia="Times New Roman" w:cs="Calibri"/>
                <w:noProof/>
                <w:color w:val="000000"/>
              </w:rPr>
            </w:pPr>
            <w:r>
              <w:rPr>
                <w:noProof/>
                <w:color w:val="000000"/>
              </w:rPr>
              <w:t>CH</w:t>
            </w:r>
          </w:p>
        </w:tc>
        <w:tc>
          <w:tcPr>
            <w:tcW w:w="663" w:type="pct"/>
            <w:noWrap/>
            <w:vAlign w:val="center"/>
            <w:hideMark/>
          </w:tcPr>
          <w:p w14:paraId="2A93B578" w14:textId="77777777" w:rsidR="004745AA" w:rsidRPr="004745AA" w:rsidRDefault="004745AA" w:rsidP="00F21266">
            <w:pPr>
              <w:jc w:val="center"/>
              <w:rPr>
                <w:rFonts w:eastAsia="Times New Roman" w:cs="Calibri"/>
                <w:noProof/>
                <w:color w:val="000000"/>
              </w:rPr>
            </w:pPr>
            <w:r>
              <w:rPr>
                <w:noProof/>
                <w:color w:val="000000"/>
              </w:rPr>
              <w:t>UE</w:t>
            </w:r>
          </w:p>
        </w:tc>
        <w:tc>
          <w:tcPr>
            <w:tcW w:w="3128" w:type="pct"/>
            <w:noWrap/>
            <w:vAlign w:val="center"/>
            <w:hideMark/>
          </w:tcPr>
          <w:p w14:paraId="7FA58964" w14:textId="77777777" w:rsidR="004745AA" w:rsidRPr="004745AA" w:rsidRDefault="004745AA" w:rsidP="00F21266">
            <w:pPr>
              <w:jc w:val="center"/>
              <w:rPr>
                <w:rFonts w:eastAsia="Times New Roman" w:cs="Calibri"/>
                <w:noProof/>
                <w:color w:val="000000"/>
              </w:rPr>
            </w:pPr>
            <w:r w:rsidRPr="00F43FC8">
              <w:rPr>
                <w:noProof/>
                <w:color w:val="000000"/>
              </w:rPr>
              <w:t>450</w:t>
            </w:r>
            <w:r>
              <w:rPr>
                <w:noProof/>
                <w:color w:val="000000"/>
              </w:rPr>
              <w:t> </w:t>
            </w:r>
            <w:r w:rsidRPr="00F43FC8">
              <w:rPr>
                <w:noProof/>
                <w:color w:val="000000"/>
              </w:rPr>
              <w:t>578</w:t>
            </w:r>
          </w:p>
        </w:tc>
      </w:tr>
      <w:tr w:rsidR="00F21266" w:rsidRPr="004745AA" w14:paraId="6218661D" w14:textId="77777777" w:rsidTr="00F21266">
        <w:trPr>
          <w:trHeight w:val="312"/>
          <w:jc w:val="center"/>
        </w:trPr>
        <w:tc>
          <w:tcPr>
            <w:tcW w:w="1872" w:type="pct"/>
            <w:gridSpan w:val="2"/>
            <w:noWrap/>
            <w:vAlign w:val="center"/>
            <w:hideMark/>
          </w:tcPr>
          <w:p w14:paraId="42DCA40D" w14:textId="77777777" w:rsidR="004745AA" w:rsidRPr="004745AA" w:rsidRDefault="004745AA" w:rsidP="00AD678D">
            <w:pPr>
              <w:jc w:val="center"/>
              <w:rPr>
                <w:rFonts w:eastAsia="Times New Roman" w:cs="Calibri"/>
                <w:b/>
                <w:bCs/>
                <w:noProof/>
                <w:color w:val="000000"/>
              </w:rPr>
            </w:pPr>
            <w:r>
              <w:rPr>
                <w:b/>
                <w:bCs/>
                <w:noProof/>
                <w:color w:val="000000"/>
              </w:rPr>
              <w:t>Solde</w:t>
            </w:r>
          </w:p>
        </w:tc>
        <w:tc>
          <w:tcPr>
            <w:tcW w:w="3128" w:type="pct"/>
            <w:noWrap/>
            <w:vAlign w:val="center"/>
            <w:hideMark/>
          </w:tcPr>
          <w:p w14:paraId="258E607D" w14:textId="77777777" w:rsidR="004745AA" w:rsidRPr="004745AA" w:rsidRDefault="004745AA" w:rsidP="00AD678D">
            <w:pPr>
              <w:jc w:val="center"/>
              <w:rPr>
                <w:rFonts w:eastAsia="Times New Roman" w:cs="Calibri"/>
                <w:b/>
                <w:bCs/>
                <w:noProof/>
                <w:color w:val="000000"/>
              </w:rPr>
            </w:pPr>
            <w:r w:rsidRPr="00F43FC8">
              <w:rPr>
                <w:b/>
                <w:bCs/>
                <w:noProof/>
                <w:color w:val="000000"/>
              </w:rPr>
              <w:t>526</w:t>
            </w:r>
            <w:r>
              <w:rPr>
                <w:b/>
                <w:bCs/>
                <w:noProof/>
                <w:color w:val="000000"/>
              </w:rPr>
              <w:t> </w:t>
            </w:r>
            <w:r w:rsidRPr="00F43FC8">
              <w:rPr>
                <w:b/>
                <w:bCs/>
                <w:noProof/>
                <w:color w:val="000000"/>
              </w:rPr>
              <w:t>487</w:t>
            </w:r>
          </w:p>
        </w:tc>
      </w:tr>
    </w:tbl>
    <w:p w14:paraId="084ECF11" w14:textId="04569C38" w:rsidR="00D10D5A" w:rsidRPr="00DA11F1" w:rsidRDefault="005811CF" w:rsidP="00006E10">
      <w:pPr>
        <w:pStyle w:val="Heading1"/>
        <w:rPr>
          <w:noProof/>
        </w:rPr>
      </w:pPr>
      <w:bookmarkStart w:id="74" w:name="_Toc89707778"/>
      <w:r w:rsidRPr="00F43FC8">
        <w:rPr>
          <w:noProof/>
        </w:rPr>
        <w:t>8</w:t>
      </w:r>
      <w:r>
        <w:rPr>
          <w:noProof/>
        </w:rPr>
        <w:t>. CONSÉQUENCES DE LA MISE EN ŒUVRE DE LA DIRECTIVE RELATIVE À L’EFFICACITÉ ÉNERGÉTIQUE ET DES PLANS NATIONAUX EN MATIÈRE D’ÉNERGIE ET DE CLIMAT SUR LE SEQE-UE</w:t>
      </w:r>
      <w:bookmarkEnd w:id="74"/>
    </w:p>
    <w:p w14:paraId="1D1D2E96" w14:textId="55F9410C" w:rsidR="007077B1" w:rsidRPr="00DA11F1" w:rsidRDefault="00FB325B" w:rsidP="0070580B">
      <w:pPr>
        <w:jc w:val="both"/>
        <w:rPr>
          <w:rFonts w:ascii="Times New Roman" w:hAnsi="Times New Roman"/>
          <w:noProof/>
          <w:sz w:val="24"/>
          <w:szCs w:val="24"/>
        </w:rPr>
      </w:pPr>
      <w:r>
        <w:rPr>
          <w:rFonts w:ascii="Times New Roman" w:hAnsi="Times New Roman"/>
          <w:noProof/>
          <w:sz w:val="24"/>
          <w:szCs w:val="24"/>
        </w:rPr>
        <w:t>Le rapport sur le marché du carbone doit tenir compte des effets de la mise en œuvre de la directive sur l’efficacité énergétique et de l’incidence globale des politiques et mesures incluses dans les plans nationaux intégrés en matière d’énergie et de climat (PNEC) sur le fonctionnement du SEQE-UE, y compris sur l’équilibre entre l’offre et la demande de quotas sur le marché du carbone de l’UE</w:t>
      </w:r>
      <w:r w:rsidR="004219CC" w:rsidRPr="00DA11F1">
        <w:rPr>
          <w:rStyle w:val="FootnoteReference"/>
          <w:rFonts w:ascii="Times New Roman" w:hAnsi="Times New Roman"/>
          <w:noProof/>
          <w:sz w:val="24"/>
          <w:szCs w:val="24"/>
        </w:rPr>
        <w:footnoteReference w:id="120"/>
      </w:r>
      <w:r>
        <w:rPr>
          <w:rFonts w:ascii="Times New Roman" w:hAnsi="Times New Roman"/>
          <w:noProof/>
          <w:sz w:val="24"/>
          <w:szCs w:val="24"/>
        </w:rPr>
        <w:t>. Le présent chapitre couvrira ces deux sujets.</w:t>
      </w:r>
    </w:p>
    <w:p w14:paraId="291390F6" w14:textId="2260204B" w:rsidR="0010679C" w:rsidRPr="00DA11F1" w:rsidRDefault="0023409B" w:rsidP="0070580B">
      <w:pPr>
        <w:pStyle w:val="Heading2"/>
        <w:spacing w:before="0" w:after="200"/>
        <w:rPr>
          <w:i w:val="0"/>
          <w:noProof/>
        </w:rPr>
      </w:pPr>
      <w:bookmarkStart w:id="75" w:name="_Toc89707779"/>
      <w:r w:rsidRPr="00F43FC8">
        <w:rPr>
          <w:i w:val="0"/>
          <w:noProof/>
        </w:rPr>
        <w:t>8</w:t>
      </w:r>
      <w:r>
        <w:rPr>
          <w:i w:val="0"/>
          <w:noProof/>
        </w:rPr>
        <w:t>.</w:t>
      </w:r>
      <w:r w:rsidRPr="00F43FC8">
        <w:rPr>
          <w:i w:val="0"/>
          <w:noProof/>
        </w:rPr>
        <w:t>1</w:t>
      </w:r>
      <w:r>
        <w:rPr>
          <w:i w:val="0"/>
          <w:noProof/>
        </w:rPr>
        <w:t xml:space="preserve"> Incidence de la mise en œuvre de la directive sur l’efficacité énergétique sur le SEQE-UE</w:t>
      </w:r>
      <w:bookmarkEnd w:id="75"/>
    </w:p>
    <w:p w14:paraId="59960BDE" w14:textId="00E48C97" w:rsidR="0090131B" w:rsidRPr="00DA11F1" w:rsidRDefault="00687265" w:rsidP="0070580B">
      <w:pPr>
        <w:jc w:val="both"/>
        <w:rPr>
          <w:rFonts w:ascii="Times New Roman" w:hAnsi="Times New Roman"/>
          <w:noProof/>
          <w:sz w:val="24"/>
          <w:szCs w:val="24"/>
        </w:rPr>
      </w:pPr>
      <w:r>
        <w:rPr>
          <w:rFonts w:ascii="Times New Roman" w:hAnsi="Times New Roman"/>
          <w:noProof/>
          <w:sz w:val="24"/>
          <w:szCs w:val="24"/>
        </w:rPr>
        <w:t>Il existe plusieurs interactions entre le SEQE-UE et la directive relative à l’efficacité énergétique, en particulier lorsque les mesures de politique publique ont des répercussions sur l’efficacité énergétique des exploitants soumis au système. L’article </w:t>
      </w:r>
      <w:r w:rsidRPr="00F43FC8">
        <w:rPr>
          <w:rFonts w:ascii="Times New Roman" w:hAnsi="Times New Roman"/>
          <w:noProof/>
          <w:sz w:val="24"/>
          <w:szCs w:val="24"/>
        </w:rPr>
        <w:t>8</w:t>
      </w:r>
      <w:r>
        <w:rPr>
          <w:rFonts w:ascii="Times New Roman" w:hAnsi="Times New Roman"/>
          <w:noProof/>
          <w:sz w:val="24"/>
          <w:szCs w:val="24"/>
        </w:rPr>
        <w:t xml:space="preserve"> de la directive sur l’efficacité énergétique encourage les mesures d’efficacité énergétique efficaces au regard des coûts en imposant aux grands exploitants d’effectuer un audit énergétique tous les quatre ans ou d’utiliser un système certifié de gestion de l’énergie ou de gestion environnementale. Cela aide les grands exploitants à repérer les pertes d’énergie, les possibilités d’économies d’énergie et les mesures rentables afin de réduire leur consommation d’énergie. </w:t>
      </w:r>
    </w:p>
    <w:p w14:paraId="70385D1E" w14:textId="095AB13E" w:rsidR="00B52F9F" w:rsidRPr="00DA11F1" w:rsidRDefault="0090131B" w:rsidP="0070580B">
      <w:pPr>
        <w:jc w:val="both"/>
        <w:rPr>
          <w:rFonts w:ascii="Times New Roman" w:hAnsi="Times New Roman"/>
          <w:noProof/>
          <w:sz w:val="24"/>
          <w:szCs w:val="24"/>
        </w:rPr>
      </w:pPr>
      <w:r>
        <w:rPr>
          <w:rFonts w:ascii="Times New Roman" w:hAnsi="Times New Roman"/>
          <w:noProof/>
          <w:sz w:val="24"/>
          <w:szCs w:val="24"/>
        </w:rPr>
        <w:t>Une disposition majeure de la directive sur l’efficacité énergétique visant directement à générer des économies d’énergie est son article </w:t>
      </w:r>
      <w:r w:rsidRPr="00F43FC8">
        <w:rPr>
          <w:rFonts w:ascii="Times New Roman" w:hAnsi="Times New Roman"/>
          <w:noProof/>
          <w:sz w:val="24"/>
          <w:szCs w:val="24"/>
        </w:rPr>
        <w:t>7</w:t>
      </w:r>
      <w:r>
        <w:rPr>
          <w:rFonts w:ascii="Times New Roman" w:hAnsi="Times New Roman"/>
          <w:noProof/>
          <w:sz w:val="24"/>
          <w:szCs w:val="24"/>
        </w:rPr>
        <w:t>, qui impose aux États membres de prendre des mesures de politique publique afin de réaliser des économies d’énergie</w:t>
      </w:r>
      <w:r w:rsidR="00525AFB" w:rsidRPr="00DA11F1">
        <w:rPr>
          <w:rStyle w:val="FootnoteReference"/>
          <w:rFonts w:ascii="Times New Roman" w:hAnsi="Times New Roman"/>
          <w:noProof/>
          <w:sz w:val="24"/>
          <w:szCs w:val="24"/>
        </w:rPr>
        <w:footnoteReference w:id="121"/>
      </w:r>
      <w:r>
        <w:rPr>
          <w:rFonts w:ascii="Times New Roman" w:hAnsi="Times New Roman"/>
          <w:noProof/>
          <w:sz w:val="24"/>
          <w:szCs w:val="24"/>
        </w:rPr>
        <w:t>. Étant donné que les États membres peuvent choisir les secteurs sur lesquels se concentrer, ces mesures pourraient interagir avec leurs obligations au titre du SEQE-UE. En ce qui concerne les incidences potentielles sur les secteurs du SEQE-UE, les mesures des États membres peuvent être classées en quatre catégories:</w:t>
      </w:r>
    </w:p>
    <w:p w14:paraId="57C395AD" w14:textId="2E66E593" w:rsidR="00B52F9F" w:rsidRPr="00DA11F1" w:rsidRDefault="00B52F9F" w:rsidP="0070580B">
      <w:pPr>
        <w:pStyle w:val="ListParagraph"/>
        <w:numPr>
          <w:ilvl w:val="0"/>
          <w:numId w:val="31"/>
        </w:numPr>
        <w:spacing w:after="200" w:line="276" w:lineRule="auto"/>
        <w:jc w:val="both"/>
        <w:rPr>
          <w:rFonts w:ascii="Times New Roman" w:hAnsi="Times New Roman"/>
          <w:noProof/>
          <w:sz w:val="24"/>
          <w:szCs w:val="24"/>
        </w:rPr>
      </w:pPr>
      <w:r>
        <w:rPr>
          <w:rFonts w:ascii="Times New Roman" w:hAnsi="Times New Roman"/>
          <w:noProof/>
          <w:sz w:val="24"/>
          <w:szCs w:val="24"/>
        </w:rPr>
        <w:t xml:space="preserve">les mesures de politique publique en matière d’efficacité énergétique mises en œuvre dans des secteurs ne relevant pas du champ d’application du SEQE-UE et n’ayant aucune interaction directe avec le système: par exemple, le remplacement d’un ancien poêle à charbon par une chaudière plus efficace alimentée par la biomasse; </w:t>
      </w:r>
    </w:p>
    <w:p w14:paraId="02178B74" w14:textId="3EE44B07" w:rsidR="00B52F9F" w:rsidRPr="00DA11F1" w:rsidRDefault="00B52F9F" w:rsidP="0070580B">
      <w:pPr>
        <w:pStyle w:val="ListParagraph"/>
        <w:numPr>
          <w:ilvl w:val="0"/>
          <w:numId w:val="31"/>
        </w:numPr>
        <w:spacing w:after="200" w:line="276" w:lineRule="auto"/>
        <w:jc w:val="both"/>
        <w:rPr>
          <w:rFonts w:ascii="Times New Roman" w:hAnsi="Times New Roman"/>
          <w:noProof/>
          <w:sz w:val="24"/>
          <w:szCs w:val="24"/>
        </w:rPr>
      </w:pPr>
      <w:r>
        <w:rPr>
          <w:rFonts w:ascii="Times New Roman" w:hAnsi="Times New Roman"/>
          <w:noProof/>
          <w:sz w:val="24"/>
          <w:szCs w:val="24"/>
        </w:rPr>
        <w:t xml:space="preserve">les mesures en matière d’efficacité énergétique visant à réduire la consommation d’énergie fournie par des secteurs du SEQE, tels que l’électricité, le chauffage urbain et les raffineries fournissant du carburant pour le transport et le chauffage. Ces mesures incluent par exemple l’isolation de bâtiments desservis par des installations de chauffage urbain, le remplacement d’appareils électriques ou les mesures relatives à l’efficacité des carburants destinés aux transports. Bien que ces décisions ne concernent pas les installations couvertes par le SEQE-UE, le signal de prix du carbone peut inciter les acteurs du marché, essentiellement les consommateurs, à agir d’une certaine manière;   </w:t>
      </w:r>
    </w:p>
    <w:p w14:paraId="2BD2FC2A" w14:textId="6F4BC4F5" w:rsidR="00B52F9F" w:rsidRPr="00DA11F1" w:rsidRDefault="004C339D" w:rsidP="0070580B">
      <w:pPr>
        <w:pStyle w:val="ListParagraph"/>
        <w:numPr>
          <w:ilvl w:val="0"/>
          <w:numId w:val="31"/>
        </w:numPr>
        <w:spacing w:after="200" w:line="276" w:lineRule="auto"/>
        <w:jc w:val="both"/>
        <w:rPr>
          <w:rFonts w:ascii="Times New Roman" w:hAnsi="Times New Roman"/>
          <w:noProof/>
          <w:sz w:val="24"/>
          <w:szCs w:val="24"/>
        </w:rPr>
      </w:pPr>
      <w:r>
        <w:rPr>
          <w:rFonts w:ascii="Times New Roman" w:hAnsi="Times New Roman"/>
          <w:noProof/>
          <w:sz w:val="24"/>
          <w:szCs w:val="24"/>
        </w:rPr>
        <w:t>les mesures de politique publique encourageant des actions qui donnent lieu à un changement de transporteur d’énergie: par exemple, le remplacement d’un chauffage électrique par un chauffage solaire (qui entraîne une réduction de la consommation d’énergie dans un secteur du SEQE), ou le remplacement d’une chaudière au gaz par une pompe à chaleur (qui entraîne une augmentation de la consommation d’énergie dans un secteur du SEQE); et</w:t>
      </w:r>
    </w:p>
    <w:p w14:paraId="6C52310B" w14:textId="22A2C937" w:rsidR="0090131B" w:rsidRPr="00DA11F1" w:rsidRDefault="00B52F9F" w:rsidP="0070580B">
      <w:pPr>
        <w:pStyle w:val="ListParagraph"/>
        <w:numPr>
          <w:ilvl w:val="0"/>
          <w:numId w:val="31"/>
        </w:numPr>
        <w:spacing w:after="200" w:line="276" w:lineRule="auto"/>
        <w:jc w:val="both"/>
        <w:rPr>
          <w:rFonts w:ascii="Times New Roman" w:hAnsi="Times New Roman"/>
          <w:noProof/>
          <w:sz w:val="24"/>
          <w:szCs w:val="24"/>
        </w:rPr>
      </w:pPr>
      <w:r>
        <w:rPr>
          <w:rFonts w:ascii="Times New Roman" w:hAnsi="Times New Roman"/>
          <w:noProof/>
          <w:sz w:val="24"/>
          <w:szCs w:val="24"/>
        </w:rPr>
        <w:t xml:space="preserve">les mesures de politique publique qui encouragent l’efficacité énergétique des processus essentiels des installations soumises au SEQE-UE. </w:t>
      </w:r>
    </w:p>
    <w:p w14:paraId="611FF28E" w14:textId="2C4B0563" w:rsidR="0090131B" w:rsidRPr="00DA11F1" w:rsidRDefault="00E36000" w:rsidP="0070580B">
      <w:pPr>
        <w:jc w:val="both"/>
        <w:rPr>
          <w:rFonts w:ascii="Times New Roman" w:hAnsi="Times New Roman"/>
          <w:noProof/>
          <w:sz w:val="24"/>
          <w:szCs w:val="24"/>
        </w:rPr>
      </w:pPr>
      <w:r>
        <w:rPr>
          <w:rFonts w:ascii="Times New Roman" w:hAnsi="Times New Roman"/>
          <w:noProof/>
          <w:sz w:val="24"/>
          <w:szCs w:val="24"/>
        </w:rPr>
        <w:t>Ces dernières mesures interagissent directement avec le SEQE-UE. Au cours de la période </w:t>
      </w:r>
      <w:r w:rsidRPr="00F43FC8">
        <w:rPr>
          <w:rFonts w:ascii="Times New Roman" w:hAnsi="Times New Roman"/>
          <w:noProof/>
          <w:sz w:val="24"/>
          <w:szCs w:val="24"/>
        </w:rPr>
        <w:t>2014</w:t>
      </w:r>
      <w:r>
        <w:rPr>
          <w:rFonts w:ascii="Times New Roman" w:hAnsi="Times New Roman"/>
          <w:noProof/>
          <w:sz w:val="24"/>
          <w:szCs w:val="24"/>
        </w:rPr>
        <w:t>-</w:t>
      </w:r>
      <w:r w:rsidRPr="00F43FC8">
        <w:rPr>
          <w:rFonts w:ascii="Times New Roman" w:hAnsi="Times New Roman"/>
          <w:noProof/>
          <w:sz w:val="24"/>
          <w:szCs w:val="24"/>
        </w:rPr>
        <w:t>2020</w:t>
      </w:r>
      <w:r>
        <w:rPr>
          <w:rFonts w:ascii="Times New Roman" w:hAnsi="Times New Roman"/>
          <w:noProof/>
          <w:sz w:val="24"/>
          <w:szCs w:val="24"/>
        </w:rPr>
        <w:t>, la Belgique, les Pays-Bas et la Roumanie</w:t>
      </w:r>
      <w:r w:rsidRPr="00DA11F1">
        <w:rPr>
          <w:rStyle w:val="FootnoteReference"/>
          <w:rFonts w:ascii="Times New Roman" w:hAnsi="Times New Roman"/>
          <w:noProof/>
          <w:sz w:val="24"/>
          <w:szCs w:val="24"/>
        </w:rPr>
        <w:footnoteReference w:id="122"/>
      </w:r>
      <w:r>
        <w:rPr>
          <w:rFonts w:ascii="Times New Roman" w:hAnsi="Times New Roman"/>
          <w:noProof/>
          <w:sz w:val="24"/>
          <w:szCs w:val="24"/>
        </w:rPr>
        <w:t xml:space="preserve"> ont déclaré des mesures de politique publique au titre de l’article </w:t>
      </w:r>
      <w:r w:rsidRPr="00F43FC8">
        <w:rPr>
          <w:rFonts w:ascii="Times New Roman" w:hAnsi="Times New Roman"/>
          <w:noProof/>
          <w:sz w:val="24"/>
          <w:szCs w:val="24"/>
        </w:rPr>
        <w:t>7</w:t>
      </w:r>
      <w:r>
        <w:rPr>
          <w:rFonts w:ascii="Times New Roman" w:hAnsi="Times New Roman"/>
          <w:noProof/>
          <w:sz w:val="24"/>
          <w:szCs w:val="24"/>
        </w:rPr>
        <w:t xml:space="preserve"> axées sur les installations du SEQE — des accords volontaires (dans le cas de la Belgique et des Pays-Bas) ou équivalents (pour la Roumanie)</w:t>
      </w:r>
      <w:r w:rsidR="002A5341" w:rsidRPr="00DA11F1">
        <w:rPr>
          <w:rStyle w:val="FootnoteReference"/>
          <w:rFonts w:ascii="Times New Roman" w:hAnsi="Times New Roman"/>
          <w:noProof/>
          <w:sz w:val="24"/>
          <w:szCs w:val="24"/>
        </w:rPr>
        <w:footnoteReference w:id="123"/>
      </w:r>
      <w:r>
        <w:rPr>
          <w:rFonts w:ascii="Times New Roman" w:hAnsi="Times New Roman"/>
          <w:noProof/>
          <w:sz w:val="24"/>
          <w:szCs w:val="24"/>
        </w:rPr>
        <w:t>. Ces mesures ont été responsables d’une part importante des économies d’énergie cumulées communiquées par ces pays pour la période </w:t>
      </w:r>
      <w:r w:rsidRPr="00F43FC8">
        <w:rPr>
          <w:rFonts w:ascii="Times New Roman" w:hAnsi="Times New Roman"/>
          <w:noProof/>
          <w:sz w:val="24"/>
          <w:szCs w:val="24"/>
        </w:rPr>
        <w:t>2014</w:t>
      </w:r>
      <w:r>
        <w:rPr>
          <w:rFonts w:ascii="Times New Roman" w:hAnsi="Times New Roman"/>
          <w:noProof/>
          <w:sz w:val="24"/>
          <w:szCs w:val="24"/>
        </w:rPr>
        <w:t>-</w:t>
      </w:r>
      <w:r w:rsidRPr="00F43FC8">
        <w:rPr>
          <w:rFonts w:ascii="Times New Roman" w:hAnsi="Times New Roman"/>
          <w:noProof/>
          <w:sz w:val="24"/>
          <w:szCs w:val="24"/>
        </w:rPr>
        <w:t>2018</w:t>
      </w:r>
      <w:r>
        <w:rPr>
          <w:rFonts w:ascii="Times New Roman" w:hAnsi="Times New Roman"/>
          <w:noProof/>
          <w:sz w:val="24"/>
          <w:szCs w:val="24"/>
        </w:rPr>
        <w:t xml:space="preserve">: </w:t>
      </w:r>
      <w:r w:rsidRPr="00F43FC8">
        <w:rPr>
          <w:rFonts w:ascii="Times New Roman" w:hAnsi="Times New Roman"/>
          <w:noProof/>
          <w:sz w:val="24"/>
          <w:szCs w:val="24"/>
        </w:rPr>
        <w:t>61</w:t>
      </w:r>
      <w:r>
        <w:rPr>
          <w:rFonts w:ascii="Times New Roman" w:hAnsi="Times New Roman"/>
          <w:noProof/>
          <w:sz w:val="24"/>
          <w:szCs w:val="24"/>
        </w:rPr>
        <w:t xml:space="preserve"> % pour la Belgique, </w:t>
      </w:r>
      <w:r w:rsidRPr="00F43FC8">
        <w:rPr>
          <w:rFonts w:ascii="Times New Roman" w:hAnsi="Times New Roman"/>
          <w:noProof/>
          <w:sz w:val="24"/>
          <w:szCs w:val="24"/>
        </w:rPr>
        <w:t>20</w:t>
      </w:r>
      <w:r>
        <w:rPr>
          <w:rFonts w:ascii="Times New Roman" w:hAnsi="Times New Roman"/>
          <w:noProof/>
          <w:sz w:val="24"/>
          <w:szCs w:val="24"/>
        </w:rPr>
        <w:t xml:space="preserve"> % pour les Pays-Bas et </w:t>
      </w:r>
      <w:r w:rsidRPr="00F43FC8">
        <w:rPr>
          <w:rFonts w:ascii="Times New Roman" w:hAnsi="Times New Roman"/>
          <w:noProof/>
          <w:sz w:val="24"/>
          <w:szCs w:val="24"/>
        </w:rPr>
        <w:t>44</w:t>
      </w:r>
      <w:r>
        <w:rPr>
          <w:rFonts w:ascii="Times New Roman" w:hAnsi="Times New Roman"/>
          <w:noProof/>
          <w:sz w:val="24"/>
          <w:szCs w:val="24"/>
        </w:rPr>
        <w:t> % pour la Roumanie</w:t>
      </w:r>
      <w:r w:rsidR="0082114A" w:rsidRPr="00DA11F1">
        <w:rPr>
          <w:rStyle w:val="FootnoteReference"/>
          <w:rFonts w:ascii="Times New Roman" w:hAnsi="Times New Roman"/>
          <w:noProof/>
          <w:sz w:val="24"/>
          <w:szCs w:val="24"/>
        </w:rPr>
        <w:footnoteReference w:id="124"/>
      </w:r>
      <w:r>
        <w:rPr>
          <w:rFonts w:ascii="Times New Roman" w:hAnsi="Times New Roman"/>
          <w:noProof/>
          <w:sz w:val="24"/>
          <w:szCs w:val="24"/>
        </w:rPr>
        <w:t>. Si les accords volontaires disposent que les exploitants doivent s’engager à atteindre des objectifs en matière d’efficacité énergétique ou d’économies d’énergie, ces objectifs ne sont pas limités à la consommation d’énergie soumise au SEQE-UE. Dans les faits, la plupart des économies d’énergie proviendront probablement des améliorations de l’efficacité énergétique des processus industriels relevant du SEQE-UE, mais une partie d’entre elles peut provenir de la consommation d’énergie extérieure au système (par exemple, l’efficacité des carburants destinés au transport ou l’efficacité énergétique dans les bureaux). Bien que la plupart des États membres aient adopté au moins une mesure de politique publique dont le champ d’application inclut des industries également couvertes par le SEQE-UE, les données communiquées au titre de l’article </w:t>
      </w:r>
      <w:r w:rsidRPr="00F43FC8">
        <w:rPr>
          <w:rFonts w:ascii="Times New Roman" w:hAnsi="Times New Roman"/>
          <w:noProof/>
          <w:sz w:val="24"/>
          <w:szCs w:val="24"/>
        </w:rPr>
        <w:t>7</w:t>
      </w:r>
      <w:r>
        <w:rPr>
          <w:rFonts w:ascii="Times New Roman" w:hAnsi="Times New Roman"/>
          <w:noProof/>
          <w:sz w:val="24"/>
          <w:szCs w:val="24"/>
        </w:rPr>
        <w:t xml:space="preserve"> n’opèrent pas de distinction entre la part des économies provenant des industries du SEQE et celle des économies provenant d’autres (sous-)secteurs.</w:t>
      </w:r>
    </w:p>
    <w:p w14:paraId="7D9A52BD" w14:textId="50D297FC" w:rsidR="00F34DFD" w:rsidRPr="00DA11F1" w:rsidRDefault="00834FE2" w:rsidP="00F34DFD">
      <w:pPr>
        <w:jc w:val="both"/>
        <w:rPr>
          <w:rFonts w:ascii="Times New Roman" w:hAnsi="Times New Roman"/>
          <w:noProof/>
          <w:sz w:val="24"/>
          <w:szCs w:val="24"/>
        </w:rPr>
      </w:pPr>
      <w:r>
        <w:rPr>
          <w:rFonts w:ascii="Times New Roman" w:hAnsi="Times New Roman"/>
          <w:noProof/>
          <w:sz w:val="24"/>
          <w:szCs w:val="24"/>
        </w:rPr>
        <w:t>Pour la période </w:t>
      </w:r>
      <w:r w:rsidRPr="00F43FC8">
        <w:rPr>
          <w:rFonts w:ascii="Times New Roman" w:hAnsi="Times New Roman"/>
          <w:noProof/>
          <w:sz w:val="24"/>
          <w:szCs w:val="24"/>
        </w:rPr>
        <w:t>2014</w:t>
      </w:r>
      <w:r>
        <w:rPr>
          <w:rFonts w:ascii="Times New Roman" w:hAnsi="Times New Roman"/>
          <w:noProof/>
          <w:sz w:val="24"/>
          <w:szCs w:val="24"/>
        </w:rPr>
        <w:t> – juin </w:t>
      </w:r>
      <w:r w:rsidRPr="00F43FC8">
        <w:rPr>
          <w:rFonts w:ascii="Times New Roman" w:hAnsi="Times New Roman"/>
          <w:noProof/>
          <w:sz w:val="24"/>
          <w:szCs w:val="24"/>
        </w:rPr>
        <w:t>2020</w:t>
      </w:r>
      <w:r>
        <w:rPr>
          <w:rFonts w:ascii="Times New Roman" w:hAnsi="Times New Roman"/>
          <w:noProof/>
          <w:sz w:val="24"/>
          <w:szCs w:val="24"/>
        </w:rPr>
        <w:t>, les dispositions de l’article </w:t>
      </w:r>
      <w:r w:rsidRPr="00F43FC8">
        <w:rPr>
          <w:rFonts w:ascii="Times New Roman" w:hAnsi="Times New Roman"/>
          <w:noProof/>
          <w:sz w:val="24"/>
          <w:szCs w:val="24"/>
        </w:rPr>
        <w:t>7</w:t>
      </w:r>
      <w:r>
        <w:rPr>
          <w:rFonts w:ascii="Times New Roman" w:hAnsi="Times New Roman"/>
          <w:noProof/>
          <w:sz w:val="24"/>
          <w:szCs w:val="24"/>
        </w:rPr>
        <w:t>, paragraphe </w:t>
      </w:r>
      <w:r w:rsidRPr="00F43FC8">
        <w:rPr>
          <w:rFonts w:ascii="Times New Roman" w:hAnsi="Times New Roman"/>
          <w:noProof/>
          <w:sz w:val="24"/>
          <w:szCs w:val="24"/>
        </w:rPr>
        <w:t>4</w:t>
      </w:r>
      <w:r>
        <w:rPr>
          <w:rFonts w:ascii="Times New Roman" w:hAnsi="Times New Roman"/>
          <w:noProof/>
          <w:sz w:val="24"/>
          <w:szCs w:val="24"/>
        </w:rPr>
        <w:t>, de la directive sur l’efficacité énergétique abordaient les interactions avec le SEQE-UE.</w:t>
      </w:r>
    </w:p>
    <w:p w14:paraId="180A8995" w14:textId="0BB9BAB5" w:rsidR="00A36D2F" w:rsidRPr="00DA11F1" w:rsidRDefault="00D60CE3" w:rsidP="009C0D16">
      <w:pPr>
        <w:pStyle w:val="ListParagraph"/>
        <w:numPr>
          <w:ilvl w:val="0"/>
          <w:numId w:val="32"/>
        </w:numPr>
        <w:spacing w:after="200" w:line="276" w:lineRule="auto"/>
        <w:ind w:left="714" w:hanging="357"/>
        <w:contextualSpacing w:val="0"/>
        <w:jc w:val="both"/>
        <w:rPr>
          <w:rFonts w:ascii="Times New Roman" w:hAnsi="Times New Roman"/>
          <w:noProof/>
          <w:sz w:val="24"/>
          <w:szCs w:val="24"/>
        </w:rPr>
      </w:pPr>
      <w:r>
        <w:rPr>
          <w:rFonts w:ascii="Times New Roman" w:hAnsi="Times New Roman"/>
          <w:noProof/>
          <w:sz w:val="24"/>
          <w:szCs w:val="24"/>
        </w:rPr>
        <w:t>L’article </w:t>
      </w:r>
      <w:r w:rsidRPr="00F43FC8">
        <w:rPr>
          <w:rFonts w:ascii="Times New Roman" w:hAnsi="Times New Roman"/>
          <w:noProof/>
          <w:sz w:val="24"/>
          <w:szCs w:val="24"/>
        </w:rPr>
        <w:t>7</w:t>
      </w:r>
      <w:r>
        <w:rPr>
          <w:rFonts w:ascii="Times New Roman" w:hAnsi="Times New Roman"/>
          <w:noProof/>
          <w:sz w:val="24"/>
          <w:szCs w:val="24"/>
        </w:rPr>
        <w:t>, paragraphe </w:t>
      </w:r>
      <w:r w:rsidRPr="00F43FC8">
        <w:rPr>
          <w:rFonts w:ascii="Times New Roman" w:hAnsi="Times New Roman"/>
          <w:noProof/>
          <w:sz w:val="24"/>
          <w:szCs w:val="24"/>
        </w:rPr>
        <w:t>4</w:t>
      </w:r>
      <w:r>
        <w:rPr>
          <w:rFonts w:ascii="Times New Roman" w:hAnsi="Times New Roman"/>
          <w:noProof/>
          <w:sz w:val="24"/>
          <w:szCs w:val="24"/>
        </w:rPr>
        <w:t>, point b), mentionnait une possibilité dont les États membres pouvaient faire usage au moment de calculer le volume imposé d’économies d’énergie pour la période </w:t>
      </w:r>
      <w:r w:rsidRPr="00F43FC8">
        <w:rPr>
          <w:rFonts w:ascii="Times New Roman" w:hAnsi="Times New Roman"/>
          <w:noProof/>
          <w:sz w:val="24"/>
          <w:szCs w:val="24"/>
        </w:rPr>
        <w:t>2014</w:t>
      </w:r>
      <w:r>
        <w:rPr>
          <w:rFonts w:ascii="Times New Roman" w:hAnsi="Times New Roman"/>
          <w:noProof/>
          <w:sz w:val="24"/>
          <w:szCs w:val="24"/>
        </w:rPr>
        <w:t>-</w:t>
      </w:r>
      <w:r w:rsidRPr="00F43FC8">
        <w:rPr>
          <w:rFonts w:ascii="Times New Roman" w:hAnsi="Times New Roman"/>
          <w:noProof/>
          <w:sz w:val="24"/>
          <w:szCs w:val="24"/>
        </w:rPr>
        <w:t>2020</w:t>
      </w:r>
      <w:r>
        <w:rPr>
          <w:rFonts w:ascii="Times New Roman" w:hAnsi="Times New Roman"/>
          <w:noProof/>
          <w:sz w:val="24"/>
          <w:szCs w:val="24"/>
        </w:rPr>
        <w:t xml:space="preserve">. Ils pouvaient exclure du calcul la totalité ou une partie des ventes d’énergie utilisée sur les sites industriels couverts par le SEQE-UE. </w:t>
      </w:r>
      <w:r w:rsidRPr="00F43FC8">
        <w:rPr>
          <w:rFonts w:ascii="Times New Roman" w:hAnsi="Times New Roman"/>
          <w:noProof/>
          <w:sz w:val="24"/>
          <w:szCs w:val="24"/>
        </w:rPr>
        <w:t>15</w:t>
      </w:r>
      <w:r>
        <w:rPr>
          <w:rFonts w:ascii="Times New Roman" w:hAnsi="Times New Roman"/>
          <w:noProof/>
          <w:sz w:val="24"/>
          <w:szCs w:val="24"/>
        </w:rPr>
        <w:t> États membres ont eu recours à cette possibilité</w:t>
      </w:r>
      <w:r w:rsidR="00AE4323">
        <w:rPr>
          <w:rStyle w:val="FootnoteReference"/>
          <w:rFonts w:ascii="Times New Roman" w:hAnsi="Times New Roman"/>
          <w:noProof/>
          <w:sz w:val="24"/>
          <w:szCs w:val="24"/>
        </w:rPr>
        <w:footnoteReference w:id="125"/>
      </w:r>
      <w:r>
        <w:rPr>
          <w:rFonts w:ascii="Times New Roman" w:hAnsi="Times New Roman"/>
          <w:noProof/>
          <w:sz w:val="24"/>
          <w:szCs w:val="24"/>
        </w:rPr>
        <w:t>.</w:t>
      </w:r>
    </w:p>
    <w:p w14:paraId="01400B9D" w14:textId="77777777" w:rsidR="00A36D2F" w:rsidRPr="00DA11F1" w:rsidRDefault="0090131B" w:rsidP="009C0D16">
      <w:pPr>
        <w:pStyle w:val="ListParagraph"/>
        <w:numPr>
          <w:ilvl w:val="0"/>
          <w:numId w:val="32"/>
        </w:numPr>
        <w:spacing w:after="200" w:line="276" w:lineRule="auto"/>
        <w:ind w:left="714" w:hanging="357"/>
        <w:contextualSpacing w:val="0"/>
        <w:jc w:val="both"/>
        <w:rPr>
          <w:rFonts w:ascii="Times New Roman" w:hAnsi="Times New Roman"/>
          <w:noProof/>
          <w:sz w:val="24"/>
          <w:szCs w:val="24"/>
        </w:rPr>
      </w:pPr>
      <w:r>
        <w:rPr>
          <w:rFonts w:ascii="Times New Roman" w:hAnsi="Times New Roman"/>
          <w:noProof/>
          <w:sz w:val="24"/>
          <w:szCs w:val="24"/>
        </w:rPr>
        <w:t>L’article </w:t>
      </w:r>
      <w:r w:rsidRPr="00F43FC8">
        <w:rPr>
          <w:rFonts w:ascii="Times New Roman" w:hAnsi="Times New Roman"/>
          <w:noProof/>
          <w:sz w:val="24"/>
          <w:szCs w:val="24"/>
        </w:rPr>
        <w:t>7</w:t>
      </w:r>
      <w:r>
        <w:rPr>
          <w:rFonts w:ascii="Times New Roman" w:hAnsi="Times New Roman"/>
          <w:noProof/>
          <w:sz w:val="24"/>
          <w:szCs w:val="24"/>
        </w:rPr>
        <w:t>, paragraphe </w:t>
      </w:r>
      <w:r w:rsidRPr="00F43FC8">
        <w:rPr>
          <w:rFonts w:ascii="Times New Roman" w:hAnsi="Times New Roman"/>
          <w:noProof/>
          <w:sz w:val="24"/>
          <w:szCs w:val="24"/>
        </w:rPr>
        <w:t>4</w:t>
      </w:r>
      <w:r>
        <w:rPr>
          <w:rFonts w:ascii="Times New Roman" w:hAnsi="Times New Roman"/>
          <w:noProof/>
          <w:sz w:val="24"/>
          <w:szCs w:val="24"/>
        </w:rPr>
        <w:t>, point c, a permis aux États membres de déclarer les économies d’énergie résultant de mesures favorisant l’efficacité énergétique du côté de l’offre dans le volume d’économies d’énergie calculé au titre de l’article </w:t>
      </w:r>
      <w:r w:rsidRPr="00F43FC8">
        <w:rPr>
          <w:rFonts w:ascii="Times New Roman" w:hAnsi="Times New Roman"/>
          <w:noProof/>
          <w:sz w:val="24"/>
          <w:szCs w:val="24"/>
        </w:rPr>
        <w:t>7</w:t>
      </w:r>
      <w:r>
        <w:rPr>
          <w:rFonts w:ascii="Times New Roman" w:hAnsi="Times New Roman"/>
          <w:noProof/>
          <w:sz w:val="24"/>
          <w:szCs w:val="24"/>
        </w:rPr>
        <w:t>, paragraphes </w:t>
      </w:r>
      <w:r w:rsidRPr="00F43FC8">
        <w:rPr>
          <w:rFonts w:ascii="Times New Roman" w:hAnsi="Times New Roman"/>
          <w:noProof/>
          <w:sz w:val="24"/>
          <w:szCs w:val="24"/>
        </w:rPr>
        <w:t>2</w:t>
      </w:r>
      <w:r>
        <w:rPr>
          <w:rFonts w:ascii="Times New Roman" w:hAnsi="Times New Roman"/>
          <w:noProof/>
          <w:sz w:val="24"/>
          <w:szCs w:val="24"/>
        </w:rPr>
        <w:t> et </w:t>
      </w:r>
      <w:r w:rsidRPr="00F43FC8">
        <w:rPr>
          <w:rFonts w:ascii="Times New Roman" w:hAnsi="Times New Roman"/>
          <w:noProof/>
          <w:sz w:val="24"/>
          <w:szCs w:val="24"/>
        </w:rPr>
        <w:t>3</w:t>
      </w:r>
      <w:r>
        <w:rPr>
          <w:rFonts w:ascii="Times New Roman" w:hAnsi="Times New Roman"/>
          <w:noProof/>
          <w:sz w:val="24"/>
          <w:szCs w:val="24"/>
        </w:rPr>
        <w:t>. Cette faculté n’a été utilisée que par trois États membres</w:t>
      </w:r>
      <w:r w:rsidR="00D60CE3" w:rsidRPr="00DA11F1">
        <w:rPr>
          <w:rStyle w:val="FootnoteReference"/>
          <w:rFonts w:ascii="Times New Roman" w:hAnsi="Times New Roman"/>
          <w:noProof/>
          <w:sz w:val="24"/>
          <w:szCs w:val="24"/>
        </w:rPr>
        <w:footnoteReference w:id="126"/>
      </w:r>
      <w:r>
        <w:rPr>
          <w:rFonts w:ascii="Times New Roman" w:hAnsi="Times New Roman"/>
          <w:noProof/>
          <w:sz w:val="24"/>
          <w:szCs w:val="24"/>
        </w:rPr>
        <w:t xml:space="preserve">. </w:t>
      </w:r>
    </w:p>
    <w:p w14:paraId="007E71A3" w14:textId="5338D762" w:rsidR="009D4BB1" w:rsidRPr="00DA11F1" w:rsidRDefault="009D4BB1" w:rsidP="0070580B">
      <w:pPr>
        <w:jc w:val="both"/>
        <w:rPr>
          <w:rFonts w:ascii="Times New Roman" w:hAnsi="Times New Roman"/>
          <w:noProof/>
          <w:sz w:val="24"/>
          <w:szCs w:val="24"/>
        </w:rPr>
      </w:pPr>
      <w:r>
        <w:rPr>
          <w:rFonts w:ascii="Times New Roman" w:hAnsi="Times New Roman"/>
          <w:noProof/>
          <w:sz w:val="24"/>
          <w:szCs w:val="24"/>
        </w:rPr>
        <w:t>Les économies d’énergie réalisées grâce aux mesures de politique publique en matière d’efficacité énergétique dans le SEQE réduisent la demande de quotas. Leur incidence sur les émissions de GES est plus complexe, étant donné que le SEQE plafonne les émissions totales de l’ensemble des entités couvertes et que la RSM traite les déséquilibres entre l’offre et la demande. Dès lors, les économies d’énergie réalisées dans les secteurs directement inclus ou indirectement liés au SEQE peuvent contribuer à la réduction des émissions ou à la baisse des prix du carbone. En outre, à partir du moment où les mesures de politique publique en matière d’efficacité énergétique traitent les défaillances du marché et les obstacles à l’adoption de mesures d’économies d’énergie économiquement rentables et apportent des avantages supplémentaires, elles permettent également aux participants de réduire leurs émissions à des coûts moins élevés. L’incitation apportée par le SEQE-UE au moyen du prix du carbone contribue quant à elle à l’atteinte des objectifs de l’UE ainsi qu’aux objectifs indicatifs nationaux en matière d’efficacité énergétique visés à l’article </w:t>
      </w:r>
      <w:r w:rsidRPr="00F43FC8">
        <w:rPr>
          <w:rFonts w:ascii="Times New Roman" w:hAnsi="Times New Roman"/>
          <w:noProof/>
          <w:sz w:val="24"/>
          <w:szCs w:val="24"/>
        </w:rPr>
        <w:t>3</w:t>
      </w:r>
      <w:r>
        <w:rPr>
          <w:rFonts w:ascii="Times New Roman" w:hAnsi="Times New Roman"/>
          <w:noProof/>
          <w:sz w:val="24"/>
          <w:szCs w:val="24"/>
        </w:rPr>
        <w:t>.</w:t>
      </w:r>
    </w:p>
    <w:p w14:paraId="236FCA8E" w14:textId="600ADAA8" w:rsidR="00DA76C7" w:rsidRPr="00DA11F1" w:rsidRDefault="0023409B" w:rsidP="0070580B">
      <w:pPr>
        <w:pStyle w:val="Heading2"/>
        <w:spacing w:before="0" w:after="200"/>
        <w:rPr>
          <w:i w:val="0"/>
          <w:noProof/>
        </w:rPr>
      </w:pPr>
      <w:bookmarkStart w:id="76" w:name="_Toc89707780"/>
      <w:r w:rsidRPr="00F43FC8">
        <w:rPr>
          <w:i w:val="0"/>
          <w:noProof/>
        </w:rPr>
        <w:t>8</w:t>
      </w:r>
      <w:r>
        <w:rPr>
          <w:i w:val="0"/>
          <w:noProof/>
        </w:rPr>
        <w:t>.</w:t>
      </w:r>
      <w:r w:rsidRPr="00F43FC8">
        <w:rPr>
          <w:i w:val="0"/>
          <w:noProof/>
        </w:rPr>
        <w:t>2</w:t>
      </w:r>
      <w:r>
        <w:rPr>
          <w:i w:val="0"/>
          <w:noProof/>
        </w:rPr>
        <w:t xml:space="preserve"> Incidence de la mise en œuvre des plans nationaux en matière d’énergie et de climat sur le SEQE-UE</w:t>
      </w:r>
      <w:bookmarkEnd w:id="76"/>
    </w:p>
    <w:p w14:paraId="4364C815" w14:textId="3AF25568" w:rsidR="00A276E6" w:rsidRPr="00DA11F1" w:rsidRDefault="000532A9" w:rsidP="006C746A">
      <w:pPr>
        <w:jc w:val="both"/>
        <w:rPr>
          <w:rFonts w:ascii="Times New Roman" w:hAnsi="Times New Roman"/>
          <w:noProof/>
          <w:sz w:val="24"/>
          <w:szCs w:val="24"/>
        </w:rPr>
      </w:pPr>
      <w:r w:rsidRPr="00F43FC8">
        <w:rPr>
          <w:rFonts w:ascii="Times New Roman" w:hAnsi="Times New Roman"/>
          <w:noProof/>
          <w:sz w:val="24"/>
          <w:szCs w:val="24"/>
        </w:rPr>
        <w:t>27</w:t>
      </w:r>
      <w:r>
        <w:rPr>
          <w:rFonts w:ascii="Times New Roman" w:hAnsi="Times New Roman"/>
          <w:noProof/>
          <w:sz w:val="24"/>
          <w:szCs w:val="24"/>
        </w:rPr>
        <w:t> plans nationaux en matière d’énergie et de climat (PNEC) achevés en </w:t>
      </w:r>
      <w:r w:rsidRPr="00F43FC8">
        <w:rPr>
          <w:rFonts w:ascii="Times New Roman" w:hAnsi="Times New Roman"/>
          <w:noProof/>
          <w:sz w:val="24"/>
          <w:szCs w:val="24"/>
        </w:rPr>
        <w:t>2019</w:t>
      </w:r>
      <w:r>
        <w:rPr>
          <w:rFonts w:ascii="Times New Roman" w:hAnsi="Times New Roman"/>
          <w:noProof/>
          <w:sz w:val="24"/>
          <w:szCs w:val="24"/>
        </w:rPr>
        <w:t xml:space="preserve"> donnent un aperçu de la manière dont les États membres de l’UE appréhendent la première phase de leur transition vers la neutralité climatique, de </w:t>
      </w:r>
      <w:r w:rsidRPr="00F43FC8">
        <w:rPr>
          <w:rFonts w:ascii="Times New Roman" w:hAnsi="Times New Roman"/>
          <w:noProof/>
          <w:sz w:val="24"/>
          <w:szCs w:val="24"/>
        </w:rPr>
        <w:t>2021</w:t>
      </w:r>
      <w:r>
        <w:rPr>
          <w:rFonts w:ascii="Times New Roman" w:hAnsi="Times New Roman"/>
          <w:noProof/>
          <w:sz w:val="24"/>
          <w:szCs w:val="24"/>
        </w:rPr>
        <w:t xml:space="preserve"> à </w:t>
      </w:r>
      <w:r w:rsidRPr="00F43FC8">
        <w:rPr>
          <w:rFonts w:ascii="Times New Roman" w:hAnsi="Times New Roman"/>
          <w:noProof/>
          <w:sz w:val="24"/>
          <w:szCs w:val="24"/>
        </w:rPr>
        <w:t>2030</w:t>
      </w:r>
      <w:r>
        <w:rPr>
          <w:rFonts w:ascii="Times New Roman" w:hAnsi="Times New Roman"/>
          <w:noProof/>
          <w:sz w:val="24"/>
          <w:szCs w:val="24"/>
        </w:rPr>
        <w:t xml:space="preserve">. </w:t>
      </w:r>
    </w:p>
    <w:p w14:paraId="70E67C65" w14:textId="3725606A" w:rsidR="00A7591B" w:rsidRPr="00DA11F1" w:rsidRDefault="000A5336" w:rsidP="006C746A">
      <w:pPr>
        <w:jc w:val="both"/>
        <w:rPr>
          <w:rFonts w:ascii="Times New Roman" w:hAnsi="Times New Roman"/>
          <w:noProof/>
          <w:sz w:val="24"/>
          <w:szCs w:val="24"/>
        </w:rPr>
      </w:pPr>
      <w:r>
        <w:rPr>
          <w:rFonts w:ascii="Times New Roman" w:hAnsi="Times New Roman"/>
          <w:noProof/>
          <w:sz w:val="24"/>
          <w:szCs w:val="24"/>
        </w:rPr>
        <w:t>L’évaluation des PNEC par la Commission</w:t>
      </w:r>
      <w:r w:rsidR="00FD2B00" w:rsidRPr="00DA11F1">
        <w:rPr>
          <w:rStyle w:val="FootnoteReference"/>
          <w:rFonts w:ascii="Times New Roman" w:hAnsi="Times New Roman"/>
          <w:noProof/>
          <w:sz w:val="24"/>
          <w:szCs w:val="24"/>
        </w:rPr>
        <w:footnoteReference w:id="127"/>
      </w:r>
      <w:r>
        <w:rPr>
          <w:rFonts w:ascii="Times New Roman" w:hAnsi="Times New Roman"/>
          <w:noProof/>
          <w:sz w:val="24"/>
          <w:szCs w:val="24"/>
        </w:rPr>
        <w:t xml:space="preserve"> a montré que, dans le cadre des mesures existantes et prévues, les États membres prévoyaient de réduire les émissions de </w:t>
      </w:r>
      <w:r w:rsidRPr="00F43FC8">
        <w:rPr>
          <w:rFonts w:ascii="Times New Roman" w:hAnsi="Times New Roman"/>
          <w:noProof/>
          <w:sz w:val="24"/>
          <w:szCs w:val="24"/>
        </w:rPr>
        <w:t>41</w:t>
      </w:r>
      <w:r>
        <w:rPr>
          <w:rFonts w:ascii="Times New Roman" w:hAnsi="Times New Roman"/>
          <w:noProof/>
          <w:sz w:val="24"/>
          <w:szCs w:val="24"/>
        </w:rPr>
        <w:t> % par rapport aux niveaux de </w:t>
      </w:r>
      <w:r w:rsidRPr="00F43FC8">
        <w:rPr>
          <w:rFonts w:ascii="Times New Roman" w:hAnsi="Times New Roman"/>
          <w:noProof/>
          <w:sz w:val="24"/>
          <w:szCs w:val="24"/>
        </w:rPr>
        <w:t>1990</w:t>
      </w:r>
      <w:r>
        <w:rPr>
          <w:rFonts w:ascii="Times New Roman" w:hAnsi="Times New Roman"/>
          <w:noProof/>
          <w:sz w:val="24"/>
          <w:szCs w:val="24"/>
        </w:rPr>
        <w:t>, dépassant ainsi le précédent objectif fixé par l’UE pour </w:t>
      </w:r>
      <w:r w:rsidRPr="00F43FC8">
        <w:rPr>
          <w:rFonts w:ascii="Times New Roman" w:hAnsi="Times New Roman"/>
          <w:noProof/>
          <w:sz w:val="24"/>
          <w:szCs w:val="24"/>
        </w:rPr>
        <w:t>2030</w:t>
      </w:r>
      <w:r>
        <w:rPr>
          <w:rFonts w:ascii="Times New Roman" w:hAnsi="Times New Roman"/>
          <w:noProof/>
          <w:sz w:val="24"/>
          <w:szCs w:val="24"/>
        </w:rPr>
        <w:t xml:space="preserve">, qui était de </w:t>
      </w:r>
      <w:r w:rsidRPr="00F43FC8">
        <w:rPr>
          <w:rFonts w:ascii="Times New Roman" w:hAnsi="Times New Roman"/>
          <w:noProof/>
          <w:sz w:val="24"/>
          <w:szCs w:val="24"/>
        </w:rPr>
        <w:t>40</w:t>
      </w:r>
      <w:r>
        <w:rPr>
          <w:rFonts w:ascii="Times New Roman" w:hAnsi="Times New Roman"/>
          <w:noProof/>
          <w:sz w:val="24"/>
          <w:szCs w:val="24"/>
        </w:rPr>
        <w:t xml:space="preserve"> % Ces plans indiquent également que la quasi-totalité des États membres qui utilisent le charbon pour produire de l’électricité ont amorcé son élimination progressive ou fixé des dates en ce sens. Au total, </w:t>
      </w:r>
      <w:r w:rsidRPr="00F43FC8">
        <w:rPr>
          <w:rFonts w:ascii="Times New Roman" w:hAnsi="Times New Roman"/>
          <w:noProof/>
          <w:sz w:val="24"/>
          <w:szCs w:val="24"/>
        </w:rPr>
        <w:t>21</w:t>
      </w:r>
      <w:r>
        <w:rPr>
          <w:rFonts w:ascii="Times New Roman" w:hAnsi="Times New Roman"/>
          <w:noProof/>
          <w:sz w:val="24"/>
          <w:szCs w:val="24"/>
        </w:rPr>
        <w:t> États membres n’utilisent déjà plus de charbon pour leur production d’électricité</w:t>
      </w:r>
      <w:r w:rsidR="00963CD3" w:rsidRPr="00DA11F1">
        <w:rPr>
          <w:rStyle w:val="FootnoteReference"/>
          <w:rFonts w:ascii="Times New Roman" w:hAnsi="Times New Roman"/>
          <w:noProof/>
          <w:sz w:val="24"/>
          <w:szCs w:val="24"/>
        </w:rPr>
        <w:footnoteReference w:id="128"/>
      </w:r>
      <w:r>
        <w:rPr>
          <w:rFonts w:ascii="Times New Roman" w:hAnsi="Times New Roman"/>
          <w:noProof/>
          <w:sz w:val="24"/>
          <w:szCs w:val="24"/>
        </w:rPr>
        <w:t xml:space="preserve"> ou se sont engagés à y renoncer progressivement (y compris au lignite et à la tourbe), en indiquant des dates précises dans leurs PNEC. Dans ce contexte, les PNEC prévoient une diminution de l’utilisation du charbon de </w:t>
      </w:r>
      <w:r w:rsidRPr="00F43FC8">
        <w:rPr>
          <w:rFonts w:ascii="Times New Roman" w:hAnsi="Times New Roman"/>
          <w:noProof/>
          <w:sz w:val="24"/>
          <w:szCs w:val="24"/>
        </w:rPr>
        <w:t>70</w:t>
      </w:r>
      <w:r>
        <w:rPr>
          <w:rFonts w:ascii="Times New Roman" w:hAnsi="Times New Roman"/>
          <w:noProof/>
          <w:sz w:val="24"/>
          <w:szCs w:val="24"/>
        </w:rPr>
        <w:t> % par rapport à </w:t>
      </w:r>
      <w:r w:rsidRPr="00F43FC8">
        <w:rPr>
          <w:rFonts w:ascii="Times New Roman" w:hAnsi="Times New Roman"/>
          <w:noProof/>
          <w:sz w:val="24"/>
          <w:szCs w:val="24"/>
        </w:rPr>
        <w:t>2015</w:t>
      </w:r>
      <w:r>
        <w:rPr>
          <w:rFonts w:ascii="Times New Roman" w:hAnsi="Times New Roman"/>
          <w:noProof/>
          <w:sz w:val="24"/>
          <w:szCs w:val="24"/>
        </w:rPr>
        <w:t xml:space="preserve"> d’ici à </w:t>
      </w:r>
      <w:r w:rsidRPr="00F43FC8">
        <w:rPr>
          <w:rFonts w:ascii="Times New Roman" w:hAnsi="Times New Roman"/>
          <w:noProof/>
          <w:sz w:val="24"/>
          <w:szCs w:val="24"/>
        </w:rPr>
        <w:t>2030</w:t>
      </w:r>
      <w:r>
        <w:rPr>
          <w:rFonts w:ascii="Times New Roman" w:hAnsi="Times New Roman"/>
          <w:noProof/>
          <w:sz w:val="24"/>
          <w:szCs w:val="24"/>
        </w:rPr>
        <w:t xml:space="preserve">, tandis que l’électricité renouvelable devrait représenter </w:t>
      </w:r>
      <w:r w:rsidRPr="00F43FC8">
        <w:rPr>
          <w:rFonts w:ascii="Times New Roman" w:hAnsi="Times New Roman"/>
          <w:noProof/>
          <w:sz w:val="24"/>
          <w:szCs w:val="24"/>
        </w:rPr>
        <w:t>60</w:t>
      </w:r>
      <w:r>
        <w:rPr>
          <w:rFonts w:ascii="Times New Roman" w:hAnsi="Times New Roman"/>
          <w:noProof/>
          <w:sz w:val="24"/>
          <w:szCs w:val="24"/>
        </w:rPr>
        <w:t> % de l’électricité produite d’ici à </w:t>
      </w:r>
      <w:r w:rsidRPr="00F43FC8">
        <w:rPr>
          <w:rFonts w:ascii="Times New Roman" w:hAnsi="Times New Roman"/>
          <w:noProof/>
          <w:sz w:val="24"/>
          <w:szCs w:val="24"/>
        </w:rPr>
        <w:t>2030</w:t>
      </w:r>
      <w:r>
        <w:rPr>
          <w:rFonts w:ascii="Times New Roman" w:hAnsi="Times New Roman"/>
          <w:noProof/>
          <w:sz w:val="24"/>
          <w:szCs w:val="24"/>
        </w:rPr>
        <w:t>. Ces évolutions affecteraient directement le SEQE-UE, en entraînent potentiellement une forte baisse des émissions du secteur de l’électricité, ainsi qu’un déclin marqué de la demande de quotas d’émission. Dans la mesure où ces éliminations progressives induites par les politiques publiques accélèrent les éliminations progressives du charbon induites par le marché du carbone, et dans la mesure où ces effets ne sont pas neutralisés par la réserve de stabilité du marché, ils pourraient entraîner une baisse des prix du carbone dans le SEQE.</w:t>
      </w:r>
    </w:p>
    <w:p w14:paraId="09DDBEAD" w14:textId="5B62187C" w:rsidR="00A7591B" w:rsidRPr="00DA11F1" w:rsidRDefault="002443DF" w:rsidP="006C746A">
      <w:pPr>
        <w:jc w:val="both"/>
        <w:rPr>
          <w:rFonts w:ascii="Times New Roman" w:hAnsi="Times New Roman"/>
          <w:noProof/>
          <w:sz w:val="24"/>
          <w:szCs w:val="24"/>
        </w:rPr>
      </w:pPr>
      <w:r>
        <w:rPr>
          <w:rFonts w:ascii="Times New Roman" w:hAnsi="Times New Roman"/>
          <w:noProof/>
          <w:sz w:val="24"/>
          <w:szCs w:val="24"/>
        </w:rPr>
        <w:t xml:space="preserve">L’évaluation de la Commission a également montré que la part de l’énergie renouvelable au niveau de l’UE dans le cadre des mesures existantes et prévues pourrait atteindre entre </w:t>
      </w:r>
      <w:r w:rsidRPr="00F43FC8">
        <w:rPr>
          <w:rFonts w:ascii="Times New Roman" w:hAnsi="Times New Roman"/>
          <w:noProof/>
          <w:sz w:val="24"/>
          <w:szCs w:val="24"/>
        </w:rPr>
        <w:t>33</w:t>
      </w:r>
      <w:r>
        <w:rPr>
          <w:rFonts w:ascii="Times New Roman" w:hAnsi="Times New Roman"/>
          <w:noProof/>
          <w:sz w:val="24"/>
          <w:szCs w:val="24"/>
        </w:rPr>
        <w:t>,</w:t>
      </w:r>
      <w:r w:rsidRPr="00F43FC8">
        <w:rPr>
          <w:rFonts w:ascii="Times New Roman" w:hAnsi="Times New Roman"/>
          <w:noProof/>
          <w:sz w:val="24"/>
          <w:szCs w:val="24"/>
        </w:rPr>
        <w:t>1</w:t>
      </w:r>
      <w:r>
        <w:rPr>
          <w:rFonts w:ascii="Times New Roman" w:hAnsi="Times New Roman"/>
          <w:noProof/>
          <w:sz w:val="24"/>
          <w:szCs w:val="24"/>
        </w:rPr>
        <w:t xml:space="preserve"> et </w:t>
      </w:r>
      <w:r w:rsidRPr="00F43FC8">
        <w:rPr>
          <w:rFonts w:ascii="Times New Roman" w:hAnsi="Times New Roman"/>
          <w:noProof/>
          <w:sz w:val="24"/>
          <w:szCs w:val="24"/>
        </w:rPr>
        <w:t>33</w:t>
      </w:r>
      <w:r>
        <w:rPr>
          <w:rFonts w:ascii="Times New Roman" w:hAnsi="Times New Roman"/>
          <w:noProof/>
          <w:sz w:val="24"/>
          <w:szCs w:val="24"/>
        </w:rPr>
        <w:t>,</w:t>
      </w:r>
      <w:r w:rsidRPr="00F43FC8">
        <w:rPr>
          <w:rFonts w:ascii="Times New Roman" w:hAnsi="Times New Roman"/>
          <w:noProof/>
          <w:sz w:val="24"/>
          <w:szCs w:val="24"/>
        </w:rPr>
        <w:t>7</w:t>
      </w:r>
      <w:r>
        <w:rPr>
          <w:rFonts w:ascii="Times New Roman" w:hAnsi="Times New Roman"/>
          <w:noProof/>
          <w:sz w:val="24"/>
          <w:szCs w:val="24"/>
        </w:rPr>
        <w:t> % d’ici </w:t>
      </w:r>
      <w:r w:rsidRPr="00F43FC8">
        <w:rPr>
          <w:rFonts w:ascii="Times New Roman" w:hAnsi="Times New Roman"/>
          <w:noProof/>
          <w:sz w:val="24"/>
          <w:szCs w:val="24"/>
        </w:rPr>
        <w:t>2030</w:t>
      </w:r>
      <w:r>
        <w:rPr>
          <w:rFonts w:ascii="Times New Roman" w:hAnsi="Times New Roman"/>
          <w:noProof/>
          <w:sz w:val="24"/>
          <w:szCs w:val="24"/>
        </w:rPr>
        <w:t xml:space="preserve">, dépassant ainsi l’objectif de </w:t>
      </w:r>
      <w:r w:rsidRPr="00F43FC8">
        <w:rPr>
          <w:rFonts w:ascii="Times New Roman" w:hAnsi="Times New Roman"/>
          <w:noProof/>
          <w:sz w:val="24"/>
          <w:szCs w:val="24"/>
        </w:rPr>
        <w:t>32</w:t>
      </w:r>
      <w:r>
        <w:rPr>
          <w:rFonts w:ascii="Times New Roman" w:hAnsi="Times New Roman"/>
          <w:noProof/>
          <w:sz w:val="24"/>
          <w:szCs w:val="24"/>
        </w:rPr>
        <w:t> % minimum fixé pour </w:t>
      </w:r>
      <w:r w:rsidRPr="00F43FC8">
        <w:rPr>
          <w:rFonts w:ascii="Times New Roman" w:hAnsi="Times New Roman"/>
          <w:noProof/>
          <w:sz w:val="24"/>
          <w:szCs w:val="24"/>
        </w:rPr>
        <w:t>2030</w:t>
      </w:r>
      <w:r>
        <w:rPr>
          <w:rFonts w:ascii="Times New Roman" w:hAnsi="Times New Roman"/>
          <w:noProof/>
          <w:sz w:val="24"/>
          <w:szCs w:val="24"/>
        </w:rPr>
        <w:t>. D’autres investissements et réformes en matière d’énergies renouvelables mentionnés dans les PNEC pourraient encore accroître cette part. En ce qui concerne l’efficacité énergétique, l’UE doit se montrer plus ambitieuse si elle veut atteindre l’objectif fixé pour </w:t>
      </w:r>
      <w:r w:rsidRPr="00F43FC8">
        <w:rPr>
          <w:rFonts w:ascii="Times New Roman" w:hAnsi="Times New Roman"/>
          <w:noProof/>
          <w:sz w:val="24"/>
          <w:szCs w:val="24"/>
        </w:rPr>
        <w:t>2030</w:t>
      </w:r>
      <w:r w:rsidRPr="00DA11F1">
        <w:rPr>
          <w:rStyle w:val="FootnoteReference"/>
          <w:rFonts w:ascii="Times New Roman" w:hAnsi="Times New Roman"/>
          <w:noProof/>
          <w:sz w:val="24"/>
          <w:szCs w:val="24"/>
        </w:rPr>
        <w:footnoteReference w:id="129"/>
      </w:r>
      <w:r>
        <w:rPr>
          <w:rFonts w:ascii="Times New Roman" w:hAnsi="Times New Roman"/>
          <w:noProof/>
          <w:sz w:val="24"/>
          <w:szCs w:val="24"/>
        </w:rPr>
        <w:t>. Si les plans et mesures définitifs prévus au niveau de l’UE montrent une sensibilisation accrue au problème, il reste encore des efforts considérables à entreprendre pour combler l’écart. Dans la mesure où ces évolutions affecteraient les secteurs directement inclus dans le SEQE-UE ou indirectement liés à ce dernier, elles pourraient réduire la demande de quotas. À son tour, l’incitation apportée par le SEQE-UE au moyen du prix du carbone contribue à l’atteinte des objectifs nationaux fixés dans les PNEC en matière d’énergie renouvelable et d’efficacité énergétique.</w:t>
      </w:r>
    </w:p>
    <w:p w14:paraId="2718107F" w14:textId="291919E1" w:rsidR="0090131B" w:rsidRPr="00DA11F1" w:rsidRDefault="002C282C" w:rsidP="006C746A">
      <w:pPr>
        <w:jc w:val="both"/>
        <w:rPr>
          <w:rFonts w:ascii="Times New Roman" w:hAnsi="Times New Roman"/>
          <w:noProof/>
          <w:sz w:val="24"/>
          <w:szCs w:val="24"/>
        </w:rPr>
      </w:pPr>
      <w:r>
        <w:rPr>
          <w:rFonts w:ascii="Times New Roman" w:hAnsi="Times New Roman"/>
          <w:noProof/>
          <w:sz w:val="24"/>
          <w:szCs w:val="24"/>
        </w:rPr>
        <w:t>Depuis l’évaluation des PNEC définitifs par la Commission en octobre </w:t>
      </w:r>
      <w:r w:rsidRPr="00F43FC8">
        <w:rPr>
          <w:rFonts w:ascii="Times New Roman" w:hAnsi="Times New Roman"/>
          <w:noProof/>
          <w:sz w:val="24"/>
          <w:szCs w:val="24"/>
        </w:rPr>
        <w:t>2020</w:t>
      </w:r>
      <w:r>
        <w:rPr>
          <w:rFonts w:ascii="Times New Roman" w:hAnsi="Times New Roman"/>
          <w:noProof/>
          <w:sz w:val="24"/>
          <w:szCs w:val="24"/>
        </w:rPr>
        <w:t>, certains États membres ont apporté des modifications et des adaptations à leurs plans. Des informations plus détaillées sur les implications de ces changements sont disponibles dans le rapport de l’UE sur l’état d’avancement de la lutte contre le changement climatique en </w:t>
      </w:r>
      <w:r w:rsidRPr="00F43FC8">
        <w:rPr>
          <w:rFonts w:ascii="Times New Roman" w:hAnsi="Times New Roman"/>
          <w:noProof/>
          <w:sz w:val="24"/>
          <w:szCs w:val="24"/>
        </w:rPr>
        <w:t>2021</w:t>
      </w:r>
      <w:r w:rsidR="00BB4FB4" w:rsidRPr="00DA11F1">
        <w:rPr>
          <w:rStyle w:val="FootnoteReference"/>
          <w:rFonts w:ascii="Times New Roman" w:hAnsi="Times New Roman"/>
          <w:noProof/>
          <w:sz w:val="24"/>
          <w:szCs w:val="24"/>
        </w:rPr>
        <w:footnoteReference w:id="130"/>
      </w:r>
      <w:r>
        <w:rPr>
          <w:rFonts w:ascii="Times New Roman" w:hAnsi="Times New Roman"/>
          <w:noProof/>
          <w:sz w:val="24"/>
          <w:szCs w:val="24"/>
        </w:rPr>
        <w:t>. Tous les États membres sont censés soumettre des mises à jour de leurs PNEC en juin </w:t>
      </w:r>
      <w:r w:rsidRPr="00F43FC8">
        <w:rPr>
          <w:rFonts w:ascii="Times New Roman" w:hAnsi="Times New Roman"/>
          <w:noProof/>
          <w:sz w:val="24"/>
          <w:szCs w:val="24"/>
        </w:rPr>
        <w:t>2023</w:t>
      </w:r>
      <w:r>
        <w:rPr>
          <w:rFonts w:ascii="Times New Roman" w:hAnsi="Times New Roman"/>
          <w:noProof/>
          <w:sz w:val="24"/>
          <w:szCs w:val="24"/>
        </w:rPr>
        <w:t xml:space="preserve"> (projets) et en </w:t>
      </w:r>
      <w:r w:rsidRPr="00F43FC8">
        <w:rPr>
          <w:rFonts w:ascii="Times New Roman" w:hAnsi="Times New Roman"/>
          <w:noProof/>
          <w:sz w:val="24"/>
          <w:szCs w:val="24"/>
        </w:rPr>
        <w:t>2024</w:t>
      </w:r>
      <w:r>
        <w:rPr>
          <w:rFonts w:ascii="Times New Roman" w:hAnsi="Times New Roman"/>
          <w:noProof/>
          <w:sz w:val="24"/>
          <w:szCs w:val="24"/>
        </w:rPr>
        <w:t xml:space="preserve"> (plans définitifs). Ces plans devraient refléter l’ambition accrue de l’UE, conformément à son objectif de réduire les émissions nettes de GES d’au moins </w:t>
      </w:r>
      <w:r w:rsidRPr="00F43FC8">
        <w:rPr>
          <w:rFonts w:ascii="Times New Roman" w:hAnsi="Times New Roman"/>
          <w:noProof/>
          <w:sz w:val="24"/>
          <w:szCs w:val="24"/>
        </w:rPr>
        <w:t>55</w:t>
      </w:r>
      <w:r>
        <w:rPr>
          <w:rFonts w:ascii="Times New Roman" w:hAnsi="Times New Roman"/>
          <w:noProof/>
          <w:sz w:val="24"/>
          <w:szCs w:val="24"/>
        </w:rPr>
        <w:t> % par rapport aux niveaux de </w:t>
      </w:r>
      <w:r w:rsidRPr="00F43FC8">
        <w:rPr>
          <w:rFonts w:ascii="Times New Roman" w:hAnsi="Times New Roman"/>
          <w:noProof/>
          <w:sz w:val="24"/>
          <w:szCs w:val="24"/>
        </w:rPr>
        <w:t>1990</w:t>
      </w:r>
      <w:r>
        <w:rPr>
          <w:rFonts w:ascii="Times New Roman" w:hAnsi="Times New Roman"/>
          <w:noProof/>
          <w:sz w:val="24"/>
          <w:szCs w:val="24"/>
        </w:rPr>
        <w:t xml:space="preserve"> d’ici à </w:t>
      </w:r>
      <w:r w:rsidRPr="00F43FC8">
        <w:rPr>
          <w:rFonts w:ascii="Times New Roman" w:hAnsi="Times New Roman"/>
          <w:noProof/>
          <w:sz w:val="24"/>
          <w:szCs w:val="24"/>
        </w:rPr>
        <w:t>2030</w:t>
      </w:r>
      <w:r>
        <w:rPr>
          <w:rFonts w:ascii="Times New Roman" w:hAnsi="Times New Roman"/>
          <w:noProof/>
          <w:sz w:val="24"/>
          <w:szCs w:val="24"/>
        </w:rPr>
        <w:t>, y compris en tenant éventuellement compte des objectifs revus à la hausse pour </w:t>
      </w:r>
      <w:r w:rsidRPr="00F43FC8">
        <w:rPr>
          <w:rFonts w:ascii="Times New Roman" w:hAnsi="Times New Roman"/>
          <w:noProof/>
          <w:sz w:val="24"/>
          <w:szCs w:val="24"/>
        </w:rPr>
        <w:t>2030</w:t>
      </w:r>
      <w:r>
        <w:rPr>
          <w:rFonts w:ascii="Times New Roman" w:hAnsi="Times New Roman"/>
          <w:noProof/>
          <w:sz w:val="24"/>
          <w:szCs w:val="24"/>
        </w:rPr>
        <w:t xml:space="preserve"> en matière d’efficacité énergétique (économies de </w:t>
      </w:r>
      <w:r w:rsidRPr="00F43FC8">
        <w:rPr>
          <w:rFonts w:ascii="Times New Roman" w:hAnsi="Times New Roman"/>
          <w:noProof/>
          <w:sz w:val="24"/>
          <w:szCs w:val="24"/>
        </w:rPr>
        <w:t>36</w:t>
      </w:r>
      <w:r>
        <w:rPr>
          <w:rFonts w:ascii="Times New Roman" w:hAnsi="Times New Roman"/>
          <w:noProof/>
          <w:sz w:val="24"/>
          <w:szCs w:val="24"/>
        </w:rPr>
        <w:t>-</w:t>
      </w:r>
      <w:r w:rsidRPr="00F43FC8">
        <w:rPr>
          <w:rFonts w:ascii="Times New Roman" w:hAnsi="Times New Roman"/>
          <w:noProof/>
          <w:sz w:val="24"/>
          <w:szCs w:val="24"/>
        </w:rPr>
        <w:t>39</w:t>
      </w:r>
      <w:r>
        <w:rPr>
          <w:rFonts w:ascii="Times New Roman" w:hAnsi="Times New Roman"/>
          <w:noProof/>
          <w:sz w:val="24"/>
          <w:szCs w:val="24"/>
        </w:rPr>
        <w:t xml:space="preserve"> % pour la consommation d’énergie finale et primaire) et d’énergie renouvelable (part d’énergie renouvelable de </w:t>
      </w:r>
      <w:r w:rsidRPr="00F43FC8">
        <w:rPr>
          <w:rFonts w:ascii="Times New Roman" w:hAnsi="Times New Roman"/>
          <w:noProof/>
          <w:sz w:val="24"/>
          <w:szCs w:val="24"/>
        </w:rPr>
        <w:t>40</w:t>
      </w:r>
      <w:r>
        <w:rPr>
          <w:rFonts w:ascii="Times New Roman" w:hAnsi="Times New Roman"/>
          <w:noProof/>
          <w:sz w:val="24"/>
          <w:szCs w:val="24"/>
        </w:rPr>
        <w:t> % dans le bouquet énergétique de l’UE), tels que proposés par la Commission dans son train de mesures législatives visant à mettre en œuvre le pacte vert pour l’Europe. La Commission évaluera tous les projets de plans actualisés d’ici à la fin </w:t>
      </w:r>
      <w:r w:rsidRPr="00F43FC8">
        <w:rPr>
          <w:rFonts w:ascii="Times New Roman" w:hAnsi="Times New Roman"/>
          <w:noProof/>
          <w:sz w:val="24"/>
          <w:szCs w:val="24"/>
        </w:rPr>
        <w:t>2023</w:t>
      </w:r>
      <w:r>
        <w:rPr>
          <w:rFonts w:ascii="Times New Roman" w:hAnsi="Times New Roman"/>
          <w:noProof/>
          <w:sz w:val="24"/>
          <w:szCs w:val="24"/>
        </w:rPr>
        <w:t xml:space="preserve"> et les plans définitifs d’ici à la fin </w:t>
      </w:r>
      <w:r w:rsidRPr="00F43FC8">
        <w:rPr>
          <w:rFonts w:ascii="Times New Roman" w:hAnsi="Times New Roman"/>
          <w:noProof/>
          <w:sz w:val="24"/>
          <w:szCs w:val="24"/>
        </w:rPr>
        <w:t>2024</w:t>
      </w:r>
      <w:r>
        <w:rPr>
          <w:rFonts w:ascii="Times New Roman" w:hAnsi="Times New Roman"/>
          <w:noProof/>
          <w:sz w:val="24"/>
          <w:szCs w:val="24"/>
        </w:rPr>
        <w:t>.</w:t>
      </w:r>
    </w:p>
    <w:p w14:paraId="3F8A5053" w14:textId="1A0B3F4B" w:rsidR="00131369" w:rsidRPr="00DA11F1" w:rsidRDefault="005811CF" w:rsidP="006C746A">
      <w:pPr>
        <w:pStyle w:val="Heading1"/>
        <w:rPr>
          <w:noProof/>
        </w:rPr>
      </w:pPr>
      <w:bookmarkStart w:id="77" w:name="_Toc89707781"/>
      <w:r w:rsidRPr="00F43FC8">
        <w:rPr>
          <w:noProof/>
        </w:rPr>
        <w:t>9</w:t>
      </w:r>
      <w:r>
        <w:rPr>
          <w:noProof/>
        </w:rPr>
        <w:t>. CONCLUSIONS ET PERSPECTIVES</w:t>
      </w:r>
      <w:bookmarkStart w:id="78" w:name="_Toc490850441"/>
      <w:bookmarkEnd w:id="77"/>
      <w:r>
        <w:rPr>
          <w:noProof/>
        </w:rPr>
        <w:t xml:space="preserve"> </w:t>
      </w:r>
    </w:p>
    <w:p w14:paraId="2824709F" w14:textId="55B8325B" w:rsidR="00E576AC" w:rsidRPr="00DA11F1" w:rsidRDefault="00FA6B61" w:rsidP="006C746A">
      <w:pPr>
        <w:jc w:val="both"/>
        <w:rPr>
          <w:rFonts w:ascii="Times New Roman" w:hAnsi="Times New Roman"/>
          <w:noProof/>
          <w:sz w:val="24"/>
          <w:szCs w:val="24"/>
        </w:rPr>
      </w:pPr>
      <w:r>
        <w:rPr>
          <w:rFonts w:ascii="Times New Roman" w:hAnsi="Times New Roman"/>
          <w:noProof/>
          <w:sz w:val="24"/>
          <w:szCs w:val="24"/>
        </w:rPr>
        <w:t>Au cours de la phase </w:t>
      </w:r>
      <w:r w:rsidRPr="00F43FC8">
        <w:rPr>
          <w:rFonts w:ascii="Times New Roman" w:hAnsi="Times New Roman"/>
          <w:noProof/>
          <w:sz w:val="24"/>
          <w:szCs w:val="24"/>
        </w:rPr>
        <w:t>3</w:t>
      </w:r>
      <w:r>
        <w:rPr>
          <w:rFonts w:ascii="Times New Roman" w:hAnsi="Times New Roman"/>
          <w:noProof/>
          <w:sz w:val="24"/>
          <w:szCs w:val="24"/>
        </w:rPr>
        <w:t xml:space="preserve"> du SEQE-UE (</w:t>
      </w:r>
      <w:r w:rsidRPr="00F43FC8">
        <w:rPr>
          <w:rFonts w:ascii="Times New Roman" w:hAnsi="Times New Roman"/>
          <w:noProof/>
          <w:sz w:val="24"/>
          <w:szCs w:val="24"/>
        </w:rPr>
        <w:t>2013</w:t>
      </w:r>
      <w:r>
        <w:rPr>
          <w:rFonts w:ascii="Times New Roman" w:hAnsi="Times New Roman"/>
          <w:noProof/>
          <w:sz w:val="24"/>
          <w:szCs w:val="24"/>
        </w:rPr>
        <w:t>-</w:t>
      </w:r>
      <w:r w:rsidRPr="00F43FC8">
        <w:rPr>
          <w:rFonts w:ascii="Times New Roman" w:hAnsi="Times New Roman"/>
          <w:noProof/>
          <w:sz w:val="24"/>
          <w:szCs w:val="24"/>
        </w:rPr>
        <w:t>2020</w:t>
      </w:r>
      <w:r>
        <w:rPr>
          <w:rFonts w:ascii="Times New Roman" w:hAnsi="Times New Roman"/>
          <w:noProof/>
          <w:sz w:val="24"/>
          <w:szCs w:val="24"/>
        </w:rPr>
        <w:t xml:space="preserve">), les émissions de GES résultant de la production d’électricité et des installations industrielles couvertes par le système ont diminué de près de </w:t>
      </w:r>
      <w:r w:rsidRPr="00F43FC8">
        <w:rPr>
          <w:rFonts w:ascii="Times New Roman" w:hAnsi="Times New Roman"/>
          <w:noProof/>
          <w:sz w:val="24"/>
          <w:szCs w:val="24"/>
        </w:rPr>
        <w:t>29</w:t>
      </w:r>
      <w:r>
        <w:rPr>
          <w:rFonts w:ascii="Times New Roman" w:hAnsi="Times New Roman"/>
          <w:noProof/>
          <w:sz w:val="24"/>
          <w:szCs w:val="24"/>
        </w:rPr>
        <w:t> %</w:t>
      </w:r>
      <w:r w:rsidR="00595E98" w:rsidRPr="00DA11F1">
        <w:rPr>
          <w:rStyle w:val="FootnoteReference"/>
          <w:rFonts w:ascii="Times New Roman" w:hAnsi="Times New Roman"/>
          <w:noProof/>
          <w:sz w:val="24"/>
          <w:szCs w:val="24"/>
        </w:rPr>
        <w:footnoteReference w:id="131"/>
      </w:r>
      <w:r>
        <w:rPr>
          <w:rFonts w:ascii="Times New Roman" w:hAnsi="Times New Roman"/>
          <w:noProof/>
          <w:sz w:val="24"/>
          <w:szCs w:val="24"/>
        </w:rPr>
        <w:t xml:space="preserve">, contribuant ainsi à la baisse globale des émissions d’environ </w:t>
      </w:r>
      <w:r w:rsidRPr="00F43FC8">
        <w:rPr>
          <w:rFonts w:ascii="Times New Roman" w:hAnsi="Times New Roman"/>
          <w:noProof/>
          <w:sz w:val="24"/>
          <w:szCs w:val="24"/>
        </w:rPr>
        <w:t>43</w:t>
      </w:r>
      <w:r>
        <w:rPr>
          <w:rFonts w:ascii="Times New Roman" w:hAnsi="Times New Roman"/>
          <w:noProof/>
          <w:sz w:val="24"/>
          <w:szCs w:val="24"/>
        </w:rPr>
        <w:t> % depuis la création du système en </w:t>
      </w:r>
      <w:r w:rsidRPr="00F43FC8">
        <w:rPr>
          <w:rFonts w:ascii="Times New Roman" w:hAnsi="Times New Roman"/>
          <w:noProof/>
          <w:sz w:val="24"/>
          <w:szCs w:val="24"/>
        </w:rPr>
        <w:t>2005</w:t>
      </w:r>
      <w:r>
        <w:rPr>
          <w:rFonts w:ascii="Times New Roman" w:hAnsi="Times New Roman"/>
          <w:noProof/>
          <w:sz w:val="24"/>
          <w:szCs w:val="24"/>
        </w:rPr>
        <w:t>. Bien que la forte baisse des émissions en </w:t>
      </w:r>
      <w:r w:rsidRPr="00F43FC8">
        <w:rPr>
          <w:rFonts w:ascii="Times New Roman" w:hAnsi="Times New Roman"/>
          <w:noProof/>
          <w:sz w:val="24"/>
          <w:szCs w:val="24"/>
        </w:rPr>
        <w:t>2020</w:t>
      </w:r>
      <w:r>
        <w:rPr>
          <w:rFonts w:ascii="Times New Roman" w:hAnsi="Times New Roman"/>
          <w:noProof/>
          <w:sz w:val="24"/>
          <w:szCs w:val="24"/>
        </w:rPr>
        <w:t xml:space="preserve">, de </w:t>
      </w:r>
      <w:r w:rsidRPr="00F43FC8">
        <w:rPr>
          <w:rFonts w:ascii="Times New Roman" w:hAnsi="Times New Roman"/>
          <w:noProof/>
          <w:sz w:val="24"/>
          <w:szCs w:val="24"/>
        </w:rPr>
        <w:t>11</w:t>
      </w:r>
      <w:r>
        <w:rPr>
          <w:rFonts w:ascii="Times New Roman" w:hAnsi="Times New Roman"/>
          <w:noProof/>
          <w:sz w:val="24"/>
          <w:szCs w:val="24"/>
        </w:rPr>
        <w:t>,</w:t>
      </w:r>
      <w:r w:rsidRPr="00F43FC8">
        <w:rPr>
          <w:rFonts w:ascii="Times New Roman" w:hAnsi="Times New Roman"/>
          <w:noProof/>
          <w:sz w:val="24"/>
          <w:szCs w:val="24"/>
        </w:rPr>
        <w:t>4</w:t>
      </w:r>
      <w:r>
        <w:rPr>
          <w:rFonts w:ascii="Times New Roman" w:hAnsi="Times New Roman"/>
          <w:noProof/>
          <w:sz w:val="24"/>
          <w:szCs w:val="24"/>
        </w:rPr>
        <w:t> %, soit indubitablement en grande partie imputable aux effets de la pandémie de COVID-</w:t>
      </w:r>
      <w:r w:rsidRPr="00F43FC8">
        <w:rPr>
          <w:rFonts w:ascii="Times New Roman" w:hAnsi="Times New Roman"/>
          <w:noProof/>
          <w:sz w:val="24"/>
          <w:szCs w:val="24"/>
        </w:rPr>
        <w:t>19</w:t>
      </w:r>
      <w:r>
        <w:rPr>
          <w:rFonts w:ascii="Times New Roman" w:hAnsi="Times New Roman"/>
          <w:noProof/>
          <w:sz w:val="24"/>
          <w:szCs w:val="24"/>
        </w:rPr>
        <w:t>, elle a marqué une année supplémentaire d’une tendance presque ininterrompue de baisse annuelle des émissions au cours de la phase </w:t>
      </w:r>
      <w:r w:rsidRPr="00F43FC8">
        <w:rPr>
          <w:rFonts w:ascii="Times New Roman" w:hAnsi="Times New Roman"/>
          <w:noProof/>
          <w:sz w:val="24"/>
          <w:szCs w:val="24"/>
        </w:rPr>
        <w:t>3</w:t>
      </w:r>
      <w:r>
        <w:rPr>
          <w:rFonts w:ascii="Times New Roman" w:hAnsi="Times New Roman"/>
          <w:noProof/>
          <w:sz w:val="24"/>
          <w:szCs w:val="24"/>
        </w:rPr>
        <w:t>. Cette évolution reflète les tendances à la décarbonation observées essentiellement dans le secteur de la production d’électricité et de chaleur. Avant la pandémie, les émissions de </w:t>
      </w:r>
      <w:r w:rsidRPr="00F43FC8">
        <w:rPr>
          <w:rFonts w:ascii="Times New Roman" w:hAnsi="Times New Roman"/>
          <w:noProof/>
          <w:sz w:val="24"/>
          <w:szCs w:val="24"/>
        </w:rPr>
        <w:t>2019</w:t>
      </w:r>
      <w:r>
        <w:rPr>
          <w:rFonts w:ascii="Times New Roman" w:hAnsi="Times New Roman"/>
          <w:noProof/>
          <w:sz w:val="24"/>
          <w:szCs w:val="24"/>
        </w:rPr>
        <w:t xml:space="preserve"> avaient reculé de plus de </w:t>
      </w:r>
      <w:r w:rsidRPr="00F43FC8">
        <w:rPr>
          <w:rFonts w:ascii="Times New Roman" w:hAnsi="Times New Roman"/>
          <w:noProof/>
          <w:sz w:val="24"/>
          <w:szCs w:val="24"/>
        </w:rPr>
        <w:t>9</w:t>
      </w:r>
      <w:r>
        <w:rPr>
          <w:rFonts w:ascii="Times New Roman" w:hAnsi="Times New Roman"/>
          <w:noProof/>
          <w:sz w:val="24"/>
          <w:szCs w:val="24"/>
        </w:rPr>
        <w:t> % par rapport à </w:t>
      </w:r>
      <w:r w:rsidRPr="00F43FC8">
        <w:rPr>
          <w:rFonts w:ascii="Times New Roman" w:hAnsi="Times New Roman"/>
          <w:noProof/>
          <w:sz w:val="24"/>
          <w:szCs w:val="24"/>
        </w:rPr>
        <w:t>2018</w:t>
      </w:r>
      <w:r>
        <w:rPr>
          <w:rFonts w:ascii="Times New Roman" w:hAnsi="Times New Roman"/>
          <w:noProof/>
          <w:sz w:val="24"/>
          <w:szCs w:val="24"/>
        </w:rPr>
        <w:t>, confirmant cette tendance.</w:t>
      </w:r>
    </w:p>
    <w:p w14:paraId="36C16944" w14:textId="2F00B634" w:rsidR="00E576AC" w:rsidRPr="00DA11F1" w:rsidRDefault="00E576AC" w:rsidP="006C746A">
      <w:pPr>
        <w:jc w:val="both"/>
        <w:rPr>
          <w:rFonts w:ascii="Times New Roman" w:hAnsi="Times New Roman"/>
          <w:noProof/>
          <w:sz w:val="24"/>
          <w:szCs w:val="24"/>
        </w:rPr>
      </w:pPr>
      <w:r>
        <w:rPr>
          <w:rFonts w:ascii="Times New Roman" w:hAnsi="Times New Roman"/>
          <w:noProof/>
          <w:sz w:val="24"/>
          <w:szCs w:val="24"/>
        </w:rPr>
        <w:t xml:space="preserve">Dans le secteur de l’aviation, les émissions de GES couvertes par le SEQE ont augmenté de </w:t>
      </w:r>
      <w:r w:rsidRPr="00F43FC8">
        <w:rPr>
          <w:rFonts w:ascii="Times New Roman" w:hAnsi="Times New Roman"/>
          <w:noProof/>
          <w:sz w:val="24"/>
          <w:szCs w:val="24"/>
        </w:rPr>
        <w:t>27</w:t>
      </w:r>
      <w:r>
        <w:rPr>
          <w:rFonts w:ascii="Times New Roman" w:hAnsi="Times New Roman"/>
          <w:noProof/>
          <w:sz w:val="24"/>
          <w:szCs w:val="24"/>
        </w:rPr>
        <w:t>,</w:t>
      </w:r>
      <w:r w:rsidRPr="00F43FC8">
        <w:rPr>
          <w:rFonts w:ascii="Times New Roman" w:hAnsi="Times New Roman"/>
          <w:noProof/>
          <w:sz w:val="24"/>
          <w:szCs w:val="24"/>
        </w:rPr>
        <w:t>5</w:t>
      </w:r>
      <w:r>
        <w:rPr>
          <w:rFonts w:ascii="Times New Roman" w:hAnsi="Times New Roman"/>
          <w:noProof/>
          <w:sz w:val="24"/>
          <w:szCs w:val="24"/>
        </w:rPr>
        <w:t xml:space="preserve"> % entre </w:t>
      </w:r>
      <w:r w:rsidRPr="00F43FC8">
        <w:rPr>
          <w:rFonts w:ascii="Times New Roman" w:hAnsi="Times New Roman"/>
          <w:noProof/>
          <w:sz w:val="24"/>
          <w:szCs w:val="24"/>
        </w:rPr>
        <w:t>2013</w:t>
      </w:r>
      <w:r>
        <w:rPr>
          <w:rFonts w:ascii="Times New Roman" w:hAnsi="Times New Roman"/>
          <w:noProof/>
          <w:sz w:val="24"/>
          <w:szCs w:val="24"/>
        </w:rPr>
        <w:t> et </w:t>
      </w:r>
      <w:r w:rsidRPr="00F43FC8">
        <w:rPr>
          <w:rFonts w:ascii="Times New Roman" w:hAnsi="Times New Roman"/>
          <w:noProof/>
          <w:sz w:val="24"/>
          <w:szCs w:val="24"/>
        </w:rPr>
        <w:t>2019</w:t>
      </w:r>
      <w:r>
        <w:rPr>
          <w:rFonts w:ascii="Times New Roman" w:hAnsi="Times New Roman"/>
          <w:noProof/>
          <w:sz w:val="24"/>
          <w:szCs w:val="24"/>
        </w:rPr>
        <w:t>, en hausse chaque année jusqu’en </w:t>
      </w:r>
      <w:r w:rsidRPr="00F43FC8">
        <w:rPr>
          <w:rFonts w:ascii="Times New Roman" w:hAnsi="Times New Roman"/>
          <w:noProof/>
          <w:sz w:val="24"/>
          <w:szCs w:val="24"/>
        </w:rPr>
        <w:t>2020</w:t>
      </w:r>
      <w:r>
        <w:rPr>
          <w:rFonts w:ascii="Times New Roman" w:hAnsi="Times New Roman"/>
          <w:noProof/>
          <w:sz w:val="24"/>
          <w:szCs w:val="24"/>
        </w:rPr>
        <w:t xml:space="preserve">, lorsque la tendance a été inversée par la pandémie et les émissions vérifiées ont fortement baissé, de </w:t>
      </w:r>
      <w:r w:rsidRPr="00F43FC8">
        <w:rPr>
          <w:rFonts w:ascii="Times New Roman" w:hAnsi="Times New Roman"/>
          <w:noProof/>
          <w:sz w:val="24"/>
          <w:szCs w:val="24"/>
        </w:rPr>
        <w:t>63</w:t>
      </w:r>
      <w:r>
        <w:rPr>
          <w:rFonts w:ascii="Times New Roman" w:hAnsi="Times New Roman"/>
          <w:noProof/>
          <w:sz w:val="24"/>
          <w:szCs w:val="24"/>
        </w:rPr>
        <w:t xml:space="preserve"> % par rapport à </w:t>
      </w:r>
      <w:r w:rsidRPr="00F43FC8">
        <w:rPr>
          <w:rFonts w:ascii="Times New Roman" w:hAnsi="Times New Roman"/>
          <w:noProof/>
          <w:sz w:val="24"/>
          <w:szCs w:val="24"/>
        </w:rPr>
        <w:t>2019</w:t>
      </w:r>
      <w:r>
        <w:rPr>
          <w:rFonts w:ascii="Times New Roman" w:hAnsi="Times New Roman"/>
          <w:noProof/>
          <w:sz w:val="24"/>
          <w:szCs w:val="24"/>
        </w:rPr>
        <w:t xml:space="preserve">. </w:t>
      </w:r>
      <w:r w:rsidRPr="00F43FC8">
        <w:rPr>
          <w:rFonts w:ascii="Times New Roman" w:hAnsi="Times New Roman"/>
          <w:noProof/>
          <w:sz w:val="24"/>
          <w:szCs w:val="24"/>
        </w:rPr>
        <w:t>2019</w:t>
      </w:r>
      <w:r>
        <w:rPr>
          <w:rFonts w:ascii="Times New Roman" w:hAnsi="Times New Roman"/>
          <w:noProof/>
          <w:sz w:val="24"/>
          <w:szCs w:val="24"/>
        </w:rPr>
        <w:t xml:space="preserve"> est donc, à ce jour, l’année durant laquelle les émissions les plus élevées ont été enregistrées pour le secteur de l’aviation.</w:t>
      </w:r>
    </w:p>
    <w:p w14:paraId="52BF7FA0" w14:textId="5E6EE346" w:rsidR="00FA6B61" w:rsidRPr="00DA11F1" w:rsidRDefault="00FA6B61" w:rsidP="006C746A">
      <w:pPr>
        <w:jc w:val="both"/>
        <w:rPr>
          <w:rFonts w:ascii="Times New Roman" w:hAnsi="Times New Roman"/>
          <w:noProof/>
          <w:sz w:val="24"/>
          <w:szCs w:val="24"/>
        </w:rPr>
      </w:pPr>
      <w:r>
        <w:rPr>
          <w:rFonts w:ascii="Times New Roman" w:hAnsi="Times New Roman"/>
          <w:noProof/>
          <w:sz w:val="24"/>
          <w:szCs w:val="24"/>
        </w:rPr>
        <w:t>Les modifications législatives convenues durant la phase </w:t>
      </w:r>
      <w:r w:rsidRPr="00F43FC8">
        <w:rPr>
          <w:rFonts w:ascii="Times New Roman" w:hAnsi="Times New Roman"/>
          <w:noProof/>
          <w:sz w:val="24"/>
          <w:szCs w:val="24"/>
        </w:rPr>
        <w:t>3</w:t>
      </w:r>
      <w:r>
        <w:rPr>
          <w:rFonts w:ascii="Times New Roman" w:hAnsi="Times New Roman"/>
          <w:noProof/>
          <w:sz w:val="24"/>
          <w:szCs w:val="24"/>
        </w:rPr>
        <w:t xml:space="preserve"> afin de renforcer le SEQE-UE et de traiter l’excédent de quotas ont produit des résultats positifs. Entre </w:t>
      </w:r>
      <w:r w:rsidRPr="00F43FC8">
        <w:rPr>
          <w:rFonts w:ascii="Times New Roman" w:hAnsi="Times New Roman"/>
          <w:noProof/>
          <w:sz w:val="24"/>
          <w:szCs w:val="24"/>
        </w:rPr>
        <w:t>2018</w:t>
      </w:r>
      <w:r>
        <w:rPr>
          <w:rFonts w:ascii="Times New Roman" w:hAnsi="Times New Roman"/>
          <w:noProof/>
          <w:sz w:val="24"/>
          <w:szCs w:val="24"/>
        </w:rPr>
        <w:t xml:space="preserve"> et </w:t>
      </w:r>
      <w:r w:rsidRPr="00F43FC8">
        <w:rPr>
          <w:rFonts w:ascii="Times New Roman" w:hAnsi="Times New Roman"/>
          <w:noProof/>
          <w:sz w:val="24"/>
          <w:szCs w:val="24"/>
        </w:rPr>
        <w:t>2019</w:t>
      </w:r>
      <w:r>
        <w:rPr>
          <w:rFonts w:ascii="Times New Roman" w:hAnsi="Times New Roman"/>
          <w:noProof/>
          <w:sz w:val="24"/>
          <w:szCs w:val="24"/>
        </w:rPr>
        <w:t xml:space="preserve">, période à laquelle la réserve de stabilité du marché est devenue opérationnelle, l’excédent s’est considérablement réduit, passant de </w:t>
      </w:r>
      <w:r w:rsidRPr="00F43FC8">
        <w:rPr>
          <w:rFonts w:ascii="Times New Roman" w:hAnsi="Times New Roman"/>
          <w:noProof/>
          <w:sz w:val="24"/>
          <w:szCs w:val="24"/>
        </w:rPr>
        <w:t>1</w:t>
      </w:r>
      <w:r>
        <w:rPr>
          <w:rFonts w:ascii="Times New Roman" w:hAnsi="Times New Roman"/>
          <w:noProof/>
          <w:sz w:val="24"/>
          <w:szCs w:val="24"/>
        </w:rPr>
        <w:t>,</w:t>
      </w:r>
      <w:r w:rsidRPr="00F43FC8">
        <w:rPr>
          <w:rFonts w:ascii="Times New Roman" w:hAnsi="Times New Roman"/>
          <w:noProof/>
          <w:sz w:val="24"/>
          <w:szCs w:val="24"/>
        </w:rPr>
        <w:t>65</w:t>
      </w:r>
      <w:r>
        <w:rPr>
          <w:rFonts w:ascii="Times New Roman" w:hAnsi="Times New Roman"/>
          <w:noProof/>
          <w:sz w:val="24"/>
          <w:szCs w:val="24"/>
        </w:rPr>
        <w:t xml:space="preserve"> milliard à environ </w:t>
      </w:r>
      <w:r w:rsidRPr="00F43FC8">
        <w:rPr>
          <w:rFonts w:ascii="Times New Roman" w:hAnsi="Times New Roman"/>
          <w:noProof/>
          <w:sz w:val="24"/>
          <w:szCs w:val="24"/>
        </w:rPr>
        <w:t>1</w:t>
      </w:r>
      <w:r>
        <w:rPr>
          <w:rFonts w:ascii="Times New Roman" w:hAnsi="Times New Roman"/>
          <w:noProof/>
          <w:sz w:val="24"/>
          <w:szCs w:val="24"/>
        </w:rPr>
        <w:t>,</w:t>
      </w:r>
      <w:r w:rsidRPr="00F43FC8">
        <w:rPr>
          <w:rFonts w:ascii="Times New Roman" w:hAnsi="Times New Roman"/>
          <w:noProof/>
          <w:sz w:val="24"/>
          <w:szCs w:val="24"/>
        </w:rPr>
        <w:t>39</w:t>
      </w:r>
      <w:r>
        <w:rPr>
          <w:rFonts w:ascii="Times New Roman" w:hAnsi="Times New Roman"/>
          <w:noProof/>
          <w:sz w:val="24"/>
          <w:szCs w:val="24"/>
        </w:rPr>
        <w:t> milliard de quotas. Bien que l’excédent ait augmenté en </w:t>
      </w:r>
      <w:r w:rsidRPr="00F43FC8">
        <w:rPr>
          <w:rFonts w:ascii="Times New Roman" w:hAnsi="Times New Roman"/>
          <w:noProof/>
          <w:sz w:val="24"/>
          <w:szCs w:val="24"/>
        </w:rPr>
        <w:t>2020</w:t>
      </w:r>
      <w:r>
        <w:rPr>
          <w:rFonts w:ascii="Times New Roman" w:hAnsi="Times New Roman"/>
          <w:noProof/>
          <w:sz w:val="24"/>
          <w:szCs w:val="24"/>
        </w:rPr>
        <w:t xml:space="preserve"> en raison d’une baisse de la demande, cet excédent supplémentaire devrait être absorbé dans les deux à quatre années à venir, contribuant ainsi au bon fonctionnement du marché. En outre, sur la base de l’indicateur d’excédent publié et de la législation relative au SEQE-UE applicable pour la phase </w:t>
      </w:r>
      <w:r w:rsidRPr="00F43FC8">
        <w:rPr>
          <w:rFonts w:ascii="Times New Roman" w:hAnsi="Times New Roman"/>
          <w:noProof/>
          <w:sz w:val="24"/>
          <w:szCs w:val="24"/>
        </w:rPr>
        <w:t>4</w:t>
      </w:r>
      <w:r>
        <w:rPr>
          <w:rFonts w:ascii="Times New Roman" w:hAnsi="Times New Roman"/>
          <w:noProof/>
          <w:sz w:val="24"/>
          <w:szCs w:val="24"/>
        </w:rPr>
        <w:t xml:space="preserve"> (</w:t>
      </w:r>
      <w:r w:rsidRPr="00F43FC8">
        <w:rPr>
          <w:rFonts w:ascii="Times New Roman" w:hAnsi="Times New Roman"/>
          <w:noProof/>
          <w:sz w:val="24"/>
          <w:szCs w:val="24"/>
        </w:rPr>
        <w:t>2021</w:t>
      </w:r>
      <w:r>
        <w:rPr>
          <w:rFonts w:ascii="Times New Roman" w:hAnsi="Times New Roman"/>
          <w:noProof/>
          <w:sz w:val="24"/>
          <w:szCs w:val="24"/>
        </w:rPr>
        <w:t>-</w:t>
      </w:r>
      <w:r w:rsidRPr="00F43FC8">
        <w:rPr>
          <w:rFonts w:ascii="Times New Roman" w:hAnsi="Times New Roman"/>
          <w:noProof/>
          <w:sz w:val="24"/>
          <w:szCs w:val="24"/>
        </w:rPr>
        <w:t>2030</w:t>
      </w:r>
      <w:r>
        <w:rPr>
          <w:rFonts w:ascii="Times New Roman" w:hAnsi="Times New Roman"/>
          <w:noProof/>
          <w:sz w:val="24"/>
          <w:szCs w:val="24"/>
        </w:rPr>
        <w:t>), les volumes de quotas à mettre aux enchères en </w:t>
      </w:r>
      <w:r w:rsidRPr="00F43FC8">
        <w:rPr>
          <w:rFonts w:ascii="Times New Roman" w:hAnsi="Times New Roman"/>
          <w:noProof/>
          <w:sz w:val="24"/>
          <w:szCs w:val="24"/>
        </w:rPr>
        <w:t>2021</w:t>
      </w:r>
      <w:r>
        <w:rPr>
          <w:rFonts w:ascii="Times New Roman" w:hAnsi="Times New Roman"/>
          <w:noProof/>
          <w:sz w:val="24"/>
          <w:szCs w:val="24"/>
        </w:rPr>
        <w:t xml:space="preserve"> ont été réduits de près de </w:t>
      </w:r>
      <w:r w:rsidRPr="00F43FC8">
        <w:rPr>
          <w:rFonts w:ascii="Times New Roman" w:hAnsi="Times New Roman"/>
          <w:noProof/>
          <w:sz w:val="24"/>
          <w:szCs w:val="24"/>
        </w:rPr>
        <w:t>40</w:t>
      </w:r>
      <w:r>
        <w:rPr>
          <w:rFonts w:ascii="Times New Roman" w:hAnsi="Times New Roman"/>
          <w:noProof/>
          <w:sz w:val="24"/>
          <w:szCs w:val="24"/>
        </w:rPr>
        <w:t> % et les volumes de </w:t>
      </w:r>
      <w:r w:rsidRPr="00F43FC8">
        <w:rPr>
          <w:rFonts w:ascii="Times New Roman" w:hAnsi="Times New Roman"/>
          <w:noProof/>
          <w:sz w:val="24"/>
          <w:szCs w:val="24"/>
        </w:rPr>
        <w:t>2022</w:t>
      </w:r>
      <w:r>
        <w:rPr>
          <w:rFonts w:ascii="Times New Roman" w:hAnsi="Times New Roman"/>
          <w:noProof/>
          <w:sz w:val="24"/>
          <w:szCs w:val="24"/>
        </w:rPr>
        <w:t xml:space="preserve"> connaîtront un traitement similaire.</w:t>
      </w:r>
    </w:p>
    <w:p w14:paraId="3727BB42" w14:textId="131F378B" w:rsidR="009F3367" w:rsidRPr="00DA11F1" w:rsidRDefault="0014359B" w:rsidP="006C746A">
      <w:pPr>
        <w:jc w:val="both"/>
        <w:rPr>
          <w:rFonts w:ascii="Times New Roman" w:hAnsi="Times New Roman"/>
          <w:noProof/>
          <w:sz w:val="24"/>
          <w:szCs w:val="24"/>
        </w:rPr>
      </w:pPr>
      <w:r>
        <w:rPr>
          <w:rFonts w:ascii="Times New Roman" w:hAnsi="Times New Roman"/>
          <w:noProof/>
          <w:sz w:val="24"/>
          <w:szCs w:val="24"/>
        </w:rPr>
        <w:t>La fin de la phase </w:t>
      </w:r>
      <w:r w:rsidRPr="00F43FC8">
        <w:rPr>
          <w:rFonts w:ascii="Times New Roman" w:hAnsi="Times New Roman"/>
          <w:noProof/>
          <w:sz w:val="24"/>
          <w:szCs w:val="24"/>
        </w:rPr>
        <w:t>3</w:t>
      </w:r>
      <w:r>
        <w:rPr>
          <w:rFonts w:ascii="Times New Roman" w:hAnsi="Times New Roman"/>
          <w:noProof/>
          <w:sz w:val="24"/>
          <w:szCs w:val="24"/>
        </w:rPr>
        <w:t>, après l’activation de la réserve de stabilité du marché, a été marquée par un regain de confiance de la part des acteurs du marché, illustrée par un signal de prix du carbone renforcé. En </w:t>
      </w:r>
      <w:r w:rsidRPr="00F43FC8">
        <w:rPr>
          <w:rFonts w:ascii="Times New Roman" w:hAnsi="Times New Roman"/>
          <w:noProof/>
          <w:sz w:val="24"/>
          <w:szCs w:val="24"/>
        </w:rPr>
        <w:t>2020</w:t>
      </w:r>
      <w:r>
        <w:rPr>
          <w:rFonts w:ascii="Times New Roman" w:hAnsi="Times New Roman"/>
          <w:noProof/>
          <w:sz w:val="24"/>
          <w:szCs w:val="24"/>
        </w:rPr>
        <w:t xml:space="preserve"> et </w:t>
      </w:r>
      <w:r w:rsidRPr="00F43FC8">
        <w:rPr>
          <w:rFonts w:ascii="Times New Roman" w:hAnsi="Times New Roman"/>
          <w:noProof/>
          <w:sz w:val="24"/>
          <w:szCs w:val="24"/>
        </w:rPr>
        <w:t>2021</w:t>
      </w:r>
      <w:r>
        <w:rPr>
          <w:rFonts w:ascii="Times New Roman" w:hAnsi="Times New Roman"/>
          <w:noProof/>
          <w:sz w:val="24"/>
          <w:szCs w:val="24"/>
        </w:rPr>
        <w:t>, malgré la situation économique difficile pour l’industrie et l’aviation en raison de la crise de la COVID-</w:t>
      </w:r>
      <w:r w:rsidRPr="00F43FC8">
        <w:rPr>
          <w:rFonts w:ascii="Times New Roman" w:hAnsi="Times New Roman"/>
          <w:noProof/>
          <w:sz w:val="24"/>
          <w:szCs w:val="24"/>
        </w:rPr>
        <w:t>19</w:t>
      </w:r>
      <w:r>
        <w:rPr>
          <w:rFonts w:ascii="Times New Roman" w:hAnsi="Times New Roman"/>
          <w:noProof/>
          <w:sz w:val="24"/>
          <w:szCs w:val="24"/>
        </w:rPr>
        <w:t>, le signal de prix du carbone est resté stable en </w:t>
      </w:r>
      <w:r w:rsidRPr="00F43FC8">
        <w:rPr>
          <w:rFonts w:ascii="Times New Roman" w:hAnsi="Times New Roman"/>
          <w:noProof/>
          <w:sz w:val="24"/>
          <w:szCs w:val="24"/>
        </w:rPr>
        <w:t>2020</w:t>
      </w:r>
      <w:r>
        <w:rPr>
          <w:rFonts w:ascii="Times New Roman" w:hAnsi="Times New Roman"/>
          <w:noProof/>
          <w:sz w:val="24"/>
          <w:szCs w:val="24"/>
        </w:rPr>
        <w:t xml:space="preserve"> et a considérablement augmenté en </w:t>
      </w:r>
      <w:r w:rsidRPr="00F43FC8">
        <w:rPr>
          <w:rFonts w:ascii="Times New Roman" w:hAnsi="Times New Roman"/>
          <w:noProof/>
          <w:sz w:val="24"/>
          <w:szCs w:val="24"/>
        </w:rPr>
        <w:t>2021</w:t>
      </w:r>
      <w:r>
        <w:rPr>
          <w:rFonts w:ascii="Times New Roman" w:hAnsi="Times New Roman"/>
          <w:noProof/>
          <w:sz w:val="24"/>
          <w:szCs w:val="24"/>
        </w:rPr>
        <w:t>, influencé par la hausse des prix du gaz et l’anticipation par le marché des conséquences du niveau d’ambition climatique accru pour </w:t>
      </w:r>
      <w:r w:rsidRPr="00F43FC8">
        <w:rPr>
          <w:rFonts w:ascii="Times New Roman" w:hAnsi="Times New Roman"/>
          <w:noProof/>
          <w:sz w:val="24"/>
          <w:szCs w:val="24"/>
        </w:rPr>
        <w:t>2030</w:t>
      </w:r>
      <w:r>
        <w:rPr>
          <w:rFonts w:ascii="Times New Roman" w:hAnsi="Times New Roman"/>
          <w:noProof/>
          <w:sz w:val="24"/>
          <w:szCs w:val="24"/>
        </w:rPr>
        <w:t>.</w:t>
      </w:r>
    </w:p>
    <w:p w14:paraId="0758C68C" w14:textId="0E2DB495" w:rsidR="00FA6B61" w:rsidRPr="00DA11F1" w:rsidRDefault="009F3367" w:rsidP="00155B66">
      <w:pPr>
        <w:jc w:val="both"/>
        <w:rPr>
          <w:rFonts w:ascii="Times New Roman" w:hAnsi="Times New Roman"/>
          <w:noProof/>
          <w:sz w:val="24"/>
          <w:szCs w:val="24"/>
        </w:rPr>
      </w:pPr>
      <w:r>
        <w:rPr>
          <w:rFonts w:ascii="Times New Roman" w:hAnsi="Times New Roman"/>
          <w:noProof/>
          <w:sz w:val="24"/>
          <w:szCs w:val="24"/>
        </w:rPr>
        <w:t>Le prix plus élevé des quotas d’émission a entraîné une augmentation substantielle des recettes totales des ventes aux enchères générées par les pays participant au SEQE-UE. Entre </w:t>
      </w:r>
      <w:r w:rsidRPr="00F43FC8">
        <w:rPr>
          <w:rFonts w:ascii="Times New Roman" w:hAnsi="Times New Roman"/>
          <w:noProof/>
          <w:sz w:val="24"/>
          <w:szCs w:val="24"/>
        </w:rPr>
        <w:t>2012</w:t>
      </w:r>
      <w:r>
        <w:rPr>
          <w:rFonts w:ascii="Times New Roman" w:hAnsi="Times New Roman"/>
          <w:noProof/>
          <w:sz w:val="24"/>
          <w:szCs w:val="24"/>
        </w:rPr>
        <w:t xml:space="preserve"> et le </w:t>
      </w:r>
      <w:r w:rsidRPr="00F43FC8">
        <w:rPr>
          <w:rFonts w:ascii="Times New Roman" w:hAnsi="Times New Roman"/>
          <w:noProof/>
          <w:sz w:val="24"/>
          <w:szCs w:val="24"/>
        </w:rPr>
        <w:t>30</w:t>
      </w:r>
      <w:r>
        <w:rPr>
          <w:rFonts w:ascii="Times New Roman" w:hAnsi="Times New Roman"/>
          <w:noProof/>
          <w:sz w:val="24"/>
          <w:szCs w:val="24"/>
        </w:rPr>
        <w:t> juin </w:t>
      </w:r>
      <w:r w:rsidRPr="00F43FC8">
        <w:rPr>
          <w:rFonts w:ascii="Times New Roman" w:hAnsi="Times New Roman"/>
          <w:noProof/>
          <w:sz w:val="24"/>
          <w:szCs w:val="24"/>
        </w:rPr>
        <w:t>2021</w:t>
      </w:r>
      <w:r>
        <w:rPr>
          <w:rFonts w:ascii="Times New Roman" w:hAnsi="Times New Roman"/>
          <w:noProof/>
          <w:sz w:val="24"/>
          <w:szCs w:val="24"/>
        </w:rPr>
        <w:t xml:space="preserve">, ces recettes ont dépassé </w:t>
      </w:r>
      <w:r w:rsidRPr="00F43FC8">
        <w:rPr>
          <w:rFonts w:ascii="Times New Roman" w:hAnsi="Times New Roman"/>
          <w:noProof/>
          <w:sz w:val="24"/>
          <w:szCs w:val="24"/>
        </w:rPr>
        <w:t>83</w:t>
      </w:r>
      <w:r>
        <w:rPr>
          <w:rFonts w:ascii="Times New Roman" w:hAnsi="Times New Roman"/>
          <w:noProof/>
          <w:sz w:val="24"/>
          <w:szCs w:val="24"/>
        </w:rPr>
        <w:t>,</w:t>
      </w:r>
      <w:r w:rsidRPr="00F43FC8">
        <w:rPr>
          <w:rFonts w:ascii="Times New Roman" w:hAnsi="Times New Roman"/>
          <w:noProof/>
          <w:sz w:val="24"/>
          <w:szCs w:val="24"/>
        </w:rPr>
        <w:t>5</w:t>
      </w:r>
      <w:r>
        <w:rPr>
          <w:rFonts w:ascii="Times New Roman" w:hAnsi="Times New Roman"/>
          <w:noProof/>
          <w:sz w:val="24"/>
          <w:szCs w:val="24"/>
        </w:rPr>
        <w:t xml:space="preserve"> milliards d’euros, avec plus de </w:t>
      </w:r>
      <w:r w:rsidRPr="00F43FC8">
        <w:rPr>
          <w:rFonts w:ascii="Times New Roman" w:hAnsi="Times New Roman"/>
          <w:noProof/>
          <w:sz w:val="24"/>
          <w:szCs w:val="24"/>
        </w:rPr>
        <w:t>19</w:t>
      </w:r>
      <w:r>
        <w:rPr>
          <w:rFonts w:ascii="Times New Roman" w:hAnsi="Times New Roman"/>
          <w:noProof/>
          <w:sz w:val="24"/>
          <w:szCs w:val="24"/>
        </w:rPr>
        <w:t> milliards d’euros générés en </w:t>
      </w:r>
      <w:r w:rsidRPr="00F43FC8">
        <w:rPr>
          <w:rFonts w:ascii="Times New Roman" w:hAnsi="Times New Roman"/>
          <w:noProof/>
          <w:sz w:val="24"/>
          <w:szCs w:val="24"/>
        </w:rPr>
        <w:t>2020</w:t>
      </w:r>
      <w:r>
        <w:rPr>
          <w:rFonts w:ascii="Times New Roman" w:hAnsi="Times New Roman"/>
          <w:noProof/>
          <w:sz w:val="24"/>
          <w:szCs w:val="24"/>
        </w:rPr>
        <w:t xml:space="preserve"> et près de </w:t>
      </w:r>
      <w:r w:rsidRPr="00F43FC8">
        <w:rPr>
          <w:rFonts w:ascii="Times New Roman" w:hAnsi="Times New Roman"/>
          <w:noProof/>
          <w:sz w:val="24"/>
          <w:szCs w:val="24"/>
        </w:rPr>
        <w:t>14</w:t>
      </w:r>
      <w:r>
        <w:rPr>
          <w:rFonts w:ascii="Times New Roman" w:hAnsi="Times New Roman"/>
          <w:noProof/>
          <w:sz w:val="24"/>
          <w:szCs w:val="24"/>
        </w:rPr>
        <w:t> milliards d’euros au premier semestre </w:t>
      </w:r>
      <w:r w:rsidRPr="00F43FC8">
        <w:rPr>
          <w:rFonts w:ascii="Times New Roman" w:hAnsi="Times New Roman"/>
          <w:noProof/>
          <w:sz w:val="24"/>
          <w:szCs w:val="24"/>
        </w:rPr>
        <w:t>2021</w:t>
      </w:r>
      <w:r w:rsidR="00E63039" w:rsidRPr="00DA11F1">
        <w:rPr>
          <w:rStyle w:val="FootnoteReference"/>
          <w:rFonts w:ascii="Times New Roman" w:hAnsi="Times New Roman"/>
          <w:noProof/>
          <w:sz w:val="24"/>
          <w:szCs w:val="24"/>
        </w:rPr>
        <w:footnoteReference w:id="132"/>
      </w:r>
      <w:r>
        <w:rPr>
          <w:rFonts w:ascii="Times New Roman" w:hAnsi="Times New Roman"/>
          <w:noProof/>
          <w:sz w:val="24"/>
          <w:szCs w:val="24"/>
        </w:rPr>
        <w:t>.  Durant la phase </w:t>
      </w:r>
      <w:r w:rsidRPr="00F43FC8">
        <w:rPr>
          <w:rFonts w:ascii="Times New Roman" w:hAnsi="Times New Roman"/>
          <w:noProof/>
          <w:sz w:val="24"/>
          <w:szCs w:val="24"/>
        </w:rPr>
        <w:t>3</w:t>
      </w:r>
      <w:r>
        <w:rPr>
          <w:rFonts w:ascii="Times New Roman" w:hAnsi="Times New Roman"/>
          <w:noProof/>
          <w:sz w:val="24"/>
          <w:szCs w:val="24"/>
        </w:rPr>
        <w:t>, globalement, une part importante (</w:t>
      </w:r>
      <w:r w:rsidRPr="00F43FC8">
        <w:rPr>
          <w:rFonts w:ascii="Times New Roman" w:hAnsi="Times New Roman"/>
          <w:noProof/>
          <w:sz w:val="24"/>
          <w:szCs w:val="24"/>
        </w:rPr>
        <w:t>75</w:t>
      </w:r>
      <w:r>
        <w:rPr>
          <w:rFonts w:ascii="Times New Roman" w:hAnsi="Times New Roman"/>
          <w:noProof/>
          <w:sz w:val="24"/>
          <w:szCs w:val="24"/>
        </w:rPr>
        <w:t xml:space="preserve"> %) de ces recettes </w:t>
      </w:r>
      <w:r w:rsidR="00155B66">
        <w:rPr>
          <w:rFonts w:ascii="Times New Roman" w:hAnsi="Times New Roman"/>
          <w:noProof/>
          <w:sz w:val="24"/>
          <w:szCs w:val="24"/>
        </w:rPr>
        <w:t>a</w:t>
      </w:r>
      <w:r>
        <w:rPr>
          <w:rFonts w:ascii="Times New Roman" w:hAnsi="Times New Roman"/>
          <w:noProof/>
          <w:sz w:val="24"/>
          <w:szCs w:val="24"/>
        </w:rPr>
        <w:t xml:space="preserve"> été utilisée dans des actions liées au climat et à l’énergie.</w:t>
      </w:r>
      <w:r>
        <w:rPr>
          <w:rFonts w:ascii="Times New Roman" w:hAnsi="Times New Roman"/>
          <w:noProof/>
        </w:rPr>
        <w:t xml:space="preserve"> </w:t>
      </w:r>
    </w:p>
    <w:p w14:paraId="7E64A869" w14:textId="4B51839F" w:rsidR="00FA6B61" w:rsidRPr="00DA11F1" w:rsidRDefault="0057091D" w:rsidP="006C746A">
      <w:pPr>
        <w:jc w:val="both"/>
        <w:rPr>
          <w:rFonts w:ascii="Times New Roman" w:hAnsi="Times New Roman"/>
          <w:noProof/>
          <w:sz w:val="24"/>
          <w:szCs w:val="24"/>
        </w:rPr>
      </w:pPr>
      <w:r>
        <w:rPr>
          <w:rFonts w:ascii="Times New Roman" w:hAnsi="Times New Roman"/>
          <w:noProof/>
          <w:sz w:val="24"/>
          <w:szCs w:val="24"/>
        </w:rPr>
        <w:t>Tout au long de la phase </w:t>
      </w:r>
      <w:r w:rsidRPr="00F43FC8">
        <w:rPr>
          <w:rFonts w:ascii="Times New Roman" w:hAnsi="Times New Roman"/>
          <w:noProof/>
          <w:sz w:val="24"/>
          <w:szCs w:val="24"/>
        </w:rPr>
        <w:t>3</w:t>
      </w:r>
      <w:r>
        <w:rPr>
          <w:rFonts w:ascii="Times New Roman" w:hAnsi="Times New Roman"/>
          <w:noProof/>
          <w:sz w:val="24"/>
          <w:szCs w:val="24"/>
        </w:rPr>
        <w:t>, et malgré la situation économique difficile due à la crise de la COVID-</w:t>
      </w:r>
      <w:r w:rsidRPr="00F43FC8">
        <w:rPr>
          <w:rFonts w:ascii="Times New Roman" w:hAnsi="Times New Roman"/>
          <w:noProof/>
          <w:sz w:val="24"/>
          <w:szCs w:val="24"/>
        </w:rPr>
        <w:t>19</w:t>
      </w:r>
      <w:r>
        <w:rPr>
          <w:rFonts w:ascii="Times New Roman" w:hAnsi="Times New Roman"/>
          <w:noProof/>
          <w:sz w:val="24"/>
          <w:szCs w:val="24"/>
        </w:rPr>
        <w:t xml:space="preserve"> durant les cycles de mise en conformité </w:t>
      </w:r>
      <w:r w:rsidRPr="00F43FC8">
        <w:rPr>
          <w:rFonts w:ascii="Times New Roman" w:hAnsi="Times New Roman"/>
          <w:noProof/>
          <w:sz w:val="24"/>
          <w:szCs w:val="24"/>
        </w:rPr>
        <w:t>2020</w:t>
      </w:r>
      <w:r>
        <w:rPr>
          <w:rFonts w:ascii="Times New Roman" w:hAnsi="Times New Roman"/>
          <w:noProof/>
          <w:sz w:val="24"/>
          <w:szCs w:val="24"/>
        </w:rPr>
        <w:t xml:space="preserve"> et </w:t>
      </w:r>
      <w:r w:rsidRPr="00F43FC8">
        <w:rPr>
          <w:rFonts w:ascii="Times New Roman" w:hAnsi="Times New Roman"/>
          <w:noProof/>
          <w:sz w:val="24"/>
          <w:szCs w:val="24"/>
        </w:rPr>
        <w:t>2021</w:t>
      </w:r>
      <w:r>
        <w:rPr>
          <w:rFonts w:ascii="Times New Roman" w:hAnsi="Times New Roman"/>
          <w:noProof/>
          <w:sz w:val="24"/>
          <w:szCs w:val="24"/>
        </w:rPr>
        <w:t xml:space="preserve">, le niveau de conformité au SEQE-UE est toujours resté très élevé. Les exploitants responsables, la plupart des années, de plus de </w:t>
      </w:r>
      <w:r w:rsidRPr="00F43FC8">
        <w:rPr>
          <w:rFonts w:ascii="Times New Roman" w:hAnsi="Times New Roman"/>
          <w:noProof/>
          <w:sz w:val="24"/>
          <w:szCs w:val="24"/>
        </w:rPr>
        <w:t>99</w:t>
      </w:r>
      <w:r>
        <w:rPr>
          <w:rFonts w:ascii="Times New Roman" w:hAnsi="Times New Roman"/>
          <w:noProof/>
          <w:sz w:val="24"/>
          <w:szCs w:val="24"/>
        </w:rPr>
        <w:t> % des émissions des installations fixes et de l’aviation ont satisfait à leurs obligations légales. L’architecture du SEQE-UE est restée solide et l’organisation administrative mise en place dans l’ensemble des pays participants s’est révélée efficace.</w:t>
      </w:r>
    </w:p>
    <w:p w14:paraId="4BEDDBDF" w14:textId="37D6EB8B" w:rsidR="0014359B" w:rsidRPr="00DA11F1" w:rsidRDefault="0014359B" w:rsidP="006C746A">
      <w:pPr>
        <w:jc w:val="both"/>
        <w:rPr>
          <w:rFonts w:ascii="Times New Roman" w:hAnsi="Times New Roman"/>
          <w:noProof/>
          <w:sz w:val="24"/>
          <w:szCs w:val="24"/>
        </w:rPr>
      </w:pPr>
      <w:r>
        <w:rPr>
          <w:rFonts w:ascii="Times New Roman" w:hAnsi="Times New Roman"/>
          <w:noProof/>
          <w:sz w:val="24"/>
          <w:szCs w:val="24"/>
        </w:rPr>
        <w:t>Le premier accord de couplage du SEQE-UE avec un autre système, le SEQE de la Suisse, conclu lors de la dernière année de la phase </w:t>
      </w:r>
      <w:r w:rsidRPr="00F43FC8">
        <w:rPr>
          <w:rFonts w:ascii="Times New Roman" w:hAnsi="Times New Roman"/>
          <w:noProof/>
          <w:sz w:val="24"/>
          <w:szCs w:val="24"/>
        </w:rPr>
        <w:t>3</w:t>
      </w:r>
      <w:r>
        <w:rPr>
          <w:rFonts w:ascii="Times New Roman" w:hAnsi="Times New Roman"/>
          <w:noProof/>
          <w:sz w:val="24"/>
          <w:szCs w:val="24"/>
        </w:rPr>
        <w:t>, favorise la flexibilité et l’efficacité sur les deux marchés du carbone, en permettant aux exploitants des deux systèmes de profiter des avantages d’un marché plus vaste.</w:t>
      </w:r>
    </w:p>
    <w:p w14:paraId="58AA0824" w14:textId="1633C25D" w:rsidR="00131369" w:rsidRPr="00DA11F1" w:rsidRDefault="00A52EA3" w:rsidP="006C746A">
      <w:pPr>
        <w:jc w:val="both"/>
        <w:rPr>
          <w:rStyle w:val="Heading1Char"/>
          <w:rFonts w:eastAsia="Calibri"/>
          <w:b w:val="0"/>
          <w:bCs w:val="0"/>
          <w:noProof/>
          <w:kern w:val="0"/>
          <w:szCs w:val="24"/>
        </w:rPr>
      </w:pPr>
      <w:r>
        <w:rPr>
          <w:rFonts w:ascii="Times New Roman" w:hAnsi="Times New Roman"/>
          <w:noProof/>
          <w:sz w:val="24"/>
          <w:szCs w:val="24"/>
        </w:rPr>
        <w:t>Pour les années à venir, dans le cadre de son ensemble de mesures adopté en juillet </w:t>
      </w:r>
      <w:r w:rsidRPr="00F43FC8">
        <w:rPr>
          <w:rFonts w:ascii="Times New Roman" w:hAnsi="Times New Roman"/>
          <w:noProof/>
          <w:sz w:val="24"/>
          <w:szCs w:val="24"/>
        </w:rPr>
        <w:t>2021</w:t>
      </w:r>
      <w:r>
        <w:rPr>
          <w:rFonts w:ascii="Times New Roman" w:hAnsi="Times New Roman"/>
          <w:noProof/>
          <w:sz w:val="24"/>
          <w:szCs w:val="24"/>
        </w:rPr>
        <w:t xml:space="preserve"> en vue de mettre en œuvre le pacte vert pour l’Europe, la Commission a proposé de renforcer et d’étendre le rôle de la tarification du carbone afin de permettre à l’UE de réaliser ses ambitions climatiques accrues. Le SEQE-UE demeure l’un des grands piliers de la politique climatique de l’UE. Le prochain rapport sur le marché du carbone, dont la publication est prévue pour la fin </w:t>
      </w:r>
      <w:r w:rsidRPr="00F43FC8">
        <w:rPr>
          <w:rFonts w:ascii="Times New Roman" w:hAnsi="Times New Roman"/>
          <w:noProof/>
          <w:sz w:val="24"/>
          <w:szCs w:val="24"/>
        </w:rPr>
        <w:t>2022</w:t>
      </w:r>
      <w:r>
        <w:rPr>
          <w:rFonts w:ascii="Times New Roman" w:hAnsi="Times New Roman"/>
          <w:noProof/>
          <w:sz w:val="24"/>
          <w:szCs w:val="24"/>
        </w:rPr>
        <w:t>, donnera un aperçu du fonctionnement du SEQE-UE durant la première année de la phase </w:t>
      </w:r>
      <w:r w:rsidRPr="00F43FC8">
        <w:rPr>
          <w:rFonts w:ascii="Times New Roman" w:hAnsi="Times New Roman"/>
          <w:noProof/>
          <w:sz w:val="24"/>
          <w:szCs w:val="24"/>
        </w:rPr>
        <w:t>4</w:t>
      </w:r>
      <w:r>
        <w:rPr>
          <w:rFonts w:ascii="Times New Roman" w:hAnsi="Times New Roman"/>
          <w:noProof/>
          <w:sz w:val="24"/>
          <w:szCs w:val="24"/>
        </w:rPr>
        <w:t>.</w:t>
      </w:r>
      <w:bookmarkEnd w:id="78"/>
    </w:p>
    <w:sectPr w:rsidR="00131369" w:rsidRPr="00DA11F1" w:rsidSect="006F13D7">
      <w:headerReference w:type="even" r:id="rId53"/>
      <w:headerReference w:type="default" r:id="rId54"/>
      <w:footerReference w:type="even" r:id="rId55"/>
      <w:footerReference w:type="default" r:id="rId56"/>
      <w:headerReference w:type="first" r:id="rId57"/>
      <w:footerReference w:type="first" r:id="rId58"/>
      <w:pgSz w:w="11906" w:h="16838"/>
      <w:pgMar w:top="1440" w:right="1440" w:bottom="1440" w:left="1440" w:header="708" w:footer="708"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E97C30" w16cid:durableId="1D584DA1"/>
  <w16cid:commentId w16cid:paraId="5F4E4608" w16cid:durableId="1D584DA2"/>
  <w16cid:commentId w16cid:paraId="58E17FD7" w16cid:durableId="1D584DA3"/>
  <w16cid:commentId w16cid:paraId="5DF23A43" w16cid:durableId="1D584DA4"/>
  <w16cid:commentId w16cid:paraId="30B21068" w16cid:durableId="1D584DA5"/>
  <w16cid:commentId w16cid:paraId="3A2C271F" w16cid:durableId="1D584DA6"/>
  <w16cid:commentId w16cid:paraId="4AE592B9" w16cid:durableId="1D584DA7"/>
  <w16cid:commentId w16cid:paraId="643AA177" w16cid:durableId="1D584DA8"/>
  <w16cid:commentId w16cid:paraId="38513F67" w16cid:durableId="1D584DA9"/>
  <w16cid:commentId w16cid:paraId="1FFA1ED9" w16cid:durableId="1D584DAA"/>
  <w16cid:commentId w16cid:paraId="597E28CC" w16cid:durableId="1D584DAB"/>
  <w16cid:commentId w16cid:paraId="57EFFC44" w16cid:durableId="1D584DA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680CB0" w14:textId="77777777" w:rsidR="00372F2A" w:rsidRDefault="00372F2A">
      <w:pPr>
        <w:spacing w:after="0" w:line="240" w:lineRule="auto"/>
      </w:pPr>
      <w:r>
        <w:separator/>
      </w:r>
    </w:p>
  </w:endnote>
  <w:endnote w:type="continuationSeparator" w:id="0">
    <w:p w14:paraId="0AF2560A" w14:textId="77777777" w:rsidR="00372F2A" w:rsidRDefault="00372F2A">
      <w:pPr>
        <w:spacing w:after="0" w:line="240" w:lineRule="auto"/>
      </w:pPr>
      <w:r>
        <w:continuationSeparator/>
      </w:r>
    </w:p>
  </w:endnote>
  <w:endnote w:type="continuationNotice" w:id="1">
    <w:p w14:paraId="2E08C0F0" w14:textId="77777777" w:rsidR="00372F2A" w:rsidRDefault="00372F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34261" w14:textId="77777777" w:rsidR="00F06FBC" w:rsidRPr="00F06FBC" w:rsidRDefault="00F06FBC" w:rsidP="00F06FB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173EB" w14:textId="77777777" w:rsidR="00372F2A" w:rsidRDefault="00372F2A">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3ED34" w14:textId="059AAB5E" w:rsidR="00372F2A" w:rsidRDefault="00372F2A">
    <w:pPr>
      <w:pStyle w:val="Footer"/>
      <w:jc w:val="center"/>
    </w:pPr>
    <w:r>
      <w:fldChar w:fldCharType="begin"/>
    </w:r>
    <w:r>
      <w:instrText xml:space="preserve"> PAGE   \* MERGEFORMAT </w:instrText>
    </w:r>
    <w:r>
      <w:fldChar w:fldCharType="separate"/>
    </w:r>
    <w:r w:rsidR="00F06FBC">
      <w:rPr>
        <w:noProof/>
      </w:rPr>
      <w:t>20</w:t>
    </w:r>
    <w:r>
      <w:fldChar w:fldCharType="end"/>
    </w:r>
  </w:p>
  <w:p w14:paraId="19DFA47B" w14:textId="77777777" w:rsidR="00372F2A" w:rsidRDefault="00372F2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A2B97" w14:textId="77777777" w:rsidR="00372F2A" w:rsidRDefault="00372F2A">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0F868" w14:textId="77777777" w:rsidR="00372F2A" w:rsidRDefault="00372F2A">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2E973" w14:textId="000097B6" w:rsidR="00372F2A" w:rsidRDefault="00372F2A">
    <w:pPr>
      <w:pStyle w:val="Footer"/>
      <w:jc w:val="center"/>
    </w:pPr>
    <w:r>
      <w:fldChar w:fldCharType="begin"/>
    </w:r>
    <w:r>
      <w:instrText xml:space="preserve"> PAGE   \* MERGEFORMAT </w:instrText>
    </w:r>
    <w:r>
      <w:fldChar w:fldCharType="separate"/>
    </w:r>
    <w:r w:rsidR="00F43FC8">
      <w:rPr>
        <w:noProof/>
      </w:rPr>
      <w:t>27</w:t>
    </w:r>
    <w:r>
      <w:fldChar w:fldCharType="end"/>
    </w:r>
  </w:p>
  <w:p w14:paraId="28F2C362" w14:textId="77777777" w:rsidR="00372F2A" w:rsidRDefault="00372F2A">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162B4" w14:textId="77777777" w:rsidR="00372F2A" w:rsidRDefault="00372F2A">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F8E9D" w14:textId="77777777" w:rsidR="00372F2A" w:rsidRDefault="00372F2A">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FCD1E" w14:textId="43B2C011" w:rsidR="00372F2A" w:rsidRDefault="00372F2A">
    <w:pPr>
      <w:pStyle w:val="Footer"/>
      <w:jc w:val="center"/>
    </w:pPr>
    <w:r>
      <w:fldChar w:fldCharType="begin"/>
    </w:r>
    <w:r>
      <w:instrText xml:space="preserve"> PAGE   \* MERGEFORMAT </w:instrText>
    </w:r>
    <w:r>
      <w:fldChar w:fldCharType="separate"/>
    </w:r>
    <w:r w:rsidR="00F43FC8">
      <w:rPr>
        <w:noProof/>
      </w:rPr>
      <w:t>50</w:t>
    </w:r>
    <w:r>
      <w:fldChar w:fldCharType="end"/>
    </w:r>
  </w:p>
  <w:p w14:paraId="6EECC0F3" w14:textId="77777777" w:rsidR="00372F2A" w:rsidRDefault="00372F2A">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FCB23" w14:textId="77777777" w:rsidR="00372F2A" w:rsidRDefault="00372F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84A64" w14:textId="537E0D96" w:rsidR="00372F2A" w:rsidRPr="00F06FBC" w:rsidRDefault="00F06FBC" w:rsidP="00F06FBC">
    <w:pPr>
      <w:pStyle w:val="FooterCoverPage"/>
      <w:rPr>
        <w:rFonts w:ascii="Arial" w:hAnsi="Arial" w:cs="Arial"/>
        <w:b/>
        <w:sz w:val="48"/>
      </w:rPr>
    </w:pPr>
    <w:r w:rsidRPr="00F06FBC">
      <w:rPr>
        <w:rFonts w:ascii="Arial" w:hAnsi="Arial" w:cs="Arial"/>
        <w:b/>
        <w:sz w:val="48"/>
      </w:rPr>
      <w:t>FR</w:t>
    </w:r>
    <w:r w:rsidRPr="00F06FBC">
      <w:rPr>
        <w:rFonts w:ascii="Arial" w:hAnsi="Arial" w:cs="Arial"/>
        <w:b/>
        <w:sz w:val="48"/>
      </w:rPr>
      <w:tab/>
    </w:r>
    <w:r w:rsidRPr="00F06FBC">
      <w:rPr>
        <w:rFonts w:ascii="Arial" w:hAnsi="Arial" w:cs="Arial"/>
        <w:b/>
        <w:sz w:val="48"/>
      </w:rPr>
      <w:tab/>
    </w:r>
    <w:r w:rsidRPr="00F06FBC">
      <w:tab/>
    </w:r>
    <w:r w:rsidRPr="00F06FBC">
      <w:rPr>
        <w:rFonts w:ascii="Arial" w:hAnsi="Arial" w:cs="Arial"/>
        <w:b/>
        <w:sz w:val="48"/>
      </w:rPr>
      <w:t>FR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2C970" w14:textId="77777777" w:rsidR="00F06FBC" w:rsidRPr="00F06FBC" w:rsidRDefault="00F06FBC" w:rsidP="00F06FBC">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CBEAD" w14:textId="77777777" w:rsidR="00372F2A" w:rsidRDefault="00372F2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6E2E0" w14:textId="36DB6C04" w:rsidR="00372F2A" w:rsidRDefault="00372F2A">
    <w:pPr>
      <w:pStyle w:val="Footer"/>
      <w:jc w:val="center"/>
    </w:pPr>
    <w:r>
      <w:fldChar w:fldCharType="begin"/>
    </w:r>
    <w:r>
      <w:instrText xml:space="preserve"> PAGE   \* MERGEFORMAT </w:instrText>
    </w:r>
    <w:r>
      <w:fldChar w:fldCharType="separate"/>
    </w:r>
    <w:r w:rsidR="00F06FBC">
      <w:rPr>
        <w:noProof/>
      </w:rPr>
      <w:t>1</w:t>
    </w:r>
    <w:r>
      <w:fldChar w:fldCharType="end"/>
    </w:r>
  </w:p>
  <w:p w14:paraId="62BA87FC" w14:textId="77777777" w:rsidR="00372F2A" w:rsidRDefault="00372F2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35254" w14:textId="77777777" w:rsidR="00372F2A" w:rsidRDefault="00372F2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AA058" w14:textId="77777777" w:rsidR="00372F2A" w:rsidRDefault="00372F2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52F25" w14:textId="7EEDECE1" w:rsidR="00372F2A" w:rsidRDefault="00372F2A">
    <w:pPr>
      <w:pStyle w:val="Footer"/>
      <w:jc w:val="center"/>
    </w:pPr>
    <w:r>
      <w:fldChar w:fldCharType="begin"/>
    </w:r>
    <w:r>
      <w:instrText xml:space="preserve"> PAGE   \* MERGEFORMAT </w:instrText>
    </w:r>
    <w:r>
      <w:fldChar w:fldCharType="separate"/>
    </w:r>
    <w:r w:rsidR="00F06FBC">
      <w:rPr>
        <w:noProof/>
      </w:rPr>
      <w:t>10</w:t>
    </w:r>
    <w:r>
      <w:fldChar w:fldCharType="end"/>
    </w:r>
  </w:p>
  <w:p w14:paraId="17EE768F" w14:textId="77777777" w:rsidR="00372F2A" w:rsidRDefault="00372F2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76FFA" w14:textId="77777777" w:rsidR="00372F2A" w:rsidRDefault="00372F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764255" w14:textId="77777777" w:rsidR="00372F2A" w:rsidRDefault="00372F2A">
      <w:pPr>
        <w:spacing w:after="0" w:line="240" w:lineRule="auto"/>
      </w:pPr>
      <w:r>
        <w:separator/>
      </w:r>
    </w:p>
  </w:footnote>
  <w:footnote w:type="continuationSeparator" w:id="0">
    <w:p w14:paraId="309CDEF0" w14:textId="77777777" w:rsidR="00372F2A" w:rsidRDefault="00372F2A">
      <w:pPr>
        <w:spacing w:after="0" w:line="240" w:lineRule="auto"/>
      </w:pPr>
      <w:r>
        <w:continuationSeparator/>
      </w:r>
    </w:p>
  </w:footnote>
  <w:footnote w:type="continuationNotice" w:id="1">
    <w:p w14:paraId="4F11D23F" w14:textId="77777777" w:rsidR="00372F2A" w:rsidRDefault="00372F2A">
      <w:pPr>
        <w:spacing w:after="0" w:line="240" w:lineRule="auto"/>
      </w:pPr>
    </w:p>
  </w:footnote>
  <w:footnote w:id="2">
    <w:p w14:paraId="70319730" w14:textId="6CFE51D6" w:rsidR="00372F2A" w:rsidRDefault="00372F2A" w:rsidP="00666776">
      <w:pPr>
        <w:pStyle w:val="FootnoteText"/>
      </w:pPr>
      <w:r>
        <w:rPr>
          <w:rStyle w:val="FootnoteReference"/>
        </w:rPr>
        <w:footnoteRef/>
      </w:r>
      <w:r>
        <w:t xml:space="preserve"> Jusqu’à la fin de </w:t>
      </w:r>
      <w:r w:rsidRPr="00F43FC8">
        <w:t>2020</w:t>
      </w:r>
      <w:r>
        <w:t>, pour l’EU-</w:t>
      </w:r>
      <w:r w:rsidRPr="00F43FC8">
        <w:t>27</w:t>
      </w:r>
      <w:r>
        <w:t xml:space="preserve"> + Royaume-Uni + Islande, Liechtenstein et Norvège (soit les pays couverts par le SEQE-UE jusqu’au </w:t>
      </w:r>
      <w:r w:rsidRPr="00F43FC8">
        <w:t>31</w:t>
      </w:r>
      <w:r>
        <w:t> décembre </w:t>
      </w:r>
      <w:r w:rsidRPr="00F43FC8">
        <w:t>2020</w:t>
      </w:r>
      <w:r>
        <w:t>).</w:t>
      </w:r>
    </w:p>
  </w:footnote>
  <w:footnote w:id="3">
    <w:p w14:paraId="47A71658" w14:textId="34C9A48B" w:rsidR="00372F2A" w:rsidRPr="000E0C73" w:rsidRDefault="00372F2A">
      <w:pPr>
        <w:pStyle w:val="FootnoteText"/>
      </w:pPr>
      <w:r>
        <w:rPr>
          <w:rStyle w:val="FootnoteReference"/>
        </w:rPr>
        <w:footnoteRef/>
      </w:r>
      <w:r>
        <w:t xml:space="preserve"> Directive (UE) </w:t>
      </w:r>
      <w:r w:rsidRPr="00F43FC8">
        <w:t>2018</w:t>
      </w:r>
      <w:r>
        <w:t>/</w:t>
      </w:r>
      <w:r w:rsidRPr="00F43FC8">
        <w:t>2001</w:t>
      </w:r>
      <w:r>
        <w:t xml:space="preserve"> du Parlement européen et du Conseil du </w:t>
      </w:r>
      <w:r w:rsidRPr="00F43FC8">
        <w:t>11</w:t>
      </w:r>
      <w:r>
        <w:t> décembre </w:t>
      </w:r>
      <w:r w:rsidRPr="00F43FC8">
        <w:t>2018</w:t>
      </w:r>
      <w:r>
        <w:t xml:space="preserve"> relative à la promotion de l’utilisation de l’énergie produite à partir de sources renouvelables (</w:t>
      </w:r>
      <w:hyperlink r:id="rId1" w:history="1">
        <w:r>
          <w:rPr>
            <w:rStyle w:val="Hyperlink"/>
          </w:rPr>
          <w:t>JO L </w:t>
        </w:r>
        <w:r w:rsidRPr="00F43FC8">
          <w:rPr>
            <w:rStyle w:val="Hyperlink"/>
          </w:rPr>
          <w:t>328</w:t>
        </w:r>
      </w:hyperlink>
      <w:r>
        <w:t xml:space="preserve"> du </w:t>
      </w:r>
      <w:r w:rsidRPr="00F43FC8">
        <w:t>21</w:t>
      </w:r>
      <w:r>
        <w:t>.</w:t>
      </w:r>
      <w:r w:rsidRPr="00F43FC8">
        <w:t>12</w:t>
      </w:r>
      <w:r>
        <w:t>.</w:t>
      </w:r>
      <w:r w:rsidRPr="00F43FC8">
        <w:t>2018</w:t>
      </w:r>
      <w:r>
        <w:t>, p. </w:t>
      </w:r>
      <w:r w:rsidRPr="00F43FC8">
        <w:t>82</w:t>
      </w:r>
      <w:r>
        <w:t>).</w:t>
      </w:r>
    </w:p>
  </w:footnote>
  <w:footnote w:id="4">
    <w:p w14:paraId="4F96B5A4" w14:textId="09DE046D" w:rsidR="00372F2A" w:rsidRDefault="00372F2A">
      <w:pPr>
        <w:pStyle w:val="FootnoteText"/>
      </w:pPr>
      <w:r>
        <w:rPr>
          <w:rStyle w:val="FootnoteReference"/>
        </w:rPr>
        <w:footnoteRef/>
      </w:r>
      <w:r>
        <w:t xml:space="preserve"> Directive (UE) </w:t>
      </w:r>
      <w:r w:rsidRPr="00F43FC8">
        <w:t>2018</w:t>
      </w:r>
      <w:r>
        <w:t>/</w:t>
      </w:r>
      <w:r w:rsidRPr="00F43FC8">
        <w:t>2002</w:t>
      </w:r>
      <w:r>
        <w:t xml:space="preserve"> du Parlement européen et du Conseil du </w:t>
      </w:r>
      <w:r w:rsidRPr="00F43FC8">
        <w:t>11</w:t>
      </w:r>
      <w:r>
        <w:t> décembre </w:t>
      </w:r>
      <w:r w:rsidRPr="00F43FC8">
        <w:t>2018</w:t>
      </w:r>
      <w:r>
        <w:t xml:space="preserve"> modifiant la directive </w:t>
      </w:r>
      <w:r w:rsidRPr="00F43FC8">
        <w:t>2012</w:t>
      </w:r>
      <w:r>
        <w:t>/</w:t>
      </w:r>
      <w:r w:rsidRPr="00F43FC8">
        <w:t>27</w:t>
      </w:r>
      <w:r>
        <w:t>/UE relative à l’efficacité énergétique (</w:t>
      </w:r>
      <w:hyperlink r:id="rId2" w:history="1">
        <w:r>
          <w:rPr>
            <w:rStyle w:val="Hyperlink"/>
          </w:rPr>
          <w:t>JO L </w:t>
        </w:r>
        <w:r w:rsidRPr="00F43FC8">
          <w:rPr>
            <w:rStyle w:val="Hyperlink"/>
          </w:rPr>
          <w:t>328</w:t>
        </w:r>
      </w:hyperlink>
      <w:r>
        <w:t xml:space="preserve"> du </w:t>
      </w:r>
      <w:r w:rsidRPr="00F43FC8">
        <w:t>21</w:t>
      </w:r>
      <w:r>
        <w:t>.</w:t>
      </w:r>
      <w:r w:rsidRPr="00F43FC8">
        <w:t>12</w:t>
      </w:r>
      <w:r>
        <w:t>.</w:t>
      </w:r>
      <w:r w:rsidRPr="00F43FC8">
        <w:t>2018</w:t>
      </w:r>
      <w:r>
        <w:t>, p. </w:t>
      </w:r>
      <w:r w:rsidRPr="00F43FC8">
        <w:t>210</w:t>
      </w:r>
      <w:r>
        <w:t>).</w:t>
      </w:r>
    </w:p>
  </w:footnote>
  <w:footnote w:id="5">
    <w:p w14:paraId="0F6EE64E" w14:textId="3EA5F235" w:rsidR="00372F2A" w:rsidRDefault="00372F2A" w:rsidP="00666776">
      <w:pPr>
        <w:pStyle w:val="FootnoteText"/>
      </w:pPr>
      <w:r>
        <w:rPr>
          <w:rStyle w:val="FootnoteReference"/>
        </w:rPr>
        <w:footnoteRef/>
      </w:r>
      <w:r>
        <w:t xml:space="preserve"> Réduction des émissions pour l’EU-</w:t>
      </w:r>
      <w:r w:rsidRPr="00F43FC8">
        <w:t>27</w:t>
      </w:r>
      <w:r>
        <w:t>. Pour l’EU-</w:t>
      </w:r>
      <w:r w:rsidRPr="00F43FC8">
        <w:t>27</w:t>
      </w:r>
      <w:r>
        <w:t xml:space="preserve"> et le Royaume-Uni, la réduction a été chiffrée à </w:t>
      </w:r>
      <w:r w:rsidRPr="00F43FC8">
        <w:t>32</w:t>
      </w:r>
      <w:r>
        <w:t>,</w:t>
      </w:r>
      <w:r w:rsidRPr="00F43FC8">
        <w:t>5</w:t>
      </w:r>
      <w:r>
        <w:t> % par rapport aux niveaux de </w:t>
      </w:r>
      <w:r w:rsidRPr="00F43FC8">
        <w:t>1990</w:t>
      </w:r>
      <w:r>
        <w:t>.</w:t>
      </w:r>
    </w:p>
  </w:footnote>
  <w:footnote w:id="6">
    <w:p w14:paraId="27454A17" w14:textId="7121C0B2" w:rsidR="00372F2A" w:rsidRDefault="00372F2A" w:rsidP="00666776">
      <w:pPr>
        <w:pStyle w:val="FootnoteText"/>
      </w:pPr>
      <w:r>
        <w:rPr>
          <w:rStyle w:val="FootnoteReference"/>
        </w:rPr>
        <w:footnoteRef/>
      </w:r>
      <w:r>
        <w:t xml:space="preserve"> </w:t>
      </w:r>
      <w:hyperlink r:id="rId3" w:history="1">
        <w:r>
          <w:rPr>
            <w:rStyle w:val="Hyperlink"/>
          </w:rPr>
          <w:t xml:space="preserve">Mettre en œuvre le pacte vert pour l’Europe, </w:t>
        </w:r>
        <w:r w:rsidRPr="00F43FC8">
          <w:rPr>
            <w:rStyle w:val="Hyperlink"/>
          </w:rPr>
          <w:t>14</w:t>
        </w:r>
        <w:r>
          <w:rPr>
            <w:rStyle w:val="Hyperlink"/>
          </w:rPr>
          <w:t>.</w:t>
        </w:r>
        <w:r w:rsidRPr="00F43FC8">
          <w:rPr>
            <w:rStyle w:val="Hyperlink"/>
          </w:rPr>
          <w:t>7</w:t>
        </w:r>
        <w:r>
          <w:rPr>
            <w:rStyle w:val="Hyperlink"/>
          </w:rPr>
          <w:t>.</w:t>
        </w:r>
        <w:r w:rsidRPr="00F43FC8">
          <w:rPr>
            <w:rStyle w:val="Hyperlink"/>
          </w:rPr>
          <w:t>2021</w:t>
        </w:r>
      </w:hyperlink>
      <w:r>
        <w:t xml:space="preserve"> </w:t>
      </w:r>
    </w:p>
  </w:footnote>
  <w:footnote w:id="7">
    <w:p w14:paraId="0922FFA0" w14:textId="6510B9D8" w:rsidR="00372F2A" w:rsidRDefault="00372F2A" w:rsidP="00666776">
      <w:pPr>
        <w:pStyle w:val="FootnoteText"/>
      </w:pPr>
      <w:r>
        <w:rPr>
          <w:rStyle w:val="FootnoteReference"/>
        </w:rPr>
        <w:footnoteRef/>
      </w:r>
      <w:r>
        <w:t xml:space="preserve"> Cet objectif inclut l’élargissement proposé du champ d’application du SEQE-UE au secteur du transport maritime. </w:t>
      </w:r>
    </w:p>
  </w:footnote>
  <w:footnote w:id="8">
    <w:p w14:paraId="45E14D90" w14:textId="390756CF" w:rsidR="00372F2A" w:rsidRDefault="00372F2A" w:rsidP="00666776">
      <w:pPr>
        <w:pStyle w:val="FootnoteText"/>
      </w:pPr>
      <w:r>
        <w:rPr>
          <w:rStyle w:val="FootnoteReference"/>
        </w:rPr>
        <w:footnoteRef/>
      </w:r>
      <w:r>
        <w:t xml:space="preserve"> Proposition de directive du Parlement européen et du Conseil modifiant la directive </w:t>
      </w:r>
      <w:r w:rsidRPr="00F43FC8">
        <w:t>2003</w:t>
      </w:r>
      <w:r>
        <w:t>/</w:t>
      </w:r>
      <w:r w:rsidRPr="00F43FC8">
        <w:t>87</w:t>
      </w:r>
      <w:r>
        <w:t>/CE établissant un système d’échange de quotas d’émission de gaz à effet de serre dans l’Union, la décision (UE) </w:t>
      </w:r>
      <w:r w:rsidRPr="00F43FC8">
        <w:t>2015</w:t>
      </w:r>
      <w:r>
        <w:t>/</w:t>
      </w:r>
      <w:r w:rsidRPr="00F43FC8">
        <w:t>1814</w:t>
      </w:r>
      <w:r>
        <w:t xml:space="preserve"> concernant la création et le fonctionnement d’une réserve de stabilité du marché pour le système d’échange de quotas d’émission de gaz à effet de serre de l’Union et le règlement (UE) </w:t>
      </w:r>
      <w:r w:rsidRPr="00F43FC8">
        <w:t>2015</w:t>
      </w:r>
      <w:r>
        <w:t>/</w:t>
      </w:r>
      <w:r w:rsidRPr="00F43FC8">
        <w:t>757</w:t>
      </w:r>
      <w:r>
        <w:t xml:space="preserve"> (</w:t>
      </w:r>
      <w:hyperlink r:id="rId4" w:history="1">
        <w:r>
          <w:rPr>
            <w:rStyle w:val="Hyperlink"/>
          </w:rPr>
          <w:t>COM/</w:t>
        </w:r>
        <w:r w:rsidRPr="00F43FC8">
          <w:rPr>
            <w:rStyle w:val="Hyperlink"/>
          </w:rPr>
          <w:t>2021</w:t>
        </w:r>
        <w:r>
          <w:rPr>
            <w:rStyle w:val="Hyperlink"/>
          </w:rPr>
          <w:t>/</w:t>
        </w:r>
        <w:r w:rsidRPr="00F43FC8">
          <w:rPr>
            <w:rStyle w:val="Hyperlink"/>
          </w:rPr>
          <w:t>551</w:t>
        </w:r>
        <w:r>
          <w:rPr>
            <w:rStyle w:val="Hyperlink"/>
          </w:rPr>
          <w:t> final</w:t>
        </w:r>
      </w:hyperlink>
      <w:r>
        <w:t>).</w:t>
      </w:r>
    </w:p>
  </w:footnote>
  <w:footnote w:id="9">
    <w:p w14:paraId="5109895A" w14:textId="12BC9F53" w:rsidR="00372F2A" w:rsidRDefault="00372F2A" w:rsidP="00666776">
      <w:pPr>
        <w:pStyle w:val="FootnoteText"/>
      </w:pPr>
      <w:r>
        <w:rPr>
          <w:rStyle w:val="FootnoteReference"/>
        </w:rPr>
        <w:footnoteRef/>
      </w:r>
      <w:r>
        <w:t xml:space="preserve"> </w:t>
      </w:r>
      <w:hyperlink r:id="rId5" w:history="1">
        <w:r>
          <w:rPr>
            <w:rStyle w:val="Hyperlink"/>
          </w:rPr>
          <w:t>COM(</w:t>
        </w:r>
        <w:r w:rsidRPr="00F43FC8">
          <w:rPr>
            <w:rStyle w:val="Hyperlink"/>
          </w:rPr>
          <w:t>2021</w:t>
        </w:r>
        <w:r>
          <w:rPr>
            <w:rStyle w:val="Hyperlink"/>
          </w:rPr>
          <w:t>)</w:t>
        </w:r>
        <w:r w:rsidRPr="00F43FC8">
          <w:rPr>
            <w:rStyle w:val="Hyperlink"/>
          </w:rPr>
          <w:t>551</w:t>
        </w:r>
        <w:r>
          <w:rPr>
            <w:rStyle w:val="Hyperlink"/>
          </w:rPr>
          <w:t xml:space="preserve"> final</w:t>
        </w:r>
      </w:hyperlink>
      <w:r>
        <w:t xml:space="preserve"> (comme ci-dessus).</w:t>
      </w:r>
    </w:p>
  </w:footnote>
  <w:footnote w:id="10">
    <w:p w14:paraId="3AE44003" w14:textId="7F96D416" w:rsidR="00372F2A" w:rsidRDefault="00372F2A" w:rsidP="00666776">
      <w:pPr>
        <w:pStyle w:val="FootnoteText"/>
      </w:pPr>
      <w:r>
        <w:rPr>
          <w:rStyle w:val="FootnoteReference"/>
        </w:rPr>
        <w:footnoteRef/>
      </w:r>
      <w:r>
        <w:t xml:space="preserve"> Proposition de décision du Parlement européen et du Conseil modifiant la décision (UE) </w:t>
      </w:r>
      <w:r w:rsidRPr="00F43FC8">
        <w:t>2015</w:t>
      </w:r>
      <w:r>
        <w:t>/</w:t>
      </w:r>
      <w:r w:rsidRPr="00F43FC8">
        <w:t>1814</w:t>
      </w:r>
      <w:r>
        <w:t xml:space="preserve"> en ce qui concerne la quantité de quotas à placer dans la réserve de stabilité du marché pour le système d’échange de quotas d’émission de gaz à effet de serre de l’Union jusqu’en </w:t>
      </w:r>
      <w:r w:rsidRPr="00F43FC8">
        <w:t>2030</w:t>
      </w:r>
      <w:r>
        <w:t xml:space="preserve"> (</w:t>
      </w:r>
      <w:hyperlink r:id="rId6" w:history="1">
        <w:r>
          <w:rPr>
            <w:rStyle w:val="Hyperlink"/>
          </w:rPr>
          <w:t>COM/</w:t>
        </w:r>
        <w:r w:rsidRPr="00F43FC8">
          <w:rPr>
            <w:rStyle w:val="Hyperlink"/>
          </w:rPr>
          <w:t>2021</w:t>
        </w:r>
        <w:r>
          <w:rPr>
            <w:rStyle w:val="Hyperlink"/>
          </w:rPr>
          <w:t>/</w:t>
        </w:r>
        <w:r w:rsidRPr="00F43FC8">
          <w:rPr>
            <w:rStyle w:val="Hyperlink"/>
          </w:rPr>
          <w:t>571</w:t>
        </w:r>
        <w:r>
          <w:rPr>
            <w:rStyle w:val="Hyperlink"/>
          </w:rPr>
          <w:t> final</w:t>
        </w:r>
      </w:hyperlink>
      <w:r>
        <w:t>)</w:t>
      </w:r>
    </w:p>
  </w:footnote>
  <w:footnote w:id="11">
    <w:p w14:paraId="7A9BFBD8" w14:textId="073E2708" w:rsidR="00372F2A" w:rsidRDefault="00372F2A" w:rsidP="00666776">
      <w:pPr>
        <w:pStyle w:val="FootnoteText"/>
      </w:pPr>
      <w:r>
        <w:rPr>
          <w:rStyle w:val="FootnoteReference"/>
        </w:rPr>
        <w:footnoteRef/>
      </w:r>
      <w:r>
        <w:t xml:space="preserve"> Proposition de directive du Parlement européen et du Conseil modifiant la directive </w:t>
      </w:r>
      <w:r w:rsidRPr="00F43FC8">
        <w:t>2003</w:t>
      </w:r>
      <w:r>
        <w:t>/</w:t>
      </w:r>
      <w:r w:rsidRPr="00F43FC8">
        <w:t>87</w:t>
      </w:r>
      <w:r>
        <w:t xml:space="preserve">/CE en ce qui concerne la contribution de l’aviation à l’objectif de réduction des émissions à l’échelle de l’ensemble de l’économie de l’Union et mettant en œuvre de manière appropriée un mécanisme de marché mondial, </w:t>
      </w:r>
      <w:hyperlink r:id="rId7" w:history="1">
        <w:r>
          <w:rPr>
            <w:rStyle w:val="Hyperlink"/>
          </w:rPr>
          <w:t>COM/</w:t>
        </w:r>
        <w:r w:rsidRPr="00F43FC8">
          <w:rPr>
            <w:rStyle w:val="Hyperlink"/>
          </w:rPr>
          <w:t>2021</w:t>
        </w:r>
        <w:r>
          <w:rPr>
            <w:rStyle w:val="Hyperlink"/>
          </w:rPr>
          <w:t>/</w:t>
        </w:r>
        <w:r w:rsidRPr="00F43FC8">
          <w:rPr>
            <w:rStyle w:val="Hyperlink"/>
          </w:rPr>
          <w:t>552</w:t>
        </w:r>
        <w:r>
          <w:rPr>
            <w:rStyle w:val="Hyperlink"/>
          </w:rPr>
          <w:t> final</w:t>
        </w:r>
      </w:hyperlink>
      <w:r>
        <w:t>, et proposition de décision du Parlement européen et du Conseil modifiant la directive </w:t>
      </w:r>
      <w:r w:rsidRPr="00F43FC8">
        <w:t>2003</w:t>
      </w:r>
      <w:r>
        <w:t>/</w:t>
      </w:r>
      <w:r w:rsidRPr="00F43FC8">
        <w:t>87</w:t>
      </w:r>
      <w:r>
        <w:t xml:space="preserve">/CE en ce qui concerne la notification de la compensation dans le cadre d’un mécanisme de marché mondial pour les exploitants d’aéronefs établis dans l’Union, </w:t>
      </w:r>
      <w:hyperlink r:id="rId8" w:history="1">
        <w:r>
          <w:rPr>
            <w:rStyle w:val="Hyperlink"/>
          </w:rPr>
          <w:t>COM/</w:t>
        </w:r>
        <w:r w:rsidRPr="00F43FC8">
          <w:rPr>
            <w:rStyle w:val="Hyperlink"/>
          </w:rPr>
          <w:t>2021</w:t>
        </w:r>
        <w:r>
          <w:rPr>
            <w:rStyle w:val="Hyperlink"/>
          </w:rPr>
          <w:t>/</w:t>
        </w:r>
        <w:r w:rsidRPr="00F43FC8">
          <w:rPr>
            <w:rStyle w:val="Hyperlink"/>
          </w:rPr>
          <w:t>567</w:t>
        </w:r>
        <w:r>
          <w:rPr>
            <w:rStyle w:val="Hyperlink"/>
          </w:rPr>
          <w:t> final</w:t>
        </w:r>
      </w:hyperlink>
      <w:r>
        <w:t>.</w:t>
      </w:r>
    </w:p>
  </w:footnote>
  <w:footnote w:id="12">
    <w:p w14:paraId="76672899" w14:textId="7B84DCAC" w:rsidR="00372F2A" w:rsidRDefault="00372F2A">
      <w:pPr>
        <w:pStyle w:val="FootnoteText"/>
      </w:pPr>
      <w:r>
        <w:rPr>
          <w:rStyle w:val="FootnoteReference"/>
        </w:rPr>
        <w:footnoteRef/>
      </w:r>
      <w:r>
        <w:t xml:space="preserve"> Directive </w:t>
      </w:r>
      <w:r w:rsidRPr="00F43FC8">
        <w:t>2003</w:t>
      </w:r>
      <w:r>
        <w:t>/</w:t>
      </w:r>
      <w:r w:rsidRPr="00F43FC8">
        <w:t>87</w:t>
      </w:r>
      <w:r>
        <w:t xml:space="preserve">/CE du Parlement européen et du Conseil du </w:t>
      </w:r>
      <w:r w:rsidRPr="00F43FC8">
        <w:t>13</w:t>
      </w:r>
      <w:r>
        <w:t> octobre </w:t>
      </w:r>
      <w:r w:rsidRPr="00F43FC8">
        <w:t>2003</w:t>
      </w:r>
      <w:r>
        <w:t xml:space="preserve"> établissant un système d’échange de quotas d’émission de gaz à effet de serre dans l’Union et modifiant la directive </w:t>
      </w:r>
      <w:r w:rsidRPr="00F43FC8">
        <w:t>96</w:t>
      </w:r>
      <w:r>
        <w:t>/</w:t>
      </w:r>
      <w:r w:rsidRPr="00F43FC8">
        <w:t>61</w:t>
      </w:r>
      <w:r>
        <w:t>/CE du Conseil (</w:t>
      </w:r>
      <w:hyperlink r:id="rId9" w:history="1">
        <w:r>
          <w:rPr>
            <w:rStyle w:val="Hyperlink"/>
          </w:rPr>
          <w:t>JO L </w:t>
        </w:r>
        <w:r w:rsidRPr="00F43FC8">
          <w:rPr>
            <w:rStyle w:val="Hyperlink"/>
          </w:rPr>
          <w:t>275</w:t>
        </w:r>
      </w:hyperlink>
      <w:r>
        <w:t xml:space="preserve"> du </w:t>
      </w:r>
      <w:r w:rsidRPr="00F43FC8">
        <w:t>25</w:t>
      </w:r>
      <w:r>
        <w:t>.</w:t>
      </w:r>
      <w:r w:rsidRPr="00F43FC8">
        <w:t>10</w:t>
      </w:r>
      <w:r>
        <w:t>.</w:t>
      </w:r>
      <w:r w:rsidRPr="00F43FC8">
        <w:t>2003</w:t>
      </w:r>
      <w:r>
        <w:t>, p. </w:t>
      </w:r>
      <w:r w:rsidRPr="00F43FC8">
        <w:t>32</w:t>
      </w:r>
      <w:r>
        <w:t>).</w:t>
      </w:r>
    </w:p>
  </w:footnote>
  <w:footnote w:id="13">
    <w:p w14:paraId="224D9628" w14:textId="0FB33D6A" w:rsidR="00372F2A" w:rsidRDefault="00372F2A">
      <w:pPr>
        <w:pStyle w:val="FootnoteText"/>
      </w:pPr>
      <w:r>
        <w:rPr>
          <w:rStyle w:val="FootnoteReference"/>
        </w:rPr>
        <w:footnoteRef/>
      </w:r>
      <w:r>
        <w:t xml:space="preserve"> Directive (UE) </w:t>
      </w:r>
      <w:r w:rsidRPr="00F43FC8">
        <w:t>2018</w:t>
      </w:r>
      <w:r>
        <w:t>/</w:t>
      </w:r>
      <w:r w:rsidRPr="00F43FC8">
        <w:t>2002</w:t>
      </w:r>
      <w:r>
        <w:t xml:space="preserve"> du Parlement européen et du Conseil du </w:t>
      </w:r>
      <w:r w:rsidRPr="00F43FC8">
        <w:t>11</w:t>
      </w:r>
      <w:r>
        <w:t> décembre </w:t>
      </w:r>
      <w:r w:rsidRPr="00F43FC8">
        <w:t>2018</w:t>
      </w:r>
      <w:r>
        <w:t xml:space="preserve"> modifiant la directive </w:t>
      </w:r>
      <w:r w:rsidRPr="00F43FC8">
        <w:t>2012</w:t>
      </w:r>
      <w:r>
        <w:t>/</w:t>
      </w:r>
      <w:r w:rsidRPr="00F43FC8">
        <w:t>27</w:t>
      </w:r>
      <w:r>
        <w:t>/UE relative à l’efficacité énergétique (</w:t>
      </w:r>
      <w:hyperlink r:id="rId10" w:history="1">
        <w:r>
          <w:rPr>
            <w:rStyle w:val="Hyperlink"/>
          </w:rPr>
          <w:t>JO L </w:t>
        </w:r>
        <w:r w:rsidRPr="00F43FC8">
          <w:rPr>
            <w:rStyle w:val="Hyperlink"/>
          </w:rPr>
          <w:t>328</w:t>
        </w:r>
      </w:hyperlink>
      <w:r>
        <w:t xml:space="preserve"> du </w:t>
      </w:r>
      <w:r w:rsidRPr="00F43FC8">
        <w:t>21</w:t>
      </w:r>
      <w:r>
        <w:t>.</w:t>
      </w:r>
      <w:r w:rsidRPr="00F43FC8">
        <w:t>12</w:t>
      </w:r>
      <w:r>
        <w:t>.</w:t>
      </w:r>
      <w:r w:rsidRPr="00F43FC8">
        <w:t>2018</w:t>
      </w:r>
      <w:r>
        <w:t>, p. </w:t>
      </w:r>
      <w:r w:rsidRPr="00F43FC8">
        <w:t>210</w:t>
      </w:r>
      <w:r>
        <w:t>).</w:t>
      </w:r>
    </w:p>
  </w:footnote>
  <w:footnote w:id="14">
    <w:p w14:paraId="7E295F92" w14:textId="2F5D627F" w:rsidR="00372F2A" w:rsidRPr="0095216F" w:rsidRDefault="00372F2A" w:rsidP="00666776">
      <w:pPr>
        <w:pStyle w:val="FootnoteText"/>
      </w:pPr>
      <w:r>
        <w:rPr>
          <w:rStyle w:val="FootnoteReference"/>
        </w:rPr>
        <w:footnoteRef/>
      </w:r>
      <w:r>
        <w:t xml:space="preserve"> Accord de commerce et de coopération entre l’Union européenne et la Communauté européenne de l’énergie atomique, d’une part, et le Royaume-Uni de Grande-Bretagne et d’Irlande du Nord, d’autre part (</w:t>
      </w:r>
      <w:hyperlink r:id="rId11" w:history="1">
        <w:r>
          <w:rPr>
            <w:rStyle w:val="Hyperlink"/>
          </w:rPr>
          <w:t>JO L </w:t>
        </w:r>
        <w:r w:rsidRPr="00F43FC8">
          <w:rPr>
            <w:rStyle w:val="Hyperlink"/>
          </w:rPr>
          <w:t>149</w:t>
        </w:r>
      </w:hyperlink>
      <w:r>
        <w:t xml:space="preserve"> du </w:t>
      </w:r>
      <w:r w:rsidRPr="00F43FC8">
        <w:t>30</w:t>
      </w:r>
      <w:r>
        <w:t>.</w:t>
      </w:r>
      <w:r w:rsidRPr="00F43FC8">
        <w:t>4</w:t>
      </w:r>
      <w:r>
        <w:t>.</w:t>
      </w:r>
      <w:r w:rsidRPr="00F43FC8">
        <w:t>2021</w:t>
      </w:r>
      <w:r>
        <w:t>, p. </w:t>
      </w:r>
      <w:r w:rsidRPr="00F43FC8">
        <w:t>10</w:t>
      </w:r>
      <w:r>
        <w:t xml:space="preserve">). </w:t>
      </w:r>
    </w:p>
  </w:footnote>
  <w:footnote w:id="15">
    <w:p w14:paraId="2F9B4211" w14:textId="2081A089" w:rsidR="00372F2A" w:rsidRPr="000068FE" w:rsidRDefault="00372F2A" w:rsidP="00666776">
      <w:pPr>
        <w:pStyle w:val="FootnoteText"/>
      </w:pPr>
      <w:r>
        <w:rPr>
          <w:rStyle w:val="FootnoteReference"/>
        </w:rPr>
        <w:footnoteRef/>
      </w:r>
      <w:r>
        <w:t xml:space="preserve"> Règlement délégué (UE) </w:t>
      </w:r>
      <w:r w:rsidRPr="00F43FC8">
        <w:t>2021</w:t>
      </w:r>
      <w:r>
        <w:t>/</w:t>
      </w:r>
      <w:r w:rsidRPr="00F43FC8">
        <w:t>1416</w:t>
      </w:r>
      <w:r>
        <w:t xml:space="preserve"> de la Commission du </w:t>
      </w:r>
      <w:r w:rsidRPr="00F43FC8">
        <w:t>17</w:t>
      </w:r>
      <w:r>
        <w:t> juin </w:t>
      </w:r>
      <w:r w:rsidRPr="00F43FC8">
        <w:t>2021</w:t>
      </w:r>
      <w:r>
        <w:t xml:space="preserve"> modifiant la directive </w:t>
      </w:r>
      <w:r w:rsidRPr="00F43FC8">
        <w:t>2003</w:t>
      </w:r>
      <w:r>
        <w:t>/</w:t>
      </w:r>
      <w:r w:rsidRPr="00F43FC8">
        <w:t>87</w:t>
      </w:r>
      <w:r>
        <w:t>/CE du Parlement européen et du Conseil en ce qui concerne l’exclusion des vols en provenance du Royaume-Uni du système d’échange de quotas d’émission de l’Union (</w:t>
      </w:r>
      <w:hyperlink r:id="rId12" w:history="1">
        <w:r>
          <w:rPr>
            <w:rStyle w:val="Hyperlink"/>
          </w:rPr>
          <w:t>JO L </w:t>
        </w:r>
        <w:r w:rsidRPr="00F43FC8">
          <w:rPr>
            <w:rStyle w:val="Hyperlink"/>
          </w:rPr>
          <w:t>305</w:t>
        </w:r>
      </w:hyperlink>
      <w:r>
        <w:t xml:space="preserve"> du </w:t>
      </w:r>
      <w:r w:rsidRPr="00F43FC8">
        <w:t>31</w:t>
      </w:r>
      <w:r>
        <w:t>.</w:t>
      </w:r>
      <w:r w:rsidRPr="00F43FC8">
        <w:t>8</w:t>
      </w:r>
      <w:r>
        <w:t>.</w:t>
      </w:r>
      <w:r w:rsidRPr="00F43FC8">
        <w:t>2021</w:t>
      </w:r>
      <w:r>
        <w:t>, p. </w:t>
      </w:r>
      <w:r w:rsidRPr="00F43FC8">
        <w:t>1</w:t>
      </w:r>
      <w:r>
        <w:t xml:space="preserve">). </w:t>
      </w:r>
    </w:p>
  </w:footnote>
  <w:footnote w:id="16">
    <w:p w14:paraId="08600B04" w14:textId="0E631F35" w:rsidR="00372F2A" w:rsidRPr="002F0C85" w:rsidRDefault="00372F2A" w:rsidP="00666776">
      <w:pPr>
        <w:pStyle w:val="FootnoteText"/>
      </w:pPr>
      <w:r>
        <w:rPr>
          <w:rStyle w:val="FootnoteReference"/>
        </w:rPr>
        <w:footnoteRef/>
      </w:r>
      <w:r>
        <w:t xml:space="preserve"> Communication de la Commission relative à l’entrée en vigueur de l’amendement de Doha au protocole de Kyoto à la convention-cadre des Nations unies sur les changements climatiques (</w:t>
      </w:r>
      <w:hyperlink r:id="rId13" w:history="1">
        <w:r>
          <w:rPr>
            <w:rStyle w:val="Hyperlink"/>
          </w:rPr>
          <w:t>JO C </w:t>
        </w:r>
        <w:r w:rsidRPr="00F43FC8">
          <w:rPr>
            <w:rStyle w:val="Hyperlink"/>
          </w:rPr>
          <w:t>432</w:t>
        </w:r>
      </w:hyperlink>
      <w:r>
        <w:t xml:space="preserve"> du </w:t>
      </w:r>
      <w:r w:rsidRPr="00F43FC8">
        <w:t>14</w:t>
      </w:r>
      <w:r>
        <w:t>.</w:t>
      </w:r>
      <w:r w:rsidRPr="00F43FC8">
        <w:t>12</w:t>
      </w:r>
      <w:r>
        <w:t>.</w:t>
      </w:r>
      <w:r w:rsidRPr="00F43FC8">
        <w:t>2020</w:t>
      </w:r>
      <w:r>
        <w:t>, p. </w:t>
      </w:r>
      <w:r w:rsidRPr="00F43FC8">
        <w:t>1</w:t>
      </w:r>
      <w:r>
        <w:t>).</w:t>
      </w:r>
    </w:p>
  </w:footnote>
  <w:footnote w:id="17">
    <w:p w14:paraId="25A55361" w14:textId="1BBAD514" w:rsidR="00372F2A" w:rsidRPr="00B52A6C" w:rsidRDefault="00372F2A" w:rsidP="00666776">
      <w:pPr>
        <w:pStyle w:val="FootnoteText"/>
      </w:pPr>
      <w:r>
        <w:rPr>
          <w:rStyle w:val="FootnoteReference"/>
        </w:rPr>
        <w:footnoteRef/>
      </w:r>
      <w:r>
        <w:t xml:space="preserve"> Règlement (UE) nº </w:t>
      </w:r>
      <w:r w:rsidRPr="00F43FC8">
        <w:t>389</w:t>
      </w:r>
      <w:r>
        <w:t>/</w:t>
      </w:r>
      <w:r w:rsidRPr="00F43FC8">
        <w:t>2013</w:t>
      </w:r>
      <w:r>
        <w:t xml:space="preserve"> de la Commission du </w:t>
      </w:r>
      <w:r w:rsidRPr="00F43FC8">
        <w:t>2</w:t>
      </w:r>
      <w:r>
        <w:t> mai </w:t>
      </w:r>
      <w:r w:rsidRPr="00F43FC8">
        <w:t>2013</w:t>
      </w:r>
      <w:r>
        <w:t xml:space="preserve"> établissant un registre de l’Union conformément à la directive </w:t>
      </w:r>
      <w:r w:rsidRPr="00F43FC8">
        <w:t>2003</w:t>
      </w:r>
      <w:r>
        <w:t>/</w:t>
      </w:r>
      <w:r w:rsidRPr="00F43FC8">
        <w:t>87</w:t>
      </w:r>
      <w:r>
        <w:t>/CE du Parlement européen et du Conseil et aux décisions nº </w:t>
      </w:r>
      <w:r w:rsidRPr="00F43FC8">
        <w:t>280</w:t>
      </w:r>
      <w:r>
        <w:t>/</w:t>
      </w:r>
      <w:r w:rsidRPr="00F43FC8">
        <w:t>3004</w:t>
      </w:r>
      <w:r>
        <w:t>/CE et nº </w:t>
      </w:r>
      <w:r w:rsidRPr="00F43FC8">
        <w:t>406</w:t>
      </w:r>
      <w:r>
        <w:t>/</w:t>
      </w:r>
      <w:r w:rsidRPr="00F43FC8">
        <w:t>2009</w:t>
      </w:r>
      <w:r>
        <w:t>/CE du Parlement européen et du Conseil et abrogeant les règlements (UE) nº </w:t>
      </w:r>
      <w:r w:rsidRPr="00F43FC8">
        <w:t>920</w:t>
      </w:r>
      <w:r>
        <w:t>/</w:t>
      </w:r>
      <w:r w:rsidRPr="00F43FC8">
        <w:t>2010</w:t>
      </w:r>
      <w:r>
        <w:t xml:space="preserve"> et (UE) nº </w:t>
      </w:r>
      <w:r w:rsidRPr="00F43FC8">
        <w:t>1193</w:t>
      </w:r>
      <w:r>
        <w:t>/</w:t>
      </w:r>
      <w:r w:rsidRPr="00F43FC8">
        <w:t>2011</w:t>
      </w:r>
      <w:r>
        <w:t xml:space="preserve"> de la Commission (</w:t>
      </w:r>
      <w:hyperlink r:id="rId14" w:history="1">
        <w:r>
          <w:rPr>
            <w:rStyle w:val="Hyperlink"/>
          </w:rPr>
          <w:t>JO L </w:t>
        </w:r>
        <w:r w:rsidRPr="00F43FC8">
          <w:rPr>
            <w:rStyle w:val="Hyperlink"/>
          </w:rPr>
          <w:t>122</w:t>
        </w:r>
      </w:hyperlink>
      <w:r>
        <w:t xml:space="preserve"> du </w:t>
      </w:r>
      <w:r w:rsidRPr="00F43FC8">
        <w:t>3</w:t>
      </w:r>
      <w:r>
        <w:t>.</w:t>
      </w:r>
      <w:r w:rsidRPr="00F43FC8">
        <w:t>5</w:t>
      </w:r>
      <w:r>
        <w:t>.</w:t>
      </w:r>
      <w:r w:rsidRPr="00F43FC8">
        <w:t>2013</w:t>
      </w:r>
      <w:r>
        <w:t>, p. </w:t>
      </w:r>
      <w:r w:rsidRPr="00F43FC8">
        <w:t>190</w:t>
      </w:r>
      <w:r>
        <w:t>).</w:t>
      </w:r>
    </w:p>
  </w:footnote>
  <w:footnote w:id="18">
    <w:p w14:paraId="67934BC7" w14:textId="69444444" w:rsidR="00372F2A" w:rsidRPr="00E554FC" w:rsidRDefault="00372F2A" w:rsidP="00666776">
      <w:pPr>
        <w:pStyle w:val="FootnoteText"/>
      </w:pPr>
      <w:r>
        <w:rPr>
          <w:rStyle w:val="FootnoteReference"/>
        </w:rPr>
        <w:footnoteRef/>
      </w:r>
      <w:r>
        <w:t xml:space="preserve"> Accord entre l’Union européenne et la Confédération suisse sur le couplage de leurs systèmes d’échange de quotas d’émission de gaz à effet de serre (</w:t>
      </w:r>
      <w:hyperlink r:id="rId15" w:history="1">
        <w:r>
          <w:rPr>
            <w:rStyle w:val="Hyperlink"/>
          </w:rPr>
          <w:t>JO L </w:t>
        </w:r>
        <w:r w:rsidRPr="00F43FC8">
          <w:rPr>
            <w:rStyle w:val="Hyperlink"/>
          </w:rPr>
          <w:t>322</w:t>
        </w:r>
      </w:hyperlink>
      <w:r>
        <w:t xml:space="preserve"> du </w:t>
      </w:r>
      <w:r w:rsidRPr="00F43FC8">
        <w:t>7</w:t>
      </w:r>
      <w:r>
        <w:t>.</w:t>
      </w:r>
      <w:r w:rsidRPr="00F43FC8">
        <w:t>12</w:t>
      </w:r>
      <w:r>
        <w:t>.</w:t>
      </w:r>
      <w:r w:rsidRPr="00F43FC8">
        <w:t>2017</w:t>
      </w:r>
      <w:r>
        <w:t>, p. </w:t>
      </w:r>
      <w:r w:rsidRPr="00F43FC8">
        <w:t>3</w:t>
      </w:r>
      <w:r>
        <w:t>).</w:t>
      </w:r>
    </w:p>
  </w:footnote>
  <w:footnote w:id="19">
    <w:p w14:paraId="129ED65B" w14:textId="19DD1D4C" w:rsidR="00372F2A" w:rsidRPr="00980547" w:rsidRDefault="00372F2A" w:rsidP="00666776">
      <w:pPr>
        <w:pStyle w:val="FootnoteText"/>
      </w:pPr>
      <w:r>
        <w:rPr>
          <w:rStyle w:val="FootnoteReference"/>
        </w:rPr>
        <w:footnoteRef/>
      </w:r>
      <w:r>
        <w:t xml:space="preserve"> Règlement délégué (UE) </w:t>
      </w:r>
      <w:r w:rsidRPr="00F43FC8">
        <w:t>2019</w:t>
      </w:r>
      <w:r>
        <w:t>/</w:t>
      </w:r>
      <w:r w:rsidRPr="00F43FC8">
        <w:t>1122</w:t>
      </w:r>
      <w:r>
        <w:t xml:space="preserve"> de la Commission du </w:t>
      </w:r>
      <w:r w:rsidRPr="00F43FC8">
        <w:t>12</w:t>
      </w:r>
      <w:r>
        <w:t> mars </w:t>
      </w:r>
      <w:r w:rsidRPr="00F43FC8">
        <w:t>2019</w:t>
      </w:r>
      <w:r>
        <w:t xml:space="preserve"> complétant la directive </w:t>
      </w:r>
      <w:r w:rsidRPr="00F43FC8">
        <w:t>2003</w:t>
      </w:r>
      <w:r>
        <w:t>/</w:t>
      </w:r>
      <w:r w:rsidRPr="00F43FC8">
        <w:t>87</w:t>
      </w:r>
      <w:r>
        <w:t>/CE du Parlement européen et du Conseil en ce qui concerne le fonctionnement du registre de l’Union (</w:t>
      </w:r>
      <w:hyperlink r:id="rId16" w:history="1">
        <w:r>
          <w:rPr>
            <w:rStyle w:val="Hyperlink"/>
          </w:rPr>
          <w:t>JO L </w:t>
        </w:r>
        <w:r w:rsidRPr="00F43FC8">
          <w:rPr>
            <w:rStyle w:val="Hyperlink"/>
          </w:rPr>
          <w:t>177</w:t>
        </w:r>
      </w:hyperlink>
      <w:r>
        <w:t xml:space="preserve"> du </w:t>
      </w:r>
      <w:r w:rsidRPr="00F43FC8">
        <w:t>2</w:t>
      </w:r>
      <w:r>
        <w:t>.</w:t>
      </w:r>
      <w:r w:rsidRPr="00F43FC8">
        <w:t>7</w:t>
      </w:r>
      <w:r>
        <w:t>.</w:t>
      </w:r>
      <w:r w:rsidRPr="00F43FC8">
        <w:t>2019</w:t>
      </w:r>
      <w:r>
        <w:t>, p. </w:t>
      </w:r>
      <w:r w:rsidRPr="00F43FC8">
        <w:t>3</w:t>
      </w:r>
      <w:r>
        <w:t>).</w:t>
      </w:r>
    </w:p>
  </w:footnote>
  <w:footnote w:id="20">
    <w:p w14:paraId="22221EF0" w14:textId="1DC2DBFE" w:rsidR="00372F2A" w:rsidRDefault="00372F2A" w:rsidP="00666776">
      <w:pPr>
        <w:pStyle w:val="FootnoteText"/>
      </w:pPr>
      <w:r>
        <w:rPr>
          <w:rStyle w:val="FootnoteReference"/>
        </w:rPr>
        <w:footnoteRef/>
      </w:r>
      <w:r>
        <w:t xml:space="preserve"> Le nombre de quotas aviation mis en circulation depuis </w:t>
      </w:r>
      <w:r w:rsidRPr="00F43FC8">
        <w:t>2013</w:t>
      </w:r>
      <w:r>
        <w:t xml:space="preserve"> est le résultat d’une approche ascendante qui commence par une allocation à titre gratuit (déterminée sur la base de référentiels par activité applicables aux activités des exploitants au sein de l’EEE). Le nombre de quotas mis aux enchères est ensuite déterminé en partant du principe que l’allocation à titre gratuit (y compris la constitution d’une réserve spéciale de quotas pour distribution aux exploitants d’aéronefs en croissance rapide et aux nouveaux entrants) doit concerner </w:t>
      </w:r>
      <w:r w:rsidRPr="00F43FC8">
        <w:t>85</w:t>
      </w:r>
      <w:r>
        <w:t xml:space="preserve"> % du volume total. La mise aux enchères représente les </w:t>
      </w:r>
      <w:r w:rsidRPr="00F43FC8">
        <w:t>15</w:t>
      </w:r>
      <w:r>
        <w:t> % restants.</w:t>
      </w:r>
    </w:p>
  </w:footnote>
  <w:footnote w:id="21">
    <w:p w14:paraId="1209A772" w14:textId="7277B826" w:rsidR="00372F2A" w:rsidRDefault="00372F2A" w:rsidP="00666776">
      <w:pPr>
        <w:pStyle w:val="FootnoteText"/>
      </w:pPr>
      <w:r>
        <w:rPr>
          <w:rStyle w:val="FootnoteReference"/>
        </w:rPr>
        <w:footnoteRef/>
      </w:r>
      <w:r>
        <w:t xml:space="preserve"> Les chiffres actualisés incluent les échanges de crédits internationaux en plus de l’allocation à titre gratuit et des montants mis aux enchères. </w:t>
      </w:r>
    </w:p>
  </w:footnote>
  <w:footnote w:id="22">
    <w:p w14:paraId="1769741E" w14:textId="5A435AF7" w:rsidR="00372F2A" w:rsidRDefault="00372F2A" w:rsidP="00666776">
      <w:pPr>
        <w:pStyle w:val="FootnoteText"/>
      </w:pPr>
      <w:r>
        <w:rPr>
          <w:rStyle w:val="FootnoteReference"/>
        </w:rPr>
        <w:footnoteRef/>
      </w:r>
      <w:r>
        <w:t xml:space="preserve"> Accord sur le retrait du Royaume-Uni de Grande-Bretagne et d’Irlande du Nord de l’Union européenne et de la Communauté européenne de l’énergie atomique (</w:t>
      </w:r>
      <w:hyperlink r:id="rId17" w:history="1">
        <w:r>
          <w:rPr>
            <w:rStyle w:val="Hyperlink"/>
          </w:rPr>
          <w:t>JO L </w:t>
        </w:r>
        <w:r w:rsidRPr="00F43FC8">
          <w:rPr>
            <w:rStyle w:val="Hyperlink"/>
          </w:rPr>
          <w:t>29</w:t>
        </w:r>
      </w:hyperlink>
      <w:r>
        <w:t xml:space="preserve"> du </w:t>
      </w:r>
      <w:r w:rsidRPr="00F43FC8">
        <w:t>31</w:t>
      </w:r>
      <w:r>
        <w:t>.</w:t>
      </w:r>
      <w:r w:rsidRPr="00F43FC8">
        <w:t>1</w:t>
      </w:r>
      <w:r>
        <w:t>.</w:t>
      </w:r>
      <w:r w:rsidRPr="00F43FC8">
        <w:t>2020</w:t>
      </w:r>
      <w:r>
        <w:t>, p. </w:t>
      </w:r>
      <w:r w:rsidRPr="00F43FC8">
        <w:t>7</w:t>
      </w:r>
      <w:r>
        <w:t>).</w:t>
      </w:r>
    </w:p>
  </w:footnote>
  <w:footnote w:id="23">
    <w:p w14:paraId="4398631D" w14:textId="4B1B9E1A" w:rsidR="00372F2A" w:rsidRPr="00C8518F" w:rsidRDefault="00372F2A" w:rsidP="00666776">
      <w:pPr>
        <w:pStyle w:val="FootnoteText"/>
      </w:pPr>
      <w:r>
        <w:rPr>
          <w:rStyle w:val="FootnoteReference"/>
        </w:rPr>
        <w:footnoteRef/>
      </w:r>
      <w:r>
        <w:t xml:space="preserve"> </w:t>
      </w:r>
      <w:hyperlink r:id="rId18" w:history="1">
        <w:r>
          <w:rPr>
            <w:rStyle w:val="Hyperlink"/>
          </w:rPr>
          <w:t>JO L </w:t>
        </w:r>
        <w:r w:rsidRPr="00F43FC8">
          <w:rPr>
            <w:rStyle w:val="Hyperlink"/>
          </w:rPr>
          <w:t>29</w:t>
        </w:r>
      </w:hyperlink>
      <w:r>
        <w:t xml:space="preserve"> (comme ci-dessus)</w:t>
      </w:r>
    </w:p>
  </w:footnote>
  <w:footnote w:id="24">
    <w:p w14:paraId="7B1047A3" w14:textId="77777777" w:rsidR="00372F2A" w:rsidRDefault="00372F2A" w:rsidP="00666776">
      <w:pPr>
        <w:pStyle w:val="FootnoteText"/>
      </w:pPr>
      <w:r>
        <w:rPr>
          <w:rStyle w:val="FootnoteReference"/>
        </w:rPr>
        <w:footnoteRef/>
      </w:r>
      <w:r>
        <w:t xml:space="preserve"> Décision (UE) </w:t>
      </w:r>
      <w:r w:rsidRPr="00F43FC8">
        <w:t>2020</w:t>
      </w:r>
      <w:r>
        <w:t>/</w:t>
      </w:r>
      <w:r w:rsidRPr="00F43FC8">
        <w:t>1722</w:t>
      </w:r>
      <w:r>
        <w:t xml:space="preserve"> de la Commission du </w:t>
      </w:r>
      <w:r w:rsidRPr="00F43FC8">
        <w:t>16</w:t>
      </w:r>
      <w:r>
        <w:t> novembre </w:t>
      </w:r>
      <w:r w:rsidRPr="00F43FC8">
        <w:t>2020</w:t>
      </w:r>
      <w:r>
        <w:t xml:space="preserve"> relative à la quantité de quotas à délivrer pour l’ensemble de l’Union pour </w:t>
      </w:r>
      <w:r w:rsidRPr="00F43FC8">
        <w:t>2021</w:t>
      </w:r>
      <w:r>
        <w:t xml:space="preserve"> dans le cadre du système d’échange de quotas d’émission de l’Union européenne (</w:t>
      </w:r>
      <w:hyperlink r:id="rId19" w:history="1">
        <w:r>
          <w:rPr>
            <w:rStyle w:val="Hyperlink"/>
          </w:rPr>
          <w:t>JO L </w:t>
        </w:r>
        <w:r w:rsidRPr="00F43FC8">
          <w:rPr>
            <w:rStyle w:val="Hyperlink"/>
          </w:rPr>
          <w:t>386</w:t>
        </w:r>
      </w:hyperlink>
      <w:r>
        <w:t xml:space="preserve"> du </w:t>
      </w:r>
      <w:r w:rsidRPr="00F43FC8">
        <w:t>16</w:t>
      </w:r>
      <w:r>
        <w:t>.</w:t>
      </w:r>
      <w:r w:rsidRPr="00F43FC8">
        <w:t>11</w:t>
      </w:r>
      <w:r>
        <w:t>.</w:t>
      </w:r>
      <w:r w:rsidRPr="00F43FC8">
        <w:t>2020</w:t>
      </w:r>
      <w:r>
        <w:t>, p. </w:t>
      </w:r>
      <w:r w:rsidRPr="00F43FC8">
        <w:t>26</w:t>
      </w:r>
      <w:r>
        <w:t>).</w:t>
      </w:r>
    </w:p>
  </w:footnote>
  <w:footnote w:id="25">
    <w:p w14:paraId="638593A9" w14:textId="77777777" w:rsidR="00372F2A" w:rsidRDefault="00372F2A" w:rsidP="00666776">
      <w:pPr>
        <w:pStyle w:val="FootnoteText"/>
      </w:pPr>
      <w:r>
        <w:rPr>
          <w:rStyle w:val="FootnoteReference"/>
        </w:rPr>
        <w:footnoteRef/>
      </w:r>
      <w:r>
        <w:t xml:space="preserve"> Le plafond établi pour </w:t>
      </w:r>
      <w:r w:rsidRPr="00F43FC8">
        <w:t>2021</w:t>
      </w:r>
      <w:r>
        <w:t xml:space="preserve"> dans la décision (UE) </w:t>
      </w:r>
      <w:r w:rsidRPr="00F43FC8">
        <w:t>2020</w:t>
      </w:r>
      <w:r>
        <w:t>/</w:t>
      </w:r>
      <w:r w:rsidRPr="00F43FC8">
        <w:t>1722</w:t>
      </w:r>
      <w:r>
        <w:t xml:space="preserve"> de la Commission n’inclut pas la quantité de quotas à délivrer aux exploitants d’aéronefs conformément au chapitre II de la directive SEQE-UE. Cette quantité est le résultat d’une approche ascendante qui commence par une allocation à titre gratuit au secteur de l’aviation, comme expliqué dans la communication relative à la quantité de quotas pour l’ensemble de l’Union pour </w:t>
      </w:r>
      <w:r w:rsidRPr="00F43FC8">
        <w:t>2021</w:t>
      </w:r>
      <w:r>
        <w:t xml:space="preserve"> et à la réserve de stabilité du marché au titre du système d’échange de quotas d’émission de l’UE (</w:t>
      </w:r>
      <w:hyperlink r:id="rId20" w:history="1">
        <w:r>
          <w:rPr>
            <w:rStyle w:val="Hyperlink"/>
          </w:rPr>
          <w:t>JO C </w:t>
        </w:r>
        <w:r w:rsidRPr="00F43FC8">
          <w:rPr>
            <w:rStyle w:val="Hyperlink"/>
          </w:rPr>
          <w:t>428</w:t>
        </w:r>
        <w:r>
          <w:rPr>
            <w:rStyle w:val="Hyperlink"/>
          </w:rPr>
          <w:t>I</w:t>
        </w:r>
      </w:hyperlink>
      <w:r>
        <w:t xml:space="preserve"> du </w:t>
      </w:r>
      <w:r w:rsidRPr="00F43FC8">
        <w:t>11</w:t>
      </w:r>
      <w:r>
        <w:t>.</w:t>
      </w:r>
      <w:r w:rsidRPr="00F43FC8">
        <w:t>12</w:t>
      </w:r>
      <w:r>
        <w:t>.</w:t>
      </w:r>
      <w:r w:rsidRPr="00F43FC8">
        <w:t>2020</w:t>
      </w:r>
      <w:r>
        <w:t>, p. </w:t>
      </w:r>
      <w:r w:rsidRPr="00F43FC8">
        <w:t>1</w:t>
      </w:r>
      <w:r>
        <w:t>).</w:t>
      </w:r>
    </w:p>
  </w:footnote>
  <w:footnote w:id="26">
    <w:p w14:paraId="33699DC0" w14:textId="1EB60CDE" w:rsidR="00372F2A" w:rsidRDefault="00372F2A" w:rsidP="00666776">
      <w:pPr>
        <w:pStyle w:val="FootnoteText"/>
      </w:pPr>
      <w:r>
        <w:rPr>
          <w:rStyle w:val="FootnoteReference"/>
        </w:rPr>
        <w:footnoteRef/>
      </w:r>
      <w:r>
        <w:t xml:space="preserve"> Le plafond pour la phase </w:t>
      </w:r>
      <w:r w:rsidRPr="00F43FC8">
        <w:t>4</w:t>
      </w:r>
      <w:r>
        <w:t xml:space="preserve"> rend compte de la publication, dans la décision (UE) </w:t>
      </w:r>
      <w:r w:rsidRPr="00F43FC8">
        <w:t>2020</w:t>
      </w:r>
      <w:r>
        <w:t>/</w:t>
      </w:r>
      <w:r w:rsidRPr="00F43FC8">
        <w:t>1722</w:t>
      </w:r>
      <w:r>
        <w:t xml:space="preserve"> de la Commission, du volume total de quotas au sein du SEQE-UE après le retrait du Royaume-Uni de l’Union. </w:t>
      </w:r>
    </w:p>
  </w:footnote>
  <w:footnote w:id="27">
    <w:p w14:paraId="7C13F09A" w14:textId="095F9D88" w:rsidR="00372F2A" w:rsidRDefault="00372F2A" w:rsidP="00666776">
      <w:pPr>
        <w:pStyle w:val="FootnoteText"/>
      </w:pPr>
      <w:r>
        <w:rPr>
          <w:rStyle w:val="FootnoteReference"/>
        </w:rPr>
        <w:footnoteRef/>
      </w:r>
      <w:r>
        <w:t xml:space="preserve"> Décision de la Commission du </w:t>
      </w:r>
      <w:r w:rsidRPr="00F43FC8">
        <w:t>27</w:t>
      </w:r>
      <w:r>
        <w:t> octobre </w:t>
      </w:r>
      <w:r w:rsidRPr="00F43FC8">
        <w:t>2014</w:t>
      </w:r>
      <w:r>
        <w:t xml:space="preserve"> établissant, conformément à la directive </w:t>
      </w:r>
      <w:r w:rsidRPr="00F43FC8">
        <w:t>2003</w:t>
      </w:r>
      <w:r>
        <w:t>/</w:t>
      </w:r>
      <w:r w:rsidRPr="00F43FC8">
        <w:t>87</w:t>
      </w:r>
      <w:r>
        <w:t>/CE du Parlement européen et du Conseil, la liste des secteurs et sous-secteurs considérés comme exposés à un risque important de fuite de carbone, pour la période </w:t>
      </w:r>
      <w:r w:rsidRPr="00F43FC8">
        <w:t>2015</w:t>
      </w:r>
      <w:r>
        <w:t>-</w:t>
      </w:r>
      <w:r w:rsidRPr="00F43FC8">
        <w:t>2019</w:t>
      </w:r>
      <w:r>
        <w:t xml:space="preserve"> (</w:t>
      </w:r>
      <w:hyperlink r:id="rId21" w:history="1">
        <w:r>
          <w:rPr>
            <w:rStyle w:val="Hyperlink"/>
          </w:rPr>
          <w:t>JO L </w:t>
        </w:r>
        <w:r w:rsidRPr="00F43FC8">
          <w:rPr>
            <w:rStyle w:val="Hyperlink"/>
          </w:rPr>
          <w:t>308</w:t>
        </w:r>
      </w:hyperlink>
      <w:r>
        <w:t xml:space="preserve"> du </w:t>
      </w:r>
      <w:r w:rsidRPr="00F43FC8">
        <w:t>29</w:t>
      </w:r>
      <w:r>
        <w:t>.</w:t>
      </w:r>
      <w:r w:rsidRPr="00F43FC8">
        <w:t>10</w:t>
      </w:r>
      <w:r>
        <w:t>.</w:t>
      </w:r>
      <w:r w:rsidRPr="00F43FC8">
        <w:t>2014</w:t>
      </w:r>
      <w:r>
        <w:t>, p. </w:t>
      </w:r>
      <w:r w:rsidRPr="00F43FC8">
        <w:t>114</w:t>
      </w:r>
      <w:r>
        <w:t xml:space="preserve">). </w:t>
      </w:r>
    </w:p>
  </w:footnote>
  <w:footnote w:id="28">
    <w:p w14:paraId="5199BE13" w14:textId="2536000D" w:rsidR="00372F2A" w:rsidRPr="000B7D11" w:rsidRDefault="00372F2A" w:rsidP="00666776">
      <w:pPr>
        <w:pStyle w:val="FootnoteText"/>
      </w:pPr>
      <w:r>
        <w:rPr>
          <w:rStyle w:val="FootnoteReference"/>
        </w:rPr>
        <w:footnoteRef/>
      </w:r>
      <w:r>
        <w:t xml:space="preserve"> Décision </w:t>
      </w:r>
      <w:r w:rsidRPr="00F43FC8">
        <w:t>2013</w:t>
      </w:r>
      <w:r>
        <w:t>/</w:t>
      </w:r>
      <w:r w:rsidRPr="00F43FC8">
        <w:t>448</w:t>
      </w:r>
      <w:r>
        <w:t xml:space="preserve">/UE de la Commission du </w:t>
      </w:r>
      <w:r w:rsidRPr="00F43FC8">
        <w:t>5</w:t>
      </w:r>
      <w:r>
        <w:t> septembre </w:t>
      </w:r>
      <w:r w:rsidRPr="00F43FC8">
        <w:t>2013</w:t>
      </w:r>
      <w:r>
        <w:t xml:space="preserve"> concernant les mesures nationales d’exécution pour l’allocation transitoire à titre gratuit de quotas d’émission de gaz à effet de serre conformément à l’article </w:t>
      </w:r>
      <w:r w:rsidRPr="00F43FC8">
        <w:t>11</w:t>
      </w:r>
      <w:r>
        <w:t>, paragraphe </w:t>
      </w:r>
      <w:r w:rsidRPr="00F43FC8">
        <w:t>3</w:t>
      </w:r>
      <w:r>
        <w:t>, de la directive </w:t>
      </w:r>
      <w:r w:rsidRPr="00F43FC8">
        <w:t>2003</w:t>
      </w:r>
      <w:r>
        <w:t>/</w:t>
      </w:r>
      <w:r w:rsidRPr="00F43FC8">
        <w:t>87</w:t>
      </w:r>
      <w:r>
        <w:t>/CE du Parlement européen et du Conseil (</w:t>
      </w:r>
      <w:hyperlink r:id="rId22" w:history="1">
        <w:r>
          <w:rPr>
            <w:rStyle w:val="Hyperlink"/>
          </w:rPr>
          <w:t>JO L </w:t>
        </w:r>
        <w:r w:rsidRPr="00F43FC8">
          <w:rPr>
            <w:rStyle w:val="Hyperlink"/>
          </w:rPr>
          <w:t>240</w:t>
        </w:r>
      </w:hyperlink>
      <w:r>
        <w:t xml:space="preserve"> du </w:t>
      </w:r>
      <w:r w:rsidRPr="00F43FC8">
        <w:t>7</w:t>
      </w:r>
      <w:r>
        <w:t>.</w:t>
      </w:r>
      <w:r w:rsidRPr="00F43FC8">
        <w:t>9</w:t>
      </w:r>
      <w:r>
        <w:t>.</w:t>
      </w:r>
      <w:r w:rsidRPr="00F43FC8">
        <w:t>2013</w:t>
      </w:r>
      <w:r>
        <w:t>, p. </w:t>
      </w:r>
      <w:r w:rsidRPr="00F43FC8">
        <w:t>27</w:t>
      </w:r>
      <w:r>
        <w:t>).</w:t>
      </w:r>
    </w:p>
  </w:footnote>
  <w:footnote w:id="29">
    <w:p w14:paraId="37C6D1DE" w14:textId="77777777" w:rsidR="00372F2A" w:rsidRPr="000B7D11" w:rsidRDefault="00372F2A" w:rsidP="00061ADE">
      <w:pPr>
        <w:spacing w:after="0" w:line="240" w:lineRule="auto"/>
        <w:jc w:val="both"/>
        <w:rPr>
          <w:rFonts w:ascii="Times New Roman" w:hAnsi="Times New Roman"/>
          <w:sz w:val="24"/>
          <w:szCs w:val="24"/>
        </w:rPr>
      </w:pPr>
      <w:r>
        <w:rPr>
          <w:rStyle w:val="FootnoteReference"/>
          <w:rFonts w:ascii="Times New Roman" w:hAnsi="Times New Roman"/>
          <w:sz w:val="18"/>
          <w:szCs w:val="18"/>
        </w:rPr>
        <w:footnoteRef/>
      </w:r>
      <w:r>
        <w:rPr>
          <w:rStyle w:val="FootnoteReference"/>
          <w:rFonts w:ascii="Times New Roman" w:hAnsi="Times New Roman"/>
          <w:sz w:val="18"/>
          <w:szCs w:val="18"/>
        </w:rPr>
        <w:t xml:space="preserve"> </w:t>
      </w:r>
      <w:r>
        <w:rPr>
          <w:rFonts w:ascii="Times New Roman" w:hAnsi="Times New Roman"/>
          <w:sz w:val="18"/>
          <w:szCs w:val="18"/>
        </w:rPr>
        <w:t>Décision </w:t>
      </w:r>
      <w:r w:rsidRPr="00F43FC8">
        <w:rPr>
          <w:rFonts w:ascii="Times New Roman" w:hAnsi="Times New Roman"/>
          <w:sz w:val="18"/>
          <w:szCs w:val="18"/>
        </w:rPr>
        <w:t>2017</w:t>
      </w:r>
      <w:r>
        <w:rPr>
          <w:rFonts w:ascii="Times New Roman" w:hAnsi="Times New Roman"/>
          <w:sz w:val="18"/>
          <w:szCs w:val="18"/>
        </w:rPr>
        <w:t>/</w:t>
      </w:r>
      <w:r w:rsidRPr="00F43FC8">
        <w:rPr>
          <w:rFonts w:ascii="Times New Roman" w:hAnsi="Times New Roman"/>
          <w:sz w:val="18"/>
          <w:szCs w:val="18"/>
        </w:rPr>
        <w:t>126</w:t>
      </w:r>
      <w:r>
        <w:rPr>
          <w:rFonts w:ascii="Times New Roman" w:hAnsi="Times New Roman"/>
          <w:sz w:val="18"/>
          <w:szCs w:val="18"/>
        </w:rPr>
        <w:t xml:space="preserve">/UE de la Commission du </w:t>
      </w:r>
      <w:r w:rsidRPr="00F43FC8">
        <w:rPr>
          <w:rFonts w:ascii="Times New Roman" w:hAnsi="Times New Roman"/>
          <w:sz w:val="18"/>
          <w:szCs w:val="18"/>
        </w:rPr>
        <w:t>24</w:t>
      </w:r>
      <w:r>
        <w:rPr>
          <w:rFonts w:ascii="Times New Roman" w:hAnsi="Times New Roman"/>
          <w:sz w:val="18"/>
          <w:szCs w:val="18"/>
        </w:rPr>
        <w:t> janvier </w:t>
      </w:r>
      <w:r w:rsidRPr="00F43FC8">
        <w:rPr>
          <w:rFonts w:ascii="Times New Roman" w:hAnsi="Times New Roman"/>
          <w:sz w:val="18"/>
          <w:szCs w:val="18"/>
        </w:rPr>
        <w:t>2017</w:t>
      </w:r>
      <w:r>
        <w:rPr>
          <w:rFonts w:ascii="Times New Roman" w:hAnsi="Times New Roman"/>
          <w:sz w:val="18"/>
          <w:szCs w:val="18"/>
        </w:rPr>
        <w:t xml:space="preserve"> modifiant la décision </w:t>
      </w:r>
      <w:r w:rsidRPr="00F43FC8">
        <w:rPr>
          <w:rFonts w:ascii="Times New Roman" w:hAnsi="Times New Roman"/>
          <w:sz w:val="18"/>
          <w:szCs w:val="18"/>
        </w:rPr>
        <w:t>2013</w:t>
      </w:r>
      <w:r>
        <w:rPr>
          <w:rFonts w:ascii="Times New Roman" w:hAnsi="Times New Roman"/>
          <w:sz w:val="18"/>
          <w:szCs w:val="18"/>
        </w:rPr>
        <w:t>/</w:t>
      </w:r>
      <w:r w:rsidRPr="00F43FC8">
        <w:rPr>
          <w:rFonts w:ascii="Times New Roman" w:hAnsi="Times New Roman"/>
          <w:sz w:val="18"/>
          <w:szCs w:val="18"/>
        </w:rPr>
        <w:t>448</w:t>
      </w:r>
      <w:r>
        <w:rPr>
          <w:rFonts w:ascii="Times New Roman" w:hAnsi="Times New Roman"/>
          <w:sz w:val="18"/>
          <w:szCs w:val="18"/>
        </w:rPr>
        <w:t xml:space="preserve">/UE en ce qui concerne la définition d’un facteur de correction uniforme transsectoriel, conformément à l’article </w:t>
      </w:r>
      <w:r w:rsidRPr="00F43FC8">
        <w:rPr>
          <w:rFonts w:ascii="Times New Roman" w:hAnsi="Times New Roman"/>
          <w:sz w:val="18"/>
          <w:szCs w:val="18"/>
        </w:rPr>
        <w:t>10</w:t>
      </w:r>
      <w:r>
        <w:rPr>
          <w:rFonts w:ascii="Times New Roman" w:hAnsi="Times New Roman"/>
          <w:sz w:val="18"/>
          <w:szCs w:val="18"/>
        </w:rPr>
        <w:t> </w:t>
      </w:r>
      <w:r>
        <w:rPr>
          <w:rFonts w:ascii="Times New Roman" w:hAnsi="Times New Roman"/>
          <w:i/>
          <w:iCs/>
          <w:sz w:val="18"/>
          <w:szCs w:val="18"/>
        </w:rPr>
        <w:t>bis</w:t>
      </w:r>
      <w:r>
        <w:rPr>
          <w:rFonts w:ascii="Times New Roman" w:hAnsi="Times New Roman"/>
          <w:sz w:val="18"/>
          <w:szCs w:val="18"/>
        </w:rPr>
        <w:t xml:space="preserve"> de la directive </w:t>
      </w:r>
      <w:r w:rsidRPr="00F43FC8">
        <w:rPr>
          <w:rFonts w:ascii="Times New Roman" w:hAnsi="Times New Roman"/>
          <w:sz w:val="18"/>
          <w:szCs w:val="18"/>
        </w:rPr>
        <w:t>2003</w:t>
      </w:r>
      <w:r>
        <w:rPr>
          <w:rFonts w:ascii="Times New Roman" w:hAnsi="Times New Roman"/>
          <w:sz w:val="18"/>
          <w:szCs w:val="18"/>
        </w:rPr>
        <w:t>/</w:t>
      </w:r>
      <w:r w:rsidRPr="00F43FC8">
        <w:rPr>
          <w:rFonts w:ascii="Times New Roman" w:hAnsi="Times New Roman"/>
          <w:sz w:val="18"/>
          <w:szCs w:val="18"/>
        </w:rPr>
        <w:t>87</w:t>
      </w:r>
      <w:r>
        <w:rPr>
          <w:rFonts w:ascii="Times New Roman" w:hAnsi="Times New Roman"/>
          <w:sz w:val="18"/>
          <w:szCs w:val="18"/>
        </w:rPr>
        <w:t>/CE du Parlement européen et du Conseil</w:t>
      </w:r>
      <w:r>
        <w:t xml:space="preserve"> </w:t>
      </w:r>
      <w:r>
        <w:rPr>
          <w:rFonts w:ascii="Times New Roman" w:hAnsi="Times New Roman"/>
          <w:sz w:val="18"/>
          <w:szCs w:val="18"/>
        </w:rPr>
        <w:t>(</w:t>
      </w:r>
      <w:hyperlink r:id="rId23" w:history="1">
        <w:r>
          <w:rPr>
            <w:rStyle w:val="Hyperlink"/>
            <w:rFonts w:ascii="Times New Roman" w:hAnsi="Times New Roman"/>
            <w:sz w:val="18"/>
            <w:szCs w:val="18"/>
          </w:rPr>
          <w:t>JO L </w:t>
        </w:r>
        <w:r w:rsidRPr="00F43FC8">
          <w:rPr>
            <w:rStyle w:val="Hyperlink"/>
            <w:rFonts w:ascii="Times New Roman" w:hAnsi="Times New Roman"/>
            <w:sz w:val="18"/>
            <w:szCs w:val="18"/>
          </w:rPr>
          <w:t>19</w:t>
        </w:r>
      </w:hyperlink>
      <w:r>
        <w:rPr>
          <w:rFonts w:ascii="Times New Roman" w:hAnsi="Times New Roman"/>
          <w:sz w:val="18"/>
          <w:szCs w:val="18"/>
        </w:rPr>
        <w:t xml:space="preserve"> du </w:t>
      </w:r>
      <w:r w:rsidRPr="00F43FC8">
        <w:rPr>
          <w:rFonts w:ascii="Times New Roman" w:hAnsi="Times New Roman"/>
          <w:sz w:val="18"/>
          <w:szCs w:val="18"/>
        </w:rPr>
        <w:t>25</w:t>
      </w:r>
      <w:r>
        <w:rPr>
          <w:rFonts w:ascii="Times New Roman" w:hAnsi="Times New Roman"/>
          <w:sz w:val="18"/>
          <w:szCs w:val="18"/>
        </w:rPr>
        <w:t>.</w:t>
      </w:r>
      <w:r w:rsidRPr="00F43FC8">
        <w:rPr>
          <w:rFonts w:ascii="Times New Roman" w:hAnsi="Times New Roman"/>
          <w:sz w:val="18"/>
          <w:szCs w:val="18"/>
        </w:rPr>
        <w:t>1</w:t>
      </w:r>
      <w:r>
        <w:rPr>
          <w:rFonts w:ascii="Times New Roman" w:hAnsi="Times New Roman"/>
          <w:sz w:val="18"/>
          <w:szCs w:val="18"/>
        </w:rPr>
        <w:t>.</w:t>
      </w:r>
      <w:r w:rsidRPr="00F43FC8">
        <w:rPr>
          <w:rFonts w:ascii="Times New Roman" w:hAnsi="Times New Roman"/>
          <w:sz w:val="18"/>
          <w:szCs w:val="18"/>
        </w:rPr>
        <w:t>2017</w:t>
      </w:r>
      <w:r>
        <w:rPr>
          <w:rFonts w:ascii="Times New Roman" w:hAnsi="Times New Roman"/>
          <w:sz w:val="18"/>
          <w:szCs w:val="18"/>
        </w:rPr>
        <w:t>, p. </w:t>
      </w:r>
      <w:r w:rsidRPr="00F43FC8">
        <w:rPr>
          <w:rFonts w:ascii="Times New Roman" w:hAnsi="Times New Roman"/>
          <w:sz w:val="18"/>
          <w:szCs w:val="18"/>
        </w:rPr>
        <w:t>93</w:t>
      </w:r>
      <w:r>
        <w:rPr>
          <w:rFonts w:ascii="Times New Roman" w:hAnsi="Times New Roman"/>
          <w:sz w:val="18"/>
          <w:szCs w:val="18"/>
        </w:rPr>
        <w:t>).</w:t>
      </w:r>
    </w:p>
  </w:footnote>
  <w:footnote w:id="30">
    <w:p w14:paraId="17BA83B5" w14:textId="3C27CE80" w:rsidR="00372F2A" w:rsidRDefault="00372F2A" w:rsidP="00666776">
      <w:pPr>
        <w:pStyle w:val="FootnoteText"/>
      </w:pPr>
      <w:r>
        <w:rPr>
          <w:rStyle w:val="FootnoteReference"/>
        </w:rPr>
        <w:footnoteRef/>
      </w:r>
      <w:r>
        <w:t xml:space="preserve"> Alors que les chiffres des précédents rapports sur le marché du carbone se fondaient sur les notifications des pays participants soumises chaque année pour la fin du mois de juin, ils ont été respectivement fondés, cette année et l’année dernière, sur le registre de l’UE aux dates butoirs des </w:t>
      </w:r>
      <w:r w:rsidRPr="00F43FC8">
        <w:t>30</w:t>
      </w:r>
      <w:r>
        <w:t> juin </w:t>
      </w:r>
      <w:r w:rsidRPr="00F43FC8">
        <w:t>2021</w:t>
      </w:r>
      <w:r>
        <w:t xml:space="preserve"> et </w:t>
      </w:r>
      <w:r w:rsidRPr="00F43FC8">
        <w:t>2020</w:t>
      </w:r>
      <w:r>
        <w:t>. Cette nouvelle approche a été adoptée pour rendre compte des allocations avec plus de précision au fur et à mesure de leur apparition et de leur consignation dans le registre.</w:t>
      </w:r>
    </w:p>
  </w:footnote>
  <w:footnote w:id="31">
    <w:p w14:paraId="7D4277F3" w14:textId="10DBE1D7" w:rsidR="00372F2A" w:rsidRDefault="00372F2A" w:rsidP="00666776">
      <w:pPr>
        <w:pStyle w:val="FootnoteText"/>
      </w:pPr>
      <w:r>
        <w:rPr>
          <w:rStyle w:val="FootnoteReference"/>
        </w:rPr>
        <w:footnoteRef/>
      </w:r>
      <w:r>
        <w:t xml:space="preserve"> Volume d’allocation initial, avant l’application du facteur de correction transsectoriel. </w:t>
      </w:r>
    </w:p>
  </w:footnote>
  <w:footnote w:id="32">
    <w:p w14:paraId="7A0099B6" w14:textId="72D7179B" w:rsidR="00372F2A" w:rsidRDefault="00372F2A" w:rsidP="00666776">
      <w:pPr>
        <w:pStyle w:val="FootnoteText"/>
      </w:pPr>
      <w:r>
        <w:rPr>
          <w:rStyle w:val="FootnoteReference"/>
        </w:rPr>
        <w:footnoteRef/>
      </w:r>
      <w:r>
        <w:t xml:space="preserve"> L’allocation concernant le Royaume-Uni (</w:t>
      </w:r>
      <w:r w:rsidRPr="00F43FC8">
        <w:t>48</w:t>
      </w:r>
      <w:r>
        <w:t> millions de quotas sur le total pour </w:t>
      </w:r>
      <w:r w:rsidRPr="00F43FC8">
        <w:t>2019</w:t>
      </w:r>
      <w:r>
        <w:t>), suspendue en </w:t>
      </w:r>
      <w:r w:rsidRPr="00F43FC8">
        <w:t>2019</w:t>
      </w:r>
      <w:r>
        <w:t xml:space="preserve"> en raison des mesures de sauvegarde adoptées pour protéger l’intégrité environnementale du SEQE-UE dans les cas où le droit de l’Union cesse de s’appliquer à un État membre qui se retire de l’Union, a repris en </w:t>
      </w:r>
      <w:r w:rsidRPr="00F43FC8">
        <w:t>2020</w:t>
      </w:r>
      <w:r>
        <w:t xml:space="preserve">. </w:t>
      </w:r>
    </w:p>
  </w:footnote>
  <w:footnote w:id="33">
    <w:p w14:paraId="4ACD0C50" w14:textId="2AA73451" w:rsidR="00372F2A" w:rsidRPr="00061279" w:rsidRDefault="00372F2A" w:rsidP="00061279">
      <w:pPr>
        <w:pStyle w:val="CommentText"/>
        <w:spacing w:after="0" w:line="240" w:lineRule="auto"/>
        <w:jc w:val="both"/>
      </w:pPr>
      <w:r>
        <w:rPr>
          <w:rStyle w:val="FootnoteReference"/>
        </w:rPr>
        <w:footnoteRef/>
      </w:r>
      <w:r>
        <w:t xml:space="preserve"> </w:t>
      </w:r>
      <w:r>
        <w:rPr>
          <w:rFonts w:ascii="Times New Roman" w:hAnsi="Times New Roman"/>
          <w:sz w:val="18"/>
          <w:szCs w:val="18"/>
        </w:rPr>
        <w:t>Décision (UE) </w:t>
      </w:r>
      <w:r w:rsidRPr="00F43FC8">
        <w:rPr>
          <w:rFonts w:ascii="Times New Roman" w:hAnsi="Times New Roman"/>
          <w:sz w:val="18"/>
          <w:szCs w:val="18"/>
        </w:rPr>
        <w:t>2015</w:t>
      </w:r>
      <w:r>
        <w:rPr>
          <w:rFonts w:ascii="Times New Roman" w:hAnsi="Times New Roman"/>
          <w:sz w:val="18"/>
          <w:szCs w:val="18"/>
        </w:rPr>
        <w:t>/</w:t>
      </w:r>
      <w:r w:rsidRPr="00F43FC8">
        <w:rPr>
          <w:rFonts w:ascii="Times New Roman" w:hAnsi="Times New Roman"/>
          <w:sz w:val="18"/>
          <w:szCs w:val="18"/>
        </w:rPr>
        <w:t>1814</w:t>
      </w:r>
      <w:r>
        <w:rPr>
          <w:rFonts w:ascii="Times New Roman" w:hAnsi="Times New Roman"/>
          <w:sz w:val="18"/>
          <w:szCs w:val="18"/>
        </w:rPr>
        <w:t xml:space="preserve"> du Parlement européen et du Conseil du </w:t>
      </w:r>
      <w:r w:rsidRPr="00F43FC8">
        <w:rPr>
          <w:rFonts w:ascii="Times New Roman" w:hAnsi="Times New Roman"/>
          <w:sz w:val="18"/>
          <w:szCs w:val="18"/>
        </w:rPr>
        <w:t>6</w:t>
      </w:r>
      <w:r>
        <w:rPr>
          <w:rFonts w:ascii="Times New Roman" w:hAnsi="Times New Roman"/>
          <w:sz w:val="18"/>
          <w:szCs w:val="18"/>
        </w:rPr>
        <w:t> octobre </w:t>
      </w:r>
      <w:r w:rsidRPr="00F43FC8">
        <w:rPr>
          <w:rFonts w:ascii="Times New Roman" w:hAnsi="Times New Roman"/>
          <w:sz w:val="18"/>
          <w:szCs w:val="18"/>
        </w:rPr>
        <w:t>2015</w:t>
      </w:r>
      <w:r>
        <w:rPr>
          <w:rFonts w:ascii="Times New Roman" w:hAnsi="Times New Roman"/>
          <w:sz w:val="18"/>
          <w:szCs w:val="18"/>
        </w:rPr>
        <w:t xml:space="preserve"> concernant la création et le fonctionnement d’une réserve de stabilité du marché pour le système d’échange de quotas d’émission de gaz à effet de serre de l’Union et modifiant la directive </w:t>
      </w:r>
      <w:r w:rsidRPr="00F43FC8">
        <w:rPr>
          <w:rFonts w:ascii="Times New Roman" w:hAnsi="Times New Roman"/>
          <w:sz w:val="18"/>
          <w:szCs w:val="18"/>
        </w:rPr>
        <w:t>2003</w:t>
      </w:r>
      <w:r>
        <w:rPr>
          <w:rFonts w:ascii="Times New Roman" w:hAnsi="Times New Roman"/>
          <w:sz w:val="18"/>
          <w:szCs w:val="18"/>
        </w:rPr>
        <w:t>/</w:t>
      </w:r>
      <w:r w:rsidRPr="00F43FC8">
        <w:rPr>
          <w:rFonts w:ascii="Times New Roman" w:hAnsi="Times New Roman"/>
          <w:sz w:val="18"/>
          <w:szCs w:val="18"/>
        </w:rPr>
        <w:t>87</w:t>
      </w:r>
      <w:r>
        <w:rPr>
          <w:rFonts w:ascii="Times New Roman" w:hAnsi="Times New Roman"/>
          <w:sz w:val="18"/>
          <w:szCs w:val="18"/>
        </w:rPr>
        <w:t>/CE (</w:t>
      </w:r>
      <w:hyperlink r:id="rId24" w:history="1">
        <w:r>
          <w:rPr>
            <w:rStyle w:val="Hyperlink"/>
            <w:rFonts w:ascii="Times New Roman" w:hAnsi="Times New Roman"/>
            <w:sz w:val="18"/>
            <w:szCs w:val="18"/>
          </w:rPr>
          <w:t>JO L </w:t>
        </w:r>
        <w:r w:rsidRPr="00F43FC8">
          <w:rPr>
            <w:rStyle w:val="Hyperlink"/>
            <w:rFonts w:ascii="Times New Roman" w:hAnsi="Times New Roman"/>
            <w:sz w:val="18"/>
            <w:szCs w:val="18"/>
          </w:rPr>
          <w:t>264</w:t>
        </w:r>
      </w:hyperlink>
      <w:r>
        <w:rPr>
          <w:rFonts w:ascii="Times New Roman" w:hAnsi="Times New Roman"/>
          <w:sz w:val="18"/>
          <w:szCs w:val="18"/>
        </w:rPr>
        <w:t xml:space="preserve"> du </w:t>
      </w:r>
      <w:r w:rsidR="00F43FC8">
        <w:rPr>
          <w:rFonts w:ascii="Times New Roman" w:hAnsi="Times New Roman"/>
          <w:sz w:val="18"/>
          <w:szCs w:val="18"/>
        </w:rPr>
        <w:t>6</w:t>
      </w:r>
      <w:r>
        <w:rPr>
          <w:rFonts w:ascii="Times New Roman" w:hAnsi="Times New Roman"/>
          <w:sz w:val="18"/>
          <w:szCs w:val="18"/>
        </w:rPr>
        <w:t>.</w:t>
      </w:r>
      <w:r w:rsidRPr="00F43FC8">
        <w:rPr>
          <w:rFonts w:ascii="Times New Roman" w:hAnsi="Times New Roman"/>
          <w:sz w:val="18"/>
          <w:szCs w:val="18"/>
        </w:rPr>
        <w:t>10</w:t>
      </w:r>
      <w:r>
        <w:rPr>
          <w:rFonts w:ascii="Times New Roman" w:hAnsi="Times New Roman"/>
          <w:sz w:val="18"/>
          <w:szCs w:val="18"/>
        </w:rPr>
        <w:t>.</w:t>
      </w:r>
      <w:r w:rsidRPr="00F43FC8">
        <w:rPr>
          <w:rFonts w:ascii="Times New Roman" w:hAnsi="Times New Roman"/>
          <w:sz w:val="18"/>
          <w:szCs w:val="18"/>
        </w:rPr>
        <w:t>2015</w:t>
      </w:r>
      <w:r>
        <w:rPr>
          <w:rFonts w:ascii="Times New Roman" w:hAnsi="Times New Roman"/>
          <w:sz w:val="18"/>
          <w:szCs w:val="18"/>
        </w:rPr>
        <w:t>, p. </w:t>
      </w:r>
      <w:r w:rsidRPr="00F43FC8">
        <w:rPr>
          <w:rFonts w:ascii="Times New Roman" w:hAnsi="Times New Roman"/>
          <w:sz w:val="18"/>
          <w:szCs w:val="18"/>
        </w:rPr>
        <w:t>1</w:t>
      </w:r>
      <w:r>
        <w:rPr>
          <w:rFonts w:ascii="Times New Roman" w:hAnsi="Times New Roman"/>
          <w:sz w:val="18"/>
          <w:szCs w:val="18"/>
        </w:rPr>
        <w:t>).</w:t>
      </w:r>
      <w:r>
        <w:t xml:space="preserve"> </w:t>
      </w:r>
    </w:p>
  </w:footnote>
  <w:footnote w:id="34">
    <w:p w14:paraId="1F9D6ECD" w14:textId="211E1614" w:rsidR="00372F2A" w:rsidRDefault="00372F2A" w:rsidP="00666776">
      <w:pPr>
        <w:pStyle w:val="FootnoteText"/>
      </w:pPr>
      <w:r>
        <w:rPr>
          <w:rStyle w:val="FootnoteReference"/>
        </w:rPr>
        <w:footnoteRef/>
      </w:r>
      <w:r>
        <w:t xml:space="preserve"> Règlement (UE) nº </w:t>
      </w:r>
      <w:r w:rsidRPr="00F43FC8">
        <w:t>1031</w:t>
      </w:r>
      <w:r>
        <w:t>/</w:t>
      </w:r>
      <w:r w:rsidRPr="00F43FC8">
        <w:t>2010</w:t>
      </w:r>
      <w:r>
        <w:t xml:space="preserve"> de la Commission du </w:t>
      </w:r>
      <w:r w:rsidRPr="00F43FC8">
        <w:t>12</w:t>
      </w:r>
      <w:r>
        <w:t> novembre </w:t>
      </w:r>
      <w:r w:rsidRPr="00F43FC8">
        <w:t>2010</w:t>
      </w:r>
      <w:r>
        <w:t xml:space="preserve"> relatif au calendrier, à la gestion et aux autres aspects de la mise aux enchères des quotas d’émission de gaz à effet de serre conformément à la directive </w:t>
      </w:r>
      <w:r w:rsidRPr="00F43FC8">
        <w:t>2003</w:t>
      </w:r>
      <w:r>
        <w:t>/</w:t>
      </w:r>
      <w:r w:rsidRPr="00F43FC8">
        <w:t>87</w:t>
      </w:r>
      <w:r>
        <w:t>/CE du Parlement européen et du Conseil établissant un système d’échange de quotas d’émission de gaz à effet de serre dans la Communauté (</w:t>
      </w:r>
      <w:hyperlink r:id="rId25" w:history="1">
        <w:r>
          <w:rPr>
            <w:rStyle w:val="Hyperlink"/>
          </w:rPr>
          <w:t>JO L </w:t>
        </w:r>
        <w:r w:rsidRPr="00F43FC8">
          <w:rPr>
            <w:rStyle w:val="Hyperlink"/>
          </w:rPr>
          <w:t>302</w:t>
        </w:r>
      </w:hyperlink>
      <w:r>
        <w:t xml:space="preserve"> du </w:t>
      </w:r>
      <w:r w:rsidRPr="00F43FC8">
        <w:t>18</w:t>
      </w:r>
      <w:r>
        <w:t>.</w:t>
      </w:r>
      <w:r w:rsidRPr="00F43FC8">
        <w:t>11</w:t>
      </w:r>
      <w:r>
        <w:t>.</w:t>
      </w:r>
      <w:r w:rsidRPr="00F43FC8">
        <w:t>2010</w:t>
      </w:r>
      <w:r>
        <w:t>, p. </w:t>
      </w:r>
      <w:r w:rsidRPr="00F43FC8">
        <w:t>1</w:t>
      </w:r>
      <w:r>
        <w:t>).</w:t>
      </w:r>
    </w:p>
  </w:footnote>
  <w:footnote w:id="35">
    <w:p w14:paraId="3ED4C876" w14:textId="77777777" w:rsidR="00372F2A" w:rsidRDefault="00372F2A" w:rsidP="00666776">
      <w:pPr>
        <w:pStyle w:val="FootnoteText"/>
      </w:pPr>
      <w:r>
        <w:rPr>
          <w:rStyle w:val="FootnoteReference"/>
        </w:rPr>
        <w:footnoteRef/>
      </w:r>
      <w:r>
        <w:t xml:space="preserve"> Les volumes de quotas généraux ont été déterminés en tenant compte de la décision nº </w:t>
      </w:r>
      <w:r w:rsidRPr="00F43FC8">
        <w:t>1359</w:t>
      </w:r>
      <w:r>
        <w:t>/</w:t>
      </w:r>
      <w:r w:rsidRPr="00F43FC8">
        <w:t>2013</w:t>
      </w:r>
      <w:r>
        <w:t>/UE. Les volumes de quotas aviation ont été déterminés en tenant compte de la décision nº </w:t>
      </w:r>
      <w:r w:rsidRPr="00F43FC8">
        <w:t>377</w:t>
      </w:r>
      <w:r>
        <w:t>/</w:t>
      </w:r>
      <w:r w:rsidRPr="00F43FC8">
        <w:t>2013</w:t>
      </w:r>
      <w:r>
        <w:t>/UE et du règlement (UE) nº </w:t>
      </w:r>
      <w:r w:rsidRPr="00F43FC8">
        <w:t>421</w:t>
      </w:r>
      <w:r>
        <w:t>/</w:t>
      </w:r>
      <w:r w:rsidRPr="00F43FC8">
        <w:t>2014</w:t>
      </w:r>
      <w:r>
        <w:t xml:space="preserve">. </w:t>
      </w:r>
    </w:p>
  </w:footnote>
  <w:footnote w:id="36">
    <w:p w14:paraId="041B2984" w14:textId="77777777" w:rsidR="00372F2A" w:rsidRDefault="00372F2A" w:rsidP="00666776">
      <w:pPr>
        <w:pStyle w:val="FootnoteText"/>
      </w:pPr>
      <w:r>
        <w:rPr>
          <w:rStyle w:val="FootnoteReference"/>
        </w:rPr>
        <w:footnoteRef/>
      </w:r>
      <w:r>
        <w:t xml:space="preserve"> Des enchères anticipées de quotas au cours de la phase </w:t>
      </w:r>
      <w:r w:rsidRPr="00F43FC8">
        <w:t>3</w:t>
      </w:r>
      <w:r>
        <w:t xml:space="preserve"> ont été organisées en </w:t>
      </w:r>
      <w:r w:rsidRPr="00F43FC8">
        <w:t>2012</w:t>
      </w:r>
      <w:r>
        <w:t xml:space="preserve"> compte tenu de la pratique commerciale largement répandue dans le secteur de l’électricité consistant à vendre de l’électricité à terme et à acheter les intrants nécessaires (y compris les quotas) au moment de la vente de la production.</w:t>
      </w:r>
    </w:p>
  </w:footnote>
  <w:footnote w:id="37">
    <w:p w14:paraId="672634FA" w14:textId="4EFC687C" w:rsidR="00372F2A" w:rsidRPr="00BC0208" w:rsidRDefault="00372F2A" w:rsidP="00666776">
      <w:pPr>
        <w:pStyle w:val="FootnoteText"/>
      </w:pPr>
      <w:r>
        <w:rPr>
          <w:rStyle w:val="FootnoteReference"/>
        </w:rPr>
        <w:footnoteRef/>
      </w:r>
      <w:r>
        <w:t xml:space="preserve"> Le tableau inclut les volumes mis aux enchères pour l’EU-</w:t>
      </w:r>
      <w:r w:rsidRPr="00F43FC8">
        <w:t>27</w:t>
      </w:r>
      <w:r>
        <w:t xml:space="preserve"> + Royaume-Uni + Islande, Liechtenstein et Norvège (excepté pour l’année </w:t>
      </w:r>
      <w:r w:rsidRPr="00F43FC8">
        <w:t>2021</w:t>
      </w:r>
      <w:r>
        <w:t xml:space="preserve">, qui n’inclut pas de chiffres relatifs au Royaume-Uni). </w:t>
      </w:r>
    </w:p>
  </w:footnote>
  <w:footnote w:id="38">
    <w:p w14:paraId="7CA87630" w14:textId="59D94F45" w:rsidR="00372F2A" w:rsidRDefault="00372F2A" w:rsidP="00666776">
      <w:pPr>
        <w:pStyle w:val="FootnoteText"/>
      </w:pPr>
      <w:r>
        <w:rPr>
          <w:rStyle w:val="FootnoteReference"/>
        </w:rPr>
        <w:footnoteRef/>
      </w:r>
      <w:r>
        <w:t xml:space="preserve"> </w:t>
      </w:r>
      <w:hyperlink r:id="rId26" w:history="1">
        <w:r>
          <w:rPr>
            <w:rStyle w:val="Hyperlink"/>
          </w:rPr>
          <w:t>Mise aux enchères dans le SEQE-UE</w:t>
        </w:r>
      </w:hyperlink>
    </w:p>
  </w:footnote>
  <w:footnote w:id="39">
    <w:p w14:paraId="4C4792FC" w14:textId="77777777" w:rsidR="00372F2A" w:rsidRDefault="00372F2A" w:rsidP="00666776">
      <w:pPr>
        <w:pStyle w:val="FootnoteText"/>
      </w:pPr>
      <w:r>
        <w:rPr>
          <w:rStyle w:val="FootnoteReference"/>
        </w:rPr>
        <w:footnoteRef/>
      </w:r>
      <w:r>
        <w:t xml:space="preserve"> Les chiffres comprennent les quotas mis aux enchères pour les fonds pour l’innovation et la modernisation.</w:t>
      </w:r>
    </w:p>
  </w:footnote>
  <w:footnote w:id="40">
    <w:p w14:paraId="65CAF796" w14:textId="513A3684" w:rsidR="00372F2A" w:rsidRDefault="00372F2A" w:rsidP="00666776">
      <w:pPr>
        <w:pStyle w:val="FootnoteText"/>
      </w:pPr>
      <w:r>
        <w:rPr>
          <w:rStyle w:val="FootnoteReference"/>
        </w:rPr>
        <w:footnoteRef/>
      </w:r>
      <w:r>
        <w:t xml:space="preserve"> Article </w:t>
      </w:r>
      <w:r w:rsidRPr="00F43FC8">
        <w:t>3</w:t>
      </w:r>
      <w:r>
        <w:t> </w:t>
      </w:r>
      <w:r>
        <w:rPr>
          <w:i/>
          <w:iCs/>
        </w:rPr>
        <w:t>quinquies</w:t>
      </w:r>
      <w:r>
        <w:t>, paragraphe </w:t>
      </w:r>
      <w:r w:rsidRPr="00F43FC8">
        <w:t>4</w:t>
      </w:r>
      <w:r>
        <w:t>, de la directive SEQE-UE</w:t>
      </w:r>
    </w:p>
  </w:footnote>
  <w:footnote w:id="41">
    <w:p w14:paraId="0548EF19" w14:textId="3D831B36" w:rsidR="00372F2A" w:rsidRDefault="00372F2A" w:rsidP="00666776">
      <w:pPr>
        <w:pStyle w:val="FootnoteText"/>
      </w:pPr>
      <w:r>
        <w:rPr>
          <w:rStyle w:val="FootnoteReference"/>
        </w:rPr>
        <w:footnoteRef/>
      </w:r>
      <w:r>
        <w:t xml:space="preserve"> Des informations détaillées sur l’utilisation des recettes de la mise aux enchères figurent dans le rapport de l’UE sur l’état d’avancement de la lutte contre le changement climatique en </w:t>
      </w:r>
      <w:r w:rsidRPr="00F43FC8">
        <w:t>2021</w:t>
      </w:r>
      <w:r>
        <w:t>, COM(</w:t>
      </w:r>
      <w:r w:rsidRPr="00F43FC8">
        <w:t>2021</w:t>
      </w:r>
      <w:r>
        <w:t>)</w:t>
      </w:r>
      <w:r w:rsidRPr="00F43FC8">
        <w:t>960</w:t>
      </w:r>
      <w:r>
        <w:t>.</w:t>
      </w:r>
    </w:p>
  </w:footnote>
  <w:footnote w:id="42">
    <w:p w14:paraId="5D572656" w14:textId="7EE9E635" w:rsidR="00372F2A" w:rsidRDefault="00372F2A">
      <w:pPr>
        <w:pStyle w:val="FootnoteText"/>
      </w:pPr>
      <w:r>
        <w:rPr>
          <w:rStyle w:val="FootnoteReference"/>
        </w:rPr>
        <w:footnoteRef/>
      </w:r>
      <w:r>
        <w:t xml:space="preserve"> La Bulgarie, Chypre, la Tchéquie, l’Estonie, la Hongrie, la Lettonie, la Lituanie, Malte, la Pologne et la Roumanie remplissaient les conditions requises pour bénéficier de la dérogation au titre de l’article </w:t>
      </w:r>
      <w:r w:rsidRPr="00F43FC8">
        <w:t>10</w:t>
      </w:r>
      <w:r>
        <w:t> </w:t>
      </w:r>
      <w:r>
        <w:rPr>
          <w:i/>
          <w:iCs/>
        </w:rPr>
        <w:t>quater</w:t>
      </w:r>
      <w:r>
        <w:t>. Malte et la Lettonie ont décidé de ne pas en faire usage pendant la phase </w:t>
      </w:r>
      <w:r w:rsidRPr="00F43FC8">
        <w:t>3</w:t>
      </w:r>
      <w:r>
        <w:t>.</w:t>
      </w:r>
    </w:p>
  </w:footnote>
  <w:footnote w:id="43">
    <w:p w14:paraId="35B0FB53" w14:textId="3A4A3B4D" w:rsidR="00372F2A" w:rsidRDefault="00372F2A">
      <w:pPr>
        <w:pStyle w:val="FootnoteText"/>
      </w:pPr>
      <w:r>
        <w:rPr>
          <w:rStyle w:val="FootnoteReference"/>
        </w:rPr>
        <w:footnoteRef/>
      </w:r>
      <w:r>
        <w:t xml:space="preserve"> Lignes directrices concernant certaines aides d’État dans le contexte du système d’échange de quotas d’émission de gaz à effet de serre après </w:t>
      </w:r>
      <w:r w:rsidRPr="00F43FC8">
        <w:t>2012</w:t>
      </w:r>
      <w:r>
        <w:t xml:space="preserve"> (</w:t>
      </w:r>
      <w:hyperlink r:id="rId27" w:history="1">
        <w:r>
          <w:rPr>
            <w:rStyle w:val="Hyperlink"/>
          </w:rPr>
          <w:t>JO C </w:t>
        </w:r>
        <w:r w:rsidRPr="00F43FC8">
          <w:rPr>
            <w:rStyle w:val="Hyperlink"/>
          </w:rPr>
          <w:t>158</w:t>
        </w:r>
      </w:hyperlink>
      <w:r>
        <w:t xml:space="preserve"> du </w:t>
      </w:r>
      <w:r w:rsidRPr="00F43FC8">
        <w:t>5</w:t>
      </w:r>
      <w:r>
        <w:t>.</w:t>
      </w:r>
      <w:r w:rsidRPr="00F43FC8">
        <w:t>6</w:t>
      </w:r>
      <w:r>
        <w:t>.</w:t>
      </w:r>
      <w:r w:rsidRPr="00F43FC8">
        <w:t>2012</w:t>
      </w:r>
      <w:r>
        <w:t>, p. </w:t>
      </w:r>
      <w:r w:rsidRPr="00F43FC8">
        <w:t>4</w:t>
      </w:r>
      <w:r>
        <w:t>).</w:t>
      </w:r>
    </w:p>
  </w:footnote>
  <w:footnote w:id="44">
    <w:p w14:paraId="412E85F2" w14:textId="13A513B7" w:rsidR="00372F2A" w:rsidRDefault="00372F2A" w:rsidP="00155B66">
      <w:pPr>
        <w:pStyle w:val="FootnoteText"/>
      </w:pPr>
      <w:r>
        <w:rPr>
          <w:rStyle w:val="FootnoteReference"/>
        </w:rPr>
        <w:footnoteRef/>
      </w:r>
      <w:r>
        <w:t xml:space="preserve"> Les quotas alloués en vertu de l’article </w:t>
      </w:r>
      <w:r w:rsidRPr="00F43FC8">
        <w:t>10</w:t>
      </w:r>
      <w:r>
        <w:t> </w:t>
      </w:r>
      <w:r>
        <w:rPr>
          <w:i/>
          <w:iCs/>
        </w:rPr>
        <w:t>quater</w:t>
      </w:r>
      <w:r>
        <w:t xml:space="preserve"> qui sont repris dans le graphique </w:t>
      </w:r>
      <w:r w:rsidRPr="00F43FC8">
        <w:t>4</w:t>
      </w:r>
      <w:r>
        <w:t xml:space="preserve"> peuvent inclure les quotas délivrés avec retard pour les années antérieures. Les montants annuels correspondants sont indiqués dans l’EUTL.</w:t>
      </w:r>
    </w:p>
  </w:footnote>
  <w:footnote w:id="45">
    <w:p w14:paraId="2B23A74B" w14:textId="086438BD" w:rsidR="00372F2A" w:rsidRPr="00F543BE" w:rsidRDefault="00372F2A" w:rsidP="00155B66">
      <w:pPr>
        <w:pStyle w:val="FootnoteText"/>
      </w:pPr>
      <w:r>
        <w:rPr>
          <w:rStyle w:val="FootnoteReference"/>
        </w:rPr>
        <w:footnoteRef/>
      </w:r>
      <w:r>
        <w:t xml:space="preserve"> Le graphique </w:t>
      </w:r>
      <w:r w:rsidRPr="00F43FC8">
        <w:t>5</w:t>
      </w:r>
      <w:r>
        <w:t xml:space="preserve"> comprend les volumes à mettre aux enchères jusqu’au calendrier des enchères de </w:t>
      </w:r>
      <w:r w:rsidRPr="00F43FC8">
        <w:t>2021</w:t>
      </w:r>
      <w:r>
        <w:t xml:space="preserve"> inclus. Les quotas transférés de </w:t>
      </w:r>
      <w:r w:rsidRPr="00F43FC8">
        <w:t>2013</w:t>
      </w:r>
      <w:r>
        <w:t xml:space="preserve"> à la phase </w:t>
      </w:r>
      <w:r w:rsidRPr="00F43FC8">
        <w:t>4</w:t>
      </w:r>
      <w:r>
        <w:t xml:space="preserve"> (</w:t>
      </w:r>
      <w:r w:rsidRPr="00F43FC8">
        <w:t>912</w:t>
      </w:r>
      <w:r>
        <w:t> </w:t>
      </w:r>
      <w:r w:rsidRPr="00F43FC8">
        <w:t>630</w:t>
      </w:r>
      <w:r>
        <w:t>) devaient initialement être alloués à cinq installations hongroises, qui, en </w:t>
      </w:r>
      <w:r w:rsidRPr="00F43FC8">
        <w:t>2014</w:t>
      </w:r>
      <w:r>
        <w:t xml:space="preserve">, ont été jugées inéligibles à l’allocation. Le </w:t>
      </w:r>
      <w:r w:rsidRPr="00F43FC8">
        <w:t>27</w:t>
      </w:r>
      <w:r>
        <w:t> septembre </w:t>
      </w:r>
      <w:r w:rsidRPr="00F43FC8">
        <w:t>2019</w:t>
      </w:r>
      <w:r>
        <w:t>, conformément à l’article </w:t>
      </w:r>
      <w:r w:rsidRPr="00F43FC8">
        <w:t>10</w:t>
      </w:r>
      <w:r>
        <w:t> </w:t>
      </w:r>
      <w:r>
        <w:rPr>
          <w:i/>
          <w:iCs/>
        </w:rPr>
        <w:t>quater</w:t>
      </w:r>
      <w:r>
        <w:t>, paragraphe </w:t>
      </w:r>
      <w:r w:rsidRPr="00F43FC8">
        <w:t>5</w:t>
      </w:r>
      <w:r>
        <w:t>, et à l’article </w:t>
      </w:r>
      <w:r w:rsidRPr="00F43FC8">
        <w:t>10</w:t>
      </w:r>
      <w:r>
        <w:t> </w:t>
      </w:r>
      <w:r>
        <w:rPr>
          <w:i/>
          <w:iCs/>
        </w:rPr>
        <w:t>quinquies</w:t>
      </w:r>
      <w:r>
        <w:t>, paragraphe </w:t>
      </w:r>
      <w:r w:rsidRPr="00F43FC8">
        <w:t>4</w:t>
      </w:r>
      <w:r>
        <w:t xml:space="preserve">, de la directive SEQE-UE révisée, la Hongrie a informé la Commission de son intention d’utiliser les </w:t>
      </w:r>
      <w:r w:rsidRPr="00F43FC8">
        <w:t>912</w:t>
      </w:r>
      <w:r>
        <w:t> </w:t>
      </w:r>
      <w:r w:rsidRPr="00F43FC8">
        <w:t>630</w:t>
      </w:r>
      <w:r>
        <w:t> quotas visés à l’article </w:t>
      </w:r>
      <w:r w:rsidRPr="00F43FC8">
        <w:t>10</w:t>
      </w:r>
      <w:r>
        <w:t> </w:t>
      </w:r>
      <w:r>
        <w:rPr>
          <w:i/>
          <w:iCs/>
        </w:rPr>
        <w:t>quater</w:t>
      </w:r>
      <w:r>
        <w:t>, qui n’avaient pas été alloués en </w:t>
      </w:r>
      <w:r w:rsidRPr="00F43FC8">
        <w:t>2020</w:t>
      </w:r>
      <w:r>
        <w:t>, afin de mettre en œuvre la dérogation visée à l’article </w:t>
      </w:r>
      <w:r w:rsidRPr="00F43FC8">
        <w:t>10</w:t>
      </w:r>
      <w:r>
        <w:t> </w:t>
      </w:r>
      <w:r>
        <w:rPr>
          <w:i/>
          <w:iCs/>
        </w:rPr>
        <w:t>quater</w:t>
      </w:r>
      <w:r>
        <w:t xml:space="preserve"> lors de la phase </w:t>
      </w:r>
      <w:r w:rsidRPr="00F43FC8">
        <w:t>4</w:t>
      </w:r>
      <w:r>
        <w:t xml:space="preserve">. </w:t>
      </w:r>
    </w:p>
  </w:footnote>
  <w:footnote w:id="46">
    <w:p w14:paraId="3F946077" w14:textId="2DBDA6C0" w:rsidR="00372F2A" w:rsidRDefault="00372F2A">
      <w:pPr>
        <w:pStyle w:val="FootnoteText"/>
      </w:pPr>
      <w:r>
        <w:rPr>
          <w:rStyle w:val="FootnoteReference"/>
        </w:rPr>
        <w:footnoteRef/>
      </w:r>
      <w:r>
        <w:t xml:space="preserve"> Conformément à l’article </w:t>
      </w:r>
      <w:r w:rsidRPr="00F43FC8">
        <w:t>10</w:t>
      </w:r>
      <w:r>
        <w:t> </w:t>
      </w:r>
      <w:r>
        <w:rPr>
          <w:i/>
          <w:iCs/>
        </w:rPr>
        <w:t>quater</w:t>
      </w:r>
      <w:r>
        <w:t>, paragraphe </w:t>
      </w:r>
      <w:r w:rsidRPr="00F43FC8">
        <w:t>2</w:t>
      </w:r>
      <w:r>
        <w:t xml:space="preserve">, les États membres qui avaient l’intention de recourir à l’allocation facultative transitoire de quotas à titre gratuit pour la modernisation du secteur de l’énergie devraient publier, au plus tard le </w:t>
      </w:r>
      <w:r w:rsidRPr="00F43FC8">
        <w:t>30</w:t>
      </w:r>
      <w:r>
        <w:t> juin </w:t>
      </w:r>
      <w:r w:rsidRPr="00F43FC8">
        <w:t>2019</w:t>
      </w:r>
      <w:r>
        <w:t>, un cadre de référence national détaillé et/ou une liste de projets à petite échelle à soutenir. Seules la Bulgarie, la Hongrie et la Roumanie l’ont fait. Conformément à l’article </w:t>
      </w:r>
      <w:r w:rsidRPr="00F43FC8">
        <w:t>10</w:t>
      </w:r>
      <w:r>
        <w:t> </w:t>
      </w:r>
      <w:r>
        <w:rPr>
          <w:i/>
          <w:iCs/>
        </w:rPr>
        <w:t>quater</w:t>
      </w:r>
      <w:r>
        <w:t>, paragraphe </w:t>
      </w:r>
      <w:r w:rsidRPr="00F43FC8">
        <w:t>5</w:t>
      </w:r>
      <w:r>
        <w:t xml:space="preserve">, les États membres pouvaient décider, au plus tard pour le </w:t>
      </w:r>
      <w:r w:rsidRPr="00F43FC8">
        <w:t>30</w:t>
      </w:r>
      <w:r>
        <w:t> septembre </w:t>
      </w:r>
      <w:r w:rsidRPr="00F43FC8">
        <w:t>2019</w:t>
      </w:r>
      <w:r>
        <w:t>, d’utiliser leurs quotas gratuits non alloués de la phase </w:t>
      </w:r>
      <w:r w:rsidRPr="00F43FC8">
        <w:t>3</w:t>
      </w:r>
      <w:r>
        <w:t xml:space="preserve"> pour l’allocation facultative transitoire de quotas à titre gratuit de la phase </w:t>
      </w:r>
      <w:r w:rsidRPr="00F43FC8">
        <w:t>4</w:t>
      </w:r>
      <w:r>
        <w:t>, ou de mettre ces quotas aux enchères (voir le tableau </w:t>
      </w:r>
      <w:r w:rsidRPr="00F43FC8">
        <w:t>6</w:t>
      </w:r>
      <w:r>
        <w:t>.</w:t>
      </w:r>
      <w:r w:rsidRPr="00F43FC8">
        <w:t>3</w:t>
      </w:r>
      <w:r>
        <w:t xml:space="preserve"> de l’annexe </w:t>
      </w:r>
      <w:r w:rsidRPr="00F43FC8">
        <w:t>6</w:t>
      </w:r>
      <w:r>
        <w:t xml:space="preserve"> du document de travail des services de la Commission accompagnant le présent rapport). </w:t>
      </w:r>
    </w:p>
  </w:footnote>
  <w:footnote w:id="47">
    <w:p w14:paraId="02584356" w14:textId="2A8FAE90" w:rsidR="00372F2A" w:rsidRPr="00F31B2B" w:rsidRDefault="00372F2A" w:rsidP="00AB73FF">
      <w:pPr>
        <w:spacing w:after="0" w:line="240" w:lineRule="auto"/>
        <w:jc w:val="both"/>
        <w:rPr>
          <w:rFonts w:ascii="Times New Roman" w:hAnsi="Times New Roman"/>
          <w:sz w:val="18"/>
          <w:szCs w:val="18"/>
        </w:rPr>
      </w:pPr>
      <w:r>
        <w:rPr>
          <w:rStyle w:val="FootnoteReference"/>
          <w:rFonts w:ascii="Times New Roman" w:hAnsi="Times New Roman"/>
        </w:rPr>
        <w:footnoteRef/>
      </w:r>
      <w:r>
        <w:t xml:space="preserve"> </w:t>
      </w:r>
      <w:r>
        <w:rPr>
          <w:rFonts w:ascii="Times New Roman" w:hAnsi="Times New Roman"/>
          <w:sz w:val="18"/>
          <w:szCs w:val="18"/>
        </w:rPr>
        <w:t>Lignes directrices concernant certaines aides d’État dans le contexte du système d’échange de quotas d’émission de gaz à effet de serre après </w:t>
      </w:r>
      <w:r w:rsidRPr="00F43FC8">
        <w:rPr>
          <w:rFonts w:ascii="Times New Roman" w:hAnsi="Times New Roman"/>
          <w:sz w:val="18"/>
          <w:szCs w:val="18"/>
        </w:rPr>
        <w:t>2012</w:t>
      </w:r>
      <w:r>
        <w:rPr>
          <w:rFonts w:ascii="Times New Roman" w:hAnsi="Times New Roman"/>
          <w:sz w:val="18"/>
          <w:szCs w:val="18"/>
        </w:rPr>
        <w:t xml:space="preserve"> (</w:t>
      </w:r>
      <w:hyperlink r:id="rId28" w:history="1">
        <w:r>
          <w:rPr>
            <w:rStyle w:val="Hyperlink"/>
            <w:rFonts w:ascii="Times New Roman" w:hAnsi="Times New Roman"/>
            <w:sz w:val="18"/>
            <w:szCs w:val="18"/>
          </w:rPr>
          <w:t>JO C </w:t>
        </w:r>
        <w:r w:rsidRPr="00F43FC8">
          <w:rPr>
            <w:rStyle w:val="Hyperlink"/>
            <w:rFonts w:ascii="Times New Roman" w:hAnsi="Times New Roman"/>
            <w:sz w:val="18"/>
            <w:szCs w:val="18"/>
          </w:rPr>
          <w:t>317</w:t>
        </w:r>
      </w:hyperlink>
      <w:r>
        <w:rPr>
          <w:rFonts w:ascii="Times New Roman" w:hAnsi="Times New Roman"/>
          <w:sz w:val="18"/>
          <w:szCs w:val="18"/>
        </w:rPr>
        <w:t xml:space="preserve"> du </w:t>
      </w:r>
      <w:r w:rsidRPr="00F43FC8">
        <w:rPr>
          <w:rFonts w:ascii="Times New Roman" w:hAnsi="Times New Roman"/>
          <w:sz w:val="18"/>
          <w:szCs w:val="18"/>
        </w:rPr>
        <w:t>25</w:t>
      </w:r>
      <w:r>
        <w:rPr>
          <w:rFonts w:ascii="Times New Roman" w:hAnsi="Times New Roman"/>
          <w:sz w:val="18"/>
          <w:szCs w:val="18"/>
        </w:rPr>
        <w:t>.</w:t>
      </w:r>
      <w:r w:rsidRPr="00F43FC8">
        <w:rPr>
          <w:rFonts w:ascii="Times New Roman" w:hAnsi="Times New Roman"/>
          <w:sz w:val="18"/>
          <w:szCs w:val="18"/>
        </w:rPr>
        <w:t>9</w:t>
      </w:r>
      <w:r>
        <w:rPr>
          <w:rFonts w:ascii="Times New Roman" w:hAnsi="Times New Roman"/>
          <w:sz w:val="18"/>
          <w:szCs w:val="18"/>
        </w:rPr>
        <w:t>.</w:t>
      </w:r>
      <w:r w:rsidRPr="00F43FC8">
        <w:rPr>
          <w:rFonts w:ascii="Times New Roman" w:hAnsi="Times New Roman"/>
          <w:sz w:val="18"/>
          <w:szCs w:val="18"/>
        </w:rPr>
        <w:t>2012</w:t>
      </w:r>
      <w:r>
        <w:rPr>
          <w:rFonts w:ascii="Times New Roman" w:hAnsi="Times New Roman"/>
          <w:sz w:val="18"/>
          <w:szCs w:val="18"/>
        </w:rPr>
        <w:t>, p. </w:t>
      </w:r>
      <w:r w:rsidRPr="00F43FC8">
        <w:rPr>
          <w:rFonts w:ascii="Times New Roman" w:hAnsi="Times New Roman"/>
          <w:sz w:val="18"/>
          <w:szCs w:val="18"/>
        </w:rPr>
        <w:t>5</w:t>
      </w:r>
      <w:r>
        <w:rPr>
          <w:rFonts w:ascii="Times New Roman" w:hAnsi="Times New Roman"/>
          <w:sz w:val="18"/>
          <w:szCs w:val="18"/>
        </w:rPr>
        <w:t>).</w:t>
      </w:r>
    </w:p>
  </w:footnote>
  <w:footnote w:id="48">
    <w:p w14:paraId="27F3ACA1" w14:textId="610B8B49" w:rsidR="00372F2A" w:rsidRDefault="00372F2A" w:rsidP="00666776">
      <w:pPr>
        <w:pStyle w:val="FootnoteText"/>
      </w:pPr>
      <w:r>
        <w:rPr>
          <w:rStyle w:val="FootnoteReference"/>
        </w:rPr>
        <w:footnoteRef/>
      </w:r>
      <w:r>
        <w:t xml:space="preserve"> En phase </w:t>
      </w:r>
      <w:r w:rsidRPr="00F43FC8">
        <w:t>4</w:t>
      </w:r>
      <w:r>
        <w:t>, la Bulgarie, la Croatie, la Tchéquie, l’Estonie, la Hongrie, la Lettonie, la Lituanie, la Pologne, la Slovaquie et la Roumanie remplissent les conditions requises pour utiliser la dérogation prévue à l’article </w:t>
      </w:r>
      <w:r w:rsidRPr="00F43FC8">
        <w:t>10</w:t>
      </w:r>
      <w:r>
        <w:t> </w:t>
      </w:r>
      <w:r>
        <w:rPr>
          <w:i/>
          <w:iCs/>
        </w:rPr>
        <w:t>quater</w:t>
      </w:r>
      <w:r>
        <w:t>.</w:t>
      </w:r>
    </w:p>
  </w:footnote>
  <w:footnote w:id="49">
    <w:p w14:paraId="041C1648" w14:textId="06171D09" w:rsidR="00372F2A" w:rsidRDefault="00372F2A" w:rsidP="00666776">
      <w:pPr>
        <w:pStyle w:val="FootnoteText"/>
      </w:pPr>
      <w:r>
        <w:rPr>
          <w:rStyle w:val="FootnoteReference"/>
        </w:rPr>
        <w:footnoteRef/>
      </w:r>
      <w:r>
        <w:t xml:space="preserve"> Les projets opérationnels sont ceux qui ont été lancés et sont en cours de mise en œuvre, tandis que les projets achevés sont ceux dont la mise en œuvre est terminée.</w:t>
      </w:r>
    </w:p>
  </w:footnote>
  <w:footnote w:id="50">
    <w:p w14:paraId="1B911855" w14:textId="6E16F056" w:rsidR="00372F2A" w:rsidRPr="003B7CB3" w:rsidRDefault="00372F2A" w:rsidP="00666776">
      <w:pPr>
        <w:pStyle w:val="FootnoteText"/>
      </w:pPr>
      <w:r>
        <w:rPr>
          <w:rStyle w:val="FootnoteReference"/>
        </w:rPr>
        <w:footnoteRef/>
      </w:r>
      <w:r>
        <w:t xml:space="preserve"> Décision d’exécution de la Commission </w:t>
      </w:r>
      <w:hyperlink r:id="rId29" w:history="1">
        <w:r>
          <w:rPr>
            <w:rStyle w:val="Hyperlink"/>
          </w:rPr>
          <w:t>C(</w:t>
        </w:r>
        <w:r w:rsidRPr="00F43FC8">
          <w:rPr>
            <w:rStyle w:val="Hyperlink"/>
          </w:rPr>
          <w:t>2021</w:t>
        </w:r>
        <w:r>
          <w:rPr>
            <w:rStyle w:val="Hyperlink"/>
          </w:rPr>
          <w:t>)</w:t>
        </w:r>
        <w:r w:rsidRPr="00F43FC8">
          <w:rPr>
            <w:rStyle w:val="Hyperlink"/>
          </w:rPr>
          <w:t>1712</w:t>
        </w:r>
      </w:hyperlink>
      <w:r>
        <w:t xml:space="preserve"> modifiant les décisions d’exécution C(</w:t>
      </w:r>
      <w:r w:rsidRPr="00F43FC8">
        <w:t>2012</w:t>
      </w:r>
      <w:r>
        <w:t>) </w:t>
      </w:r>
      <w:r w:rsidRPr="00F43FC8">
        <w:t>9432</w:t>
      </w:r>
      <w:r>
        <w:t xml:space="preserve"> et C(</w:t>
      </w:r>
      <w:r w:rsidRPr="00F43FC8">
        <w:t>2014</w:t>
      </w:r>
      <w:r>
        <w:t>) </w:t>
      </w:r>
      <w:r w:rsidRPr="00F43FC8">
        <w:t>4493</w:t>
      </w:r>
      <w:r>
        <w:t xml:space="preserve"> en ce qui concerne certains projets relevant du programme de financement NER </w:t>
      </w:r>
      <w:r w:rsidRPr="00F43FC8">
        <w:t>300</w:t>
      </w:r>
      <w:r>
        <w:t>, notamment ceux touchés par la pandémie de COVID-</w:t>
      </w:r>
      <w:r w:rsidRPr="00F43FC8">
        <w:t>19</w:t>
      </w:r>
      <w:r>
        <w:t>.</w:t>
      </w:r>
    </w:p>
  </w:footnote>
  <w:footnote w:id="51">
    <w:p w14:paraId="5B0C27BF" w14:textId="43FD0564" w:rsidR="00372F2A" w:rsidRDefault="00372F2A" w:rsidP="00666776">
      <w:pPr>
        <w:pStyle w:val="FootnoteText"/>
      </w:pPr>
      <w:r>
        <w:rPr>
          <w:rStyle w:val="FootnoteReference"/>
        </w:rPr>
        <w:footnoteRef/>
      </w:r>
      <w:r>
        <w:t xml:space="preserve"> Décision (UE) </w:t>
      </w:r>
      <w:r w:rsidRPr="00F43FC8">
        <w:t>2017</w:t>
      </w:r>
      <w:r>
        <w:t>/</w:t>
      </w:r>
      <w:r w:rsidRPr="00F43FC8">
        <w:t>2172</w:t>
      </w:r>
      <w:r>
        <w:t xml:space="preserve"> de la Commission du </w:t>
      </w:r>
      <w:r w:rsidRPr="00F43FC8">
        <w:t>20</w:t>
      </w:r>
      <w:r>
        <w:t> novembre </w:t>
      </w:r>
      <w:r w:rsidRPr="00F43FC8">
        <w:t>2017</w:t>
      </w:r>
      <w:r>
        <w:t xml:space="preserve"> modifiant la décision </w:t>
      </w:r>
      <w:r w:rsidRPr="00F43FC8">
        <w:t>2010</w:t>
      </w:r>
      <w:r>
        <w:t>/</w:t>
      </w:r>
      <w:r w:rsidRPr="00F43FC8">
        <w:t>670</w:t>
      </w:r>
      <w:r>
        <w:t>/UE en ce qui concerne l’affectation des recettes non versées provenant du premier appel à propositions (</w:t>
      </w:r>
      <w:hyperlink r:id="rId30" w:history="1">
        <w:r>
          <w:rPr>
            <w:rStyle w:val="Hyperlink"/>
          </w:rPr>
          <w:t>JO L </w:t>
        </w:r>
        <w:r w:rsidRPr="00F43FC8">
          <w:rPr>
            <w:rStyle w:val="Hyperlink"/>
          </w:rPr>
          <w:t>306</w:t>
        </w:r>
      </w:hyperlink>
      <w:r>
        <w:t xml:space="preserve"> du </w:t>
      </w:r>
      <w:r w:rsidRPr="00F43FC8">
        <w:t>22</w:t>
      </w:r>
      <w:r>
        <w:t>.</w:t>
      </w:r>
      <w:r w:rsidRPr="00F43FC8">
        <w:t>11</w:t>
      </w:r>
      <w:r>
        <w:t>.</w:t>
      </w:r>
      <w:r w:rsidRPr="00F43FC8">
        <w:t>2017</w:t>
      </w:r>
      <w:r>
        <w:t>, p. </w:t>
      </w:r>
      <w:r w:rsidRPr="00F43FC8">
        <w:t>24</w:t>
      </w:r>
      <w:r>
        <w:t>).</w:t>
      </w:r>
    </w:p>
  </w:footnote>
  <w:footnote w:id="52">
    <w:p w14:paraId="4C51FBD5" w14:textId="3618F52D" w:rsidR="00372F2A" w:rsidRDefault="00372F2A" w:rsidP="00666776">
      <w:pPr>
        <w:pStyle w:val="FootnoteText"/>
      </w:pPr>
      <w:r>
        <w:rPr>
          <w:rStyle w:val="FootnoteReference"/>
        </w:rPr>
        <w:footnoteRef/>
      </w:r>
      <w:r>
        <w:t xml:space="preserve"> Ce montant dépend du prix du carbone; dans le présent document, un prix de </w:t>
      </w:r>
      <w:r w:rsidRPr="00F43FC8">
        <w:t>40</w:t>
      </w:r>
      <w:r>
        <w:t> euros a été utilisé. Dans le train de mesures visant à mettre en œuvre le pacte vert pour l’Europe, la Commission propose de revoir considérablement à la hausse la dotation du Fonds pour l’innovation.</w:t>
      </w:r>
    </w:p>
  </w:footnote>
  <w:footnote w:id="53">
    <w:p w14:paraId="711A1151" w14:textId="6BA44B98" w:rsidR="00372F2A" w:rsidRDefault="00372F2A" w:rsidP="00666776">
      <w:pPr>
        <w:pStyle w:val="FootnoteText"/>
      </w:pPr>
      <w:r>
        <w:rPr>
          <w:rStyle w:val="FootnoteReference"/>
        </w:rPr>
        <w:footnoteRef/>
      </w:r>
      <w:r>
        <w:t xml:space="preserve"> Fonds pour l’innovation: </w:t>
      </w:r>
      <w:hyperlink r:id="rId31" w:history="1">
        <w:r>
          <w:rPr>
            <w:rStyle w:val="Hyperlink"/>
          </w:rPr>
          <w:t>appel à projets à grande échelle</w:t>
        </w:r>
      </w:hyperlink>
    </w:p>
  </w:footnote>
  <w:footnote w:id="54">
    <w:p w14:paraId="5384A949" w14:textId="2190E207" w:rsidR="00372F2A" w:rsidRDefault="00372F2A" w:rsidP="00666776">
      <w:pPr>
        <w:pStyle w:val="FootnoteText"/>
      </w:pPr>
      <w:r>
        <w:rPr>
          <w:rStyle w:val="FootnoteReference"/>
        </w:rPr>
        <w:footnoteRef/>
      </w:r>
      <w:r>
        <w:t xml:space="preserve"> Fonds pour l’innovation: </w:t>
      </w:r>
      <w:hyperlink r:id="rId32" w:history="1">
        <w:r>
          <w:rPr>
            <w:rStyle w:val="Hyperlink"/>
          </w:rPr>
          <w:t>appel à projets à petite échelle</w:t>
        </w:r>
      </w:hyperlink>
    </w:p>
  </w:footnote>
  <w:footnote w:id="55">
    <w:p w14:paraId="5923B80B" w14:textId="327A08A5" w:rsidR="00372F2A" w:rsidRDefault="00372F2A" w:rsidP="00666776">
      <w:pPr>
        <w:pStyle w:val="FootnoteText"/>
      </w:pPr>
      <w:r>
        <w:rPr>
          <w:rStyle w:val="FootnoteReference"/>
        </w:rPr>
        <w:footnoteRef/>
      </w:r>
      <w:r>
        <w:t xml:space="preserve"> Les États membres bénéficiaires sont la Bulgarie, la Croatie, la Tchéquie, l’Estonie, la Hongrie, la Lettonie, la Lituanie, la Pologne, la Roumanie et la Slovaquie.</w:t>
      </w:r>
    </w:p>
  </w:footnote>
  <w:footnote w:id="56">
    <w:p w14:paraId="2A0FB95A" w14:textId="762928A3" w:rsidR="00372F2A" w:rsidRDefault="00372F2A" w:rsidP="00666776">
      <w:pPr>
        <w:pStyle w:val="FootnoteText"/>
      </w:pPr>
      <w:r>
        <w:rPr>
          <w:rStyle w:val="FootnoteReference"/>
        </w:rPr>
        <w:footnoteRef/>
      </w:r>
      <w:r>
        <w:t xml:space="preserve"> Ce montant dépend du prix du carbone; dans le présent document, un prix de </w:t>
      </w:r>
      <w:r w:rsidRPr="00F43FC8">
        <w:t>40</w:t>
      </w:r>
      <w:r>
        <w:t xml:space="preserve"> euros a été utilisé. Dans le train de mesures visant à mettre en œuvre le pacte vert pour l’Europe, la Commission propose de revoir à la hausse la dotation du Fonds pour l’innovation en lui allouant un plafond supplémentaire de </w:t>
      </w:r>
      <w:r w:rsidRPr="00F43FC8">
        <w:t>2</w:t>
      </w:r>
      <w:r>
        <w:t>,</w:t>
      </w:r>
      <w:r w:rsidRPr="00F43FC8">
        <w:t>5</w:t>
      </w:r>
      <w:r>
        <w:t> %.</w:t>
      </w:r>
    </w:p>
  </w:footnote>
  <w:footnote w:id="57">
    <w:p w14:paraId="6B8FCA72" w14:textId="4E37A73D" w:rsidR="00372F2A" w:rsidRDefault="00372F2A" w:rsidP="00666776">
      <w:pPr>
        <w:pStyle w:val="FootnoteText"/>
      </w:pPr>
      <w:r>
        <w:rPr>
          <w:rStyle w:val="FootnoteReference"/>
        </w:rPr>
        <w:footnoteRef/>
      </w:r>
      <w:r>
        <w:t xml:space="preserve"> Ce volume inclut les transferts effectués par les États membres vers le Fonds pour la modernisation à partir des réserves de quotas visées à l'article </w:t>
      </w:r>
      <w:r w:rsidRPr="00F43FC8">
        <w:t>10</w:t>
      </w:r>
      <w:r>
        <w:t>, paragraphe </w:t>
      </w:r>
      <w:r w:rsidRPr="00F43FC8">
        <w:t>2</w:t>
      </w:r>
      <w:r>
        <w:t> </w:t>
      </w:r>
      <w:r>
        <w:rPr>
          <w:i/>
          <w:iCs/>
        </w:rPr>
        <w:t>ter</w:t>
      </w:r>
      <w:r>
        <w:t xml:space="preserve">, et à l'article </w:t>
      </w:r>
      <w:r w:rsidRPr="00F43FC8">
        <w:t>10</w:t>
      </w:r>
      <w:r>
        <w:t> </w:t>
      </w:r>
      <w:r>
        <w:rPr>
          <w:i/>
          <w:iCs/>
        </w:rPr>
        <w:t>quater</w:t>
      </w:r>
      <w:r>
        <w:t xml:space="preserve"> de la directive SEQE-UE. Le volume initial du Fonds pour la modernisation s’élève à près de </w:t>
      </w:r>
      <w:r w:rsidRPr="00F43FC8">
        <w:t>276</w:t>
      </w:r>
      <w:r>
        <w:t> millions de quotas (voir tableau </w:t>
      </w:r>
      <w:r w:rsidRPr="00F43FC8">
        <w:t>7</w:t>
      </w:r>
      <w:r>
        <w:t>.</w:t>
      </w:r>
      <w:r w:rsidRPr="00F43FC8">
        <w:t>3</w:t>
      </w:r>
      <w:r>
        <w:t xml:space="preserve"> de l’annexe </w:t>
      </w:r>
      <w:r w:rsidRPr="00F43FC8">
        <w:t>7</w:t>
      </w:r>
      <w:r>
        <w:t xml:space="preserve"> du document de travail des services de la Commission accompagnant le présent rapport). </w:t>
      </w:r>
    </w:p>
  </w:footnote>
  <w:footnote w:id="58">
    <w:p w14:paraId="008B32A4" w14:textId="594F5303" w:rsidR="00372F2A" w:rsidRDefault="00372F2A" w:rsidP="00666776">
      <w:pPr>
        <w:pStyle w:val="FootnoteText"/>
      </w:pPr>
      <w:r>
        <w:rPr>
          <w:rStyle w:val="FootnoteReference"/>
        </w:rPr>
        <w:footnoteRef/>
      </w:r>
      <w:r>
        <w:t xml:space="preserve"> Lignes directrices concernant certaines aides d’État dans le contexte du système d’échange de quotas d’émission de gaz à effet de serre après </w:t>
      </w:r>
      <w:r w:rsidRPr="00F43FC8">
        <w:t>2012</w:t>
      </w:r>
      <w:r>
        <w:t xml:space="preserve"> (</w:t>
      </w:r>
      <w:hyperlink r:id="rId33" w:history="1">
        <w:r>
          <w:rPr>
            <w:rStyle w:val="Hyperlink"/>
          </w:rPr>
          <w:t>JO C </w:t>
        </w:r>
        <w:r w:rsidRPr="00F43FC8">
          <w:rPr>
            <w:rStyle w:val="Hyperlink"/>
          </w:rPr>
          <w:t>158</w:t>
        </w:r>
      </w:hyperlink>
      <w:r>
        <w:t xml:space="preserve"> du </w:t>
      </w:r>
      <w:r w:rsidRPr="00F43FC8">
        <w:t>5</w:t>
      </w:r>
      <w:r>
        <w:t>.</w:t>
      </w:r>
      <w:r w:rsidRPr="00F43FC8">
        <w:t>6</w:t>
      </w:r>
      <w:r>
        <w:t>.</w:t>
      </w:r>
      <w:r w:rsidRPr="00F43FC8">
        <w:t>2012</w:t>
      </w:r>
      <w:r>
        <w:t>, p. </w:t>
      </w:r>
      <w:r w:rsidRPr="00F43FC8">
        <w:t>4</w:t>
      </w:r>
      <w:r>
        <w:t>).</w:t>
      </w:r>
    </w:p>
  </w:footnote>
  <w:footnote w:id="59">
    <w:p w14:paraId="26F6006F" w14:textId="433874F0" w:rsidR="00372F2A" w:rsidRDefault="00372F2A" w:rsidP="00666776">
      <w:pPr>
        <w:pStyle w:val="FootnoteText"/>
      </w:pPr>
      <w:r>
        <w:rPr>
          <w:rStyle w:val="FootnoteReference"/>
        </w:rPr>
        <w:footnoteRef/>
      </w:r>
      <w:r>
        <w:t xml:space="preserve"> Lignes directrices concernant certaines aides d’État dans le contexte du système d’échange de quotas d’émission de gaz à effet de serre après </w:t>
      </w:r>
      <w:r w:rsidRPr="00F43FC8">
        <w:t>2012</w:t>
      </w:r>
      <w:r>
        <w:t xml:space="preserve"> (</w:t>
      </w:r>
      <w:hyperlink r:id="rId34" w:history="1">
        <w:r>
          <w:rPr>
            <w:rStyle w:val="Hyperlink"/>
          </w:rPr>
          <w:t>JO C </w:t>
        </w:r>
        <w:r w:rsidRPr="00F43FC8">
          <w:rPr>
            <w:rStyle w:val="Hyperlink"/>
          </w:rPr>
          <w:t>317</w:t>
        </w:r>
      </w:hyperlink>
      <w:r>
        <w:t xml:space="preserve"> du </w:t>
      </w:r>
      <w:r w:rsidRPr="00F43FC8">
        <w:t>25</w:t>
      </w:r>
      <w:r>
        <w:t>.</w:t>
      </w:r>
      <w:r w:rsidRPr="00F43FC8">
        <w:t>9</w:t>
      </w:r>
      <w:r>
        <w:t>.</w:t>
      </w:r>
      <w:r w:rsidRPr="00F43FC8">
        <w:t>2012</w:t>
      </w:r>
      <w:r>
        <w:t>, p. </w:t>
      </w:r>
      <w:r w:rsidRPr="00F43FC8">
        <w:t>5</w:t>
      </w:r>
      <w:r>
        <w:t>).</w:t>
      </w:r>
    </w:p>
  </w:footnote>
  <w:footnote w:id="60">
    <w:p w14:paraId="416D17A8" w14:textId="77777777" w:rsidR="00372F2A" w:rsidRPr="00700047" w:rsidRDefault="00372F2A" w:rsidP="00666776">
      <w:pPr>
        <w:pStyle w:val="FootnoteText"/>
      </w:pPr>
      <w:r>
        <w:rPr>
          <w:rStyle w:val="FootnoteReference"/>
        </w:rPr>
        <w:footnoteRef/>
      </w:r>
      <w:r>
        <w:t xml:space="preserve"> SA.</w:t>
      </w:r>
      <w:r w:rsidRPr="00F43FC8">
        <w:t>58608</w:t>
      </w:r>
    </w:p>
  </w:footnote>
  <w:footnote w:id="61">
    <w:p w14:paraId="11315750" w14:textId="77777777" w:rsidR="00372F2A" w:rsidRPr="00700047" w:rsidRDefault="00372F2A" w:rsidP="00666776">
      <w:pPr>
        <w:pStyle w:val="FootnoteText"/>
      </w:pPr>
      <w:r>
        <w:rPr>
          <w:rStyle w:val="FootnoteReference"/>
        </w:rPr>
        <w:footnoteRef/>
      </w:r>
      <w:r>
        <w:t xml:space="preserve"> SA.</w:t>
      </w:r>
      <w:r w:rsidRPr="00F43FC8">
        <w:t>60787</w:t>
      </w:r>
    </w:p>
  </w:footnote>
  <w:footnote w:id="62">
    <w:p w14:paraId="471BCE6E" w14:textId="4F3B0862" w:rsidR="00372F2A" w:rsidRDefault="00372F2A" w:rsidP="00666776">
      <w:pPr>
        <w:pStyle w:val="FootnoteText"/>
      </w:pPr>
      <w:r>
        <w:rPr>
          <w:rStyle w:val="FootnoteReference"/>
        </w:rPr>
        <w:footnoteRef/>
      </w:r>
      <w:r>
        <w:t xml:space="preserve"> La Commission n’a pas reçu de données complètes sur la compensation des coûts indirects pour la Roumanie. En ce qui concerne le Royaume-Uni, aucune recette de vente aux enchères n’est incluse vu qu’aucun quota n’a été mis aux enchères pour le compte du Royaume-Uni en </w:t>
      </w:r>
      <w:r w:rsidRPr="00F43FC8">
        <w:t>2019</w:t>
      </w:r>
      <w:r>
        <w:t>, conformément aux mesures de sauvegarde adoptées afin de protéger l’intégrité environnementale du SEQE-UE dans les cas où le droit de l’UE cesse de s’appliquer à un État membre qui se retire de l’Union.</w:t>
      </w:r>
    </w:p>
  </w:footnote>
  <w:footnote w:id="63">
    <w:p w14:paraId="28019564" w14:textId="5D107763" w:rsidR="00372F2A" w:rsidRDefault="00372F2A" w:rsidP="00666776">
      <w:pPr>
        <w:pStyle w:val="FootnoteText"/>
      </w:pPr>
      <w:r>
        <w:rPr>
          <w:rStyle w:val="FootnoteReference"/>
        </w:rPr>
        <w:footnoteRef/>
      </w:r>
      <w:r>
        <w:t xml:space="preserve"> Les projets au titre du mécanisme pour un développement propre et de la mise en œuvre conjointe génèrent des crédits carbone du protocole de Kyoto, à savoir, respectivement, des unités de réduction certifiée des émissions et des unités de réduction des émissions.</w:t>
      </w:r>
    </w:p>
  </w:footnote>
  <w:footnote w:id="64">
    <w:p w14:paraId="170D7851" w14:textId="56513DB0" w:rsidR="00372F2A" w:rsidRPr="00974E6F" w:rsidRDefault="00372F2A" w:rsidP="00666776">
      <w:pPr>
        <w:pStyle w:val="FootnoteText"/>
      </w:pPr>
      <w:r>
        <w:rPr>
          <w:rStyle w:val="FootnoteReference"/>
          <w:lang w:val="en-IE"/>
        </w:rPr>
        <w:footnoteRef/>
      </w:r>
      <w:r>
        <w:t xml:space="preserve"> L’échange de crédits internationaux a été possible jusqu’à fin avril </w:t>
      </w:r>
      <w:r w:rsidRPr="00F43FC8">
        <w:t>2021</w:t>
      </w:r>
      <w:r>
        <w:t xml:space="preserve">, soit la fin du cycle de mise en conformité </w:t>
      </w:r>
      <w:r w:rsidRPr="00F43FC8">
        <w:t>2020</w:t>
      </w:r>
      <w:r>
        <w:t xml:space="preserve">. </w:t>
      </w:r>
    </w:p>
  </w:footnote>
  <w:footnote w:id="65">
    <w:p w14:paraId="1CFCFFAC" w14:textId="7E4D2E7F" w:rsidR="00372F2A" w:rsidRDefault="00372F2A" w:rsidP="00666776">
      <w:pPr>
        <w:pStyle w:val="FootnoteText"/>
      </w:pPr>
      <w:r>
        <w:rPr>
          <w:rStyle w:val="FootnoteReference"/>
        </w:rPr>
        <w:footnoteRef/>
      </w:r>
      <w:r>
        <w:t xml:space="preserve"> Chiffres pour l’EU-</w:t>
      </w:r>
      <w:r w:rsidRPr="00F43FC8">
        <w:t>27</w:t>
      </w:r>
      <w:r>
        <w:t xml:space="preserve"> + Royaume-Uni + Islande, Liechtenstein et Norvège. La catégorisation en production d’électricité et de chaleur et en industrie dans le tableau </w:t>
      </w:r>
      <w:r w:rsidRPr="00F43FC8">
        <w:t>7</w:t>
      </w:r>
      <w:r>
        <w:t xml:space="preserve"> repose sur la classification NACE à partir de la soumission par les États membres de leurs mesures nationales de mise en œuvre en </w:t>
      </w:r>
      <w:r w:rsidRPr="00F43FC8">
        <w:t>2020</w:t>
      </w:r>
      <w:r>
        <w:t>, conformément à l’article </w:t>
      </w:r>
      <w:r w:rsidRPr="00F43FC8">
        <w:t>11</w:t>
      </w:r>
      <w:r>
        <w:t xml:space="preserve"> de la directive SEQE-UE.  </w:t>
      </w:r>
    </w:p>
  </w:footnote>
  <w:footnote w:id="66">
    <w:p w14:paraId="65A3A6E0" w14:textId="5011045F" w:rsidR="00372F2A" w:rsidRDefault="00372F2A" w:rsidP="00666776">
      <w:pPr>
        <w:pStyle w:val="FootnoteText"/>
      </w:pPr>
      <w:r>
        <w:rPr>
          <w:rStyle w:val="FootnoteReference"/>
        </w:rPr>
        <w:footnoteRef/>
      </w:r>
      <w:r>
        <w:t xml:space="preserve"> Ce pourcentage reflète uniquement le taux de croissance du PIB dans l’EU-</w:t>
      </w:r>
      <w:r w:rsidRPr="00F43FC8">
        <w:t>27</w:t>
      </w:r>
      <w:r>
        <w:t>, vu que les données pour l’EU-</w:t>
      </w:r>
      <w:r w:rsidRPr="00F43FC8">
        <w:t>27</w:t>
      </w:r>
      <w:r>
        <w:t xml:space="preserve"> + Royaume-Uni ne sont pas disponibles pour </w:t>
      </w:r>
      <w:r w:rsidRPr="00F43FC8">
        <w:t>2020</w:t>
      </w:r>
      <w:r>
        <w:t>. Les autres taux de croissance présentés pour les années jusqu’à </w:t>
      </w:r>
      <w:r w:rsidRPr="00F43FC8">
        <w:t>2019</w:t>
      </w:r>
      <w:r>
        <w:t xml:space="preserve"> reflètent l’EU-</w:t>
      </w:r>
      <w:r w:rsidRPr="00F43FC8">
        <w:t>27</w:t>
      </w:r>
      <w:r>
        <w:t xml:space="preserve"> et le Royaume-Uni.</w:t>
      </w:r>
    </w:p>
  </w:footnote>
  <w:footnote w:id="67">
    <w:p w14:paraId="7A7A45D7" w14:textId="164B8C54" w:rsidR="00372F2A" w:rsidRDefault="00372F2A" w:rsidP="00666776">
      <w:pPr>
        <w:pStyle w:val="FootnoteText"/>
      </w:pPr>
      <w:r>
        <w:rPr>
          <w:rStyle w:val="FootnoteReference"/>
        </w:rPr>
        <w:footnoteRef/>
      </w:r>
      <w:r>
        <w:t xml:space="preserve"> Les données relatives au Royaume-Uni sont incluses jusqu’en </w:t>
      </w:r>
      <w:r w:rsidRPr="00F43FC8">
        <w:t>2019</w:t>
      </w:r>
      <w:r>
        <w:t>. En </w:t>
      </w:r>
      <w:r w:rsidRPr="00F43FC8">
        <w:t>2020</w:t>
      </w:r>
      <w:r>
        <w:t>, seules les données relatives à l’Irlande du Nord sont incluses. Le Royaume-Uni n’a pas soumis de rapport au titre de l’article </w:t>
      </w:r>
      <w:r w:rsidRPr="00F43FC8">
        <w:t>21</w:t>
      </w:r>
      <w:r>
        <w:t xml:space="preserve"> en </w:t>
      </w:r>
      <w:r w:rsidRPr="00F43FC8">
        <w:t>2021</w:t>
      </w:r>
      <w:r>
        <w:t>.</w:t>
      </w:r>
    </w:p>
  </w:footnote>
  <w:footnote w:id="68">
    <w:p w14:paraId="4658FBB4" w14:textId="489386F8" w:rsidR="00372F2A" w:rsidRDefault="00372F2A" w:rsidP="00666776">
      <w:pPr>
        <w:pStyle w:val="FootnoteText"/>
      </w:pPr>
      <w:r>
        <w:rPr>
          <w:rStyle w:val="FootnoteReference"/>
        </w:rPr>
        <w:footnoteRef/>
      </w:r>
      <w:r>
        <w:t xml:space="preserve"> Le Royaume-Uni n’a pas soumis de rapport au titre de l’article </w:t>
      </w:r>
      <w:r w:rsidRPr="00F43FC8">
        <w:t>21</w:t>
      </w:r>
      <w:r>
        <w:t xml:space="preserve"> en </w:t>
      </w:r>
      <w:r w:rsidRPr="00F43FC8">
        <w:t>2021</w:t>
      </w:r>
      <w:r>
        <w:t>.</w:t>
      </w:r>
    </w:p>
  </w:footnote>
  <w:footnote w:id="69">
    <w:p w14:paraId="73ADD442" w14:textId="5616FDC9" w:rsidR="00372F2A" w:rsidRPr="00976675" w:rsidRDefault="00372F2A" w:rsidP="00313428">
      <w:pPr>
        <w:pStyle w:val="Caption"/>
        <w:spacing w:after="0" w:line="240" w:lineRule="auto"/>
        <w:jc w:val="both"/>
      </w:pPr>
      <w:r>
        <w:rPr>
          <w:rStyle w:val="FootnoteReference"/>
          <w:rFonts w:ascii="Times New Roman" w:hAnsi="Times New Roman"/>
          <w:b w:val="0"/>
          <w:sz w:val="18"/>
        </w:rPr>
        <w:footnoteRef/>
      </w:r>
      <w:r>
        <w:rPr>
          <w:b w:val="0"/>
        </w:rPr>
        <w:t xml:space="preserve"> </w:t>
      </w:r>
      <w:r>
        <w:rPr>
          <w:rFonts w:ascii="Times New Roman" w:hAnsi="Times New Roman"/>
          <w:b w:val="0"/>
          <w:bCs w:val="0"/>
          <w:sz w:val="18"/>
          <w:szCs w:val="18"/>
        </w:rPr>
        <w:t>Directive (UE) </w:t>
      </w:r>
      <w:r w:rsidRPr="00F43FC8">
        <w:rPr>
          <w:rFonts w:ascii="Times New Roman" w:hAnsi="Times New Roman"/>
          <w:b w:val="0"/>
          <w:bCs w:val="0"/>
          <w:sz w:val="18"/>
          <w:szCs w:val="18"/>
        </w:rPr>
        <w:t>2018</w:t>
      </w:r>
      <w:r>
        <w:rPr>
          <w:rFonts w:ascii="Times New Roman" w:hAnsi="Times New Roman"/>
          <w:b w:val="0"/>
          <w:bCs w:val="0"/>
          <w:sz w:val="18"/>
          <w:szCs w:val="18"/>
        </w:rPr>
        <w:t>/</w:t>
      </w:r>
      <w:r w:rsidRPr="00F43FC8">
        <w:rPr>
          <w:rFonts w:ascii="Times New Roman" w:hAnsi="Times New Roman"/>
          <w:b w:val="0"/>
          <w:bCs w:val="0"/>
          <w:sz w:val="18"/>
          <w:szCs w:val="18"/>
        </w:rPr>
        <w:t>2001</w:t>
      </w:r>
      <w:r>
        <w:rPr>
          <w:rFonts w:ascii="Times New Roman" w:hAnsi="Times New Roman"/>
          <w:b w:val="0"/>
          <w:bCs w:val="0"/>
          <w:sz w:val="18"/>
          <w:szCs w:val="18"/>
        </w:rPr>
        <w:t xml:space="preserve"> du Parlement européen et du Conseil du </w:t>
      </w:r>
      <w:r w:rsidRPr="00F43FC8">
        <w:rPr>
          <w:rFonts w:ascii="Times New Roman" w:hAnsi="Times New Roman"/>
          <w:b w:val="0"/>
          <w:bCs w:val="0"/>
          <w:sz w:val="18"/>
          <w:szCs w:val="18"/>
        </w:rPr>
        <w:t>11</w:t>
      </w:r>
      <w:r>
        <w:rPr>
          <w:rFonts w:ascii="Times New Roman" w:hAnsi="Times New Roman"/>
          <w:b w:val="0"/>
          <w:bCs w:val="0"/>
          <w:sz w:val="18"/>
          <w:szCs w:val="18"/>
        </w:rPr>
        <w:t> décembre </w:t>
      </w:r>
      <w:r w:rsidRPr="00F43FC8">
        <w:rPr>
          <w:rFonts w:ascii="Times New Roman" w:hAnsi="Times New Roman"/>
          <w:b w:val="0"/>
          <w:bCs w:val="0"/>
          <w:sz w:val="18"/>
          <w:szCs w:val="18"/>
        </w:rPr>
        <w:t>2018</w:t>
      </w:r>
      <w:r>
        <w:rPr>
          <w:rFonts w:ascii="Times New Roman" w:hAnsi="Times New Roman"/>
          <w:b w:val="0"/>
          <w:bCs w:val="0"/>
          <w:sz w:val="18"/>
          <w:szCs w:val="18"/>
        </w:rPr>
        <w:t xml:space="preserve"> relative à la promotion de l’utilisation de l’énergie produite à partir de sources renouvelables (</w:t>
      </w:r>
      <w:hyperlink r:id="rId35" w:history="1">
        <w:r>
          <w:rPr>
            <w:rStyle w:val="Hyperlink"/>
            <w:rFonts w:ascii="Times New Roman" w:hAnsi="Times New Roman"/>
            <w:b w:val="0"/>
            <w:bCs w:val="0"/>
            <w:sz w:val="18"/>
            <w:szCs w:val="18"/>
          </w:rPr>
          <w:t>JO L </w:t>
        </w:r>
        <w:r w:rsidRPr="00F43FC8">
          <w:rPr>
            <w:rStyle w:val="Hyperlink"/>
            <w:rFonts w:ascii="Times New Roman" w:hAnsi="Times New Roman"/>
            <w:b w:val="0"/>
            <w:bCs w:val="0"/>
            <w:sz w:val="18"/>
            <w:szCs w:val="18"/>
          </w:rPr>
          <w:t>328</w:t>
        </w:r>
      </w:hyperlink>
      <w:r>
        <w:rPr>
          <w:rFonts w:ascii="Times New Roman" w:hAnsi="Times New Roman"/>
          <w:b w:val="0"/>
          <w:bCs w:val="0"/>
          <w:sz w:val="18"/>
          <w:szCs w:val="18"/>
        </w:rPr>
        <w:t xml:space="preserve"> du </w:t>
      </w:r>
      <w:r w:rsidRPr="00F43FC8">
        <w:rPr>
          <w:rFonts w:ascii="Times New Roman" w:hAnsi="Times New Roman"/>
          <w:b w:val="0"/>
          <w:bCs w:val="0"/>
          <w:sz w:val="18"/>
          <w:szCs w:val="18"/>
        </w:rPr>
        <w:t>21</w:t>
      </w:r>
      <w:r>
        <w:rPr>
          <w:rFonts w:ascii="Times New Roman" w:hAnsi="Times New Roman"/>
          <w:b w:val="0"/>
          <w:bCs w:val="0"/>
          <w:sz w:val="18"/>
          <w:szCs w:val="18"/>
        </w:rPr>
        <w:t>.</w:t>
      </w:r>
      <w:r w:rsidRPr="00F43FC8">
        <w:rPr>
          <w:rFonts w:ascii="Times New Roman" w:hAnsi="Times New Roman"/>
          <w:b w:val="0"/>
          <w:bCs w:val="0"/>
          <w:sz w:val="18"/>
          <w:szCs w:val="18"/>
        </w:rPr>
        <w:t>12</w:t>
      </w:r>
      <w:r>
        <w:rPr>
          <w:rFonts w:ascii="Times New Roman" w:hAnsi="Times New Roman"/>
          <w:b w:val="0"/>
          <w:bCs w:val="0"/>
          <w:sz w:val="18"/>
          <w:szCs w:val="18"/>
        </w:rPr>
        <w:t>.</w:t>
      </w:r>
      <w:r w:rsidRPr="00F43FC8">
        <w:rPr>
          <w:rFonts w:ascii="Times New Roman" w:hAnsi="Times New Roman"/>
          <w:b w:val="0"/>
          <w:bCs w:val="0"/>
          <w:sz w:val="18"/>
          <w:szCs w:val="18"/>
        </w:rPr>
        <w:t>2018</w:t>
      </w:r>
      <w:r>
        <w:rPr>
          <w:rFonts w:ascii="Times New Roman" w:hAnsi="Times New Roman"/>
          <w:b w:val="0"/>
          <w:bCs w:val="0"/>
          <w:sz w:val="18"/>
          <w:szCs w:val="18"/>
        </w:rPr>
        <w:t>, p. </w:t>
      </w:r>
      <w:r w:rsidRPr="00F43FC8">
        <w:rPr>
          <w:rFonts w:ascii="Times New Roman" w:hAnsi="Times New Roman"/>
          <w:b w:val="0"/>
          <w:bCs w:val="0"/>
          <w:sz w:val="18"/>
          <w:szCs w:val="18"/>
        </w:rPr>
        <w:t>82</w:t>
      </w:r>
      <w:r>
        <w:rPr>
          <w:rFonts w:ascii="Times New Roman" w:hAnsi="Times New Roman"/>
          <w:b w:val="0"/>
          <w:bCs w:val="0"/>
          <w:sz w:val="18"/>
          <w:szCs w:val="18"/>
        </w:rPr>
        <w:t>)</w:t>
      </w:r>
      <w:r>
        <w:t>.</w:t>
      </w:r>
    </w:p>
  </w:footnote>
  <w:footnote w:id="70">
    <w:p w14:paraId="43E0A5BB" w14:textId="06D8D9F8" w:rsidR="00372F2A" w:rsidRDefault="00372F2A" w:rsidP="00666776">
      <w:pPr>
        <w:pStyle w:val="FootnoteText"/>
      </w:pPr>
      <w:r>
        <w:rPr>
          <w:rStyle w:val="FootnoteReference"/>
        </w:rPr>
        <w:footnoteRef/>
      </w:r>
      <w:r>
        <w:t xml:space="preserve"> Les installations de catégorie C émettent plus de </w:t>
      </w:r>
      <w:r w:rsidRPr="00F43FC8">
        <w:t>500</w:t>
      </w:r>
      <w:r>
        <w:t> </w:t>
      </w:r>
      <w:r w:rsidRPr="00F43FC8">
        <w:t>000</w:t>
      </w:r>
      <w:r>
        <w:t> tonnes équivalent CO</w:t>
      </w:r>
      <w:r w:rsidRPr="00F43FC8">
        <w:rPr>
          <w:vertAlign w:val="subscript"/>
        </w:rPr>
        <w:t>2</w:t>
      </w:r>
      <w:r>
        <w:t xml:space="preserve"> par an, les installations de catégorie B entre </w:t>
      </w:r>
      <w:r w:rsidRPr="00F43FC8">
        <w:t>500</w:t>
      </w:r>
      <w:r>
        <w:t> </w:t>
      </w:r>
      <w:r w:rsidRPr="00F43FC8">
        <w:t>000</w:t>
      </w:r>
      <w:r>
        <w:t xml:space="preserve"> et </w:t>
      </w:r>
      <w:r w:rsidRPr="00F43FC8">
        <w:t>50</w:t>
      </w:r>
      <w:r>
        <w:t> </w:t>
      </w:r>
      <w:r w:rsidRPr="00F43FC8">
        <w:t>000</w:t>
      </w:r>
      <w:r>
        <w:t> tonnes équivalent CO</w:t>
      </w:r>
      <w:r w:rsidRPr="00F43FC8">
        <w:rPr>
          <w:vertAlign w:val="subscript"/>
        </w:rPr>
        <w:t>2</w:t>
      </w:r>
      <w:r>
        <w:t xml:space="preserve"> par an et les installations de catégorie A moins de </w:t>
      </w:r>
      <w:r w:rsidRPr="00F43FC8">
        <w:t>50</w:t>
      </w:r>
      <w:r>
        <w:t> </w:t>
      </w:r>
      <w:r w:rsidRPr="00F43FC8">
        <w:t>000</w:t>
      </w:r>
      <w:r>
        <w:t> tonnes équivalent CO</w:t>
      </w:r>
      <w:r w:rsidRPr="00F43FC8">
        <w:rPr>
          <w:vertAlign w:val="subscript"/>
        </w:rPr>
        <w:t>2</w:t>
      </w:r>
      <w:r>
        <w:t xml:space="preserve"> par an. Les installations à faible niveau d’émission sont un sous-ensemble des installations de catégorie A, qui émettent moins de </w:t>
      </w:r>
      <w:r w:rsidRPr="00F43FC8">
        <w:t>25</w:t>
      </w:r>
      <w:r>
        <w:t> </w:t>
      </w:r>
      <w:r w:rsidRPr="00F43FC8">
        <w:t>000</w:t>
      </w:r>
      <w:r>
        <w:t> tonnes équivalent CO</w:t>
      </w:r>
      <w:r w:rsidRPr="00F43FC8">
        <w:rPr>
          <w:vertAlign w:val="subscript"/>
        </w:rPr>
        <w:t>2</w:t>
      </w:r>
      <w:r>
        <w:t xml:space="preserve"> par an.</w:t>
      </w:r>
    </w:p>
  </w:footnote>
  <w:footnote w:id="71">
    <w:p w14:paraId="026C3C72" w14:textId="1D71F4E5" w:rsidR="00372F2A" w:rsidRDefault="00372F2A" w:rsidP="00666776">
      <w:pPr>
        <w:pStyle w:val="FootnoteText"/>
      </w:pPr>
      <w:r>
        <w:rPr>
          <w:rStyle w:val="FootnoteReference"/>
        </w:rPr>
        <w:footnoteRef/>
      </w:r>
      <w:r>
        <w:t xml:space="preserve"> Le tableau inclut les données du Royaume-Uni jusqu’à </w:t>
      </w:r>
      <w:r w:rsidRPr="00F43FC8">
        <w:t>2019</w:t>
      </w:r>
      <w:r>
        <w:t xml:space="preserve"> inclus. La ligne montre les émissions totales de la biomasse dans le champ d’application actuel du SEQE-UE, tandis que les bâtons incluent le Royaume-Uni. Les montants totaux indiqués dans les bulles couvrent le champ d’application actuel du SEQE-UE, sans le Royaume-Uni.</w:t>
      </w:r>
    </w:p>
  </w:footnote>
  <w:footnote w:id="72">
    <w:p w14:paraId="0D2C4CDB" w14:textId="103022BB" w:rsidR="00372F2A" w:rsidRDefault="00372F2A" w:rsidP="00666776">
      <w:pPr>
        <w:pStyle w:val="FootnoteText"/>
      </w:pPr>
      <w:r>
        <w:rPr>
          <w:rStyle w:val="FootnoteReference"/>
        </w:rPr>
        <w:footnoteRef/>
      </w:r>
      <w:r>
        <w:t xml:space="preserve"> Décision (UE) </w:t>
      </w:r>
      <w:r w:rsidRPr="00F43FC8">
        <w:t>2015</w:t>
      </w:r>
      <w:r>
        <w:t>/</w:t>
      </w:r>
      <w:r w:rsidRPr="00F43FC8">
        <w:t>1814</w:t>
      </w:r>
      <w:r>
        <w:t xml:space="preserve"> du Parlement européen et du Conseil du </w:t>
      </w:r>
      <w:r w:rsidRPr="00F43FC8">
        <w:t>6</w:t>
      </w:r>
      <w:r>
        <w:t> octobre </w:t>
      </w:r>
      <w:r w:rsidRPr="00F43FC8">
        <w:t>2015</w:t>
      </w:r>
      <w:r>
        <w:t xml:space="preserve"> concernant la création et le fonctionnement d’une réserve de stabilité du marché pour le système d’échange de quotas d’émission de gaz à effet de serre de l’Union et modifiant la directive </w:t>
      </w:r>
      <w:r w:rsidRPr="00F43FC8">
        <w:t>2003</w:t>
      </w:r>
      <w:r>
        <w:t>/</w:t>
      </w:r>
      <w:r w:rsidRPr="00F43FC8">
        <w:t>87</w:t>
      </w:r>
      <w:r>
        <w:t>/CE (</w:t>
      </w:r>
      <w:hyperlink r:id="rId36" w:history="1">
        <w:r>
          <w:rPr>
            <w:rStyle w:val="Hyperlink"/>
          </w:rPr>
          <w:t>JO L </w:t>
        </w:r>
        <w:r w:rsidRPr="00F43FC8">
          <w:rPr>
            <w:rStyle w:val="Hyperlink"/>
          </w:rPr>
          <w:t>264</w:t>
        </w:r>
      </w:hyperlink>
      <w:r>
        <w:t xml:space="preserve"> du </w:t>
      </w:r>
      <w:r w:rsidRPr="00F43FC8">
        <w:t>9</w:t>
      </w:r>
      <w:r>
        <w:t>.</w:t>
      </w:r>
      <w:r w:rsidRPr="00F43FC8">
        <w:t>10</w:t>
      </w:r>
      <w:r>
        <w:t>.</w:t>
      </w:r>
      <w:r w:rsidRPr="00F43FC8">
        <w:t>2015</w:t>
      </w:r>
      <w:r>
        <w:t>, p. </w:t>
      </w:r>
      <w:r w:rsidRPr="00F43FC8">
        <w:t>1</w:t>
      </w:r>
      <w:r>
        <w:t>).</w:t>
      </w:r>
    </w:p>
  </w:footnote>
  <w:footnote w:id="73">
    <w:p w14:paraId="33FDB477" w14:textId="23E0BF07" w:rsidR="00372F2A" w:rsidRDefault="00372F2A" w:rsidP="00666776">
      <w:pPr>
        <w:pStyle w:val="FootnoteText"/>
      </w:pPr>
      <w:r>
        <w:rPr>
          <w:rStyle w:val="FootnoteReference"/>
        </w:rPr>
        <w:footnoteRef/>
      </w:r>
      <w:r>
        <w:t xml:space="preserve"> Directive (UE) </w:t>
      </w:r>
      <w:r w:rsidRPr="00F43FC8">
        <w:t>2018</w:t>
      </w:r>
      <w:r>
        <w:t>/</w:t>
      </w:r>
      <w:r w:rsidRPr="00F43FC8">
        <w:t>410</w:t>
      </w:r>
      <w:r>
        <w:t xml:space="preserve"> du Parlement européen et du Conseil du </w:t>
      </w:r>
      <w:r w:rsidRPr="00F43FC8">
        <w:t>14</w:t>
      </w:r>
      <w:r>
        <w:t> mars </w:t>
      </w:r>
      <w:r w:rsidRPr="00F43FC8">
        <w:t>2018</w:t>
      </w:r>
      <w:r>
        <w:t xml:space="preserve"> modifiant la directive </w:t>
      </w:r>
      <w:r w:rsidRPr="00F43FC8">
        <w:t>2003</w:t>
      </w:r>
      <w:r>
        <w:t>/</w:t>
      </w:r>
      <w:r w:rsidRPr="00F43FC8">
        <w:t>87</w:t>
      </w:r>
      <w:r>
        <w:t>/CE afin de renforcer le rapport coût-efficacité des réductions d’émissions et de favoriser les investissements à faible intensité de carbone, et la décision (UE) </w:t>
      </w:r>
      <w:r w:rsidRPr="00F43FC8">
        <w:t>2015</w:t>
      </w:r>
      <w:r>
        <w:t>/</w:t>
      </w:r>
      <w:r w:rsidRPr="00F43FC8">
        <w:t>1814</w:t>
      </w:r>
      <w:r>
        <w:t xml:space="preserve"> (</w:t>
      </w:r>
      <w:hyperlink r:id="rId37" w:history="1">
        <w:r>
          <w:rPr>
            <w:rStyle w:val="Hyperlink"/>
          </w:rPr>
          <w:t>JO L </w:t>
        </w:r>
        <w:r w:rsidRPr="00F43FC8">
          <w:rPr>
            <w:rStyle w:val="Hyperlink"/>
          </w:rPr>
          <w:t>76</w:t>
        </w:r>
      </w:hyperlink>
      <w:r>
        <w:t xml:space="preserve"> du </w:t>
      </w:r>
      <w:r w:rsidRPr="00F43FC8">
        <w:t>19</w:t>
      </w:r>
      <w:r>
        <w:t>.</w:t>
      </w:r>
      <w:r w:rsidRPr="00F43FC8">
        <w:t>3</w:t>
      </w:r>
      <w:r>
        <w:t>.</w:t>
      </w:r>
      <w:r w:rsidRPr="00F43FC8">
        <w:t>2018</w:t>
      </w:r>
      <w:r>
        <w:t>, p. </w:t>
      </w:r>
      <w:r w:rsidRPr="00F43FC8">
        <w:t>3</w:t>
      </w:r>
      <w:r>
        <w:t>).</w:t>
      </w:r>
    </w:p>
  </w:footnote>
  <w:footnote w:id="74">
    <w:p w14:paraId="6DE0BA28" w14:textId="22FD1222" w:rsidR="00372F2A" w:rsidRPr="00372F2A" w:rsidRDefault="00372F2A" w:rsidP="002E6DE2">
      <w:pPr>
        <w:pStyle w:val="Default"/>
        <w:jc w:val="both"/>
        <w:rPr>
          <w:color w:val="auto"/>
          <w:lang w:val="es-ES_tradnl"/>
        </w:rPr>
      </w:pPr>
      <w:r>
        <w:rPr>
          <w:rStyle w:val="FootnoteReference"/>
          <w:color w:val="auto"/>
          <w:sz w:val="20"/>
          <w:szCs w:val="20"/>
        </w:rPr>
        <w:footnoteRef/>
      </w:r>
      <w:r w:rsidRPr="00372F2A">
        <w:rPr>
          <w:color w:val="auto"/>
          <w:sz w:val="20"/>
          <w:szCs w:val="20"/>
          <w:lang w:val="es-ES_tradnl"/>
        </w:rPr>
        <w:t xml:space="preserve"> </w:t>
      </w:r>
      <w:hyperlink r:id="rId38" w:history="1">
        <w:r w:rsidRPr="00372F2A">
          <w:rPr>
            <w:rStyle w:val="Hyperlink"/>
            <w:sz w:val="18"/>
            <w:szCs w:val="20"/>
            <w:lang w:val="es-ES_tradnl"/>
          </w:rPr>
          <w:t>C(</w:t>
        </w:r>
        <w:r w:rsidRPr="00F43FC8">
          <w:rPr>
            <w:rStyle w:val="Hyperlink"/>
            <w:sz w:val="18"/>
            <w:szCs w:val="20"/>
            <w:lang w:val="es-ES_tradnl"/>
          </w:rPr>
          <w:t>2021</w:t>
        </w:r>
        <w:r w:rsidRPr="00372F2A">
          <w:rPr>
            <w:rStyle w:val="Hyperlink"/>
            <w:sz w:val="18"/>
            <w:szCs w:val="20"/>
            <w:lang w:val="es-ES_tradnl"/>
          </w:rPr>
          <w:t>)</w:t>
        </w:r>
        <w:r w:rsidRPr="00F43FC8">
          <w:rPr>
            <w:rStyle w:val="Hyperlink"/>
            <w:sz w:val="18"/>
            <w:szCs w:val="20"/>
            <w:lang w:val="es-ES_tradnl"/>
          </w:rPr>
          <w:t>3266</w:t>
        </w:r>
        <w:r w:rsidRPr="00372F2A">
          <w:rPr>
            <w:rStyle w:val="Hyperlink"/>
            <w:sz w:val="18"/>
            <w:szCs w:val="20"/>
            <w:lang w:val="es-ES_tradnl"/>
          </w:rPr>
          <w:t> final</w:t>
        </w:r>
      </w:hyperlink>
    </w:p>
  </w:footnote>
  <w:footnote w:id="75">
    <w:p w14:paraId="7E4EFB26" w14:textId="3EF26FC5" w:rsidR="00372F2A" w:rsidRPr="00372F2A" w:rsidRDefault="00372F2A" w:rsidP="00666776">
      <w:pPr>
        <w:pStyle w:val="FootnoteText"/>
        <w:rPr>
          <w:lang w:val="es-ES_tradnl"/>
        </w:rPr>
      </w:pPr>
      <w:r>
        <w:rPr>
          <w:rStyle w:val="FootnoteReference"/>
        </w:rPr>
        <w:footnoteRef/>
      </w:r>
      <w:r w:rsidRPr="00372F2A">
        <w:rPr>
          <w:lang w:val="es-ES_tradnl"/>
        </w:rPr>
        <w:t xml:space="preserve"> </w:t>
      </w:r>
      <w:hyperlink r:id="rId39" w:history="1">
        <w:r w:rsidRPr="00372F2A">
          <w:rPr>
            <w:rStyle w:val="Hyperlink"/>
            <w:lang w:val="es-ES_tradnl"/>
          </w:rPr>
          <w:t>C(</w:t>
        </w:r>
        <w:r w:rsidRPr="00F43FC8">
          <w:rPr>
            <w:rStyle w:val="Hyperlink"/>
            <w:lang w:val="es-ES_tradnl"/>
          </w:rPr>
          <w:t>2017</w:t>
        </w:r>
        <w:r w:rsidRPr="00372F2A">
          <w:rPr>
            <w:rStyle w:val="Hyperlink"/>
            <w:lang w:val="es-ES_tradnl"/>
          </w:rPr>
          <w:t>)</w:t>
        </w:r>
        <w:r w:rsidRPr="00F43FC8">
          <w:rPr>
            <w:rStyle w:val="Hyperlink"/>
            <w:lang w:val="es-ES_tradnl"/>
          </w:rPr>
          <w:t>3228</w:t>
        </w:r>
        <w:r w:rsidRPr="00372F2A">
          <w:rPr>
            <w:rStyle w:val="Hyperlink"/>
            <w:lang w:val="es-ES_tradnl"/>
          </w:rPr>
          <w:t xml:space="preserve"> final</w:t>
        </w:r>
      </w:hyperlink>
    </w:p>
  </w:footnote>
  <w:footnote w:id="76">
    <w:p w14:paraId="34087619" w14:textId="2FF19C17" w:rsidR="00372F2A" w:rsidRPr="00372F2A" w:rsidRDefault="00372F2A" w:rsidP="00D21DEF">
      <w:pPr>
        <w:pStyle w:val="Default"/>
        <w:jc w:val="both"/>
        <w:rPr>
          <w:color w:val="auto"/>
          <w:lang w:val="es-ES_tradnl"/>
        </w:rPr>
      </w:pPr>
      <w:r>
        <w:rPr>
          <w:rStyle w:val="FootnoteReference"/>
          <w:sz w:val="18"/>
          <w:szCs w:val="18"/>
        </w:rPr>
        <w:footnoteRef/>
      </w:r>
      <w:r w:rsidRPr="00372F2A">
        <w:rPr>
          <w:sz w:val="18"/>
          <w:szCs w:val="18"/>
          <w:lang w:val="es-ES_tradnl"/>
        </w:rPr>
        <w:t xml:space="preserve"> </w:t>
      </w:r>
      <w:hyperlink r:id="rId40" w:history="1">
        <w:r w:rsidRPr="00372F2A">
          <w:rPr>
            <w:rStyle w:val="Hyperlink"/>
            <w:sz w:val="18"/>
            <w:szCs w:val="18"/>
            <w:lang w:val="es-ES_tradnl"/>
          </w:rPr>
          <w:t>C(</w:t>
        </w:r>
        <w:r w:rsidRPr="00F43FC8">
          <w:rPr>
            <w:rStyle w:val="Hyperlink"/>
            <w:sz w:val="18"/>
            <w:szCs w:val="18"/>
            <w:lang w:val="es-ES_tradnl"/>
          </w:rPr>
          <w:t>2021</w:t>
        </w:r>
        <w:r w:rsidRPr="00372F2A">
          <w:rPr>
            <w:rStyle w:val="Hyperlink"/>
            <w:sz w:val="18"/>
            <w:szCs w:val="18"/>
            <w:lang w:val="es-ES_tradnl"/>
          </w:rPr>
          <w:t>)</w:t>
        </w:r>
        <w:r w:rsidRPr="00F43FC8">
          <w:rPr>
            <w:rStyle w:val="Hyperlink"/>
            <w:sz w:val="18"/>
            <w:szCs w:val="18"/>
            <w:lang w:val="es-ES_tradnl"/>
          </w:rPr>
          <w:t>3266</w:t>
        </w:r>
        <w:r w:rsidRPr="00372F2A">
          <w:rPr>
            <w:rStyle w:val="Hyperlink"/>
            <w:sz w:val="18"/>
            <w:szCs w:val="18"/>
            <w:lang w:val="es-ES_tradnl"/>
          </w:rPr>
          <w:t> final</w:t>
        </w:r>
      </w:hyperlink>
    </w:p>
  </w:footnote>
  <w:footnote w:id="77">
    <w:p w14:paraId="43FDC78A" w14:textId="0D9AD4AE" w:rsidR="00372F2A" w:rsidRPr="00AD7E35" w:rsidRDefault="00372F2A" w:rsidP="00666776">
      <w:pPr>
        <w:pStyle w:val="FootnoteText"/>
      </w:pPr>
      <w:r>
        <w:rPr>
          <w:rStyle w:val="FootnoteReference"/>
        </w:rPr>
        <w:footnoteRef/>
      </w:r>
      <w:r>
        <w:t xml:space="preserve"> L’analyse d’impact se trouve à l’annexe </w:t>
      </w:r>
      <w:r w:rsidRPr="00F43FC8">
        <w:t>7</w:t>
      </w:r>
      <w:r>
        <w:t xml:space="preserve"> du document </w:t>
      </w:r>
      <w:hyperlink r:id="rId41" w:history="1">
        <w:r>
          <w:rPr>
            <w:rStyle w:val="Hyperlink"/>
          </w:rPr>
          <w:t>SWD(</w:t>
        </w:r>
        <w:r w:rsidRPr="00F43FC8">
          <w:rPr>
            <w:rStyle w:val="Hyperlink"/>
          </w:rPr>
          <w:t>2021</w:t>
        </w:r>
        <w:r>
          <w:rPr>
            <w:rStyle w:val="Hyperlink"/>
          </w:rPr>
          <w:t>)</w:t>
        </w:r>
        <w:r w:rsidRPr="00F43FC8">
          <w:rPr>
            <w:rStyle w:val="Hyperlink"/>
          </w:rPr>
          <w:t>601</w:t>
        </w:r>
        <w:r>
          <w:rPr>
            <w:rStyle w:val="Hyperlink"/>
          </w:rPr>
          <w:t> final</w:t>
        </w:r>
      </w:hyperlink>
      <w:r>
        <w:t>.</w:t>
      </w:r>
    </w:p>
  </w:footnote>
  <w:footnote w:id="78">
    <w:p w14:paraId="047443CF" w14:textId="44DC42C4" w:rsidR="00372F2A" w:rsidRDefault="00372F2A">
      <w:pPr>
        <w:pStyle w:val="FootnoteText"/>
      </w:pPr>
      <w:r>
        <w:rPr>
          <w:rStyle w:val="FootnoteReference"/>
        </w:rPr>
        <w:footnoteRef/>
      </w:r>
      <w:r>
        <w:t xml:space="preserve"> Proposition de directive du Parlement européen et du Conseil modifiant la directive </w:t>
      </w:r>
      <w:r w:rsidRPr="00F43FC8">
        <w:t>2003</w:t>
      </w:r>
      <w:r>
        <w:t>/</w:t>
      </w:r>
      <w:r w:rsidRPr="00F43FC8">
        <w:t>87</w:t>
      </w:r>
      <w:r>
        <w:t>/CE établissant un système d’échange de quotas d’émission de gaz à effet de serre dans l’Union, la décision (UE) </w:t>
      </w:r>
      <w:r w:rsidRPr="00F43FC8">
        <w:t>2015</w:t>
      </w:r>
      <w:r>
        <w:t>/</w:t>
      </w:r>
      <w:r w:rsidRPr="00F43FC8">
        <w:t>1814</w:t>
      </w:r>
      <w:r>
        <w:t xml:space="preserve"> concernant la création et le fonctionnement d’une réserve de stabilité du marché pour le système d’échange de quotas d’émission de gaz à effet de serre de l’Union et le règlement (UE) </w:t>
      </w:r>
      <w:r w:rsidRPr="00F43FC8">
        <w:t>2015</w:t>
      </w:r>
      <w:r>
        <w:t>/</w:t>
      </w:r>
      <w:r w:rsidRPr="00F43FC8">
        <w:t>757</w:t>
      </w:r>
      <w:r>
        <w:t xml:space="preserve"> (</w:t>
      </w:r>
      <w:hyperlink r:id="rId42" w:history="1">
        <w:r>
          <w:rPr>
            <w:rStyle w:val="Hyperlink"/>
          </w:rPr>
          <w:t>COM/</w:t>
        </w:r>
        <w:r w:rsidRPr="00F43FC8">
          <w:rPr>
            <w:rStyle w:val="Hyperlink"/>
          </w:rPr>
          <w:t>2021</w:t>
        </w:r>
        <w:r>
          <w:rPr>
            <w:rStyle w:val="Hyperlink"/>
          </w:rPr>
          <w:t>/</w:t>
        </w:r>
        <w:r w:rsidRPr="00F43FC8">
          <w:rPr>
            <w:rStyle w:val="Hyperlink"/>
          </w:rPr>
          <w:t>551</w:t>
        </w:r>
        <w:r>
          <w:rPr>
            <w:rStyle w:val="Hyperlink"/>
          </w:rPr>
          <w:t> final</w:t>
        </w:r>
      </w:hyperlink>
      <w:r>
        <w:t>)</w:t>
      </w:r>
      <w:r>
        <w:rPr>
          <w:rStyle w:val="Hyperlink"/>
        </w:rPr>
        <w:t xml:space="preserve"> et </w:t>
      </w:r>
      <w:r>
        <w:t>proposition de décision du Parlement européen et du Conseil modifiant la décision (UE) </w:t>
      </w:r>
      <w:r w:rsidRPr="00F43FC8">
        <w:t>2015</w:t>
      </w:r>
      <w:r>
        <w:t>/</w:t>
      </w:r>
      <w:r w:rsidRPr="00F43FC8">
        <w:t>1814</w:t>
      </w:r>
      <w:r>
        <w:t xml:space="preserve"> en ce qui concerne la quantité de quotas à placer dans la réserve de stabilité du marché pour le système d’échange de quotas d’émission de gaz à effet de serre de l’Union jusqu’en </w:t>
      </w:r>
      <w:r w:rsidRPr="00F43FC8">
        <w:t>2030</w:t>
      </w:r>
      <w:r>
        <w:t xml:space="preserve"> (</w:t>
      </w:r>
      <w:hyperlink r:id="rId43" w:history="1">
        <w:r>
          <w:rPr>
            <w:rStyle w:val="Hyperlink"/>
          </w:rPr>
          <w:t>COM/</w:t>
        </w:r>
        <w:r w:rsidRPr="00F43FC8">
          <w:rPr>
            <w:rStyle w:val="Hyperlink"/>
          </w:rPr>
          <w:t>2021</w:t>
        </w:r>
        <w:r>
          <w:rPr>
            <w:rStyle w:val="Hyperlink"/>
          </w:rPr>
          <w:t>/</w:t>
        </w:r>
        <w:r w:rsidRPr="00F43FC8">
          <w:rPr>
            <w:rStyle w:val="Hyperlink"/>
          </w:rPr>
          <w:t>571</w:t>
        </w:r>
        <w:r>
          <w:rPr>
            <w:rStyle w:val="Hyperlink"/>
          </w:rPr>
          <w:t> final</w:t>
        </w:r>
      </w:hyperlink>
      <w:r>
        <w:t>).</w:t>
      </w:r>
    </w:p>
  </w:footnote>
  <w:footnote w:id="79">
    <w:p w14:paraId="65111EDD" w14:textId="77777777" w:rsidR="00372F2A" w:rsidRDefault="00372F2A" w:rsidP="00666776">
      <w:pPr>
        <w:pStyle w:val="FootnoteText"/>
      </w:pPr>
      <w:r>
        <w:rPr>
          <w:rStyle w:val="FootnoteReference"/>
        </w:rPr>
        <w:footnoteRef/>
      </w:r>
      <w:r>
        <w:t xml:space="preserve"> Y compris </w:t>
      </w:r>
      <w:r w:rsidRPr="00F43FC8">
        <w:t>0</w:t>
      </w:r>
      <w:r>
        <w:t>,</w:t>
      </w:r>
      <w:r w:rsidRPr="00F43FC8">
        <w:t>3</w:t>
      </w:r>
      <w:r>
        <w:t> million de tonnes dans le cadre du SEQE de la Suisse.</w:t>
      </w:r>
    </w:p>
  </w:footnote>
  <w:footnote w:id="80">
    <w:p w14:paraId="5CD9E1B8" w14:textId="2A22A77B" w:rsidR="00372F2A" w:rsidRDefault="00372F2A" w:rsidP="00666776">
      <w:pPr>
        <w:pStyle w:val="FootnoteText"/>
      </w:pPr>
      <w:r>
        <w:rPr>
          <w:rStyle w:val="FootnoteReference"/>
        </w:rPr>
        <w:footnoteRef/>
      </w:r>
      <w:r>
        <w:t xml:space="preserve"> En raison de la modification du champ d’application du SEQE-UE, cette évolution ne peut être comparée avec l’année précédente.</w:t>
      </w:r>
    </w:p>
  </w:footnote>
  <w:footnote w:id="81">
    <w:p w14:paraId="2DB53D17" w14:textId="26D5E056" w:rsidR="00372F2A" w:rsidRDefault="00372F2A" w:rsidP="00666776">
      <w:pPr>
        <w:pStyle w:val="FootnoteText"/>
      </w:pPr>
      <w:r>
        <w:rPr>
          <w:rStyle w:val="FootnoteReference"/>
        </w:rPr>
        <w:footnoteRef/>
      </w:r>
      <w:r>
        <w:t xml:space="preserve"> Ces chiffres ne tiennent pas compte de toutes les fermetures d’exploitants d’aéronefs, des quotas alloués à titre gratuit à partir de la réserve spéciale destinée aux nouveaux entrants et aux exploitants en croissance rapide, ni des retours en </w:t>
      </w:r>
      <w:r w:rsidRPr="00F43FC8">
        <w:t>2012</w:t>
      </w:r>
      <w:r>
        <w:t xml:space="preserve"> dus à la modification du champ d’application.</w:t>
      </w:r>
    </w:p>
  </w:footnote>
  <w:footnote w:id="82">
    <w:p w14:paraId="1CF56EC1" w14:textId="7FEA18D2" w:rsidR="00372F2A" w:rsidRDefault="00372F2A" w:rsidP="00666776">
      <w:pPr>
        <w:pStyle w:val="FootnoteText"/>
      </w:pPr>
      <w:r>
        <w:rPr>
          <w:rStyle w:val="FootnoteReference"/>
        </w:rPr>
        <w:footnoteRef/>
      </w:r>
      <w:r>
        <w:t xml:space="preserve"> Compte tenu des chiffres retenus en raison des fermetures d’exploitants d’aéronefs, l’allocation réelle pour </w:t>
      </w:r>
      <w:r w:rsidRPr="00F43FC8">
        <w:t>2019</w:t>
      </w:r>
      <w:r>
        <w:t xml:space="preserve"> serait inférieure de </w:t>
      </w:r>
      <w:r w:rsidRPr="00F43FC8">
        <w:t>4</w:t>
      </w:r>
      <w:r>
        <w:t> millions au chiffre présenté (voir note de bas de page </w:t>
      </w:r>
      <w:r w:rsidRPr="00F43FC8">
        <w:t>8</w:t>
      </w:r>
      <w:r>
        <w:t xml:space="preserve"> de la communication C/</w:t>
      </w:r>
      <w:r w:rsidRPr="00F43FC8">
        <w:t>2020</w:t>
      </w:r>
      <w:r>
        <w:t>/</w:t>
      </w:r>
      <w:r w:rsidRPr="00F43FC8">
        <w:t>8643</w:t>
      </w:r>
      <w:r>
        <w:t xml:space="preserve"> (</w:t>
      </w:r>
      <w:hyperlink r:id="rId44" w:history="1">
        <w:r>
          <w:rPr>
            <w:rStyle w:val="Hyperlink"/>
          </w:rPr>
          <w:t>JO C </w:t>
        </w:r>
        <w:r w:rsidRPr="00F43FC8">
          <w:rPr>
            <w:rStyle w:val="Hyperlink"/>
          </w:rPr>
          <w:t>428</w:t>
        </w:r>
      </w:hyperlink>
      <w:r>
        <w:t xml:space="preserve"> du </w:t>
      </w:r>
      <w:r w:rsidRPr="00F43FC8">
        <w:t>11</w:t>
      </w:r>
      <w:r>
        <w:t>.</w:t>
      </w:r>
      <w:r w:rsidRPr="00F43FC8">
        <w:t>12</w:t>
      </w:r>
      <w:r>
        <w:t>.</w:t>
      </w:r>
      <w:r w:rsidRPr="00F43FC8">
        <w:t>2020</w:t>
      </w:r>
      <w:r>
        <w:t>, p. </w:t>
      </w:r>
      <w:r w:rsidRPr="00F43FC8">
        <w:t>1</w:t>
      </w:r>
      <w:r>
        <w:t>). L’allocation concernant le Royaume-Uni (</w:t>
      </w:r>
      <w:r w:rsidRPr="00F43FC8">
        <w:t>4</w:t>
      </w:r>
      <w:r>
        <w:t>,</w:t>
      </w:r>
      <w:r w:rsidRPr="00F43FC8">
        <w:t>31</w:t>
      </w:r>
      <w:r>
        <w:t> millions de quotas sur le total pour </w:t>
      </w:r>
      <w:r w:rsidRPr="00F43FC8">
        <w:t>2019</w:t>
      </w:r>
      <w:r>
        <w:t>), suspendue en </w:t>
      </w:r>
      <w:r w:rsidRPr="00F43FC8">
        <w:t>2019</w:t>
      </w:r>
      <w:r>
        <w:t xml:space="preserve"> en raison des mesures de sauvegarde adoptées par la Commission pour protéger l’intégrité environnementale du SEQE-UE dans les cas où le droit de l’Union cesse de s’appliquer à un État membre qui se retire de l’Union, a repris en </w:t>
      </w:r>
      <w:r w:rsidRPr="00F43FC8">
        <w:t>2020</w:t>
      </w:r>
      <w:r>
        <w:t>.</w:t>
      </w:r>
    </w:p>
  </w:footnote>
  <w:footnote w:id="83">
    <w:p w14:paraId="0EA69BF6" w14:textId="04CD0551" w:rsidR="00372F2A" w:rsidRDefault="00372F2A" w:rsidP="00666776">
      <w:pPr>
        <w:pStyle w:val="FootnoteText"/>
      </w:pPr>
      <w:r>
        <w:rPr>
          <w:rStyle w:val="FootnoteReference"/>
        </w:rPr>
        <w:footnoteRef/>
      </w:r>
      <w:r>
        <w:t xml:space="preserve"> Ce chiffre tient compte des vols au départ de l’EEE et à destination de la Suisse, ainsi que de ceux entre l’EEE et le Royaume-Uni, conformément à l’accord de retrait.</w:t>
      </w:r>
    </w:p>
  </w:footnote>
  <w:footnote w:id="84">
    <w:p w14:paraId="28B9E889" w14:textId="51394407" w:rsidR="00372F2A" w:rsidRDefault="00372F2A" w:rsidP="00666776">
      <w:pPr>
        <w:pStyle w:val="FootnoteText"/>
      </w:pPr>
      <w:r>
        <w:rPr>
          <w:rStyle w:val="FootnoteReference"/>
        </w:rPr>
        <w:footnoteRef/>
      </w:r>
      <w:r>
        <w:t xml:space="preserve"> Ce chiffre ne tient pas encore compte des vols au départ de l’EEE et à destination du Royaume-Uni, qui relèvent du SEQE-UE conformément à l’accord de commerce et de coopération entre l’UE et le Royaume-Uni. </w:t>
      </w:r>
    </w:p>
  </w:footnote>
  <w:footnote w:id="85">
    <w:p w14:paraId="7F1AA423" w14:textId="126E90E1" w:rsidR="00372F2A" w:rsidRDefault="00372F2A" w:rsidP="00666776">
      <w:pPr>
        <w:pStyle w:val="FootnoteText"/>
      </w:pPr>
      <w:r>
        <w:rPr>
          <w:rStyle w:val="FootnoteReference"/>
        </w:rPr>
        <w:footnoteRef/>
      </w:r>
      <w:r>
        <w:t xml:space="preserve"> Jusqu’à la fin juin </w:t>
      </w:r>
      <w:r w:rsidRPr="00F43FC8">
        <w:t>2021</w:t>
      </w:r>
    </w:p>
  </w:footnote>
  <w:footnote w:id="86">
    <w:p w14:paraId="6C5CC483" w14:textId="1FAA1622" w:rsidR="00372F2A" w:rsidRDefault="00372F2A" w:rsidP="00CC361B">
      <w:pPr>
        <w:spacing w:after="0" w:line="240" w:lineRule="auto"/>
        <w:jc w:val="both"/>
      </w:pPr>
      <w:r>
        <w:rPr>
          <w:rStyle w:val="FootnoteReference"/>
          <w:rFonts w:ascii="Times New Roman" w:hAnsi="Times New Roman"/>
          <w:sz w:val="18"/>
          <w:szCs w:val="18"/>
        </w:rPr>
        <w:footnoteRef/>
      </w:r>
      <w:r>
        <w:rPr>
          <w:rFonts w:ascii="Times New Roman" w:hAnsi="Times New Roman"/>
          <w:sz w:val="18"/>
          <w:szCs w:val="18"/>
        </w:rPr>
        <w:t xml:space="preserve"> Décision nº </w:t>
      </w:r>
      <w:r w:rsidRPr="00F43FC8">
        <w:rPr>
          <w:rFonts w:ascii="Times New Roman" w:hAnsi="Times New Roman"/>
          <w:sz w:val="18"/>
          <w:szCs w:val="18"/>
        </w:rPr>
        <w:t>377</w:t>
      </w:r>
      <w:r>
        <w:rPr>
          <w:rFonts w:ascii="Times New Roman" w:hAnsi="Times New Roman"/>
          <w:sz w:val="18"/>
          <w:szCs w:val="18"/>
        </w:rPr>
        <w:t>/</w:t>
      </w:r>
      <w:r w:rsidRPr="00F43FC8">
        <w:rPr>
          <w:rFonts w:ascii="Times New Roman" w:hAnsi="Times New Roman"/>
          <w:sz w:val="18"/>
          <w:szCs w:val="18"/>
        </w:rPr>
        <w:t>2013</w:t>
      </w:r>
      <w:r>
        <w:rPr>
          <w:rFonts w:ascii="Times New Roman" w:hAnsi="Times New Roman"/>
          <w:sz w:val="18"/>
          <w:szCs w:val="18"/>
        </w:rPr>
        <w:t xml:space="preserve">/UE du Parlement européen et du Conseil du </w:t>
      </w:r>
      <w:r w:rsidRPr="00F43FC8">
        <w:rPr>
          <w:rFonts w:ascii="Times New Roman" w:hAnsi="Times New Roman"/>
          <w:sz w:val="18"/>
          <w:szCs w:val="18"/>
        </w:rPr>
        <w:t>24</w:t>
      </w:r>
      <w:r>
        <w:rPr>
          <w:rFonts w:ascii="Times New Roman" w:hAnsi="Times New Roman"/>
          <w:sz w:val="18"/>
          <w:szCs w:val="18"/>
        </w:rPr>
        <w:t> avril </w:t>
      </w:r>
      <w:r w:rsidRPr="00F43FC8">
        <w:rPr>
          <w:rFonts w:ascii="Times New Roman" w:hAnsi="Times New Roman"/>
          <w:sz w:val="18"/>
          <w:szCs w:val="18"/>
        </w:rPr>
        <w:t>2013</w:t>
      </w:r>
      <w:r>
        <w:rPr>
          <w:rFonts w:ascii="Times New Roman" w:hAnsi="Times New Roman"/>
          <w:sz w:val="18"/>
          <w:szCs w:val="18"/>
        </w:rPr>
        <w:t xml:space="preserve"> dérogeant temporairement à la directive </w:t>
      </w:r>
      <w:r w:rsidRPr="00F43FC8">
        <w:rPr>
          <w:rFonts w:ascii="Times New Roman" w:hAnsi="Times New Roman"/>
          <w:sz w:val="18"/>
          <w:szCs w:val="18"/>
        </w:rPr>
        <w:t>2003</w:t>
      </w:r>
      <w:r>
        <w:rPr>
          <w:rFonts w:ascii="Times New Roman" w:hAnsi="Times New Roman"/>
          <w:sz w:val="18"/>
          <w:szCs w:val="18"/>
        </w:rPr>
        <w:t>/</w:t>
      </w:r>
      <w:r w:rsidRPr="00F43FC8">
        <w:rPr>
          <w:rFonts w:ascii="Times New Roman" w:hAnsi="Times New Roman"/>
          <w:sz w:val="18"/>
          <w:szCs w:val="18"/>
        </w:rPr>
        <w:t>87</w:t>
      </w:r>
      <w:r>
        <w:rPr>
          <w:rFonts w:ascii="Times New Roman" w:hAnsi="Times New Roman"/>
          <w:sz w:val="18"/>
          <w:szCs w:val="18"/>
        </w:rPr>
        <w:t>/CE établissant un système d’échange de quotas d’émission de gaz à effet de serre dans la Communauté (</w:t>
      </w:r>
      <w:hyperlink r:id="rId45" w:history="1">
        <w:r>
          <w:rPr>
            <w:rStyle w:val="Hyperlink"/>
            <w:rFonts w:ascii="Times New Roman" w:hAnsi="Times New Roman"/>
            <w:sz w:val="18"/>
            <w:szCs w:val="18"/>
          </w:rPr>
          <w:t>JO L </w:t>
        </w:r>
        <w:r w:rsidRPr="00F43FC8">
          <w:rPr>
            <w:rStyle w:val="Hyperlink"/>
            <w:rFonts w:ascii="Times New Roman" w:hAnsi="Times New Roman"/>
            <w:sz w:val="18"/>
            <w:szCs w:val="18"/>
          </w:rPr>
          <w:t>113</w:t>
        </w:r>
      </w:hyperlink>
      <w:r>
        <w:rPr>
          <w:rFonts w:ascii="Times New Roman" w:hAnsi="Times New Roman"/>
          <w:sz w:val="18"/>
          <w:szCs w:val="18"/>
        </w:rPr>
        <w:t xml:space="preserve"> du </w:t>
      </w:r>
      <w:r w:rsidRPr="00F43FC8">
        <w:rPr>
          <w:rFonts w:ascii="Times New Roman" w:hAnsi="Times New Roman"/>
          <w:sz w:val="18"/>
          <w:szCs w:val="18"/>
        </w:rPr>
        <w:t>25</w:t>
      </w:r>
      <w:r>
        <w:rPr>
          <w:rFonts w:ascii="Times New Roman" w:hAnsi="Times New Roman"/>
          <w:sz w:val="18"/>
          <w:szCs w:val="18"/>
        </w:rPr>
        <w:t>.</w:t>
      </w:r>
      <w:r w:rsidRPr="00F43FC8">
        <w:rPr>
          <w:rFonts w:ascii="Times New Roman" w:hAnsi="Times New Roman"/>
          <w:sz w:val="18"/>
          <w:szCs w:val="18"/>
        </w:rPr>
        <w:t>4</w:t>
      </w:r>
      <w:r>
        <w:rPr>
          <w:rFonts w:ascii="Times New Roman" w:hAnsi="Times New Roman"/>
          <w:sz w:val="18"/>
          <w:szCs w:val="18"/>
        </w:rPr>
        <w:t>.</w:t>
      </w:r>
      <w:r w:rsidRPr="00F43FC8">
        <w:rPr>
          <w:rFonts w:ascii="Times New Roman" w:hAnsi="Times New Roman"/>
          <w:sz w:val="18"/>
          <w:szCs w:val="18"/>
        </w:rPr>
        <w:t>2013</w:t>
      </w:r>
      <w:r>
        <w:rPr>
          <w:rFonts w:ascii="Times New Roman" w:hAnsi="Times New Roman"/>
          <w:sz w:val="18"/>
          <w:szCs w:val="18"/>
        </w:rPr>
        <w:t>, p. </w:t>
      </w:r>
      <w:r w:rsidRPr="00F43FC8">
        <w:rPr>
          <w:rFonts w:ascii="Times New Roman" w:hAnsi="Times New Roman"/>
          <w:sz w:val="18"/>
          <w:szCs w:val="18"/>
        </w:rPr>
        <w:t>1</w:t>
      </w:r>
      <w:r>
        <w:rPr>
          <w:rFonts w:ascii="Times New Roman" w:hAnsi="Times New Roman"/>
          <w:sz w:val="18"/>
          <w:szCs w:val="18"/>
        </w:rPr>
        <w:t>).</w:t>
      </w:r>
    </w:p>
  </w:footnote>
  <w:footnote w:id="87">
    <w:p w14:paraId="3DEBD75E" w14:textId="06907288" w:rsidR="00372F2A" w:rsidRPr="00960A0B" w:rsidRDefault="00372F2A" w:rsidP="00666776">
      <w:pPr>
        <w:pStyle w:val="FootnoteText"/>
      </w:pPr>
      <w:r>
        <w:rPr>
          <w:rStyle w:val="FootnoteReference"/>
        </w:rPr>
        <w:footnoteRef/>
      </w:r>
      <w:r>
        <w:t xml:space="preserve"> Règlement (UE) nº </w:t>
      </w:r>
      <w:r w:rsidRPr="00F43FC8">
        <w:t>421</w:t>
      </w:r>
      <w:r>
        <w:t>/</w:t>
      </w:r>
      <w:r w:rsidRPr="00F43FC8">
        <w:t>2014</w:t>
      </w:r>
      <w:r>
        <w:t xml:space="preserve"> du Parlement européen et du Conseil du </w:t>
      </w:r>
      <w:r w:rsidRPr="00F43FC8">
        <w:t>16</w:t>
      </w:r>
      <w:r>
        <w:t> avril </w:t>
      </w:r>
      <w:r w:rsidRPr="00F43FC8">
        <w:t>2014</w:t>
      </w:r>
      <w:r>
        <w:t xml:space="preserve"> (</w:t>
      </w:r>
      <w:hyperlink r:id="rId46" w:history="1">
        <w:r>
          <w:rPr>
            <w:rStyle w:val="Hyperlink"/>
          </w:rPr>
          <w:t>JO L </w:t>
        </w:r>
        <w:r w:rsidRPr="00F43FC8">
          <w:rPr>
            <w:rStyle w:val="Hyperlink"/>
          </w:rPr>
          <w:t>129</w:t>
        </w:r>
      </w:hyperlink>
      <w:r>
        <w:t xml:space="preserve"> du </w:t>
      </w:r>
      <w:r w:rsidRPr="00F43FC8">
        <w:t>30</w:t>
      </w:r>
      <w:r>
        <w:t>.</w:t>
      </w:r>
      <w:r w:rsidRPr="00F43FC8">
        <w:t>4</w:t>
      </w:r>
      <w:r>
        <w:t>.</w:t>
      </w:r>
      <w:r w:rsidRPr="00F43FC8">
        <w:t>2014</w:t>
      </w:r>
      <w:r>
        <w:t>, p.</w:t>
      </w:r>
      <w:r w:rsidRPr="00F43FC8">
        <w:t>1</w:t>
      </w:r>
      <w:r>
        <w:t>).</w:t>
      </w:r>
    </w:p>
  </w:footnote>
  <w:footnote w:id="88">
    <w:p w14:paraId="73830133" w14:textId="7E409461" w:rsidR="00372F2A" w:rsidRDefault="00372F2A">
      <w:pPr>
        <w:pStyle w:val="FootnoteText"/>
      </w:pPr>
      <w:r>
        <w:rPr>
          <w:rStyle w:val="FootnoteReference"/>
        </w:rPr>
        <w:footnoteRef/>
      </w:r>
      <w:r>
        <w:t xml:space="preserve"> OACI, </w:t>
      </w:r>
      <w:hyperlink r:id="rId47" w:history="1">
        <w:r>
          <w:rPr>
            <w:rStyle w:val="Hyperlink"/>
          </w:rPr>
          <w:t>C-WP/</w:t>
        </w:r>
        <w:r w:rsidRPr="00F43FC8">
          <w:rPr>
            <w:rStyle w:val="Hyperlink"/>
          </w:rPr>
          <w:t>15209</w:t>
        </w:r>
      </w:hyperlink>
      <w:r>
        <w:t xml:space="preserve"> de mai </w:t>
      </w:r>
      <w:r w:rsidRPr="00F43FC8">
        <w:t>2021</w:t>
      </w:r>
      <w:r>
        <w:t>.</w:t>
      </w:r>
    </w:p>
  </w:footnote>
  <w:footnote w:id="89">
    <w:p w14:paraId="2640AC03" w14:textId="031F718A" w:rsidR="00372F2A" w:rsidRPr="00372F2A" w:rsidRDefault="00372F2A">
      <w:pPr>
        <w:pStyle w:val="FootnoteText"/>
        <w:rPr>
          <w:lang w:val="en-US"/>
        </w:rPr>
      </w:pPr>
      <w:r>
        <w:rPr>
          <w:rStyle w:val="FootnoteReference"/>
        </w:rPr>
        <w:footnoteRef/>
      </w:r>
      <w:r w:rsidRPr="00372F2A">
        <w:rPr>
          <w:lang w:val="en-US"/>
        </w:rPr>
        <w:t xml:space="preserve"> Eurocontrol, </w:t>
      </w:r>
      <w:hyperlink r:id="rId48" w:history="1">
        <w:r w:rsidRPr="00372F2A">
          <w:rPr>
            <w:rStyle w:val="Hyperlink"/>
            <w:lang w:val="en-US"/>
          </w:rPr>
          <w:t>COVID-</w:t>
        </w:r>
        <w:r w:rsidRPr="00F43FC8">
          <w:rPr>
            <w:rStyle w:val="Hyperlink"/>
            <w:lang w:val="en-US"/>
          </w:rPr>
          <w:t>19</w:t>
        </w:r>
        <w:r w:rsidRPr="00372F2A">
          <w:rPr>
            <w:rStyle w:val="Hyperlink"/>
            <w:lang w:val="en-US"/>
          </w:rPr>
          <w:t xml:space="preserve"> impact on the European air traffic network</w:t>
        </w:r>
      </w:hyperlink>
      <w:r w:rsidRPr="00372F2A">
        <w:rPr>
          <w:lang w:val="en-US"/>
        </w:rPr>
        <w:t>, septembre </w:t>
      </w:r>
      <w:r w:rsidRPr="00F43FC8">
        <w:rPr>
          <w:lang w:val="en-US"/>
        </w:rPr>
        <w:t>2021</w:t>
      </w:r>
      <w:r w:rsidRPr="00372F2A">
        <w:rPr>
          <w:lang w:val="en-US"/>
        </w:rPr>
        <w:t>.</w:t>
      </w:r>
    </w:p>
  </w:footnote>
  <w:footnote w:id="90">
    <w:p w14:paraId="2A528F6D" w14:textId="603A551A" w:rsidR="00372F2A" w:rsidRDefault="00372F2A" w:rsidP="00666776">
      <w:pPr>
        <w:pStyle w:val="FootnoteText"/>
      </w:pPr>
      <w:r>
        <w:rPr>
          <w:rStyle w:val="FootnoteReference"/>
        </w:rPr>
        <w:footnoteRef/>
      </w:r>
      <w:r>
        <w:t xml:space="preserve"> Règlement (UE) </w:t>
      </w:r>
      <w:r w:rsidRPr="00F43FC8">
        <w:t>2017</w:t>
      </w:r>
      <w:r>
        <w:t>/</w:t>
      </w:r>
      <w:r w:rsidRPr="00F43FC8">
        <w:t>2392</w:t>
      </w:r>
      <w:r>
        <w:t xml:space="preserve"> du Parlement européen et du Conseil du </w:t>
      </w:r>
      <w:r w:rsidRPr="00F43FC8">
        <w:t>13</w:t>
      </w:r>
      <w:r>
        <w:t> décembre </w:t>
      </w:r>
      <w:r w:rsidRPr="00F43FC8">
        <w:t>2017</w:t>
      </w:r>
      <w:r>
        <w:t xml:space="preserve"> modifiant la directive </w:t>
      </w:r>
      <w:r w:rsidRPr="00F43FC8">
        <w:t>2003</w:t>
      </w:r>
      <w:r>
        <w:t>/</w:t>
      </w:r>
      <w:r w:rsidRPr="00F43FC8">
        <w:t>87</w:t>
      </w:r>
      <w:r>
        <w:t>/CE en vue de maintenir l’actuelle restriction du champ d’application pour les activités aériennes et de préparer la mise en œuvre d’un mécanisme de marché mondial à partir de </w:t>
      </w:r>
      <w:r w:rsidRPr="00F43FC8">
        <w:t>2021</w:t>
      </w:r>
      <w:r>
        <w:t xml:space="preserve"> (</w:t>
      </w:r>
      <w:hyperlink r:id="rId49" w:history="1">
        <w:r>
          <w:rPr>
            <w:rStyle w:val="Hyperlink"/>
          </w:rPr>
          <w:t>JO L </w:t>
        </w:r>
        <w:r w:rsidRPr="00F43FC8">
          <w:rPr>
            <w:rStyle w:val="Hyperlink"/>
          </w:rPr>
          <w:t>350</w:t>
        </w:r>
      </w:hyperlink>
      <w:r>
        <w:t xml:space="preserve"> du </w:t>
      </w:r>
      <w:r w:rsidRPr="00F43FC8">
        <w:t>29</w:t>
      </w:r>
      <w:r>
        <w:t>.</w:t>
      </w:r>
      <w:r w:rsidRPr="00F43FC8">
        <w:t>12</w:t>
      </w:r>
      <w:r>
        <w:t>.</w:t>
      </w:r>
      <w:r w:rsidRPr="00F43FC8">
        <w:t>2017</w:t>
      </w:r>
      <w:r>
        <w:t>, p. </w:t>
      </w:r>
      <w:r w:rsidRPr="00F43FC8">
        <w:t>7</w:t>
      </w:r>
      <w:r>
        <w:t xml:space="preserve">). </w:t>
      </w:r>
    </w:p>
  </w:footnote>
  <w:footnote w:id="91">
    <w:p w14:paraId="4612AEF9" w14:textId="43F999B0" w:rsidR="00372F2A" w:rsidRDefault="00372F2A" w:rsidP="00666776">
      <w:pPr>
        <w:pStyle w:val="FootnoteText"/>
      </w:pPr>
      <w:r>
        <w:rPr>
          <w:rStyle w:val="FootnoteReference"/>
        </w:rPr>
        <w:footnoteRef/>
      </w:r>
      <w:r>
        <w:t xml:space="preserve"> Proposition de directive du Parlement européen et du Conseil modifiant la directive </w:t>
      </w:r>
      <w:r w:rsidRPr="00F43FC8">
        <w:t>2003</w:t>
      </w:r>
      <w:r>
        <w:t>/</w:t>
      </w:r>
      <w:r w:rsidRPr="00F43FC8">
        <w:t>87</w:t>
      </w:r>
      <w:r>
        <w:t>/CE en ce qui concerne la contribution de l’aviation à l’objectif de réduction des émissions à l’échelle de l’ensemble de l’économie de l’Union et mettant en œuvre de manière appropriée un mécanisme de marché mondial (</w:t>
      </w:r>
      <w:hyperlink r:id="rId50" w:history="1">
        <w:r>
          <w:rPr>
            <w:rStyle w:val="Hyperlink"/>
          </w:rPr>
          <w:t>COM/</w:t>
        </w:r>
        <w:r w:rsidRPr="00F43FC8">
          <w:rPr>
            <w:rStyle w:val="Hyperlink"/>
          </w:rPr>
          <w:t>2021</w:t>
        </w:r>
        <w:r>
          <w:rPr>
            <w:rStyle w:val="Hyperlink"/>
          </w:rPr>
          <w:t>/</w:t>
        </w:r>
        <w:r w:rsidRPr="00F43FC8">
          <w:rPr>
            <w:rStyle w:val="Hyperlink"/>
          </w:rPr>
          <w:t>552</w:t>
        </w:r>
        <w:r>
          <w:rPr>
            <w:rStyle w:val="Hyperlink"/>
          </w:rPr>
          <w:t> final</w:t>
        </w:r>
      </w:hyperlink>
      <w:r>
        <w:t>).</w:t>
      </w:r>
    </w:p>
  </w:footnote>
  <w:footnote w:id="92">
    <w:p w14:paraId="13FC9442" w14:textId="7E95875A" w:rsidR="00372F2A" w:rsidRDefault="00372F2A" w:rsidP="00666776">
      <w:pPr>
        <w:pStyle w:val="FootnoteText"/>
      </w:pPr>
      <w:r>
        <w:rPr>
          <w:rStyle w:val="FootnoteReference"/>
        </w:rPr>
        <w:footnoteRef/>
      </w:r>
      <w:r>
        <w:t xml:space="preserve"> L’analyse d’impact se trouve dans le document </w:t>
      </w:r>
      <w:hyperlink r:id="rId51" w:history="1">
        <w:r>
          <w:rPr>
            <w:rStyle w:val="Hyperlink"/>
          </w:rPr>
          <w:t>SWD(</w:t>
        </w:r>
        <w:r w:rsidRPr="00F43FC8">
          <w:rPr>
            <w:rStyle w:val="Hyperlink"/>
          </w:rPr>
          <w:t>2021</w:t>
        </w:r>
        <w:r>
          <w:rPr>
            <w:rStyle w:val="Hyperlink"/>
          </w:rPr>
          <w:t>)</w:t>
        </w:r>
        <w:r w:rsidRPr="00F43FC8">
          <w:rPr>
            <w:rStyle w:val="Hyperlink"/>
          </w:rPr>
          <w:t>603</w:t>
        </w:r>
        <w:r>
          <w:rPr>
            <w:rStyle w:val="Hyperlink"/>
          </w:rPr>
          <w:t> final</w:t>
        </w:r>
      </w:hyperlink>
      <w:r>
        <w:t>.</w:t>
      </w:r>
    </w:p>
  </w:footnote>
  <w:footnote w:id="93">
    <w:p w14:paraId="6442D68C" w14:textId="3DF1F350" w:rsidR="00372F2A" w:rsidRDefault="00372F2A" w:rsidP="00666776">
      <w:pPr>
        <w:pStyle w:val="FootnoteText"/>
      </w:pPr>
      <w:r>
        <w:rPr>
          <w:rStyle w:val="FootnoteReference"/>
        </w:rPr>
        <w:footnoteRef/>
      </w:r>
      <w:r>
        <w:t xml:space="preserve"> Contrats dans le cadre desquels la livraison des quotas a lieu (presque) immédiatement.</w:t>
      </w:r>
    </w:p>
  </w:footnote>
  <w:footnote w:id="94">
    <w:p w14:paraId="732DAA39" w14:textId="6C7C6668" w:rsidR="00372F2A" w:rsidRDefault="00372F2A" w:rsidP="00666776">
      <w:pPr>
        <w:pStyle w:val="FootnoteText"/>
      </w:pPr>
      <w:r>
        <w:rPr>
          <w:rStyle w:val="FootnoteReference"/>
        </w:rPr>
        <w:footnoteRef/>
      </w:r>
      <w:r>
        <w:t xml:space="preserve"> Directive </w:t>
      </w:r>
      <w:r w:rsidRPr="00F43FC8">
        <w:t>2014</w:t>
      </w:r>
      <w:r>
        <w:t>/</w:t>
      </w:r>
      <w:r w:rsidRPr="00F43FC8">
        <w:t>65</w:t>
      </w:r>
      <w:r>
        <w:t xml:space="preserve">/UE du Parlement européen et du Conseil du </w:t>
      </w:r>
      <w:r w:rsidRPr="00F43FC8">
        <w:t>15</w:t>
      </w:r>
      <w:r>
        <w:t> mai </w:t>
      </w:r>
      <w:r w:rsidRPr="00F43FC8">
        <w:t>2014</w:t>
      </w:r>
      <w:r>
        <w:t xml:space="preserve"> concernant les marchés d’instruments financiers et modifiant la directive </w:t>
      </w:r>
      <w:r w:rsidRPr="00F43FC8">
        <w:t>2002</w:t>
      </w:r>
      <w:r>
        <w:t>/</w:t>
      </w:r>
      <w:r w:rsidRPr="00F43FC8">
        <w:t>92</w:t>
      </w:r>
      <w:r>
        <w:t>/CE et la directive </w:t>
      </w:r>
      <w:r w:rsidRPr="00F43FC8">
        <w:t>2011</w:t>
      </w:r>
      <w:r>
        <w:t>/</w:t>
      </w:r>
      <w:r w:rsidRPr="00F43FC8">
        <w:t>61</w:t>
      </w:r>
      <w:r>
        <w:t>/UE (</w:t>
      </w:r>
      <w:hyperlink r:id="rId52" w:history="1">
        <w:r>
          <w:rPr>
            <w:rStyle w:val="Hyperlink"/>
          </w:rPr>
          <w:t>JO L </w:t>
        </w:r>
        <w:r w:rsidRPr="00F43FC8">
          <w:rPr>
            <w:rStyle w:val="Hyperlink"/>
          </w:rPr>
          <w:t>173</w:t>
        </w:r>
      </w:hyperlink>
      <w:r>
        <w:t xml:space="preserve"> du </w:t>
      </w:r>
      <w:r w:rsidRPr="00F43FC8">
        <w:t>12</w:t>
      </w:r>
      <w:r>
        <w:t>.</w:t>
      </w:r>
      <w:r w:rsidRPr="00F43FC8">
        <w:t>6</w:t>
      </w:r>
      <w:r>
        <w:t>.</w:t>
      </w:r>
      <w:r w:rsidRPr="00F43FC8">
        <w:t>2014</w:t>
      </w:r>
      <w:r>
        <w:t>, p. </w:t>
      </w:r>
      <w:r w:rsidRPr="00F43FC8">
        <w:t>349</w:t>
      </w:r>
      <w:r>
        <w:t>).</w:t>
      </w:r>
    </w:p>
  </w:footnote>
  <w:footnote w:id="95">
    <w:p w14:paraId="3745F1A6" w14:textId="1F8BFCBF" w:rsidR="00372F2A" w:rsidRDefault="00372F2A" w:rsidP="00666776">
      <w:pPr>
        <w:pStyle w:val="FootnoteText"/>
      </w:pPr>
      <w:r>
        <w:rPr>
          <w:rStyle w:val="FootnoteReference"/>
        </w:rPr>
        <w:footnoteRef/>
      </w:r>
      <w:r>
        <w:t xml:space="preserve"> Règlement (UE) nº </w:t>
      </w:r>
      <w:r w:rsidRPr="00F43FC8">
        <w:t>1031</w:t>
      </w:r>
      <w:r>
        <w:t>/</w:t>
      </w:r>
      <w:r w:rsidRPr="00F43FC8">
        <w:t>2010</w:t>
      </w:r>
      <w:r>
        <w:t xml:space="preserve"> de la Commission du </w:t>
      </w:r>
      <w:r w:rsidRPr="00F43FC8">
        <w:t>12</w:t>
      </w:r>
      <w:r>
        <w:t> novembre </w:t>
      </w:r>
      <w:r w:rsidRPr="00F43FC8">
        <w:t>2010</w:t>
      </w:r>
      <w:r>
        <w:t xml:space="preserve"> relatif au calendrier, à la gestion et aux autres aspects de la mise aux enchères des quotas d’émission de gaz à effet de serre conformément à la directive </w:t>
      </w:r>
      <w:r w:rsidRPr="00F43FC8">
        <w:t>2003</w:t>
      </w:r>
      <w:r>
        <w:t>/</w:t>
      </w:r>
      <w:r w:rsidRPr="00F43FC8">
        <w:t>87</w:t>
      </w:r>
      <w:r>
        <w:t>/CE du Parlement européen et du Conseil établissant un système d’échange de quotas d’émission de gaz à effet de serre dans la Communauté (</w:t>
      </w:r>
      <w:hyperlink r:id="rId53" w:history="1">
        <w:r>
          <w:rPr>
            <w:rStyle w:val="Hyperlink"/>
          </w:rPr>
          <w:t>JO L </w:t>
        </w:r>
        <w:r w:rsidRPr="00F43FC8">
          <w:rPr>
            <w:rStyle w:val="Hyperlink"/>
          </w:rPr>
          <w:t>302</w:t>
        </w:r>
      </w:hyperlink>
      <w:r>
        <w:t xml:space="preserve"> du </w:t>
      </w:r>
      <w:r w:rsidRPr="00F43FC8">
        <w:t>18</w:t>
      </w:r>
      <w:r>
        <w:t>.</w:t>
      </w:r>
      <w:r w:rsidRPr="00F43FC8">
        <w:t>11</w:t>
      </w:r>
      <w:r>
        <w:t>.</w:t>
      </w:r>
      <w:r w:rsidRPr="00F43FC8">
        <w:t>2010</w:t>
      </w:r>
      <w:r>
        <w:t xml:space="preserve">, p. </w:t>
      </w:r>
      <w:r w:rsidRPr="00F43FC8">
        <w:t>1</w:t>
      </w:r>
      <w:r>
        <w:t>).</w:t>
      </w:r>
    </w:p>
  </w:footnote>
  <w:footnote w:id="96">
    <w:p w14:paraId="39E84617" w14:textId="7571A858" w:rsidR="00372F2A" w:rsidRDefault="00372F2A" w:rsidP="00666776">
      <w:pPr>
        <w:pStyle w:val="FootnoteText"/>
      </w:pPr>
      <w:r>
        <w:rPr>
          <w:rStyle w:val="FootnoteReference"/>
        </w:rPr>
        <w:footnoteRef/>
      </w:r>
      <w:r>
        <w:t xml:space="preserve"> Règlement (UE) nº </w:t>
      </w:r>
      <w:r w:rsidRPr="00F43FC8">
        <w:t>596</w:t>
      </w:r>
      <w:r>
        <w:t>/</w:t>
      </w:r>
      <w:r w:rsidRPr="00F43FC8">
        <w:t>2014</w:t>
      </w:r>
      <w:r>
        <w:t xml:space="preserve"> du Parlement européen et du Conseil du </w:t>
      </w:r>
      <w:r w:rsidRPr="00F43FC8">
        <w:t>16</w:t>
      </w:r>
      <w:r>
        <w:t> avril </w:t>
      </w:r>
      <w:r w:rsidRPr="00F43FC8">
        <w:t>2014</w:t>
      </w:r>
      <w:r>
        <w:t xml:space="preserve"> sur les abus de marché (règlement relatif aux abus de marché) et abrogeant la directive </w:t>
      </w:r>
      <w:r w:rsidRPr="00F43FC8">
        <w:t>2003</w:t>
      </w:r>
      <w:r>
        <w:t>/</w:t>
      </w:r>
      <w:r w:rsidRPr="00F43FC8">
        <w:t>6</w:t>
      </w:r>
      <w:r>
        <w:t>/CE du Parlement européen et du Conseil et les directives </w:t>
      </w:r>
      <w:r w:rsidRPr="00F43FC8">
        <w:t>2003</w:t>
      </w:r>
      <w:r>
        <w:t>/</w:t>
      </w:r>
      <w:r w:rsidRPr="00F43FC8">
        <w:t>124</w:t>
      </w:r>
      <w:r>
        <w:t xml:space="preserve">/CE, </w:t>
      </w:r>
      <w:r w:rsidRPr="00F43FC8">
        <w:t>2003</w:t>
      </w:r>
      <w:r>
        <w:t>/</w:t>
      </w:r>
      <w:r w:rsidRPr="00F43FC8">
        <w:t>125</w:t>
      </w:r>
      <w:r>
        <w:t>/CE et </w:t>
      </w:r>
      <w:r w:rsidRPr="00F43FC8">
        <w:t>2004</w:t>
      </w:r>
      <w:r>
        <w:t>/</w:t>
      </w:r>
      <w:r w:rsidRPr="00F43FC8">
        <w:t>72</w:t>
      </w:r>
      <w:r>
        <w:t>/CE de la Commission (</w:t>
      </w:r>
      <w:hyperlink r:id="rId54" w:history="1">
        <w:r>
          <w:rPr>
            <w:rStyle w:val="Hyperlink"/>
          </w:rPr>
          <w:t>JO L </w:t>
        </w:r>
        <w:r w:rsidRPr="00F43FC8">
          <w:rPr>
            <w:rStyle w:val="Hyperlink"/>
          </w:rPr>
          <w:t>173</w:t>
        </w:r>
      </w:hyperlink>
      <w:r>
        <w:t xml:space="preserve"> du </w:t>
      </w:r>
      <w:r w:rsidRPr="00F43FC8">
        <w:t>12</w:t>
      </w:r>
      <w:r>
        <w:t>.</w:t>
      </w:r>
      <w:r w:rsidRPr="00F43FC8">
        <w:t>6</w:t>
      </w:r>
      <w:r>
        <w:t>.</w:t>
      </w:r>
      <w:r w:rsidRPr="00F43FC8">
        <w:t>2014</w:t>
      </w:r>
      <w:r>
        <w:t>, p. </w:t>
      </w:r>
      <w:r w:rsidRPr="00F43FC8">
        <w:t>1</w:t>
      </w:r>
      <w:r>
        <w:t>).</w:t>
      </w:r>
    </w:p>
  </w:footnote>
  <w:footnote w:id="97">
    <w:p w14:paraId="1ED5C416" w14:textId="24C2CDA8" w:rsidR="00372F2A" w:rsidRDefault="00372F2A" w:rsidP="00666776">
      <w:pPr>
        <w:pStyle w:val="FootnoteText"/>
      </w:pPr>
      <w:r>
        <w:rPr>
          <w:rStyle w:val="FootnoteReference"/>
        </w:rPr>
        <w:footnoteRef/>
      </w:r>
      <w:r>
        <w:t xml:space="preserve"> Directive (UE) </w:t>
      </w:r>
      <w:r w:rsidRPr="00F43FC8">
        <w:t>2015</w:t>
      </w:r>
      <w:r>
        <w:t>/</w:t>
      </w:r>
      <w:r w:rsidRPr="00F43FC8">
        <w:t>849</w:t>
      </w:r>
      <w:r>
        <w:t xml:space="preserve"> du Parlement européen et du Conseil du </w:t>
      </w:r>
      <w:r w:rsidRPr="00F43FC8">
        <w:t>20</w:t>
      </w:r>
      <w:r>
        <w:t> mai </w:t>
      </w:r>
      <w:r w:rsidRPr="00F43FC8">
        <w:t>2015</w:t>
      </w:r>
      <w:r>
        <w:t xml:space="preserve"> relative à la prévention de l’utilisation du système financier aux fins du blanchiment de capitaux ou du financement du terrorisme, modifiant le règlement (UE) nº </w:t>
      </w:r>
      <w:r w:rsidRPr="00F43FC8">
        <w:t>648</w:t>
      </w:r>
      <w:r>
        <w:t>/</w:t>
      </w:r>
      <w:r w:rsidRPr="00F43FC8">
        <w:t>2012</w:t>
      </w:r>
      <w:r>
        <w:t xml:space="preserve"> du Parlement européen et du Conseil et abrogeant la directive </w:t>
      </w:r>
      <w:r w:rsidRPr="00F43FC8">
        <w:t>2005</w:t>
      </w:r>
      <w:r>
        <w:t>/</w:t>
      </w:r>
      <w:r w:rsidRPr="00F43FC8">
        <w:t>60</w:t>
      </w:r>
      <w:r>
        <w:t>/CE du Parlement européen et du Conseil et la directive </w:t>
      </w:r>
      <w:r w:rsidRPr="00F43FC8">
        <w:t>2006</w:t>
      </w:r>
      <w:r>
        <w:t>/</w:t>
      </w:r>
      <w:r w:rsidRPr="00F43FC8">
        <w:t>70</w:t>
      </w:r>
      <w:r>
        <w:t>/CE de la Commission, (</w:t>
      </w:r>
      <w:hyperlink r:id="rId55" w:history="1">
        <w:r>
          <w:rPr>
            <w:rStyle w:val="Hyperlink"/>
          </w:rPr>
          <w:t>JO L </w:t>
        </w:r>
        <w:r w:rsidRPr="00F43FC8">
          <w:rPr>
            <w:rStyle w:val="Hyperlink"/>
          </w:rPr>
          <w:t>141</w:t>
        </w:r>
      </w:hyperlink>
      <w:r>
        <w:t xml:space="preserve"> du </w:t>
      </w:r>
      <w:r w:rsidRPr="00F43FC8">
        <w:t>5</w:t>
      </w:r>
      <w:r>
        <w:t>.</w:t>
      </w:r>
      <w:r w:rsidRPr="00F43FC8">
        <w:t>6</w:t>
      </w:r>
      <w:r>
        <w:t>.</w:t>
      </w:r>
      <w:r w:rsidRPr="00F43FC8">
        <w:t>2015</w:t>
      </w:r>
      <w:r>
        <w:t>, p. </w:t>
      </w:r>
      <w:r w:rsidRPr="00F43FC8">
        <w:t>73</w:t>
      </w:r>
      <w:r>
        <w:t>)</w:t>
      </w:r>
    </w:p>
  </w:footnote>
  <w:footnote w:id="98">
    <w:p w14:paraId="09D050C5" w14:textId="49CABF1E" w:rsidR="00372F2A" w:rsidRDefault="00372F2A" w:rsidP="00666776">
      <w:pPr>
        <w:pStyle w:val="FootnoteText"/>
      </w:pPr>
      <w:r>
        <w:rPr>
          <w:rStyle w:val="FootnoteReference"/>
        </w:rPr>
        <w:footnoteRef/>
      </w:r>
      <w:r>
        <w:t xml:space="preserve"> La liste des autorités nationales compétentes responsables en vertu du règlement sur les abus de marché peut être consultée sur la </w:t>
      </w:r>
      <w:hyperlink r:id="rId56" w:history="1">
        <w:r>
          <w:rPr>
            <w:rStyle w:val="Hyperlink"/>
          </w:rPr>
          <w:t>page web de l’AEMF</w:t>
        </w:r>
      </w:hyperlink>
      <w:r>
        <w:t xml:space="preserve">. </w:t>
      </w:r>
    </w:p>
  </w:footnote>
  <w:footnote w:id="99">
    <w:p w14:paraId="17B741B4" w14:textId="08905BF8" w:rsidR="00372F2A" w:rsidRDefault="00372F2A" w:rsidP="00FE08D3">
      <w:pPr>
        <w:pStyle w:val="FootnoteText"/>
      </w:pPr>
      <w:r>
        <w:rPr>
          <w:rStyle w:val="FootnoteReference"/>
        </w:rPr>
        <w:footnoteRef/>
      </w:r>
      <w:r>
        <w:t xml:space="preserve"> Avis de l’AEMF sur les activités accessoires – Calcul de la taille du marché – </w:t>
      </w:r>
      <w:hyperlink r:id="rId57" w:history="1">
        <w:r>
          <w:rPr>
            <w:rStyle w:val="Hyperlink"/>
          </w:rPr>
          <w:t>mise à jour pour l’année </w:t>
        </w:r>
        <w:r w:rsidRPr="00F43FC8">
          <w:rPr>
            <w:rStyle w:val="Hyperlink"/>
          </w:rPr>
          <w:t>2020</w:t>
        </w:r>
      </w:hyperlink>
      <w:r>
        <w:t xml:space="preserve"> (en anglais uniquement).</w:t>
      </w:r>
    </w:p>
  </w:footnote>
  <w:footnote w:id="100">
    <w:p w14:paraId="6C604957" w14:textId="21AE8AAB" w:rsidR="00372F2A" w:rsidRDefault="00372F2A" w:rsidP="00666776">
      <w:pPr>
        <w:pStyle w:val="FootnoteText"/>
      </w:pPr>
      <w:r>
        <w:rPr>
          <w:rStyle w:val="FootnoteReference"/>
        </w:rPr>
        <w:footnoteRef/>
      </w:r>
      <w:r>
        <w:t xml:space="preserve"> Prix au </w:t>
      </w:r>
      <w:r w:rsidRPr="00F43FC8">
        <w:t>23</w:t>
      </w:r>
      <w:r>
        <w:t> mars </w:t>
      </w:r>
      <w:r w:rsidRPr="00F43FC8">
        <w:t>2020</w:t>
      </w:r>
      <w:r>
        <w:t xml:space="preserve"> (</w:t>
      </w:r>
      <w:r w:rsidRPr="00F43FC8">
        <w:t>14</w:t>
      </w:r>
      <w:r>
        <w:t>,</w:t>
      </w:r>
      <w:r w:rsidRPr="00F43FC8">
        <w:t>71</w:t>
      </w:r>
      <w:r>
        <w:t> euros).</w:t>
      </w:r>
    </w:p>
  </w:footnote>
  <w:footnote w:id="101">
    <w:p w14:paraId="633602BC" w14:textId="725D1E2B" w:rsidR="00372F2A" w:rsidRDefault="00372F2A" w:rsidP="00666776">
      <w:pPr>
        <w:pStyle w:val="FootnoteText"/>
      </w:pPr>
      <w:r>
        <w:rPr>
          <w:rStyle w:val="FootnoteReference"/>
        </w:rPr>
        <w:footnoteRef/>
      </w:r>
      <w:r>
        <w:t xml:space="preserve"> Les facteurs à court terme incluent notamment les prix du gaz et du pétrole, les conditions météorologiques, la production d’énergie renouvelable, la programmation des enchères et de l’allocation à titre gratuit, etc.</w:t>
      </w:r>
    </w:p>
  </w:footnote>
  <w:footnote w:id="102">
    <w:p w14:paraId="6BD5FFC6" w14:textId="1E429260" w:rsidR="00372F2A" w:rsidRDefault="00372F2A" w:rsidP="00666776">
      <w:pPr>
        <w:pStyle w:val="FootnoteText"/>
      </w:pPr>
      <w:r>
        <w:rPr>
          <w:rStyle w:val="FootnoteReference"/>
        </w:rPr>
        <w:footnoteRef/>
      </w:r>
      <w:r>
        <w:t xml:space="preserve"> Cela concerne une catégorie distincte définie dans la MiFID, pour les entreprises qui échangent des instruments financiers, mais de manière accessoire (en tant que petite part de leur activité commerciale générale).</w:t>
      </w:r>
    </w:p>
  </w:footnote>
  <w:footnote w:id="103">
    <w:p w14:paraId="72AC8D04" w14:textId="78B9AEC9" w:rsidR="00372F2A" w:rsidRPr="00372F2A" w:rsidRDefault="00372F2A" w:rsidP="00666776">
      <w:pPr>
        <w:pStyle w:val="FootnoteText"/>
        <w:rPr>
          <w:lang w:val="en-US"/>
        </w:rPr>
      </w:pPr>
      <w:r>
        <w:rPr>
          <w:rStyle w:val="FootnoteReference"/>
        </w:rPr>
        <w:footnoteRef/>
      </w:r>
      <w:r w:rsidRPr="00372F2A">
        <w:rPr>
          <w:lang w:val="en-US"/>
        </w:rPr>
        <w:t xml:space="preserve"> </w:t>
      </w:r>
      <w:hyperlink r:id="rId58" w:history="1">
        <w:r w:rsidRPr="00372F2A">
          <w:rPr>
            <w:rStyle w:val="Hyperlink"/>
            <w:lang w:val="en-US"/>
          </w:rPr>
          <w:t>Commodities Derivatives Weekly Position Reporting System</w:t>
        </w:r>
      </w:hyperlink>
    </w:p>
  </w:footnote>
  <w:footnote w:id="104">
    <w:p w14:paraId="721FDC20" w14:textId="71013B7C" w:rsidR="00372F2A" w:rsidRDefault="00372F2A" w:rsidP="00270A58">
      <w:pPr>
        <w:pStyle w:val="FootnoteText"/>
      </w:pPr>
      <w:r>
        <w:rPr>
          <w:rStyle w:val="FootnoteReference"/>
        </w:rPr>
        <w:footnoteRef/>
      </w:r>
      <w:r>
        <w:t xml:space="preserve"> Communication de la Commission au Parlement européen, au Conseil européen, au Comité économique et social européen et au Comité des régions, Lutte contre la hausse des prix de l’énergie: une panoplie d’instruments d’action et de soutien, </w:t>
      </w:r>
      <w:hyperlink r:id="rId59" w:history="1">
        <w:r>
          <w:rPr>
            <w:rStyle w:val="Hyperlink"/>
          </w:rPr>
          <w:t>COM/</w:t>
        </w:r>
        <w:r w:rsidRPr="00F43FC8">
          <w:rPr>
            <w:rStyle w:val="Hyperlink"/>
          </w:rPr>
          <w:t>2021</w:t>
        </w:r>
        <w:r>
          <w:rPr>
            <w:rStyle w:val="Hyperlink"/>
          </w:rPr>
          <w:t>/</w:t>
        </w:r>
        <w:r w:rsidRPr="00F43FC8">
          <w:rPr>
            <w:rStyle w:val="Hyperlink"/>
          </w:rPr>
          <w:t>660</w:t>
        </w:r>
        <w:r>
          <w:rPr>
            <w:rStyle w:val="Hyperlink"/>
          </w:rPr>
          <w:t xml:space="preserve"> final</w:t>
        </w:r>
      </w:hyperlink>
      <w:r>
        <w:t>.</w:t>
      </w:r>
    </w:p>
  </w:footnote>
  <w:footnote w:id="105">
    <w:p w14:paraId="6BBD5222" w14:textId="5A50F35B" w:rsidR="00372F2A" w:rsidRPr="00386568" w:rsidRDefault="00372F2A" w:rsidP="00666776">
      <w:pPr>
        <w:pStyle w:val="FootnoteText"/>
      </w:pPr>
      <w:r>
        <w:rPr>
          <w:rStyle w:val="FootnoteReference"/>
        </w:rPr>
        <w:footnoteRef/>
      </w:r>
      <w:r>
        <w:t xml:space="preserve"> Règlement d’exécution (UE) </w:t>
      </w:r>
      <w:r w:rsidRPr="00F43FC8">
        <w:t>2018</w:t>
      </w:r>
      <w:r>
        <w:t>/</w:t>
      </w:r>
      <w:r w:rsidRPr="00F43FC8">
        <w:t>2066</w:t>
      </w:r>
      <w:r>
        <w:t xml:space="preserve"> de la Commission du </w:t>
      </w:r>
      <w:r w:rsidRPr="00F43FC8">
        <w:t>19</w:t>
      </w:r>
      <w:r>
        <w:t> décembre </w:t>
      </w:r>
      <w:r w:rsidRPr="00F43FC8">
        <w:t>2018</w:t>
      </w:r>
      <w:r>
        <w:t xml:space="preserve"> relatif à la surveillance et à la déclaration des émissions de gaz à effet de serre au titre de la directive </w:t>
      </w:r>
      <w:r w:rsidRPr="00F43FC8">
        <w:t>2003</w:t>
      </w:r>
      <w:r>
        <w:t>/</w:t>
      </w:r>
      <w:r w:rsidRPr="00F43FC8">
        <w:t>87</w:t>
      </w:r>
      <w:r>
        <w:t>/CE du Parlement européen et du Conseil et modifiant le règlement (UE) nº </w:t>
      </w:r>
      <w:r w:rsidRPr="00F43FC8">
        <w:t>601</w:t>
      </w:r>
      <w:r>
        <w:t>/</w:t>
      </w:r>
      <w:r w:rsidRPr="00F43FC8">
        <w:t>2012</w:t>
      </w:r>
      <w:r>
        <w:t xml:space="preserve"> de la Commission (</w:t>
      </w:r>
      <w:hyperlink r:id="rId60" w:history="1">
        <w:r>
          <w:rPr>
            <w:rStyle w:val="Hyperlink"/>
          </w:rPr>
          <w:t>JO L </w:t>
        </w:r>
        <w:r w:rsidRPr="00F43FC8">
          <w:rPr>
            <w:rStyle w:val="Hyperlink"/>
          </w:rPr>
          <w:t>334</w:t>
        </w:r>
      </w:hyperlink>
      <w:r>
        <w:t xml:space="preserve"> du </w:t>
      </w:r>
      <w:r w:rsidRPr="00F43FC8">
        <w:t>31</w:t>
      </w:r>
      <w:r>
        <w:t>.</w:t>
      </w:r>
      <w:r w:rsidRPr="00F43FC8">
        <w:t>12</w:t>
      </w:r>
      <w:r>
        <w:t>.</w:t>
      </w:r>
      <w:r w:rsidRPr="00F43FC8">
        <w:t>2018</w:t>
      </w:r>
      <w:r>
        <w:t>, p. </w:t>
      </w:r>
      <w:r w:rsidRPr="00F43FC8">
        <w:t>1</w:t>
      </w:r>
      <w:r>
        <w:t>).</w:t>
      </w:r>
    </w:p>
  </w:footnote>
  <w:footnote w:id="106">
    <w:p w14:paraId="5904CAE0" w14:textId="5CB77997" w:rsidR="00372F2A" w:rsidRPr="00386568" w:rsidRDefault="00372F2A" w:rsidP="00666776">
      <w:pPr>
        <w:pStyle w:val="FootnoteText"/>
      </w:pPr>
      <w:r>
        <w:rPr>
          <w:rStyle w:val="FootnoteReference"/>
        </w:rPr>
        <w:footnoteRef/>
      </w:r>
      <w:r>
        <w:t xml:space="preserve"> Règlement d’exécution (UE) </w:t>
      </w:r>
      <w:r w:rsidRPr="00F43FC8">
        <w:t>2018</w:t>
      </w:r>
      <w:r>
        <w:t>/</w:t>
      </w:r>
      <w:r w:rsidRPr="00F43FC8">
        <w:t>2067</w:t>
      </w:r>
      <w:r>
        <w:t xml:space="preserve"> de la Commission du </w:t>
      </w:r>
      <w:r w:rsidRPr="00F43FC8">
        <w:t>19</w:t>
      </w:r>
      <w:r>
        <w:t> décembre </w:t>
      </w:r>
      <w:r w:rsidRPr="00F43FC8">
        <w:t>2018</w:t>
      </w:r>
      <w:r>
        <w:t xml:space="preserve"> concernant la vérification des données et l’accréditation des vérificateurs conformément à la directive </w:t>
      </w:r>
      <w:r w:rsidRPr="00F43FC8">
        <w:t>2003</w:t>
      </w:r>
      <w:r>
        <w:t>/</w:t>
      </w:r>
      <w:r w:rsidRPr="00F43FC8">
        <w:t>87</w:t>
      </w:r>
      <w:r>
        <w:t>/CE du Parlement européen et du Conseil (</w:t>
      </w:r>
      <w:hyperlink r:id="rId61" w:history="1">
        <w:r>
          <w:rPr>
            <w:rStyle w:val="Hyperlink"/>
          </w:rPr>
          <w:t>JO L </w:t>
        </w:r>
        <w:r w:rsidRPr="00F43FC8">
          <w:rPr>
            <w:rStyle w:val="Hyperlink"/>
          </w:rPr>
          <w:t>334</w:t>
        </w:r>
      </w:hyperlink>
      <w:r>
        <w:t xml:space="preserve"> du </w:t>
      </w:r>
      <w:r w:rsidRPr="00F43FC8">
        <w:t>31</w:t>
      </w:r>
      <w:r>
        <w:t>.</w:t>
      </w:r>
      <w:r w:rsidRPr="00F43FC8">
        <w:t>12</w:t>
      </w:r>
      <w:r>
        <w:t>.</w:t>
      </w:r>
      <w:r w:rsidRPr="00F43FC8">
        <w:t>2018</w:t>
      </w:r>
      <w:r>
        <w:t>, p. </w:t>
      </w:r>
      <w:r w:rsidRPr="00F43FC8">
        <w:t>94</w:t>
      </w:r>
      <w:r>
        <w:t>).</w:t>
      </w:r>
    </w:p>
  </w:footnote>
  <w:footnote w:id="107">
    <w:p w14:paraId="06B21AE0" w14:textId="115E969C" w:rsidR="00372F2A" w:rsidRPr="00386568" w:rsidRDefault="00372F2A" w:rsidP="00666776">
      <w:pPr>
        <w:pStyle w:val="FootnoteText"/>
      </w:pPr>
      <w:r>
        <w:rPr>
          <w:rStyle w:val="FootnoteReference"/>
        </w:rPr>
        <w:footnoteRef/>
      </w:r>
      <w:r>
        <w:t xml:space="preserve"> Règlement d’exécution (UE) </w:t>
      </w:r>
      <w:r w:rsidRPr="00F43FC8">
        <w:t>2020</w:t>
      </w:r>
      <w:r>
        <w:t>/</w:t>
      </w:r>
      <w:r w:rsidRPr="00F43FC8">
        <w:t>2085</w:t>
      </w:r>
      <w:r>
        <w:t xml:space="preserve"> de la Commission du </w:t>
      </w:r>
      <w:r w:rsidRPr="00F43FC8">
        <w:t>14</w:t>
      </w:r>
      <w:r>
        <w:t> décembre </w:t>
      </w:r>
      <w:r w:rsidRPr="00F43FC8">
        <w:t>2020</w:t>
      </w:r>
      <w:r>
        <w:t xml:space="preserve"> portant modification et rectification du règlement d’exécution (UE) </w:t>
      </w:r>
      <w:r w:rsidRPr="00F43FC8">
        <w:t>2018</w:t>
      </w:r>
      <w:r>
        <w:t>/</w:t>
      </w:r>
      <w:r w:rsidRPr="00F43FC8">
        <w:t>2066</w:t>
      </w:r>
      <w:r>
        <w:t xml:space="preserve"> relatif à la surveillance et à la déclaration des émissions de gaz à effet de serre au titre de la directive </w:t>
      </w:r>
      <w:r w:rsidRPr="00F43FC8">
        <w:t>2003</w:t>
      </w:r>
      <w:r>
        <w:t>/</w:t>
      </w:r>
      <w:r w:rsidRPr="00F43FC8">
        <w:t>87</w:t>
      </w:r>
      <w:r>
        <w:t>/CE du Parlement européen et du Conseil (</w:t>
      </w:r>
      <w:hyperlink r:id="rId62" w:history="1">
        <w:r>
          <w:rPr>
            <w:rStyle w:val="Hyperlink"/>
          </w:rPr>
          <w:t>JO L </w:t>
        </w:r>
        <w:r w:rsidRPr="00F43FC8">
          <w:rPr>
            <w:rStyle w:val="Hyperlink"/>
          </w:rPr>
          <w:t>423</w:t>
        </w:r>
      </w:hyperlink>
      <w:r>
        <w:t xml:space="preserve"> du </w:t>
      </w:r>
      <w:r w:rsidRPr="00F43FC8">
        <w:t>15</w:t>
      </w:r>
      <w:r>
        <w:t>.</w:t>
      </w:r>
      <w:r w:rsidRPr="00F43FC8">
        <w:t>12</w:t>
      </w:r>
      <w:r>
        <w:t>.</w:t>
      </w:r>
      <w:r w:rsidRPr="00F43FC8">
        <w:t>2020</w:t>
      </w:r>
      <w:r>
        <w:t>, p. </w:t>
      </w:r>
      <w:r w:rsidRPr="00F43FC8">
        <w:t>37</w:t>
      </w:r>
      <w:r>
        <w:t>).</w:t>
      </w:r>
    </w:p>
  </w:footnote>
  <w:footnote w:id="108">
    <w:p w14:paraId="79BDB559" w14:textId="01AC868E" w:rsidR="00372F2A" w:rsidRPr="00386568" w:rsidRDefault="00372F2A" w:rsidP="00666776">
      <w:pPr>
        <w:pStyle w:val="FootnoteText"/>
      </w:pPr>
      <w:r>
        <w:rPr>
          <w:rStyle w:val="FootnoteReference"/>
        </w:rPr>
        <w:footnoteRef/>
      </w:r>
      <w:r>
        <w:t xml:space="preserve"> Règlement d’exécution (UE) </w:t>
      </w:r>
      <w:r w:rsidRPr="00F43FC8">
        <w:t>2020</w:t>
      </w:r>
      <w:r>
        <w:t>/</w:t>
      </w:r>
      <w:r w:rsidRPr="00F43FC8">
        <w:t>2084</w:t>
      </w:r>
      <w:r>
        <w:t xml:space="preserve"> de la Commission du </w:t>
      </w:r>
      <w:r w:rsidRPr="00F43FC8">
        <w:t>14</w:t>
      </w:r>
      <w:r>
        <w:t> décembre </w:t>
      </w:r>
      <w:r w:rsidRPr="00F43FC8">
        <w:t>2020</w:t>
      </w:r>
      <w:r>
        <w:t xml:space="preserve"> modifiant et rectifiant le règlement d’exécution (UE) </w:t>
      </w:r>
      <w:r w:rsidRPr="00F43FC8">
        <w:t>2018</w:t>
      </w:r>
      <w:r>
        <w:t>/</w:t>
      </w:r>
      <w:r w:rsidRPr="00F43FC8">
        <w:t>2067</w:t>
      </w:r>
      <w:r>
        <w:t xml:space="preserve"> concernant la vérification des données et l’accréditation des vérificateurs conformément à la directive </w:t>
      </w:r>
      <w:r w:rsidRPr="00F43FC8">
        <w:t>2003</w:t>
      </w:r>
      <w:r>
        <w:t>/</w:t>
      </w:r>
      <w:r w:rsidRPr="00F43FC8">
        <w:t>87</w:t>
      </w:r>
      <w:r>
        <w:t>/CE du Parlement européen et du Conseil (</w:t>
      </w:r>
      <w:hyperlink r:id="rId63" w:history="1">
        <w:r>
          <w:rPr>
            <w:rStyle w:val="Hyperlink"/>
          </w:rPr>
          <w:t>JO L </w:t>
        </w:r>
        <w:r w:rsidRPr="00F43FC8">
          <w:rPr>
            <w:rStyle w:val="Hyperlink"/>
          </w:rPr>
          <w:t>423</w:t>
        </w:r>
      </w:hyperlink>
      <w:r>
        <w:t xml:space="preserve"> du </w:t>
      </w:r>
      <w:r w:rsidRPr="00F43FC8">
        <w:t>15</w:t>
      </w:r>
      <w:r>
        <w:t>.</w:t>
      </w:r>
      <w:r w:rsidRPr="00F43FC8">
        <w:t>12</w:t>
      </w:r>
      <w:r>
        <w:t>.</w:t>
      </w:r>
      <w:r w:rsidRPr="00F43FC8">
        <w:t>2020</w:t>
      </w:r>
      <w:r>
        <w:t>, p. </w:t>
      </w:r>
      <w:r w:rsidRPr="00F43FC8">
        <w:t>23</w:t>
      </w:r>
      <w:r>
        <w:t xml:space="preserve">). </w:t>
      </w:r>
    </w:p>
  </w:footnote>
  <w:footnote w:id="109">
    <w:p w14:paraId="56C69DA9" w14:textId="1699C598" w:rsidR="00372F2A" w:rsidRPr="00210289" w:rsidRDefault="00372F2A" w:rsidP="00666776">
      <w:pPr>
        <w:pStyle w:val="FootnoteText"/>
      </w:pPr>
      <w:r>
        <w:rPr>
          <w:rStyle w:val="FootnoteReference"/>
        </w:rPr>
        <w:footnoteRef/>
      </w:r>
      <w:r>
        <w:t xml:space="preserve"> Décision (UE) </w:t>
      </w:r>
      <w:r w:rsidRPr="00F43FC8">
        <w:t>2017</w:t>
      </w:r>
      <w:r>
        <w:t>/</w:t>
      </w:r>
      <w:r w:rsidRPr="00F43FC8">
        <w:t>2240</w:t>
      </w:r>
      <w:r>
        <w:t xml:space="preserve"> du Conseil du </w:t>
      </w:r>
      <w:r w:rsidRPr="00F43FC8">
        <w:t>10</w:t>
      </w:r>
      <w:r>
        <w:t> novembre </w:t>
      </w:r>
      <w:r w:rsidRPr="00F43FC8">
        <w:t>2017</w:t>
      </w:r>
      <w:r>
        <w:t xml:space="preserve"> relative à la signature, au nom de l’Union, et à l’application provisoire de l’accord entre l’Union européenne et la Confédération suisse sur le couplage de leurs systèmes d’échange de quotas d’émission de gaz à effet de serre (</w:t>
      </w:r>
      <w:hyperlink r:id="rId64" w:history="1">
        <w:r>
          <w:rPr>
            <w:rStyle w:val="Hyperlink"/>
          </w:rPr>
          <w:t>JO L </w:t>
        </w:r>
        <w:r w:rsidRPr="00F43FC8">
          <w:rPr>
            <w:rStyle w:val="Hyperlink"/>
          </w:rPr>
          <w:t>322</w:t>
        </w:r>
      </w:hyperlink>
      <w:r>
        <w:t xml:space="preserve"> du </w:t>
      </w:r>
      <w:r w:rsidRPr="00F43FC8">
        <w:t>7</w:t>
      </w:r>
      <w:r>
        <w:t>.</w:t>
      </w:r>
      <w:r w:rsidRPr="00F43FC8">
        <w:t>12</w:t>
      </w:r>
      <w:r>
        <w:t>.</w:t>
      </w:r>
      <w:r w:rsidRPr="00F43FC8">
        <w:t>2017</w:t>
      </w:r>
      <w:r>
        <w:t>, p. </w:t>
      </w:r>
      <w:r w:rsidRPr="00F43FC8">
        <w:t>1</w:t>
      </w:r>
      <w:r>
        <w:t>).</w:t>
      </w:r>
    </w:p>
  </w:footnote>
  <w:footnote w:id="110">
    <w:p w14:paraId="1C9B496B" w14:textId="611CFDA1" w:rsidR="00372F2A" w:rsidRPr="00210289" w:rsidRDefault="00372F2A" w:rsidP="00666776">
      <w:pPr>
        <w:pStyle w:val="FootnoteText"/>
      </w:pPr>
      <w:r>
        <w:rPr>
          <w:rStyle w:val="FootnoteReference"/>
        </w:rPr>
        <w:footnoteRef/>
      </w:r>
      <w:r>
        <w:t xml:space="preserve"> Accord entre l’Union européenne et la Confédération suisse sur le couplage de leurs systèmes d’échange de quotas d’émission de gaz à effet de serre (</w:t>
      </w:r>
      <w:hyperlink r:id="rId65" w:history="1">
        <w:r>
          <w:rPr>
            <w:rStyle w:val="Hyperlink"/>
          </w:rPr>
          <w:t>JO L </w:t>
        </w:r>
        <w:r w:rsidRPr="00F43FC8">
          <w:rPr>
            <w:rStyle w:val="Hyperlink"/>
          </w:rPr>
          <w:t>322</w:t>
        </w:r>
      </w:hyperlink>
      <w:r>
        <w:t xml:space="preserve"> du </w:t>
      </w:r>
      <w:r w:rsidRPr="00F43FC8">
        <w:t>7</w:t>
      </w:r>
      <w:r>
        <w:t>.</w:t>
      </w:r>
      <w:r w:rsidRPr="00F43FC8">
        <w:t>12</w:t>
      </w:r>
      <w:r>
        <w:t>.</w:t>
      </w:r>
      <w:r w:rsidRPr="00F43FC8">
        <w:t>2017</w:t>
      </w:r>
      <w:r>
        <w:t>, p. </w:t>
      </w:r>
      <w:r w:rsidRPr="00F43FC8">
        <w:t>3</w:t>
      </w:r>
      <w:r>
        <w:t>).</w:t>
      </w:r>
    </w:p>
  </w:footnote>
  <w:footnote w:id="111">
    <w:p w14:paraId="0C5C4C5D" w14:textId="4DBD76DF" w:rsidR="00372F2A" w:rsidRPr="00210289" w:rsidRDefault="00372F2A" w:rsidP="00666776">
      <w:pPr>
        <w:pStyle w:val="FootnoteText"/>
      </w:pPr>
      <w:r>
        <w:rPr>
          <w:rStyle w:val="FootnoteReference"/>
        </w:rPr>
        <w:footnoteRef/>
      </w:r>
      <w:r>
        <w:t xml:space="preserve"> Décision (UE) </w:t>
      </w:r>
      <w:r w:rsidRPr="00F43FC8">
        <w:t>2018</w:t>
      </w:r>
      <w:r>
        <w:t>/</w:t>
      </w:r>
      <w:r w:rsidRPr="00F43FC8">
        <w:t>219</w:t>
      </w:r>
      <w:r>
        <w:t xml:space="preserve"> du Conseil du </w:t>
      </w:r>
      <w:r w:rsidRPr="00F43FC8">
        <w:t>23</w:t>
      </w:r>
      <w:r>
        <w:t> janvier </w:t>
      </w:r>
      <w:r w:rsidRPr="00F43FC8">
        <w:t>2018</w:t>
      </w:r>
      <w:r>
        <w:t xml:space="preserve"> relative à la conclusion de l’accord entre l’Union européenne et la Confédération suisse sur le couplage de leurs systèmes d’échange de quotas d’émission de gaz à effet de serre (</w:t>
      </w:r>
      <w:hyperlink r:id="rId66" w:history="1">
        <w:r>
          <w:rPr>
            <w:rStyle w:val="Hyperlink"/>
          </w:rPr>
          <w:t>JO L </w:t>
        </w:r>
        <w:r w:rsidRPr="00F43FC8">
          <w:rPr>
            <w:rStyle w:val="Hyperlink"/>
          </w:rPr>
          <w:t>43</w:t>
        </w:r>
      </w:hyperlink>
      <w:r>
        <w:t xml:space="preserve"> du </w:t>
      </w:r>
      <w:r w:rsidRPr="00F43FC8">
        <w:t>16</w:t>
      </w:r>
      <w:r>
        <w:t>.</w:t>
      </w:r>
      <w:r w:rsidRPr="00F43FC8">
        <w:t>2</w:t>
      </w:r>
      <w:r>
        <w:t>.</w:t>
      </w:r>
      <w:r w:rsidRPr="00F43FC8">
        <w:t>2018</w:t>
      </w:r>
      <w:r>
        <w:t>, p. </w:t>
      </w:r>
      <w:r w:rsidRPr="00F43FC8">
        <w:t>1</w:t>
      </w:r>
      <w:r>
        <w:t>).</w:t>
      </w:r>
    </w:p>
  </w:footnote>
  <w:footnote w:id="112">
    <w:p w14:paraId="14FA5AEC" w14:textId="5FBB0B9B" w:rsidR="00372F2A" w:rsidRPr="00210289" w:rsidRDefault="00372F2A" w:rsidP="00666776">
      <w:pPr>
        <w:pStyle w:val="FootnoteText"/>
      </w:pPr>
      <w:r>
        <w:rPr>
          <w:rStyle w:val="FootnoteReference"/>
        </w:rPr>
        <w:footnoteRef/>
      </w:r>
      <w:r>
        <w:t xml:space="preserve"> Décision nº </w:t>
      </w:r>
      <w:r w:rsidRPr="00F43FC8">
        <w:t>2</w:t>
      </w:r>
      <w:r>
        <w:t>/</w:t>
      </w:r>
      <w:r w:rsidRPr="00F43FC8">
        <w:t>2019</w:t>
      </w:r>
      <w:r>
        <w:t xml:space="preserve"> du comité mixte institué par l’accord entre l’Union européenne et la Confédération suisse sur le couplage de leurs systèmes d’échange de quotas d’émission de gaz à effet de serre du </w:t>
      </w:r>
      <w:r w:rsidRPr="00F43FC8">
        <w:t>5</w:t>
      </w:r>
      <w:r>
        <w:t> décembre </w:t>
      </w:r>
      <w:r w:rsidRPr="00F43FC8">
        <w:t>2019</w:t>
      </w:r>
      <w:r>
        <w:t xml:space="preserve"> portant modification des annexes I et II de l’accord entre l’Union européenne et la Confédération suisse sur le couplage de leurs systèmes d’échange de quotas d’émission de gaz à effet de serre (</w:t>
      </w:r>
      <w:hyperlink r:id="rId67" w:history="1">
        <w:r>
          <w:rPr>
            <w:rStyle w:val="Hyperlink"/>
          </w:rPr>
          <w:t>JO L </w:t>
        </w:r>
        <w:r w:rsidRPr="00F43FC8">
          <w:rPr>
            <w:rStyle w:val="Hyperlink"/>
          </w:rPr>
          <w:t>314</w:t>
        </w:r>
      </w:hyperlink>
      <w:r>
        <w:t xml:space="preserve"> du </w:t>
      </w:r>
      <w:r w:rsidRPr="00F43FC8">
        <w:t>29</w:t>
      </w:r>
      <w:r>
        <w:t>.</w:t>
      </w:r>
      <w:r w:rsidRPr="00F43FC8">
        <w:t>9</w:t>
      </w:r>
      <w:r>
        <w:t>.</w:t>
      </w:r>
      <w:r w:rsidRPr="00F43FC8">
        <w:t>2020</w:t>
      </w:r>
      <w:r>
        <w:t>, p. </w:t>
      </w:r>
      <w:r w:rsidRPr="00F43FC8">
        <w:t>68</w:t>
      </w:r>
      <w:r>
        <w:t>).</w:t>
      </w:r>
    </w:p>
  </w:footnote>
  <w:footnote w:id="113">
    <w:p w14:paraId="53EC22AD" w14:textId="64194B13" w:rsidR="00372F2A" w:rsidRPr="00210289" w:rsidRDefault="00372F2A" w:rsidP="00666776">
      <w:pPr>
        <w:pStyle w:val="FootnoteText"/>
      </w:pPr>
      <w:r>
        <w:rPr>
          <w:rStyle w:val="FootnoteReference"/>
        </w:rPr>
        <w:footnoteRef/>
      </w:r>
      <w:r>
        <w:t xml:space="preserve"> Avis concernant l’entrée en vigueur de l’accord entre l’Union européenne et la Confédération suisse sur le couplage de leurs systèmes d’échange de quotas d’émission de gaz à effet de serre (</w:t>
      </w:r>
      <w:hyperlink r:id="rId68" w:history="1">
        <w:r>
          <w:rPr>
            <w:rStyle w:val="Hyperlink"/>
          </w:rPr>
          <w:t>JO L </w:t>
        </w:r>
        <w:r w:rsidRPr="00F43FC8">
          <w:rPr>
            <w:rStyle w:val="Hyperlink"/>
          </w:rPr>
          <w:t>330</w:t>
        </w:r>
      </w:hyperlink>
      <w:r>
        <w:t xml:space="preserve"> du </w:t>
      </w:r>
      <w:r w:rsidRPr="00F43FC8">
        <w:t>20</w:t>
      </w:r>
      <w:r>
        <w:t>.</w:t>
      </w:r>
      <w:r w:rsidRPr="00F43FC8">
        <w:t>12</w:t>
      </w:r>
      <w:r>
        <w:t>.</w:t>
      </w:r>
      <w:r w:rsidRPr="00F43FC8">
        <w:t>2019</w:t>
      </w:r>
      <w:r>
        <w:t>, p. </w:t>
      </w:r>
      <w:r w:rsidRPr="00F43FC8">
        <w:t>1</w:t>
      </w:r>
      <w:r>
        <w:t>).</w:t>
      </w:r>
    </w:p>
  </w:footnote>
  <w:footnote w:id="114">
    <w:p w14:paraId="24FB1B85" w14:textId="4CBA8BDC" w:rsidR="00372F2A" w:rsidRPr="00C52049" w:rsidRDefault="00372F2A" w:rsidP="00666776">
      <w:pPr>
        <w:pStyle w:val="FootnoteText"/>
      </w:pPr>
      <w:r>
        <w:rPr>
          <w:rStyle w:val="FootnoteReference"/>
        </w:rPr>
        <w:footnoteRef/>
      </w:r>
      <w:r>
        <w:t xml:space="preserve"> Conformément à l’article </w:t>
      </w:r>
      <w:r w:rsidRPr="00F43FC8">
        <w:t>25</w:t>
      </w:r>
      <w:r>
        <w:t xml:space="preserve"> de la directive SEQE-UE, le SEQE-UE peut être couplé à des «systèmes contraignants compatibles d’échange de droits d’émission de gaz à effet de serre assortis de plafonds d’émission absolus».</w:t>
      </w:r>
    </w:p>
  </w:footnote>
  <w:footnote w:id="115">
    <w:p w14:paraId="186B3FCF" w14:textId="77777777" w:rsidR="00372F2A" w:rsidRDefault="00372F2A" w:rsidP="00666776">
      <w:pPr>
        <w:pStyle w:val="FootnoteText"/>
      </w:pPr>
      <w:r>
        <w:rPr>
          <w:rStyle w:val="FootnoteReference"/>
        </w:rPr>
        <w:footnoteRef/>
      </w:r>
      <w:r>
        <w:t xml:space="preserve"> Certains exploitants d’aéronefs ont des obligations de conformité dans le cadre des deux systèmes. </w:t>
      </w:r>
    </w:p>
  </w:footnote>
  <w:footnote w:id="116">
    <w:p w14:paraId="026AB085" w14:textId="4CD6A04A" w:rsidR="00372F2A" w:rsidRDefault="00372F2A" w:rsidP="00666776">
      <w:pPr>
        <w:pStyle w:val="FootnoteText"/>
      </w:pPr>
      <w:r>
        <w:rPr>
          <w:rStyle w:val="FootnoteReference"/>
        </w:rPr>
        <w:footnoteRef/>
      </w:r>
      <w:r>
        <w:t xml:space="preserve"> Exploitants non exclus sur la base du registre de l’UE en </w:t>
      </w:r>
      <w:r w:rsidRPr="00F43FC8">
        <w:t>2020</w:t>
      </w:r>
      <w:r>
        <w:t xml:space="preserve">; le nombre d’exploitants ayant déclaré des émissions est </w:t>
      </w:r>
      <w:r w:rsidRPr="00F43FC8">
        <w:t>10</w:t>
      </w:r>
      <w:r>
        <w:t> </w:t>
      </w:r>
      <w:r w:rsidRPr="00F43FC8">
        <w:t>317</w:t>
      </w:r>
      <w:r>
        <w:t>.</w:t>
      </w:r>
    </w:p>
  </w:footnote>
  <w:footnote w:id="117">
    <w:p w14:paraId="364F761C" w14:textId="6664ECC0" w:rsidR="00372F2A" w:rsidRDefault="00372F2A" w:rsidP="00666776">
      <w:pPr>
        <w:pStyle w:val="FootnoteText"/>
      </w:pPr>
      <w:r>
        <w:rPr>
          <w:rStyle w:val="FootnoteReference"/>
        </w:rPr>
        <w:footnoteRef/>
      </w:r>
      <w:r>
        <w:t xml:space="preserve"> Exploitants non exclus sur la base du registre de l’UE en </w:t>
      </w:r>
      <w:r w:rsidRPr="00F43FC8">
        <w:t>2020</w:t>
      </w:r>
      <w:r>
        <w:t xml:space="preserve">; le nombre d’exploitants ayant déclaré des émissions est </w:t>
      </w:r>
      <w:r w:rsidRPr="00F43FC8">
        <w:t>320</w:t>
      </w:r>
      <w:r>
        <w:t>.</w:t>
      </w:r>
    </w:p>
  </w:footnote>
  <w:footnote w:id="118">
    <w:p w14:paraId="1EC8975A" w14:textId="0ACE33B7" w:rsidR="00372F2A" w:rsidRDefault="00372F2A">
      <w:pPr>
        <w:pStyle w:val="FootnoteText"/>
      </w:pPr>
      <w:r>
        <w:rPr>
          <w:rStyle w:val="FootnoteReference"/>
        </w:rPr>
        <w:footnoteRef/>
      </w:r>
      <w:r>
        <w:t xml:space="preserve"> </w:t>
      </w:r>
      <w:hyperlink r:id="rId69" w:history="1">
        <w:r>
          <w:rPr>
            <w:rStyle w:val="Hyperlink"/>
          </w:rPr>
          <w:t>Registre suisse des échanges de quotas d’émission</w:t>
        </w:r>
      </w:hyperlink>
    </w:p>
  </w:footnote>
  <w:footnote w:id="119">
    <w:p w14:paraId="7318284B" w14:textId="5D74B5C9" w:rsidR="00372F2A" w:rsidRDefault="00372F2A" w:rsidP="00666776">
      <w:pPr>
        <w:pStyle w:val="FootnoteText"/>
      </w:pPr>
      <w:r>
        <w:rPr>
          <w:rStyle w:val="FootnoteReference"/>
        </w:rPr>
        <w:footnoteRef/>
      </w:r>
      <w:r>
        <w:t xml:space="preserve"> Ce chiffre inclut les quotas alloués directement.</w:t>
      </w:r>
    </w:p>
  </w:footnote>
  <w:footnote w:id="120">
    <w:p w14:paraId="38AAFC5F" w14:textId="4AAAE981" w:rsidR="00372F2A" w:rsidRDefault="00372F2A">
      <w:pPr>
        <w:pStyle w:val="FootnoteText"/>
      </w:pPr>
      <w:r>
        <w:rPr>
          <w:rStyle w:val="FootnoteReference"/>
        </w:rPr>
        <w:footnoteRef/>
      </w:r>
      <w:r>
        <w:t xml:space="preserve"> Conformément à l’article </w:t>
      </w:r>
      <w:r w:rsidRPr="00F43FC8">
        <w:t>24</w:t>
      </w:r>
      <w:r>
        <w:t xml:space="preserve"> de la directive (UE) </w:t>
      </w:r>
      <w:r w:rsidRPr="00F43FC8">
        <w:t>2018</w:t>
      </w:r>
      <w:r>
        <w:t>/</w:t>
      </w:r>
      <w:r w:rsidRPr="00F43FC8">
        <w:t>2002</w:t>
      </w:r>
      <w:r>
        <w:t xml:space="preserve"> du Parlement européen et du Conseil du </w:t>
      </w:r>
      <w:r w:rsidRPr="00F43FC8">
        <w:t>11</w:t>
      </w:r>
      <w:r>
        <w:t> décembre </w:t>
      </w:r>
      <w:r w:rsidRPr="00F43FC8">
        <w:t>2018</w:t>
      </w:r>
      <w:r>
        <w:t xml:space="preserve"> modifiant la directive </w:t>
      </w:r>
      <w:r w:rsidRPr="00F43FC8">
        <w:t>2012</w:t>
      </w:r>
      <w:r>
        <w:t>/</w:t>
      </w:r>
      <w:r w:rsidRPr="00F43FC8">
        <w:t>27</w:t>
      </w:r>
      <w:r>
        <w:t>/UE relative à l’efficacité énergétique (</w:t>
      </w:r>
      <w:hyperlink r:id="rId70" w:history="1">
        <w:r>
          <w:rPr>
            <w:rStyle w:val="Hyperlink"/>
          </w:rPr>
          <w:t>JO L </w:t>
        </w:r>
        <w:r w:rsidRPr="00F43FC8">
          <w:rPr>
            <w:rStyle w:val="Hyperlink"/>
          </w:rPr>
          <w:t>328</w:t>
        </w:r>
      </w:hyperlink>
      <w:r>
        <w:t xml:space="preserve"> du </w:t>
      </w:r>
      <w:r w:rsidRPr="00F43FC8">
        <w:t>21</w:t>
      </w:r>
      <w:r>
        <w:t>.</w:t>
      </w:r>
      <w:r w:rsidRPr="00F43FC8">
        <w:t>12</w:t>
      </w:r>
      <w:r>
        <w:t>.</w:t>
      </w:r>
      <w:r w:rsidRPr="00F43FC8">
        <w:t>2018</w:t>
      </w:r>
      <w:r>
        <w:t>, p. </w:t>
      </w:r>
      <w:r w:rsidRPr="00F43FC8">
        <w:t>210</w:t>
      </w:r>
      <w:r>
        <w:t>) et aux articles </w:t>
      </w:r>
      <w:r w:rsidRPr="00F43FC8">
        <w:t>29</w:t>
      </w:r>
      <w:r>
        <w:t> et </w:t>
      </w:r>
      <w:r w:rsidRPr="00F43FC8">
        <w:t>35</w:t>
      </w:r>
      <w:r>
        <w:t xml:space="preserve"> du règlement (UE) </w:t>
      </w:r>
      <w:r w:rsidRPr="00F43FC8">
        <w:t>2018</w:t>
      </w:r>
      <w:r>
        <w:t>/</w:t>
      </w:r>
      <w:r w:rsidRPr="00F43FC8">
        <w:t>1999</w:t>
      </w:r>
      <w:r>
        <w:t xml:space="preserve"> du Parlement européen et du Conseil du </w:t>
      </w:r>
      <w:r w:rsidRPr="00F43FC8">
        <w:t>11</w:t>
      </w:r>
      <w:r>
        <w:t> décembre </w:t>
      </w:r>
      <w:r w:rsidRPr="00F43FC8">
        <w:t>2018</w:t>
      </w:r>
      <w:r>
        <w:t xml:space="preserve"> sur la gouvernance de l’union de l’énergie et de l’action pour le climat (</w:t>
      </w:r>
      <w:hyperlink r:id="rId71" w:history="1">
        <w:r>
          <w:rPr>
            <w:rStyle w:val="Hyperlink"/>
          </w:rPr>
          <w:t>JO L </w:t>
        </w:r>
        <w:r w:rsidRPr="00F43FC8">
          <w:rPr>
            <w:rStyle w:val="Hyperlink"/>
          </w:rPr>
          <w:t>328</w:t>
        </w:r>
      </w:hyperlink>
      <w:r>
        <w:t xml:space="preserve"> du </w:t>
      </w:r>
      <w:r w:rsidRPr="00F43FC8">
        <w:t>21</w:t>
      </w:r>
      <w:r>
        <w:t>.</w:t>
      </w:r>
      <w:r w:rsidRPr="00F43FC8">
        <w:t>12</w:t>
      </w:r>
      <w:r>
        <w:t>.</w:t>
      </w:r>
      <w:r w:rsidRPr="00F43FC8">
        <w:t>2018</w:t>
      </w:r>
      <w:r>
        <w:t>, p. </w:t>
      </w:r>
      <w:r w:rsidRPr="00F43FC8">
        <w:t>1</w:t>
      </w:r>
      <w:r>
        <w:t>).</w:t>
      </w:r>
    </w:p>
  </w:footnote>
  <w:footnote w:id="121">
    <w:p w14:paraId="434B8ABE" w14:textId="64A1C01B" w:rsidR="00372F2A" w:rsidRDefault="00372F2A">
      <w:pPr>
        <w:pStyle w:val="FootnoteText"/>
      </w:pPr>
      <w:r>
        <w:rPr>
          <w:rStyle w:val="FootnoteReference"/>
        </w:rPr>
        <w:footnoteRef/>
      </w:r>
      <w:r>
        <w:t xml:space="preserve"> Recommandation de la Commission relative à la transposition des obligations en matière d’économies d’énergie </w:t>
      </w:r>
      <w:hyperlink r:id="rId72" w:history="1">
        <w:r>
          <w:rPr>
            <w:rStyle w:val="Hyperlink"/>
          </w:rPr>
          <w:t>C(</w:t>
        </w:r>
        <w:r w:rsidRPr="00F43FC8">
          <w:rPr>
            <w:rStyle w:val="Hyperlink"/>
          </w:rPr>
          <w:t>2019</w:t>
        </w:r>
        <w:r>
          <w:rPr>
            <w:rStyle w:val="Hyperlink"/>
          </w:rPr>
          <w:t>) </w:t>
        </w:r>
        <w:r w:rsidRPr="00F43FC8">
          <w:rPr>
            <w:rStyle w:val="Hyperlink"/>
          </w:rPr>
          <w:t>6621</w:t>
        </w:r>
        <w:r>
          <w:rPr>
            <w:rStyle w:val="Hyperlink"/>
          </w:rPr>
          <w:t> final</w:t>
        </w:r>
      </w:hyperlink>
      <w:r>
        <w:t>.</w:t>
      </w:r>
    </w:p>
  </w:footnote>
  <w:footnote w:id="122">
    <w:p w14:paraId="54879706" w14:textId="49DCD1D1" w:rsidR="00372F2A" w:rsidRDefault="00372F2A" w:rsidP="00666776">
      <w:pPr>
        <w:pStyle w:val="FootnoteText"/>
      </w:pPr>
      <w:r>
        <w:rPr>
          <w:rStyle w:val="FootnoteReference"/>
        </w:rPr>
        <w:footnoteRef/>
      </w:r>
      <w:r>
        <w:t xml:space="preserve"> Les États membres étaient tenus de faire rapport annuellement jusqu’au </w:t>
      </w:r>
      <w:r w:rsidRPr="00F43FC8">
        <w:t>30</w:t>
      </w:r>
      <w:r>
        <w:t> avril </w:t>
      </w:r>
      <w:r w:rsidRPr="00F43FC8">
        <w:t>2020</w:t>
      </w:r>
      <w:r>
        <w:t>. Le rapport final couvrant l’entièreté de la période d’obligation doit être soumis pour mars </w:t>
      </w:r>
      <w:r w:rsidRPr="00F43FC8">
        <w:t>2022</w:t>
      </w:r>
      <w:r>
        <w:t xml:space="preserve">. Ces trois États membres sont ceux qui ont conçu une mesure ciblant spécifiquement les industries du SEQE-UE. Il existe de nombreuses autres mesures qui ciblent les industries en général (et qui pourraient couvrir des industries relevant ou non du SEQE-UE). La base de données </w:t>
      </w:r>
      <w:hyperlink r:id="rId73" w:anchor="/search" w:history="1">
        <w:r>
          <w:rPr>
            <w:rStyle w:val="Hyperlink"/>
          </w:rPr>
          <w:t>ODYSSEE-MURE</w:t>
        </w:r>
      </w:hyperlink>
      <w:r>
        <w:t xml:space="preserve"> sur les mesures d’efficacité énergétique dans l’UE reprend plus de </w:t>
      </w:r>
      <w:r w:rsidRPr="00F43FC8">
        <w:t>200</w:t>
      </w:r>
      <w:r>
        <w:t> mesures ciblant les industries des États membres.</w:t>
      </w:r>
    </w:p>
  </w:footnote>
  <w:footnote w:id="123">
    <w:p w14:paraId="5FBFE0EB" w14:textId="51930056" w:rsidR="00372F2A" w:rsidRDefault="00372F2A" w:rsidP="00666776">
      <w:pPr>
        <w:pStyle w:val="FootnoteText"/>
      </w:pPr>
      <w:r>
        <w:rPr>
          <w:rStyle w:val="FootnoteReference"/>
        </w:rPr>
        <w:footnoteRef/>
      </w:r>
      <w:r>
        <w:t xml:space="preserve"> Les accords volontaires et les mesures équivalentes sont tous des mesures alternatives au sens de l’article </w:t>
      </w:r>
      <w:r w:rsidRPr="00F43FC8">
        <w:t>7</w:t>
      </w:r>
      <w:r>
        <w:t>, point b), de la directive sur l’efficacité énergétique. La version initiale de la directive, adoptée en </w:t>
      </w:r>
      <w:r w:rsidRPr="00F43FC8">
        <w:t>2012</w:t>
      </w:r>
      <w:r>
        <w:t>, comprenait une liste non exhaustive de mesures alternatives, mais celle-ci a été supprimée après la révision de la directive en </w:t>
      </w:r>
      <w:r w:rsidRPr="00F43FC8">
        <w:t>2018</w:t>
      </w:r>
      <w:r>
        <w:t xml:space="preserve">. </w:t>
      </w:r>
    </w:p>
  </w:footnote>
  <w:footnote w:id="124">
    <w:p w14:paraId="314F89CD" w14:textId="4FB2980C" w:rsidR="00372F2A" w:rsidRDefault="00372F2A">
      <w:pPr>
        <w:pStyle w:val="FootnoteText"/>
      </w:pPr>
      <w:r>
        <w:rPr>
          <w:rStyle w:val="FootnoteReference"/>
        </w:rPr>
        <w:footnoteRef/>
      </w:r>
      <w:r>
        <w:t xml:space="preserve"> Ces chiffres proviennent des rapports annuels soumis par les États membres conformément à l’article </w:t>
      </w:r>
      <w:r w:rsidRPr="00F43FC8">
        <w:t>24</w:t>
      </w:r>
      <w:r>
        <w:t>, paragraphe </w:t>
      </w:r>
      <w:r w:rsidRPr="00F43FC8">
        <w:t>1</w:t>
      </w:r>
      <w:r>
        <w:t>, de la directive sur l’efficacité énergétique. Les pourcentages sont exprimés par rapport aux économies totales visées à l’article </w:t>
      </w:r>
      <w:r w:rsidRPr="00F43FC8">
        <w:t>7</w:t>
      </w:r>
      <w:r>
        <w:t xml:space="preserve"> qui ont été déclarées pour les années </w:t>
      </w:r>
      <w:r w:rsidRPr="00F43FC8">
        <w:t>2014</w:t>
      </w:r>
      <w:r>
        <w:t>-</w:t>
      </w:r>
      <w:r w:rsidRPr="00F43FC8">
        <w:t>2018</w:t>
      </w:r>
      <w:r>
        <w:t xml:space="preserve">. </w:t>
      </w:r>
    </w:p>
  </w:footnote>
  <w:footnote w:id="125">
    <w:p w14:paraId="6F3C68E6" w14:textId="62C0F6FD" w:rsidR="00372F2A" w:rsidRDefault="00372F2A">
      <w:pPr>
        <w:pStyle w:val="FootnoteText"/>
      </w:pPr>
      <w:r>
        <w:rPr>
          <w:rStyle w:val="FootnoteReference"/>
        </w:rPr>
        <w:footnoteRef/>
      </w:r>
      <w:r>
        <w:t xml:space="preserve"> Cette possibilité ne peut pas être utilisée pour la période </w:t>
      </w:r>
      <w:r w:rsidRPr="00F43FC8">
        <w:t>2021</w:t>
      </w:r>
      <w:r>
        <w:t>-</w:t>
      </w:r>
      <w:r w:rsidRPr="00F43FC8">
        <w:t>2030</w:t>
      </w:r>
      <w:r>
        <w:t>: en effet, pour cette période d’obligation, les possibilités prévues à l’article </w:t>
      </w:r>
      <w:r w:rsidRPr="00F43FC8">
        <w:t>7</w:t>
      </w:r>
      <w:r>
        <w:t>, paragraphe </w:t>
      </w:r>
      <w:r w:rsidRPr="00F43FC8">
        <w:t>4</w:t>
      </w:r>
      <w:r>
        <w:t>, de la directive sur l’efficacité énergétique ne réduisent pas le volume minimal d’économies totales requis; voir article </w:t>
      </w:r>
      <w:r w:rsidRPr="00F43FC8">
        <w:t>7</w:t>
      </w:r>
      <w:r>
        <w:t>, paragraphe </w:t>
      </w:r>
      <w:r w:rsidRPr="00F43FC8">
        <w:t>5</w:t>
      </w:r>
      <w:r>
        <w:t>, de la directive.</w:t>
      </w:r>
    </w:p>
  </w:footnote>
  <w:footnote w:id="126">
    <w:p w14:paraId="1BAFA7FD" w14:textId="667E4DDF" w:rsidR="00372F2A" w:rsidRDefault="00372F2A" w:rsidP="00666776">
      <w:pPr>
        <w:pStyle w:val="FootnoteText"/>
      </w:pPr>
      <w:r>
        <w:rPr>
          <w:rStyle w:val="FootnoteReference"/>
        </w:rPr>
        <w:footnoteRef/>
      </w:r>
      <w:r>
        <w:t xml:space="preserve"> Danemark (économies d’énergie liées au chauffage urbain dans le cadre d’un mécanisme d’obligations en matière d’efficacité énergétique), Roumanie (ensemble de cinq mesures traitant de l’efficacité dans les centrales électriques, de la cogénération à haut rendement, de l’efficacité des réseaux de transport et de distribution et de l’efficacité du chauffage urbain) et Slovénie (</w:t>
      </w:r>
      <w:r w:rsidRPr="00F43FC8">
        <w:t>3</w:t>
      </w:r>
      <w:r>
        <w:t> mesures relatives à l’efficacité du chauffage urbain).</w:t>
      </w:r>
    </w:p>
  </w:footnote>
  <w:footnote w:id="127">
    <w:p w14:paraId="5F0CA043" w14:textId="0B13BB8C" w:rsidR="00372F2A" w:rsidRDefault="00372F2A" w:rsidP="00666776">
      <w:pPr>
        <w:pStyle w:val="FootnoteText"/>
      </w:pPr>
      <w:r>
        <w:rPr>
          <w:rStyle w:val="FootnoteReference"/>
        </w:rPr>
        <w:footnoteRef/>
      </w:r>
      <w:r>
        <w:t xml:space="preserve"> L’évaluation de l’effet cumulé des PNEC [COM(</w:t>
      </w:r>
      <w:r w:rsidRPr="00F43FC8">
        <w:t>2020</w:t>
      </w:r>
      <w:r>
        <w:t>) </w:t>
      </w:r>
      <w:r w:rsidRPr="00F43FC8">
        <w:t>564</w:t>
      </w:r>
      <w:r>
        <w:t xml:space="preserve"> final] est disponible à l’adresse suivante: </w:t>
      </w:r>
      <w:hyperlink r:id="rId74" w:history="1">
        <w:r>
          <w:rPr>
            <w:rStyle w:val="Hyperlink"/>
          </w:rPr>
          <w:t>https://eur-lex.europa.eu/legal-content/FR/TXT/PDF/?uri=CELEX:</w:t>
        </w:r>
        <w:r w:rsidRPr="00F43FC8">
          <w:rPr>
            <w:rStyle w:val="Hyperlink"/>
          </w:rPr>
          <w:t>52020</w:t>
        </w:r>
        <w:r>
          <w:rPr>
            <w:rStyle w:val="Hyperlink"/>
          </w:rPr>
          <w:t>DC</w:t>
        </w:r>
        <w:r w:rsidRPr="00F43FC8">
          <w:rPr>
            <w:rStyle w:val="Hyperlink"/>
          </w:rPr>
          <w:t>0564</w:t>
        </w:r>
        <w:r>
          <w:rPr>
            <w:rStyle w:val="Hyperlink"/>
          </w:rPr>
          <w:t>&amp;from=FR</w:t>
        </w:r>
      </w:hyperlink>
    </w:p>
    <w:p w14:paraId="6B54DA22" w14:textId="734833DF" w:rsidR="00372F2A" w:rsidRDefault="00372F2A" w:rsidP="00666776">
      <w:pPr>
        <w:pStyle w:val="FootnoteText"/>
      </w:pPr>
      <w:r>
        <w:t xml:space="preserve">Les évaluations individuelles de chaque PNEC par la Commission se trouvent à l’adresse suivante: </w:t>
      </w:r>
      <w:hyperlink r:id="rId75" w:history="1">
        <w:r>
          <w:rPr>
            <w:rStyle w:val="Hyperlink"/>
          </w:rPr>
          <w:t>https://ec.europa.eu/energy/topics/energy-strategy/national-energy-climate-plans/individual-assessments_en</w:t>
        </w:r>
      </w:hyperlink>
      <w:r>
        <w:t xml:space="preserve"> </w:t>
      </w:r>
    </w:p>
  </w:footnote>
  <w:footnote w:id="128">
    <w:p w14:paraId="3AD5D96B" w14:textId="7A20D0A1" w:rsidR="00372F2A" w:rsidRPr="00014A2D" w:rsidRDefault="00372F2A" w:rsidP="00666776">
      <w:pPr>
        <w:pStyle w:val="FootnoteText"/>
      </w:pPr>
      <w:r>
        <w:rPr>
          <w:rStyle w:val="FootnoteReference"/>
        </w:rPr>
        <w:footnoteRef/>
      </w:r>
      <w:r>
        <w:t xml:space="preserve"> Belgique, Chypre, Estonie, Lettonie, Lituanie, Luxembourg et Malte.</w:t>
      </w:r>
    </w:p>
  </w:footnote>
  <w:footnote w:id="129">
    <w:p w14:paraId="3FA49DF2" w14:textId="0EE01BB5" w:rsidR="00372F2A" w:rsidRDefault="00372F2A" w:rsidP="00666776">
      <w:pPr>
        <w:pStyle w:val="FootnoteText"/>
      </w:pPr>
      <w:r>
        <w:rPr>
          <w:rStyle w:val="FootnoteReference"/>
        </w:rPr>
        <w:footnoteRef/>
      </w:r>
      <w:r>
        <w:t xml:space="preserve"> L’écart se chiffre à </w:t>
      </w:r>
      <w:r w:rsidRPr="00F43FC8">
        <w:t>2</w:t>
      </w:r>
      <w:r>
        <w:t>,</w:t>
      </w:r>
      <w:r w:rsidRPr="00F43FC8">
        <w:t>8</w:t>
      </w:r>
      <w:r>
        <w:t xml:space="preserve"> points de pourcentage pour la consommation d’énergie primaire et </w:t>
      </w:r>
      <w:r w:rsidRPr="00F43FC8">
        <w:t>3</w:t>
      </w:r>
      <w:r>
        <w:t>,</w:t>
      </w:r>
      <w:r w:rsidRPr="00F43FC8">
        <w:t>1</w:t>
      </w:r>
      <w:r>
        <w:t xml:space="preserve"> points de pourcentage pour la consommation d’énergie finale, par rapport à l’objectif visant à accroître l’efficacité énergétique d’au moins </w:t>
      </w:r>
      <w:r w:rsidRPr="00F43FC8">
        <w:t>32</w:t>
      </w:r>
      <w:r>
        <w:t>,</w:t>
      </w:r>
      <w:r w:rsidRPr="00F43FC8">
        <w:t>5</w:t>
      </w:r>
      <w:r>
        <w:t> % d’ici à </w:t>
      </w:r>
      <w:r w:rsidRPr="00F43FC8">
        <w:t>2030</w:t>
      </w:r>
      <w:r>
        <w:t>.</w:t>
      </w:r>
    </w:p>
  </w:footnote>
  <w:footnote w:id="130">
    <w:p w14:paraId="2D60B4D9" w14:textId="3E189782" w:rsidR="00372F2A" w:rsidRDefault="00372F2A">
      <w:pPr>
        <w:pStyle w:val="FootnoteText"/>
      </w:pPr>
      <w:r>
        <w:rPr>
          <w:rStyle w:val="FootnoteReference"/>
        </w:rPr>
        <w:footnoteRef/>
      </w:r>
      <w:r>
        <w:t xml:space="preserve"> Rapport de situation de l’action pour le climat, COM(</w:t>
      </w:r>
      <w:r w:rsidRPr="00F43FC8">
        <w:t>2021</w:t>
      </w:r>
      <w:r>
        <w:t>) </w:t>
      </w:r>
      <w:r w:rsidRPr="00F43FC8">
        <w:t>951</w:t>
      </w:r>
      <w:r>
        <w:t xml:space="preserve"> final. </w:t>
      </w:r>
    </w:p>
  </w:footnote>
  <w:footnote w:id="131">
    <w:p w14:paraId="74CB620B" w14:textId="0F80E76B" w:rsidR="00372F2A" w:rsidRDefault="00372F2A" w:rsidP="00666776">
      <w:pPr>
        <w:pStyle w:val="FootnoteText"/>
      </w:pPr>
      <w:r>
        <w:rPr>
          <w:rStyle w:val="FootnoteReference"/>
        </w:rPr>
        <w:footnoteRef/>
      </w:r>
      <w:r>
        <w:t xml:space="preserve"> Entre </w:t>
      </w:r>
      <w:r w:rsidRPr="00F43FC8">
        <w:t>2013</w:t>
      </w:r>
      <w:r>
        <w:t xml:space="preserve"> et </w:t>
      </w:r>
      <w:r w:rsidRPr="00F43FC8">
        <w:t>2020</w:t>
      </w:r>
      <w:r>
        <w:t>.</w:t>
      </w:r>
    </w:p>
  </w:footnote>
  <w:footnote w:id="132">
    <w:p w14:paraId="0A010204" w14:textId="77777777" w:rsidR="00372F2A" w:rsidRDefault="00372F2A" w:rsidP="00E63039">
      <w:pPr>
        <w:pStyle w:val="FootnoteText"/>
      </w:pPr>
      <w:r>
        <w:rPr>
          <w:rStyle w:val="FootnoteReference"/>
        </w:rPr>
        <w:footnoteRef/>
      </w:r>
      <w:r>
        <w:t xml:space="preserve"> Le chiffre de </w:t>
      </w:r>
      <w:r w:rsidRPr="00F43FC8">
        <w:t>2020</w:t>
      </w:r>
      <w:r>
        <w:t xml:space="preserve"> inclut l’EU-</w:t>
      </w:r>
      <w:r w:rsidRPr="00F43FC8">
        <w:t>27</w:t>
      </w:r>
      <w:r>
        <w:t>, l’Islande, le Liechtenstein et la Norvège, ainsi que le Royaume-Uni, tandis que le chiffre de </w:t>
      </w:r>
      <w:r w:rsidRPr="00F43FC8">
        <w:t>2021</w:t>
      </w:r>
      <w:r>
        <w:t xml:space="preserve"> inclut uniquement l’EU-</w:t>
      </w:r>
      <w:r w:rsidRPr="00F43FC8">
        <w:t>27</w:t>
      </w:r>
      <w:r>
        <w:t xml:space="preserve"> et l’Islande, le Liechtenstein et la Norvège.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D566C" w14:textId="77777777" w:rsidR="00F06FBC" w:rsidRPr="00F06FBC" w:rsidRDefault="00F06FBC" w:rsidP="00F06FB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7F4E9" w14:textId="77777777" w:rsidR="00372F2A" w:rsidRDefault="00372F2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8BF44" w14:textId="77777777" w:rsidR="00372F2A" w:rsidRDefault="00372F2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86D9F" w14:textId="77777777" w:rsidR="00372F2A" w:rsidRDefault="00372F2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6DF66" w14:textId="77777777" w:rsidR="00372F2A" w:rsidRDefault="00372F2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78383" w14:textId="77777777" w:rsidR="00372F2A" w:rsidRDefault="00372F2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04B33" w14:textId="77777777" w:rsidR="00372F2A" w:rsidRDefault="00372F2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24866" w14:textId="77777777" w:rsidR="00372F2A" w:rsidRDefault="00372F2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29751" w14:textId="77777777" w:rsidR="00372F2A" w:rsidRDefault="00372F2A">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973BE" w14:textId="77777777" w:rsidR="00372F2A" w:rsidRDefault="00372F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2AFAF" w14:textId="77777777" w:rsidR="00F06FBC" w:rsidRPr="00F06FBC" w:rsidRDefault="00F06FBC" w:rsidP="00F06FBC">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9492E" w14:textId="77777777" w:rsidR="00F06FBC" w:rsidRPr="00F06FBC" w:rsidRDefault="00F06FBC" w:rsidP="00F06FBC">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1455A" w14:textId="77777777" w:rsidR="00372F2A" w:rsidRDefault="00372F2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809D2" w14:textId="77777777" w:rsidR="00372F2A" w:rsidRDefault="00372F2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70E02" w14:textId="77777777" w:rsidR="00372F2A" w:rsidRDefault="00372F2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74FFE" w14:textId="77777777" w:rsidR="00372F2A" w:rsidRDefault="00372F2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EB4A5" w14:textId="77777777" w:rsidR="00372F2A" w:rsidRDefault="00372F2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1B912" w14:textId="77777777" w:rsidR="00372F2A" w:rsidRDefault="00372F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
    <w:lvl w:ilvl="0">
      <w:start w:val="1"/>
      <w:numFmt w:val="bullet"/>
      <w:lvlText w:val=""/>
      <w:lvlJc w:val="left"/>
      <w:pPr>
        <w:tabs>
          <w:tab w:val="num" w:pos="0"/>
        </w:tabs>
        <w:ind w:left="360" w:hanging="360"/>
      </w:pPr>
      <w:rPr>
        <w:rFonts w:ascii="Symbol" w:hAnsi="Symbol" w:cs="Symbol"/>
      </w:rPr>
    </w:lvl>
  </w:abstractNum>
  <w:abstractNum w:abstractNumId="1" w15:restartNumberingAfterBreak="0">
    <w:nsid w:val="00000003"/>
    <w:multiLevelType w:val="singleLevel"/>
    <w:tmpl w:val="00000003"/>
    <w:name w:val="WW8Num2"/>
    <w:lvl w:ilvl="0">
      <w:start w:val="1"/>
      <w:numFmt w:val="bullet"/>
      <w:lvlText w:val="o"/>
      <w:lvlJc w:val="left"/>
      <w:pPr>
        <w:tabs>
          <w:tab w:val="num" w:pos="0"/>
        </w:tabs>
        <w:ind w:left="720" w:hanging="360"/>
      </w:pPr>
      <w:rPr>
        <w:rFonts w:ascii="Courier New" w:hAnsi="Courier New" w:cs="Courier New"/>
      </w:rPr>
    </w:lvl>
  </w:abstractNum>
  <w:abstractNum w:abstractNumId="2" w15:restartNumberingAfterBreak="0">
    <w:nsid w:val="00586663"/>
    <w:multiLevelType w:val="hybridMultilevel"/>
    <w:tmpl w:val="636E0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0B337A"/>
    <w:multiLevelType w:val="hybridMultilevel"/>
    <w:tmpl w:val="0A9E9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12568F"/>
    <w:multiLevelType w:val="hybridMultilevel"/>
    <w:tmpl w:val="ECD40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0F4A9C"/>
    <w:multiLevelType w:val="multilevel"/>
    <w:tmpl w:val="F4760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9E1EF7"/>
    <w:multiLevelType w:val="hybridMultilevel"/>
    <w:tmpl w:val="3E6C0D5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1535361B"/>
    <w:multiLevelType w:val="hybridMultilevel"/>
    <w:tmpl w:val="F02433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F46418"/>
    <w:multiLevelType w:val="hybridMultilevel"/>
    <w:tmpl w:val="82B4D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AB37AA"/>
    <w:multiLevelType w:val="multilevel"/>
    <w:tmpl w:val="AB602AF8"/>
    <w:lvl w:ilvl="0">
      <w:start w:val="2"/>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cs="Times New Roman" w:hint="default"/>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54362E"/>
    <w:multiLevelType w:val="hybridMultilevel"/>
    <w:tmpl w:val="6018E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7173E9"/>
    <w:multiLevelType w:val="hybridMultilevel"/>
    <w:tmpl w:val="39EA262A"/>
    <w:lvl w:ilvl="0" w:tplc="924A8FE2">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FA0AF1"/>
    <w:multiLevelType w:val="multilevel"/>
    <w:tmpl w:val="6560AAEC"/>
    <w:lvl w:ilvl="0">
      <w:start w:val="1"/>
      <w:numFmt w:val="decimal"/>
      <w:lvlText w:val="%1."/>
      <w:lvlJc w:val="left"/>
      <w:pPr>
        <w:ind w:left="360" w:hanging="360"/>
      </w:pPr>
    </w:lvl>
    <w:lvl w:ilvl="1">
      <w:start w:val="1"/>
      <w:numFmt w:val="decimal"/>
      <w:isLgl/>
      <w:lvlText w:val="%1.%2."/>
      <w:lvlJc w:val="left"/>
      <w:pPr>
        <w:ind w:left="806"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7651550"/>
    <w:multiLevelType w:val="hybridMultilevel"/>
    <w:tmpl w:val="90964D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601A99"/>
    <w:multiLevelType w:val="hybridMultilevel"/>
    <w:tmpl w:val="1F5A0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2F3C02"/>
    <w:multiLevelType w:val="hybridMultilevel"/>
    <w:tmpl w:val="B83E91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42075302"/>
    <w:multiLevelType w:val="hybridMultilevel"/>
    <w:tmpl w:val="5C0227C4"/>
    <w:lvl w:ilvl="0" w:tplc="08090001">
      <w:start w:val="1"/>
      <w:numFmt w:val="bullet"/>
      <w:lvlText w:val=""/>
      <w:lvlJc w:val="left"/>
      <w:pPr>
        <w:ind w:left="720" w:hanging="360"/>
      </w:pPr>
      <w:rPr>
        <w:rFonts w:ascii="Symbol" w:hAnsi="Symbol"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2987CC0"/>
    <w:multiLevelType w:val="hybridMultilevel"/>
    <w:tmpl w:val="48FA1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CF1B1C"/>
    <w:multiLevelType w:val="hybridMultilevel"/>
    <w:tmpl w:val="61D0F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DE022E"/>
    <w:multiLevelType w:val="hybridMultilevel"/>
    <w:tmpl w:val="8320D364"/>
    <w:lvl w:ilvl="0" w:tplc="237222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1B1D46"/>
    <w:multiLevelType w:val="multilevel"/>
    <w:tmpl w:val="9F0E4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241304"/>
    <w:multiLevelType w:val="hybridMultilevel"/>
    <w:tmpl w:val="6C2407D6"/>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2" w15:restartNumberingAfterBreak="0">
    <w:nsid w:val="62D97B9D"/>
    <w:multiLevelType w:val="hybridMultilevel"/>
    <w:tmpl w:val="14823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0C4B58"/>
    <w:multiLevelType w:val="hybridMultilevel"/>
    <w:tmpl w:val="78524F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5FD65E1"/>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8277188"/>
    <w:multiLevelType w:val="multilevel"/>
    <w:tmpl w:val="6F66F5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DBF75FD"/>
    <w:multiLevelType w:val="hybridMultilevel"/>
    <w:tmpl w:val="8E34C73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51656F"/>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2E921B5"/>
    <w:multiLevelType w:val="hybridMultilevel"/>
    <w:tmpl w:val="3A8ECD96"/>
    <w:lvl w:ilvl="0" w:tplc="D56E8EEA">
      <w:start w:val="25"/>
      <w:numFmt w:val="bullet"/>
      <w:lvlText w:val="-"/>
      <w:lvlJc w:val="left"/>
      <w:pPr>
        <w:ind w:left="720" w:hanging="360"/>
      </w:pPr>
      <w:rPr>
        <w:rFonts w:ascii="Calibri" w:eastAsia="Times New Roman" w:hAnsi="Calibri" w:cs="Calibri"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359678A"/>
    <w:multiLevelType w:val="hybridMultilevel"/>
    <w:tmpl w:val="B7304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215423"/>
    <w:multiLevelType w:val="hybridMultilevel"/>
    <w:tmpl w:val="1130C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E75877"/>
    <w:multiLevelType w:val="hybridMultilevel"/>
    <w:tmpl w:val="F57C4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FB017B"/>
    <w:multiLevelType w:val="hybridMultilevel"/>
    <w:tmpl w:val="1154096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7D351DAB"/>
    <w:multiLevelType w:val="hybridMultilevel"/>
    <w:tmpl w:val="CD70F27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6"/>
  </w:num>
  <w:num w:numId="3">
    <w:abstractNumId w:val="10"/>
  </w:num>
  <w:num w:numId="4">
    <w:abstractNumId w:val="29"/>
  </w:num>
  <w:num w:numId="5">
    <w:abstractNumId w:val="13"/>
  </w:num>
  <w:num w:numId="6">
    <w:abstractNumId w:val="27"/>
  </w:num>
  <w:num w:numId="7">
    <w:abstractNumId w:val="33"/>
  </w:num>
  <w:num w:numId="8">
    <w:abstractNumId w:val="18"/>
  </w:num>
  <w:num w:numId="9">
    <w:abstractNumId w:val="11"/>
  </w:num>
  <w:num w:numId="10">
    <w:abstractNumId w:val="23"/>
  </w:num>
  <w:num w:numId="11">
    <w:abstractNumId w:val="24"/>
  </w:num>
  <w:num w:numId="12">
    <w:abstractNumId w:val="8"/>
  </w:num>
  <w:num w:numId="13">
    <w:abstractNumId w:val="17"/>
  </w:num>
  <w:num w:numId="14">
    <w:abstractNumId w:val="31"/>
  </w:num>
  <w:num w:numId="15">
    <w:abstractNumId w:val="2"/>
  </w:num>
  <w:num w:numId="16">
    <w:abstractNumId w:val="5"/>
  </w:num>
  <w:num w:numId="17">
    <w:abstractNumId w:val="20"/>
  </w:num>
  <w:num w:numId="18">
    <w:abstractNumId w:val="25"/>
  </w:num>
  <w:num w:numId="19">
    <w:abstractNumId w:val="17"/>
  </w:num>
  <w:num w:numId="20">
    <w:abstractNumId w:val="31"/>
  </w:num>
  <w:num w:numId="21">
    <w:abstractNumId w:val="22"/>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4"/>
  </w:num>
  <w:num w:numId="25">
    <w:abstractNumId w:val="30"/>
  </w:num>
  <w:num w:numId="26">
    <w:abstractNumId w:val="32"/>
  </w:num>
  <w:num w:numId="27">
    <w:abstractNumId w:val="26"/>
  </w:num>
  <w:num w:numId="28">
    <w:abstractNumId w:val="28"/>
  </w:num>
  <w:num w:numId="29">
    <w:abstractNumId w:val="16"/>
  </w:num>
  <w:num w:numId="30">
    <w:abstractNumId w:val="12"/>
  </w:num>
  <w:num w:numId="31">
    <w:abstractNumId w:val="21"/>
  </w:num>
  <w:num w:numId="32">
    <w:abstractNumId w:val="3"/>
  </w:num>
  <w:num w:numId="33">
    <w:abstractNumId w:val="19"/>
  </w:num>
  <w:num w:numId="34">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de-AT" w:vendorID="64" w:dllVersion="131078" w:nlCheck="1" w:checkStyle="0"/>
  <w:activeWritingStyle w:appName="MSWord" w:lang="da-DK" w:vendorID="64" w:dllVersion="131078" w:nlCheck="1" w:checkStyle="0"/>
  <w:activeWritingStyle w:appName="MSWord" w:lang="fr-FR" w:vendorID="64" w:dllVersion="131078" w:nlCheck="1" w:checkStyle="0"/>
  <w:activeWritingStyle w:appName="MSWord" w:lang="es-ES" w:vendorID="64" w:dllVersion="131078" w:nlCheck="1" w:checkStyle="0"/>
  <w:activeWritingStyle w:appName="MSWord" w:lang="es-ES_tradnl" w:vendorID="64" w:dllVersion="131078" w:nlCheck="1" w:checkStyle="0"/>
  <w:revisionView w:markup="0"/>
  <w:defaultTabStop w:val="720"/>
  <w:hyphenationZone w:val="283"/>
  <w:characterSpacingControl w:val="doNotCompress"/>
  <w:hdrShapeDefaults>
    <o:shapedefaults v:ext="edit" spidmax="13516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2E01B8C6-B2EE-4E19-B3E9-CEFDCAA96546"/>
    <w:docVar w:name="LW_COVERPAGE_TYPE" w:val="1"/>
    <w:docVar w:name="LW_CROSSREFERENCE" w:val="{COM(2021) 950 final} - {SWD(2021) 308 final}"/>
    <w:docVar w:name="LW_DocType" w:val="NORMAL"/>
    <w:docVar w:name="LW_EMISSION" w:val="26.10.2021"/>
    <w:docVar w:name="LW_EMISSION_ISODATE" w:val="2021-10-26"/>
    <w:docVar w:name="LW_EMISSION_LOCATION" w:val="BRX"/>
    <w:docVar w:name="LW_EMISSION_PREFIX" w:val="Bruxelles, le "/>
    <w:docVar w:name="LW_EMISSION_SUFFIX" w:val=" "/>
    <w:docVar w:name="LW_ID_DOCTYPE_NONLW" w:val="CP-006"/>
    <w:docVar w:name="LW_LANGUE" w:val="FR"/>
    <w:docVar w:name="LW_LEVEL_OF_SENSITIVITY" w:val="Standard treatment"/>
    <w:docVar w:name="LW_NOM.INST" w:val="COMMISSION EUROPÉENNE"/>
    <w:docVar w:name="LW_NOM.INST_JOINTDOC" w:val="&lt;EMPTY&gt;"/>
    <w:docVar w:name="LW_PART_NBR" w:val="1"/>
    <w:docVar w:name="LW_PART_NBR_TOTAL" w:val="1"/>
    <w:docVar w:name="LW_REF.INST.NEW" w:val="COM"/>
    <w:docVar w:name="LW_REF.INST.NEW_ADOPTED" w:val="final"/>
    <w:docVar w:name="LW_REF.INST.NEW_TEXT" w:val="(2021) 96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OUS.TITRE.OBJ.CP" w:val="&lt;UNUSED&gt;"/>
    <w:docVar w:name="LW_SUPERTITRE" w:val="&lt;UNUSED&gt;"/>
    <w:docVar w:name="LW_TITRE.OBJ.CP" w:val="sur le fonctionnement du marché européen du carbone en 2020,présenté conformément à l'article 10, paragraphe 5, et à l'article 21, paragraphe 2, de la directive 2003/87/CE [mdifiée par la directive 2009/29/CE et par la directive (UE) 2018/410]"/>
    <w:docVar w:name="LW_TYPE.DOC.CP" w:val="RAPPORT DE LA COMMISSION AU PARLEMENT EUROPÉEN ET AU CONSEIL"/>
    <w:docVar w:name="LwApiVersions" w:val="LW4CoDe 1.23.2.0; LW 8.0, Build 20211117"/>
  </w:docVars>
  <w:rsids>
    <w:rsidRoot w:val="00131369"/>
    <w:rsid w:val="00001AC7"/>
    <w:rsid w:val="00003E13"/>
    <w:rsid w:val="000067D2"/>
    <w:rsid w:val="000068FE"/>
    <w:rsid w:val="00006E10"/>
    <w:rsid w:val="000078B0"/>
    <w:rsid w:val="0000796D"/>
    <w:rsid w:val="00007C15"/>
    <w:rsid w:val="00010346"/>
    <w:rsid w:val="0001267A"/>
    <w:rsid w:val="00014A2D"/>
    <w:rsid w:val="000166A5"/>
    <w:rsid w:val="00016EE1"/>
    <w:rsid w:val="000211CD"/>
    <w:rsid w:val="00023158"/>
    <w:rsid w:val="0002564E"/>
    <w:rsid w:val="00025C81"/>
    <w:rsid w:val="000272E5"/>
    <w:rsid w:val="00030658"/>
    <w:rsid w:val="000313B3"/>
    <w:rsid w:val="0003195A"/>
    <w:rsid w:val="00034550"/>
    <w:rsid w:val="00035110"/>
    <w:rsid w:val="00035AF7"/>
    <w:rsid w:val="000364E6"/>
    <w:rsid w:val="00042CC0"/>
    <w:rsid w:val="00044600"/>
    <w:rsid w:val="0004562A"/>
    <w:rsid w:val="00046E79"/>
    <w:rsid w:val="00052B4E"/>
    <w:rsid w:val="000532A9"/>
    <w:rsid w:val="000551F4"/>
    <w:rsid w:val="00055D6D"/>
    <w:rsid w:val="00060393"/>
    <w:rsid w:val="0006079D"/>
    <w:rsid w:val="00061279"/>
    <w:rsid w:val="00061ADE"/>
    <w:rsid w:val="000629A0"/>
    <w:rsid w:val="00062A9F"/>
    <w:rsid w:val="0006372F"/>
    <w:rsid w:val="00063B2C"/>
    <w:rsid w:val="00063CFE"/>
    <w:rsid w:val="00066EB2"/>
    <w:rsid w:val="000772BB"/>
    <w:rsid w:val="00081FC6"/>
    <w:rsid w:val="000839B3"/>
    <w:rsid w:val="00085CF6"/>
    <w:rsid w:val="00087600"/>
    <w:rsid w:val="000903A1"/>
    <w:rsid w:val="0009092A"/>
    <w:rsid w:val="00090DBB"/>
    <w:rsid w:val="00092C7B"/>
    <w:rsid w:val="00092D06"/>
    <w:rsid w:val="00093118"/>
    <w:rsid w:val="00093F8D"/>
    <w:rsid w:val="00096023"/>
    <w:rsid w:val="000A1242"/>
    <w:rsid w:val="000A47F5"/>
    <w:rsid w:val="000A5336"/>
    <w:rsid w:val="000A5B98"/>
    <w:rsid w:val="000A6946"/>
    <w:rsid w:val="000A6CD0"/>
    <w:rsid w:val="000B6F68"/>
    <w:rsid w:val="000B7D11"/>
    <w:rsid w:val="000C2845"/>
    <w:rsid w:val="000C2C7F"/>
    <w:rsid w:val="000C4141"/>
    <w:rsid w:val="000C4A54"/>
    <w:rsid w:val="000C70F0"/>
    <w:rsid w:val="000D0A67"/>
    <w:rsid w:val="000D1307"/>
    <w:rsid w:val="000D1780"/>
    <w:rsid w:val="000D339D"/>
    <w:rsid w:val="000D6521"/>
    <w:rsid w:val="000E0C73"/>
    <w:rsid w:val="000E264B"/>
    <w:rsid w:val="000E3D0A"/>
    <w:rsid w:val="000E4AEE"/>
    <w:rsid w:val="000F63B2"/>
    <w:rsid w:val="00104100"/>
    <w:rsid w:val="00104163"/>
    <w:rsid w:val="00105B87"/>
    <w:rsid w:val="00106059"/>
    <w:rsid w:val="0010679C"/>
    <w:rsid w:val="00106D7A"/>
    <w:rsid w:val="0011399F"/>
    <w:rsid w:val="00114C3A"/>
    <w:rsid w:val="00115ADC"/>
    <w:rsid w:val="001222DE"/>
    <w:rsid w:val="00122738"/>
    <w:rsid w:val="00122BCA"/>
    <w:rsid w:val="00123D6B"/>
    <w:rsid w:val="00124323"/>
    <w:rsid w:val="00131369"/>
    <w:rsid w:val="00133817"/>
    <w:rsid w:val="00134E98"/>
    <w:rsid w:val="00135FC5"/>
    <w:rsid w:val="0013784D"/>
    <w:rsid w:val="0014359B"/>
    <w:rsid w:val="00143AC1"/>
    <w:rsid w:val="00144322"/>
    <w:rsid w:val="001459D7"/>
    <w:rsid w:val="001463E5"/>
    <w:rsid w:val="001534E7"/>
    <w:rsid w:val="001543A0"/>
    <w:rsid w:val="00154570"/>
    <w:rsid w:val="00154F61"/>
    <w:rsid w:val="00155322"/>
    <w:rsid w:val="00155B66"/>
    <w:rsid w:val="001613C9"/>
    <w:rsid w:val="00161C65"/>
    <w:rsid w:val="00164F61"/>
    <w:rsid w:val="00165742"/>
    <w:rsid w:val="00165C37"/>
    <w:rsid w:val="001717C5"/>
    <w:rsid w:val="00180170"/>
    <w:rsid w:val="00180BF3"/>
    <w:rsid w:val="00184BAD"/>
    <w:rsid w:val="00186CD7"/>
    <w:rsid w:val="001905C8"/>
    <w:rsid w:val="00190754"/>
    <w:rsid w:val="001950F8"/>
    <w:rsid w:val="001A3667"/>
    <w:rsid w:val="001A4B9C"/>
    <w:rsid w:val="001A4DC6"/>
    <w:rsid w:val="001A50EC"/>
    <w:rsid w:val="001A5BFF"/>
    <w:rsid w:val="001B2332"/>
    <w:rsid w:val="001B36D0"/>
    <w:rsid w:val="001B48F7"/>
    <w:rsid w:val="001B4E67"/>
    <w:rsid w:val="001B7C08"/>
    <w:rsid w:val="001C2098"/>
    <w:rsid w:val="001C3686"/>
    <w:rsid w:val="001C6F82"/>
    <w:rsid w:val="001C7AFF"/>
    <w:rsid w:val="001D0317"/>
    <w:rsid w:val="001D17C1"/>
    <w:rsid w:val="001D33C2"/>
    <w:rsid w:val="001E6B17"/>
    <w:rsid w:val="001F1BDC"/>
    <w:rsid w:val="001F2179"/>
    <w:rsid w:val="001F361F"/>
    <w:rsid w:val="001F3BFB"/>
    <w:rsid w:val="001F3C0C"/>
    <w:rsid w:val="001F5D15"/>
    <w:rsid w:val="00211BB3"/>
    <w:rsid w:val="00211DEA"/>
    <w:rsid w:val="00213567"/>
    <w:rsid w:val="00216019"/>
    <w:rsid w:val="00222689"/>
    <w:rsid w:val="00225880"/>
    <w:rsid w:val="002272DF"/>
    <w:rsid w:val="00231587"/>
    <w:rsid w:val="00232B0B"/>
    <w:rsid w:val="0023409B"/>
    <w:rsid w:val="002352B1"/>
    <w:rsid w:val="0023530E"/>
    <w:rsid w:val="002436E2"/>
    <w:rsid w:val="002443DF"/>
    <w:rsid w:val="00245692"/>
    <w:rsid w:val="002472A0"/>
    <w:rsid w:val="00254016"/>
    <w:rsid w:val="00254DAB"/>
    <w:rsid w:val="00257346"/>
    <w:rsid w:val="00257B98"/>
    <w:rsid w:val="00262257"/>
    <w:rsid w:val="00267A5F"/>
    <w:rsid w:val="0027080F"/>
    <w:rsid w:val="00270A58"/>
    <w:rsid w:val="00271746"/>
    <w:rsid w:val="002728D2"/>
    <w:rsid w:val="0027366E"/>
    <w:rsid w:val="002739DF"/>
    <w:rsid w:val="0027402D"/>
    <w:rsid w:val="002752DF"/>
    <w:rsid w:val="00276822"/>
    <w:rsid w:val="00276C08"/>
    <w:rsid w:val="0028370A"/>
    <w:rsid w:val="00283EB6"/>
    <w:rsid w:val="00285E7E"/>
    <w:rsid w:val="00286454"/>
    <w:rsid w:val="00287718"/>
    <w:rsid w:val="00292813"/>
    <w:rsid w:val="00295131"/>
    <w:rsid w:val="002A3423"/>
    <w:rsid w:val="002A349F"/>
    <w:rsid w:val="002A5341"/>
    <w:rsid w:val="002B36D5"/>
    <w:rsid w:val="002B3C40"/>
    <w:rsid w:val="002B6EDE"/>
    <w:rsid w:val="002C0876"/>
    <w:rsid w:val="002C1099"/>
    <w:rsid w:val="002C282C"/>
    <w:rsid w:val="002C44C6"/>
    <w:rsid w:val="002C5A3E"/>
    <w:rsid w:val="002D1C0C"/>
    <w:rsid w:val="002D27E2"/>
    <w:rsid w:val="002D39D9"/>
    <w:rsid w:val="002D4E62"/>
    <w:rsid w:val="002D560B"/>
    <w:rsid w:val="002D58AB"/>
    <w:rsid w:val="002D72D4"/>
    <w:rsid w:val="002D7743"/>
    <w:rsid w:val="002E3AD3"/>
    <w:rsid w:val="002E3B73"/>
    <w:rsid w:val="002E46A0"/>
    <w:rsid w:val="002E4B5A"/>
    <w:rsid w:val="002E6706"/>
    <w:rsid w:val="002E6DE2"/>
    <w:rsid w:val="002E715E"/>
    <w:rsid w:val="002E74EA"/>
    <w:rsid w:val="002E77E3"/>
    <w:rsid w:val="002F11A7"/>
    <w:rsid w:val="002F20DF"/>
    <w:rsid w:val="002F7BAC"/>
    <w:rsid w:val="003037D9"/>
    <w:rsid w:val="0030748F"/>
    <w:rsid w:val="00312334"/>
    <w:rsid w:val="00313428"/>
    <w:rsid w:val="00313CB3"/>
    <w:rsid w:val="00317DD4"/>
    <w:rsid w:val="0033186F"/>
    <w:rsid w:val="0033322A"/>
    <w:rsid w:val="00340A89"/>
    <w:rsid w:val="00351634"/>
    <w:rsid w:val="00352895"/>
    <w:rsid w:val="00352B98"/>
    <w:rsid w:val="003541AB"/>
    <w:rsid w:val="00355B68"/>
    <w:rsid w:val="00355E20"/>
    <w:rsid w:val="0036094A"/>
    <w:rsid w:val="00363A06"/>
    <w:rsid w:val="0036415F"/>
    <w:rsid w:val="00367D64"/>
    <w:rsid w:val="00371DC7"/>
    <w:rsid w:val="00372F2A"/>
    <w:rsid w:val="00373105"/>
    <w:rsid w:val="00373BB4"/>
    <w:rsid w:val="0037484C"/>
    <w:rsid w:val="003805F8"/>
    <w:rsid w:val="00380E3A"/>
    <w:rsid w:val="003873E0"/>
    <w:rsid w:val="003904CA"/>
    <w:rsid w:val="003936C0"/>
    <w:rsid w:val="00396BE5"/>
    <w:rsid w:val="003A2F27"/>
    <w:rsid w:val="003A3673"/>
    <w:rsid w:val="003A3A86"/>
    <w:rsid w:val="003A3DFF"/>
    <w:rsid w:val="003A46F6"/>
    <w:rsid w:val="003A59BF"/>
    <w:rsid w:val="003A6729"/>
    <w:rsid w:val="003A714D"/>
    <w:rsid w:val="003A77F9"/>
    <w:rsid w:val="003B0310"/>
    <w:rsid w:val="003B1C52"/>
    <w:rsid w:val="003B4076"/>
    <w:rsid w:val="003B6468"/>
    <w:rsid w:val="003B74E6"/>
    <w:rsid w:val="003C191E"/>
    <w:rsid w:val="003D2468"/>
    <w:rsid w:val="003D2D25"/>
    <w:rsid w:val="003D4197"/>
    <w:rsid w:val="003E13AB"/>
    <w:rsid w:val="003E1DA8"/>
    <w:rsid w:val="003E2E5C"/>
    <w:rsid w:val="003E3B4A"/>
    <w:rsid w:val="003E3DC7"/>
    <w:rsid w:val="003E5444"/>
    <w:rsid w:val="003E5586"/>
    <w:rsid w:val="003E68AC"/>
    <w:rsid w:val="003F1292"/>
    <w:rsid w:val="003F1B6A"/>
    <w:rsid w:val="003F2B43"/>
    <w:rsid w:val="003F3E14"/>
    <w:rsid w:val="0040392B"/>
    <w:rsid w:val="0040566C"/>
    <w:rsid w:val="00407285"/>
    <w:rsid w:val="0041348B"/>
    <w:rsid w:val="004144EE"/>
    <w:rsid w:val="004219CC"/>
    <w:rsid w:val="0042389A"/>
    <w:rsid w:val="00425B34"/>
    <w:rsid w:val="00435CEB"/>
    <w:rsid w:val="004567CA"/>
    <w:rsid w:val="0046101C"/>
    <w:rsid w:val="00461145"/>
    <w:rsid w:val="00462866"/>
    <w:rsid w:val="004707AB"/>
    <w:rsid w:val="00470A23"/>
    <w:rsid w:val="00470DBF"/>
    <w:rsid w:val="00471D7E"/>
    <w:rsid w:val="0047430D"/>
    <w:rsid w:val="004745AA"/>
    <w:rsid w:val="00475FF5"/>
    <w:rsid w:val="00477334"/>
    <w:rsid w:val="00483004"/>
    <w:rsid w:val="004867EA"/>
    <w:rsid w:val="00487B55"/>
    <w:rsid w:val="004907E9"/>
    <w:rsid w:val="004911DB"/>
    <w:rsid w:val="00491456"/>
    <w:rsid w:val="004A59FD"/>
    <w:rsid w:val="004A62EF"/>
    <w:rsid w:val="004A71F9"/>
    <w:rsid w:val="004B1018"/>
    <w:rsid w:val="004B1DFC"/>
    <w:rsid w:val="004B34FE"/>
    <w:rsid w:val="004B5D95"/>
    <w:rsid w:val="004B6C39"/>
    <w:rsid w:val="004B7057"/>
    <w:rsid w:val="004B7485"/>
    <w:rsid w:val="004C1953"/>
    <w:rsid w:val="004C339D"/>
    <w:rsid w:val="004C4EDD"/>
    <w:rsid w:val="004C5481"/>
    <w:rsid w:val="004D1674"/>
    <w:rsid w:val="004D276F"/>
    <w:rsid w:val="004D3B9F"/>
    <w:rsid w:val="004D565D"/>
    <w:rsid w:val="004D698F"/>
    <w:rsid w:val="004D6E35"/>
    <w:rsid w:val="004E20DA"/>
    <w:rsid w:val="004E3703"/>
    <w:rsid w:val="004E3AEB"/>
    <w:rsid w:val="004F2854"/>
    <w:rsid w:val="004F5D3E"/>
    <w:rsid w:val="004F5D45"/>
    <w:rsid w:val="005037D9"/>
    <w:rsid w:val="00503D62"/>
    <w:rsid w:val="0050426B"/>
    <w:rsid w:val="00507A09"/>
    <w:rsid w:val="00507A9B"/>
    <w:rsid w:val="0051092C"/>
    <w:rsid w:val="00510B70"/>
    <w:rsid w:val="00513E29"/>
    <w:rsid w:val="00515164"/>
    <w:rsid w:val="00515419"/>
    <w:rsid w:val="005177EA"/>
    <w:rsid w:val="005177F1"/>
    <w:rsid w:val="00522110"/>
    <w:rsid w:val="00522642"/>
    <w:rsid w:val="00524851"/>
    <w:rsid w:val="00525AFB"/>
    <w:rsid w:val="0053168B"/>
    <w:rsid w:val="00531B36"/>
    <w:rsid w:val="00531E62"/>
    <w:rsid w:val="005322C2"/>
    <w:rsid w:val="005334EC"/>
    <w:rsid w:val="005367F2"/>
    <w:rsid w:val="005441CB"/>
    <w:rsid w:val="00546A8D"/>
    <w:rsid w:val="00547491"/>
    <w:rsid w:val="00554B30"/>
    <w:rsid w:val="00554C5C"/>
    <w:rsid w:val="005574A7"/>
    <w:rsid w:val="0055791A"/>
    <w:rsid w:val="00561BA5"/>
    <w:rsid w:val="00561E4F"/>
    <w:rsid w:val="00562460"/>
    <w:rsid w:val="00562735"/>
    <w:rsid w:val="00563A15"/>
    <w:rsid w:val="00567DB0"/>
    <w:rsid w:val="005700A3"/>
    <w:rsid w:val="0057091D"/>
    <w:rsid w:val="00571751"/>
    <w:rsid w:val="0057297F"/>
    <w:rsid w:val="00574173"/>
    <w:rsid w:val="00574371"/>
    <w:rsid w:val="00575254"/>
    <w:rsid w:val="005808F1"/>
    <w:rsid w:val="00580C89"/>
    <w:rsid w:val="00581026"/>
    <w:rsid w:val="005811CF"/>
    <w:rsid w:val="00583840"/>
    <w:rsid w:val="005845D7"/>
    <w:rsid w:val="00584651"/>
    <w:rsid w:val="00592602"/>
    <w:rsid w:val="0059370A"/>
    <w:rsid w:val="005937C4"/>
    <w:rsid w:val="005938BB"/>
    <w:rsid w:val="00595C69"/>
    <w:rsid w:val="00595E98"/>
    <w:rsid w:val="00596386"/>
    <w:rsid w:val="00596410"/>
    <w:rsid w:val="0059727B"/>
    <w:rsid w:val="005A04B4"/>
    <w:rsid w:val="005A2756"/>
    <w:rsid w:val="005B62BF"/>
    <w:rsid w:val="005B6D58"/>
    <w:rsid w:val="005C0518"/>
    <w:rsid w:val="005C0E04"/>
    <w:rsid w:val="005C24AF"/>
    <w:rsid w:val="005C4BD5"/>
    <w:rsid w:val="005D0FA3"/>
    <w:rsid w:val="005D12AE"/>
    <w:rsid w:val="005D78E8"/>
    <w:rsid w:val="005E0666"/>
    <w:rsid w:val="005E1F51"/>
    <w:rsid w:val="005F1CAC"/>
    <w:rsid w:val="005F2380"/>
    <w:rsid w:val="005F3544"/>
    <w:rsid w:val="005F6CC0"/>
    <w:rsid w:val="0060011A"/>
    <w:rsid w:val="00601D07"/>
    <w:rsid w:val="0060222B"/>
    <w:rsid w:val="006050B5"/>
    <w:rsid w:val="00612629"/>
    <w:rsid w:val="00612D73"/>
    <w:rsid w:val="00620FD6"/>
    <w:rsid w:val="0062244C"/>
    <w:rsid w:val="006234BD"/>
    <w:rsid w:val="00624518"/>
    <w:rsid w:val="00630C61"/>
    <w:rsid w:val="006327DC"/>
    <w:rsid w:val="00633282"/>
    <w:rsid w:val="006336DD"/>
    <w:rsid w:val="006358F2"/>
    <w:rsid w:val="00645297"/>
    <w:rsid w:val="006503D0"/>
    <w:rsid w:val="00652BDB"/>
    <w:rsid w:val="0065389B"/>
    <w:rsid w:val="0065781F"/>
    <w:rsid w:val="0066011F"/>
    <w:rsid w:val="00665E86"/>
    <w:rsid w:val="00666776"/>
    <w:rsid w:val="00667AB6"/>
    <w:rsid w:val="00670225"/>
    <w:rsid w:val="00673D33"/>
    <w:rsid w:val="00676166"/>
    <w:rsid w:val="00681631"/>
    <w:rsid w:val="006817D5"/>
    <w:rsid w:val="006837B9"/>
    <w:rsid w:val="00686C15"/>
    <w:rsid w:val="00687265"/>
    <w:rsid w:val="006874D5"/>
    <w:rsid w:val="0069006B"/>
    <w:rsid w:val="00690DC7"/>
    <w:rsid w:val="0069175F"/>
    <w:rsid w:val="0069339C"/>
    <w:rsid w:val="00697D4B"/>
    <w:rsid w:val="006A12A1"/>
    <w:rsid w:val="006A2A57"/>
    <w:rsid w:val="006A6CAB"/>
    <w:rsid w:val="006B36B9"/>
    <w:rsid w:val="006B3A67"/>
    <w:rsid w:val="006B4085"/>
    <w:rsid w:val="006B60E2"/>
    <w:rsid w:val="006B7047"/>
    <w:rsid w:val="006C0802"/>
    <w:rsid w:val="006C2372"/>
    <w:rsid w:val="006C2DA5"/>
    <w:rsid w:val="006C4F22"/>
    <w:rsid w:val="006C746A"/>
    <w:rsid w:val="006C7C9F"/>
    <w:rsid w:val="006C7E0F"/>
    <w:rsid w:val="006D2D29"/>
    <w:rsid w:val="006D3497"/>
    <w:rsid w:val="006D5507"/>
    <w:rsid w:val="006E039C"/>
    <w:rsid w:val="006E07EF"/>
    <w:rsid w:val="006E3A75"/>
    <w:rsid w:val="006E3C8E"/>
    <w:rsid w:val="006E650D"/>
    <w:rsid w:val="006E6B36"/>
    <w:rsid w:val="006F0522"/>
    <w:rsid w:val="006F13D7"/>
    <w:rsid w:val="006F1A74"/>
    <w:rsid w:val="00700047"/>
    <w:rsid w:val="00700E19"/>
    <w:rsid w:val="00704947"/>
    <w:rsid w:val="0070580B"/>
    <w:rsid w:val="0070592B"/>
    <w:rsid w:val="00705A32"/>
    <w:rsid w:val="007077B1"/>
    <w:rsid w:val="007102CE"/>
    <w:rsid w:val="00715EEB"/>
    <w:rsid w:val="007165D4"/>
    <w:rsid w:val="00717905"/>
    <w:rsid w:val="00717F9C"/>
    <w:rsid w:val="00720BB9"/>
    <w:rsid w:val="0072196B"/>
    <w:rsid w:val="0073012C"/>
    <w:rsid w:val="00732155"/>
    <w:rsid w:val="007322C2"/>
    <w:rsid w:val="0073432A"/>
    <w:rsid w:val="007352AB"/>
    <w:rsid w:val="007415C0"/>
    <w:rsid w:val="00741BAD"/>
    <w:rsid w:val="00743121"/>
    <w:rsid w:val="007446BD"/>
    <w:rsid w:val="00745119"/>
    <w:rsid w:val="00753842"/>
    <w:rsid w:val="007636D2"/>
    <w:rsid w:val="00763C8D"/>
    <w:rsid w:val="007647D7"/>
    <w:rsid w:val="007651B9"/>
    <w:rsid w:val="00772692"/>
    <w:rsid w:val="00774BD0"/>
    <w:rsid w:val="00776480"/>
    <w:rsid w:val="007779E3"/>
    <w:rsid w:val="00782505"/>
    <w:rsid w:val="00782AD2"/>
    <w:rsid w:val="00782F81"/>
    <w:rsid w:val="00785C07"/>
    <w:rsid w:val="00791835"/>
    <w:rsid w:val="00792796"/>
    <w:rsid w:val="00793478"/>
    <w:rsid w:val="00793882"/>
    <w:rsid w:val="00793BE6"/>
    <w:rsid w:val="0079431A"/>
    <w:rsid w:val="00794409"/>
    <w:rsid w:val="00795EB2"/>
    <w:rsid w:val="00796BD2"/>
    <w:rsid w:val="007976AC"/>
    <w:rsid w:val="0079798A"/>
    <w:rsid w:val="007A0711"/>
    <w:rsid w:val="007A0C87"/>
    <w:rsid w:val="007A1813"/>
    <w:rsid w:val="007A2893"/>
    <w:rsid w:val="007A2BE9"/>
    <w:rsid w:val="007A43A4"/>
    <w:rsid w:val="007A5FC2"/>
    <w:rsid w:val="007A634F"/>
    <w:rsid w:val="007B08FA"/>
    <w:rsid w:val="007B1439"/>
    <w:rsid w:val="007B2901"/>
    <w:rsid w:val="007B2BF0"/>
    <w:rsid w:val="007B4099"/>
    <w:rsid w:val="007B4EC4"/>
    <w:rsid w:val="007B5EDA"/>
    <w:rsid w:val="007B612B"/>
    <w:rsid w:val="007B7414"/>
    <w:rsid w:val="007C291A"/>
    <w:rsid w:val="007C5770"/>
    <w:rsid w:val="007C6727"/>
    <w:rsid w:val="007D0715"/>
    <w:rsid w:val="007D3A6E"/>
    <w:rsid w:val="007D7544"/>
    <w:rsid w:val="007D7CA6"/>
    <w:rsid w:val="007E0C45"/>
    <w:rsid w:val="007E390F"/>
    <w:rsid w:val="007E391E"/>
    <w:rsid w:val="007E46A0"/>
    <w:rsid w:val="007E6B21"/>
    <w:rsid w:val="007E7FC2"/>
    <w:rsid w:val="007F0B94"/>
    <w:rsid w:val="007F3515"/>
    <w:rsid w:val="007F4694"/>
    <w:rsid w:val="00802A22"/>
    <w:rsid w:val="00802C13"/>
    <w:rsid w:val="0080333F"/>
    <w:rsid w:val="00804192"/>
    <w:rsid w:val="00810E5A"/>
    <w:rsid w:val="00813D7D"/>
    <w:rsid w:val="008155E5"/>
    <w:rsid w:val="008157E5"/>
    <w:rsid w:val="00817385"/>
    <w:rsid w:val="008209EC"/>
    <w:rsid w:val="00820BD5"/>
    <w:rsid w:val="0082114A"/>
    <w:rsid w:val="00822EBC"/>
    <w:rsid w:val="0083101B"/>
    <w:rsid w:val="00834FE2"/>
    <w:rsid w:val="008356AC"/>
    <w:rsid w:val="008368CD"/>
    <w:rsid w:val="00837D99"/>
    <w:rsid w:val="00845492"/>
    <w:rsid w:val="008474E3"/>
    <w:rsid w:val="0085153B"/>
    <w:rsid w:val="008515C3"/>
    <w:rsid w:val="00851E0F"/>
    <w:rsid w:val="00851FAC"/>
    <w:rsid w:val="008527F6"/>
    <w:rsid w:val="00853904"/>
    <w:rsid w:val="00855DE8"/>
    <w:rsid w:val="008606BF"/>
    <w:rsid w:val="00861830"/>
    <w:rsid w:val="00861E34"/>
    <w:rsid w:val="00862ADE"/>
    <w:rsid w:val="008645A8"/>
    <w:rsid w:val="00865DDA"/>
    <w:rsid w:val="00865F09"/>
    <w:rsid w:val="00865F8D"/>
    <w:rsid w:val="008662CC"/>
    <w:rsid w:val="00866A9F"/>
    <w:rsid w:val="00867650"/>
    <w:rsid w:val="00872869"/>
    <w:rsid w:val="00872D95"/>
    <w:rsid w:val="008749D1"/>
    <w:rsid w:val="008755C0"/>
    <w:rsid w:val="00880BFB"/>
    <w:rsid w:val="0088145B"/>
    <w:rsid w:val="00882B53"/>
    <w:rsid w:val="008908F3"/>
    <w:rsid w:val="00891A3D"/>
    <w:rsid w:val="00891BF8"/>
    <w:rsid w:val="008937B8"/>
    <w:rsid w:val="00895302"/>
    <w:rsid w:val="00896336"/>
    <w:rsid w:val="008968F7"/>
    <w:rsid w:val="008976FF"/>
    <w:rsid w:val="008A0C52"/>
    <w:rsid w:val="008A27D7"/>
    <w:rsid w:val="008A49D6"/>
    <w:rsid w:val="008A55D8"/>
    <w:rsid w:val="008B1DFC"/>
    <w:rsid w:val="008B66CA"/>
    <w:rsid w:val="008C4AF4"/>
    <w:rsid w:val="008C73B7"/>
    <w:rsid w:val="008C7BC4"/>
    <w:rsid w:val="008D0350"/>
    <w:rsid w:val="008D069C"/>
    <w:rsid w:val="008D20C3"/>
    <w:rsid w:val="008D224A"/>
    <w:rsid w:val="008D4041"/>
    <w:rsid w:val="008D533B"/>
    <w:rsid w:val="008D5349"/>
    <w:rsid w:val="008E044F"/>
    <w:rsid w:val="008E08F9"/>
    <w:rsid w:val="008E1322"/>
    <w:rsid w:val="008E2AA5"/>
    <w:rsid w:val="008E4DBE"/>
    <w:rsid w:val="008F007A"/>
    <w:rsid w:val="008F083C"/>
    <w:rsid w:val="008F223E"/>
    <w:rsid w:val="008F2F26"/>
    <w:rsid w:val="008F55D7"/>
    <w:rsid w:val="008F5B2E"/>
    <w:rsid w:val="008F5C1D"/>
    <w:rsid w:val="0090131B"/>
    <w:rsid w:val="009045B9"/>
    <w:rsid w:val="00910B78"/>
    <w:rsid w:val="00912A01"/>
    <w:rsid w:val="00923E3D"/>
    <w:rsid w:val="009252DB"/>
    <w:rsid w:val="00925C44"/>
    <w:rsid w:val="009272C0"/>
    <w:rsid w:val="00927BDA"/>
    <w:rsid w:val="00927CA6"/>
    <w:rsid w:val="00930372"/>
    <w:rsid w:val="00933B1C"/>
    <w:rsid w:val="00935F50"/>
    <w:rsid w:val="009418F3"/>
    <w:rsid w:val="00944747"/>
    <w:rsid w:val="00944B28"/>
    <w:rsid w:val="0094714A"/>
    <w:rsid w:val="00950562"/>
    <w:rsid w:val="009505EF"/>
    <w:rsid w:val="009515EA"/>
    <w:rsid w:val="00952C3C"/>
    <w:rsid w:val="009540AF"/>
    <w:rsid w:val="00957513"/>
    <w:rsid w:val="00960416"/>
    <w:rsid w:val="00960D9E"/>
    <w:rsid w:val="009631E7"/>
    <w:rsid w:val="00963CD3"/>
    <w:rsid w:val="00964A3B"/>
    <w:rsid w:val="00964E0B"/>
    <w:rsid w:val="00970CFB"/>
    <w:rsid w:val="00971666"/>
    <w:rsid w:val="00971793"/>
    <w:rsid w:val="009718FE"/>
    <w:rsid w:val="00972354"/>
    <w:rsid w:val="009729F0"/>
    <w:rsid w:val="00973188"/>
    <w:rsid w:val="00973B21"/>
    <w:rsid w:val="00974E65"/>
    <w:rsid w:val="00976A59"/>
    <w:rsid w:val="0097754E"/>
    <w:rsid w:val="00980547"/>
    <w:rsid w:val="00980FA5"/>
    <w:rsid w:val="009811F5"/>
    <w:rsid w:val="00982CF6"/>
    <w:rsid w:val="00991C44"/>
    <w:rsid w:val="009929EF"/>
    <w:rsid w:val="0099338B"/>
    <w:rsid w:val="00996787"/>
    <w:rsid w:val="009968D9"/>
    <w:rsid w:val="00997FF6"/>
    <w:rsid w:val="009A2E22"/>
    <w:rsid w:val="009A2EF4"/>
    <w:rsid w:val="009A5418"/>
    <w:rsid w:val="009A6CDD"/>
    <w:rsid w:val="009A6D9A"/>
    <w:rsid w:val="009B06FD"/>
    <w:rsid w:val="009B1308"/>
    <w:rsid w:val="009B1524"/>
    <w:rsid w:val="009B1B66"/>
    <w:rsid w:val="009B3224"/>
    <w:rsid w:val="009B582F"/>
    <w:rsid w:val="009B5D3B"/>
    <w:rsid w:val="009C0D16"/>
    <w:rsid w:val="009C349A"/>
    <w:rsid w:val="009C68FA"/>
    <w:rsid w:val="009C6AE2"/>
    <w:rsid w:val="009D2198"/>
    <w:rsid w:val="009D4BB1"/>
    <w:rsid w:val="009D5BB0"/>
    <w:rsid w:val="009D6FFE"/>
    <w:rsid w:val="009E3AD2"/>
    <w:rsid w:val="009E4353"/>
    <w:rsid w:val="009E797F"/>
    <w:rsid w:val="009F0084"/>
    <w:rsid w:val="009F3367"/>
    <w:rsid w:val="009F4C75"/>
    <w:rsid w:val="009F4F4C"/>
    <w:rsid w:val="009F6236"/>
    <w:rsid w:val="009F7CA3"/>
    <w:rsid w:val="00A0171F"/>
    <w:rsid w:val="00A065C2"/>
    <w:rsid w:val="00A0767F"/>
    <w:rsid w:val="00A1108B"/>
    <w:rsid w:val="00A15402"/>
    <w:rsid w:val="00A17195"/>
    <w:rsid w:val="00A2278D"/>
    <w:rsid w:val="00A227C1"/>
    <w:rsid w:val="00A231EC"/>
    <w:rsid w:val="00A254EC"/>
    <w:rsid w:val="00A269EE"/>
    <w:rsid w:val="00A26BCD"/>
    <w:rsid w:val="00A27069"/>
    <w:rsid w:val="00A276E6"/>
    <w:rsid w:val="00A27E4A"/>
    <w:rsid w:val="00A31A64"/>
    <w:rsid w:val="00A31D48"/>
    <w:rsid w:val="00A33951"/>
    <w:rsid w:val="00A347A1"/>
    <w:rsid w:val="00A36409"/>
    <w:rsid w:val="00A36D2F"/>
    <w:rsid w:val="00A36E7B"/>
    <w:rsid w:val="00A3760B"/>
    <w:rsid w:val="00A41BDE"/>
    <w:rsid w:val="00A434CC"/>
    <w:rsid w:val="00A43DCE"/>
    <w:rsid w:val="00A456F8"/>
    <w:rsid w:val="00A50925"/>
    <w:rsid w:val="00A51737"/>
    <w:rsid w:val="00A52EA3"/>
    <w:rsid w:val="00A57B95"/>
    <w:rsid w:val="00A60998"/>
    <w:rsid w:val="00A64C25"/>
    <w:rsid w:val="00A66980"/>
    <w:rsid w:val="00A7101F"/>
    <w:rsid w:val="00A732D4"/>
    <w:rsid w:val="00A73D66"/>
    <w:rsid w:val="00A7440C"/>
    <w:rsid w:val="00A74D95"/>
    <w:rsid w:val="00A7591B"/>
    <w:rsid w:val="00A75A17"/>
    <w:rsid w:val="00A76657"/>
    <w:rsid w:val="00A77846"/>
    <w:rsid w:val="00A808EE"/>
    <w:rsid w:val="00A80FF9"/>
    <w:rsid w:val="00A865DD"/>
    <w:rsid w:val="00A87857"/>
    <w:rsid w:val="00A87A04"/>
    <w:rsid w:val="00A90A62"/>
    <w:rsid w:val="00A91B47"/>
    <w:rsid w:val="00A9289A"/>
    <w:rsid w:val="00A96409"/>
    <w:rsid w:val="00AA1752"/>
    <w:rsid w:val="00AA2C7C"/>
    <w:rsid w:val="00AA3771"/>
    <w:rsid w:val="00AB0CDD"/>
    <w:rsid w:val="00AB4036"/>
    <w:rsid w:val="00AB4732"/>
    <w:rsid w:val="00AB65BF"/>
    <w:rsid w:val="00AB73FF"/>
    <w:rsid w:val="00AC2F6D"/>
    <w:rsid w:val="00AC7BFD"/>
    <w:rsid w:val="00AD1EA3"/>
    <w:rsid w:val="00AD25CD"/>
    <w:rsid w:val="00AD4203"/>
    <w:rsid w:val="00AD4B8C"/>
    <w:rsid w:val="00AD511A"/>
    <w:rsid w:val="00AD5E24"/>
    <w:rsid w:val="00AD678D"/>
    <w:rsid w:val="00AE1AE5"/>
    <w:rsid w:val="00AE2965"/>
    <w:rsid w:val="00AE4323"/>
    <w:rsid w:val="00AE5689"/>
    <w:rsid w:val="00AE5BE3"/>
    <w:rsid w:val="00AE5E4B"/>
    <w:rsid w:val="00AE61A1"/>
    <w:rsid w:val="00AE724E"/>
    <w:rsid w:val="00AF58CC"/>
    <w:rsid w:val="00AF7AE4"/>
    <w:rsid w:val="00AF7C29"/>
    <w:rsid w:val="00B02C8A"/>
    <w:rsid w:val="00B030A9"/>
    <w:rsid w:val="00B04DED"/>
    <w:rsid w:val="00B05397"/>
    <w:rsid w:val="00B05475"/>
    <w:rsid w:val="00B06A3A"/>
    <w:rsid w:val="00B070AA"/>
    <w:rsid w:val="00B1114C"/>
    <w:rsid w:val="00B139F0"/>
    <w:rsid w:val="00B15982"/>
    <w:rsid w:val="00B16B0A"/>
    <w:rsid w:val="00B179B7"/>
    <w:rsid w:val="00B22445"/>
    <w:rsid w:val="00B24F26"/>
    <w:rsid w:val="00B25B62"/>
    <w:rsid w:val="00B25F94"/>
    <w:rsid w:val="00B26E03"/>
    <w:rsid w:val="00B30B4A"/>
    <w:rsid w:val="00B37C7F"/>
    <w:rsid w:val="00B41034"/>
    <w:rsid w:val="00B4289E"/>
    <w:rsid w:val="00B43BB7"/>
    <w:rsid w:val="00B441CA"/>
    <w:rsid w:val="00B46F26"/>
    <w:rsid w:val="00B478FF"/>
    <w:rsid w:val="00B51037"/>
    <w:rsid w:val="00B52462"/>
    <w:rsid w:val="00B52704"/>
    <w:rsid w:val="00B52F9F"/>
    <w:rsid w:val="00B5637C"/>
    <w:rsid w:val="00B57E39"/>
    <w:rsid w:val="00B627F0"/>
    <w:rsid w:val="00B64605"/>
    <w:rsid w:val="00B64C55"/>
    <w:rsid w:val="00B67152"/>
    <w:rsid w:val="00B70767"/>
    <w:rsid w:val="00B72F70"/>
    <w:rsid w:val="00B75A1C"/>
    <w:rsid w:val="00B833EF"/>
    <w:rsid w:val="00B84343"/>
    <w:rsid w:val="00B87044"/>
    <w:rsid w:val="00B905CA"/>
    <w:rsid w:val="00B91188"/>
    <w:rsid w:val="00B92BC4"/>
    <w:rsid w:val="00B94D2E"/>
    <w:rsid w:val="00B956D6"/>
    <w:rsid w:val="00B96732"/>
    <w:rsid w:val="00B96AD5"/>
    <w:rsid w:val="00BA03B2"/>
    <w:rsid w:val="00BA0871"/>
    <w:rsid w:val="00BA233B"/>
    <w:rsid w:val="00BA2A00"/>
    <w:rsid w:val="00BA46C2"/>
    <w:rsid w:val="00BA670F"/>
    <w:rsid w:val="00BA7185"/>
    <w:rsid w:val="00BA7C64"/>
    <w:rsid w:val="00BB03DE"/>
    <w:rsid w:val="00BB1A3C"/>
    <w:rsid w:val="00BB2C11"/>
    <w:rsid w:val="00BB2F88"/>
    <w:rsid w:val="00BB4FB4"/>
    <w:rsid w:val="00BB636C"/>
    <w:rsid w:val="00BB6DB5"/>
    <w:rsid w:val="00BB74E0"/>
    <w:rsid w:val="00BB773A"/>
    <w:rsid w:val="00BC0208"/>
    <w:rsid w:val="00BC1137"/>
    <w:rsid w:val="00BC1A03"/>
    <w:rsid w:val="00BC1BAA"/>
    <w:rsid w:val="00BC21AD"/>
    <w:rsid w:val="00BC38A6"/>
    <w:rsid w:val="00BC3FA4"/>
    <w:rsid w:val="00BD2055"/>
    <w:rsid w:val="00BD33AC"/>
    <w:rsid w:val="00BD4AD2"/>
    <w:rsid w:val="00BD5CD7"/>
    <w:rsid w:val="00BD6E74"/>
    <w:rsid w:val="00BE1821"/>
    <w:rsid w:val="00BE314D"/>
    <w:rsid w:val="00BE390D"/>
    <w:rsid w:val="00BE4015"/>
    <w:rsid w:val="00BE4E95"/>
    <w:rsid w:val="00BF031E"/>
    <w:rsid w:val="00BF167D"/>
    <w:rsid w:val="00BF4687"/>
    <w:rsid w:val="00BF7F86"/>
    <w:rsid w:val="00C00BD7"/>
    <w:rsid w:val="00C00ECD"/>
    <w:rsid w:val="00C023D7"/>
    <w:rsid w:val="00C02EC0"/>
    <w:rsid w:val="00C043C1"/>
    <w:rsid w:val="00C05B44"/>
    <w:rsid w:val="00C06A1B"/>
    <w:rsid w:val="00C116AE"/>
    <w:rsid w:val="00C124A0"/>
    <w:rsid w:val="00C132D2"/>
    <w:rsid w:val="00C15C44"/>
    <w:rsid w:val="00C163CB"/>
    <w:rsid w:val="00C166A4"/>
    <w:rsid w:val="00C23829"/>
    <w:rsid w:val="00C2583A"/>
    <w:rsid w:val="00C27AA1"/>
    <w:rsid w:val="00C27E72"/>
    <w:rsid w:val="00C31304"/>
    <w:rsid w:val="00C426BD"/>
    <w:rsid w:val="00C47D4A"/>
    <w:rsid w:val="00C54569"/>
    <w:rsid w:val="00C54730"/>
    <w:rsid w:val="00C56790"/>
    <w:rsid w:val="00C62D5C"/>
    <w:rsid w:val="00C63D10"/>
    <w:rsid w:val="00C65511"/>
    <w:rsid w:val="00C662BF"/>
    <w:rsid w:val="00C66934"/>
    <w:rsid w:val="00C70E79"/>
    <w:rsid w:val="00C72145"/>
    <w:rsid w:val="00C736BD"/>
    <w:rsid w:val="00C749D2"/>
    <w:rsid w:val="00C763B5"/>
    <w:rsid w:val="00C83848"/>
    <w:rsid w:val="00C8443D"/>
    <w:rsid w:val="00C846C3"/>
    <w:rsid w:val="00C849A2"/>
    <w:rsid w:val="00C8518F"/>
    <w:rsid w:val="00C91DF3"/>
    <w:rsid w:val="00C96D70"/>
    <w:rsid w:val="00C970C0"/>
    <w:rsid w:val="00CA0B1E"/>
    <w:rsid w:val="00CA0B73"/>
    <w:rsid w:val="00CA112D"/>
    <w:rsid w:val="00CA15B5"/>
    <w:rsid w:val="00CA1706"/>
    <w:rsid w:val="00CA2554"/>
    <w:rsid w:val="00CA2836"/>
    <w:rsid w:val="00CA4A70"/>
    <w:rsid w:val="00CA594F"/>
    <w:rsid w:val="00CB2A1B"/>
    <w:rsid w:val="00CB2F58"/>
    <w:rsid w:val="00CB35FE"/>
    <w:rsid w:val="00CB646B"/>
    <w:rsid w:val="00CB70D5"/>
    <w:rsid w:val="00CB7590"/>
    <w:rsid w:val="00CC0A81"/>
    <w:rsid w:val="00CC1156"/>
    <w:rsid w:val="00CC16FA"/>
    <w:rsid w:val="00CC361B"/>
    <w:rsid w:val="00CC3767"/>
    <w:rsid w:val="00CC3769"/>
    <w:rsid w:val="00CC7FE3"/>
    <w:rsid w:val="00CD265B"/>
    <w:rsid w:val="00CD4003"/>
    <w:rsid w:val="00CD4354"/>
    <w:rsid w:val="00CD4596"/>
    <w:rsid w:val="00CD542C"/>
    <w:rsid w:val="00CD71A2"/>
    <w:rsid w:val="00CD7D20"/>
    <w:rsid w:val="00CE035E"/>
    <w:rsid w:val="00CE0CFD"/>
    <w:rsid w:val="00CE2432"/>
    <w:rsid w:val="00CE3889"/>
    <w:rsid w:val="00CE39D4"/>
    <w:rsid w:val="00CE5A6A"/>
    <w:rsid w:val="00CF1233"/>
    <w:rsid w:val="00CF1BAE"/>
    <w:rsid w:val="00CF204D"/>
    <w:rsid w:val="00CF3C68"/>
    <w:rsid w:val="00CF4096"/>
    <w:rsid w:val="00CF452F"/>
    <w:rsid w:val="00CF7267"/>
    <w:rsid w:val="00CF7CC7"/>
    <w:rsid w:val="00D0048C"/>
    <w:rsid w:val="00D00E94"/>
    <w:rsid w:val="00D06D74"/>
    <w:rsid w:val="00D105BB"/>
    <w:rsid w:val="00D109E7"/>
    <w:rsid w:val="00D10D5A"/>
    <w:rsid w:val="00D130AB"/>
    <w:rsid w:val="00D130C6"/>
    <w:rsid w:val="00D15B7D"/>
    <w:rsid w:val="00D16C00"/>
    <w:rsid w:val="00D1761A"/>
    <w:rsid w:val="00D21DEF"/>
    <w:rsid w:val="00D21E93"/>
    <w:rsid w:val="00D22625"/>
    <w:rsid w:val="00D24249"/>
    <w:rsid w:val="00D250A7"/>
    <w:rsid w:val="00D253A3"/>
    <w:rsid w:val="00D276D2"/>
    <w:rsid w:val="00D3119A"/>
    <w:rsid w:val="00D314C5"/>
    <w:rsid w:val="00D32589"/>
    <w:rsid w:val="00D3489E"/>
    <w:rsid w:val="00D36661"/>
    <w:rsid w:val="00D3718E"/>
    <w:rsid w:val="00D4002B"/>
    <w:rsid w:val="00D442E4"/>
    <w:rsid w:val="00D50098"/>
    <w:rsid w:val="00D51125"/>
    <w:rsid w:val="00D515FC"/>
    <w:rsid w:val="00D53FB2"/>
    <w:rsid w:val="00D55513"/>
    <w:rsid w:val="00D5706E"/>
    <w:rsid w:val="00D60CE3"/>
    <w:rsid w:val="00D610BF"/>
    <w:rsid w:val="00D63C5E"/>
    <w:rsid w:val="00D666A5"/>
    <w:rsid w:val="00D70663"/>
    <w:rsid w:val="00D73842"/>
    <w:rsid w:val="00D739FC"/>
    <w:rsid w:val="00D75C1A"/>
    <w:rsid w:val="00D76679"/>
    <w:rsid w:val="00D8077D"/>
    <w:rsid w:val="00D82599"/>
    <w:rsid w:val="00D855A7"/>
    <w:rsid w:val="00D8623D"/>
    <w:rsid w:val="00D86FF3"/>
    <w:rsid w:val="00D95B55"/>
    <w:rsid w:val="00D96DFB"/>
    <w:rsid w:val="00DA11F1"/>
    <w:rsid w:val="00DA31DD"/>
    <w:rsid w:val="00DA5553"/>
    <w:rsid w:val="00DA5E2A"/>
    <w:rsid w:val="00DA76C7"/>
    <w:rsid w:val="00DA7B50"/>
    <w:rsid w:val="00DB1DC6"/>
    <w:rsid w:val="00DB4BC0"/>
    <w:rsid w:val="00DB4F75"/>
    <w:rsid w:val="00DB635F"/>
    <w:rsid w:val="00DB7748"/>
    <w:rsid w:val="00DC00EC"/>
    <w:rsid w:val="00DC280D"/>
    <w:rsid w:val="00DC2E79"/>
    <w:rsid w:val="00DC45B3"/>
    <w:rsid w:val="00DC7BA3"/>
    <w:rsid w:val="00DD11F4"/>
    <w:rsid w:val="00DD2B9B"/>
    <w:rsid w:val="00DE0F2B"/>
    <w:rsid w:val="00DE22D3"/>
    <w:rsid w:val="00DE2C05"/>
    <w:rsid w:val="00DE3556"/>
    <w:rsid w:val="00DE640A"/>
    <w:rsid w:val="00DF31AA"/>
    <w:rsid w:val="00DF3711"/>
    <w:rsid w:val="00DF629A"/>
    <w:rsid w:val="00DF6557"/>
    <w:rsid w:val="00E00988"/>
    <w:rsid w:val="00E01E75"/>
    <w:rsid w:val="00E0227F"/>
    <w:rsid w:val="00E115C8"/>
    <w:rsid w:val="00E122CC"/>
    <w:rsid w:val="00E125E7"/>
    <w:rsid w:val="00E12731"/>
    <w:rsid w:val="00E14169"/>
    <w:rsid w:val="00E15D8E"/>
    <w:rsid w:val="00E22EEC"/>
    <w:rsid w:val="00E2421E"/>
    <w:rsid w:val="00E26DBA"/>
    <w:rsid w:val="00E31205"/>
    <w:rsid w:val="00E314E4"/>
    <w:rsid w:val="00E34463"/>
    <w:rsid w:val="00E34B2B"/>
    <w:rsid w:val="00E3559E"/>
    <w:rsid w:val="00E36000"/>
    <w:rsid w:val="00E363D0"/>
    <w:rsid w:val="00E437B9"/>
    <w:rsid w:val="00E43CBA"/>
    <w:rsid w:val="00E46C5D"/>
    <w:rsid w:val="00E50C5C"/>
    <w:rsid w:val="00E50E8F"/>
    <w:rsid w:val="00E54BAF"/>
    <w:rsid w:val="00E55D46"/>
    <w:rsid w:val="00E55F52"/>
    <w:rsid w:val="00E5601F"/>
    <w:rsid w:val="00E576AC"/>
    <w:rsid w:val="00E60092"/>
    <w:rsid w:val="00E60857"/>
    <w:rsid w:val="00E60FA9"/>
    <w:rsid w:val="00E61665"/>
    <w:rsid w:val="00E61ABE"/>
    <w:rsid w:val="00E62172"/>
    <w:rsid w:val="00E63039"/>
    <w:rsid w:val="00E660B5"/>
    <w:rsid w:val="00E71C21"/>
    <w:rsid w:val="00E72BF2"/>
    <w:rsid w:val="00E72DBC"/>
    <w:rsid w:val="00E76108"/>
    <w:rsid w:val="00E76E70"/>
    <w:rsid w:val="00E77DD0"/>
    <w:rsid w:val="00E8086A"/>
    <w:rsid w:val="00E86972"/>
    <w:rsid w:val="00E86B2F"/>
    <w:rsid w:val="00E876FE"/>
    <w:rsid w:val="00E950B3"/>
    <w:rsid w:val="00E972BA"/>
    <w:rsid w:val="00EA051E"/>
    <w:rsid w:val="00EA0E65"/>
    <w:rsid w:val="00EA3C60"/>
    <w:rsid w:val="00EA46AE"/>
    <w:rsid w:val="00EA497B"/>
    <w:rsid w:val="00EA5BFE"/>
    <w:rsid w:val="00EB179F"/>
    <w:rsid w:val="00EB20E6"/>
    <w:rsid w:val="00EB2B96"/>
    <w:rsid w:val="00EB47BA"/>
    <w:rsid w:val="00EB5AF5"/>
    <w:rsid w:val="00EC03F8"/>
    <w:rsid w:val="00EC0413"/>
    <w:rsid w:val="00EC055C"/>
    <w:rsid w:val="00EC1168"/>
    <w:rsid w:val="00EC498C"/>
    <w:rsid w:val="00EC70ED"/>
    <w:rsid w:val="00EC7CAF"/>
    <w:rsid w:val="00ED0E44"/>
    <w:rsid w:val="00ED1D3D"/>
    <w:rsid w:val="00ED2743"/>
    <w:rsid w:val="00ED4EB3"/>
    <w:rsid w:val="00ED526B"/>
    <w:rsid w:val="00EE2C52"/>
    <w:rsid w:val="00EE2F8D"/>
    <w:rsid w:val="00EE5194"/>
    <w:rsid w:val="00EF28E9"/>
    <w:rsid w:val="00EF2F09"/>
    <w:rsid w:val="00EF607E"/>
    <w:rsid w:val="00F01CD4"/>
    <w:rsid w:val="00F02D78"/>
    <w:rsid w:val="00F05389"/>
    <w:rsid w:val="00F06FBC"/>
    <w:rsid w:val="00F14697"/>
    <w:rsid w:val="00F20951"/>
    <w:rsid w:val="00F21266"/>
    <w:rsid w:val="00F21906"/>
    <w:rsid w:val="00F2602C"/>
    <w:rsid w:val="00F26E05"/>
    <w:rsid w:val="00F30C0F"/>
    <w:rsid w:val="00F31113"/>
    <w:rsid w:val="00F31B2B"/>
    <w:rsid w:val="00F322C1"/>
    <w:rsid w:val="00F332F1"/>
    <w:rsid w:val="00F33E65"/>
    <w:rsid w:val="00F34DFD"/>
    <w:rsid w:val="00F35AAF"/>
    <w:rsid w:val="00F4029D"/>
    <w:rsid w:val="00F43627"/>
    <w:rsid w:val="00F43FC8"/>
    <w:rsid w:val="00F51636"/>
    <w:rsid w:val="00F54038"/>
    <w:rsid w:val="00F543BE"/>
    <w:rsid w:val="00F5619C"/>
    <w:rsid w:val="00F57D9D"/>
    <w:rsid w:val="00F60170"/>
    <w:rsid w:val="00F6019B"/>
    <w:rsid w:val="00F6241E"/>
    <w:rsid w:val="00F66898"/>
    <w:rsid w:val="00F72BF5"/>
    <w:rsid w:val="00F741FD"/>
    <w:rsid w:val="00F7718E"/>
    <w:rsid w:val="00F81DAA"/>
    <w:rsid w:val="00F8283D"/>
    <w:rsid w:val="00F828D4"/>
    <w:rsid w:val="00F83BBF"/>
    <w:rsid w:val="00F8599B"/>
    <w:rsid w:val="00F92634"/>
    <w:rsid w:val="00F9794F"/>
    <w:rsid w:val="00FA1917"/>
    <w:rsid w:val="00FA2BF8"/>
    <w:rsid w:val="00FA2C7C"/>
    <w:rsid w:val="00FA6B61"/>
    <w:rsid w:val="00FA71E9"/>
    <w:rsid w:val="00FA7EBD"/>
    <w:rsid w:val="00FA7F4B"/>
    <w:rsid w:val="00FB325B"/>
    <w:rsid w:val="00FB4BD3"/>
    <w:rsid w:val="00FB7B0D"/>
    <w:rsid w:val="00FC0824"/>
    <w:rsid w:val="00FC0FF2"/>
    <w:rsid w:val="00FC2058"/>
    <w:rsid w:val="00FC261E"/>
    <w:rsid w:val="00FC2D21"/>
    <w:rsid w:val="00FC52AD"/>
    <w:rsid w:val="00FC5654"/>
    <w:rsid w:val="00FC57CB"/>
    <w:rsid w:val="00FC6D24"/>
    <w:rsid w:val="00FD0C87"/>
    <w:rsid w:val="00FD0DAB"/>
    <w:rsid w:val="00FD2B00"/>
    <w:rsid w:val="00FD3E02"/>
    <w:rsid w:val="00FD4E97"/>
    <w:rsid w:val="00FD760D"/>
    <w:rsid w:val="00FE08D3"/>
    <w:rsid w:val="00FE0DF0"/>
    <w:rsid w:val="00FE33CF"/>
    <w:rsid w:val="00FE3846"/>
    <w:rsid w:val="00FE4F2B"/>
    <w:rsid w:val="00FE6902"/>
    <w:rsid w:val="00FF1478"/>
    <w:rsid w:val="00FF227E"/>
    <w:rsid w:val="00FF35E1"/>
    <w:rsid w:val="00FF3F76"/>
    <w:rsid w:val="00FF408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6A47526B"/>
  <w15:docId w15:val="{793F8347-0D5A-4A3D-B2C4-675F77A25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Times New Roman"/>
    </w:rPr>
  </w:style>
  <w:style w:type="paragraph" w:styleId="Heading1">
    <w:name w:val="heading 1"/>
    <w:basedOn w:val="Normal"/>
    <w:next w:val="Normal"/>
    <w:link w:val="Heading1Char"/>
    <w:uiPriority w:val="9"/>
    <w:qFormat/>
    <w:pPr>
      <w:keepNext/>
      <w:spacing w:before="240" w:after="60"/>
      <w:outlineLvl w:val="0"/>
    </w:pPr>
    <w:rPr>
      <w:rFonts w:ascii="Times New Roman" w:eastAsia="Times New Roman" w:hAnsi="Times New Roman"/>
      <w:b/>
      <w:bCs/>
      <w:kern w:val="32"/>
      <w:sz w:val="24"/>
      <w:szCs w:val="32"/>
    </w:rPr>
  </w:style>
  <w:style w:type="paragraph" w:styleId="Heading2">
    <w:name w:val="heading 2"/>
    <w:basedOn w:val="Normal"/>
    <w:next w:val="Normal"/>
    <w:link w:val="Heading2Char"/>
    <w:uiPriority w:val="9"/>
    <w:unhideWhenUsed/>
    <w:qFormat/>
    <w:pPr>
      <w:keepNext/>
      <w:spacing w:before="240" w:after="60"/>
      <w:outlineLvl w:val="1"/>
    </w:pPr>
    <w:rPr>
      <w:rFonts w:ascii="Times New Roman" w:eastAsia="Times New Roman" w:hAnsi="Times New Roman"/>
      <w:b/>
      <w:bCs/>
      <w:i/>
      <w:iCs/>
      <w:sz w:val="24"/>
      <w:szCs w:val="28"/>
    </w:rPr>
  </w:style>
  <w:style w:type="paragraph" w:styleId="Heading3">
    <w:name w:val="heading 3"/>
    <w:basedOn w:val="Normal"/>
    <w:next w:val="Normal"/>
    <w:link w:val="Heading3Char"/>
    <w:uiPriority w:val="9"/>
    <w:unhideWhenUsed/>
    <w:qFormat/>
    <w:pPr>
      <w:keepNext/>
      <w:spacing w:before="240" w:after="60"/>
      <w:outlineLvl w:val="2"/>
    </w:pPr>
    <w:rPr>
      <w:rFonts w:ascii="Times New Roman" w:eastAsia="Times New Roman" w:hAnsi="Times New Roman"/>
      <w:b/>
      <w:bCs/>
      <w:sz w:val="24"/>
      <w:szCs w:val="26"/>
    </w:rPr>
  </w:style>
  <w:style w:type="paragraph" w:styleId="Heading4">
    <w:name w:val="heading 4"/>
    <w:basedOn w:val="Normal"/>
    <w:next w:val="Normal"/>
    <w:link w:val="Heading4Char"/>
    <w:uiPriority w:val="9"/>
    <w:unhideWhenUsed/>
    <w:qFormat/>
    <w:pPr>
      <w:keepNext/>
      <w:spacing w:before="240" w:after="60"/>
      <w:outlineLvl w:val="3"/>
    </w:pPr>
    <w:rPr>
      <w:rFonts w:ascii="Times New Roman" w:eastAsia="Times New Roman" w:hAnsi="Times New Roman"/>
      <w:bCs/>
      <w:i/>
      <w:sz w:val="24"/>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2"/>
      <w:sz w:val="24"/>
      <w:szCs w:val="32"/>
    </w:rPr>
  </w:style>
  <w:style w:type="character" w:customStyle="1" w:styleId="Heading2Char">
    <w:name w:val="Heading 2 Char"/>
    <w:basedOn w:val="DefaultParagraphFont"/>
    <w:link w:val="Heading2"/>
    <w:uiPriority w:val="9"/>
    <w:rPr>
      <w:rFonts w:ascii="Times New Roman" w:eastAsia="Times New Roman" w:hAnsi="Times New Roman" w:cs="Times New Roman"/>
      <w:b/>
      <w:bCs/>
      <w:i/>
      <w:iCs/>
      <w:sz w:val="24"/>
      <w:szCs w:val="28"/>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4"/>
      <w:szCs w:val="26"/>
    </w:rPr>
  </w:style>
  <w:style w:type="character" w:customStyle="1" w:styleId="Heading4Char">
    <w:name w:val="Heading 4 Char"/>
    <w:basedOn w:val="DefaultParagraphFont"/>
    <w:link w:val="Heading4"/>
    <w:uiPriority w:val="9"/>
    <w:rPr>
      <w:rFonts w:ascii="Times New Roman" w:eastAsia="Times New Roman" w:hAnsi="Times New Roman" w:cs="Times New Roman"/>
      <w:bCs/>
      <w:i/>
      <w:sz w:val="24"/>
      <w:szCs w:val="28"/>
    </w:rPr>
  </w:style>
  <w:style w:type="paragraph" w:styleId="BalloonText">
    <w:name w:val="Balloon Text"/>
    <w:basedOn w:val="Normal"/>
    <w:link w:val="BalloonTextChar"/>
    <w:uiPriority w:val="99"/>
    <w:semiHidden/>
    <w:unhideWhenUsed/>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Pr>
      <w:rFonts w:ascii="Tahoma" w:eastAsia="Calibri" w:hAnsi="Tahoma" w:cs="Times New Roman"/>
      <w:sz w:val="16"/>
      <w:szCs w:val="16"/>
      <w:lang w:val="fr-FR"/>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lang w:val="fr-FR"/>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Pr>
      <w:color w:val="0000FF"/>
      <w:u w:val="single"/>
    </w:rPr>
  </w:style>
  <w:style w:type="paragraph" w:styleId="FootnoteText">
    <w:name w:val="footnote text"/>
    <w:aliases w:val="Fußnotentextf,RSK-FT,RSK-FT1,RSK-FT2,5_G,Footnote text,Testo nota a piè di pagina_Rientro,stile 1,Footnote1,Footnote2,Footnote3,Footnote4,Footnote5,Footnote6,Footnote7,Footnote8,Footnote9,Footnote10,Footnote11,Footnote21,Footnote31,Char"/>
    <w:basedOn w:val="Normal"/>
    <w:link w:val="FootnoteTextChar"/>
    <w:autoRedefine/>
    <w:uiPriority w:val="99"/>
    <w:unhideWhenUsed/>
    <w:qFormat/>
    <w:rsid w:val="00666776"/>
    <w:pPr>
      <w:spacing w:after="0" w:line="240" w:lineRule="auto"/>
      <w:jc w:val="both"/>
    </w:pPr>
    <w:rPr>
      <w:rFonts w:ascii="Times New Roman" w:hAnsi="Times New Roman"/>
      <w:sz w:val="18"/>
      <w:szCs w:val="18"/>
    </w:rPr>
  </w:style>
  <w:style w:type="character" w:customStyle="1" w:styleId="FootnoteTextChar">
    <w:name w:val="Footnote Text Char"/>
    <w:aliases w:val="Fußnotentextf Char,RSK-FT Char,RSK-FT1 Char,RSK-FT2 Char,5_G Char,Footnote text Char,Testo nota a piè di pagina_Rientro Char,stile 1 Char,Footnote1 Char,Footnote2 Char,Footnote3 Char,Footnote4 Char,Footnote5 Char,Footnote6 Char"/>
    <w:basedOn w:val="DefaultParagraphFont"/>
    <w:link w:val="FootnoteText"/>
    <w:uiPriority w:val="99"/>
    <w:qFormat/>
    <w:rsid w:val="00666776"/>
    <w:rPr>
      <w:rFonts w:ascii="Times New Roman" w:eastAsia="Calibri" w:hAnsi="Times New Roman" w:cs="Times New Roman"/>
      <w:sz w:val="18"/>
      <w:szCs w:val="18"/>
    </w:rPr>
  </w:style>
  <w:style w:type="character" w:styleId="FootnoteReference">
    <w:name w:val="footnote reference"/>
    <w:aliases w:val="Footnote Refernece,BVI fnr,callout,16 Point,Superscript 6 Point,Odwołanie przypisu,Footnote symbol,Footnote Reference Number,Footnote Reference Superscript,SUPERS,Times 10 Point,Exposant 3 Point,Ref,de nota al pie,number, BVI fnr,4_G"/>
    <w:link w:val="FootnotesymbolCarZchn"/>
    <w:uiPriority w:val="99"/>
    <w:unhideWhenUsed/>
    <w:qFormat/>
    <w:rPr>
      <w:vertAlign w:val="superscript"/>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rFonts w:ascii="Calibri" w:eastAsia="Calibri" w:hAnsi="Calibri" w:cs="Times New Roman"/>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rFonts w:ascii="Calibri" w:eastAsia="Calibri" w:hAnsi="Calibri" w:cs="Times New Roman"/>
    </w:rPr>
  </w:style>
  <w:style w:type="paragraph" w:customStyle="1" w:styleId="a3520normalp11">
    <w:name w:val="a__35__20_normal_p11"/>
    <w:basedOn w:val="Normal"/>
    <w:pPr>
      <w:spacing w:after="120" w:line="240" w:lineRule="auto"/>
      <w:ind w:right="57"/>
      <w:jc w:val="both"/>
    </w:pPr>
    <w:rPr>
      <w:rFonts w:ascii="Times New Roman" w:eastAsia="Times New Roman" w:hAnsi="Times New Roman"/>
      <w:sz w:val="24"/>
      <w:szCs w:val="24"/>
      <w:lang w:eastAsia="en-GB"/>
    </w:rPr>
  </w:style>
  <w:style w:type="paragraph" w:customStyle="1" w:styleId="5normal">
    <w:name w:val="5normal"/>
    <w:basedOn w:val="Normal"/>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ps">
    <w:name w:val="hps"/>
  </w:style>
  <w:style w:type="paragraph" w:styleId="ListParagraph">
    <w:name w:val="List Paragraph"/>
    <w:basedOn w:val="Normal"/>
    <w:uiPriority w:val="34"/>
    <w:qFormat/>
    <w:pPr>
      <w:spacing w:after="160" w:line="259" w:lineRule="auto"/>
      <w:ind w:left="720"/>
      <w:contextualSpacing/>
    </w:pPr>
  </w:style>
  <w:style w:type="character" w:styleId="Strong">
    <w:name w:val="Strong"/>
    <w:uiPriority w:val="22"/>
    <w:qFormat/>
    <w:rPr>
      <w:b/>
      <w:bCs/>
    </w:rPr>
  </w:style>
  <w:style w:type="paragraph" w:customStyle="1" w:styleId="ECStandard">
    <w:name w:val="EC Standard"/>
    <w:basedOn w:val="Normal"/>
    <w:link w:val="ECStandardZchn"/>
    <w:qFormat/>
    <w:pPr>
      <w:spacing w:after="120" w:line="240" w:lineRule="auto"/>
      <w:jc w:val="both"/>
    </w:pPr>
    <w:rPr>
      <w:rFonts w:ascii="Times New Roman" w:eastAsia="Times New Roman" w:hAnsi="Times New Roman"/>
      <w:sz w:val="24"/>
      <w:szCs w:val="24"/>
      <w:lang w:eastAsia="de-DE"/>
    </w:rPr>
  </w:style>
  <w:style w:type="character" w:customStyle="1" w:styleId="ECStandardZchn">
    <w:name w:val="EC Standard Zchn"/>
    <w:link w:val="ECStandard"/>
    <w:rPr>
      <w:rFonts w:ascii="Times New Roman" w:eastAsia="Times New Roman" w:hAnsi="Times New Roman" w:cs="Times New Roman"/>
      <w:sz w:val="24"/>
      <w:szCs w:val="24"/>
      <w:lang w:eastAsia="de-DE"/>
    </w:rPr>
  </w:style>
  <w:style w:type="paragraph" w:styleId="Revision">
    <w:name w:val="Revision"/>
    <w:hidden/>
    <w:uiPriority w:val="99"/>
    <w:semiHidden/>
    <w:pPr>
      <w:spacing w:after="0" w:line="240" w:lineRule="auto"/>
    </w:pPr>
    <w:rPr>
      <w:rFonts w:ascii="Calibri" w:eastAsia="Calibri" w:hAnsi="Calibri" w:cs="Times New Roman"/>
    </w:rPr>
  </w:style>
  <w:style w:type="paragraph" w:customStyle="1" w:styleId="5Normal0">
    <w:name w:val="5 Normal"/>
    <w:basedOn w:val="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ind w:right="57"/>
      <w:jc w:val="both"/>
    </w:pPr>
    <w:rPr>
      <w:rFonts w:ascii="Verdana" w:eastAsia="Times New Roman" w:hAnsi="Verdana"/>
      <w:spacing w:val="-2"/>
      <w:sz w:val="20"/>
      <w:szCs w:val="24"/>
      <w:lang w:eastAsia="en-GB"/>
    </w:rPr>
  </w:style>
  <w:style w:type="character" w:customStyle="1" w:styleId="5NormalChar">
    <w:name w:val="5 Normal Char"/>
    <w:link w:val="5Normal0"/>
    <w:locked/>
    <w:rPr>
      <w:rFonts w:ascii="Verdana" w:eastAsia="Times New Roman" w:hAnsi="Verdana" w:cs="Times New Roman"/>
      <w:spacing w:val="-2"/>
      <w:sz w:val="20"/>
      <w:szCs w:val="24"/>
      <w:lang w:eastAsia="en-GB"/>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link w:val="TOCHeadingChar"/>
    <w:uiPriority w:val="39"/>
    <w:unhideWhenUsed/>
    <w:qFormat/>
    <w:pPr>
      <w:keepLines/>
      <w:spacing w:before="480" w:after="0"/>
      <w:outlineLvl w:val="9"/>
    </w:pPr>
    <w:rPr>
      <w:rFonts w:ascii="Cambria" w:hAnsi="Cambria"/>
      <w:color w:val="365F91"/>
      <w:kern w:val="0"/>
      <w:sz w:val="28"/>
      <w:szCs w:val="28"/>
      <w:lang w:eastAsia="ja-JP"/>
    </w:rPr>
  </w:style>
  <w:style w:type="paragraph" w:styleId="TOC1">
    <w:name w:val="toc 1"/>
    <w:basedOn w:val="Normal"/>
    <w:next w:val="Normal"/>
    <w:autoRedefine/>
    <w:uiPriority w:val="39"/>
    <w:unhideWhenUsed/>
    <w:qFormat/>
    <w:rsid w:val="00E60FA9"/>
    <w:pPr>
      <w:tabs>
        <w:tab w:val="right" w:leader="dot" w:pos="9016"/>
      </w:tabs>
    </w:pPr>
  </w:style>
  <w:style w:type="paragraph" w:styleId="TOC2">
    <w:name w:val="toc 2"/>
    <w:basedOn w:val="Normal"/>
    <w:next w:val="Normal"/>
    <w:autoRedefine/>
    <w:uiPriority w:val="39"/>
    <w:unhideWhenUsed/>
    <w:qFormat/>
    <w:rsid w:val="00E60FA9"/>
    <w:pPr>
      <w:tabs>
        <w:tab w:val="right" w:leader="dot" w:pos="9016"/>
      </w:tabs>
      <w:ind w:left="220"/>
    </w:pPr>
  </w:style>
  <w:style w:type="paragraph" w:styleId="TOC3">
    <w:name w:val="toc 3"/>
    <w:basedOn w:val="Normal"/>
    <w:next w:val="Normal"/>
    <w:autoRedefine/>
    <w:uiPriority w:val="39"/>
    <w:unhideWhenUsed/>
    <w:qFormat/>
    <w:rsid w:val="00E60FA9"/>
    <w:pPr>
      <w:tabs>
        <w:tab w:val="right" w:leader="dot" w:pos="9016"/>
      </w:tabs>
      <w:ind w:left="440"/>
    </w:pPr>
  </w:style>
  <w:style w:type="paragraph" w:styleId="Caption">
    <w:name w:val="caption"/>
    <w:basedOn w:val="Normal"/>
    <w:next w:val="Normal"/>
    <w:uiPriority w:val="35"/>
    <w:unhideWhenUsed/>
    <w:qFormat/>
    <w:rPr>
      <w:b/>
      <w:bCs/>
      <w:sz w:val="20"/>
      <w:szCs w:val="20"/>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eastAsiaTheme="minorHAnsi" w:hAnsi="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basedOn w:val="DefaultParagraphFont"/>
    <w:link w:val="FooterCoverPage"/>
    <w:rPr>
      <w:rFonts w:ascii="Times New Roman" w:eastAsia="Calibri"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basedOn w:val="DefaultParagraphFont"/>
    <w:link w:val="HeaderCoverPage"/>
    <w:rPr>
      <w:rFonts w:ascii="Times New Roman" w:eastAsia="Calibri" w:hAnsi="Times New Roman" w:cs="Times New Roman"/>
      <w:sz w:val="24"/>
    </w:rPr>
  </w:style>
  <w:style w:type="paragraph" w:styleId="TOC4">
    <w:name w:val="toc 4"/>
    <w:basedOn w:val="Normal"/>
    <w:next w:val="Normal"/>
    <w:autoRedefine/>
    <w:uiPriority w:val="39"/>
    <w:unhideWhenUsed/>
    <w:rsid w:val="006D3497"/>
    <w:pPr>
      <w:tabs>
        <w:tab w:val="right" w:leader="dot" w:pos="9016"/>
      </w:tabs>
      <w:spacing w:after="100"/>
      <w:ind w:left="660"/>
    </w:pPr>
  </w:style>
  <w:style w:type="paragraph" w:styleId="NoSpacing">
    <w:name w:val="No Spacing"/>
    <w:uiPriority w:val="1"/>
    <w:qFormat/>
    <w:pPr>
      <w:spacing w:after="0" w:line="240" w:lineRule="auto"/>
    </w:pPr>
    <w:rPr>
      <w:rFonts w:ascii="Calibri" w:eastAsia="Calibri" w:hAnsi="Calibri" w:cs="Times New Roman"/>
    </w:rPr>
  </w:style>
  <w:style w:type="character" w:styleId="CommentReference">
    <w:name w:val="annotation reference"/>
    <w:uiPriority w:val="99"/>
    <w:semiHidden/>
    <w:unhideWhenUsed/>
    <w:rPr>
      <w:sz w:val="16"/>
      <w:szCs w:val="16"/>
    </w:rPr>
  </w:style>
  <w:style w:type="character" w:customStyle="1" w:styleId="clear">
    <w:name w:val="clear"/>
    <w:basedOn w:val="DefaultParagraphFont"/>
  </w:style>
  <w:style w:type="character" w:styleId="FollowedHyperlink">
    <w:name w:val="FollowedHyperlink"/>
    <w:basedOn w:val="DefaultParagraphFont"/>
    <w:uiPriority w:val="99"/>
    <w:semiHidden/>
    <w:unhideWhenUsed/>
    <w:rPr>
      <w:color w:val="800080" w:themeColor="followedHyperlink"/>
      <w:u w:val="single"/>
    </w:rPr>
  </w:style>
  <w:style w:type="table" w:customStyle="1" w:styleId="TableGrid1">
    <w:name w:val="Table Grid1"/>
    <w:basedOn w:val="TableNormal"/>
    <w:next w:val="TableGrid"/>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3">
    <w:name w:val="Table Grid3"/>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 w:type="character" w:customStyle="1" w:styleId="TOCHeadingChar">
    <w:name w:val="TOC Heading Char"/>
    <w:basedOn w:val="Heading1Char"/>
    <w:link w:val="TOCHeading"/>
    <w:uiPriority w:val="39"/>
    <w:rPr>
      <w:rFonts w:ascii="Cambria" w:eastAsia="Times New Roman" w:hAnsi="Cambria" w:cs="Times New Roman"/>
      <w:b/>
      <w:bCs/>
      <w:color w:val="365F91"/>
      <w:kern w:val="32"/>
      <w:sz w:val="28"/>
      <w:szCs w:val="28"/>
      <w:lang w:val="fr-FR" w:eastAsia="ja-JP"/>
    </w:rPr>
  </w:style>
  <w:style w:type="character" w:customStyle="1" w:styleId="FooterSensitivityChar">
    <w:name w:val="Footer Sensitivity Char"/>
    <w:basedOn w:val="TOCHeadingChar"/>
    <w:link w:val="FooterSensitivity"/>
    <w:rPr>
      <w:rFonts w:ascii="Times New Roman" w:eastAsia="Calibri" w:hAnsi="Times New Roman" w:cs="Times New Roman"/>
      <w:b/>
      <w:bCs w:val="0"/>
      <w:color w:val="365F91"/>
      <w:kern w:val="32"/>
      <w:sz w:val="32"/>
      <w:szCs w:val="28"/>
      <w:lang w:val="fr-FR" w:eastAsia="ja-JP"/>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character" w:customStyle="1" w:styleId="HeaderSensitivityChar">
    <w:name w:val="Header Sensitivity Char"/>
    <w:basedOn w:val="TOCHeadingChar"/>
    <w:link w:val="HeaderSensitivity"/>
    <w:rPr>
      <w:rFonts w:ascii="Times New Roman" w:eastAsia="Calibri" w:hAnsi="Times New Roman" w:cs="Times New Roman"/>
      <w:b/>
      <w:bCs w:val="0"/>
      <w:color w:val="365F91"/>
      <w:kern w:val="32"/>
      <w:sz w:val="32"/>
      <w:szCs w:val="28"/>
      <w:lang w:val="fr-FR" w:eastAsia="ja-JP"/>
    </w:rPr>
  </w:style>
  <w:style w:type="table" w:customStyle="1" w:styleId="TableGrid5">
    <w:name w:val="Table Grid5"/>
    <w:basedOn w:val="TableNormal"/>
    <w:next w:val="TableGrid"/>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urityMarking">
    <w:name w:val="SecurityMarking"/>
    <w:basedOn w:val="Normal"/>
    <w:pPr>
      <w:spacing w:after="0"/>
      <w:ind w:left="5103"/>
    </w:pPr>
    <w:rPr>
      <w:rFonts w:ascii="Times New Roman" w:eastAsiaTheme="minorHAnsi" w:hAnsi="Times New Roman"/>
      <w:sz w:val="28"/>
    </w:rPr>
  </w:style>
  <w:style w:type="paragraph" w:customStyle="1" w:styleId="DateMarking">
    <w:name w:val="DateMarking"/>
    <w:basedOn w:val="Normal"/>
    <w:pPr>
      <w:spacing w:after="0"/>
      <w:ind w:left="5103"/>
    </w:pPr>
    <w:rPr>
      <w:rFonts w:ascii="Times New Roman" w:eastAsiaTheme="minorHAnsi" w:hAnsi="Times New Roman"/>
      <w:i/>
      <w:sz w:val="28"/>
    </w:rPr>
  </w:style>
  <w:style w:type="paragraph" w:customStyle="1" w:styleId="ReleasableTo">
    <w:name w:val="ReleasableTo"/>
    <w:basedOn w:val="Normal"/>
    <w:pPr>
      <w:spacing w:after="0"/>
      <w:ind w:left="5103"/>
    </w:pPr>
    <w:rPr>
      <w:rFonts w:ascii="Times New Roman" w:eastAsiaTheme="minorHAnsi" w:hAnsi="Times New Roman"/>
      <w:i/>
      <w:sz w:val="28"/>
    </w:rPr>
  </w:style>
  <w:style w:type="paragraph" w:customStyle="1" w:styleId="HeaderSensitivityRight">
    <w:name w:val="Header Sensitivity Right"/>
    <w:basedOn w:val="Normal"/>
    <w:pPr>
      <w:spacing w:after="120" w:line="240" w:lineRule="auto"/>
      <w:jc w:val="right"/>
    </w:pPr>
    <w:rPr>
      <w:rFonts w:ascii="Times New Roman" w:hAnsi="Times New Roman"/>
      <w:sz w:val="28"/>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9B3224"/>
    <w:pPr>
      <w:spacing w:after="160" w:line="240" w:lineRule="exact"/>
      <w:jc w:val="both"/>
    </w:pPr>
    <w:rPr>
      <w:rFonts w:asciiTheme="minorHAnsi" w:eastAsiaTheme="minorHAnsi" w:hAnsiTheme="minorHAnsi" w:cstheme="minorBidi"/>
      <w:vertAlign w:val="superscript"/>
    </w:rPr>
  </w:style>
  <w:style w:type="table" w:customStyle="1" w:styleId="TableGrid7">
    <w:name w:val="Table Grid7"/>
    <w:basedOn w:val="TableNormal"/>
    <w:next w:val="TableGrid"/>
    <w:uiPriority w:val="59"/>
    <w:rsid w:val="00B70767"/>
    <w:pPr>
      <w:spacing w:after="0" w:line="24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Normal"/>
    <w:uiPriority w:val="99"/>
    <w:rsid w:val="00DC45B3"/>
    <w:pPr>
      <w:spacing w:after="160" w:line="240" w:lineRule="exact"/>
    </w:pPr>
    <w:rPr>
      <w:noProof/>
      <w:vertAlign w:val="superscript"/>
    </w:rPr>
  </w:style>
  <w:style w:type="table" w:customStyle="1" w:styleId="TableGrid71">
    <w:name w:val="Table Grid71"/>
    <w:basedOn w:val="TableNormal"/>
    <w:uiPriority w:val="59"/>
    <w:rsid w:val="00ED4EB3"/>
    <w:pPr>
      <w:spacing w:after="0" w:line="240" w:lineRule="auto"/>
    </w:pPr>
    <w:rPr>
      <w:rFonts w:ascii="Calibri" w:eastAsia="SimSu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61495">
      <w:bodyDiv w:val="1"/>
      <w:marLeft w:val="0"/>
      <w:marRight w:val="0"/>
      <w:marTop w:val="0"/>
      <w:marBottom w:val="0"/>
      <w:divBdr>
        <w:top w:val="none" w:sz="0" w:space="0" w:color="auto"/>
        <w:left w:val="none" w:sz="0" w:space="0" w:color="auto"/>
        <w:bottom w:val="none" w:sz="0" w:space="0" w:color="auto"/>
        <w:right w:val="none" w:sz="0" w:space="0" w:color="auto"/>
      </w:divBdr>
    </w:div>
    <w:div w:id="93596496">
      <w:bodyDiv w:val="1"/>
      <w:marLeft w:val="0"/>
      <w:marRight w:val="0"/>
      <w:marTop w:val="0"/>
      <w:marBottom w:val="0"/>
      <w:divBdr>
        <w:top w:val="none" w:sz="0" w:space="0" w:color="auto"/>
        <w:left w:val="none" w:sz="0" w:space="0" w:color="auto"/>
        <w:bottom w:val="none" w:sz="0" w:space="0" w:color="auto"/>
        <w:right w:val="none" w:sz="0" w:space="0" w:color="auto"/>
      </w:divBdr>
    </w:div>
    <w:div w:id="133959825">
      <w:bodyDiv w:val="1"/>
      <w:marLeft w:val="0"/>
      <w:marRight w:val="0"/>
      <w:marTop w:val="0"/>
      <w:marBottom w:val="0"/>
      <w:divBdr>
        <w:top w:val="none" w:sz="0" w:space="0" w:color="auto"/>
        <w:left w:val="none" w:sz="0" w:space="0" w:color="auto"/>
        <w:bottom w:val="none" w:sz="0" w:space="0" w:color="auto"/>
        <w:right w:val="none" w:sz="0" w:space="0" w:color="auto"/>
      </w:divBdr>
    </w:div>
    <w:div w:id="255866945">
      <w:bodyDiv w:val="1"/>
      <w:marLeft w:val="0"/>
      <w:marRight w:val="0"/>
      <w:marTop w:val="0"/>
      <w:marBottom w:val="0"/>
      <w:divBdr>
        <w:top w:val="none" w:sz="0" w:space="0" w:color="auto"/>
        <w:left w:val="none" w:sz="0" w:space="0" w:color="auto"/>
        <w:bottom w:val="none" w:sz="0" w:space="0" w:color="auto"/>
        <w:right w:val="none" w:sz="0" w:space="0" w:color="auto"/>
      </w:divBdr>
    </w:div>
    <w:div w:id="275797483">
      <w:bodyDiv w:val="1"/>
      <w:marLeft w:val="0"/>
      <w:marRight w:val="0"/>
      <w:marTop w:val="0"/>
      <w:marBottom w:val="0"/>
      <w:divBdr>
        <w:top w:val="none" w:sz="0" w:space="0" w:color="auto"/>
        <w:left w:val="none" w:sz="0" w:space="0" w:color="auto"/>
        <w:bottom w:val="none" w:sz="0" w:space="0" w:color="auto"/>
        <w:right w:val="none" w:sz="0" w:space="0" w:color="auto"/>
      </w:divBdr>
    </w:div>
    <w:div w:id="290207403">
      <w:bodyDiv w:val="1"/>
      <w:marLeft w:val="0"/>
      <w:marRight w:val="0"/>
      <w:marTop w:val="0"/>
      <w:marBottom w:val="0"/>
      <w:divBdr>
        <w:top w:val="none" w:sz="0" w:space="0" w:color="auto"/>
        <w:left w:val="none" w:sz="0" w:space="0" w:color="auto"/>
        <w:bottom w:val="none" w:sz="0" w:space="0" w:color="auto"/>
        <w:right w:val="none" w:sz="0" w:space="0" w:color="auto"/>
      </w:divBdr>
    </w:div>
    <w:div w:id="364062195">
      <w:bodyDiv w:val="1"/>
      <w:marLeft w:val="0"/>
      <w:marRight w:val="0"/>
      <w:marTop w:val="0"/>
      <w:marBottom w:val="0"/>
      <w:divBdr>
        <w:top w:val="none" w:sz="0" w:space="0" w:color="auto"/>
        <w:left w:val="none" w:sz="0" w:space="0" w:color="auto"/>
        <w:bottom w:val="none" w:sz="0" w:space="0" w:color="auto"/>
        <w:right w:val="none" w:sz="0" w:space="0" w:color="auto"/>
      </w:divBdr>
      <w:divsChild>
        <w:div w:id="1461415837">
          <w:marLeft w:val="0"/>
          <w:marRight w:val="0"/>
          <w:marTop w:val="0"/>
          <w:marBottom w:val="0"/>
          <w:divBdr>
            <w:top w:val="none" w:sz="0" w:space="0" w:color="auto"/>
            <w:left w:val="none" w:sz="0" w:space="0" w:color="auto"/>
            <w:bottom w:val="none" w:sz="0" w:space="0" w:color="auto"/>
            <w:right w:val="none" w:sz="0" w:space="0" w:color="auto"/>
          </w:divBdr>
        </w:div>
      </w:divsChild>
    </w:div>
    <w:div w:id="372270018">
      <w:bodyDiv w:val="1"/>
      <w:marLeft w:val="0"/>
      <w:marRight w:val="0"/>
      <w:marTop w:val="0"/>
      <w:marBottom w:val="0"/>
      <w:divBdr>
        <w:top w:val="none" w:sz="0" w:space="0" w:color="auto"/>
        <w:left w:val="none" w:sz="0" w:space="0" w:color="auto"/>
        <w:bottom w:val="none" w:sz="0" w:space="0" w:color="auto"/>
        <w:right w:val="none" w:sz="0" w:space="0" w:color="auto"/>
      </w:divBdr>
      <w:divsChild>
        <w:div w:id="2046782589">
          <w:marLeft w:val="0"/>
          <w:marRight w:val="0"/>
          <w:marTop w:val="0"/>
          <w:marBottom w:val="0"/>
          <w:divBdr>
            <w:top w:val="none" w:sz="0" w:space="0" w:color="auto"/>
            <w:left w:val="none" w:sz="0" w:space="0" w:color="auto"/>
            <w:bottom w:val="none" w:sz="0" w:space="0" w:color="auto"/>
            <w:right w:val="none" w:sz="0" w:space="0" w:color="auto"/>
          </w:divBdr>
        </w:div>
        <w:div w:id="302003568">
          <w:marLeft w:val="0"/>
          <w:marRight w:val="0"/>
          <w:marTop w:val="0"/>
          <w:marBottom w:val="0"/>
          <w:divBdr>
            <w:top w:val="none" w:sz="0" w:space="0" w:color="auto"/>
            <w:left w:val="none" w:sz="0" w:space="0" w:color="auto"/>
            <w:bottom w:val="none" w:sz="0" w:space="0" w:color="auto"/>
            <w:right w:val="none" w:sz="0" w:space="0" w:color="auto"/>
          </w:divBdr>
        </w:div>
        <w:div w:id="805123812">
          <w:marLeft w:val="0"/>
          <w:marRight w:val="0"/>
          <w:marTop w:val="0"/>
          <w:marBottom w:val="0"/>
          <w:divBdr>
            <w:top w:val="none" w:sz="0" w:space="0" w:color="auto"/>
            <w:left w:val="none" w:sz="0" w:space="0" w:color="auto"/>
            <w:bottom w:val="none" w:sz="0" w:space="0" w:color="auto"/>
            <w:right w:val="none" w:sz="0" w:space="0" w:color="auto"/>
          </w:divBdr>
        </w:div>
        <w:div w:id="1823505275">
          <w:marLeft w:val="0"/>
          <w:marRight w:val="0"/>
          <w:marTop w:val="0"/>
          <w:marBottom w:val="0"/>
          <w:divBdr>
            <w:top w:val="none" w:sz="0" w:space="0" w:color="auto"/>
            <w:left w:val="none" w:sz="0" w:space="0" w:color="auto"/>
            <w:bottom w:val="none" w:sz="0" w:space="0" w:color="auto"/>
            <w:right w:val="none" w:sz="0" w:space="0" w:color="auto"/>
          </w:divBdr>
        </w:div>
        <w:div w:id="975600029">
          <w:marLeft w:val="0"/>
          <w:marRight w:val="0"/>
          <w:marTop w:val="0"/>
          <w:marBottom w:val="0"/>
          <w:divBdr>
            <w:top w:val="none" w:sz="0" w:space="0" w:color="auto"/>
            <w:left w:val="none" w:sz="0" w:space="0" w:color="auto"/>
            <w:bottom w:val="none" w:sz="0" w:space="0" w:color="auto"/>
            <w:right w:val="none" w:sz="0" w:space="0" w:color="auto"/>
          </w:divBdr>
        </w:div>
      </w:divsChild>
    </w:div>
    <w:div w:id="382825163">
      <w:bodyDiv w:val="1"/>
      <w:marLeft w:val="0"/>
      <w:marRight w:val="0"/>
      <w:marTop w:val="0"/>
      <w:marBottom w:val="0"/>
      <w:divBdr>
        <w:top w:val="none" w:sz="0" w:space="0" w:color="auto"/>
        <w:left w:val="none" w:sz="0" w:space="0" w:color="auto"/>
        <w:bottom w:val="none" w:sz="0" w:space="0" w:color="auto"/>
        <w:right w:val="none" w:sz="0" w:space="0" w:color="auto"/>
      </w:divBdr>
      <w:divsChild>
        <w:div w:id="1072195181">
          <w:marLeft w:val="0"/>
          <w:marRight w:val="0"/>
          <w:marTop w:val="0"/>
          <w:marBottom w:val="0"/>
          <w:divBdr>
            <w:top w:val="none" w:sz="0" w:space="0" w:color="auto"/>
            <w:left w:val="none" w:sz="0" w:space="0" w:color="auto"/>
            <w:bottom w:val="none" w:sz="0" w:space="0" w:color="auto"/>
            <w:right w:val="none" w:sz="0" w:space="0" w:color="auto"/>
          </w:divBdr>
          <w:divsChild>
            <w:div w:id="1886259599">
              <w:marLeft w:val="0"/>
              <w:marRight w:val="0"/>
              <w:marTop w:val="0"/>
              <w:marBottom w:val="0"/>
              <w:divBdr>
                <w:top w:val="none" w:sz="0" w:space="0" w:color="auto"/>
                <w:left w:val="none" w:sz="0" w:space="0" w:color="auto"/>
                <w:bottom w:val="none" w:sz="0" w:space="0" w:color="auto"/>
                <w:right w:val="none" w:sz="0" w:space="0" w:color="auto"/>
              </w:divBdr>
              <w:divsChild>
                <w:div w:id="1709329333">
                  <w:marLeft w:val="0"/>
                  <w:marRight w:val="0"/>
                  <w:marTop w:val="0"/>
                  <w:marBottom w:val="0"/>
                  <w:divBdr>
                    <w:top w:val="none" w:sz="0" w:space="0" w:color="auto"/>
                    <w:left w:val="none" w:sz="0" w:space="0" w:color="auto"/>
                    <w:bottom w:val="none" w:sz="0" w:space="0" w:color="auto"/>
                    <w:right w:val="none" w:sz="0" w:space="0" w:color="auto"/>
                  </w:divBdr>
                  <w:divsChild>
                    <w:div w:id="1583679908">
                      <w:marLeft w:val="0"/>
                      <w:marRight w:val="0"/>
                      <w:marTop w:val="0"/>
                      <w:marBottom w:val="0"/>
                      <w:divBdr>
                        <w:top w:val="none" w:sz="0" w:space="0" w:color="auto"/>
                        <w:left w:val="none" w:sz="0" w:space="0" w:color="auto"/>
                        <w:bottom w:val="none" w:sz="0" w:space="0" w:color="auto"/>
                        <w:right w:val="none" w:sz="0" w:space="0" w:color="auto"/>
                      </w:divBdr>
                      <w:divsChild>
                        <w:div w:id="1452434118">
                          <w:marLeft w:val="0"/>
                          <w:marRight w:val="0"/>
                          <w:marTop w:val="0"/>
                          <w:marBottom w:val="0"/>
                          <w:divBdr>
                            <w:top w:val="none" w:sz="0" w:space="0" w:color="auto"/>
                            <w:left w:val="none" w:sz="0" w:space="0" w:color="auto"/>
                            <w:bottom w:val="none" w:sz="0" w:space="0" w:color="auto"/>
                            <w:right w:val="none" w:sz="0" w:space="0" w:color="auto"/>
                          </w:divBdr>
                          <w:divsChild>
                            <w:div w:id="1843818149">
                              <w:marLeft w:val="0"/>
                              <w:marRight w:val="0"/>
                              <w:marTop w:val="0"/>
                              <w:marBottom w:val="0"/>
                              <w:divBdr>
                                <w:top w:val="none" w:sz="0" w:space="0" w:color="auto"/>
                                <w:left w:val="none" w:sz="0" w:space="0" w:color="auto"/>
                                <w:bottom w:val="none" w:sz="0" w:space="0" w:color="auto"/>
                                <w:right w:val="none" w:sz="0" w:space="0" w:color="auto"/>
                              </w:divBdr>
                              <w:divsChild>
                                <w:div w:id="757288114">
                                  <w:marLeft w:val="0"/>
                                  <w:marRight w:val="0"/>
                                  <w:marTop w:val="0"/>
                                  <w:marBottom w:val="0"/>
                                  <w:divBdr>
                                    <w:top w:val="none" w:sz="0" w:space="0" w:color="auto"/>
                                    <w:left w:val="none" w:sz="0" w:space="0" w:color="auto"/>
                                    <w:bottom w:val="none" w:sz="0" w:space="0" w:color="auto"/>
                                    <w:right w:val="none" w:sz="0" w:space="0" w:color="auto"/>
                                  </w:divBdr>
                                  <w:divsChild>
                                    <w:div w:id="79837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6711484">
      <w:bodyDiv w:val="1"/>
      <w:marLeft w:val="0"/>
      <w:marRight w:val="0"/>
      <w:marTop w:val="0"/>
      <w:marBottom w:val="0"/>
      <w:divBdr>
        <w:top w:val="none" w:sz="0" w:space="0" w:color="auto"/>
        <w:left w:val="none" w:sz="0" w:space="0" w:color="auto"/>
        <w:bottom w:val="none" w:sz="0" w:space="0" w:color="auto"/>
        <w:right w:val="none" w:sz="0" w:space="0" w:color="auto"/>
      </w:divBdr>
    </w:div>
    <w:div w:id="414322125">
      <w:bodyDiv w:val="1"/>
      <w:marLeft w:val="0"/>
      <w:marRight w:val="0"/>
      <w:marTop w:val="0"/>
      <w:marBottom w:val="0"/>
      <w:divBdr>
        <w:top w:val="none" w:sz="0" w:space="0" w:color="auto"/>
        <w:left w:val="none" w:sz="0" w:space="0" w:color="auto"/>
        <w:bottom w:val="none" w:sz="0" w:space="0" w:color="auto"/>
        <w:right w:val="none" w:sz="0" w:space="0" w:color="auto"/>
      </w:divBdr>
    </w:div>
    <w:div w:id="414471705">
      <w:bodyDiv w:val="1"/>
      <w:marLeft w:val="0"/>
      <w:marRight w:val="0"/>
      <w:marTop w:val="0"/>
      <w:marBottom w:val="0"/>
      <w:divBdr>
        <w:top w:val="none" w:sz="0" w:space="0" w:color="auto"/>
        <w:left w:val="none" w:sz="0" w:space="0" w:color="auto"/>
        <w:bottom w:val="none" w:sz="0" w:space="0" w:color="auto"/>
        <w:right w:val="none" w:sz="0" w:space="0" w:color="auto"/>
      </w:divBdr>
    </w:div>
    <w:div w:id="447238288">
      <w:bodyDiv w:val="1"/>
      <w:marLeft w:val="0"/>
      <w:marRight w:val="0"/>
      <w:marTop w:val="0"/>
      <w:marBottom w:val="0"/>
      <w:divBdr>
        <w:top w:val="none" w:sz="0" w:space="0" w:color="auto"/>
        <w:left w:val="none" w:sz="0" w:space="0" w:color="auto"/>
        <w:bottom w:val="none" w:sz="0" w:space="0" w:color="auto"/>
        <w:right w:val="none" w:sz="0" w:space="0" w:color="auto"/>
      </w:divBdr>
    </w:div>
    <w:div w:id="457072976">
      <w:bodyDiv w:val="1"/>
      <w:marLeft w:val="0"/>
      <w:marRight w:val="0"/>
      <w:marTop w:val="0"/>
      <w:marBottom w:val="0"/>
      <w:divBdr>
        <w:top w:val="none" w:sz="0" w:space="0" w:color="auto"/>
        <w:left w:val="none" w:sz="0" w:space="0" w:color="auto"/>
        <w:bottom w:val="none" w:sz="0" w:space="0" w:color="auto"/>
        <w:right w:val="none" w:sz="0" w:space="0" w:color="auto"/>
      </w:divBdr>
    </w:div>
    <w:div w:id="484980193">
      <w:bodyDiv w:val="1"/>
      <w:marLeft w:val="0"/>
      <w:marRight w:val="0"/>
      <w:marTop w:val="0"/>
      <w:marBottom w:val="0"/>
      <w:divBdr>
        <w:top w:val="none" w:sz="0" w:space="0" w:color="auto"/>
        <w:left w:val="none" w:sz="0" w:space="0" w:color="auto"/>
        <w:bottom w:val="none" w:sz="0" w:space="0" w:color="auto"/>
        <w:right w:val="none" w:sz="0" w:space="0" w:color="auto"/>
      </w:divBdr>
    </w:div>
    <w:div w:id="503974906">
      <w:bodyDiv w:val="1"/>
      <w:marLeft w:val="0"/>
      <w:marRight w:val="0"/>
      <w:marTop w:val="0"/>
      <w:marBottom w:val="0"/>
      <w:divBdr>
        <w:top w:val="none" w:sz="0" w:space="0" w:color="auto"/>
        <w:left w:val="none" w:sz="0" w:space="0" w:color="auto"/>
        <w:bottom w:val="none" w:sz="0" w:space="0" w:color="auto"/>
        <w:right w:val="none" w:sz="0" w:space="0" w:color="auto"/>
      </w:divBdr>
    </w:div>
    <w:div w:id="653223400">
      <w:bodyDiv w:val="1"/>
      <w:marLeft w:val="0"/>
      <w:marRight w:val="0"/>
      <w:marTop w:val="0"/>
      <w:marBottom w:val="0"/>
      <w:divBdr>
        <w:top w:val="none" w:sz="0" w:space="0" w:color="auto"/>
        <w:left w:val="none" w:sz="0" w:space="0" w:color="auto"/>
        <w:bottom w:val="none" w:sz="0" w:space="0" w:color="auto"/>
        <w:right w:val="none" w:sz="0" w:space="0" w:color="auto"/>
      </w:divBdr>
    </w:div>
    <w:div w:id="690716501">
      <w:bodyDiv w:val="1"/>
      <w:marLeft w:val="0"/>
      <w:marRight w:val="0"/>
      <w:marTop w:val="0"/>
      <w:marBottom w:val="0"/>
      <w:divBdr>
        <w:top w:val="none" w:sz="0" w:space="0" w:color="auto"/>
        <w:left w:val="none" w:sz="0" w:space="0" w:color="auto"/>
        <w:bottom w:val="none" w:sz="0" w:space="0" w:color="auto"/>
        <w:right w:val="none" w:sz="0" w:space="0" w:color="auto"/>
      </w:divBdr>
    </w:div>
    <w:div w:id="746194362">
      <w:bodyDiv w:val="1"/>
      <w:marLeft w:val="0"/>
      <w:marRight w:val="0"/>
      <w:marTop w:val="0"/>
      <w:marBottom w:val="0"/>
      <w:divBdr>
        <w:top w:val="none" w:sz="0" w:space="0" w:color="auto"/>
        <w:left w:val="none" w:sz="0" w:space="0" w:color="auto"/>
        <w:bottom w:val="none" w:sz="0" w:space="0" w:color="auto"/>
        <w:right w:val="none" w:sz="0" w:space="0" w:color="auto"/>
      </w:divBdr>
    </w:div>
    <w:div w:id="752094506">
      <w:bodyDiv w:val="1"/>
      <w:marLeft w:val="0"/>
      <w:marRight w:val="0"/>
      <w:marTop w:val="0"/>
      <w:marBottom w:val="0"/>
      <w:divBdr>
        <w:top w:val="none" w:sz="0" w:space="0" w:color="auto"/>
        <w:left w:val="none" w:sz="0" w:space="0" w:color="auto"/>
        <w:bottom w:val="none" w:sz="0" w:space="0" w:color="auto"/>
        <w:right w:val="none" w:sz="0" w:space="0" w:color="auto"/>
      </w:divBdr>
    </w:div>
    <w:div w:id="786779991">
      <w:bodyDiv w:val="1"/>
      <w:marLeft w:val="0"/>
      <w:marRight w:val="0"/>
      <w:marTop w:val="0"/>
      <w:marBottom w:val="0"/>
      <w:divBdr>
        <w:top w:val="none" w:sz="0" w:space="0" w:color="auto"/>
        <w:left w:val="none" w:sz="0" w:space="0" w:color="auto"/>
        <w:bottom w:val="none" w:sz="0" w:space="0" w:color="auto"/>
        <w:right w:val="none" w:sz="0" w:space="0" w:color="auto"/>
      </w:divBdr>
    </w:div>
    <w:div w:id="797643879">
      <w:bodyDiv w:val="1"/>
      <w:marLeft w:val="0"/>
      <w:marRight w:val="0"/>
      <w:marTop w:val="0"/>
      <w:marBottom w:val="0"/>
      <w:divBdr>
        <w:top w:val="none" w:sz="0" w:space="0" w:color="auto"/>
        <w:left w:val="none" w:sz="0" w:space="0" w:color="auto"/>
        <w:bottom w:val="none" w:sz="0" w:space="0" w:color="auto"/>
        <w:right w:val="none" w:sz="0" w:space="0" w:color="auto"/>
      </w:divBdr>
    </w:div>
    <w:div w:id="942765932">
      <w:bodyDiv w:val="1"/>
      <w:marLeft w:val="0"/>
      <w:marRight w:val="0"/>
      <w:marTop w:val="0"/>
      <w:marBottom w:val="0"/>
      <w:divBdr>
        <w:top w:val="none" w:sz="0" w:space="0" w:color="auto"/>
        <w:left w:val="none" w:sz="0" w:space="0" w:color="auto"/>
        <w:bottom w:val="none" w:sz="0" w:space="0" w:color="auto"/>
        <w:right w:val="none" w:sz="0" w:space="0" w:color="auto"/>
      </w:divBdr>
    </w:div>
    <w:div w:id="946347997">
      <w:bodyDiv w:val="1"/>
      <w:marLeft w:val="0"/>
      <w:marRight w:val="0"/>
      <w:marTop w:val="0"/>
      <w:marBottom w:val="0"/>
      <w:divBdr>
        <w:top w:val="none" w:sz="0" w:space="0" w:color="auto"/>
        <w:left w:val="none" w:sz="0" w:space="0" w:color="auto"/>
        <w:bottom w:val="none" w:sz="0" w:space="0" w:color="auto"/>
        <w:right w:val="none" w:sz="0" w:space="0" w:color="auto"/>
      </w:divBdr>
    </w:div>
    <w:div w:id="1109006879">
      <w:bodyDiv w:val="1"/>
      <w:marLeft w:val="0"/>
      <w:marRight w:val="0"/>
      <w:marTop w:val="0"/>
      <w:marBottom w:val="0"/>
      <w:divBdr>
        <w:top w:val="none" w:sz="0" w:space="0" w:color="auto"/>
        <w:left w:val="none" w:sz="0" w:space="0" w:color="auto"/>
        <w:bottom w:val="none" w:sz="0" w:space="0" w:color="auto"/>
        <w:right w:val="none" w:sz="0" w:space="0" w:color="auto"/>
      </w:divBdr>
    </w:div>
    <w:div w:id="1168448656">
      <w:bodyDiv w:val="1"/>
      <w:marLeft w:val="0"/>
      <w:marRight w:val="0"/>
      <w:marTop w:val="0"/>
      <w:marBottom w:val="0"/>
      <w:divBdr>
        <w:top w:val="none" w:sz="0" w:space="0" w:color="auto"/>
        <w:left w:val="none" w:sz="0" w:space="0" w:color="auto"/>
        <w:bottom w:val="none" w:sz="0" w:space="0" w:color="auto"/>
        <w:right w:val="none" w:sz="0" w:space="0" w:color="auto"/>
      </w:divBdr>
    </w:div>
    <w:div w:id="1230732294">
      <w:bodyDiv w:val="1"/>
      <w:marLeft w:val="0"/>
      <w:marRight w:val="0"/>
      <w:marTop w:val="0"/>
      <w:marBottom w:val="0"/>
      <w:divBdr>
        <w:top w:val="none" w:sz="0" w:space="0" w:color="auto"/>
        <w:left w:val="none" w:sz="0" w:space="0" w:color="auto"/>
        <w:bottom w:val="none" w:sz="0" w:space="0" w:color="auto"/>
        <w:right w:val="none" w:sz="0" w:space="0" w:color="auto"/>
      </w:divBdr>
    </w:div>
    <w:div w:id="1268191800">
      <w:bodyDiv w:val="1"/>
      <w:marLeft w:val="0"/>
      <w:marRight w:val="0"/>
      <w:marTop w:val="0"/>
      <w:marBottom w:val="0"/>
      <w:divBdr>
        <w:top w:val="none" w:sz="0" w:space="0" w:color="auto"/>
        <w:left w:val="none" w:sz="0" w:space="0" w:color="auto"/>
        <w:bottom w:val="none" w:sz="0" w:space="0" w:color="auto"/>
        <w:right w:val="none" w:sz="0" w:space="0" w:color="auto"/>
      </w:divBdr>
    </w:div>
    <w:div w:id="1344358518">
      <w:bodyDiv w:val="1"/>
      <w:marLeft w:val="0"/>
      <w:marRight w:val="0"/>
      <w:marTop w:val="0"/>
      <w:marBottom w:val="0"/>
      <w:divBdr>
        <w:top w:val="none" w:sz="0" w:space="0" w:color="auto"/>
        <w:left w:val="none" w:sz="0" w:space="0" w:color="auto"/>
        <w:bottom w:val="none" w:sz="0" w:space="0" w:color="auto"/>
        <w:right w:val="none" w:sz="0" w:space="0" w:color="auto"/>
      </w:divBdr>
    </w:div>
    <w:div w:id="1366322348">
      <w:bodyDiv w:val="1"/>
      <w:marLeft w:val="0"/>
      <w:marRight w:val="0"/>
      <w:marTop w:val="0"/>
      <w:marBottom w:val="0"/>
      <w:divBdr>
        <w:top w:val="none" w:sz="0" w:space="0" w:color="auto"/>
        <w:left w:val="none" w:sz="0" w:space="0" w:color="auto"/>
        <w:bottom w:val="none" w:sz="0" w:space="0" w:color="auto"/>
        <w:right w:val="none" w:sz="0" w:space="0" w:color="auto"/>
      </w:divBdr>
    </w:div>
    <w:div w:id="1436095905">
      <w:bodyDiv w:val="1"/>
      <w:marLeft w:val="0"/>
      <w:marRight w:val="0"/>
      <w:marTop w:val="0"/>
      <w:marBottom w:val="0"/>
      <w:divBdr>
        <w:top w:val="none" w:sz="0" w:space="0" w:color="auto"/>
        <w:left w:val="none" w:sz="0" w:space="0" w:color="auto"/>
        <w:bottom w:val="none" w:sz="0" w:space="0" w:color="auto"/>
        <w:right w:val="none" w:sz="0" w:space="0" w:color="auto"/>
      </w:divBdr>
    </w:div>
    <w:div w:id="1444837507">
      <w:bodyDiv w:val="1"/>
      <w:marLeft w:val="0"/>
      <w:marRight w:val="0"/>
      <w:marTop w:val="0"/>
      <w:marBottom w:val="0"/>
      <w:divBdr>
        <w:top w:val="none" w:sz="0" w:space="0" w:color="auto"/>
        <w:left w:val="none" w:sz="0" w:space="0" w:color="auto"/>
        <w:bottom w:val="none" w:sz="0" w:space="0" w:color="auto"/>
        <w:right w:val="none" w:sz="0" w:space="0" w:color="auto"/>
      </w:divBdr>
    </w:div>
    <w:div w:id="1558272790">
      <w:bodyDiv w:val="1"/>
      <w:marLeft w:val="0"/>
      <w:marRight w:val="0"/>
      <w:marTop w:val="0"/>
      <w:marBottom w:val="0"/>
      <w:divBdr>
        <w:top w:val="none" w:sz="0" w:space="0" w:color="auto"/>
        <w:left w:val="none" w:sz="0" w:space="0" w:color="auto"/>
        <w:bottom w:val="none" w:sz="0" w:space="0" w:color="auto"/>
        <w:right w:val="none" w:sz="0" w:space="0" w:color="auto"/>
      </w:divBdr>
    </w:div>
    <w:div w:id="1589078938">
      <w:bodyDiv w:val="1"/>
      <w:marLeft w:val="0"/>
      <w:marRight w:val="0"/>
      <w:marTop w:val="0"/>
      <w:marBottom w:val="0"/>
      <w:divBdr>
        <w:top w:val="none" w:sz="0" w:space="0" w:color="auto"/>
        <w:left w:val="none" w:sz="0" w:space="0" w:color="auto"/>
        <w:bottom w:val="none" w:sz="0" w:space="0" w:color="auto"/>
        <w:right w:val="none" w:sz="0" w:space="0" w:color="auto"/>
      </w:divBdr>
    </w:div>
    <w:div w:id="1690449199">
      <w:bodyDiv w:val="1"/>
      <w:marLeft w:val="0"/>
      <w:marRight w:val="0"/>
      <w:marTop w:val="0"/>
      <w:marBottom w:val="0"/>
      <w:divBdr>
        <w:top w:val="none" w:sz="0" w:space="0" w:color="auto"/>
        <w:left w:val="none" w:sz="0" w:space="0" w:color="auto"/>
        <w:bottom w:val="none" w:sz="0" w:space="0" w:color="auto"/>
        <w:right w:val="none" w:sz="0" w:space="0" w:color="auto"/>
      </w:divBdr>
    </w:div>
    <w:div w:id="1713337364">
      <w:bodyDiv w:val="1"/>
      <w:marLeft w:val="0"/>
      <w:marRight w:val="0"/>
      <w:marTop w:val="0"/>
      <w:marBottom w:val="0"/>
      <w:divBdr>
        <w:top w:val="none" w:sz="0" w:space="0" w:color="auto"/>
        <w:left w:val="none" w:sz="0" w:space="0" w:color="auto"/>
        <w:bottom w:val="none" w:sz="0" w:space="0" w:color="auto"/>
        <w:right w:val="none" w:sz="0" w:space="0" w:color="auto"/>
      </w:divBdr>
    </w:div>
    <w:div w:id="1733575401">
      <w:bodyDiv w:val="1"/>
      <w:marLeft w:val="0"/>
      <w:marRight w:val="0"/>
      <w:marTop w:val="0"/>
      <w:marBottom w:val="0"/>
      <w:divBdr>
        <w:top w:val="none" w:sz="0" w:space="0" w:color="auto"/>
        <w:left w:val="none" w:sz="0" w:space="0" w:color="auto"/>
        <w:bottom w:val="none" w:sz="0" w:space="0" w:color="auto"/>
        <w:right w:val="none" w:sz="0" w:space="0" w:color="auto"/>
      </w:divBdr>
    </w:div>
    <w:div w:id="1739478285">
      <w:bodyDiv w:val="1"/>
      <w:marLeft w:val="0"/>
      <w:marRight w:val="0"/>
      <w:marTop w:val="0"/>
      <w:marBottom w:val="0"/>
      <w:divBdr>
        <w:top w:val="none" w:sz="0" w:space="0" w:color="auto"/>
        <w:left w:val="none" w:sz="0" w:space="0" w:color="auto"/>
        <w:bottom w:val="none" w:sz="0" w:space="0" w:color="auto"/>
        <w:right w:val="none" w:sz="0" w:space="0" w:color="auto"/>
      </w:divBdr>
    </w:div>
    <w:div w:id="1745953170">
      <w:bodyDiv w:val="1"/>
      <w:marLeft w:val="0"/>
      <w:marRight w:val="0"/>
      <w:marTop w:val="0"/>
      <w:marBottom w:val="0"/>
      <w:divBdr>
        <w:top w:val="none" w:sz="0" w:space="0" w:color="auto"/>
        <w:left w:val="none" w:sz="0" w:space="0" w:color="auto"/>
        <w:bottom w:val="none" w:sz="0" w:space="0" w:color="auto"/>
        <w:right w:val="none" w:sz="0" w:space="0" w:color="auto"/>
      </w:divBdr>
    </w:div>
    <w:div w:id="1765101787">
      <w:bodyDiv w:val="1"/>
      <w:marLeft w:val="0"/>
      <w:marRight w:val="0"/>
      <w:marTop w:val="0"/>
      <w:marBottom w:val="0"/>
      <w:divBdr>
        <w:top w:val="none" w:sz="0" w:space="0" w:color="auto"/>
        <w:left w:val="none" w:sz="0" w:space="0" w:color="auto"/>
        <w:bottom w:val="none" w:sz="0" w:space="0" w:color="auto"/>
        <w:right w:val="none" w:sz="0" w:space="0" w:color="auto"/>
      </w:divBdr>
    </w:div>
    <w:div w:id="1765104420">
      <w:bodyDiv w:val="1"/>
      <w:marLeft w:val="0"/>
      <w:marRight w:val="0"/>
      <w:marTop w:val="0"/>
      <w:marBottom w:val="0"/>
      <w:divBdr>
        <w:top w:val="none" w:sz="0" w:space="0" w:color="auto"/>
        <w:left w:val="none" w:sz="0" w:space="0" w:color="auto"/>
        <w:bottom w:val="none" w:sz="0" w:space="0" w:color="auto"/>
        <w:right w:val="none" w:sz="0" w:space="0" w:color="auto"/>
      </w:divBdr>
    </w:div>
    <w:div w:id="1793939123">
      <w:bodyDiv w:val="1"/>
      <w:marLeft w:val="0"/>
      <w:marRight w:val="0"/>
      <w:marTop w:val="0"/>
      <w:marBottom w:val="0"/>
      <w:divBdr>
        <w:top w:val="none" w:sz="0" w:space="0" w:color="auto"/>
        <w:left w:val="none" w:sz="0" w:space="0" w:color="auto"/>
        <w:bottom w:val="none" w:sz="0" w:space="0" w:color="auto"/>
        <w:right w:val="none" w:sz="0" w:space="0" w:color="auto"/>
      </w:divBdr>
    </w:div>
    <w:div w:id="1841188378">
      <w:bodyDiv w:val="1"/>
      <w:marLeft w:val="0"/>
      <w:marRight w:val="0"/>
      <w:marTop w:val="0"/>
      <w:marBottom w:val="0"/>
      <w:divBdr>
        <w:top w:val="none" w:sz="0" w:space="0" w:color="auto"/>
        <w:left w:val="none" w:sz="0" w:space="0" w:color="auto"/>
        <w:bottom w:val="none" w:sz="0" w:space="0" w:color="auto"/>
        <w:right w:val="none" w:sz="0" w:space="0" w:color="auto"/>
      </w:divBdr>
    </w:div>
    <w:div w:id="1858155229">
      <w:bodyDiv w:val="1"/>
      <w:marLeft w:val="0"/>
      <w:marRight w:val="0"/>
      <w:marTop w:val="0"/>
      <w:marBottom w:val="0"/>
      <w:divBdr>
        <w:top w:val="none" w:sz="0" w:space="0" w:color="auto"/>
        <w:left w:val="none" w:sz="0" w:space="0" w:color="auto"/>
        <w:bottom w:val="none" w:sz="0" w:space="0" w:color="auto"/>
        <w:right w:val="none" w:sz="0" w:space="0" w:color="auto"/>
      </w:divBdr>
    </w:div>
    <w:div w:id="1859201110">
      <w:bodyDiv w:val="1"/>
      <w:marLeft w:val="0"/>
      <w:marRight w:val="0"/>
      <w:marTop w:val="0"/>
      <w:marBottom w:val="0"/>
      <w:divBdr>
        <w:top w:val="none" w:sz="0" w:space="0" w:color="auto"/>
        <w:left w:val="none" w:sz="0" w:space="0" w:color="auto"/>
        <w:bottom w:val="none" w:sz="0" w:space="0" w:color="auto"/>
        <w:right w:val="none" w:sz="0" w:space="0" w:color="auto"/>
      </w:divBdr>
      <w:divsChild>
        <w:div w:id="1262105219">
          <w:marLeft w:val="0"/>
          <w:marRight w:val="0"/>
          <w:marTop w:val="0"/>
          <w:marBottom w:val="0"/>
          <w:divBdr>
            <w:top w:val="none" w:sz="0" w:space="0" w:color="auto"/>
            <w:left w:val="none" w:sz="0" w:space="0" w:color="auto"/>
            <w:bottom w:val="none" w:sz="0" w:space="0" w:color="auto"/>
            <w:right w:val="none" w:sz="0" w:space="0" w:color="auto"/>
          </w:divBdr>
          <w:divsChild>
            <w:div w:id="1047146044">
              <w:marLeft w:val="0"/>
              <w:marRight w:val="0"/>
              <w:marTop w:val="0"/>
              <w:marBottom w:val="0"/>
              <w:divBdr>
                <w:top w:val="none" w:sz="0" w:space="0" w:color="auto"/>
                <w:left w:val="none" w:sz="0" w:space="0" w:color="auto"/>
                <w:bottom w:val="none" w:sz="0" w:space="0" w:color="auto"/>
                <w:right w:val="none" w:sz="0" w:space="0" w:color="auto"/>
              </w:divBdr>
              <w:divsChild>
                <w:div w:id="809054003">
                  <w:marLeft w:val="0"/>
                  <w:marRight w:val="0"/>
                  <w:marTop w:val="0"/>
                  <w:marBottom w:val="0"/>
                  <w:divBdr>
                    <w:top w:val="none" w:sz="0" w:space="0" w:color="auto"/>
                    <w:left w:val="none" w:sz="0" w:space="0" w:color="auto"/>
                    <w:bottom w:val="none" w:sz="0" w:space="0" w:color="auto"/>
                    <w:right w:val="none" w:sz="0" w:space="0" w:color="auto"/>
                  </w:divBdr>
                  <w:divsChild>
                    <w:div w:id="1645574807">
                      <w:marLeft w:val="0"/>
                      <w:marRight w:val="0"/>
                      <w:marTop w:val="0"/>
                      <w:marBottom w:val="0"/>
                      <w:divBdr>
                        <w:top w:val="none" w:sz="0" w:space="0" w:color="auto"/>
                        <w:left w:val="none" w:sz="0" w:space="0" w:color="auto"/>
                        <w:bottom w:val="none" w:sz="0" w:space="0" w:color="auto"/>
                        <w:right w:val="none" w:sz="0" w:space="0" w:color="auto"/>
                      </w:divBdr>
                      <w:divsChild>
                        <w:div w:id="980187837">
                          <w:marLeft w:val="0"/>
                          <w:marRight w:val="0"/>
                          <w:marTop w:val="0"/>
                          <w:marBottom w:val="0"/>
                          <w:divBdr>
                            <w:top w:val="none" w:sz="0" w:space="0" w:color="auto"/>
                            <w:left w:val="none" w:sz="0" w:space="0" w:color="auto"/>
                            <w:bottom w:val="none" w:sz="0" w:space="0" w:color="auto"/>
                            <w:right w:val="none" w:sz="0" w:space="0" w:color="auto"/>
                          </w:divBdr>
                          <w:divsChild>
                            <w:div w:id="600185095">
                              <w:marLeft w:val="0"/>
                              <w:marRight w:val="0"/>
                              <w:marTop w:val="0"/>
                              <w:marBottom w:val="0"/>
                              <w:divBdr>
                                <w:top w:val="none" w:sz="0" w:space="0" w:color="auto"/>
                                <w:left w:val="none" w:sz="0" w:space="0" w:color="auto"/>
                                <w:bottom w:val="none" w:sz="0" w:space="0" w:color="auto"/>
                                <w:right w:val="none" w:sz="0" w:space="0" w:color="auto"/>
                              </w:divBdr>
                              <w:divsChild>
                                <w:div w:id="421731457">
                                  <w:marLeft w:val="0"/>
                                  <w:marRight w:val="0"/>
                                  <w:marTop w:val="0"/>
                                  <w:marBottom w:val="0"/>
                                  <w:divBdr>
                                    <w:top w:val="none" w:sz="0" w:space="0" w:color="auto"/>
                                    <w:left w:val="none" w:sz="0" w:space="0" w:color="auto"/>
                                    <w:bottom w:val="none" w:sz="0" w:space="0" w:color="auto"/>
                                    <w:right w:val="none" w:sz="0" w:space="0" w:color="auto"/>
                                  </w:divBdr>
                                  <w:divsChild>
                                    <w:div w:id="1216620166">
                                      <w:marLeft w:val="0"/>
                                      <w:marRight w:val="0"/>
                                      <w:marTop w:val="0"/>
                                      <w:marBottom w:val="0"/>
                                      <w:divBdr>
                                        <w:top w:val="none" w:sz="0" w:space="0" w:color="auto"/>
                                        <w:left w:val="none" w:sz="0" w:space="0" w:color="auto"/>
                                        <w:bottom w:val="none" w:sz="0" w:space="0" w:color="auto"/>
                                        <w:right w:val="none" w:sz="0" w:space="0" w:color="auto"/>
                                      </w:divBdr>
                                    </w:div>
                                    <w:div w:id="1953970728">
                                      <w:marLeft w:val="0"/>
                                      <w:marRight w:val="0"/>
                                      <w:marTop w:val="0"/>
                                      <w:marBottom w:val="0"/>
                                      <w:divBdr>
                                        <w:top w:val="none" w:sz="0" w:space="0" w:color="auto"/>
                                        <w:left w:val="none" w:sz="0" w:space="0" w:color="auto"/>
                                        <w:bottom w:val="none" w:sz="0" w:space="0" w:color="auto"/>
                                        <w:right w:val="none" w:sz="0" w:space="0" w:color="auto"/>
                                      </w:divBdr>
                                      <w:divsChild>
                                        <w:div w:id="10985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1644609">
      <w:bodyDiv w:val="1"/>
      <w:marLeft w:val="0"/>
      <w:marRight w:val="0"/>
      <w:marTop w:val="0"/>
      <w:marBottom w:val="0"/>
      <w:divBdr>
        <w:top w:val="none" w:sz="0" w:space="0" w:color="auto"/>
        <w:left w:val="none" w:sz="0" w:space="0" w:color="auto"/>
        <w:bottom w:val="none" w:sz="0" w:space="0" w:color="auto"/>
        <w:right w:val="none" w:sz="0" w:space="0" w:color="auto"/>
      </w:divBdr>
    </w:div>
    <w:div w:id="2001808309">
      <w:bodyDiv w:val="1"/>
      <w:marLeft w:val="0"/>
      <w:marRight w:val="0"/>
      <w:marTop w:val="0"/>
      <w:marBottom w:val="0"/>
      <w:divBdr>
        <w:top w:val="none" w:sz="0" w:space="0" w:color="auto"/>
        <w:left w:val="none" w:sz="0" w:space="0" w:color="auto"/>
        <w:bottom w:val="none" w:sz="0" w:space="0" w:color="auto"/>
        <w:right w:val="none" w:sz="0" w:space="0" w:color="auto"/>
      </w:divBdr>
    </w:div>
    <w:div w:id="2016879733">
      <w:bodyDiv w:val="1"/>
      <w:marLeft w:val="0"/>
      <w:marRight w:val="0"/>
      <w:marTop w:val="0"/>
      <w:marBottom w:val="0"/>
      <w:divBdr>
        <w:top w:val="none" w:sz="0" w:space="0" w:color="auto"/>
        <w:left w:val="none" w:sz="0" w:space="0" w:color="auto"/>
        <w:bottom w:val="none" w:sz="0" w:space="0" w:color="auto"/>
        <w:right w:val="none" w:sz="0" w:space="0" w:color="auto"/>
      </w:divBdr>
    </w:div>
    <w:div w:id="2020963727">
      <w:bodyDiv w:val="1"/>
      <w:marLeft w:val="0"/>
      <w:marRight w:val="0"/>
      <w:marTop w:val="0"/>
      <w:marBottom w:val="0"/>
      <w:divBdr>
        <w:top w:val="none" w:sz="0" w:space="0" w:color="auto"/>
        <w:left w:val="none" w:sz="0" w:space="0" w:color="auto"/>
        <w:bottom w:val="none" w:sz="0" w:space="0" w:color="auto"/>
        <w:right w:val="none" w:sz="0" w:space="0" w:color="auto"/>
      </w:divBdr>
    </w:div>
    <w:div w:id="2024278107">
      <w:bodyDiv w:val="1"/>
      <w:marLeft w:val="0"/>
      <w:marRight w:val="0"/>
      <w:marTop w:val="0"/>
      <w:marBottom w:val="0"/>
      <w:divBdr>
        <w:top w:val="none" w:sz="0" w:space="0" w:color="auto"/>
        <w:left w:val="none" w:sz="0" w:space="0" w:color="auto"/>
        <w:bottom w:val="none" w:sz="0" w:space="0" w:color="auto"/>
        <w:right w:val="none" w:sz="0" w:space="0" w:color="auto"/>
      </w:divBdr>
    </w:div>
    <w:div w:id="2064331048">
      <w:bodyDiv w:val="1"/>
      <w:marLeft w:val="0"/>
      <w:marRight w:val="0"/>
      <w:marTop w:val="0"/>
      <w:marBottom w:val="0"/>
      <w:divBdr>
        <w:top w:val="none" w:sz="0" w:space="0" w:color="auto"/>
        <w:left w:val="none" w:sz="0" w:space="0" w:color="auto"/>
        <w:bottom w:val="none" w:sz="0" w:space="0" w:color="auto"/>
        <w:right w:val="none" w:sz="0" w:space="0" w:color="auto"/>
      </w:divBdr>
    </w:div>
    <w:div w:id="2098013947">
      <w:bodyDiv w:val="1"/>
      <w:marLeft w:val="0"/>
      <w:marRight w:val="0"/>
      <w:marTop w:val="0"/>
      <w:marBottom w:val="0"/>
      <w:divBdr>
        <w:top w:val="none" w:sz="0" w:space="0" w:color="auto"/>
        <w:left w:val="none" w:sz="0" w:space="0" w:color="auto"/>
        <w:bottom w:val="none" w:sz="0" w:space="0" w:color="auto"/>
        <w:right w:val="none" w:sz="0" w:space="0" w:color="auto"/>
      </w:divBdr>
    </w:div>
    <w:div w:id="212075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header" Target="header12.xml"/><Relationship Id="rId21" Type="http://schemas.openxmlformats.org/officeDocument/2006/relationships/footer" Target="footer5.xml"/><Relationship Id="rId34" Type="http://schemas.openxmlformats.org/officeDocument/2006/relationships/image" Target="media/image6.emf"/><Relationship Id="rId42" Type="http://schemas.openxmlformats.org/officeDocument/2006/relationships/header" Target="header14.xml"/><Relationship Id="rId47" Type="http://schemas.openxmlformats.org/officeDocument/2006/relationships/image" Target="media/image7.emf"/><Relationship Id="rId50" Type="http://schemas.openxmlformats.org/officeDocument/2006/relationships/chart" Target="charts/chart1.xml"/><Relationship Id="rId55" Type="http://schemas.openxmlformats.org/officeDocument/2006/relationships/footer" Target="footer1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eader" Target="header9.xml"/><Relationship Id="rId41" Type="http://schemas.openxmlformats.org/officeDocument/2006/relationships/header" Target="header13.xml"/><Relationship Id="rId54" Type="http://schemas.openxmlformats.org/officeDocument/2006/relationships/header" Target="header17.xml"/><Relationship Id="rId62"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2.png"/><Relationship Id="rId32" Type="http://schemas.openxmlformats.org/officeDocument/2006/relationships/image" Target="media/image4.emf"/><Relationship Id="rId37" Type="http://schemas.openxmlformats.org/officeDocument/2006/relationships/footer" Target="footer10.xml"/><Relationship Id="rId40" Type="http://schemas.openxmlformats.org/officeDocument/2006/relationships/footer" Target="footer12.xml"/><Relationship Id="rId45" Type="http://schemas.openxmlformats.org/officeDocument/2006/relationships/header" Target="header15.xml"/><Relationship Id="rId53" Type="http://schemas.openxmlformats.org/officeDocument/2006/relationships/header" Target="header16.xml"/><Relationship Id="rId58" Type="http://schemas.openxmlformats.org/officeDocument/2006/relationships/footer" Target="foot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footer" Target="footer8.xml"/><Relationship Id="rId36" Type="http://schemas.openxmlformats.org/officeDocument/2006/relationships/header" Target="header11.xml"/><Relationship Id="rId49" Type="http://schemas.openxmlformats.org/officeDocument/2006/relationships/image" Target="media/image9.emf"/><Relationship Id="rId57" Type="http://schemas.openxmlformats.org/officeDocument/2006/relationships/header" Target="header18.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image" Target="media/image3.png"/><Relationship Id="rId44" Type="http://schemas.openxmlformats.org/officeDocument/2006/relationships/footer" Target="footer14.xml"/><Relationship Id="rId52" Type="http://schemas.openxmlformats.org/officeDocument/2006/relationships/image" Target="media/image11.png"/><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eader" Target="header10.xml"/><Relationship Id="rId43" Type="http://schemas.openxmlformats.org/officeDocument/2006/relationships/footer" Target="footer13.xml"/><Relationship Id="rId48" Type="http://schemas.openxmlformats.org/officeDocument/2006/relationships/image" Target="media/image8.emf"/><Relationship Id="rId56" Type="http://schemas.openxmlformats.org/officeDocument/2006/relationships/footer" Target="footer17.xml"/><Relationship Id="rId8" Type="http://schemas.openxmlformats.org/officeDocument/2006/relationships/webSettings" Target="webSettings.xml"/><Relationship Id="rId51" Type="http://schemas.openxmlformats.org/officeDocument/2006/relationships/image" Target="media/image10.png"/><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33" Type="http://schemas.openxmlformats.org/officeDocument/2006/relationships/image" Target="media/image5.png"/><Relationship Id="rId38" Type="http://schemas.openxmlformats.org/officeDocument/2006/relationships/footer" Target="footer11.xml"/><Relationship Id="rId46" Type="http://schemas.openxmlformats.org/officeDocument/2006/relationships/footer" Target="footer15.xml"/><Relationship Id="rId59"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s://eur-lex.europa.eu/legal-content/FR/TXT/?uri=CELEX:22020X1214(01)" TargetMode="External"/><Relationship Id="rId18" Type="http://schemas.openxmlformats.org/officeDocument/2006/relationships/hyperlink" Target="https://eur-lex.europa.eu/legal-content/FR/TXT/?uri=CELEX:12020W/TXT" TargetMode="External"/><Relationship Id="rId26" Type="http://schemas.openxmlformats.org/officeDocument/2006/relationships/hyperlink" Target="https://ec.europa.eu/clima/eu-action/eu-emissions-trading-system-eu-ets/auctioning_fr" TargetMode="External"/><Relationship Id="rId39" Type="http://schemas.openxmlformats.org/officeDocument/2006/relationships/hyperlink" Target="https://ec.europa.eu/clima/eu-action/eu-emissions-trading-system-eu-ets/market-stability-reserve_fr" TargetMode="External"/><Relationship Id="rId21" Type="http://schemas.openxmlformats.org/officeDocument/2006/relationships/hyperlink" Target="https://eur-lex.europa.eu/legal-content/FR/ALL/?uri=CELEX:32014D0746" TargetMode="External"/><Relationship Id="rId34" Type="http://schemas.openxmlformats.org/officeDocument/2006/relationships/hyperlink" Target="https://eur-lex.europa.eu/legal-content/FR/TXT/?uri=CELEX:52020XC0925(01)" TargetMode="External"/><Relationship Id="rId42" Type="http://schemas.openxmlformats.org/officeDocument/2006/relationships/hyperlink" Target="https://eur-lex.europa.eu/legal-content/FR/TXT/?uri=CELEX:52021PC0551" TargetMode="External"/><Relationship Id="rId47" Type="http://schemas.openxmlformats.org/officeDocument/2006/relationships/hyperlink" Target="https://www.icao.int/environmental-protection/CORSIA/Documents/CAEP_Update%20COVID-19%20impact%20analyses_Executive%20Summary.pdf" TargetMode="External"/><Relationship Id="rId50" Type="http://schemas.openxmlformats.org/officeDocument/2006/relationships/hyperlink" Target="https://eur-lex.europa.eu/legal-content/FR/TXT/?uri=CELEX:52021PC0552" TargetMode="External"/><Relationship Id="rId55" Type="http://schemas.openxmlformats.org/officeDocument/2006/relationships/hyperlink" Target="https://eur-lex.europa.eu/legal-content/FR/TXT/?uri=celex:32015L0849" TargetMode="External"/><Relationship Id="rId63" Type="http://schemas.openxmlformats.org/officeDocument/2006/relationships/hyperlink" Target="https://eur-lex.europa.eu/legal-content/FR/TXT/?uri=CELEX:02018R2067-20210101" TargetMode="External"/><Relationship Id="rId68" Type="http://schemas.openxmlformats.org/officeDocument/2006/relationships/hyperlink" Target="https://eur-lex.europa.eu/legal-content/FR/TXT/?uri=uriserv:OJ.L_.2019.330.01.0001.01.FRA" TargetMode="External"/><Relationship Id="rId7" Type="http://schemas.openxmlformats.org/officeDocument/2006/relationships/hyperlink" Target="https://eur-lex.europa.eu/legal-content/FR/TXT/?uri=CELEX:52021PC0552" TargetMode="External"/><Relationship Id="rId71" Type="http://schemas.openxmlformats.org/officeDocument/2006/relationships/hyperlink" Target="https://eur-lex.europa.eu/legal-content/FR/TXT/?toc=OJ:L:2018:328:TOC&amp;uri=uriserv:OJ.L_.2018.328.01.0001.01.FRA" TargetMode="External"/><Relationship Id="rId2" Type="http://schemas.openxmlformats.org/officeDocument/2006/relationships/hyperlink" Target="https://eur-lex.europa.eu/legal-content/FR/TXT/?uri=uriserv:OJ.L_.2018.328.01.0210.01.FRA" TargetMode="External"/><Relationship Id="rId16" Type="http://schemas.openxmlformats.org/officeDocument/2006/relationships/hyperlink" Target="https://eur-lex.europa.eu/legal-content/FR/TXT/?uri=CELEX:32019R1122" TargetMode="External"/><Relationship Id="rId29" Type="http://schemas.openxmlformats.org/officeDocument/2006/relationships/hyperlink" Target="https://ec.europa.eu/clima/eu-action/funding-climate-action/ner-300-programme_fr" TargetMode="External"/><Relationship Id="rId11" Type="http://schemas.openxmlformats.org/officeDocument/2006/relationships/hyperlink" Target="https://eur-lex.europa.eu/legal-content/FR/TXT/?uri=uriserv:OJ.L_.2021.149.01.0010.01.FRA&amp;toc=OJ:L:2021:149:TOC" TargetMode="External"/><Relationship Id="rId24" Type="http://schemas.openxmlformats.org/officeDocument/2006/relationships/hyperlink" Target="https://eur-lex.europa.eu/legal-content/FR/TXT/?toc=OJ:L:2015:264:TOC&amp;uri=uriserv:OJ.L_.2015.264.01.0001.01.FRA" TargetMode="External"/><Relationship Id="rId32" Type="http://schemas.openxmlformats.org/officeDocument/2006/relationships/hyperlink" Target="https://ec.europa.eu/info/funding-tenders/opportunities/portal/screen/opportunities/topic-details/innovfund-ssc-2020-single-stage" TargetMode="External"/><Relationship Id="rId37" Type="http://schemas.openxmlformats.org/officeDocument/2006/relationships/hyperlink" Target="https://eur-lex.europa.eu/legal-content/FR/TXT/?uri=CELEX:32018L0410" TargetMode="External"/><Relationship Id="rId40" Type="http://schemas.openxmlformats.org/officeDocument/2006/relationships/hyperlink" Target="https://ec.europa.eu/clima/eu-action/eu-emissions-trading-system-eu-ets/market-stability-reserve_fr" TargetMode="External"/><Relationship Id="rId45" Type="http://schemas.openxmlformats.org/officeDocument/2006/relationships/hyperlink" Target="https://eur-lex.europa.eu/legal-content/FR/TXT/?uri=CELEX:32013D0377" TargetMode="External"/><Relationship Id="rId53" Type="http://schemas.openxmlformats.org/officeDocument/2006/relationships/hyperlink" Target="https://eur-lex.europa.eu/legal-content/FR/TXT/?uri=celex:32010R1031" TargetMode="External"/><Relationship Id="rId58" Type="http://schemas.openxmlformats.org/officeDocument/2006/relationships/hyperlink" Target="https://registers.esma.europa.eu/publication/searchRegister?core=esma_registers_coder58" TargetMode="External"/><Relationship Id="rId66" Type="http://schemas.openxmlformats.org/officeDocument/2006/relationships/hyperlink" Target="https://eur-lex.europa.eu/eli/dec/2018/219" TargetMode="External"/><Relationship Id="rId74" Type="http://schemas.openxmlformats.org/officeDocument/2006/relationships/hyperlink" Target="https://eur-lex.europa.eu/legal-content/FR/TXT/PDF/?uri=CELEX:52020DC0564&amp;from=FR" TargetMode="External"/><Relationship Id="rId5" Type="http://schemas.openxmlformats.org/officeDocument/2006/relationships/hyperlink" Target="https://eur-lex.europa.eu/legal-content/FR/TXT/?uri=CELEX:52021PC0551" TargetMode="External"/><Relationship Id="rId15" Type="http://schemas.openxmlformats.org/officeDocument/2006/relationships/hyperlink" Target="https://eur-lex.europa.eu/legal-content/FR/TXT/?uri=CELEX:02017A1207(01)-20201105" TargetMode="External"/><Relationship Id="rId23" Type="http://schemas.openxmlformats.org/officeDocument/2006/relationships/hyperlink" Target="https://eur-lex.europa.eu/legal-content/FR/TXT/?uri=uriserv:OJ.L_.2017.019.01.0093.01.FRA" TargetMode="External"/><Relationship Id="rId28" Type="http://schemas.openxmlformats.org/officeDocument/2006/relationships/hyperlink" Target="https://eur-lex.europa.eu/legal-content/FR/TXT/?uri=CELEX:52020XC0925(01)" TargetMode="External"/><Relationship Id="rId36" Type="http://schemas.openxmlformats.org/officeDocument/2006/relationships/hyperlink" Target="https://eur-lex.europa.eu/legal-content/FR/TXT/?toc=OJ:L:2015:264:TOC&amp;uri=uriserv:OJ.L_.2015.264.01.0001.01.FRA" TargetMode="External"/><Relationship Id="rId49" Type="http://schemas.openxmlformats.org/officeDocument/2006/relationships/hyperlink" Target="https://eur-lex.europa.eu/legal-content/FR/TXT/?toc=OJ:L:2017:350:TOC&amp;uri=uriserv:OJ.L_.2017.350.01.0007.01.FRA" TargetMode="External"/><Relationship Id="rId57" Type="http://schemas.openxmlformats.org/officeDocument/2006/relationships/hyperlink" Target="https://www.esma.europa.eu/sites/default/files/library/esma70-156-478_opinion_on_market_size_calculation.pdf" TargetMode="External"/><Relationship Id="rId61" Type="http://schemas.openxmlformats.org/officeDocument/2006/relationships/hyperlink" Target="https://eur-lex.europa.eu/legal-content/FR/TXT/?toc=OJ:L:2018:334:TOC&amp;uri=uriserv:OJ.L_.2018.334.01.0094.01.FRA" TargetMode="External"/><Relationship Id="rId10" Type="http://schemas.openxmlformats.org/officeDocument/2006/relationships/hyperlink" Target="https://eur-lex.europa.eu/legal-content/FR/TXT/?uri=uriserv:OJ.L_.2018.328.01.0210.01.FRA" TargetMode="External"/><Relationship Id="rId19" Type="http://schemas.openxmlformats.org/officeDocument/2006/relationships/hyperlink" Target="https://eur-lex.europa.eu/legal-content/FR/TXT/?uri=CELEX:32020D1722" TargetMode="External"/><Relationship Id="rId31" Type="http://schemas.openxmlformats.org/officeDocument/2006/relationships/hyperlink" Target="https://ec.europa.eu/info/funding-tenders/opportunities/portal/screen/opportunities/topic-details/innovfund-lsc-2020-two-stage." TargetMode="External"/><Relationship Id="rId44" Type="http://schemas.openxmlformats.org/officeDocument/2006/relationships/hyperlink" Target="https://eur-lex.europa.eu/legal-content/FR/TXT/?uri=uriserv:OJ.CI.2020.428.01.0001.01.FRA" TargetMode="External"/><Relationship Id="rId52" Type="http://schemas.openxmlformats.org/officeDocument/2006/relationships/hyperlink" Target="https://eur-lex.europa.eu/legal-content/FR/TXT/?uri=celex:32014L0065" TargetMode="External"/><Relationship Id="rId60" Type="http://schemas.openxmlformats.org/officeDocument/2006/relationships/hyperlink" Target="https://eur-lex.europa.eu/legal-content/FR/TXT/?uri=uriserv:OJ.L_.2018.334.01.0001.01.FRA" TargetMode="External"/><Relationship Id="rId65" Type="http://schemas.openxmlformats.org/officeDocument/2006/relationships/hyperlink" Target="https://eur-lex.europa.eu/legal-content/FR/TXT/?uri=CELEX:22017A1207(01)" TargetMode="External"/><Relationship Id="rId73" Type="http://schemas.openxmlformats.org/officeDocument/2006/relationships/hyperlink" Target="https://www.measures.odyssee-mure.eu/energy-efficiency-policies-database.html" TargetMode="External"/><Relationship Id="rId4" Type="http://schemas.openxmlformats.org/officeDocument/2006/relationships/hyperlink" Target="https://eur-lex.europa.eu/legal-content/FR/TXT/?uri=CELEX:52021PC0551" TargetMode="External"/><Relationship Id="rId9" Type="http://schemas.openxmlformats.org/officeDocument/2006/relationships/hyperlink" Target="https://eur-lex.europa.eu/legal-content/FR/TXT/?uri=CELEX:02003L0087-20210101" TargetMode="External"/><Relationship Id="rId14" Type="http://schemas.openxmlformats.org/officeDocument/2006/relationships/hyperlink" Target="https://eur-lex.europa.eu/legal-content/FR/TXT/?uri=CELEX:32013R0389" TargetMode="External"/><Relationship Id="rId22" Type="http://schemas.openxmlformats.org/officeDocument/2006/relationships/hyperlink" Target="https://eur-lex.europa.eu/legal-content/FR/TXT/?uri=celex:32013D0448" TargetMode="External"/><Relationship Id="rId27" Type="http://schemas.openxmlformats.org/officeDocument/2006/relationships/hyperlink" Target="https://eur-lex.europa.eu/legal-content/FR/ALL/?uri=CELEX:52012XC0605(01)" TargetMode="External"/><Relationship Id="rId30" Type="http://schemas.openxmlformats.org/officeDocument/2006/relationships/hyperlink" Target="https://eur-lex.europa.eu/legal-content/FR/TXT/?uri=CELEX:32017D2172" TargetMode="External"/><Relationship Id="rId35" Type="http://schemas.openxmlformats.org/officeDocument/2006/relationships/hyperlink" Target="https://eur-lex.europa.eu/legal-content/FR/TXT/?uri=uriserv:OJ.L_.2018.328.01.0082.01.FRA" TargetMode="External"/><Relationship Id="rId43" Type="http://schemas.openxmlformats.org/officeDocument/2006/relationships/hyperlink" Target="https://eur-lex.europa.eu/legal-content/FR/TXT/?uri=CELEX:52021PC0571" TargetMode="External"/><Relationship Id="rId48" Type="http://schemas.openxmlformats.org/officeDocument/2006/relationships/hyperlink" Target="https://www.eurocontrol.int/covid19" TargetMode="External"/><Relationship Id="rId56" Type="http://schemas.openxmlformats.org/officeDocument/2006/relationships/hyperlink" Target="https://www.esma.europa.eu/sites/default/files/mar.pdf" TargetMode="External"/><Relationship Id="rId64" Type="http://schemas.openxmlformats.org/officeDocument/2006/relationships/hyperlink" Target="https://eur-lex.europa.eu/legal-content/FR/TXT/?uri=CELEX:32017D2240" TargetMode="External"/><Relationship Id="rId69" Type="http://schemas.openxmlformats.org/officeDocument/2006/relationships/hyperlink" Target="https://www.emissionsregistry.admin.ch/" TargetMode="External"/><Relationship Id="rId8" Type="http://schemas.openxmlformats.org/officeDocument/2006/relationships/hyperlink" Target="https://eur-lex.europa.eu/legal-content/FR/TXT/?uri=CELEX:52021PC0567" TargetMode="External"/><Relationship Id="rId51" Type="http://schemas.openxmlformats.org/officeDocument/2006/relationships/hyperlink" Target="https://eur-lex.europa.eu/legal-content/FR/TXT/PDF/?uri=CELEX:52021SC0603&amp;from=FR" TargetMode="External"/><Relationship Id="rId72" Type="http://schemas.openxmlformats.org/officeDocument/2006/relationships/hyperlink" Target="https://ec.europa.eu/energy/sites/ener/files/documents/c_2019_6621_-_annex_com_recom_energy_savings.pdf" TargetMode="External"/><Relationship Id="rId3" Type="http://schemas.openxmlformats.org/officeDocument/2006/relationships/hyperlink" Target="https://ec.europa.eu/info/strategy/priorities-2019-2024/european-green-deal/delivering-european-green-deal_fr" TargetMode="External"/><Relationship Id="rId12" Type="http://schemas.openxmlformats.org/officeDocument/2006/relationships/hyperlink" Target="https://eur-lex.europa.eu/legal-content/FR/TXT/?uri=CELEX:32021R1416" TargetMode="External"/><Relationship Id="rId17" Type="http://schemas.openxmlformats.org/officeDocument/2006/relationships/hyperlink" Target="https://eur-lex.europa.eu/legal-content/FR/TXT/?uri=CELEX:12020W/TXT" TargetMode="External"/><Relationship Id="rId25" Type="http://schemas.openxmlformats.org/officeDocument/2006/relationships/hyperlink" Target="https://eur-lex.europa.eu/LexUriServ/LexUriServ.do?uri=OJ:L:2010:302:0001:0041:FR:PDF" TargetMode="External"/><Relationship Id="rId33" Type="http://schemas.openxmlformats.org/officeDocument/2006/relationships/hyperlink" Target="https://eur-lex.europa.eu/legal-content/FR/ALL/?uri=CELEX:52012XC0605(01)" TargetMode="External"/><Relationship Id="rId38" Type="http://schemas.openxmlformats.org/officeDocument/2006/relationships/hyperlink" Target="https://ec.europa.eu/clima/eu-action/eu-emissions-trading-system-eu-ets/market-stability-reserve_fr" TargetMode="External"/><Relationship Id="rId46" Type="http://schemas.openxmlformats.org/officeDocument/2006/relationships/hyperlink" Target="https://eur-lex.europa.eu/legal-content/FR/TXT/?uri=uriserv:OJ.L_.2014.129.01.0001.01.FRA" TargetMode="External"/><Relationship Id="rId59" Type="http://schemas.openxmlformats.org/officeDocument/2006/relationships/hyperlink" Target="https://eur-lex.europa.eu/legal-content/FR/TXT/?uri=COM:2021:660:FIN&amp;qid=1634215984101" TargetMode="External"/><Relationship Id="rId67" Type="http://schemas.openxmlformats.org/officeDocument/2006/relationships/hyperlink" Target="https://eur-lex.europa.eu/legal-content/FR/TXT/?uri=CELEX:22020D1359" TargetMode="External"/><Relationship Id="rId20" Type="http://schemas.openxmlformats.org/officeDocument/2006/relationships/hyperlink" Target="https://eur-lex.europa.eu/legal-content/FR/TXT/?uri=CELEX:52020XC1211(07)" TargetMode="External"/><Relationship Id="rId41" Type="http://schemas.openxmlformats.org/officeDocument/2006/relationships/hyperlink" Target="https://ec.europa.eu/info/sites/default/files/revision-eu-ets_with-annex_en_0.pdf" TargetMode="External"/><Relationship Id="rId54" Type="http://schemas.openxmlformats.org/officeDocument/2006/relationships/hyperlink" Target="https://eur-lex.europa.eu/legal-content/FR/TXT/?uri=celex:32014R0596" TargetMode="External"/><Relationship Id="rId62" Type="http://schemas.openxmlformats.org/officeDocument/2006/relationships/hyperlink" Target="https://eur-lex.europa.eu/legal-content/FR/TXT/?uri=CELEX:02018R2066-20210101" TargetMode="External"/><Relationship Id="rId70" Type="http://schemas.openxmlformats.org/officeDocument/2006/relationships/hyperlink" Target="https://eur-lex.europa.eu/legal-content/FR/TXT/?uri=uriserv:OJ.L_.2018.328.01.0210.01.FRA" TargetMode="External"/><Relationship Id="rId75" Type="http://schemas.openxmlformats.org/officeDocument/2006/relationships/hyperlink" Target="https://ec.europa.eu/energy/topics/energy-strategy/national-energy-climate-plans/individual-assessments_en" TargetMode="External"/><Relationship Id="rId1" Type="http://schemas.openxmlformats.org/officeDocument/2006/relationships/hyperlink" Target="https://eur-lex.europa.eu/legal-content/FR/TXT/?uri=uriserv:OJ.L_.2018.328.01.0082.01.FRA" TargetMode="External"/><Relationship Id="rId6" Type="http://schemas.openxmlformats.org/officeDocument/2006/relationships/hyperlink" Target="https://eur-lex.europa.eu/legal-content/FR/TXT/?uri=CELEX:52021PC0571"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ziemaju\AppData\Local\Microsoft\Windows\INetCache\Content.Outlook\0MJFLY2X\charts%20for%20translation.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[charts for translation.xlsx]MSR composition updated!PivotTable7</c:name>
    <c:fmtId val="6"/>
  </c:pivotSource>
  <c:chart>
    <c:autoTitleDeleted val="1"/>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a:noFill/>
          </a:ln>
          <a:effectLst/>
        </c:spPr>
        <c:marker>
          <c:symbol val="none"/>
        </c:marker>
      </c:pivotFmt>
      <c:pivotFmt>
        <c:idx val="11"/>
        <c:spPr>
          <a:solidFill>
            <a:schemeClr val="accent1"/>
          </a:solidFill>
          <a:ln>
            <a:noFill/>
          </a:ln>
          <a:effectLst/>
        </c:spPr>
        <c:marker>
          <c:symbol val="none"/>
        </c:marker>
      </c:pivotFmt>
      <c:pivotFmt>
        <c:idx val="12"/>
        <c:spPr>
          <a:solidFill>
            <a:schemeClr val="accent1"/>
          </a:solidFill>
          <a:ln>
            <a:noFill/>
          </a:ln>
          <a:effectLst/>
        </c:spPr>
        <c:marker>
          <c:symbol val="none"/>
        </c:marker>
      </c:pivotFmt>
      <c:pivotFmt>
        <c:idx val="13"/>
        <c:spPr>
          <a:solidFill>
            <a:schemeClr val="accent1"/>
          </a:solidFill>
          <a:ln>
            <a:noFill/>
          </a:ln>
          <a:effectLst/>
        </c:spPr>
        <c:marker>
          <c:symbol val="none"/>
        </c:marker>
      </c:pivotFmt>
      <c:pivotFmt>
        <c:idx val="14"/>
        <c:spPr>
          <a:solidFill>
            <a:schemeClr val="accent1"/>
          </a:solidFill>
          <a:ln>
            <a:noFill/>
          </a:ln>
          <a:effectLst/>
        </c:spPr>
        <c:marker>
          <c:symbol val="none"/>
        </c:marker>
      </c:pivotFmt>
      <c:pivotFmt>
        <c:idx val="15"/>
        <c:spPr>
          <a:solidFill>
            <a:schemeClr val="accent1"/>
          </a:solidFill>
          <a:ln>
            <a:noFill/>
          </a:ln>
          <a:effectLst/>
        </c:spPr>
        <c:marker>
          <c:symbol val="none"/>
        </c:marker>
      </c:pivotFmt>
      <c:pivotFmt>
        <c:idx val="16"/>
        <c:spPr>
          <a:solidFill>
            <a:schemeClr val="accent1"/>
          </a:solidFill>
          <a:ln>
            <a:noFill/>
          </a:ln>
          <a:effectLst/>
        </c:spPr>
        <c:marker>
          <c:symbol val="none"/>
        </c:marker>
      </c:pivotFmt>
      <c:pivotFmt>
        <c:idx val="17"/>
        <c:spPr>
          <a:solidFill>
            <a:schemeClr val="accent1"/>
          </a:solidFill>
          <a:ln>
            <a:noFill/>
          </a:ln>
          <a:effectLst/>
        </c:spPr>
        <c:marker>
          <c:symbol val="none"/>
        </c:marker>
      </c:pivotFmt>
      <c:pivotFmt>
        <c:idx val="18"/>
        <c:spPr>
          <a:solidFill>
            <a:schemeClr val="accent1"/>
          </a:solidFill>
          <a:ln>
            <a:noFill/>
          </a:ln>
          <a:effectLst/>
        </c:spPr>
        <c:marker>
          <c:symbol val="none"/>
        </c:marker>
      </c:pivotFmt>
      <c:pivotFmt>
        <c:idx val="19"/>
        <c:spPr>
          <a:solidFill>
            <a:schemeClr val="accent1"/>
          </a:solidFill>
          <a:ln>
            <a:noFill/>
          </a:ln>
          <a:effectLst/>
        </c:spPr>
        <c:marker>
          <c:symbol val="none"/>
        </c:marker>
      </c:pivotFmt>
      <c:pivotFmt>
        <c:idx val="20"/>
        <c:spPr>
          <a:solidFill>
            <a:schemeClr val="accent1"/>
          </a:solidFill>
          <a:ln>
            <a:noFill/>
          </a:ln>
          <a:effectLst/>
        </c:spPr>
        <c:marker>
          <c:symbol val="none"/>
        </c:marker>
      </c:pivotFmt>
      <c:pivotFmt>
        <c:idx val="21"/>
        <c:spPr>
          <a:solidFill>
            <a:schemeClr val="accent1"/>
          </a:solidFill>
          <a:ln>
            <a:noFill/>
          </a:ln>
          <a:effectLst/>
        </c:spPr>
        <c:marker>
          <c:symbol val="none"/>
        </c:marker>
      </c:pivotFmt>
      <c:pivotFmt>
        <c:idx val="22"/>
        <c:spPr>
          <a:solidFill>
            <a:schemeClr val="accent1"/>
          </a:solidFill>
          <a:ln>
            <a:noFill/>
          </a:ln>
          <a:effectLst/>
        </c:spPr>
        <c:marker>
          <c:symbol val="none"/>
        </c:marker>
      </c:pivotFmt>
      <c:pivotFmt>
        <c:idx val="23"/>
        <c:spPr>
          <a:solidFill>
            <a:schemeClr val="accent1"/>
          </a:solidFill>
          <a:ln>
            <a:noFill/>
          </a:ln>
          <a:effectLst/>
        </c:spPr>
        <c:marker>
          <c:symbol val="none"/>
        </c:marker>
      </c:pivotFmt>
      <c:pivotFmt>
        <c:idx val="24"/>
        <c:spPr>
          <a:solidFill>
            <a:schemeClr val="accent1"/>
          </a:solidFill>
          <a:ln>
            <a:noFill/>
          </a:ln>
          <a:effectLst/>
        </c:spPr>
        <c:marker>
          <c:symbol val="none"/>
        </c:marker>
      </c:pivotFmt>
      <c:pivotFmt>
        <c:idx val="25"/>
        <c:spPr>
          <a:solidFill>
            <a:schemeClr val="accent1"/>
          </a:solidFill>
          <a:ln>
            <a:noFill/>
          </a:ln>
          <a:effectLst/>
        </c:spPr>
        <c:marker>
          <c:symbol val="none"/>
        </c:marker>
      </c:pivotFmt>
      <c:pivotFmt>
        <c:idx val="2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7"/>
        <c:spPr>
          <a:solidFill>
            <a:schemeClr val="accent1"/>
          </a:solidFill>
          <a:ln>
            <a:noFill/>
          </a:ln>
          <a:effectLst/>
        </c:spPr>
        <c:marker>
          <c:symbol val="none"/>
        </c:marker>
      </c:pivotFmt>
      <c:pivotFmt>
        <c:idx val="38"/>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39"/>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40"/>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41"/>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42"/>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43"/>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44"/>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45"/>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46"/>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47"/>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48"/>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49"/>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50"/>
        <c:spPr>
          <a:solidFill>
            <a:schemeClr val="accent1"/>
          </a:solidFill>
          <a:ln>
            <a:noFill/>
          </a:ln>
          <a:effectLst/>
        </c:spPr>
        <c:dLbl>
          <c:idx val="0"/>
          <c:layout>
            <c:manualLayout>
              <c:x val="0.1561711376181778"/>
              <c:y val="7.4292898475182287E-3"/>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51"/>
        <c:spPr>
          <a:solidFill>
            <a:schemeClr val="accent1"/>
          </a:solidFill>
          <a:ln>
            <a:noFill/>
          </a:ln>
          <a:effectLst/>
        </c:spPr>
        <c:dLbl>
          <c:idx val="0"/>
          <c:layout>
            <c:manualLayout>
              <c:x val="0.14909059125337373"/>
              <c:y val="7.2938075358255416E-2"/>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52"/>
        <c:spPr>
          <a:solidFill>
            <a:schemeClr val="accent1"/>
          </a:solidFill>
          <a:ln>
            <a:noFill/>
          </a:ln>
          <a:effectLst/>
        </c:spPr>
        <c:dLbl>
          <c:idx val="0"/>
          <c:layout>
            <c:manualLayout>
              <c:x val="0"/>
              <c:y val="-6.5382598520691212E-2"/>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53"/>
        <c:spPr>
          <a:solidFill>
            <a:schemeClr val="accent1"/>
          </a:solidFill>
          <a:ln>
            <a:noFill/>
          </a:ln>
          <a:effectLst/>
        </c:spPr>
        <c:dLbl>
          <c:idx val="0"/>
          <c:layout>
            <c:manualLayout>
              <c:x val="0.12140542195488259"/>
              <c:y val="0.12609501143276147"/>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54"/>
        <c:spPr>
          <a:solidFill>
            <a:schemeClr val="accent1"/>
          </a:solidFill>
          <a:ln>
            <a:noFill/>
          </a:ln>
          <a:effectLst/>
        </c:spPr>
        <c:dLbl>
          <c:idx val="0"/>
          <c:layout>
            <c:manualLayout>
              <c:x val="-2.2361171093987043E-2"/>
              <c:y val="-0.16736881456916447"/>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55"/>
        <c:spPr>
          <a:solidFill>
            <a:schemeClr val="accent1"/>
          </a:solidFill>
          <a:ln>
            <a:noFill/>
          </a:ln>
          <a:effectLst/>
        </c:spPr>
        <c:dLbl>
          <c:idx val="0"/>
          <c:layout>
            <c:manualLayout>
              <c:x val="-3.1729705549923264E-2"/>
              <c:y val="-0.1159968496741029"/>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56"/>
        <c:spPr>
          <a:solidFill>
            <a:schemeClr val="accent1"/>
          </a:solidFill>
          <a:ln>
            <a:noFill/>
          </a:ln>
          <a:effectLst/>
        </c:spPr>
        <c:dLbl>
          <c:idx val="0"/>
          <c:layout>
            <c:manualLayout>
              <c:x val="-4.3800223191135412E-2"/>
              <c:y val="-5.9612217144777109E-2"/>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57"/>
        <c:spPr>
          <a:solidFill>
            <a:schemeClr val="accent1"/>
          </a:solidFill>
          <a:ln>
            <a:noFill/>
          </a:ln>
          <a:effectLst/>
        </c:spPr>
        <c:dLbl>
          <c:idx val="0"/>
          <c:layout>
            <c:manualLayout>
              <c:x val="-0.12469586971932629"/>
              <c:y val="-0.125"/>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58"/>
        <c:spPr>
          <a:solidFill>
            <a:schemeClr val="accent1"/>
          </a:solidFill>
          <a:ln>
            <a:noFill/>
          </a:ln>
          <a:effectLst/>
        </c:spP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59"/>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60"/>
        <c:spPr>
          <a:solidFill>
            <a:schemeClr val="accent1"/>
          </a:solidFill>
          <a:ln>
            <a:noFill/>
          </a:ln>
          <a:effectLst/>
        </c:spP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61"/>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62"/>
        <c:spPr>
          <a:solidFill>
            <a:schemeClr val="accent1"/>
          </a:solidFill>
          <a:ln>
            <a:noFill/>
          </a:ln>
          <a:effectLst/>
        </c:spPr>
        <c:dLbl>
          <c:idx val="0"/>
          <c:layout>
            <c:manualLayout>
              <c:x val="-4.3800223191135412E-2"/>
              <c:y val="-5.9612217144777109E-2"/>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63"/>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64"/>
        <c:spPr>
          <a:solidFill>
            <a:schemeClr val="accent1"/>
          </a:solidFill>
          <a:ln>
            <a:noFill/>
          </a:ln>
          <a:effectLst/>
        </c:spPr>
        <c:dLbl>
          <c:idx val="0"/>
          <c:layout>
            <c:manualLayout>
              <c:x val="-3.1729705549923264E-2"/>
              <c:y val="-0.1159968496741029"/>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65"/>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66"/>
        <c:spPr>
          <a:solidFill>
            <a:schemeClr val="accent1"/>
          </a:solidFill>
          <a:ln>
            <a:noFill/>
          </a:ln>
          <a:effectLst/>
        </c:spPr>
        <c:dLbl>
          <c:idx val="0"/>
          <c:layout>
            <c:manualLayout>
              <c:x val="-2.2361171093987043E-2"/>
              <c:y val="-0.16736881456916447"/>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67"/>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68"/>
        <c:spPr>
          <a:solidFill>
            <a:schemeClr val="accent1"/>
          </a:solidFill>
          <a:ln>
            <a:noFill/>
          </a:ln>
          <a:effectLst/>
        </c:spPr>
        <c:dLbl>
          <c:idx val="0"/>
          <c:layout>
            <c:manualLayout>
              <c:x val="0.12140542195488259"/>
              <c:y val="0.12609501143276147"/>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69"/>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70"/>
        <c:spPr>
          <a:solidFill>
            <a:schemeClr val="accent1"/>
          </a:solidFill>
          <a:ln>
            <a:noFill/>
          </a:ln>
          <a:effectLst/>
        </c:spPr>
        <c:dLbl>
          <c:idx val="0"/>
          <c:layout>
            <c:manualLayout>
              <c:x val="0.14909059125337373"/>
              <c:y val="7.2938075358255416E-2"/>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71"/>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72"/>
        <c:spPr>
          <a:solidFill>
            <a:schemeClr val="accent1"/>
          </a:solidFill>
          <a:ln>
            <a:noFill/>
          </a:ln>
          <a:effectLst/>
        </c:spPr>
        <c:dLbl>
          <c:idx val="0"/>
          <c:layout>
            <c:manualLayout>
              <c:x val="0.1561711376181778"/>
              <c:y val="7.4292898475182287E-3"/>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73"/>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74"/>
        <c:spPr>
          <a:solidFill>
            <a:schemeClr val="accent1"/>
          </a:solidFill>
          <a:ln>
            <a:noFill/>
          </a:ln>
          <a:effectLst/>
        </c:spPr>
        <c:dLbl>
          <c:idx val="0"/>
          <c:layout>
            <c:manualLayout>
              <c:x val="0"/>
              <c:y val="-6.5382598520691212E-2"/>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75"/>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76"/>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77"/>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78"/>
        <c:spPr>
          <a:solidFill>
            <a:schemeClr val="accent1"/>
          </a:solidFill>
          <a:ln>
            <a:noFill/>
          </a:ln>
          <a:effectLst/>
        </c:spPr>
        <c:dLbl>
          <c:idx val="0"/>
          <c:layout>
            <c:manualLayout>
              <c:x val="-0.12469586971932629"/>
              <c:y val="-0.125"/>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79"/>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80"/>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81"/>
        <c:spPr>
          <a:solidFill>
            <a:schemeClr val="accent1"/>
          </a:solidFill>
          <a:ln>
            <a:noFill/>
          </a:ln>
          <a:effectLst/>
        </c:spP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82"/>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83"/>
        <c:spPr>
          <a:solidFill>
            <a:schemeClr val="accent1"/>
          </a:solidFill>
          <a:ln>
            <a:noFill/>
          </a:ln>
          <a:effectLst/>
        </c:spPr>
        <c:dLbl>
          <c:idx val="0"/>
          <c:layout>
            <c:manualLayout>
              <c:x val="-4.3800223191135412E-2"/>
              <c:y val="-5.9612217144777109E-2"/>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84"/>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85"/>
        <c:spPr>
          <a:solidFill>
            <a:schemeClr val="accent1"/>
          </a:solidFill>
          <a:ln>
            <a:noFill/>
          </a:ln>
          <a:effectLst/>
        </c:spPr>
        <c:dLbl>
          <c:idx val="0"/>
          <c:layout>
            <c:manualLayout>
              <c:x val="-3.1729705549923264E-2"/>
              <c:y val="-0.1159968496741029"/>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86"/>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87"/>
        <c:spPr>
          <a:solidFill>
            <a:schemeClr val="accent1"/>
          </a:solidFill>
          <a:ln>
            <a:noFill/>
          </a:ln>
          <a:effectLst/>
        </c:spPr>
        <c:dLbl>
          <c:idx val="0"/>
          <c:layout>
            <c:manualLayout>
              <c:x val="-2.2361171093987043E-2"/>
              <c:y val="-0.16736881456916447"/>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88"/>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89"/>
        <c:spPr>
          <a:solidFill>
            <a:schemeClr val="accent1"/>
          </a:solidFill>
          <a:ln>
            <a:noFill/>
          </a:ln>
          <a:effectLst/>
        </c:spPr>
        <c:dLbl>
          <c:idx val="0"/>
          <c:layout>
            <c:manualLayout>
              <c:x val="0.12140542195488259"/>
              <c:y val="0.12609501143276147"/>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90"/>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91"/>
        <c:spPr>
          <a:solidFill>
            <a:schemeClr val="accent1"/>
          </a:solidFill>
          <a:ln>
            <a:noFill/>
          </a:ln>
          <a:effectLst/>
        </c:spPr>
        <c:dLbl>
          <c:idx val="0"/>
          <c:layout>
            <c:manualLayout>
              <c:x val="0.14909059125337373"/>
              <c:y val="7.2938075358255416E-2"/>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92"/>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93"/>
        <c:spPr>
          <a:solidFill>
            <a:schemeClr val="accent1"/>
          </a:solidFill>
          <a:ln>
            <a:noFill/>
          </a:ln>
          <a:effectLst/>
        </c:spPr>
        <c:dLbl>
          <c:idx val="0"/>
          <c:layout>
            <c:manualLayout>
              <c:x val="0.1561711376181778"/>
              <c:y val="7.4292898475182287E-3"/>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94"/>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95"/>
        <c:spPr>
          <a:solidFill>
            <a:schemeClr val="accent1"/>
          </a:solidFill>
          <a:ln>
            <a:noFill/>
          </a:ln>
          <a:effectLst/>
        </c:spPr>
        <c:dLbl>
          <c:idx val="0"/>
          <c:layout>
            <c:manualLayout>
              <c:x val="0"/>
              <c:y val="-6.5382598520691212E-2"/>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96"/>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97"/>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98"/>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99"/>
        <c:spPr>
          <a:solidFill>
            <a:schemeClr val="accent1"/>
          </a:solidFill>
          <a:ln>
            <a:noFill/>
          </a:ln>
          <a:effectLst/>
        </c:spPr>
        <c:dLbl>
          <c:idx val="0"/>
          <c:layout>
            <c:manualLayout>
              <c:x val="-0.12469586971932629"/>
              <c:y val="-0.125"/>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100"/>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s>
    <c:plotArea>
      <c:layout/>
      <c:barChart>
        <c:barDir val="col"/>
        <c:grouping val="stacked"/>
        <c:varyColors val="0"/>
        <c:ser>
          <c:idx val="0"/>
          <c:order val="0"/>
          <c:tx>
            <c:strRef>
              <c:f>'MSR composition updated'!$B$18:$B$19</c:f>
              <c:strCache>
                <c:ptCount val="1"/>
                <c:pt idx="0">
                  <c:v>Banking from phase 2</c:v>
                </c:pt>
              </c:strCache>
            </c:strRef>
          </c:tx>
          <c:spPr>
            <a:solidFill>
              <a:schemeClr val="accent1"/>
            </a:solidFill>
            <a:ln>
              <a:noFill/>
            </a:ln>
            <a:effectLst/>
          </c:spPr>
          <c:invertIfNegative val="0"/>
          <c:dPt>
            <c:idx val="0"/>
            <c:invertIfNegative val="0"/>
            <c:bubble3D val="0"/>
            <c:extLst>
              <c:ext xmlns:c16="http://schemas.microsoft.com/office/drawing/2014/chart" uri="{C3380CC4-5D6E-409C-BE32-E72D297353CC}">
                <c16:uniqueId val="{00000000-8F01-481E-B828-B2EF6C3EF8AB}"/>
              </c:ext>
            </c:extLst>
          </c:dPt>
          <c:dLbls>
            <c:dLbl>
              <c:idx val="0"/>
              <c:layout>
                <c:manualLayout>
                  <c:x val="-7.7553646421274672E-2"/>
                  <c:y val="-7.3181846363694174E-3"/>
                </c:manualLayout>
              </c:layout>
              <c:tx>
                <c:rich>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r>
                      <a:rPr lang="en-US"/>
                      <a:t>Report de la phase</a:t>
                    </a:r>
                    <a:r>
                      <a:rPr lang="en-US" baseline="0"/>
                      <a:t> 2</a:t>
                    </a:r>
                    <a:endParaRPr lang="en-US"/>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15:layout>
                    <c:manualLayout>
                      <c:w val="0.12477287835142918"/>
                      <c:h val="0.14278473556947113"/>
                    </c:manualLayout>
                  </c15:layout>
                </c:ext>
                <c:ext xmlns:c16="http://schemas.microsoft.com/office/drawing/2014/chart" uri="{C3380CC4-5D6E-409C-BE32-E72D297353CC}">
                  <c16:uniqueId val="{00000000-8F01-481E-B828-B2EF6C3EF8A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'MSR composition updated'!$A$20:$A$21</c:f>
              <c:strCache>
                <c:ptCount val="2"/>
                <c:pt idx="0">
                  <c:v>Sum of Supply</c:v>
                </c:pt>
                <c:pt idx="1">
                  <c:v>Sum of Demand</c:v>
                </c:pt>
              </c:strCache>
            </c:strRef>
          </c:cat>
          <c:val>
            <c:numRef>
              <c:f>'MSR composition updated'!$B$20:$B$21</c:f>
              <c:numCache>
                <c:formatCode>General</c:formatCode>
                <c:ptCount val="2"/>
                <c:pt idx="0">
                  <c:v>1749540826</c:v>
                </c:pt>
              </c:numCache>
            </c:numRef>
          </c:val>
          <c:extLst>
            <c:ext xmlns:c16="http://schemas.microsoft.com/office/drawing/2014/chart" uri="{C3380CC4-5D6E-409C-BE32-E72D297353CC}">
              <c16:uniqueId val="{00000001-8F01-481E-B828-B2EF6C3EF8AB}"/>
            </c:ext>
          </c:extLst>
        </c:ser>
        <c:ser>
          <c:idx val="1"/>
          <c:order val="1"/>
          <c:tx>
            <c:strRef>
              <c:f>'MSR composition updated'!$C$18:$C$19</c:f>
              <c:strCache>
                <c:ptCount val="1"/>
                <c:pt idx="0">
                  <c:v>Early auctions</c:v>
                </c:pt>
              </c:strCache>
            </c:strRef>
          </c:tx>
          <c:spPr>
            <a:solidFill>
              <a:schemeClr val="tx2"/>
            </a:solidFill>
            <a:ln>
              <a:noFill/>
            </a:ln>
            <a:effectLst/>
          </c:spPr>
          <c:invertIfNegative val="0"/>
          <c:dPt>
            <c:idx val="0"/>
            <c:invertIfNegative val="0"/>
            <c:bubble3D val="0"/>
            <c:extLst>
              <c:ext xmlns:c16="http://schemas.microsoft.com/office/drawing/2014/chart" uri="{C3380CC4-5D6E-409C-BE32-E72D297353CC}">
                <c16:uniqueId val="{00000002-8F01-481E-B828-B2EF6C3EF8AB}"/>
              </c:ext>
            </c:extLst>
          </c:dPt>
          <c:dLbls>
            <c:dLbl>
              <c:idx val="0"/>
              <c:layout>
                <c:manualLayout>
                  <c:x val="0.13346552653663693"/>
                  <c:y val="5.4561039122078242E-2"/>
                </c:manualLayout>
              </c:layout>
              <c:tx>
                <c:rich>
                  <a:bodyPr/>
                  <a:lstStyle/>
                  <a:p>
                    <a:r>
                      <a:rPr lang="en-US"/>
                      <a:t>Enchères anticipées</a:t>
                    </a:r>
                  </a:p>
                </c:rich>
              </c:tx>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2-8F01-481E-B828-B2EF6C3EF8A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'MSR composition updated'!$A$20:$A$21</c:f>
              <c:strCache>
                <c:ptCount val="2"/>
                <c:pt idx="0">
                  <c:v>Sum of Supply</c:v>
                </c:pt>
                <c:pt idx="1">
                  <c:v>Sum of Demand</c:v>
                </c:pt>
              </c:strCache>
            </c:strRef>
          </c:cat>
          <c:val>
            <c:numRef>
              <c:f>'MSR composition updated'!$C$20:$C$21</c:f>
              <c:numCache>
                <c:formatCode>General</c:formatCode>
                <c:ptCount val="2"/>
                <c:pt idx="0">
                  <c:v>89701500</c:v>
                </c:pt>
              </c:numCache>
            </c:numRef>
          </c:val>
          <c:extLst>
            <c:ext xmlns:c16="http://schemas.microsoft.com/office/drawing/2014/chart" uri="{C3380CC4-5D6E-409C-BE32-E72D297353CC}">
              <c16:uniqueId val="{00000003-8F01-481E-B828-B2EF6C3EF8AB}"/>
            </c:ext>
          </c:extLst>
        </c:ser>
        <c:ser>
          <c:idx val="2"/>
          <c:order val="2"/>
          <c:tx>
            <c:strRef>
              <c:f>'MSR composition updated'!$D$18:$D$19</c:f>
              <c:strCache>
                <c:ptCount val="1"/>
                <c:pt idx="0">
                  <c:v>International credits</c:v>
                </c:pt>
              </c:strCache>
            </c:strRef>
          </c:tx>
          <c:spPr>
            <a:solidFill>
              <a:schemeClr val="accent2">
                <a:lumMod val="40000"/>
                <a:lumOff val="60000"/>
              </a:schemeClr>
            </a:solidFill>
            <a:ln>
              <a:noFill/>
            </a:ln>
            <a:effectLst/>
          </c:spPr>
          <c:invertIfNegative val="0"/>
          <c:dPt>
            <c:idx val="0"/>
            <c:invertIfNegative val="0"/>
            <c:bubble3D val="0"/>
            <c:extLst>
              <c:ext xmlns:c16="http://schemas.microsoft.com/office/drawing/2014/chart" uri="{C3380CC4-5D6E-409C-BE32-E72D297353CC}">
                <c16:uniqueId val="{00000004-8F01-481E-B828-B2EF6C3EF8AB}"/>
              </c:ext>
            </c:extLst>
          </c:dPt>
          <c:dLbls>
            <c:dLbl>
              <c:idx val="0"/>
              <c:layout>
                <c:manualLayout>
                  <c:x val="0.17655748659602788"/>
                  <c:y val="2.573532147064294E-2"/>
                </c:manualLayout>
              </c:layout>
              <c:tx>
                <c:rich>
                  <a:bodyPr/>
                  <a:lstStyle/>
                  <a:p>
                    <a:r>
                      <a:rPr lang="en-US"/>
                      <a:t>Crédits internationaux</a:t>
                    </a:r>
                  </a:p>
                </c:rich>
              </c:tx>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4-8F01-481E-B828-B2EF6C3EF8A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'MSR composition updated'!$A$20:$A$21</c:f>
              <c:strCache>
                <c:ptCount val="2"/>
                <c:pt idx="0">
                  <c:v>Sum of Supply</c:v>
                </c:pt>
                <c:pt idx="1">
                  <c:v>Sum of Demand</c:v>
                </c:pt>
              </c:strCache>
            </c:strRef>
          </c:cat>
          <c:val>
            <c:numRef>
              <c:f>'MSR composition updated'!$D$20:$D$21</c:f>
              <c:numCache>
                <c:formatCode>General</c:formatCode>
                <c:ptCount val="2"/>
                <c:pt idx="0">
                  <c:v>478844902</c:v>
                </c:pt>
              </c:numCache>
            </c:numRef>
          </c:val>
          <c:extLst>
            <c:ext xmlns:c16="http://schemas.microsoft.com/office/drawing/2014/chart" uri="{C3380CC4-5D6E-409C-BE32-E72D297353CC}">
              <c16:uniqueId val="{00000005-8F01-481E-B828-B2EF6C3EF8AB}"/>
            </c:ext>
          </c:extLst>
        </c:ser>
        <c:ser>
          <c:idx val="3"/>
          <c:order val="3"/>
          <c:tx>
            <c:strRef>
              <c:f>'MSR composition updated'!$E$18:$E$19</c:f>
              <c:strCache>
                <c:ptCount val="1"/>
                <c:pt idx="0">
                  <c:v>NER 300 monetisation</c:v>
                </c:pt>
              </c:strCache>
            </c:strRef>
          </c:tx>
          <c:spPr>
            <a:solidFill>
              <a:schemeClr val="accent3">
                <a:lumMod val="60000"/>
                <a:lumOff val="40000"/>
              </a:schemeClr>
            </a:solidFill>
            <a:ln>
              <a:noFill/>
            </a:ln>
            <a:effectLst/>
          </c:spPr>
          <c:invertIfNegative val="0"/>
          <c:dPt>
            <c:idx val="0"/>
            <c:invertIfNegative val="0"/>
            <c:bubble3D val="0"/>
            <c:extLst>
              <c:ext xmlns:c16="http://schemas.microsoft.com/office/drawing/2014/chart" uri="{C3380CC4-5D6E-409C-BE32-E72D297353CC}">
                <c16:uniqueId val="{00000006-8F01-481E-B828-B2EF6C3EF8AB}"/>
              </c:ext>
            </c:extLst>
          </c:dPt>
          <c:dLbls>
            <c:dLbl>
              <c:idx val="0"/>
              <c:layout>
                <c:manualLayout>
                  <c:x val="0.21362380943241832"/>
                  <c:y val="-4.5880091760327873E-5"/>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r>
                      <a:rPr lang="en-US" b="1" i="0"/>
                      <a:t>Monétisation NER 300</a:t>
                    </a:r>
                    <a:endParaRPr lang="en-US"/>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6-8F01-481E-B828-B2EF6C3EF8AB}"/>
                </c:ext>
              </c:extLst>
            </c:dLbl>
            <c:spPr>
              <a:noFill/>
              <a:ln>
                <a:noFill/>
              </a:ln>
              <a:effectLst/>
            </c:spPr>
            <c:txPr>
              <a:bodyPr rot="0" spcFirstLastPara="1" vertOverflow="ellipsis" vert="horz" wrap="square" lIns="38100" tIns="19050" rIns="38100" bIns="19050" anchor="ctr" anchorCtr="1">
                <a:spAutoFit/>
              </a:bodyPr>
              <a:lstStyle/>
              <a:p>
                <a:pPr>
                  <a:defRPr sz="900" b="1" i="1"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'MSR composition updated'!$A$20:$A$21</c:f>
              <c:strCache>
                <c:ptCount val="2"/>
                <c:pt idx="0">
                  <c:v>Sum of Supply</c:v>
                </c:pt>
                <c:pt idx="1">
                  <c:v>Sum of Demand</c:v>
                </c:pt>
              </c:strCache>
            </c:strRef>
          </c:cat>
          <c:val>
            <c:numRef>
              <c:f>'MSR composition updated'!$E$20:$E$21</c:f>
              <c:numCache>
                <c:formatCode>General</c:formatCode>
                <c:ptCount val="2"/>
                <c:pt idx="0">
                  <c:v>300000000</c:v>
                </c:pt>
              </c:numCache>
            </c:numRef>
          </c:val>
          <c:extLst>
            <c:ext xmlns:c16="http://schemas.microsoft.com/office/drawing/2014/chart" uri="{C3380CC4-5D6E-409C-BE32-E72D297353CC}">
              <c16:uniqueId val="{00000007-8F01-481E-B828-B2EF6C3EF8AB}"/>
            </c:ext>
          </c:extLst>
        </c:ser>
        <c:ser>
          <c:idx val="4"/>
          <c:order val="4"/>
          <c:tx>
            <c:strRef>
              <c:f>'MSR composition updated'!$F$18:$F$19</c:f>
              <c:strCache>
                <c:ptCount val="1"/>
                <c:pt idx="0">
                  <c:v>Unallocated allowances *</c:v>
                </c:pt>
              </c:strCache>
            </c:strRef>
          </c:tx>
          <c:spPr>
            <a:solidFill>
              <a:schemeClr val="accent4">
                <a:lumMod val="60000"/>
                <a:lumOff val="40000"/>
              </a:schemeClr>
            </a:solidFill>
            <a:ln>
              <a:noFill/>
            </a:ln>
            <a:effectLst/>
          </c:spPr>
          <c:invertIfNegative val="0"/>
          <c:dPt>
            <c:idx val="0"/>
            <c:invertIfNegative val="0"/>
            <c:bubble3D val="0"/>
            <c:extLst>
              <c:ext xmlns:c16="http://schemas.microsoft.com/office/drawing/2014/chart" uri="{C3380CC4-5D6E-409C-BE32-E72D297353CC}">
                <c16:uniqueId val="{00000008-8F01-481E-B828-B2EF6C3EF8AB}"/>
              </c:ext>
            </c:extLst>
          </c:dPt>
          <c:dLbls>
            <c:dLbl>
              <c:idx val="0"/>
              <c:layout>
                <c:manualLayout>
                  <c:x val="-8.3557736093978721E-2"/>
                  <c:y val="-6.2881145762291674E-2"/>
                </c:manualLayout>
              </c:layout>
              <c:tx>
                <c:rich>
                  <a:bodyPr/>
                  <a:lstStyle/>
                  <a:p>
                    <a:r>
                      <a:rPr lang="en-US"/>
                      <a:t>Quotas non alloués*</a:t>
                    </a:r>
                  </a:p>
                </c:rich>
              </c:tx>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8-8F01-481E-B828-B2EF6C3EF8A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'MSR composition updated'!$A$20:$A$21</c:f>
              <c:strCache>
                <c:ptCount val="2"/>
                <c:pt idx="0">
                  <c:v>Sum of Supply</c:v>
                </c:pt>
                <c:pt idx="1">
                  <c:v>Sum of Demand</c:v>
                </c:pt>
              </c:strCache>
            </c:strRef>
          </c:cat>
          <c:val>
            <c:numRef>
              <c:f>'MSR composition updated'!$F$20:$F$21</c:f>
              <c:numCache>
                <c:formatCode>General</c:formatCode>
                <c:ptCount val="2"/>
                <c:pt idx="0">
                  <c:v>251801477</c:v>
                </c:pt>
              </c:numCache>
            </c:numRef>
          </c:val>
          <c:extLst>
            <c:ext xmlns:c16="http://schemas.microsoft.com/office/drawing/2014/chart" uri="{C3380CC4-5D6E-409C-BE32-E72D297353CC}">
              <c16:uniqueId val="{00000009-8F01-481E-B828-B2EF6C3EF8AB}"/>
            </c:ext>
          </c:extLst>
        </c:ser>
        <c:ser>
          <c:idx val="5"/>
          <c:order val="5"/>
          <c:tx>
            <c:strRef>
              <c:f>'MSR composition updated'!$G$18:$G$19</c:f>
              <c:strCache>
                <c:ptCount val="1"/>
                <c:pt idx="0">
                  <c:v>Backloaded allowances</c:v>
                </c:pt>
              </c:strCache>
            </c:strRef>
          </c:tx>
          <c:spPr>
            <a:solidFill>
              <a:schemeClr val="accent5">
                <a:lumMod val="40000"/>
                <a:lumOff val="60000"/>
              </a:schemeClr>
            </a:solidFill>
            <a:ln>
              <a:noFill/>
            </a:ln>
            <a:effectLst/>
          </c:spPr>
          <c:invertIfNegative val="0"/>
          <c:dPt>
            <c:idx val="0"/>
            <c:invertIfNegative val="0"/>
            <c:bubble3D val="0"/>
            <c:extLst>
              <c:ext xmlns:c16="http://schemas.microsoft.com/office/drawing/2014/chart" uri="{C3380CC4-5D6E-409C-BE32-E72D297353CC}">
                <c16:uniqueId val="{0000000A-8F01-481E-B828-B2EF6C3EF8AB}"/>
              </c:ext>
            </c:extLst>
          </c:dPt>
          <c:dLbls>
            <c:dLbl>
              <c:idx val="0"/>
              <c:layout>
                <c:manualLayout>
                  <c:x val="-0.12345542448674084"/>
                  <c:y val="-0.13375472750945502"/>
                </c:manualLayout>
              </c:layout>
              <c:tx>
                <c:rich>
                  <a:bodyPr/>
                  <a:lstStyle/>
                  <a:p>
                    <a:r>
                      <a:rPr lang="en-US"/>
                      <a:t>Quotas gelés</a:t>
                    </a:r>
                  </a:p>
                </c:rich>
              </c:tx>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A-8F01-481E-B828-B2EF6C3EF8A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'MSR composition updated'!$A$20:$A$21</c:f>
              <c:strCache>
                <c:ptCount val="2"/>
                <c:pt idx="0">
                  <c:v>Sum of Supply</c:v>
                </c:pt>
                <c:pt idx="1">
                  <c:v>Sum of Demand</c:v>
                </c:pt>
              </c:strCache>
            </c:strRef>
          </c:cat>
          <c:val>
            <c:numRef>
              <c:f>'MSR composition updated'!$G$20:$G$21</c:f>
              <c:numCache>
                <c:formatCode>General</c:formatCode>
                <c:ptCount val="2"/>
                <c:pt idx="0">
                  <c:v>900000000</c:v>
                </c:pt>
              </c:numCache>
            </c:numRef>
          </c:val>
          <c:extLst>
            <c:ext xmlns:c16="http://schemas.microsoft.com/office/drawing/2014/chart" uri="{C3380CC4-5D6E-409C-BE32-E72D297353CC}">
              <c16:uniqueId val="{0000000B-8F01-481E-B828-B2EF6C3EF8AB}"/>
            </c:ext>
          </c:extLst>
        </c:ser>
        <c:ser>
          <c:idx val="6"/>
          <c:order val="6"/>
          <c:tx>
            <c:strRef>
              <c:f>'MSR composition updated'!$H$18:$H$19</c:f>
              <c:strCache>
                <c:ptCount val="1"/>
                <c:pt idx="0">
                  <c:v>Withheld auction volumes for MSR</c:v>
                </c:pt>
              </c:strCache>
            </c:strRef>
          </c:tx>
          <c:spPr>
            <a:solidFill>
              <a:schemeClr val="tx2">
                <a:lumMod val="20000"/>
                <a:lumOff val="80000"/>
              </a:schemeClr>
            </a:solidFill>
            <a:ln>
              <a:noFill/>
            </a:ln>
            <a:effectLst/>
          </c:spPr>
          <c:invertIfNegative val="0"/>
          <c:dPt>
            <c:idx val="0"/>
            <c:invertIfNegative val="0"/>
            <c:bubble3D val="0"/>
            <c:extLst>
              <c:ext xmlns:c16="http://schemas.microsoft.com/office/drawing/2014/chart" uri="{C3380CC4-5D6E-409C-BE32-E72D297353CC}">
                <c16:uniqueId val="{0000000C-8F01-481E-B828-B2EF6C3EF8AB}"/>
              </c:ext>
            </c:extLst>
          </c:dPt>
          <c:dLbls>
            <c:dLbl>
              <c:idx val="0"/>
              <c:layout>
                <c:manualLayout>
                  <c:x val="-0.13410148460004431"/>
                  <c:y val="-0.25241304482608967"/>
                </c:manualLayout>
              </c:layout>
              <c:tx>
                <c:rich>
                  <a:bodyPr/>
                  <a:lstStyle/>
                  <a:p>
                    <a:r>
                      <a:rPr lang="en-US"/>
                      <a:t>Volumes non proposés aux enchères pour la RSM</a:t>
                    </a:r>
                  </a:p>
                </c:rich>
              </c:tx>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C-8F01-481E-B828-B2EF6C3EF8A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'MSR composition updated'!$A$20:$A$21</c:f>
              <c:strCache>
                <c:ptCount val="2"/>
                <c:pt idx="0">
                  <c:v>Sum of Supply</c:v>
                </c:pt>
                <c:pt idx="1">
                  <c:v>Sum of Demand</c:v>
                </c:pt>
              </c:strCache>
            </c:strRef>
          </c:cat>
          <c:val>
            <c:numRef>
              <c:f>'MSR composition updated'!$H$20:$H$21</c:f>
              <c:numCache>
                <c:formatCode>General</c:formatCode>
                <c:ptCount val="2"/>
                <c:pt idx="0">
                  <c:v>772749992</c:v>
                </c:pt>
              </c:numCache>
            </c:numRef>
          </c:val>
          <c:extLst>
            <c:ext xmlns:c16="http://schemas.microsoft.com/office/drawing/2014/chart" uri="{C3380CC4-5D6E-409C-BE32-E72D297353CC}">
              <c16:uniqueId val="{0000000D-8F01-481E-B828-B2EF6C3EF8AB}"/>
            </c:ext>
          </c:extLst>
        </c:ser>
        <c:ser>
          <c:idx val="7"/>
          <c:order val="7"/>
          <c:tx>
            <c:strRef>
              <c:f>'MSR composition updated'!$I$18:$I$19</c:f>
              <c:strCache>
                <c:ptCount val="1"/>
                <c:pt idx="0">
                  <c:v>Free allocation</c:v>
                </c:pt>
              </c:strCache>
            </c:strRef>
          </c:tx>
          <c:spPr>
            <a:solidFill>
              <a:schemeClr val="accent2"/>
            </a:solidFill>
            <a:ln>
              <a:noFill/>
            </a:ln>
            <a:effectLst/>
          </c:spPr>
          <c:invertIfNegative val="0"/>
          <c:dPt>
            <c:idx val="0"/>
            <c:invertIfNegative val="0"/>
            <c:bubble3D val="0"/>
            <c:extLst>
              <c:ext xmlns:c16="http://schemas.microsoft.com/office/drawing/2014/chart" uri="{C3380CC4-5D6E-409C-BE32-E72D297353CC}">
                <c16:uniqueId val="{0000000E-8F01-481E-B828-B2EF6C3EF8AB}"/>
              </c:ext>
            </c:extLst>
          </c:dPt>
          <c:dLbls>
            <c:dLbl>
              <c:idx val="0"/>
              <c:layout>
                <c:manualLayout>
                  <c:x val="0.12630179481497886"/>
                  <c:y val="5.4836009672019348E-3"/>
                </c:manualLayout>
              </c:layout>
              <c:tx>
                <c:rich>
                  <a:bodyPr/>
                  <a:lstStyle/>
                  <a:p>
                    <a:r>
                      <a:rPr lang="en-US"/>
                      <a:t>Allocation gratuite </a:t>
                    </a:r>
                  </a:p>
                </c:rich>
              </c:tx>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E-8F01-481E-B828-B2EF6C3EF8AB}"/>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'MSR composition updated'!$A$20:$A$21</c:f>
              <c:strCache>
                <c:ptCount val="2"/>
                <c:pt idx="0">
                  <c:v>Sum of Supply</c:v>
                </c:pt>
                <c:pt idx="1">
                  <c:v>Sum of Demand</c:v>
                </c:pt>
              </c:strCache>
            </c:strRef>
          </c:cat>
          <c:val>
            <c:numRef>
              <c:f>'MSR composition updated'!$I$20:$I$21</c:f>
              <c:numCache>
                <c:formatCode>General</c:formatCode>
                <c:ptCount val="2"/>
                <c:pt idx="0">
                  <c:v>6588904098</c:v>
                </c:pt>
              </c:numCache>
            </c:numRef>
          </c:val>
          <c:extLst>
            <c:ext xmlns:c16="http://schemas.microsoft.com/office/drawing/2014/chart" uri="{C3380CC4-5D6E-409C-BE32-E72D297353CC}">
              <c16:uniqueId val="{0000000F-8F01-481E-B828-B2EF6C3EF8AB}"/>
            </c:ext>
          </c:extLst>
        </c:ser>
        <c:ser>
          <c:idx val="8"/>
          <c:order val="8"/>
          <c:tx>
            <c:strRef>
              <c:f>'MSR composition updated'!$J$18:$J$19</c:f>
              <c:strCache>
                <c:ptCount val="1"/>
                <c:pt idx="0">
                  <c:v>Auctioned allowances</c:v>
                </c:pt>
              </c:strCache>
            </c:strRef>
          </c:tx>
          <c:spPr>
            <a:solidFill>
              <a:schemeClr val="accent3"/>
            </a:solidFill>
            <a:ln>
              <a:solidFill>
                <a:schemeClr val="bg1">
                  <a:lumMod val="95000"/>
                </a:schemeClr>
              </a:solidFill>
            </a:ln>
            <a:effectLst/>
          </c:spPr>
          <c:invertIfNegative val="0"/>
          <c:dLbls>
            <c:dLbl>
              <c:idx val="0"/>
              <c:layout>
                <c:manualLayout>
                  <c:x val="-9.6388211832483972E-2"/>
                  <c:y val="-4.9212598425196853E-2"/>
                </c:manualLayout>
              </c:layout>
              <c:tx>
                <c:rich>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r>
                      <a:rPr lang="en-US"/>
                      <a:t>Quotas mis aux enchères</a:t>
                    </a:r>
                  </a:p>
                </c:rich>
              </c:tx>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15-8F01-481E-B828-B2EF6C3EF8AB}"/>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cat>
            <c:strRef>
              <c:f>'MSR composition updated'!$A$20:$A$21</c:f>
              <c:strCache>
                <c:ptCount val="2"/>
                <c:pt idx="0">
                  <c:v>Sum of Supply</c:v>
                </c:pt>
                <c:pt idx="1">
                  <c:v>Sum of Demand</c:v>
                </c:pt>
              </c:strCache>
            </c:strRef>
          </c:cat>
          <c:val>
            <c:numRef>
              <c:f>'MSR composition updated'!$J$20:$J$21</c:f>
              <c:numCache>
                <c:formatCode>General</c:formatCode>
                <c:ptCount val="2"/>
                <c:pt idx="0">
                  <c:v>5918551500</c:v>
                </c:pt>
              </c:numCache>
            </c:numRef>
          </c:val>
          <c:extLst>
            <c:ext xmlns:c16="http://schemas.microsoft.com/office/drawing/2014/chart" uri="{C3380CC4-5D6E-409C-BE32-E72D297353CC}">
              <c16:uniqueId val="{00000010-8F01-481E-B828-B2EF6C3EF8AB}"/>
            </c:ext>
          </c:extLst>
        </c:ser>
        <c:ser>
          <c:idx val="9"/>
          <c:order val="9"/>
          <c:tx>
            <c:strRef>
              <c:f>'MSR composition updated'!$K$18:$K$19</c:f>
              <c:strCache>
                <c:ptCount val="1"/>
                <c:pt idx="0">
                  <c:v>Verified emissions</c:v>
                </c:pt>
              </c:strCache>
            </c:strRef>
          </c:tx>
          <c:spPr>
            <a:solidFill>
              <a:schemeClr val="accent4"/>
            </a:solidFill>
            <a:ln>
              <a:noFill/>
            </a:ln>
            <a:effectLst/>
          </c:spPr>
          <c:invertIfNegative val="0"/>
          <c:dLbls>
            <c:dLbl>
              <c:idx val="1"/>
              <c:layout>
                <c:manualLayout>
                  <c:x val="-7.5337912696654269E-2"/>
                  <c:y val="-1.1810868621737315E-2"/>
                </c:manualLayout>
              </c:layout>
              <c:tx>
                <c:rich>
                  <a:bodyPr rot="0" spcFirstLastPara="1" vertOverflow="ellipsis" vert="horz" wrap="square" lIns="38100" tIns="19050" rIns="38100" bIns="19050" anchor="ctr" anchorCtr="1">
                    <a:noAutofit/>
                  </a:bodyPr>
                  <a:lstStyle/>
                  <a:p>
                    <a:pPr>
                      <a:defRPr sz="1050" b="1" i="0" u="none" strike="noStrike" kern="1200" baseline="0">
                        <a:solidFill>
                          <a:schemeClr val="tx1">
                            <a:lumMod val="75000"/>
                            <a:lumOff val="25000"/>
                          </a:schemeClr>
                        </a:solidFill>
                        <a:latin typeface="+mn-lt"/>
                        <a:ea typeface="+mn-ea"/>
                        <a:cs typeface="+mn-cs"/>
                      </a:defRPr>
                    </a:pPr>
                    <a:r>
                      <a:rPr lang="en-US"/>
                      <a:t>Émissions vérifiées </a:t>
                    </a:r>
                  </a:p>
                </c:rich>
              </c:tx>
              <c:spPr>
                <a:noFill/>
                <a:ln>
                  <a:noFill/>
                </a:ln>
                <a:effectLst/>
              </c:spPr>
              <c:txPr>
                <a:bodyPr rot="0" spcFirstLastPara="1" vertOverflow="ellipsis" vert="horz" wrap="square" lIns="38100" tIns="19050" rIns="38100" bIns="19050" anchor="ctr" anchorCtr="1">
                  <a:noAutofit/>
                </a:bodyPr>
                <a:lstStyle/>
                <a:p>
                  <a:pPr>
                    <a:defRPr sz="105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15:layout>
                    <c:manualLayout>
                      <c:w val="0.17511633060048748"/>
                      <c:h val="0.1307285014570029"/>
                    </c:manualLayout>
                  </c15:layout>
                </c:ext>
                <c:ext xmlns:c16="http://schemas.microsoft.com/office/drawing/2014/chart" uri="{C3380CC4-5D6E-409C-BE32-E72D297353CC}">
                  <c16:uniqueId val="{00000017-8F01-481E-B828-B2EF6C3EF8A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'MSR composition updated'!$A$20:$A$21</c:f>
              <c:strCache>
                <c:ptCount val="2"/>
                <c:pt idx="0">
                  <c:v>Sum of Supply</c:v>
                </c:pt>
                <c:pt idx="1">
                  <c:v>Sum of Demand</c:v>
                </c:pt>
              </c:strCache>
            </c:strRef>
          </c:cat>
          <c:val>
            <c:numRef>
              <c:f>'MSR composition updated'!$K$20:$K$21</c:f>
              <c:numCache>
                <c:formatCode>General</c:formatCode>
                <c:ptCount val="2"/>
                <c:pt idx="1">
                  <c:v>13546329007</c:v>
                </c:pt>
              </c:numCache>
            </c:numRef>
          </c:val>
          <c:extLst>
            <c:ext xmlns:c16="http://schemas.microsoft.com/office/drawing/2014/chart" uri="{C3380CC4-5D6E-409C-BE32-E72D297353CC}">
              <c16:uniqueId val="{00000011-8F01-481E-B828-B2EF6C3EF8AB}"/>
            </c:ext>
          </c:extLst>
        </c:ser>
        <c:ser>
          <c:idx val="10"/>
          <c:order val="10"/>
          <c:tx>
            <c:strRef>
              <c:f>'MSR composition updated'!$L$18:$L$19</c:f>
              <c:strCache>
                <c:ptCount val="1"/>
                <c:pt idx="0">
                  <c:v>Cancellations</c:v>
                </c:pt>
              </c:strCache>
            </c:strRef>
          </c:tx>
          <c:spPr>
            <a:solidFill>
              <a:schemeClr val="accent5"/>
            </a:solidFill>
            <a:ln>
              <a:noFill/>
            </a:ln>
            <a:effectLst/>
          </c:spPr>
          <c:invertIfNegative val="0"/>
          <c:dPt>
            <c:idx val="1"/>
            <c:invertIfNegative val="0"/>
            <c:bubble3D val="0"/>
            <c:extLst>
              <c:ext xmlns:c16="http://schemas.microsoft.com/office/drawing/2014/chart" uri="{C3380CC4-5D6E-409C-BE32-E72D297353CC}">
                <c16:uniqueId val="{00000012-8F01-481E-B828-B2EF6C3EF8AB}"/>
              </c:ext>
            </c:extLst>
          </c:dPt>
          <c:dLbls>
            <c:dLbl>
              <c:idx val="1"/>
              <c:layout>
                <c:manualLayout>
                  <c:x val="-0.11830896221065661"/>
                  <c:y val="-6.2007874015748067E-2"/>
                </c:manualLayout>
              </c:layout>
              <c:tx>
                <c:rich>
                  <a:bodyPr/>
                  <a:lstStyle/>
                  <a:p>
                    <a:r>
                      <a:rPr lang="en-US"/>
                      <a:t>Annulations</a:t>
                    </a:r>
                  </a:p>
                </c:rich>
              </c:tx>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12-8F01-481E-B828-B2EF6C3EF8A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'MSR composition updated'!$A$20:$A$21</c:f>
              <c:strCache>
                <c:ptCount val="2"/>
                <c:pt idx="0">
                  <c:v>Sum of Supply</c:v>
                </c:pt>
                <c:pt idx="1">
                  <c:v>Sum of Demand</c:v>
                </c:pt>
              </c:strCache>
            </c:strRef>
          </c:cat>
          <c:val>
            <c:numRef>
              <c:f>'MSR composition updated'!$L$20:$L$21</c:f>
              <c:numCache>
                <c:formatCode>General</c:formatCode>
                <c:ptCount val="2"/>
                <c:pt idx="1">
                  <c:v>441393</c:v>
                </c:pt>
              </c:numCache>
            </c:numRef>
          </c:val>
          <c:extLst>
            <c:ext xmlns:c16="http://schemas.microsoft.com/office/drawing/2014/chart" uri="{C3380CC4-5D6E-409C-BE32-E72D297353CC}">
              <c16:uniqueId val="{00000013-8F01-481E-B828-B2EF6C3EF8AB}"/>
            </c:ext>
          </c:extLst>
        </c:ser>
        <c:ser>
          <c:idx val="11"/>
          <c:order val="11"/>
          <c:tx>
            <c:strRef>
              <c:f>'MSR composition updated'!$M$18:$M$19</c:f>
              <c:strCache>
                <c:ptCount val="1"/>
                <c:pt idx="0">
                  <c:v>MSR holdings</c:v>
                </c:pt>
              </c:strCache>
            </c:strRef>
          </c:tx>
          <c:spPr>
            <a:solidFill>
              <a:schemeClr val="accent6"/>
            </a:solidFill>
            <a:ln>
              <a:noFill/>
            </a:ln>
            <a:effectLst/>
          </c:spPr>
          <c:invertIfNegative val="0"/>
          <c:dLbls>
            <c:dLbl>
              <c:idx val="1"/>
              <c:layout>
                <c:manualLayout>
                  <c:x val="-8.863283846665352E-3"/>
                  <c:y val="-0.11811023622047244"/>
                </c:manualLayout>
              </c:layout>
              <c:tx>
                <c:rich>
                  <a:bodyPr rot="0" spcFirstLastPara="1" vertOverflow="ellipsis" vert="horz" wrap="square" lIns="38100" tIns="19050" rIns="38100" bIns="19050" anchor="ctr" anchorCtr="1">
                    <a:noAutofit/>
                  </a:bodyPr>
                  <a:lstStyle/>
                  <a:p>
                    <a:pPr rtl="0">
                      <a:defRPr sz="1050" b="1" i="0" u="none" strike="noStrike" kern="1200" baseline="0">
                        <a:solidFill>
                          <a:schemeClr val="tx1">
                            <a:lumMod val="75000"/>
                            <a:lumOff val="25000"/>
                          </a:schemeClr>
                        </a:solidFill>
                        <a:latin typeface="+mn-lt"/>
                        <a:ea typeface="+mn-ea"/>
                        <a:cs typeface="+mn-cs"/>
                      </a:defRPr>
                    </a:pPr>
                    <a:r>
                      <a:rPr lang="en-US"/>
                      <a:t>Quotas</a:t>
                    </a:r>
                    <a:r>
                      <a:rPr lang="en-US" baseline="0"/>
                      <a:t> dans la RSM</a:t>
                    </a:r>
                    <a:endParaRPr lang="en-US"/>
                  </a:p>
                </c:rich>
              </c:tx>
              <c:spPr>
                <a:noFill/>
                <a:ln>
                  <a:noFill/>
                </a:ln>
                <a:effectLst/>
              </c:spPr>
              <c:txPr>
                <a:bodyPr rot="0" spcFirstLastPara="1" vertOverflow="ellipsis" vert="horz" wrap="square" lIns="38100" tIns="19050" rIns="38100" bIns="19050" anchor="ctr" anchorCtr="1">
                  <a:noAutofit/>
                </a:bodyPr>
                <a:lstStyle/>
                <a:p>
                  <a:pPr rtl="0">
                    <a:defRPr sz="105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15:layout>
                    <c:manualLayout>
                      <c:w val="0.12068460144010915"/>
                      <c:h val="0.19765763531527064"/>
                    </c:manualLayout>
                  </c15:layout>
                </c:ext>
                <c:ext xmlns:c16="http://schemas.microsoft.com/office/drawing/2014/chart" uri="{C3380CC4-5D6E-409C-BE32-E72D297353CC}">
                  <c16:uniqueId val="{00000016-8F01-481E-B828-B2EF6C3EF8A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'MSR composition updated'!$A$20:$A$21</c:f>
              <c:strCache>
                <c:ptCount val="2"/>
                <c:pt idx="0">
                  <c:v>Sum of Supply</c:v>
                </c:pt>
                <c:pt idx="1">
                  <c:v>Sum of Demand</c:v>
                </c:pt>
              </c:strCache>
            </c:strRef>
          </c:cat>
          <c:val>
            <c:numRef>
              <c:f>'MSR composition updated'!$M$20:$M$21</c:f>
              <c:numCache>
                <c:formatCode>General</c:formatCode>
                <c:ptCount val="2"/>
                <c:pt idx="1">
                  <c:v>1924551469</c:v>
                </c:pt>
              </c:numCache>
            </c:numRef>
          </c:val>
          <c:extLst>
            <c:ext xmlns:c16="http://schemas.microsoft.com/office/drawing/2014/chart" uri="{C3380CC4-5D6E-409C-BE32-E72D297353CC}">
              <c16:uniqueId val="{00000014-8F01-481E-B828-B2EF6C3EF8AB}"/>
            </c:ext>
          </c:extLst>
        </c:ser>
        <c:dLbls>
          <c:showLegendKey val="0"/>
          <c:showVal val="0"/>
          <c:showCatName val="0"/>
          <c:showSerName val="0"/>
          <c:showPercent val="0"/>
          <c:showBubbleSize val="0"/>
        </c:dLbls>
        <c:gapWidth val="150"/>
        <c:axId val="767616808"/>
        <c:axId val="767624352"/>
      </c:barChart>
      <c:catAx>
        <c:axId val="767616808"/>
        <c:scaling>
          <c:orientation val="minMax"/>
        </c:scaling>
        <c:delete val="1"/>
        <c:axPos val="b"/>
        <c:numFmt formatCode="General" sourceLinked="1"/>
        <c:majorTickMark val="none"/>
        <c:minorTickMark val="none"/>
        <c:tickLblPos val="nextTo"/>
        <c:crossAx val="767624352"/>
        <c:crosses val="autoZero"/>
        <c:auto val="1"/>
        <c:lblAlgn val="ctr"/>
        <c:lblOffset val="100"/>
        <c:noMultiLvlLbl val="0"/>
      </c:catAx>
      <c:valAx>
        <c:axId val="767624352"/>
        <c:scaling>
          <c:orientation val="minMax"/>
        </c:scaling>
        <c:delete val="0"/>
        <c:axPos val="l"/>
        <c:majorGridlines>
          <c:spPr>
            <a:ln w="9525" cap="flat" cmpd="sng" algn="ctr">
              <a:solidFill>
                <a:schemeClr val="bg1">
                  <a:lumMod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7616808"/>
        <c:crosses val="autoZero"/>
        <c:crossBetween val="between"/>
        <c:dispUnits>
          <c:builtInUnit val="billions"/>
          <c:dispUnitsLbl>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BE"/>
                    <a:t>Milliards</a:t>
                  </a:r>
                  <a:r>
                    <a:rPr lang="fr-BE" baseline="0"/>
                    <a:t> de quotas</a:t>
                  </a:r>
                  <a:endParaRPr lang="fr-BE"/>
                </a:p>
              </c:rich>
            </c:tx>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dispUnitsLbl>
        </c:dispUnits>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chemeClr val="bg1">
            <a:lumMod val="85000"/>
          </a:schemeClr>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8624AE1ADA55AC498CE8C2673C458AA5" ma:contentTypeVersion="1" ma:contentTypeDescription="Create a new document in this library." ma:contentTypeScope="" ma:versionID="167ade49b98f0d3b5cb7d826645ae3ff">
  <xsd:schema xmlns:xsd="http://www.w3.org/2001/XMLSchema" xmlns:xs="http://www.w3.org/2001/XMLSchema" xmlns:p="http://schemas.microsoft.com/office/2006/metadata/properties" xmlns:ns2="http://schemas.microsoft.com/sharepoint/v3/fields" xmlns:ns3="66dfdfc7-cf04-47bd-8028-378de1775e10" targetNamespace="http://schemas.microsoft.com/office/2006/metadata/properties" ma:root="true" ma:fieldsID="d2667018ce038391566f5e109426fbb5" ns2:_="" ns3:_="">
    <xsd:import namespace="http://schemas.microsoft.com/sharepoint/v3/fields"/>
    <xsd:import namespace="66dfdfc7-cf04-47bd-8028-378de1775e10"/>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2: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element name="_DCDateModified" ma:index="16" nillable="true" ma:displayName="Date Modified" ma:description="The date on which this resource was last modified" ma:format="DateTime" ma:internalName="_DC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6dfdfc7-cf04-47bd-8028-378de1775e10"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_Status xmlns="http://schemas.microsoft.com/sharepoint/v3/fields">Not Started</_Status>
    <EC_Collab_Status xmlns="66dfdfc7-cf04-47bd-8028-378de1775e10">Not Started</EC_Collab_Status>
    <EC_Collab_DocumentLanguage xmlns="66dfdfc7-cf04-47bd-8028-378de1775e10">EN</EC_Collab_DocumentLanguage>
    <EC_Collab_Reference xmlns="66dfdfc7-cf04-47bd-8028-378de1775e10"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9132F-A8E4-4238-9012-017004CDD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66dfdfc7-cf04-47bd-8028-378de1775e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A58876-9682-4DA9-978F-DD3A2CAFE52B}">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6dfdfc7-cf04-47bd-8028-378de1775e10"/>
    <ds:schemaRef ds:uri="http://schemas.microsoft.com/sharepoint/v3/fields"/>
    <ds:schemaRef ds:uri="http://www.w3.org/XML/1998/namespace"/>
    <ds:schemaRef ds:uri="http://purl.org/dc/dcmitype/"/>
  </ds:schemaRefs>
</ds:datastoreItem>
</file>

<file path=customXml/itemProps3.xml><?xml version="1.0" encoding="utf-8"?>
<ds:datastoreItem xmlns:ds="http://schemas.openxmlformats.org/officeDocument/2006/customXml" ds:itemID="{03811A71-F56C-4BB7-A273-26EBDAD2434A}">
  <ds:schemaRefs>
    <ds:schemaRef ds:uri="http://schemas.microsoft.com/sharepoint/v3/contenttype/forms"/>
  </ds:schemaRefs>
</ds:datastoreItem>
</file>

<file path=customXml/itemProps4.xml><?xml version="1.0" encoding="utf-8"?>
<ds:datastoreItem xmlns:ds="http://schemas.openxmlformats.org/officeDocument/2006/customXml" ds:itemID="{0A38A705-59BF-4C6B-AE60-76B31AA81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481</TotalTime>
  <Pages>22</Pages>
  <Words>16911</Words>
  <Characters>87096</Characters>
  <Application>Microsoft Office Word</Application>
  <DocSecurity>0</DocSecurity>
  <Lines>1777</Lines>
  <Paragraphs>793</Paragraphs>
  <ScaleCrop>false</ScaleCrop>
  <HeadingPairs>
    <vt:vector size="6" baseType="variant">
      <vt:variant>
        <vt:lpstr>Title</vt:lpstr>
      </vt:variant>
      <vt:variant>
        <vt:i4>1</vt:i4>
      </vt:variant>
      <vt:variant>
        <vt:lpstr>Titel</vt:lpstr>
      </vt:variant>
      <vt:variant>
        <vt:i4>1</vt:i4>
      </vt:variant>
      <vt:variant>
        <vt:lpstr>Titolo</vt:lpstr>
      </vt:variant>
      <vt:variant>
        <vt:i4>1</vt:i4>
      </vt:variant>
    </vt:vector>
  </HeadingPairs>
  <TitlesOfParts>
    <vt:vector size="3" baseType="lpstr">
      <vt:lpstr/>
      <vt:lpstr/>
      <vt:lpstr/>
    </vt:vector>
  </TitlesOfParts>
  <Manager/>
  <Company/>
  <LinksUpToDate>false</LinksUpToDate>
  <CharactersWithSpaces>103214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51</cp:revision>
  <cp:lastPrinted>2018-11-08T09:30:00Z</cp:lastPrinted>
  <dcterms:created xsi:type="dcterms:W3CDTF">2021-10-21T08:19:00Z</dcterms:created>
  <dcterms:modified xsi:type="dcterms:W3CDTF">2021-12-07T08:19:00Z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fmtid="{D5CDD505-2E9C-101B-9397-08002B2CF9AE}" pid="6" name="Last edited using">
    <vt:lpwstr>LW 7.0.1, Build 20200226</vt:lpwstr>
  </property>
  <property fmtid="{D5CDD505-2E9C-101B-9397-08002B2CF9AE}" pid="7" name="_DocHome">
    <vt:i4>-1319363200</vt:i4>
  </property>
  <property fmtid="{D5CDD505-2E9C-101B-9397-08002B2CF9AE}" pid="8" name="Created using">
    <vt:lpwstr>LW 6.0.1, Build 20180503</vt:lpwstr>
  </property>
  <property fmtid="{D5CDD505-2E9C-101B-9397-08002B2CF9AE}" pid="9" name="CPTemplateID">
    <vt:lpwstr>CP-006</vt:lpwstr>
  </property>
  <property fmtid="{D5CDD505-2E9C-101B-9397-08002B2CF9AE}" pid="10" name="TitusGUID">
    <vt:lpwstr>5cf759e1-5ddc-4581-ad6d-8fdc99e4c60a</vt:lpwstr>
  </property>
  <property fmtid="{D5CDD505-2E9C-101B-9397-08002B2CF9AE}" pid="11" name="_LW_INVALIDATED__LW_INVALIDATED__LW_INVALIDATED__LW_INVALIDATED_ContentTypeId">
    <vt:lpwstr>0x010100258AA79CEB83498886A3A08681123250008624AE1ADA55AC498CE8C2673C458AA5</vt:lpwstr>
  </property>
  <property name="OP_sanitized" fmtid="{D5CDD505-2E9C-101B-9397-08002B2CF9AE}" pid="12">
    <vt:lpwstr>True</vt:lpwstr>
  </property>
</Properties>
</file>