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5865904-8A4E-4C97-ADF2-EB21F084DE81" style="width:450.75pt;height:333.7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both"/>
        <w:rPr>
          <w:rFonts w:ascii="Times New Roman" w:hAnsi="Times New Roman"/>
          <w:b/>
          <w:noProof/>
          <w:sz w:val="24"/>
        </w:rPr>
      </w:pPr>
      <w:bookmarkStart w:id="1" w:name="_GoBack"/>
      <w:bookmarkEnd w:id="1"/>
    </w:p>
    <w:p>
      <w:pPr>
        <w:jc w:val="both"/>
        <w:rPr>
          <w:rFonts w:ascii="Times New Roman" w:hAnsi="Times New Roman" w:cs="Times New Roman"/>
          <w:b/>
          <w:bCs/>
          <w:noProof/>
          <w:sz w:val="24"/>
          <w:szCs w:val="24"/>
        </w:rPr>
      </w:pPr>
      <w:r>
        <w:rPr>
          <w:rFonts w:ascii="Times New Roman" w:hAnsi="Times New Roman"/>
          <w:b/>
          <w:noProof/>
          <w:sz w:val="24"/>
        </w:rPr>
        <w:t xml:space="preserve">1. Introduction </w:t>
      </w:r>
    </w:p>
    <w:p>
      <w:pPr>
        <w:jc w:val="both"/>
        <w:rPr>
          <w:rFonts w:ascii="Times New Roman" w:hAnsi="Times New Roman" w:cs="Times New Roman"/>
          <w:noProof/>
          <w:sz w:val="24"/>
          <w:szCs w:val="24"/>
        </w:rPr>
      </w:pPr>
      <w:r>
        <w:rPr>
          <w:rFonts w:ascii="Times New Roman" w:hAnsi="Times New Roman"/>
          <w:noProof/>
          <w:sz w:val="24"/>
        </w:rPr>
        <w:t>Le règlement (CE) nº 443/2009 du Parlement européen et du Conseil</w:t>
      </w:r>
      <w:r>
        <w:rPr>
          <w:rStyle w:val="FootnoteReference"/>
          <w:rFonts w:ascii="Times New Roman" w:hAnsi="Times New Roman"/>
          <w:noProof/>
          <w:sz w:val="24"/>
        </w:rPr>
        <w:footnoteReference w:id="1"/>
      </w:r>
      <w:r>
        <w:rPr>
          <w:rFonts w:ascii="Times New Roman" w:hAnsi="Times New Roman"/>
          <w:noProof/>
          <w:sz w:val="24"/>
        </w:rPr>
        <w:t xml:space="preserve"> fixe des objectifs concernant le niveau moyen d’émissions de CO</w:t>
      </w:r>
      <w:r>
        <w:rPr>
          <w:rFonts w:ascii="Times New Roman" w:hAnsi="Times New Roman"/>
          <w:noProof/>
          <w:sz w:val="24"/>
          <w:vertAlign w:val="subscript"/>
        </w:rPr>
        <w:t>2</w:t>
      </w:r>
      <w:r>
        <w:rPr>
          <w:rFonts w:ascii="Times New Roman" w:hAnsi="Times New Roman"/>
          <w:noProof/>
          <w:sz w:val="24"/>
        </w:rPr>
        <w:t xml:space="preserve"> qu’il conviendra d’atteindre, pour les voitures particulières neuves immatriculées dans l’UE, par des améliorations de la technologie des véhicules et un recours à des technologies innovantes.</w:t>
      </w:r>
    </w:p>
    <w:p>
      <w:pPr>
        <w:jc w:val="both"/>
        <w:rPr>
          <w:rFonts w:ascii="Times New Roman" w:hAnsi="Times New Roman" w:cs="Times New Roman"/>
          <w:noProof/>
          <w:sz w:val="24"/>
          <w:szCs w:val="24"/>
        </w:rPr>
      </w:pPr>
      <w:r>
        <w:rPr>
          <w:rFonts w:ascii="Times New Roman" w:hAnsi="Times New Roman"/>
          <w:noProof/>
          <w:sz w:val="24"/>
        </w:rPr>
        <w:t xml:space="preserve">Le règlement (CE) nº 443/2009 confère à la Commission le pouvoir d’adopter des actes délégués, tel que visé à l’article 14 </w:t>
      </w:r>
      <w:r>
        <w:rPr>
          <w:rFonts w:ascii="Times New Roman" w:hAnsi="Times New Roman"/>
          <w:i/>
          <w:noProof/>
          <w:sz w:val="24"/>
        </w:rPr>
        <w:t>bis</w:t>
      </w:r>
      <w:r>
        <w:rPr>
          <w:rFonts w:ascii="Times New Roman" w:hAnsi="Times New Roman"/>
          <w:noProof/>
          <w:sz w:val="24"/>
        </w:rPr>
        <w:t>, paragraphe 2, en vue de:</w:t>
      </w:r>
    </w:p>
    <w:p>
      <w:pPr>
        <w:numPr>
          <w:ilvl w:val="0"/>
          <w:numId w:val="1"/>
        </w:numPr>
        <w:contextualSpacing/>
        <w:jc w:val="both"/>
        <w:rPr>
          <w:rFonts w:ascii="Times New Roman" w:hAnsi="Times New Roman" w:cs="Times New Roman"/>
          <w:noProof/>
          <w:sz w:val="24"/>
          <w:szCs w:val="24"/>
        </w:rPr>
      </w:pPr>
      <w:r>
        <w:rPr>
          <w:rFonts w:ascii="Times New Roman" w:hAnsi="Times New Roman"/>
          <w:noProof/>
          <w:sz w:val="24"/>
        </w:rPr>
        <w:t>modifier l’annexe II et d’adopter des règles détaillées relatives à la surveillance et à la communication des données concernant les émissions moyennes, conformément à l’article 8, paragraphe 9;</w:t>
      </w:r>
    </w:p>
    <w:p>
      <w:pPr>
        <w:numPr>
          <w:ilvl w:val="0"/>
          <w:numId w:val="1"/>
        </w:numPr>
        <w:contextualSpacing/>
        <w:jc w:val="both"/>
        <w:rPr>
          <w:rFonts w:ascii="Times New Roman" w:hAnsi="Times New Roman" w:cs="Times New Roman"/>
          <w:noProof/>
          <w:sz w:val="24"/>
          <w:szCs w:val="24"/>
        </w:rPr>
      </w:pPr>
      <w:r>
        <w:rPr>
          <w:rFonts w:ascii="Times New Roman" w:hAnsi="Times New Roman"/>
          <w:noProof/>
          <w:sz w:val="24"/>
        </w:rPr>
        <w:t>compléter le règlement en ce qui concerne, notamment, l’interprétation des critères d'admissibilité pour les dérogations, le contenu des demandes et le contenu et l'évaluation des programmes de réduction des émissions spécifiques de CO</w:t>
      </w:r>
      <w:r>
        <w:rPr>
          <w:rFonts w:ascii="Times New Roman" w:hAnsi="Times New Roman"/>
          <w:noProof/>
          <w:sz w:val="24"/>
          <w:vertAlign w:val="subscript"/>
        </w:rPr>
        <w:t>2</w:t>
      </w:r>
      <w:r>
        <w:rPr>
          <w:rFonts w:ascii="Times New Roman" w:hAnsi="Times New Roman"/>
          <w:noProof/>
          <w:sz w:val="24"/>
        </w:rPr>
        <w:t>, conformément à l’article 11, paragraphe 8;</w:t>
      </w:r>
    </w:p>
    <w:p>
      <w:pPr>
        <w:numPr>
          <w:ilvl w:val="0"/>
          <w:numId w:val="1"/>
        </w:numPr>
        <w:contextualSpacing/>
        <w:jc w:val="both"/>
        <w:rPr>
          <w:rFonts w:ascii="Times New Roman" w:hAnsi="Times New Roman" w:cs="Times New Roman"/>
          <w:noProof/>
          <w:sz w:val="24"/>
          <w:szCs w:val="24"/>
        </w:rPr>
      </w:pPr>
      <w:r>
        <w:rPr>
          <w:rFonts w:ascii="Times New Roman" w:hAnsi="Times New Roman"/>
          <w:noProof/>
          <w:sz w:val="24"/>
        </w:rPr>
        <w:t>modifier l'annexe I au plus tard le 31 octobre 2014 (et tous les trois ans par la suite) afin d'adapter la valeur de M0 à la masse moyenne des voitures particulières neuves des trois années précédentes, conformément à l’article 13, paragraphe 2;</w:t>
      </w:r>
    </w:p>
    <w:p>
      <w:pPr>
        <w:numPr>
          <w:ilvl w:val="0"/>
          <w:numId w:val="1"/>
        </w:numPr>
        <w:contextualSpacing/>
        <w:jc w:val="both"/>
        <w:rPr>
          <w:rFonts w:ascii="Times New Roman" w:hAnsi="Times New Roman" w:cs="Times New Roman"/>
          <w:noProof/>
          <w:sz w:val="24"/>
          <w:szCs w:val="24"/>
        </w:rPr>
      </w:pPr>
      <w:r>
        <w:rPr>
          <w:rFonts w:ascii="Times New Roman" w:hAnsi="Times New Roman"/>
          <w:noProof/>
          <w:sz w:val="24"/>
        </w:rPr>
        <w:t>modifier l’annexe I afin d’adapter les formules utilisées pour déterminer les émissions spécifiques de CO</w:t>
      </w:r>
      <w:r>
        <w:rPr>
          <w:rFonts w:ascii="Times New Roman" w:hAnsi="Times New Roman"/>
          <w:noProof/>
          <w:sz w:val="24"/>
          <w:vertAlign w:val="subscript"/>
        </w:rPr>
        <w:t>2</w:t>
      </w:r>
      <w:r>
        <w:rPr>
          <w:rFonts w:ascii="Times New Roman" w:hAnsi="Times New Roman"/>
          <w:noProof/>
          <w:sz w:val="24"/>
        </w:rPr>
        <w:t xml:space="preserve"> indicatives des voitures particulières, conformément à l’article 13, paragraphe 7, second alinéa.</w:t>
      </w:r>
    </w:p>
    <w:p>
      <w:pPr>
        <w:ind w:left="720"/>
        <w:contextualSpacing/>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rPr>
        <w:t xml:space="preserve">2. Base juridique </w:t>
      </w:r>
    </w:p>
    <w:p>
      <w:pPr>
        <w:jc w:val="both"/>
        <w:rPr>
          <w:rFonts w:ascii="Times New Roman" w:hAnsi="Times New Roman" w:cs="Times New Roman"/>
          <w:noProof/>
          <w:sz w:val="24"/>
          <w:szCs w:val="24"/>
        </w:rPr>
      </w:pPr>
      <w:r>
        <w:rPr>
          <w:rFonts w:ascii="Times New Roman" w:hAnsi="Times New Roman"/>
          <w:noProof/>
          <w:sz w:val="24"/>
        </w:rPr>
        <w:t xml:space="preserve">Par le présent rapport, la Commission vise à satisfaire à l’obligation qui lui est imposée par l’article 14 </w:t>
      </w:r>
      <w:r>
        <w:rPr>
          <w:rFonts w:ascii="Times New Roman" w:hAnsi="Times New Roman"/>
          <w:i/>
          <w:noProof/>
          <w:sz w:val="24"/>
        </w:rPr>
        <w:t>bis</w:t>
      </w:r>
      <w:r>
        <w:rPr>
          <w:rFonts w:ascii="Times New Roman" w:hAnsi="Times New Roman"/>
          <w:noProof/>
          <w:sz w:val="24"/>
        </w:rPr>
        <w:t xml:space="preserve">, paragraphe 2, du règlement (CE) nº 443/2009. En vertu de cet article, le pouvoir d’adopter des actes délégués est conféré à la Commission pour une période de cinq ans à compter du 8 avril 2014. La Commission est également tenue de présenter au Parlement européen et au Conseil un rapport relatif à l’exercice de la délégation qui lui est conférée par ledit règlement. Ce rapport doit être établi au plus tard neuf mois avant la fin de la période de cinq ans pour laquelle est conférée la délégation. La délégation de pouvoir est tacitement prorogée pour des périodes d'une durée identique, sauf si le Parlement européen ou le Conseil s'oppose à cette prorogation trois mois au plus tard avant la fin de chaque période. </w:t>
      </w:r>
    </w:p>
    <w:p>
      <w:pPr>
        <w:jc w:val="both"/>
        <w:rPr>
          <w:rFonts w:ascii="Times New Roman" w:hAnsi="Times New Roman" w:cs="Times New Roman"/>
          <w:noProof/>
          <w:sz w:val="24"/>
          <w:szCs w:val="24"/>
        </w:rPr>
      </w:pPr>
      <w:r>
        <w:rPr>
          <w:rFonts w:ascii="Times New Roman" w:hAnsi="Times New Roman"/>
          <w:b/>
          <w:noProof/>
          <w:sz w:val="24"/>
        </w:rPr>
        <w:t xml:space="preserve">3. Exercice de la délégation </w:t>
      </w:r>
    </w:p>
    <w:p>
      <w:pPr>
        <w:jc w:val="both"/>
        <w:rPr>
          <w:rFonts w:ascii="Times New Roman" w:hAnsi="Times New Roman" w:cs="Times New Roman"/>
          <w:noProof/>
          <w:sz w:val="24"/>
          <w:szCs w:val="24"/>
        </w:rPr>
      </w:pPr>
      <w:r>
        <w:rPr>
          <w:rFonts w:ascii="Times New Roman" w:hAnsi="Times New Roman"/>
          <w:noProof/>
          <w:sz w:val="24"/>
        </w:rPr>
        <w:t xml:space="preserve">L’article 14 </w:t>
      </w:r>
      <w:r>
        <w:rPr>
          <w:rFonts w:ascii="Times New Roman" w:hAnsi="Times New Roman"/>
          <w:i/>
          <w:noProof/>
          <w:sz w:val="24"/>
        </w:rPr>
        <w:t>bis</w:t>
      </w:r>
      <w:r>
        <w:rPr>
          <w:rFonts w:ascii="Times New Roman" w:hAnsi="Times New Roman"/>
          <w:noProof/>
          <w:sz w:val="24"/>
        </w:rPr>
        <w:t xml:space="preserve">, paragraphe 2, du règlement (CE) nº 443/2009 confère à la Commission le pouvoir d’adopter les actes délégués visés à l’article 8, paragraphe 9, à l’article 11, paragraphe 8, à l’article 13, paragraphe 2, troisième alinéa, et à l’article 13, paragraphe 7, second alinéa, dudit règlement. </w:t>
      </w:r>
    </w:p>
    <w:p>
      <w:pPr>
        <w:ind w:left="360"/>
        <w:contextualSpacing/>
        <w:jc w:val="both"/>
        <w:rPr>
          <w:rFonts w:ascii="Times New Roman" w:hAnsi="Times New Roman" w:cs="Times New Roman"/>
          <w:noProof/>
          <w:sz w:val="24"/>
          <w:szCs w:val="24"/>
        </w:rPr>
      </w:pPr>
      <w:r>
        <w:rPr>
          <w:rFonts w:ascii="Times New Roman" w:hAnsi="Times New Roman"/>
          <w:noProof/>
          <w:sz w:val="24"/>
        </w:rPr>
        <w:t>3.1 L’article 8, paragraphe 9, du règlement (CE) nº 443/2009 impose à la Commission de modifier l’annexe II et d’adopter, par voie d’actes délégués, les règles détaillées relatives à la surveillance et à la communication des données concernant les émissions moyennes des voitures particulières neuves immatriculées sur le territoire de l’UE.</w:t>
      </w:r>
    </w:p>
    <w:p>
      <w:pPr>
        <w:ind w:left="426"/>
        <w:contextualSpacing/>
        <w:jc w:val="both"/>
        <w:rPr>
          <w:rFonts w:ascii="Times New Roman" w:hAnsi="Times New Roman" w:cs="Times New Roman"/>
          <w:noProof/>
          <w:sz w:val="24"/>
          <w:szCs w:val="24"/>
        </w:rPr>
      </w:pPr>
    </w:p>
    <w:p>
      <w:pPr>
        <w:ind w:left="426"/>
        <w:contextualSpacing/>
        <w:jc w:val="both"/>
        <w:rPr>
          <w:rFonts w:ascii="Times New Roman" w:hAnsi="Times New Roman"/>
          <w:noProof/>
          <w:sz w:val="24"/>
        </w:rPr>
      </w:pPr>
      <w:r>
        <w:rPr>
          <w:rFonts w:ascii="Times New Roman" w:hAnsi="Times New Roman"/>
          <w:noProof/>
          <w:sz w:val="24"/>
        </w:rPr>
        <w:t>Un acte délégué</w:t>
      </w:r>
      <w:r>
        <w:rPr>
          <w:rStyle w:val="FootnoteReference"/>
          <w:rFonts w:ascii="Times New Roman" w:hAnsi="Times New Roman"/>
          <w:noProof/>
          <w:sz w:val="24"/>
        </w:rPr>
        <w:footnoteReference w:id="2"/>
      </w:r>
      <w:r>
        <w:rPr>
          <w:rFonts w:ascii="Times New Roman" w:hAnsi="Times New Roman"/>
          <w:noProof/>
          <w:sz w:val="24"/>
        </w:rPr>
        <w:t xml:space="preserve"> a été adopté par la Commission le 2 juin 2017 et soumis au Parlement européen et au Conseil pour contrôle. L’un des objectifs de cet acte était d’adapter les exigences de communication d’informations et de surveillance à la modification de la procédure d'essai réglementaire utilisée pour mesurer ces émissions (voir section 3.4).</w:t>
      </w:r>
    </w:p>
    <w:p>
      <w:pPr>
        <w:ind w:left="360"/>
        <w:contextualSpacing/>
        <w:jc w:val="both"/>
        <w:rPr>
          <w:rFonts w:ascii="Times New Roman" w:hAnsi="Times New Roman" w:cs="Times New Roman"/>
          <w:noProof/>
          <w:sz w:val="24"/>
          <w:szCs w:val="24"/>
        </w:rPr>
      </w:pPr>
    </w:p>
    <w:p>
      <w:pPr>
        <w:ind w:left="360"/>
        <w:contextualSpacing/>
        <w:jc w:val="both"/>
        <w:rPr>
          <w:rFonts w:ascii="Times New Roman" w:hAnsi="Times New Roman" w:cs="Times New Roman"/>
          <w:noProof/>
          <w:sz w:val="24"/>
          <w:szCs w:val="24"/>
        </w:rPr>
      </w:pPr>
      <w:r>
        <w:rPr>
          <w:rFonts w:ascii="Times New Roman" w:hAnsi="Times New Roman"/>
          <w:noProof/>
          <w:sz w:val="24"/>
        </w:rPr>
        <w:t>3.2 L’article 11, paragraphe 8, du règlement (CE) nº 443/2009 impose à la Commission d’adopter des actes délégués afin de compléter le règlement, notamment en ce qui concerne l’interprétation des critères d'admissibilité pour les dérogations, le contenu des demandes et le contenu et l'évaluation des programmes de réduction des émissions spécifiques de CO</w:t>
      </w:r>
      <w:r>
        <w:rPr>
          <w:rFonts w:ascii="Times New Roman" w:hAnsi="Times New Roman"/>
          <w:noProof/>
          <w:sz w:val="24"/>
          <w:vertAlign w:val="subscript"/>
        </w:rPr>
        <w:t>2</w:t>
      </w:r>
      <w:r>
        <w:rPr>
          <w:rFonts w:ascii="Times New Roman" w:hAnsi="Times New Roman"/>
          <w:noProof/>
          <w:sz w:val="24"/>
        </w:rPr>
        <w:t>.</w:t>
      </w:r>
    </w:p>
    <w:p>
      <w:pPr>
        <w:ind w:left="426"/>
        <w:contextualSpacing/>
        <w:jc w:val="both"/>
        <w:rPr>
          <w:rFonts w:ascii="Times New Roman" w:hAnsi="Times New Roman" w:cs="Times New Roman"/>
          <w:noProof/>
          <w:sz w:val="24"/>
          <w:szCs w:val="24"/>
        </w:rPr>
      </w:pPr>
    </w:p>
    <w:p>
      <w:pPr>
        <w:ind w:left="426"/>
        <w:contextualSpacing/>
        <w:jc w:val="both"/>
        <w:rPr>
          <w:rFonts w:ascii="Times New Roman" w:hAnsi="Times New Roman" w:cs="Times New Roman"/>
          <w:noProof/>
          <w:sz w:val="24"/>
          <w:szCs w:val="24"/>
        </w:rPr>
      </w:pPr>
      <w:r>
        <w:rPr>
          <w:rFonts w:ascii="Times New Roman" w:hAnsi="Times New Roman"/>
          <w:noProof/>
          <w:sz w:val="24"/>
        </w:rPr>
        <w:t>Depuis que le pouvoir d’adopter des actes délégués a été conféré à la Commission</w:t>
      </w:r>
      <w:r>
        <w:rPr>
          <w:rStyle w:val="FootnoteReference"/>
          <w:rFonts w:ascii="Times New Roman" w:hAnsi="Times New Roman"/>
          <w:noProof/>
          <w:sz w:val="24"/>
        </w:rPr>
        <w:footnoteReference w:id="3"/>
      </w:r>
      <w:r>
        <w:rPr>
          <w:rFonts w:ascii="Times New Roman" w:hAnsi="Times New Roman"/>
          <w:noProof/>
          <w:sz w:val="24"/>
        </w:rPr>
        <w:t>, aucun acte délégué n’a été adopté au titre de l’article 11, paragraphe 8.</w:t>
      </w:r>
    </w:p>
    <w:p>
      <w:pPr>
        <w:contextualSpacing/>
        <w:jc w:val="both"/>
        <w:rPr>
          <w:rFonts w:ascii="Times New Roman" w:hAnsi="Times New Roman" w:cs="Times New Roman"/>
          <w:noProof/>
          <w:sz w:val="24"/>
          <w:szCs w:val="24"/>
        </w:rPr>
      </w:pPr>
    </w:p>
    <w:p>
      <w:pPr>
        <w:ind w:left="360"/>
        <w:contextualSpacing/>
        <w:jc w:val="both"/>
        <w:rPr>
          <w:rFonts w:ascii="Times New Roman" w:hAnsi="Times New Roman" w:cs="Times New Roman"/>
          <w:noProof/>
          <w:sz w:val="24"/>
          <w:szCs w:val="24"/>
        </w:rPr>
      </w:pPr>
      <w:r>
        <w:rPr>
          <w:rFonts w:ascii="Times New Roman" w:hAnsi="Times New Roman"/>
          <w:noProof/>
          <w:sz w:val="24"/>
        </w:rPr>
        <w:t>3.3 L’article 13, paragraphe 2, du règlement (CE) nº 443/2009 impose à la Commission d’adopter des actes délégués afin de modifier, au plus tard le 31 octobre 2014 (et tous les trois ans par la suite), l’annexe I dudit règlement. L’objectif de cette délégation de pouvoir est de garantir une adaptation régulière de la valeur de la masse moyenne qui est utilisée pour calculer les émissions spécifiques de CO</w:t>
      </w:r>
      <w:r>
        <w:rPr>
          <w:rFonts w:ascii="Times New Roman" w:hAnsi="Times New Roman"/>
          <w:noProof/>
          <w:sz w:val="24"/>
          <w:vertAlign w:val="subscript"/>
        </w:rPr>
        <w:t>2</w:t>
      </w:r>
      <w:r>
        <w:rPr>
          <w:rFonts w:ascii="Times New Roman" w:hAnsi="Times New Roman"/>
          <w:noProof/>
          <w:sz w:val="24"/>
        </w:rPr>
        <w:t xml:space="preserve"> des voitures particulières neuves en tenant compte de la masse moyenne des véhicules neufs immatriculés dans l’Union au cours des trois dernières années.</w:t>
      </w:r>
    </w:p>
    <w:p>
      <w:pPr>
        <w:ind w:left="360"/>
        <w:contextualSpacing/>
        <w:jc w:val="both"/>
        <w:rPr>
          <w:rFonts w:ascii="Times New Roman" w:hAnsi="Times New Roman" w:cs="Times New Roman"/>
          <w:noProof/>
          <w:sz w:val="24"/>
          <w:szCs w:val="24"/>
        </w:rPr>
      </w:pPr>
    </w:p>
    <w:p>
      <w:pPr>
        <w:ind w:left="426"/>
        <w:contextualSpacing/>
        <w:jc w:val="both"/>
        <w:rPr>
          <w:rFonts w:ascii="Times New Roman" w:hAnsi="Times New Roman" w:cs="Times New Roman"/>
          <w:noProof/>
          <w:sz w:val="24"/>
          <w:szCs w:val="24"/>
        </w:rPr>
      </w:pPr>
      <w:r>
        <w:rPr>
          <w:rFonts w:ascii="Times New Roman" w:hAnsi="Times New Roman"/>
          <w:noProof/>
          <w:sz w:val="24"/>
        </w:rPr>
        <w:t>Le premier acte délégué</w:t>
      </w:r>
      <w:r>
        <w:rPr>
          <w:rFonts w:ascii="Times New Roman" w:hAnsi="Times New Roman"/>
          <w:noProof/>
          <w:sz w:val="24"/>
          <w:vertAlign w:val="superscript"/>
        </w:rPr>
        <w:footnoteReference w:id="4"/>
      </w:r>
      <w:r>
        <w:rPr>
          <w:rFonts w:ascii="Times New Roman" w:hAnsi="Times New Roman"/>
          <w:noProof/>
          <w:sz w:val="24"/>
        </w:rPr>
        <w:t xml:space="preserve"> a été adopté par la Commission le 31 octobre 2014 et soumis au Parlement européen et au Conseil pour contrôle. Un deuxième acte délégué</w:t>
      </w:r>
      <w:r>
        <w:rPr>
          <w:rStyle w:val="FootnoteReference"/>
          <w:rFonts w:ascii="Times New Roman" w:hAnsi="Times New Roman"/>
          <w:noProof/>
          <w:sz w:val="24"/>
        </w:rPr>
        <w:footnoteReference w:id="5"/>
      </w:r>
      <w:r>
        <w:rPr>
          <w:rFonts w:ascii="Times New Roman" w:hAnsi="Times New Roman"/>
          <w:noProof/>
          <w:sz w:val="24"/>
        </w:rPr>
        <w:t xml:space="preserve"> a été adopté par la Commission le 23 janvier 2018 et soumis au Parlement européen et au Conseil pour contrôle.</w:t>
      </w:r>
    </w:p>
    <w:p>
      <w:pPr>
        <w:ind w:left="426"/>
        <w:contextualSpacing/>
        <w:jc w:val="both"/>
        <w:rPr>
          <w:rFonts w:ascii="Times New Roman" w:hAnsi="Times New Roman" w:cs="Times New Roman"/>
          <w:noProof/>
          <w:sz w:val="24"/>
          <w:szCs w:val="24"/>
        </w:rPr>
      </w:pPr>
    </w:p>
    <w:p>
      <w:pPr>
        <w:ind w:left="360"/>
        <w:contextualSpacing/>
        <w:jc w:val="both"/>
        <w:rPr>
          <w:rFonts w:ascii="Times New Roman" w:hAnsi="Times New Roman" w:cs="Times New Roman"/>
          <w:noProof/>
          <w:sz w:val="24"/>
          <w:szCs w:val="24"/>
        </w:rPr>
      </w:pPr>
      <w:r>
        <w:rPr>
          <w:rFonts w:ascii="Times New Roman" w:hAnsi="Times New Roman"/>
          <w:noProof/>
          <w:sz w:val="24"/>
        </w:rPr>
        <w:t>3.4 L’article 13, paragraphe 7, second alinéa, du règlement (CE) nº 443/2009 impose à la Commission d’adopter des actes délégués afin d’adapter les formules énoncées à l’annexe I dudit règlement.</w:t>
      </w:r>
    </w:p>
    <w:p>
      <w:pPr>
        <w:ind w:left="426"/>
        <w:contextualSpacing/>
        <w:jc w:val="both"/>
        <w:rPr>
          <w:rFonts w:ascii="Times New Roman" w:hAnsi="Times New Roman" w:cs="Times New Roman"/>
          <w:noProof/>
          <w:sz w:val="24"/>
          <w:szCs w:val="24"/>
        </w:rPr>
      </w:pPr>
    </w:p>
    <w:p>
      <w:pPr>
        <w:ind w:left="426"/>
        <w:contextualSpacing/>
        <w:jc w:val="both"/>
        <w:rPr>
          <w:rFonts w:ascii="Times New Roman" w:hAnsi="Times New Roman" w:cs="Times New Roman"/>
          <w:noProof/>
          <w:sz w:val="24"/>
          <w:szCs w:val="24"/>
        </w:rPr>
      </w:pPr>
      <w:r>
        <w:rPr>
          <w:rFonts w:ascii="Times New Roman" w:hAnsi="Times New Roman"/>
          <w:noProof/>
          <w:sz w:val="24"/>
        </w:rPr>
        <w:t>Le règlement délégué (UE) 2017/1502 a été adopté par la Commission le 2 juin 2017 et soumis au Parlement européen et au Conseil pour contrôle. Le principal objectif de cet acte législatif est d’adapter les objectifs d’émissions spécifiques de CO</w:t>
      </w:r>
      <w:r>
        <w:rPr>
          <w:rFonts w:ascii="Times New Roman" w:hAnsi="Times New Roman"/>
          <w:noProof/>
          <w:sz w:val="24"/>
          <w:vertAlign w:val="subscript"/>
        </w:rPr>
        <w:t>2</w:t>
      </w:r>
      <w:r>
        <w:rPr>
          <w:rFonts w:ascii="Times New Roman" w:hAnsi="Times New Roman"/>
          <w:noProof/>
          <w:sz w:val="24"/>
        </w:rPr>
        <w:t xml:space="preserve"> et les exigences de communication d’informations et de surveillance à la modification de la procédure d'essai réglementaire utilisée pour mesurer ces émissions. La procédure d’essai harmonisée au niveau mondial pour les véhicules légers (WLTP) est décrite dans le règlement (UE) 2017/1151 de la Commission</w:t>
      </w:r>
      <w:r>
        <w:rPr>
          <w:rFonts w:ascii="Times New Roman" w:hAnsi="Times New Roman"/>
          <w:noProof/>
          <w:sz w:val="24"/>
          <w:vertAlign w:val="superscript"/>
        </w:rPr>
        <w:footnoteReference w:id="6"/>
      </w:r>
      <w:r>
        <w:rPr>
          <w:rFonts w:ascii="Times New Roman" w:hAnsi="Times New Roman"/>
          <w:noProof/>
          <w:sz w:val="24"/>
        </w:rPr>
        <w:t xml:space="preserve"> et remplace, depuis le 1</w:t>
      </w:r>
      <w:r>
        <w:rPr>
          <w:rFonts w:ascii="Times New Roman" w:hAnsi="Times New Roman"/>
          <w:noProof/>
          <w:sz w:val="24"/>
          <w:vertAlign w:val="superscript"/>
        </w:rPr>
        <w:t>er</w:t>
      </w:r>
      <w:r>
        <w:rPr>
          <w:rFonts w:ascii="Times New Roman" w:hAnsi="Times New Roman"/>
          <w:noProof/>
          <w:sz w:val="24"/>
        </w:rPr>
        <w:t> septembre 2017, le nouveau cycle européen de conduite (NEDC) utilisé en vertu du règlement (CE) nº 692/2008 de la Commission</w:t>
      </w:r>
      <w:r>
        <w:rPr>
          <w:rFonts w:ascii="Times New Roman" w:hAnsi="Times New Roman"/>
          <w:noProof/>
          <w:sz w:val="24"/>
          <w:vertAlign w:val="superscript"/>
        </w:rPr>
        <w:footnoteReference w:id="7"/>
      </w:r>
      <w:r>
        <w:rPr>
          <w:rFonts w:ascii="Times New Roman" w:hAnsi="Times New Roman"/>
          <w:noProof/>
          <w:sz w:val="24"/>
        </w:rPr>
        <w:t>.</w:t>
      </w:r>
    </w:p>
    <w:p>
      <w:pPr>
        <w:ind w:left="426"/>
        <w:contextualSpacing/>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4. Conclusion</w:t>
      </w:r>
    </w:p>
    <w:p>
      <w:pPr>
        <w:jc w:val="both"/>
        <w:rPr>
          <w:rFonts w:ascii="Times New Roman" w:hAnsi="Times New Roman" w:cs="Times New Roman"/>
          <w:noProof/>
          <w:sz w:val="24"/>
          <w:szCs w:val="24"/>
        </w:rPr>
      </w:pPr>
      <w:r>
        <w:rPr>
          <w:rFonts w:ascii="Times New Roman" w:hAnsi="Times New Roman"/>
          <w:noProof/>
          <w:sz w:val="24"/>
        </w:rPr>
        <w:t>Le règlement (CE) nº 443/2009 s’applique depuis 2009. Jusqu’ici, la Commission a adopté des actes délégués afin de définir et de modifier les règles relatives à la surveillance et à la communication des données concernant les émissions moyennes, et notamment d’adapter les formules de calcul des objectifs et les valeurs de masse figurant aux annexes I et II du règlement. Aucune objection n’a été soulevée à l’issue du contrôle de ces actes par le Parlement européen et le Conseil.</w:t>
      </w:r>
    </w:p>
    <w:p>
      <w:pPr>
        <w:jc w:val="both"/>
        <w:rPr>
          <w:rFonts w:ascii="Times New Roman" w:hAnsi="Times New Roman" w:cs="Times New Roman"/>
          <w:noProof/>
          <w:sz w:val="24"/>
          <w:szCs w:val="24"/>
        </w:rPr>
      </w:pPr>
      <w:r>
        <w:rPr>
          <w:rFonts w:ascii="Times New Roman" w:hAnsi="Times New Roman"/>
          <w:noProof/>
          <w:sz w:val="24"/>
        </w:rPr>
        <w:t>La Commission invite le Parlement européen et le Conseil à prendre acte du présent rapport.</w:t>
      </w:r>
    </w:p>
    <w:p>
      <w:pPr>
        <w:rPr>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977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rPr>
        <w:footnoteRef/>
      </w:r>
      <w:r>
        <w:t xml:space="preserve"> </w:t>
      </w:r>
      <w:r>
        <w:rPr>
          <w:rFonts w:ascii="Times New Roman" w:hAnsi="Times New Roman"/>
        </w:rPr>
        <w:t>Règlement (CE) nº 443/2009 du Parlement européen et du Conseil du 23 avril 2009 établissant des normes de performance en matière d'émissions pour les voitures particulières neuves dans le cadre de l'approche intégrée de la Communauté visant à réduire les émissions de CO</w:t>
      </w:r>
      <w:r>
        <w:rPr>
          <w:rFonts w:ascii="Times New Roman" w:hAnsi="Times New Roman"/>
          <w:vertAlign w:val="subscript"/>
        </w:rPr>
        <w:t>2</w:t>
      </w:r>
      <w:r>
        <w:rPr>
          <w:rFonts w:ascii="Times New Roman" w:hAnsi="Times New Roman"/>
        </w:rPr>
        <w:t xml:space="preserve"> des véhicules légers (JO L 140 du 5.6.2009, p. 1).</w:t>
      </w:r>
    </w:p>
  </w:footnote>
  <w:footnote w:id="2">
    <w:p>
      <w:pPr>
        <w:pStyle w:val="FootnoteText"/>
      </w:pPr>
      <w:r>
        <w:rPr>
          <w:rStyle w:val="FootnoteReference"/>
        </w:rPr>
        <w:footnoteRef/>
      </w:r>
      <w:r>
        <w:t xml:space="preserve"> </w:t>
      </w:r>
      <w:r>
        <w:rPr>
          <w:rFonts w:ascii="Times New Roman" w:hAnsi="Times New Roman"/>
        </w:rPr>
        <w:t>Règlement délégué (UE) 2017/1502 de la Commission du 2 juin 2017 modifiant les annexes I et II du règlement (CE) nº 443/2009 du Parlement européen et du Conseil afin de les adapter aux changements apportés à la procédure d'essai réglementaire utilisée pour la mesure des émissions de CO</w:t>
      </w:r>
      <w:r>
        <w:rPr>
          <w:rFonts w:ascii="Times New Roman" w:hAnsi="Times New Roman"/>
          <w:vertAlign w:val="subscript"/>
        </w:rPr>
        <w:t>2</w:t>
      </w:r>
      <w:r>
        <w:rPr>
          <w:rFonts w:ascii="Times New Roman" w:hAnsi="Times New Roman"/>
        </w:rPr>
        <w:t xml:space="preserve"> des véhicules utilitaires légers (JO L 221 du 26.8.2017, p. 4).</w:t>
      </w:r>
    </w:p>
  </w:footnote>
  <w:footnote w:id="3">
    <w:p>
      <w:pPr>
        <w:pStyle w:val="FootnoteText"/>
      </w:pPr>
      <w:r>
        <w:rPr>
          <w:rStyle w:val="FootnoteReference"/>
        </w:rPr>
        <w:footnoteRef/>
      </w:r>
      <w:r>
        <w:t xml:space="preserve"> </w:t>
      </w:r>
      <w:r>
        <w:rPr>
          <w:rFonts w:ascii="Times New Roman" w:hAnsi="Times New Roman"/>
        </w:rPr>
        <w:t>Règlement (UE) nº 397/2013 de la Commission du 30 avril 2013 modifiant le règlement (CE) nº 443/2009 du Parlement européen et du Conseil en ce qui concerne la surveillance des émissions de CO</w:t>
      </w:r>
      <w:r>
        <w:rPr>
          <w:rFonts w:ascii="Times New Roman" w:hAnsi="Times New Roman"/>
          <w:vertAlign w:val="subscript"/>
        </w:rPr>
        <w:t>2</w:t>
      </w:r>
      <w:r>
        <w:rPr>
          <w:rFonts w:ascii="Times New Roman" w:hAnsi="Times New Roman"/>
        </w:rPr>
        <w:t xml:space="preserve"> des voitures particulières neuves (JO L 120 du 1.5.2013, p. 4).</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Règlement délégué (UE) 2015/6 de la Commission du 31 octobre 2014 modifiant l'annexe I du règlement (CE) nº 443/2009 du Parlement européen et du Conseil afin de tenir compte de l'évolution de la masse des voitures particulières neuves immatriculées en 2011, 2012 et 2013 (JO L 3 du 7.1.2015, p. 1).</w:t>
      </w:r>
    </w:p>
  </w:footnote>
  <w:footnote w:id="5">
    <w:p>
      <w:pPr>
        <w:pStyle w:val="FootnoteText"/>
      </w:pPr>
      <w:r>
        <w:rPr>
          <w:rStyle w:val="FootnoteReference"/>
        </w:rPr>
        <w:footnoteRef/>
      </w:r>
      <w:r>
        <w:rPr>
          <w:rStyle w:val="FootnoteReference"/>
        </w:rPr>
        <w:t xml:space="preserve"> </w:t>
      </w:r>
      <w:r>
        <w:rPr>
          <w:rFonts w:ascii="Times New Roman" w:hAnsi="Times New Roman"/>
        </w:rPr>
        <w:t>Règlement délégué (UE) 2018/649 de la Commission du 23 janvier 2018 modifiant l'annexe I du règlement (CE) nº 443/2009 du Parlement européen et du Conseil afin de tenir compte de l'évolution de la masse des voitures particulières neuves immatriculées en 2014, 2015 et 2016 (JO L 108 du 27.4.2018, p. 14).</w:t>
      </w:r>
    </w:p>
  </w:footnote>
  <w:footnote w:id="6">
    <w:p>
      <w:pPr>
        <w:pStyle w:val="FootnoteText"/>
        <w:jc w:val="both"/>
        <w:rPr>
          <w:rFonts w:ascii="Times New Roman" w:hAnsi="Times New Roman" w:cs="Times New Roman"/>
          <w:highlight w:val="yellow"/>
        </w:rPr>
      </w:pPr>
      <w:r>
        <w:rPr>
          <w:rStyle w:val="FootnoteReference"/>
          <w:rFonts w:ascii="Times New Roman" w:hAnsi="Times New Roman"/>
        </w:rPr>
        <w:footnoteRef/>
      </w:r>
      <w:r>
        <w:rPr>
          <w:rFonts w:ascii="Times New Roman" w:hAnsi="Times New Roman"/>
        </w:rPr>
        <w:t xml:space="preserve"> Règlement (UE) 2017/1151 de la Commission du 1</w:t>
      </w:r>
      <w:r>
        <w:rPr>
          <w:rFonts w:ascii="Times New Roman" w:hAnsi="Times New Roman"/>
          <w:vertAlign w:val="superscript"/>
        </w:rPr>
        <w:t>er</w:t>
      </w:r>
      <w:r>
        <w:rPr>
          <w:rFonts w:ascii="Times New Roman" w:hAnsi="Times New Roman"/>
        </w:rPr>
        <w:t> juin 2017 complétant le règlement (CE) nº 715/2007 du Parlement européen et du Conseil relatif à la réception des véhicules à moteur au regard des émissions des véhicules particuliers et utilitaires légers (Euro 5 et Euro 6) et aux informations sur la réparation et l'entretien des véhicules, modifiant la directive 2007/46/CE du Parlement européen et du Conseil, le règlement (CE) n° 692/2008 de la Commission et le règlement (UE) n° 1230/2012 de la Commission et abrogeant le règlement (CE) n° 692/2008 (JO L 175 du 7.7.2017, p. 1).</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Règlement (CE) nº 692/2008 de la Commission du 18 juillet 2008 portant application et modification du règlement (CE) n° 715/2007 du Parlement européen et du Conseil relatif à la réception des véhicules à moteur au regard des émissions des véhicules particuliers et utilitaires légers (Euro 5 et Euro 6) et aux informations sur la réparation et l'entretien des véhicules (JO L 199 du 28.7.2008,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4B1"/>
    <w:multiLevelType w:val="hybridMultilevel"/>
    <w:tmpl w:val="33A6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03437"/>
    <w:multiLevelType w:val="hybridMultilevel"/>
    <w:tmpl w:val="B7A60C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3F2F14"/>
    <w:multiLevelType w:val="hybridMultilevel"/>
    <w:tmpl w:val="7B7808EC"/>
    <w:lvl w:ilvl="0" w:tplc="1B6C5A0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6E4A83"/>
    <w:multiLevelType w:val="hybridMultilevel"/>
    <w:tmpl w:val="85D47C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6D24FA"/>
    <w:multiLevelType w:val="hybridMultilevel"/>
    <w:tmpl w:val="85D47C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48B75E7"/>
    <w:multiLevelType w:val="hybridMultilevel"/>
    <w:tmpl w:val="CB6A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ocStatus" w:val="Green"/>
    <w:docVar w:name="LW_CORRIGENDUM" w:val="&lt;UNUSED&gt;"/>
    <w:docVar w:name="LW_COVERPAGE_EXISTS" w:val="True"/>
    <w:docVar w:name="LW_COVERPAGE_GUID" w:val="35865904-8A4E-4C97-ADF2-EB21F084DE81"/>
    <w:docVar w:name="LW_COVERPAGE_TYPE" w:val="1"/>
    <w:docVar w:name="LW_CROSSREFERENCE" w:val="&lt;UNUSED&gt;"/>
    <w:docVar w:name="LW_DocType" w:val="NORMAL"/>
    <w:docVar w:name="LW_EMISSION" w:val="8.11.2018"/>
    <w:docVar w:name="LW_EMISSION_ISODATE" w:val="2018-11-08"/>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8) 7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sur l'exercice de la délégation conférée à la Commission conformément au règlement (CE) n° 443/2009 établissant des normes de performance en matière d'émissions pour les voitures particulières neuves dans le cadre de l'approche intégrée de l'Union visant à réduire les émissions de CO2 des véhicules légers"/>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9C7D5-F86D-45B6-83E6-E22365A2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976</Words>
  <Characters>5183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dcterms:created xsi:type="dcterms:W3CDTF">2018-08-30T15:21:00Z</dcterms:created>
  <dcterms:modified xsi:type="dcterms:W3CDTF">2018-10-30T14:17:00Z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