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DE" w:rsidRDefault="00331FB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D96B6D4E16243B18562D942CCAB81E7" style="width:450.75pt;height:307.5pt">
            <v:imagedata r:id="rId9" o:title=""/>
          </v:shape>
        </w:pict>
      </w:r>
    </w:p>
    <w:bookmarkEnd w:id="0"/>
    <w:p w:rsidR="006435DE" w:rsidRDefault="006435DE">
      <w:pPr>
        <w:rPr>
          <w:noProof/>
        </w:rPr>
        <w:sectPr w:rsidR="006435D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6435DE" w:rsidRDefault="006435DE">
      <w:pPr>
        <w:rPr>
          <w:noProof/>
        </w:rPr>
      </w:pPr>
    </w:p>
    <w:p w:rsidR="006435DE" w:rsidRDefault="00331FB9">
      <w:pPr>
        <w:pStyle w:val="Typedudocument"/>
        <w:rPr>
          <w:noProof/>
        </w:rPr>
      </w:pPr>
      <w:r>
        <w:rPr>
          <w:noProof/>
        </w:rPr>
        <w:t>RAPPORT DE LA COMMISSION AU PARLEMENT EUROPÉEN ET AU CONSEIL</w:t>
      </w:r>
    </w:p>
    <w:p w:rsidR="006435DE" w:rsidRDefault="00331FB9">
      <w:pPr>
        <w:pStyle w:val="Titreobjet"/>
        <w:rPr>
          <w:noProof/>
        </w:rPr>
      </w:pPr>
      <w:r>
        <w:rPr>
          <w:noProof/>
        </w:rPr>
        <w:t xml:space="preserve">SUR LES DENRÉES ET INGRÉDIENTS </w:t>
      </w:r>
      <w:r>
        <w:rPr>
          <w:noProof/>
        </w:rPr>
        <w:t>ALIMENTAIRES TRAITÉS PAR IONISATION EN 2015</w:t>
      </w:r>
    </w:p>
    <w:p w:rsidR="006435DE" w:rsidRDefault="006435DE">
      <w:pPr>
        <w:spacing w:after="0"/>
        <w:jc w:val="left"/>
        <w:rPr>
          <w:noProof/>
        </w:rPr>
      </w:pPr>
    </w:p>
    <w:p w:rsidR="006435DE" w:rsidRDefault="006435DE">
      <w:pPr>
        <w:spacing w:after="0"/>
        <w:jc w:val="left"/>
        <w:rPr>
          <w:noProof/>
        </w:rPr>
      </w:pPr>
    </w:p>
    <w:p w:rsidR="006435DE" w:rsidRDefault="006435DE">
      <w:pPr>
        <w:spacing w:after="0"/>
        <w:jc w:val="left"/>
        <w:rPr>
          <w:noProof/>
        </w:rPr>
      </w:pPr>
    </w:p>
    <w:p w:rsidR="006435DE" w:rsidRDefault="00331FB9">
      <w:pPr>
        <w:spacing w:after="0"/>
        <w:jc w:val="left"/>
        <w:rPr>
          <w:noProof/>
        </w:rPr>
      </w:pPr>
      <w:r>
        <w:rPr>
          <w:noProof/>
        </w:rPr>
        <w:br w:type="page"/>
      </w:r>
    </w:p>
    <w:p w:rsidR="006435DE" w:rsidRDefault="006435DE">
      <w:pPr>
        <w:rPr>
          <w:noProof/>
        </w:rPr>
        <w:sectPr w:rsidR="006435DE">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26"/>
        </w:sectPr>
      </w:pPr>
    </w:p>
    <w:p w:rsidR="006435DE" w:rsidRDefault="006435DE">
      <w:pPr>
        <w:rPr>
          <w:noProof/>
        </w:rPr>
      </w:pPr>
    </w:p>
    <w:p w:rsidR="006435DE" w:rsidRDefault="00331FB9">
      <w:pPr>
        <w:jc w:val="center"/>
        <w:rPr>
          <w:noProof/>
        </w:rPr>
      </w:pPr>
      <w:r>
        <w:rPr>
          <w:b/>
          <w:noProof/>
        </w:rPr>
        <w:t>TABLE DES MATIÈRES</w:t>
      </w:r>
    </w:p>
    <w:p w:rsidR="006435DE" w:rsidRDefault="00331FB9">
      <w:pPr>
        <w:pStyle w:val="TOC1"/>
        <w:rPr>
          <w:rFonts w:asciiTheme="minorHAnsi" w:eastAsiaTheme="minorEastAsia" w:hAnsiTheme="minorHAnsi" w:cstheme="minorBidi"/>
          <w:caps w:val="0"/>
          <w:noProof/>
          <w:sz w:val="22"/>
          <w:szCs w:val="22"/>
          <w:lang w:bidi="ar-SA"/>
        </w:rPr>
      </w:pPr>
      <w:r>
        <w:rPr>
          <w:caps w:val="0"/>
          <w:smallCaps/>
          <w:noProof/>
          <w:color w:val="0000FF" w:themeColor="hyperlink"/>
          <w:u w:val="single"/>
        </w:rPr>
        <w:fldChar w:fldCharType="begin"/>
      </w:r>
      <w:r>
        <w:rPr>
          <w:caps w:val="0"/>
          <w:smallCaps/>
          <w:noProof/>
          <w:color w:val="0000FF" w:themeColor="hyperlink"/>
          <w:u w:val="single"/>
        </w:rPr>
        <w:instrText xml:space="preserve"> TOC \o "1-4" \h \t "ChapterTitle;5;PartTitle;5;SectionTitle;5" </w:instrText>
      </w:r>
      <w:r>
        <w:rPr>
          <w:caps w:val="0"/>
          <w:smallCaps/>
          <w:noProof/>
          <w:color w:val="0000FF" w:themeColor="hyperlink"/>
          <w:u w:val="single"/>
        </w:rPr>
        <w:fldChar w:fldCharType="separate"/>
      </w:r>
      <w:hyperlink w:anchor="_Toc466988298" w:history="1">
        <w:r>
          <w:rPr>
            <w:rStyle w:val="Hyperlink"/>
            <w:noProof/>
          </w:rPr>
          <w:t>1.</w:t>
        </w:r>
        <w:r>
          <w:rPr>
            <w:rFonts w:asciiTheme="minorHAnsi" w:eastAsiaTheme="minorEastAsia" w:hAnsiTheme="minorHAnsi" w:cstheme="minorBidi"/>
            <w:caps w:val="0"/>
            <w:noProof/>
            <w:sz w:val="22"/>
            <w:szCs w:val="22"/>
            <w:lang w:bidi="ar-SA"/>
          </w:rPr>
          <w:tab/>
        </w:r>
        <w:r>
          <w:rPr>
            <w:rStyle w:val="Hyperlink"/>
            <w:noProof/>
          </w:rPr>
          <w:t>Résumé</w:t>
        </w:r>
        <w:r>
          <w:rPr>
            <w:noProof/>
          </w:rPr>
          <w:tab/>
        </w:r>
        <w:r>
          <w:rPr>
            <w:noProof/>
          </w:rPr>
          <w:fldChar w:fldCharType="begin"/>
        </w:r>
        <w:r>
          <w:rPr>
            <w:noProof/>
          </w:rPr>
          <w:instrText xml:space="preserve"> PAGEREF _Toc466988298 \h </w:instrText>
        </w:r>
        <w:r>
          <w:rPr>
            <w:noProof/>
          </w:rPr>
        </w:r>
        <w:r>
          <w:rPr>
            <w:noProof/>
          </w:rPr>
          <w:fldChar w:fldCharType="separate"/>
        </w:r>
        <w:r w:rsidR="00782A57">
          <w:rPr>
            <w:noProof/>
          </w:rPr>
          <w:t>3</w:t>
        </w:r>
        <w:r>
          <w:rPr>
            <w:noProof/>
          </w:rPr>
          <w:fldChar w:fldCharType="end"/>
        </w:r>
      </w:hyperlink>
    </w:p>
    <w:p w:rsidR="006435DE" w:rsidRDefault="00331FB9">
      <w:pPr>
        <w:pStyle w:val="TOC1"/>
        <w:rPr>
          <w:rFonts w:asciiTheme="minorHAnsi" w:eastAsiaTheme="minorEastAsia" w:hAnsiTheme="minorHAnsi" w:cstheme="minorBidi"/>
          <w:caps w:val="0"/>
          <w:noProof/>
          <w:sz w:val="22"/>
          <w:szCs w:val="22"/>
          <w:lang w:bidi="ar-SA"/>
        </w:rPr>
      </w:pPr>
      <w:hyperlink w:anchor="_Toc466988299" w:history="1">
        <w:r>
          <w:rPr>
            <w:rStyle w:val="Hyperlink"/>
            <w:noProof/>
          </w:rPr>
          <w:t>2.</w:t>
        </w:r>
        <w:r>
          <w:rPr>
            <w:rFonts w:asciiTheme="minorHAnsi" w:eastAsiaTheme="minorEastAsia" w:hAnsiTheme="minorHAnsi" w:cstheme="minorBidi"/>
            <w:caps w:val="0"/>
            <w:noProof/>
            <w:sz w:val="22"/>
            <w:szCs w:val="22"/>
            <w:lang w:bidi="ar-SA"/>
          </w:rPr>
          <w:tab/>
        </w:r>
        <w:r>
          <w:rPr>
            <w:rStyle w:val="Hyperlink"/>
            <w:noProof/>
          </w:rPr>
          <w:t>Contexte</w:t>
        </w:r>
        <w:r>
          <w:rPr>
            <w:noProof/>
          </w:rPr>
          <w:tab/>
        </w:r>
        <w:r>
          <w:rPr>
            <w:noProof/>
          </w:rPr>
          <w:fldChar w:fldCharType="begin"/>
        </w:r>
        <w:r>
          <w:rPr>
            <w:noProof/>
          </w:rPr>
          <w:instrText xml:space="preserve"> PAGEREF _Toc466988299 \h </w:instrText>
        </w:r>
        <w:r>
          <w:rPr>
            <w:noProof/>
          </w:rPr>
        </w:r>
        <w:r>
          <w:rPr>
            <w:noProof/>
          </w:rPr>
          <w:fldChar w:fldCharType="separate"/>
        </w:r>
        <w:r w:rsidR="00782A57">
          <w:rPr>
            <w:noProof/>
          </w:rPr>
          <w:t>4</w:t>
        </w:r>
        <w:r>
          <w:rPr>
            <w:noProof/>
          </w:rPr>
          <w:fldChar w:fldCharType="end"/>
        </w:r>
      </w:hyperlink>
    </w:p>
    <w:p w:rsidR="006435DE" w:rsidRDefault="00331FB9">
      <w:pPr>
        <w:pStyle w:val="TOC1"/>
        <w:rPr>
          <w:rFonts w:asciiTheme="minorHAnsi" w:eastAsiaTheme="minorEastAsia" w:hAnsiTheme="minorHAnsi" w:cstheme="minorBidi"/>
          <w:caps w:val="0"/>
          <w:noProof/>
          <w:sz w:val="22"/>
          <w:szCs w:val="22"/>
          <w:lang w:bidi="ar-SA"/>
        </w:rPr>
      </w:pPr>
      <w:hyperlink w:anchor="_Toc466988300" w:history="1">
        <w:r>
          <w:rPr>
            <w:rStyle w:val="Hyperlink"/>
            <w:noProof/>
          </w:rPr>
          <w:t>3.</w:t>
        </w:r>
        <w:r>
          <w:rPr>
            <w:rFonts w:asciiTheme="minorHAnsi" w:eastAsiaTheme="minorEastAsia" w:hAnsiTheme="minorHAnsi" w:cstheme="minorBidi"/>
            <w:caps w:val="0"/>
            <w:noProof/>
            <w:sz w:val="22"/>
            <w:szCs w:val="22"/>
            <w:lang w:bidi="ar-SA"/>
          </w:rPr>
          <w:tab/>
        </w:r>
        <w:r>
          <w:rPr>
            <w:rStyle w:val="Hyperlink"/>
            <w:noProof/>
          </w:rPr>
          <w:t xml:space="preserve">Unités </w:t>
        </w:r>
        <w:r>
          <w:rPr>
            <w:rStyle w:val="Hyperlink"/>
            <w:noProof/>
          </w:rPr>
          <w:t>d’irradiation agréées</w:t>
        </w:r>
        <w:r>
          <w:rPr>
            <w:noProof/>
          </w:rPr>
          <w:tab/>
        </w:r>
        <w:r>
          <w:rPr>
            <w:noProof/>
          </w:rPr>
          <w:fldChar w:fldCharType="begin"/>
        </w:r>
        <w:r>
          <w:rPr>
            <w:noProof/>
          </w:rPr>
          <w:instrText xml:space="preserve"> PAGEREF _Toc466988300 \h </w:instrText>
        </w:r>
        <w:r>
          <w:rPr>
            <w:noProof/>
          </w:rPr>
        </w:r>
        <w:r>
          <w:rPr>
            <w:noProof/>
          </w:rPr>
          <w:fldChar w:fldCharType="separate"/>
        </w:r>
        <w:r w:rsidR="00782A57">
          <w:rPr>
            <w:noProof/>
          </w:rPr>
          <w:t>5</w:t>
        </w:r>
        <w:r>
          <w:rPr>
            <w:noProof/>
          </w:rPr>
          <w:fldChar w:fldCharType="end"/>
        </w:r>
      </w:hyperlink>
    </w:p>
    <w:p w:rsidR="006435DE" w:rsidRDefault="00331FB9">
      <w:pPr>
        <w:pStyle w:val="TOC1"/>
        <w:rPr>
          <w:rFonts w:asciiTheme="minorHAnsi" w:eastAsiaTheme="minorEastAsia" w:hAnsiTheme="minorHAnsi" w:cstheme="minorBidi"/>
          <w:caps w:val="0"/>
          <w:noProof/>
          <w:sz w:val="22"/>
          <w:szCs w:val="22"/>
          <w:lang w:bidi="ar-SA"/>
        </w:rPr>
      </w:pPr>
      <w:hyperlink w:anchor="_Toc466988301" w:history="1">
        <w:r>
          <w:rPr>
            <w:rStyle w:val="Hyperlink"/>
            <w:noProof/>
          </w:rPr>
          <w:t>4.</w:t>
        </w:r>
        <w:r>
          <w:rPr>
            <w:rFonts w:asciiTheme="minorHAnsi" w:eastAsiaTheme="minorEastAsia" w:hAnsiTheme="minorHAnsi" w:cstheme="minorBidi"/>
            <w:caps w:val="0"/>
            <w:noProof/>
            <w:sz w:val="22"/>
            <w:szCs w:val="22"/>
            <w:lang w:bidi="ar-SA"/>
          </w:rPr>
          <w:tab/>
        </w:r>
        <w:r>
          <w:rPr>
            <w:rStyle w:val="Hyperlink"/>
            <w:noProof/>
          </w:rPr>
          <w:t>Résultats des contrôlés effectués dans les unités d’irradiation</w:t>
        </w:r>
        <w:r>
          <w:rPr>
            <w:noProof/>
          </w:rPr>
          <w:tab/>
        </w:r>
        <w:r>
          <w:rPr>
            <w:noProof/>
          </w:rPr>
          <w:fldChar w:fldCharType="begin"/>
        </w:r>
        <w:r>
          <w:rPr>
            <w:noProof/>
          </w:rPr>
          <w:instrText xml:space="preserve"> PAGEREF _Toc466988301 \h </w:instrText>
        </w:r>
        <w:r>
          <w:rPr>
            <w:noProof/>
          </w:rPr>
        </w:r>
        <w:r>
          <w:rPr>
            <w:noProof/>
          </w:rPr>
          <w:fldChar w:fldCharType="separate"/>
        </w:r>
        <w:r w:rsidR="00782A57">
          <w:rPr>
            <w:noProof/>
          </w:rPr>
          <w:t>6</w:t>
        </w:r>
        <w:r>
          <w:rPr>
            <w:noProof/>
          </w:rPr>
          <w:fldChar w:fldCharType="end"/>
        </w:r>
      </w:hyperlink>
    </w:p>
    <w:p w:rsidR="006435DE" w:rsidRDefault="00331FB9">
      <w:pPr>
        <w:pStyle w:val="TOC1"/>
        <w:rPr>
          <w:rFonts w:asciiTheme="minorHAnsi" w:eastAsiaTheme="minorEastAsia" w:hAnsiTheme="minorHAnsi" w:cstheme="minorBidi"/>
          <w:caps w:val="0"/>
          <w:noProof/>
          <w:sz w:val="22"/>
          <w:szCs w:val="22"/>
          <w:lang w:bidi="ar-SA"/>
        </w:rPr>
      </w:pPr>
      <w:hyperlink w:anchor="_Toc466988302" w:history="1">
        <w:r>
          <w:rPr>
            <w:rStyle w:val="Hyperlink"/>
            <w:noProof/>
          </w:rPr>
          <w:t>5.</w:t>
        </w:r>
        <w:r>
          <w:rPr>
            <w:rFonts w:asciiTheme="minorHAnsi" w:eastAsiaTheme="minorEastAsia" w:hAnsiTheme="minorHAnsi" w:cstheme="minorBidi"/>
            <w:caps w:val="0"/>
            <w:noProof/>
            <w:sz w:val="22"/>
            <w:szCs w:val="22"/>
            <w:lang w:bidi="ar-SA"/>
          </w:rPr>
          <w:tab/>
        </w:r>
        <w:r>
          <w:rPr>
            <w:rStyle w:val="Hyperlink"/>
            <w:noProof/>
          </w:rPr>
          <w:t>Résultats des contrôles effectués au stade de la commercialisation des produits</w:t>
        </w:r>
        <w:r>
          <w:rPr>
            <w:noProof/>
          </w:rPr>
          <w:tab/>
        </w:r>
        <w:r>
          <w:rPr>
            <w:noProof/>
          </w:rPr>
          <w:fldChar w:fldCharType="begin"/>
        </w:r>
        <w:r>
          <w:rPr>
            <w:noProof/>
          </w:rPr>
          <w:instrText xml:space="preserve"> PAGEREF _Toc466988302 \h </w:instrText>
        </w:r>
        <w:r>
          <w:rPr>
            <w:noProof/>
          </w:rPr>
        </w:r>
        <w:r>
          <w:rPr>
            <w:noProof/>
          </w:rPr>
          <w:fldChar w:fldCharType="separate"/>
        </w:r>
        <w:r w:rsidR="00782A57">
          <w:rPr>
            <w:noProof/>
          </w:rPr>
          <w:t>8</w:t>
        </w:r>
        <w:r>
          <w:rPr>
            <w:noProof/>
          </w:rPr>
          <w:fldChar w:fldCharType="end"/>
        </w:r>
      </w:hyperlink>
    </w:p>
    <w:p w:rsidR="006435DE" w:rsidRDefault="00331FB9">
      <w:pPr>
        <w:pStyle w:val="TOC1"/>
        <w:rPr>
          <w:rFonts w:asciiTheme="minorHAnsi" w:eastAsiaTheme="minorEastAsia" w:hAnsiTheme="minorHAnsi" w:cstheme="minorBidi"/>
          <w:caps w:val="0"/>
          <w:noProof/>
          <w:sz w:val="22"/>
          <w:szCs w:val="22"/>
          <w:lang w:bidi="ar-SA"/>
        </w:rPr>
      </w:pPr>
      <w:hyperlink w:anchor="_Toc466988303" w:history="1">
        <w:r>
          <w:rPr>
            <w:rStyle w:val="Hyperlink"/>
            <w:noProof/>
          </w:rPr>
          <w:t>6.</w:t>
        </w:r>
        <w:r>
          <w:rPr>
            <w:rFonts w:asciiTheme="minorHAnsi" w:eastAsiaTheme="minorEastAsia" w:hAnsiTheme="minorHAnsi" w:cstheme="minorBidi"/>
            <w:caps w:val="0"/>
            <w:noProof/>
            <w:sz w:val="22"/>
            <w:szCs w:val="22"/>
            <w:lang w:bidi="ar-SA"/>
          </w:rPr>
          <w:tab/>
        </w:r>
        <w:r>
          <w:rPr>
            <w:rStyle w:val="Hyperlink"/>
            <w:noProof/>
          </w:rPr>
          <w:t>Conclusion</w:t>
        </w:r>
        <w:r>
          <w:rPr>
            <w:noProof/>
          </w:rPr>
          <w:tab/>
        </w:r>
        <w:r>
          <w:rPr>
            <w:noProof/>
          </w:rPr>
          <w:fldChar w:fldCharType="begin"/>
        </w:r>
        <w:r>
          <w:rPr>
            <w:noProof/>
          </w:rPr>
          <w:instrText xml:space="preserve"> PAGEREF _Toc466988303 \h </w:instrText>
        </w:r>
        <w:r>
          <w:rPr>
            <w:noProof/>
          </w:rPr>
        </w:r>
        <w:r>
          <w:rPr>
            <w:noProof/>
          </w:rPr>
          <w:fldChar w:fldCharType="separate"/>
        </w:r>
        <w:r w:rsidR="00782A57">
          <w:rPr>
            <w:noProof/>
          </w:rPr>
          <w:t>9</w:t>
        </w:r>
        <w:r>
          <w:rPr>
            <w:noProof/>
          </w:rPr>
          <w:fldChar w:fldCharType="end"/>
        </w:r>
      </w:hyperlink>
    </w:p>
    <w:p w:rsidR="006435DE" w:rsidRDefault="00331FB9">
      <w:pPr>
        <w:rPr>
          <w:noProof/>
          <w:szCs w:val="24"/>
        </w:rPr>
      </w:pPr>
      <w:r>
        <w:rPr>
          <w:smallCaps/>
          <w:noProof/>
          <w:color w:val="0000FF" w:themeColor="hyperlink"/>
          <w:u w:val="single"/>
        </w:rPr>
        <w:fldChar w:fldCharType="end"/>
      </w:r>
      <w:r>
        <w:rPr>
          <w:noProof/>
        </w:rPr>
        <w:br w:type="page"/>
      </w:r>
    </w:p>
    <w:p w:rsidR="006435DE" w:rsidRDefault="00331FB9">
      <w:pPr>
        <w:pStyle w:val="ManualHeading1"/>
        <w:rPr>
          <w:noProof/>
        </w:rPr>
      </w:pPr>
      <w:bookmarkStart w:id="1" w:name="_Toc466988298"/>
      <w:r>
        <w:lastRenderedPageBreak/>
        <w:t>1.</w:t>
      </w:r>
      <w:r>
        <w:tab/>
      </w:r>
      <w:r>
        <w:rPr>
          <w:noProof/>
        </w:rPr>
        <w:t>Résumé</w:t>
      </w:r>
      <w:bookmarkEnd w:id="1"/>
    </w:p>
    <w:p w:rsidR="006435DE" w:rsidRDefault="00331FB9">
      <w:pPr>
        <w:rPr>
          <w:noProof/>
        </w:rPr>
      </w:pPr>
      <w:r>
        <w:rPr>
          <w:noProof/>
        </w:rPr>
        <w:t>Conformément à l’article 7, paragraphe 3, de la directive 1999/2/CE, les États membres transmettent chaque année à la Commission les résultats des contrôles effectués dans les unités d’irradiation, notamment en ce qui concerne les catégories et les quantit</w:t>
      </w:r>
      <w:r>
        <w:rPr>
          <w:noProof/>
        </w:rPr>
        <w:t xml:space="preserve">és de produits traités et les doses appliquées, ainsi que les résultats des contrôles effectués au stade de la commercialisation du produit. </w:t>
      </w:r>
    </w:p>
    <w:p w:rsidR="006435DE" w:rsidRDefault="00331FB9">
      <w:pPr>
        <w:pStyle w:val="Text1"/>
        <w:ind w:left="0"/>
        <w:rPr>
          <w:noProof/>
        </w:rPr>
      </w:pPr>
      <w:r>
        <w:rPr>
          <w:noProof/>
        </w:rPr>
        <w:t>Les contrôles effectués par les États membres en 2015 montrent que pratiquement tous les produits contrôlés étaien</w:t>
      </w:r>
      <w:r>
        <w:rPr>
          <w:noProof/>
        </w:rPr>
        <w:t>t conformes à la législation de l’Union.</w:t>
      </w:r>
    </w:p>
    <w:p w:rsidR="006435DE" w:rsidRDefault="00331FB9">
      <w:pPr>
        <w:pStyle w:val="Text1"/>
        <w:ind w:left="0"/>
        <w:rPr>
          <w:noProof/>
        </w:rPr>
      </w:pPr>
      <w:r>
        <w:rPr>
          <w:b/>
          <w:noProof/>
        </w:rPr>
        <w:t xml:space="preserve">Période: </w:t>
      </w:r>
      <w:r>
        <w:rPr>
          <w:noProof/>
        </w:rPr>
        <w:tab/>
      </w:r>
      <w:r>
        <w:rPr>
          <w:noProof/>
        </w:rPr>
        <w:tab/>
      </w:r>
      <w:r>
        <w:rPr>
          <w:noProof/>
        </w:rPr>
        <w:tab/>
      </w:r>
      <w:r>
        <w:rPr>
          <w:noProof/>
        </w:rPr>
        <w:tab/>
      </w:r>
      <w:r>
        <w:rPr>
          <w:noProof/>
        </w:rPr>
        <w:tab/>
        <w:t>1.1.2015 – 31.12.2015</w:t>
      </w:r>
    </w:p>
    <w:p w:rsidR="006435DE" w:rsidRDefault="00331FB9">
      <w:pPr>
        <w:pStyle w:val="Text1"/>
        <w:ind w:left="0"/>
        <w:rPr>
          <w:noProof/>
        </w:rPr>
      </w:pPr>
      <w:r>
        <w:rPr>
          <w:b/>
          <w:noProof/>
        </w:rPr>
        <w:t>Pays concernés:</w:t>
      </w:r>
      <w:r>
        <w:rPr>
          <w:noProof/>
        </w:rPr>
        <w:tab/>
      </w:r>
      <w:r>
        <w:rPr>
          <w:noProof/>
        </w:rPr>
        <w:tab/>
      </w:r>
      <w:r>
        <w:rPr>
          <w:noProof/>
        </w:rPr>
        <w:tab/>
      </w:r>
      <w:r>
        <w:rPr>
          <w:noProof/>
        </w:rPr>
        <w:tab/>
        <w:t>États membres de l’UE et pays de l’AELE</w:t>
      </w:r>
    </w:p>
    <w:p w:rsidR="006435DE" w:rsidRDefault="00331FB9">
      <w:pPr>
        <w:rPr>
          <w:noProof/>
        </w:rPr>
      </w:pPr>
      <w:r>
        <w:rPr>
          <w:b/>
          <w:noProof/>
        </w:rPr>
        <w:t>Source:</w:t>
      </w:r>
      <w:r>
        <w:rPr>
          <w:noProof/>
        </w:rPr>
        <w:tab/>
      </w:r>
      <w:r>
        <w:rPr>
          <w:noProof/>
        </w:rPr>
        <w:tab/>
      </w:r>
      <w:r>
        <w:rPr>
          <w:noProof/>
        </w:rPr>
        <w:tab/>
      </w:r>
      <w:r>
        <w:rPr>
          <w:noProof/>
        </w:rPr>
        <w:tab/>
      </w:r>
      <w:r>
        <w:rPr>
          <w:noProof/>
        </w:rPr>
        <w:tab/>
        <w:t>Les 28 États membres et la Norvège</w:t>
      </w:r>
    </w:p>
    <w:p w:rsidR="006435DE" w:rsidRDefault="00331FB9">
      <w:pPr>
        <w:pStyle w:val="Text1"/>
        <w:spacing w:after="0"/>
        <w:ind w:left="0"/>
        <w:rPr>
          <w:b/>
          <w:noProof/>
        </w:rPr>
      </w:pPr>
      <w:r>
        <w:rPr>
          <w:b/>
          <w:noProof/>
        </w:rPr>
        <w:t>Unités d’irradiation</w:t>
      </w:r>
    </w:p>
    <w:p w:rsidR="006435DE" w:rsidRDefault="00331FB9">
      <w:pPr>
        <w:pStyle w:val="ListDash1"/>
        <w:spacing w:after="0"/>
        <w:rPr>
          <w:noProof/>
        </w:rPr>
      </w:pPr>
      <w:r>
        <w:rPr>
          <w:noProof/>
        </w:rPr>
        <w:t>Nombre de pays équipés:</w:t>
      </w:r>
      <w:r>
        <w:rPr>
          <w:noProof/>
        </w:rPr>
        <w:tab/>
      </w:r>
      <w:r>
        <w:rPr>
          <w:noProof/>
        </w:rPr>
        <w:tab/>
      </w:r>
      <w:r>
        <w:rPr>
          <w:noProof/>
        </w:rPr>
        <w:tab/>
        <w:t>14 États membres et la Nor</w:t>
      </w:r>
      <w:r>
        <w:rPr>
          <w:noProof/>
        </w:rPr>
        <w:t xml:space="preserve">vège </w:t>
      </w:r>
    </w:p>
    <w:p w:rsidR="006435DE" w:rsidRDefault="00331FB9">
      <w:pPr>
        <w:pStyle w:val="ListDash1"/>
        <w:spacing w:after="0"/>
        <w:rPr>
          <w:noProof/>
        </w:rPr>
      </w:pPr>
      <w:r>
        <w:rPr>
          <w:noProof/>
        </w:rPr>
        <w:t>Nombre d’unités d’irradiation agréées:</w:t>
      </w:r>
      <w:r>
        <w:rPr>
          <w:noProof/>
        </w:rPr>
        <w:tab/>
        <w:t>26</w:t>
      </w:r>
    </w:p>
    <w:p w:rsidR="006435DE" w:rsidRDefault="00331FB9">
      <w:pPr>
        <w:pStyle w:val="ListDash1"/>
        <w:spacing w:after="0"/>
        <w:rPr>
          <w:noProof/>
        </w:rPr>
      </w:pPr>
      <w:r>
        <w:rPr>
          <w:noProof/>
        </w:rPr>
        <w:t>Nombre de nouvelles unités d’irradiation:</w:t>
      </w:r>
      <w:r>
        <w:rPr>
          <w:noProof/>
        </w:rPr>
        <w:tab/>
        <w:t xml:space="preserve">1 en Croatie et 1 en Norvège </w:t>
      </w:r>
    </w:p>
    <w:p w:rsidR="006435DE" w:rsidRDefault="00331FB9">
      <w:pPr>
        <w:pStyle w:val="ListDash1"/>
        <w:spacing w:after="0"/>
        <w:rPr>
          <w:noProof/>
        </w:rPr>
      </w:pPr>
      <w:r>
        <w:rPr>
          <w:noProof/>
        </w:rPr>
        <w:t>Nombre d’unités d’irradiation fermées:</w:t>
      </w:r>
      <w:r>
        <w:rPr>
          <w:noProof/>
        </w:rPr>
        <w:tab/>
        <w:t>Aucune</w:t>
      </w:r>
    </w:p>
    <w:p w:rsidR="006435DE" w:rsidRDefault="00331FB9">
      <w:pPr>
        <w:pStyle w:val="ListDash1"/>
        <w:rPr>
          <w:noProof/>
        </w:rPr>
      </w:pPr>
      <w:r>
        <w:rPr>
          <w:noProof/>
        </w:rPr>
        <w:t>Nombre de pays pratiquant l’irradiation:</w:t>
      </w:r>
      <w:r>
        <w:rPr>
          <w:noProof/>
        </w:rPr>
        <w:tab/>
        <w:t>10 États membres et la Norvège</w:t>
      </w:r>
    </w:p>
    <w:p w:rsidR="006435DE" w:rsidRDefault="00331FB9">
      <w:pPr>
        <w:spacing w:after="0"/>
        <w:rPr>
          <w:b/>
          <w:noProof/>
        </w:rPr>
      </w:pPr>
      <w:r>
        <w:rPr>
          <w:b/>
          <w:noProof/>
        </w:rPr>
        <w:t xml:space="preserve">Données sur le </w:t>
      </w:r>
      <w:r>
        <w:rPr>
          <w:b/>
          <w:noProof/>
        </w:rPr>
        <w:t>traitement:</w:t>
      </w:r>
    </w:p>
    <w:p w:rsidR="006435DE" w:rsidRDefault="00331FB9">
      <w:pPr>
        <w:pStyle w:val="ListDash1"/>
        <w:spacing w:after="0"/>
        <w:rPr>
          <w:noProof/>
        </w:rPr>
      </w:pPr>
      <w:r>
        <w:rPr>
          <w:noProof/>
        </w:rPr>
        <w:t>Quantité de produits traités:</w:t>
      </w:r>
      <w:r>
        <w:rPr>
          <w:noProof/>
        </w:rPr>
        <w:tab/>
      </w:r>
      <w:r>
        <w:rPr>
          <w:noProof/>
        </w:rPr>
        <w:tab/>
        <w:t>5 686 tonnes (+ 9,7 % par rapport à 2014)</w:t>
      </w:r>
    </w:p>
    <w:p w:rsidR="006435DE" w:rsidRDefault="00331FB9">
      <w:pPr>
        <w:pStyle w:val="ListDash1"/>
        <w:spacing w:after="0"/>
        <w:rPr>
          <w:noProof/>
        </w:rPr>
      </w:pPr>
      <w:r>
        <w:rPr>
          <w:noProof/>
        </w:rPr>
        <w:t>Principales denrées traitées:</w:t>
      </w:r>
      <w:r>
        <w:rPr>
          <w:noProof/>
        </w:rPr>
        <w:tab/>
      </w:r>
      <w:r>
        <w:rPr>
          <w:noProof/>
        </w:rPr>
        <w:tab/>
        <w:t xml:space="preserve">Cuisses de grenouille (54,8 %) et herbes </w:t>
      </w:r>
      <w:r>
        <w:rPr>
          <w:noProof/>
        </w:rPr>
        <w:tab/>
      </w:r>
      <w:r>
        <w:rPr>
          <w:noProof/>
        </w:rPr>
        <w:tab/>
      </w:r>
      <w:r>
        <w:rPr>
          <w:noProof/>
        </w:rPr>
        <w:tab/>
      </w:r>
      <w:r>
        <w:rPr>
          <w:noProof/>
        </w:rPr>
        <w:tab/>
      </w:r>
      <w:r>
        <w:rPr>
          <w:noProof/>
        </w:rPr>
        <w:tab/>
        <w:t xml:space="preserve">aromatiques séchées, épices et condiments </w:t>
      </w:r>
      <w:r>
        <w:rPr>
          <w:noProof/>
        </w:rPr>
        <w:tab/>
      </w:r>
      <w:r>
        <w:rPr>
          <w:noProof/>
        </w:rPr>
        <w:tab/>
      </w:r>
      <w:r>
        <w:rPr>
          <w:noProof/>
        </w:rPr>
        <w:tab/>
      </w:r>
      <w:r>
        <w:rPr>
          <w:noProof/>
        </w:rPr>
        <w:tab/>
      </w:r>
      <w:r>
        <w:rPr>
          <w:noProof/>
        </w:rPr>
        <w:tab/>
        <w:t>végétaux (16,1 %)</w:t>
      </w:r>
    </w:p>
    <w:p w:rsidR="006435DE" w:rsidRDefault="00331FB9">
      <w:pPr>
        <w:pStyle w:val="ListDash1"/>
        <w:rPr>
          <w:noProof/>
        </w:rPr>
      </w:pPr>
      <w:r>
        <w:rPr>
          <w:noProof/>
        </w:rPr>
        <w:t>Principale localisation des i</w:t>
      </w:r>
      <w:r>
        <w:rPr>
          <w:noProof/>
        </w:rPr>
        <w:t>rradiations:</w:t>
      </w:r>
      <w:r>
        <w:rPr>
          <w:noProof/>
        </w:rPr>
        <w:tab/>
        <w:t xml:space="preserve">Belgique (68,9 %) et Pays-Bas </w:t>
      </w:r>
      <w:r>
        <w:rPr>
          <w:noProof/>
        </w:rPr>
        <w:tab/>
      </w:r>
      <w:r>
        <w:rPr>
          <w:noProof/>
        </w:rPr>
        <w:tab/>
      </w:r>
      <w:r>
        <w:rPr>
          <w:noProof/>
        </w:rPr>
        <w:tab/>
      </w:r>
      <w:r>
        <w:rPr>
          <w:noProof/>
        </w:rPr>
        <w:tab/>
      </w:r>
      <w:r>
        <w:rPr>
          <w:noProof/>
        </w:rPr>
        <w:tab/>
      </w:r>
      <w:r>
        <w:rPr>
          <w:noProof/>
        </w:rPr>
        <w:tab/>
        <w:t>11,1 %</w:t>
      </w:r>
    </w:p>
    <w:p w:rsidR="006435DE" w:rsidRDefault="00331FB9">
      <w:pPr>
        <w:pStyle w:val="Text1"/>
        <w:spacing w:after="0"/>
        <w:ind w:left="0"/>
        <w:rPr>
          <w:b/>
          <w:noProof/>
        </w:rPr>
      </w:pPr>
      <w:r>
        <w:rPr>
          <w:b/>
          <w:noProof/>
        </w:rPr>
        <w:t>Contrôles au stade de la commercialisation:</w:t>
      </w:r>
    </w:p>
    <w:p w:rsidR="006435DE" w:rsidRDefault="00331FB9">
      <w:pPr>
        <w:pStyle w:val="ListDash1"/>
        <w:spacing w:after="0"/>
        <w:rPr>
          <w:noProof/>
        </w:rPr>
      </w:pPr>
      <w:r>
        <w:rPr>
          <w:noProof/>
        </w:rPr>
        <w:t>Nombre d’échantillons analysés:</w:t>
      </w:r>
      <w:r>
        <w:rPr>
          <w:noProof/>
        </w:rPr>
        <w:tab/>
      </w:r>
      <w:r>
        <w:rPr>
          <w:noProof/>
        </w:rPr>
        <w:tab/>
        <w:t>5 973</w:t>
      </w:r>
    </w:p>
    <w:p w:rsidR="006435DE" w:rsidRDefault="00331FB9">
      <w:pPr>
        <w:pStyle w:val="ListDash1"/>
        <w:spacing w:after="0"/>
        <w:rPr>
          <w:noProof/>
        </w:rPr>
      </w:pPr>
      <w:r>
        <w:rPr>
          <w:noProof/>
        </w:rPr>
        <w:t>Nombre d’échantillons non conformes:</w:t>
      </w:r>
      <w:r>
        <w:rPr>
          <w:noProof/>
        </w:rPr>
        <w:tab/>
        <w:t>104 (1,7 %)</w:t>
      </w:r>
    </w:p>
    <w:p w:rsidR="006435DE" w:rsidRDefault="00331FB9">
      <w:pPr>
        <w:pStyle w:val="ListDash1"/>
        <w:rPr>
          <w:noProof/>
        </w:rPr>
      </w:pPr>
      <w:r>
        <w:rPr>
          <w:noProof/>
        </w:rPr>
        <w:t>Principales denrées analysées:</w:t>
      </w:r>
      <w:r>
        <w:rPr>
          <w:noProof/>
        </w:rPr>
        <w:tab/>
      </w:r>
      <w:r>
        <w:rPr>
          <w:noProof/>
        </w:rPr>
        <w:tab/>
        <w:t>Fines herbes et épices (45,6 %)</w:t>
      </w:r>
      <w:r>
        <w:rPr>
          <w:noProof/>
        </w:rPr>
        <w:tab/>
        <w:t xml:space="preserve"> </w:t>
      </w:r>
      <w:r>
        <w:rPr>
          <w:noProof/>
        </w:rPr>
        <w:tab/>
      </w:r>
      <w:r>
        <w:rPr>
          <w:noProof/>
        </w:rPr>
        <w:tab/>
      </w:r>
      <w:r>
        <w:rPr>
          <w:noProof/>
        </w:rPr>
        <w:tab/>
      </w:r>
      <w:r>
        <w:rPr>
          <w:noProof/>
        </w:rPr>
        <w:tab/>
      </w:r>
      <w:r>
        <w:rPr>
          <w:noProof/>
        </w:rPr>
        <w:tab/>
        <w:t xml:space="preserve">Céréales, graines, légumes, fruits et </w:t>
      </w:r>
      <w:r>
        <w:rPr>
          <w:noProof/>
        </w:rPr>
        <w:tab/>
      </w:r>
      <w:r>
        <w:rPr>
          <w:noProof/>
        </w:rPr>
        <w:tab/>
      </w:r>
      <w:r>
        <w:rPr>
          <w:noProof/>
        </w:rPr>
        <w:tab/>
      </w:r>
      <w:r>
        <w:rPr>
          <w:noProof/>
        </w:rPr>
        <w:tab/>
      </w:r>
      <w:r>
        <w:rPr>
          <w:noProof/>
        </w:rPr>
        <w:tab/>
      </w:r>
      <w:r>
        <w:rPr>
          <w:noProof/>
        </w:rPr>
        <w:tab/>
        <w:t>leurs produits dérivés</w:t>
      </w:r>
      <w:r>
        <w:rPr>
          <w:noProof/>
        </w:rPr>
        <w:br/>
        <w:t xml:space="preserve">     </w:t>
      </w:r>
      <w:r>
        <w:rPr>
          <w:noProof/>
        </w:rPr>
        <w:tab/>
      </w:r>
      <w:r>
        <w:rPr>
          <w:noProof/>
        </w:rPr>
        <w:tab/>
      </w:r>
      <w:r>
        <w:rPr>
          <w:noProof/>
        </w:rPr>
        <w:tab/>
      </w:r>
      <w:r>
        <w:rPr>
          <w:noProof/>
        </w:rPr>
        <w:tab/>
      </w:r>
      <w:r>
        <w:rPr>
          <w:noProof/>
        </w:rPr>
        <w:tab/>
      </w:r>
      <w:r>
        <w:rPr>
          <w:noProof/>
        </w:rPr>
        <w:tab/>
        <w:t>(21 %)</w:t>
      </w:r>
    </w:p>
    <w:p w:rsidR="006435DE" w:rsidRDefault="00331FB9">
      <w:pPr>
        <w:spacing w:after="0"/>
        <w:jc w:val="left"/>
        <w:rPr>
          <w:b/>
          <w:smallCaps/>
          <w:noProof/>
        </w:rPr>
      </w:pPr>
      <w:r>
        <w:rPr>
          <w:noProof/>
        </w:rPr>
        <w:br w:type="page"/>
      </w:r>
    </w:p>
    <w:p w:rsidR="006435DE" w:rsidRDefault="00331FB9">
      <w:pPr>
        <w:pStyle w:val="ManualHeading1"/>
        <w:rPr>
          <w:noProof/>
        </w:rPr>
      </w:pPr>
      <w:bookmarkStart w:id="2" w:name="_Toc466988299"/>
      <w:r>
        <w:lastRenderedPageBreak/>
        <w:t>2.</w:t>
      </w:r>
      <w:r>
        <w:tab/>
      </w:r>
      <w:r>
        <w:rPr>
          <w:noProof/>
        </w:rPr>
        <w:t>Contexte</w:t>
      </w:r>
      <w:bookmarkEnd w:id="2"/>
    </w:p>
    <w:p w:rsidR="006435DE" w:rsidRDefault="00331FB9">
      <w:pPr>
        <w:rPr>
          <w:noProof/>
        </w:rPr>
      </w:pPr>
      <w:r>
        <w:rPr>
          <w:noProof/>
        </w:rPr>
        <w:t>Le traitement par ionisation des denrées et ingrédients alimentaires est une technique physique utilisée à différentes fins, par exemple pour réduire les r</w:t>
      </w:r>
      <w:r>
        <w:rPr>
          <w:noProof/>
        </w:rPr>
        <w:t>isques de maladies dues aux denrées alimentaires en détruisant les organismes pathogènes, réduire la perte de denrées alimentaires due à un processus prématuré de maturation, de germination ou de croissance et éliminer, dans les denrées alimentaires, les o</w:t>
      </w:r>
      <w:r>
        <w:rPr>
          <w:noProof/>
        </w:rPr>
        <w:t>rganismes nuisibles aux végétaux ou aux produits végétaux. Le site web de la direction générale de la santé et de la sécurité alimentaire de la Commission européenne contient des informations générales sur le traitement des denrées alimentaires par ionisat</w:t>
      </w:r>
      <w:r>
        <w:rPr>
          <w:noProof/>
        </w:rPr>
        <w:t>ion</w:t>
      </w:r>
      <w:r>
        <w:rPr>
          <w:rStyle w:val="FootnoteReference"/>
          <w:noProof/>
        </w:rPr>
        <w:footnoteReference w:id="1"/>
      </w:r>
      <w:r>
        <w:rPr>
          <w:noProof/>
        </w:rPr>
        <w:t>.</w:t>
      </w:r>
    </w:p>
    <w:p w:rsidR="006435DE" w:rsidRDefault="00331FB9">
      <w:pPr>
        <w:pStyle w:val="Text1"/>
        <w:ind w:left="0"/>
        <w:rPr>
          <w:iCs/>
          <w:noProof/>
        </w:rPr>
      </w:pPr>
      <w:r>
        <w:rPr>
          <w:noProof/>
        </w:rPr>
        <w:t>La directive 1999/2/CE du Parlement européen et du Conseil du 22 février 1999 relative au rapprochement des législations des États membres sur les denrées et ingrédients alimentaires traités par ionisation</w:t>
      </w:r>
      <w:r>
        <w:rPr>
          <w:rStyle w:val="FootnoteReference"/>
          <w:noProof/>
        </w:rPr>
        <w:footnoteReference w:id="2"/>
      </w:r>
      <w:r>
        <w:rPr>
          <w:noProof/>
        </w:rPr>
        <w:t xml:space="preserve"> établit des dispositions spécifiques pour l</w:t>
      </w:r>
      <w:r>
        <w:rPr>
          <w:noProof/>
        </w:rPr>
        <w:t xml:space="preserve">a fabrication, la commercialisation et l’importation des denrées et ingrédients alimentaires traités. La directive a introduit l’établissement progressif et harmonisé d’une liste de denrées alimentaires pouvant être ionisées, sur la base des autorisations </w:t>
      </w:r>
      <w:r>
        <w:rPr>
          <w:noProof/>
        </w:rPr>
        <w:t xml:space="preserve">nationales existantes. </w:t>
      </w:r>
    </w:p>
    <w:p w:rsidR="006435DE" w:rsidRDefault="00331FB9">
      <w:pPr>
        <w:pStyle w:val="Text1"/>
        <w:ind w:left="0"/>
        <w:rPr>
          <w:iCs/>
          <w:noProof/>
        </w:rPr>
      </w:pPr>
      <w:r>
        <w:rPr>
          <w:noProof/>
        </w:rPr>
        <w:t>La directive 1999/3/CE du Parlement européen et du Conseil du 22 février 1999 établissant une liste communautaire de denrées et ingrédients alimentaires traités par ionisation</w:t>
      </w:r>
      <w:r>
        <w:rPr>
          <w:rStyle w:val="FootnoteReference"/>
          <w:noProof/>
        </w:rPr>
        <w:footnoteReference w:id="3"/>
      </w:r>
      <w:r>
        <w:rPr>
          <w:noProof/>
        </w:rPr>
        <w:t xml:space="preserve"> mentionne une seule catégorie de denrées alimentaires a</w:t>
      </w:r>
      <w:r>
        <w:rPr>
          <w:noProof/>
        </w:rPr>
        <w:t>utorisées à l’échelle de l’Union, à savoir les herbes aromatiques séchées, épices et condiments végétaux. Les autres catégories de denrées alimentaires autorisées au niveau national avant 1999 sont maintenues dans sept États membres, conformément à l’artic</w:t>
      </w:r>
      <w:r>
        <w:rPr>
          <w:noProof/>
        </w:rPr>
        <w:t>le 4, paragraphe 4, de la directive 1999/2/CE, mais elles ne peuvent plus être étendues. La liste des autorisations nationales a été publiée par la Commission</w:t>
      </w:r>
      <w:r>
        <w:rPr>
          <w:noProof/>
          <w:vertAlign w:val="superscript"/>
        </w:rPr>
        <w:footnoteReference w:id="4"/>
      </w:r>
      <w:r>
        <w:rPr>
          <w:noProof/>
        </w:rPr>
        <w:t>.</w:t>
      </w:r>
    </w:p>
    <w:p w:rsidR="006435DE" w:rsidRDefault="00331FB9">
      <w:pPr>
        <w:pStyle w:val="Text2"/>
        <w:ind w:left="0"/>
        <w:rPr>
          <w:b/>
          <w:i/>
          <w:noProof/>
        </w:rPr>
      </w:pPr>
      <w:r>
        <w:rPr>
          <w:noProof/>
        </w:rPr>
        <w:t xml:space="preserve">Les denrées et les ingrédients alimentaires ne peuvent être irradiés que dans des unités </w:t>
      </w:r>
      <w:r>
        <w:rPr>
          <w:noProof/>
        </w:rPr>
        <w:t>agréées. Pour les unités implantées dans l’Union européenne, l’agrément est accordé par les autorités compétentes des États membres. L’article 7, paragraphe 3, de la directive 1999/2/CE prévoit que les États membres transmettent à la Commission la liste de</w:t>
      </w:r>
      <w:r>
        <w:rPr>
          <w:noProof/>
        </w:rPr>
        <w:t xml:space="preserve"> leurs unités d’irradiation agréées. La liste des unités agréées dans les États membres est publiée par la Commission</w:t>
      </w:r>
      <w:r>
        <w:rPr>
          <w:rStyle w:val="FootnoteReference"/>
          <w:noProof/>
        </w:rPr>
        <w:footnoteReference w:id="5"/>
      </w:r>
      <w:r>
        <w:rPr>
          <w:noProof/>
        </w:rPr>
        <w:t>.</w:t>
      </w:r>
    </w:p>
    <w:p w:rsidR="006435DE" w:rsidRDefault="00331FB9">
      <w:pPr>
        <w:rPr>
          <w:noProof/>
        </w:rPr>
      </w:pPr>
      <w:r>
        <w:rPr>
          <w:noProof/>
        </w:rPr>
        <w:t>L’étiquette des denrées alimentaires irradiées contenant un ou plusieurs ingrédients alimentaires irradiés doit porter la mention «trait</w:t>
      </w:r>
      <w:r>
        <w:rPr>
          <w:noProof/>
        </w:rPr>
        <w:t>é par rayonnements ionisants» ou «traité par ionisation». Si un produit irradié est utilisé comme ingrédient dans un aliment composé, la même mention doit accompagner sa dénomination dans la liste des ingrédients. Pour les produits vendus en vrac, cette me</w:t>
      </w:r>
      <w:r>
        <w:rPr>
          <w:noProof/>
        </w:rPr>
        <w:t>ntion figure, avec la dénomination du produit, sur une affiche ou sur un écriteau placé au-dessus ou à côté du récipient qui les contient. Pour garantir un étiquetage correct ou détecter les produits non autorisés, le Comité européen de normalisation (CEN)</w:t>
      </w:r>
      <w:r>
        <w:rPr>
          <w:noProof/>
        </w:rPr>
        <w:t>, mandaté à cet effet par la Commission, a normalisé une série de méthodes d’analyse.</w:t>
      </w:r>
    </w:p>
    <w:p w:rsidR="006435DE" w:rsidRDefault="00331FB9">
      <w:pPr>
        <w:pStyle w:val="Text1"/>
        <w:spacing w:after="0"/>
        <w:ind w:left="0"/>
        <w:rPr>
          <w:noProof/>
        </w:rPr>
      </w:pPr>
      <w:r>
        <w:rPr>
          <w:noProof/>
        </w:rPr>
        <w:lastRenderedPageBreak/>
        <w:t>Conformément à l’article 7, paragraphe 3, de la directive 1999/2/CE, les États membres transmettent chaque année à la Commission:</w:t>
      </w:r>
    </w:p>
    <w:p w:rsidR="006435DE" w:rsidRDefault="00331FB9">
      <w:pPr>
        <w:pStyle w:val="ListDash"/>
        <w:spacing w:after="0"/>
        <w:rPr>
          <w:noProof/>
        </w:rPr>
      </w:pPr>
      <w:r>
        <w:rPr>
          <w:noProof/>
        </w:rPr>
        <w:t>les résultats des contrôles qu’ils ont e</w:t>
      </w:r>
      <w:r>
        <w:rPr>
          <w:noProof/>
        </w:rPr>
        <w:t>ffectués dans les unités d’irradiation, notamment en ce qui concerne les catégories et les quantités de denrées et d’ingrédients alimentaires traités et les doses appliquées,</w:t>
      </w:r>
    </w:p>
    <w:p w:rsidR="006435DE" w:rsidRDefault="00331FB9">
      <w:pPr>
        <w:spacing w:after="0"/>
        <w:rPr>
          <w:noProof/>
        </w:rPr>
      </w:pPr>
      <w:r>
        <w:rPr>
          <w:noProof/>
        </w:rPr>
        <w:t>ainsi que</w:t>
      </w:r>
    </w:p>
    <w:p w:rsidR="006435DE" w:rsidRDefault="00331FB9">
      <w:pPr>
        <w:pStyle w:val="ListDash"/>
        <w:rPr>
          <w:noProof/>
        </w:rPr>
      </w:pPr>
      <w:r>
        <w:rPr>
          <w:noProof/>
        </w:rPr>
        <w:t>les résultats des contrôles qu’ils ont effectués au stade de la commerc</w:t>
      </w:r>
      <w:r>
        <w:rPr>
          <w:noProof/>
        </w:rPr>
        <w:t>ialisation du produit, ainsi que les méthodes utilisées pour détecter si un produit a été traité par ionisation.</w:t>
      </w:r>
    </w:p>
    <w:p w:rsidR="006435DE" w:rsidRDefault="00331FB9">
      <w:pPr>
        <w:pStyle w:val="Text1"/>
        <w:spacing w:before="120" w:after="0"/>
        <w:ind w:left="0"/>
        <w:rPr>
          <w:i/>
          <w:noProof/>
        </w:rPr>
      </w:pPr>
      <w:r>
        <w:rPr>
          <w:noProof/>
        </w:rPr>
        <w:t xml:space="preserve">L’article 7, paragraphe 4, de ladite directive dispose que la Commission est tenue de publier au </w:t>
      </w:r>
      <w:r>
        <w:rPr>
          <w:i/>
          <w:noProof/>
        </w:rPr>
        <w:t>Journal officiel de l’Union européenne:</w:t>
      </w:r>
    </w:p>
    <w:p w:rsidR="006435DE" w:rsidRDefault="00331FB9">
      <w:pPr>
        <w:pStyle w:val="ListDash"/>
        <w:spacing w:after="0"/>
        <w:rPr>
          <w:noProof/>
        </w:rPr>
      </w:pPr>
      <w:r>
        <w:rPr>
          <w:noProof/>
        </w:rPr>
        <w:t>des in</w:t>
      </w:r>
      <w:r>
        <w:rPr>
          <w:noProof/>
        </w:rPr>
        <w:t>formations détaillées concernant les unités d’irradiation agréées dans les États membres ainsi que toute modification de leur situation,</w:t>
      </w:r>
    </w:p>
    <w:p w:rsidR="006435DE" w:rsidRDefault="00331FB9">
      <w:pPr>
        <w:pStyle w:val="ListDash"/>
        <w:rPr>
          <w:noProof/>
        </w:rPr>
      </w:pPr>
      <w:r>
        <w:rPr>
          <w:noProof/>
        </w:rPr>
        <w:t>un rapport fondé sur les renseignements fournis chaque année par les autorités nationales de contrôle.</w:t>
      </w:r>
    </w:p>
    <w:p w:rsidR="006435DE" w:rsidRDefault="00331FB9">
      <w:pPr>
        <w:rPr>
          <w:noProof/>
        </w:rPr>
      </w:pPr>
      <w:r>
        <w:rPr>
          <w:noProof/>
        </w:rPr>
        <w:t>Le présent rappo</w:t>
      </w:r>
      <w:r>
        <w:rPr>
          <w:noProof/>
        </w:rPr>
        <w:t>rt, élaboré conformément aux règles énoncées, porte sur la période allant du 1</w:t>
      </w:r>
      <w:r>
        <w:rPr>
          <w:noProof/>
          <w:vertAlign w:val="superscript"/>
        </w:rPr>
        <w:t>er </w:t>
      </w:r>
      <w:r>
        <w:rPr>
          <w:noProof/>
        </w:rPr>
        <w:t xml:space="preserve">janvier au 31 décembre 2015 et comprend les informations transmises à la Commission européenne par les 28 États membres de l’UE et par 1 pays de l’AELE (Norvège). </w:t>
      </w:r>
    </w:p>
    <w:p w:rsidR="006435DE" w:rsidRDefault="00331FB9">
      <w:pPr>
        <w:pStyle w:val="ManualHeading1"/>
        <w:rPr>
          <w:noProof/>
        </w:rPr>
      </w:pPr>
      <w:bookmarkStart w:id="3" w:name="_Toc466988300"/>
      <w:r>
        <w:t>3.</w:t>
      </w:r>
      <w:r>
        <w:tab/>
      </w:r>
      <w:r>
        <w:rPr>
          <w:noProof/>
        </w:rPr>
        <w:t xml:space="preserve">Unités </w:t>
      </w:r>
      <w:r>
        <w:rPr>
          <w:noProof/>
        </w:rPr>
        <w:t>d’irradiation agréées</w:t>
      </w:r>
      <w:bookmarkEnd w:id="3"/>
    </w:p>
    <w:p w:rsidR="006435DE" w:rsidRDefault="00331FB9">
      <w:pPr>
        <w:rPr>
          <w:noProof/>
        </w:rPr>
      </w:pPr>
      <w:r>
        <w:rPr>
          <w:rStyle w:val="Corpsdutexte"/>
          <w:noProof/>
          <w:color w:val="000000"/>
          <w:sz w:val="24"/>
        </w:rPr>
        <w:t xml:space="preserve">Il existe 26 unités d’irradiation agréées dans l’Union européenne, situées dans 14 États membres: 5 en France, 4 en Allemagne, 3 en Espagne, 2 en Bulgarie, aux Pays-Bas et en Pologne, 1 en Belgique, en République tchèque, en Estonie, </w:t>
      </w:r>
      <w:r>
        <w:rPr>
          <w:rStyle w:val="Corpsdutexte"/>
          <w:noProof/>
          <w:color w:val="000000"/>
          <w:sz w:val="24"/>
        </w:rPr>
        <w:t xml:space="preserve">en Croatie (nouvelle unité), en Italie, en Hongrie, en Roumanie et au Royaume-Uni. </w:t>
      </w:r>
      <w:r>
        <w:rPr>
          <w:noProof/>
        </w:rPr>
        <w:t xml:space="preserve">Il n’existe aucune unité d’irradiation agréée dans les autres États membres. Aucune unité d’irradiation agréée n’a été fermée. </w:t>
      </w:r>
    </w:p>
    <w:p w:rsidR="006435DE" w:rsidRDefault="00331FB9">
      <w:pPr>
        <w:pStyle w:val="Text1"/>
        <w:ind w:left="0"/>
        <w:rPr>
          <w:rStyle w:val="Corpsdutexte"/>
          <w:noProof/>
          <w:color w:val="000000"/>
          <w:sz w:val="24"/>
        </w:rPr>
      </w:pPr>
      <w:r>
        <w:rPr>
          <w:rStyle w:val="Corpsdutexte"/>
          <w:noProof/>
          <w:color w:val="000000"/>
          <w:sz w:val="24"/>
        </w:rPr>
        <w:t>Parmi les 14 États membres disposant d’unités</w:t>
      </w:r>
      <w:r>
        <w:rPr>
          <w:rStyle w:val="Corpsdutexte"/>
          <w:noProof/>
          <w:color w:val="000000"/>
          <w:sz w:val="24"/>
        </w:rPr>
        <w:t xml:space="preserve"> d’irradiation, 10 d’entre eux, ainsi que 1 pays de l’AELE (Norvège) irradiaient des denrées alimentaires en 2015, comme le montre l’illustration 1.</w:t>
      </w:r>
    </w:p>
    <w:p w:rsidR="006435DE" w:rsidRDefault="006435DE">
      <w:pPr>
        <w:pStyle w:val="Text1"/>
        <w:ind w:left="0"/>
        <w:rPr>
          <w:noProof/>
        </w:rPr>
        <w:sectPr w:rsidR="006435DE">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020" w:right="1701" w:bottom="1020" w:left="1587" w:header="601" w:footer="1077" w:gutter="0"/>
          <w:cols w:space="720"/>
          <w:titlePg/>
        </w:sectPr>
      </w:pPr>
    </w:p>
    <w:p w:rsidR="006435DE" w:rsidRDefault="00331FB9">
      <w:pPr>
        <w:pStyle w:val="Text1"/>
        <w:ind w:left="0"/>
        <w:rPr>
          <w:noProof/>
        </w:rPr>
      </w:pPr>
      <w:r>
        <w:rPr>
          <w:noProof/>
          <w:lang w:val="en-GB" w:eastAsia="en-GB" w:bidi="ar-SA"/>
        </w:rPr>
        <w:lastRenderedPageBreak/>
        <w:drawing>
          <wp:inline distT="0" distB="0" distL="0" distR="0">
            <wp:extent cx="3310230" cy="3439231"/>
            <wp:effectExtent l="0" t="0" r="508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310230" cy="3439231"/>
                    </a:xfrm>
                    <a:prstGeom prst="rect">
                      <a:avLst/>
                    </a:prstGeom>
                  </pic:spPr>
                </pic:pic>
              </a:graphicData>
            </a:graphic>
          </wp:inline>
        </w:drawing>
      </w:r>
    </w:p>
    <w:p w:rsidR="006435DE" w:rsidRDefault="006435DE">
      <w:pPr>
        <w:pStyle w:val="Text1"/>
        <w:ind w:left="240" w:right="405"/>
        <w:rPr>
          <w:noProof/>
        </w:rPr>
      </w:pPr>
    </w:p>
    <w:p w:rsidR="006435DE" w:rsidRDefault="00331FB9">
      <w:pPr>
        <w:pStyle w:val="Text1"/>
        <w:ind w:left="240" w:right="405"/>
        <w:rPr>
          <w:noProof/>
        </w:rPr>
      </w:pPr>
      <w:r>
        <w:rPr>
          <w:noProof/>
        </w:rPr>
        <w:lastRenderedPageBreak/>
        <w:t xml:space="preserve">Illustration 1 - Pourcentage de denrées alimentaires irradiées dans chaque État membre et en Norvège en 2015 </w:t>
      </w:r>
    </w:p>
    <w:p w:rsidR="006435DE" w:rsidRDefault="00331FB9">
      <w:pPr>
        <w:pStyle w:val="Text1"/>
        <w:ind w:left="240" w:right="405"/>
        <w:rPr>
          <w:noProof/>
        </w:rPr>
      </w:pPr>
      <w:r>
        <w:rPr>
          <w:noProof/>
        </w:rPr>
        <w:t xml:space="preserve">En vert: pays disposant d’unités d’irradiation agréées et pratiquant l’irradiation </w:t>
      </w:r>
    </w:p>
    <w:p w:rsidR="006435DE" w:rsidRDefault="00331FB9">
      <w:pPr>
        <w:pStyle w:val="Text1"/>
        <w:ind w:left="240" w:right="405"/>
        <w:rPr>
          <w:noProof/>
        </w:rPr>
      </w:pPr>
      <w:r>
        <w:rPr>
          <w:noProof/>
        </w:rPr>
        <w:t xml:space="preserve">En jaune: pays disposant d’unités d’irradiation agréées et ne </w:t>
      </w:r>
      <w:r>
        <w:rPr>
          <w:noProof/>
        </w:rPr>
        <w:t xml:space="preserve">pratiquant pas l’irradiation </w:t>
      </w:r>
    </w:p>
    <w:p w:rsidR="006435DE" w:rsidRDefault="00331FB9">
      <w:pPr>
        <w:pStyle w:val="Text1"/>
        <w:ind w:left="240" w:right="405"/>
        <w:rPr>
          <w:noProof/>
        </w:rPr>
      </w:pPr>
      <w:r>
        <w:rPr>
          <w:noProof/>
        </w:rPr>
        <w:t>En gris: pays ne disposant pas d’unités d’irradiation</w:t>
      </w:r>
    </w:p>
    <w:p w:rsidR="006435DE" w:rsidRDefault="006435DE">
      <w:pPr>
        <w:pStyle w:val="Text1"/>
        <w:ind w:left="0"/>
        <w:jc w:val="center"/>
        <w:rPr>
          <w:noProof/>
        </w:rPr>
        <w:sectPr w:rsidR="006435DE">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020" w:right="1701" w:bottom="1020" w:left="1587" w:header="601" w:footer="1077" w:gutter="0"/>
          <w:cols w:num="2" w:space="720" w:equalWidth="0">
            <w:col w:w="4653" w:space="720"/>
            <w:col w:w="3245"/>
          </w:cols>
          <w:titlePg/>
        </w:sectPr>
      </w:pPr>
    </w:p>
    <w:p w:rsidR="006435DE" w:rsidRDefault="006435DE">
      <w:pPr>
        <w:pStyle w:val="Text1"/>
        <w:ind w:left="0"/>
        <w:jc w:val="center"/>
        <w:rPr>
          <w:noProof/>
        </w:rPr>
      </w:pPr>
    </w:p>
    <w:p w:rsidR="006435DE" w:rsidRDefault="00331FB9">
      <w:pPr>
        <w:pStyle w:val="ManualHeading1"/>
        <w:rPr>
          <w:noProof/>
        </w:rPr>
      </w:pPr>
      <w:bookmarkStart w:id="4" w:name="_Toc466988301"/>
      <w:r>
        <w:t>4.</w:t>
      </w:r>
      <w:r>
        <w:tab/>
      </w:r>
      <w:r>
        <w:rPr>
          <w:noProof/>
        </w:rPr>
        <w:t>Résultats des contrôlés effectués dans les unités d’irradiation</w:t>
      </w:r>
      <w:bookmarkEnd w:id="4"/>
    </w:p>
    <w:p w:rsidR="006435DE" w:rsidRDefault="00331FB9">
      <w:pPr>
        <w:pStyle w:val="Text1"/>
        <w:ind w:left="0"/>
        <w:rPr>
          <w:noProof/>
        </w:rPr>
      </w:pPr>
      <w:r>
        <w:rPr>
          <w:noProof/>
        </w:rPr>
        <w:t xml:space="preserve">Les </w:t>
      </w:r>
      <w:r>
        <w:rPr>
          <w:noProof/>
        </w:rPr>
        <w:t>contrôles officiels réalisés par les autorités compétentes ont confirmé que les unités d’irradiation respectaient les dispositions de la directive 1999/2/CE, qui se basent sur le code international d’usage pour l’exploitation des installations de traitemen</w:t>
      </w:r>
      <w:r>
        <w:rPr>
          <w:noProof/>
        </w:rPr>
        <w:t>t des aliments par irradiation recommandé par la commission mixte FAO/OMS du Codex Alimentarius</w:t>
      </w:r>
      <w:r>
        <w:rPr>
          <w:rStyle w:val="FootnoteReference"/>
          <w:noProof/>
        </w:rPr>
        <w:footnoteReference w:id="6"/>
      </w:r>
      <w:r>
        <w:rPr>
          <w:noProof/>
        </w:rPr>
        <w:t xml:space="preserve">. </w:t>
      </w:r>
    </w:p>
    <w:p w:rsidR="006435DE" w:rsidRDefault="00331FB9">
      <w:pPr>
        <w:pStyle w:val="Text1"/>
        <w:ind w:left="0"/>
        <w:rPr>
          <w:noProof/>
        </w:rPr>
      </w:pPr>
      <w:r>
        <w:rPr>
          <w:noProof/>
        </w:rPr>
        <w:t>Les rapports indiquent que la dose moyenne absorbée pour les denrées alimentaires irradiées dans l’Union en 2015 va de 1 à 10 kGy; les catégories de produits</w:t>
      </w:r>
      <w:r>
        <w:rPr>
          <w:noProof/>
        </w:rPr>
        <w:t xml:space="preserve"> ionisés et les doses appliquées pour chaque État membre sont énumérées en annexe.</w:t>
      </w:r>
    </w:p>
    <w:p w:rsidR="006435DE" w:rsidRDefault="00331FB9">
      <w:pPr>
        <w:pStyle w:val="Text1"/>
        <w:ind w:left="0"/>
        <w:rPr>
          <w:noProof/>
        </w:rPr>
      </w:pPr>
      <w:r>
        <w:rPr>
          <w:noProof/>
        </w:rPr>
        <w:t>Au total, 5 685,9 tonnes de produits ont été traitées par ionisation dans les États membres de l’UE, dont 80 % dans 2 États membres principalement: la Belgique (68,9 %) et l</w:t>
      </w:r>
      <w:r>
        <w:rPr>
          <w:noProof/>
        </w:rPr>
        <w:t xml:space="preserve">es Pays-Bas (11,1 %). </w:t>
      </w:r>
    </w:p>
    <w:p w:rsidR="006435DE" w:rsidRDefault="00331FB9">
      <w:pPr>
        <w:rPr>
          <w:noProof/>
        </w:rPr>
      </w:pPr>
      <w:r>
        <w:rPr>
          <w:noProof/>
        </w:rPr>
        <w:t>L’illustration 2 présente les catégories de denrées alimentaires soumises à ionisation. Les deux principaux produits soumis à ionisation dans l’UE étaient les cuisses de grenouilles (54,75 %) et les herbes aromatiques séchées, les ép</w:t>
      </w:r>
      <w:r>
        <w:rPr>
          <w:noProof/>
        </w:rPr>
        <w:t xml:space="preserve">ices et les condiments végétaux (16,10 %). </w:t>
      </w:r>
    </w:p>
    <w:p w:rsidR="006435DE" w:rsidRDefault="00331FB9">
      <w:pPr>
        <w:spacing w:after="0"/>
        <w:rPr>
          <w:noProof/>
        </w:rPr>
      </w:pPr>
      <w:r>
        <w:rPr>
          <w:noProof/>
        </w:rPr>
        <w:t>Illustration 2 - Répartition par catégorie de denrées alimentaires soumises à ionisation dans l’UE en 2015</w:t>
      </w:r>
    </w:p>
    <w:p w:rsidR="006435DE" w:rsidRDefault="00331FB9">
      <w:pPr>
        <w:pStyle w:val="Text1"/>
        <w:ind w:left="0"/>
        <w:rPr>
          <w:noProof/>
        </w:rPr>
      </w:pPr>
      <w:r>
        <w:rPr>
          <w:noProof/>
          <w:lang w:val="en-GB" w:eastAsia="en-GB" w:bidi="ar-SA"/>
        </w:rPr>
        <w:lastRenderedPageBreak/>
        <w:drawing>
          <wp:inline distT="0" distB="0" distL="0" distR="0">
            <wp:extent cx="5472430" cy="1998762"/>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72430" cy="1998762"/>
                    </a:xfrm>
                    <a:prstGeom prst="rect">
                      <a:avLst/>
                    </a:prstGeom>
                    <a:noFill/>
                    <a:ln>
                      <a:noFill/>
                    </a:ln>
                  </pic:spPr>
                </pic:pic>
              </a:graphicData>
            </a:graphic>
          </wp:inline>
        </w:drawing>
      </w:r>
      <w:r>
        <w:rPr>
          <w:noProof/>
        </w:rPr>
        <w:t>Depuis que les directives 1999/2/CE et 1999/3/CE sont devenues applicables dans les États membres, les q</w:t>
      </w:r>
      <w:r>
        <w:rPr>
          <w:noProof/>
        </w:rPr>
        <w:t xml:space="preserve">uantités de denrées alimentaires soumises à ionisation ont diminué, bien que l’on puisse noter une légère hausse de 9,7 % en 2015 par rapport à 2014. </w:t>
      </w:r>
    </w:p>
    <w:p w:rsidR="006435DE" w:rsidRDefault="00331FB9">
      <w:pPr>
        <w:pStyle w:val="Text1"/>
        <w:ind w:left="0"/>
        <w:rPr>
          <w:noProof/>
        </w:rPr>
      </w:pPr>
      <w:r>
        <w:rPr>
          <w:noProof/>
        </w:rPr>
        <w:t>L’illustration 3 montre la répartition par État membre des denrées alimentaires soumises à ionisation (en</w:t>
      </w:r>
      <w:r>
        <w:rPr>
          <w:noProof/>
        </w:rPr>
        <w:t xml:space="preserve"> tonnes) en 2015. </w:t>
      </w:r>
    </w:p>
    <w:p w:rsidR="006435DE" w:rsidRDefault="00331FB9">
      <w:pPr>
        <w:spacing w:after="0"/>
        <w:jc w:val="left"/>
        <w:rPr>
          <w:noProof/>
        </w:rPr>
      </w:pPr>
      <w:r>
        <w:rPr>
          <w:noProof/>
        </w:rPr>
        <w:br w:type="page"/>
      </w:r>
    </w:p>
    <w:p w:rsidR="006435DE" w:rsidRDefault="00331FB9">
      <w:pPr>
        <w:pStyle w:val="Text1"/>
        <w:spacing w:after="0"/>
        <w:ind w:left="0"/>
        <w:rPr>
          <w:noProof/>
        </w:rPr>
      </w:pPr>
      <w:r>
        <w:rPr>
          <w:noProof/>
        </w:rPr>
        <w:lastRenderedPageBreak/>
        <w:t>Illustration 3 - Quantités et catégories de denrées alimentaires soumises à ionisation dans les unités d’irradiation agréées dans chaque État membre en 2015</w:t>
      </w:r>
    </w:p>
    <w:p w:rsidR="006435DE" w:rsidRDefault="006435DE">
      <w:pPr>
        <w:pStyle w:val="Text1"/>
        <w:spacing w:after="0"/>
        <w:ind w:left="0"/>
        <w:rPr>
          <w:noProof/>
        </w:rPr>
      </w:pPr>
    </w:p>
    <w:p w:rsidR="006435DE" w:rsidRDefault="00331FB9">
      <w:pPr>
        <w:pStyle w:val="Text1"/>
        <w:spacing w:after="0"/>
        <w:ind w:left="0"/>
        <w:rPr>
          <w:noProof/>
        </w:rPr>
      </w:pPr>
      <w:r>
        <w:rPr>
          <w:noProof/>
          <w:lang w:val="en-GB" w:eastAsia="en-GB" w:bidi="ar-SA"/>
        </w:rPr>
        <w:drawing>
          <wp:inline distT="0" distB="0" distL="0" distR="0">
            <wp:extent cx="5472430" cy="27898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72430" cy="2789866"/>
                    </a:xfrm>
                    <a:prstGeom prst="rect">
                      <a:avLst/>
                    </a:prstGeom>
                    <a:noFill/>
                    <a:ln>
                      <a:noFill/>
                    </a:ln>
                  </pic:spPr>
                </pic:pic>
              </a:graphicData>
            </a:graphic>
          </wp:inline>
        </w:drawing>
      </w:r>
    </w:p>
    <w:p w:rsidR="006435DE" w:rsidRDefault="00331FB9">
      <w:pPr>
        <w:pStyle w:val="Text1"/>
        <w:spacing w:before="120" w:after="120"/>
        <w:ind w:left="0"/>
        <w:rPr>
          <w:noProof/>
        </w:rPr>
      </w:pPr>
      <w:bookmarkStart w:id="5" w:name="_Toc466988302"/>
      <w:r>
        <w:rPr>
          <w:noProof/>
        </w:rPr>
        <w:t>Résultats des contrôles effectués au stade de la commercialisation des prod</w:t>
      </w:r>
      <w:r>
        <w:rPr>
          <w:noProof/>
        </w:rPr>
        <w:t>uits</w:t>
      </w:r>
      <w:bookmarkEnd w:id="5"/>
    </w:p>
    <w:p w:rsidR="006435DE" w:rsidRDefault="00331FB9">
      <w:pPr>
        <w:pStyle w:val="Text1"/>
        <w:ind w:left="0"/>
        <w:rPr>
          <w:noProof/>
        </w:rPr>
      </w:pPr>
      <w:r>
        <w:rPr>
          <w:noProof/>
        </w:rPr>
        <w:t>5 973 échantillons ont été analysés par 24 États membres en 2015, soit une hausse générale de 3,4 % par rapport à 2014.</w:t>
      </w:r>
    </w:p>
    <w:p w:rsidR="006435DE" w:rsidRDefault="00331FB9">
      <w:pPr>
        <w:rPr>
          <w:noProof/>
        </w:rPr>
      </w:pPr>
      <w:r>
        <w:rPr>
          <w:rStyle w:val="Corpsdutexte"/>
          <w:noProof/>
          <w:color w:val="000000"/>
          <w:sz w:val="24"/>
        </w:rPr>
        <w:t>Quatre États membres ont traité 75,6 % des échantillons (Allemagne 56 %, Italie 9 %, Pologne 5,3 % et Roumanie 5,3 %), comme le mon</w:t>
      </w:r>
      <w:r>
        <w:rPr>
          <w:rStyle w:val="Corpsdutexte"/>
          <w:noProof/>
          <w:color w:val="000000"/>
          <w:sz w:val="24"/>
        </w:rPr>
        <w:t>tre l’illustration 4.</w:t>
      </w:r>
      <w:r>
        <w:rPr>
          <w:noProof/>
        </w:rPr>
        <w:t xml:space="preserve"> Cinq pays (4 États membres et la Norvège) n’ont pas effectué de contrôles analytiques au stade de la commercialisation des produits au cours de l’année 2015 pour différentes raisons: restrictions budgétaires au Danemark, manque de lab</w:t>
      </w:r>
      <w:r>
        <w:rPr>
          <w:noProof/>
        </w:rPr>
        <w:t xml:space="preserve">oratoires compétents pour réaliser de telles analyses en Estonie, en Croatie, à Chypre et en Norvège. </w:t>
      </w:r>
    </w:p>
    <w:p w:rsidR="006435DE" w:rsidRDefault="00331FB9">
      <w:pPr>
        <w:rPr>
          <w:noProof/>
        </w:rPr>
      </w:pPr>
      <w:r>
        <w:rPr>
          <w:noProof/>
        </w:rPr>
        <w:t>Illustration 4 - Pourcentage des contrôles et total des échantillons analysés au stade de la commercialisation des produits dans chaque État membre en 20</w:t>
      </w:r>
      <w:r>
        <w:rPr>
          <w:noProof/>
        </w:rPr>
        <w:t>15</w:t>
      </w:r>
    </w:p>
    <w:p w:rsidR="006435DE" w:rsidRDefault="00331FB9">
      <w:pPr>
        <w:rPr>
          <w:noProof/>
        </w:rPr>
      </w:pPr>
      <w:r>
        <w:rPr>
          <w:noProof/>
          <w:lang w:val="en-GB" w:eastAsia="en-GB" w:bidi="ar-SA"/>
        </w:rPr>
        <w:drawing>
          <wp:inline distT="0" distB="0" distL="0" distR="0">
            <wp:extent cx="5248412" cy="30343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54132" cy="3037685"/>
                    </a:xfrm>
                    <a:prstGeom prst="rect">
                      <a:avLst/>
                    </a:prstGeom>
                    <a:noFill/>
                  </pic:spPr>
                </pic:pic>
              </a:graphicData>
            </a:graphic>
          </wp:inline>
        </w:drawing>
      </w:r>
    </w:p>
    <w:p w:rsidR="006435DE" w:rsidRDefault="00331FB9">
      <w:pPr>
        <w:rPr>
          <w:noProof/>
        </w:rPr>
      </w:pPr>
      <w:r>
        <w:rPr>
          <w:noProof/>
        </w:rPr>
        <w:lastRenderedPageBreak/>
        <w:t>Parmi les produits analysés dans l’Union européenne en 2015, les deux catégories principales sont les «fines herbes et épices» (45,54 %) et les «céréales, graines, légumes, fruits et leurs produits dérivés» (21,01 %). Pour plus de détails, consulter l</w:t>
      </w:r>
      <w:r>
        <w:rPr>
          <w:noProof/>
        </w:rPr>
        <w:t>es tableaux présentant les contrôles effectués pour chaque État membre (annexe). La catégorie «autres» comprend principalement les compléments alimentaires (45,92 %) et les soupes et sauces (30,89 %).</w:t>
      </w:r>
    </w:p>
    <w:p w:rsidR="006435DE" w:rsidRDefault="00331FB9">
      <w:pPr>
        <w:spacing w:after="0"/>
        <w:rPr>
          <w:noProof/>
        </w:rPr>
      </w:pPr>
      <w:r>
        <w:rPr>
          <w:noProof/>
        </w:rPr>
        <w:t>Illustration 5 - Catégories de denrées alimentaires ana</w:t>
      </w:r>
      <w:r>
        <w:rPr>
          <w:noProof/>
        </w:rPr>
        <w:t>lysées au stade de la commercialisation des produits dans l’UE en 2015</w:t>
      </w:r>
    </w:p>
    <w:p w:rsidR="006435DE" w:rsidRDefault="00331FB9">
      <w:pPr>
        <w:pStyle w:val="Text1"/>
        <w:ind w:left="0"/>
        <w:rPr>
          <w:noProof/>
        </w:rPr>
      </w:pPr>
      <w:r>
        <w:rPr>
          <w:noProof/>
          <w:lang w:val="en-GB" w:eastAsia="en-GB" w:bidi="ar-SA"/>
        </w:rPr>
        <w:drawing>
          <wp:inline distT="0" distB="0" distL="0" distR="0">
            <wp:extent cx="5472430" cy="240400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72430" cy="2404002"/>
                    </a:xfrm>
                    <a:prstGeom prst="rect">
                      <a:avLst/>
                    </a:prstGeom>
                    <a:noFill/>
                    <a:ln>
                      <a:noFill/>
                    </a:ln>
                  </pic:spPr>
                </pic:pic>
              </a:graphicData>
            </a:graphic>
          </wp:inline>
        </w:drawing>
      </w:r>
      <w:r>
        <w:rPr>
          <w:noProof/>
        </w:rPr>
        <w:t>Pour 2015, 5 802 échantillons (97,1 %) étaient conformes aux exigences de l’UE, 104 (1,7 %) ne l’étaient pas et 67 (1,1 %) ont produit des résultats non concluants. Les deux principaux</w:t>
      </w:r>
      <w:r>
        <w:rPr>
          <w:noProof/>
        </w:rPr>
        <w:t xml:space="preserve"> motifs de non-conformité des échantillons analysés étaient les mêmes que les années précédentes, à savoir un étiquetage incorrect et un traitement par ionisation dans des unités d’irradiation non agréées par l’Union. L’annexe fournit les détails par État </w:t>
      </w:r>
      <w:r>
        <w:rPr>
          <w:noProof/>
        </w:rPr>
        <w:t>membre.</w:t>
      </w:r>
    </w:p>
    <w:p w:rsidR="006435DE" w:rsidRDefault="006435DE">
      <w:pPr>
        <w:spacing w:after="0"/>
        <w:rPr>
          <w:noProof/>
        </w:rPr>
        <w:sectPr w:rsidR="006435DE">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020" w:right="1701" w:bottom="1020" w:left="1587" w:header="601" w:footer="1077" w:gutter="0"/>
          <w:cols w:space="720"/>
          <w:titlePg/>
        </w:sectPr>
      </w:pPr>
    </w:p>
    <w:p w:rsidR="006435DE" w:rsidRDefault="00331FB9">
      <w:pPr>
        <w:spacing w:after="0"/>
        <w:rPr>
          <w:noProof/>
        </w:rPr>
      </w:pPr>
      <w:r>
        <w:rPr>
          <w:noProof/>
          <w:lang w:val="en-GB" w:eastAsia="en-GB" w:bidi="ar-SA"/>
        </w:rPr>
        <w:lastRenderedPageBreak/>
        <w:drawing>
          <wp:inline distT="0" distB="0" distL="0" distR="0">
            <wp:extent cx="2507615" cy="196982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07615" cy="1969829"/>
                    </a:xfrm>
                    <a:prstGeom prst="rect">
                      <a:avLst/>
                    </a:prstGeom>
                    <a:noFill/>
                    <a:ln>
                      <a:noFill/>
                    </a:ln>
                  </pic:spPr>
                </pic:pic>
              </a:graphicData>
            </a:graphic>
          </wp:inline>
        </w:drawing>
      </w:r>
    </w:p>
    <w:p w:rsidR="006435DE" w:rsidRDefault="006435DE">
      <w:pPr>
        <w:spacing w:after="0"/>
        <w:rPr>
          <w:noProof/>
        </w:rPr>
      </w:pPr>
    </w:p>
    <w:p w:rsidR="006435DE" w:rsidRDefault="006435DE">
      <w:pPr>
        <w:spacing w:after="0"/>
        <w:rPr>
          <w:noProof/>
        </w:rPr>
      </w:pPr>
    </w:p>
    <w:p w:rsidR="006435DE" w:rsidRDefault="006435DE">
      <w:pPr>
        <w:spacing w:after="0"/>
        <w:rPr>
          <w:noProof/>
        </w:rPr>
      </w:pPr>
    </w:p>
    <w:p w:rsidR="006435DE" w:rsidRDefault="00331FB9">
      <w:pPr>
        <w:spacing w:after="0"/>
        <w:rPr>
          <w:smallCaps/>
          <w:noProof/>
        </w:rPr>
      </w:pPr>
      <w:r>
        <w:rPr>
          <w:noProof/>
        </w:rPr>
        <w:t xml:space="preserve">Illustration 6 - Pourcentage de résultats conformes, non conformes et non concluants des contrôles effectués au stade de la commercialisation des produits dans l’UE en 2015 </w:t>
      </w:r>
    </w:p>
    <w:p w:rsidR="006435DE" w:rsidRDefault="006435DE">
      <w:pPr>
        <w:rPr>
          <w:noProof/>
        </w:rPr>
        <w:sectPr w:rsidR="006435DE">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020" w:right="1701" w:bottom="1020" w:left="1587" w:header="601" w:footer="1077" w:gutter="0"/>
          <w:cols w:num="2" w:space="720"/>
          <w:titlePg/>
        </w:sectPr>
      </w:pPr>
    </w:p>
    <w:p w:rsidR="006435DE" w:rsidRDefault="006435DE">
      <w:pPr>
        <w:rPr>
          <w:noProof/>
        </w:rPr>
      </w:pPr>
    </w:p>
    <w:p w:rsidR="006435DE" w:rsidRDefault="00331FB9">
      <w:pPr>
        <w:pStyle w:val="ManualHeading1"/>
        <w:rPr>
          <w:noProof/>
        </w:rPr>
      </w:pPr>
      <w:bookmarkStart w:id="6" w:name="_Toc466988303"/>
      <w:r>
        <w:t>5.</w:t>
      </w:r>
      <w:r>
        <w:tab/>
      </w:r>
      <w:r>
        <w:rPr>
          <w:noProof/>
        </w:rPr>
        <w:t>Conclusion</w:t>
      </w:r>
      <w:bookmarkEnd w:id="6"/>
    </w:p>
    <w:p w:rsidR="006435DE" w:rsidRDefault="00331FB9">
      <w:pPr>
        <w:pStyle w:val="Text1"/>
        <w:ind w:left="0"/>
        <w:rPr>
          <w:noProof/>
        </w:rPr>
      </w:pPr>
      <w:r>
        <w:rPr>
          <w:noProof/>
        </w:rPr>
        <w:t xml:space="preserve">Les données présentées par les 28 États membres de l’UE pour 2015 </w:t>
      </w:r>
      <w:r>
        <w:rPr>
          <w:rStyle w:val="Corpsdutexte"/>
          <w:noProof/>
          <w:color w:val="000000"/>
          <w:sz w:val="24"/>
        </w:rPr>
        <w:t>montrent une hausse de 9,7 %</w:t>
      </w:r>
      <w:r>
        <w:rPr>
          <w:noProof/>
        </w:rPr>
        <w:t xml:space="preserve"> de la quantité de denrées alimentaires soumises à ionisation dans l’Union par rapport à 2014, ainsi qu’une hausse parallèl</w:t>
      </w:r>
      <w:r>
        <w:rPr>
          <w:noProof/>
        </w:rPr>
        <w:t>e de 3,4 % des contrôles effectués au stade de la commercialisation des produits par les autorités compétentes. Les contrôles montrent un respect presque total de la législation de l’Union, avec moins de 2 % des produits déclarés non conformes.</w:t>
      </w:r>
    </w:p>
    <w:p w:rsidR="006435DE" w:rsidRDefault="00331FB9">
      <w:pPr>
        <w:pStyle w:val="Text1"/>
        <w:ind w:left="0"/>
        <w:rPr>
          <w:noProof/>
        </w:rPr>
      </w:pPr>
      <w:r>
        <w:rPr>
          <w:noProof/>
        </w:rPr>
        <w:lastRenderedPageBreak/>
        <w:t xml:space="preserve">En Europe, </w:t>
      </w:r>
      <w:r>
        <w:rPr>
          <w:noProof/>
        </w:rPr>
        <w:t xml:space="preserve">les principaux produits traités par irradiation sont les cuisses de grenouille, suivies, dans des quantités bien moindres, par les herbes aromatiques séchées, les épices et les condiments végétaux. Environ 70 % des produits sont traités par irradiation en </w:t>
      </w:r>
      <w:r>
        <w:rPr>
          <w:noProof/>
        </w:rPr>
        <w:t xml:space="preserve">Belgique, qui reste le pays leader en la matière dans l’Union. </w:t>
      </w:r>
    </w:p>
    <w:p w:rsidR="006435DE" w:rsidRDefault="00331FB9">
      <w:pPr>
        <w:pStyle w:val="Text1"/>
        <w:ind w:left="0"/>
        <w:rPr>
          <w:noProof/>
        </w:rPr>
      </w:pPr>
      <w:r>
        <w:rPr>
          <w:noProof/>
        </w:rPr>
        <w:t xml:space="preserve">Quant aux contrôles au stade de la commercialisation, les principaux produits concernés dans l’Union restent les fines herbes et les épices (45,6 %), suivis par les céréales, les graines, les </w:t>
      </w:r>
      <w:r>
        <w:rPr>
          <w:noProof/>
        </w:rPr>
        <w:t>légumes et les fruits (21 %). C’est l’Allemagne qui a effectué le plus de contrôles: elle en a réalisé à elle seule plus que tous les autres États membres réunis.</w:t>
      </w:r>
    </w:p>
    <w:p w:rsidR="006435DE" w:rsidRDefault="00331FB9">
      <w:pPr>
        <w:pStyle w:val="Text1"/>
        <w:ind w:left="0"/>
        <w:rPr>
          <w:noProof/>
        </w:rPr>
      </w:pPr>
      <w:r>
        <w:rPr>
          <w:noProof/>
        </w:rPr>
        <w:t xml:space="preserve">Enfin, le recours à cette technique de décontamination reste marginal en Europe par rapport au reste du monde, qui connaît une forte hausse de l’utilisation de l’ionisation comme moyen de décontamination, notamment dans les pays américains et asiatiques. </w:t>
      </w:r>
    </w:p>
    <w:p w:rsidR="006435DE" w:rsidRDefault="00331FB9">
      <w:pPr>
        <w:pStyle w:val="Text1"/>
        <w:ind w:left="567"/>
        <w:jc w:val="left"/>
        <w:rPr>
          <w:b/>
          <w:noProof/>
        </w:rPr>
      </w:pPr>
      <w:r>
        <w:rPr>
          <w:noProof/>
        </w:rPr>
        <w:br w:type="page"/>
      </w:r>
    </w:p>
    <w:p w:rsidR="006435DE" w:rsidRDefault="00331FB9">
      <w:pPr>
        <w:spacing w:after="480"/>
        <w:jc w:val="center"/>
        <w:rPr>
          <w:noProof/>
          <w:u w:val="single"/>
        </w:rPr>
      </w:pPr>
      <w:r>
        <w:rPr>
          <w:noProof/>
          <w:u w:val="single"/>
        </w:rPr>
        <w:lastRenderedPageBreak/>
        <w:t>Annexe – Collecte de données sur l’irradiation des denrées alimentaires en 2015</w:t>
      </w:r>
    </w:p>
    <w:p w:rsidR="006435DE" w:rsidRDefault="00331FB9">
      <w:pPr>
        <w:jc w:val="center"/>
        <w:rPr>
          <w:noProof/>
        </w:rPr>
      </w:pPr>
      <w:r>
        <w:rPr>
          <w:noProof/>
        </w:rPr>
        <w:t>Quantités de denrées alimentaires (en tonnes) traitées par ionisation</w:t>
      </w:r>
      <w:r>
        <w:rPr>
          <w:noProof/>
        </w:rPr>
        <w:br/>
        <w:t xml:space="preserve"> dans des unités d’irradiation agréées (UE et AELE)</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360"/>
        <w:gridCol w:w="3000"/>
      </w:tblGrid>
      <w:tr w:rsidR="006435DE">
        <w:trPr>
          <w:trHeight w:val="202"/>
        </w:trPr>
        <w:tc>
          <w:tcPr>
            <w:tcW w:w="2160" w:type="dxa"/>
            <w:vAlign w:val="center"/>
          </w:tcPr>
          <w:p w:rsidR="006435DE" w:rsidRDefault="00331FB9">
            <w:pPr>
              <w:spacing w:after="0"/>
              <w:jc w:val="center"/>
              <w:rPr>
                <w:b/>
                <w:noProof/>
                <w:sz w:val="20"/>
              </w:rPr>
            </w:pPr>
            <w:r>
              <w:rPr>
                <w:b/>
                <w:noProof/>
                <w:sz w:val="20"/>
              </w:rPr>
              <w:t>Pays</w:t>
            </w:r>
          </w:p>
        </w:tc>
        <w:tc>
          <w:tcPr>
            <w:tcW w:w="3360" w:type="dxa"/>
            <w:vAlign w:val="center"/>
          </w:tcPr>
          <w:p w:rsidR="006435DE" w:rsidRDefault="00331FB9">
            <w:pPr>
              <w:spacing w:after="0"/>
              <w:jc w:val="center"/>
              <w:rPr>
                <w:b/>
                <w:noProof/>
                <w:sz w:val="20"/>
              </w:rPr>
            </w:pPr>
            <w:r>
              <w:rPr>
                <w:b/>
                <w:noProof/>
                <w:sz w:val="20"/>
              </w:rPr>
              <w:t>Nombre d’unités d’irradiation agréées</w:t>
            </w:r>
          </w:p>
        </w:tc>
        <w:tc>
          <w:tcPr>
            <w:tcW w:w="3000" w:type="dxa"/>
            <w:vAlign w:val="center"/>
          </w:tcPr>
          <w:p w:rsidR="006435DE" w:rsidRDefault="00331FB9">
            <w:pPr>
              <w:spacing w:after="0"/>
              <w:jc w:val="center"/>
              <w:rPr>
                <w:b/>
                <w:noProof/>
                <w:sz w:val="20"/>
              </w:rPr>
            </w:pPr>
            <w:r>
              <w:rPr>
                <w:b/>
                <w:noProof/>
                <w:sz w:val="20"/>
              </w:rPr>
              <w:t xml:space="preserve">Quantité </w:t>
            </w:r>
            <w:r>
              <w:rPr>
                <w:b/>
                <w:noProof/>
                <w:sz w:val="20"/>
              </w:rPr>
              <w:t>traitée (tonnes)</w:t>
            </w:r>
          </w:p>
        </w:tc>
      </w:tr>
      <w:tr w:rsidR="006435DE">
        <w:trPr>
          <w:trHeight w:val="202"/>
        </w:trPr>
        <w:tc>
          <w:tcPr>
            <w:tcW w:w="2160" w:type="dxa"/>
            <w:vAlign w:val="center"/>
          </w:tcPr>
          <w:p w:rsidR="006435DE" w:rsidRDefault="00331FB9">
            <w:pPr>
              <w:spacing w:after="0"/>
              <w:jc w:val="left"/>
              <w:rPr>
                <w:noProof/>
                <w:sz w:val="20"/>
              </w:rPr>
            </w:pPr>
            <w:r>
              <w:rPr>
                <w:noProof/>
                <w:sz w:val="20"/>
              </w:rPr>
              <w:t>Belgique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3 916,9</w:t>
            </w:r>
          </w:p>
        </w:tc>
      </w:tr>
      <w:tr w:rsidR="006435DE">
        <w:trPr>
          <w:trHeight w:val="202"/>
        </w:trPr>
        <w:tc>
          <w:tcPr>
            <w:tcW w:w="2160" w:type="dxa"/>
            <w:vAlign w:val="center"/>
          </w:tcPr>
          <w:p w:rsidR="006435DE" w:rsidRDefault="00331FB9">
            <w:pPr>
              <w:spacing w:after="0"/>
              <w:jc w:val="left"/>
              <w:rPr>
                <w:noProof/>
                <w:sz w:val="20"/>
              </w:rPr>
            </w:pPr>
            <w:r>
              <w:rPr>
                <w:noProof/>
                <w:sz w:val="20"/>
              </w:rPr>
              <w:t>Bulgarie</w:t>
            </w:r>
          </w:p>
        </w:tc>
        <w:tc>
          <w:tcPr>
            <w:tcW w:w="3360" w:type="dxa"/>
            <w:vAlign w:val="center"/>
          </w:tcPr>
          <w:p w:rsidR="006435DE" w:rsidRDefault="00331FB9">
            <w:pPr>
              <w:spacing w:after="0"/>
              <w:jc w:val="center"/>
              <w:rPr>
                <w:noProof/>
                <w:sz w:val="20"/>
              </w:rPr>
            </w:pPr>
            <w:r>
              <w:rPr>
                <w:noProof/>
                <w:sz w:val="20"/>
              </w:rPr>
              <w:t>2</w:t>
            </w:r>
          </w:p>
        </w:tc>
        <w:tc>
          <w:tcPr>
            <w:tcW w:w="3000" w:type="dxa"/>
            <w:vAlign w:val="center"/>
          </w:tcPr>
          <w:p w:rsidR="006435DE" w:rsidRDefault="00331FB9">
            <w:pPr>
              <w:spacing w:after="0"/>
              <w:jc w:val="center"/>
              <w:rPr>
                <w:noProof/>
                <w:sz w:val="20"/>
              </w:rPr>
            </w:pPr>
            <w:r>
              <w:rPr>
                <w:noProof/>
                <w:sz w:val="20"/>
              </w:rPr>
              <w:t>Pas de denrées alimentaires irradiées</w:t>
            </w:r>
          </w:p>
        </w:tc>
      </w:tr>
      <w:tr w:rsidR="006435DE">
        <w:trPr>
          <w:trHeight w:val="202"/>
        </w:trPr>
        <w:tc>
          <w:tcPr>
            <w:tcW w:w="2160" w:type="dxa"/>
            <w:vAlign w:val="center"/>
          </w:tcPr>
          <w:p w:rsidR="006435DE" w:rsidRDefault="00331FB9">
            <w:pPr>
              <w:spacing w:after="0"/>
              <w:jc w:val="left"/>
              <w:rPr>
                <w:noProof/>
                <w:sz w:val="20"/>
              </w:rPr>
            </w:pPr>
            <w:r>
              <w:rPr>
                <w:noProof/>
                <w:sz w:val="20"/>
              </w:rPr>
              <w:t>Croatie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12,0</w:t>
            </w:r>
          </w:p>
        </w:tc>
      </w:tr>
      <w:tr w:rsidR="006435DE">
        <w:trPr>
          <w:trHeight w:val="202"/>
        </w:trPr>
        <w:tc>
          <w:tcPr>
            <w:tcW w:w="2160" w:type="dxa"/>
            <w:vAlign w:val="center"/>
          </w:tcPr>
          <w:p w:rsidR="006435DE" w:rsidRDefault="00331FB9">
            <w:pPr>
              <w:spacing w:after="0"/>
              <w:jc w:val="left"/>
              <w:rPr>
                <w:noProof/>
                <w:sz w:val="20"/>
              </w:rPr>
            </w:pPr>
            <w:r>
              <w:rPr>
                <w:noProof/>
                <w:sz w:val="20"/>
              </w:rPr>
              <w:t>République tchèque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28,3</w:t>
            </w:r>
          </w:p>
        </w:tc>
      </w:tr>
      <w:tr w:rsidR="006435DE">
        <w:trPr>
          <w:trHeight w:val="202"/>
        </w:trPr>
        <w:tc>
          <w:tcPr>
            <w:tcW w:w="2160" w:type="dxa"/>
            <w:vAlign w:val="center"/>
          </w:tcPr>
          <w:p w:rsidR="006435DE" w:rsidRDefault="00331FB9">
            <w:pPr>
              <w:spacing w:after="0"/>
              <w:jc w:val="left"/>
              <w:rPr>
                <w:noProof/>
                <w:sz w:val="20"/>
              </w:rPr>
            </w:pPr>
            <w:r>
              <w:rPr>
                <w:noProof/>
                <w:sz w:val="20"/>
              </w:rPr>
              <w:t>Estonie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36,9</w:t>
            </w:r>
          </w:p>
        </w:tc>
      </w:tr>
      <w:tr w:rsidR="006435DE">
        <w:trPr>
          <w:trHeight w:val="202"/>
        </w:trPr>
        <w:tc>
          <w:tcPr>
            <w:tcW w:w="2160" w:type="dxa"/>
            <w:vAlign w:val="center"/>
          </w:tcPr>
          <w:p w:rsidR="006435DE" w:rsidRDefault="00331FB9">
            <w:pPr>
              <w:spacing w:after="0"/>
              <w:jc w:val="left"/>
              <w:rPr>
                <w:noProof/>
                <w:sz w:val="20"/>
              </w:rPr>
            </w:pPr>
            <w:r>
              <w:rPr>
                <w:noProof/>
                <w:sz w:val="20"/>
              </w:rPr>
              <w:t>France</w:t>
            </w:r>
          </w:p>
        </w:tc>
        <w:tc>
          <w:tcPr>
            <w:tcW w:w="3360" w:type="dxa"/>
            <w:vAlign w:val="center"/>
          </w:tcPr>
          <w:p w:rsidR="006435DE" w:rsidRDefault="00331FB9">
            <w:pPr>
              <w:spacing w:after="0"/>
              <w:jc w:val="center"/>
              <w:rPr>
                <w:noProof/>
                <w:sz w:val="20"/>
              </w:rPr>
            </w:pPr>
            <w:r>
              <w:rPr>
                <w:noProof/>
                <w:sz w:val="20"/>
              </w:rPr>
              <w:t>5</w:t>
            </w:r>
          </w:p>
        </w:tc>
        <w:tc>
          <w:tcPr>
            <w:tcW w:w="3000" w:type="dxa"/>
            <w:vAlign w:val="center"/>
          </w:tcPr>
          <w:p w:rsidR="006435DE" w:rsidRDefault="00331FB9">
            <w:pPr>
              <w:spacing w:after="0"/>
              <w:jc w:val="center"/>
              <w:rPr>
                <w:noProof/>
                <w:sz w:val="20"/>
              </w:rPr>
            </w:pPr>
            <w:r>
              <w:rPr>
                <w:noProof/>
                <w:sz w:val="20"/>
              </w:rPr>
              <w:t>376,6</w:t>
            </w:r>
          </w:p>
        </w:tc>
      </w:tr>
      <w:tr w:rsidR="006435DE">
        <w:trPr>
          <w:trHeight w:val="202"/>
        </w:trPr>
        <w:tc>
          <w:tcPr>
            <w:tcW w:w="2160" w:type="dxa"/>
            <w:vAlign w:val="center"/>
          </w:tcPr>
          <w:p w:rsidR="006435DE" w:rsidRDefault="00331FB9">
            <w:pPr>
              <w:spacing w:after="0"/>
              <w:jc w:val="left"/>
              <w:rPr>
                <w:noProof/>
                <w:sz w:val="20"/>
              </w:rPr>
            </w:pPr>
            <w:r>
              <w:rPr>
                <w:noProof/>
                <w:sz w:val="20"/>
              </w:rPr>
              <w:t>Allemagne</w:t>
            </w:r>
          </w:p>
        </w:tc>
        <w:tc>
          <w:tcPr>
            <w:tcW w:w="3360" w:type="dxa"/>
            <w:vAlign w:val="center"/>
          </w:tcPr>
          <w:p w:rsidR="006435DE" w:rsidRDefault="00331FB9">
            <w:pPr>
              <w:spacing w:after="0"/>
              <w:jc w:val="center"/>
              <w:rPr>
                <w:noProof/>
                <w:sz w:val="20"/>
              </w:rPr>
            </w:pPr>
            <w:r>
              <w:rPr>
                <w:noProof/>
                <w:sz w:val="20"/>
              </w:rPr>
              <w:t>4</w:t>
            </w:r>
          </w:p>
        </w:tc>
        <w:tc>
          <w:tcPr>
            <w:tcW w:w="3000" w:type="dxa"/>
            <w:vAlign w:val="center"/>
          </w:tcPr>
          <w:p w:rsidR="006435DE" w:rsidRDefault="00331FB9">
            <w:pPr>
              <w:spacing w:after="0"/>
              <w:jc w:val="center"/>
              <w:rPr>
                <w:noProof/>
                <w:sz w:val="20"/>
              </w:rPr>
            </w:pPr>
            <w:r>
              <w:rPr>
                <w:noProof/>
                <w:sz w:val="20"/>
              </w:rPr>
              <w:t>211,1</w:t>
            </w:r>
          </w:p>
        </w:tc>
      </w:tr>
      <w:tr w:rsidR="006435DE">
        <w:trPr>
          <w:trHeight w:val="202"/>
        </w:trPr>
        <w:tc>
          <w:tcPr>
            <w:tcW w:w="2160" w:type="dxa"/>
            <w:vAlign w:val="center"/>
          </w:tcPr>
          <w:p w:rsidR="006435DE" w:rsidRDefault="00331FB9">
            <w:pPr>
              <w:spacing w:after="0"/>
              <w:jc w:val="left"/>
              <w:rPr>
                <w:noProof/>
                <w:sz w:val="20"/>
              </w:rPr>
            </w:pPr>
            <w:r>
              <w:rPr>
                <w:noProof/>
                <w:sz w:val="20"/>
              </w:rPr>
              <w:t>Hongrie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103,0</w:t>
            </w:r>
          </w:p>
        </w:tc>
      </w:tr>
      <w:tr w:rsidR="006435DE">
        <w:trPr>
          <w:trHeight w:val="202"/>
        </w:trPr>
        <w:tc>
          <w:tcPr>
            <w:tcW w:w="2160" w:type="dxa"/>
            <w:vAlign w:val="center"/>
          </w:tcPr>
          <w:p w:rsidR="006435DE" w:rsidRDefault="00331FB9">
            <w:pPr>
              <w:spacing w:after="0"/>
              <w:jc w:val="left"/>
              <w:rPr>
                <w:noProof/>
                <w:sz w:val="20"/>
              </w:rPr>
            </w:pPr>
            <w:r>
              <w:rPr>
                <w:noProof/>
                <w:sz w:val="20"/>
              </w:rPr>
              <w:t>Italie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Pas de denrées alimentaires irradiées</w:t>
            </w:r>
          </w:p>
        </w:tc>
      </w:tr>
      <w:tr w:rsidR="006435DE">
        <w:trPr>
          <w:trHeight w:val="202"/>
        </w:trPr>
        <w:tc>
          <w:tcPr>
            <w:tcW w:w="2160" w:type="dxa"/>
            <w:vAlign w:val="center"/>
          </w:tcPr>
          <w:p w:rsidR="006435DE" w:rsidRDefault="00331FB9">
            <w:pPr>
              <w:spacing w:after="0"/>
              <w:jc w:val="left"/>
              <w:rPr>
                <w:noProof/>
                <w:sz w:val="20"/>
              </w:rPr>
            </w:pPr>
            <w:r>
              <w:rPr>
                <w:noProof/>
                <w:sz w:val="20"/>
              </w:rPr>
              <w:t>Pays-Bas</w:t>
            </w:r>
          </w:p>
        </w:tc>
        <w:tc>
          <w:tcPr>
            <w:tcW w:w="3360" w:type="dxa"/>
            <w:vAlign w:val="center"/>
          </w:tcPr>
          <w:p w:rsidR="006435DE" w:rsidRDefault="00331FB9">
            <w:pPr>
              <w:spacing w:after="0"/>
              <w:jc w:val="center"/>
              <w:rPr>
                <w:noProof/>
                <w:sz w:val="20"/>
              </w:rPr>
            </w:pPr>
            <w:r>
              <w:rPr>
                <w:noProof/>
                <w:sz w:val="20"/>
              </w:rPr>
              <w:t>2</w:t>
            </w:r>
          </w:p>
        </w:tc>
        <w:tc>
          <w:tcPr>
            <w:tcW w:w="3000" w:type="dxa"/>
            <w:vAlign w:val="center"/>
          </w:tcPr>
          <w:p w:rsidR="006435DE" w:rsidRDefault="00331FB9">
            <w:pPr>
              <w:spacing w:after="0"/>
              <w:jc w:val="center"/>
              <w:rPr>
                <w:noProof/>
                <w:sz w:val="20"/>
              </w:rPr>
            </w:pPr>
            <w:r>
              <w:rPr>
                <w:noProof/>
                <w:sz w:val="20"/>
              </w:rPr>
              <w:t>629,2</w:t>
            </w:r>
          </w:p>
        </w:tc>
      </w:tr>
      <w:tr w:rsidR="006435DE">
        <w:trPr>
          <w:trHeight w:val="202"/>
        </w:trPr>
        <w:tc>
          <w:tcPr>
            <w:tcW w:w="2160" w:type="dxa"/>
            <w:vAlign w:val="center"/>
          </w:tcPr>
          <w:p w:rsidR="006435DE" w:rsidRDefault="00331FB9">
            <w:pPr>
              <w:spacing w:after="0"/>
              <w:jc w:val="left"/>
              <w:rPr>
                <w:noProof/>
                <w:sz w:val="20"/>
              </w:rPr>
            </w:pPr>
            <w:r>
              <w:rPr>
                <w:noProof/>
                <w:sz w:val="20"/>
              </w:rPr>
              <w:t>Pologne</w:t>
            </w:r>
          </w:p>
        </w:tc>
        <w:tc>
          <w:tcPr>
            <w:tcW w:w="3360" w:type="dxa"/>
            <w:vAlign w:val="center"/>
          </w:tcPr>
          <w:p w:rsidR="006435DE" w:rsidRDefault="00331FB9">
            <w:pPr>
              <w:spacing w:after="0"/>
              <w:jc w:val="center"/>
              <w:rPr>
                <w:noProof/>
                <w:sz w:val="20"/>
              </w:rPr>
            </w:pPr>
            <w:r>
              <w:rPr>
                <w:noProof/>
                <w:sz w:val="20"/>
              </w:rPr>
              <w:t>2</w:t>
            </w:r>
          </w:p>
        </w:tc>
        <w:tc>
          <w:tcPr>
            <w:tcW w:w="3000" w:type="dxa"/>
            <w:vAlign w:val="center"/>
          </w:tcPr>
          <w:p w:rsidR="006435DE" w:rsidRDefault="00331FB9">
            <w:pPr>
              <w:spacing w:after="0"/>
              <w:jc w:val="center"/>
              <w:rPr>
                <w:noProof/>
                <w:sz w:val="20"/>
              </w:rPr>
            </w:pPr>
            <w:r>
              <w:rPr>
                <w:noProof/>
                <w:sz w:val="20"/>
              </w:rPr>
              <w:t>45,9</w:t>
            </w:r>
          </w:p>
        </w:tc>
      </w:tr>
      <w:tr w:rsidR="006435DE">
        <w:trPr>
          <w:trHeight w:val="202"/>
        </w:trPr>
        <w:tc>
          <w:tcPr>
            <w:tcW w:w="2160" w:type="dxa"/>
            <w:vAlign w:val="center"/>
          </w:tcPr>
          <w:p w:rsidR="006435DE" w:rsidRDefault="00331FB9">
            <w:pPr>
              <w:spacing w:after="0"/>
              <w:jc w:val="left"/>
              <w:rPr>
                <w:noProof/>
                <w:sz w:val="20"/>
              </w:rPr>
            </w:pPr>
            <w:r>
              <w:rPr>
                <w:noProof/>
                <w:sz w:val="20"/>
              </w:rPr>
              <w:t>Roumanie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Pas de denrées alimentaires irradiées</w:t>
            </w:r>
          </w:p>
        </w:tc>
      </w:tr>
      <w:tr w:rsidR="006435DE">
        <w:trPr>
          <w:trHeight w:val="202"/>
        </w:trPr>
        <w:tc>
          <w:tcPr>
            <w:tcW w:w="2160" w:type="dxa"/>
            <w:vAlign w:val="center"/>
          </w:tcPr>
          <w:p w:rsidR="006435DE" w:rsidRDefault="00331FB9">
            <w:pPr>
              <w:spacing w:after="0"/>
              <w:jc w:val="left"/>
              <w:rPr>
                <w:noProof/>
                <w:sz w:val="20"/>
              </w:rPr>
            </w:pPr>
            <w:r>
              <w:rPr>
                <w:noProof/>
                <w:sz w:val="20"/>
              </w:rPr>
              <w:t>Espagne</w:t>
            </w:r>
          </w:p>
        </w:tc>
        <w:tc>
          <w:tcPr>
            <w:tcW w:w="3360" w:type="dxa"/>
            <w:vAlign w:val="center"/>
          </w:tcPr>
          <w:p w:rsidR="006435DE" w:rsidRDefault="00331FB9">
            <w:pPr>
              <w:spacing w:after="0"/>
              <w:jc w:val="center"/>
              <w:rPr>
                <w:noProof/>
                <w:sz w:val="20"/>
              </w:rPr>
            </w:pPr>
            <w:r>
              <w:rPr>
                <w:noProof/>
                <w:sz w:val="20"/>
              </w:rPr>
              <w:t>3</w:t>
            </w:r>
          </w:p>
        </w:tc>
        <w:tc>
          <w:tcPr>
            <w:tcW w:w="3000" w:type="dxa"/>
            <w:vAlign w:val="center"/>
          </w:tcPr>
          <w:p w:rsidR="006435DE" w:rsidRDefault="00331FB9">
            <w:pPr>
              <w:spacing w:after="0"/>
              <w:jc w:val="center"/>
              <w:rPr>
                <w:noProof/>
                <w:sz w:val="20"/>
              </w:rPr>
            </w:pPr>
            <w:r>
              <w:rPr>
                <w:noProof/>
                <w:sz w:val="20"/>
              </w:rPr>
              <w:t>326,0</w:t>
            </w:r>
          </w:p>
        </w:tc>
      </w:tr>
      <w:tr w:rsidR="006435DE">
        <w:trPr>
          <w:trHeight w:val="202"/>
        </w:trPr>
        <w:tc>
          <w:tcPr>
            <w:tcW w:w="2160" w:type="dxa"/>
            <w:vAlign w:val="center"/>
          </w:tcPr>
          <w:p w:rsidR="006435DE" w:rsidRDefault="00331FB9">
            <w:pPr>
              <w:spacing w:after="0"/>
              <w:jc w:val="left"/>
              <w:rPr>
                <w:noProof/>
                <w:sz w:val="20"/>
              </w:rPr>
            </w:pPr>
            <w:r>
              <w:rPr>
                <w:noProof/>
                <w:sz w:val="20"/>
              </w:rPr>
              <w:t>Royaume-Uni</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Pas de denrées alimentaires irradiées</w:t>
            </w:r>
          </w:p>
        </w:tc>
      </w:tr>
      <w:tr w:rsidR="006435DE">
        <w:trPr>
          <w:trHeight w:val="202"/>
        </w:trPr>
        <w:tc>
          <w:tcPr>
            <w:tcW w:w="2160" w:type="dxa"/>
            <w:vAlign w:val="center"/>
          </w:tcPr>
          <w:p w:rsidR="006435DE" w:rsidRDefault="00331FB9">
            <w:pPr>
              <w:spacing w:after="0"/>
              <w:jc w:val="right"/>
              <w:rPr>
                <w:noProof/>
                <w:sz w:val="20"/>
              </w:rPr>
            </w:pPr>
            <w:r>
              <w:rPr>
                <w:noProof/>
                <w:sz w:val="20"/>
              </w:rPr>
              <w:t>Total UE</w:t>
            </w:r>
          </w:p>
        </w:tc>
        <w:tc>
          <w:tcPr>
            <w:tcW w:w="3360" w:type="dxa"/>
            <w:vAlign w:val="center"/>
          </w:tcPr>
          <w:p w:rsidR="006435DE" w:rsidRDefault="00331FB9">
            <w:pPr>
              <w:spacing w:after="0"/>
              <w:jc w:val="center"/>
              <w:rPr>
                <w:noProof/>
                <w:sz w:val="20"/>
              </w:rPr>
            </w:pPr>
            <w:r>
              <w:rPr>
                <w:noProof/>
                <w:sz w:val="20"/>
              </w:rPr>
              <w:t>26</w:t>
            </w:r>
          </w:p>
        </w:tc>
        <w:tc>
          <w:tcPr>
            <w:tcW w:w="3000" w:type="dxa"/>
            <w:vAlign w:val="center"/>
          </w:tcPr>
          <w:p w:rsidR="006435DE" w:rsidRDefault="00331FB9">
            <w:pPr>
              <w:spacing w:after="0"/>
              <w:jc w:val="center"/>
              <w:rPr>
                <w:noProof/>
                <w:sz w:val="20"/>
              </w:rPr>
            </w:pPr>
            <w:r>
              <w:rPr>
                <w:noProof/>
                <w:sz w:val="20"/>
              </w:rPr>
              <w:t>5 685,9</w:t>
            </w:r>
          </w:p>
        </w:tc>
      </w:tr>
      <w:tr w:rsidR="006435DE">
        <w:trPr>
          <w:trHeight w:val="202"/>
        </w:trPr>
        <w:tc>
          <w:tcPr>
            <w:tcW w:w="2160" w:type="dxa"/>
            <w:vAlign w:val="center"/>
          </w:tcPr>
          <w:p w:rsidR="006435DE" w:rsidRDefault="00331FB9">
            <w:pPr>
              <w:spacing w:after="0"/>
              <w:jc w:val="left"/>
              <w:rPr>
                <w:noProof/>
                <w:sz w:val="20"/>
              </w:rPr>
            </w:pPr>
            <w:r>
              <w:rPr>
                <w:noProof/>
                <w:sz w:val="20"/>
              </w:rPr>
              <w:t>Norvège</w:t>
            </w:r>
          </w:p>
        </w:tc>
        <w:tc>
          <w:tcPr>
            <w:tcW w:w="3360" w:type="dxa"/>
            <w:vAlign w:val="center"/>
          </w:tcPr>
          <w:p w:rsidR="006435DE" w:rsidRDefault="00331FB9">
            <w:pPr>
              <w:spacing w:after="0"/>
              <w:jc w:val="center"/>
              <w:rPr>
                <w:noProof/>
                <w:sz w:val="20"/>
              </w:rPr>
            </w:pPr>
            <w:r>
              <w:rPr>
                <w:noProof/>
                <w:sz w:val="20"/>
              </w:rPr>
              <w:t>1</w:t>
            </w:r>
          </w:p>
        </w:tc>
        <w:tc>
          <w:tcPr>
            <w:tcW w:w="3000" w:type="dxa"/>
            <w:vAlign w:val="center"/>
          </w:tcPr>
          <w:p w:rsidR="006435DE" w:rsidRDefault="00331FB9">
            <w:pPr>
              <w:spacing w:after="0"/>
              <w:jc w:val="center"/>
              <w:rPr>
                <w:noProof/>
                <w:sz w:val="20"/>
              </w:rPr>
            </w:pPr>
            <w:r>
              <w:rPr>
                <w:noProof/>
                <w:sz w:val="20"/>
              </w:rPr>
              <w:t>4,2</w:t>
            </w:r>
          </w:p>
        </w:tc>
      </w:tr>
      <w:tr w:rsidR="006435DE">
        <w:trPr>
          <w:trHeight w:val="202"/>
        </w:trPr>
        <w:tc>
          <w:tcPr>
            <w:tcW w:w="2160" w:type="dxa"/>
            <w:vAlign w:val="center"/>
          </w:tcPr>
          <w:p w:rsidR="006435DE" w:rsidRDefault="00331FB9">
            <w:pPr>
              <w:spacing w:after="0"/>
              <w:jc w:val="right"/>
              <w:rPr>
                <w:noProof/>
                <w:sz w:val="20"/>
              </w:rPr>
            </w:pPr>
            <w:r>
              <w:rPr>
                <w:noProof/>
                <w:sz w:val="20"/>
              </w:rPr>
              <w:t>Total UE-AELE</w:t>
            </w:r>
          </w:p>
        </w:tc>
        <w:tc>
          <w:tcPr>
            <w:tcW w:w="3360" w:type="dxa"/>
            <w:vAlign w:val="center"/>
          </w:tcPr>
          <w:p w:rsidR="006435DE" w:rsidRDefault="00331FB9">
            <w:pPr>
              <w:spacing w:after="0"/>
              <w:jc w:val="center"/>
              <w:rPr>
                <w:noProof/>
                <w:sz w:val="20"/>
              </w:rPr>
            </w:pPr>
            <w:r>
              <w:rPr>
                <w:noProof/>
                <w:sz w:val="20"/>
              </w:rPr>
              <w:t>27</w:t>
            </w:r>
          </w:p>
        </w:tc>
        <w:tc>
          <w:tcPr>
            <w:tcW w:w="3000" w:type="dxa"/>
            <w:vAlign w:val="center"/>
          </w:tcPr>
          <w:p w:rsidR="006435DE" w:rsidRDefault="00331FB9">
            <w:pPr>
              <w:spacing w:after="0"/>
              <w:jc w:val="center"/>
              <w:rPr>
                <w:noProof/>
                <w:sz w:val="20"/>
              </w:rPr>
            </w:pPr>
            <w:r>
              <w:rPr>
                <w:noProof/>
                <w:sz w:val="20"/>
              </w:rPr>
              <w:t>5 690,1</w:t>
            </w:r>
          </w:p>
        </w:tc>
      </w:tr>
    </w:tbl>
    <w:p w:rsidR="006435DE" w:rsidRDefault="006435DE">
      <w:pPr>
        <w:pStyle w:val="Text2"/>
        <w:spacing w:before="120" w:after="120"/>
        <w:ind w:left="0"/>
        <w:rPr>
          <w:noProof/>
        </w:rPr>
      </w:pPr>
    </w:p>
    <w:p w:rsidR="006435DE" w:rsidRDefault="006435DE">
      <w:pPr>
        <w:pStyle w:val="Text2"/>
        <w:ind w:left="0"/>
        <w:jc w:val="center"/>
        <w:rPr>
          <w:noProof/>
        </w:rPr>
      </w:pPr>
    </w:p>
    <w:p w:rsidR="006435DE" w:rsidRDefault="006435DE">
      <w:pPr>
        <w:pStyle w:val="Text2"/>
        <w:ind w:left="0"/>
        <w:jc w:val="center"/>
        <w:rPr>
          <w:noProof/>
        </w:rPr>
      </w:pPr>
    </w:p>
    <w:p w:rsidR="006435DE" w:rsidRDefault="00331FB9">
      <w:pPr>
        <w:pStyle w:val="Text2"/>
        <w:ind w:left="0"/>
        <w:jc w:val="center"/>
        <w:rPr>
          <w:noProof/>
        </w:rPr>
      </w:pPr>
      <w:r>
        <w:rPr>
          <w:noProof/>
        </w:rPr>
        <w:t xml:space="preserve">Catégories de produits irradiés et doses </w:t>
      </w:r>
      <w:r>
        <w:rPr>
          <w:noProof/>
        </w:rPr>
        <w:t>respectives appliquées, par pays</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4800"/>
        <w:gridCol w:w="2040"/>
      </w:tblGrid>
      <w:tr w:rsidR="006435DE">
        <w:trPr>
          <w:trHeight w:val="202"/>
        </w:trPr>
        <w:tc>
          <w:tcPr>
            <w:tcW w:w="1680" w:type="dxa"/>
            <w:vAlign w:val="center"/>
          </w:tcPr>
          <w:p w:rsidR="006435DE" w:rsidRDefault="00331FB9">
            <w:pPr>
              <w:spacing w:after="0"/>
              <w:jc w:val="center"/>
              <w:rPr>
                <w:b/>
                <w:noProof/>
                <w:sz w:val="20"/>
              </w:rPr>
            </w:pPr>
            <w:r>
              <w:rPr>
                <w:b/>
                <w:noProof/>
                <w:sz w:val="20"/>
              </w:rPr>
              <w:t>Pays</w:t>
            </w:r>
          </w:p>
        </w:tc>
        <w:tc>
          <w:tcPr>
            <w:tcW w:w="4800" w:type="dxa"/>
            <w:vAlign w:val="center"/>
          </w:tcPr>
          <w:p w:rsidR="006435DE" w:rsidRDefault="00331FB9">
            <w:pPr>
              <w:spacing w:after="0"/>
              <w:jc w:val="center"/>
              <w:rPr>
                <w:b/>
                <w:noProof/>
                <w:sz w:val="20"/>
              </w:rPr>
            </w:pPr>
            <w:r>
              <w:rPr>
                <w:b/>
                <w:noProof/>
                <w:sz w:val="20"/>
              </w:rPr>
              <w:t>Denrées alimentaires</w:t>
            </w:r>
          </w:p>
        </w:tc>
        <w:tc>
          <w:tcPr>
            <w:tcW w:w="2040" w:type="dxa"/>
            <w:vAlign w:val="center"/>
          </w:tcPr>
          <w:p w:rsidR="006435DE" w:rsidRDefault="00331FB9">
            <w:pPr>
              <w:spacing w:after="0"/>
              <w:jc w:val="center"/>
              <w:rPr>
                <w:b/>
                <w:noProof/>
                <w:sz w:val="20"/>
              </w:rPr>
            </w:pPr>
            <w:r>
              <w:rPr>
                <w:b/>
                <w:noProof/>
                <w:sz w:val="20"/>
              </w:rPr>
              <w:t>Dose absorbée (kGy)</w:t>
            </w:r>
          </w:p>
        </w:tc>
      </w:tr>
      <w:tr w:rsidR="006435DE">
        <w:trPr>
          <w:trHeight w:val="202"/>
        </w:trPr>
        <w:tc>
          <w:tcPr>
            <w:tcW w:w="1680" w:type="dxa"/>
            <w:vMerge w:val="restart"/>
            <w:vAlign w:val="center"/>
          </w:tcPr>
          <w:p w:rsidR="006435DE" w:rsidRDefault="00331FB9">
            <w:pPr>
              <w:spacing w:after="0"/>
              <w:jc w:val="left"/>
              <w:rPr>
                <w:noProof/>
                <w:sz w:val="20"/>
              </w:rPr>
            </w:pPr>
            <w:r>
              <w:rPr>
                <w:noProof/>
                <w:sz w:val="20"/>
              </w:rPr>
              <w:t>Belgique</w:t>
            </w:r>
          </w:p>
        </w:tc>
        <w:tc>
          <w:tcPr>
            <w:tcW w:w="4800" w:type="dxa"/>
            <w:vAlign w:val="center"/>
          </w:tcPr>
          <w:p w:rsidR="006435DE" w:rsidRDefault="00331FB9">
            <w:pPr>
              <w:spacing w:after="0"/>
              <w:jc w:val="left"/>
              <w:rPr>
                <w:noProof/>
                <w:sz w:val="20"/>
              </w:rPr>
            </w:pPr>
            <w:r>
              <w:rPr>
                <w:noProof/>
                <w:sz w:val="20"/>
              </w:rPr>
              <w:t>Sang séché, plasma, coagulats</w:t>
            </w:r>
          </w:p>
        </w:tc>
        <w:tc>
          <w:tcPr>
            <w:tcW w:w="2040" w:type="dxa"/>
            <w:vAlign w:val="center"/>
          </w:tcPr>
          <w:p w:rsidR="006435DE" w:rsidRDefault="00331FB9">
            <w:pPr>
              <w:spacing w:after="0"/>
              <w:jc w:val="center"/>
              <w:rPr>
                <w:noProof/>
                <w:sz w:val="20"/>
              </w:rPr>
            </w:pPr>
            <w:r>
              <w:rPr>
                <w:noProof/>
                <w:sz w:val="20"/>
              </w:rPr>
              <w:t>5,0 - 6,7</w:t>
            </w:r>
          </w:p>
        </w:tc>
      </w:tr>
      <w:tr w:rsidR="006435DE">
        <w:trPr>
          <w:trHeight w:val="202"/>
        </w:trPr>
        <w:tc>
          <w:tcPr>
            <w:tcW w:w="1680" w:type="dxa"/>
            <w:vMerge/>
            <w:vAlign w:val="center"/>
          </w:tcPr>
          <w:p w:rsidR="006435DE" w:rsidRDefault="006435DE">
            <w:pPr>
              <w:spacing w:after="0"/>
              <w:jc w:val="left"/>
              <w:rPr>
                <w:noProof/>
                <w:sz w:val="20"/>
              </w:rPr>
            </w:pPr>
          </w:p>
        </w:tc>
        <w:tc>
          <w:tcPr>
            <w:tcW w:w="4800" w:type="dxa"/>
            <w:vAlign w:val="center"/>
          </w:tcPr>
          <w:p w:rsidR="006435DE" w:rsidRDefault="00331FB9">
            <w:pPr>
              <w:spacing w:after="0"/>
              <w:jc w:val="left"/>
              <w:rPr>
                <w:noProof/>
                <w:sz w:val="20"/>
              </w:rPr>
            </w:pPr>
            <w:r>
              <w:rPr>
                <w:noProof/>
                <w:sz w:val="20"/>
              </w:rPr>
              <w:t>Blanc d’œuf</w:t>
            </w:r>
          </w:p>
        </w:tc>
        <w:tc>
          <w:tcPr>
            <w:tcW w:w="2040" w:type="dxa"/>
            <w:vAlign w:val="center"/>
          </w:tcPr>
          <w:p w:rsidR="006435DE" w:rsidRDefault="00331FB9">
            <w:pPr>
              <w:spacing w:after="0"/>
              <w:jc w:val="center"/>
              <w:rPr>
                <w:noProof/>
                <w:sz w:val="20"/>
              </w:rPr>
            </w:pPr>
            <w:r>
              <w:rPr>
                <w:noProof/>
                <w:sz w:val="20"/>
              </w:rPr>
              <w:t>4,3 - 5,0</w:t>
            </w:r>
          </w:p>
        </w:tc>
      </w:tr>
      <w:tr w:rsidR="006435DE">
        <w:trPr>
          <w:trHeight w:val="202"/>
        </w:trPr>
        <w:tc>
          <w:tcPr>
            <w:tcW w:w="1680" w:type="dxa"/>
            <w:vMerge/>
            <w:vAlign w:val="center"/>
          </w:tcPr>
          <w:p w:rsidR="006435DE" w:rsidRDefault="006435DE">
            <w:pPr>
              <w:spacing w:after="0"/>
              <w:jc w:val="left"/>
              <w:rPr>
                <w:noProof/>
                <w:sz w:val="20"/>
              </w:rPr>
            </w:pPr>
          </w:p>
        </w:tc>
        <w:tc>
          <w:tcPr>
            <w:tcW w:w="4800" w:type="dxa"/>
            <w:vAlign w:val="center"/>
          </w:tcPr>
          <w:p w:rsidR="006435DE" w:rsidRDefault="00331FB9">
            <w:pPr>
              <w:spacing w:after="0"/>
              <w:jc w:val="left"/>
              <w:rPr>
                <w:noProof/>
                <w:sz w:val="20"/>
              </w:rPr>
            </w:pPr>
            <w:r>
              <w:rPr>
                <w:noProof/>
                <w:sz w:val="20"/>
              </w:rPr>
              <w:t>Cuisses de grenouilles congelées</w:t>
            </w:r>
          </w:p>
        </w:tc>
        <w:tc>
          <w:tcPr>
            <w:tcW w:w="2040" w:type="dxa"/>
            <w:vAlign w:val="center"/>
          </w:tcPr>
          <w:p w:rsidR="006435DE" w:rsidRDefault="00331FB9">
            <w:pPr>
              <w:spacing w:after="0"/>
              <w:jc w:val="center"/>
              <w:rPr>
                <w:noProof/>
                <w:sz w:val="20"/>
              </w:rPr>
            </w:pPr>
            <w:r>
              <w:rPr>
                <w:noProof/>
                <w:sz w:val="20"/>
              </w:rPr>
              <w:t>4,4 - 5,7</w:t>
            </w:r>
          </w:p>
        </w:tc>
      </w:tr>
      <w:tr w:rsidR="006435DE">
        <w:trPr>
          <w:trHeight w:val="202"/>
        </w:trPr>
        <w:tc>
          <w:tcPr>
            <w:tcW w:w="1680" w:type="dxa"/>
            <w:vMerge/>
            <w:vAlign w:val="center"/>
          </w:tcPr>
          <w:p w:rsidR="006435DE" w:rsidRDefault="006435DE">
            <w:pPr>
              <w:spacing w:after="0"/>
              <w:jc w:val="left"/>
              <w:rPr>
                <w:noProof/>
                <w:sz w:val="20"/>
              </w:rPr>
            </w:pPr>
          </w:p>
        </w:tc>
        <w:tc>
          <w:tcPr>
            <w:tcW w:w="4800" w:type="dxa"/>
            <w:vAlign w:val="center"/>
          </w:tcPr>
          <w:p w:rsidR="006435DE" w:rsidRDefault="00331FB9">
            <w:pPr>
              <w:spacing w:after="0"/>
              <w:jc w:val="left"/>
              <w:rPr>
                <w:noProof/>
                <w:sz w:val="20"/>
              </w:rPr>
            </w:pPr>
            <w:r>
              <w:rPr>
                <w:noProof/>
                <w:sz w:val="20"/>
              </w:rPr>
              <w:t>Crevettes surgelées décortiquées ou étêtées</w:t>
            </w:r>
          </w:p>
        </w:tc>
        <w:tc>
          <w:tcPr>
            <w:tcW w:w="2040" w:type="dxa"/>
            <w:vAlign w:val="center"/>
          </w:tcPr>
          <w:p w:rsidR="006435DE" w:rsidRDefault="00331FB9">
            <w:pPr>
              <w:spacing w:after="0"/>
              <w:jc w:val="center"/>
              <w:rPr>
                <w:noProof/>
                <w:sz w:val="20"/>
              </w:rPr>
            </w:pPr>
            <w:r>
              <w:rPr>
                <w:noProof/>
                <w:sz w:val="20"/>
              </w:rPr>
              <w:t>4,0 - 4,3</w:t>
            </w:r>
          </w:p>
        </w:tc>
      </w:tr>
      <w:tr w:rsidR="006435DE">
        <w:trPr>
          <w:trHeight w:val="202"/>
        </w:trPr>
        <w:tc>
          <w:tcPr>
            <w:tcW w:w="1680" w:type="dxa"/>
            <w:vMerge/>
            <w:vAlign w:val="center"/>
          </w:tcPr>
          <w:p w:rsidR="006435DE" w:rsidRDefault="006435DE">
            <w:pPr>
              <w:spacing w:after="0"/>
              <w:jc w:val="left"/>
              <w:rPr>
                <w:noProof/>
                <w:sz w:val="20"/>
              </w:rPr>
            </w:pPr>
          </w:p>
        </w:tc>
        <w:tc>
          <w:tcPr>
            <w:tcW w:w="4800" w:type="dxa"/>
            <w:vAlign w:val="center"/>
          </w:tcPr>
          <w:p w:rsidR="006435DE" w:rsidRDefault="00331FB9">
            <w:pPr>
              <w:spacing w:after="0"/>
              <w:jc w:val="left"/>
              <w:rPr>
                <w:noProof/>
                <w:sz w:val="20"/>
              </w:rPr>
            </w:pPr>
            <w:r>
              <w:rPr>
                <w:noProof/>
                <w:sz w:val="20"/>
              </w:rPr>
              <w:t>Volailles</w:t>
            </w:r>
          </w:p>
        </w:tc>
        <w:tc>
          <w:tcPr>
            <w:tcW w:w="2040" w:type="dxa"/>
            <w:vAlign w:val="center"/>
          </w:tcPr>
          <w:p w:rsidR="006435DE" w:rsidRDefault="00331FB9">
            <w:pPr>
              <w:spacing w:after="0"/>
              <w:jc w:val="center"/>
              <w:rPr>
                <w:noProof/>
                <w:sz w:val="20"/>
              </w:rPr>
            </w:pPr>
            <w:r>
              <w:rPr>
                <w:noProof/>
                <w:sz w:val="20"/>
              </w:rPr>
              <w:t>3,7 - 4,3</w:t>
            </w:r>
          </w:p>
        </w:tc>
      </w:tr>
      <w:tr w:rsidR="006435DE">
        <w:trPr>
          <w:trHeight w:val="202"/>
        </w:trPr>
        <w:tc>
          <w:tcPr>
            <w:tcW w:w="1680" w:type="dxa"/>
            <w:vAlign w:val="center"/>
          </w:tcPr>
          <w:p w:rsidR="006435DE" w:rsidRDefault="00331FB9">
            <w:pPr>
              <w:spacing w:after="0"/>
              <w:jc w:val="left"/>
              <w:rPr>
                <w:noProof/>
                <w:sz w:val="20"/>
              </w:rPr>
            </w:pPr>
            <w:r>
              <w:rPr>
                <w:noProof/>
                <w:sz w:val="20"/>
              </w:rPr>
              <w:t>Croatie</w:t>
            </w:r>
          </w:p>
        </w:tc>
        <w:tc>
          <w:tcPr>
            <w:tcW w:w="4800" w:type="dxa"/>
          </w:tcPr>
          <w:p w:rsidR="006435DE" w:rsidRDefault="00331FB9">
            <w:pPr>
              <w:spacing w:after="0"/>
              <w:jc w:val="left"/>
              <w:rPr>
                <w:noProof/>
                <w:sz w:val="20"/>
              </w:rPr>
            </w:pPr>
            <w:r>
              <w:rPr>
                <w:noProof/>
                <w:sz w:val="20"/>
              </w:rPr>
              <w:t>Herbes aromatiques, épices et condiments végétaux (séchés)</w:t>
            </w:r>
          </w:p>
        </w:tc>
        <w:tc>
          <w:tcPr>
            <w:tcW w:w="2040" w:type="dxa"/>
          </w:tcPr>
          <w:p w:rsidR="006435DE" w:rsidRDefault="00331FB9">
            <w:pPr>
              <w:spacing w:after="0"/>
              <w:jc w:val="center"/>
              <w:rPr>
                <w:noProof/>
                <w:sz w:val="20"/>
              </w:rPr>
            </w:pPr>
            <w:r>
              <w:rPr>
                <w:noProof/>
                <w:sz w:val="20"/>
              </w:rPr>
              <w:t>10</w:t>
            </w:r>
          </w:p>
        </w:tc>
      </w:tr>
      <w:tr w:rsidR="006435DE">
        <w:trPr>
          <w:trHeight w:val="202"/>
        </w:trPr>
        <w:tc>
          <w:tcPr>
            <w:tcW w:w="1680" w:type="dxa"/>
            <w:vAlign w:val="center"/>
          </w:tcPr>
          <w:p w:rsidR="006435DE" w:rsidRDefault="00331FB9">
            <w:pPr>
              <w:spacing w:after="0"/>
              <w:jc w:val="left"/>
              <w:rPr>
                <w:noProof/>
                <w:sz w:val="20"/>
              </w:rPr>
            </w:pPr>
            <w:r>
              <w:rPr>
                <w:noProof/>
                <w:sz w:val="20"/>
              </w:rPr>
              <w:t>République tchèque</w:t>
            </w:r>
          </w:p>
        </w:tc>
        <w:tc>
          <w:tcPr>
            <w:tcW w:w="4800" w:type="dxa"/>
          </w:tcPr>
          <w:p w:rsidR="006435DE" w:rsidRDefault="00331FB9">
            <w:pPr>
              <w:spacing w:after="0"/>
              <w:jc w:val="left"/>
              <w:rPr>
                <w:noProof/>
                <w:sz w:val="20"/>
              </w:rPr>
            </w:pPr>
            <w:r>
              <w:rPr>
                <w:noProof/>
                <w:sz w:val="20"/>
              </w:rPr>
              <w:t>Herbes aromatiques, épices et condiments végétaux (séchés)</w:t>
            </w:r>
          </w:p>
        </w:tc>
        <w:tc>
          <w:tcPr>
            <w:tcW w:w="2040" w:type="dxa"/>
          </w:tcPr>
          <w:p w:rsidR="006435DE" w:rsidRDefault="00331FB9">
            <w:pPr>
              <w:spacing w:after="0"/>
              <w:jc w:val="center"/>
              <w:rPr>
                <w:noProof/>
                <w:sz w:val="20"/>
              </w:rPr>
            </w:pPr>
            <w:r>
              <w:rPr>
                <w:noProof/>
                <w:sz w:val="20"/>
              </w:rPr>
              <w:t>6,3</w:t>
            </w:r>
          </w:p>
        </w:tc>
      </w:tr>
      <w:tr w:rsidR="006435DE">
        <w:trPr>
          <w:trHeight w:val="202"/>
        </w:trPr>
        <w:tc>
          <w:tcPr>
            <w:tcW w:w="1680" w:type="dxa"/>
            <w:vAlign w:val="center"/>
          </w:tcPr>
          <w:p w:rsidR="006435DE" w:rsidRDefault="00331FB9">
            <w:pPr>
              <w:spacing w:after="0"/>
              <w:jc w:val="left"/>
              <w:rPr>
                <w:noProof/>
                <w:sz w:val="20"/>
              </w:rPr>
            </w:pPr>
            <w:r>
              <w:rPr>
                <w:noProof/>
                <w:sz w:val="20"/>
              </w:rPr>
              <w:t>Estonie</w:t>
            </w:r>
          </w:p>
        </w:tc>
        <w:tc>
          <w:tcPr>
            <w:tcW w:w="4800" w:type="dxa"/>
          </w:tcPr>
          <w:p w:rsidR="006435DE" w:rsidRDefault="00331FB9">
            <w:pPr>
              <w:spacing w:after="0"/>
              <w:jc w:val="left"/>
              <w:rPr>
                <w:noProof/>
                <w:sz w:val="20"/>
              </w:rPr>
            </w:pPr>
            <w:r>
              <w:rPr>
                <w:noProof/>
                <w:sz w:val="20"/>
              </w:rPr>
              <w:t>Herbes aromatiques, épices et condiments végétaux (séchés)</w:t>
            </w:r>
          </w:p>
        </w:tc>
        <w:tc>
          <w:tcPr>
            <w:tcW w:w="2040" w:type="dxa"/>
          </w:tcPr>
          <w:p w:rsidR="006435DE" w:rsidRDefault="00331FB9">
            <w:pPr>
              <w:spacing w:after="0"/>
              <w:jc w:val="center"/>
              <w:rPr>
                <w:noProof/>
                <w:sz w:val="20"/>
              </w:rPr>
            </w:pPr>
            <w:r>
              <w:rPr>
                <w:noProof/>
                <w:sz w:val="20"/>
              </w:rPr>
              <w:t>10</w:t>
            </w:r>
          </w:p>
        </w:tc>
      </w:tr>
      <w:tr w:rsidR="006435DE">
        <w:trPr>
          <w:trHeight w:val="202"/>
        </w:trPr>
        <w:tc>
          <w:tcPr>
            <w:tcW w:w="1680" w:type="dxa"/>
            <w:vMerge w:val="restart"/>
            <w:vAlign w:val="center"/>
          </w:tcPr>
          <w:p w:rsidR="006435DE" w:rsidRDefault="00331FB9">
            <w:pPr>
              <w:spacing w:after="0"/>
              <w:jc w:val="left"/>
              <w:rPr>
                <w:noProof/>
                <w:sz w:val="20"/>
              </w:rPr>
            </w:pPr>
            <w:r>
              <w:rPr>
                <w:noProof/>
                <w:sz w:val="20"/>
              </w:rPr>
              <w:t>France</w:t>
            </w:r>
          </w:p>
        </w:tc>
        <w:tc>
          <w:tcPr>
            <w:tcW w:w="4800" w:type="dxa"/>
          </w:tcPr>
          <w:p w:rsidR="006435DE" w:rsidRDefault="00331FB9">
            <w:pPr>
              <w:spacing w:after="0"/>
              <w:jc w:val="left"/>
              <w:rPr>
                <w:noProof/>
                <w:sz w:val="20"/>
              </w:rPr>
            </w:pPr>
            <w:r>
              <w:rPr>
                <w:noProof/>
                <w:sz w:val="20"/>
              </w:rPr>
              <w:t>Herbes aromatiques, épices et condiments végétaux (séchés)</w:t>
            </w:r>
          </w:p>
        </w:tc>
        <w:tc>
          <w:tcPr>
            <w:tcW w:w="2040" w:type="dxa"/>
          </w:tcPr>
          <w:p w:rsidR="006435DE" w:rsidRDefault="00331FB9">
            <w:pPr>
              <w:spacing w:after="0"/>
              <w:jc w:val="center"/>
              <w:rPr>
                <w:noProof/>
                <w:sz w:val="20"/>
              </w:rPr>
            </w:pPr>
            <w:r>
              <w:rPr>
                <w:noProof/>
                <w:sz w:val="20"/>
              </w:rPr>
              <w:t>5 - 10</w:t>
            </w:r>
          </w:p>
        </w:tc>
      </w:tr>
      <w:tr w:rsidR="006435DE">
        <w:trPr>
          <w:trHeight w:val="202"/>
        </w:trPr>
        <w:tc>
          <w:tcPr>
            <w:tcW w:w="1680" w:type="dxa"/>
            <w:vMerge/>
            <w:vAlign w:val="center"/>
          </w:tcPr>
          <w:p w:rsidR="006435DE" w:rsidRDefault="006435DE">
            <w:pPr>
              <w:spacing w:after="0"/>
              <w:jc w:val="left"/>
              <w:rPr>
                <w:noProof/>
                <w:sz w:val="20"/>
              </w:rPr>
            </w:pPr>
          </w:p>
        </w:tc>
        <w:tc>
          <w:tcPr>
            <w:tcW w:w="4800" w:type="dxa"/>
          </w:tcPr>
          <w:p w:rsidR="006435DE" w:rsidRDefault="00331FB9">
            <w:pPr>
              <w:spacing w:after="0"/>
              <w:jc w:val="left"/>
              <w:rPr>
                <w:noProof/>
                <w:sz w:val="20"/>
              </w:rPr>
            </w:pPr>
            <w:r>
              <w:rPr>
                <w:noProof/>
                <w:sz w:val="20"/>
              </w:rPr>
              <w:t>Légumes et fruits séchés</w:t>
            </w:r>
          </w:p>
        </w:tc>
        <w:tc>
          <w:tcPr>
            <w:tcW w:w="2040" w:type="dxa"/>
          </w:tcPr>
          <w:p w:rsidR="006435DE" w:rsidRDefault="00331FB9">
            <w:pPr>
              <w:spacing w:after="0"/>
              <w:jc w:val="center"/>
              <w:rPr>
                <w:noProof/>
                <w:sz w:val="20"/>
              </w:rPr>
            </w:pPr>
            <w:r>
              <w:rPr>
                <w:noProof/>
                <w:sz w:val="20"/>
              </w:rPr>
              <w:t>1 - 10</w:t>
            </w:r>
          </w:p>
        </w:tc>
      </w:tr>
      <w:tr w:rsidR="006435DE">
        <w:trPr>
          <w:trHeight w:val="202"/>
        </w:trPr>
        <w:tc>
          <w:tcPr>
            <w:tcW w:w="1680" w:type="dxa"/>
            <w:vMerge/>
            <w:vAlign w:val="center"/>
          </w:tcPr>
          <w:p w:rsidR="006435DE" w:rsidRDefault="006435DE">
            <w:pPr>
              <w:spacing w:after="0"/>
              <w:jc w:val="left"/>
              <w:rPr>
                <w:noProof/>
                <w:sz w:val="20"/>
              </w:rPr>
            </w:pPr>
          </w:p>
        </w:tc>
        <w:tc>
          <w:tcPr>
            <w:tcW w:w="4800" w:type="dxa"/>
          </w:tcPr>
          <w:p w:rsidR="006435DE" w:rsidRDefault="00331FB9">
            <w:pPr>
              <w:spacing w:after="0"/>
              <w:jc w:val="left"/>
              <w:rPr>
                <w:noProof/>
                <w:sz w:val="20"/>
              </w:rPr>
            </w:pPr>
            <w:r>
              <w:rPr>
                <w:noProof/>
                <w:sz w:val="20"/>
              </w:rPr>
              <w:t>Cuisses de grenouilles congelées</w:t>
            </w:r>
          </w:p>
        </w:tc>
        <w:tc>
          <w:tcPr>
            <w:tcW w:w="2040" w:type="dxa"/>
          </w:tcPr>
          <w:p w:rsidR="006435DE" w:rsidRDefault="00331FB9">
            <w:pPr>
              <w:spacing w:after="0"/>
              <w:jc w:val="center"/>
              <w:rPr>
                <w:noProof/>
                <w:sz w:val="20"/>
              </w:rPr>
            </w:pPr>
            <w:r>
              <w:rPr>
                <w:noProof/>
                <w:sz w:val="20"/>
              </w:rPr>
              <w:t>1 - 10</w:t>
            </w:r>
          </w:p>
        </w:tc>
      </w:tr>
      <w:tr w:rsidR="006435DE">
        <w:trPr>
          <w:trHeight w:val="202"/>
        </w:trPr>
        <w:tc>
          <w:tcPr>
            <w:tcW w:w="1680" w:type="dxa"/>
            <w:vAlign w:val="center"/>
          </w:tcPr>
          <w:p w:rsidR="006435DE" w:rsidRDefault="00331FB9">
            <w:pPr>
              <w:spacing w:after="0"/>
              <w:jc w:val="left"/>
              <w:rPr>
                <w:noProof/>
                <w:sz w:val="20"/>
              </w:rPr>
            </w:pPr>
            <w:r>
              <w:rPr>
                <w:noProof/>
                <w:sz w:val="20"/>
              </w:rPr>
              <w:t>Allemagne</w:t>
            </w:r>
          </w:p>
        </w:tc>
        <w:tc>
          <w:tcPr>
            <w:tcW w:w="4800" w:type="dxa"/>
          </w:tcPr>
          <w:p w:rsidR="006435DE" w:rsidRDefault="00331FB9">
            <w:pPr>
              <w:spacing w:after="0"/>
              <w:jc w:val="left"/>
              <w:rPr>
                <w:noProof/>
                <w:sz w:val="20"/>
              </w:rPr>
            </w:pPr>
            <w:r>
              <w:rPr>
                <w:noProof/>
                <w:sz w:val="20"/>
              </w:rPr>
              <w:t>Herbes aromatiques, épices et condiments végétaux (séchés)</w:t>
            </w:r>
          </w:p>
        </w:tc>
        <w:tc>
          <w:tcPr>
            <w:tcW w:w="2040" w:type="dxa"/>
          </w:tcPr>
          <w:p w:rsidR="006435DE" w:rsidRDefault="00331FB9">
            <w:pPr>
              <w:spacing w:after="0"/>
              <w:jc w:val="center"/>
              <w:rPr>
                <w:noProof/>
                <w:sz w:val="20"/>
              </w:rPr>
            </w:pPr>
            <w:r>
              <w:rPr>
                <w:noProof/>
                <w:sz w:val="20"/>
              </w:rPr>
              <w:t>10</w:t>
            </w:r>
          </w:p>
        </w:tc>
      </w:tr>
      <w:tr w:rsidR="006435DE">
        <w:trPr>
          <w:trHeight w:val="202"/>
        </w:trPr>
        <w:tc>
          <w:tcPr>
            <w:tcW w:w="1680" w:type="dxa"/>
            <w:vAlign w:val="center"/>
          </w:tcPr>
          <w:p w:rsidR="006435DE" w:rsidRDefault="00331FB9">
            <w:pPr>
              <w:spacing w:after="0"/>
              <w:jc w:val="left"/>
              <w:rPr>
                <w:noProof/>
                <w:sz w:val="20"/>
              </w:rPr>
            </w:pPr>
            <w:r>
              <w:rPr>
                <w:noProof/>
                <w:sz w:val="20"/>
              </w:rPr>
              <w:t>Hongrie</w:t>
            </w:r>
          </w:p>
        </w:tc>
        <w:tc>
          <w:tcPr>
            <w:tcW w:w="4800" w:type="dxa"/>
          </w:tcPr>
          <w:p w:rsidR="006435DE" w:rsidRDefault="00331FB9">
            <w:pPr>
              <w:spacing w:after="0"/>
              <w:jc w:val="left"/>
              <w:rPr>
                <w:noProof/>
                <w:sz w:val="20"/>
              </w:rPr>
            </w:pPr>
            <w:r>
              <w:rPr>
                <w:noProof/>
                <w:sz w:val="20"/>
              </w:rPr>
              <w:t xml:space="preserve">Herbes aromatiques, épices et </w:t>
            </w:r>
            <w:r>
              <w:rPr>
                <w:noProof/>
                <w:sz w:val="20"/>
              </w:rPr>
              <w:t>condiments végétaux (séchés)</w:t>
            </w:r>
          </w:p>
        </w:tc>
        <w:tc>
          <w:tcPr>
            <w:tcW w:w="2040" w:type="dxa"/>
          </w:tcPr>
          <w:p w:rsidR="006435DE" w:rsidRDefault="00331FB9">
            <w:pPr>
              <w:spacing w:after="0"/>
              <w:jc w:val="center"/>
              <w:rPr>
                <w:noProof/>
                <w:sz w:val="20"/>
              </w:rPr>
            </w:pPr>
            <w:r>
              <w:rPr>
                <w:noProof/>
                <w:sz w:val="20"/>
              </w:rPr>
              <w:t>2 - 10</w:t>
            </w:r>
          </w:p>
        </w:tc>
      </w:tr>
      <w:tr w:rsidR="006435DE">
        <w:trPr>
          <w:trHeight w:val="202"/>
        </w:trPr>
        <w:tc>
          <w:tcPr>
            <w:tcW w:w="1680" w:type="dxa"/>
            <w:vMerge w:val="restart"/>
            <w:vAlign w:val="center"/>
          </w:tcPr>
          <w:p w:rsidR="006435DE" w:rsidRDefault="00331FB9">
            <w:pPr>
              <w:spacing w:after="0"/>
              <w:jc w:val="left"/>
              <w:rPr>
                <w:noProof/>
                <w:sz w:val="20"/>
              </w:rPr>
            </w:pPr>
            <w:r>
              <w:rPr>
                <w:noProof/>
                <w:sz w:val="20"/>
              </w:rPr>
              <w:t>Pays-Bas</w:t>
            </w:r>
          </w:p>
        </w:tc>
        <w:tc>
          <w:tcPr>
            <w:tcW w:w="4800" w:type="dxa"/>
          </w:tcPr>
          <w:p w:rsidR="006435DE" w:rsidRDefault="00331FB9">
            <w:pPr>
              <w:spacing w:after="0"/>
              <w:jc w:val="left"/>
              <w:rPr>
                <w:noProof/>
                <w:sz w:val="20"/>
              </w:rPr>
            </w:pPr>
            <w:r>
              <w:rPr>
                <w:noProof/>
                <w:sz w:val="20"/>
              </w:rPr>
              <w:t xml:space="preserve">Herbes aromatiques, épices et condiments végétaux </w:t>
            </w:r>
            <w:r>
              <w:rPr>
                <w:noProof/>
                <w:sz w:val="20"/>
              </w:rPr>
              <w:lastRenderedPageBreak/>
              <w:t>(séchés)</w:t>
            </w:r>
          </w:p>
        </w:tc>
        <w:tc>
          <w:tcPr>
            <w:tcW w:w="2040" w:type="dxa"/>
          </w:tcPr>
          <w:p w:rsidR="006435DE" w:rsidRDefault="00331FB9">
            <w:pPr>
              <w:spacing w:after="0"/>
              <w:jc w:val="center"/>
              <w:rPr>
                <w:noProof/>
                <w:sz w:val="20"/>
              </w:rPr>
            </w:pPr>
            <w:r>
              <w:rPr>
                <w:noProof/>
                <w:sz w:val="20"/>
              </w:rPr>
              <w:lastRenderedPageBreak/>
              <w:t>6</w:t>
            </w:r>
          </w:p>
        </w:tc>
      </w:tr>
      <w:tr w:rsidR="006435DE">
        <w:trPr>
          <w:trHeight w:val="202"/>
        </w:trPr>
        <w:tc>
          <w:tcPr>
            <w:tcW w:w="1680" w:type="dxa"/>
            <w:vMerge/>
            <w:vAlign w:val="center"/>
          </w:tcPr>
          <w:p w:rsidR="006435DE" w:rsidRDefault="006435DE">
            <w:pPr>
              <w:spacing w:after="0"/>
              <w:jc w:val="left"/>
              <w:rPr>
                <w:noProof/>
                <w:sz w:val="20"/>
              </w:rPr>
            </w:pPr>
          </w:p>
        </w:tc>
        <w:tc>
          <w:tcPr>
            <w:tcW w:w="4800" w:type="dxa"/>
          </w:tcPr>
          <w:p w:rsidR="006435DE" w:rsidRDefault="00331FB9">
            <w:pPr>
              <w:spacing w:after="0"/>
              <w:jc w:val="left"/>
              <w:rPr>
                <w:noProof/>
                <w:sz w:val="20"/>
              </w:rPr>
            </w:pPr>
            <w:r>
              <w:rPr>
                <w:noProof/>
                <w:sz w:val="20"/>
              </w:rPr>
              <w:t>Légumes et fruits séchés</w:t>
            </w:r>
          </w:p>
        </w:tc>
        <w:tc>
          <w:tcPr>
            <w:tcW w:w="2040" w:type="dxa"/>
          </w:tcPr>
          <w:p w:rsidR="006435DE" w:rsidRDefault="00331FB9">
            <w:pPr>
              <w:spacing w:after="0"/>
              <w:jc w:val="center"/>
              <w:rPr>
                <w:noProof/>
                <w:sz w:val="20"/>
              </w:rPr>
            </w:pPr>
            <w:r>
              <w:rPr>
                <w:noProof/>
                <w:sz w:val="20"/>
              </w:rPr>
              <w:t>6</w:t>
            </w:r>
          </w:p>
        </w:tc>
      </w:tr>
      <w:tr w:rsidR="006435DE">
        <w:trPr>
          <w:trHeight w:val="202"/>
        </w:trPr>
        <w:tc>
          <w:tcPr>
            <w:tcW w:w="1680" w:type="dxa"/>
            <w:vAlign w:val="center"/>
          </w:tcPr>
          <w:p w:rsidR="006435DE" w:rsidRDefault="00331FB9">
            <w:pPr>
              <w:spacing w:after="0"/>
              <w:jc w:val="left"/>
              <w:rPr>
                <w:noProof/>
                <w:sz w:val="20"/>
              </w:rPr>
            </w:pPr>
            <w:r>
              <w:rPr>
                <w:noProof/>
                <w:sz w:val="20"/>
              </w:rPr>
              <w:t>Pologne</w:t>
            </w:r>
          </w:p>
        </w:tc>
        <w:tc>
          <w:tcPr>
            <w:tcW w:w="4800" w:type="dxa"/>
          </w:tcPr>
          <w:p w:rsidR="006435DE" w:rsidRDefault="00331FB9">
            <w:pPr>
              <w:spacing w:after="0"/>
              <w:jc w:val="left"/>
              <w:rPr>
                <w:noProof/>
                <w:sz w:val="20"/>
              </w:rPr>
            </w:pPr>
            <w:r>
              <w:rPr>
                <w:noProof/>
                <w:sz w:val="20"/>
              </w:rPr>
              <w:t>Herbes aromatiques, épices et condiments végétaux (séchés)</w:t>
            </w:r>
          </w:p>
        </w:tc>
        <w:tc>
          <w:tcPr>
            <w:tcW w:w="2040" w:type="dxa"/>
          </w:tcPr>
          <w:p w:rsidR="006435DE" w:rsidRDefault="00331FB9">
            <w:pPr>
              <w:spacing w:after="0"/>
              <w:jc w:val="center"/>
              <w:rPr>
                <w:noProof/>
                <w:sz w:val="20"/>
              </w:rPr>
            </w:pPr>
            <w:r>
              <w:rPr>
                <w:noProof/>
                <w:sz w:val="20"/>
              </w:rPr>
              <w:t>5</w:t>
            </w:r>
          </w:p>
        </w:tc>
      </w:tr>
      <w:tr w:rsidR="006435DE">
        <w:trPr>
          <w:trHeight w:val="202"/>
        </w:trPr>
        <w:tc>
          <w:tcPr>
            <w:tcW w:w="1680" w:type="dxa"/>
            <w:vAlign w:val="center"/>
          </w:tcPr>
          <w:p w:rsidR="006435DE" w:rsidRDefault="00331FB9">
            <w:pPr>
              <w:spacing w:after="0"/>
              <w:jc w:val="left"/>
              <w:rPr>
                <w:noProof/>
                <w:sz w:val="20"/>
              </w:rPr>
            </w:pPr>
            <w:r>
              <w:rPr>
                <w:noProof/>
                <w:sz w:val="20"/>
              </w:rPr>
              <w:t>Espagne</w:t>
            </w:r>
          </w:p>
        </w:tc>
        <w:tc>
          <w:tcPr>
            <w:tcW w:w="4800" w:type="dxa"/>
          </w:tcPr>
          <w:p w:rsidR="006435DE" w:rsidRDefault="00331FB9">
            <w:pPr>
              <w:spacing w:after="0"/>
              <w:jc w:val="left"/>
              <w:rPr>
                <w:noProof/>
                <w:sz w:val="20"/>
              </w:rPr>
            </w:pPr>
            <w:r>
              <w:rPr>
                <w:noProof/>
                <w:sz w:val="20"/>
              </w:rPr>
              <w:t xml:space="preserve">Herbes aromatiques, épices et condiments </w:t>
            </w:r>
            <w:r>
              <w:rPr>
                <w:noProof/>
                <w:sz w:val="20"/>
              </w:rPr>
              <w:t>végétaux (séchés)</w:t>
            </w:r>
          </w:p>
        </w:tc>
        <w:tc>
          <w:tcPr>
            <w:tcW w:w="2040" w:type="dxa"/>
          </w:tcPr>
          <w:p w:rsidR="006435DE" w:rsidRDefault="00331FB9">
            <w:pPr>
              <w:spacing w:after="0"/>
              <w:jc w:val="center"/>
              <w:rPr>
                <w:noProof/>
                <w:sz w:val="20"/>
              </w:rPr>
            </w:pPr>
            <w:r>
              <w:rPr>
                <w:noProof/>
                <w:sz w:val="20"/>
              </w:rPr>
              <w:t>8,6 - 9,5</w:t>
            </w:r>
          </w:p>
        </w:tc>
      </w:tr>
      <w:tr w:rsidR="006435DE">
        <w:trPr>
          <w:trHeight w:val="202"/>
        </w:trPr>
        <w:tc>
          <w:tcPr>
            <w:tcW w:w="1680" w:type="dxa"/>
            <w:vAlign w:val="center"/>
          </w:tcPr>
          <w:p w:rsidR="006435DE" w:rsidRDefault="00331FB9">
            <w:pPr>
              <w:spacing w:after="0"/>
              <w:jc w:val="left"/>
              <w:rPr>
                <w:noProof/>
                <w:sz w:val="20"/>
              </w:rPr>
            </w:pPr>
            <w:r>
              <w:rPr>
                <w:noProof/>
                <w:sz w:val="20"/>
              </w:rPr>
              <w:t>Norvège</w:t>
            </w:r>
          </w:p>
        </w:tc>
        <w:tc>
          <w:tcPr>
            <w:tcW w:w="4800" w:type="dxa"/>
          </w:tcPr>
          <w:p w:rsidR="006435DE" w:rsidRDefault="00331FB9">
            <w:pPr>
              <w:spacing w:after="0"/>
              <w:jc w:val="left"/>
              <w:rPr>
                <w:noProof/>
                <w:sz w:val="20"/>
              </w:rPr>
            </w:pPr>
            <w:r>
              <w:rPr>
                <w:noProof/>
                <w:sz w:val="20"/>
              </w:rPr>
              <w:t>Herbes aromatiques, épices et condiments végétaux (séchés)</w:t>
            </w:r>
          </w:p>
        </w:tc>
        <w:tc>
          <w:tcPr>
            <w:tcW w:w="2040" w:type="dxa"/>
          </w:tcPr>
          <w:p w:rsidR="006435DE" w:rsidRDefault="00331FB9">
            <w:pPr>
              <w:spacing w:after="0"/>
              <w:jc w:val="center"/>
              <w:rPr>
                <w:noProof/>
                <w:sz w:val="20"/>
              </w:rPr>
            </w:pPr>
            <w:r>
              <w:rPr>
                <w:noProof/>
                <w:sz w:val="20"/>
              </w:rPr>
              <w:t>10</w:t>
            </w:r>
          </w:p>
        </w:tc>
      </w:tr>
    </w:tbl>
    <w:p w:rsidR="006435DE" w:rsidRDefault="006435DE">
      <w:pPr>
        <w:pStyle w:val="Text1"/>
        <w:ind w:left="567"/>
        <w:rPr>
          <w:b/>
          <w:noProof/>
        </w:rPr>
      </w:pPr>
    </w:p>
    <w:p w:rsidR="006435DE" w:rsidRDefault="00331FB9">
      <w:pPr>
        <w:spacing w:after="0"/>
        <w:jc w:val="left"/>
        <w:rPr>
          <w:noProof/>
        </w:rPr>
      </w:pPr>
      <w:r>
        <w:rPr>
          <w:noProof/>
        </w:rPr>
        <w:br w:type="page"/>
      </w:r>
    </w:p>
    <w:p w:rsidR="006435DE" w:rsidRDefault="00331FB9">
      <w:pPr>
        <w:pStyle w:val="Text1"/>
        <w:spacing w:before="120" w:after="120"/>
        <w:ind w:left="0"/>
        <w:jc w:val="center"/>
        <w:rPr>
          <w:noProof/>
        </w:rPr>
      </w:pPr>
      <w:r>
        <w:rPr>
          <w:noProof/>
        </w:rPr>
        <w:lastRenderedPageBreak/>
        <w:t>Échantillons analysés et résultats obtenus pour l’Union européenne</w:t>
      </w:r>
    </w:p>
    <w:p w:rsidR="006435DE" w:rsidRDefault="006435DE">
      <w:pPr>
        <w:pStyle w:val="Text1"/>
        <w:spacing w:before="120" w:after="120"/>
        <w:ind w:left="567"/>
        <w:rPr>
          <w:noProof/>
        </w:rPr>
      </w:pPr>
    </w:p>
    <w:tbl>
      <w:tblPr>
        <w:tblW w:w="8520" w:type="dxa"/>
        <w:tblInd w:w="108" w:type="dxa"/>
        <w:tblLayout w:type="fixed"/>
        <w:tblLook w:val="04A0" w:firstRow="1" w:lastRow="0" w:firstColumn="1" w:lastColumn="0" w:noHBand="0" w:noVBand="1"/>
      </w:tblPr>
      <w:tblGrid>
        <w:gridCol w:w="1680"/>
        <w:gridCol w:w="1200"/>
        <w:gridCol w:w="1320"/>
        <w:gridCol w:w="1560"/>
        <w:gridCol w:w="1440"/>
        <w:gridCol w:w="1320"/>
      </w:tblGrid>
      <w:tr w:rsidR="006435DE">
        <w:trPr>
          <w:trHeight w:val="570"/>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6435DE" w:rsidRDefault="00331FB9">
            <w:pPr>
              <w:spacing w:after="0"/>
              <w:jc w:val="center"/>
              <w:rPr>
                <w:b/>
                <w:noProof/>
                <w:sz w:val="20"/>
              </w:rPr>
            </w:pPr>
            <w:r>
              <w:rPr>
                <w:b/>
                <w:noProof/>
                <w:sz w:val="20"/>
              </w:rPr>
              <w:t>Pays</w:t>
            </w:r>
          </w:p>
        </w:tc>
        <w:tc>
          <w:tcPr>
            <w:tcW w:w="1200" w:type="dxa"/>
            <w:tcBorders>
              <w:top w:val="single" w:sz="4" w:space="0" w:color="auto"/>
              <w:left w:val="nil"/>
              <w:bottom w:val="single" w:sz="4" w:space="0" w:color="auto"/>
              <w:right w:val="single" w:sz="4" w:space="0" w:color="auto"/>
            </w:tcBorders>
            <w:shd w:val="clear" w:color="auto" w:fill="auto"/>
            <w:vAlign w:val="center"/>
          </w:tcPr>
          <w:p w:rsidR="006435DE" w:rsidRDefault="00331FB9">
            <w:pPr>
              <w:spacing w:after="0"/>
              <w:jc w:val="center"/>
              <w:rPr>
                <w:b/>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vAlign w:val="center"/>
          </w:tcPr>
          <w:p w:rsidR="006435DE" w:rsidRDefault="00331FB9">
            <w:pPr>
              <w:spacing w:after="0"/>
              <w:jc w:val="center"/>
              <w:rPr>
                <w:b/>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vAlign w:val="center"/>
          </w:tcPr>
          <w:p w:rsidR="006435DE" w:rsidRDefault="00331FB9">
            <w:pPr>
              <w:spacing w:after="0"/>
              <w:jc w:val="center"/>
              <w:rPr>
                <w:b/>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vAlign w:val="center"/>
          </w:tcPr>
          <w:p w:rsidR="006435DE" w:rsidRDefault="00331FB9">
            <w:pPr>
              <w:spacing w:after="0"/>
              <w:jc w:val="center"/>
              <w:rPr>
                <w:b/>
                <w:noProof/>
                <w:sz w:val="20"/>
              </w:rPr>
            </w:pPr>
            <w:r>
              <w:rPr>
                <w:b/>
                <w:noProof/>
                <w:sz w:val="20"/>
              </w:rPr>
              <w:t>Total des échantillons</w:t>
            </w:r>
          </w:p>
        </w:tc>
        <w:tc>
          <w:tcPr>
            <w:tcW w:w="1320" w:type="dxa"/>
            <w:tcBorders>
              <w:top w:val="single" w:sz="4" w:space="0" w:color="auto"/>
              <w:left w:val="nil"/>
              <w:bottom w:val="single" w:sz="4" w:space="0" w:color="auto"/>
              <w:right w:val="single" w:sz="4" w:space="0" w:color="auto"/>
            </w:tcBorders>
            <w:shd w:val="clear" w:color="auto" w:fill="auto"/>
            <w:vAlign w:val="center"/>
          </w:tcPr>
          <w:p w:rsidR="006435DE" w:rsidRDefault="00331FB9">
            <w:pPr>
              <w:spacing w:after="0"/>
              <w:jc w:val="center"/>
              <w:rPr>
                <w:b/>
                <w:noProof/>
                <w:sz w:val="20"/>
              </w:rPr>
            </w:pPr>
            <w:r>
              <w:rPr>
                <w:b/>
                <w:noProof/>
                <w:sz w:val="20"/>
              </w:rPr>
              <w:t xml:space="preserve">% du total des </w:t>
            </w:r>
            <w:r>
              <w:rPr>
                <w:b/>
                <w:noProof/>
                <w:sz w:val="20"/>
              </w:rPr>
              <w:t>échantillons de l’UE</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Autriche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1,4 %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Belgique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121</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2,0 %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Bulgarie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0,1 %</w:t>
            </w:r>
          </w:p>
        </w:tc>
      </w:tr>
      <w:tr w:rsidR="006435DE">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Croatie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r>
      <w:tr w:rsidR="006435DE">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Chypre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r>
      <w:tr w:rsidR="006435DE">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République tchèque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4</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0,5 %</w:t>
            </w:r>
          </w:p>
        </w:tc>
      </w:tr>
      <w:tr w:rsidR="006435DE">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Danemark</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Estonie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France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160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174</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2,9 %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Finlande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213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230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3,9 %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Allemagne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3 281</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24</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39</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3 344</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56,0 %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Grèce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0,2 %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Hongrie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76</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1,3 %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Irlande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86</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1,5 %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Italie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532</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539</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9,0 %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Lettonie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12</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0,2 %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Lituanie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1,3 %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Luxembourg</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18</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19</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0,3 %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Malte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69</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1,3 %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Pays-Bas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54</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54</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0,9 %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Pologne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315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317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5,3 %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Portugal</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0,2 %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Roumanie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297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314</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5,3 %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Slovaquie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26</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26</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0,4 %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Slovénie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0,3 %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Espagne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235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237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4,0 %</w:t>
            </w:r>
          </w:p>
        </w:tc>
      </w:tr>
      <w:tr w:rsidR="006435DE">
        <w:trPr>
          <w:trHeight w:val="27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Suède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0,1 %</w:t>
            </w: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Royaume-Uni</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14</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112</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1,9 %</w:t>
            </w:r>
          </w:p>
        </w:tc>
      </w:tr>
      <w:tr w:rsidR="006435DE">
        <w:trPr>
          <w:trHeight w:val="360"/>
        </w:trPr>
        <w:tc>
          <w:tcPr>
            <w:tcW w:w="1680" w:type="dxa"/>
            <w:vMerge w:val="restart"/>
            <w:tcBorders>
              <w:top w:val="nil"/>
              <w:left w:val="single" w:sz="4" w:space="0" w:color="auto"/>
              <w:bottom w:val="single" w:sz="4" w:space="0" w:color="000000"/>
              <w:right w:val="single" w:sz="4" w:space="0" w:color="auto"/>
            </w:tcBorders>
            <w:shd w:val="clear" w:color="auto" w:fill="auto"/>
            <w:vAlign w:val="center"/>
          </w:tcPr>
          <w:p w:rsidR="006435DE" w:rsidRDefault="00331FB9">
            <w:pPr>
              <w:spacing w:after="0"/>
              <w:jc w:val="right"/>
              <w:rPr>
                <w:noProof/>
                <w:sz w:val="20"/>
              </w:rPr>
            </w:pPr>
            <w:r>
              <w:rPr>
                <w:noProof/>
                <w:sz w:val="20"/>
              </w:rPr>
              <w:t>Total UE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5 802</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67</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104</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5 973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r>
      <w:tr w:rsidR="006435DE">
        <w:trPr>
          <w:trHeight w:val="360"/>
        </w:trPr>
        <w:tc>
          <w:tcPr>
            <w:tcW w:w="1680" w:type="dxa"/>
            <w:vMerge/>
            <w:tcBorders>
              <w:top w:val="nil"/>
              <w:left w:val="single" w:sz="4" w:space="0" w:color="auto"/>
              <w:bottom w:val="single" w:sz="4" w:space="0" w:color="000000"/>
              <w:right w:val="single" w:sz="4" w:space="0" w:color="auto"/>
            </w:tcBorders>
            <w:vAlign w:val="center"/>
          </w:tcPr>
          <w:p w:rsidR="006435DE" w:rsidRDefault="006435DE">
            <w:pPr>
              <w:spacing w:after="0"/>
              <w:rPr>
                <w:noProof/>
                <w:sz w:val="20"/>
              </w:rPr>
            </w:pP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97,1 %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1,8 %</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100,0 %</w:t>
            </w:r>
          </w:p>
        </w:tc>
        <w:tc>
          <w:tcPr>
            <w:tcW w:w="1320" w:type="dxa"/>
            <w:tcBorders>
              <w:top w:val="nil"/>
              <w:left w:val="nil"/>
              <w:bottom w:val="single" w:sz="4" w:space="0" w:color="auto"/>
              <w:right w:val="single" w:sz="4" w:space="0" w:color="auto"/>
            </w:tcBorders>
            <w:shd w:val="clear" w:color="auto" w:fill="auto"/>
            <w:noWrap/>
          </w:tcPr>
          <w:p w:rsidR="006435DE" w:rsidRDefault="006435DE">
            <w:pPr>
              <w:spacing w:after="0"/>
              <w:jc w:val="center"/>
              <w:rPr>
                <w:noProof/>
                <w:sz w:val="20"/>
              </w:rPr>
            </w:pPr>
          </w:p>
        </w:tc>
      </w:tr>
      <w:tr w:rsidR="006435DE">
        <w:trPr>
          <w:trHeight w:val="270"/>
        </w:trPr>
        <w:tc>
          <w:tcPr>
            <w:tcW w:w="1680" w:type="dxa"/>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Norvège</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44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ACE</w:t>
            </w:r>
          </w:p>
        </w:tc>
      </w:tr>
    </w:tbl>
    <w:p w:rsidR="006435DE" w:rsidRDefault="00331FB9">
      <w:pPr>
        <w:rPr>
          <w:noProof/>
          <w:sz w:val="20"/>
        </w:rPr>
      </w:pPr>
      <w:r>
        <w:rPr>
          <w:noProof/>
          <w:sz w:val="20"/>
        </w:rPr>
        <w:t>ACE: aucun contrôle effectué</w:t>
      </w:r>
    </w:p>
    <w:p w:rsidR="006435DE" w:rsidRDefault="00331FB9">
      <w:pPr>
        <w:spacing w:after="0"/>
        <w:jc w:val="left"/>
        <w:rPr>
          <w:noProof/>
        </w:rPr>
      </w:pPr>
      <w:r>
        <w:rPr>
          <w:noProof/>
        </w:rPr>
        <w:br w:type="page"/>
      </w:r>
    </w:p>
    <w:p w:rsidR="006435DE" w:rsidRDefault="00331FB9">
      <w:pPr>
        <w:jc w:val="center"/>
        <w:rPr>
          <w:noProof/>
        </w:rPr>
      </w:pPr>
      <w:r>
        <w:rPr>
          <w:noProof/>
        </w:rPr>
        <w:lastRenderedPageBreak/>
        <w:t xml:space="preserve">Résultats des contrôles effectués au stade de la commercialisation des produits en Europe </w:t>
      </w:r>
      <w:r>
        <w:rPr>
          <w:noProof/>
        </w:rPr>
        <w:br/>
        <w:t>et méthodes utilisées</w:t>
      </w:r>
      <w:r>
        <w:rPr>
          <w:noProof/>
        </w:rPr>
        <w:t xml:space="preserve"> pour détecter le traitement par ionisation</w:t>
      </w:r>
    </w:p>
    <w:p w:rsidR="006435DE" w:rsidRDefault="00331FB9">
      <w:pPr>
        <w:rPr>
          <w:noProof/>
          <w:u w:val="single"/>
        </w:rPr>
      </w:pPr>
      <w:r>
        <w:rPr>
          <w:noProof/>
          <w:u w:val="single"/>
        </w:rPr>
        <w:t>Autriche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Céréales, graines, 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Baies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1787</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Poissons, 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Crustacés, coquillages, moules et autres animaux aquatiques (y compris leurs produits dérivés)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1786</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sz w:val="20"/>
              </w:rPr>
              <w:t>Total (85)</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97,6 %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2,4 %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rPr>
          <w:noProof/>
          <w:sz w:val="20"/>
        </w:rPr>
      </w:pPr>
      <w:r>
        <w:rPr>
          <w:noProof/>
          <w:sz w:val="20"/>
        </w:rPr>
        <w:t>*étiquetage erroné</w:t>
      </w:r>
    </w:p>
    <w:p w:rsidR="006435DE" w:rsidRDefault="00331FB9">
      <w:pPr>
        <w:rPr>
          <w:noProof/>
          <w:u w:val="single"/>
        </w:rPr>
      </w:pPr>
      <w:r>
        <w:rPr>
          <w:noProof/>
          <w:u w:val="single"/>
        </w:rPr>
        <w:t>Belgique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Céréales, graines, </w:t>
            </w:r>
            <w:r>
              <w:rPr>
                <w:noProof/>
                <w:sz w:val="20"/>
              </w:rPr>
              <w:t>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Céréales, graines, légumes et fruits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Fruits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Poissons, 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Crustacés, coquillages, moules et autres animaux aquatiques (y compris</w:t>
            </w:r>
            <w:r>
              <w:rPr>
                <w:noProof/>
                <w:sz w:val="20"/>
              </w:rPr>
              <w:t xml:space="preserve"> leurs produits dérivés)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Fines herbes et épices (congelées)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Viandes/produits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Cuisses de grenouilles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(121)</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90,9 %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6,6 %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rPr>
          <w:noProof/>
          <w:sz w:val="20"/>
        </w:rPr>
      </w:pPr>
      <w:r>
        <w:rPr>
          <w:noProof/>
          <w:sz w:val="20"/>
        </w:rPr>
        <w:t>*étiquetage erroné</w:t>
      </w:r>
    </w:p>
    <w:p w:rsidR="006435DE" w:rsidRDefault="00331FB9">
      <w:pPr>
        <w:rPr>
          <w:noProof/>
          <w:u w:val="single"/>
        </w:rPr>
      </w:pPr>
      <w:r>
        <w:rPr>
          <w:noProof/>
          <w:u w:val="single"/>
        </w:rPr>
        <w:t>Bulgarie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w:t>
            </w:r>
            <w:r>
              <w:rPr>
                <w:noProof/>
                <w:sz w:val="20"/>
              </w:rPr>
              <w:t xml:space="preserve">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(3)</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sz w:val="20"/>
        </w:rPr>
      </w:pPr>
    </w:p>
    <w:p w:rsidR="00DE606F" w:rsidRDefault="00DE606F">
      <w:pPr>
        <w:spacing w:after="0"/>
        <w:jc w:val="left"/>
        <w:rPr>
          <w:noProof/>
          <w:u w:val="single"/>
        </w:rPr>
      </w:pPr>
      <w:r>
        <w:rPr>
          <w:noProof/>
          <w:u w:val="single"/>
        </w:rPr>
        <w:br w:type="page"/>
      </w:r>
    </w:p>
    <w:p w:rsidR="006435DE" w:rsidRDefault="00331FB9">
      <w:pPr>
        <w:rPr>
          <w:noProof/>
        </w:rPr>
      </w:pPr>
      <w:r>
        <w:rPr>
          <w:noProof/>
          <w:u w:val="single"/>
        </w:rPr>
        <w:lastRenderedPageBreak/>
        <w:t>Croatie</w:t>
      </w:r>
      <w:r>
        <w:rPr>
          <w:noProof/>
        </w:rPr>
        <w:t xml:space="preserve"> </w:t>
      </w:r>
      <w:r>
        <w:rPr>
          <w:noProof/>
        </w:rPr>
        <w:br/>
        <w:t>En raison de l’absence de laboratoires effectuant des analyses de l’ionisation, aucun</w:t>
      </w:r>
      <w:r>
        <w:rPr>
          <w:noProof/>
        </w:rPr>
        <w:t xml:space="preserve"> contrôle n’a été effectué au stade de la commercialisation des produits en Croatie en 2015.</w:t>
      </w:r>
    </w:p>
    <w:p w:rsidR="006435DE" w:rsidRDefault="00331FB9">
      <w:pPr>
        <w:rPr>
          <w:noProof/>
        </w:rPr>
      </w:pPr>
      <w:r>
        <w:rPr>
          <w:noProof/>
          <w:u w:val="single"/>
        </w:rPr>
        <w:t>Chypre</w:t>
      </w:r>
      <w:r>
        <w:rPr>
          <w:noProof/>
          <w:u w:val="single"/>
        </w:rPr>
        <w:br/>
      </w:r>
      <w:r>
        <w:rPr>
          <w:noProof/>
        </w:rPr>
        <w:t>En raison de l’absence de laboratoires effectuant des analyses de l’ionisation, aucun contrôle n’a été effectué au stade de la commercialisation des produit</w:t>
      </w:r>
      <w:r>
        <w:rPr>
          <w:noProof/>
        </w:rPr>
        <w:t>s à Chypre en 2015.</w:t>
      </w:r>
    </w:p>
    <w:p w:rsidR="006435DE" w:rsidRDefault="006435DE">
      <w:pPr>
        <w:rPr>
          <w:noProof/>
          <w:u w:val="single"/>
        </w:rPr>
      </w:pPr>
    </w:p>
    <w:p w:rsidR="006435DE" w:rsidRDefault="00331FB9">
      <w:pPr>
        <w:rPr>
          <w:noProof/>
          <w:u w:val="single"/>
        </w:rPr>
      </w:pPr>
      <w:r>
        <w:rPr>
          <w:noProof/>
          <w:u w:val="single"/>
        </w:rPr>
        <w:t>République tchèque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Céréales, graines, 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Champignons et produits à base de </w:t>
            </w:r>
            <w:r>
              <w:rPr>
                <w:noProof/>
                <w:sz w:val="20"/>
              </w:rPr>
              <w:t>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Légumes et produits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Soupes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(30)</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4</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83,4 %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13,3 %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rPr>
          <w:noProof/>
          <w:sz w:val="20"/>
        </w:rPr>
      </w:pPr>
      <w:r>
        <w:rPr>
          <w:noProof/>
          <w:sz w:val="20"/>
        </w:rPr>
        <w:t>*irradiation non autorisée</w:t>
      </w:r>
    </w:p>
    <w:p w:rsidR="006435DE" w:rsidRDefault="00331FB9">
      <w:pPr>
        <w:rPr>
          <w:noProof/>
        </w:rPr>
      </w:pPr>
      <w:r>
        <w:rPr>
          <w:noProof/>
          <w:u w:val="single"/>
        </w:rPr>
        <w:t>Danemark</w:t>
      </w:r>
      <w:r>
        <w:rPr>
          <w:noProof/>
        </w:rPr>
        <w:t xml:space="preserve"> </w:t>
      </w:r>
      <w:r>
        <w:rPr>
          <w:noProof/>
        </w:rPr>
        <w:br/>
        <w:t xml:space="preserve">En raison de restrictions budgétaires, aucun contrôle n’a été effectué au stade de la commercialisation </w:t>
      </w:r>
      <w:r>
        <w:rPr>
          <w:noProof/>
        </w:rPr>
        <w:t>des produits au Danemark en 2015.</w:t>
      </w:r>
    </w:p>
    <w:p w:rsidR="006435DE" w:rsidRDefault="00331FB9">
      <w:pPr>
        <w:rPr>
          <w:noProof/>
        </w:rPr>
      </w:pPr>
      <w:r>
        <w:rPr>
          <w:noProof/>
          <w:u w:val="single"/>
        </w:rPr>
        <w:t>Estonie</w:t>
      </w:r>
      <w:r>
        <w:rPr>
          <w:noProof/>
        </w:rPr>
        <w:t xml:space="preserve"> </w:t>
      </w:r>
      <w:r>
        <w:rPr>
          <w:noProof/>
        </w:rPr>
        <w:br/>
        <w:t xml:space="preserve">En raison de l’absence de laboratoires effectuant des analyses de l’ionisation, aucun contrôle n’a été effectué au stade de la commercialisation des produits en Estonie en 2015. </w:t>
      </w:r>
    </w:p>
    <w:p w:rsidR="006435DE" w:rsidRDefault="00331FB9">
      <w:pPr>
        <w:spacing w:after="0"/>
        <w:rPr>
          <w:noProof/>
          <w:u w:val="single"/>
        </w:rPr>
      </w:pPr>
      <w:r>
        <w:rPr>
          <w:noProof/>
          <w:u w:val="single"/>
        </w:rPr>
        <w:t>France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w:t>
            </w:r>
            <w:r>
              <w:rPr>
                <w:b/>
                <w:noProof/>
                <w:sz w:val="20"/>
              </w:rPr>
              <w:t>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Céréales, graines, 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Céréales, graines, légumes et fruits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59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1787</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Poissons, </w:t>
            </w:r>
            <w:r>
              <w:rPr>
                <w:noProof/>
                <w:sz w:val="20"/>
              </w:rPr>
              <w:t>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Crustacés et mollusques (congelés)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1786</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Cuisses de </w:t>
            </w:r>
            <w:r>
              <w:rPr>
                <w:noProof/>
                <w:sz w:val="20"/>
              </w:rPr>
              <w:t>grenouilles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Viandes et produits à base de viande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1784</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(174)</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160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lastRenderedPageBreak/>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92,0 %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1,7 %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6,3 %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spacing w:after="0"/>
        <w:rPr>
          <w:noProof/>
          <w:sz w:val="20"/>
        </w:rPr>
      </w:pPr>
      <w:r>
        <w:rPr>
          <w:noProof/>
          <w:sz w:val="20"/>
        </w:rPr>
        <w:t xml:space="preserve">*étiquetage erroné </w:t>
      </w:r>
    </w:p>
    <w:p w:rsidR="006435DE" w:rsidRDefault="00331FB9">
      <w:pPr>
        <w:rPr>
          <w:noProof/>
          <w:sz w:val="20"/>
        </w:rPr>
      </w:pPr>
      <w:r>
        <w:rPr>
          <w:noProof/>
          <w:sz w:val="20"/>
        </w:rPr>
        <w:t>**étiquetage erroné et/ou irradiation non autorisée</w:t>
      </w:r>
    </w:p>
    <w:p w:rsidR="006435DE" w:rsidRDefault="00331FB9">
      <w:pPr>
        <w:spacing w:after="0"/>
        <w:rPr>
          <w:noProof/>
          <w:u w:val="single"/>
        </w:rPr>
      </w:pPr>
      <w:r>
        <w:rPr>
          <w:noProof/>
          <w:u w:val="single"/>
        </w:rPr>
        <w:t>Finlande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 xml:space="preserve">Catégorie </w:t>
            </w:r>
            <w:r>
              <w:rPr>
                <w:b/>
                <w:noProof/>
                <w:sz w:val="20"/>
              </w:rPr>
              <w:t>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Céréales, graines, 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Baies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Produits céréaliers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Champignons et </w:t>
            </w:r>
            <w:r>
              <w:rPr>
                <w:noProof/>
                <w:sz w:val="20"/>
              </w:rPr>
              <w:t>produits à 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Oignons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Algues (séchées)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Pâtes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Riz (farine)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Graines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Légumes et produits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99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Autres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Cacao</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 xml:space="preserve">Café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Plats (préparés)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Autres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Sauces et soupes (déshydratées)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(230)</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213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92,6 %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3,9 %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spacing w:after="0"/>
        <w:rPr>
          <w:noProof/>
          <w:sz w:val="20"/>
        </w:rPr>
      </w:pPr>
      <w:r>
        <w:rPr>
          <w:noProof/>
          <w:sz w:val="20"/>
        </w:rPr>
        <w:t>*étiquetage erroné et/ou irradiation dans des unités non agréées par l’UE</w:t>
      </w:r>
    </w:p>
    <w:p w:rsidR="006435DE" w:rsidRDefault="00331FB9">
      <w:pPr>
        <w:rPr>
          <w:noProof/>
          <w:sz w:val="20"/>
        </w:rPr>
      </w:pPr>
      <w:r>
        <w:rPr>
          <w:noProof/>
          <w:sz w:val="20"/>
        </w:rPr>
        <w:t>**irradiation non autorisée</w:t>
      </w:r>
    </w:p>
    <w:p w:rsidR="006435DE" w:rsidRDefault="00331FB9">
      <w:pPr>
        <w:spacing w:after="0"/>
        <w:rPr>
          <w:noProof/>
          <w:u w:val="single"/>
        </w:rPr>
      </w:pPr>
      <w:r>
        <w:rPr>
          <w:noProof/>
          <w:u w:val="single"/>
        </w:rPr>
        <w:t>Allemagne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Céréales, graines, légumes,</w:t>
            </w:r>
            <w:r>
              <w:rPr>
                <w:noProof/>
                <w:sz w:val="20"/>
              </w:rPr>
              <w:t xml:space="preserve">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Produits céréaliers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EN 1787</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Fruits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133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9***</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13708;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Fruits (frais)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81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13708;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Champignons (frais)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 xml:space="preserve">Champignons et produits à </w:t>
            </w:r>
            <w:r>
              <w:rPr>
                <w:noProof/>
                <w:sz w:val="20"/>
              </w:rPr>
              <w:lastRenderedPageBreak/>
              <w:t>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lastRenderedPageBreak/>
              <w:t>140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lastRenderedPageBreak/>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Pommes de terre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Légumineuses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1784;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Légumes et produits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1786;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Légumes (frais)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Poissons, 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Crustacés, coquillages, moules et autres animaux aquatiques (y compris leurs produits dérivés)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273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EN13708;</w:t>
            </w:r>
          </w:p>
          <w:p w:rsidR="006435DE" w:rsidRDefault="00331FB9">
            <w:pPr>
              <w:spacing w:after="0"/>
              <w:jc w:val="center"/>
              <w:rPr>
                <w:noProof/>
                <w:sz w:val="20"/>
              </w:rPr>
            </w:pPr>
            <w:r>
              <w:rPr>
                <w:noProof/>
                <w:sz w:val="20"/>
              </w:rPr>
              <w:t xml:space="preserve">EN 1786;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Poissons et produits à base de poisson</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58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8***</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1786; </w:t>
            </w:r>
          </w:p>
          <w:p w:rsidR="006435DE" w:rsidRDefault="00331FB9">
            <w:pPr>
              <w:spacing w:after="0"/>
              <w:jc w:val="center"/>
              <w:rPr>
                <w:noProof/>
                <w:sz w:val="20"/>
              </w:rPr>
            </w:pPr>
            <w:r>
              <w:rPr>
                <w:noProof/>
                <w:sz w:val="20"/>
              </w:rPr>
              <w:t>EN 1788</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Fines herbes et épices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1 254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Condiments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303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13708;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1785;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195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13708;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1785;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Viandes (sauf volaille et gibier)</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1784;</w:t>
            </w:r>
          </w:p>
          <w:p w:rsidR="006435DE" w:rsidRDefault="00331FB9">
            <w:pPr>
              <w:spacing w:after="0"/>
              <w:jc w:val="center"/>
              <w:rPr>
                <w:noProof/>
                <w:sz w:val="20"/>
              </w:rPr>
            </w:pPr>
            <w:r>
              <w:rPr>
                <w:noProof/>
                <w:sz w:val="20"/>
              </w:rPr>
              <w:t>EN 1786</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 xml:space="preserve">Viandes (de différents oiseaux, de kangourou, de </w:t>
            </w:r>
            <w:r>
              <w:rPr>
                <w:noProof/>
                <w:sz w:val="20"/>
              </w:rPr>
              <w:t>lièvre)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1786</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Produits à base de viande (sauf charcuteries)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1784; </w:t>
            </w:r>
          </w:p>
          <w:p w:rsidR="006435DE" w:rsidRDefault="00331FB9">
            <w:pPr>
              <w:spacing w:after="0"/>
              <w:jc w:val="center"/>
              <w:rPr>
                <w:noProof/>
                <w:sz w:val="20"/>
              </w:rPr>
            </w:pPr>
            <w:r>
              <w:rPr>
                <w:noProof/>
                <w:sz w:val="20"/>
              </w:rPr>
              <w:t>EN 1786</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Viande de volaille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142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1784; </w:t>
            </w:r>
          </w:p>
          <w:p w:rsidR="006435DE" w:rsidRDefault="00331FB9">
            <w:pPr>
              <w:spacing w:after="0"/>
              <w:jc w:val="center"/>
              <w:rPr>
                <w:noProof/>
                <w:sz w:val="20"/>
              </w:rPr>
            </w:pPr>
            <w:r>
              <w:rPr>
                <w:noProof/>
                <w:sz w:val="20"/>
              </w:rPr>
              <w:t>EN 1786</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Charcuterie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1786</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Lait et produits laitiers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Fromage (contenant des épices/des fines herbes)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1784;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168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Plats (préparés)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EN 1786</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Œufs et ovoproduits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1784</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Aliments divers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35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13708; </w:t>
            </w:r>
          </w:p>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Sauces et soupes</w:t>
            </w:r>
            <w:r>
              <w:rPr>
                <w:noProof/>
                <w:sz w:val="20"/>
              </w:rPr>
              <w:t xml:space="preserve"> (déshydratées)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159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1784; EN 1788; EN 1785; EN </w:t>
            </w:r>
            <w:r>
              <w:rPr>
                <w:noProof/>
                <w:sz w:val="20"/>
              </w:rPr>
              <w:lastRenderedPageBreak/>
              <w:t>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lastRenderedPageBreak/>
              <w:t>Total (3 344)</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3 281</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24</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39</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98,1 %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0,7 %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1,2 %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spacing w:after="0"/>
        <w:rPr>
          <w:noProof/>
          <w:sz w:val="20"/>
        </w:rPr>
      </w:pPr>
      <w:r>
        <w:rPr>
          <w:noProof/>
          <w:sz w:val="20"/>
        </w:rPr>
        <w:t xml:space="preserve">*étiquetage erroné </w:t>
      </w:r>
    </w:p>
    <w:p w:rsidR="006435DE" w:rsidRDefault="00331FB9">
      <w:pPr>
        <w:spacing w:after="0"/>
        <w:rPr>
          <w:noProof/>
          <w:sz w:val="20"/>
        </w:rPr>
      </w:pPr>
      <w:r>
        <w:rPr>
          <w:noProof/>
          <w:sz w:val="20"/>
        </w:rPr>
        <w:t xml:space="preserve">**étiquetage erroné et/ou irradiation non autorisée </w:t>
      </w:r>
    </w:p>
    <w:p w:rsidR="006435DE" w:rsidRDefault="00331FB9">
      <w:pPr>
        <w:rPr>
          <w:noProof/>
          <w:sz w:val="20"/>
        </w:rPr>
      </w:pPr>
      <w:r>
        <w:rPr>
          <w:noProof/>
          <w:sz w:val="20"/>
        </w:rPr>
        <w:t>***irradiation non autorisée</w:t>
      </w:r>
    </w:p>
    <w:p w:rsidR="006435DE" w:rsidRDefault="00331FB9">
      <w:pPr>
        <w:spacing w:after="0"/>
        <w:rPr>
          <w:noProof/>
          <w:u w:val="single"/>
        </w:rPr>
      </w:pPr>
      <w:r>
        <w:rPr>
          <w:noProof/>
          <w:u w:val="single"/>
        </w:rPr>
        <w:t>Grèce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(10)</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w:t>
            </w:r>
            <w:r>
              <w:rPr>
                <w:noProof/>
                <w:color w:val="000000"/>
                <w:sz w:val="20"/>
              </w:rPr>
              <w:t xml:space="preserve">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spacing w:after="0"/>
        <w:rPr>
          <w:noProof/>
          <w:u w:val="single"/>
        </w:rPr>
      </w:pPr>
      <w:r>
        <w:rPr>
          <w:noProof/>
          <w:u w:val="single"/>
        </w:rPr>
        <w:t>Hongrie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75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w:t>
            </w:r>
            <w:r>
              <w:rPr>
                <w:noProof/>
                <w:sz w:val="20"/>
              </w:rPr>
              <w:t xml:space="preserve"> 1788</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(76)</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98,7 %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rPr>
          <w:noProof/>
          <w:sz w:val="20"/>
        </w:rPr>
      </w:pPr>
      <w:r>
        <w:rPr>
          <w:noProof/>
          <w:sz w:val="20"/>
        </w:rPr>
        <w:t xml:space="preserve">*étiquetage erroné </w:t>
      </w:r>
    </w:p>
    <w:p w:rsidR="006435DE" w:rsidRDefault="00331FB9">
      <w:pPr>
        <w:spacing w:after="0"/>
        <w:rPr>
          <w:noProof/>
          <w:u w:val="single"/>
        </w:rPr>
      </w:pPr>
      <w:r>
        <w:rPr>
          <w:noProof/>
          <w:u w:val="single"/>
        </w:rPr>
        <w:t>Irlande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Céréales, graines, légumes, </w:t>
            </w:r>
            <w:r>
              <w:rPr>
                <w:noProof/>
                <w:sz w:val="20"/>
              </w:rPr>
              <w:t>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Baies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Barres de cacahuètes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Fines herbes et épices (fraîches)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 xml:space="preserve">Autres: basilic (3), feuilles de laurier (1), origan </w:t>
            </w:r>
            <w:r>
              <w:rPr>
                <w:noProof/>
                <w:sz w:val="20"/>
              </w:rPr>
              <w:t>(1), mélange d’épices pour cornichons (1), paprika fumé (1), garam masala (1), paprika fort biologique (1), cannelle moulue (1), noix de muscade moulue (1), fines herbes et épices (1)</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 xml:space="preserve">Denrées alimentaires destinées à une </w:t>
            </w:r>
            <w:r>
              <w:rPr>
                <w:noProof/>
                <w:sz w:val="20"/>
              </w:rPr>
              <w:t>alimentation particulière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35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31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Sauces de soja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(87)</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86</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98,9 %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rPr>
      </w:pPr>
    </w:p>
    <w:p w:rsidR="00DE606F" w:rsidRDefault="00DE606F">
      <w:pPr>
        <w:spacing w:after="0"/>
        <w:jc w:val="left"/>
        <w:rPr>
          <w:noProof/>
          <w:u w:val="single"/>
        </w:rPr>
      </w:pPr>
      <w:r>
        <w:rPr>
          <w:noProof/>
          <w:u w:val="single"/>
        </w:rPr>
        <w:br w:type="page"/>
      </w:r>
    </w:p>
    <w:p w:rsidR="006435DE" w:rsidRDefault="00331FB9">
      <w:pPr>
        <w:spacing w:before="480" w:after="0"/>
        <w:rPr>
          <w:noProof/>
          <w:u w:val="single"/>
        </w:rPr>
      </w:pPr>
      <w:bookmarkStart w:id="7" w:name="_GoBack"/>
      <w:bookmarkEnd w:id="7"/>
      <w:r>
        <w:rPr>
          <w:noProof/>
          <w:u w:val="single"/>
        </w:rPr>
        <w:lastRenderedPageBreak/>
        <w:t>Italie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Fines herbes et épices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13784;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 xml:space="preserve">EN </w:t>
            </w:r>
            <w:r>
              <w:rPr>
                <w:noProof/>
                <w:sz w:val="20"/>
              </w:rPr>
              <w:t>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Cuisses de grenouilles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1786</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Viandes (sauf volaille et gibier)</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1786;</w:t>
            </w:r>
          </w:p>
          <w:p w:rsidR="006435DE" w:rsidRDefault="00331FB9">
            <w:pPr>
              <w:spacing w:after="0"/>
              <w:jc w:val="center"/>
              <w:rPr>
                <w:noProof/>
                <w:sz w:val="20"/>
              </w:rPr>
            </w:pPr>
            <w:r>
              <w:rPr>
                <w:noProof/>
                <w:sz w:val="20"/>
              </w:rPr>
              <w:t>EN 13784</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 de volaille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13784;</w:t>
            </w:r>
          </w:p>
          <w:p w:rsidR="006435DE" w:rsidRDefault="00331FB9">
            <w:pPr>
              <w:spacing w:after="0"/>
              <w:jc w:val="center"/>
              <w:rPr>
                <w:noProof/>
                <w:sz w:val="20"/>
              </w:rPr>
            </w:pPr>
            <w:r>
              <w:rPr>
                <w:noProof/>
                <w:sz w:val="20"/>
              </w:rPr>
              <w:t>EN 1786;</w:t>
            </w:r>
          </w:p>
          <w:p w:rsidR="006435DE" w:rsidRDefault="00331FB9">
            <w:pPr>
              <w:spacing w:after="0"/>
              <w:jc w:val="center"/>
              <w:rPr>
                <w:noProof/>
                <w:sz w:val="20"/>
              </w:rPr>
            </w:pPr>
            <w:r>
              <w:rPr>
                <w:noProof/>
                <w:sz w:val="20"/>
              </w:rPr>
              <w:t>EN 1785</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 xml:space="preserve">Poissons, </w:t>
            </w:r>
            <w:r>
              <w:rPr>
                <w:noProof/>
                <w:sz w:val="20"/>
              </w:rPr>
              <w:t>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Crustacés et mollusques (congelés)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EN 1786;</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Poissons et produits à base de poisson</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44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13784;</w:t>
            </w:r>
          </w:p>
          <w:p w:rsidR="006435DE" w:rsidRDefault="00331FB9">
            <w:pPr>
              <w:spacing w:after="0"/>
              <w:jc w:val="center"/>
              <w:rPr>
                <w:noProof/>
                <w:sz w:val="20"/>
              </w:rPr>
            </w:pPr>
            <w:r>
              <w:rPr>
                <w:noProof/>
                <w:sz w:val="20"/>
              </w:rPr>
              <w:t>EN 1786;</w:t>
            </w:r>
          </w:p>
          <w:p w:rsidR="006435DE" w:rsidRDefault="00331FB9">
            <w:pPr>
              <w:spacing w:after="0"/>
              <w:jc w:val="center"/>
              <w:rPr>
                <w:noProof/>
                <w:sz w:val="20"/>
              </w:rPr>
            </w:pPr>
            <w:r>
              <w:rPr>
                <w:noProof/>
                <w:sz w:val="20"/>
              </w:rPr>
              <w:t>EN 1785</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Céréales, graines, légumes, fruits et leurs produits </w:t>
            </w:r>
            <w:r>
              <w:rPr>
                <w:noProof/>
                <w:sz w:val="20"/>
              </w:rPr>
              <w:t>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Céréales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13708;</w:t>
            </w:r>
          </w:p>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1787</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13708; </w:t>
            </w:r>
          </w:p>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EN13784;</w:t>
            </w:r>
          </w:p>
          <w:p w:rsidR="006435DE" w:rsidRDefault="00331FB9">
            <w:pPr>
              <w:spacing w:after="0"/>
              <w:jc w:val="center"/>
              <w:rPr>
                <w:noProof/>
                <w:sz w:val="20"/>
              </w:rPr>
            </w:pPr>
            <w:r>
              <w:rPr>
                <w:noProof/>
                <w:sz w:val="20"/>
              </w:rPr>
              <w:t>EN 1787</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Ail</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13784;</w:t>
            </w:r>
          </w:p>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Champignons et produits à 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1787;</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à coque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13784;</w:t>
            </w:r>
            <w:r>
              <w:rPr>
                <w:noProof/>
                <w:sz w:val="20"/>
              </w:rPr>
              <w:br/>
              <w:t>EN 1788;</w:t>
            </w:r>
            <w:r>
              <w:rPr>
                <w:noProof/>
                <w:sz w:val="20"/>
              </w:rPr>
              <w:br/>
              <w:t>EN 1787</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Graines oléagineuses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Oignons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13784;</w:t>
            </w:r>
          </w:p>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Tomates et carottes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Pommes de terre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Légumineuses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13784; </w:t>
            </w:r>
          </w:p>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EN 1787</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Matières premières d’origine végétale destinées à être utilisées comme ingrédient de complément alimentaire </w:t>
            </w:r>
            <w:r>
              <w:rPr>
                <w:noProof/>
                <w:sz w:val="20"/>
              </w:rPr>
              <w:lastRenderedPageBreak/>
              <w:t>végétal</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lastRenderedPageBreak/>
              <w:t>34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1788; </w:t>
            </w:r>
          </w:p>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Sauces et soupes (déshydratées)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(539)</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532</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98,7 %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0,7 %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1,3 %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spacing w:after="0"/>
        <w:rPr>
          <w:noProof/>
          <w:sz w:val="20"/>
        </w:rPr>
      </w:pPr>
      <w:r>
        <w:rPr>
          <w:noProof/>
          <w:sz w:val="20"/>
        </w:rPr>
        <w:t xml:space="preserve">*étiquetage erroné </w:t>
      </w:r>
    </w:p>
    <w:p w:rsidR="006435DE" w:rsidRDefault="00331FB9">
      <w:pPr>
        <w:rPr>
          <w:noProof/>
          <w:sz w:val="20"/>
        </w:rPr>
      </w:pPr>
      <w:r>
        <w:rPr>
          <w:noProof/>
          <w:sz w:val="20"/>
        </w:rPr>
        <w:t xml:space="preserve">**étiquetage erroné et/ou irradiation non autorisée </w:t>
      </w:r>
    </w:p>
    <w:p w:rsidR="006435DE" w:rsidRDefault="00331FB9">
      <w:pPr>
        <w:spacing w:after="0"/>
        <w:rPr>
          <w:noProof/>
          <w:u w:val="single"/>
        </w:rPr>
      </w:pPr>
      <w:r>
        <w:rPr>
          <w:noProof/>
          <w:u w:val="single"/>
        </w:rPr>
        <w:t>Lettonie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 xml:space="preserve">Catégorie de denrées </w:t>
            </w:r>
            <w:r>
              <w:rPr>
                <w:b/>
                <w:noProof/>
                <w:sz w:val="20"/>
              </w:rPr>
              <w:t>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(12)</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11</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91.7%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8.3%</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rPr>
          <w:noProof/>
          <w:sz w:val="20"/>
        </w:rPr>
      </w:pPr>
      <w:r>
        <w:rPr>
          <w:noProof/>
          <w:sz w:val="20"/>
        </w:rPr>
        <w:t xml:space="preserve">*irradiation non autorisée </w:t>
      </w:r>
    </w:p>
    <w:p w:rsidR="006435DE" w:rsidRDefault="00331FB9">
      <w:pPr>
        <w:spacing w:after="0"/>
        <w:rPr>
          <w:noProof/>
          <w:u w:val="single"/>
        </w:rPr>
      </w:pPr>
      <w:r>
        <w:rPr>
          <w:noProof/>
          <w:u w:val="single"/>
        </w:rPr>
        <w:t>Lituanie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Herbes aromatiques, </w:t>
            </w:r>
            <w:r>
              <w:rPr>
                <w:noProof/>
                <w:sz w:val="20"/>
              </w:rPr>
              <w:t>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13783</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13783</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13783</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Légumes, produits végétaux et champignons, algues séchées (matière première pour production de denrées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13783</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(75)</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rPr>
      </w:pPr>
    </w:p>
    <w:p w:rsidR="006435DE" w:rsidRDefault="00331FB9">
      <w:pPr>
        <w:spacing w:after="0"/>
        <w:rPr>
          <w:noProof/>
          <w:u w:val="single"/>
        </w:rPr>
      </w:pPr>
      <w:r>
        <w:rPr>
          <w:noProof/>
          <w:u w:val="single"/>
        </w:rPr>
        <w:t>Luxembourg</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 xml:space="preserve">Poissons, crustacés, coquillages et </w:t>
            </w:r>
            <w:r>
              <w:rPr>
                <w:noProof/>
                <w:sz w:val="20"/>
              </w:rPr>
              <w:t>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Crustacés et mollusques (congelés)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Crustacés, coquillages, moules et autres animaux aquatiques (y compris leurs produits dérivés)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Sauces et soupes (déshydratées)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(19)</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18</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94,7 %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5,3 %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rPr>
      </w:pPr>
    </w:p>
    <w:p w:rsidR="006435DE" w:rsidRDefault="00331FB9">
      <w:pPr>
        <w:spacing w:after="0"/>
        <w:rPr>
          <w:noProof/>
          <w:u w:val="single"/>
        </w:rPr>
      </w:pPr>
      <w:r>
        <w:rPr>
          <w:noProof/>
          <w:u w:val="single"/>
        </w:rPr>
        <w:t>Malte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Céréales, graines, </w:t>
            </w:r>
            <w:r>
              <w:rPr>
                <w:noProof/>
                <w:sz w:val="20"/>
              </w:rPr>
              <w:lastRenderedPageBreak/>
              <w:t>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lastRenderedPageBreak/>
              <w:t xml:space="preserve">Céréales, </w:t>
            </w:r>
            <w:r>
              <w:rPr>
                <w:noProof/>
                <w:sz w:val="20"/>
              </w:rPr>
              <w:t xml:space="preserve">graines, légumes et </w:t>
            </w:r>
            <w:r>
              <w:rPr>
                <w:noProof/>
                <w:sz w:val="20"/>
              </w:rPr>
              <w:lastRenderedPageBreak/>
              <w:t>fruits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lastRenderedPageBreak/>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Nouilles à préparation instantanée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Champignons et produits à 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Oignons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Algues séchées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Poissons, 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Poissons et fruits de mer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Soupes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(77)</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69</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89,6 %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3,9 %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6,5 %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spacing w:after="0"/>
        <w:rPr>
          <w:noProof/>
          <w:sz w:val="20"/>
        </w:rPr>
      </w:pPr>
      <w:r>
        <w:rPr>
          <w:noProof/>
          <w:sz w:val="20"/>
        </w:rPr>
        <w:t xml:space="preserve">*irradiation non autorisée </w:t>
      </w:r>
    </w:p>
    <w:p w:rsidR="006435DE" w:rsidRDefault="00331FB9">
      <w:pPr>
        <w:rPr>
          <w:noProof/>
          <w:sz w:val="20"/>
        </w:rPr>
      </w:pPr>
      <w:r>
        <w:rPr>
          <w:noProof/>
          <w:sz w:val="20"/>
        </w:rPr>
        <w:t>**étiquetage erroné</w:t>
      </w:r>
    </w:p>
    <w:p w:rsidR="006435DE" w:rsidRDefault="00331FB9">
      <w:pPr>
        <w:spacing w:after="0"/>
        <w:rPr>
          <w:noProof/>
          <w:u w:val="single"/>
        </w:rPr>
      </w:pPr>
      <w:r>
        <w:rPr>
          <w:noProof/>
          <w:u w:val="single"/>
        </w:rPr>
        <w:t>Pays-Bas</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Céréales, graines, 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Produits céréaliers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Céréales, graines, légumes et fruits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Champignons et produits à 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à coque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Légumes et produits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Poissons, 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Crevettes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 de volaille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Chips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r>
              <w:rPr>
                <w:noProof/>
                <w:sz w:val="20"/>
                <w:szCs w:val="18"/>
              </w:rPr>
              <w:br/>
            </w: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Soupes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r>
              <w:rPr>
                <w:noProof/>
                <w:sz w:val="20"/>
                <w:szCs w:val="18"/>
              </w:rPr>
              <w:br/>
            </w: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(54)</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54</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u w:val="single"/>
        </w:rPr>
      </w:pPr>
    </w:p>
    <w:p w:rsidR="006435DE" w:rsidRDefault="00331FB9">
      <w:pPr>
        <w:spacing w:after="0"/>
        <w:rPr>
          <w:noProof/>
          <w:u w:val="single"/>
        </w:rPr>
      </w:pPr>
      <w:r>
        <w:rPr>
          <w:noProof/>
          <w:u w:val="single"/>
        </w:rPr>
        <w:t>Pologne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Céréales, graines, </w:t>
            </w:r>
            <w:r>
              <w:rPr>
                <w:noProof/>
                <w:sz w:val="20"/>
              </w:rPr>
              <w:lastRenderedPageBreak/>
              <w:t>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lastRenderedPageBreak/>
              <w:t>Fruits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13708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1787</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(tropicaux)</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Ail</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13708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Nouilles à préparation instantanée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Champignons (frais)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Champignons et produits à 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à coque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1787</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Oignons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Pâtes avec épinards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Pâtes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Pommes de terre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Légumineuses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Légumes et produits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Légumes (frais)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rPr>
            </w:pPr>
            <w:r>
              <w:rPr>
                <w:noProof/>
                <w:sz w:val="20"/>
              </w:rPr>
              <w:t>Poissons, 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Crustacés et mollusques (congelés)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Crustacés, </w:t>
            </w:r>
            <w:r>
              <w:rPr>
                <w:noProof/>
                <w:sz w:val="20"/>
              </w:rPr>
              <w:t>coquillages, moules et autres animaux aquatiques (y compris leurs produits dérivés)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1786; </w:t>
            </w:r>
          </w:p>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Poissons et produits à base de poisson</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Bouillon de crevettes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Crevettes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 xml:space="preserve">Fines herbes et épices </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48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after="0"/>
              <w:jc w:val="left"/>
              <w:rPr>
                <w:noProof/>
                <w:sz w:val="20"/>
              </w:rPr>
            </w:pPr>
            <w:r>
              <w:rPr>
                <w:noProof/>
                <w:sz w:val="20"/>
              </w:rPr>
              <w:t>Lait et produits laitiers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Fromage (contenant des épices/des fines herbes)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Fromage </w:t>
            </w:r>
            <w:r>
              <w:rPr>
                <w:noProof/>
                <w:sz w:val="20"/>
              </w:rPr>
              <w:t>(frais)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Fromage (affiné)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Bouillon de poulet</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Cuisses de grenouilles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Viandes et produits à base de viande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Viandes </w:t>
            </w:r>
            <w:r>
              <w:rPr>
                <w:noProof/>
                <w:sz w:val="20"/>
              </w:rPr>
              <w:t>(sauf volaille et gibier)</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1784; </w:t>
            </w:r>
          </w:p>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Viandes (de différents oiseaux, de kangourou, de lièvre)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1784; </w:t>
            </w:r>
          </w:p>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Viandes, abats, produits de viande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1784; </w:t>
            </w:r>
          </w:p>
          <w:p w:rsidR="006435DE" w:rsidRDefault="00331FB9">
            <w:pPr>
              <w:spacing w:after="0"/>
              <w:jc w:val="center"/>
              <w:rPr>
                <w:noProof/>
                <w:sz w:val="20"/>
                <w:szCs w:val="18"/>
              </w:rPr>
            </w:pPr>
            <w:r>
              <w:rPr>
                <w:noProof/>
                <w:sz w:val="20"/>
              </w:rPr>
              <w:t>EN 1786</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 de volaille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1784; </w:t>
            </w:r>
          </w:p>
          <w:p w:rsidR="006435DE" w:rsidRDefault="00331FB9">
            <w:pPr>
              <w:spacing w:after="0"/>
              <w:jc w:val="center"/>
              <w:rPr>
                <w:noProof/>
                <w:sz w:val="20"/>
                <w:szCs w:val="18"/>
              </w:rPr>
            </w:pPr>
            <w:r>
              <w:rPr>
                <w:noProof/>
                <w:sz w:val="20"/>
              </w:rPr>
              <w:t>EN 1786</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Cacao</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Café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Denrées alimentaires destinées à une alimentation particulière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Autres: sauce barbecue (1), bouillon de légumes (1), pâte de coriandre (1),</w:t>
            </w:r>
            <w:r>
              <w:rPr>
                <w:noProof/>
                <w:sz w:val="20"/>
              </w:rPr>
              <w:t xml:space="preserve"> condiments pour soupe de poulet (1), nouilles à préparation instantanée (1), bouillon cube de légumes (1), plat préparé oriental avec du poulet (1), soupe instantanée saveur poulet au curry avec nouilles (1)</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Sauces et soupes </w:t>
            </w:r>
            <w:r>
              <w:rPr>
                <w:noProof/>
                <w:sz w:val="20"/>
              </w:rPr>
              <w:t>(déshydratées)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(317)</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315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99,4 %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0,6 %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rPr>
          <w:noProof/>
          <w:sz w:val="20"/>
        </w:rPr>
      </w:pPr>
      <w:r>
        <w:rPr>
          <w:noProof/>
          <w:sz w:val="20"/>
        </w:rPr>
        <w:t>*étiquetage erroné</w:t>
      </w:r>
    </w:p>
    <w:p w:rsidR="006435DE" w:rsidRDefault="00331FB9">
      <w:pPr>
        <w:spacing w:after="0"/>
        <w:rPr>
          <w:noProof/>
          <w:u w:val="single"/>
        </w:rPr>
      </w:pPr>
      <w:r>
        <w:rPr>
          <w:noProof/>
          <w:u w:val="single"/>
        </w:rPr>
        <w:t>Portugal</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Méthode CEN </w:t>
            </w:r>
            <w:r>
              <w:rPr>
                <w:b/>
                <w:noProof/>
                <w:sz w:val="20"/>
              </w:rPr>
              <w:t>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bCs/>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bCs/>
                <w:noProof/>
                <w:sz w:val="20"/>
                <w:szCs w:val="18"/>
              </w:rPr>
            </w:pPr>
            <w:r>
              <w:rPr>
                <w:noProof/>
                <w:sz w:val="20"/>
              </w:rPr>
              <w:t>Parties de plantes (gousse de séné, fleur de camomille et moringa)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EN 13751</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bCs/>
                <w:noProof/>
                <w:sz w:val="20"/>
                <w:szCs w:val="18"/>
              </w:rPr>
            </w:pPr>
            <w:r>
              <w:rPr>
                <w:noProof/>
                <w:sz w:val="20"/>
              </w:rPr>
              <w:t>Enzymes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bCs/>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bCs/>
                <w:noProof/>
                <w:sz w:val="20"/>
                <w:szCs w:val="18"/>
              </w:rPr>
            </w:pPr>
            <w:r>
              <w:rPr>
                <w:noProof/>
                <w:sz w:val="20"/>
              </w:rPr>
              <w:t>Extrait de ginseng</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bCs/>
                <w:noProof/>
                <w:sz w:val="20"/>
                <w:szCs w:val="18"/>
              </w:rPr>
            </w:pPr>
            <w:r>
              <w:rPr>
                <w:noProof/>
                <w:sz w:val="20"/>
              </w:rPr>
              <w:t>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(9)</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u w:val="single"/>
        </w:rPr>
      </w:pPr>
    </w:p>
    <w:p w:rsidR="006435DE" w:rsidRDefault="00331FB9">
      <w:pPr>
        <w:spacing w:after="0"/>
        <w:rPr>
          <w:noProof/>
          <w:u w:val="single"/>
        </w:rPr>
      </w:pPr>
      <w:r>
        <w:rPr>
          <w:noProof/>
          <w:u w:val="single"/>
        </w:rPr>
        <w:t>Roumanie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Céréales, </w:t>
            </w:r>
            <w:r>
              <w:rPr>
                <w:noProof/>
                <w:sz w:val="20"/>
              </w:rPr>
              <w:t>graines, 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Fruits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Champignons et produits à 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jc w:val="left"/>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Légumes et produits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Herbes aromatiques, </w:t>
            </w:r>
            <w:r>
              <w:rPr>
                <w:noProof/>
                <w:sz w:val="20"/>
              </w:rPr>
              <w:t>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143</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8*</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9</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6</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13751 </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(314)</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297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7</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94,6 %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2,2 %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3,2 %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rPr>
          <w:noProof/>
          <w:sz w:val="20"/>
        </w:rPr>
      </w:pPr>
      <w:r>
        <w:rPr>
          <w:noProof/>
          <w:sz w:val="20"/>
        </w:rPr>
        <w:t>*irradiation dans des unités non agréées par l’UE</w:t>
      </w:r>
    </w:p>
    <w:p w:rsidR="006435DE" w:rsidRDefault="00331FB9">
      <w:pPr>
        <w:spacing w:after="0"/>
        <w:rPr>
          <w:noProof/>
          <w:u w:val="single"/>
        </w:rPr>
      </w:pPr>
      <w:r>
        <w:rPr>
          <w:noProof/>
          <w:u w:val="single"/>
        </w:rPr>
        <w:t>Slovaquie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Céréales, graines, légumes, fruits et leurs produits </w:t>
            </w:r>
            <w:r>
              <w:rPr>
                <w:noProof/>
                <w:sz w:val="20"/>
              </w:rPr>
              <w:lastRenderedPageBreak/>
              <w:t>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lastRenderedPageBreak/>
              <w:t>Fruits à coque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17</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1784</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Graines oléagineuses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1784</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lastRenderedPageBreak/>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Filets de saumon</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1784</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Lait et produits laitiers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Fromage </w:t>
            </w:r>
            <w:r>
              <w:rPr>
                <w:noProof/>
                <w:sz w:val="20"/>
              </w:rPr>
              <w:t>(affiné)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1784</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(314)</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26</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u w:val="single"/>
        </w:rPr>
      </w:pPr>
    </w:p>
    <w:p w:rsidR="006435DE" w:rsidRDefault="00331FB9">
      <w:pPr>
        <w:spacing w:after="0"/>
        <w:rPr>
          <w:noProof/>
          <w:u w:val="single"/>
        </w:rPr>
      </w:pPr>
      <w:r>
        <w:rPr>
          <w:noProof/>
          <w:u w:val="single"/>
        </w:rPr>
        <w:t>Slovénie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tcBorders>
              <w:top w:val="single" w:sz="4" w:space="0" w:color="auto"/>
              <w:left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 xml:space="preserve">Céréales, graines, légumes, </w:t>
            </w:r>
            <w:r>
              <w:rPr>
                <w:noProof/>
                <w:sz w:val="20"/>
              </w:rPr>
              <w:t>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Ail</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13751</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rPr>
                <w:noProof/>
              </w:rPr>
            </w:pPr>
            <w:r>
              <w:rPr>
                <w:noProof/>
              </w:rPr>
              <w:t>Viande de volaille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rPr>
                <w:noProof/>
              </w:rPr>
            </w:pPr>
            <w:r>
              <w:rPr>
                <w:noProof/>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rPr>
                <w:noProof/>
              </w:rPr>
            </w:pPr>
            <w:r>
              <w:rPr>
                <w:noProof/>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rPr>
                <w:noProof/>
              </w:rPr>
            </w:pPr>
            <w:r>
              <w:rPr>
                <w:noProof/>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rPr>
                <w:noProof/>
              </w:rPr>
            </w:pPr>
            <w:r>
              <w:rPr>
                <w:noProof/>
              </w:rPr>
              <w:t>EN 1786</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left"/>
              <w:rPr>
                <w:noProof/>
                <w:sz w:val="20"/>
                <w:szCs w:val="18"/>
              </w:rPr>
            </w:pPr>
            <w:r>
              <w:rPr>
                <w:noProof/>
                <w:sz w:val="20"/>
              </w:rPr>
              <w:t>Sauces et soupes (déshydratées)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 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(17)</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17</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u w:val="single"/>
        </w:rPr>
      </w:pPr>
    </w:p>
    <w:p w:rsidR="006435DE" w:rsidRDefault="00331FB9">
      <w:pPr>
        <w:spacing w:after="0"/>
        <w:rPr>
          <w:noProof/>
          <w:u w:val="single"/>
        </w:rPr>
      </w:pPr>
      <w:r>
        <w:rPr>
          <w:noProof/>
          <w:u w:val="single"/>
        </w:rPr>
        <w:t>Espagne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Méthode CEN </w:t>
            </w:r>
            <w:r>
              <w:rPr>
                <w:b/>
                <w:noProof/>
                <w:sz w:val="20"/>
              </w:rPr>
              <w:t>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szCs w:val="18"/>
              </w:rPr>
            </w:pPr>
            <w:r>
              <w:rPr>
                <w:noProof/>
                <w:sz w:val="20"/>
              </w:rPr>
              <w:t>Céréales, graines, légumes, fruits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Fruits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13708</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Champignons et produits à base de champignons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8</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Fruits à coque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1787</w:t>
            </w:r>
          </w:p>
        </w:tc>
      </w:tr>
      <w:tr w:rsidR="006435DE">
        <w:trPr>
          <w:trHeight w:val="270"/>
        </w:trPr>
        <w:tc>
          <w:tcPr>
            <w:tcW w:w="1920" w:type="dxa"/>
            <w:vMerge/>
            <w:tcBorders>
              <w:top w:val="single" w:sz="4" w:space="0" w:color="auto"/>
              <w:left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Graines oléagineuses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14</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Légumes et produits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1788;</w:t>
            </w:r>
          </w:p>
          <w:p w:rsidR="006435DE" w:rsidRDefault="00331FB9">
            <w:pPr>
              <w:spacing w:after="0"/>
              <w:jc w:val="center"/>
              <w:rPr>
                <w:noProof/>
                <w:sz w:val="20"/>
              </w:rPr>
            </w:pPr>
            <w:r>
              <w:rPr>
                <w:noProof/>
                <w:sz w:val="20"/>
              </w:rPr>
              <w:t>EN 1787;</w:t>
            </w:r>
          </w:p>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91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1787; </w:t>
            </w:r>
          </w:p>
          <w:p w:rsidR="006435DE" w:rsidRDefault="00331FB9">
            <w:pPr>
              <w:spacing w:after="0"/>
              <w:jc w:val="center"/>
              <w:rPr>
                <w:noProof/>
                <w:sz w:val="20"/>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Tisanes/infusions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32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13751</w:t>
            </w:r>
          </w:p>
        </w:tc>
      </w:tr>
      <w:tr w:rsidR="006435DE">
        <w:trPr>
          <w:trHeight w:val="27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 xml:space="preserve">Poissons, crustacés, coquillages et </w:t>
            </w:r>
            <w:r>
              <w:rPr>
                <w:noProof/>
                <w:sz w:val="20"/>
              </w:rPr>
              <w:t>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Crustacés, coquillages, moules et autres animaux aquatiques (y compris leurs produits dérivés)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16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1786</w:t>
            </w:r>
          </w:p>
        </w:tc>
      </w:tr>
      <w:tr w:rsidR="006435DE">
        <w:trPr>
          <w:trHeight w:val="270"/>
        </w:trPr>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6435DE">
            <w:pPr>
              <w:spacing w:before="40" w:after="4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Poissons et produits à base de poisson</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EN 1786</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Viande de volaille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 xml:space="preserve">EN </w:t>
            </w:r>
            <w:r>
              <w:rPr>
                <w:noProof/>
                <w:sz w:val="20"/>
              </w:rPr>
              <w:t>1786</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(237)</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235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2</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lastRenderedPageBreak/>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99,2 %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0,8 %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rPr>
      </w:pPr>
    </w:p>
    <w:p w:rsidR="006435DE" w:rsidRDefault="00331FB9">
      <w:pPr>
        <w:spacing w:after="0"/>
        <w:rPr>
          <w:noProof/>
          <w:u w:val="single"/>
        </w:rPr>
      </w:pPr>
      <w:r>
        <w:rPr>
          <w:noProof/>
          <w:u w:val="single"/>
        </w:rPr>
        <w:t>Suède</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tcBorders>
              <w:left w:val="single" w:sz="4" w:space="0" w:color="auto"/>
              <w:bottom w:val="single" w:sz="4" w:space="0" w:color="auto"/>
              <w:right w:val="single" w:sz="4" w:space="0" w:color="auto"/>
            </w:tcBorders>
            <w:shd w:val="clear" w:color="auto" w:fill="auto"/>
            <w:noWrap/>
            <w:vAlign w:val="center"/>
          </w:tcPr>
          <w:p w:rsidR="006435DE" w:rsidRDefault="00331FB9">
            <w:pPr>
              <w:spacing w:after="0"/>
              <w:jc w:val="left"/>
              <w:rPr>
                <w:noProof/>
                <w:sz w:val="20"/>
              </w:rPr>
            </w:pPr>
            <w:r>
              <w:rPr>
                <w:noProof/>
                <w:sz w:val="20"/>
              </w:rPr>
              <w:t>Viandes et produits à base de viande</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left"/>
              <w:rPr>
                <w:noProof/>
                <w:sz w:val="20"/>
                <w:szCs w:val="18"/>
              </w:rPr>
            </w:pPr>
            <w:r>
              <w:rPr>
                <w:noProof/>
                <w:sz w:val="20"/>
              </w:rPr>
              <w:t>Viande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5</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1784</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(5)</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100 %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0 %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6435DE">
      <w:pPr>
        <w:rPr>
          <w:noProof/>
          <w:u w:val="single"/>
        </w:rPr>
      </w:pPr>
    </w:p>
    <w:p w:rsidR="006435DE" w:rsidRDefault="00331FB9">
      <w:pPr>
        <w:spacing w:after="0"/>
        <w:rPr>
          <w:noProof/>
          <w:u w:val="single"/>
        </w:rPr>
      </w:pPr>
      <w:r>
        <w:rPr>
          <w:noProof/>
          <w:u w:val="single"/>
        </w:rPr>
        <w:t>Royaume-Uni</w:t>
      </w:r>
    </w:p>
    <w:tbl>
      <w:tblPr>
        <w:tblW w:w="10200" w:type="dxa"/>
        <w:tblInd w:w="-732" w:type="dxa"/>
        <w:tblLayout w:type="fixed"/>
        <w:tblLook w:val="04A0" w:firstRow="1" w:lastRow="0" w:firstColumn="1" w:lastColumn="0" w:noHBand="0" w:noVBand="1"/>
      </w:tblPr>
      <w:tblGrid>
        <w:gridCol w:w="1920"/>
        <w:gridCol w:w="2760"/>
        <w:gridCol w:w="1200"/>
        <w:gridCol w:w="1320"/>
        <w:gridCol w:w="1560"/>
        <w:gridCol w:w="1440"/>
      </w:tblGrid>
      <w:tr w:rsidR="006435DE">
        <w:trPr>
          <w:trHeight w:val="2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35DE" w:rsidRDefault="00331FB9">
            <w:pPr>
              <w:spacing w:after="0"/>
              <w:rPr>
                <w:noProof/>
                <w:sz w:val="20"/>
              </w:rPr>
            </w:pPr>
            <w:r>
              <w:rPr>
                <w:b/>
                <w:noProof/>
                <w:sz w:val="20"/>
              </w:rPr>
              <w:t>Catégorie de denrées alimentaires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 xml:space="preserve">Denrées alimentaires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Conformes</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concluants</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Non conformes</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b/>
                <w:noProof/>
                <w:sz w:val="20"/>
              </w:rPr>
              <w:t>Méthode CEN utilisée</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jc w:val="left"/>
              <w:rPr>
                <w:noProof/>
                <w:sz w:val="20"/>
                <w:szCs w:val="18"/>
              </w:rPr>
            </w:pPr>
            <w:r>
              <w:rPr>
                <w:noProof/>
                <w:sz w:val="20"/>
              </w:rPr>
              <w:t xml:space="preserve">Céréales, graines, légumes, fruits et leurs </w:t>
            </w:r>
            <w:r>
              <w:rPr>
                <w:noProof/>
                <w:sz w:val="20"/>
              </w:rPr>
              <w:t>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left"/>
              <w:rPr>
                <w:noProof/>
                <w:sz w:val="20"/>
                <w:szCs w:val="18"/>
              </w:rPr>
            </w:pPr>
            <w:r>
              <w:rPr>
                <w:noProof/>
                <w:sz w:val="20"/>
              </w:rPr>
              <w:t>Fruits (tropicaux)</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left"/>
              <w:rPr>
                <w:noProof/>
                <w:sz w:val="20"/>
                <w:szCs w:val="18"/>
              </w:rPr>
            </w:pPr>
            <w:r>
              <w:rPr>
                <w:noProof/>
                <w:sz w:val="20"/>
              </w:rPr>
              <w:t>Nouilles à préparation instantanée</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20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keepNext/>
              <w:keepLines/>
              <w:spacing w:before="40" w:after="40"/>
              <w:jc w:val="center"/>
              <w:rPr>
                <w:noProof/>
                <w:sz w:val="20"/>
                <w:szCs w:val="18"/>
              </w:rPr>
            </w:pPr>
            <w:r>
              <w:rPr>
                <w:noProof/>
                <w:sz w:val="20"/>
              </w:rPr>
              <w:t>6*</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Poissons, crustacés, coquillages et leurs produits dérivés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Crustacés et mollusques (congelés)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before="40" w:after="40"/>
              <w:jc w:val="left"/>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Poissons et</w:t>
            </w:r>
            <w:r>
              <w:rPr>
                <w:noProof/>
                <w:sz w:val="20"/>
              </w:rPr>
              <w:t xml:space="preserve"> produits à base de poisson</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 xml:space="preserve">EN 1788; </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top w:val="single" w:sz="4" w:space="0" w:color="auto"/>
              <w:left w:val="single" w:sz="4" w:space="0" w:color="auto"/>
              <w:right w:val="single" w:sz="4" w:space="0" w:color="auto"/>
            </w:tcBorders>
            <w:shd w:val="clear" w:color="auto" w:fill="auto"/>
            <w:noWrap/>
            <w:vAlign w:val="center"/>
          </w:tcPr>
          <w:p w:rsidR="006435DE" w:rsidRDefault="00331FB9">
            <w:pPr>
              <w:spacing w:after="0"/>
              <w:rPr>
                <w:noProof/>
                <w:sz w:val="20"/>
              </w:rPr>
            </w:pPr>
            <w:r>
              <w:rPr>
                <w:noProof/>
                <w:sz w:val="20"/>
              </w:rPr>
              <w:t>Fines herbes et épices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Herbes aromatiques, épices et condiments végétaux (séchés)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56</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after="0"/>
              <w:rPr>
                <w:noProof/>
                <w:sz w:val="20"/>
                <w:szCs w:val="18"/>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Thé</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w:t>
            </w:r>
          </w:p>
          <w:p w:rsidR="006435DE" w:rsidRDefault="00331FB9">
            <w:pPr>
              <w:spacing w:after="0"/>
              <w:jc w:val="center"/>
              <w:rPr>
                <w:noProof/>
                <w:sz w:val="20"/>
                <w:szCs w:val="18"/>
              </w:rPr>
            </w:pPr>
            <w:r>
              <w:rPr>
                <w:noProof/>
                <w:sz w:val="20"/>
              </w:rPr>
              <w:t>EN 13751</w:t>
            </w:r>
          </w:p>
        </w:tc>
      </w:tr>
      <w:tr w:rsidR="006435DE">
        <w:trPr>
          <w:trHeight w:val="270"/>
        </w:trPr>
        <w:tc>
          <w:tcPr>
            <w:tcW w:w="1920" w:type="dxa"/>
            <w:vMerge w:val="restart"/>
            <w:tcBorders>
              <w:left w:val="single" w:sz="4" w:space="0" w:color="auto"/>
              <w:right w:val="single" w:sz="4" w:space="0" w:color="auto"/>
            </w:tcBorders>
            <w:shd w:val="clear" w:color="auto" w:fill="auto"/>
            <w:noWrap/>
            <w:vAlign w:val="center"/>
          </w:tcPr>
          <w:p w:rsidR="006435DE" w:rsidRDefault="00331FB9">
            <w:pPr>
              <w:spacing w:before="40" w:after="40"/>
              <w:jc w:val="left"/>
              <w:rPr>
                <w:noProof/>
                <w:sz w:val="20"/>
              </w:rPr>
            </w:pPr>
            <w:r>
              <w:rPr>
                <w:noProof/>
                <w:sz w:val="20"/>
              </w:rPr>
              <w:t>Autres</w:t>
            </w: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Compléments alimentaires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 EN 13751</w:t>
            </w:r>
          </w:p>
        </w:tc>
      </w:tr>
      <w:tr w:rsidR="006435DE">
        <w:trPr>
          <w:trHeight w:val="270"/>
        </w:trPr>
        <w:tc>
          <w:tcPr>
            <w:tcW w:w="1920" w:type="dxa"/>
            <w:vMerge/>
            <w:tcBorders>
              <w:left w:val="single" w:sz="4" w:space="0" w:color="auto"/>
              <w:right w:val="single" w:sz="4" w:space="0" w:color="auto"/>
            </w:tcBorders>
            <w:shd w:val="clear" w:color="auto" w:fill="auto"/>
            <w:noWrap/>
            <w:vAlign w:val="center"/>
          </w:tcPr>
          <w:p w:rsidR="006435DE" w:rsidRDefault="006435DE">
            <w:pPr>
              <w:spacing w:before="40" w:after="40"/>
              <w:jc w:val="left"/>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Sauces et soupes (déshydratées)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 EN 13751</w:t>
            </w:r>
          </w:p>
        </w:tc>
      </w:tr>
      <w:tr w:rsidR="006435DE">
        <w:trPr>
          <w:trHeight w:val="270"/>
        </w:trPr>
        <w:tc>
          <w:tcPr>
            <w:tcW w:w="1920" w:type="dxa"/>
            <w:vMerge/>
            <w:tcBorders>
              <w:left w:val="single" w:sz="4" w:space="0" w:color="auto"/>
              <w:bottom w:val="single" w:sz="4" w:space="0" w:color="auto"/>
              <w:right w:val="single" w:sz="4" w:space="0" w:color="auto"/>
            </w:tcBorders>
            <w:shd w:val="clear" w:color="auto" w:fill="auto"/>
            <w:noWrap/>
            <w:vAlign w:val="center"/>
          </w:tcPr>
          <w:p w:rsidR="006435DE" w:rsidRDefault="006435DE">
            <w:pPr>
              <w:spacing w:before="40" w:after="40"/>
              <w:jc w:val="left"/>
              <w:rPr>
                <w:noProof/>
                <w:sz w:val="20"/>
              </w:rPr>
            </w:pPr>
          </w:p>
        </w:tc>
        <w:tc>
          <w:tcPr>
            <w:tcW w:w="27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left"/>
              <w:rPr>
                <w:noProof/>
                <w:sz w:val="20"/>
                <w:szCs w:val="18"/>
              </w:rPr>
            </w:pPr>
            <w:r>
              <w:rPr>
                <w:noProof/>
                <w:sz w:val="20"/>
              </w:rPr>
              <w:t>Soupes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2</w:t>
            </w:r>
          </w:p>
        </w:tc>
        <w:tc>
          <w:tcPr>
            <w:tcW w:w="132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before="40" w:after="40"/>
              <w:jc w:val="center"/>
              <w:rPr>
                <w:noProof/>
                <w:sz w:val="20"/>
                <w:szCs w:val="18"/>
              </w:rPr>
            </w:pPr>
            <w:r>
              <w:rPr>
                <w:noProof/>
                <w:sz w:val="20"/>
              </w:rPr>
              <w:t>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szCs w:val="18"/>
              </w:rPr>
            </w:pPr>
            <w:r>
              <w:rPr>
                <w:noProof/>
                <w:sz w:val="20"/>
              </w:rPr>
              <w:t>EN 1788; EN 13751</w:t>
            </w: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(112)</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93</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5</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14</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r w:rsidR="006435DE">
        <w:trPr>
          <w:trHeight w:val="270"/>
        </w:trPr>
        <w:tc>
          <w:tcPr>
            <w:tcW w:w="4680" w:type="dxa"/>
            <w:gridSpan w:val="2"/>
            <w:tcBorders>
              <w:top w:val="nil"/>
              <w:left w:val="single" w:sz="4" w:space="0" w:color="auto"/>
              <w:bottom w:val="single" w:sz="4" w:space="0" w:color="auto"/>
              <w:right w:val="single" w:sz="4" w:space="0" w:color="auto"/>
            </w:tcBorders>
            <w:shd w:val="clear" w:color="auto" w:fill="auto"/>
            <w:noWrap/>
            <w:vAlign w:val="center"/>
          </w:tcPr>
          <w:p w:rsidR="006435DE" w:rsidRDefault="00331FB9">
            <w:pPr>
              <w:spacing w:after="0"/>
              <w:jc w:val="right"/>
              <w:rPr>
                <w:noProof/>
                <w:sz w:val="20"/>
              </w:rPr>
            </w:pPr>
            <w:r>
              <w:rPr>
                <w:noProof/>
                <w:color w:val="000000"/>
                <w:sz w:val="20"/>
              </w:rPr>
              <w:t>Total en % des échantillons analysés</w:t>
            </w:r>
          </w:p>
        </w:tc>
        <w:tc>
          <w:tcPr>
            <w:tcW w:w="120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83,0 %</w:t>
            </w:r>
          </w:p>
        </w:tc>
        <w:tc>
          <w:tcPr>
            <w:tcW w:w="132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4,5 %</w:t>
            </w:r>
          </w:p>
        </w:tc>
        <w:tc>
          <w:tcPr>
            <w:tcW w:w="1560" w:type="dxa"/>
            <w:tcBorders>
              <w:top w:val="nil"/>
              <w:left w:val="nil"/>
              <w:bottom w:val="single" w:sz="4" w:space="0" w:color="auto"/>
              <w:right w:val="single" w:sz="4" w:space="0" w:color="auto"/>
            </w:tcBorders>
            <w:shd w:val="clear" w:color="auto" w:fill="auto"/>
            <w:noWrap/>
            <w:vAlign w:val="center"/>
          </w:tcPr>
          <w:p w:rsidR="006435DE" w:rsidRDefault="00331FB9">
            <w:pPr>
              <w:spacing w:after="0"/>
              <w:jc w:val="center"/>
              <w:rPr>
                <w:noProof/>
                <w:sz w:val="20"/>
              </w:rPr>
            </w:pPr>
            <w:r>
              <w:rPr>
                <w:noProof/>
                <w:sz w:val="20"/>
              </w:rPr>
              <w:t>12,5 %</w:t>
            </w:r>
          </w:p>
        </w:tc>
        <w:tc>
          <w:tcPr>
            <w:tcW w:w="1440" w:type="dxa"/>
            <w:tcBorders>
              <w:top w:val="single" w:sz="4" w:space="0" w:color="auto"/>
              <w:left w:val="nil"/>
              <w:bottom w:val="single" w:sz="4" w:space="0" w:color="auto"/>
              <w:right w:val="single" w:sz="4" w:space="0" w:color="auto"/>
            </w:tcBorders>
            <w:shd w:val="clear" w:color="auto" w:fill="C7C7C7" w:themeFill="background1" w:themeFillShade="D9"/>
            <w:noWrap/>
            <w:vAlign w:val="center"/>
          </w:tcPr>
          <w:p w:rsidR="006435DE" w:rsidRDefault="006435DE">
            <w:pPr>
              <w:spacing w:after="0"/>
              <w:jc w:val="center"/>
              <w:rPr>
                <w:noProof/>
                <w:sz w:val="20"/>
              </w:rPr>
            </w:pPr>
          </w:p>
        </w:tc>
      </w:tr>
    </w:tbl>
    <w:p w:rsidR="006435DE" w:rsidRDefault="00331FB9">
      <w:pPr>
        <w:spacing w:after="0"/>
        <w:rPr>
          <w:noProof/>
          <w:sz w:val="20"/>
        </w:rPr>
      </w:pPr>
      <w:r>
        <w:rPr>
          <w:noProof/>
          <w:sz w:val="20"/>
        </w:rPr>
        <w:t>*étiquetage erroné et/ou irradiation dans des unités non agréées par l’UE</w:t>
      </w:r>
    </w:p>
    <w:p w:rsidR="006435DE" w:rsidRDefault="00331FB9">
      <w:pPr>
        <w:spacing w:after="0"/>
        <w:rPr>
          <w:noProof/>
          <w:sz w:val="20"/>
        </w:rPr>
      </w:pPr>
      <w:r>
        <w:rPr>
          <w:noProof/>
          <w:sz w:val="20"/>
        </w:rPr>
        <w:t>**irradiation non autorisée</w:t>
      </w:r>
    </w:p>
    <w:p w:rsidR="006435DE" w:rsidRDefault="006435DE">
      <w:pPr>
        <w:rPr>
          <w:noProof/>
        </w:rPr>
      </w:pPr>
    </w:p>
    <w:p w:rsidR="006435DE" w:rsidRDefault="00331FB9">
      <w:pPr>
        <w:spacing w:after="0"/>
        <w:rPr>
          <w:noProof/>
        </w:rPr>
      </w:pPr>
      <w:r>
        <w:rPr>
          <w:noProof/>
          <w:u w:val="single"/>
        </w:rPr>
        <w:t>Norvège</w:t>
      </w:r>
      <w:r>
        <w:rPr>
          <w:noProof/>
        </w:rPr>
        <w:t xml:space="preserve"> </w:t>
      </w:r>
      <w:r>
        <w:rPr>
          <w:noProof/>
        </w:rPr>
        <w:br/>
        <w:t xml:space="preserve">En raison de l’absence de laboratoires effectuant des analyses de l’ionisation, aucun contrôle n’a été effectué au stade de la commercialisation des produits en Norvège en 2015. </w:t>
      </w:r>
    </w:p>
    <w:sectPr w:rsidR="006435DE">
      <w:headerReference w:type="even" r:id="rId52"/>
      <w:headerReference w:type="default" r:id="rId53"/>
      <w:footerReference w:type="even" r:id="rId54"/>
      <w:footerReference w:type="default" r:id="rId55"/>
      <w:headerReference w:type="first" r:id="rId56"/>
      <w:footerReference w:type="first" r:id="rId57"/>
      <w:type w:val="continuous"/>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FB9" w:rsidRDefault="00331FB9">
      <w:pPr>
        <w:spacing w:after="0"/>
      </w:pPr>
      <w:r>
        <w:separator/>
      </w:r>
    </w:p>
  </w:endnote>
  <w:endnote w:type="continuationSeparator" w:id="0">
    <w:p w:rsidR="00331FB9" w:rsidRDefault="00331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5</w:t>
    </w:r>
    <w:r>
      <w:rPr>
        <w:rFonts w:ascii="Times New Roman" w:hAnsi="Times New Roman"/>
        <w:noProof/>
        <w:sz w:val="24"/>
        <w:szCs w:val="24"/>
      </w:rPr>
      <w:fldChar w:fldCharType="end"/>
    </w:r>
  </w:p>
  <w:p w:rsidR="006435DE" w:rsidRDefault="006435D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82A57">
      <w:rPr>
        <w:rFonts w:ascii="Times New Roman" w:hAnsi="Times New Roman"/>
        <w:noProof/>
        <w:sz w:val="24"/>
        <w:szCs w:val="24"/>
      </w:rPr>
      <w:t>6</w:t>
    </w:r>
    <w:r>
      <w:rPr>
        <w:rFonts w:ascii="Times New Roman" w:hAnsi="Times New Roman"/>
        <w:noProof/>
        <w:sz w:val="24"/>
        <w:szCs w:val="24"/>
      </w:rPr>
      <w:fldChar w:fldCharType="end"/>
    </w:r>
  </w:p>
  <w:p w:rsidR="006435DE" w:rsidRDefault="006435D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82A57">
      <w:rPr>
        <w:rFonts w:ascii="Times New Roman" w:hAnsi="Times New Roman"/>
        <w:noProof/>
        <w:sz w:val="24"/>
        <w:szCs w:val="24"/>
      </w:rPr>
      <w:t>9</w:t>
    </w:r>
    <w:r>
      <w:rPr>
        <w:rFonts w:ascii="Times New Roman" w:hAnsi="Times New Roman"/>
        <w:noProof/>
        <w:sz w:val="24"/>
        <w:szCs w:val="24"/>
      </w:rPr>
      <w:fldChar w:fldCharType="end"/>
    </w:r>
  </w:p>
  <w:p w:rsidR="006435DE" w:rsidRDefault="006435D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noProof/>
        <w:sz w:val="24"/>
        <w:szCs w:val="24"/>
      </w:rPr>
      <w:fldChar w:fldCharType="end"/>
    </w:r>
  </w:p>
  <w:p w:rsidR="006435DE" w:rsidRDefault="006435D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5</w:t>
    </w:r>
    <w:r>
      <w:rPr>
        <w:rFonts w:ascii="Times New Roman" w:hAnsi="Times New Roman"/>
        <w:noProof/>
        <w:sz w:val="24"/>
        <w:szCs w:val="24"/>
      </w:rPr>
      <w:fldChar w:fldCharType="end"/>
    </w:r>
  </w:p>
  <w:p w:rsidR="006435DE" w:rsidRDefault="006435D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10</w:t>
    </w:r>
    <w:r>
      <w:rPr>
        <w:rFonts w:ascii="Times New Roman" w:hAnsi="Times New Roman"/>
        <w:noProof/>
        <w:sz w:val="24"/>
        <w:szCs w:val="24"/>
      </w:rPr>
      <w:fldChar w:fldCharType="end"/>
    </w:r>
  </w:p>
  <w:p w:rsidR="006435DE" w:rsidRDefault="006435D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rsidR="00782A57">
      <w:t xml:space="preserve"> </w:t>
    </w:r>
    <w:r>
      <w:fldChar w:fldCharType="end"/>
    </w:r>
    <w:r>
      <w:tab/>
    </w:r>
    <w:proofErr w:type="spellStart"/>
    <w:r>
      <w:rPr>
        <w:rFonts w:ascii="Arial" w:hAnsi="Arial" w:cs="Arial"/>
        <w:b/>
        <w:sz w:val="48"/>
      </w:rPr>
      <w:t>FR</w:t>
    </w:r>
    <w:proofErr w:type="spellEnd"/>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82A57">
      <w:rPr>
        <w:rFonts w:ascii="Times New Roman" w:hAnsi="Times New Roman"/>
        <w:noProof/>
        <w:sz w:val="24"/>
        <w:szCs w:val="24"/>
      </w:rPr>
      <w:t>19</w:t>
    </w:r>
    <w:r>
      <w:rPr>
        <w:rFonts w:ascii="Times New Roman" w:hAnsi="Times New Roman"/>
        <w:noProof/>
        <w:sz w:val="24"/>
        <w:szCs w:val="24"/>
      </w:rPr>
      <w:fldChar w:fldCharType="end"/>
    </w:r>
  </w:p>
  <w:p w:rsidR="006435DE" w:rsidRDefault="006435DE">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noProof/>
        <w:sz w:val="24"/>
        <w:szCs w:val="24"/>
      </w:rPr>
      <w:fldChar w:fldCharType="end"/>
    </w:r>
  </w:p>
  <w:p w:rsidR="006435DE" w:rsidRDefault="006435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82A57">
      <w:rPr>
        <w:rFonts w:ascii="Times New Roman" w:hAnsi="Times New Roman"/>
        <w:noProof/>
        <w:sz w:val="24"/>
        <w:szCs w:val="24"/>
      </w:rPr>
      <w:t>5</w:t>
    </w:r>
    <w:r>
      <w:rPr>
        <w:rFonts w:ascii="Times New Roman" w:hAnsi="Times New Roman"/>
        <w:noProof/>
        <w:sz w:val="24"/>
        <w:szCs w:val="24"/>
      </w:rPr>
      <w:fldChar w:fldCharType="end"/>
    </w:r>
  </w:p>
  <w:p w:rsidR="006435DE" w:rsidRDefault="006435D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331FB9">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782A57">
      <w:rPr>
        <w:rFonts w:ascii="Times New Roman" w:hAnsi="Times New Roman"/>
        <w:noProof/>
        <w:sz w:val="24"/>
        <w:szCs w:val="24"/>
      </w:rPr>
      <w:t>2</w:t>
    </w:r>
    <w:r>
      <w:rPr>
        <w:rFonts w:ascii="Times New Roman" w:hAnsi="Times New Roman"/>
        <w:noProof/>
        <w:sz w:val="24"/>
        <w:szCs w:val="24"/>
      </w:rPr>
      <w:fldChar w:fldCharType="end"/>
    </w:r>
  </w:p>
  <w:p w:rsidR="006435DE" w:rsidRDefault="00643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FB9" w:rsidRDefault="00331FB9">
      <w:pPr>
        <w:spacing w:after="0"/>
      </w:pPr>
      <w:r>
        <w:separator/>
      </w:r>
    </w:p>
  </w:footnote>
  <w:footnote w:type="continuationSeparator" w:id="0">
    <w:p w:rsidR="00331FB9" w:rsidRDefault="00331FB9">
      <w:pPr>
        <w:spacing w:after="0"/>
      </w:pPr>
      <w:r>
        <w:continuationSeparator/>
      </w:r>
    </w:p>
  </w:footnote>
  <w:footnote w:id="1">
    <w:p w:rsidR="006435DE" w:rsidRDefault="00331FB9">
      <w:pPr>
        <w:pStyle w:val="FootnoteText"/>
        <w:spacing w:after="0"/>
      </w:pPr>
      <w:r>
        <w:rPr>
          <w:rStyle w:val="FootnoteReference"/>
        </w:rPr>
        <w:footnoteRef/>
      </w:r>
      <w:r>
        <w:tab/>
        <w:t>http://ec.europa.eu/food/safety/biosafety/irradiation/index_en.htm</w:t>
      </w:r>
    </w:p>
  </w:footnote>
  <w:footnote w:id="2">
    <w:p w:rsidR="006435DE" w:rsidRDefault="00331FB9">
      <w:pPr>
        <w:pStyle w:val="FootnoteText"/>
        <w:spacing w:after="0"/>
      </w:pPr>
      <w:r>
        <w:rPr>
          <w:rStyle w:val="FootnoteReference"/>
        </w:rPr>
        <w:footnoteRef/>
      </w:r>
      <w:r>
        <w:t xml:space="preserve"> </w:t>
      </w:r>
      <w:r>
        <w:tab/>
        <w:t>Directive 1999/2/CE du Parlement européen et du Conseil du 22 février 1999 relative au rapprochement des législations des États membres sur les denrées</w:t>
      </w:r>
      <w:r>
        <w:t xml:space="preserve"> et ingrédients alimentaires traités par ionisation </w:t>
      </w:r>
      <w:r>
        <w:rPr>
          <w:rStyle w:val="FootnoteReference"/>
          <w:vertAlign w:val="baseline"/>
        </w:rPr>
        <w:t>(JO L 66 du 13.3.1999, p. 16).</w:t>
      </w:r>
    </w:p>
  </w:footnote>
  <w:footnote w:id="3">
    <w:p w:rsidR="006435DE" w:rsidRDefault="00331FB9">
      <w:pPr>
        <w:pStyle w:val="FootnoteText"/>
        <w:spacing w:after="0"/>
      </w:pPr>
      <w:r>
        <w:rPr>
          <w:rStyle w:val="FootnoteReference"/>
        </w:rPr>
        <w:footnoteRef/>
      </w:r>
      <w:r>
        <w:t xml:space="preserve"> </w:t>
      </w:r>
      <w:r>
        <w:tab/>
        <w:t>Directive 1999/3/CE du Parlement européen et du Conseil du 22 février 1999 établissant une liste communautaire de denrées et ingrédients alimentaires traités par ionisati</w:t>
      </w:r>
      <w:r>
        <w:t>on (JO L 66 du 13.3.1999, p. 24).</w:t>
      </w:r>
    </w:p>
  </w:footnote>
  <w:footnote w:id="4">
    <w:p w:rsidR="006435DE" w:rsidRDefault="00331FB9">
      <w:pPr>
        <w:pStyle w:val="FootnoteText"/>
        <w:spacing w:after="0"/>
      </w:pPr>
      <w:r>
        <w:rPr>
          <w:rStyle w:val="FootnoteReference"/>
        </w:rPr>
        <w:footnoteRef/>
      </w:r>
      <w:r>
        <w:tab/>
      </w:r>
      <w:r>
        <w:rPr>
          <w:rStyle w:val="FootnoteReference"/>
          <w:vertAlign w:val="baseline"/>
        </w:rPr>
        <w:t>JO C 283 du 24.11.2009, p. 5.</w:t>
      </w:r>
    </w:p>
  </w:footnote>
  <w:footnote w:id="5">
    <w:p w:rsidR="006435DE" w:rsidRDefault="00331FB9">
      <w:pPr>
        <w:pStyle w:val="FootnoteText"/>
        <w:spacing w:after="0"/>
      </w:pPr>
      <w:r>
        <w:rPr>
          <w:rStyle w:val="FootnoteReference"/>
        </w:rPr>
        <w:footnoteRef/>
      </w:r>
      <w:r>
        <w:tab/>
      </w:r>
      <w:r>
        <w:rPr>
          <w:rStyle w:val="FootnoteReference"/>
          <w:vertAlign w:val="baseline"/>
        </w:rPr>
        <w:t xml:space="preserve">JO C 51 du 13.2.2015, p. 59. </w:t>
      </w:r>
    </w:p>
  </w:footnote>
  <w:footnote w:id="6">
    <w:p w:rsidR="006435DE" w:rsidRDefault="00331FB9">
      <w:pPr>
        <w:pStyle w:val="FootnoteText"/>
      </w:pPr>
      <w:r>
        <w:rPr>
          <w:rStyle w:val="FootnoteReference"/>
        </w:rPr>
        <w:footnoteRef/>
      </w:r>
      <w:r>
        <w:t xml:space="preserve"> Référence FAO/WHO/CAC, vol. XV, 1</w:t>
      </w:r>
      <w:r>
        <w:rPr>
          <w:vertAlign w:val="superscript"/>
        </w:rPr>
        <w:t>ère</w:t>
      </w:r>
      <w:r>
        <w:t xml:space="preserve"> 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5DE" w:rsidRDefault="00643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50FB1"/>
    <w:multiLevelType w:val="multilevel"/>
    <w:tmpl w:val="7780DBCA"/>
    <w:name w:val="List Number 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2EF2C87"/>
    <w:multiLevelType w:val="hybridMultilevel"/>
    <w:tmpl w:val="B3C8AABC"/>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E43525"/>
    <w:multiLevelType w:val="multilevel"/>
    <w:tmpl w:val="449A12FE"/>
    <w:name w:val="List Number 3"/>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212747"/>
    <w:multiLevelType w:val="multilevel"/>
    <w:tmpl w:val="FBD0F48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DD5905"/>
    <w:multiLevelType w:val="singleLevel"/>
    <w:tmpl w:val="6CB4B73E"/>
    <w:name w:val="List Bullet 2"/>
    <w:lvl w:ilvl="0">
      <w:start w:val="1"/>
      <w:numFmt w:val="bullet"/>
      <w:lvlRestart w:val="0"/>
      <w:lvlText w:val=""/>
      <w:lvlJc w:val="left"/>
      <w:pPr>
        <w:tabs>
          <w:tab w:val="num" w:pos="1134"/>
        </w:tabs>
        <w:ind w:left="1134" w:hanging="283"/>
      </w:pPr>
      <w:rPr>
        <w:rFonts w:ascii="Symbol" w:hAnsi="Symbol" w:hint="default"/>
      </w:rPr>
    </w:lvl>
  </w:abstractNum>
  <w:abstractNum w:abstractNumId="7">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8">
    <w:nsid w:val="14F64798"/>
    <w:multiLevelType w:val="hybridMultilevel"/>
    <w:tmpl w:val="9FE6BB32"/>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15">
    <w:nsid w:val="245625B2"/>
    <w:multiLevelType w:val="singleLevel"/>
    <w:tmpl w:val="CE8AFADA"/>
    <w:name w:val="List Bullet__1"/>
    <w:lvl w:ilvl="0">
      <w:start w:val="1"/>
      <w:numFmt w:val="bullet"/>
      <w:lvlRestart w:val="0"/>
      <w:lvlText w:val=""/>
      <w:lvlJc w:val="left"/>
      <w:pPr>
        <w:tabs>
          <w:tab w:val="num" w:pos="283"/>
        </w:tabs>
        <w:ind w:left="283" w:hanging="283"/>
      </w:pPr>
      <w:rPr>
        <w:rFonts w:ascii="Symbol" w:hAnsi="Symbol" w:hint="default"/>
      </w:rPr>
    </w:lvl>
  </w:abstractNum>
  <w:abstractNum w:abstractNumId="16">
    <w:nsid w:val="24E930D7"/>
    <w:multiLevelType w:val="multilevel"/>
    <w:tmpl w:val="1B1A18EC"/>
    <w:name w:val="List Number 4__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665B10"/>
    <w:multiLevelType w:val="singleLevel"/>
    <w:tmpl w:val="46FC9CFA"/>
    <w:name w:val="List Bullet 4__1"/>
    <w:lvl w:ilvl="0">
      <w:start w:val="1"/>
      <w:numFmt w:val="bullet"/>
      <w:lvlRestart w:val="0"/>
      <w:lvlText w:val=""/>
      <w:lvlJc w:val="left"/>
      <w:pPr>
        <w:tabs>
          <w:tab w:val="num" w:pos="1134"/>
        </w:tabs>
        <w:ind w:left="1134" w:hanging="283"/>
      </w:pPr>
      <w:rPr>
        <w:rFonts w:ascii="Symbol" w:hAnsi="Symbol" w:hint="default"/>
      </w:rPr>
    </w:lvl>
  </w:abstractNum>
  <w:abstractNum w:abstractNumId="1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076C74"/>
    <w:multiLevelType w:val="multilevel"/>
    <w:tmpl w:val="CC8EDB1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nsid w:val="30B00343"/>
    <w:multiLevelType w:val="multilevel"/>
    <w:tmpl w:val="A9DA8D04"/>
    <w:name w:val="List Number__1"/>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nsid w:val="3E191884"/>
    <w:multiLevelType w:val="singleLevel"/>
    <w:tmpl w:val="3020C764"/>
    <w:name w:val="List Bullet 3__2"/>
    <w:lvl w:ilvl="0">
      <w:start w:val="1"/>
      <w:numFmt w:val="bullet"/>
      <w:lvlRestart w:val="0"/>
      <w:lvlText w:val=""/>
      <w:lvlJc w:val="left"/>
      <w:pPr>
        <w:tabs>
          <w:tab w:val="num" w:pos="1134"/>
        </w:tabs>
        <w:ind w:left="1134" w:hanging="283"/>
      </w:pPr>
      <w:rPr>
        <w:rFonts w:ascii="Symbol" w:hAnsi="Symbol" w:hint="default"/>
      </w:rPr>
    </w:lvl>
  </w:abstractNum>
  <w:abstractNum w:abstractNumId="27">
    <w:nsid w:val="40FF3500"/>
    <w:multiLevelType w:val="singleLevel"/>
    <w:tmpl w:val="84DA1EE8"/>
    <w:name w:val="0.6447566"/>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42237DC8"/>
    <w:multiLevelType w:val="hybridMultilevel"/>
    <w:tmpl w:val="9132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0">
    <w:nsid w:val="47624FD8"/>
    <w:multiLevelType w:val="multilevel"/>
    <w:tmpl w:val="F70ADEA0"/>
    <w:name w:val="List Number 2__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9D47C56"/>
    <w:multiLevelType w:val="multilevel"/>
    <w:tmpl w:val="77E0331E"/>
    <w:name w:val="List Bullet 4__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B7B63E2"/>
    <w:multiLevelType w:val="hybridMultilevel"/>
    <w:tmpl w:val="F9BAF79A"/>
    <w:lvl w:ilvl="0" w:tplc="04100001">
      <w:start w:val="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C1D2E93"/>
    <w:multiLevelType w:val="hybridMultilevel"/>
    <w:tmpl w:val="F1222906"/>
    <w:lvl w:ilvl="0" w:tplc="7A50D5E2">
      <w:start w:val="4"/>
      <w:numFmt w:val="bullet"/>
      <w:lvlText w:val=""/>
      <w:lvlJc w:val="left"/>
      <w:pPr>
        <w:ind w:left="361" w:hanging="360"/>
      </w:pPr>
      <w:rPr>
        <w:rFonts w:ascii="Symbol" w:eastAsia="Times New Roman" w:hAnsi="Symbol" w:cs="Times New Roman" w:hint="default"/>
      </w:rPr>
    </w:lvl>
    <w:lvl w:ilvl="1" w:tplc="04100003" w:tentative="1">
      <w:start w:val="1"/>
      <w:numFmt w:val="bullet"/>
      <w:lvlText w:val="o"/>
      <w:lvlJc w:val="left"/>
      <w:pPr>
        <w:ind w:left="1081" w:hanging="360"/>
      </w:pPr>
      <w:rPr>
        <w:rFonts w:ascii="Courier New" w:hAnsi="Courier New" w:cs="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cs="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cs="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34">
    <w:nsid w:val="525A1BE1"/>
    <w:multiLevelType w:val="multilevel"/>
    <w:tmpl w:val="5CF0C6D0"/>
    <w:name w:val="List Number 4__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6">
    <w:nsid w:val="56BD6302"/>
    <w:multiLevelType w:val="singleLevel"/>
    <w:tmpl w:val="70EA3F82"/>
    <w:name w:val="List Bullet 3__1"/>
    <w:lvl w:ilvl="0">
      <w:start w:val="1"/>
      <w:numFmt w:val="bullet"/>
      <w:lvlRestart w:val="0"/>
      <w:lvlText w:val=""/>
      <w:lvlJc w:val="left"/>
      <w:pPr>
        <w:tabs>
          <w:tab w:val="num" w:pos="1134"/>
        </w:tabs>
        <w:ind w:left="1134" w:hanging="283"/>
      </w:pPr>
      <w:rPr>
        <w:rFonts w:ascii="Symbol" w:hAnsi="Symbol" w:hint="default"/>
      </w:rPr>
    </w:lvl>
  </w:abstractNum>
  <w:abstractNum w:abstractNumId="37">
    <w:nsid w:val="5CEE73A5"/>
    <w:multiLevelType w:val="multilevel"/>
    <w:tmpl w:val="43B86EB4"/>
    <w:name w:val="List Number 3__1"/>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1">
    <w:nsid w:val="63B26268"/>
    <w:multiLevelType w:val="singleLevel"/>
    <w:tmpl w:val="491E6360"/>
    <w:lvl w:ilvl="0">
      <w:start w:val="1"/>
      <w:numFmt w:val="decimal"/>
      <w:lvlRestart w:val="0"/>
      <w:pStyle w:val="Considrant"/>
      <w:lvlText w:val="(%1)"/>
      <w:lvlJc w:val="left"/>
      <w:pPr>
        <w:tabs>
          <w:tab w:val="num" w:pos="709"/>
        </w:tabs>
        <w:ind w:left="709" w:hanging="709"/>
      </w:pPr>
    </w:lvl>
  </w:abstractNum>
  <w:abstractNum w:abstractNumId="42">
    <w:nsid w:val="64A12FA4"/>
    <w:multiLevelType w:val="multilevel"/>
    <w:tmpl w:val="428ECF3E"/>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6D0C4356"/>
    <w:multiLevelType w:val="singleLevel"/>
    <w:tmpl w:val="13F0312E"/>
    <w:name w:val="List Bullet 2__1"/>
    <w:lvl w:ilvl="0">
      <w:start w:val="1"/>
      <w:numFmt w:val="bullet"/>
      <w:lvlRestart w:val="0"/>
      <w:lvlText w:val=""/>
      <w:lvlJc w:val="left"/>
      <w:pPr>
        <w:tabs>
          <w:tab w:val="num" w:pos="1134"/>
        </w:tabs>
        <w:ind w:left="1134" w:hanging="283"/>
      </w:pPr>
      <w:rPr>
        <w:rFonts w:ascii="Symbol" w:hAnsi="Symbol" w:hint="default"/>
      </w:rPr>
    </w:lvl>
  </w:abstractNum>
  <w:abstractNum w:abstractNumId="44">
    <w:nsid w:val="6D2B5511"/>
    <w:multiLevelType w:val="singleLevel"/>
    <w:tmpl w:val="74A09970"/>
    <w:name w:val="List Number__2"/>
    <w:lvl w:ilvl="0">
      <w:start w:val="1"/>
      <w:numFmt w:val="bullet"/>
      <w:lvlRestart w:val="0"/>
      <w:lvlText w:val=""/>
      <w:lvlJc w:val="left"/>
      <w:pPr>
        <w:tabs>
          <w:tab w:val="num" w:pos="283"/>
        </w:tabs>
        <w:ind w:left="283" w:hanging="283"/>
      </w:pPr>
      <w:rPr>
        <w:rFonts w:ascii="Symbol" w:hAnsi="Symbol" w:hint="default"/>
      </w:rPr>
    </w:lvl>
  </w:abstractNum>
  <w:abstractNum w:abstractNumId="4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6">
    <w:nsid w:val="6EC300CA"/>
    <w:multiLevelType w:val="singleLevel"/>
    <w:tmpl w:val="055ABBD0"/>
    <w:name w:val="Considérant__1"/>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7">
    <w:nsid w:val="712E4B18"/>
    <w:multiLevelType w:val="singleLevel"/>
    <w:tmpl w:val="66ECC298"/>
    <w:lvl w:ilvl="0">
      <w:start w:val="1"/>
      <w:numFmt w:val="bullet"/>
      <w:lvlRestart w:val="0"/>
      <w:pStyle w:val="Tiret3"/>
      <w:lvlText w:val="–"/>
      <w:lvlJc w:val="left"/>
      <w:pPr>
        <w:tabs>
          <w:tab w:val="num" w:pos="2551"/>
        </w:tabs>
        <w:ind w:left="2551" w:hanging="567"/>
      </w:pPr>
    </w:lvl>
  </w:abstractNum>
  <w:abstractNum w:abstractNumId="48">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729504D5"/>
    <w:multiLevelType w:val="singleLevel"/>
    <w:tmpl w:val="1BC6DBFC"/>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0">
    <w:nsid w:val="78A241BD"/>
    <w:multiLevelType w:val="singleLevel"/>
    <w:tmpl w:val="53C4DF32"/>
    <w:name w:val="List Dash"/>
    <w:lvl w:ilvl="0">
      <w:start w:val="1"/>
      <w:numFmt w:val="bullet"/>
      <w:lvlRestart w:val="0"/>
      <w:lvlText w:val="–"/>
      <w:lvlJc w:val="left"/>
      <w:pPr>
        <w:tabs>
          <w:tab w:val="num" w:pos="1134"/>
        </w:tabs>
        <w:ind w:left="1134" w:hanging="283"/>
      </w:pPr>
      <w:rPr>
        <w:rFonts w:ascii="Times New Roman" w:hAnsi="Times New Roman" w:cs="Times New Roman"/>
      </w:rPr>
    </w:lvl>
  </w:abstractNum>
  <w:abstractNum w:abstractNumId="51">
    <w:nsid w:val="7B454D54"/>
    <w:multiLevelType w:val="singleLevel"/>
    <w:tmpl w:val="8A02E4B2"/>
    <w:name w:val="Default"/>
    <w:lvl w:ilvl="0">
      <w:start w:val="1"/>
      <w:numFmt w:val="bullet"/>
      <w:lvlRestart w:val="0"/>
      <w:pStyle w:val="Tiret4"/>
      <w:lvlText w:val="–"/>
      <w:lvlJc w:val="left"/>
      <w:pPr>
        <w:tabs>
          <w:tab w:val="num" w:pos="3118"/>
        </w:tabs>
        <w:ind w:left="3118" w:hanging="567"/>
      </w:pPr>
    </w:lvl>
  </w:abstractNum>
  <w:abstractNum w:abstractNumId="52">
    <w:nsid w:val="7E8224EA"/>
    <w:multiLevelType w:val="singleLevel"/>
    <w:tmpl w:val="34DEB8CE"/>
    <w:name w:val="List Bullet__2"/>
    <w:lvl w:ilvl="0">
      <w:start w:val="1"/>
      <w:numFmt w:val="bullet"/>
      <w:lvlRestart w:val="0"/>
      <w:pStyle w:val="Tiret0"/>
      <w:lvlText w:val="–"/>
      <w:lvlJc w:val="left"/>
      <w:pPr>
        <w:tabs>
          <w:tab w:val="num" w:pos="850"/>
        </w:tabs>
        <w:ind w:left="850" w:hanging="850"/>
      </w:pPr>
    </w:lvl>
  </w:abstractNum>
  <w:num w:numId="1">
    <w:abstractNumId w:val="1"/>
  </w:num>
  <w:num w:numId="2">
    <w:abstractNumId w:val="0"/>
  </w:num>
  <w:num w:numId="3">
    <w:abstractNumId w:val="12"/>
  </w:num>
  <w:num w:numId="4">
    <w:abstractNumId w:val="25"/>
  </w:num>
  <w:num w:numId="5">
    <w:abstractNumId w:val="18"/>
  </w:num>
  <w:num w:numId="6">
    <w:abstractNumId w:val="24"/>
  </w:num>
  <w:num w:numId="7">
    <w:abstractNumId w:val="40"/>
  </w:num>
  <w:num w:numId="8">
    <w:abstractNumId w:val="45"/>
  </w:num>
  <w:num w:numId="9">
    <w:abstractNumId w:val="22"/>
  </w:num>
  <w:num w:numId="10">
    <w:abstractNumId w:val="39"/>
  </w:num>
  <w:num w:numId="11">
    <w:abstractNumId w:val="38"/>
  </w:num>
  <w:num w:numId="12">
    <w:abstractNumId w:val="29"/>
  </w:num>
  <w:num w:numId="13">
    <w:abstractNumId w:val="35"/>
  </w:num>
  <w:num w:numId="14">
    <w:abstractNumId w:val="13"/>
  </w:num>
  <w:num w:numId="15">
    <w:abstractNumId w:val="23"/>
  </w:num>
  <w:num w:numId="16">
    <w:abstractNumId w:val="11"/>
  </w:num>
  <w:num w:numId="17">
    <w:abstractNumId w:val="19"/>
  </w:num>
  <w:num w:numId="18">
    <w:abstractNumId w:val="48"/>
  </w:num>
  <w:num w:numId="19">
    <w:abstractNumId w:val="52"/>
  </w:num>
  <w:num w:numId="20">
    <w:abstractNumId w:val="7"/>
  </w:num>
  <w:num w:numId="21">
    <w:abstractNumId w:val="14"/>
  </w:num>
  <w:num w:numId="22">
    <w:abstractNumId w:val="47"/>
  </w:num>
  <w:num w:numId="23">
    <w:abstractNumId w:val="51"/>
  </w:num>
  <w:num w:numId="24">
    <w:abstractNumId w:val="20"/>
  </w:num>
  <w:num w:numId="25">
    <w:abstractNumId w:val="9"/>
  </w:num>
  <w:num w:numId="26">
    <w:abstractNumId w:val="27"/>
  </w:num>
  <w:num w:numId="27">
    <w:abstractNumId w:val="10"/>
  </w:num>
  <w:num w:numId="28">
    <w:abstractNumId w:val="49"/>
  </w:num>
  <w:num w:numId="29">
    <w:abstractNumId w:val="46"/>
  </w:num>
  <w:num w:numId="30">
    <w:abstractNumId w:val="41"/>
  </w:num>
  <w:num w:numId="31">
    <w:abstractNumId w:val="33"/>
  </w:num>
  <w:num w:numId="32">
    <w:abstractNumId w:val="8"/>
  </w:num>
  <w:num w:numId="33">
    <w:abstractNumId w:val="3"/>
  </w:num>
  <w:num w:numId="34">
    <w:abstractNumId w:val="32"/>
  </w:num>
  <w:num w:numId="35">
    <w:abstractNumId w:val="42"/>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Red"/>
    <w:docVar w:name="LW_CONFIDENCE" w:val=" "/>
    <w:docVar w:name="LW_CONST_RESTREINT_UE" w:val="RESTREINT UE"/>
    <w:docVar w:name="LW_CORRIGENDUM" w:val="&lt;UNUSED&gt;"/>
    <w:docVar w:name="LW_COVERPAGE_GUID" w:val="5D96B6D4E16243B18562D942CCAB81E7"/>
    <w:docVar w:name="LW_CROSSREFERENCE" w:val="&lt;UNUSED&gt;"/>
    <w:docVar w:name="LW_DocType" w:val="REP"/>
    <w:docVar w:name="LW_EMISSION" w:val="25.11.2016"/>
    <w:docVar w:name="LW_EMISSION_ISODATE" w:val="2016-11-25"/>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738"/>
    <w:docVar w:name="LW_REF.INTERNE" w:val="&lt;UNUSED&gt;"/>
    <w:docVar w:name="LW_SOUS.TITRE.OBJ.CP" w:val="&lt;UNUSED&gt;"/>
    <w:docVar w:name="LW_SUPERTITRE" w:val="&lt;UNUSED&gt;"/>
    <w:docVar w:name="LW_TITRE.OBJ.CP" w:val="SUR LES DENRÉES ET INGRÉDIENTS ALIMENTAIRES TRAITÉS PAR IONISATION EN 2015"/>
    <w:docVar w:name="LW_TYPE.DOC.CP" w:val="RAPPORT DE LA COMMISSION AU PARLEMENT EUROPÉEN ET AU CONSEIL"/>
  </w:docVars>
  <w:rsids>
    <w:rsidRoot w:val="006435DE"/>
    <w:rsid w:val="00331FB9"/>
    <w:rsid w:val="006435DE"/>
    <w:rsid w:val="00782A57"/>
    <w:rsid w:val="00DE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uiPriority w:val="9"/>
    <w:qFormat/>
    <w:pPr>
      <w:keepNext/>
      <w:numPr>
        <w:numId w:val="3"/>
      </w:numPr>
      <w:spacing w:before="240"/>
      <w:outlineLvl w:val="0"/>
    </w:pPr>
    <w:rPr>
      <w:b/>
      <w:smallCaps/>
    </w:rPr>
  </w:style>
  <w:style w:type="paragraph" w:styleId="Heading2">
    <w:name w:val="heading 2"/>
    <w:basedOn w:val="Normal"/>
    <w:next w:val="Text2"/>
    <w:uiPriority w:val="9"/>
    <w:qFormat/>
    <w:pPr>
      <w:keepNext/>
      <w:numPr>
        <w:ilvl w:val="1"/>
        <w:numId w:val="3"/>
      </w:numPr>
      <w:outlineLvl w:val="1"/>
    </w:pPr>
    <w:rPr>
      <w:b/>
    </w:rPr>
  </w:style>
  <w:style w:type="paragraph" w:styleId="Heading3">
    <w:name w:val="heading 3"/>
    <w:basedOn w:val="Normal"/>
    <w:next w:val="Text3"/>
    <w:uiPriority w:val="9"/>
    <w:qFormat/>
    <w:pPr>
      <w:keepNext/>
      <w:numPr>
        <w:ilvl w:val="2"/>
        <w:numId w:val="3"/>
      </w:numPr>
      <w:outlineLvl w:val="2"/>
    </w:pPr>
    <w:rPr>
      <w:i/>
    </w:rPr>
  </w:style>
  <w:style w:type="paragraph" w:styleId="Heading4">
    <w:name w:val="heading 4"/>
    <w:basedOn w:val="Normal"/>
    <w:next w:val="Text4"/>
    <w:uiPriority w:val="9"/>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HeaderLandscape">
    <w:name w:val="HeaderLandscape"/>
    <w:basedOn w:val="Normal"/>
    <w:pPr>
      <w:tabs>
        <w:tab w:val="center" w:pos="7285"/>
        <w:tab w:val="right" w:pos="14003"/>
      </w:tabs>
      <w:spacing w:after="120"/>
    </w:pPr>
    <w:rPr>
      <w:szCs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szCs w:val="24"/>
    </w:rPr>
  </w:style>
  <w:style w:type="character" w:styleId="FootnoteReference">
    <w:name w:val="footnote reference"/>
    <w:semiHidden/>
    <w:rPr>
      <w:shd w:val="clear" w:color="auto" w:fill="auto"/>
      <w:vertAlign w:val="superscript"/>
    </w:rPr>
  </w:style>
  <w:style w:type="paragraph" w:customStyle="1" w:styleId="NormalCentered">
    <w:name w:val="Normal Centered"/>
    <w:basedOn w:val="Normal"/>
    <w:pPr>
      <w:spacing w:before="120" w:after="120"/>
      <w:jc w:val="center"/>
    </w:pPr>
    <w:rPr>
      <w:szCs w:val="24"/>
    </w:rPr>
  </w:style>
  <w:style w:type="paragraph" w:customStyle="1" w:styleId="NormalLeft">
    <w:name w:val="Normal Left"/>
    <w:basedOn w:val="Normal"/>
    <w:pPr>
      <w:spacing w:before="120" w:after="120"/>
      <w:jc w:val="left"/>
    </w:pPr>
    <w:rPr>
      <w:szCs w:val="24"/>
    </w:rPr>
  </w:style>
  <w:style w:type="paragraph" w:customStyle="1" w:styleId="NormalRight">
    <w:name w:val="Normal Right"/>
    <w:basedOn w:val="Normal"/>
    <w:pPr>
      <w:spacing w:before="120" w:after="120"/>
      <w:jc w:val="right"/>
    </w:pPr>
    <w:rPr>
      <w:szCs w:val="24"/>
    </w:rPr>
  </w:style>
  <w:style w:type="paragraph" w:customStyle="1" w:styleId="QuotedText">
    <w:name w:val="Quoted Text"/>
    <w:basedOn w:val="Normal"/>
    <w:pPr>
      <w:spacing w:before="120" w:after="120"/>
      <w:ind w:left="1417"/>
    </w:pPr>
    <w:rPr>
      <w:szCs w:val="24"/>
    </w:rPr>
  </w:style>
  <w:style w:type="paragraph" w:customStyle="1" w:styleId="Point0">
    <w:name w:val="Point 0"/>
    <w:basedOn w:val="Normal"/>
    <w:pPr>
      <w:spacing w:before="120" w:after="120"/>
      <w:ind w:left="850" w:hanging="850"/>
    </w:pPr>
    <w:rPr>
      <w:szCs w:val="24"/>
    </w:rPr>
  </w:style>
  <w:style w:type="paragraph" w:customStyle="1" w:styleId="Point1">
    <w:name w:val="Point 1"/>
    <w:basedOn w:val="Normal"/>
    <w:pPr>
      <w:spacing w:before="120" w:after="120"/>
      <w:ind w:left="1417" w:hanging="567"/>
    </w:pPr>
    <w:rPr>
      <w:szCs w:val="24"/>
    </w:rPr>
  </w:style>
  <w:style w:type="paragraph" w:customStyle="1" w:styleId="Point2">
    <w:name w:val="Point 2"/>
    <w:basedOn w:val="Normal"/>
    <w:pPr>
      <w:spacing w:before="120" w:after="120"/>
      <w:ind w:left="1984" w:hanging="567"/>
    </w:pPr>
    <w:rPr>
      <w:szCs w:val="24"/>
    </w:rPr>
  </w:style>
  <w:style w:type="paragraph" w:customStyle="1" w:styleId="Point3">
    <w:name w:val="Point 3"/>
    <w:basedOn w:val="Normal"/>
    <w:pPr>
      <w:spacing w:before="120" w:after="120"/>
      <w:ind w:left="2551" w:hanging="567"/>
    </w:pPr>
    <w:rPr>
      <w:szCs w:val="24"/>
    </w:rPr>
  </w:style>
  <w:style w:type="paragraph" w:customStyle="1" w:styleId="Point4">
    <w:name w:val="Point 4"/>
    <w:basedOn w:val="Normal"/>
    <w:pPr>
      <w:spacing w:before="120" w:after="120"/>
      <w:ind w:left="3118" w:hanging="567"/>
    </w:pPr>
    <w:rPr>
      <w:szCs w:val="24"/>
    </w:rPr>
  </w:style>
  <w:style w:type="paragraph" w:customStyle="1" w:styleId="Tiret0">
    <w:name w:val="Tiret 0"/>
    <w:basedOn w:val="Point0"/>
    <w:pPr>
      <w:numPr>
        <w:numId w:val="19"/>
      </w:numPr>
      <w:tabs>
        <w:tab w:val="clear" w:pos="850"/>
      </w:tabs>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tabs>
        <w:tab w:val="clear" w:pos="2551"/>
      </w:tabs>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spacing w:before="120" w:after="120"/>
      <w:ind w:left="1417" w:hanging="1417"/>
    </w:pPr>
    <w:rPr>
      <w:szCs w:val="24"/>
    </w:rPr>
  </w:style>
  <w:style w:type="paragraph" w:customStyle="1" w:styleId="PointDouble1">
    <w:name w:val="PointDouble 1"/>
    <w:basedOn w:val="Normal"/>
    <w:pPr>
      <w:tabs>
        <w:tab w:val="left" w:pos="1417"/>
      </w:tabs>
      <w:spacing w:before="120" w:after="120"/>
      <w:ind w:left="1984" w:hanging="1134"/>
    </w:pPr>
    <w:rPr>
      <w:szCs w:val="24"/>
    </w:rPr>
  </w:style>
  <w:style w:type="paragraph" w:customStyle="1" w:styleId="PointDouble2">
    <w:name w:val="PointDouble 2"/>
    <w:basedOn w:val="Normal"/>
    <w:pPr>
      <w:tabs>
        <w:tab w:val="left" w:pos="1984"/>
      </w:tabs>
      <w:spacing w:before="120" w:after="120"/>
      <w:ind w:left="2551" w:hanging="1134"/>
    </w:pPr>
    <w:rPr>
      <w:szCs w:val="24"/>
    </w:rPr>
  </w:style>
  <w:style w:type="paragraph" w:customStyle="1" w:styleId="PointDouble3">
    <w:name w:val="PointDouble 3"/>
    <w:basedOn w:val="Normal"/>
    <w:pPr>
      <w:tabs>
        <w:tab w:val="left" w:pos="2551"/>
      </w:tabs>
      <w:spacing w:before="120" w:after="120"/>
      <w:ind w:left="3118" w:hanging="1134"/>
    </w:pPr>
    <w:rPr>
      <w:szCs w:val="24"/>
    </w:rPr>
  </w:style>
  <w:style w:type="paragraph" w:customStyle="1" w:styleId="PointDouble4">
    <w:name w:val="PointDouble 4"/>
    <w:basedOn w:val="Normal"/>
    <w:pPr>
      <w:tabs>
        <w:tab w:val="left" w:pos="3118"/>
      </w:tabs>
      <w:spacing w:before="120" w:after="120"/>
      <w:ind w:left="3685" w:hanging="1134"/>
    </w:pPr>
    <w:rPr>
      <w:szCs w:val="24"/>
    </w:rPr>
  </w:style>
  <w:style w:type="paragraph" w:customStyle="1" w:styleId="PointTriple0">
    <w:name w:val="PointTriple 0"/>
    <w:basedOn w:val="Normal"/>
    <w:pPr>
      <w:tabs>
        <w:tab w:val="left" w:pos="850"/>
        <w:tab w:val="left" w:pos="1417"/>
      </w:tabs>
      <w:spacing w:before="120" w:after="120"/>
      <w:ind w:left="1984" w:hanging="1984"/>
    </w:pPr>
    <w:rPr>
      <w:szCs w:val="24"/>
    </w:rPr>
  </w:style>
  <w:style w:type="paragraph" w:customStyle="1" w:styleId="PointTriple1">
    <w:name w:val="PointTriple 1"/>
    <w:basedOn w:val="Normal"/>
    <w:pPr>
      <w:tabs>
        <w:tab w:val="left" w:pos="1417"/>
        <w:tab w:val="left" w:pos="1984"/>
      </w:tabs>
      <w:spacing w:before="120" w:after="120"/>
      <w:ind w:left="2551" w:hanging="1701"/>
    </w:pPr>
    <w:rPr>
      <w:szCs w:val="24"/>
    </w:rPr>
  </w:style>
  <w:style w:type="paragraph" w:customStyle="1" w:styleId="PointTriple2">
    <w:name w:val="PointTriple 2"/>
    <w:basedOn w:val="Normal"/>
    <w:pPr>
      <w:tabs>
        <w:tab w:val="left" w:pos="1984"/>
        <w:tab w:val="left" w:pos="2551"/>
      </w:tabs>
      <w:spacing w:before="120" w:after="120"/>
      <w:ind w:left="3118" w:hanging="1701"/>
    </w:pPr>
    <w:rPr>
      <w:szCs w:val="24"/>
    </w:rPr>
  </w:style>
  <w:style w:type="paragraph" w:customStyle="1" w:styleId="PointTriple3">
    <w:name w:val="PointTriple 3"/>
    <w:basedOn w:val="Normal"/>
    <w:pPr>
      <w:tabs>
        <w:tab w:val="left" w:pos="2551"/>
        <w:tab w:val="left" w:pos="3118"/>
      </w:tabs>
      <w:spacing w:before="120" w:after="120"/>
      <w:ind w:left="3685" w:hanging="1701"/>
    </w:pPr>
    <w:rPr>
      <w:szCs w:val="24"/>
    </w:rPr>
  </w:style>
  <w:style w:type="paragraph" w:customStyle="1" w:styleId="PointTriple4">
    <w:name w:val="PointTriple 4"/>
    <w:basedOn w:val="Normal"/>
    <w:pPr>
      <w:tabs>
        <w:tab w:val="left" w:pos="3118"/>
        <w:tab w:val="left" w:pos="3685"/>
      </w:tabs>
      <w:spacing w:before="120" w:after="120"/>
      <w:ind w:left="4252" w:hanging="1701"/>
    </w:pPr>
    <w:rPr>
      <w:szCs w:val="24"/>
    </w:rPr>
  </w:style>
  <w:style w:type="paragraph" w:customStyle="1" w:styleId="ManualNumPar1">
    <w:name w:val="Manual NumPar 1"/>
    <w:basedOn w:val="Normal"/>
    <w:next w:val="Text1"/>
    <w:pPr>
      <w:spacing w:before="120" w:after="120"/>
      <w:ind w:left="850" w:hanging="850"/>
    </w:pPr>
    <w:rPr>
      <w:szCs w:val="24"/>
    </w:rPr>
  </w:style>
  <w:style w:type="paragraph" w:customStyle="1" w:styleId="ManualNumPar2">
    <w:name w:val="Manual NumPar 2"/>
    <w:basedOn w:val="Normal"/>
    <w:next w:val="Text1"/>
    <w:pPr>
      <w:spacing w:before="120" w:after="120"/>
      <w:ind w:left="850" w:hanging="850"/>
    </w:pPr>
    <w:rPr>
      <w:szCs w:val="24"/>
    </w:rPr>
  </w:style>
  <w:style w:type="paragraph" w:customStyle="1" w:styleId="ManualNumPar3">
    <w:name w:val="Manual NumPar 3"/>
    <w:basedOn w:val="Normal"/>
    <w:next w:val="Text1"/>
    <w:pPr>
      <w:spacing w:before="120" w:after="120"/>
      <w:ind w:left="850" w:hanging="850"/>
    </w:pPr>
    <w:rPr>
      <w:szCs w:val="24"/>
    </w:rPr>
  </w:style>
  <w:style w:type="paragraph" w:customStyle="1" w:styleId="ManualNumPar4">
    <w:name w:val="Manual NumPar 4"/>
    <w:basedOn w:val="Normal"/>
    <w:next w:val="Text1"/>
    <w:pPr>
      <w:spacing w:before="120" w:after="120"/>
      <w:ind w:left="850" w:hanging="850"/>
    </w:pPr>
    <w:rPr>
      <w:szCs w:val="24"/>
    </w:rPr>
  </w:style>
  <w:style w:type="paragraph" w:customStyle="1" w:styleId="QuotedNumPar">
    <w:name w:val="Quoted NumPar"/>
    <w:basedOn w:val="Normal"/>
    <w:pPr>
      <w:spacing w:before="120" w:after="120"/>
      <w:ind w:left="1417" w:hanging="567"/>
    </w:pPr>
    <w:rPr>
      <w:szCs w:val="24"/>
    </w:rPr>
  </w:style>
  <w:style w:type="paragraph" w:customStyle="1" w:styleId="ManualHeading1">
    <w:name w:val="Manual Heading 1"/>
    <w:basedOn w:val="Normal"/>
    <w:next w:val="Text1"/>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Text1"/>
    <w:pPr>
      <w:keepNext/>
      <w:tabs>
        <w:tab w:val="left" w:pos="850"/>
      </w:tabs>
      <w:spacing w:before="120" w:after="120"/>
      <w:ind w:left="850" w:hanging="850"/>
      <w:outlineLvl w:val="1"/>
    </w:pPr>
    <w:rPr>
      <w:b/>
      <w:szCs w:val="24"/>
    </w:rPr>
  </w:style>
  <w:style w:type="paragraph" w:customStyle="1" w:styleId="ManualHeading3">
    <w:name w:val="Manual Heading 3"/>
    <w:basedOn w:val="Normal"/>
    <w:next w:val="Text1"/>
    <w:pPr>
      <w:keepNext/>
      <w:tabs>
        <w:tab w:val="left" w:pos="850"/>
      </w:tabs>
      <w:spacing w:before="120" w:after="120"/>
      <w:ind w:left="850" w:hanging="850"/>
      <w:outlineLvl w:val="2"/>
    </w:pPr>
    <w:rPr>
      <w:i/>
      <w:szCs w:val="24"/>
    </w:rPr>
  </w:style>
  <w:style w:type="paragraph" w:customStyle="1" w:styleId="ManualHeading4">
    <w:name w:val="Manual Heading 4"/>
    <w:basedOn w:val="Normal"/>
    <w:next w:val="Text1"/>
    <w:pPr>
      <w:keepNext/>
      <w:tabs>
        <w:tab w:val="left" w:pos="850"/>
      </w:tabs>
      <w:spacing w:before="120" w:after="120"/>
      <w:ind w:left="850" w:hanging="850"/>
      <w:outlineLvl w:val="3"/>
    </w:pPr>
    <w:rPr>
      <w:szCs w:val="24"/>
    </w:rPr>
  </w:style>
  <w:style w:type="paragraph" w:customStyle="1" w:styleId="TableTitle">
    <w:name w:val="Table Title"/>
    <w:basedOn w:val="Normal"/>
    <w:next w:val="Normal"/>
    <w:pPr>
      <w:spacing w:before="120" w:after="120"/>
      <w:jc w:val="center"/>
    </w:pPr>
    <w:rPr>
      <w:b/>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4"/>
      </w:numPr>
      <w:spacing w:before="120" w:after="120"/>
    </w:pPr>
    <w:rPr>
      <w:szCs w:val="24"/>
    </w:rPr>
  </w:style>
  <w:style w:type="paragraph" w:customStyle="1" w:styleId="Point1number">
    <w:name w:val="Point 1 (number)"/>
    <w:basedOn w:val="Normal"/>
    <w:pPr>
      <w:numPr>
        <w:ilvl w:val="2"/>
        <w:numId w:val="24"/>
      </w:numPr>
      <w:spacing w:before="120" w:after="120"/>
    </w:pPr>
    <w:rPr>
      <w:szCs w:val="24"/>
    </w:rPr>
  </w:style>
  <w:style w:type="paragraph" w:customStyle="1" w:styleId="Point2number">
    <w:name w:val="Point 2 (number)"/>
    <w:basedOn w:val="Normal"/>
    <w:pPr>
      <w:numPr>
        <w:ilvl w:val="4"/>
        <w:numId w:val="24"/>
      </w:numPr>
      <w:spacing w:before="120" w:after="120"/>
    </w:pPr>
    <w:rPr>
      <w:szCs w:val="24"/>
    </w:rPr>
  </w:style>
  <w:style w:type="paragraph" w:customStyle="1" w:styleId="Point3number">
    <w:name w:val="Point 3 (number)"/>
    <w:basedOn w:val="Normal"/>
    <w:pPr>
      <w:numPr>
        <w:ilvl w:val="6"/>
        <w:numId w:val="24"/>
      </w:numPr>
      <w:spacing w:before="120" w:after="120"/>
    </w:pPr>
    <w:rPr>
      <w:szCs w:val="24"/>
    </w:rPr>
  </w:style>
  <w:style w:type="paragraph" w:customStyle="1" w:styleId="Point0letter">
    <w:name w:val="Point 0 (letter)"/>
    <w:basedOn w:val="Normal"/>
    <w:pPr>
      <w:numPr>
        <w:ilvl w:val="1"/>
        <w:numId w:val="24"/>
      </w:numPr>
      <w:spacing w:before="120" w:after="120"/>
    </w:pPr>
    <w:rPr>
      <w:szCs w:val="24"/>
    </w:rPr>
  </w:style>
  <w:style w:type="paragraph" w:customStyle="1" w:styleId="Point1letter">
    <w:name w:val="Point 1 (letter)"/>
    <w:basedOn w:val="Normal"/>
    <w:pPr>
      <w:numPr>
        <w:ilvl w:val="3"/>
        <w:numId w:val="24"/>
      </w:numPr>
      <w:spacing w:before="120" w:after="120"/>
    </w:pPr>
    <w:rPr>
      <w:szCs w:val="24"/>
    </w:rPr>
  </w:style>
  <w:style w:type="paragraph" w:customStyle="1" w:styleId="Point2letter">
    <w:name w:val="Point 2 (letter)"/>
    <w:basedOn w:val="Normal"/>
    <w:pPr>
      <w:numPr>
        <w:ilvl w:val="5"/>
        <w:numId w:val="24"/>
      </w:numPr>
      <w:spacing w:before="120" w:after="120"/>
    </w:pPr>
    <w:rPr>
      <w:szCs w:val="24"/>
    </w:rPr>
  </w:style>
  <w:style w:type="paragraph" w:customStyle="1" w:styleId="Point3letter">
    <w:name w:val="Point 3 (letter)"/>
    <w:basedOn w:val="Normal"/>
    <w:pPr>
      <w:numPr>
        <w:ilvl w:val="7"/>
        <w:numId w:val="24"/>
      </w:numPr>
      <w:spacing w:before="120" w:after="120"/>
    </w:pPr>
    <w:rPr>
      <w:szCs w:val="24"/>
    </w:rPr>
  </w:style>
  <w:style w:type="paragraph" w:customStyle="1" w:styleId="Point4letter">
    <w:name w:val="Point 4 (letter)"/>
    <w:basedOn w:val="Normal"/>
    <w:pPr>
      <w:numPr>
        <w:ilvl w:val="8"/>
        <w:numId w:val="24"/>
      </w:numPr>
      <w:spacing w:before="120" w:after="120"/>
    </w:pPr>
    <w:rPr>
      <w:szCs w:val="24"/>
    </w:rPr>
  </w:style>
  <w:style w:type="paragraph" w:customStyle="1" w:styleId="Bullet0">
    <w:name w:val="Bullet 0"/>
    <w:basedOn w:val="Normal"/>
    <w:pPr>
      <w:numPr>
        <w:numId w:val="25"/>
      </w:numPr>
      <w:spacing w:before="120" w:after="120"/>
    </w:pPr>
    <w:rPr>
      <w:szCs w:val="24"/>
    </w:rPr>
  </w:style>
  <w:style w:type="paragraph" w:customStyle="1" w:styleId="Bullet1">
    <w:name w:val="Bullet 1"/>
    <w:basedOn w:val="Normal"/>
    <w:pPr>
      <w:numPr>
        <w:numId w:val="26"/>
      </w:numPr>
      <w:spacing w:before="120" w:after="120"/>
    </w:pPr>
    <w:rPr>
      <w:szCs w:val="24"/>
    </w:rPr>
  </w:style>
  <w:style w:type="paragraph" w:customStyle="1" w:styleId="Bullet2">
    <w:name w:val="Bullet 2"/>
    <w:basedOn w:val="Normal"/>
    <w:pPr>
      <w:numPr>
        <w:numId w:val="27"/>
      </w:numPr>
      <w:spacing w:before="120" w:after="120"/>
    </w:pPr>
    <w:rPr>
      <w:szCs w:val="24"/>
    </w:rPr>
  </w:style>
  <w:style w:type="paragraph" w:customStyle="1" w:styleId="Bullet3">
    <w:name w:val="Bullet 3"/>
    <w:basedOn w:val="Normal"/>
    <w:pPr>
      <w:numPr>
        <w:numId w:val="28"/>
      </w:numPr>
      <w:spacing w:before="120" w:after="120"/>
    </w:pPr>
    <w:rPr>
      <w:szCs w:val="24"/>
    </w:rPr>
  </w:style>
  <w:style w:type="paragraph" w:customStyle="1" w:styleId="Bullet4">
    <w:name w:val="Bullet 4"/>
    <w:basedOn w:val="Normal"/>
    <w:pPr>
      <w:numPr>
        <w:numId w:val="29"/>
      </w:numPr>
      <w:spacing w:before="120" w:after="120"/>
    </w:pPr>
    <w:rPr>
      <w:szCs w:val="24"/>
    </w:rPr>
  </w:style>
  <w:style w:type="paragraph" w:customStyle="1" w:styleId="Annexetitreexpos">
    <w:name w:val="Annexe titre (exposé)"/>
    <w:basedOn w:val="Normal"/>
    <w:next w:val="Normal"/>
    <w:pPr>
      <w:spacing w:before="120" w:after="120"/>
      <w:jc w:val="center"/>
    </w:pPr>
    <w:rPr>
      <w:b/>
      <w:szCs w:val="24"/>
      <w:u w:val="single"/>
    </w:rPr>
  </w:style>
  <w:style w:type="paragraph" w:customStyle="1" w:styleId="Annexetitre">
    <w:name w:val="Annexe titre"/>
    <w:basedOn w:val="Normal"/>
    <w:next w:val="Normal"/>
    <w:pPr>
      <w:spacing w:before="120" w:after="120"/>
      <w:jc w:val="center"/>
    </w:pPr>
    <w:rPr>
      <w:b/>
      <w:szCs w:val="24"/>
      <w:u w:val="single"/>
    </w:rPr>
  </w:style>
  <w:style w:type="paragraph" w:customStyle="1" w:styleId="Annexetitrefichefinancire">
    <w:name w:val="Annexe titre (fiche financière)"/>
    <w:basedOn w:val="Normal"/>
    <w:next w:val="Normal"/>
    <w:pPr>
      <w:spacing w:before="120" w:after="120"/>
      <w:jc w:val="center"/>
    </w:pPr>
    <w:rPr>
      <w:b/>
      <w:szCs w:val="24"/>
      <w:u w:val="single"/>
    </w:rPr>
  </w:style>
  <w:style w:type="paragraph" w:customStyle="1" w:styleId="Applicationdirecte">
    <w:name w:val="Application directe"/>
    <w:basedOn w:val="Normal"/>
    <w:next w:val="Fait"/>
    <w:pPr>
      <w:spacing w:before="480" w:after="120"/>
    </w:pPr>
    <w:rPr>
      <w:szCs w:val="24"/>
    </w:rPr>
  </w:style>
  <w:style w:type="paragraph" w:customStyle="1" w:styleId="Fait">
    <w:name w:val="Fait à"/>
    <w:basedOn w:val="Normal"/>
    <w:next w:val="Institutionquisigne"/>
    <w:pPr>
      <w:keepNext/>
      <w:spacing w:before="120" w:after="0"/>
    </w:pPr>
    <w:rPr>
      <w:szCs w:val="24"/>
    </w:rPr>
  </w:style>
  <w:style w:type="paragraph" w:customStyle="1" w:styleId="Institutionquisigne">
    <w:name w:val="Institution qui signe"/>
    <w:basedOn w:val="Normal"/>
    <w:next w:val="Personnequisigne"/>
    <w:pPr>
      <w:keepNext/>
      <w:tabs>
        <w:tab w:val="left" w:pos="4252"/>
      </w:tabs>
      <w:spacing w:before="720" w:after="0"/>
    </w:pPr>
    <w:rPr>
      <w:i/>
      <w:szCs w:val="24"/>
    </w:rPr>
  </w:style>
  <w:style w:type="paragraph" w:customStyle="1" w:styleId="Personnequisigne">
    <w:name w:val="Personne qui signe"/>
    <w:basedOn w:val="Normal"/>
    <w:next w:val="Institutionquisigne"/>
    <w:pPr>
      <w:tabs>
        <w:tab w:val="left" w:pos="4252"/>
      </w:tabs>
      <w:spacing w:after="0"/>
      <w:jc w:val="left"/>
    </w:pPr>
    <w:rPr>
      <w:i/>
      <w:szCs w:val="24"/>
    </w:rPr>
  </w:style>
  <w:style w:type="paragraph" w:customStyle="1" w:styleId="Avertissementtitre">
    <w:name w:val="Avertissement titre"/>
    <w:basedOn w:val="Normal"/>
    <w:next w:val="Normal"/>
    <w:pPr>
      <w:keepNext/>
      <w:spacing w:before="480" w:after="120"/>
    </w:pPr>
    <w:rPr>
      <w:szCs w:val="24"/>
      <w:u w:val="single"/>
    </w:rPr>
  </w:style>
  <w:style w:type="paragraph" w:customStyle="1" w:styleId="Confidence">
    <w:name w:val="Confidence"/>
    <w:basedOn w:val="Normal"/>
    <w:next w:val="Normal"/>
    <w:pPr>
      <w:spacing w:before="360" w:after="120"/>
      <w:jc w:val="center"/>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link w:val="TypedudocumentChar"/>
    <w:pPr>
      <w:spacing w:before="360" w:after="0"/>
      <w:jc w:val="center"/>
    </w:pPr>
    <w:rPr>
      <w:b/>
      <w:szCs w:val="24"/>
    </w:rPr>
  </w:style>
  <w:style w:type="paragraph" w:customStyle="1" w:styleId="Titreobjet">
    <w:name w:val="Titre objet"/>
    <w:basedOn w:val="Normal"/>
    <w:next w:val="Sous-titreobjet"/>
    <w:pPr>
      <w:spacing w:before="360" w:after="360"/>
      <w:jc w:val="center"/>
    </w:pPr>
    <w:rPr>
      <w:b/>
      <w:szCs w:val="24"/>
    </w:rPr>
  </w:style>
  <w:style w:type="paragraph" w:customStyle="1" w:styleId="Sous-titreobjet">
    <w:name w:val="Sous-titre objet"/>
    <w:basedOn w:val="Normal"/>
    <w:pPr>
      <w:spacing w:after="0"/>
      <w:jc w:val="center"/>
    </w:pPr>
    <w:rPr>
      <w:b/>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30"/>
      </w:numPr>
      <w:spacing w:before="120" w:after="120"/>
    </w:pPr>
    <w:rPr>
      <w:szCs w:val="24"/>
    </w:rPr>
  </w:style>
  <w:style w:type="paragraph" w:customStyle="1" w:styleId="Corrigendum">
    <w:name w:val="Corrigendum"/>
    <w:basedOn w:val="Normal"/>
    <w:next w:val="Normal"/>
    <w:pPr>
      <w:jc w:val="left"/>
    </w:pPr>
    <w:rPr>
      <w:szCs w:val="24"/>
    </w:rPr>
  </w:style>
  <w:style w:type="paragraph" w:customStyle="1" w:styleId="Datedadoption">
    <w:name w:val="Date d'adoption"/>
    <w:basedOn w:val="Normal"/>
    <w:next w:val="Titreobjet"/>
    <w:pPr>
      <w:spacing w:before="360" w:after="0"/>
      <w:jc w:val="center"/>
    </w:pPr>
    <w:rPr>
      <w:b/>
      <w:szCs w:val="24"/>
    </w:rPr>
  </w:style>
  <w:style w:type="paragraph" w:customStyle="1" w:styleId="Emission">
    <w:name w:val="Emission"/>
    <w:basedOn w:val="Normal"/>
    <w:next w:val="Rfrenceinstitutionnelle"/>
    <w:pPr>
      <w:spacing w:after="0"/>
      <w:ind w:left="5103"/>
      <w:jc w:val="left"/>
    </w:pPr>
    <w:rPr>
      <w:szCs w:val="24"/>
    </w:rPr>
  </w:style>
  <w:style w:type="paragraph" w:customStyle="1" w:styleId="Rfrenceinstitutionnelle">
    <w:name w:val="Référence institutionnelle"/>
    <w:basedOn w:val="Normal"/>
    <w:next w:val="Confidentialit"/>
    <w:pPr>
      <w:ind w:left="5103"/>
      <w:jc w:val="left"/>
    </w:pPr>
    <w:rPr>
      <w:szCs w:val="24"/>
    </w:rPr>
  </w:style>
  <w:style w:type="paragraph" w:customStyle="1" w:styleId="Exposdesmotifstitre">
    <w:name w:val="Exposé des motifs titre"/>
    <w:basedOn w:val="Normal"/>
    <w:next w:val="Normal"/>
    <w:pPr>
      <w:spacing w:before="120" w:after="120"/>
      <w:jc w:val="center"/>
    </w:pPr>
    <w:rPr>
      <w:b/>
      <w:szCs w:val="24"/>
      <w:u w:val="single"/>
    </w:rPr>
  </w:style>
  <w:style w:type="paragraph" w:customStyle="1" w:styleId="Formuledadoption">
    <w:name w:val="Formule d'adoption"/>
    <w:basedOn w:val="Normal"/>
    <w:next w:val="Titrearticle"/>
    <w:pPr>
      <w:keepNext/>
      <w:spacing w:before="120" w:after="120"/>
    </w:pPr>
    <w:rPr>
      <w:szCs w:val="24"/>
    </w:rPr>
  </w:style>
  <w:style w:type="paragraph" w:customStyle="1" w:styleId="Titrearticle">
    <w:name w:val="Titre article"/>
    <w:basedOn w:val="Normal"/>
    <w:next w:val="Normal"/>
    <w:pPr>
      <w:keepNext/>
      <w:spacing w:before="360" w:after="120"/>
      <w:jc w:val="center"/>
    </w:pPr>
    <w:rPr>
      <w:i/>
      <w:szCs w:val="24"/>
    </w:rPr>
  </w:style>
  <w:style w:type="paragraph" w:customStyle="1" w:styleId="Institutionquiagit">
    <w:name w:val="Institution qui agit"/>
    <w:basedOn w:val="Normal"/>
    <w:next w:val="Normal"/>
    <w:pPr>
      <w:keepNext/>
      <w:spacing w:before="600" w:after="120"/>
    </w:pPr>
    <w:rPr>
      <w:szCs w:val="24"/>
    </w:rPr>
  </w:style>
  <w:style w:type="paragraph" w:customStyle="1" w:styleId="Langue">
    <w:name w:val="Langue"/>
    <w:basedOn w:val="Normal"/>
    <w:next w:val="Rfrenceinterne"/>
    <w:pPr>
      <w:framePr w:wrap="around" w:vAnchor="page" w:hAnchor="text" w:xAlign="center" w:y="14741"/>
      <w:spacing w:after="600"/>
      <w:jc w:val="center"/>
    </w:pPr>
    <w:rPr>
      <w:b/>
      <w:caps/>
      <w:szCs w:val="24"/>
    </w:rPr>
  </w:style>
  <w:style w:type="paragraph" w:customStyle="1" w:styleId="Rfrenceinterne">
    <w:name w:val="Référence interne"/>
    <w:basedOn w:val="Normal"/>
    <w:next w:val="Rfrenceinterinstitutionnelle"/>
    <w:pPr>
      <w:spacing w:after="0"/>
      <w:ind w:left="5103"/>
      <w:jc w:val="left"/>
    </w:pPr>
    <w:rPr>
      <w:szCs w:val="24"/>
    </w:rPr>
  </w:style>
  <w:style w:type="paragraph" w:customStyle="1" w:styleId="Rfrenceinterinstitutionnelle">
    <w:name w:val="Référence interinstitutionnelle"/>
    <w:basedOn w:val="Normal"/>
    <w:next w:val="Statut"/>
    <w:pPr>
      <w:spacing w:after="0"/>
      <w:ind w:left="5103"/>
      <w:jc w:val="left"/>
    </w:pPr>
    <w:rPr>
      <w:szCs w:val="24"/>
    </w:rPr>
  </w:style>
  <w:style w:type="paragraph" w:customStyle="1" w:styleId="Statut">
    <w:name w:val="Statut"/>
    <w:basedOn w:val="Normal"/>
    <w:next w:val="Typedudocument"/>
    <w:pPr>
      <w:spacing w:before="360" w:after="0"/>
      <w:jc w:val="center"/>
    </w:pPr>
    <w:rPr>
      <w:szCs w:val="24"/>
    </w:rPr>
  </w:style>
  <w:style w:type="paragraph" w:customStyle="1" w:styleId="ManualConsidrant">
    <w:name w:val="Manual Considérant"/>
    <w:basedOn w:val="Normal"/>
    <w:pPr>
      <w:spacing w:before="120" w:after="120"/>
      <w:ind w:left="709" w:hanging="709"/>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Objetexterne">
    <w:name w:val="Objet externe"/>
    <w:basedOn w:val="Normal"/>
    <w:next w:val="Normal"/>
    <w:pPr>
      <w:spacing w:before="120" w:after="120"/>
    </w:pPr>
    <w:rPr>
      <w:i/>
      <w:caps/>
      <w:szCs w:val="24"/>
    </w:rPr>
  </w:style>
  <w:style w:type="paragraph" w:customStyle="1" w:styleId="Pagedecouverture">
    <w:name w:val="Page de couverture"/>
    <w:basedOn w:val="Normal"/>
    <w:next w:val="Normal"/>
    <w:pPr>
      <w:spacing w:after="0"/>
    </w:pPr>
    <w:rPr>
      <w:szCs w:val="24"/>
    </w:rPr>
  </w:style>
  <w:style w:type="paragraph" w:customStyle="1" w:styleId="Supertitre">
    <w:name w:val="Supertitre"/>
    <w:basedOn w:val="Normal"/>
    <w:next w:val="Normal"/>
    <w:pPr>
      <w:spacing w:after="600"/>
      <w:jc w:val="center"/>
    </w:pPr>
    <w:rPr>
      <w:b/>
      <w:szCs w:val="24"/>
    </w:rPr>
  </w:style>
  <w:style w:type="paragraph" w:customStyle="1" w:styleId="Languesfaisantfoi">
    <w:name w:val="Langues faisant foi"/>
    <w:basedOn w:val="Normal"/>
    <w:next w:val="Normal"/>
    <w:pPr>
      <w:spacing w:before="360" w:after="0"/>
      <w:jc w:val="center"/>
    </w:pPr>
    <w:rPr>
      <w:szCs w:val="24"/>
    </w:rPr>
  </w:style>
  <w:style w:type="paragraph" w:customStyle="1" w:styleId="Rfrencecroise">
    <w:name w:val="Référence croisée"/>
    <w:basedOn w:val="Normal"/>
    <w:pPr>
      <w:spacing w:after="0"/>
      <w:jc w:val="center"/>
    </w:pPr>
    <w:rPr>
      <w:szCs w:val="24"/>
    </w:rPr>
  </w:style>
  <w:style w:type="paragraph" w:customStyle="1" w:styleId="Fichefinanciretitre">
    <w:name w:val="Fiche financière titre"/>
    <w:basedOn w:val="Normal"/>
    <w:next w:val="Normal"/>
    <w:pPr>
      <w:spacing w:before="120" w:after="120"/>
      <w:jc w:val="center"/>
    </w:pPr>
    <w:rPr>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ind w:left="5103"/>
      <w:jc w:val="left"/>
    </w:pPr>
    <w:rPr>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jc w:val="center"/>
    </w:pPr>
    <w:rPr>
      <w:b/>
      <w:i/>
      <w:szCs w:val="24"/>
    </w:rPr>
  </w:style>
  <w:style w:type="paragraph" w:customStyle="1" w:styleId="Typeacteprincipal">
    <w:name w:val="Type acte principal"/>
    <w:basedOn w:val="Normal"/>
    <w:next w:val="Objetacteprincipal"/>
    <w:pPr>
      <w:jc w:val="center"/>
    </w:pPr>
    <w:rPr>
      <w:b/>
      <w:szCs w:val="24"/>
    </w:rPr>
  </w:style>
  <w:style w:type="paragraph" w:customStyle="1" w:styleId="Objetacteprincipal">
    <w:name w:val="Objet acte principal"/>
    <w:basedOn w:val="Normal"/>
    <w:next w:val="Titrearticle"/>
    <w:pPr>
      <w:spacing w:after="360"/>
      <w:jc w:val="center"/>
    </w:pPr>
    <w:rPr>
      <w:b/>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szCs w:val="24"/>
    </w:rPr>
  </w:style>
  <w:style w:type="paragraph" w:styleId="BalloonText">
    <w:name w:val="Balloon Text"/>
    <w:basedOn w:val="Normal"/>
    <w:link w:val="BalloonTextChar"/>
    <w:semiHidden/>
    <w:pPr>
      <w:spacing w:before="120" w:after="120"/>
    </w:pPr>
    <w:rPr>
      <w:rFonts w:ascii="Tahoma" w:hAnsi="Tahoma"/>
      <w:sz w:val="16"/>
      <w:szCs w:val="16"/>
    </w:rPr>
  </w:style>
  <w:style w:type="character" w:customStyle="1" w:styleId="BalloonTextChar">
    <w:name w:val="Balloon Text Char"/>
    <w:link w:val="BalloonText"/>
    <w:semiHidden/>
    <w:rPr>
      <w:rFonts w:ascii="Tahoma" w:hAnsi="Tahoma" w:cs="Tahoma"/>
      <w:sz w:val="16"/>
      <w:szCs w:val="16"/>
      <w:lang w:eastAsia="fr-FR"/>
    </w:rPr>
  </w:style>
  <w:style w:type="character" w:customStyle="1" w:styleId="Corpsdutexte">
    <w:name w:val="Corps du texte_"/>
    <w:link w:val="Corpsdutexte0"/>
    <w:uiPriority w:val="99"/>
    <w:rPr>
      <w:sz w:val="23"/>
      <w:szCs w:val="23"/>
      <w:shd w:val="clear" w:color="auto" w:fill="FFFFFF"/>
    </w:rPr>
  </w:style>
  <w:style w:type="paragraph" w:customStyle="1" w:styleId="Corpsdutexte0">
    <w:name w:val="Corps du texte"/>
    <w:basedOn w:val="Normal"/>
    <w:link w:val="Corpsdutexte"/>
    <w:uiPriority w:val="99"/>
    <w:pPr>
      <w:widowControl w:val="0"/>
      <w:shd w:val="clear" w:color="auto" w:fill="FFFFFF"/>
      <w:spacing w:after="1380" w:line="278" w:lineRule="exact"/>
      <w:ind w:hanging="560"/>
      <w:jc w:val="center"/>
    </w:pPr>
    <w:rPr>
      <w:sz w:val="23"/>
      <w:szCs w:val="23"/>
    </w:rPr>
  </w:style>
  <w:style w:type="character" w:styleId="CommentReference">
    <w:name w:val="annotation reference"/>
    <w:rPr>
      <w:sz w:val="16"/>
      <w:szCs w:val="16"/>
      <w:shd w:val="clear" w:color="auto" w:fill="auto"/>
    </w:rPr>
  </w:style>
  <w:style w:type="character" w:customStyle="1" w:styleId="CommentTextChar">
    <w:name w:val="Comment Text Char"/>
    <w:rPr>
      <w:shd w:val="clear" w:color="auto" w:fill="auto"/>
      <w:lang w:eastAsia="fr-FR"/>
    </w:rPr>
  </w:style>
  <w:style w:type="paragraph" w:styleId="CommentSubject">
    <w:name w:val="annotation subject"/>
    <w:basedOn w:val="CommentText"/>
    <w:next w:val="CommentText"/>
    <w:link w:val="CommentSubjectChar"/>
    <w:pPr>
      <w:spacing w:before="120" w:after="120"/>
    </w:pPr>
    <w:rPr>
      <w:b/>
      <w:bCs/>
    </w:rPr>
  </w:style>
  <w:style w:type="character" w:customStyle="1" w:styleId="CommentTextChar1">
    <w:name w:val="Comment Text Char1"/>
    <w:link w:val="CommentText"/>
    <w:rPr>
      <w:lang w:eastAsia="fr-FR"/>
    </w:rPr>
  </w:style>
  <w:style w:type="character" w:customStyle="1" w:styleId="CommentSubjectChar">
    <w:name w:val="Comment Subject Char"/>
    <w:link w:val="CommentSubject"/>
    <w:rPr>
      <w:b/>
      <w:bCs/>
      <w:lang w:eastAsia="fr-FR"/>
    </w:rPr>
  </w:style>
  <w:style w:type="paragraph" w:styleId="Revision">
    <w:name w:val="Revision"/>
    <w:hidden/>
    <w:uiPriority w:val="99"/>
    <w:semiHidden/>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TypedudocumentChar">
    <w:name w:val="Type du document Char"/>
    <w:link w:val="Typedudocument"/>
    <w:rPr>
      <w:b/>
      <w:sz w:val="24"/>
      <w:szCs w:val="24"/>
      <w:lang w:eastAsia="fr-F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link w:val="HeaderCoverPage"/>
    <w:rPr>
      <w:sz w:val="24"/>
      <w:szCs w:val="24"/>
    </w:rPr>
  </w:style>
  <w:style w:type="character" w:customStyle="1" w:styleId="FooterChar">
    <w:name w:val="Footer Char"/>
    <w:link w:val="Footer"/>
    <w:uiPriority w:val="99"/>
    <w:rPr>
      <w:rFonts w:ascii="Arial" w:hAnsi="Arial"/>
      <w:sz w:val="16"/>
      <w:lang w:eastAsia="fr-FR"/>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table of figures" w:uiPriority="0"/>
    <w:lsdException w:name="footnote reference" w:uiPriority="0"/>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uiPriority w:val="9"/>
    <w:qFormat/>
    <w:pPr>
      <w:keepNext/>
      <w:numPr>
        <w:numId w:val="3"/>
      </w:numPr>
      <w:spacing w:before="240"/>
      <w:outlineLvl w:val="0"/>
    </w:pPr>
    <w:rPr>
      <w:b/>
      <w:smallCaps/>
    </w:rPr>
  </w:style>
  <w:style w:type="paragraph" w:styleId="Heading2">
    <w:name w:val="heading 2"/>
    <w:basedOn w:val="Normal"/>
    <w:next w:val="Text2"/>
    <w:uiPriority w:val="9"/>
    <w:qFormat/>
    <w:pPr>
      <w:keepNext/>
      <w:numPr>
        <w:ilvl w:val="1"/>
        <w:numId w:val="3"/>
      </w:numPr>
      <w:outlineLvl w:val="1"/>
    </w:pPr>
    <w:rPr>
      <w:b/>
    </w:rPr>
  </w:style>
  <w:style w:type="paragraph" w:styleId="Heading3">
    <w:name w:val="heading 3"/>
    <w:basedOn w:val="Normal"/>
    <w:next w:val="Text3"/>
    <w:uiPriority w:val="9"/>
    <w:qFormat/>
    <w:pPr>
      <w:keepNext/>
      <w:numPr>
        <w:ilvl w:val="2"/>
        <w:numId w:val="3"/>
      </w:numPr>
      <w:outlineLvl w:val="2"/>
    </w:pPr>
    <w:rPr>
      <w:i/>
    </w:rPr>
  </w:style>
  <w:style w:type="paragraph" w:styleId="Heading4">
    <w:name w:val="heading 4"/>
    <w:basedOn w:val="Normal"/>
    <w:next w:val="Text4"/>
    <w:uiPriority w:val="9"/>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HeaderLandscape">
    <w:name w:val="HeaderLandscape"/>
    <w:basedOn w:val="Normal"/>
    <w:pPr>
      <w:tabs>
        <w:tab w:val="center" w:pos="7285"/>
        <w:tab w:val="right" w:pos="14003"/>
      </w:tabs>
      <w:spacing w:after="120"/>
    </w:pPr>
    <w:rPr>
      <w:szCs w:val="24"/>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szCs w:val="24"/>
    </w:rPr>
  </w:style>
  <w:style w:type="character" w:styleId="FootnoteReference">
    <w:name w:val="footnote reference"/>
    <w:semiHidden/>
    <w:rPr>
      <w:shd w:val="clear" w:color="auto" w:fill="auto"/>
      <w:vertAlign w:val="superscript"/>
    </w:rPr>
  </w:style>
  <w:style w:type="paragraph" w:customStyle="1" w:styleId="NormalCentered">
    <w:name w:val="Normal Centered"/>
    <w:basedOn w:val="Normal"/>
    <w:pPr>
      <w:spacing w:before="120" w:after="120"/>
      <w:jc w:val="center"/>
    </w:pPr>
    <w:rPr>
      <w:szCs w:val="24"/>
    </w:rPr>
  </w:style>
  <w:style w:type="paragraph" w:customStyle="1" w:styleId="NormalLeft">
    <w:name w:val="Normal Left"/>
    <w:basedOn w:val="Normal"/>
    <w:pPr>
      <w:spacing w:before="120" w:after="120"/>
      <w:jc w:val="left"/>
    </w:pPr>
    <w:rPr>
      <w:szCs w:val="24"/>
    </w:rPr>
  </w:style>
  <w:style w:type="paragraph" w:customStyle="1" w:styleId="NormalRight">
    <w:name w:val="Normal Right"/>
    <w:basedOn w:val="Normal"/>
    <w:pPr>
      <w:spacing w:before="120" w:after="120"/>
      <w:jc w:val="right"/>
    </w:pPr>
    <w:rPr>
      <w:szCs w:val="24"/>
    </w:rPr>
  </w:style>
  <w:style w:type="paragraph" w:customStyle="1" w:styleId="QuotedText">
    <w:name w:val="Quoted Text"/>
    <w:basedOn w:val="Normal"/>
    <w:pPr>
      <w:spacing w:before="120" w:after="120"/>
      <w:ind w:left="1417"/>
    </w:pPr>
    <w:rPr>
      <w:szCs w:val="24"/>
    </w:rPr>
  </w:style>
  <w:style w:type="paragraph" w:customStyle="1" w:styleId="Point0">
    <w:name w:val="Point 0"/>
    <w:basedOn w:val="Normal"/>
    <w:pPr>
      <w:spacing w:before="120" w:after="120"/>
      <w:ind w:left="850" w:hanging="850"/>
    </w:pPr>
    <w:rPr>
      <w:szCs w:val="24"/>
    </w:rPr>
  </w:style>
  <w:style w:type="paragraph" w:customStyle="1" w:styleId="Point1">
    <w:name w:val="Point 1"/>
    <w:basedOn w:val="Normal"/>
    <w:pPr>
      <w:spacing w:before="120" w:after="120"/>
      <w:ind w:left="1417" w:hanging="567"/>
    </w:pPr>
    <w:rPr>
      <w:szCs w:val="24"/>
    </w:rPr>
  </w:style>
  <w:style w:type="paragraph" w:customStyle="1" w:styleId="Point2">
    <w:name w:val="Point 2"/>
    <w:basedOn w:val="Normal"/>
    <w:pPr>
      <w:spacing w:before="120" w:after="120"/>
      <w:ind w:left="1984" w:hanging="567"/>
    </w:pPr>
    <w:rPr>
      <w:szCs w:val="24"/>
    </w:rPr>
  </w:style>
  <w:style w:type="paragraph" w:customStyle="1" w:styleId="Point3">
    <w:name w:val="Point 3"/>
    <w:basedOn w:val="Normal"/>
    <w:pPr>
      <w:spacing w:before="120" w:after="120"/>
      <w:ind w:left="2551" w:hanging="567"/>
    </w:pPr>
    <w:rPr>
      <w:szCs w:val="24"/>
    </w:rPr>
  </w:style>
  <w:style w:type="paragraph" w:customStyle="1" w:styleId="Point4">
    <w:name w:val="Point 4"/>
    <w:basedOn w:val="Normal"/>
    <w:pPr>
      <w:spacing w:before="120" w:after="120"/>
      <w:ind w:left="3118" w:hanging="567"/>
    </w:pPr>
    <w:rPr>
      <w:szCs w:val="24"/>
    </w:rPr>
  </w:style>
  <w:style w:type="paragraph" w:customStyle="1" w:styleId="Tiret0">
    <w:name w:val="Tiret 0"/>
    <w:basedOn w:val="Point0"/>
    <w:pPr>
      <w:numPr>
        <w:numId w:val="19"/>
      </w:numPr>
      <w:tabs>
        <w:tab w:val="clear" w:pos="850"/>
      </w:tabs>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tabs>
        <w:tab w:val="clear" w:pos="2551"/>
      </w:tabs>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spacing w:before="120" w:after="120"/>
      <w:ind w:left="1417" w:hanging="1417"/>
    </w:pPr>
    <w:rPr>
      <w:szCs w:val="24"/>
    </w:rPr>
  </w:style>
  <w:style w:type="paragraph" w:customStyle="1" w:styleId="PointDouble1">
    <w:name w:val="PointDouble 1"/>
    <w:basedOn w:val="Normal"/>
    <w:pPr>
      <w:tabs>
        <w:tab w:val="left" w:pos="1417"/>
      </w:tabs>
      <w:spacing w:before="120" w:after="120"/>
      <w:ind w:left="1984" w:hanging="1134"/>
    </w:pPr>
    <w:rPr>
      <w:szCs w:val="24"/>
    </w:rPr>
  </w:style>
  <w:style w:type="paragraph" w:customStyle="1" w:styleId="PointDouble2">
    <w:name w:val="PointDouble 2"/>
    <w:basedOn w:val="Normal"/>
    <w:pPr>
      <w:tabs>
        <w:tab w:val="left" w:pos="1984"/>
      </w:tabs>
      <w:spacing w:before="120" w:after="120"/>
      <w:ind w:left="2551" w:hanging="1134"/>
    </w:pPr>
    <w:rPr>
      <w:szCs w:val="24"/>
    </w:rPr>
  </w:style>
  <w:style w:type="paragraph" w:customStyle="1" w:styleId="PointDouble3">
    <w:name w:val="PointDouble 3"/>
    <w:basedOn w:val="Normal"/>
    <w:pPr>
      <w:tabs>
        <w:tab w:val="left" w:pos="2551"/>
      </w:tabs>
      <w:spacing w:before="120" w:after="120"/>
      <w:ind w:left="3118" w:hanging="1134"/>
    </w:pPr>
    <w:rPr>
      <w:szCs w:val="24"/>
    </w:rPr>
  </w:style>
  <w:style w:type="paragraph" w:customStyle="1" w:styleId="PointDouble4">
    <w:name w:val="PointDouble 4"/>
    <w:basedOn w:val="Normal"/>
    <w:pPr>
      <w:tabs>
        <w:tab w:val="left" w:pos="3118"/>
      </w:tabs>
      <w:spacing w:before="120" w:after="120"/>
      <w:ind w:left="3685" w:hanging="1134"/>
    </w:pPr>
    <w:rPr>
      <w:szCs w:val="24"/>
    </w:rPr>
  </w:style>
  <w:style w:type="paragraph" w:customStyle="1" w:styleId="PointTriple0">
    <w:name w:val="PointTriple 0"/>
    <w:basedOn w:val="Normal"/>
    <w:pPr>
      <w:tabs>
        <w:tab w:val="left" w:pos="850"/>
        <w:tab w:val="left" w:pos="1417"/>
      </w:tabs>
      <w:spacing w:before="120" w:after="120"/>
      <w:ind w:left="1984" w:hanging="1984"/>
    </w:pPr>
    <w:rPr>
      <w:szCs w:val="24"/>
    </w:rPr>
  </w:style>
  <w:style w:type="paragraph" w:customStyle="1" w:styleId="PointTriple1">
    <w:name w:val="PointTriple 1"/>
    <w:basedOn w:val="Normal"/>
    <w:pPr>
      <w:tabs>
        <w:tab w:val="left" w:pos="1417"/>
        <w:tab w:val="left" w:pos="1984"/>
      </w:tabs>
      <w:spacing w:before="120" w:after="120"/>
      <w:ind w:left="2551" w:hanging="1701"/>
    </w:pPr>
    <w:rPr>
      <w:szCs w:val="24"/>
    </w:rPr>
  </w:style>
  <w:style w:type="paragraph" w:customStyle="1" w:styleId="PointTriple2">
    <w:name w:val="PointTriple 2"/>
    <w:basedOn w:val="Normal"/>
    <w:pPr>
      <w:tabs>
        <w:tab w:val="left" w:pos="1984"/>
        <w:tab w:val="left" w:pos="2551"/>
      </w:tabs>
      <w:spacing w:before="120" w:after="120"/>
      <w:ind w:left="3118" w:hanging="1701"/>
    </w:pPr>
    <w:rPr>
      <w:szCs w:val="24"/>
    </w:rPr>
  </w:style>
  <w:style w:type="paragraph" w:customStyle="1" w:styleId="PointTriple3">
    <w:name w:val="PointTriple 3"/>
    <w:basedOn w:val="Normal"/>
    <w:pPr>
      <w:tabs>
        <w:tab w:val="left" w:pos="2551"/>
        <w:tab w:val="left" w:pos="3118"/>
      </w:tabs>
      <w:spacing w:before="120" w:after="120"/>
      <w:ind w:left="3685" w:hanging="1701"/>
    </w:pPr>
    <w:rPr>
      <w:szCs w:val="24"/>
    </w:rPr>
  </w:style>
  <w:style w:type="paragraph" w:customStyle="1" w:styleId="PointTriple4">
    <w:name w:val="PointTriple 4"/>
    <w:basedOn w:val="Normal"/>
    <w:pPr>
      <w:tabs>
        <w:tab w:val="left" w:pos="3118"/>
        <w:tab w:val="left" w:pos="3685"/>
      </w:tabs>
      <w:spacing w:before="120" w:after="120"/>
      <w:ind w:left="4252" w:hanging="1701"/>
    </w:pPr>
    <w:rPr>
      <w:szCs w:val="24"/>
    </w:rPr>
  </w:style>
  <w:style w:type="paragraph" w:customStyle="1" w:styleId="ManualNumPar1">
    <w:name w:val="Manual NumPar 1"/>
    <w:basedOn w:val="Normal"/>
    <w:next w:val="Text1"/>
    <w:pPr>
      <w:spacing w:before="120" w:after="120"/>
      <w:ind w:left="850" w:hanging="850"/>
    </w:pPr>
    <w:rPr>
      <w:szCs w:val="24"/>
    </w:rPr>
  </w:style>
  <w:style w:type="paragraph" w:customStyle="1" w:styleId="ManualNumPar2">
    <w:name w:val="Manual NumPar 2"/>
    <w:basedOn w:val="Normal"/>
    <w:next w:val="Text1"/>
    <w:pPr>
      <w:spacing w:before="120" w:after="120"/>
      <w:ind w:left="850" w:hanging="850"/>
    </w:pPr>
    <w:rPr>
      <w:szCs w:val="24"/>
    </w:rPr>
  </w:style>
  <w:style w:type="paragraph" w:customStyle="1" w:styleId="ManualNumPar3">
    <w:name w:val="Manual NumPar 3"/>
    <w:basedOn w:val="Normal"/>
    <w:next w:val="Text1"/>
    <w:pPr>
      <w:spacing w:before="120" w:after="120"/>
      <w:ind w:left="850" w:hanging="850"/>
    </w:pPr>
    <w:rPr>
      <w:szCs w:val="24"/>
    </w:rPr>
  </w:style>
  <w:style w:type="paragraph" w:customStyle="1" w:styleId="ManualNumPar4">
    <w:name w:val="Manual NumPar 4"/>
    <w:basedOn w:val="Normal"/>
    <w:next w:val="Text1"/>
    <w:pPr>
      <w:spacing w:before="120" w:after="120"/>
      <w:ind w:left="850" w:hanging="850"/>
    </w:pPr>
    <w:rPr>
      <w:szCs w:val="24"/>
    </w:rPr>
  </w:style>
  <w:style w:type="paragraph" w:customStyle="1" w:styleId="QuotedNumPar">
    <w:name w:val="Quoted NumPar"/>
    <w:basedOn w:val="Normal"/>
    <w:pPr>
      <w:spacing w:before="120" w:after="120"/>
      <w:ind w:left="1417" w:hanging="567"/>
    </w:pPr>
    <w:rPr>
      <w:szCs w:val="24"/>
    </w:rPr>
  </w:style>
  <w:style w:type="paragraph" w:customStyle="1" w:styleId="ManualHeading1">
    <w:name w:val="Manual Heading 1"/>
    <w:basedOn w:val="Normal"/>
    <w:next w:val="Text1"/>
    <w:pPr>
      <w:keepNext/>
      <w:tabs>
        <w:tab w:val="left" w:pos="850"/>
      </w:tabs>
      <w:spacing w:before="360" w:after="120"/>
      <w:ind w:left="850" w:hanging="850"/>
      <w:outlineLvl w:val="0"/>
    </w:pPr>
    <w:rPr>
      <w:b/>
      <w:smallCaps/>
      <w:szCs w:val="24"/>
    </w:rPr>
  </w:style>
  <w:style w:type="paragraph" w:customStyle="1" w:styleId="ManualHeading2">
    <w:name w:val="Manual Heading 2"/>
    <w:basedOn w:val="Normal"/>
    <w:next w:val="Text1"/>
    <w:pPr>
      <w:keepNext/>
      <w:tabs>
        <w:tab w:val="left" w:pos="850"/>
      </w:tabs>
      <w:spacing w:before="120" w:after="120"/>
      <w:ind w:left="850" w:hanging="850"/>
      <w:outlineLvl w:val="1"/>
    </w:pPr>
    <w:rPr>
      <w:b/>
      <w:szCs w:val="24"/>
    </w:rPr>
  </w:style>
  <w:style w:type="paragraph" w:customStyle="1" w:styleId="ManualHeading3">
    <w:name w:val="Manual Heading 3"/>
    <w:basedOn w:val="Normal"/>
    <w:next w:val="Text1"/>
    <w:pPr>
      <w:keepNext/>
      <w:tabs>
        <w:tab w:val="left" w:pos="850"/>
      </w:tabs>
      <w:spacing w:before="120" w:after="120"/>
      <w:ind w:left="850" w:hanging="850"/>
      <w:outlineLvl w:val="2"/>
    </w:pPr>
    <w:rPr>
      <w:i/>
      <w:szCs w:val="24"/>
    </w:rPr>
  </w:style>
  <w:style w:type="paragraph" w:customStyle="1" w:styleId="ManualHeading4">
    <w:name w:val="Manual Heading 4"/>
    <w:basedOn w:val="Normal"/>
    <w:next w:val="Text1"/>
    <w:pPr>
      <w:keepNext/>
      <w:tabs>
        <w:tab w:val="left" w:pos="850"/>
      </w:tabs>
      <w:spacing w:before="120" w:after="120"/>
      <w:ind w:left="850" w:hanging="850"/>
      <w:outlineLvl w:val="3"/>
    </w:pPr>
    <w:rPr>
      <w:szCs w:val="24"/>
    </w:rPr>
  </w:style>
  <w:style w:type="paragraph" w:customStyle="1" w:styleId="TableTitle">
    <w:name w:val="Table Title"/>
    <w:basedOn w:val="Normal"/>
    <w:next w:val="Normal"/>
    <w:pPr>
      <w:spacing w:before="120" w:after="120"/>
      <w:jc w:val="center"/>
    </w:pPr>
    <w:rPr>
      <w:b/>
      <w:szCs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4"/>
      </w:numPr>
      <w:spacing w:before="120" w:after="120"/>
    </w:pPr>
    <w:rPr>
      <w:szCs w:val="24"/>
    </w:rPr>
  </w:style>
  <w:style w:type="paragraph" w:customStyle="1" w:styleId="Point1number">
    <w:name w:val="Point 1 (number)"/>
    <w:basedOn w:val="Normal"/>
    <w:pPr>
      <w:numPr>
        <w:ilvl w:val="2"/>
        <w:numId w:val="24"/>
      </w:numPr>
      <w:spacing w:before="120" w:after="120"/>
    </w:pPr>
    <w:rPr>
      <w:szCs w:val="24"/>
    </w:rPr>
  </w:style>
  <w:style w:type="paragraph" w:customStyle="1" w:styleId="Point2number">
    <w:name w:val="Point 2 (number)"/>
    <w:basedOn w:val="Normal"/>
    <w:pPr>
      <w:numPr>
        <w:ilvl w:val="4"/>
        <w:numId w:val="24"/>
      </w:numPr>
      <w:spacing w:before="120" w:after="120"/>
    </w:pPr>
    <w:rPr>
      <w:szCs w:val="24"/>
    </w:rPr>
  </w:style>
  <w:style w:type="paragraph" w:customStyle="1" w:styleId="Point3number">
    <w:name w:val="Point 3 (number)"/>
    <w:basedOn w:val="Normal"/>
    <w:pPr>
      <w:numPr>
        <w:ilvl w:val="6"/>
        <w:numId w:val="24"/>
      </w:numPr>
      <w:spacing w:before="120" w:after="120"/>
    </w:pPr>
    <w:rPr>
      <w:szCs w:val="24"/>
    </w:rPr>
  </w:style>
  <w:style w:type="paragraph" w:customStyle="1" w:styleId="Point0letter">
    <w:name w:val="Point 0 (letter)"/>
    <w:basedOn w:val="Normal"/>
    <w:pPr>
      <w:numPr>
        <w:ilvl w:val="1"/>
        <w:numId w:val="24"/>
      </w:numPr>
      <w:spacing w:before="120" w:after="120"/>
    </w:pPr>
    <w:rPr>
      <w:szCs w:val="24"/>
    </w:rPr>
  </w:style>
  <w:style w:type="paragraph" w:customStyle="1" w:styleId="Point1letter">
    <w:name w:val="Point 1 (letter)"/>
    <w:basedOn w:val="Normal"/>
    <w:pPr>
      <w:numPr>
        <w:ilvl w:val="3"/>
        <w:numId w:val="24"/>
      </w:numPr>
      <w:spacing w:before="120" w:after="120"/>
    </w:pPr>
    <w:rPr>
      <w:szCs w:val="24"/>
    </w:rPr>
  </w:style>
  <w:style w:type="paragraph" w:customStyle="1" w:styleId="Point2letter">
    <w:name w:val="Point 2 (letter)"/>
    <w:basedOn w:val="Normal"/>
    <w:pPr>
      <w:numPr>
        <w:ilvl w:val="5"/>
        <w:numId w:val="24"/>
      </w:numPr>
      <w:spacing w:before="120" w:after="120"/>
    </w:pPr>
    <w:rPr>
      <w:szCs w:val="24"/>
    </w:rPr>
  </w:style>
  <w:style w:type="paragraph" w:customStyle="1" w:styleId="Point3letter">
    <w:name w:val="Point 3 (letter)"/>
    <w:basedOn w:val="Normal"/>
    <w:pPr>
      <w:numPr>
        <w:ilvl w:val="7"/>
        <w:numId w:val="24"/>
      </w:numPr>
      <w:spacing w:before="120" w:after="120"/>
    </w:pPr>
    <w:rPr>
      <w:szCs w:val="24"/>
    </w:rPr>
  </w:style>
  <w:style w:type="paragraph" w:customStyle="1" w:styleId="Point4letter">
    <w:name w:val="Point 4 (letter)"/>
    <w:basedOn w:val="Normal"/>
    <w:pPr>
      <w:numPr>
        <w:ilvl w:val="8"/>
        <w:numId w:val="24"/>
      </w:numPr>
      <w:spacing w:before="120" w:after="120"/>
    </w:pPr>
    <w:rPr>
      <w:szCs w:val="24"/>
    </w:rPr>
  </w:style>
  <w:style w:type="paragraph" w:customStyle="1" w:styleId="Bullet0">
    <w:name w:val="Bullet 0"/>
    <w:basedOn w:val="Normal"/>
    <w:pPr>
      <w:numPr>
        <w:numId w:val="25"/>
      </w:numPr>
      <w:spacing w:before="120" w:after="120"/>
    </w:pPr>
    <w:rPr>
      <w:szCs w:val="24"/>
    </w:rPr>
  </w:style>
  <w:style w:type="paragraph" w:customStyle="1" w:styleId="Bullet1">
    <w:name w:val="Bullet 1"/>
    <w:basedOn w:val="Normal"/>
    <w:pPr>
      <w:numPr>
        <w:numId w:val="26"/>
      </w:numPr>
      <w:spacing w:before="120" w:after="120"/>
    </w:pPr>
    <w:rPr>
      <w:szCs w:val="24"/>
    </w:rPr>
  </w:style>
  <w:style w:type="paragraph" w:customStyle="1" w:styleId="Bullet2">
    <w:name w:val="Bullet 2"/>
    <w:basedOn w:val="Normal"/>
    <w:pPr>
      <w:numPr>
        <w:numId w:val="27"/>
      </w:numPr>
      <w:spacing w:before="120" w:after="120"/>
    </w:pPr>
    <w:rPr>
      <w:szCs w:val="24"/>
    </w:rPr>
  </w:style>
  <w:style w:type="paragraph" w:customStyle="1" w:styleId="Bullet3">
    <w:name w:val="Bullet 3"/>
    <w:basedOn w:val="Normal"/>
    <w:pPr>
      <w:numPr>
        <w:numId w:val="28"/>
      </w:numPr>
      <w:spacing w:before="120" w:after="120"/>
    </w:pPr>
    <w:rPr>
      <w:szCs w:val="24"/>
    </w:rPr>
  </w:style>
  <w:style w:type="paragraph" w:customStyle="1" w:styleId="Bullet4">
    <w:name w:val="Bullet 4"/>
    <w:basedOn w:val="Normal"/>
    <w:pPr>
      <w:numPr>
        <w:numId w:val="29"/>
      </w:numPr>
      <w:spacing w:before="120" w:after="120"/>
    </w:pPr>
    <w:rPr>
      <w:szCs w:val="24"/>
    </w:rPr>
  </w:style>
  <w:style w:type="paragraph" w:customStyle="1" w:styleId="Annexetitreexpos">
    <w:name w:val="Annexe titre (exposé)"/>
    <w:basedOn w:val="Normal"/>
    <w:next w:val="Normal"/>
    <w:pPr>
      <w:spacing w:before="120" w:after="120"/>
      <w:jc w:val="center"/>
    </w:pPr>
    <w:rPr>
      <w:b/>
      <w:szCs w:val="24"/>
      <w:u w:val="single"/>
    </w:rPr>
  </w:style>
  <w:style w:type="paragraph" w:customStyle="1" w:styleId="Annexetitre">
    <w:name w:val="Annexe titre"/>
    <w:basedOn w:val="Normal"/>
    <w:next w:val="Normal"/>
    <w:pPr>
      <w:spacing w:before="120" w:after="120"/>
      <w:jc w:val="center"/>
    </w:pPr>
    <w:rPr>
      <w:b/>
      <w:szCs w:val="24"/>
      <w:u w:val="single"/>
    </w:rPr>
  </w:style>
  <w:style w:type="paragraph" w:customStyle="1" w:styleId="Annexetitrefichefinancire">
    <w:name w:val="Annexe titre (fiche financière)"/>
    <w:basedOn w:val="Normal"/>
    <w:next w:val="Normal"/>
    <w:pPr>
      <w:spacing w:before="120" w:after="120"/>
      <w:jc w:val="center"/>
    </w:pPr>
    <w:rPr>
      <w:b/>
      <w:szCs w:val="24"/>
      <w:u w:val="single"/>
    </w:rPr>
  </w:style>
  <w:style w:type="paragraph" w:customStyle="1" w:styleId="Applicationdirecte">
    <w:name w:val="Application directe"/>
    <w:basedOn w:val="Normal"/>
    <w:next w:val="Fait"/>
    <w:pPr>
      <w:spacing w:before="480" w:after="120"/>
    </w:pPr>
    <w:rPr>
      <w:szCs w:val="24"/>
    </w:rPr>
  </w:style>
  <w:style w:type="paragraph" w:customStyle="1" w:styleId="Fait">
    <w:name w:val="Fait à"/>
    <w:basedOn w:val="Normal"/>
    <w:next w:val="Institutionquisigne"/>
    <w:pPr>
      <w:keepNext/>
      <w:spacing w:before="120" w:after="0"/>
    </w:pPr>
    <w:rPr>
      <w:szCs w:val="24"/>
    </w:rPr>
  </w:style>
  <w:style w:type="paragraph" w:customStyle="1" w:styleId="Institutionquisigne">
    <w:name w:val="Institution qui signe"/>
    <w:basedOn w:val="Normal"/>
    <w:next w:val="Personnequisigne"/>
    <w:pPr>
      <w:keepNext/>
      <w:tabs>
        <w:tab w:val="left" w:pos="4252"/>
      </w:tabs>
      <w:spacing w:before="720" w:after="0"/>
    </w:pPr>
    <w:rPr>
      <w:i/>
      <w:szCs w:val="24"/>
    </w:rPr>
  </w:style>
  <w:style w:type="paragraph" w:customStyle="1" w:styleId="Personnequisigne">
    <w:name w:val="Personne qui signe"/>
    <w:basedOn w:val="Normal"/>
    <w:next w:val="Institutionquisigne"/>
    <w:pPr>
      <w:tabs>
        <w:tab w:val="left" w:pos="4252"/>
      </w:tabs>
      <w:spacing w:after="0"/>
      <w:jc w:val="left"/>
    </w:pPr>
    <w:rPr>
      <w:i/>
      <w:szCs w:val="24"/>
    </w:rPr>
  </w:style>
  <w:style w:type="paragraph" w:customStyle="1" w:styleId="Avertissementtitre">
    <w:name w:val="Avertissement titre"/>
    <w:basedOn w:val="Normal"/>
    <w:next w:val="Normal"/>
    <w:pPr>
      <w:keepNext/>
      <w:spacing w:before="480" w:after="120"/>
    </w:pPr>
    <w:rPr>
      <w:szCs w:val="24"/>
      <w:u w:val="single"/>
    </w:rPr>
  </w:style>
  <w:style w:type="paragraph" w:customStyle="1" w:styleId="Confidence">
    <w:name w:val="Confidence"/>
    <w:basedOn w:val="Normal"/>
    <w:next w:val="Normal"/>
    <w:pPr>
      <w:spacing w:before="360" w:after="120"/>
      <w:jc w:val="center"/>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link w:val="TypedudocumentChar"/>
    <w:pPr>
      <w:spacing w:before="360" w:after="0"/>
      <w:jc w:val="center"/>
    </w:pPr>
    <w:rPr>
      <w:b/>
      <w:szCs w:val="24"/>
    </w:rPr>
  </w:style>
  <w:style w:type="paragraph" w:customStyle="1" w:styleId="Titreobjet">
    <w:name w:val="Titre objet"/>
    <w:basedOn w:val="Normal"/>
    <w:next w:val="Sous-titreobjet"/>
    <w:pPr>
      <w:spacing w:before="360" w:after="360"/>
      <w:jc w:val="center"/>
    </w:pPr>
    <w:rPr>
      <w:b/>
      <w:szCs w:val="24"/>
    </w:rPr>
  </w:style>
  <w:style w:type="paragraph" w:customStyle="1" w:styleId="Sous-titreobjet">
    <w:name w:val="Sous-titre objet"/>
    <w:basedOn w:val="Normal"/>
    <w:pPr>
      <w:spacing w:after="0"/>
      <w:jc w:val="center"/>
    </w:pPr>
    <w:rPr>
      <w:b/>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30"/>
      </w:numPr>
      <w:spacing w:before="120" w:after="120"/>
    </w:pPr>
    <w:rPr>
      <w:szCs w:val="24"/>
    </w:rPr>
  </w:style>
  <w:style w:type="paragraph" w:customStyle="1" w:styleId="Corrigendum">
    <w:name w:val="Corrigendum"/>
    <w:basedOn w:val="Normal"/>
    <w:next w:val="Normal"/>
    <w:pPr>
      <w:jc w:val="left"/>
    </w:pPr>
    <w:rPr>
      <w:szCs w:val="24"/>
    </w:rPr>
  </w:style>
  <w:style w:type="paragraph" w:customStyle="1" w:styleId="Datedadoption">
    <w:name w:val="Date d'adoption"/>
    <w:basedOn w:val="Normal"/>
    <w:next w:val="Titreobjet"/>
    <w:pPr>
      <w:spacing w:before="360" w:after="0"/>
      <w:jc w:val="center"/>
    </w:pPr>
    <w:rPr>
      <w:b/>
      <w:szCs w:val="24"/>
    </w:rPr>
  </w:style>
  <w:style w:type="paragraph" w:customStyle="1" w:styleId="Emission">
    <w:name w:val="Emission"/>
    <w:basedOn w:val="Normal"/>
    <w:next w:val="Rfrenceinstitutionnelle"/>
    <w:pPr>
      <w:spacing w:after="0"/>
      <w:ind w:left="5103"/>
      <w:jc w:val="left"/>
    </w:pPr>
    <w:rPr>
      <w:szCs w:val="24"/>
    </w:rPr>
  </w:style>
  <w:style w:type="paragraph" w:customStyle="1" w:styleId="Rfrenceinstitutionnelle">
    <w:name w:val="Référence institutionnelle"/>
    <w:basedOn w:val="Normal"/>
    <w:next w:val="Confidentialit"/>
    <w:pPr>
      <w:ind w:left="5103"/>
      <w:jc w:val="left"/>
    </w:pPr>
    <w:rPr>
      <w:szCs w:val="24"/>
    </w:rPr>
  </w:style>
  <w:style w:type="paragraph" w:customStyle="1" w:styleId="Exposdesmotifstitre">
    <w:name w:val="Exposé des motifs titre"/>
    <w:basedOn w:val="Normal"/>
    <w:next w:val="Normal"/>
    <w:pPr>
      <w:spacing w:before="120" w:after="120"/>
      <w:jc w:val="center"/>
    </w:pPr>
    <w:rPr>
      <w:b/>
      <w:szCs w:val="24"/>
      <w:u w:val="single"/>
    </w:rPr>
  </w:style>
  <w:style w:type="paragraph" w:customStyle="1" w:styleId="Formuledadoption">
    <w:name w:val="Formule d'adoption"/>
    <w:basedOn w:val="Normal"/>
    <w:next w:val="Titrearticle"/>
    <w:pPr>
      <w:keepNext/>
      <w:spacing w:before="120" w:after="120"/>
    </w:pPr>
    <w:rPr>
      <w:szCs w:val="24"/>
    </w:rPr>
  </w:style>
  <w:style w:type="paragraph" w:customStyle="1" w:styleId="Titrearticle">
    <w:name w:val="Titre article"/>
    <w:basedOn w:val="Normal"/>
    <w:next w:val="Normal"/>
    <w:pPr>
      <w:keepNext/>
      <w:spacing w:before="360" w:after="120"/>
      <w:jc w:val="center"/>
    </w:pPr>
    <w:rPr>
      <w:i/>
      <w:szCs w:val="24"/>
    </w:rPr>
  </w:style>
  <w:style w:type="paragraph" w:customStyle="1" w:styleId="Institutionquiagit">
    <w:name w:val="Institution qui agit"/>
    <w:basedOn w:val="Normal"/>
    <w:next w:val="Normal"/>
    <w:pPr>
      <w:keepNext/>
      <w:spacing w:before="600" w:after="120"/>
    </w:pPr>
    <w:rPr>
      <w:szCs w:val="24"/>
    </w:rPr>
  </w:style>
  <w:style w:type="paragraph" w:customStyle="1" w:styleId="Langue">
    <w:name w:val="Langue"/>
    <w:basedOn w:val="Normal"/>
    <w:next w:val="Rfrenceinterne"/>
    <w:pPr>
      <w:framePr w:wrap="around" w:vAnchor="page" w:hAnchor="text" w:xAlign="center" w:y="14741"/>
      <w:spacing w:after="600"/>
      <w:jc w:val="center"/>
    </w:pPr>
    <w:rPr>
      <w:b/>
      <w:caps/>
      <w:szCs w:val="24"/>
    </w:rPr>
  </w:style>
  <w:style w:type="paragraph" w:customStyle="1" w:styleId="Rfrenceinterne">
    <w:name w:val="Référence interne"/>
    <w:basedOn w:val="Normal"/>
    <w:next w:val="Rfrenceinterinstitutionnelle"/>
    <w:pPr>
      <w:spacing w:after="0"/>
      <w:ind w:left="5103"/>
      <w:jc w:val="left"/>
    </w:pPr>
    <w:rPr>
      <w:szCs w:val="24"/>
    </w:rPr>
  </w:style>
  <w:style w:type="paragraph" w:customStyle="1" w:styleId="Rfrenceinterinstitutionnelle">
    <w:name w:val="Référence interinstitutionnelle"/>
    <w:basedOn w:val="Normal"/>
    <w:next w:val="Statut"/>
    <w:pPr>
      <w:spacing w:after="0"/>
      <w:ind w:left="5103"/>
      <w:jc w:val="left"/>
    </w:pPr>
    <w:rPr>
      <w:szCs w:val="24"/>
    </w:rPr>
  </w:style>
  <w:style w:type="paragraph" w:customStyle="1" w:styleId="Statut">
    <w:name w:val="Statut"/>
    <w:basedOn w:val="Normal"/>
    <w:next w:val="Typedudocument"/>
    <w:pPr>
      <w:spacing w:before="360" w:after="0"/>
      <w:jc w:val="center"/>
    </w:pPr>
    <w:rPr>
      <w:szCs w:val="24"/>
    </w:rPr>
  </w:style>
  <w:style w:type="paragraph" w:customStyle="1" w:styleId="ManualConsidrant">
    <w:name w:val="Manual Considérant"/>
    <w:basedOn w:val="Normal"/>
    <w:pPr>
      <w:spacing w:before="120" w:after="120"/>
      <w:ind w:left="709" w:hanging="709"/>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Objetexterne">
    <w:name w:val="Objet externe"/>
    <w:basedOn w:val="Normal"/>
    <w:next w:val="Normal"/>
    <w:pPr>
      <w:spacing w:before="120" w:after="120"/>
    </w:pPr>
    <w:rPr>
      <w:i/>
      <w:caps/>
      <w:szCs w:val="24"/>
    </w:rPr>
  </w:style>
  <w:style w:type="paragraph" w:customStyle="1" w:styleId="Pagedecouverture">
    <w:name w:val="Page de couverture"/>
    <w:basedOn w:val="Normal"/>
    <w:next w:val="Normal"/>
    <w:pPr>
      <w:spacing w:after="0"/>
    </w:pPr>
    <w:rPr>
      <w:szCs w:val="24"/>
    </w:rPr>
  </w:style>
  <w:style w:type="paragraph" w:customStyle="1" w:styleId="Supertitre">
    <w:name w:val="Supertitre"/>
    <w:basedOn w:val="Normal"/>
    <w:next w:val="Normal"/>
    <w:pPr>
      <w:spacing w:after="600"/>
      <w:jc w:val="center"/>
    </w:pPr>
    <w:rPr>
      <w:b/>
      <w:szCs w:val="24"/>
    </w:rPr>
  </w:style>
  <w:style w:type="paragraph" w:customStyle="1" w:styleId="Languesfaisantfoi">
    <w:name w:val="Langues faisant foi"/>
    <w:basedOn w:val="Normal"/>
    <w:next w:val="Normal"/>
    <w:pPr>
      <w:spacing w:before="360" w:after="0"/>
      <w:jc w:val="center"/>
    </w:pPr>
    <w:rPr>
      <w:szCs w:val="24"/>
    </w:rPr>
  </w:style>
  <w:style w:type="paragraph" w:customStyle="1" w:styleId="Rfrencecroise">
    <w:name w:val="Référence croisée"/>
    <w:basedOn w:val="Normal"/>
    <w:pPr>
      <w:spacing w:after="0"/>
      <w:jc w:val="center"/>
    </w:pPr>
    <w:rPr>
      <w:szCs w:val="24"/>
    </w:rPr>
  </w:style>
  <w:style w:type="paragraph" w:customStyle="1" w:styleId="Fichefinanciretitre">
    <w:name w:val="Fiche financière titre"/>
    <w:basedOn w:val="Normal"/>
    <w:next w:val="Normal"/>
    <w:pPr>
      <w:spacing w:before="120" w:after="120"/>
      <w:jc w:val="center"/>
    </w:pPr>
    <w:rPr>
      <w:b/>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ind w:left="5103"/>
      <w:jc w:val="left"/>
    </w:pPr>
    <w:rPr>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jc w:val="center"/>
    </w:pPr>
    <w:rPr>
      <w:b/>
      <w:i/>
      <w:szCs w:val="24"/>
    </w:rPr>
  </w:style>
  <w:style w:type="paragraph" w:customStyle="1" w:styleId="Typeacteprincipal">
    <w:name w:val="Type acte principal"/>
    <w:basedOn w:val="Normal"/>
    <w:next w:val="Objetacteprincipal"/>
    <w:pPr>
      <w:jc w:val="center"/>
    </w:pPr>
    <w:rPr>
      <w:b/>
      <w:szCs w:val="24"/>
    </w:rPr>
  </w:style>
  <w:style w:type="paragraph" w:customStyle="1" w:styleId="Objetacteprincipal">
    <w:name w:val="Objet acte principal"/>
    <w:basedOn w:val="Normal"/>
    <w:next w:val="Titrearticle"/>
    <w:pPr>
      <w:spacing w:after="360"/>
      <w:jc w:val="center"/>
    </w:pPr>
    <w:rPr>
      <w:b/>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rPr>
      <w:szCs w:val="24"/>
    </w:rPr>
  </w:style>
  <w:style w:type="paragraph" w:styleId="BalloonText">
    <w:name w:val="Balloon Text"/>
    <w:basedOn w:val="Normal"/>
    <w:link w:val="BalloonTextChar"/>
    <w:semiHidden/>
    <w:pPr>
      <w:spacing w:before="120" w:after="120"/>
    </w:pPr>
    <w:rPr>
      <w:rFonts w:ascii="Tahoma" w:hAnsi="Tahoma"/>
      <w:sz w:val="16"/>
      <w:szCs w:val="16"/>
    </w:rPr>
  </w:style>
  <w:style w:type="character" w:customStyle="1" w:styleId="BalloonTextChar">
    <w:name w:val="Balloon Text Char"/>
    <w:link w:val="BalloonText"/>
    <w:semiHidden/>
    <w:rPr>
      <w:rFonts w:ascii="Tahoma" w:hAnsi="Tahoma" w:cs="Tahoma"/>
      <w:sz w:val="16"/>
      <w:szCs w:val="16"/>
      <w:lang w:eastAsia="fr-FR"/>
    </w:rPr>
  </w:style>
  <w:style w:type="character" w:customStyle="1" w:styleId="Corpsdutexte">
    <w:name w:val="Corps du texte_"/>
    <w:link w:val="Corpsdutexte0"/>
    <w:uiPriority w:val="99"/>
    <w:rPr>
      <w:sz w:val="23"/>
      <w:szCs w:val="23"/>
      <w:shd w:val="clear" w:color="auto" w:fill="FFFFFF"/>
    </w:rPr>
  </w:style>
  <w:style w:type="paragraph" w:customStyle="1" w:styleId="Corpsdutexte0">
    <w:name w:val="Corps du texte"/>
    <w:basedOn w:val="Normal"/>
    <w:link w:val="Corpsdutexte"/>
    <w:uiPriority w:val="99"/>
    <w:pPr>
      <w:widowControl w:val="0"/>
      <w:shd w:val="clear" w:color="auto" w:fill="FFFFFF"/>
      <w:spacing w:after="1380" w:line="278" w:lineRule="exact"/>
      <w:ind w:hanging="560"/>
      <w:jc w:val="center"/>
    </w:pPr>
    <w:rPr>
      <w:sz w:val="23"/>
      <w:szCs w:val="23"/>
    </w:rPr>
  </w:style>
  <w:style w:type="character" w:styleId="CommentReference">
    <w:name w:val="annotation reference"/>
    <w:rPr>
      <w:sz w:val="16"/>
      <w:szCs w:val="16"/>
      <w:shd w:val="clear" w:color="auto" w:fill="auto"/>
    </w:rPr>
  </w:style>
  <w:style w:type="character" w:customStyle="1" w:styleId="CommentTextChar">
    <w:name w:val="Comment Text Char"/>
    <w:rPr>
      <w:shd w:val="clear" w:color="auto" w:fill="auto"/>
      <w:lang w:eastAsia="fr-FR"/>
    </w:rPr>
  </w:style>
  <w:style w:type="paragraph" w:styleId="CommentSubject">
    <w:name w:val="annotation subject"/>
    <w:basedOn w:val="CommentText"/>
    <w:next w:val="CommentText"/>
    <w:link w:val="CommentSubjectChar"/>
    <w:pPr>
      <w:spacing w:before="120" w:after="120"/>
    </w:pPr>
    <w:rPr>
      <w:b/>
      <w:bCs/>
    </w:rPr>
  </w:style>
  <w:style w:type="character" w:customStyle="1" w:styleId="CommentTextChar1">
    <w:name w:val="Comment Text Char1"/>
    <w:link w:val="CommentText"/>
    <w:rPr>
      <w:lang w:eastAsia="fr-FR"/>
    </w:rPr>
  </w:style>
  <w:style w:type="character" w:customStyle="1" w:styleId="CommentSubjectChar">
    <w:name w:val="Comment Subject Char"/>
    <w:link w:val="CommentSubject"/>
    <w:rPr>
      <w:b/>
      <w:bCs/>
      <w:lang w:eastAsia="fr-FR"/>
    </w:rPr>
  </w:style>
  <w:style w:type="paragraph" w:styleId="Revision">
    <w:name w:val="Revision"/>
    <w:hidden/>
    <w:uiPriority w:val="99"/>
    <w:semiHidden/>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TypedudocumentChar">
    <w:name w:val="Type du document Char"/>
    <w:link w:val="Typedudocument"/>
    <w:rPr>
      <w:b/>
      <w:sz w:val="24"/>
      <w:szCs w:val="24"/>
      <w:lang w:eastAsia="fr-FR"/>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link w:val="HeaderCoverPage"/>
    <w:rPr>
      <w:sz w:val="24"/>
      <w:szCs w:val="24"/>
    </w:rPr>
  </w:style>
  <w:style w:type="character" w:customStyle="1" w:styleId="FooterChar">
    <w:name w:val="Footer Char"/>
    <w:link w:val="Footer"/>
    <w:uiPriority w:val="99"/>
    <w:rPr>
      <w:rFonts w:ascii="Arial" w:hAnsi="Arial"/>
      <w:sz w:val="16"/>
      <w:lang w:eastAsia="fr-FR"/>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2225">
      <w:bodyDiv w:val="1"/>
      <w:marLeft w:val="0"/>
      <w:marRight w:val="0"/>
      <w:marTop w:val="0"/>
      <w:marBottom w:val="0"/>
      <w:divBdr>
        <w:top w:val="none" w:sz="0" w:space="0" w:color="auto"/>
        <w:left w:val="none" w:sz="0" w:space="0" w:color="auto"/>
        <w:bottom w:val="none" w:sz="0" w:space="0" w:color="auto"/>
        <w:right w:val="none" w:sz="0" w:space="0" w:color="auto"/>
      </w:divBdr>
    </w:div>
    <w:div w:id="90201429">
      <w:bodyDiv w:val="1"/>
      <w:marLeft w:val="0"/>
      <w:marRight w:val="0"/>
      <w:marTop w:val="0"/>
      <w:marBottom w:val="0"/>
      <w:divBdr>
        <w:top w:val="none" w:sz="0" w:space="0" w:color="auto"/>
        <w:left w:val="none" w:sz="0" w:space="0" w:color="auto"/>
        <w:bottom w:val="none" w:sz="0" w:space="0" w:color="auto"/>
        <w:right w:val="none" w:sz="0" w:space="0" w:color="auto"/>
      </w:divBdr>
    </w:div>
    <w:div w:id="107312365">
      <w:bodyDiv w:val="1"/>
      <w:marLeft w:val="0"/>
      <w:marRight w:val="0"/>
      <w:marTop w:val="0"/>
      <w:marBottom w:val="0"/>
      <w:divBdr>
        <w:top w:val="none" w:sz="0" w:space="0" w:color="auto"/>
        <w:left w:val="none" w:sz="0" w:space="0" w:color="auto"/>
        <w:bottom w:val="none" w:sz="0" w:space="0" w:color="auto"/>
        <w:right w:val="none" w:sz="0" w:space="0" w:color="auto"/>
      </w:divBdr>
    </w:div>
    <w:div w:id="164365540">
      <w:bodyDiv w:val="1"/>
      <w:marLeft w:val="0"/>
      <w:marRight w:val="0"/>
      <w:marTop w:val="0"/>
      <w:marBottom w:val="0"/>
      <w:divBdr>
        <w:top w:val="none" w:sz="0" w:space="0" w:color="auto"/>
        <w:left w:val="none" w:sz="0" w:space="0" w:color="auto"/>
        <w:bottom w:val="none" w:sz="0" w:space="0" w:color="auto"/>
        <w:right w:val="none" w:sz="0" w:space="0" w:color="auto"/>
      </w:divBdr>
    </w:div>
    <w:div w:id="224950831">
      <w:bodyDiv w:val="1"/>
      <w:marLeft w:val="0"/>
      <w:marRight w:val="0"/>
      <w:marTop w:val="0"/>
      <w:marBottom w:val="0"/>
      <w:divBdr>
        <w:top w:val="none" w:sz="0" w:space="0" w:color="auto"/>
        <w:left w:val="none" w:sz="0" w:space="0" w:color="auto"/>
        <w:bottom w:val="none" w:sz="0" w:space="0" w:color="auto"/>
        <w:right w:val="none" w:sz="0" w:space="0" w:color="auto"/>
      </w:divBdr>
    </w:div>
    <w:div w:id="233974588">
      <w:bodyDiv w:val="1"/>
      <w:marLeft w:val="0"/>
      <w:marRight w:val="0"/>
      <w:marTop w:val="0"/>
      <w:marBottom w:val="0"/>
      <w:divBdr>
        <w:top w:val="none" w:sz="0" w:space="0" w:color="auto"/>
        <w:left w:val="none" w:sz="0" w:space="0" w:color="auto"/>
        <w:bottom w:val="none" w:sz="0" w:space="0" w:color="auto"/>
        <w:right w:val="none" w:sz="0" w:space="0" w:color="auto"/>
      </w:divBdr>
    </w:div>
    <w:div w:id="280036273">
      <w:bodyDiv w:val="1"/>
      <w:marLeft w:val="0"/>
      <w:marRight w:val="0"/>
      <w:marTop w:val="0"/>
      <w:marBottom w:val="0"/>
      <w:divBdr>
        <w:top w:val="none" w:sz="0" w:space="0" w:color="auto"/>
        <w:left w:val="none" w:sz="0" w:space="0" w:color="auto"/>
        <w:bottom w:val="none" w:sz="0" w:space="0" w:color="auto"/>
        <w:right w:val="none" w:sz="0" w:space="0" w:color="auto"/>
      </w:divBdr>
    </w:div>
    <w:div w:id="295333538">
      <w:bodyDiv w:val="1"/>
      <w:marLeft w:val="0"/>
      <w:marRight w:val="0"/>
      <w:marTop w:val="0"/>
      <w:marBottom w:val="0"/>
      <w:divBdr>
        <w:top w:val="none" w:sz="0" w:space="0" w:color="auto"/>
        <w:left w:val="none" w:sz="0" w:space="0" w:color="auto"/>
        <w:bottom w:val="none" w:sz="0" w:space="0" w:color="auto"/>
        <w:right w:val="none" w:sz="0" w:space="0" w:color="auto"/>
      </w:divBdr>
    </w:div>
    <w:div w:id="311561609">
      <w:bodyDiv w:val="1"/>
      <w:marLeft w:val="0"/>
      <w:marRight w:val="0"/>
      <w:marTop w:val="0"/>
      <w:marBottom w:val="0"/>
      <w:divBdr>
        <w:top w:val="none" w:sz="0" w:space="0" w:color="auto"/>
        <w:left w:val="none" w:sz="0" w:space="0" w:color="auto"/>
        <w:bottom w:val="none" w:sz="0" w:space="0" w:color="auto"/>
        <w:right w:val="none" w:sz="0" w:space="0" w:color="auto"/>
      </w:divBdr>
    </w:div>
    <w:div w:id="338505577">
      <w:bodyDiv w:val="1"/>
      <w:marLeft w:val="0"/>
      <w:marRight w:val="0"/>
      <w:marTop w:val="0"/>
      <w:marBottom w:val="0"/>
      <w:divBdr>
        <w:top w:val="none" w:sz="0" w:space="0" w:color="auto"/>
        <w:left w:val="none" w:sz="0" w:space="0" w:color="auto"/>
        <w:bottom w:val="none" w:sz="0" w:space="0" w:color="auto"/>
        <w:right w:val="none" w:sz="0" w:space="0" w:color="auto"/>
      </w:divBdr>
    </w:div>
    <w:div w:id="342443688">
      <w:bodyDiv w:val="1"/>
      <w:marLeft w:val="0"/>
      <w:marRight w:val="0"/>
      <w:marTop w:val="0"/>
      <w:marBottom w:val="0"/>
      <w:divBdr>
        <w:top w:val="none" w:sz="0" w:space="0" w:color="auto"/>
        <w:left w:val="none" w:sz="0" w:space="0" w:color="auto"/>
        <w:bottom w:val="none" w:sz="0" w:space="0" w:color="auto"/>
        <w:right w:val="none" w:sz="0" w:space="0" w:color="auto"/>
      </w:divBdr>
    </w:div>
    <w:div w:id="344476739">
      <w:bodyDiv w:val="1"/>
      <w:marLeft w:val="0"/>
      <w:marRight w:val="0"/>
      <w:marTop w:val="0"/>
      <w:marBottom w:val="0"/>
      <w:divBdr>
        <w:top w:val="none" w:sz="0" w:space="0" w:color="auto"/>
        <w:left w:val="none" w:sz="0" w:space="0" w:color="auto"/>
        <w:bottom w:val="none" w:sz="0" w:space="0" w:color="auto"/>
        <w:right w:val="none" w:sz="0" w:space="0" w:color="auto"/>
      </w:divBdr>
    </w:div>
    <w:div w:id="391084517">
      <w:bodyDiv w:val="1"/>
      <w:marLeft w:val="0"/>
      <w:marRight w:val="0"/>
      <w:marTop w:val="0"/>
      <w:marBottom w:val="0"/>
      <w:divBdr>
        <w:top w:val="none" w:sz="0" w:space="0" w:color="auto"/>
        <w:left w:val="none" w:sz="0" w:space="0" w:color="auto"/>
        <w:bottom w:val="none" w:sz="0" w:space="0" w:color="auto"/>
        <w:right w:val="none" w:sz="0" w:space="0" w:color="auto"/>
      </w:divBdr>
    </w:div>
    <w:div w:id="460155187">
      <w:bodyDiv w:val="1"/>
      <w:marLeft w:val="0"/>
      <w:marRight w:val="0"/>
      <w:marTop w:val="0"/>
      <w:marBottom w:val="0"/>
      <w:divBdr>
        <w:top w:val="none" w:sz="0" w:space="0" w:color="auto"/>
        <w:left w:val="none" w:sz="0" w:space="0" w:color="auto"/>
        <w:bottom w:val="none" w:sz="0" w:space="0" w:color="auto"/>
        <w:right w:val="none" w:sz="0" w:space="0" w:color="auto"/>
      </w:divBdr>
    </w:div>
    <w:div w:id="522399618">
      <w:bodyDiv w:val="1"/>
      <w:marLeft w:val="0"/>
      <w:marRight w:val="0"/>
      <w:marTop w:val="0"/>
      <w:marBottom w:val="0"/>
      <w:divBdr>
        <w:top w:val="none" w:sz="0" w:space="0" w:color="auto"/>
        <w:left w:val="none" w:sz="0" w:space="0" w:color="auto"/>
        <w:bottom w:val="none" w:sz="0" w:space="0" w:color="auto"/>
        <w:right w:val="none" w:sz="0" w:space="0" w:color="auto"/>
      </w:divBdr>
    </w:div>
    <w:div w:id="667709381">
      <w:bodyDiv w:val="1"/>
      <w:marLeft w:val="0"/>
      <w:marRight w:val="0"/>
      <w:marTop w:val="0"/>
      <w:marBottom w:val="0"/>
      <w:divBdr>
        <w:top w:val="none" w:sz="0" w:space="0" w:color="auto"/>
        <w:left w:val="none" w:sz="0" w:space="0" w:color="auto"/>
        <w:bottom w:val="none" w:sz="0" w:space="0" w:color="auto"/>
        <w:right w:val="none" w:sz="0" w:space="0" w:color="auto"/>
      </w:divBdr>
    </w:div>
    <w:div w:id="678577349">
      <w:bodyDiv w:val="1"/>
      <w:marLeft w:val="0"/>
      <w:marRight w:val="0"/>
      <w:marTop w:val="0"/>
      <w:marBottom w:val="0"/>
      <w:divBdr>
        <w:top w:val="none" w:sz="0" w:space="0" w:color="auto"/>
        <w:left w:val="none" w:sz="0" w:space="0" w:color="auto"/>
        <w:bottom w:val="none" w:sz="0" w:space="0" w:color="auto"/>
        <w:right w:val="none" w:sz="0" w:space="0" w:color="auto"/>
      </w:divBdr>
    </w:div>
    <w:div w:id="766002064">
      <w:bodyDiv w:val="1"/>
      <w:marLeft w:val="0"/>
      <w:marRight w:val="0"/>
      <w:marTop w:val="0"/>
      <w:marBottom w:val="0"/>
      <w:divBdr>
        <w:top w:val="none" w:sz="0" w:space="0" w:color="auto"/>
        <w:left w:val="none" w:sz="0" w:space="0" w:color="auto"/>
        <w:bottom w:val="none" w:sz="0" w:space="0" w:color="auto"/>
        <w:right w:val="none" w:sz="0" w:space="0" w:color="auto"/>
      </w:divBdr>
    </w:div>
    <w:div w:id="782116247">
      <w:bodyDiv w:val="1"/>
      <w:marLeft w:val="0"/>
      <w:marRight w:val="0"/>
      <w:marTop w:val="0"/>
      <w:marBottom w:val="0"/>
      <w:divBdr>
        <w:top w:val="none" w:sz="0" w:space="0" w:color="auto"/>
        <w:left w:val="none" w:sz="0" w:space="0" w:color="auto"/>
        <w:bottom w:val="none" w:sz="0" w:space="0" w:color="auto"/>
        <w:right w:val="none" w:sz="0" w:space="0" w:color="auto"/>
      </w:divBdr>
    </w:div>
    <w:div w:id="861629491">
      <w:bodyDiv w:val="1"/>
      <w:marLeft w:val="0"/>
      <w:marRight w:val="0"/>
      <w:marTop w:val="0"/>
      <w:marBottom w:val="0"/>
      <w:divBdr>
        <w:top w:val="none" w:sz="0" w:space="0" w:color="auto"/>
        <w:left w:val="none" w:sz="0" w:space="0" w:color="auto"/>
        <w:bottom w:val="none" w:sz="0" w:space="0" w:color="auto"/>
        <w:right w:val="none" w:sz="0" w:space="0" w:color="auto"/>
      </w:divBdr>
    </w:div>
    <w:div w:id="920796015">
      <w:bodyDiv w:val="1"/>
      <w:marLeft w:val="0"/>
      <w:marRight w:val="0"/>
      <w:marTop w:val="0"/>
      <w:marBottom w:val="0"/>
      <w:divBdr>
        <w:top w:val="none" w:sz="0" w:space="0" w:color="auto"/>
        <w:left w:val="none" w:sz="0" w:space="0" w:color="auto"/>
        <w:bottom w:val="none" w:sz="0" w:space="0" w:color="auto"/>
        <w:right w:val="none" w:sz="0" w:space="0" w:color="auto"/>
      </w:divBdr>
    </w:div>
    <w:div w:id="987242938">
      <w:bodyDiv w:val="1"/>
      <w:marLeft w:val="0"/>
      <w:marRight w:val="0"/>
      <w:marTop w:val="0"/>
      <w:marBottom w:val="0"/>
      <w:divBdr>
        <w:top w:val="none" w:sz="0" w:space="0" w:color="auto"/>
        <w:left w:val="none" w:sz="0" w:space="0" w:color="auto"/>
        <w:bottom w:val="none" w:sz="0" w:space="0" w:color="auto"/>
        <w:right w:val="none" w:sz="0" w:space="0" w:color="auto"/>
      </w:divBdr>
    </w:div>
    <w:div w:id="1039627185">
      <w:bodyDiv w:val="1"/>
      <w:marLeft w:val="0"/>
      <w:marRight w:val="0"/>
      <w:marTop w:val="0"/>
      <w:marBottom w:val="0"/>
      <w:divBdr>
        <w:top w:val="none" w:sz="0" w:space="0" w:color="auto"/>
        <w:left w:val="none" w:sz="0" w:space="0" w:color="auto"/>
        <w:bottom w:val="none" w:sz="0" w:space="0" w:color="auto"/>
        <w:right w:val="none" w:sz="0" w:space="0" w:color="auto"/>
      </w:divBdr>
    </w:div>
    <w:div w:id="1113208793">
      <w:bodyDiv w:val="1"/>
      <w:marLeft w:val="0"/>
      <w:marRight w:val="0"/>
      <w:marTop w:val="0"/>
      <w:marBottom w:val="0"/>
      <w:divBdr>
        <w:top w:val="none" w:sz="0" w:space="0" w:color="auto"/>
        <w:left w:val="none" w:sz="0" w:space="0" w:color="auto"/>
        <w:bottom w:val="none" w:sz="0" w:space="0" w:color="auto"/>
        <w:right w:val="none" w:sz="0" w:space="0" w:color="auto"/>
      </w:divBdr>
    </w:div>
    <w:div w:id="1139105299">
      <w:bodyDiv w:val="1"/>
      <w:marLeft w:val="0"/>
      <w:marRight w:val="0"/>
      <w:marTop w:val="0"/>
      <w:marBottom w:val="0"/>
      <w:divBdr>
        <w:top w:val="none" w:sz="0" w:space="0" w:color="auto"/>
        <w:left w:val="none" w:sz="0" w:space="0" w:color="auto"/>
        <w:bottom w:val="none" w:sz="0" w:space="0" w:color="auto"/>
        <w:right w:val="none" w:sz="0" w:space="0" w:color="auto"/>
      </w:divBdr>
    </w:div>
    <w:div w:id="1210649007">
      <w:bodyDiv w:val="1"/>
      <w:marLeft w:val="0"/>
      <w:marRight w:val="0"/>
      <w:marTop w:val="0"/>
      <w:marBottom w:val="0"/>
      <w:divBdr>
        <w:top w:val="none" w:sz="0" w:space="0" w:color="auto"/>
        <w:left w:val="none" w:sz="0" w:space="0" w:color="auto"/>
        <w:bottom w:val="none" w:sz="0" w:space="0" w:color="auto"/>
        <w:right w:val="none" w:sz="0" w:space="0" w:color="auto"/>
      </w:divBdr>
    </w:div>
    <w:div w:id="1239709912">
      <w:bodyDiv w:val="1"/>
      <w:marLeft w:val="0"/>
      <w:marRight w:val="0"/>
      <w:marTop w:val="0"/>
      <w:marBottom w:val="0"/>
      <w:divBdr>
        <w:top w:val="none" w:sz="0" w:space="0" w:color="auto"/>
        <w:left w:val="none" w:sz="0" w:space="0" w:color="auto"/>
        <w:bottom w:val="none" w:sz="0" w:space="0" w:color="auto"/>
        <w:right w:val="none" w:sz="0" w:space="0" w:color="auto"/>
      </w:divBdr>
    </w:div>
    <w:div w:id="1251770091">
      <w:bodyDiv w:val="1"/>
      <w:marLeft w:val="0"/>
      <w:marRight w:val="0"/>
      <w:marTop w:val="0"/>
      <w:marBottom w:val="0"/>
      <w:divBdr>
        <w:top w:val="none" w:sz="0" w:space="0" w:color="auto"/>
        <w:left w:val="none" w:sz="0" w:space="0" w:color="auto"/>
        <w:bottom w:val="none" w:sz="0" w:space="0" w:color="auto"/>
        <w:right w:val="none" w:sz="0" w:space="0" w:color="auto"/>
      </w:divBdr>
    </w:div>
    <w:div w:id="1256864854">
      <w:bodyDiv w:val="1"/>
      <w:marLeft w:val="0"/>
      <w:marRight w:val="0"/>
      <w:marTop w:val="0"/>
      <w:marBottom w:val="0"/>
      <w:divBdr>
        <w:top w:val="none" w:sz="0" w:space="0" w:color="auto"/>
        <w:left w:val="none" w:sz="0" w:space="0" w:color="auto"/>
        <w:bottom w:val="none" w:sz="0" w:space="0" w:color="auto"/>
        <w:right w:val="none" w:sz="0" w:space="0" w:color="auto"/>
      </w:divBdr>
    </w:div>
    <w:div w:id="1296645171">
      <w:bodyDiv w:val="1"/>
      <w:marLeft w:val="0"/>
      <w:marRight w:val="0"/>
      <w:marTop w:val="0"/>
      <w:marBottom w:val="0"/>
      <w:divBdr>
        <w:top w:val="none" w:sz="0" w:space="0" w:color="auto"/>
        <w:left w:val="none" w:sz="0" w:space="0" w:color="auto"/>
        <w:bottom w:val="none" w:sz="0" w:space="0" w:color="auto"/>
        <w:right w:val="none" w:sz="0" w:space="0" w:color="auto"/>
      </w:divBdr>
    </w:div>
    <w:div w:id="1311786235">
      <w:bodyDiv w:val="1"/>
      <w:marLeft w:val="0"/>
      <w:marRight w:val="0"/>
      <w:marTop w:val="0"/>
      <w:marBottom w:val="0"/>
      <w:divBdr>
        <w:top w:val="none" w:sz="0" w:space="0" w:color="auto"/>
        <w:left w:val="none" w:sz="0" w:space="0" w:color="auto"/>
        <w:bottom w:val="none" w:sz="0" w:space="0" w:color="auto"/>
        <w:right w:val="none" w:sz="0" w:space="0" w:color="auto"/>
      </w:divBdr>
    </w:div>
    <w:div w:id="1356728633">
      <w:bodyDiv w:val="1"/>
      <w:marLeft w:val="0"/>
      <w:marRight w:val="0"/>
      <w:marTop w:val="0"/>
      <w:marBottom w:val="0"/>
      <w:divBdr>
        <w:top w:val="none" w:sz="0" w:space="0" w:color="auto"/>
        <w:left w:val="none" w:sz="0" w:space="0" w:color="auto"/>
        <w:bottom w:val="none" w:sz="0" w:space="0" w:color="auto"/>
        <w:right w:val="none" w:sz="0" w:space="0" w:color="auto"/>
      </w:divBdr>
    </w:div>
    <w:div w:id="1357120590">
      <w:bodyDiv w:val="1"/>
      <w:marLeft w:val="0"/>
      <w:marRight w:val="0"/>
      <w:marTop w:val="0"/>
      <w:marBottom w:val="0"/>
      <w:divBdr>
        <w:top w:val="none" w:sz="0" w:space="0" w:color="auto"/>
        <w:left w:val="none" w:sz="0" w:space="0" w:color="auto"/>
        <w:bottom w:val="none" w:sz="0" w:space="0" w:color="auto"/>
        <w:right w:val="none" w:sz="0" w:space="0" w:color="auto"/>
      </w:divBdr>
    </w:div>
    <w:div w:id="1391080768">
      <w:bodyDiv w:val="1"/>
      <w:marLeft w:val="0"/>
      <w:marRight w:val="0"/>
      <w:marTop w:val="0"/>
      <w:marBottom w:val="0"/>
      <w:divBdr>
        <w:top w:val="none" w:sz="0" w:space="0" w:color="auto"/>
        <w:left w:val="none" w:sz="0" w:space="0" w:color="auto"/>
        <w:bottom w:val="none" w:sz="0" w:space="0" w:color="auto"/>
        <w:right w:val="none" w:sz="0" w:space="0" w:color="auto"/>
      </w:divBdr>
    </w:div>
    <w:div w:id="1399936328">
      <w:bodyDiv w:val="1"/>
      <w:marLeft w:val="0"/>
      <w:marRight w:val="0"/>
      <w:marTop w:val="0"/>
      <w:marBottom w:val="0"/>
      <w:divBdr>
        <w:top w:val="none" w:sz="0" w:space="0" w:color="auto"/>
        <w:left w:val="none" w:sz="0" w:space="0" w:color="auto"/>
        <w:bottom w:val="none" w:sz="0" w:space="0" w:color="auto"/>
        <w:right w:val="none" w:sz="0" w:space="0" w:color="auto"/>
      </w:divBdr>
    </w:div>
    <w:div w:id="1535846693">
      <w:bodyDiv w:val="1"/>
      <w:marLeft w:val="0"/>
      <w:marRight w:val="0"/>
      <w:marTop w:val="0"/>
      <w:marBottom w:val="0"/>
      <w:divBdr>
        <w:top w:val="none" w:sz="0" w:space="0" w:color="auto"/>
        <w:left w:val="none" w:sz="0" w:space="0" w:color="auto"/>
        <w:bottom w:val="none" w:sz="0" w:space="0" w:color="auto"/>
        <w:right w:val="none" w:sz="0" w:space="0" w:color="auto"/>
      </w:divBdr>
    </w:div>
    <w:div w:id="1540628830">
      <w:bodyDiv w:val="1"/>
      <w:marLeft w:val="0"/>
      <w:marRight w:val="0"/>
      <w:marTop w:val="0"/>
      <w:marBottom w:val="0"/>
      <w:divBdr>
        <w:top w:val="none" w:sz="0" w:space="0" w:color="auto"/>
        <w:left w:val="none" w:sz="0" w:space="0" w:color="auto"/>
        <w:bottom w:val="none" w:sz="0" w:space="0" w:color="auto"/>
        <w:right w:val="none" w:sz="0" w:space="0" w:color="auto"/>
      </w:divBdr>
    </w:div>
    <w:div w:id="1558709516">
      <w:bodyDiv w:val="1"/>
      <w:marLeft w:val="0"/>
      <w:marRight w:val="0"/>
      <w:marTop w:val="0"/>
      <w:marBottom w:val="0"/>
      <w:divBdr>
        <w:top w:val="none" w:sz="0" w:space="0" w:color="auto"/>
        <w:left w:val="none" w:sz="0" w:space="0" w:color="auto"/>
        <w:bottom w:val="none" w:sz="0" w:space="0" w:color="auto"/>
        <w:right w:val="none" w:sz="0" w:space="0" w:color="auto"/>
      </w:divBdr>
    </w:div>
    <w:div w:id="1594974171">
      <w:bodyDiv w:val="1"/>
      <w:marLeft w:val="0"/>
      <w:marRight w:val="0"/>
      <w:marTop w:val="0"/>
      <w:marBottom w:val="0"/>
      <w:divBdr>
        <w:top w:val="none" w:sz="0" w:space="0" w:color="auto"/>
        <w:left w:val="none" w:sz="0" w:space="0" w:color="auto"/>
        <w:bottom w:val="none" w:sz="0" w:space="0" w:color="auto"/>
        <w:right w:val="none" w:sz="0" w:space="0" w:color="auto"/>
      </w:divBdr>
    </w:div>
    <w:div w:id="1630553470">
      <w:bodyDiv w:val="1"/>
      <w:marLeft w:val="0"/>
      <w:marRight w:val="0"/>
      <w:marTop w:val="0"/>
      <w:marBottom w:val="0"/>
      <w:divBdr>
        <w:top w:val="none" w:sz="0" w:space="0" w:color="auto"/>
        <w:left w:val="none" w:sz="0" w:space="0" w:color="auto"/>
        <w:bottom w:val="none" w:sz="0" w:space="0" w:color="auto"/>
        <w:right w:val="none" w:sz="0" w:space="0" w:color="auto"/>
      </w:divBdr>
    </w:div>
    <w:div w:id="1647272265">
      <w:bodyDiv w:val="1"/>
      <w:marLeft w:val="0"/>
      <w:marRight w:val="0"/>
      <w:marTop w:val="0"/>
      <w:marBottom w:val="0"/>
      <w:divBdr>
        <w:top w:val="none" w:sz="0" w:space="0" w:color="auto"/>
        <w:left w:val="none" w:sz="0" w:space="0" w:color="auto"/>
        <w:bottom w:val="none" w:sz="0" w:space="0" w:color="auto"/>
        <w:right w:val="none" w:sz="0" w:space="0" w:color="auto"/>
      </w:divBdr>
    </w:div>
    <w:div w:id="1670133270">
      <w:bodyDiv w:val="1"/>
      <w:marLeft w:val="0"/>
      <w:marRight w:val="0"/>
      <w:marTop w:val="0"/>
      <w:marBottom w:val="0"/>
      <w:divBdr>
        <w:top w:val="none" w:sz="0" w:space="0" w:color="auto"/>
        <w:left w:val="none" w:sz="0" w:space="0" w:color="auto"/>
        <w:bottom w:val="none" w:sz="0" w:space="0" w:color="auto"/>
        <w:right w:val="none" w:sz="0" w:space="0" w:color="auto"/>
      </w:divBdr>
    </w:div>
    <w:div w:id="1671906271">
      <w:bodyDiv w:val="1"/>
      <w:marLeft w:val="0"/>
      <w:marRight w:val="0"/>
      <w:marTop w:val="0"/>
      <w:marBottom w:val="0"/>
      <w:divBdr>
        <w:top w:val="none" w:sz="0" w:space="0" w:color="auto"/>
        <w:left w:val="none" w:sz="0" w:space="0" w:color="auto"/>
        <w:bottom w:val="none" w:sz="0" w:space="0" w:color="auto"/>
        <w:right w:val="none" w:sz="0" w:space="0" w:color="auto"/>
      </w:divBdr>
    </w:div>
    <w:div w:id="1731533798">
      <w:bodyDiv w:val="1"/>
      <w:marLeft w:val="0"/>
      <w:marRight w:val="0"/>
      <w:marTop w:val="0"/>
      <w:marBottom w:val="0"/>
      <w:divBdr>
        <w:top w:val="none" w:sz="0" w:space="0" w:color="auto"/>
        <w:left w:val="none" w:sz="0" w:space="0" w:color="auto"/>
        <w:bottom w:val="none" w:sz="0" w:space="0" w:color="auto"/>
        <w:right w:val="none" w:sz="0" w:space="0" w:color="auto"/>
      </w:divBdr>
    </w:div>
    <w:div w:id="1738671896">
      <w:bodyDiv w:val="1"/>
      <w:marLeft w:val="0"/>
      <w:marRight w:val="0"/>
      <w:marTop w:val="0"/>
      <w:marBottom w:val="0"/>
      <w:divBdr>
        <w:top w:val="none" w:sz="0" w:space="0" w:color="auto"/>
        <w:left w:val="none" w:sz="0" w:space="0" w:color="auto"/>
        <w:bottom w:val="none" w:sz="0" w:space="0" w:color="auto"/>
        <w:right w:val="none" w:sz="0" w:space="0" w:color="auto"/>
      </w:divBdr>
    </w:div>
    <w:div w:id="1761566330">
      <w:bodyDiv w:val="1"/>
      <w:marLeft w:val="0"/>
      <w:marRight w:val="0"/>
      <w:marTop w:val="0"/>
      <w:marBottom w:val="0"/>
      <w:divBdr>
        <w:top w:val="none" w:sz="0" w:space="0" w:color="auto"/>
        <w:left w:val="none" w:sz="0" w:space="0" w:color="auto"/>
        <w:bottom w:val="none" w:sz="0" w:space="0" w:color="auto"/>
        <w:right w:val="none" w:sz="0" w:space="0" w:color="auto"/>
      </w:divBdr>
    </w:div>
    <w:div w:id="1781102818">
      <w:bodyDiv w:val="1"/>
      <w:marLeft w:val="0"/>
      <w:marRight w:val="0"/>
      <w:marTop w:val="0"/>
      <w:marBottom w:val="0"/>
      <w:divBdr>
        <w:top w:val="none" w:sz="0" w:space="0" w:color="auto"/>
        <w:left w:val="none" w:sz="0" w:space="0" w:color="auto"/>
        <w:bottom w:val="none" w:sz="0" w:space="0" w:color="auto"/>
        <w:right w:val="none" w:sz="0" w:space="0" w:color="auto"/>
      </w:divBdr>
    </w:div>
    <w:div w:id="1787384085">
      <w:bodyDiv w:val="1"/>
      <w:marLeft w:val="0"/>
      <w:marRight w:val="0"/>
      <w:marTop w:val="0"/>
      <w:marBottom w:val="0"/>
      <w:divBdr>
        <w:top w:val="none" w:sz="0" w:space="0" w:color="auto"/>
        <w:left w:val="none" w:sz="0" w:space="0" w:color="auto"/>
        <w:bottom w:val="none" w:sz="0" w:space="0" w:color="auto"/>
        <w:right w:val="none" w:sz="0" w:space="0" w:color="auto"/>
      </w:divBdr>
    </w:div>
    <w:div w:id="1820027289">
      <w:bodyDiv w:val="1"/>
      <w:marLeft w:val="0"/>
      <w:marRight w:val="0"/>
      <w:marTop w:val="0"/>
      <w:marBottom w:val="0"/>
      <w:divBdr>
        <w:top w:val="none" w:sz="0" w:space="0" w:color="auto"/>
        <w:left w:val="none" w:sz="0" w:space="0" w:color="auto"/>
        <w:bottom w:val="none" w:sz="0" w:space="0" w:color="auto"/>
        <w:right w:val="none" w:sz="0" w:space="0" w:color="auto"/>
      </w:divBdr>
    </w:div>
    <w:div w:id="1823614632">
      <w:bodyDiv w:val="1"/>
      <w:marLeft w:val="0"/>
      <w:marRight w:val="0"/>
      <w:marTop w:val="0"/>
      <w:marBottom w:val="0"/>
      <w:divBdr>
        <w:top w:val="none" w:sz="0" w:space="0" w:color="auto"/>
        <w:left w:val="none" w:sz="0" w:space="0" w:color="auto"/>
        <w:bottom w:val="none" w:sz="0" w:space="0" w:color="auto"/>
        <w:right w:val="none" w:sz="0" w:space="0" w:color="auto"/>
      </w:divBdr>
    </w:div>
    <w:div w:id="1829327317">
      <w:bodyDiv w:val="1"/>
      <w:marLeft w:val="0"/>
      <w:marRight w:val="0"/>
      <w:marTop w:val="0"/>
      <w:marBottom w:val="0"/>
      <w:divBdr>
        <w:top w:val="none" w:sz="0" w:space="0" w:color="auto"/>
        <w:left w:val="none" w:sz="0" w:space="0" w:color="auto"/>
        <w:bottom w:val="none" w:sz="0" w:space="0" w:color="auto"/>
        <w:right w:val="none" w:sz="0" w:space="0" w:color="auto"/>
      </w:divBdr>
    </w:div>
    <w:div w:id="1842038843">
      <w:bodyDiv w:val="1"/>
      <w:marLeft w:val="0"/>
      <w:marRight w:val="0"/>
      <w:marTop w:val="0"/>
      <w:marBottom w:val="0"/>
      <w:divBdr>
        <w:top w:val="none" w:sz="0" w:space="0" w:color="auto"/>
        <w:left w:val="none" w:sz="0" w:space="0" w:color="auto"/>
        <w:bottom w:val="none" w:sz="0" w:space="0" w:color="auto"/>
        <w:right w:val="none" w:sz="0" w:space="0" w:color="auto"/>
      </w:divBdr>
    </w:div>
    <w:div w:id="1912229266">
      <w:bodyDiv w:val="1"/>
      <w:marLeft w:val="0"/>
      <w:marRight w:val="0"/>
      <w:marTop w:val="0"/>
      <w:marBottom w:val="0"/>
      <w:divBdr>
        <w:top w:val="none" w:sz="0" w:space="0" w:color="auto"/>
        <w:left w:val="none" w:sz="0" w:space="0" w:color="auto"/>
        <w:bottom w:val="none" w:sz="0" w:space="0" w:color="auto"/>
        <w:right w:val="none" w:sz="0" w:space="0" w:color="auto"/>
      </w:divBdr>
    </w:div>
    <w:div w:id="1919434498">
      <w:bodyDiv w:val="1"/>
      <w:marLeft w:val="0"/>
      <w:marRight w:val="0"/>
      <w:marTop w:val="0"/>
      <w:marBottom w:val="0"/>
      <w:divBdr>
        <w:top w:val="none" w:sz="0" w:space="0" w:color="auto"/>
        <w:left w:val="none" w:sz="0" w:space="0" w:color="auto"/>
        <w:bottom w:val="none" w:sz="0" w:space="0" w:color="auto"/>
        <w:right w:val="none" w:sz="0" w:space="0" w:color="auto"/>
      </w:divBdr>
    </w:div>
    <w:div w:id="1983266853">
      <w:bodyDiv w:val="1"/>
      <w:marLeft w:val="0"/>
      <w:marRight w:val="0"/>
      <w:marTop w:val="0"/>
      <w:marBottom w:val="0"/>
      <w:divBdr>
        <w:top w:val="none" w:sz="0" w:space="0" w:color="auto"/>
        <w:left w:val="none" w:sz="0" w:space="0" w:color="auto"/>
        <w:bottom w:val="none" w:sz="0" w:space="0" w:color="auto"/>
        <w:right w:val="none" w:sz="0" w:space="0" w:color="auto"/>
      </w:divBdr>
    </w:div>
    <w:div w:id="2020816718">
      <w:bodyDiv w:val="1"/>
      <w:marLeft w:val="0"/>
      <w:marRight w:val="0"/>
      <w:marTop w:val="0"/>
      <w:marBottom w:val="0"/>
      <w:divBdr>
        <w:top w:val="none" w:sz="0" w:space="0" w:color="auto"/>
        <w:left w:val="none" w:sz="0" w:space="0" w:color="auto"/>
        <w:bottom w:val="none" w:sz="0" w:space="0" w:color="auto"/>
        <w:right w:val="none" w:sz="0" w:space="0" w:color="auto"/>
      </w:divBdr>
    </w:div>
    <w:div w:id="2045866958">
      <w:bodyDiv w:val="1"/>
      <w:marLeft w:val="0"/>
      <w:marRight w:val="0"/>
      <w:marTop w:val="0"/>
      <w:marBottom w:val="0"/>
      <w:divBdr>
        <w:top w:val="none" w:sz="0" w:space="0" w:color="auto"/>
        <w:left w:val="none" w:sz="0" w:space="0" w:color="auto"/>
        <w:bottom w:val="none" w:sz="0" w:space="0" w:color="auto"/>
        <w:right w:val="none" w:sz="0" w:space="0" w:color="auto"/>
      </w:divBdr>
    </w:div>
    <w:div w:id="2060276418">
      <w:bodyDiv w:val="1"/>
      <w:marLeft w:val="0"/>
      <w:marRight w:val="0"/>
      <w:marTop w:val="0"/>
      <w:marBottom w:val="0"/>
      <w:divBdr>
        <w:top w:val="none" w:sz="0" w:space="0" w:color="auto"/>
        <w:left w:val="none" w:sz="0" w:space="0" w:color="auto"/>
        <w:bottom w:val="none" w:sz="0" w:space="0" w:color="auto"/>
        <w:right w:val="none" w:sz="0" w:space="0" w:color="auto"/>
      </w:divBdr>
    </w:div>
    <w:div w:id="2080861508">
      <w:bodyDiv w:val="1"/>
      <w:marLeft w:val="0"/>
      <w:marRight w:val="0"/>
      <w:marTop w:val="0"/>
      <w:marBottom w:val="0"/>
      <w:divBdr>
        <w:top w:val="none" w:sz="0" w:space="0" w:color="auto"/>
        <w:left w:val="none" w:sz="0" w:space="0" w:color="auto"/>
        <w:bottom w:val="none" w:sz="0" w:space="0" w:color="auto"/>
        <w:right w:val="none" w:sz="0" w:space="0" w:color="auto"/>
      </w:divBdr>
    </w:div>
    <w:div w:id="2121024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3.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4.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image" Target="media/image6.emf"/><Relationship Id="rId46" Type="http://schemas.openxmlformats.org/officeDocument/2006/relationships/header" Target="header1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image" Target="media/image5.png"/><Relationship Id="rId40" Type="http://schemas.openxmlformats.org/officeDocument/2006/relationships/header" Target="header14.xml"/><Relationship Id="rId45" Type="http://schemas.openxmlformats.org/officeDocument/2006/relationships/image" Target="media/image7.emf"/><Relationship Id="rId53" Type="http://schemas.openxmlformats.org/officeDocument/2006/relationships/header" Target="header20.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image" Target="media/image4.emf"/><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image" Target="media/image3.emf"/><Relationship Id="rId43" Type="http://schemas.openxmlformats.org/officeDocument/2006/relationships/header" Target="header15.xml"/><Relationship Id="rId48" Type="http://schemas.openxmlformats.org/officeDocument/2006/relationships/footer" Target="footer16.xml"/><Relationship Id="rId56"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footer" Target="footer18.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D6829-21B3-48DB-8FE5-15CB4E17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46</TotalTime>
  <Pages>26</Pages>
  <Words>5493</Words>
  <Characters>31314</Characters>
  <Application>Microsoft Office Word</Application>
  <DocSecurity>0</DocSecurity>
  <Lines>260</Lines>
  <Paragraphs>73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SANTE/11360/2016-EN</vt:lpstr>
      <vt:lpstr>SANTE/11975/2015-EN</vt:lpstr>
    </vt:vector>
  </TitlesOfParts>
  <Manager/>
  <Company/>
  <LinksUpToDate>false</LinksUpToDate>
  <CharactersWithSpaces>36734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SANTE/11360/2016-EN</dc:title>
  <dc:subject>REPORT</dc:subject>
  <dc:creator/>
  <cp:keywords>11360</cp:keywords>
  <dc:description>Outlook 6,10,2016</dc:description>
  <cp:lastModifiedBy/>
  <cp:revision>28</cp:revision>
  <cp:lastPrinted>2016-11-17T08:52:00Z</cp:lastPrinted>
  <dcterms:created xsi:type="dcterms:W3CDTF">2016-10-11T13:51:00Z</dcterms:created>
  <dcterms:modified xsi:type="dcterms:W3CDTF">2016-11-17T08:53:00Z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4.5.0.2</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rep.dot</vt:lpwstr>
  </property>
  <property fmtid="{D5CDD505-2E9C-101B-9397-08002B2CF9AE}" pid="6" name="Part">
    <vt:lpwstr>1</vt:lpwstr>
  </property>
  <property fmtid="{D5CDD505-2E9C-101B-9397-08002B2CF9AE}" pid="7" name="Total parts">
    <vt:lpwstr>1</vt:lpwstr>
  </property>
  <property fmtid="{D5CDD505-2E9C-101B-9397-08002B2CF9AE}" pid="8" name="Classification">
    <vt:lpwstr> </vt:lpwstr>
  </property>
  <property fmtid="{D5CDD505-2E9C-101B-9397-08002B2CF9AE}" pid="9" name="Created using">
    <vt:lpwstr>EL 4.6 Build 21000</vt:lpwstr>
  </property>
  <property fmtid="{D5CDD505-2E9C-101B-9397-08002B2CF9AE}" pid="10" name="Formatting">
    <vt:lpwstr>4.1</vt:lpwstr>
  </property>
  <property fmtid="{D5CDD505-2E9C-101B-9397-08002B2CF9AE}" pid="11" name="Last edited using">
    <vt:lpwstr>EL 4.6 Build 50000</vt:lpwstr>
  </property>
  <property fmtid="{D5CDD505-2E9C-101B-9397-08002B2CF9AE}" pid="12" name="DocStatus">
    <vt:lpwstr>Red</vt:lpwstr>
  </property>
  <property name="OP_sanitized" fmtid="{D5CDD505-2E9C-101B-9397-08002B2CF9AE}" pid="13">
    <vt:lpwstr>True</vt:lpwstr>
  </property>
</Properties>
</file>