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EE055D" w14:paraId="4897E40C" w14:textId="77777777" w:rsidTr="00EE055D">
        <w:trPr>
          <w:trHeight w:val="1440"/>
        </w:trPr>
        <w:tc>
          <w:tcPr>
            <w:tcW w:w="2381" w:type="dxa"/>
            <w:tcBorders>
              <w:top w:val="nil"/>
              <w:left w:val="nil"/>
              <w:bottom w:val="nil"/>
              <w:right w:val="nil"/>
            </w:tcBorders>
          </w:tcPr>
          <w:p w14:paraId="6A67A64C" w14:textId="77777777" w:rsidR="00EE055D" w:rsidRDefault="0017299E">
            <w:pPr>
              <w:pStyle w:val="ZCom"/>
            </w:pPr>
            <w:bookmarkStart w:id="0" w:name="_GoBack"/>
            <w:bookmarkEnd w:id="0"/>
            <w:r>
              <w:rPr>
                <w:sz w:val="20"/>
                <w:szCs w:val="20"/>
              </w:rPr>
              <w:pict w14:anchorId="6CEBB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53.25pt" fillcolor="window">
                  <v:imagedata r:id="rId10" o:title=""/>
                </v:shape>
              </w:pict>
            </w:r>
          </w:p>
        </w:tc>
        <w:tc>
          <w:tcPr>
            <w:tcW w:w="7087" w:type="dxa"/>
            <w:tcBorders>
              <w:top w:val="nil"/>
              <w:left w:val="nil"/>
              <w:bottom w:val="nil"/>
              <w:right w:val="nil"/>
            </w:tcBorders>
          </w:tcPr>
          <w:p w14:paraId="25639CC2" w14:textId="77777777" w:rsidR="00EE055D" w:rsidRDefault="00EE055D">
            <w:pPr>
              <w:pStyle w:val="ZCom"/>
              <w:spacing w:before="90"/>
            </w:pPr>
            <w:r>
              <w:t>COMMISSION EUROPÉENNE</w:t>
            </w:r>
          </w:p>
          <w:p w14:paraId="79818E92" w14:textId="77777777" w:rsidR="00EE055D" w:rsidRDefault="00EE055D">
            <w:pPr>
              <w:pStyle w:val="ZDGName"/>
            </w:pPr>
          </w:p>
          <w:p w14:paraId="7A477DE8" w14:textId="77777777" w:rsidR="00EE055D" w:rsidRDefault="00EE055D">
            <w:pPr>
              <w:pStyle w:val="ZDGName"/>
            </w:pPr>
          </w:p>
          <w:p w14:paraId="23B62BB0" w14:textId="77777777" w:rsidR="00EE055D" w:rsidRDefault="00EE055D">
            <w:pPr>
              <w:pStyle w:val="ZDGName"/>
            </w:pPr>
          </w:p>
          <w:p w14:paraId="1EB6C2E6" w14:textId="77777777" w:rsidR="00EE055D" w:rsidRDefault="00EE055D">
            <w:pPr>
              <w:pStyle w:val="ZDGName"/>
            </w:pPr>
          </w:p>
          <w:p w14:paraId="645FC1BA" w14:textId="77777777" w:rsidR="00EE055D" w:rsidRDefault="00EE055D">
            <w:pPr>
              <w:pStyle w:val="ZDGName"/>
            </w:pPr>
          </w:p>
        </w:tc>
      </w:tr>
    </w:tbl>
    <w:p w14:paraId="06147448" w14:textId="5EA01FDA" w:rsidR="00EE055D" w:rsidRDefault="00775130" w:rsidP="00EE055D">
      <w:pPr>
        <w:pStyle w:val="Date"/>
      </w:pPr>
      <w:r>
        <w:t>Bruxelles, le 20.12.2016</w:t>
      </w:r>
    </w:p>
    <w:p w14:paraId="59BDB26A" w14:textId="3FF2D4D9" w:rsidR="00EE055D" w:rsidRDefault="00EE055D" w:rsidP="00EE055D">
      <w:pPr>
        <w:pStyle w:val="References"/>
        <w:rPr>
          <w:sz w:val="24"/>
          <w:szCs w:val="24"/>
        </w:rPr>
      </w:pPr>
      <w:r w:rsidRPr="00B41C44">
        <w:rPr>
          <w:sz w:val="24"/>
          <w:szCs w:val="24"/>
        </w:rPr>
        <w:t>C(</w:t>
      </w:r>
      <w:r w:rsidR="00A22D12" w:rsidRPr="00B41C44">
        <w:rPr>
          <w:sz w:val="24"/>
          <w:szCs w:val="24"/>
        </w:rPr>
        <w:t>2016</w:t>
      </w:r>
      <w:r w:rsidRPr="00B41C44">
        <w:rPr>
          <w:sz w:val="24"/>
          <w:szCs w:val="24"/>
        </w:rPr>
        <w:t>)</w:t>
      </w:r>
      <w:r w:rsidR="00775130">
        <w:rPr>
          <w:sz w:val="24"/>
          <w:szCs w:val="24"/>
        </w:rPr>
        <w:t xml:space="preserve"> 8957 final</w:t>
      </w:r>
    </w:p>
    <w:p w14:paraId="121B51D5" w14:textId="25B0E453" w:rsidR="00296453" w:rsidRPr="00296453" w:rsidRDefault="00296453" w:rsidP="00296453">
      <w:pPr>
        <w:pStyle w:val="AddressTR"/>
      </w:pPr>
      <w:r>
        <w:rPr>
          <w:noProof/>
          <w:lang w:val="en-GB" w:eastAsia="en-GB"/>
        </w:rPr>
        <mc:AlternateContent>
          <mc:Choice Requires="wps">
            <w:drawing>
              <wp:anchor distT="0" distB="0" distL="114300" distR="114300" simplePos="0" relativeHeight="251659264" behindDoc="0" locked="0" layoutInCell="1" allowOverlap="1" wp14:anchorId="0E3405F1" wp14:editId="3AD6F354">
                <wp:simplePos x="0" y="0"/>
                <wp:positionH relativeFrom="column">
                  <wp:posOffset>3242310</wp:posOffset>
                </wp:positionH>
                <wp:positionV relativeFrom="paragraph">
                  <wp:posOffset>0</wp:posOffset>
                </wp:positionV>
                <wp:extent cx="2374265" cy="1403985"/>
                <wp:effectExtent l="0" t="0" r="2095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55E39EAF" w14:textId="673835F4" w:rsidR="00296453" w:rsidRPr="00296453" w:rsidRDefault="00296453" w:rsidP="00296453">
                            <w:pPr>
                              <w:spacing w:before="180"/>
                              <w:jc w:val="center"/>
                              <w:rPr>
                                <w:lang w:val="en-GB"/>
                              </w:rPr>
                            </w:pPr>
                            <w:r>
                              <w:t>VERSION PUBLIQUE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5.3pt;margin-top:0;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">
                <v:textbox style="mso-fit-shape-to-text:t">
                  <w:txbxContent>
                    <w:p w14:paraId="55E39EAF" w14:textId="673835F4" w:rsidR="00296453" w:rsidRPr="00296453" w:rsidRDefault="00296453" w:rsidP="00296453">
                      <w:pPr>
                        <w:spacing w:before="180"/>
                        <w:jc w:val="center"/>
                        <w:rPr>
                          <w:lang w:val="en-GB"/>
                        </w:rPr>
                      </w:pPr>
                      <w:r>
                        <w:t>VERSION PUBLIQUE</w:t>
                      </w:r>
                    </w:p>
                  </w:txbxContent>
                </v:textbox>
              </v:shape>
            </w:pict>
          </mc:Fallback>
        </mc:AlternateContent>
      </w:r>
    </w:p>
    <w:p w14:paraId="7D5CB1F3" w14:textId="77777777" w:rsidR="00296453" w:rsidRDefault="00296453" w:rsidP="00296453">
      <w:pPr>
        <w:pStyle w:val="AddressTR"/>
        <w:spacing w:after="360"/>
        <w:rPr>
          <w:rStyle w:val="clipboard"/>
          <w:b/>
        </w:rPr>
      </w:pPr>
    </w:p>
    <w:p w14:paraId="5D72788E" w14:textId="085A7A87" w:rsidR="00EE055D" w:rsidRPr="00B41C44" w:rsidRDefault="00296453" w:rsidP="00EE055D">
      <w:pPr>
        <w:pStyle w:val="AddressTR"/>
      </w:pPr>
      <w:r>
        <w:rPr>
          <w:rStyle w:val="clipboard"/>
          <w:b/>
        </w:rPr>
        <w:t xml:space="preserve">A la partie </w:t>
      </w:r>
      <w:proofErr w:type="spellStart"/>
      <w:r>
        <w:rPr>
          <w:rStyle w:val="clipboard"/>
          <w:b/>
        </w:rPr>
        <w:t>notifiante</w:t>
      </w:r>
      <w:proofErr w:type="spellEnd"/>
    </w:p>
    <w:p w14:paraId="642D0BE2" w14:textId="77777777" w:rsidR="00A22D12" w:rsidRPr="00B41C44" w:rsidRDefault="00A22D12" w:rsidP="00A22D12"/>
    <w:p w14:paraId="0B87B695" w14:textId="403357FA" w:rsidR="00EE055D" w:rsidRDefault="00EE055D" w:rsidP="00EE055D">
      <w:pPr>
        <w:pStyle w:val="Subject"/>
        <w:rPr>
          <w:spacing w:val="-3"/>
          <w:lang w:val="fr-FR"/>
        </w:rPr>
      </w:pPr>
      <w:r>
        <w:rPr>
          <w:u w:val="single"/>
          <w:lang w:val="fr-FR"/>
        </w:rPr>
        <w:t>Objet</w:t>
      </w:r>
      <w:r w:rsidRPr="00537308">
        <w:rPr>
          <w:lang w:val="fr-FR"/>
        </w:rPr>
        <w:t>:</w:t>
      </w:r>
      <w:r w:rsidRPr="00537308">
        <w:rPr>
          <w:lang w:val="fr-FR"/>
        </w:rPr>
        <w:tab/>
        <w:t>Affaire M</w:t>
      </w:r>
      <w:r w:rsidRPr="00A22D12">
        <w:rPr>
          <w:lang w:val="fr-FR"/>
        </w:rPr>
        <w:t>.</w:t>
      </w:r>
      <w:r w:rsidR="00A22D12" w:rsidRPr="00A22D12">
        <w:rPr>
          <w:lang w:val="fr-FR"/>
        </w:rPr>
        <w:t>8291</w:t>
      </w:r>
      <w:r w:rsidRPr="00A22D12">
        <w:rPr>
          <w:lang w:val="fr-FR"/>
        </w:rPr>
        <w:t xml:space="preserve"> –</w:t>
      </w:r>
      <w:r w:rsidR="00A22D12" w:rsidRPr="00A22D12">
        <w:rPr>
          <w:lang w:val="fr-FR"/>
        </w:rPr>
        <w:t xml:space="preserve"> PSA</w:t>
      </w:r>
      <w:r w:rsidR="00A22D12">
        <w:rPr>
          <w:lang w:val="fr-FR"/>
        </w:rPr>
        <w:t xml:space="preserve"> / ARAMIS</w:t>
      </w:r>
      <w:r w:rsidRPr="00537308">
        <w:rPr>
          <w:lang w:val="fr-FR"/>
        </w:rPr>
        <w:br/>
      </w:r>
      <w:r>
        <w:rPr>
          <w:lang w:val="fr-FR"/>
        </w:rPr>
        <w:t>Décision de la Commission adoptée en vertu de l’a</w:t>
      </w:r>
      <w:r w:rsidRPr="004C01BD">
        <w:rPr>
          <w:lang w:val="fr-FR"/>
        </w:rPr>
        <w:t>rticle</w:t>
      </w:r>
      <w:r>
        <w:rPr>
          <w:lang w:val="fr-FR"/>
        </w:rPr>
        <w:t> 6, paragraphe 1, point b), du règlement </w:t>
      </w:r>
      <w:r w:rsidRPr="00537308">
        <w:rPr>
          <w:lang w:val="fr-FR"/>
        </w:rPr>
        <w:t>(CE</w:t>
      </w:r>
      <w:r>
        <w:rPr>
          <w:lang w:val="fr-FR"/>
        </w:rPr>
        <w:t>) </w:t>
      </w:r>
      <w:r w:rsidRPr="00537308">
        <w:rPr>
          <w:lang w:val="fr-FR"/>
        </w:rPr>
        <w:t>n° </w:t>
      </w:r>
      <w:r w:rsidRPr="00537308">
        <w:rPr>
          <w:spacing w:val="-3"/>
          <w:lang w:val="fr-FR"/>
        </w:rPr>
        <w:t xml:space="preserve">139/2004 du </w:t>
      </w:r>
      <w:r w:rsidRPr="00AD16A6">
        <w:rPr>
          <w:spacing w:val="-3"/>
          <w:lang w:val="fr-FR"/>
        </w:rPr>
        <w:t>Conseil</w:t>
      </w:r>
      <w:r w:rsidRPr="00AD16A6">
        <w:rPr>
          <w:rStyle w:val="FootnoteReference"/>
          <w:spacing w:val="-3"/>
          <w:sz w:val="20"/>
          <w:vertAlign w:val="superscript"/>
        </w:rPr>
        <w:footnoteReference w:id="1"/>
      </w:r>
      <w:r w:rsidRPr="00AD16A6">
        <w:rPr>
          <w:spacing w:val="-3"/>
          <w:lang w:val="fr-FR"/>
        </w:rPr>
        <w:t xml:space="preserve"> et de l'article 57 de l'accord sur l'Espace économique européen</w:t>
      </w:r>
      <w:r w:rsidRPr="00AD16A6">
        <w:rPr>
          <w:rStyle w:val="FootnoteReference"/>
          <w:spacing w:val="-3"/>
          <w:lang w:val="fr-FR"/>
        </w:rPr>
        <w:footnoteReference w:id="2"/>
      </w:r>
      <w:r>
        <w:rPr>
          <w:spacing w:val="-3"/>
          <w:lang w:val="fr-FR"/>
        </w:rPr>
        <w:t xml:space="preserve"> </w:t>
      </w:r>
    </w:p>
    <w:p w14:paraId="7074212E" w14:textId="77777777" w:rsidR="00EE055D" w:rsidRPr="00537308" w:rsidRDefault="00EE055D" w:rsidP="00EE055D">
      <w:pPr>
        <w:tabs>
          <w:tab w:val="left" w:pos="5103"/>
        </w:tabs>
        <w:spacing w:before="240"/>
        <w:jc w:val="left"/>
        <w:rPr>
          <w:spacing w:val="-3"/>
          <w:lang w:val="fr-FR"/>
        </w:rPr>
      </w:pPr>
      <w:r w:rsidRPr="00537308">
        <w:rPr>
          <w:spacing w:val="-3"/>
          <w:lang w:val="fr-FR"/>
        </w:rPr>
        <w:t>Madame, Monsieur,</w:t>
      </w:r>
    </w:p>
    <w:p w14:paraId="3BE0D8D9" w14:textId="4E6F9F4E" w:rsidR="00A22D12" w:rsidRPr="00A22D12" w:rsidRDefault="00EE055D" w:rsidP="00A22D12">
      <w:pPr>
        <w:pStyle w:val="NumPar1"/>
        <w:numPr>
          <w:ilvl w:val="0"/>
          <w:numId w:val="28"/>
        </w:numPr>
        <w:tabs>
          <w:tab w:val="left" w:pos="567"/>
        </w:tabs>
        <w:spacing w:after="120"/>
        <w:ind w:left="567" w:hanging="567"/>
        <w:rPr>
          <w:lang w:val="fr-FR"/>
        </w:rPr>
      </w:pPr>
      <w:r w:rsidRPr="00A22D12">
        <w:rPr>
          <w:lang w:val="fr-FR"/>
        </w:rPr>
        <w:t xml:space="preserve">Le </w:t>
      </w:r>
      <w:r w:rsidR="00A22D12" w:rsidRPr="00A22D12">
        <w:rPr>
          <w:lang w:val="fr-FR"/>
        </w:rPr>
        <w:t>28 novembre 2016</w:t>
      </w:r>
      <w:r w:rsidRPr="00A22D12">
        <w:rPr>
          <w:lang w:val="fr-FR"/>
        </w:rPr>
        <w:t>, la Commission européenne a reçu notification, conformément à l’article 4 du règlement sur les concentrations, d’un projet de concentration par lequel</w:t>
      </w:r>
      <w:r w:rsidRPr="00537308">
        <w:rPr>
          <w:lang w:val="fr-FR"/>
        </w:rPr>
        <w:t xml:space="preserve"> </w:t>
      </w:r>
      <w:r w:rsidR="00A22D12" w:rsidRPr="00A22D12">
        <w:rPr>
          <w:lang w:val="fr-FR"/>
        </w:rPr>
        <w:t xml:space="preserve">la société Automobiles Peugeot SA (France) tête du groupe PSA, Peugeot Citroën ("groupe PSA") acquiert, au sens de l'article 3, paragraphe 1, point b), du règlement sur les concentrations, le contrôle de l'ensemble de la société </w:t>
      </w:r>
      <w:proofErr w:type="spellStart"/>
      <w:r w:rsidR="00A22D12" w:rsidRPr="00A22D12">
        <w:rPr>
          <w:lang w:val="fr-FR"/>
        </w:rPr>
        <w:t>Celor</w:t>
      </w:r>
      <w:proofErr w:type="spellEnd"/>
      <w:r w:rsidR="00A22D12" w:rsidRPr="00A22D12">
        <w:rPr>
          <w:lang w:val="fr-FR"/>
        </w:rPr>
        <w:t xml:space="preserve"> SAS (France), tête du Groupe </w:t>
      </w:r>
      <w:proofErr w:type="spellStart"/>
      <w:r w:rsidR="00A22D12" w:rsidRPr="00A22D12">
        <w:rPr>
          <w:lang w:val="fr-FR"/>
        </w:rPr>
        <w:t>Aramis</w:t>
      </w:r>
      <w:proofErr w:type="spellEnd"/>
      <w:r w:rsidR="00A22D12" w:rsidRPr="00A22D12">
        <w:rPr>
          <w:lang w:val="fr-FR"/>
        </w:rPr>
        <w:t>, par achat d'actions.</w:t>
      </w:r>
      <w:r w:rsidR="00A22D12">
        <w:rPr>
          <w:lang w:val="fr-FR"/>
        </w:rPr>
        <w:t xml:space="preserve"> </w:t>
      </w:r>
      <w:r w:rsidR="00A22D12" w:rsidRPr="00097C57">
        <w:rPr>
          <w:rStyle w:val="FootnoteReference"/>
          <w:spacing w:val="-3"/>
          <w:lang w:val="fr-FR"/>
        </w:rPr>
        <w:footnoteReference w:id="3"/>
      </w:r>
    </w:p>
    <w:p w14:paraId="634C427F" w14:textId="0A8AA6BC" w:rsidR="00A22D12" w:rsidRPr="00A22D12" w:rsidRDefault="00A22D12" w:rsidP="00A22D12">
      <w:pPr>
        <w:pStyle w:val="NumPar1"/>
        <w:numPr>
          <w:ilvl w:val="0"/>
          <w:numId w:val="28"/>
        </w:numPr>
        <w:tabs>
          <w:tab w:val="left" w:pos="567"/>
        </w:tabs>
        <w:spacing w:after="120"/>
        <w:ind w:left="567" w:hanging="567"/>
        <w:rPr>
          <w:szCs w:val="24"/>
          <w:lang w:val="fr-FR"/>
        </w:rPr>
      </w:pPr>
      <w:r w:rsidRPr="00A22D12">
        <w:rPr>
          <w:szCs w:val="24"/>
          <w:lang w:val="fr-FR"/>
        </w:rPr>
        <w:t>Les activités des entreprises considérées sont les suivantes:</w:t>
      </w:r>
    </w:p>
    <w:p w14:paraId="36926BC8" w14:textId="77777777" w:rsidR="00A22D12" w:rsidRPr="00A22D12" w:rsidRDefault="00A22D12" w:rsidP="00A22D12">
      <w:pPr>
        <w:tabs>
          <w:tab w:val="left" w:pos="-720"/>
          <w:tab w:val="left" w:pos="0"/>
          <w:tab w:val="left" w:pos="720"/>
        </w:tabs>
        <w:suppressAutoHyphens/>
        <w:ind w:left="1440" w:hanging="1440"/>
        <w:rPr>
          <w:szCs w:val="24"/>
          <w:lang w:val="fr-FR"/>
        </w:rPr>
      </w:pPr>
      <w:r w:rsidRPr="00A22D12">
        <w:rPr>
          <w:szCs w:val="24"/>
          <w:lang w:val="fr-FR"/>
        </w:rPr>
        <w:tab/>
      </w:r>
      <w:r w:rsidRPr="00A22D12">
        <w:rPr>
          <w:szCs w:val="24"/>
        </w:rPr>
        <w:t>—</w:t>
      </w:r>
      <w:r w:rsidRPr="00A22D12">
        <w:rPr>
          <w:szCs w:val="24"/>
          <w:lang w:val="fr-FR"/>
        </w:rPr>
        <w:tab/>
        <w:t>le groupe PSA: construction, distribution, entretien et réparation de véhicules automobiles ainsi que financement de véhicules dans le monde entier;</w:t>
      </w:r>
    </w:p>
    <w:p w14:paraId="19F7BC05" w14:textId="77777777" w:rsidR="00A22D12" w:rsidRPr="00A22D12" w:rsidRDefault="00A22D12" w:rsidP="00A22D12">
      <w:pPr>
        <w:tabs>
          <w:tab w:val="left" w:pos="-720"/>
          <w:tab w:val="left" w:pos="0"/>
          <w:tab w:val="left" w:pos="720"/>
        </w:tabs>
        <w:suppressAutoHyphens/>
        <w:ind w:left="1440" w:hanging="1440"/>
        <w:rPr>
          <w:szCs w:val="24"/>
          <w:lang w:val="fr-FR"/>
        </w:rPr>
      </w:pPr>
      <w:r w:rsidRPr="00A22D12">
        <w:rPr>
          <w:szCs w:val="24"/>
          <w:lang w:val="fr-FR"/>
        </w:rPr>
        <w:tab/>
      </w:r>
      <w:r w:rsidRPr="00A22D12">
        <w:rPr>
          <w:szCs w:val="24"/>
        </w:rPr>
        <w:t>—</w:t>
      </w:r>
      <w:r w:rsidRPr="00A22D12">
        <w:rPr>
          <w:szCs w:val="24"/>
          <w:lang w:val="fr-FR"/>
        </w:rPr>
        <w:tab/>
        <w:t xml:space="preserve">le groupe </w:t>
      </w:r>
      <w:proofErr w:type="spellStart"/>
      <w:r w:rsidRPr="00A22D12">
        <w:rPr>
          <w:szCs w:val="24"/>
          <w:lang w:val="fr-FR"/>
        </w:rPr>
        <w:t>Aramis</w:t>
      </w:r>
      <w:proofErr w:type="spellEnd"/>
      <w:r w:rsidRPr="00A22D12">
        <w:rPr>
          <w:szCs w:val="24"/>
          <w:lang w:val="fr-FR"/>
        </w:rPr>
        <w:t>: distribution de véhicules automobiles de tourisme, majoritairement d'occasion, exclusivement en France.</w:t>
      </w:r>
    </w:p>
    <w:p w14:paraId="02957E3A" w14:textId="005551BA" w:rsidR="00EE055D" w:rsidRPr="00537308" w:rsidRDefault="00EE055D" w:rsidP="00EE055D">
      <w:pPr>
        <w:pStyle w:val="NumPar1"/>
        <w:numPr>
          <w:ilvl w:val="0"/>
          <w:numId w:val="28"/>
        </w:numPr>
        <w:tabs>
          <w:tab w:val="left" w:pos="567"/>
        </w:tabs>
        <w:ind w:left="567" w:hanging="567"/>
        <w:rPr>
          <w:lang w:val="fr-FR"/>
        </w:rPr>
      </w:pPr>
      <w:r w:rsidRPr="00537308">
        <w:rPr>
          <w:lang w:val="fr-FR"/>
        </w:rPr>
        <w:lastRenderedPageBreak/>
        <w:t>Après examen de la notification, la Commission europ</w:t>
      </w:r>
      <w:r>
        <w:rPr>
          <w:lang w:val="fr-FR"/>
        </w:rPr>
        <w:t xml:space="preserve">éenne </w:t>
      </w:r>
      <w:r w:rsidRPr="00537308">
        <w:rPr>
          <w:lang w:val="fr-FR"/>
        </w:rPr>
        <w:t>a conclu que l</w:t>
      </w:r>
      <w:r>
        <w:rPr>
          <w:lang w:val="fr-FR"/>
        </w:rPr>
        <w:t>’</w:t>
      </w:r>
      <w:r w:rsidRPr="00537308">
        <w:rPr>
          <w:lang w:val="fr-FR"/>
        </w:rPr>
        <w:t>opération notifiée relevait du champ d</w:t>
      </w:r>
      <w:r>
        <w:rPr>
          <w:lang w:val="fr-FR"/>
        </w:rPr>
        <w:t>’</w:t>
      </w:r>
      <w:r w:rsidRPr="00537308">
        <w:rPr>
          <w:lang w:val="fr-FR"/>
        </w:rPr>
        <w:t xml:space="preserve">application du règlement sur les concentrations et du </w:t>
      </w:r>
      <w:r w:rsidRPr="00A22D12">
        <w:rPr>
          <w:lang w:val="fr-FR"/>
        </w:rPr>
        <w:t>point c</w:t>
      </w:r>
      <w:r w:rsidR="00A22D12">
        <w:rPr>
          <w:lang w:val="fr-FR"/>
        </w:rPr>
        <w:t xml:space="preserve"> </w:t>
      </w:r>
      <w:r w:rsidRPr="00537308">
        <w:rPr>
          <w:lang w:val="fr-FR"/>
        </w:rPr>
        <w:t xml:space="preserve">de la communication de la Commission </w:t>
      </w:r>
      <w:r>
        <w:rPr>
          <w:lang w:val="fr-FR"/>
        </w:rPr>
        <w:t xml:space="preserve">européenne </w:t>
      </w:r>
      <w:r w:rsidRPr="00537308">
        <w:rPr>
          <w:lang w:val="fr-FR"/>
        </w:rPr>
        <w:t>relative à une procédure simplifiée de traitement de certaines opérations de concentration en application du règlement</w:t>
      </w:r>
      <w:r>
        <w:rPr>
          <w:lang w:val="fr-FR"/>
        </w:rPr>
        <w:t> </w:t>
      </w:r>
      <w:r w:rsidRPr="00537308">
        <w:rPr>
          <w:lang w:val="fr-FR"/>
        </w:rPr>
        <w:t>(CE)</w:t>
      </w:r>
      <w:r>
        <w:rPr>
          <w:lang w:val="fr-FR"/>
        </w:rPr>
        <w:t> </w:t>
      </w:r>
      <w:r w:rsidRPr="00537308">
        <w:rPr>
          <w:lang w:val="fr-FR"/>
        </w:rPr>
        <w:t>n°</w:t>
      </w:r>
      <w:r>
        <w:rPr>
          <w:lang w:val="fr-FR"/>
        </w:rPr>
        <w:t> </w:t>
      </w:r>
      <w:r w:rsidRPr="00537308">
        <w:rPr>
          <w:lang w:val="fr-FR"/>
        </w:rPr>
        <w:t>139/2004 du Conseil</w:t>
      </w:r>
      <w:r w:rsidRPr="008B2AD6">
        <w:rPr>
          <w:vertAlign w:val="superscript"/>
        </w:rPr>
        <w:footnoteReference w:id="4"/>
      </w:r>
      <w:r>
        <w:rPr>
          <w:lang w:val="fr-FR"/>
        </w:rPr>
        <w:t>.</w:t>
      </w:r>
    </w:p>
    <w:p w14:paraId="3C1832A4" w14:textId="77777777" w:rsidR="00EE055D" w:rsidRPr="006402B6" w:rsidRDefault="00EE055D" w:rsidP="00EE055D">
      <w:pPr>
        <w:pStyle w:val="NumPar1"/>
        <w:numPr>
          <w:ilvl w:val="0"/>
          <w:numId w:val="28"/>
        </w:numPr>
        <w:tabs>
          <w:tab w:val="left" w:pos="567"/>
        </w:tabs>
        <w:spacing w:after="120"/>
        <w:ind w:left="567" w:hanging="567"/>
        <w:rPr>
          <w:lang w:val="fr-FR"/>
        </w:rPr>
      </w:pPr>
      <w:r w:rsidRPr="00537308">
        <w:rPr>
          <w:lang w:val="fr-FR"/>
        </w:rPr>
        <w:t>La Commission</w:t>
      </w:r>
      <w:r>
        <w:rPr>
          <w:lang w:val="fr-FR"/>
        </w:rPr>
        <w:t xml:space="preserve"> </w:t>
      </w:r>
      <w:r w:rsidRPr="00537308">
        <w:rPr>
          <w:lang w:val="fr-FR"/>
        </w:rPr>
        <w:t>europ</w:t>
      </w:r>
      <w:r>
        <w:rPr>
          <w:lang w:val="fr-FR"/>
        </w:rPr>
        <w:t>éenne</w:t>
      </w:r>
      <w:r w:rsidRPr="00537308">
        <w:rPr>
          <w:lang w:val="fr-FR"/>
        </w:rPr>
        <w:t xml:space="preserve"> a décidé, pour les raisons exposées dans la communication relative à une procédure simplifiée, de ne pas s</w:t>
      </w:r>
      <w:r>
        <w:rPr>
          <w:lang w:val="fr-FR"/>
        </w:rPr>
        <w:t>’</w:t>
      </w:r>
      <w:r w:rsidRPr="00537308">
        <w:rPr>
          <w:lang w:val="fr-FR"/>
        </w:rPr>
        <w:t>opposer à l</w:t>
      </w:r>
      <w:r>
        <w:rPr>
          <w:lang w:val="fr-FR"/>
        </w:rPr>
        <w:t>’</w:t>
      </w:r>
      <w:r w:rsidRPr="00537308">
        <w:rPr>
          <w:lang w:val="fr-FR"/>
        </w:rPr>
        <w:t xml:space="preserve">opération notifiée et de la déclarer compatible avec le marché </w:t>
      </w:r>
      <w:r>
        <w:rPr>
          <w:lang w:val="fr-FR"/>
        </w:rPr>
        <w:t>intérieur</w:t>
      </w:r>
      <w:r w:rsidRPr="00537308">
        <w:rPr>
          <w:lang w:val="fr-FR"/>
        </w:rPr>
        <w:t xml:space="preserve"> et avec l</w:t>
      </w:r>
      <w:r>
        <w:rPr>
          <w:lang w:val="fr-FR"/>
        </w:rPr>
        <w:t>’</w:t>
      </w:r>
      <w:r w:rsidRPr="00537308">
        <w:rPr>
          <w:lang w:val="fr-FR"/>
        </w:rPr>
        <w:t>accord EEE. La présente décision est adoptée en v</w:t>
      </w:r>
      <w:r>
        <w:rPr>
          <w:lang w:val="fr-FR"/>
        </w:rPr>
        <w:t>ertu de l’article 6, paragraphe </w:t>
      </w:r>
      <w:r w:rsidRPr="00537308">
        <w:rPr>
          <w:lang w:val="fr-FR"/>
        </w:rPr>
        <w:t>1, point</w:t>
      </w:r>
      <w:r>
        <w:rPr>
          <w:lang w:val="fr-FR"/>
        </w:rPr>
        <w:t> </w:t>
      </w:r>
      <w:r w:rsidRPr="00537308">
        <w:rPr>
          <w:lang w:val="fr-FR"/>
        </w:rPr>
        <w:t>b), du règlement sur les concentrations</w:t>
      </w:r>
      <w:r>
        <w:rPr>
          <w:lang w:val="fr-FR"/>
        </w:rPr>
        <w:t xml:space="preserve"> </w:t>
      </w:r>
      <w:r w:rsidRPr="00AD16A6">
        <w:rPr>
          <w:lang w:val="fr-FR"/>
        </w:rPr>
        <w:t>et de l'article 57 de l'accord EEE</w:t>
      </w:r>
      <w:r w:rsidRPr="00537308">
        <w:rPr>
          <w:lang w:val="fr-FR"/>
        </w:rPr>
        <w:t>.</w:t>
      </w:r>
    </w:p>
    <w:p w14:paraId="5C6013FD" w14:textId="61FB363D" w:rsidR="00EE055D" w:rsidRPr="001E619D" w:rsidRDefault="00EE055D" w:rsidP="00775130">
      <w:pPr>
        <w:pStyle w:val="Closing"/>
        <w:rPr>
          <w:i/>
          <w:lang w:val="fr-FR"/>
        </w:rPr>
      </w:pPr>
      <w:r w:rsidRPr="001E619D">
        <w:rPr>
          <w:i/>
          <w:lang w:val="fr-FR"/>
        </w:rPr>
        <w:t>P</w:t>
      </w:r>
      <w:r>
        <w:rPr>
          <w:i/>
          <w:lang w:val="fr-FR"/>
        </w:rPr>
        <w:t>a</w:t>
      </w:r>
      <w:r w:rsidRPr="001E619D">
        <w:rPr>
          <w:i/>
          <w:lang w:val="fr-FR"/>
        </w:rPr>
        <w:t>r la Commission</w:t>
      </w:r>
      <w:r w:rsidR="00775130">
        <w:rPr>
          <w:i/>
          <w:lang w:val="fr-FR"/>
        </w:rPr>
        <w:br/>
      </w:r>
      <w:r w:rsidR="00296453">
        <w:rPr>
          <w:i/>
          <w:lang w:val="fr-FR"/>
        </w:rPr>
        <w:br/>
        <w:t>(Signé</w:t>
      </w:r>
      <w:proofErr w:type="gramStart"/>
      <w:r w:rsidR="00296453">
        <w:rPr>
          <w:i/>
          <w:lang w:val="fr-FR"/>
        </w:rPr>
        <w:t>)</w:t>
      </w:r>
      <w:proofErr w:type="gramEnd"/>
      <w:r w:rsidR="00296453">
        <w:rPr>
          <w:i/>
          <w:lang w:val="fr-FR"/>
        </w:rPr>
        <w:br/>
      </w:r>
      <w:r w:rsidRPr="00B57F61">
        <w:rPr>
          <w:i/>
          <w:lang w:val="fr-FR"/>
        </w:rPr>
        <w:t>Johannes LAITENBERGER</w:t>
      </w:r>
      <w:r w:rsidRPr="001E619D">
        <w:rPr>
          <w:i/>
          <w:lang w:val="fr-FR"/>
        </w:rPr>
        <w:br/>
        <w:t>Directeur général</w:t>
      </w:r>
      <w:r w:rsidR="00775130">
        <w:rPr>
          <w:i/>
          <w:lang w:val="fr-FR"/>
        </w:rPr>
        <w:br/>
      </w:r>
      <w:r w:rsidR="00775130">
        <w:rPr>
          <w:i/>
          <w:lang w:val="fr-FR"/>
        </w:rPr>
        <w:br/>
      </w:r>
    </w:p>
    <w:sectPr w:rsidR="00EE055D" w:rsidRPr="001E619D" w:rsidSect="00595D46">
      <w:footerReference w:type="default" r:id="rId11"/>
      <w:headerReference w:type="first" r:id="rId12"/>
      <w:footerReference w:type="first" r:id="rId13"/>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1A319" w14:textId="77777777" w:rsidR="008F7A3E" w:rsidRDefault="008F7A3E" w:rsidP="00EE055D">
      <w:pPr>
        <w:spacing w:after="0"/>
      </w:pPr>
      <w:r>
        <w:separator/>
      </w:r>
    </w:p>
  </w:endnote>
  <w:endnote w:type="continuationSeparator" w:id="0">
    <w:p w14:paraId="0DC7118A" w14:textId="77777777" w:rsidR="008F7A3E" w:rsidRDefault="008F7A3E" w:rsidP="00EE05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
    <w:altName w:val="Times New Roman"/>
    <w:panose1 w:val="00000000000000000000"/>
    <w:charset w:val="00"/>
    <w:family w:val="roman"/>
    <w:notTrueType/>
    <w:pitch w:val="default"/>
    <w:sig w:usb0="0050006E" w:usb1="00000053"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D91EF" w14:textId="77777777" w:rsidR="000343C9" w:rsidRDefault="00EE055D">
    <w:pPr>
      <w:pStyle w:val="Footer"/>
      <w:jc w:val="center"/>
    </w:pPr>
    <w:r>
      <w:fldChar w:fldCharType="begin"/>
    </w:r>
    <w:r>
      <w:instrText>PAGE</w:instrText>
    </w:r>
    <w:r>
      <w:fldChar w:fldCharType="separate"/>
    </w:r>
    <w:r w:rsidR="0017299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DED5C" w14:textId="77777777" w:rsidR="00EE055D" w:rsidRDefault="00EE055D" w:rsidP="00EE055D">
    <w:pPr>
      <w:pStyle w:val="Footer"/>
      <w:rPr>
        <w:sz w:val="24"/>
      </w:rPr>
    </w:pPr>
  </w:p>
  <w:p w14:paraId="28B7B60B" w14:textId="77777777" w:rsidR="00EE055D" w:rsidRDefault="00EE055D" w:rsidP="00EE055D">
    <w:pPr>
      <w:pStyle w:val="Footer"/>
      <w:ind w:right="0"/>
      <w:rPr>
        <w:lang w:val="fr-FR"/>
      </w:rPr>
    </w:pPr>
    <w:r>
      <w:rPr>
        <w:lang w:val="fr-FR"/>
      </w:rPr>
      <w:t xml:space="preserve">Commission européenne, DG COMP MERGER REGISTRY, 1049 Bruxelles, BELGIQUE </w:t>
    </w:r>
  </w:p>
  <w:p w14:paraId="2ACF92BF" w14:textId="77777777" w:rsidR="00EE055D" w:rsidRPr="00EE055D" w:rsidRDefault="00EE055D" w:rsidP="00EE055D">
    <w:pPr>
      <w:pStyle w:val="Footer"/>
      <w:ind w:right="0"/>
    </w:pPr>
  </w:p>
  <w:p w14:paraId="783D7F8D" w14:textId="77777777" w:rsidR="000343C9" w:rsidRPr="00EE055D" w:rsidRDefault="00EE055D" w:rsidP="00EE055D">
    <w:pPr>
      <w:rPr>
        <w:rFonts w:ascii="Arial" w:hAnsi="Arial" w:cs="Arial"/>
        <w:sz w:val="16"/>
        <w:szCs w:val="16"/>
        <w:lang w:val="pt-PT"/>
      </w:rPr>
    </w:pPr>
    <w:proofErr w:type="spellStart"/>
    <w:r w:rsidRPr="00EE055D">
      <w:rPr>
        <w:rFonts w:ascii="Arial" w:hAnsi="Arial" w:cs="Arial"/>
        <w:sz w:val="16"/>
        <w:szCs w:val="16"/>
        <w:lang w:val="pt-PT"/>
      </w:rPr>
      <w:t>Tel</w:t>
    </w:r>
    <w:proofErr w:type="spellEnd"/>
    <w:r w:rsidRPr="00EE055D">
      <w:rPr>
        <w:rFonts w:ascii="Arial" w:hAnsi="Arial" w:cs="Arial"/>
        <w:sz w:val="16"/>
        <w:szCs w:val="16"/>
        <w:lang w:val="pt-PT"/>
      </w:rPr>
      <w:t xml:space="preserve">: +32 229-91111. </w:t>
    </w:r>
    <w:proofErr w:type="gramStart"/>
    <w:r w:rsidRPr="00EE055D">
      <w:rPr>
        <w:rFonts w:ascii="Arial" w:hAnsi="Arial" w:cs="Arial"/>
        <w:sz w:val="16"/>
        <w:szCs w:val="16"/>
        <w:lang w:val="pt-PT"/>
      </w:rPr>
      <w:t>Fax</w:t>
    </w:r>
    <w:proofErr w:type="gramEnd"/>
    <w:r w:rsidRPr="00EE055D">
      <w:rPr>
        <w:rFonts w:ascii="Arial" w:hAnsi="Arial" w:cs="Arial"/>
        <w:sz w:val="16"/>
        <w:szCs w:val="16"/>
        <w:lang w:val="pt-PT"/>
      </w:rPr>
      <w:t xml:space="preserve">: +32 229-64301. </w:t>
    </w:r>
    <w:proofErr w:type="gramStart"/>
    <w:r w:rsidRPr="00EE055D">
      <w:rPr>
        <w:rFonts w:ascii="Arial" w:hAnsi="Arial" w:cs="Arial"/>
        <w:sz w:val="16"/>
        <w:szCs w:val="16"/>
        <w:lang w:val="pt-PT"/>
      </w:rPr>
      <w:t>E-mail</w:t>
    </w:r>
    <w:proofErr w:type="gramEnd"/>
    <w:r w:rsidRPr="00EE055D">
      <w:rPr>
        <w:rFonts w:ascii="Arial" w:hAnsi="Arial" w:cs="Arial"/>
        <w:sz w:val="16"/>
        <w:szCs w:val="16"/>
        <w:lang w:val="pt-PT"/>
      </w:rPr>
      <w:t xml:space="preserve">: </w:t>
    </w:r>
    <w:hyperlink r:id="rId1" w:history="1">
      <w:r w:rsidRPr="00EE055D">
        <w:rPr>
          <w:rStyle w:val="Hyperlink"/>
          <w:rFonts w:ascii="Arial" w:hAnsi="Arial" w:cs="Arial"/>
          <w:sz w:val="16"/>
          <w:szCs w:val="16"/>
          <w:lang w:val="pt-PT"/>
        </w:rPr>
        <w:t>COMP-MERGER-REGISTRY@ec.europa.eu</w:t>
      </w:r>
    </w:hyperlink>
    <w:r w:rsidRPr="00EE055D">
      <w:rPr>
        <w:rFonts w:ascii="Arial" w:hAnsi="Arial" w:cs="Arial"/>
        <w:sz w:val="16"/>
        <w:szCs w:val="16"/>
        <w:lang w:val="pt-P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A3F06" w14:textId="77777777" w:rsidR="008F7A3E" w:rsidRDefault="008F7A3E" w:rsidP="00EE055D">
      <w:pPr>
        <w:spacing w:after="0"/>
      </w:pPr>
      <w:r>
        <w:separator/>
      </w:r>
    </w:p>
  </w:footnote>
  <w:footnote w:type="continuationSeparator" w:id="0">
    <w:p w14:paraId="71E31B8E" w14:textId="77777777" w:rsidR="008F7A3E" w:rsidRDefault="008F7A3E" w:rsidP="00EE055D">
      <w:pPr>
        <w:spacing w:after="0"/>
      </w:pPr>
      <w:r>
        <w:continuationSeparator/>
      </w:r>
    </w:p>
  </w:footnote>
  <w:footnote w:id="1">
    <w:p w14:paraId="7D1BA1AA" w14:textId="77777777" w:rsidR="00EE055D" w:rsidRPr="00537308" w:rsidRDefault="00EE055D" w:rsidP="00EE055D">
      <w:pPr>
        <w:pStyle w:val="FootnoteText"/>
        <w:tabs>
          <w:tab w:val="left" w:pos="567"/>
        </w:tabs>
        <w:spacing w:after="0"/>
        <w:ind w:left="567" w:hanging="567"/>
        <w:rPr>
          <w:lang w:val="fr-FR"/>
        </w:rPr>
      </w:pPr>
      <w:r>
        <w:rPr>
          <w:rStyle w:val="FootnoteReference"/>
          <w:spacing w:val="-3"/>
        </w:rPr>
        <w:footnoteRef/>
      </w:r>
      <w:r w:rsidRPr="00537308">
        <w:rPr>
          <w:lang w:val="fr-FR"/>
        </w:rPr>
        <w:tab/>
        <w:t>JO</w:t>
      </w:r>
      <w:r>
        <w:rPr>
          <w:lang w:val="fr-FR"/>
        </w:rPr>
        <w:t> </w:t>
      </w:r>
      <w:r w:rsidRPr="00537308">
        <w:rPr>
          <w:lang w:val="fr-FR"/>
        </w:rPr>
        <w:t>L</w:t>
      </w:r>
      <w:r>
        <w:rPr>
          <w:lang w:val="fr-FR"/>
        </w:rPr>
        <w:t> 24 du 29.1.2004, p. </w:t>
      </w:r>
      <w:r w:rsidRPr="00537308">
        <w:rPr>
          <w:lang w:val="fr-FR"/>
        </w:rPr>
        <w:t>1 (le «règlement sur les concentrations»).</w:t>
      </w:r>
      <w:r w:rsidRPr="00FE22A1">
        <w:rPr>
          <w:lang w:val="fr-FR"/>
        </w:rPr>
        <w:t xml:space="preserve"> </w:t>
      </w:r>
      <w:r>
        <w:rPr>
          <w:lang w:val="fr-FR"/>
        </w:rPr>
        <w:t>Applicable depuis le 1</w:t>
      </w:r>
      <w:r w:rsidRPr="00F01BAD">
        <w:rPr>
          <w:vertAlign w:val="superscript"/>
          <w:lang w:val="fr-FR"/>
        </w:rPr>
        <w:t>er</w:t>
      </w:r>
      <w:r>
        <w:rPr>
          <w:lang w:val="fr-FR"/>
        </w:rPr>
        <w:t xml:space="preserve"> décembre 2009, le traité sur le fonctionnement de l’Union européenne («TFUE») a introduit divers changements, parmi lesquels le remplacement des termes «Communauté» par «Union» et «marché commun» par «marché intérieur». Les termes du TFUE seront utilisés dans cette décision. </w:t>
      </w:r>
    </w:p>
  </w:footnote>
  <w:footnote w:id="2">
    <w:p w14:paraId="2815F7DC" w14:textId="77777777" w:rsidR="00EE055D" w:rsidRPr="00374902" w:rsidRDefault="00EE055D" w:rsidP="00EE055D">
      <w:pPr>
        <w:tabs>
          <w:tab w:val="left" w:pos="567"/>
        </w:tabs>
        <w:autoSpaceDE w:val="0"/>
        <w:autoSpaceDN w:val="0"/>
        <w:adjustRightInd w:val="0"/>
        <w:spacing w:after="0"/>
        <w:ind w:left="567" w:hanging="567"/>
        <w:rPr>
          <w:rStyle w:val="FootnoteReference"/>
          <w:sz w:val="20"/>
        </w:rPr>
      </w:pPr>
      <w:r w:rsidRPr="000F3ABB">
        <w:rPr>
          <w:rStyle w:val="FootnoteReference"/>
          <w:spacing w:val="-3"/>
        </w:rPr>
        <w:footnoteRef/>
      </w:r>
      <w:r w:rsidRPr="00374902">
        <w:rPr>
          <w:sz w:val="20"/>
          <w:lang w:val="fr-FR"/>
        </w:rPr>
        <w:t xml:space="preserve"> </w:t>
      </w:r>
      <w:r w:rsidRPr="00374902">
        <w:rPr>
          <w:sz w:val="20"/>
          <w:lang w:val="fr-FR"/>
        </w:rPr>
        <w:tab/>
        <w:t>JO L 1 du 3.1.1994, p. 3 (l'«accord EEE»).</w:t>
      </w:r>
    </w:p>
  </w:footnote>
  <w:footnote w:id="3">
    <w:p w14:paraId="2B3F5D96" w14:textId="6952DE66" w:rsidR="00A22D12" w:rsidRPr="00367091" w:rsidRDefault="00A22D12" w:rsidP="00A22D12">
      <w:pPr>
        <w:pStyle w:val="FootnoteText"/>
        <w:tabs>
          <w:tab w:val="left" w:pos="567"/>
        </w:tabs>
        <w:spacing w:after="0"/>
        <w:ind w:left="567" w:hanging="567"/>
      </w:pPr>
      <w:r>
        <w:rPr>
          <w:rStyle w:val="FootnoteReference"/>
        </w:rPr>
        <w:footnoteRef/>
      </w:r>
      <w:r w:rsidRPr="00367091">
        <w:rPr>
          <w:lang w:val="fr-FR"/>
        </w:rPr>
        <w:t xml:space="preserve"> </w:t>
      </w:r>
      <w:r>
        <w:tab/>
      </w:r>
      <w:r w:rsidRPr="00537308">
        <w:rPr>
          <w:lang w:val="fr-FR"/>
        </w:rPr>
        <w:t xml:space="preserve">Publication </w:t>
      </w:r>
      <w:r w:rsidRPr="00367091">
        <w:rPr>
          <w:lang w:val="fr-FR"/>
        </w:rPr>
        <w:t>au Journal officiel de l’Union européenne</w:t>
      </w:r>
      <w:r w:rsidRPr="00537308">
        <w:rPr>
          <w:lang w:val="fr-FR"/>
        </w:rPr>
        <w:t xml:space="preserve"> </w:t>
      </w:r>
      <w:r>
        <w:rPr>
          <w:lang w:val="fr-FR"/>
        </w:rPr>
        <w:t>n° </w:t>
      </w:r>
      <w:r w:rsidRPr="00537308">
        <w:rPr>
          <w:lang w:val="fr-FR"/>
        </w:rPr>
        <w:t>C</w:t>
      </w:r>
      <w:r>
        <w:rPr>
          <w:lang w:val="fr-FR"/>
        </w:rPr>
        <w:t> </w:t>
      </w:r>
      <w:r w:rsidR="003C77A9">
        <w:rPr>
          <w:lang w:val="fr-FR"/>
        </w:rPr>
        <w:t>453</w:t>
      </w:r>
      <w:r>
        <w:rPr>
          <w:lang w:val="fr-FR"/>
        </w:rPr>
        <w:t xml:space="preserve"> du </w:t>
      </w:r>
      <w:r w:rsidR="003C77A9">
        <w:rPr>
          <w:lang w:val="fr-FR"/>
        </w:rPr>
        <w:t>3.12.2016</w:t>
      </w:r>
      <w:r w:rsidRPr="00537308">
        <w:rPr>
          <w:i/>
          <w:lang w:val="fr-FR"/>
        </w:rPr>
        <w:t xml:space="preserve">, </w:t>
      </w:r>
      <w:r w:rsidRPr="00537308">
        <w:rPr>
          <w:lang w:val="fr-FR"/>
        </w:rPr>
        <w:t>p.</w:t>
      </w:r>
      <w:r>
        <w:rPr>
          <w:lang w:val="fr-FR"/>
        </w:rPr>
        <w:t> </w:t>
      </w:r>
      <w:r w:rsidR="003C77A9">
        <w:rPr>
          <w:lang w:val="fr-FR"/>
        </w:rPr>
        <w:t>13</w:t>
      </w:r>
      <w:r>
        <w:rPr>
          <w:lang w:val="fr-FR"/>
        </w:rPr>
        <w:t>.</w:t>
      </w:r>
    </w:p>
  </w:footnote>
  <w:footnote w:id="4">
    <w:p w14:paraId="4140E895" w14:textId="77777777" w:rsidR="00EE055D" w:rsidRPr="00537308" w:rsidRDefault="00EE055D" w:rsidP="00EE055D">
      <w:pPr>
        <w:tabs>
          <w:tab w:val="left" w:pos="567"/>
        </w:tabs>
        <w:autoSpaceDE w:val="0"/>
        <w:autoSpaceDN w:val="0"/>
        <w:adjustRightInd w:val="0"/>
        <w:spacing w:after="0"/>
        <w:ind w:left="567" w:hanging="567"/>
        <w:rPr>
          <w:lang w:val="fr-FR"/>
        </w:rPr>
      </w:pPr>
      <w:r w:rsidRPr="000F3ABB">
        <w:rPr>
          <w:rStyle w:val="FootnoteReference"/>
        </w:rPr>
        <w:footnoteRef/>
      </w:r>
      <w:r w:rsidRPr="00537308">
        <w:rPr>
          <w:sz w:val="18"/>
          <w:szCs w:val="18"/>
          <w:lang w:val="fr-FR"/>
        </w:rPr>
        <w:t xml:space="preserve"> </w:t>
      </w:r>
      <w:r w:rsidRPr="00537308">
        <w:rPr>
          <w:sz w:val="18"/>
          <w:szCs w:val="18"/>
          <w:lang w:val="fr-FR"/>
        </w:rPr>
        <w:tab/>
      </w:r>
      <w:r w:rsidRPr="00456BD3">
        <w:rPr>
          <w:sz w:val="20"/>
          <w:lang w:val="fr-FR"/>
        </w:rPr>
        <w:t xml:space="preserve">JO C </w:t>
      </w:r>
      <w:r>
        <w:rPr>
          <w:sz w:val="20"/>
          <w:lang w:val="fr-FR"/>
        </w:rPr>
        <w:t>366</w:t>
      </w:r>
      <w:r w:rsidRPr="00456BD3">
        <w:rPr>
          <w:sz w:val="20"/>
          <w:lang w:val="fr-FR"/>
        </w:rPr>
        <w:t xml:space="preserve"> du </w:t>
      </w:r>
      <w:r>
        <w:rPr>
          <w:sz w:val="20"/>
          <w:lang w:val="fr-FR"/>
        </w:rPr>
        <w:t>14.12.2013</w:t>
      </w:r>
      <w:r w:rsidRPr="00456BD3">
        <w:rPr>
          <w:sz w:val="20"/>
          <w:lang w:val="fr-FR"/>
        </w:rPr>
        <w:t xml:space="preserve">, p. </w:t>
      </w:r>
      <w:r>
        <w:rPr>
          <w:sz w:val="20"/>
          <w:lang w:val="fr-FR"/>
        </w:rPr>
        <w:t>5</w:t>
      </w:r>
      <w:r w:rsidRPr="00537308">
        <w:rPr>
          <w:sz w:val="20"/>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8B3DC" w14:textId="77777777" w:rsidR="000343C9" w:rsidRDefault="0017299E">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nsid w:val="14C32A6F"/>
    <w:multiLevelType w:val="hybridMultilevel"/>
    <w:tmpl w:val="5F5A5D4C"/>
    <w:lvl w:ilvl="0" w:tplc="E00A964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7">
    <w:nsid w:val="27AF1AD5"/>
    <w:multiLevelType w:val="hybridMultilevel"/>
    <w:tmpl w:val="3CAC1362"/>
    <w:lvl w:ilvl="0" w:tplc="95241D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9">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2">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17">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9">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1">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2">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7"/>
  </w:num>
  <w:num w:numId="4">
    <w:abstractNumId w:val="18"/>
  </w:num>
  <w:num w:numId="5">
    <w:abstractNumId w:val="11"/>
  </w:num>
  <w:num w:numId="6">
    <w:abstractNumId w:val="8"/>
  </w:num>
  <w:num w:numId="7">
    <w:abstractNumId w:val="4"/>
  </w:num>
  <w:num w:numId="8">
    <w:abstractNumId w:val="3"/>
  </w:num>
  <w:num w:numId="9">
    <w:abstractNumId w:val="19"/>
  </w:num>
  <w:num w:numId="10">
    <w:abstractNumId w:val="21"/>
  </w:num>
  <w:num w:numId="11">
    <w:abstractNumId w:val="20"/>
  </w:num>
  <w:num w:numId="12">
    <w:abstractNumId w:val="22"/>
  </w:num>
  <w:num w:numId="13">
    <w:abstractNumId w:val="6"/>
  </w:num>
  <w:num w:numId="14">
    <w:abstractNumId w:val="12"/>
  </w:num>
  <w:num w:numId="15">
    <w:abstractNumId w:val="14"/>
  </w:num>
  <w:num w:numId="16">
    <w:abstractNumId w:val="13"/>
  </w:num>
  <w:num w:numId="17">
    <w:abstractNumId w:val="2"/>
  </w:num>
  <w:num w:numId="18">
    <w:abstractNumId w:val="15"/>
  </w:num>
  <w:num w:numId="19">
    <w:abstractNumId w:val="9"/>
  </w:num>
  <w:num w:numId="20">
    <w:abstractNumId w:val="16"/>
  </w:num>
  <w:num w:numId="21">
    <w:abstractNumId w:val="10"/>
  </w:num>
  <w:num w:numId="22">
    <w:abstractNumId w:val="9"/>
  </w:num>
  <w:num w:numId="23">
    <w:abstractNumId w:val="9"/>
  </w:num>
  <w:num w:numId="24">
    <w:abstractNumId w:val="9"/>
  </w:num>
  <w:num w:numId="25">
    <w:abstractNumId w:val="9"/>
  </w:num>
  <w:num w:numId="26">
    <w:abstractNumId w:val="9"/>
  </w:num>
  <w:num w:numId="27">
    <w:abstractNumId w:val="9"/>
  </w:num>
  <w:num w:numId="28">
    <w:abstractNumId w:val="5"/>
  </w:num>
  <w:num w:numId="29">
    <w:abstractNumId w:val="7"/>
  </w:num>
  <w:num w:numId="30">
    <w:abstractNumId w:val="17"/>
  </w:num>
  <w:num w:numId="3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T"/>
  </w:docVars>
  <w:rsids>
    <w:rsidRoot w:val="00EE055D"/>
    <w:rsid w:val="001535A1"/>
    <w:rsid w:val="0017299E"/>
    <w:rsid w:val="0026001E"/>
    <w:rsid w:val="00296453"/>
    <w:rsid w:val="003C77A9"/>
    <w:rsid w:val="00775130"/>
    <w:rsid w:val="008F7A3E"/>
    <w:rsid w:val="009B4B69"/>
    <w:rsid w:val="00A22D12"/>
    <w:rsid w:val="00B41C44"/>
    <w:rsid w:val="00D40164"/>
    <w:rsid w:val="00E86E62"/>
    <w:rsid w:val="00EE0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7AE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Closing" w:uiPriority="0"/>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val="fr-BE"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semiHidden/>
    <w:rPr>
      <w:sz w:val="20"/>
    </w:rPr>
  </w:style>
  <w:style w:type="paragraph" w:styleId="Date">
    <w:name w:val="Date"/>
    <w:basedOn w:val="Normal"/>
    <w:next w:val="References"/>
    <w:link w:val="DateChar"/>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locked/>
    <w:rsid w:val="00EE055D"/>
    <w:rPr>
      <w:rFonts w:ascii="Arial" w:hAnsi="Arial"/>
      <w:sz w:val="16"/>
      <w:lang w:val="fr-BE" w:eastAsia="en-US"/>
    </w:rPr>
  </w:style>
  <w:style w:type="character" w:customStyle="1" w:styleId="DateChar">
    <w:name w:val="Date Char"/>
    <w:basedOn w:val="DefaultParagraphFont"/>
    <w:link w:val="Date"/>
    <w:uiPriority w:val="99"/>
    <w:locked/>
    <w:rsid w:val="00EE055D"/>
    <w:rPr>
      <w:sz w:val="24"/>
      <w:lang w:val="fr-BE" w:eastAsia="en-US"/>
    </w:rPr>
  </w:style>
  <w:style w:type="paragraph" w:customStyle="1" w:styleId="ZCom">
    <w:name w:val="Z_Com"/>
    <w:basedOn w:val="Normal"/>
    <w:next w:val="ZDGName"/>
    <w:uiPriority w:val="99"/>
    <w:rsid w:val="00EE055D"/>
    <w:pPr>
      <w:widowControl w:val="0"/>
      <w:autoSpaceDE w:val="0"/>
      <w:autoSpaceDN w:val="0"/>
      <w:spacing w:after="0"/>
      <w:ind w:right="85"/>
    </w:pPr>
    <w:rPr>
      <w:rFonts w:ascii="Arial" w:eastAsiaTheme="minorEastAsia" w:hAnsi="Arial" w:cs="Arial"/>
      <w:szCs w:val="24"/>
      <w:lang w:val="en-GB" w:eastAsia="en-GB"/>
    </w:rPr>
  </w:style>
  <w:style w:type="paragraph" w:customStyle="1" w:styleId="ZDGName">
    <w:name w:val="Z_DGName"/>
    <w:basedOn w:val="Normal"/>
    <w:uiPriority w:val="99"/>
    <w:rsid w:val="00EE055D"/>
    <w:pPr>
      <w:widowControl w:val="0"/>
      <w:autoSpaceDE w:val="0"/>
      <w:autoSpaceDN w:val="0"/>
      <w:spacing w:after="0"/>
      <w:ind w:right="85"/>
      <w:jc w:val="left"/>
    </w:pPr>
    <w:rPr>
      <w:rFonts w:ascii="Arial" w:eastAsiaTheme="minorEastAsia" w:hAnsi="Arial" w:cs="Arial"/>
      <w:sz w:val="16"/>
      <w:szCs w:val="16"/>
      <w:lang w:val="en-GB" w:eastAsia="en-GB"/>
    </w:rPr>
  </w:style>
  <w:style w:type="character" w:customStyle="1" w:styleId="HeaderChar">
    <w:name w:val="Header Char"/>
    <w:basedOn w:val="DefaultParagraphFont"/>
    <w:link w:val="Header"/>
    <w:uiPriority w:val="99"/>
    <w:locked/>
    <w:rsid w:val="00EE055D"/>
    <w:rPr>
      <w:sz w:val="24"/>
      <w:lang w:val="fr-BE" w:eastAsia="en-US"/>
    </w:rPr>
  </w:style>
  <w:style w:type="character" w:styleId="FootnoteReference">
    <w:name w:val="footnote reference"/>
    <w:semiHidden/>
    <w:rsid w:val="00EE055D"/>
    <w:rPr>
      <w:rFonts w:ascii="TimesNewRomanPS" w:hAnsi="TimesNewRomanPS"/>
      <w:position w:val="6"/>
      <w:sz w:val="16"/>
    </w:rPr>
  </w:style>
  <w:style w:type="character" w:styleId="Hyperlink">
    <w:name w:val="Hyperlink"/>
    <w:uiPriority w:val="99"/>
    <w:rsid w:val="00EE055D"/>
    <w:rPr>
      <w:color w:val="0000FF"/>
      <w:u w:val="single"/>
    </w:rPr>
  </w:style>
  <w:style w:type="character" w:customStyle="1" w:styleId="clipboard">
    <w:name w:val="clipboard"/>
    <w:basedOn w:val="DefaultParagraphFont"/>
    <w:rsid w:val="00A22D12"/>
  </w:style>
  <w:style w:type="paragraph" w:styleId="BalloonText">
    <w:name w:val="Balloon Text"/>
    <w:basedOn w:val="Normal"/>
    <w:link w:val="BalloonTextChar"/>
    <w:uiPriority w:val="99"/>
    <w:semiHidden/>
    <w:unhideWhenUsed/>
    <w:rsid w:val="007751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130"/>
    <w:rPr>
      <w:rFonts w:ascii="Tahoma" w:hAnsi="Tahoma" w:cs="Tahoma"/>
      <w:sz w:val="16"/>
      <w:szCs w:val="16"/>
      <w:lang w:val="fr-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Closing" w:uiPriority="0"/>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val="fr-BE"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semiHidden/>
    <w:rPr>
      <w:sz w:val="20"/>
    </w:rPr>
  </w:style>
  <w:style w:type="paragraph" w:styleId="Date">
    <w:name w:val="Date"/>
    <w:basedOn w:val="Normal"/>
    <w:next w:val="References"/>
    <w:link w:val="DateChar"/>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locked/>
    <w:rsid w:val="00EE055D"/>
    <w:rPr>
      <w:rFonts w:ascii="Arial" w:hAnsi="Arial"/>
      <w:sz w:val="16"/>
      <w:lang w:val="fr-BE" w:eastAsia="en-US"/>
    </w:rPr>
  </w:style>
  <w:style w:type="character" w:customStyle="1" w:styleId="DateChar">
    <w:name w:val="Date Char"/>
    <w:basedOn w:val="DefaultParagraphFont"/>
    <w:link w:val="Date"/>
    <w:uiPriority w:val="99"/>
    <w:locked/>
    <w:rsid w:val="00EE055D"/>
    <w:rPr>
      <w:sz w:val="24"/>
      <w:lang w:val="fr-BE" w:eastAsia="en-US"/>
    </w:rPr>
  </w:style>
  <w:style w:type="paragraph" w:customStyle="1" w:styleId="ZCom">
    <w:name w:val="Z_Com"/>
    <w:basedOn w:val="Normal"/>
    <w:next w:val="ZDGName"/>
    <w:uiPriority w:val="99"/>
    <w:rsid w:val="00EE055D"/>
    <w:pPr>
      <w:widowControl w:val="0"/>
      <w:autoSpaceDE w:val="0"/>
      <w:autoSpaceDN w:val="0"/>
      <w:spacing w:after="0"/>
      <w:ind w:right="85"/>
    </w:pPr>
    <w:rPr>
      <w:rFonts w:ascii="Arial" w:eastAsiaTheme="minorEastAsia" w:hAnsi="Arial" w:cs="Arial"/>
      <w:szCs w:val="24"/>
      <w:lang w:val="en-GB" w:eastAsia="en-GB"/>
    </w:rPr>
  </w:style>
  <w:style w:type="paragraph" w:customStyle="1" w:styleId="ZDGName">
    <w:name w:val="Z_DGName"/>
    <w:basedOn w:val="Normal"/>
    <w:uiPriority w:val="99"/>
    <w:rsid w:val="00EE055D"/>
    <w:pPr>
      <w:widowControl w:val="0"/>
      <w:autoSpaceDE w:val="0"/>
      <w:autoSpaceDN w:val="0"/>
      <w:spacing w:after="0"/>
      <w:ind w:right="85"/>
      <w:jc w:val="left"/>
    </w:pPr>
    <w:rPr>
      <w:rFonts w:ascii="Arial" w:eastAsiaTheme="minorEastAsia" w:hAnsi="Arial" w:cs="Arial"/>
      <w:sz w:val="16"/>
      <w:szCs w:val="16"/>
      <w:lang w:val="en-GB" w:eastAsia="en-GB"/>
    </w:rPr>
  </w:style>
  <w:style w:type="character" w:customStyle="1" w:styleId="HeaderChar">
    <w:name w:val="Header Char"/>
    <w:basedOn w:val="DefaultParagraphFont"/>
    <w:link w:val="Header"/>
    <w:uiPriority w:val="99"/>
    <w:locked/>
    <w:rsid w:val="00EE055D"/>
    <w:rPr>
      <w:sz w:val="24"/>
      <w:lang w:val="fr-BE" w:eastAsia="en-US"/>
    </w:rPr>
  </w:style>
  <w:style w:type="character" w:styleId="FootnoteReference">
    <w:name w:val="footnote reference"/>
    <w:semiHidden/>
    <w:rsid w:val="00EE055D"/>
    <w:rPr>
      <w:rFonts w:ascii="TimesNewRomanPS" w:hAnsi="TimesNewRomanPS"/>
      <w:position w:val="6"/>
      <w:sz w:val="16"/>
    </w:rPr>
  </w:style>
  <w:style w:type="character" w:styleId="Hyperlink">
    <w:name w:val="Hyperlink"/>
    <w:uiPriority w:val="99"/>
    <w:rsid w:val="00EE055D"/>
    <w:rPr>
      <w:color w:val="0000FF"/>
      <w:u w:val="single"/>
    </w:rPr>
  </w:style>
  <w:style w:type="character" w:customStyle="1" w:styleId="clipboard">
    <w:name w:val="clipboard"/>
    <w:basedOn w:val="DefaultParagraphFont"/>
    <w:rsid w:val="00A22D12"/>
  </w:style>
  <w:style w:type="paragraph" w:styleId="BalloonText">
    <w:name w:val="Balloon Text"/>
    <w:basedOn w:val="Normal"/>
    <w:link w:val="BalloonTextChar"/>
    <w:uiPriority w:val="99"/>
    <w:semiHidden/>
    <w:unhideWhenUsed/>
    <w:rsid w:val="007751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130"/>
    <w:rPr>
      <w:rFonts w:ascii="Tahoma" w:hAnsi="Tahoma" w:cs="Tahoma"/>
      <w:sz w:val="16"/>
      <w:szCs w:val="16"/>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OMP-MERGER-REGISTRY@ec.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Manual of Procedures Document" ma:contentTypeID="0x010100DF82C8C3126F4D44AEE14944E5FD59730032D1C28E38EBDE499CCBCDFC05C4B9C2" ma:contentTypeVersion="4" ma:contentTypeDescription="Manual of Procedures Document is a Local Document Type tailored to this Workspace." ma:contentTypeScope="" ma:versionID="45f9829f2033a12dcceb32e9b64d3ef7">
  <xsd:schema xmlns:xsd="http://www.w3.org/2001/XMLSchema" xmlns:xs="http://www.w3.org/2001/XMLSchema" xmlns:p="http://schemas.microsoft.com/office/2006/metadata/properties" xmlns:ns1="088202b7-44b3-4308-8cbe-2486e2aff631" xmlns:ns2="104bc713-7594-423e-b1eb-874a2b485756" xmlns:ns3="6a878fbf-7df5-4c38-bee2-6a2228332470" targetNamespace="http://schemas.microsoft.com/office/2006/metadata/properties" ma:root="true" ma:fieldsID="f92680fcbcd1093bea95aa55915bee1f" ns1:_="" ns2:_="" ns3:_="">
    <xsd:import namespace="088202b7-44b3-4308-8cbe-2486e2aff631"/>
    <xsd:import namespace="104bc713-7594-423e-b1eb-874a2b485756"/>
    <xsd:import namespace="6a878fbf-7df5-4c38-bee2-6a2228332470"/>
    <xsd:element name="properties">
      <xsd:complexType>
        <xsd:sequence>
          <xsd:element name="documentManagement">
            <xsd:complexType>
              <xsd:all>
                <xsd:element ref="ns1:documentTitle" minOccurs="0"/>
                <xsd:element ref="ns1:documentSummary" minOccurs="0"/>
                <xsd:element ref="ns1:documentComments" minOccurs="0"/>
                <xsd:element ref="ns1:documentFollowUp" minOccurs="0"/>
                <xsd:element ref="ns1:documentTemplate" minOccurs="0"/>
                <xsd:element ref="ns1:documentDeploy" minOccurs="0"/>
                <xsd:element ref="ns2:le163f84aeac4c978e8c8f59becf4c6c" minOccurs="0"/>
                <xsd:element ref="ns3:TaxCatchAll" minOccurs="0"/>
                <xsd:element ref="ns3:TaxCatchAllLabel" minOccurs="0"/>
                <xsd:element ref="ns2:k07f1fd1eeea4e02b680e7f403dab53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202b7-44b3-4308-8cbe-2486e2aff631" elementFormDefault="qualified">
    <xsd:import namespace="http://schemas.microsoft.com/office/2006/documentManagement/types"/>
    <xsd:import namespace="http://schemas.microsoft.com/office/infopath/2007/PartnerControls"/>
    <xsd:element name="documentTitle" ma:index="0" nillable="true" ma:displayName="Title" ma:description="The Title of the Document is different than the Filename." ma:internalName="documentTitle">
      <xsd:simpleType>
        <xsd:restriction base="dms:Text">
          <xsd:maxLength value="255"/>
        </xsd:restriction>
      </xsd:simpleType>
    </xsd:element>
    <xsd:element name="documentSummary" ma:index="1" nillable="true" ma:displayName="Summary" ma:description="A good Summary may be useful to search for the Document easily." ma:internalName="documentSummary">
      <xsd:simpleType>
        <xsd:restriction base="dms:Note">
          <xsd:maxLength value="255"/>
        </xsd:restriction>
      </xsd:simpleType>
    </xsd:element>
    <xsd:element name="documentComments" ma:index="2" nillable="true" ma:displayName="Comments" ma:description="Comments have Historical Approach by User and Date." ma:internalName="documentComments">
      <xsd:simpleType>
        <xsd:restriction base="dms:Note">
          <xsd:maxLength value="255"/>
        </xsd:restriction>
      </xsd:simpleType>
    </xsd:element>
    <xsd:element name="documentFollowUp" ma:index="3" nillable="true" ma:displayName="Follow Up" ma:description="Any pertinent Information regarding Workflow." ma:internalName="documentFollowUp">
      <xsd:simpleType>
        <xsd:restriction base="dms:Note">
          <xsd:maxLength value="255"/>
        </xsd:restriction>
      </xsd:simpleType>
    </xsd:element>
    <xsd:element name="documentTemplate" ma:index="4" nillable="true" ma:displayName="Document Template" ma:default="No" ma:description="Whether the document is to be used as Template in the Collaborative Platform." ma:format="RadioButtons" ma:internalName="documentTemplate">
      <xsd:simpleType>
        <xsd:restriction base="dms:Choice">
          <xsd:enumeration value="Yes"/>
          <xsd:enumeration value="No"/>
        </xsd:restriction>
      </xsd:simpleType>
    </xsd:element>
    <xsd:element name="documentDeploy" ma:index="5" nillable="true" ma:displayName="Deployed" ma:default="No" ma:description="Whether the Document is deployed to a Case Template. This triggers the deployment workflow." ma:format="RadioButtons" ma:internalName="documentDeploy">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104bc713-7594-423e-b1eb-874a2b485756" elementFormDefault="qualified">
    <xsd:import namespace="http://schemas.microsoft.com/office/2006/documentManagement/types"/>
    <xsd:import namespace="http://schemas.microsoft.com/office/infopath/2007/PartnerControls"/>
    <xsd:element name="le163f84aeac4c978e8c8f59becf4c6c" ma:index="6" nillable="true" ma:taxonomy="true" ma:internalName="le163f84aeac4c978e8c8f59becf4c6c" ma:taxonomyFieldName="documentLanguages" ma:displayName="Languages" ma:default="" ma:fieldId="{5e163f84-aeac-4c97-8e8c-8f59becf4c6c}" ma:taxonomyMulti="true" ma:sspId="0b3cc5dc-dc2a-4346-9392-57628a0b46cb" ma:termSetId="7637b186-40ec-4d6c-9efc-5eb2c54d48c1" ma:anchorId="00000000-0000-0000-0000-000000000000" ma:open="false" ma:isKeyword="false">
      <xsd:complexType>
        <xsd:sequence>
          <xsd:element ref="pc:Terms" minOccurs="0" maxOccurs="1"/>
        </xsd:sequence>
      </xsd:complexType>
    </xsd:element>
    <xsd:element name="k07f1fd1eeea4e02b680e7f403dab53b" ma:index="10" nillable="true" ma:taxonomy="true" ma:internalName="k07f1fd1eeea4e02b680e7f403dab53b" ma:taxonomyFieldName="caseInstrument" ma:displayName="Template" ma:fieldId="{407f1fd1-eeea-4e02-b680-e7f403dab53b}" ma:taxonomyMulti="true" ma:sspId="ec101830-7bfe-4cd7-a36a-75e62b3f08e3" ma:termSetId="e182b946-2613-4522-a4f9-29950df1c1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878fbf-7df5-4c38-bee2-6a2228332470"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e567e574-e984-426f-90ef-04637e47a560}" ma:internalName="TaxCatchAll" ma:showField="CatchAllData" ma:web="6a878fbf-7df5-4c38-bee2-6a222833247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e567e574-e984-426f-90ef-04637e47a560}" ma:internalName="TaxCatchAllLabel" ma:readOnly="true" ma:showField="CatchAllDataLabel" ma:web="6a878fbf-7df5-4c38-bee2-6a2228332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emplate xmlns="088202b7-44b3-4308-8cbe-2486e2aff631">No</documentTemplate>
    <TaxCatchAll xmlns="6a878fbf-7df5-4c38-bee2-6a2228332470"/>
    <k07f1fd1eeea4e02b680e7f403dab53b xmlns="104bc713-7594-423e-b1eb-874a2b485756">
      <Terms xmlns="http://schemas.microsoft.com/office/infopath/2007/PartnerControls"/>
    </k07f1fd1eeea4e02b680e7f403dab53b>
    <documentFollowUp xmlns="088202b7-44b3-4308-8cbe-2486e2aff631" xsi:nil="true"/>
    <documentSummary xmlns="088202b7-44b3-4308-8cbe-2486e2aff631" xsi:nil="true"/>
    <le163f84aeac4c978e8c8f59becf4c6c xmlns="104bc713-7594-423e-b1eb-874a2b485756">
      <Terms xmlns="http://schemas.microsoft.com/office/infopath/2007/PartnerControls"/>
    </le163f84aeac4c978e8c8f59becf4c6c>
    <documentComments xmlns="088202b7-44b3-4308-8cbe-2486e2aff631" xsi:nil="true"/>
    <documentDeploy xmlns="088202b7-44b3-4308-8cbe-2486e2aff631">No</documentDeploy>
    <documentTitle xmlns="088202b7-44b3-4308-8cbe-2486e2aff631" xsi:nil="true"/>
  </documentManagement>
</p:properties>
</file>

<file path=customXml/itemProps1.xml><?xml version="1.0" encoding="utf-8"?>
<ds:datastoreItem xmlns:ds="http://schemas.openxmlformats.org/officeDocument/2006/customXml" ds:itemID="{A75E2823-367C-403B-9A30-95ED730A9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202b7-44b3-4308-8cbe-2486e2aff631"/>
    <ds:schemaRef ds:uri="104bc713-7594-423e-b1eb-874a2b485756"/>
    <ds:schemaRef ds:uri="6a878fbf-7df5-4c38-bee2-6a2228332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2E45E-7F91-48CC-852C-C583CDD57ADA}">
  <ds:schemaRefs>
    <ds:schemaRef ds:uri="http://schemas.openxmlformats.org/package/2006/metadata/core-properties"/>
    <ds:schemaRef ds:uri="6a878fbf-7df5-4c38-bee2-6a2228332470"/>
    <ds:schemaRef ds:uri="http://schemas.microsoft.com/office/2006/documentManagement/types"/>
    <ds:schemaRef ds:uri="104bc713-7594-423e-b1eb-874a2b485756"/>
    <ds:schemaRef ds:uri="http://purl.org/dc/terms/"/>
    <ds:schemaRef ds:uri="http://schemas.microsoft.com/office/2006/metadata/properties"/>
    <ds:schemaRef ds:uri="http://purl.org/dc/elements/1.1/"/>
    <ds:schemaRef ds:uri="http://purl.org/dc/dcmitype/"/>
    <ds:schemaRef ds:uri="http://schemas.microsoft.com/office/infopath/2007/PartnerControls"/>
    <ds:schemaRef ds:uri="088202b7-44b3-4308-8cbe-2486e2aff63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NOT</Template>
  <TotalTime>1</TotalTime>
  <Pages>2</Pages>
  <Words>296</Words>
  <Characters>1689</Characters>
  <Application>Microsoft Office Word</Application>
  <DocSecurity>4</DocSecurity>
  <PresentationFormat>Microsoft Word 14.0</PresentationFormat>
  <Lines>14</Lines>
  <Paragraphs>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Dekeyser</dc:creator>
  <cp:keywords>EL4</cp:keywords>
  <cp:lastModifiedBy>WOJCIK Magdalena (COMP)</cp:lastModifiedBy>
  <cp:revision>2</cp:revision>
  <dcterms:created xsi:type="dcterms:W3CDTF">2016-12-23T14:19:00Z</dcterms:created>
  <dcterms:modified xsi:type="dcterms:W3CDTF">2016-12-23T14:19:00Z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Kris Dekeyser</vt:lpwstr>
  </property>
  <property fmtid="{D5CDD505-2E9C-101B-9397-08002B2CF9AE}" pid="10" name="Type">
    <vt:lpwstr>Eurolook Note &amp; Letter</vt:lpwstr>
  </property>
  <property fmtid="{D5CDD505-2E9C-101B-9397-08002B2CF9AE}" pid="11" name="Language">
    <vt:lpwstr>FR</vt:lpwstr>
  </property>
  <property fmtid="{D5CDD505-2E9C-101B-9397-08002B2CF9AE}" pid="12" name="EL_Language">
    <vt:lpwstr>FR</vt:lpwstr>
  </property>
  <property fmtid="{D5CDD505-2E9C-101B-9397-08002B2CF9AE}" pid="13" name="ContentTypeId">
    <vt:lpwstr>0x010100DF82C8C3126F4D44AEE14944E5FD59730032D1C28E38EBDE499CCBCDFC05C4B9C2</vt:lpwstr>
  </property>
  <property fmtid="{D5CDD505-2E9C-101B-9397-08002B2CF9AE}" pid="14" name="caseInstrument">
    <vt:lpwstr/>
  </property>
  <property fmtid="{D5CDD505-2E9C-101B-9397-08002B2CF9AE}" pid="15" name="documentLanguages">
    <vt:lpwstr/>
  </property>
</Properties>
</file>