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FB2812" w14:paraId="049ECA52" w14:textId="77777777">
        <w:trPr>
          <w:jc w:val="center"/>
        </w:trPr>
        <w:tc>
          <w:tcPr>
            <w:tcW w:w="5000" w:type="pct"/>
            <w:vAlign w:val="center"/>
          </w:tcPr>
          <w:p w:rsidRPr="002B4F9E" w:rsidR="00574C9B" w:rsidP="006125A1" w:rsidRDefault="00574C9B" w14:paraId="77153BA9" w14:textId="77777777">
            <w:pPr>
              <w:jc w:val="center"/>
              <w:rPr>
                <w:b/>
                <w:sz w:val="72"/>
                <w:szCs w:val="72"/>
              </w:rPr>
            </w:pPr>
            <w:bookmarkStart w:name="_GoBack" w:id="0"/>
            <w:bookmarkEnd w:id="0"/>
            <w:r>
              <w:rPr>
                <w:b/>
                <w:sz w:val="72"/>
              </w:rPr>
              <w:t>LAUSUNTO</w:t>
            </w:r>
          </w:p>
        </w:tc>
      </w:tr>
      <w:tr w:rsidR="00FB2812" w14:paraId="37A7A67C" w14:textId="77777777">
        <w:trPr>
          <w:trHeight w:val="567"/>
          <w:jc w:val="center"/>
        </w:trPr>
        <w:tc>
          <w:tcPr>
            <w:tcW w:w="5000" w:type="pct"/>
            <w:vAlign w:val="center"/>
          </w:tcPr>
          <w:p w:rsidRPr="002B4F9E" w:rsidR="00574C9B" w:rsidP="006125A1" w:rsidRDefault="00574C9B" w14:paraId="5AC44C15" w14:textId="77777777">
            <w:pPr>
              <w:jc w:val="center"/>
              <w:rPr>
                <w:sz w:val="24"/>
                <w:szCs w:val="24"/>
              </w:rPr>
            </w:pPr>
            <w:r>
              <w:rPr>
                <w:sz w:val="24"/>
              </w:rPr>
              <w:t>Euroopan talous- ja sosiaalikomitea</w:t>
            </w:r>
          </w:p>
        </w:tc>
      </w:tr>
      <w:tr w:rsidR="00FB2812" w14:paraId="6F2C0404" w14:textId="77777777">
        <w:trPr>
          <w:jc w:val="center"/>
        </w:trPr>
        <w:tc>
          <w:tcPr>
            <w:tcW w:w="5000" w:type="pct"/>
            <w:vAlign w:val="center"/>
          </w:tcPr>
          <w:p w:rsidRPr="00C073E1" w:rsidR="00574C9B" w:rsidP="006125A1" w:rsidRDefault="00983D4F" w14:paraId="35AAA941" w14:textId="77777777">
            <w:pPr>
              <w:jc w:val="center"/>
              <w:rPr>
                <w:b/>
                <w:sz w:val="44"/>
                <w:szCs w:val="44"/>
              </w:rPr>
            </w:pPr>
            <w:r>
              <w:rPr>
                <w:b/>
                <w:sz w:val="44"/>
              </w:rPr>
              <w:t>Julkisen liikenteen merkitys Euroopan vihreälle elpymiselle</w:t>
            </w:r>
          </w:p>
        </w:tc>
      </w:tr>
      <w:tr w:rsidR="00FB2812" w14:paraId="39132EFC" w14:textId="77777777">
        <w:trPr>
          <w:jc w:val="center"/>
        </w:trPr>
        <w:tc>
          <w:tcPr>
            <w:tcW w:w="5000" w:type="pct"/>
            <w:vAlign w:val="center"/>
          </w:tcPr>
          <w:p w:rsidRPr="00667F09" w:rsidR="00574C9B" w:rsidP="006125A1" w:rsidRDefault="00574C9B" w14:paraId="06A312C1" w14:textId="77777777">
            <w:pPr>
              <w:overflowPunct w:val="0"/>
              <w:autoSpaceDE w:val="0"/>
              <w:autoSpaceDN w:val="0"/>
              <w:adjustRightInd w:val="0"/>
              <w:jc w:val="center"/>
              <w:textAlignment w:val="baseline"/>
              <w:rPr>
                <w:b/>
                <w:position w:val="24"/>
                <w:sz w:val="24"/>
                <w:szCs w:val="24"/>
              </w:rPr>
            </w:pPr>
            <w:r>
              <w:rPr>
                <w:sz w:val="24"/>
              </w:rPr>
              <w:t>_____________</w:t>
            </w:r>
          </w:p>
        </w:tc>
      </w:tr>
      <w:tr w:rsidR="00FB2812" w14:paraId="4A0B778F" w14:textId="77777777">
        <w:trPr>
          <w:jc w:val="center"/>
        </w:trPr>
        <w:tc>
          <w:tcPr>
            <w:tcW w:w="5000" w:type="pct"/>
            <w:vAlign w:val="center"/>
          </w:tcPr>
          <w:p w:rsidRPr="00787837" w:rsidR="00574C9B" w:rsidP="006125A1" w:rsidRDefault="00983D4F" w14:paraId="2FFE4E38" w14:textId="77777777">
            <w:pPr>
              <w:jc w:val="center"/>
              <w:rPr>
                <w:sz w:val="24"/>
                <w:szCs w:val="24"/>
              </w:rPr>
            </w:pPr>
            <w:r>
              <w:rPr>
                <w:sz w:val="24"/>
              </w:rPr>
              <w:t xml:space="preserve">Julkisen liikenteen merkitys Euroopan vihreälle elpymiselle </w:t>
            </w:r>
            <w:r>
              <w:rPr>
                <w:sz w:val="24"/>
              </w:rPr>
              <w:br/>
              <w:t>[oma-aloitteinen lausunto]</w:t>
            </w:r>
          </w:p>
        </w:tc>
      </w:tr>
      <w:tr w:rsidR="00FB2812" w14:paraId="7251968A" w14:textId="77777777">
        <w:trPr>
          <w:jc w:val="center"/>
        </w:trPr>
        <w:tc>
          <w:tcPr>
            <w:tcW w:w="5000" w:type="pct"/>
            <w:vAlign w:val="center"/>
          </w:tcPr>
          <w:p w:rsidRPr="00C073E1" w:rsidR="00574C9B" w:rsidP="006125A1" w:rsidRDefault="00574C9B" w14:paraId="34F69226" w14:textId="77777777">
            <w:pPr>
              <w:jc w:val="center"/>
              <w:rPr>
                <w:sz w:val="24"/>
                <w:szCs w:val="24"/>
                <w:lang w:val="en-GB"/>
              </w:rPr>
            </w:pPr>
          </w:p>
        </w:tc>
      </w:tr>
      <w:tr w:rsidR="00FB2812" w14:paraId="5DC5D343" w14:textId="77777777">
        <w:trPr>
          <w:jc w:val="center"/>
        </w:trPr>
        <w:tc>
          <w:tcPr>
            <w:tcW w:w="5000" w:type="pct"/>
            <w:vAlign w:val="center"/>
          </w:tcPr>
          <w:p w:rsidRPr="00C073E1" w:rsidR="00574C9B" w:rsidP="006125A1" w:rsidRDefault="00983D4F" w14:paraId="3F092B10" w14:textId="77777777">
            <w:pPr>
              <w:jc w:val="center"/>
              <w:rPr>
                <w:b/>
                <w:sz w:val="24"/>
                <w:szCs w:val="24"/>
              </w:rPr>
            </w:pPr>
            <w:r>
              <w:rPr>
                <w:b/>
                <w:sz w:val="24"/>
              </w:rPr>
              <w:t>TEN/774</w:t>
            </w:r>
          </w:p>
        </w:tc>
      </w:tr>
      <w:tr w:rsidR="00FB2812" w14:paraId="735BC99C" w14:textId="77777777">
        <w:trPr>
          <w:jc w:val="center"/>
        </w:trPr>
        <w:tc>
          <w:tcPr>
            <w:tcW w:w="5000" w:type="pct"/>
            <w:vAlign w:val="center"/>
          </w:tcPr>
          <w:p w:rsidRPr="00C073E1" w:rsidR="00574C9B" w:rsidP="006125A1" w:rsidRDefault="00574C9B" w14:paraId="09469200" w14:textId="77777777">
            <w:pPr>
              <w:jc w:val="center"/>
              <w:rPr>
                <w:sz w:val="24"/>
                <w:szCs w:val="24"/>
                <w:lang w:val="en-GB"/>
              </w:rPr>
            </w:pPr>
          </w:p>
        </w:tc>
      </w:tr>
      <w:tr w:rsidR="00FB2812" w14:paraId="2C5465F4" w14:textId="77777777">
        <w:trPr>
          <w:jc w:val="center"/>
        </w:trPr>
        <w:tc>
          <w:tcPr>
            <w:tcW w:w="5000" w:type="pct"/>
            <w:vAlign w:val="center"/>
          </w:tcPr>
          <w:p w:rsidRPr="00C073E1" w:rsidR="00574C9B" w:rsidP="006125A1" w:rsidRDefault="00574C9B" w14:paraId="23526E0B" w14:textId="77777777">
            <w:pPr>
              <w:jc w:val="center"/>
              <w:rPr>
                <w:sz w:val="24"/>
                <w:szCs w:val="24"/>
              </w:rPr>
            </w:pPr>
            <w:r>
              <w:rPr>
                <w:sz w:val="24"/>
              </w:rPr>
              <w:t xml:space="preserve">Esittelijä: </w:t>
            </w:r>
            <w:r>
              <w:rPr>
                <w:b/>
                <w:sz w:val="24"/>
              </w:rPr>
              <w:t xml:space="preserve">Kristina </w:t>
            </w:r>
            <w:proofErr w:type="spellStart"/>
            <w:r>
              <w:rPr>
                <w:b/>
                <w:sz w:val="24"/>
              </w:rPr>
              <w:t>Krupavičienė</w:t>
            </w:r>
            <w:proofErr w:type="spellEnd"/>
          </w:p>
        </w:tc>
      </w:tr>
      <w:tr w:rsidR="00FB2812" w14:paraId="457E5F14" w14:textId="77777777">
        <w:trPr>
          <w:jc w:val="center"/>
        </w:trPr>
        <w:tc>
          <w:tcPr>
            <w:tcW w:w="5000" w:type="pct"/>
            <w:vAlign w:val="center"/>
          </w:tcPr>
          <w:p w:rsidRPr="00C073E1" w:rsidR="00CB7CD0" w:rsidP="006125A1" w:rsidRDefault="00CB7CD0" w14:paraId="3CD7FFD5" w14:textId="77777777">
            <w:pPr>
              <w:jc w:val="center"/>
              <w:rPr>
                <w:sz w:val="24"/>
                <w:szCs w:val="24"/>
              </w:rPr>
            </w:pPr>
            <w:r>
              <w:rPr>
                <w:sz w:val="24"/>
              </w:rPr>
              <w:t xml:space="preserve">Yhteisesittelijä: </w:t>
            </w:r>
            <w:proofErr w:type="spellStart"/>
            <w:r>
              <w:rPr>
                <w:b/>
                <w:sz w:val="24"/>
              </w:rPr>
              <w:t>Dovilė</w:t>
            </w:r>
            <w:proofErr w:type="spellEnd"/>
            <w:r>
              <w:rPr>
                <w:b/>
                <w:sz w:val="24"/>
              </w:rPr>
              <w:t xml:space="preserve"> </w:t>
            </w:r>
            <w:proofErr w:type="spellStart"/>
            <w:r>
              <w:rPr>
                <w:b/>
                <w:sz w:val="24"/>
              </w:rPr>
              <w:t>Juodkaitė</w:t>
            </w:r>
            <w:proofErr w:type="spellEnd"/>
          </w:p>
        </w:tc>
      </w:tr>
    </w:tbl>
    <w:p w:rsidRPr="002B4F9E" w:rsidR="00574C9B" w:rsidP="00574C9B" w:rsidRDefault="00574C9B" w14:paraId="1C124DCC" w14:textId="77777777">
      <w:r>
        <w:rPr>
          <w:noProof/>
          <w:sz w:val="20"/>
          <w:lang w:val="en-US"/>
        </w:rPr>
        <mc:AlternateContent>
          <mc:Choice Requires="wps">
            <w:drawing>
              <wp:anchor distT="0" distB="0" distL="114300" distR="114300" simplePos="0" relativeHeight="251659264" behindDoc="1" locked="0" layoutInCell="0" allowOverlap="1" wp14:editId="1B9E08CC" wp14:anchorId="7FC09EE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5AD7FC74" w14:textId="77777777">
                            <w:pPr>
                              <w:jc w:val="cente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14:paraId="03B00903" w14:textId="77777777">
                      <w:pPr>
                        <w:jc w:val="center"/>
                      </w:pPr>
                      <w:r>
                        <w:rPr>
                          <w:b/>
                          <w:sz w:val="48"/>
                          <w:rFonts w:ascii="Arial" w:hAnsi="Arial"/>
                        </w:rPr>
                        <w:t xml:space="preserve">FI</w:t>
                      </w:r>
                    </w:p>
                  </w:txbxContent>
                </v:textbox>
                <w10:wrap anchorx="margin" anchory="page"/>
              </v:shape>
            </w:pict>
          </mc:Fallback>
        </mc:AlternateContent>
      </w:r>
    </w:p>
    <w:p w:rsidRPr="002B4F9E" w:rsidR="00574C9B" w:rsidP="00574C9B" w:rsidRDefault="00574C9B" w14:paraId="053F4230" w14:textId="77777777">
      <w:pPr>
        <w:rPr>
          <w:lang w:val="en-GB"/>
        </w:rPr>
      </w:pPr>
    </w:p>
    <w:p w:rsidRPr="002B4F9E" w:rsidR="00574C9B" w:rsidP="00574C9B" w:rsidRDefault="00574C9B" w14:paraId="66DACBF4" w14:textId="77777777">
      <w:pPr>
        <w:rPr>
          <w:lang w:val="en-GB"/>
        </w:rPr>
        <w:sectPr w:rsidRPr="002B4F9E" w:rsidR="00574C9B" w:rsidSect="008A2159">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FB2812" w14:paraId="470D22DF" w14:textId="77777777">
        <w:tc>
          <w:tcPr>
            <w:tcW w:w="3085" w:type="dxa"/>
          </w:tcPr>
          <w:p w:rsidRPr="00AC5114" w:rsidR="00AC5114" w:rsidP="0058411F" w:rsidRDefault="00AC5114" w14:paraId="72CF4965" w14:textId="77777777">
            <w:pPr>
              <w:autoSpaceDE w:val="0"/>
              <w:autoSpaceDN w:val="0"/>
              <w:jc w:val="left"/>
              <w:rPr>
                <w:szCs w:val="20"/>
              </w:rPr>
            </w:pPr>
            <w:r>
              <w:lastRenderedPageBreak/>
              <w:t>Komitean täysistunnon päätös</w:t>
            </w:r>
          </w:p>
        </w:tc>
        <w:tc>
          <w:tcPr>
            <w:tcW w:w="6204" w:type="dxa"/>
            <w:vAlign w:val="bottom"/>
          </w:tcPr>
          <w:p w:rsidRPr="00AC5114" w:rsidR="00AC5114" w:rsidP="0058411F" w:rsidRDefault="00983D4F" w14:paraId="153FAE44" w14:textId="77777777">
            <w:pPr>
              <w:autoSpaceDE w:val="0"/>
              <w:autoSpaceDN w:val="0"/>
              <w:jc w:val="left"/>
              <w:rPr>
                <w:szCs w:val="20"/>
              </w:rPr>
            </w:pPr>
            <w:r>
              <w:t>20/01/2022</w:t>
            </w:r>
          </w:p>
        </w:tc>
      </w:tr>
      <w:tr w:rsidR="00FB2812" w14:paraId="30610605" w14:textId="77777777">
        <w:tc>
          <w:tcPr>
            <w:tcW w:w="3085" w:type="dxa"/>
          </w:tcPr>
          <w:p w:rsidRPr="00AC5114" w:rsidR="00AC5114" w:rsidP="0058411F" w:rsidRDefault="00AC5114" w14:paraId="5DFF9961" w14:textId="77777777">
            <w:pPr>
              <w:autoSpaceDE w:val="0"/>
              <w:autoSpaceDN w:val="0"/>
              <w:jc w:val="left"/>
              <w:rPr>
                <w:szCs w:val="20"/>
              </w:rPr>
            </w:pPr>
            <w:r>
              <w:t>Oikeusperusta</w:t>
            </w:r>
          </w:p>
        </w:tc>
        <w:tc>
          <w:tcPr>
            <w:tcW w:w="6204" w:type="dxa"/>
            <w:vAlign w:val="bottom"/>
          </w:tcPr>
          <w:p w:rsidRPr="00AC5114" w:rsidR="00AC5114" w:rsidP="0058411F" w:rsidRDefault="00AC5114" w14:paraId="31AC0C4F" w14:textId="77777777">
            <w:pPr>
              <w:autoSpaceDE w:val="0"/>
              <w:autoSpaceDN w:val="0"/>
              <w:jc w:val="left"/>
              <w:rPr>
                <w:szCs w:val="20"/>
              </w:rPr>
            </w:pPr>
            <w:r>
              <w:t>työjärjestyksen 52 artiklan 2 kohta</w:t>
            </w:r>
          </w:p>
        </w:tc>
      </w:tr>
      <w:tr w:rsidR="00FB2812" w14:paraId="48AD08A8" w14:textId="77777777">
        <w:tc>
          <w:tcPr>
            <w:tcW w:w="3085" w:type="dxa"/>
          </w:tcPr>
          <w:p w:rsidRPr="00AC5114" w:rsidR="00AC5114" w:rsidP="0058411F" w:rsidRDefault="00AC5114" w14:paraId="1530C70F" w14:textId="77777777">
            <w:pPr>
              <w:autoSpaceDE w:val="0"/>
              <w:autoSpaceDN w:val="0"/>
              <w:jc w:val="left"/>
              <w:rPr>
                <w:szCs w:val="20"/>
                <w:lang w:val="en-GB"/>
              </w:rPr>
            </w:pPr>
          </w:p>
        </w:tc>
        <w:tc>
          <w:tcPr>
            <w:tcW w:w="6204" w:type="dxa"/>
            <w:vAlign w:val="bottom"/>
          </w:tcPr>
          <w:p w:rsidRPr="00AC5114" w:rsidR="00AC5114" w:rsidP="0058411F" w:rsidRDefault="00AC5114" w14:paraId="0B514ABE" w14:textId="77777777">
            <w:pPr>
              <w:autoSpaceDE w:val="0"/>
              <w:autoSpaceDN w:val="0"/>
              <w:jc w:val="left"/>
              <w:rPr>
                <w:szCs w:val="20"/>
              </w:rPr>
            </w:pPr>
            <w:r>
              <w:t>oma-aloitteinen lausunto</w:t>
            </w:r>
          </w:p>
        </w:tc>
      </w:tr>
      <w:tr w:rsidR="00FB2812" w14:paraId="67221448" w14:textId="77777777">
        <w:tc>
          <w:tcPr>
            <w:tcW w:w="3085" w:type="dxa"/>
          </w:tcPr>
          <w:p w:rsidRPr="00AC5114" w:rsidR="00AC5114" w:rsidP="0058411F" w:rsidRDefault="00AC5114" w14:paraId="3131E043" w14:textId="77777777">
            <w:pPr>
              <w:autoSpaceDE w:val="0"/>
              <w:autoSpaceDN w:val="0"/>
              <w:jc w:val="left"/>
            </w:pPr>
            <w:r>
              <w:t>Vastaava jaosto</w:t>
            </w:r>
          </w:p>
        </w:tc>
        <w:tc>
          <w:tcPr>
            <w:tcW w:w="6204" w:type="dxa"/>
            <w:vAlign w:val="bottom"/>
          </w:tcPr>
          <w:p w:rsidRPr="00AC5114" w:rsidR="00AC5114" w:rsidP="0058411F" w:rsidRDefault="00983D4F" w14:paraId="61752BE6" w14:textId="77777777">
            <w:pPr>
              <w:autoSpaceDE w:val="0"/>
              <w:autoSpaceDN w:val="0"/>
              <w:jc w:val="left"/>
            </w:pPr>
            <w:r>
              <w:t>”liikenne, energia, perusrakenteet, tietoyhteiskunta”</w:t>
            </w:r>
          </w:p>
        </w:tc>
      </w:tr>
      <w:tr w:rsidR="00FB2812" w14:paraId="68AEE6B2" w14:textId="77777777">
        <w:tc>
          <w:tcPr>
            <w:tcW w:w="3085" w:type="dxa"/>
          </w:tcPr>
          <w:p w:rsidRPr="002B4F9E" w:rsidR="00AC5114" w:rsidP="0058411F" w:rsidRDefault="00AC5114" w14:paraId="2171066B" w14:textId="77777777">
            <w:pPr>
              <w:autoSpaceDE w:val="0"/>
              <w:autoSpaceDN w:val="0"/>
              <w:jc w:val="left"/>
            </w:pPr>
            <w:r>
              <w:t>Hyväksyminen jaostossa</w:t>
            </w:r>
          </w:p>
        </w:tc>
        <w:tc>
          <w:tcPr>
            <w:tcW w:w="6204" w:type="dxa"/>
            <w:vAlign w:val="bottom"/>
          </w:tcPr>
          <w:p w:rsidR="00AC5114" w:rsidP="0058411F" w:rsidRDefault="00983D4F" w14:paraId="080FFECE" w14:textId="77777777">
            <w:pPr>
              <w:autoSpaceDE w:val="0"/>
              <w:autoSpaceDN w:val="0"/>
              <w:jc w:val="left"/>
            </w:pPr>
            <w:r>
              <w:t>04/10/2022</w:t>
            </w:r>
          </w:p>
        </w:tc>
      </w:tr>
      <w:tr w:rsidR="00FB2812" w14:paraId="7DC21C17" w14:textId="77777777">
        <w:tc>
          <w:tcPr>
            <w:tcW w:w="3085" w:type="dxa"/>
          </w:tcPr>
          <w:p w:rsidRPr="002B4F9E" w:rsidR="0058411F" w:rsidP="0058411F" w:rsidRDefault="0058411F" w14:paraId="18D52DE8" w14:textId="77777777">
            <w:pPr>
              <w:autoSpaceDE w:val="0"/>
              <w:autoSpaceDN w:val="0"/>
              <w:jc w:val="left"/>
            </w:pPr>
            <w:r>
              <w:t>Hyväksyminen täysistunnossa</w:t>
            </w:r>
          </w:p>
        </w:tc>
        <w:tc>
          <w:tcPr>
            <w:tcW w:w="6204" w:type="dxa"/>
            <w:vAlign w:val="bottom"/>
          </w:tcPr>
          <w:p w:rsidR="0058411F" w:rsidP="0058411F" w:rsidRDefault="002D63E5" w14:paraId="454EDEB2" w14:textId="77777777">
            <w:pPr>
              <w:autoSpaceDE w:val="0"/>
              <w:autoSpaceDN w:val="0"/>
              <w:jc w:val="left"/>
            </w:pPr>
            <w:r>
              <w:t>26/10/2022</w:t>
            </w:r>
          </w:p>
        </w:tc>
      </w:tr>
      <w:tr w:rsidR="00FB2812" w14:paraId="65CA2595" w14:textId="77777777">
        <w:tc>
          <w:tcPr>
            <w:tcW w:w="3085" w:type="dxa"/>
          </w:tcPr>
          <w:p w:rsidR="0058411F" w:rsidP="0058411F" w:rsidRDefault="0058411F" w14:paraId="1ABC9EDC" w14:textId="77777777">
            <w:pPr>
              <w:autoSpaceDE w:val="0"/>
              <w:autoSpaceDN w:val="0"/>
              <w:jc w:val="left"/>
            </w:pPr>
            <w:r>
              <w:t>Täysistunnon numero</w:t>
            </w:r>
          </w:p>
        </w:tc>
        <w:tc>
          <w:tcPr>
            <w:tcW w:w="6204" w:type="dxa"/>
            <w:vAlign w:val="bottom"/>
          </w:tcPr>
          <w:p w:rsidRPr="002B4F9E" w:rsidR="0058411F" w:rsidP="0058411F" w:rsidRDefault="002D63E5" w14:paraId="5127252E" w14:textId="77777777">
            <w:pPr>
              <w:autoSpaceDE w:val="0"/>
              <w:autoSpaceDN w:val="0"/>
              <w:jc w:val="left"/>
            </w:pPr>
            <w:r>
              <w:t>573</w:t>
            </w:r>
          </w:p>
        </w:tc>
      </w:tr>
      <w:tr w:rsidR="00FB2812" w14:paraId="5ED7A662" w14:textId="77777777">
        <w:tc>
          <w:tcPr>
            <w:tcW w:w="3085" w:type="dxa"/>
          </w:tcPr>
          <w:p w:rsidRPr="002B4F9E" w:rsidR="0058411F" w:rsidP="0058411F" w:rsidRDefault="0058411F" w14:paraId="1710B719" w14:textId="77777777">
            <w:pPr>
              <w:autoSpaceDE w:val="0"/>
              <w:autoSpaceDN w:val="0"/>
              <w:jc w:val="left"/>
            </w:pPr>
            <w:r>
              <w:t>Äänestystulos</w:t>
            </w:r>
            <w:r>
              <w:br/>
              <w:t>(puolesta / vastaan / pidättyi äänestämästä)</w:t>
            </w:r>
          </w:p>
        </w:tc>
        <w:tc>
          <w:tcPr>
            <w:tcW w:w="6204" w:type="dxa"/>
            <w:vAlign w:val="bottom"/>
          </w:tcPr>
          <w:p w:rsidR="0058411F" w:rsidP="0058411F" w:rsidRDefault="00A955DA" w14:paraId="774CF81F" w14:textId="77777777">
            <w:pPr>
              <w:autoSpaceDE w:val="0"/>
              <w:autoSpaceDN w:val="0"/>
              <w:jc w:val="left"/>
            </w:pPr>
            <w:r>
              <w:t>173/1/2</w:t>
            </w:r>
          </w:p>
        </w:tc>
      </w:tr>
    </w:tbl>
    <w:p w:rsidR="00AC5114" w:rsidP="00574C9B" w:rsidRDefault="00AC5114" w14:paraId="1216F7D0" w14:textId="77777777">
      <w:pPr>
        <w:rPr>
          <w:lang w:val="en-GB"/>
        </w:rPr>
      </w:pPr>
    </w:p>
    <w:p w:rsidRPr="002B4F9E" w:rsidR="00AC5114" w:rsidP="00574C9B" w:rsidRDefault="00AC5114" w14:paraId="162DA3DB" w14:textId="77777777">
      <w:pPr>
        <w:rPr>
          <w:lang w:val="en-GB"/>
        </w:rPr>
        <w:sectPr w:rsidRPr="002B4F9E" w:rsidR="00AC5114" w:rsidSect="008A2159">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6E795E" w:rsidR="00983D4F" w:rsidP="00983D4F" w:rsidRDefault="00983D4F" w14:paraId="6FF3D25C" w14:textId="77777777">
      <w:pPr>
        <w:pStyle w:val="Heading1"/>
        <w:keepNext/>
        <w:rPr>
          <w:b/>
        </w:rPr>
      </w:pPr>
      <w:r>
        <w:rPr>
          <w:b/>
        </w:rPr>
        <w:lastRenderedPageBreak/>
        <w:t>Päätelmät ja suositukset</w:t>
      </w:r>
    </w:p>
    <w:p w:rsidRPr="006E795E" w:rsidR="00983D4F" w:rsidP="00983D4F" w:rsidRDefault="00983D4F" w14:paraId="77DA1066" w14:textId="77777777">
      <w:pPr>
        <w:keepNext/>
        <w:rPr>
          <w:lang w:val="en-GB"/>
        </w:rPr>
      </w:pPr>
    </w:p>
    <w:p w:rsidRPr="006E795E" w:rsidR="00983D4F" w:rsidP="00983D4F" w:rsidRDefault="00983D4F" w14:paraId="03B4185D" w14:textId="77777777">
      <w:pPr>
        <w:pStyle w:val="Heading2"/>
      </w:pPr>
      <w:r>
        <w:t xml:space="preserve">ETSK toteaa, että julkinen liikenne on avainasemassa Euroopan pandemian jälkeisessä vihreässä elpymisessä. Pandemia on toiminut katalysaattorina ja osoittanut julkisen liikenteen sekä tarjoavan yleisen edun mukaista palvelua että mahdollistavan etulinjan työntekijöiden ja haavoittuvassa asemassa olevien väestöryhmien pääsyn töihin ja palveluiden äärelle. ETSK </w:t>
      </w:r>
      <w:r>
        <w:rPr>
          <w:u w:val="single"/>
        </w:rPr>
        <w:t>vaatii</w:t>
      </w:r>
      <w:r>
        <w:t>, että mahdollisuus liikkua paikasta toiseen tunnustetaan yksilön oikeudeksi ja julkiseksi hyödykkeeksi, jonka on oltava kaikkien saatavilla, koska se takaa pääsyn talous-, yhteiskunta- ja kulttuurielämään. EU:n yhtenä ensisijaisena tavoitteena on oltava esteettömien, kohtuuhintaisten, turvallisten ja laadukkaiden liikennepalveluiden tarjoaminen kaikille niin, että palveluja on tuottamassa riittävä määrä henkilöstöä.</w:t>
      </w:r>
    </w:p>
    <w:p w:rsidRPr="006E795E" w:rsidR="00983D4F" w:rsidP="00983D4F" w:rsidRDefault="00983D4F" w14:paraId="2F174C47" w14:textId="77777777">
      <w:pPr>
        <w:rPr>
          <w:lang w:val="en-GB"/>
        </w:rPr>
      </w:pPr>
    </w:p>
    <w:p w:rsidRPr="006E795E" w:rsidR="00983D4F" w:rsidP="00983D4F" w:rsidRDefault="00983D4F" w14:paraId="2BD604E1" w14:textId="77777777">
      <w:pPr>
        <w:pStyle w:val="Heading2"/>
      </w:pPr>
      <w:r>
        <w:t xml:space="preserve">ETSK ottaa huomioon julkisen liikenteen merkityksen yksityishenkilöille, käyttäjille ja työntekijöille ja </w:t>
      </w:r>
      <w:r>
        <w:rPr>
          <w:u w:val="single"/>
        </w:rPr>
        <w:t>toistaa kehotuksensa</w:t>
      </w:r>
      <w:r>
        <w:t xml:space="preserve"> (asiakokonaisuuteen TEN/766 kuuluva </w:t>
      </w:r>
      <w:proofErr w:type="spellStart"/>
      <w:r>
        <w:t>ETSK:n</w:t>
      </w:r>
      <w:proofErr w:type="spellEnd"/>
      <w:r>
        <w:t xml:space="preserve"> lausunto ”EU:n uusi kaupunkiliikenteen kehys”) käyttää julkisen liikenteen suunnittelussa </w:t>
      </w:r>
      <w:r>
        <w:rPr>
          <w:b/>
        </w:rPr>
        <w:t>osallistavaa lähestymistapaa</w:t>
      </w:r>
      <w:r>
        <w:t xml:space="preserve"> alueellisella, kansallisella ja EU:n tasolla. Tämä on ainoa tapa varmistaa, että elpymisstrategiat ja </w:t>
      </w:r>
      <w:r>
        <w:noBreakHyphen/>
        <w:t>toimenpiteet vastaavat kaikkien julkisen liikenteen harjoittajien ja käyttäjien tarpeita ja odotuksia.</w:t>
      </w:r>
    </w:p>
    <w:p w:rsidRPr="006E795E" w:rsidR="00983D4F" w:rsidP="00983D4F" w:rsidRDefault="00983D4F" w14:paraId="4C85F159" w14:textId="77777777">
      <w:pPr>
        <w:rPr>
          <w:lang w:val="en-GB"/>
        </w:rPr>
      </w:pPr>
    </w:p>
    <w:p w:rsidRPr="006E795E" w:rsidR="00983D4F" w:rsidP="00983D4F" w:rsidRDefault="00983D4F" w14:paraId="4988B35B" w14:textId="77777777">
      <w:pPr>
        <w:pStyle w:val="Heading2"/>
      </w:pPr>
      <w:r>
        <w:t xml:space="preserve">ETSK toteaa, että </w:t>
      </w:r>
      <w:r>
        <w:rPr>
          <w:b/>
        </w:rPr>
        <w:t>korkealaatuisten palvelujen</w:t>
      </w:r>
      <w:r>
        <w:t xml:space="preserve"> kehittäminen on olennaisen tärkeää julkisen liikenteen pandemian jälkeisen elpymisen kannalta. </w:t>
      </w:r>
      <w:r>
        <w:rPr>
          <w:b/>
        </w:rPr>
        <w:t xml:space="preserve">Hyvät työolot ja </w:t>
      </w:r>
      <w:r>
        <w:rPr>
          <w:b/>
        </w:rPr>
        <w:noBreakHyphen/>
        <w:t>ehdot</w:t>
      </w:r>
      <w:r>
        <w:t xml:space="preserve"> sekä motivoitunut ja hyvin koulutettu henkilöstö ovat välttämättömiä korkean palvelutason saavuttamiseksi. ETSK </w:t>
      </w:r>
      <w:r>
        <w:rPr>
          <w:u w:val="single"/>
        </w:rPr>
        <w:t>kehottaa</w:t>
      </w:r>
      <w:r>
        <w:t xml:space="preserve"> paikallisia, alueellisia ja jäsenvaltiotason päättäjiä kehittämään parempaan, innovatiiviseen ja käyttäjiä houkuttelevaan liikennejärjestelmään johtavia sekä samalla korkealaatuiset palvelut ja asianmukaiset työolot ja -ehdot ja työntekijöiden sosiaalisen suojelun takaavia </w:t>
      </w:r>
      <w:r>
        <w:rPr>
          <w:b/>
        </w:rPr>
        <w:t>liiketoimintamalleja</w:t>
      </w:r>
      <w:r>
        <w:t xml:space="preserve"> ja EU:n päättäjiä tukemaan tätä kaikin tavoin. </w:t>
      </w:r>
    </w:p>
    <w:p w:rsidRPr="006E795E" w:rsidR="00983D4F" w:rsidP="00983D4F" w:rsidRDefault="00983D4F" w14:paraId="1C55839A" w14:textId="77777777">
      <w:pPr>
        <w:rPr>
          <w:lang w:val="en-GB"/>
        </w:rPr>
      </w:pPr>
    </w:p>
    <w:p w:rsidRPr="006E795E" w:rsidR="00983D4F" w:rsidP="00983D4F" w:rsidRDefault="00983D4F" w14:paraId="17A660BF" w14:textId="77777777">
      <w:pPr>
        <w:pStyle w:val="Heading2"/>
      </w:pPr>
      <w:r>
        <w:t xml:space="preserve">Joukkoliikenne on </w:t>
      </w:r>
      <w:r>
        <w:rPr>
          <w:b/>
        </w:rPr>
        <w:t>työvoimavaltainen palvelu</w:t>
      </w:r>
      <w:r>
        <w:t xml:space="preserve">, joka tarjoaa vihreitä työpaikkoja, joita ei voida siirtää muualle. Joukkoliikenneyhtiöt kuuluvat kaupunkialueiden suurimpiin työnantajiin, ja ne tarjoavat työtä monille ihmisille ja edistävät siirtotyöläisten integroitumista työmarkkinoille. Jotta varmistetaan, että sosiaaliset näkökohdat otetaan alalla huomioon vastaisuudessakin, ETSK </w:t>
      </w:r>
      <w:r>
        <w:rPr>
          <w:u w:val="single"/>
        </w:rPr>
        <w:t>kehottaa</w:t>
      </w:r>
      <w:r>
        <w:t xml:space="preserve"> päätöksentekijöitä sisällyttämään julkisen liikenteen sopimuksiin pakolliset kriteerit palvelun laadulle ja sosiaalisille tekijöille esimerkiksi sen suhteen, että on sovellettava työehtosopimuksia ja turvattava asianmukaisesti työntekijöiden asema toiminnanharjoittajan vaihtuessa. ETSK </w:t>
      </w:r>
      <w:r>
        <w:rPr>
          <w:u w:val="single"/>
        </w:rPr>
        <w:t>kehottaa</w:t>
      </w:r>
      <w:r>
        <w:t xml:space="preserve"> lisäksi poliittisia päättäjiä varmistamaan, että käytössä ovat vahvat työmarkkinaosapuolten vuoropuhelumekanismit, jotta alasta saadaan taloudellisesti ja sosiaalisesti kestävä. ETSK kehottaa myös soveltamaan kattavasti julkisia hankintoja koskevia menettelyjä (asetus N:o 1370/2007 tai direktiivi 2014/23/EU). </w:t>
      </w:r>
    </w:p>
    <w:p w:rsidRPr="006E795E" w:rsidR="00983D4F" w:rsidP="00983D4F" w:rsidRDefault="00983D4F" w14:paraId="64DA42E5" w14:textId="77777777">
      <w:pPr>
        <w:rPr>
          <w:lang w:val="en-GB"/>
        </w:rPr>
      </w:pPr>
    </w:p>
    <w:p w:rsidRPr="006E795E" w:rsidR="00983D4F" w:rsidP="00983D4F" w:rsidRDefault="00983D4F" w14:paraId="24453E49" w14:textId="77777777">
      <w:pPr>
        <w:pStyle w:val="Heading2"/>
      </w:pPr>
      <w:r>
        <w:t xml:space="preserve">ETSK kiinnittää huomion siihen, että kestävän liikkuvuuden saavuttaminen </w:t>
      </w:r>
      <w:r>
        <w:rPr>
          <w:b/>
        </w:rPr>
        <w:t>edellyttää vahvaa poliittista sitoutumista</w:t>
      </w:r>
      <w:r>
        <w:t xml:space="preserve"> kaikilta toimijoilta ja kaikilta tasoilta. EU:n toimielinten on omaksuttava vahva rooli politiikkaa johtavana ja ohjaavana tahona, mikä tarkoittaa selkeiden tavoitteiden asettamista ja tarvittavan rahoituksen tarjoamista. ETSK </w:t>
      </w:r>
      <w:r>
        <w:rPr>
          <w:u w:val="single"/>
        </w:rPr>
        <w:t>kehottaa</w:t>
      </w:r>
      <w:r>
        <w:t xml:space="preserve"> siksi Euroopan komissiota asettamaan mitattavissa olevia ja kunnianhimoisia tavoitteita siirtymiselle yksityisautoilusta joukkoliikenteeseen ja aktiivisiin liikkumismuotoihin.</w:t>
      </w:r>
    </w:p>
    <w:p w:rsidRPr="006E795E" w:rsidR="00983D4F" w:rsidP="00983D4F" w:rsidRDefault="00983D4F" w14:paraId="0F732A00" w14:textId="77777777">
      <w:pPr>
        <w:rPr>
          <w:lang w:val="en-GB"/>
        </w:rPr>
      </w:pPr>
    </w:p>
    <w:p w:rsidRPr="006E795E" w:rsidR="00983D4F" w:rsidP="00983D4F" w:rsidRDefault="00983D4F" w14:paraId="501EED4F" w14:textId="77777777">
      <w:pPr>
        <w:pStyle w:val="Heading2"/>
      </w:pPr>
      <w:r>
        <w:lastRenderedPageBreak/>
        <w:t xml:space="preserve">Jatkuvat investoinnit ovat ratkaisevan tärkeitä sen varmistamiseksi, että kestävään julkiseen liikenteeseen ja siten vihreään elpymiseen tähtäävät politiikat onnistuvat. EU:n jäsenvaltioiden käyttöön on annettu huomattava määrä taloudellisia resursseja </w:t>
      </w:r>
      <w:proofErr w:type="spellStart"/>
      <w:r>
        <w:t>elpymis</w:t>
      </w:r>
      <w:proofErr w:type="spellEnd"/>
      <w:r>
        <w:t xml:space="preserve">- ja palautumistukivälineen kautta, ja monet valtioista ovat sitoutuneet investoimaan julkisen liikenteen järjestelmiinsä. ETSK </w:t>
      </w:r>
      <w:r>
        <w:rPr>
          <w:u w:val="single"/>
        </w:rPr>
        <w:t>kehottaa</w:t>
      </w:r>
      <w:r>
        <w:t xml:space="preserve"> komissiota seuraamaan näiden sitoumusten toteutumista ja raportoimaan siitä sekä varmistamaan, että vihreä elpyminen kulkee käsi kädessä työpaikkojen, palvelujen laadun ja sosiaalisen osallisuuden säilyttämisen ja parantamisen kanssa. ETSK </w:t>
      </w:r>
      <w:r>
        <w:rPr>
          <w:u w:val="single"/>
        </w:rPr>
        <w:t>kehottaa</w:t>
      </w:r>
      <w:r>
        <w:t xml:space="preserve"> jäsenvaltioita perustamaan osallistavia mekanismeja, joiden kautta kootaan käyttäjien ja työmarkkinaosapuolten näkemyksiä siitä, miten tätä julkisen liikenteen elpymisen kannalta erittäin tärkeää rahoitusta on hyödynnetty. ETSK huomauttaa, että kaikkeen liikenneratkaisujen kehittämistä varten osoitettuun EU-rahoitukseen ja julkiseen rahoitukseen tulee liittää liikenteen osallistavuutta, esteettömyyttä ja kestävyyttä koskevia kriteerejä.</w:t>
      </w:r>
    </w:p>
    <w:p w:rsidRPr="006E795E" w:rsidR="00983D4F" w:rsidP="00983D4F" w:rsidRDefault="00983D4F" w14:paraId="4D82C917" w14:textId="77777777">
      <w:pPr>
        <w:rPr>
          <w:lang w:val="en-GB"/>
        </w:rPr>
      </w:pPr>
    </w:p>
    <w:p w:rsidRPr="006E795E" w:rsidR="00983D4F" w:rsidP="00983D4F" w:rsidRDefault="00983D4F" w14:paraId="2D694595" w14:textId="77777777">
      <w:pPr>
        <w:pStyle w:val="Heading2"/>
      </w:pPr>
      <w:r>
        <w:rPr>
          <w:shd w:val="clear" w:color="auto" w:fill="FFFFFF"/>
        </w:rPr>
        <w:t xml:space="preserve">ETSK kehottaakin poliittisia päättäjiä huolehtimaan eri tahojen laaja-alaisesta osallistamisesta, kun toteutetaan digitaalisen siirtymän prosesseja, joiden tarkoituksena on tehdä liikenteestä kaikkien osalta kestävää ja oikeudenmukaista. </w:t>
      </w:r>
    </w:p>
    <w:p w:rsidRPr="006E795E" w:rsidR="00983D4F" w:rsidP="00983D4F" w:rsidRDefault="00983D4F" w14:paraId="3A9F30E2" w14:textId="77777777">
      <w:pPr>
        <w:pStyle w:val="Heading2"/>
        <w:numPr>
          <w:ilvl w:val="0"/>
          <w:numId w:val="0"/>
        </w:numPr>
        <w:ind w:left="567" w:hanging="567"/>
        <w:rPr>
          <w:lang w:val="en-GB"/>
        </w:rPr>
      </w:pPr>
    </w:p>
    <w:p w:rsidRPr="006E795E" w:rsidR="00983D4F" w:rsidP="00983D4F" w:rsidRDefault="00983D4F" w14:paraId="08231A15" w14:textId="77777777">
      <w:pPr>
        <w:pStyle w:val="Heading2"/>
      </w:pPr>
      <w:r>
        <w:t xml:space="preserve">ETSK kehottaa Euroopan unionia ja jäsenvaltioita edistämään siirtymistä vihreämpiin liikennemuotoihin tekemällä näistä liikennemuodoista yleisemmin houkuttelevampia. Tietoisuuden lisääminen liikenteen ja henkilökohtaisten liikkumisvalintojen ympäristövaikutuksista on tärkeää myös, kun edistetään siirtymistä julkiseen ja kestävään liikenteeseen. ETSK </w:t>
      </w:r>
      <w:r>
        <w:rPr>
          <w:u w:val="single"/>
        </w:rPr>
        <w:t>kehottaa</w:t>
      </w:r>
      <w:r>
        <w:t xml:space="preserve"> siksi komissiota omistamaan vuoden 2024 julkiselle liikenteelle, sen käyttäjille ja sen työntekijöille.</w:t>
      </w:r>
    </w:p>
    <w:p w:rsidRPr="006E795E" w:rsidR="00983D4F" w:rsidP="00983D4F" w:rsidRDefault="00983D4F" w14:paraId="45AC5226" w14:textId="77777777">
      <w:pPr>
        <w:rPr>
          <w:lang w:val="en-GB"/>
        </w:rPr>
      </w:pPr>
    </w:p>
    <w:p w:rsidRPr="006E795E" w:rsidR="00983D4F" w:rsidP="00983D4F" w:rsidRDefault="00983D4F" w14:paraId="7ED85052" w14:textId="77777777">
      <w:pPr>
        <w:pStyle w:val="Heading1"/>
        <w:keepNext/>
        <w:keepLines/>
        <w:rPr>
          <w:b/>
        </w:rPr>
      </w:pPr>
      <w:r>
        <w:rPr>
          <w:b/>
        </w:rPr>
        <w:t>Taustaa</w:t>
      </w:r>
    </w:p>
    <w:p w:rsidRPr="006E795E" w:rsidR="00983D4F" w:rsidP="00983D4F" w:rsidRDefault="00983D4F" w14:paraId="4B8E55CC" w14:textId="77777777">
      <w:pPr>
        <w:keepNext/>
        <w:keepLines/>
        <w:rPr>
          <w:lang w:val="en-GB"/>
        </w:rPr>
      </w:pPr>
    </w:p>
    <w:p w:rsidRPr="006E795E" w:rsidR="00983D4F" w:rsidP="00983D4F" w:rsidRDefault="00983D4F" w14:paraId="2E7E3E44" w14:textId="77777777">
      <w:pPr>
        <w:pStyle w:val="Heading2"/>
      </w:pPr>
      <w:r>
        <w:t>Liikenne ja liikkuvuus ovat olennainen osa eurooppalaisten arkielämää, ja ne mahdollistavat ihmisten liikkumisen yhteiskunnan kaikilla aloilla ja kaikkialla Euroopassa. Samaan aikaan Euroopan vihreän kehityksen ohjelmassa on ilmastoneutraaliuden saavuttamiseksi asetettu tavoitteeksi vähentää liikenteen päästöjä 90 prosenttia vuoteen 2050 mennessä. Vähennystarve koskee kaikkia liikenteen osa-alueita. Vihreän kehityksen ohjelmassa todetaan, että ”multimodaaliliikenteeseen on panostettava voimakkaasti”, sillä se parantaa liikennejärjestelmän tehokkuutta.</w:t>
      </w:r>
    </w:p>
    <w:p w:rsidRPr="006E795E" w:rsidR="00983D4F" w:rsidP="00983D4F" w:rsidRDefault="00983D4F" w14:paraId="3C27714C" w14:textId="77777777">
      <w:pPr>
        <w:rPr>
          <w:lang w:val="en-GB"/>
        </w:rPr>
      </w:pPr>
    </w:p>
    <w:p w:rsidRPr="006E795E" w:rsidR="00983D4F" w:rsidP="00983D4F" w:rsidRDefault="00983D4F" w14:paraId="50324C19" w14:textId="77777777">
      <w:pPr>
        <w:pStyle w:val="Heading2"/>
      </w:pPr>
      <w:r>
        <w:t>Komissio nostaa kestävän ja älykkään liikkuvuuden strategiassaan kestävän kaupunkien välisen liikenteen ja kaupunkiliikenteen lippulaivahankkeeksi korostaen tarvetta tehdä ”liikkuvuudesta kaikille reilua ja oikeudenmukaista”, lisätä joukkoliikenteen osuutta ja parantaa multimodaaliliikenteen saumattomuutta kaupunki- ja esikaupunkialueilla. Strategiassa tuodaan myös esiin, että tilattavien palveluiden ja yhteiskäyttöön perustuvien liikennepalvelujen kaltaisten uusien ja innovatiivisten ratkaisujen kysyntä kasvaa jatkuvasti. Strategiassa asetetaan etusijalle tarve parantaa kaupunkiliikenteen kehystä.</w:t>
      </w:r>
    </w:p>
    <w:p w:rsidRPr="00F96DD0" w:rsidR="00983D4F" w:rsidP="00983D4F" w:rsidRDefault="00983D4F" w14:paraId="349E2C9B" w14:textId="77777777">
      <w:pPr>
        <w:pStyle w:val="ListParagraph"/>
        <w:rPr>
          <w:rFonts w:cstheme="minorHAnsi"/>
          <w:shd w:val="clear" w:color="auto" w:fill="FFFFFF"/>
        </w:rPr>
      </w:pPr>
    </w:p>
    <w:p w:rsidRPr="00F96DD0" w:rsidR="00983D4F" w:rsidP="00983D4F" w:rsidRDefault="00983D4F" w14:paraId="332201C3" w14:textId="77777777">
      <w:pPr>
        <w:pStyle w:val="ListParagraph"/>
        <w:numPr>
          <w:ilvl w:val="0"/>
          <w:numId w:val="3"/>
        </w:numPr>
        <w:ind w:left="993" w:hanging="426"/>
      </w:pPr>
      <w:r>
        <w:t>Komissio toteaa esittämässään kaupunkiliikenteen kehyksessä</w:t>
      </w:r>
      <w:r w:rsidRPr="00F96DD0">
        <w:rPr>
          <w:rStyle w:val="FootnoteReference"/>
          <w:rFonts w:cstheme="minorHAnsi"/>
          <w:shd w:val="clear" w:color="auto" w:fill="FFFFFF"/>
        </w:rPr>
        <w:footnoteReference w:id="1"/>
      </w:r>
      <w:r>
        <w:t xml:space="preserve">, että </w:t>
      </w:r>
      <w:r>
        <w:rPr>
          <w:b/>
        </w:rPr>
        <w:t>liikenteen osuus EU:n energiankäytöstä ja kasvihuonekaasupäästöistä kasvaa</w:t>
      </w:r>
      <w:r>
        <w:t xml:space="preserve"> ja että kaupunkiliikenne </w:t>
      </w:r>
      <w:r>
        <w:lastRenderedPageBreak/>
        <w:t xml:space="preserve">muodostaa 23 prosenttia tästä osuudesta. </w:t>
      </w:r>
      <w:r>
        <w:rPr>
          <w:b/>
        </w:rPr>
        <w:t>Ilmanlaatuun</w:t>
      </w:r>
      <w:r>
        <w:t xml:space="preserve"> liittyvät haasteet ovat suurimpia kaupungeissa, ja NO2- ja PM10-pitoisuudet ylittävät EU:n raja-arvot. EU:n kaupunkien </w:t>
      </w:r>
      <w:r>
        <w:rPr>
          <w:b/>
        </w:rPr>
        <w:t>ruuhkaisuus</w:t>
      </w:r>
      <w:r>
        <w:t xml:space="preserve"> on pysynyt ennallaan tai pahentunut vuodesta 2013, mikä aiheuttaa yhteiskunnalle huomattavia kuluja ja hankaloittaa työmatkoja. </w:t>
      </w:r>
      <w:r>
        <w:rPr>
          <w:b/>
        </w:rPr>
        <w:t>Kaupunkialueiden osuus kaikista EU:n tieliikenteen kuolemantapauksista ja vakavista loukkaantumisista on 38 prosenttia</w:t>
      </w:r>
      <w:r>
        <w:t>. Yli 70 prosenttia eurooppalaisista asuu kaupungeissa ja odottaa ratkaisuja, jotka tekevät liikkumisesta helpompaa ja turvallisempaa ja vähentävät ruuhkia, ilmansaasteita ja melusaastetta. Lisäksi 30 prosenttia väestöstä asuu kylissä, pienissä kaupungeissa ja kaupunkien lähialueilla ja joutuu usein turvautumaan yksityisautoiluun matkatessaan lähistön kaupunkisolmukohtiin.</w:t>
      </w:r>
    </w:p>
    <w:p w:rsidRPr="00F96DD0" w:rsidR="00983D4F" w:rsidP="00983D4F" w:rsidRDefault="00983D4F" w14:paraId="3AAA6C4F" w14:textId="77777777">
      <w:pPr>
        <w:pStyle w:val="ListParagraph"/>
        <w:numPr>
          <w:ilvl w:val="0"/>
          <w:numId w:val="3"/>
        </w:numPr>
        <w:ind w:left="993" w:hanging="426"/>
      </w:pPr>
      <w:r>
        <w:t>Kaupunkien julkisen liikenteen infrastruktuuria ja palveluja on mukautettava esteettömyyden parantamiseksi, jotta esimerkiksi monien kaupunkien ikääntyvää väestöä sekä vammaisia ja liikuntarajoitteisia henkilöitä voidaan palvella paremmin.</w:t>
      </w:r>
    </w:p>
    <w:p w:rsidRPr="00F96DD0" w:rsidR="00983D4F" w:rsidP="00983D4F" w:rsidRDefault="00983D4F" w14:paraId="3709DDB4" w14:textId="77777777">
      <w:pPr>
        <w:pStyle w:val="ListParagraph"/>
        <w:ind w:left="851"/>
        <w:rPr>
          <w:rFonts w:cstheme="minorHAnsi"/>
          <w:shd w:val="clear" w:color="auto" w:fill="FFFFFF"/>
        </w:rPr>
      </w:pPr>
    </w:p>
    <w:p w:rsidRPr="006E795E" w:rsidR="00983D4F" w:rsidP="00983D4F" w:rsidRDefault="00983D4F" w14:paraId="108B156A" w14:textId="77777777">
      <w:pPr>
        <w:pStyle w:val="Heading2"/>
        <w:rPr>
          <w:shd w:val="clear" w:color="auto" w:fill="FFFFFF"/>
        </w:rPr>
      </w:pPr>
      <w:r>
        <w:rPr>
          <w:shd w:val="clear" w:color="auto" w:fill="FFFFFF"/>
        </w:rPr>
        <w:t xml:space="preserve">Komissio korostaa myös ilmastonmuutoksen torjunnan kiireellisyyttä ja sen merkitystä sosiaaliselle osallisuudelle ja ihmisten hyvinvoinnille erityisesti heikommassa asemassa olevien ryhmien kohdalla. Komissio on asettanut tämän vuoksi </w:t>
      </w:r>
      <w:r>
        <w:rPr>
          <w:b/>
          <w:shd w:val="clear" w:color="auto" w:fill="FFFFFF"/>
        </w:rPr>
        <w:t>vahvemman julkisen liikenneverkon rakentamisen yhdeksi kaupunkiliikenteen kehyksen tavoitteista</w:t>
      </w:r>
      <w:r>
        <w:rPr>
          <w:shd w:val="clear" w:color="auto" w:fill="FFFFFF"/>
        </w:rPr>
        <w:t>.</w:t>
      </w:r>
    </w:p>
    <w:p w:rsidRPr="00F96DD0" w:rsidR="00983D4F" w:rsidP="00983D4F" w:rsidRDefault="00983D4F" w14:paraId="42C140E0" w14:textId="77777777">
      <w:pPr>
        <w:pStyle w:val="ListParagraph"/>
        <w:ind w:left="567"/>
        <w:rPr>
          <w:rFonts w:cstheme="minorHAnsi"/>
          <w:shd w:val="clear" w:color="auto" w:fill="FFFFFF"/>
        </w:rPr>
      </w:pPr>
    </w:p>
    <w:p w:rsidRPr="006E795E" w:rsidR="00983D4F" w:rsidP="00983D4F" w:rsidRDefault="00983D4F" w14:paraId="0AE2A227" w14:textId="77777777">
      <w:pPr>
        <w:pStyle w:val="Heading2"/>
        <w:rPr>
          <w:shd w:val="clear" w:color="auto" w:fill="FFFFFF"/>
        </w:rPr>
      </w:pPr>
      <w:r>
        <w:rPr>
          <w:b/>
          <w:shd w:val="clear" w:color="auto" w:fill="FFFFFF"/>
        </w:rPr>
        <w:t>Pandemia</w:t>
      </w:r>
      <w:r>
        <w:rPr>
          <w:shd w:val="clear" w:color="auto" w:fill="FFFFFF"/>
        </w:rPr>
        <w:t xml:space="preserve"> on muutaman viime vuoden aikana muuttanut talouskasvua ja sitä tukevia sääntöjä ja mekanismeja. Se</w:t>
      </w:r>
      <w:r>
        <w:rPr>
          <w:b/>
          <w:shd w:val="clear" w:color="auto" w:fill="FFFFFF"/>
        </w:rPr>
        <w:t xml:space="preserve"> on paljastanut sudenkuoppia ja nostanut esiin EU:n sisämarkkinoiden kehittämiseen liittyviä arvoja</w:t>
      </w:r>
      <w:r>
        <w:rPr>
          <w:shd w:val="clear" w:color="auto" w:fill="FFFFFF"/>
        </w:rPr>
        <w:t xml:space="preserve">. Se on kuitenkin myös luonut mahdollisuuksia vihreän kehityksen ohjelman kaltaisten toimintapolitiikkojen nopeampaan täytäntöönpanoon, osoittanut, että on tärkeää asettaa ihmiset elpymisprosessin ytimeen </w:t>
      </w:r>
      <w:r>
        <w:rPr>
          <w:b/>
          <w:shd w:val="clear" w:color="auto" w:fill="FFFFFF"/>
        </w:rPr>
        <w:t>oikeudenmukaisen siirtymän</w:t>
      </w:r>
      <w:r>
        <w:rPr>
          <w:shd w:val="clear" w:color="auto" w:fill="FFFFFF"/>
        </w:rPr>
        <w:t xml:space="preserve"> käsitteen mukaisesti, ja johtanut siihen, että komissio on hyväksynyt toistaiseksi suurimman rahoitustukiohjelmansa, jolla pyritään lieventämään covid-19-pandemian vaikutuksia, sekä </w:t>
      </w:r>
      <w:proofErr w:type="spellStart"/>
      <w:r>
        <w:rPr>
          <w:b/>
          <w:shd w:val="clear" w:color="auto" w:fill="FFFFFF"/>
        </w:rPr>
        <w:t>elpymis</w:t>
      </w:r>
      <w:proofErr w:type="spellEnd"/>
      <w:r>
        <w:rPr>
          <w:b/>
          <w:shd w:val="clear" w:color="auto" w:fill="FFFFFF"/>
        </w:rPr>
        <w:t>- ja palautumistukivälineen</w:t>
      </w:r>
      <w:r>
        <w:rPr>
          <w:shd w:val="clear" w:color="auto" w:fill="FFFFFF"/>
        </w:rPr>
        <w:t>, jonka kuudesta pilarista kaksi ovat vihreä siirtymä ja digitaalinen muutos.</w:t>
      </w:r>
    </w:p>
    <w:p w:rsidRPr="00F96DD0" w:rsidR="00983D4F" w:rsidP="00983D4F" w:rsidRDefault="00983D4F" w14:paraId="33735E4D" w14:textId="77777777">
      <w:pPr>
        <w:pStyle w:val="ListParagraph"/>
        <w:rPr>
          <w:rFonts w:cstheme="minorHAnsi"/>
          <w:shd w:val="clear" w:color="auto" w:fill="FFFFFF"/>
        </w:rPr>
      </w:pPr>
    </w:p>
    <w:p w:rsidRPr="006E795E" w:rsidR="00983D4F" w:rsidP="00983D4F" w:rsidRDefault="00983D4F" w14:paraId="6BF58949" w14:textId="77777777">
      <w:pPr>
        <w:pStyle w:val="Heading2"/>
        <w:rPr>
          <w:shd w:val="clear" w:color="auto" w:fill="FFFFFF"/>
        </w:rPr>
      </w:pPr>
      <w:r>
        <w:rPr>
          <w:shd w:val="clear" w:color="auto" w:fill="FFFFFF"/>
        </w:rPr>
        <w:t>Joukkoliikenteessä pandemia on vaikuttanut työpaikkoihin, joukkoliikenteen käyttäjiin ja harjoittajiin ja viranomaisiin. Ministerineuvosto huomautti kestävän ja älykkään liikkuvuuden strategiaa koskevissa päätelmissään, että covid-19-kriisi on vaikuttanut vakavasti julkiseen liikenteeseen ja että kriisiin vastaavilla poliittisilla toimilla olisi pyrittävä palauttamaan luottamus julkiseen liikenteeseen ja parantamaan sen häiriönsietokykyä, nopeuttamaan sen kestävyyssiirtymää ja nykyaikaistamista ja varmistamaan samalla sen kohtuuhintaisuus, kun otetaan huomioon liikenteen keskeinen asema sosiaalisessa ja alueellisessa yhteenkuuluvuudessa.</w:t>
      </w:r>
    </w:p>
    <w:p w:rsidRPr="006E795E" w:rsidR="00983D4F" w:rsidP="00983D4F" w:rsidRDefault="00983D4F" w14:paraId="45A0A324" w14:textId="77777777">
      <w:pPr>
        <w:rPr>
          <w:rFonts w:cstheme="minorHAnsi"/>
          <w:shd w:val="clear" w:color="auto" w:fill="FFFFFF"/>
          <w:lang w:val="en-GB"/>
        </w:rPr>
      </w:pPr>
    </w:p>
    <w:p w:rsidRPr="006E795E" w:rsidR="00983D4F" w:rsidP="00983D4F" w:rsidRDefault="00983D4F" w14:paraId="3E9F6C07" w14:textId="77777777">
      <w:pPr>
        <w:pStyle w:val="Heading2"/>
        <w:rPr>
          <w:rFonts w:cstheme="minorHAnsi"/>
          <w:shd w:val="clear" w:color="auto" w:fill="FFFFFF"/>
        </w:rPr>
      </w:pPr>
      <w:r>
        <w:rPr>
          <w:shd w:val="clear" w:color="auto" w:fill="FFFFFF"/>
        </w:rPr>
        <w:t xml:space="preserve">ETSK korostaa sitä erittäin tärkeää seikkaa, että julkinen liikenne on koko pandemian ajan osoittanut arvonsa tarjoamalla paljon kaivattuja liikkumismahdollisuuksia etulinjan työntekijöille ja heikommassa asemassa oleville väestöryhmille. Näissä ryhmissä on paljon siirtotyöläisiä ja naisia, ja heidän tiedetään olevan työmatkojen ja peruspalveluiden saannin osalta hyvin riippuvaisia julkisesta liikenteestä. Vuoden 2020 Eurobarometri-tiedot osoittavat, että naiset käyttävät julkista liikennettä huomattavasti enemmän kuin miehet. Naisia ja </w:t>
      </w:r>
      <w:r>
        <w:rPr>
          <w:shd w:val="clear" w:color="auto" w:fill="FFFFFF"/>
        </w:rPr>
        <w:lastRenderedPageBreak/>
        <w:t>liikennettä käsittelevässä Euroopan parlamentin tutkimuksessa</w:t>
      </w:r>
      <w:r w:rsidRPr="006E795E">
        <w:rPr>
          <w:rStyle w:val="FootnoteReference"/>
          <w:shd w:val="clear" w:color="auto" w:fill="FFFFFF"/>
          <w:lang w:val="en-GB"/>
        </w:rPr>
        <w:footnoteReference w:id="2"/>
      </w:r>
      <w:r>
        <w:rPr>
          <w:shd w:val="clear" w:color="auto" w:fill="FFFFFF"/>
        </w:rPr>
        <w:t xml:space="preserve"> korostetaan, että eri sukupuolten liikkumistottumuksista ei ole saatavilla sukupuolittain eriteltyjä tietoja. Tutkimus tarjoaa kuitenkin mielenkiintoista tietoa aiheeseen liittyvistä valinnoista.</w:t>
      </w:r>
    </w:p>
    <w:p w:rsidRPr="006E795E" w:rsidR="00983D4F" w:rsidP="00983D4F" w:rsidRDefault="00983D4F" w14:paraId="05001B1E" w14:textId="77777777">
      <w:pPr>
        <w:pStyle w:val="Heading2"/>
        <w:numPr>
          <w:ilvl w:val="0"/>
          <w:numId w:val="0"/>
        </w:numPr>
        <w:ind w:left="567"/>
        <w:rPr>
          <w:rFonts w:cstheme="minorHAnsi"/>
          <w:shd w:val="clear" w:color="auto" w:fill="FFFFFF"/>
          <w:lang w:val="en-GB"/>
        </w:rPr>
      </w:pPr>
    </w:p>
    <w:p w:rsidRPr="006E795E" w:rsidR="00983D4F" w:rsidP="00983D4F" w:rsidRDefault="00983D4F" w14:paraId="701D07D1" w14:textId="77777777">
      <w:pPr>
        <w:pStyle w:val="Heading2"/>
      </w:pPr>
      <w:r>
        <w:rPr>
          <w:b/>
        </w:rPr>
        <w:t>ETSK kiinnittää huomion myös siihen, että liikennepalvelujen tarjoajien ja viranomaisten kustannukset ovat kasvaneet ja resurssit vähentyneet pandemian vuoksi.</w:t>
      </w:r>
      <w:r>
        <w:t xml:space="preserve"> Vaikka kustannukset kasvoivat covid-19-pandemian ehkäisytoimien vuoksi ja käyttäjämäärien huomattava aleneminen pienensi yritysten tuloja merkittävästi, paikalliset ja valtion viranomaiset ymmärsivät, että julkisen liikenteen pitäminen toiminnassa oli osa niiden velvollisuutta palvella yhteisöjä ja erityisesti niitä ihmisiä, jotka tuottavat palveluja muille.</w:t>
      </w:r>
    </w:p>
    <w:p w:rsidRPr="006E795E" w:rsidR="00983D4F" w:rsidP="00983D4F" w:rsidRDefault="00983D4F" w14:paraId="24C1C66D" w14:textId="77777777">
      <w:pPr>
        <w:rPr>
          <w:lang w:val="en-GB"/>
        </w:rPr>
      </w:pPr>
    </w:p>
    <w:p w:rsidRPr="006E795E" w:rsidR="00983D4F" w:rsidP="00983D4F" w:rsidRDefault="00983D4F" w14:paraId="38E613D9" w14:textId="77777777">
      <w:pPr>
        <w:pStyle w:val="Heading2"/>
        <w:rPr>
          <w:shd w:val="clear" w:color="auto" w:fill="FFFFFF"/>
        </w:rPr>
      </w:pPr>
      <w:r>
        <w:rPr>
          <w:b/>
        </w:rPr>
        <w:t>Käsillä olevan oma-aloitteisen lausunnon tarkoituksena on antaa keskeisiä suosituksia kestävän, tehokkaan, osallistavan, esteettömän ja häiriönsietokykyisen julkisen liikenteen elpymisestä ja tulevasta kehityksestä covid-19-kriisin jälkeen</w:t>
      </w:r>
      <w:r>
        <w:t xml:space="preserve"> tulevia sukupolvia varten, ottaen huomioon EU:n väestön ikääntyminen.</w:t>
      </w:r>
      <w:r w:rsidRPr="006E795E">
        <w:rPr>
          <w:rStyle w:val="FootnoteReference"/>
          <w:lang w:val="en-GB"/>
        </w:rPr>
        <w:footnoteReference w:id="3"/>
      </w:r>
      <w:r>
        <w:t xml:space="preserve"> Sen painopiste on rahoituksessa, houkuttelevuudessa ja julkisen liikenteen merkityksessä EU:n vihreälle elpymiselle, ja keskiössä ovat julkisen liikenteen työntekijöiden sosiaaliset olot. Kaikilla liikenteen aloilla on pulaa henkilöstöstä, mikä osoittaa, että tälle lähestymistavalle on selkeä tarve.</w:t>
      </w:r>
    </w:p>
    <w:p w:rsidRPr="006E795E" w:rsidR="00983D4F" w:rsidP="00983D4F" w:rsidRDefault="00983D4F" w14:paraId="6D9433E9" w14:textId="77777777">
      <w:pPr>
        <w:rPr>
          <w:rFonts w:cstheme="minorHAnsi"/>
          <w:shd w:val="clear" w:color="auto" w:fill="FFFFFF"/>
          <w:lang w:val="en-GB"/>
        </w:rPr>
      </w:pPr>
    </w:p>
    <w:p w:rsidRPr="006E795E" w:rsidR="00983D4F" w:rsidP="00983D4F" w:rsidRDefault="00983D4F" w14:paraId="699867CE" w14:textId="77777777">
      <w:pPr>
        <w:pStyle w:val="Heading1"/>
        <w:keepNext/>
        <w:keepLines/>
        <w:rPr>
          <w:b/>
          <w:shd w:val="clear" w:color="auto" w:fill="FFFFFF"/>
        </w:rPr>
      </w:pPr>
      <w:r>
        <w:rPr>
          <w:b/>
          <w:shd w:val="clear" w:color="auto" w:fill="FFFFFF"/>
        </w:rPr>
        <w:t>Yleistä</w:t>
      </w:r>
    </w:p>
    <w:p w:rsidRPr="00F96DD0" w:rsidR="00983D4F" w:rsidP="00983D4F" w:rsidRDefault="00983D4F" w14:paraId="16D334E9" w14:textId="77777777">
      <w:pPr>
        <w:pStyle w:val="ListParagraph"/>
        <w:keepNext/>
        <w:keepLines/>
        <w:ind w:left="786"/>
        <w:rPr>
          <w:rFonts w:cstheme="minorHAnsi"/>
          <w:shd w:val="clear" w:color="auto" w:fill="FFFFFF"/>
        </w:rPr>
      </w:pPr>
    </w:p>
    <w:p w:rsidRPr="006E795E" w:rsidR="00983D4F" w:rsidP="00983D4F" w:rsidRDefault="00983D4F" w14:paraId="3FA197C6" w14:textId="77777777">
      <w:pPr>
        <w:pStyle w:val="Heading2"/>
        <w:rPr>
          <w:shd w:val="clear" w:color="auto" w:fill="FFFFFF"/>
        </w:rPr>
      </w:pPr>
      <w:r>
        <w:rPr>
          <w:b/>
          <w:shd w:val="clear" w:color="auto" w:fill="FFFFFF"/>
        </w:rPr>
        <w:t>ETSK toteaa, että julkisella liikenteellä on merkittävä rooli Euroopan vihreässä pandemian jälkeisessä elpymisessä.</w:t>
      </w:r>
      <w:r>
        <w:rPr>
          <w:shd w:val="clear" w:color="auto" w:fill="FFFFFF"/>
        </w:rPr>
        <w:t xml:space="preserve"> Sen lisäksi, että julkinen liikenne vastaa omalta osaltaan ilmastohuoliin, se parantaa elämänlaatua vähentämällä ruuhkia. ”Vuoteen 2020 asti Euroopan kaupunkialueiden joukkoliikenteessä tehtiin vuosittain lähes 60 miljardia matkaa, ja määrä oli kasvussa. </w:t>
      </w:r>
      <w:r>
        <w:t>(– –) Ruuhkat maksavat jo nyt Euroopan taloudelle 1 prosentin bruttokansantuotteesta, 100 miljardia euroa vuodessa.”</w:t>
      </w:r>
      <w:r w:rsidRPr="006E795E">
        <w:rPr>
          <w:rStyle w:val="FootnoteReference"/>
          <w:rFonts w:cstheme="minorHAnsi"/>
          <w:shd w:val="clear" w:color="auto" w:fill="FFFFFF"/>
          <w:lang w:val="en-GB"/>
        </w:rPr>
        <w:footnoteReference w:id="4"/>
      </w:r>
    </w:p>
    <w:p w:rsidRPr="00F96DD0" w:rsidR="00983D4F" w:rsidP="00983D4F" w:rsidRDefault="00983D4F" w14:paraId="35486B8F" w14:textId="77777777">
      <w:pPr>
        <w:pStyle w:val="ListParagraph"/>
        <w:ind w:left="567"/>
        <w:rPr>
          <w:rFonts w:cstheme="minorHAnsi"/>
          <w:shd w:val="clear" w:color="auto" w:fill="FFFFFF"/>
        </w:rPr>
      </w:pPr>
    </w:p>
    <w:p w:rsidRPr="006E795E" w:rsidR="00983D4F" w:rsidP="00983D4F" w:rsidRDefault="00983D4F" w14:paraId="3653249E" w14:textId="77777777">
      <w:pPr>
        <w:pStyle w:val="Heading2"/>
        <w:rPr>
          <w:shd w:val="clear" w:color="auto" w:fill="FFFFFF"/>
        </w:rPr>
      </w:pPr>
      <w:r>
        <w:rPr>
          <w:shd w:val="clear" w:color="auto" w:fill="FFFFFF"/>
        </w:rPr>
        <w:t xml:space="preserve">ETSK panee merkille, että </w:t>
      </w:r>
      <w:r>
        <w:rPr>
          <w:b/>
          <w:shd w:val="clear" w:color="auto" w:fill="FFFFFF"/>
        </w:rPr>
        <w:t xml:space="preserve">pandemia on muuttanut ihmisten käyttäytymistä ja saanut </w:t>
      </w:r>
      <w:proofErr w:type="spellStart"/>
      <w:r>
        <w:rPr>
          <w:b/>
          <w:shd w:val="clear" w:color="auto" w:fill="FFFFFF"/>
        </w:rPr>
        <w:t>paikallis</w:t>
      </w:r>
      <w:proofErr w:type="spellEnd"/>
      <w:r>
        <w:rPr>
          <w:b/>
          <w:shd w:val="clear" w:color="auto" w:fill="FFFFFF"/>
        </w:rPr>
        <w:t>- ja muutkin viranomaiset kohdistamaan huomionsa uudelleen julkisen liikenteen yhteiskunnalliseen arvoon.</w:t>
      </w:r>
      <w:r>
        <w:rPr>
          <w:shd w:val="clear" w:color="auto" w:fill="FFFFFF"/>
        </w:rPr>
        <w:t xml:space="preserve"> Joukkoliikenne oli kuitenkin yksi niistä aloista, joihin käyttäjien määrän voimakas väheneminen vaikutti eniten, ja sen elpyminen on kestänyt pisimpään. Näin tapahtui, kun ihmiset alkoivat suosia aktiivisia liikkumismuotoja ja yksityisautoilua välttääkseen tartuntaa. Vaikka aktiivisen liikkumisen lisääntyminen on terveellinen ja kannatettava suuntaus, eurooppalaisten päätöksentekijöiden sekä jäsenvaltio-, </w:t>
      </w:r>
      <w:proofErr w:type="spellStart"/>
      <w:r>
        <w:rPr>
          <w:shd w:val="clear" w:color="auto" w:fill="FFFFFF"/>
        </w:rPr>
        <w:t>paikallis</w:t>
      </w:r>
      <w:proofErr w:type="spellEnd"/>
      <w:r>
        <w:rPr>
          <w:shd w:val="clear" w:color="auto" w:fill="FFFFFF"/>
        </w:rPr>
        <w:t xml:space="preserve">- ja aluetason viranomaisten on pohdittava vakavasti yksityisautoilun yleistymistä. </w:t>
      </w:r>
    </w:p>
    <w:p w:rsidRPr="006E795E" w:rsidR="00983D4F" w:rsidP="00983D4F" w:rsidRDefault="00983D4F" w14:paraId="2EB088CE" w14:textId="77777777">
      <w:pPr>
        <w:rPr>
          <w:lang w:val="en-GB"/>
        </w:rPr>
      </w:pPr>
    </w:p>
    <w:p w:rsidRPr="006E795E" w:rsidR="00983D4F" w:rsidP="00983D4F" w:rsidRDefault="00983D4F" w14:paraId="457D24A5" w14:textId="77777777">
      <w:pPr>
        <w:pStyle w:val="Heading2"/>
        <w:rPr>
          <w:shd w:val="clear" w:color="auto" w:fill="FFFFFF"/>
        </w:rPr>
      </w:pPr>
      <w:r>
        <w:t xml:space="preserve">ETSK kiinnittää huomion siihen, että </w:t>
      </w:r>
      <w:r>
        <w:rPr>
          <w:b/>
        </w:rPr>
        <w:t>julkisen liikenteen alan työllisyys on heikentynyt voimakkaasti</w:t>
      </w:r>
      <w:r>
        <w:t xml:space="preserve"> siitä huolimatta, että julkista liikennettä on pidetty yllä pandemian aikana. Ennen ensimmäistä sulkua ala työllisti Euroopassa suoraan kaksi miljoonaa henkilöä</w:t>
      </w:r>
      <w:r w:rsidRPr="006E795E">
        <w:rPr>
          <w:rStyle w:val="FootnoteReference"/>
          <w:rFonts w:cstheme="minorHAnsi"/>
          <w:lang w:val="en-GB"/>
        </w:rPr>
        <w:footnoteReference w:id="5"/>
      </w:r>
      <w:r>
        <w:t>, ja mikä tärkeää, julkinen liikenne tarjoaa monenlaisia varmoja paikallisia työpaikkoja vähäistä koulutusta vaativista töistä korkeaa osaamista vaativiin tehtäviin ja työllistää hyvin eritaustaisia henkilöitä.</w:t>
      </w:r>
      <w:r w:rsidRPr="006E795E">
        <w:rPr>
          <w:rStyle w:val="FootnoteReference"/>
          <w:rFonts w:cstheme="minorHAnsi"/>
          <w:lang w:val="en-GB"/>
        </w:rPr>
        <w:footnoteReference w:id="6"/>
      </w:r>
      <w:r>
        <w:t xml:space="preserve"> </w:t>
      </w:r>
      <w:r>
        <w:rPr>
          <w:shd w:val="clear" w:color="auto" w:fill="FFFFFF"/>
        </w:rPr>
        <w:t xml:space="preserve">Merkittävä osa henkilöstöstä jouduttiin kuitenkin siirtämään tilapäisten valtiollisten työttömyysjärjestelyjen piiriin, ja monet päättivät olla palaamatta työhönsä. Näin on tapahtunut erityisesti jäsenvaltioissa, joissa sosiaaliturvaetuuksien taso on matala ja työehtosopimusneuvotteluiden kattavuus heikko. </w:t>
      </w:r>
    </w:p>
    <w:p w:rsidRPr="006E795E" w:rsidR="00983D4F" w:rsidP="00983D4F" w:rsidRDefault="00983D4F" w14:paraId="6CF3B7AA" w14:textId="77777777">
      <w:pPr>
        <w:rPr>
          <w:lang w:val="en-GB"/>
        </w:rPr>
      </w:pPr>
    </w:p>
    <w:p w:rsidRPr="006E795E" w:rsidR="00983D4F" w:rsidP="00983D4F" w:rsidRDefault="00983D4F" w14:paraId="5CD9D9E9" w14:textId="77777777">
      <w:pPr>
        <w:pStyle w:val="Heading2"/>
        <w:rPr>
          <w:rFonts w:cstheme="minorHAnsi"/>
          <w:shd w:val="clear" w:color="auto" w:fill="FFFFFF"/>
        </w:rPr>
      </w:pPr>
      <w:r>
        <w:rPr>
          <w:shd w:val="clear" w:color="auto" w:fill="FFFFFF"/>
        </w:rPr>
        <w:t xml:space="preserve">ETSK varoittaakin, että kaikilla liikenteen aloilla Euroopassa julkinen liikenne mukaan lukien on </w:t>
      </w:r>
      <w:r>
        <w:rPr>
          <w:b/>
          <w:shd w:val="clear" w:color="auto" w:fill="FFFFFF"/>
        </w:rPr>
        <w:t>vakava henkilöstöpula</w:t>
      </w:r>
      <w:r>
        <w:rPr>
          <w:shd w:val="clear" w:color="auto" w:fill="FFFFFF"/>
        </w:rPr>
        <w:t xml:space="preserve">. Työn laadusta ja työsuhdeturvasta on tullut työnhakijoille keskeisiä kriteereitä, ja sosiaaliturva ja työehtosopimusneuvottelujen kattavuus ovat tässä suhteessa keskeisiä takeita. </w:t>
      </w:r>
    </w:p>
    <w:p w:rsidRPr="00F96DD0" w:rsidR="00983D4F" w:rsidP="00983D4F" w:rsidRDefault="00983D4F" w14:paraId="2C89A1E1" w14:textId="77777777">
      <w:pPr>
        <w:pStyle w:val="ListParagraph"/>
        <w:rPr>
          <w:rFonts w:cstheme="minorHAnsi"/>
          <w:b/>
          <w:bCs/>
        </w:rPr>
      </w:pPr>
    </w:p>
    <w:p w:rsidRPr="006E795E" w:rsidR="00983D4F" w:rsidP="00983D4F" w:rsidRDefault="00983D4F" w14:paraId="3713ED3C" w14:textId="77777777">
      <w:pPr>
        <w:pStyle w:val="Heading2"/>
      </w:pPr>
      <w:r>
        <w:rPr>
          <w:b/>
        </w:rPr>
        <w:t>ETSK on tyytyväinen siihen, että alueelliset ja valtion viranomaiset tarttuivat toimiin pitääkseen yllä tarvittavaa julkista liikennettä koko pandemian ajan</w:t>
      </w:r>
      <w:r>
        <w:t xml:space="preserve"> monimutkaisissa olosuhteissa, jotka edellyttivät rahoitustuen myöntämistä ja investoimista covid-19-turvallisuuskäytäntöihin. On tosiasia, että asianomaiset viranomaiset joutuivat rajoittamaan ajoneuvokapasiteettia jyrkästi</w:t>
      </w:r>
      <w:r w:rsidRPr="006E795E">
        <w:rPr>
          <w:rStyle w:val="FootnoteReference"/>
          <w:rFonts w:cstheme="minorHAnsi"/>
          <w:shd w:val="clear" w:color="auto" w:fill="FFFFFF"/>
          <w:lang w:val="en-GB"/>
        </w:rPr>
        <w:footnoteReference w:id="7"/>
      </w:r>
      <w:r>
        <w:t>, ottamaan käyttöön digitaalisia ratkaisuja palvelujen käyttäjien ja työntekijöiden välisen suoran kosketuksen vähentämiseksi, käyttämään enemmän varoja terveys- ja hygieniatarvikkeisiin ja kompensoimaan julkisen liikenteen käyttäjämäärien äkillisestä ja pitkäkestoisesta pienentymisestä johtuvaa tulojen vähentymistä.</w:t>
      </w:r>
    </w:p>
    <w:p w:rsidRPr="00F96DD0" w:rsidR="00983D4F" w:rsidP="00983D4F" w:rsidRDefault="00983D4F" w14:paraId="1280EEFE" w14:textId="77777777">
      <w:pPr>
        <w:pStyle w:val="ListParagraph"/>
      </w:pPr>
    </w:p>
    <w:p w:rsidRPr="006E795E" w:rsidR="00983D4F" w:rsidP="00983D4F" w:rsidRDefault="00983D4F" w14:paraId="775D31BB" w14:textId="77777777">
      <w:pPr>
        <w:pStyle w:val="Heading2"/>
        <w:rPr>
          <w:shd w:val="clear" w:color="auto" w:fill="FFFFFF"/>
        </w:rPr>
      </w:pPr>
      <w:r>
        <w:rPr>
          <w:shd w:val="clear" w:color="auto" w:fill="FFFFFF"/>
        </w:rPr>
        <w:t>ETSK pitää kuitenkin valitettavana, että liikennealan covid-19-turvallisuuskäytäntöjä ei aina sovellettu osallistavasti eli kaikki asianosaiset henkilöt huomioon ottaen. Esimerkiksi tietyissä tapauksissa julkinen liikenne ei ollut vammaisten ja iäkkäiden henkilöiden käytettävissä liikuntarajoitteisille matkustajille tarjottavan avun vähentämisen tai keskeyttämisen takia</w:t>
      </w:r>
      <w:r w:rsidRPr="006E795E">
        <w:rPr>
          <w:rStyle w:val="FootnoteReference"/>
          <w:rFonts w:cstheme="minorHAnsi"/>
          <w:shd w:val="clear" w:color="auto" w:fill="FFFFFF"/>
          <w:lang w:val="en-GB"/>
        </w:rPr>
        <w:footnoteReference w:id="8"/>
      </w:r>
      <w:r>
        <w:rPr>
          <w:shd w:val="clear" w:color="auto" w:fill="FFFFFF"/>
        </w:rPr>
        <w:t xml:space="preserve"> tai sen vuoksi, että digitaalisissa ratkaisuissa ei ollut otettu huomioon ihmisiä, joilla on heikommat digitaaliset taidot tai joilla ei ole varaa digitaalisiin laitteisiin tai sähköisiin viestintäpalveluihin, eikä digitaalisia ratkaisuja kehitetty EU:n esteettömyyspolitiikan ja tukistandardien mukaisesti. </w:t>
      </w:r>
    </w:p>
    <w:p w:rsidRPr="00F96DD0" w:rsidR="00983D4F" w:rsidP="00983D4F" w:rsidRDefault="00983D4F" w14:paraId="4D49BA42" w14:textId="77777777">
      <w:pPr>
        <w:pStyle w:val="ListParagraph"/>
        <w:rPr>
          <w:rFonts w:cstheme="minorHAnsi"/>
          <w:shd w:val="clear" w:color="auto" w:fill="FFFFFF"/>
        </w:rPr>
      </w:pPr>
    </w:p>
    <w:p w:rsidRPr="006E795E" w:rsidR="00983D4F" w:rsidP="00983D4F" w:rsidRDefault="00983D4F" w14:paraId="207B6266" w14:textId="77777777">
      <w:pPr>
        <w:pStyle w:val="Heading2"/>
        <w:rPr>
          <w:rFonts w:cstheme="minorHAnsi"/>
          <w:shd w:val="clear" w:color="auto" w:fill="FFFFFF"/>
        </w:rPr>
      </w:pPr>
      <w:r>
        <w:rPr>
          <w:b/>
        </w:rPr>
        <w:t>ETSK huomauttaa, että nyt tarvitaan pandemian jälkeisiä strategioita, joiden avulla julkisesta liikenteestä tehdään houkutteleva vaihtoehto ja mahdollistetaan sen käyttö yhä useammille ihmisille.</w:t>
      </w:r>
      <w:r>
        <w:t xml:space="preserve"> Kuten asiakokonaisuuteen INT/909 kuuluvassa </w:t>
      </w:r>
      <w:proofErr w:type="spellStart"/>
      <w:r>
        <w:t>ETSK:n</w:t>
      </w:r>
      <w:proofErr w:type="spellEnd"/>
      <w:r>
        <w:t xml:space="preserve"> lausunnossa korostetaan, ”meillä on nyt mahdollisuus varmistaa oikeudenmukainen elpyminen ja rakentaa talouksiamme uudelleen nopeasti, jotta niistä tulisi vihreämpiä ja oikeudenmukaisempia ja ne </w:t>
      </w:r>
      <w:r>
        <w:lastRenderedPageBreak/>
        <w:t>kestäisivät paremmin tulevia häiriöitä”</w:t>
      </w:r>
      <w:r w:rsidRPr="006E795E">
        <w:rPr>
          <w:rStyle w:val="FootnoteReference"/>
          <w:lang w:val="en-GB"/>
        </w:rPr>
        <w:footnoteReference w:id="9"/>
      </w:r>
      <w:r>
        <w:t xml:space="preserve">. Tämä kehotus toistetaan asiakokonaisuuteen TEN/728 kuuluvassa </w:t>
      </w:r>
      <w:proofErr w:type="spellStart"/>
      <w:r>
        <w:t>ETSK:n</w:t>
      </w:r>
      <w:proofErr w:type="spellEnd"/>
      <w:r>
        <w:t xml:space="preserve"> lausunnossa, jossa todetaan, että ”vihreän siirtymän pitää olla sosiaalisesti oikeudenmukainen ja turvata Euroopan liikennealan kilpailukyky, jota tukevat yhtenäisen Euroopan liikennealueen toteuttaminen sekä sisämarkkinoiden valmiiksi saattaminen”</w:t>
      </w:r>
      <w:r w:rsidRPr="006E795E">
        <w:rPr>
          <w:rStyle w:val="FootnoteReference"/>
          <w:lang w:val="en-GB"/>
        </w:rPr>
        <w:footnoteReference w:id="10"/>
      </w:r>
      <w:r>
        <w:t>.</w:t>
      </w:r>
    </w:p>
    <w:p w:rsidRPr="006E795E" w:rsidR="00983D4F" w:rsidP="00983D4F" w:rsidRDefault="00983D4F" w14:paraId="387AB687" w14:textId="77777777">
      <w:pPr>
        <w:rPr>
          <w:lang w:val="en-GB"/>
        </w:rPr>
      </w:pPr>
    </w:p>
    <w:p w:rsidRPr="006E795E" w:rsidR="00983D4F" w:rsidP="00983D4F" w:rsidRDefault="00983D4F" w14:paraId="56B919DB" w14:textId="77777777">
      <w:pPr>
        <w:pStyle w:val="Heading2"/>
        <w:rPr>
          <w:rFonts w:cstheme="minorHAnsi"/>
          <w:shd w:val="clear" w:color="auto" w:fill="FFFFFF"/>
        </w:rPr>
      </w:pPr>
      <w:r>
        <w:t xml:space="preserve">Edellä esitettyjen perusteiden valossa </w:t>
      </w:r>
      <w:r>
        <w:rPr>
          <w:b/>
        </w:rPr>
        <w:t>julkisen liikenteen houkuttelevuuden lisäämisen kannalta olennaisia tekijöitä ovat seuraavat</w:t>
      </w:r>
      <w:r>
        <w:t>:</w:t>
      </w:r>
    </w:p>
    <w:p w:rsidRPr="00F96DD0" w:rsidR="00983D4F" w:rsidP="00983D4F" w:rsidRDefault="00983D4F" w14:paraId="1621C4F9" w14:textId="77777777">
      <w:pPr>
        <w:pStyle w:val="ListParagraph"/>
      </w:pPr>
    </w:p>
    <w:p w:rsidRPr="00F96DD0" w:rsidR="00983D4F" w:rsidP="00983D4F" w:rsidRDefault="00983D4F" w14:paraId="288E32D7" w14:textId="77777777">
      <w:pPr>
        <w:pStyle w:val="ListParagraph"/>
        <w:numPr>
          <w:ilvl w:val="0"/>
          <w:numId w:val="4"/>
        </w:numPr>
        <w:ind w:left="993" w:hanging="426"/>
      </w:pPr>
      <w:r>
        <w:rPr>
          <w:b/>
        </w:rPr>
        <w:t>Saatavuus</w:t>
      </w:r>
      <w:r>
        <w:t>, joka tarkoittaa julkisten liikennemuotojen riittävän kapasiteetin tarjontaa kysynnän kasvaessa. Tämä on erityisen tärkeää maaseutualueilla ja syrjäseuduilla, missä ihmisillä on usein vähemmän vaihtoehtoja.</w:t>
      </w:r>
    </w:p>
    <w:p w:rsidRPr="00F96DD0" w:rsidR="00983D4F" w:rsidP="00983D4F" w:rsidRDefault="00983D4F" w14:paraId="7241264A" w14:textId="77777777">
      <w:pPr>
        <w:pStyle w:val="ListParagraph"/>
        <w:numPr>
          <w:ilvl w:val="0"/>
          <w:numId w:val="4"/>
        </w:numPr>
        <w:ind w:left="993" w:hanging="426"/>
      </w:pPr>
      <w:r>
        <w:rPr>
          <w:b/>
        </w:rPr>
        <w:t xml:space="preserve">Riittävä henkilöstö, jolla on asianmukaiset työolot ja </w:t>
      </w:r>
      <w:r>
        <w:rPr>
          <w:b/>
        </w:rPr>
        <w:noBreakHyphen/>
        <w:t>ehdot ja koulutusmahdollisuudet</w:t>
      </w:r>
      <w:r>
        <w:t>, vakaa ja laadukas työpaikka sekä täydet oikeudet ja edut.</w:t>
      </w:r>
    </w:p>
    <w:p w:rsidRPr="00F96DD0" w:rsidR="00983D4F" w:rsidP="00983D4F" w:rsidRDefault="00983D4F" w14:paraId="4866C9F6" w14:textId="77777777">
      <w:pPr>
        <w:pStyle w:val="ListParagraph"/>
        <w:numPr>
          <w:ilvl w:val="0"/>
          <w:numId w:val="4"/>
        </w:numPr>
        <w:ind w:left="993" w:hanging="426"/>
      </w:pPr>
      <w:r>
        <w:t xml:space="preserve">Yhä enemmän toimivia </w:t>
      </w:r>
      <w:r>
        <w:rPr>
          <w:b/>
        </w:rPr>
        <w:t>vaihtomahdollisuuksia</w:t>
      </w:r>
      <w:r>
        <w:t xml:space="preserve"> eri liikennemuotoihin kaupunkialueilla sekä kaupunkien ja niiden ulkopuolisten alueiden välillä, jotta kaikille matkustajille voidaan tarjota saumattomia </w:t>
      </w:r>
      <w:proofErr w:type="spellStart"/>
      <w:r>
        <w:t>intermodaalisia</w:t>
      </w:r>
      <w:proofErr w:type="spellEnd"/>
      <w:r>
        <w:t xml:space="preserve"> matkoja myös eri maantieteellisten alueiden välillä.</w:t>
      </w:r>
    </w:p>
    <w:p w:rsidRPr="00F96DD0" w:rsidR="00983D4F" w:rsidP="00983D4F" w:rsidRDefault="00983D4F" w14:paraId="2A5EBD8E" w14:textId="77777777">
      <w:pPr>
        <w:pStyle w:val="ListParagraph"/>
        <w:numPr>
          <w:ilvl w:val="0"/>
          <w:numId w:val="4"/>
        </w:numPr>
        <w:ind w:left="993" w:hanging="426"/>
      </w:pPr>
      <w:r>
        <w:rPr>
          <w:b/>
        </w:rPr>
        <w:t>Kohtuuhintaisuus</w:t>
      </w:r>
      <w:r>
        <w:t xml:space="preserve"> kaikille yhteiskunnan jäsenille. Tämän varmistamiseksi julkisen liikenteen kustannuslaskelmissa olisi otettava huomioon, mikä on kohtuuhintaista henkilöille, jotka ovat sosioekonomisesti katsoen köyhiä ja syrjäytyneitä. Mahdollisuuksia ottaa käyttöön kohdennettuja järjestelmiä, joilla tuetaan sosioekonomisesti heikoimmassa asemassa olevia väestöryhmiä, olisi tutkittava tiiviissä yhteistyössä asianomaisten yhteisöjen kanssa.</w:t>
      </w:r>
    </w:p>
    <w:p w:rsidRPr="00F96DD0" w:rsidR="00983D4F" w:rsidP="00983D4F" w:rsidRDefault="00983D4F" w14:paraId="0F9ACC9A" w14:textId="77777777">
      <w:pPr>
        <w:pStyle w:val="ListParagraph"/>
        <w:numPr>
          <w:ilvl w:val="0"/>
          <w:numId w:val="4"/>
        </w:numPr>
        <w:ind w:left="993" w:hanging="426"/>
      </w:pPr>
      <w:r>
        <w:rPr>
          <w:b/>
        </w:rPr>
        <w:t>Esteettömyys</w:t>
      </w:r>
      <w:r>
        <w:t>, joka mahdollistaa saumattoman ja itsenäisen käytön kaikille, myös vammaisille ja ikääntyneille henkilöille sekä (tilapäisesti) liikuntarajoitteisille henkilöille.</w:t>
      </w:r>
    </w:p>
    <w:p w:rsidRPr="00F96DD0" w:rsidR="00983D4F" w:rsidP="00983D4F" w:rsidRDefault="00983D4F" w14:paraId="40A7E585" w14:textId="77777777">
      <w:pPr>
        <w:pStyle w:val="ListParagraph"/>
        <w:numPr>
          <w:ilvl w:val="0"/>
          <w:numId w:val="4"/>
        </w:numPr>
        <w:ind w:left="993" w:hanging="426"/>
      </w:pPr>
      <w:r>
        <w:rPr>
          <w:b/>
        </w:rPr>
        <w:t>Käyttäjien ja työntekijöiden turvallisuus</w:t>
      </w:r>
      <w:r>
        <w:t xml:space="preserve">, jossa keskiössä ovat sukupuoli- ja </w:t>
      </w:r>
      <w:proofErr w:type="spellStart"/>
      <w:r>
        <w:t>intersektionaalisuusulottuvuudet</w:t>
      </w:r>
      <w:proofErr w:type="spellEnd"/>
      <w:r>
        <w:t xml:space="preserve">. Osallistavat kansanterveydelliset toimenpiteet ovat yhtä tärkeitä turvallisen matkustamisen kannalta, kuten viime vuosina on käynyt ilmi. Joukkoliikenteen työntekijät tarvitsevat turvallisen työympäristön, jossa ei esiinny väkivaltaa tai häirintää. </w:t>
      </w:r>
    </w:p>
    <w:p w:rsidRPr="00F96DD0" w:rsidR="00983D4F" w:rsidP="00983D4F" w:rsidRDefault="00983D4F" w14:paraId="041CF44A" w14:textId="77777777">
      <w:pPr>
        <w:pStyle w:val="ListParagraph"/>
        <w:numPr>
          <w:ilvl w:val="0"/>
          <w:numId w:val="4"/>
        </w:numPr>
        <w:ind w:left="993" w:hanging="426"/>
      </w:pPr>
      <w:r>
        <w:rPr>
          <w:b/>
        </w:rPr>
        <w:t xml:space="preserve">Laatu </w:t>
      </w:r>
      <w:r>
        <w:t xml:space="preserve">liittyen käyttömukavuuteen, matka-aikoihin, riittäväksi mitoitettuun henkilöstöön, jolta saa apua, helppokäyttöisiin digitaalisiin ratkaisuihin sekä tiedon saantiin liikennevaihtoehdoista ja aikatauluista. </w:t>
      </w:r>
    </w:p>
    <w:p w:rsidRPr="00F96DD0" w:rsidR="00983D4F" w:rsidP="00983D4F" w:rsidRDefault="00983D4F" w14:paraId="65D46D9B" w14:textId="77777777">
      <w:pPr>
        <w:pStyle w:val="ListParagraph"/>
        <w:ind w:left="993"/>
      </w:pPr>
    </w:p>
    <w:p w:rsidRPr="006E795E" w:rsidR="00983D4F" w:rsidP="00983D4F" w:rsidRDefault="00983D4F" w14:paraId="217DD264" w14:textId="77777777">
      <w:pPr>
        <w:pStyle w:val="Heading2"/>
      </w:pPr>
      <w:r>
        <w:rPr>
          <w:shd w:val="clear" w:color="auto" w:fill="FFFFFF"/>
        </w:rPr>
        <w:t xml:space="preserve">ETSK huomauttaa, että </w:t>
      </w:r>
      <w:r>
        <w:rPr>
          <w:b/>
          <w:shd w:val="clear" w:color="auto" w:fill="FFFFFF"/>
        </w:rPr>
        <w:t>pandemiaa edeltävinä vuosina</w:t>
      </w:r>
      <w:r>
        <w:rPr>
          <w:shd w:val="clear" w:color="auto" w:fill="FFFFFF"/>
        </w:rPr>
        <w:t xml:space="preserve"> luotiin asetuksella (EY) N:o 1370/2007 rautateiden ja maanteiden julkisista henkilöliikennepalveluista mahdollisuuksia avata julkisia liikennepalveluja yksityisille toimijoille tarjouskilpailuilla ja julkisia palveluhankintoja koskevilla sopimuksilla, jotka tehdään EU:n yleisten julkisia hankintoja koskevien sääntöjen mukaisesti. </w:t>
      </w:r>
      <w:r>
        <w:t xml:space="preserve">Koska pandemia on osoittanut julkisen liikenteen strategisen merkityksen yhteiskunnassa ja liikkumisen kannalta ja koska julkisessa liikenteessä on ennennäkemätön henkilöstöpula, ETSK korostaa, että julkisissa palveluhankintasopimuksissa on tarjottava suojaa </w:t>
      </w:r>
      <w:r>
        <w:lastRenderedPageBreak/>
        <w:t xml:space="preserve">sosiaalisten olosuhteiden ja työolojen ja ‑ehtojen näkökulmasta, jotta alan osaaminen pystytään säilyttämään. </w:t>
      </w:r>
    </w:p>
    <w:p w:rsidRPr="006E795E" w:rsidR="00983D4F" w:rsidP="00983D4F" w:rsidRDefault="00983D4F" w14:paraId="72FCFC33" w14:textId="77777777">
      <w:pPr>
        <w:rPr>
          <w:lang w:val="en-GB"/>
        </w:rPr>
      </w:pPr>
    </w:p>
    <w:p w:rsidRPr="006E795E" w:rsidR="00983D4F" w:rsidP="00983D4F" w:rsidRDefault="00983D4F" w14:paraId="6E64215E" w14:textId="77777777">
      <w:pPr>
        <w:pStyle w:val="Heading2"/>
        <w:rPr>
          <w:rFonts w:cstheme="minorHAnsi"/>
          <w:shd w:val="clear" w:color="auto" w:fill="FFFFFF"/>
        </w:rPr>
      </w:pPr>
      <w:r>
        <w:rPr>
          <w:shd w:val="clear" w:color="auto" w:fill="FFFFFF"/>
        </w:rPr>
        <w:t>Julkinen liikenne on palvelu, josta koko yhteiskunnan kaikessa monimuotoisuudessaan on voitava hyötyä. Tämän vuoksi on ratkaisevan tärkeää pitää hankintamenettelyt läpinäkyvinä ja varmistaa sekä työntekijöiden että käyttäjien osallistuminen, kun hankintapäätöksiä tehdään.</w:t>
      </w:r>
    </w:p>
    <w:p w:rsidRPr="00F96DD0" w:rsidR="00983D4F" w:rsidP="00983D4F" w:rsidRDefault="00983D4F" w14:paraId="12610245" w14:textId="77777777">
      <w:pPr>
        <w:pStyle w:val="ListParagraph"/>
        <w:rPr>
          <w:rFonts w:cstheme="minorHAnsi"/>
          <w:shd w:val="clear" w:color="auto" w:fill="FFFFFF"/>
        </w:rPr>
      </w:pPr>
    </w:p>
    <w:p w:rsidRPr="006E795E" w:rsidR="00983D4F" w:rsidP="00983D4F" w:rsidRDefault="00983D4F" w14:paraId="2EA0D2EE" w14:textId="77777777">
      <w:pPr>
        <w:pStyle w:val="Heading2"/>
        <w:rPr>
          <w:shd w:val="clear" w:color="auto" w:fill="FFFFFF"/>
        </w:rPr>
      </w:pPr>
      <w:r>
        <w:rPr>
          <w:shd w:val="clear" w:color="auto" w:fill="FFFFFF"/>
        </w:rPr>
        <w:t xml:space="preserve">ETSK arvostaa sitä, että </w:t>
      </w:r>
      <w:r>
        <w:rPr>
          <w:b/>
          <w:shd w:val="clear" w:color="auto" w:fill="FFFFFF"/>
        </w:rPr>
        <w:t>komissio</w:t>
      </w:r>
      <w:r>
        <w:rPr>
          <w:shd w:val="clear" w:color="auto" w:fill="FFFFFF"/>
        </w:rPr>
        <w:t xml:space="preserve"> käynnisti </w:t>
      </w:r>
      <w:proofErr w:type="spellStart"/>
      <w:r>
        <w:rPr>
          <w:b/>
          <w:shd w:val="clear" w:color="auto" w:fill="FFFFFF"/>
        </w:rPr>
        <w:t>elpymis</w:t>
      </w:r>
      <w:proofErr w:type="spellEnd"/>
      <w:r>
        <w:rPr>
          <w:b/>
          <w:shd w:val="clear" w:color="auto" w:fill="FFFFFF"/>
        </w:rPr>
        <w:t>- ja palautumistukivälineen</w:t>
      </w:r>
      <w:r>
        <w:rPr>
          <w:shd w:val="clear" w:color="auto" w:fill="FFFFFF"/>
        </w:rPr>
        <w:t xml:space="preserve"> covid-19-pandemian sosiaalisten ja taloudellisten vaikutusten lieventämiseksi. Asetuksessa (EU) 2021/241 on määritelty edellytykset, jotka täyttämällä jäsenvaltiot voivat saada EU:lta avustuksia </w:t>
      </w:r>
      <w:proofErr w:type="spellStart"/>
      <w:r>
        <w:rPr>
          <w:shd w:val="clear" w:color="auto" w:fill="FFFFFF"/>
        </w:rPr>
        <w:t>elpymis</w:t>
      </w:r>
      <w:proofErr w:type="spellEnd"/>
      <w:r>
        <w:rPr>
          <w:shd w:val="clear" w:color="auto" w:fill="FFFFFF"/>
        </w:rPr>
        <w:t xml:space="preserve">- ja tukivälineen varoista. Jäsenvaltioiden on täytynyt esittää kansallisia suunnitelmia ja sitoutua käyttämään 37 prosenttia EU:n avustuksista ilmastoinvestointeihin ja </w:t>
      </w:r>
      <w:r>
        <w:rPr>
          <w:shd w:val="clear" w:color="auto" w:fill="FFFFFF"/>
        </w:rPr>
        <w:noBreakHyphen/>
        <w:t xml:space="preserve">uudistuksiin ja 20 prosenttia digitaaliseen siirtymään. Saastuttamattomat liikkumismuodot ovat näiden suunnitelmien ytimessä. </w:t>
      </w:r>
      <w:r>
        <w:t>ETSK huomauttaa kuitenkin, että näiden toimenpiteiden täytäntöönpano vaikuttaa sekä yhteiskuntaan että työntekijöihin, joten sitä ei voida tehdä suljettujen ovien takana. Kaikkien yhteiskunnallisten sidosryhmien olisi voitava osallistua vihreämpää ja kestävämpää julkista liikennettä koskevien toimintapolitiikkojen kehittämiseen.</w:t>
      </w:r>
      <w:r w:rsidRPr="006E795E">
        <w:rPr>
          <w:rStyle w:val="FootnoteReference"/>
          <w:lang w:val="en-GB"/>
        </w:rPr>
        <w:footnoteReference w:id="11"/>
      </w:r>
      <w:r>
        <w:t xml:space="preserve"> Samoin julkisten sidosryhmien olisi voitava tehokkaasti seurata julkisten politiikkojen täytäntöönpanoa ja asiaankuuluvien julkisten varojen käyttöä.</w:t>
      </w:r>
    </w:p>
    <w:p w:rsidRPr="00F96DD0" w:rsidR="00983D4F" w:rsidP="00983D4F" w:rsidRDefault="00983D4F" w14:paraId="6AC8C156" w14:textId="77777777">
      <w:pPr>
        <w:pStyle w:val="ListParagraph"/>
        <w:ind w:left="567"/>
        <w:rPr>
          <w:rFonts w:cstheme="minorHAnsi"/>
          <w:shd w:val="clear" w:color="auto" w:fill="FFFFFF"/>
        </w:rPr>
      </w:pPr>
    </w:p>
    <w:p w:rsidRPr="006E795E" w:rsidR="00983D4F" w:rsidP="00983D4F" w:rsidRDefault="00983D4F" w14:paraId="32ADE805" w14:textId="77777777">
      <w:pPr>
        <w:pStyle w:val="Heading2"/>
      </w:pPr>
      <w:r>
        <w:rPr>
          <w:b/>
        </w:rPr>
        <w:t>Olisi edistettävä laaja-alaista osallistumista joukkoliikenteen kehittämisratkaisuihin</w:t>
      </w:r>
      <w:r>
        <w:t>, jotta kaikki sidosryhmät kuten viranomaiset, palveluntarjoajat, julkisen liikenteen käyttäjät sekä esteettömyyden ja kaupunkisuunnittelun asiantuntijat pääsevät antamaan panoksensa.</w:t>
      </w:r>
      <w:r w:rsidRPr="006E795E">
        <w:rPr>
          <w:rStyle w:val="FootnoteReference"/>
          <w:lang w:val="en-GB"/>
        </w:rPr>
        <w:footnoteReference w:id="12"/>
      </w:r>
      <w:r>
        <w:t xml:space="preserve"> Joukkoliikenneratkaisujen yhteiskehittämisen parhaita käytäntöjä on edistettävä.</w:t>
      </w:r>
      <w:r w:rsidRPr="006E795E">
        <w:rPr>
          <w:rStyle w:val="FootnoteReference"/>
          <w:lang w:val="en-GB"/>
        </w:rPr>
        <w:footnoteReference w:id="13"/>
      </w:r>
      <w:r>
        <w:t xml:space="preserve"> YK:n vammaisyleissopimuksen mukaisen kaikille sopivaan suunnitteluun</w:t>
      </w:r>
      <w:r w:rsidRPr="006E795E">
        <w:rPr>
          <w:rStyle w:val="FootnoteReference"/>
          <w:lang w:val="en-GB"/>
        </w:rPr>
        <w:footnoteReference w:id="14"/>
      </w:r>
      <w:r>
        <w:t xml:space="preserve"> pohjautuvan lähestymistavan palvelujen kehittämisen tulisi mahdollistaa se, että mahdollisimman monet käyttäjät, myös vammaiset, ikääntyneet ja liikuntarajoitteiset henkilöt, pystyvät käyttämään palveluja. </w:t>
      </w:r>
    </w:p>
    <w:p w:rsidRPr="006E795E" w:rsidR="00983D4F" w:rsidP="00983D4F" w:rsidRDefault="00983D4F" w14:paraId="54AAD152" w14:textId="77777777">
      <w:pPr>
        <w:rPr>
          <w:lang w:val="en-GB"/>
        </w:rPr>
      </w:pPr>
    </w:p>
    <w:p w:rsidRPr="006E795E" w:rsidR="00983D4F" w:rsidP="00983D4F" w:rsidRDefault="00983D4F" w14:paraId="382D17E6" w14:textId="77777777">
      <w:pPr>
        <w:pStyle w:val="Heading2"/>
      </w:pPr>
      <w:r>
        <w:t xml:space="preserve">Komission tiedonannossa 55-valmiuspaketista todetaan, että ”monet kansalaiset, erityisesti nuoret, ovat asianmukaisen tiedon </w:t>
      </w:r>
      <w:proofErr w:type="spellStart"/>
      <w:r>
        <w:t>voimaannuttamina</w:t>
      </w:r>
      <w:proofErr w:type="spellEnd"/>
      <w:r>
        <w:t xml:space="preserve"> valmiita muuttamaan kulutus- ja liikkumistapojaan pienentääkseen hiilijalanjälkeään ja elääkseen vihreämmässä ja terveellisemmässä ympäristössä”</w:t>
      </w:r>
      <w:r w:rsidRPr="006E795E">
        <w:rPr>
          <w:rStyle w:val="FootnoteReference"/>
          <w:lang w:val="en-GB"/>
        </w:rPr>
        <w:footnoteReference w:id="15"/>
      </w:r>
      <w:r>
        <w:t xml:space="preserve">. Tekemällä tällaisista liikkumistavoista houkuttelevampia </w:t>
      </w:r>
      <w:r>
        <w:lastRenderedPageBreak/>
        <w:t>kaikille voidaan edistää siirtymää vihreämpiin ja kestävämpiin liikennemuotoihin. On tärkeää lisätä tietoisuutta liikenteen ja henkilökohtaisten liikkumisvalintojen ympäristövaikutuksista. Edistämistoimilla ei kuitenkaan yksinään ole riittävää vaikutusta, ellei julkisen liikenteen saatavuuteen, kohtuuhintaisuuteen, esteettömyyteen ja turvallisuuteen liittyviä haasteita ratkaista asianmukaisesti. Vaikka monet ihmiset ovat tietoisia kiireellisestä tarpeesta siirtyä ympäristösyistä käyttämään vihreämpiä liikennemuotoja, he eivät pysty omalta osaltaan edistämään vihreää siirtymää merkittävästi, jos heillä ei yksinkertaisesti ole varaa tai mahdollisuutta käyttää ympäristöystävällisempiä liikennemuotoja. Tämä on EU:lle valtava menetetty mahdollisuus.</w:t>
      </w:r>
    </w:p>
    <w:p w:rsidRPr="006E795E" w:rsidR="00983D4F" w:rsidP="00983D4F" w:rsidRDefault="00983D4F" w14:paraId="34FA959E" w14:textId="77777777">
      <w:pPr>
        <w:rPr>
          <w:shd w:val="clear" w:color="auto" w:fill="FFFFFF"/>
          <w:lang w:val="en-GB"/>
        </w:rPr>
      </w:pPr>
    </w:p>
    <w:p w:rsidRPr="006E795E" w:rsidR="00983D4F" w:rsidP="00983D4F" w:rsidRDefault="00983D4F" w14:paraId="0C4A97AF" w14:textId="77777777">
      <w:pPr>
        <w:pStyle w:val="Heading2"/>
      </w:pPr>
      <w:r>
        <w:rPr>
          <w:shd w:val="clear" w:color="auto" w:fill="FFFFFF"/>
        </w:rPr>
        <w:t xml:space="preserve">ETSK korostaa, että </w:t>
      </w:r>
      <w:r>
        <w:rPr>
          <w:b/>
          <w:shd w:val="clear" w:color="auto" w:fill="FFFFFF"/>
        </w:rPr>
        <w:t>covid-19-pandemia on nopeuttanut digitaaliteknologioiden integrointia julkiseen liikenteeseen</w:t>
      </w:r>
      <w:r>
        <w:rPr>
          <w:shd w:val="clear" w:color="auto" w:fill="FFFFFF"/>
        </w:rPr>
        <w:t xml:space="preserve">. On enemmän kuin todennäköistä, että EU:n </w:t>
      </w:r>
      <w:proofErr w:type="spellStart"/>
      <w:r>
        <w:rPr>
          <w:shd w:val="clear" w:color="auto" w:fill="FFFFFF"/>
        </w:rPr>
        <w:t>elpymis</w:t>
      </w:r>
      <w:proofErr w:type="spellEnd"/>
      <w:r>
        <w:rPr>
          <w:shd w:val="clear" w:color="auto" w:fill="FFFFFF"/>
        </w:rPr>
        <w:t xml:space="preserve">- ja palautumistukivälineen ja kansallisten </w:t>
      </w:r>
      <w:proofErr w:type="spellStart"/>
      <w:r>
        <w:rPr>
          <w:shd w:val="clear" w:color="auto" w:fill="FFFFFF"/>
        </w:rPr>
        <w:t>elpymis</w:t>
      </w:r>
      <w:proofErr w:type="spellEnd"/>
      <w:r>
        <w:rPr>
          <w:shd w:val="clear" w:color="auto" w:fill="FFFFFF"/>
        </w:rPr>
        <w:t xml:space="preserve">- ja palautumissuunnitelmien käyttöönotto pitävät yllä ja edistävät näitä suuntauksia. Vaikka </w:t>
      </w:r>
      <w:proofErr w:type="spellStart"/>
      <w:r>
        <w:rPr>
          <w:shd w:val="clear" w:color="auto" w:fill="FFFFFF"/>
        </w:rPr>
        <w:t>digitalisaatio</w:t>
      </w:r>
      <w:proofErr w:type="spellEnd"/>
      <w:r>
        <w:rPr>
          <w:shd w:val="clear" w:color="auto" w:fill="FFFFFF"/>
        </w:rPr>
        <w:t xml:space="preserve"> voi edistää joukkoliikenteen tehokkuutta ja kestävyyttä sekä hyödyttää liikenteen käyttäjiä (esimerkiksi digitaaliset reittioppaat, reaaliaikaiset liikennetiedot), olisi huolehdittava siitä, ettei digitaalinen siirtymä tapahdu liikenteen työntekijöiden työmahdollisuuksien tai käyttäjien henkilökohtaisten tukipalveluiden kustannuksella ja ettei siirtymä kasvata liikkumismahdollisuuksiin liittyvää kuilua </w:t>
      </w:r>
      <w:proofErr w:type="spellStart"/>
      <w:r>
        <w:rPr>
          <w:shd w:val="clear" w:color="auto" w:fill="FFFFFF"/>
        </w:rPr>
        <w:t>digitalisaatiosta</w:t>
      </w:r>
      <w:proofErr w:type="spellEnd"/>
      <w:r>
        <w:rPr>
          <w:shd w:val="clear" w:color="auto" w:fill="FFFFFF"/>
        </w:rPr>
        <w:t xml:space="preserve"> hyötyvien käyttäjien ja niiden käyttäjien välillä, jotka eivät pysty hyötymään siitä, koska digitaaliset palvelut eivät ole esteettömiä tai kohtuuhintaisia tai koska heidän digitaaliset taitonsa ovat heikommat. ETSK kehottaakin poliittisia päättäjiä huolehtimaan eri tahojen laaja-alaisesta osallistamisesta, kun toteutetaan digitaalisen siirtymän prosesseja, joiden tarkoituksena on tehdä liikenteestä kaikkien osalta kestävää ja oikeudenmukaista. </w:t>
      </w:r>
    </w:p>
    <w:p w:rsidRPr="006E795E" w:rsidR="00983D4F" w:rsidP="006E795E" w:rsidRDefault="00983D4F" w14:paraId="24A9BA6A" w14:textId="77777777">
      <w:pPr>
        <w:rPr>
          <w:lang w:val="en-GB"/>
        </w:rPr>
      </w:pPr>
    </w:p>
    <w:p w:rsidRPr="006E795E" w:rsidR="00983D4F" w:rsidP="00983D4F" w:rsidRDefault="00983D4F" w14:paraId="1E6143EF" w14:textId="77777777">
      <w:r>
        <w:t>Bryssel 26. lokakuuta 2022</w:t>
      </w:r>
    </w:p>
    <w:p w:rsidRPr="006E795E" w:rsidR="00983D4F" w:rsidP="00983D4F" w:rsidRDefault="00983D4F" w14:paraId="1477EFFC" w14:textId="77777777">
      <w:pPr>
        <w:rPr>
          <w:lang w:val="en-GB"/>
        </w:rPr>
      </w:pPr>
    </w:p>
    <w:p w:rsidR="00983D4F" w:rsidP="00983D4F" w:rsidRDefault="00983D4F" w14:paraId="583E46F3" w14:textId="77777777">
      <w:pPr>
        <w:rPr>
          <w:lang w:val="en-GB"/>
        </w:rPr>
      </w:pPr>
    </w:p>
    <w:p w:rsidRPr="006E795E" w:rsidR="00F96DD0" w:rsidP="00983D4F" w:rsidRDefault="00F96DD0" w14:paraId="6834BF27" w14:textId="77777777">
      <w:pPr>
        <w:rPr>
          <w:lang w:val="en-GB"/>
        </w:rPr>
      </w:pPr>
    </w:p>
    <w:p w:rsidRPr="006E795E" w:rsidR="00983D4F" w:rsidP="00983D4F" w:rsidRDefault="00983D4F" w14:paraId="4A962411" w14:textId="77777777">
      <w:pPr>
        <w:rPr>
          <w:lang w:val="en-GB"/>
        </w:rPr>
      </w:pPr>
    </w:p>
    <w:p w:rsidRPr="006E795E" w:rsidR="00983D4F" w:rsidP="00983D4F" w:rsidRDefault="002D63E5" w14:paraId="7CF28567" w14:textId="77777777">
      <w:proofErr w:type="spellStart"/>
      <w:r>
        <w:t>Christa</w:t>
      </w:r>
      <w:proofErr w:type="spellEnd"/>
      <w:r>
        <w:t xml:space="preserve"> </w:t>
      </w:r>
      <w:proofErr w:type="spellStart"/>
      <w:r>
        <w:t>Schweng</w:t>
      </w:r>
      <w:proofErr w:type="spellEnd"/>
    </w:p>
    <w:p w:rsidRPr="006E795E" w:rsidR="00983D4F" w:rsidP="00983D4F" w:rsidRDefault="00983D4F" w14:paraId="7EF4A977" w14:textId="77777777">
      <w:r>
        <w:t>Euroopan talous- ja sosiaalikomitean puheenjohtaja</w:t>
      </w:r>
    </w:p>
    <w:p w:rsidRPr="006E795E" w:rsidR="00983D4F" w:rsidP="00983D4F" w:rsidRDefault="00983D4F" w14:paraId="0B162D8C" w14:textId="77777777">
      <w:pPr>
        <w:jc w:val="center"/>
        <w:rPr>
          <w:lang w:val="en-GB"/>
        </w:rPr>
      </w:pPr>
    </w:p>
    <w:p w:rsidRPr="006E795E" w:rsidR="00983D4F" w:rsidP="00983D4F" w:rsidRDefault="00983D4F" w14:paraId="6CDE1C50" w14:textId="77777777">
      <w:pPr>
        <w:jc w:val="center"/>
      </w:pPr>
      <w:r>
        <w:t>____________</w:t>
      </w:r>
    </w:p>
    <w:p w:rsidRPr="00F96DD0" w:rsidR="00F53370" w:rsidP="00983D4F" w:rsidRDefault="00F53370" w14:paraId="1FF11BB5" w14:textId="77777777">
      <w:pPr>
        <w:pStyle w:val="Heading1"/>
        <w:numPr>
          <w:ilvl w:val="0"/>
          <w:numId w:val="0"/>
        </w:numPr>
        <w:overflowPunct w:val="0"/>
        <w:autoSpaceDE w:val="0"/>
        <w:autoSpaceDN w:val="0"/>
        <w:adjustRightInd w:val="0"/>
        <w:ind w:left="567"/>
        <w:textAlignment w:val="baseline"/>
        <w:rPr>
          <w:lang w:val="en-GB"/>
        </w:rPr>
      </w:pPr>
    </w:p>
    <w:sectPr w:rsidRPr="00F96DD0" w:rsidR="00F53370" w:rsidSect="008A2159">
      <w:headerReference w:type="even" r:id="rId21"/>
      <w:headerReference w:type="default" r:id="rId22"/>
      <w:footerReference w:type="even" r:id="rId23"/>
      <w:footerReference w:type="default" r:id="rId24"/>
      <w:headerReference w:type="first" r:id="rId25"/>
      <w:footerReference w:type="first" r:id="rId26"/>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A77F3" w14:textId="77777777" w:rsidR="00D039AF" w:rsidRDefault="00D039AF" w:rsidP="00F53370">
      <w:pPr>
        <w:spacing w:line="240" w:lineRule="auto"/>
      </w:pPr>
      <w:r>
        <w:separator/>
      </w:r>
    </w:p>
  </w:endnote>
  <w:endnote w:type="continuationSeparator" w:id="0">
    <w:p w14:paraId="20CA749B" w14:textId="77777777" w:rsidR="00D039AF" w:rsidRDefault="00D039A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28B0" w14:textId="77777777" w:rsidR="008A2159" w:rsidRDefault="008A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4E221" w14:textId="77777777" w:rsidR="008A2159" w:rsidRDefault="008A2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F2414" w14:textId="77777777" w:rsidR="008A2159" w:rsidRDefault="008A21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80E41"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5372" w14:textId="77777777" w:rsidR="00CA6C9E" w:rsidRPr="00AB759D" w:rsidRDefault="007E4CDC" w:rsidP="00AB75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D4D8" w14:textId="05092F0C" w:rsidR="00C708A0" w:rsidRPr="00AB759D" w:rsidRDefault="008A2159" w:rsidP="008A2159">
    <w:pPr>
      <w:pStyle w:val="Footer"/>
      <w:jc w:val="left"/>
    </w:pPr>
    <w:r>
      <w:t xml:space="preserve">TEN/774 – EESC-2022-00655-00-00-AC-TRA (EN) </w:t>
    </w:r>
    <w:r>
      <w:fldChar w:fldCharType="begin"/>
    </w:r>
    <w:r>
      <w:instrText xml:space="preserve"> PAGE  \* Arabic  \* MERGEFORMAT </w:instrText>
    </w:r>
    <w:r>
      <w:fldChar w:fldCharType="separate"/>
    </w:r>
    <w:r w:rsidR="00285FBA">
      <w:rPr>
        <w:noProof/>
      </w:rPr>
      <w:t>8</w:t>
    </w:r>
    <w:r>
      <w:fldChar w:fldCharType="end"/>
    </w:r>
    <w:r>
      <w:t>/</w:t>
    </w:r>
    <w:r>
      <w:fldChar w:fldCharType="begin"/>
    </w:r>
    <w:r>
      <w:instrText xml:space="preserve"> = </w:instrText>
    </w:r>
    <w:r w:rsidR="007E4CDC">
      <w:fldChar w:fldCharType="begin"/>
    </w:r>
    <w:r w:rsidR="007E4CDC">
      <w:instrText xml:space="preserve"> NUMPAGES </w:instrText>
    </w:r>
    <w:r w:rsidR="007E4CDC">
      <w:fldChar w:fldCharType="separate"/>
    </w:r>
    <w:r w:rsidR="00285FBA">
      <w:rPr>
        <w:noProof/>
      </w:rPr>
      <w:instrText>10</w:instrText>
    </w:r>
    <w:r w:rsidR="007E4CDC">
      <w:fldChar w:fldCharType="end"/>
    </w:r>
    <w:r>
      <w:instrText xml:space="preserve"> - 2 </w:instrText>
    </w:r>
    <w:r>
      <w:fldChar w:fldCharType="separate"/>
    </w:r>
    <w:r w:rsidR="00285FBA">
      <w:rPr>
        <w:noProof/>
      </w:rPr>
      <w:t>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EB07F" w14:textId="77777777" w:rsidR="00CA6C9E" w:rsidRPr="00AB759D" w:rsidRDefault="007E4CDC" w:rsidP="00AB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44929" w14:textId="77777777" w:rsidR="00D039AF" w:rsidRDefault="00D039AF" w:rsidP="00F53370">
      <w:pPr>
        <w:spacing w:line="240" w:lineRule="auto"/>
      </w:pPr>
      <w:r>
        <w:separator/>
      </w:r>
    </w:p>
  </w:footnote>
  <w:footnote w:type="continuationSeparator" w:id="0">
    <w:p w14:paraId="13A64D6A" w14:textId="77777777" w:rsidR="00D039AF" w:rsidRDefault="00D039AF" w:rsidP="00F53370">
      <w:pPr>
        <w:spacing w:line="240" w:lineRule="auto"/>
      </w:pPr>
      <w:r>
        <w:continuationSeparator/>
      </w:r>
    </w:p>
  </w:footnote>
  <w:footnote w:id="1">
    <w:p w14:paraId="0383CECC" w14:textId="77777777" w:rsidR="00983D4F" w:rsidRPr="008D77FB" w:rsidRDefault="00983D4F" w:rsidP="00983D4F">
      <w:pPr>
        <w:pStyle w:val="FootnoteText"/>
        <w:rPr>
          <w:sz w:val="18"/>
          <w:szCs w:val="18"/>
        </w:rPr>
      </w:pPr>
      <w:r>
        <w:rPr>
          <w:rStyle w:val="FootnoteReference"/>
          <w:sz w:val="22"/>
        </w:rPr>
        <w:footnoteRef/>
      </w:r>
      <w:r>
        <w:rPr>
          <w:sz w:val="14"/>
        </w:rPr>
        <w:t xml:space="preserve"> </w:t>
      </w:r>
      <w:r>
        <w:tab/>
        <w:t xml:space="preserve">Kaupunkiliikenteen kehys, </w:t>
      </w:r>
      <w:hyperlink r:id="rId1" w:history="1">
        <w:r>
          <w:rPr>
            <w:rStyle w:val="Hyperlink"/>
          </w:rPr>
          <w:t xml:space="preserve">COM(2021) 811 </w:t>
        </w:r>
        <w:proofErr w:type="spellStart"/>
        <w:r>
          <w:rPr>
            <w:rStyle w:val="Hyperlink"/>
          </w:rPr>
          <w:t>final</w:t>
        </w:r>
        <w:proofErr w:type="spellEnd"/>
      </w:hyperlink>
    </w:p>
  </w:footnote>
  <w:footnote w:id="2">
    <w:p w14:paraId="72A10E79" w14:textId="77777777" w:rsidR="00983D4F" w:rsidRPr="008D77FB" w:rsidRDefault="00983D4F" w:rsidP="00983D4F">
      <w:pPr>
        <w:pStyle w:val="FootnoteText"/>
      </w:pPr>
      <w:r>
        <w:rPr>
          <w:rStyle w:val="FootnoteReference"/>
        </w:rPr>
        <w:footnoteRef/>
      </w:r>
      <w:r>
        <w:t xml:space="preserve"> </w:t>
      </w:r>
      <w:r>
        <w:tab/>
      </w:r>
      <w:proofErr w:type="spellStart"/>
      <w:r>
        <w:rPr>
          <w:i/>
        </w:rPr>
        <w:t>Women</w:t>
      </w:r>
      <w:proofErr w:type="spellEnd"/>
      <w:r>
        <w:rPr>
          <w:i/>
        </w:rPr>
        <w:t xml:space="preserve"> and transport</w:t>
      </w:r>
      <w:r>
        <w:t xml:space="preserve">, Euroopan parlamentti, naisten oikeuksien ja sukupuolten tasa-arvon valiokunta, joulukuu 2021, </w:t>
      </w:r>
      <w:hyperlink r:id="rId2" w:history="1">
        <w:r>
          <w:rPr>
            <w:rStyle w:val="Hyperlink"/>
          </w:rPr>
          <w:t>https://www.europarl.europa.eu/RegData/etudes/STUD/2021/701004/IPOL_STU(2021)701004_EN.pdf</w:t>
        </w:r>
      </w:hyperlink>
      <w:r>
        <w:t>, s. 34–35. ”Aineistoa on tarkasteltava naisten liikkumistarpeiden kontekstissa. Kuten edellisissä osioissa mainittiin, naiset työskentelevät useammin osa-aikaisesti, huolehtivat lapsista ja sukulaisista, elävät pidempään, heillä on harvemmin ajokortti ja oma auto, ja he käyttävät joukkoliikennettä ja kävelevät miehiä useammin. Heillä on miehiä monimutkaisemmat päivittäiset liikkumiskuviot. Samaan aikaan naisten valta määrätä kotitalouksien rahankäytöstä on usein rajallinen, koska he ovat todennäköisemmin kotitalouksien toissijaisia palkansaajia (</w:t>
      </w:r>
      <w:proofErr w:type="spellStart"/>
      <w:r>
        <w:t>Borgato</w:t>
      </w:r>
      <w:proofErr w:type="spellEnd"/>
      <w:r>
        <w:t xml:space="preserve"> ym., 2021; </w:t>
      </w:r>
      <w:proofErr w:type="spellStart"/>
      <w:r>
        <w:t>Rastrigina</w:t>
      </w:r>
      <w:proofErr w:type="spellEnd"/>
      <w:r>
        <w:t xml:space="preserve"> ja </w:t>
      </w:r>
      <w:proofErr w:type="spellStart"/>
      <w:r>
        <w:t>Verashchagina</w:t>
      </w:r>
      <w:proofErr w:type="spellEnd"/>
      <w:r>
        <w:t>, 2015). Yleisesti ottaen naiset ovat todennäköisemmin köyhyys- ja syrjäytymisvaarassa (EIGE, 2020), koska he kuuluvat todennäköisemmin haavoittuvassa asemassa oleviin ryhmiin ja kohtuuhintaisuus on ratkaiseva tekijä heidän liikkuvuutensa kannalta.”</w:t>
      </w:r>
    </w:p>
  </w:footnote>
  <w:footnote w:id="3">
    <w:p w14:paraId="27B51D4B" w14:textId="77777777" w:rsidR="00983D4F" w:rsidRPr="008D77FB" w:rsidRDefault="00983D4F" w:rsidP="00983D4F">
      <w:pPr>
        <w:pStyle w:val="FootnoteText"/>
      </w:pPr>
      <w:r>
        <w:rPr>
          <w:rStyle w:val="FootnoteReference"/>
          <w:sz w:val="22"/>
          <w:szCs w:val="24"/>
        </w:rPr>
        <w:footnoteRef/>
      </w:r>
      <w:r>
        <w:rPr>
          <w:sz w:val="18"/>
        </w:rPr>
        <w:tab/>
      </w:r>
      <w:hyperlink r:id="rId3" w:history="1">
        <w:r>
          <w:rPr>
            <w:rStyle w:val="Hyperlink"/>
          </w:rPr>
          <w:t xml:space="preserve">Ikääntyvä Eurooppa – tilastot väestön kehityksestä – </w:t>
        </w:r>
        <w:proofErr w:type="spellStart"/>
        <w:r>
          <w:rPr>
            <w:rStyle w:val="Hyperlink"/>
          </w:rPr>
          <w:t>Eurostat</w:t>
        </w:r>
        <w:proofErr w:type="spellEnd"/>
      </w:hyperlink>
      <w:r>
        <w:t xml:space="preserve"> (englanniksi).</w:t>
      </w:r>
    </w:p>
  </w:footnote>
  <w:footnote w:id="4">
    <w:p w14:paraId="6A319F09" w14:textId="77777777" w:rsidR="00983D4F" w:rsidRPr="008D77FB" w:rsidRDefault="00983D4F" w:rsidP="00983D4F">
      <w:pPr>
        <w:pStyle w:val="FootnoteText"/>
        <w:rPr>
          <w:szCs w:val="16"/>
        </w:rPr>
      </w:pPr>
      <w:r>
        <w:rPr>
          <w:rStyle w:val="FootnoteReference"/>
          <w:sz w:val="22"/>
          <w:szCs w:val="24"/>
        </w:rPr>
        <w:footnoteRef/>
      </w:r>
      <w:r>
        <w:tab/>
      </w:r>
      <w:proofErr w:type="spellStart"/>
      <w:r>
        <w:t>ETF:n</w:t>
      </w:r>
      <w:proofErr w:type="spellEnd"/>
      <w:r>
        <w:t xml:space="preserve"> &amp; </w:t>
      </w:r>
      <w:proofErr w:type="spellStart"/>
      <w:r>
        <w:t>UITP:n</w:t>
      </w:r>
      <w:proofErr w:type="spellEnd"/>
      <w:r>
        <w:t xml:space="preserve"> yhteinen kannanotto COP26-kokousta silmällä pitäen: </w:t>
      </w:r>
      <w:hyperlink r:id="rId4" w:history="1">
        <w:proofErr w:type="spellStart"/>
        <w:r>
          <w:rPr>
            <w:rStyle w:val="Hyperlink"/>
            <w:i/>
          </w:rPr>
          <w:t>Tackling</w:t>
        </w:r>
        <w:proofErr w:type="spellEnd"/>
        <w:r>
          <w:rPr>
            <w:rStyle w:val="Hyperlink"/>
            <w:i/>
          </w:rPr>
          <w:t xml:space="preserve"> </w:t>
        </w:r>
        <w:proofErr w:type="spellStart"/>
        <w:r>
          <w:rPr>
            <w:rStyle w:val="Hyperlink"/>
            <w:i/>
          </w:rPr>
          <w:t>climate</w:t>
        </w:r>
        <w:proofErr w:type="spellEnd"/>
        <w:r>
          <w:rPr>
            <w:rStyle w:val="Hyperlink"/>
            <w:i/>
          </w:rPr>
          <w:t xml:space="preserve"> action </w:t>
        </w:r>
        <w:proofErr w:type="spellStart"/>
        <w:r>
          <w:rPr>
            <w:rStyle w:val="Hyperlink"/>
            <w:i/>
          </w:rPr>
          <w:t>with</w:t>
        </w:r>
        <w:proofErr w:type="spellEnd"/>
        <w:r>
          <w:rPr>
            <w:rStyle w:val="Hyperlink"/>
            <w:i/>
          </w:rPr>
          <w:t xml:space="preserve"> </w:t>
        </w:r>
        <w:proofErr w:type="spellStart"/>
        <w:r>
          <w:rPr>
            <w:rStyle w:val="Hyperlink"/>
            <w:i/>
          </w:rPr>
          <w:t>public</w:t>
        </w:r>
        <w:proofErr w:type="spellEnd"/>
        <w:r>
          <w:rPr>
            <w:rStyle w:val="Hyperlink"/>
            <w:i/>
          </w:rPr>
          <w:t xml:space="preserve"> transport is </w:t>
        </w:r>
        <w:proofErr w:type="spellStart"/>
        <w:r>
          <w:rPr>
            <w:rStyle w:val="Hyperlink"/>
            <w:i/>
          </w:rPr>
          <w:t>one</w:t>
        </w:r>
        <w:proofErr w:type="spellEnd"/>
        <w:r>
          <w:rPr>
            <w:rStyle w:val="Hyperlink"/>
            <w:i/>
          </w:rPr>
          <w:t xml:space="preserve"> of </w:t>
        </w:r>
        <w:proofErr w:type="spellStart"/>
        <w:r>
          <w:rPr>
            <w:rStyle w:val="Hyperlink"/>
            <w:i/>
          </w:rPr>
          <w:t>the</w:t>
        </w:r>
        <w:proofErr w:type="spellEnd"/>
        <w:r>
          <w:rPr>
            <w:rStyle w:val="Hyperlink"/>
            <w:i/>
          </w:rPr>
          <w:t xml:space="preserve"> </w:t>
        </w:r>
        <w:proofErr w:type="spellStart"/>
        <w:r>
          <w:rPr>
            <w:rStyle w:val="Hyperlink"/>
            <w:i/>
          </w:rPr>
          <w:t>EU’s</w:t>
        </w:r>
        <w:proofErr w:type="spellEnd"/>
        <w:r>
          <w:rPr>
            <w:rStyle w:val="Hyperlink"/>
            <w:i/>
          </w:rPr>
          <w:t xml:space="preserve"> </w:t>
        </w:r>
        <w:proofErr w:type="spellStart"/>
        <w:r>
          <w:rPr>
            <w:rStyle w:val="Hyperlink"/>
            <w:i/>
          </w:rPr>
          <w:t>largest</w:t>
        </w:r>
        <w:proofErr w:type="spellEnd"/>
        <w:r>
          <w:rPr>
            <w:rStyle w:val="Hyperlink"/>
            <w:i/>
          </w:rPr>
          <w:t xml:space="preserve"> </w:t>
        </w:r>
        <w:proofErr w:type="spellStart"/>
        <w:r>
          <w:rPr>
            <w:rStyle w:val="Hyperlink"/>
            <w:i/>
          </w:rPr>
          <w:t>economic</w:t>
        </w:r>
        <w:proofErr w:type="spellEnd"/>
        <w:r>
          <w:rPr>
            <w:rStyle w:val="Hyperlink"/>
            <w:i/>
          </w:rPr>
          <w:t xml:space="preserve"> </w:t>
        </w:r>
        <w:proofErr w:type="spellStart"/>
        <w:r>
          <w:rPr>
            <w:rStyle w:val="Hyperlink"/>
            <w:i/>
          </w:rPr>
          <w:t>opportunities</w:t>
        </w:r>
        <w:proofErr w:type="spellEnd"/>
        <w:r>
          <w:rPr>
            <w:rStyle w:val="Hyperlink"/>
            <w:i/>
          </w:rPr>
          <w:t xml:space="preserve"> of </w:t>
        </w:r>
        <w:proofErr w:type="spellStart"/>
        <w:r>
          <w:rPr>
            <w:rStyle w:val="Hyperlink"/>
            <w:i/>
          </w:rPr>
          <w:t>the</w:t>
        </w:r>
        <w:proofErr w:type="spellEnd"/>
        <w:r>
          <w:rPr>
            <w:rStyle w:val="Hyperlink"/>
            <w:i/>
          </w:rPr>
          <w:t xml:space="preserve"> 21st </w:t>
        </w:r>
        <w:proofErr w:type="spellStart"/>
        <w:r>
          <w:rPr>
            <w:rStyle w:val="Hyperlink"/>
            <w:i/>
          </w:rPr>
          <w:t>century</w:t>
        </w:r>
        <w:proofErr w:type="spellEnd"/>
      </w:hyperlink>
    </w:p>
  </w:footnote>
  <w:footnote w:id="5">
    <w:p w14:paraId="0CAEFF7A" w14:textId="77777777" w:rsidR="00983D4F" w:rsidRPr="008D77FB" w:rsidRDefault="00983D4F" w:rsidP="00983D4F">
      <w:pPr>
        <w:pStyle w:val="FootnoteText"/>
        <w:rPr>
          <w:szCs w:val="16"/>
        </w:rPr>
      </w:pPr>
      <w:r>
        <w:rPr>
          <w:rStyle w:val="FootnoteReference"/>
          <w:sz w:val="22"/>
        </w:rPr>
        <w:footnoteRef/>
      </w:r>
      <w:r>
        <w:t xml:space="preserve"> </w:t>
      </w:r>
      <w:r>
        <w:tab/>
      </w:r>
      <w:hyperlink r:id="rId5" w:history="1">
        <w:proofErr w:type="spellStart"/>
        <w:r>
          <w:rPr>
            <w:rStyle w:val="Hyperlink"/>
            <w:i/>
          </w:rPr>
          <w:t>Relaunching</w:t>
        </w:r>
        <w:proofErr w:type="spellEnd"/>
        <w:r>
          <w:rPr>
            <w:rStyle w:val="Hyperlink"/>
            <w:i/>
          </w:rPr>
          <w:t xml:space="preserve"> Transport and </w:t>
        </w:r>
        <w:proofErr w:type="spellStart"/>
        <w:r>
          <w:rPr>
            <w:rStyle w:val="Hyperlink"/>
            <w:i/>
          </w:rPr>
          <w:t>Tourism</w:t>
        </w:r>
        <w:proofErr w:type="spellEnd"/>
        <w:r>
          <w:rPr>
            <w:rStyle w:val="Hyperlink"/>
            <w:i/>
          </w:rPr>
          <w:t xml:space="preserve"> in </w:t>
        </w:r>
        <w:proofErr w:type="spellStart"/>
        <w:r>
          <w:rPr>
            <w:rStyle w:val="Hyperlink"/>
            <w:i/>
          </w:rPr>
          <w:t>the</w:t>
        </w:r>
        <w:proofErr w:type="spellEnd"/>
        <w:r>
          <w:rPr>
            <w:rStyle w:val="Hyperlink"/>
            <w:i/>
          </w:rPr>
          <w:t xml:space="preserve"> EU </w:t>
        </w:r>
        <w:proofErr w:type="spellStart"/>
        <w:r>
          <w:rPr>
            <w:rStyle w:val="Hyperlink"/>
            <w:i/>
          </w:rPr>
          <w:t>after</w:t>
        </w:r>
        <w:proofErr w:type="spellEnd"/>
        <w:r>
          <w:rPr>
            <w:rStyle w:val="Hyperlink"/>
            <w:i/>
          </w:rPr>
          <w:t xml:space="preserve"> COVID-19</w:t>
        </w:r>
      </w:hyperlink>
      <w:r>
        <w:t xml:space="preserve">, toukokuu 2021, Euroopan parlamentin liikenne- ja matkailuvaliokunnan tilaama tutkimus, jonka toteutti sisäasioiden pääosaston rakenne- ja koheesiopolitiikkayksikkö. </w:t>
      </w:r>
    </w:p>
  </w:footnote>
  <w:footnote w:id="6">
    <w:p w14:paraId="308BB1AE" w14:textId="77777777" w:rsidR="00983D4F" w:rsidRPr="008D77FB" w:rsidRDefault="00983D4F" w:rsidP="00983D4F">
      <w:pPr>
        <w:pStyle w:val="FootnoteText"/>
      </w:pPr>
      <w:r>
        <w:rPr>
          <w:rStyle w:val="FootnoteReference"/>
          <w:sz w:val="22"/>
          <w:szCs w:val="16"/>
        </w:rPr>
        <w:footnoteRef/>
      </w:r>
      <w:r>
        <w:tab/>
      </w:r>
      <w:proofErr w:type="spellStart"/>
      <w:r>
        <w:t>ETF:n</w:t>
      </w:r>
      <w:proofErr w:type="spellEnd"/>
      <w:r>
        <w:t xml:space="preserve"> &amp; </w:t>
      </w:r>
      <w:proofErr w:type="spellStart"/>
      <w:r>
        <w:t>UITP:n</w:t>
      </w:r>
      <w:proofErr w:type="spellEnd"/>
      <w:r>
        <w:t xml:space="preserve"> yhteinen kannanotto COP26-kokousta silmällä pitäen: </w:t>
      </w:r>
      <w:hyperlink r:id="rId6" w:history="1">
        <w:proofErr w:type="spellStart"/>
        <w:r>
          <w:rPr>
            <w:rStyle w:val="Hyperlink"/>
            <w:i/>
          </w:rPr>
          <w:t>Tackling</w:t>
        </w:r>
        <w:proofErr w:type="spellEnd"/>
        <w:r>
          <w:rPr>
            <w:rStyle w:val="Hyperlink"/>
            <w:i/>
          </w:rPr>
          <w:t xml:space="preserve"> </w:t>
        </w:r>
        <w:proofErr w:type="spellStart"/>
        <w:r>
          <w:rPr>
            <w:rStyle w:val="Hyperlink"/>
            <w:i/>
          </w:rPr>
          <w:t>climate</w:t>
        </w:r>
        <w:proofErr w:type="spellEnd"/>
        <w:r>
          <w:rPr>
            <w:rStyle w:val="Hyperlink"/>
            <w:i/>
          </w:rPr>
          <w:t xml:space="preserve"> action </w:t>
        </w:r>
        <w:proofErr w:type="spellStart"/>
        <w:r>
          <w:rPr>
            <w:rStyle w:val="Hyperlink"/>
            <w:i/>
          </w:rPr>
          <w:t>with</w:t>
        </w:r>
        <w:proofErr w:type="spellEnd"/>
        <w:r>
          <w:rPr>
            <w:rStyle w:val="Hyperlink"/>
            <w:i/>
          </w:rPr>
          <w:t xml:space="preserve"> </w:t>
        </w:r>
        <w:proofErr w:type="spellStart"/>
        <w:r>
          <w:rPr>
            <w:rStyle w:val="Hyperlink"/>
            <w:i/>
          </w:rPr>
          <w:t>public</w:t>
        </w:r>
        <w:proofErr w:type="spellEnd"/>
        <w:r>
          <w:rPr>
            <w:rStyle w:val="Hyperlink"/>
            <w:i/>
          </w:rPr>
          <w:t xml:space="preserve"> transport is </w:t>
        </w:r>
        <w:proofErr w:type="spellStart"/>
        <w:r>
          <w:rPr>
            <w:rStyle w:val="Hyperlink"/>
            <w:i/>
          </w:rPr>
          <w:t>one</w:t>
        </w:r>
        <w:proofErr w:type="spellEnd"/>
        <w:r>
          <w:rPr>
            <w:rStyle w:val="Hyperlink"/>
            <w:i/>
          </w:rPr>
          <w:t xml:space="preserve"> of </w:t>
        </w:r>
        <w:proofErr w:type="spellStart"/>
        <w:r>
          <w:rPr>
            <w:rStyle w:val="Hyperlink"/>
            <w:i/>
          </w:rPr>
          <w:t>the</w:t>
        </w:r>
        <w:proofErr w:type="spellEnd"/>
        <w:r>
          <w:rPr>
            <w:rStyle w:val="Hyperlink"/>
            <w:i/>
          </w:rPr>
          <w:t xml:space="preserve"> </w:t>
        </w:r>
        <w:proofErr w:type="spellStart"/>
        <w:r>
          <w:rPr>
            <w:rStyle w:val="Hyperlink"/>
            <w:i/>
          </w:rPr>
          <w:t>EU’s</w:t>
        </w:r>
        <w:proofErr w:type="spellEnd"/>
        <w:r>
          <w:rPr>
            <w:rStyle w:val="Hyperlink"/>
            <w:i/>
          </w:rPr>
          <w:t xml:space="preserve"> </w:t>
        </w:r>
        <w:proofErr w:type="spellStart"/>
        <w:r>
          <w:rPr>
            <w:rStyle w:val="Hyperlink"/>
            <w:i/>
          </w:rPr>
          <w:t>largest</w:t>
        </w:r>
        <w:proofErr w:type="spellEnd"/>
        <w:r>
          <w:rPr>
            <w:rStyle w:val="Hyperlink"/>
            <w:i/>
          </w:rPr>
          <w:t xml:space="preserve"> </w:t>
        </w:r>
        <w:proofErr w:type="spellStart"/>
        <w:r>
          <w:rPr>
            <w:rStyle w:val="Hyperlink"/>
            <w:i/>
          </w:rPr>
          <w:t>economic</w:t>
        </w:r>
        <w:proofErr w:type="spellEnd"/>
        <w:r>
          <w:rPr>
            <w:rStyle w:val="Hyperlink"/>
            <w:i/>
          </w:rPr>
          <w:t xml:space="preserve"> </w:t>
        </w:r>
        <w:proofErr w:type="spellStart"/>
        <w:r>
          <w:rPr>
            <w:rStyle w:val="Hyperlink"/>
            <w:i/>
          </w:rPr>
          <w:t>opportunities</w:t>
        </w:r>
        <w:proofErr w:type="spellEnd"/>
        <w:r>
          <w:rPr>
            <w:rStyle w:val="Hyperlink"/>
            <w:i/>
          </w:rPr>
          <w:t xml:space="preserve"> of </w:t>
        </w:r>
        <w:proofErr w:type="spellStart"/>
        <w:r>
          <w:rPr>
            <w:rStyle w:val="Hyperlink"/>
            <w:i/>
          </w:rPr>
          <w:t>the</w:t>
        </w:r>
        <w:proofErr w:type="spellEnd"/>
        <w:r>
          <w:rPr>
            <w:rStyle w:val="Hyperlink"/>
            <w:i/>
          </w:rPr>
          <w:t xml:space="preserve"> 21st </w:t>
        </w:r>
        <w:proofErr w:type="spellStart"/>
        <w:r>
          <w:rPr>
            <w:rStyle w:val="Hyperlink"/>
            <w:i/>
          </w:rPr>
          <w:t>century</w:t>
        </w:r>
        <w:proofErr w:type="spellEnd"/>
      </w:hyperlink>
    </w:p>
  </w:footnote>
  <w:footnote w:id="7">
    <w:p w14:paraId="7A2C2930" w14:textId="77777777" w:rsidR="00983D4F" w:rsidRPr="008D77FB" w:rsidRDefault="00983D4F" w:rsidP="00983D4F">
      <w:pPr>
        <w:pStyle w:val="FootnoteText"/>
      </w:pPr>
      <w:r>
        <w:rPr>
          <w:rStyle w:val="FootnoteReference"/>
          <w:sz w:val="22"/>
          <w:szCs w:val="16"/>
        </w:rPr>
        <w:footnoteRef/>
      </w:r>
      <w:r>
        <w:t xml:space="preserve"> </w:t>
      </w:r>
      <w:r>
        <w:tab/>
        <w:t xml:space="preserve">Vuonna 2020 ensimmäisen sulun aikana Milano laski ajoneuvojen käyttöasteen 25 prosenttiin ja Barcelona 50 prosenttiin, Irlanti 20 prosenttiin ja Portugali kahteen kolmasosaan – </w:t>
      </w:r>
      <w:hyperlink r:id="rId7" w:history="1">
        <w:r>
          <w:rPr>
            <w:rStyle w:val="Hyperlink"/>
            <w:i/>
          </w:rPr>
          <w:t xml:space="preserve">COVID-19 and </w:t>
        </w:r>
        <w:proofErr w:type="spellStart"/>
        <w:r>
          <w:rPr>
            <w:rStyle w:val="Hyperlink"/>
            <w:i/>
          </w:rPr>
          <w:t>urban</w:t>
        </w:r>
        <w:proofErr w:type="spellEnd"/>
        <w:r>
          <w:rPr>
            <w:rStyle w:val="Hyperlink"/>
            <w:i/>
          </w:rPr>
          <w:t xml:space="preserve"> </w:t>
        </w:r>
        <w:proofErr w:type="spellStart"/>
        <w:r>
          <w:rPr>
            <w:rStyle w:val="Hyperlink"/>
            <w:i/>
          </w:rPr>
          <w:t>mobility</w:t>
        </w:r>
        <w:proofErr w:type="spellEnd"/>
        <w:r>
          <w:rPr>
            <w:rStyle w:val="Hyperlink"/>
            <w:i/>
          </w:rPr>
          <w:t xml:space="preserve">: </w:t>
        </w:r>
        <w:proofErr w:type="spellStart"/>
        <w:r>
          <w:rPr>
            <w:rStyle w:val="Hyperlink"/>
            <w:i/>
          </w:rPr>
          <w:t>impacts</w:t>
        </w:r>
        <w:proofErr w:type="spellEnd"/>
        <w:r>
          <w:rPr>
            <w:rStyle w:val="Hyperlink"/>
            <w:i/>
          </w:rPr>
          <w:t xml:space="preserve"> and </w:t>
        </w:r>
        <w:proofErr w:type="spellStart"/>
        <w:r>
          <w:rPr>
            <w:rStyle w:val="Hyperlink"/>
            <w:i/>
          </w:rPr>
          <w:t>perspectives</w:t>
        </w:r>
        <w:proofErr w:type="spellEnd"/>
      </w:hyperlink>
      <w:r>
        <w:t>, syyskuu 2020, Euroopan parlamentin liikenne- ja matkailuvaliokunnan tilaama tutkimus, rakenne- ja koheesiopolitiikkayksikkö, sisäasioiden pääosasto, PE 652.213.</w:t>
      </w:r>
    </w:p>
  </w:footnote>
  <w:footnote w:id="8">
    <w:p w14:paraId="0B35137F" w14:textId="77777777" w:rsidR="00983D4F" w:rsidRPr="008D77FB" w:rsidRDefault="00983D4F" w:rsidP="00983D4F">
      <w:pPr>
        <w:pStyle w:val="FootnoteText"/>
        <w:rPr>
          <w:szCs w:val="16"/>
        </w:rPr>
      </w:pPr>
      <w:r>
        <w:rPr>
          <w:rStyle w:val="FootnoteReference"/>
          <w:sz w:val="22"/>
          <w:szCs w:val="16"/>
        </w:rPr>
        <w:footnoteRef/>
      </w:r>
      <w:r>
        <w:tab/>
      </w:r>
      <w:hyperlink r:id="rId8" w:history="1">
        <w:r>
          <w:rPr>
            <w:rStyle w:val="Hyperlink"/>
            <w:i/>
          </w:rPr>
          <w:t xml:space="preserve">EDF </w:t>
        </w:r>
        <w:proofErr w:type="spellStart"/>
        <w:r>
          <w:rPr>
            <w:rStyle w:val="Hyperlink"/>
            <w:i/>
          </w:rPr>
          <w:t>Recommendations</w:t>
        </w:r>
        <w:proofErr w:type="spellEnd"/>
        <w:r>
          <w:rPr>
            <w:rStyle w:val="Hyperlink"/>
            <w:i/>
          </w:rPr>
          <w:t xml:space="preserve"> on </w:t>
        </w:r>
        <w:proofErr w:type="spellStart"/>
        <w:r>
          <w:rPr>
            <w:rStyle w:val="Hyperlink"/>
            <w:i/>
          </w:rPr>
          <w:t>exit</w:t>
        </w:r>
        <w:proofErr w:type="spellEnd"/>
        <w:r>
          <w:rPr>
            <w:rStyle w:val="Hyperlink"/>
            <w:i/>
          </w:rPr>
          <w:t xml:space="preserve"> </w:t>
        </w:r>
        <w:proofErr w:type="spellStart"/>
        <w:r>
          <w:rPr>
            <w:rStyle w:val="Hyperlink"/>
            <w:i/>
          </w:rPr>
          <w:t>measures</w:t>
        </w:r>
        <w:proofErr w:type="spellEnd"/>
        <w:r>
          <w:rPr>
            <w:rStyle w:val="Hyperlink"/>
            <w:i/>
          </w:rPr>
          <w:t xml:space="preserve"> for transport </w:t>
        </w:r>
        <w:proofErr w:type="spellStart"/>
        <w:r>
          <w:rPr>
            <w:rStyle w:val="Hyperlink"/>
            <w:i/>
          </w:rPr>
          <w:t>services</w:t>
        </w:r>
        <w:proofErr w:type="spellEnd"/>
        <w:r>
          <w:rPr>
            <w:rStyle w:val="Hyperlink"/>
            <w:i/>
          </w:rPr>
          <w:t xml:space="preserve"> in </w:t>
        </w:r>
        <w:proofErr w:type="spellStart"/>
        <w:r>
          <w:rPr>
            <w:rStyle w:val="Hyperlink"/>
            <w:i/>
          </w:rPr>
          <w:t>light</w:t>
        </w:r>
        <w:proofErr w:type="spellEnd"/>
        <w:r>
          <w:rPr>
            <w:rStyle w:val="Hyperlink"/>
            <w:i/>
          </w:rPr>
          <w:t xml:space="preserve"> of covid-19</w:t>
        </w:r>
      </w:hyperlink>
    </w:p>
  </w:footnote>
  <w:footnote w:id="9">
    <w:p w14:paraId="0E39A8C3" w14:textId="77777777" w:rsidR="00983D4F" w:rsidRPr="008D77FB" w:rsidRDefault="00983D4F" w:rsidP="00983D4F">
      <w:pPr>
        <w:pStyle w:val="FootnoteText"/>
        <w:rPr>
          <w:szCs w:val="16"/>
        </w:rPr>
      </w:pPr>
      <w:r>
        <w:rPr>
          <w:rStyle w:val="FootnoteReference"/>
          <w:sz w:val="22"/>
          <w:szCs w:val="16"/>
        </w:rPr>
        <w:footnoteRef/>
      </w:r>
      <w:r>
        <w:rPr>
          <w:sz w:val="22"/>
        </w:rPr>
        <w:t xml:space="preserve"> </w:t>
      </w:r>
      <w:r>
        <w:tab/>
      </w:r>
      <w:hyperlink r:id="rId9" w:history="1">
        <w:r>
          <w:rPr>
            <w:rStyle w:val="Hyperlink"/>
          </w:rPr>
          <w:t>EUVL C 429, 11.12.2020, s. 219</w:t>
        </w:r>
      </w:hyperlink>
    </w:p>
  </w:footnote>
  <w:footnote w:id="10">
    <w:p w14:paraId="550BE81A" w14:textId="77777777" w:rsidR="00983D4F" w:rsidRPr="008D77FB" w:rsidRDefault="00983D4F" w:rsidP="00983D4F">
      <w:pPr>
        <w:pStyle w:val="FootnoteText"/>
        <w:rPr>
          <w:szCs w:val="16"/>
        </w:rPr>
      </w:pPr>
      <w:r>
        <w:rPr>
          <w:rStyle w:val="FootnoteReference"/>
          <w:sz w:val="22"/>
          <w:szCs w:val="16"/>
        </w:rPr>
        <w:footnoteRef/>
      </w:r>
      <w:r>
        <w:tab/>
      </w:r>
      <w:hyperlink r:id="rId10" w:history="1">
        <w:r>
          <w:rPr>
            <w:rStyle w:val="Hyperlink"/>
          </w:rPr>
          <w:t>EUVL C 341, 24.8.2021, s. 100</w:t>
        </w:r>
      </w:hyperlink>
    </w:p>
  </w:footnote>
  <w:footnote w:id="11">
    <w:p w14:paraId="44D40E2E" w14:textId="77777777" w:rsidR="00983D4F" w:rsidRPr="008D77FB" w:rsidRDefault="00983D4F" w:rsidP="00983D4F">
      <w:pPr>
        <w:pStyle w:val="FootnoteText"/>
        <w:rPr>
          <w:sz w:val="18"/>
          <w:szCs w:val="18"/>
        </w:rPr>
      </w:pPr>
      <w:r>
        <w:rPr>
          <w:rStyle w:val="FootnoteReference"/>
          <w:sz w:val="22"/>
          <w:szCs w:val="18"/>
        </w:rPr>
        <w:footnoteRef/>
      </w:r>
      <w:r>
        <w:rPr>
          <w:sz w:val="18"/>
        </w:rPr>
        <w:tab/>
      </w:r>
      <w:r>
        <w:t xml:space="preserve">YK:n yleissopimuksessa vammaisten henkilöiden oikeuksista edellytetään seuraavaa: ”Laadittaessa ja toimeenpantaessa lainsäädäntöä ja politiikkoja, joilla tätä yleissopimusta pannaan täytäntöön, sekä muissa vammaisia henkilöitä koskevissa päätöksentekoprosesseissa sopimuspuolten tulee neuvotella tiiviisti vammaisten henkilöiden kanssa ja aktiivisesti </w:t>
      </w:r>
      <w:proofErr w:type="spellStart"/>
      <w:r>
        <w:t>osallistaa</w:t>
      </w:r>
      <w:proofErr w:type="spellEnd"/>
      <w:r>
        <w:t xml:space="preserve"> heidät, mukaan lukien vammaiset lapset, heitä edustavien järjestöjen kautta.” (</w:t>
      </w:r>
      <w:hyperlink r:id="rId11" w:history="1">
        <w:r>
          <w:rPr>
            <w:rStyle w:val="Hyperlink"/>
          </w:rPr>
          <w:t>Vammaisyleissopimuksen 4 artiklan 3 kohta</w:t>
        </w:r>
      </w:hyperlink>
      <w:r>
        <w:t xml:space="preserve">). Lisäksi </w:t>
      </w:r>
      <w:proofErr w:type="spellStart"/>
      <w:r>
        <w:t>ETSK:n</w:t>
      </w:r>
      <w:proofErr w:type="spellEnd"/>
      <w:r>
        <w:t xml:space="preserve"> lausunnon (</w:t>
      </w:r>
      <w:hyperlink r:id="rId12" w:history="1">
        <w:r>
          <w:rPr>
            <w:rStyle w:val="Hyperlink"/>
          </w:rPr>
          <w:t>EUVL C 341, 24.8.2021, s. 100</w:t>
        </w:r>
      </w:hyperlink>
      <w:r>
        <w:t>) mukaan ”kuten ETSK on jo todennut vuonna 2012 antamassaan lausunnossa, se kannustaa käymään vihreän kirjan täytäntöönpanosta avointa, jatkuvaa ja läpinäkyvää keskustelua, johon osallistuvat kansalaisyhteiskunta (yritykset, työnantajat, työntekijät, liikenteen käyttäjät, kansalaisjärjestöt, yliopistot jne.), komissio ja muut asiaankuuluvat tahot, kuten jäsenvaltioiden eri tasojen viranomaiset. Näin kansalaisyhteiskunta hyväksyisi ja ymmärtäisi asioita paremmin ja poliittiset päättäjät ja täytäntöönpanosta vastaavat tahot saisivat hyödyllistä palautetta.”</w:t>
      </w:r>
    </w:p>
  </w:footnote>
  <w:footnote w:id="12">
    <w:p w14:paraId="1630C14C" w14:textId="77777777" w:rsidR="00983D4F" w:rsidRPr="008D77FB" w:rsidRDefault="00983D4F" w:rsidP="00983D4F">
      <w:pPr>
        <w:pStyle w:val="FootnoteText"/>
        <w:rPr>
          <w:szCs w:val="16"/>
        </w:rPr>
      </w:pPr>
      <w:r>
        <w:rPr>
          <w:rStyle w:val="FootnoteReference"/>
          <w:sz w:val="22"/>
          <w:szCs w:val="18"/>
        </w:rPr>
        <w:footnoteRef/>
      </w:r>
      <w:r>
        <w:rPr>
          <w:sz w:val="18"/>
        </w:rPr>
        <w:tab/>
      </w:r>
      <w:proofErr w:type="spellStart"/>
      <w:r>
        <w:t>ETSK:n</w:t>
      </w:r>
      <w:proofErr w:type="spellEnd"/>
      <w:r>
        <w:t xml:space="preserve"> lausunnossa (</w:t>
      </w:r>
      <w:hyperlink r:id="rId13" w:history="1">
        <w:r>
          <w:rPr>
            <w:rStyle w:val="Hyperlink"/>
          </w:rPr>
          <w:t>EUVL C 275, 18.7.2022, s. 18</w:t>
        </w:r>
      </w:hyperlink>
      <w:r>
        <w:t>) annettujen suositusten mukaisesti: ”ETSK katsoo, että kaikkien sidosryhmien, myös työmarkkinaosapuolten, osallistuminen on välttämätöntä, jotta löydetään käänteentekeviä ja kuitenkin toteuttamiskelpoisia ratkaisuja meriliikenteen viherryttämisen yhteydessä.”</w:t>
      </w:r>
    </w:p>
  </w:footnote>
  <w:footnote w:id="13">
    <w:p w14:paraId="67743821" w14:textId="77777777" w:rsidR="00983D4F" w:rsidRPr="008D77FB" w:rsidRDefault="00983D4F" w:rsidP="00983D4F">
      <w:pPr>
        <w:pStyle w:val="FootnoteText"/>
      </w:pPr>
      <w:r>
        <w:rPr>
          <w:rStyle w:val="FootnoteReference"/>
          <w:sz w:val="22"/>
          <w:szCs w:val="16"/>
        </w:rPr>
        <w:footnoteRef/>
      </w:r>
      <w:r>
        <w:rPr>
          <w:sz w:val="22"/>
        </w:rPr>
        <w:t xml:space="preserve"> </w:t>
      </w:r>
      <w:r>
        <w:tab/>
        <w:t xml:space="preserve">Ks. esimerkiksi </w:t>
      </w:r>
      <w:hyperlink r:id="rId14" w:history="1">
        <w:r>
          <w:rPr>
            <w:rStyle w:val="Hyperlink"/>
          </w:rPr>
          <w:t>TRIPS-hanke ”</w:t>
        </w:r>
        <w:proofErr w:type="spellStart"/>
        <w:r>
          <w:rPr>
            <w:rStyle w:val="Hyperlink"/>
          </w:rPr>
          <w:t>TRansport</w:t>
        </w:r>
        <w:proofErr w:type="spellEnd"/>
        <w:r>
          <w:rPr>
            <w:rStyle w:val="Hyperlink"/>
          </w:rPr>
          <w:t xml:space="preserve"> Innovation for </w:t>
        </w:r>
        <w:proofErr w:type="spellStart"/>
        <w:r>
          <w:rPr>
            <w:rStyle w:val="Hyperlink"/>
          </w:rPr>
          <w:t>disabled</w:t>
        </w:r>
        <w:proofErr w:type="spellEnd"/>
        <w:r>
          <w:rPr>
            <w:rStyle w:val="Hyperlink"/>
          </w:rPr>
          <w:t xml:space="preserve"> People </w:t>
        </w:r>
        <w:proofErr w:type="spellStart"/>
        <w:r>
          <w:rPr>
            <w:rStyle w:val="Hyperlink"/>
          </w:rPr>
          <w:t>needs</w:t>
        </w:r>
        <w:proofErr w:type="spellEnd"/>
        <w:r>
          <w:rPr>
            <w:rStyle w:val="Hyperlink"/>
          </w:rPr>
          <w:t xml:space="preserve"> </w:t>
        </w:r>
        <w:proofErr w:type="spellStart"/>
        <w:r>
          <w:rPr>
            <w:rStyle w:val="Hyperlink"/>
          </w:rPr>
          <w:t>Satisfaction</w:t>
        </w:r>
        <w:proofErr w:type="spellEnd"/>
        <w:r>
          <w:rPr>
            <w:rStyle w:val="Hyperlink"/>
          </w:rPr>
          <w:t>”</w:t>
        </w:r>
      </w:hyperlink>
    </w:p>
  </w:footnote>
  <w:footnote w:id="14">
    <w:p w14:paraId="709A3AAE" w14:textId="77777777" w:rsidR="00983D4F" w:rsidRPr="008D77FB" w:rsidRDefault="00983D4F" w:rsidP="00983D4F">
      <w:pPr>
        <w:pStyle w:val="FootnoteText"/>
      </w:pPr>
      <w:r>
        <w:rPr>
          <w:rStyle w:val="FootnoteReference"/>
          <w:sz w:val="22"/>
          <w:szCs w:val="16"/>
        </w:rPr>
        <w:footnoteRef/>
      </w:r>
      <w:r>
        <w:rPr>
          <w:sz w:val="22"/>
        </w:rPr>
        <w:t xml:space="preserve"> </w:t>
      </w:r>
      <w:r>
        <w:tab/>
      </w:r>
      <w:hyperlink r:id="rId15" w:history="1">
        <w:r>
          <w:rPr>
            <w:rStyle w:val="Hyperlink"/>
          </w:rPr>
          <w:t>Vammaisyleissopimuksen 2 artikla</w:t>
        </w:r>
      </w:hyperlink>
    </w:p>
  </w:footnote>
  <w:footnote w:id="15">
    <w:p w14:paraId="67CA063E" w14:textId="77777777" w:rsidR="00983D4F" w:rsidRPr="00713DC4" w:rsidRDefault="00983D4F" w:rsidP="00983D4F">
      <w:pPr>
        <w:pStyle w:val="FootnoteText"/>
        <w:rPr>
          <w:szCs w:val="16"/>
        </w:rPr>
      </w:pPr>
      <w:r>
        <w:rPr>
          <w:rStyle w:val="FootnoteReference"/>
          <w:sz w:val="22"/>
          <w:szCs w:val="16"/>
        </w:rPr>
        <w:footnoteRef/>
      </w:r>
      <w:r>
        <w:t xml:space="preserve"> </w:t>
      </w:r>
      <w:r>
        <w:tab/>
      </w:r>
      <w:hyperlink r:id="rId16" w:history="1">
        <w:r>
          <w:rPr>
            <w:rStyle w:val="Hyperlink"/>
          </w:rPr>
          <w:t xml:space="preserve">Valmiina 55:een, COM(2021) 550 </w:t>
        </w:r>
        <w:proofErr w:type="spellStart"/>
        <w:r>
          <w:rPr>
            <w:rStyle w:val="Hyperlink"/>
          </w:rPr>
          <w:t>final</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EB112" w14:textId="77777777" w:rsidR="00574C9B" w:rsidRDefault="007E4CDC">
    <w:pPr>
      <w:pStyle w:val="Header"/>
    </w:pPr>
    <w:r>
      <w:pict w14:anchorId="3D410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12BE" w14:textId="72E43139" w:rsidR="00574C9B" w:rsidRDefault="00C30C07">
    <w:pPr>
      <w:pStyle w:val="Header"/>
    </w:pPr>
    <w:r>
      <w:rPr>
        <w:noProof/>
        <w:lang w:val="en-US"/>
      </w:rPr>
      <w:drawing>
        <wp:anchor distT="0" distB="0" distL="114300" distR="114300" simplePos="0" relativeHeight="251666432" behindDoc="0" locked="0" layoutInCell="1" allowOverlap="1" wp14:anchorId="5CFDAED8" wp14:editId="05C50883">
          <wp:simplePos x="0" y="0"/>
          <wp:positionH relativeFrom="page">
            <wp:align>center</wp:align>
          </wp:positionH>
          <wp:positionV relativeFrom="page">
            <wp:posOffset>288290</wp:posOffset>
          </wp:positionV>
          <wp:extent cx="6944360" cy="3343275"/>
          <wp:effectExtent l="0" t="0" r="8890" b="9525"/>
          <wp:wrapNone/>
          <wp:docPr id="1" name="Picture 1" title="EESCLogo2021_FI"/>
          <wp:cNvGraphicFramePr/>
          <a:graphic xmlns:a="http://schemas.openxmlformats.org/drawingml/2006/main">
            <a:graphicData uri="http://schemas.openxmlformats.org/drawingml/2006/picture">
              <pic:pic xmlns:pic="http://schemas.openxmlformats.org/drawingml/2006/picture">
                <pic:nvPicPr>
                  <pic:cNvPr id="1" name="Picture 1" title="EESCLogo2021_FI"/>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7E4CDC">
      <w:pict w14:anchorId="58A9C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AAA9" w14:textId="77777777" w:rsidR="00574C9B" w:rsidRDefault="007E4CDC">
    <w:pPr>
      <w:pStyle w:val="Header"/>
    </w:pPr>
    <w:r>
      <w:pict w14:anchorId="0408A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7676D" w14:textId="77777777" w:rsidR="00574C9B" w:rsidRDefault="007E4CDC">
    <w:pPr>
      <w:pStyle w:val="Header"/>
    </w:pPr>
    <w:r>
      <w:pict w14:anchorId="5AFE0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5EA91" w14:textId="77777777" w:rsidR="00574C9B" w:rsidRDefault="00574C9B">
    <w:pPr>
      <w:pStyle w:val="Header"/>
    </w:pPr>
    <w:r>
      <w:rPr>
        <w:noProof/>
        <w:lang w:val="en-US"/>
      </w:rPr>
      <w:drawing>
        <wp:anchor distT="0" distB="0" distL="114300" distR="114300" simplePos="0" relativeHeight="251665408" behindDoc="1" locked="0" layoutInCell="1" allowOverlap="1" wp14:anchorId="5F2A8045" wp14:editId="7C87CDE6">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78D8" w14:textId="77777777" w:rsidR="00574C9B" w:rsidRDefault="007E4CDC">
    <w:pPr>
      <w:pStyle w:val="Header"/>
    </w:pPr>
    <w:r>
      <w:pict w14:anchorId="00F2F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1545C" w14:textId="77777777" w:rsidR="00CA6C9E" w:rsidRPr="00AB759D" w:rsidRDefault="007E4CDC" w:rsidP="00AB75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9B4C" w14:textId="77777777" w:rsidR="00CA6C9E" w:rsidRPr="00AB759D" w:rsidRDefault="007E4CDC" w:rsidP="00AB75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A932" w14:textId="77777777" w:rsidR="00CA6C9E" w:rsidRPr="00AB759D" w:rsidRDefault="007E4CDC" w:rsidP="00AB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BC5096C"/>
    <w:multiLevelType w:val="hybridMultilevel"/>
    <w:tmpl w:val="2BD014FC"/>
    <w:lvl w:ilvl="0" w:tplc="7504BAA4">
      <w:start w:val="1"/>
      <w:numFmt w:val="bullet"/>
      <w:lvlText w:val=""/>
      <w:lvlJc w:val="left"/>
      <w:pPr>
        <w:ind w:left="1146" w:hanging="360"/>
      </w:pPr>
      <w:rPr>
        <w:rFonts w:ascii="Symbol" w:eastAsia="Symbol" w:hAnsi="Symbol" w:cs="Symbol" w:hint="default"/>
      </w:rPr>
    </w:lvl>
    <w:lvl w:ilvl="1" w:tplc="20000003">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 w15:restartNumberingAfterBreak="0">
    <w:nsid w:val="402F15E8"/>
    <w:multiLevelType w:val="hybridMultilevel"/>
    <w:tmpl w:val="365CC632"/>
    <w:lvl w:ilvl="0" w:tplc="7504BAA4">
      <w:start w:val="1"/>
      <w:numFmt w:val="bullet"/>
      <w:lvlText w:val=""/>
      <w:lvlJc w:val="left"/>
      <w:pPr>
        <w:ind w:left="1146" w:hanging="360"/>
      </w:pPr>
      <w:rPr>
        <w:rFonts w:ascii="Symbol" w:eastAsia="Symbol" w:hAnsi="Symbol" w:cs="Symbol" w:hint="default"/>
      </w:rPr>
    </w:lvl>
    <w:lvl w:ilvl="1" w:tplc="20000003">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BE" w:vendorID="64" w:dllVersion="6" w:nlCheck="1" w:checkStyle="0"/>
  <w:activeWritingStyle w:appName="MSWord" w:lang="en-US" w:vendorID="64" w:dllVersion="6" w:nlCheck="1" w:checkStyle="1"/>
  <w:activeWritingStyle w:appName="MSWord" w:lang="en-GB" w:vendorID="64" w:dllVersion="6" w:nlCheck="1" w:checkStyle="1"/>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33649"/>
    <w:rsid w:val="00053D00"/>
    <w:rsid w:val="000A0F3B"/>
    <w:rsid w:val="0019231D"/>
    <w:rsid w:val="001D61AC"/>
    <w:rsid w:val="001E15AA"/>
    <w:rsid w:val="001E3FA1"/>
    <w:rsid w:val="00200E87"/>
    <w:rsid w:val="00214BDC"/>
    <w:rsid w:val="00215E81"/>
    <w:rsid w:val="0024727F"/>
    <w:rsid w:val="00285FBA"/>
    <w:rsid w:val="002B6A7B"/>
    <w:rsid w:val="002D63E5"/>
    <w:rsid w:val="003353D7"/>
    <w:rsid w:val="003659F9"/>
    <w:rsid w:val="00574C9B"/>
    <w:rsid w:val="0058411F"/>
    <w:rsid w:val="006125A1"/>
    <w:rsid w:val="00653E7D"/>
    <w:rsid w:val="00662207"/>
    <w:rsid w:val="00667F09"/>
    <w:rsid w:val="006B57A6"/>
    <w:rsid w:val="006D53A6"/>
    <w:rsid w:val="006E795E"/>
    <w:rsid w:val="00787837"/>
    <w:rsid w:val="00787ABB"/>
    <w:rsid w:val="007B6C64"/>
    <w:rsid w:val="007E4CDC"/>
    <w:rsid w:val="00822952"/>
    <w:rsid w:val="00836505"/>
    <w:rsid w:val="00844B87"/>
    <w:rsid w:val="00852E70"/>
    <w:rsid w:val="0089251B"/>
    <w:rsid w:val="008A2159"/>
    <w:rsid w:val="008A6DD4"/>
    <w:rsid w:val="008F74D7"/>
    <w:rsid w:val="00904C42"/>
    <w:rsid w:val="00924C05"/>
    <w:rsid w:val="00937CF2"/>
    <w:rsid w:val="00966375"/>
    <w:rsid w:val="00976645"/>
    <w:rsid w:val="00976F77"/>
    <w:rsid w:val="0098228C"/>
    <w:rsid w:val="00983D4F"/>
    <w:rsid w:val="009E2100"/>
    <w:rsid w:val="00A36AB0"/>
    <w:rsid w:val="00A955DA"/>
    <w:rsid w:val="00AB37A3"/>
    <w:rsid w:val="00AC5114"/>
    <w:rsid w:val="00B25683"/>
    <w:rsid w:val="00B51901"/>
    <w:rsid w:val="00BC220A"/>
    <w:rsid w:val="00BD50F6"/>
    <w:rsid w:val="00C073E1"/>
    <w:rsid w:val="00C25647"/>
    <w:rsid w:val="00C30C07"/>
    <w:rsid w:val="00C450C3"/>
    <w:rsid w:val="00C66AEA"/>
    <w:rsid w:val="00C9040A"/>
    <w:rsid w:val="00C91E4D"/>
    <w:rsid w:val="00CB110A"/>
    <w:rsid w:val="00CB7CD0"/>
    <w:rsid w:val="00CC1859"/>
    <w:rsid w:val="00CF075A"/>
    <w:rsid w:val="00D039AF"/>
    <w:rsid w:val="00D95232"/>
    <w:rsid w:val="00DB7F50"/>
    <w:rsid w:val="00DE30C7"/>
    <w:rsid w:val="00DF400F"/>
    <w:rsid w:val="00E15BF4"/>
    <w:rsid w:val="00E2376B"/>
    <w:rsid w:val="00E26935"/>
    <w:rsid w:val="00E27707"/>
    <w:rsid w:val="00E52B04"/>
    <w:rsid w:val="00E661B7"/>
    <w:rsid w:val="00F2069F"/>
    <w:rsid w:val="00F53370"/>
    <w:rsid w:val="00F90BE2"/>
    <w:rsid w:val="00F96DD0"/>
    <w:rsid w:val="00FB281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BB6D240"/>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uiPriority w:val="99"/>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uiPriority w:val="99"/>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iPriority w:val="99"/>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983D4F"/>
    <w:pPr>
      <w:ind w:left="720"/>
      <w:contextualSpacing/>
    </w:pPr>
  </w:style>
  <w:style w:type="character" w:styleId="FollowedHyperlink">
    <w:name w:val="FollowedHyperlink"/>
    <w:basedOn w:val="DefaultParagraphFont"/>
    <w:uiPriority w:val="99"/>
    <w:semiHidden/>
    <w:unhideWhenUsed/>
    <w:rsid w:val="008A2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edf-feph.org/xx-edf-recommendations-on-exit-measures-for-transport-services-in-light-of-covid-19/" TargetMode="External"/><Relationship Id="rId13" Type="http://schemas.openxmlformats.org/officeDocument/2006/relationships/hyperlink" Target="https://eur-lex.europa.eu/legal-content/FI/TXT/?uri=CELEX:52021IE3124" TargetMode="External"/><Relationship Id="rId3" Type="http://schemas.openxmlformats.org/officeDocument/2006/relationships/hyperlink" Target="https://ec.europa.eu/eurostat/statistics-explained/index.php?title=Ageing_Europe_-_statistics_on_population_developments" TargetMode="External"/><Relationship Id="rId7" Type="http://schemas.openxmlformats.org/officeDocument/2006/relationships/hyperlink" Target="https://www.europarl.europa.eu/RegData/etudes/IDAN/2020/652213/IPOL_IDA%282020%29652213_EN.pdf" TargetMode="External"/><Relationship Id="rId12" Type="http://schemas.openxmlformats.org/officeDocument/2006/relationships/hyperlink" Target="https://eur-lex.europa.eu/legal-content/FI/TXT/?uri=CELEX:52021AE0412" TargetMode="External"/><Relationship Id="rId2" Type="http://schemas.openxmlformats.org/officeDocument/2006/relationships/hyperlink" Target="https://www.europarl.europa.eu/RegData/etudes/STUD/2021/701004/IPOL_STU(2021)701004_EN.pdf" TargetMode="External"/><Relationship Id="rId16" Type="http://schemas.openxmlformats.org/officeDocument/2006/relationships/hyperlink" Target="https://eur-lex.europa.eu/legal-content/FI/TXT/?uri=CELEX:52021DC0550" TargetMode="External"/><Relationship Id="rId1" Type="http://schemas.openxmlformats.org/officeDocument/2006/relationships/hyperlink" Target="https://eur-lex.europa.eu/legal-content/FI/TXT/?uri=CELEX:52021DC0811" TargetMode="External"/><Relationship Id="rId6" Type="http://schemas.openxmlformats.org/officeDocument/2006/relationships/hyperlink" Target="https://cms.uitp.org/wp/wp-content/uploads/2021/10/UITP-ETF-Joint-Statement_COP26.pdf" TargetMode="External"/><Relationship Id="rId11" Type="http://schemas.openxmlformats.org/officeDocument/2006/relationships/hyperlink" Target="https://www.finlex.fi/fi/sopimukset/sopsteksti/2016/20160027/20160027_2" TargetMode="External"/><Relationship Id="rId5" Type="http://schemas.openxmlformats.org/officeDocument/2006/relationships/hyperlink" Target="https://www.europarl.europa.eu/RegData/etudes/STUD/2021/690884/IPOL_STU(2021)690884_EN.pdf" TargetMode="External"/><Relationship Id="rId15" Type="http://schemas.openxmlformats.org/officeDocument/2006/relationships/hyperlink" Target="https://www.finlex.fi/fi/sopimukset/sopsteksti/2016/20160027/20160027_2" TargetMode="External"/><Relationship Id="rId10" Type="http://schemas.openxmlformats.org/officeDocument/2006/relationships/hyperlink" Target="https://eur-lex.europa.eu/legal-content/FI/TXT/?uri=CELEX:52021AE0412" TargetMode="External"/><Relationship Id="rId4" Type="http://schemas.openxmlformats.org/officeDocument/2006/relationships/hyperlink" Target="https://cms.uitp.org/wp/wp-content/uploads/2021/10/UITP-ETF-Joint-Statement_COP26.pdf" TargetMode="External"/><Relationship Id="rId9" Type="http://schemas.openxmlformats.org/officeDocument/2006/relationships/hyperlink" Target="https://eur-lex.europa.eu/legal-content/FI/TXT/?uri=CELEX:52020AE2964" TargetMode="External"/><Relationship Id="rId14" Type="http://schemas.openxmlformats.org/officeDocument/2006/relationships/hyperlink" Target="https://trips-project.eu/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P6FJPSUHKDC2-615694043-11023</_dlc_DocId>
    <_dlc_DocIdUrl xmlns="1299d781-265f-4ceb-999e-e1eca3df2c90">
      <Url>http://dm/eesc/2022/_layouts/15/DocIdRedir.aspx?ID=P6FJPSUHKDC2-615694043-11023</Url>
      <Description>P6FJPSUHKDC2-615694043-11023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2022-10-31T12:00:00+00:00</ProductionDate>
    <DocumentNumber xmlns="c4e897d8-46e1-4b1e-9089-1eeb3fbf7b3c">655</DocumentNumber>
    <FicheYear xmlns="1299d781-265f-4ceb-999e-e1eca3df2c90" xsi:nil="true"/>
    <DocumentVersion xmlns="1299d781-265f-4ceb-999e-e1eca3df2c90">0</DocumentVersion>
    <DossierNumber xmlns="1299d781-265f-4ceb-999e-e1eca3df2c90">774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63</Value>
      <Value>55</Value>
      <Value>54</Value>
      <Value>49</Value>
      <Value>46</Value>
      <Value>45</Value>
      <Value>44</Value>
      <Value>43</Value>
      <Value>42</Value>
      <Value>41</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Rapporteur xmlns="1299d781-265f-4ceb-999e-e1eca3df2c90">KRUPAVIČIENĖ &amp; JUODKAITĖ</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10039</FicheNumber>
    <OriginalSender xmlns="1299d781-265f-4ceb-999e-e1eca3df2c90">
      <UserInfo>
        <DisplayName>Venalainen Eeva</DisplayName>
        <AccountId>1747</AccountId>
        <AccountType/>
      </UserInfo>
    </OriginalSender>
    <DocumentPart xmlns="1299d781-265f-4ceb-999e-e1eca3df2c90">0</DocumentPart>
    <AdoptionDate xmlns="1299d781-265f-4ceb-999e-e1eca3df2c90">2022-10-26T12:00:00+00:00</AdoptionDate>
    <RequestingService xmlns="1299d781-265f-4ceb-999e-e1eca3df2c90">Transports, énergie, infrastructures,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4e897d8-46e1-4b1e-9089-1eeb3fbf7b3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5DCE0934FDE49F4A8834FE1079EABB52" ma:contentTypeVersion="6" ma:contentTypeDescription="Defines the documents for Document Manager V2" ma:contentTypeScope="" ma:versionID="0f942049a0066c703fb8c97d26065f76">
  <xsd:schema xmlns:xsd="http://www.w3.org/2001/XMLSchema" xmlns:xs="http://www.w3.org/2001/XMLSchema" xmlns:p="http://schemas.microsoft.com/office/2006/metadata/properties" xmlns:ns2="1299d781-265f-4ceb-999e-e1eca3df2c90" xmlns:ns3="http://schemas.microsoft.com/sharepoint/v3/fields" xmlns:ns4="c4e897d8-46e1-4b1e-9089-1eeb3fbf7b3c" targetNamespace="http://schemas.microsoft.com/office/2006/metadata/properties" ma:root="true" ma:fieldsID="99218e5b4a52bbda46a65edd83e3127f" ns2:_="" ns3:_="" ns4:_="">
    <xsd:import namespace="1299d781-265f-4ceb-999e-e1eca3df2c90"/>
    <xsd:import namespace="http://schemas.microsoft.com/sharepoint/v3/fields"/>
    <xsd:import namespace="c4e897d8-46e1-4b1e-9089-1eeb3fbf7b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e897d8-46e1-4b1e-9089-1eeb3fbf7b3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50C3B-BCF0-4360-8C2E-809DE15A13BD}"/>
</file>

<file path=customXml/itemProps2.xml><?xml version="1.0" encoding="utf-8"?>
<ds:datastoreItem xmlns:ds="http://schemas.openxmlformats.org/officeDocument/2006/customXml" ds:itemID="{185E506F-FBFD-4BBE-9013-BE383B32EA20}"/>
</file>

<file path=customXml/itemProps3.xml><?xml version="1.0" encoding="utf-8"?>
<ds:datastoreItem xmlns:ds="http://schemas.openxmlformats.org/officeDocument/2006/customXml" ds:itemID="{2B935A1A-61AB-4CE6-BA9B-A34ED453CAE0}"/>
</file>

<file path=customXml/itemProps4.xml><?xml version="1.0" encoding="utf-8"?>
<ds:datastoreItem xmlns:ds="http://schemas.openxmlformats.org/officeDocument/2006/customXml" ds:itemID="{90B15547-491F-4F6A-A476-0C6D7A0D7824}"/>
</file>

<file path=docProps/app.xml><?xml version="1.0" encoding="utf-8"?>
<Properties xmlns="http://schemas.openxmlformats.org/officeDocument/2006/extended-properties" xmlns:vt="http://schemas.openxmlformats.org/officeDocument/2006/docPropsVTypes">
  <Template>Normal.dotm</Template>
  <TotalTime>1</TotalTime>
  <Pages>10</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EESC Cover page AC - New template</vt:lpstr>
    </vt:vector>
  </TitlesOfParts>
  <Company>CESE-CdR</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Julkisen liikenteen merkitys Euroopan vihreälle elpymiselle</dc:title>
  <dc:subject>AC</dc:subject>
  <dc:creator/>
  <cp:keywords>EESC-2022-00655-00-00-AC-TRA-EN</cp:keywords>
  <dc:description>Rapporteur: KRUPAVIČIENĖ &amp; JUODKAITĖ - Original language: EN - Date of document: 31/10/2022 - Date of meeting:  - External documents:  - Administrator:  RADMAN Maja</dc:description>
  <cp:lastModifiedBy/>
  <cp:revision>9</cp:revision>
  <dcterms:created xsi:type="dcterms:W3CDTF">2022-10-27T13:58:00Z</dcterms:created>
  <dcterms:modified xsi:type="dcterms:W3CDTF">2022-10-31T10:56:00Z</dcterms:modified>
  <cp:category>TEN/774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27/10/2022, 17/05/2022</vt:lpwstr>
  </property>
  <property fmtid="{D5CDD505-2E9C-101B-9397-08002B2CF9AE}" pid="4" name="Pref_Time">
    <vt:lpwstr>15:52:27, 14:58:36</vt:lpwstr>
  </property>
  <property fmtid="{D5CDD505-2E9C-101B-9397-08002B2CF9AE}" pid="5" name="Pref_User">
    <vt:lpwstr>pacup, enied</vt:lpwstr>
  </property>
  <property fmtid="{D5CDD505-2E9C-101B-9397-08002B2CF9AE}" pid="6" name="Pref_FileName">
    <vt:lpwstr>EESC-2022-00655-00-00-AC-TRA-EN-CRR.docx, COR-EESC-2022-02592-00-00-ADMIN-ORI.docx</vt:lpwstr>
  </property>
  <property fmtid="{D5CDD505-2E9C-101B-9397-08002B2CF9AE}" pid="7" name="ContentTypeId">
    <vt:lpwstr>0x010100EA97B91038054C99906057A708A1480A005DCE0934FDE49F4A8834FE1079EABB52</vt:lpwstr>
  </property>
  <property fmtid="{D5CDD505-2E9C-101B-9397-08002B2CF9AE}" pid="8" name="_dlc_DocIdItemGuid">
    <vt:lpwstr>1cdb78e3-7d58-4fbc-b511-0539e37be51d</vt:lpwstr>
  </property>
  <property fmtid="{D5CDD505-2E9C-101B-9397-08002B2CF9AE}" pid="9" name="AvailableTranslations">
    <vt:lpwstr>63;#GA|762d2456-c427-4ecb-b312-af3dad8e258c;#38;#FI|87606a43-d45f-42d6-b8c9-e1a3457db5b7;#34;#SK|46d9fce0-ef79-4f71-b89b-cd6aa82426b8;#33;#IT|0774613c-01ed-4e5d-a25d-11d2388de825;#30;#PL|1e03da61-4678-4e07-b136-b5024ca9197b;#46;#EL|6d4f4d51-af9b-4650-94b4-4276bee85c91;#29;#SV|c2ed69e7-a339-43d7-8f22-d93680a92aa0;#31;#ES|e7a6b05b-ae16-40c8-add9-68b64b03aeba;#41;#CS|72f9705b-0217-4fd3-bea2-cbc7ed80e26e;#42;#SL|98a412ae-eb01-49e9-ae3d-585a81724cfc;#36;#HU|6b229040-c589-4408-b4c1-4285663d20a8;#54;#ET|ff6c3f4c-b02c-4c3c-ab07-2c37995a7a0a;#43;#NL|55c6556c-b4f4-441d-9acf-c498d4f838bd;#22;#DE|f6b31e5a-26fa-4935-b661-318e46daf27e;#37;#PT|50ccc04a-eadd-42ae-a0cb-acaf45f812ba;#26;#LV|46f7e311-5d9f-4663-b433-18aeccb7ace7;#4;#EN|f2175f21-25d7-44a3-96da-d6a61b075e1b;#35;#MT|7df99101-6854-4a26-b53a-b88c0da02c26;#32;#DA|5d49c027-8956-412b-aa16-e85a0f96ad0e;#44;#LT|a7ff5ce7-6123-4f68-865a-a57c31810414;#40;#BG|1a1b3951-7821-4e6a-85f5-5673fc08bd2c;#45;#RO|feb747a2-64cd-4299-af12-4833ddc30497;#55;#HR|2f555653-ed1a-4fe6-8362-9082d95989e5;#11;#FR|d2afafd3-4c81-4f60-8f52-ee33f2f54ff3</vt:lpwstr>
  </property>
  <property fmtid="{D5CDD505-2E9C-101B-9397-08002B2CF9AE}" pid="10" name="DocumentType_0">
    <vt:lpwstr>AC|a4cc1d15-fb08-4679-ad46-e4e0cba5fe92</vt:lpwstr>
  </property>
  <property fmtid="{D5CDD505-2E9C-101B-9397-08002B2CF9AE}" pid="11" name="DossierName_0">
    <vt:lpwstr>TEN|5e12260d-3aca-41f8-baf2-ad3d18475f10</vt:lpwstr>
  </property>
  <property fmtid="{D5CDD505-2E9C-101B-9397-08002B2CF9AE}" pid="12" name="DocumentSource_0">
    <vt:lpwstr>EESC|422833ec-8d7e-4e65-8e4e-8bed07ffb729</vt:lpwstr>
  </property>
  <property fmtid="{D5CDD505-2E9C-101B-9397-08002B2CF9AE}" pid="13" name="DocumentNumber">
    <vt:i4>655</vt:i4>
  </property>
  <property fmtid="{D5CDD505-2E9C-101B-9397-08002B2CF9AE}" pid="14" name="DocumentVersion">
    <vt:i4>0</vt:i4>
  </property>
  <property fmtid="{D5CDD505-2E9C-101B-9397-08002B2CF9AE}" pid="15" name="DossierNumber">
    <vt:i4>774</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49;#TEN|5e12260d-3aca-41f8-baf2-ad3d18475f10</vt:lpwstr>
  </property>
  <property fmtid="{D5CDD505-2E9C-101B-9397-08002B2CF9AE}" pid="19" name="DocumentSource">
    <vt:lpwstr>1;#EESC|422833ec-8d7e-4e65-8e4e-8bed07ffb729</vt:lpwstr>
  </property>
  <property fmtid="{D5CDD505-2E9C-101B-9397-08002B2CF9AE}" pid="20" name="AdoptionDate">
    <vt:filetime>2022-10-26T12:00:00Z</vt:filetime>
  </property>
  <property fmtid="{D5CDD505-2E9C-101B-9397-08002B2CF9AE}" pid="21" name="DocumentType">
    <vt:lpwstr>90;#AC|a4cc1d15-fb08-4679-ad46-e4e0cba5fe92</vt:lpwstr>
  </property>
  <property fmtid="{D5CDD505-2E9C-101B-9397-08002B2CF9AE}" pid="22" name="RequestingService">
    <vt:lpwstr>Transports, énergie, infrastructures, société de l'information</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SK|46d9fce0-ef79-4f71-b89b-cd6aa82426b8;IT|0774613c-01ed-4e5d-a25d-11d2388de825;PL|1e03da61-4678-4e07-b136-b5024ca9197b;EL|6d4f4d51-af9b-4650-94b4-4276bee85c91;SV|c2ed69e7-a339-43d7-8f22-d93680a92aa0;ES|e7a6b05b-ae16-40c8-add9-68b64b03aeba;CS|72f9705b-0217-4fd3-bea2-cbc7ed80e26e;SL|98a412ae-eb01-49e9-ae3d-585a81724cfc;ET|ff6c3f4c-b02c-4c3c-ab07-2c37995a7a0a;NL|55c6556c-b4f4-441d-9acf-c498d4f838bd;DE|f6b31e5a-26fa-4935-b661-318e46daf27e;PT|50ccc04a-eadd-42ae-a0cb-acaf45f812ba;LV|46f7e311-5d9f-4663-b433-18aeccb7ace7;EN|f2175f21-25d7-44a3-96da-d6a61b075e1b;MT|7df99101-6854-4a26-b53a-b88c0da02c26;DA|5d49c027-8956-412b-aa16-e85a0f96ad0e;LT|a7ff5ce7-6123-4f68-865a-a57c31810414;BG|1a1b3951-7821-4e6a-85f5-5673fc08bd2c;HR|2f555653-ed1a-4fe6-8362-9082d95989e5;FR|d2afafd3-4c81-4f60-8f52-ee33f2f54ff3</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MT|7df99101-6854-4a26-b53a-b88c0da02c26;#34;#SK|46d9fce0-ef79-4f71-b89b-cd6aa82426b8;#33;#IT|0774613c-01ed-4e5d-a25d-11d2388de825;#32;#DA|5d49c027-8956-412b-aa16-e85a0f96ad0e;#31;#ES|e7a6b05b-ae16-40c8-add9-68b64b03aeba;#30;#PL|1e03da61-4678-4e07-b136-b5024ca9197b;#29;#SV|c2ed69e7-a339-43d7-8f22-d93680a92aa0;#43;#NL|55c6556c-b4f4-441d-9acf-c498d4f838bd;#26;#LV|46f7e311-5d9f-4663-b433-18aeccb7ace7;#44;#LT|a7ff5ce7-6123-4f68-865a-a57c31810414;#11;#FR|d2afafd3-4c81-4f60-8f52-ee33f2f54ff3;#22;#DE|f6b31e5a-26fa-4935-b661-318e46daf27e;#55;#HR|2f555653-ed1a-4fe6-8362-9082d95989e5;#54;#ET|ff6c3f4c-b02c-4c3c-ab07-2c37995a7a0a;#90;#AC|a4cc1d15-fb08-4679-ad46-e4e0cba5fe92;#46;#EL|6d4f4d51-af9b-4650-94b4-4276bee85c91;#49;#TEN|5e12260d-3aca-41f8-baf2-ad3d18475f10;#9;#Unrestricted|826e22d7-d029-4ec0-a450-0c28ff673572;#41;#CS|72f9705b-0217-4fd3-bea2-cbc7ed80e26e;#7;#TRA|150d2a88-1431-44e6-a8ca-0bb753ab8672;#6;#Final|ea5e6674-7b27-4bac-b091-73adbb394efe;#42;#SL|98a412ae-eb01-49e9-ae3d-585a81724cfc;#4;#EN|f2175f21-25d7-44a3-96da-d6a61b075e1b;#40;#BG|1a1b3951-7821-4e6a-85f5-5673fc08bd2c;#1;#EESC|422833ec-8d7e-4e65-8e4e-8bed07ffb729;#37;#PT|50ccc04a-eadd-42ae-a0cb-acaf45f812ba</vt:lpwstr>
  </property>
  <property fmtid="{D5CDD505-2E9C-101B-9397-08002B2CF9AE}" pid="33" name="Rapporteur">
    <vt:lpwstr>KRUPAVIČIENĖ &amp; JUODKAITĖ</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10039</vt:i4>
  </property>
  <property fmtid="{D5CDD505-2E9C-101B-9397-08002B2CF9AE}" pid="38" name="DocumentLanguage">
    <vt:lpwstr>38;#FI|87606a43-d45f-42d6-b8c9-e1a3457db5b7</vt:lpwstr>
  </property>
  <property name="OP_sanitized" fmtid="{D5CDD505-2E9C-101B-9397-08002B2CF9AE}" pid="38">
    <vt:lpwstr>True</vt:lpwstr>
  </property>
</Properties>
</file>