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EF8A00F" w14:textId="77777777" w:rsidR="006F0DCC" w:rsidRPr="009C1627" w:rsidRDefault="006F0DCC" w:rsidP="00665C0E">
      <w:pPr>
        <w:overflowPunct/>
        <w:adjustRightInd/>
        <w:jc w:val="center"/>
        <w:textAlignment w:val="auto"/>
      </w:pPr>
      <w:r>
        <w:rPr>
          <w:noProof/>
          <w:lang w:val="en-GB" w:eastAsia="en-GB" w:bidi="ar-SA"/>
        </w:rPr>
        <w:drawing>
          <wp:inline distT="0" distB="0" distL="0" distR="0" wp14:anchorId="40F2076E" wp14:editId="2013E96B">
            <wp:extent cx="874395" cy="564515"/>
            <wp:effectExtent l="0" t="0" r="1905" b="698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874395" cy="564515"/>
                    </a:xfrm>
                    <a:prstGeom prst="rect">
                      <a:avLst/>
                    </a:prstGeom>
                    <a:noFill/>
                    <a:ln>
                      <a:noFill/>
                    </a:ln>
                  </pic:spPr>
                </pic:pic>
              </a:graphicData>
            </a:graphic>
          </wp:inline>
        </w:drawing>
      </w:r>
      <w:r>
        <w:rPr>
          <w:noProof/>
          <w:lang w:val="en-GB" w:eastAsia="en-GB" w:bidi="ar-SA"/>
        </w:rPr>
        <mc:AlternateContent>
          <mc:Choice Requires="wps">
            <w:drawing>
              <wp:anchor distT="0" distB="0" distL="114300" distR="114300" simplePos="0" relativeHeight="251657216" behindDoc="1" locked="0" layoutInCell="0" allowOverlap="1" wp14:anchorId="36EE7B46" wp14:editId="75FBF841">
                <wp:simplePos x="0" y="0"/>
                <wp:positionH relativeFrom="page">
                  <wp:posOffset>6769100</wp:posOffset>
                </wp:positionH>
                <wp:positionV relativeFrom="page">
                  <wp:posOffset>10081260</wp:posOffset>
                </wp:positionV>
                <wp:extent cx="647700" cy="396240"/>
                <wp:effectExtent l="0" t="3810" r="3175" b="0"/>
                <wp:wrapNone/>
                <wp:docPr id="20"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7700" cy="3962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F07058" w14:textId="77777777" w:rsidR="006F0DCC" w:rsidRPr="0077159E" w:rsidRDefault="006F0DCC" w:rsidP="00944196">
                            <w:pPr>
                              <w:overflowPunct/>
                              <w:adjustRightInd/>
                              <w:jc w:val="center"/>
                              <w:textAlignment w:val="auto"/>
                              <w:rPr>
                                <w:rFonts w:ascii="Arial" w:hAnsi="Arial" w:cs="Arial"/>
                                <w:b/>
                                <w:sz w:val="48"/>
                              </w:rPr>
                            </w:pPr>
                            <w:r>
                              <w:rPr>
                                <w:rFonts w:ascii="Arial" w:hAnsi="Arial"/>
                                <w:b/>
                                <w:sz w:val="48"/>
                              </w:rPr>
                              <w:t>FI</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6EE7B46" id="_x0000_t202" coordsize="21600,21600" o:spt="202" path="m,l,21600r21600,l21600,xe">
                <v:stroke joinstyle="miter"/>
                <v:path gradientshapeok="t" o:connecttype="rect"/>
              </v:shapetype>
              <v:shape id="Text Box 17" o:spid="_x0000_s1026" type="#_x0000_t202" style="position:absolute;left:0;text-align:left;margin-left:533pt;margin-top:793.8pt;width:51pt;height:31.2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" o:allowincell="f" filled="f" stroked="f">
                <v:textbox>
                  <w:txbxContent>
                    <w:p w14:paraId="2EF07058" w14:textId="77777777" w:rsidR="006F0DCC" w:rsidRPr="0077159E" w:rsidRDefault="006F0DCC" w:rsidP="00944196">
                      <w:pPr>
                        <w:overflowPunct/>
                        <w:adjustRightInd/>
                        <w:jc w:val="center"/>
                        <w:textAlignment w:val="auto"/>
                        <w:rPr>
                          <w:rFonts w:ascii="Arial" w:hAnsi="Arial" w:cs="Arial"/>
                          <w:b/>
                          <w:sz w:val="48"/>
                        </w:rPr>
                      </w:pPr>
                      <w:r>
                        <w:rPr>
                          <w:rFonts w:ascii="Arial" w:hAnsi="Arial"/>
                          <w:b/>
                          <w:sz w:val="48"/>
                        </w:rPr>
                        <w:t>FI</w:t>
                      </w:r>
                    </w:p>
                  </w:txbxContent>
                </v:textbox>
                <w10:wrap anchorx="page" anchory="page"/>
              </v:shape>
            </w:pict>
          </mc:Fallback>
        </mc:AlternateContent>
      </w:r>
    </w:p>
    <w:p w14:paraId="632147D3" w14:textId="77777777" w:rsidR="00563C84" w:rsidRPr="009C1627" w:rsidRDefault="006F0DCC" w:rsidP="00665C0E">
      <w:pPr>
        <w:overflowPunct/>
        <w:adjustRightInd/>
        <w:jc w:val="center"/>
        <w:textAlignment w:val="auto"/>
      </w:pPr>
      <w:r>
        <w:rPr>
          <w:rFonts w:ascii="Arial" w:hAnsi="Arial"/>
          <w:b/>
          <w:i/>
          <w:sz w:val="20"/>
        </w:rPr>
        <w:t>Euroopan talous- ja sosiaalikomitea</w:t>
      </w:r>
    </w:p>
    <w:p w14:paraId="0ECD4478" w14:textId="77777777" w:rsidR="00646AC2" w:rsidRPr="009C1627" w:rsidRDefault="00646AC2" w:rsidP="00665C0E">
      <w:pPr>
        <w:overflowPunct/>
        <w:adjustRightInd/>
        <w:textAlignment w:val="auto"/>
      </w:pPr>
    </w:p>
    <w:p w14:paraId="73C868C3" w14:textId="77777777" w:rsidR="00646AC2" w:rsidRPr="009C1627" w:rsidRDefault="00181129" w:rsidP="00665C0E">
      <w:pPr>
        <w:overflowPunct/>
        <w:adjustRightInd/>
        <w:jc w:val="right"/>
        <w:textAlignment w:val="auto"/>
      </w:pPr>
      <w:r>
        <w:rPr>
          <w:b/>
        </w:rPr>
        <w:t>TEN/674</w:t>
      </w:r>
    </w:p>
    <w:p w14:paraId="6A67F161" w14:textId="77777777" w:rsidR="00563C84" w:rsidRPr="009C1627" w:rsidRDefault="00181129" w:rsidP="00665C0E">
      <w:pPr>
        <w:overflowPunct/>
        <w:adjustRightInd/>
        <w:jc w:val="right"/>
        <w:textAlignment w:val="auto"/>
      </w:pPr>
      <w:r>
        <w:rPr>
          <w:b/>
        </w:rPr>
        <w:t>Rengasmerkinnät</w:t>
      </w:r>
    </w:p>
    <w:p w14:paraId="30A40FD9" w14:textId="77777777" w:rsidR="009B30AA" w:rsidRPr="009C1627" w:rsidRDefault="009B30AA" w:rsidP="00665C0E">
      <w:pPr>
        <w:overflowPunct/>
        <w:adjustRightInd/>
        <w:textAlignment w:val="auto"/>
      </w:pPr>
    </w:p>
    <w:p w14:paraId="2100CA1B" w14:textId="77777777" w:rsidR="009B30AA" w:rsidRPr="009C1627" w:rsidRDefault="009B30AA" w:rsidP="00665C0E">
      <w:pPr>
        <w:overflowPunct/>
        <w:adjustRightInd/>
        <w:textAlignment w:val="auto"/>
      </w:pPr>
    </w:p>
    <w:p w14:paraId="36563238" w14:textId="5F33B726" w:rsidR="00646AC2" w:rsidRPr="009C1627" w:rsidRDefault="00086526" w:rsidP="00665C0E">
      <w:pPr>
        <w:overflowPunct/>
        <w:adjustRightInd/>
        <w:jc w:val="center"/>
        <w:textAlignment w:val="auto"/>
      </w:pPr>
      <w:r>
        <w:rPr>
          <w:b/>
          <w:sz w:val="28"/>
        </w:rPr>
        <w:t>LAUSUNTO</w:t>
      </w:r>
      <w:r>
        <w:rPr>
          <w:b/>
          <w:sz w:val="28"/>
        </w:rPr>
        <w:br/>
      </w:r>
      <w:r>
        <w:rPr>
          <w:b/>
        </w:rPr>
        <w:br/>
      </w:r>
      <w:r>
        <w:t>Euroopan talous- ja sosiaalikomitea</w:t>
      </w:r>
      <w:r>
        <w:br/>
      </w:r>
      <w:r>
        <w:rPr>
          <w:b/>
        </w:rPr>
        <w:br/>
        <w:t>Ehdotus – Euroopan parlamentin ja neuvoston asetus renkaiden merkitsemisestä polttoainetaloudellisuuden ja muiden keskeisten ominaisuuksien osalta ja asetuksen (EY) N:o 1222/2009 kumoamisesta</w:t>
      </w:r>
      <w:r>
        <w:rPr>
          <w:b/>
        </w:rPr>
        <w:br/>
      </w:r>
      <w:r>
        <w:t>[COM(2018) 296 final – 2018/0148(COD)]</w:t>
      </w:r>
    </w:p>
    <w:p w14:paraId="23D161F7" w14:textId="77777777" w:rsidR="009B30AA" w:rsidRPr="009C1627" w:rsidRDefault="009B30AA">
      <w:pPr>
        <w:overflowPunct/>
        <w:adjustRightInd/>
        <w:jc w:val="center"/>
        <w:textAlignment w:val="auto"/>
      </w:pPr>
    </w:p>
    <w:p w14:paraId="6396CBB5" w14:textId="77777777" w:rsidR="00704FBB" w:rsidRPr="009C1627" w:rsidRDefault="007F5E0D">
      <w:pPr>
        <w:overflowPunct/>
        <w:adjustRightInd/>
        <w:jc w:val="center"/>
        <w:textAlignment w:val="auto"/>
        <w:rPr>
          <w:b/>
        </w:rPr>
      </w:pPr>
      <w:r>
        <w:t xml:space="preserve">Esittelijä: </w:t>
      </w:r>
      <w:r>
        <w:rPr>
          <w:b/>
        </w:rPr>
        <w:t>András Edelényi</w:t>
      </w:r>
    </w:p>
    <w:p w14:paraId="2B11D0DF" w14:textId="77777777" w:rsidR="00E32DC6" w:rsidRPr="009C1627" w:rsidRDefault="00E32DC6"/>
    <w:p w14:paraId="6586C6FD" w14:textId="77777777" w:rsidR="00E32DC6" w:rsidRPr="009C1627" w:rsidRDefault="00E32DC6"/>
    <w:p w14:paraId="7E8CB8CA" w14:textId="77777777" w:rsidR="00E32DC6" w:rsidRPr="009C1627" w:rsidRDefault="00E32DC6">
      <w:pPr>
        <w:sectPr w:rsidR="00E32DC6" w:rsidRPr="009C1627" w:rsidSect="00A22335">
          <w:headerReference w:type="even" r:id="rId13"/>
          <w:headerReference w:type="default" r:id="rId14"/>
          <w:footerReference w:type="even" r:id="rId15"/>
          <w:footerReference w:type="default" r:id="rId16"/>
          <w:headerReference w:type="first" r:id="rId17"/>
          <w:footerReference w:type="first" r:id="rId18"/>
          <w:pgSz w:w="11907" w:h="16839" w:code="9"/>
          <w:pgMar w:top="1417" w:right="1417" w:bottom="1417" w:left="1417" w:header="709" w:footer="709" w:gutter="0"/>
          <w:pgNumType w:start="1"/>
          <w:cols w:space="720"/>
          <w:docGrid w:linePitch="299"/>
        </w:sectPr>
      </w:pPr>
    </w:p>
    <w:tbl>
      <w:tblPr>
        <w:tblW w:w="0" w:type="auto"/>
        <w:tblLook w:val="04A0" w:firstRow="1" w:lastRow="0" w:firstColumn="1" w:lastColumn="0" w:noHBand="0" w:noVBand="1"/>
      </w:tblPr>
      <w:tblGrid>
        <w:gridCol w:w="3085"/>
        <w:gridCol w:w="6204"/>
      </w:tblGrid>
      <w:tr w:rsidR="0011656A" w:rsidRPr="009C1627" w14:paraId="6DBFA48F" w14:textId="77777777" w:rsidTr="00CD4855">
        <w:tc>
          <w:tcPr>
            <w:tcW w:w="3085" w:type="dxa"/>
          </w:tcPr>
          <w:p w14:paraId="2718933C" w14:textId="77777777" w:rsidR="0011656A" w:rsidRPr="009C1627" w:rsidRDefault="00D84754">
            <w:pPr>
              <w:overflowPunct/>
              <w:adjustRightInd/>
              <w:jc w:val="left"/>
              <w:textAlignment w:val="auto"/>
              <w:rPr>
                <w:szCs w:val="22"/>
              </w:rPr>
            </w:pPr>
            <w:r>
              <w:lastRenderedPageBreak/>
              <w:t>Lausuntopyynnöt</w:t>
            </w:r>
          </w:p>
        </w:tc>
        <w:tc>
          <w:tcPr>
            <w:tcW w:w="6204" w:type="dxa"/>
          </w:tcPr>
          <w:p w14:paraId="74D5241C" w14:textId="77777777" w:rsidR="0011656A" w:rsidRPr="009C1627" w:rsidRDefault="00EB4694">
            <w:pPr>
              <w:overflowPunct/>
              <w:adjustRightInd/>
              <w:jc w:val="left"/>
              <w:textAlignment w:val="auto"/>
            </w:pPr>
            <w:r>
              <w:t>Euroopan parlamentti, 11/06/2018</w:t>
            </w:r>
          </w:p>
          <w:p w14:paraId="2FD732AB" w14:textId="77777777" w:rsidR="00AA6615" w:rsidRPr="009C1627" w:rsidRDefault="0091290F">
            <w:pPr>
              <w:overflowPunct/>
              <w:adjustRightInd/>
              <w:jc w:val="left"/>
              <w:textAlignment w:val="auto"/>
              <w:rPr>
                <w:szCs w:val="22"/>
              </w:rPr>
            </w:pPr>
            <w:r>
              <w:t>neuvosto, 14/06/2018</w:t>
            </w:r>
          </w:p>
        </w:tc>
      </w:tr>
      <w:tr w:rsidR="0016503F" w:rsidRPr="009C1627" w14:paraId="792DE0D7" w14:textId="77777777" w:rsidTr="00CD4855">
        <w:trPr>
          <w:trHeight w:val="251"/>
        </w:trPr>
        <w:tc>
          <w:tcPr>
            <w:tcW w:w="3085" w:type="dxa"/>
          </w:tcPr>
          <w:p w14:paraId="6C18E501" w14:textId="77777777" w:rsidR="0016503F" w:rsidRPr="009C1627" w:rsidRDefault="00D84754">
            <w:pPr>
              <w:overflowPunct/>
              <w:adjustRightInd/>
              <w:jc w:val="left"/>
              <w:textAlignment w:val="auto"/>
              <w:rPr>
                <w:szCs w:val="22"/>
              </w:rPr>
            </w:pPr>
            <w:r>
              <w:t>Oikeus</w:t>
            </w:r>
            <w:r>
              <w:softHyphen/>
              <w:t>perusta</w:t>
            </w:r>
          </w:p>
        </w:tc>
        <w:tc>
          <w:tcPr>
            <w:tcW w:w="6204" w:type="dxa"/>
          </w:tcPr>
          <w:p w14:paraId="1216364D" w14:textId="77777777" w:rsidR="0016503F" w:rsidRPr="009C1627" w:rsidRDefault="00300A77">
            <w:pPr>
              <w:overflowPunct/>
              <w:adjustRightInd/>
              <w:jc w:val="left"/>
              <w:textAlignment w:val="auto"/>
              <w:rPr>
                <w:szCs w:val="22"/>
              </w:rPr>
            </w:pPr>
            <w:r>
              <w:t>Euroopan unionin toiminnasta tehdyn sopimuksen 194 artiklan 2 kohta, 114 ja 304 artikla</w:t>
            </w:r>
          </w:p>
        </w:tc>
      </w:tr>
      <w:tr w:rsidR="00BA1290" w:rsidRPr="009C1627" w14:paraId="38C9AB43" w14:textId="77777777" w:rsidTr="001D79CF">
        <w:tc>
          <w:tcPr>
            <w:tcW w:w="3085" w:type="dxa"/>
          </w:tcPr>
          <w:p w14:paraId="70179323" w14:textId="77777777" w:rsidR="00BA1290" w:rsidRPr="009C1627" w:rsidRDefault="00BA1290">
            <w:pPr>
              <w:overflowPunct/>
              <w:adjustRightInd/>
              <w:jc w:val="left"/>
              <w:textAlignment w:val="auto"/>
            </w:pPr>
          </w:p>
        </w:tc>
        <w:tc>
          <w:tcPr>
            <w:tcW w:w="6204" w:type="dxa"/>
          </w:tcPr>
          <w:p w14:paraId="53748972" w14:textId="77777777" w:rsidR="00BA1290" w:rsidRPr="009C1627" w:rsidRDefault="00BA1290">
            <w:pPr>
              <w:overflowPunct/>
              <w:adjustRightInd/>
              <w:jc w:val="left"/>
              <w:textAlignment w:val="auto"/>
            </w:pPr>
          </w:p>
        </w:tc>
      </w:tr>
      <w:tr w:rsidR="00DF5B64" w:rsidRPr="009C1627" w14:paraId="18BDF08A" w14:textId="77777777" w:rsidTr="00CD4855">
        <w:tc>
          <w:tcPr>
            <w:tcW w:w="3085" w:type="dxa"/>
          </w:tcPr>
          <w:p w14:paraId="2BBC02CE" w14:textId="77777777" w:rsidR="00DF5B64" w:rsidRPr="009C1627" w:rsidRDefault="00D84754">
            <w:pPr>
              <w:overflowPunct/>
              <w:adjustRightInd/>
              <w:jc w:val="left"/>
              <w:textAlignment w:val="auto"/>
              <w:rPr>
                <w:szCs w:val="22"/>
              </w:rPr>
            </w:pPr>
            <w:r>
              <w:t>Vastaava erityisjaosto</w:t>
            </w:r>
          </w:p>
        </w:tc>
        <w:tc>
          <w:tcPr>
            <w:tcW w:w="6204" w:type="dxa"/>
          </w:tcPr>
          <w:p w14:paraId="66C46E07" w14:textId="77777777" w:rsidR="00DF5B64" w:rsidRPr="009C1627" w:rsidRDefault="00EF0359">
            <w:pPr>
              <w:overflowPunct/>
              <w:adjustRightInd/>
              <w:jc w:val="left"/>
              <w:textAlignment w:val="auto"/>
              <w:rPr>
                <w:szCs w:val="22"/>
              </w:rPr>
            </w:pPr>
            <w:r>
              <w:t>”liikenne, energia, perusrakenteet, tietoyhteiskunta”</w:t>
            </w:r>
          </w:p>
        </w:tc>
      </w:tr>
      <w:tr w:rsidR="00A156E6" w:rsidRPr="009C1627" w14:paraId="5A05600F" w14:textId="77777777" w:rsidTr="00CD4855">
        <w:tc>
          <w:tcPr>
            <w:tcW w:w="3085" w:type="dxa"/>
          </w:tcPr>
          <w:p w14:paraId="49C1AA7C" w14:textId="77777777" w:rsidR="00A156E6" w:rsidRPr="009C1627" w:rsidRDefault="00D84754">
            <w:pPr>
              <w:overflowPunct/>
              <w:adjustRightInd/>
              <w:jc w:val="left"/>
              <w:textAlignment w:val="auto"/>
              <w:rPr>
                <w:szCs w:val="22"/>
              </w:rPr>
            </w:pPr>
            <w:r>
              <w:t>Hyväksyminen erityisjaostossa</w:t>
            </w:r>
          </w:p>
        </w:tc>
        <w:tc>
          <w:tcPr>
            <w:tcW w:w="6204" w:type="dxa"/>
          </w:tcPr>
          <w:p w14:paraId="25B63469" w14:textId="02DF4894" w:rsidR="00A156E6" w:rsidRPr="009C1627" w:rsidRDefault="001B028F">
            <w:pPr>
              <w:overflowPunct/>
              <w:adjustRightInd/>
              <w:jc w:val="left"/>
              <w:textAlignment w:val="auto"/>
              <w:rPr>
                <w:szCs w:val="22"/>
              </w:rPr>
            </w:pPr>
            <w:r>
              <w:t>04/10/2018</w:t>
            </w:r>
          </w:p>
        </w:tc>
      </w:tr>
      <w:tr w:rsidR="00A156E6" w:rsidRPr="009C1627" w14:paraId="4525175D" w14:textId="77777777" w:rsidTr="00CD4855">
        <w:tc>
          <w:tcPr>
            <w:tcW w:w="3085" w:type="dxa"/>
          </w:tcPr>
          <w:p w14:paraId="1B42F6F8" w14:textId="77777777" w:rsidR="00A156E6" w:rsidRPr="009C1627" w:rsidRDefault="00D84754">
            <w:pPr>
              <w:overflowPunct/>
              <w:adjustRightInd/>
              <w:jc w:val="left"/>
              <w:textAlignment w:val="auto"/>
              <w:rPr>
                <w:szCs w:val="22"/>
              </w:rPr>
            </w:pPr>
            <w:r>
              <w:t>Hyväksyminen täysistunnossa</w:t>
            </w:r>
          </w:p>
        </w:tc>
        <w:tc>
          <w:tcPr>
            <w:tcW w:w="6204" w:type="dxa"/>
          </w:tcPr>
          <w:p w14:paraId="73094190" w14:textId="2CA646A9" w:rsidR="00A156E6" w:rsidRPr="009C1627" w:rsidRDefault="00140B23">
            <w:pPr>
              <w:overflowPunct/>
              <w:adjustRightInd/>
              <w:jc w:val="left"/>
              <w:textAlignment w:val="auto"/>
              <w:rPr>
                <w:szCs w:val="22"/>
              </w:rPr>
            </w:pPr>
            <w:r>
              <w:t>17/10/2018</w:t>
            </w:r>
          </w:p>
        </w:tc>
      </w:tr>
      <w:tr w:rsidR="00BA1290" w:rsidRPr="009C1627" w14:paraId="1BE5D032" w14:textId="77777777" w:rsidTr="001D79CF">
        <w:tc>
          <w:tcPr>
            <w:tcW w:w="3085" w:type="dxa"/>
          </w:tcPr>
          <w:p w14:paraId="3AFE33E9" w14:textId="77777777" w:rsidR="00BA1290" w:rsidRPr="009C1627" w:rsidRDefault="00D84754">
            <w:pPr>
              <w:overflowPunct/>
              <w:adjustRightInd/>
              <w:jc w:val="left"/>
              <w:textAlignment w:val="auto"/>
              <w:rPr>
                <w:szCs w:val="22"/>
              </w:rPr>
            </w:pPr>
            <w:r>
              <w:t>Täysistunnon nro</w:t>
            </w:r>
          </w:p>
        </w:tc>
        <w:tc>
          <w:tcPr>
            <w:tcW w:w="6204" w:type="dxa"/>
          </w:tcPr>
          <w:p w14:paraId="451A456A" w14:textId="01F18E5A" w:rsidR="00BA1290" w:rsidRPr="009C1627" w:rsidRDefault="00140B23">
            <w:pPr>
              <w:overflowPunct/>
              <w:adjustRightInd/>
              <w:jc w:val="left"/>
              <w:textAlignment w:val="auto"/>
              <w:rPr>
                <w:szCs w:val="22"/>
              </w:rPr>
            </w:pPr>
            <w:r>
              <w:t>538</w:t>
            </w:r>
          </w:p>
        </w:tc>
      </w:tr>
      <w:tr w:rsidR="00A156E6" w:rsidRPr="009C1627" w14:paraId="53C6AE0B" w14:textId="77777777" w:rsidTr="00F20987">
        <w:tc>
          <w:tcPr>
            <w:tcW w:w="3085" w:type="dxa"/>
          </w:tcPr>
          <w:p w14:paraId="5A70DC17" w14:textId="2AEEB4B7" w:rsidR="00D423D4" w:rsidRPr="009C1627" w:rsidRDefault="00D84754">
            <w:pPr>
              <w:overflowPunct/>
              <w:adjustRightInd/>
              <w:jc w:val="left"/>
            </w:pPr>
            <w:r>
              <w:t>Äänestystulos</w:t>
            </w:r>
            <w:r>
              <w:br/>
              <w:t>(puolesta / vastaan / pidättyi äänestämästä)</w:t>
            </w:r>
          </w:p>
        </w:tc>
        <w:tc>
          <w:tcPr>
            <w:tcW w:w="6204" w:type="dxa"/>
            <w:vAlign w:val="bottom"/>
          </w:tcPr>
          <w:p w14:paraId="36B83499" w14:textId="229795CB" w:rsidR="00A156E6" w:rsidRPr="009C1627" w:rsidRDefault="00140B23">
            <w:pPr>
              <w:overflowPunct/>
              <w:adjustRightInd/>
              <w:jc w:val="left"/>
              <w:textAlignment w:val="auto"/>
              <w:rPr>
                <w:szCs w:val="22"/>
              </w:rPr>
            </w:pPr>
            <w:r>
              <w:t>215/1/2</w:t>
            </w:r>
          </w:p>
        </w:tc>
      </w:tr>
    </w:tbl>
    <w:p w14:paraId="080FBB62" w14:textId="77777777" w:rsidR="0090053A" w:rsidRPr="009C1627" w:rsidRDefault="0090053A">
      <w:pPr>
        <w:overflowPunct/>
        <w:adjustRightInd/>
        <w:textAlignment w:val="auto"/>
      </w:pPr>
    </w:p>
    <w:p w14:paraId="5E945AD8" w14:textId="77777777" w:rsidR="00646AC2" w:rsidRPr="009C1627" w:rsidRDefault="00646AC2">
      <w:pPr>
        <w:overflowPunct/>
        <w:adjustRightInd/>
        <w:textAlignment w:val="auto"/>
      </w:pPr>
      <w:r>
        <w:br w:type="page"/>
      </w:r>
    </w:p>
    <w:p w14:paraId="7C6DEBCE" w14:textId="77777777" w:rsidR="00011D33" w:rsidRPr="009C1627" w:rsidRDefault="00011D33">
      <w:pPr>
        <w:pStyle w:val="Heading1"/>
        <w:keepNext/>
        <w:ind w:left="567" w:hanging="567"/>
        <w:rPr>
          <w:b/>
        </w:rPr>
      </w:pPr>
      <w:r>
        <w:rPr>
          <w:b/>
        </w:rPr>
        <w:lastRenderedPageBreak/>
        <w:t>Päätelmät ja suositukset</w:t>
      </w:r>
    </w:p>
    <w:p w14:paraId="1FFC27C9" w14:textId="77777777" w:rsidR="00011D33" w:rsidRPr="009C1627" w:rsidRDefault="00011D33">
      <w:pPr>
        <w:keepNext/>
      </w:pPr>
    </w:p>
    <w:p w14:paraId="278F1DDE" w14:textId="77777777" w:rsidR="00011D33" w:rsidRPr="009C1627" w:rsidRDefault="00CE435C">
      <w:pPr>
        <w:pStyle w:val="Heading2"/>
        <w:ind w:left="567" w:hanging="567"/>
      </w:pPr>
      <w:r>
        <w:t xml:space="preserve">Euroopan talous- ja sosiaalikomitea (ETSK) on tyytyväinen siitä, että Euroopan unionin lainsäätäjä </w:t>
      </w:r>
      <w:r>
        <w:rPr>
          <w:b/>
        </w:rPr>
        <w:t>tarkastelee uudelleen</w:t>
      </w:r>
      <w:r>
        <w:t xml:space="preserve"> unionissa käytettävien renkaiden suorituskykyä ja kokonaislaatua sekä niiden merkintöjä omien suositustensa mukaisesti. Renkaat ovat ainoa kontaktipinta ajoneuvon ja tienpinnan välillä, joten ne vaikuttavat merkittävästi yleisen liikenteen </w:t>
      </w:r>
      <w:r>
        <w:rPr>
          <w:b/>
        </w:rPr>
        <w:t>turvallisuuteen</w:t>
      </w:r>
      <w:r>
        <w:t xml:space="preserve"> ja </w:t>
      </w:r>
      <w:r>
        <w:rPr>
          <w:b/>
        </w:rPr>
        <w:t>polttoaineenkulutuksen</w:t>
      </w:r>
      <w:r>
        <w:t xml:space="preserve"> tasoon.</w:t>
      </w:r>
    </w:p>
    <w:p w14:paraId="38798AF1" w14:textId="77777777" w:rsidR="00CE435C" w:rsidRPr="009C1627" w:rsidRDefault="00CE435C">
      <w:pPr>
        <w:ind w:left="567" w:hanging="567"/>
      </w:pPr>
    </w:p>
    <w:p w14:paraId="29D4095B" w14:textId="77777777" w:rsidR="00CE435C" w:rsidRPr="009C1627" w:rsidRDefault="00CE435C">
      <w:pPr>
        <w:pStyle w:val="Heading3"/>
        <w:ind w:left="567" w:hanging="567"/>
      </w:pPr>
      <w:r>
        <w:t xml:space="preserve">ETSK on samaa mieltä siitä, että renkaiden </w:t>
      </w:r>
      <w:r>
        <w:rPr>
          <w:b/>
        </w:rPr>
        <w:t>merkintöjen parantamisen</w:t>
      </w:r>
      <w:r>
        <w:t xml:space="preserve"> ansiosta </w:t>
      </w:r>
      <w:r>
        <w:rPr>
          <w:b/>
        </w:rPr>
        <w:t>kuluttajat</w:t>
      </w:r>
      <w:r>
        <w:t xml:space="preserve"> saavat enemmän tietoja polttoainetehokkuudesta, turvallisuudesta ja melusta ja saavat siten uusien renkaiden ostotilanteessa tarkkoja, merkityksellisiä ja </w:t>
      </w:r>
      <w:r>
        <w:rPr>
          <w:b/>
        </w:rPr>
        <w:t>vertailukelpoisia tietoja</w:t>
      </w:r>
      <w:r>
        <w:t xml:space="preserve"> tehdäkseen tietoon perustuvan päätöksen.</w:t>
      </w:r>
    </w:p>
    <w:p w14:paraId="4677BEAD" w14:textId="77777777" w:rsidR="00011D33" w:rsidRPr="009C1627" w:rsidRDefault="00011D33">
      <w:pPr>
        <w:ind w:left="567" w:hanging="567"/>
      </w:pPr>
    </w:p>
    <w:p w14:paraId="7ADACBC9" w14:textId="77777777" w:rsidR="00CE435C" w:rsidRPr="009C1627" w:rsidRDefault="00CE435C">
      <w:pPr>
        <w:pStyle w:val="Heading3"/>
        <w:ind w:left="567" w:hanging="567"/>
      </w:pPr>
      <w:r>
        <w:t xml:space="preserve">Toinen merkittävä hyviin merkintöihin liittyvä näkökohta on, että </w:t>
      </w:r>
      <w:r>
        <w:rPr>
          <w:b/>
        </w:rPr>
        <w:t>kuluttaja voi tehdä valintansa</w:t>
      </w:r>
      <w:r>
        <w:t xml:space="preserve"> siten, että ratkaisukriteerit, joita ovat suorituskykyä koskevat tiedot, merkin imago ja hintataso, ovat realistisemmin tasapainossa. Ne auttavat myös valistuneita ostajia tekemään </w:t>
      </w:r>
      <w:r>
        <w:rPr>
          <w:b/>
        </w:rPr>
        <w:t>kannattavia ja ympäristön huomioon ottavia</w:t>
      </w:r>
      <w:r>
        <w:t xml:space="preserve"> ostopäätöksiä, jotka samalla sekä ovat ympäristöystävällisiä että mahdollistavat säästöjen tekemisen, mikä on varteenotettava seikka.</w:t>
      </w:r>
    </w:p>
    <w:p w14:paraId="36C8CF2A" w14:textId="77777777" w:rsidR="00CE435C" w:rsidRPr="009C1627" w:rsidRDefault="00CE435C">
      <w:pPr>
        <w:ind w:left="567" w:hanging="567"/>
      </w:pPr>
    </w:p>
    <w:p w14:paraId="50C03C86" w14:textId="77777777" w:rsidR="00CE435C" w:rsidRPr="009C1627" w:rsidRDefault="00421ABB">
      <w:pPr>
        <w:pStyle w:val="Heading3"/>
        <w:ind w:left="567" w:hanging="567"/>
      </w:pPr>
      <w:r>
        <w:t xml:space="preserve">ETSK myöntää, että asetusehdotuksella parannetaan renkaiden </w:t>
      </w:r>
      <w:r>
        <w:rPr>
          <w:b/>
        </w:rPr>
        <w:t>merkintäjärjestelmän tehokkuutta</w:t>
      </w:r>
      <w:r>
        <w:t xml:space="preserve">, jotta voidaan varmistaa puhtaammat, turvallisemmat ja hiljaisemmat ajoneuvot ja maksimoida järjestelmän panos liikennesektorin </w:t>
      </w:r>
      <w:r>
        <w:rPr>
          <w:b/>
        </w:rPr>
        <w:t>nykyaikaistamiseen ja hiilestä irtautumiseen</w:t>
      </w:r>
      <w:r>
        <w:t>.</w:t>
      </w:r>
    </w:p>
    <w:p w14:paraId="79DEB858" w14:textId="77777777" w:rsidR="00CE435C" w:rsidRPr="009C1627" w:rsidRDefault="00CE435C">
      <w:pPr>
        <w:ind w:left="567" w:hanging="567"/>
      </w:pPr>
    </w:p>
    <w:p w14:paraId="7052F5BC" w14:textId="0DAAEB04" w:rsidR="00421ABB" w:rsidRPr="009C1627" w:rsidRDefault="00421ABB">
      <w:pPr>
        <w:pStyle w:val="Heading3"/>
        <w:ind w:left="567" w:hanging="567"/>
      </w:pPr>
      <w:r>
        <w:t xml:space="preserve">Hyvälaatuisten renkaiden kehittäminen, tuotanto ja pinnoittaminen voivat osaltaan suuressa määrin edistää korkean lisäarvon </w:t>
      </w:r>
      <w:r>
        <w:rPr>
          <w:b/>
        </w:rPr>
        <w:t>valmistuksen pysymistä Euroopassa</w:t>
      </w:r>
      <w:r>
        <w:t xml:space="preserve"> ja sitä kautta </w:t>
      </w:r>
      <w:r>
        <w:rPr>
          <w:b/>
        </w:rPr>
        <w:t>laadukasta työllisyyttä</w:t>
      </w:r>
      <w:r>
        <w:t xml:space="preserve">. Koko yhteiskunnalle tämä voi merkitä </w:t>
      </w:r>
      <w:r>
        <w:rPr>
          <w:b/>
        </w:rPr>
        <w:t>loppukäyttäjän kokonaiskulujen</w:t>
      </w:r>
      <w:r>
        <w:t xml:space="preserve"> ja kustannusten alenemista sekä rahoituksen kannalta että turvallisuuden ja terveyden aloilla tapaturmien vähenemisen kautta.</w:t>
      </w:r>
    </w:p>
    <w:p w14:paraId="39AA318C" w14:textId="77777777" w:rsidR="00CE435C" w:rsidRPr="009C1627" w:rsidRDefault="00CE435C">
      <w:pPr>
        <w:ind w:left="567" w:hanging="567"/>
      </w:pPr>
    </w:p>
    <w:p w14:paraId="513B9243" w14:textId="77777777" w:rsidR="00CE435C" w:rsidRPr="009C1627" w:rsidRDefault="00421ABB">
      <w:pPr>
        <w:pStyle w:val="Heading3"/>
        <w:ind w:left="567" w:hanging="567"/>
      </w:pPr>
      <w:r>
        <w:t xml:space="preserve">ETSK kannattaa renkaiden merkintäjärjestelmän uudelleentarkastelua, sillä siten edistetään osaltaan unionin ponnistuksia </w:t>
      </w:r>
      <w:r>
        <w:rPr>
          <w:b/>
        </w:rPr>
        <w:t>vähentää kasvihuonekaasupäästöjä ja ilmakehän saastumista</w:t>
      </w:r>
      <w:r>
        <w:t xml:space="preserve">. Samalla parannetaan maantieliikenteen turvallisuutta, terveyden suojelua sekä </w:t>
      </w:r>
      <w:r>
        <w:rPr>
          <w:b/>
        </w:rPr>
        <w:t>taloudellisuutta ja ympäristöystävällisyyttä</w:t>
      </w:r>
      <w:r>
        <w:t>.</w:t>
      </w:r>
    </w:p>
    <w:p w14:paraId="7566FC56" w14:textId="77777777" w:rsidR="00421ABB" w:rsidRPr="009C1627" w:rsidRDefault="00421ABB">
      <w:pPr>
        <w:ind w:left="567" w:hanging="567"/>
      </w:pPr>
    </w:p>
    <w:p w14:paraId="0AEB73F2" w14:textId="77777777" w:rsidR="00421ABB" w:rsidRPr="009C1627" w:rsidRDefault="00421ABB">
      <w:pPr>
        <w:pStyle w:val="Heading3"/>
        <w:ind w:left="567" w:hanging="567"/>
      </w:pPr>
      <w:r>
        <w:t xml:space="preserve">ETSK katsoo, että huomisen </w:t>
      </w:r>
      <w:r>
        <w:rPr>
          <w:b/>
        </w:rPr>
        <w:t>liikkuvuusjärjestelmän</w:t>
      </w:r>
      <w:r>
        <w:t xml:space="preserve"> on oltava turvallinen, puhdas ja tehokas kaikkien EU-kansalaisten kannalta. Tarkoituksena on tehdä liikkuvuudesta Euroopassa turvallisempaa ja esteettömämpää, Euroopan </w:t>
      </w:r>
      <w:r>
        <w:rPr>
          <w:b/>
        </w:rPr>
        <w:t>teollisuudesta kilpailukykyisempi</w:t>
      </w:r>
      <w:r>
        <w:t xml:space="preserve"> ja Euroopan </w:t>
      </w:r>
      <w:r>
        <w:rPr>
          <w:b/>
        </w:rPr>
        <w:t>työpaikoista turvatumpia</w:t>
      </w:r>
      <w:r>
        <w:t xml:space="preserve"> vähentämällä päästöjä ja parantamalla valmiuksia torjua ilmastonmuutosta. Tavoitteen toteuttaminen edellyttää </w:t>
      </w:r>
      <w:r>
        <w:rPr>
          <w:b/>
        </w:rPr>
        <w:t>unionin, sen jäsenvaltioiden ja asianomaisten osapuolten täydellistä sitoutumista</w:t>
      </w:r>
      <w:r>
        <w:t>.</w:t>
      </w:r>
    </w:p>
    <w:p w14:paraId="05CBB268" w14:textId="77777777" w:rsidR="00421ABB" w:rsidRPr="009C1627" w:rsidRDefault="00421ABB"/>
    <w:p w14:paraId="7287E8B0" w14:textId="77777777" w:rsidR="00FF56C2" w:rsidRPr="009C1627" w:rsidRDefault="00421ABB">
      <w:pPr>
        <w:pStyle w:val="Heading2"/>
        <w:ind w:left="567" w:hanging="567"/>
      </w:pPr>
      <w:r>
        <w:t xml:space="preserve">ETSK on tyytyväinen siitä, että </w:t>
      </w:r>
      <w:r>
        <w:rPr>
          <w:b/>
        </w:rPr>
        <w:t>velvollisuutta esittää merkinnät</w:t>
      </w:r>
      <w:r>
        <w:t xml:space="preserve"> vahvistetaan tilanteissa, joissa kuluttaja ei näe ostoharkinnassa olevia renkaita (kun renkaat on varastoitu muualle tai kyseessä on etä- tai verkkomyynti).</w:t>
      </w:r>
    </w:p>
    <w:p w14:paraId="62F6AEE2" w14:textId="77777777" w:rsidR="00FF56C2" w:rsidRPr="009C1627" w:rsidRDefault="00FF56C2"/>
    <w:p w14:paraId="2C9FF330" w14:textId="77777777" w:rsidR="00421ABB" w:rsidRPr="009C1627" w:rsidRDefault="00FF56C2">
      <w:pPr>
        <w:pStyle w:val="Heading3"/>
        <w:ind w:left="567" w:hanging="567"/>
      </w:pPr>
      <w:r>
        <w:lastRenderedPageBreak/>
        <w:t xml:space="preserve">Komitea hyväksyy sen, että ehdotuksessa ennakoidaan renkaiden sisällyttämistä asetuksella (EU) 2017/1369 perustettuun </w:t>
      </w:r>
      <w:r>
        <w:rPr>
          <w:b/>
        </w:rPr>
        <w:t>tuotetietokantaan</w:t>
      </w:r>
      <w:r>
        <w:t xml:space="preserve"> markkinoiden valvonnan ja kuluttajien tiedonsaannin parantamiseksi.</w:t>
      </w:r>
    </w:p>
    <w:p w14:paraId="0F413F2C" w14:textId="77777777" w:rsidR="00421ABB" w:rsidRPr="009C1627" w:rsidRDefault="00421ABB">
      <w:pPr>
        <w:ind w:left="567" w:hanging="567"/>
      </w:pPr>
    </w:p>
    <w:p w14:paraId="55214071" w14:textId="2B6E4A90" w:rsidR="00421ABB" w:rsidRPr="009C1627" w:rsidRDefault="00421ABB">
      <w:pPr>
        <w:pStyle w:val="Heading3"/>
        <w:ind w:left="567" w:hanging="567"/>
      </w:pPr>
      <w:r>
        <w:t xml:space="preserve">ETSK kannattaa sitä, että tavarantoimittajat velvoitetaan viemään tiedot uuteen tuotetietokantaan. Tavarantoimittajien on jo nykyisin annettava samat tiedot pyynnöstä kansallisille markkinavalvontaviranomaisille. Mahdollisesti koituva lisärasite on siten hyvin vähäinen ja </w:t>
      </w:r>
      <w:r>
        <w:rPr>
          <w:b/>
        </w:rPr>
        <w:t>oikeassa suhteessa</w:t>
      </w:r>
      <w:r>
        <w:t xml:space="preserve"> hyötyihin, varsinkin kun tässä yhteydessä voidaan käyttää yhteyttä </w:t>
      </w:r>
      <w:r>
        <w:rPr>
          <w:b/>
        </w:rPr>
        <w:t>olemassa oleviin tietokantoihin</w:t>
      </w:r>
      <w:r>
        <w:t xml:space="preserve"> ja välttää kuluttajien hukuttaminen tietotulvaan.</w:t>
      </w:r>
    </w:p>
    <w:p w14:paraId="77B2177F" w14:textId="77777777" w:rsidR="00421ABB" w:rsidRPr="009C1627" w:rsidRDefault="00421ABB">
      <w:pPr>
        <w:ind w:left="567" w:hanging="567"/>
      </w:pPr>
    </w:p>
    <w:p w14:paraId="063C6B49" w14:textId="412F4BA8" w:rsidR="00421ABB" w:rsidRPr="009C1627" w:rsidRDefault="00EB3507">
      <w:pPr>
        <w:pStyle w:val="Heading3"/>
        <w:ind w:left="567" w:hanging="567"/>
      </w:pPr>
      <w:r>
        <w:t xml:space="preserve">Asetuksen </w:t>
      </w:r>
      <w:r>
        <w:rPr>
          <w:b/>
        </w:rPr>
        <w:t>täytäntöönpanon</w:t>
      </w:r>
      <w:r>
        <w:t xml:space="preserve"> määräaikaa olisi syytä </w:t>
      </w:r>
      <w:r>
        <w:rPr>
          <w:b/>
        </w:rPr>
        <w:t>jatkaa vuodella</w:t>
      </w:r>
      <w:r>
        <w:t xml:space="preserve"> yksityiskohtaisen valmistelun mahdollistamiseksi. Viitepäivämääränä on syytä ottaa huomioon tuotteeseen merkitty </w:t>
      </w:r>
      <w:r>
        <w:rPr>
          <w:b/>
        </w:rPr>
        <w:t>valmistuspäivä</w:t>
      </w:r>
      <w:r>
        <w:t xml:space="preserve"> markkinoille saattamispäivän sijasta, sillä viimeksi mainittu aiheuttaisi kaksoiskappaleiden riskin.</w:t>
      </w:r>
    </w:p>
    <w:p w14:paraId="56EC84A5" w14:textId="77777777" w:rsidR="00421ABB" w:rsidRPr="009C1627" w:rsidRDefault="00421ABB">
      <w:pPr>
        <w:ind w:left="567" w:hanging="567"/>
      </w:pPr>
    </w:p>
    <w:p w14:paraId="4AA97F77" w14:textId="29BF750F" w:rsidR="00EB3507" w:rsidRPr="009C1627" w:rsidRDefault="00EB3507" w:rsidP="00812AB2">
      <w:pPr>
        <w:pStyle w:val="Heading3"/>
        <w:ind w:left="567" w:hanging="567"/>
      </w:pPr>
      <w:r>
        <w:t xml:space="preserve">Ehdotus sisällyttää merkintään </w:t>
      </w:r>
      <w:r>
        <w:rPr>
          <w:b/>
        </w:rPr>
        <w:t>pakolliset tiedot</w:t>
      </w:r>
      <w:r>
        <w:t xml:space="preserve"> </w:t>
      </w:r>
      <w:r>
        <w:rPr>
          <w:b/>
        </w:rPr>
        <w:t>lumiominaisuuksista ja uusi jääominaisuuksia koskeva logo (jonka mallin ISO esittää joulukuuhun 2018 mennessä)</w:t>
      </w:r>
      <w:r>
        <w:t xml:space="preserve"> ovat hyviä aloitteita, joilla on erityisesti merkitystä Pohjois-Euroopan maissa. Jääpidon testausta varten ei vielä ole kehitetty eikä lopullisesti hyväksytty varmaa testausmenetelmää, joten asteittainen käyttöönotto on perusteltu.</w:t>
      </w:r>
    </w:p>
    <w:p w14:paraId="638BC3AE" w14:textId="77777777" w:rsidR="00421ABB" w:rsidRPr="009C1627" w:rsidRDefault="00421ABB">
      <w:pPr>
        <w:ind w:left="567" w:hanging="567"/>
      </w:pPr>
    </w:p>
    <w:p w14:paraId="03DEE70C" w14:textId="77777777" w:rsidR="00EB3507" w:rsidRPr="009C1627" w:rsidRDefault="00EB3507">
      <w:pPr>
        <w:pStyle w:val="Heading3"/>
        <w:ind w:left="567" w:hanging="567"/>
      </w:pPr>
      <w:r>
        <w:t xml:space="preserve">ETSK panee tyytyväisenä merkille, että merkintöihin sisällytettävien ominaisuuksien joukossa </w:t>
      </w:r>
      <w:r>
        <w:rPr>
          <w:b/>
        </w:rPr>
        <w:t>turvallisuuteen liittyvien elementtien</w:t>
      </w:r>
      <w:r>
        <w:t xml:space="preserve"> määrä ja merkityksellisyys on lisääntynyt. Merkinnän muotoon ehdotetut muutokset vaikuttavat kuitenkin olevan ristiriidassa sen kanssa, erityisesti merkinnän sisäisten suhteiden ja mittojen osalta.</w:t>
      </w:r>
    </w:p>
    <w:p w14:paraId="19525C01" w14:textId="77777777" w:rsidR="00EB3507" w:rsidRPr="009C1627" w:rsidRDefault="00EB3507">
      <w:pPr>
        <w:ind w:left="567" w:hanging="567"/>
      </w:pPr>
    </w:p>
    <w:p w14:paraId="07A03F06" w14:textId="77777777" w:rsidR="00EB3507" w:rsidRPr="009C1627" w:rsidRDefault="00EB3507">
      <w:pPr>
        <w:pStyle w:val="Heading3"/>
        <w:ind w:left="567" w:hanging="567"/>
      </w:pPr>
      <w:r>
        <w:rPr>
          <w:b/>
        </w:rPr>
        <w:t>Asetuksen säännöllistä uudelleentarkastelua</w:t>
      </w:r>
      <w:r>
        <w:t xml:space="preserve"> koskeva järjestelmä toimii hyvin. Uudelleentarkastelua helpottavat tutkimus, vaikutusanalyysi ja kuuleminen, ja aiheen erittäin suuren kompleksisuuden vuoksi se olisi säilytettävä tulevaisuudessa, ennen kuin asetukseen tehdään mitään merkittäviä teknisiä muutoksia. Komissiolle kahden uudelleentarkastelun välissä annettava valta antaa delegoituja säädöksiä on perusteltu siltä osin, kuin on kyse vähäisistä loogisista muutoksista, joiden perusteena on tekninen edistys.</w:t>
      </w:r>
    </w:p>
    <w:p w14:paraId="299E868C" w14:textId="77777777" w:rsidR="00EB3507" w:rsidRPr="009C1627" w:rsidRDefault="00EB3507">
      <w:pPr>
        <w:ind w:left="567" w:hanging="567"/>
      </w:pPr>
    </w:p>
    <w:p w14:paraId="419C79A2" w14:textId="77777777" w:rsidR="00EB3507" w:rsidRPr="009C1627" w:rsidRDefault="00EB3507">
      <w:pPr>
        <w:pStyle w:val="Heading3"/>
        <w:ind w:left="567" w:hanging="567"/>
      </w:pPr>
      <w:r>
        <w:rPr>
          <w:b/>
        </w:rPr>
        <w:t>Nykyiset ominaisuuksien luokat</w:t>
      </w:r>
      <w:r>
        <w:t xml:space="preserve"> soveltuvat ainakin yhdelle uudelleentarkastelun lisäjaksolle, koska asteikon muuttaminen ei ole perusteltua ottaen huomioon, että ylemmät luokat ovat nykyisin käytännössä tyhjiä.</w:t>
      </w:r>
    </w:p>
    <w:p w14:paraId="2AF30E59" w14:textId="77777777" w:rsidR="00EB3507" w:rsidRPr="009C1627" w:rsidRDefault="00EB3507">
      <w:pPr>
        <w:ind w:left="567" w:hanging="567"/>
      </w:pPr>
    </w:p>
    <w:p w14:paraId="497A45A5" w14:textId="77777777" w:rsidR="00EB3507" w:rsidRPr="009C1627" w:rsidRDefault="00EB3507">
      <w:pPr>
        <w:pStyle w:val="Heading3"/>
        <w:ind w:left="567" w:hanging="567"/>
      </w:pPr>
      <w:r>
        <w:rPr>
          <w:b/>
        </w:rPr>
        <w:t>Jäsenvaltioiden on kannustettava</w:t>
      </w:r>
      <w:r>
        <w:t xml:space="preserve"> valmistajia vakaisiin tuloksiin ja hyvään laatuun päästöjen ja teknisen </w:t>
      </w:r>
      <w:r>
        <w:rPr>
          <w:b/>
        </w:rPr>
        <w:t>kehityksen</w:t>
      </w:r>
      <w:r>
        <w:t xml:space="preserve"> kannalta, mutta ne on syytä pysyttää yhdenmukaisten periaatteiden pohjalta luokan C tasolla ja sen yläpuolella.</w:t>
      </w:r>
    </w:p>
    <w:p w14:paraId="72CEB88F" w14:textId="77777777" w:rsidR="00EB3507" w:rsidRPr="009C1627" w:rsidRDefault="00EB3507">
      <w:pPr>
        <w:ind w:left="567" w:hanging="567"/>
      </w:pPr>
    </w:p>
    <w:p w14:paraId="7F8B3C2F" w14:textId="77777777" w:rsidR="00EB3507" w:rsidRPr="009C1627" w:rsidRDefault="00EB3507">
      <w:pPr>
        <w:pStyle w:val="Heading3"/>
        <w:ind w:left="567" w:hanging="567"/>
      </w:pPr>
      <w:r>
        <w:t xml:space="preserve">Tulevaisuudessa voitaisiin kannustaa lisäämään merkintään tai teknisten tietojen joukkoon </w:t>
      </w:r>
      <w:r>
        <w:rPr>
          <w:b/>
        </w:rPr>
        <w:t>kilometrimäärää ja kulumista</w:t>
      </w:r>
      <w:r>
        <w:t xml:space="preserve"> koskevat tiedot. Niin kauan kuin </w:t>
      </w:r>
      <w:r>
        <w:rPr>
          <w:b/>
        </w:rPr>
        <w:t>käytettävissä</w:t>
      </w:r>
      <w:r>
        <w:t xml:space="preserve"> ei ole </w:t>
      </w:r>
      <w:r>
        <w:rPr>
          <w:b/>
        </w:rPr>
        <w:t>asianmukaista</w:t>
      </w:r>
      <w:r>
        <w:t xml:space="preserve"> vakioitua </w:t>
      </w:r>
      <w:r>
        <w:rPr>
          <w:b/>
        </w:rPr>
        <w:t>testausmenetelmää</w:t>
      </w:r>
      <w:r>
        <w:t>, merkintöjen luotettavuutta ei kuitenkaan saa vaarantaa lisäämällä niihin epävarmoja ja riittämättömästi perusteltuja tietoja.</w:t>
      </w:r>
    </w:p>
    <w:p w14:paraId="1B90C931" w14:textId="77777777" w:rsidR="00EB3507" w:rsidRPr="009C1627" w:rsidRDefault="00EB3507">
      <w:pPr>
        <w:ind w:left="567" w:hanging="567"/>
      </w:pPr>
    </w:p>
    <w:p w14:paraId="1C8328DB" w14:textId="30FA7832" w:rsidR="00EB3507" w:rsidRPr="009C1627" w:rsidRDefault="00EB3507">
      <w:pPr>
        <w:pStyle w:val="Heading3"/>
        <w:ind w:left="567" w:hanging="567"/>
      </w:pPr>
      <w:r>
        <w:lastRenderedPageBreak/>
        <w:t xml:space="preserve">On syytä olla tyytyväinen siihen, että tulevaisuudessa otetaan käyttöön </w:t>
      </w:r>
      <w:r>
        <w:rPr>
          <w:b/>
        </w:rPr>
        <w:t>luokkaan C3 kuuluvien pinnoitettujen</w:t>
      </w:r>
      <w:r>
        <w:t xml:space="preserve"> renkaiden merkinnät. Tässäkin on syytä ennakolta viimeistellä asiaankuuluvat ja </w:t>
      </w:r>
      <w:r>
        <w:rPr>
          <w:b/>
        </w:rPr>
        <w:t>luotettavat testausmenetelmät</w:t>
      </w:r>
      <w:r>
        <w:t xml:space="preserve">. On valvottava, että pinnoitustoimintaa harjoittavia </w:t>
      </w:r>
      <w:r>
        <w:rPr>
          <w:b/>
        </w:rPr>
        <w:t>pk-yrityksiä</w:t>
      </w:r>
      <w:r>
        <w:t xml:space="preserve"> suojellaan testausmenetelmiin liittyviltä liiallisilta kustannuksilta.</w:t>
      </w:r>
    </w:p>
    <w:p w14:paraId="6EC31B0B" w14:textId="77777777" w:rsidR="00EB3507" w:rsidRPr="009C1627" w:rsidRDefault="00EB3507">
      <w:pPr>
        <w:ind w:left="567" w:hanging="567"/>
      </w:pPr>
    </w:p>
    <w:p w14:paraId="4DF16BC2" w14:textId="13E1F567" w:rsidR="00EB3507" w:rsidRPr="009C1627" w:rsidRDefault="00EB3507">
      <w:pPr>
        <w:pStyle w:val="Heading3"/>
        <w:ind w:left="567" w:hanging="567"/>
      </w:pPr>
      <w:r>
        <w:t xml:space="preserve">Sääntelykokonaisuuden onnistumisen kannalta olennaisen tärkeää on antaa riittävästi </w:t>
      </w:r>
      <w:r>
        <w:rPr>
          <w:b/>
        </w:rPr>
        <w:t>tietoja</w:t>
      </w:r>
      <w:r>
        <w:t xml:space="preserve"> ja valvoa, että kuluttajien ja käyttäjien yhteisöllä on tarvittava </w:t>
      </w:r>
      <w:r>
        <w:rPr>
          <w:b/>
        </w:rPr>
        <w:t>tietämys</w:t>
      </w:r>
      <w:r>
        <w:t xml:space="preserve"> ja että se on </w:t>
      </w:r>
      <w:r>
        <w:rPr>
          <w:b/>
        </w:rPr>
        <w:t>hyvin valmistautunut</w:t>
      </w:r>
      <w:r>
        <w:t xml:space="preserve"> koulutuksen, tiedotuksen, kampanjoiden, ostoneuvonnan ja </w:t>
      </w:r>
      <w:r>
        <w:rPr>
          <w:b/>
        </w:rPr>
        <w:t>kansalaisyhteiskunnan</w:t>
      </w:r>
      <w:r>
        <w:t xml:space="preserve"> laajan osallistumisen ansiosta.</w:t>
      </w:r>
    </w:p>
    <w:p w14:paraId="41BFC792" w14:textId="77777777" w:rsidR="00EB3507" w:rsidRPr="009C1627" w:rsidRDefault="00EB3507"/>
    <w:p w14:paraId="7557FA90" w14:textId="77777777" w:rsidR="00011D33" w:rsidRPr="009C1627" w:rsidRDefault="000B0ABA">
      <w:pPr>
        <w:pStyle w:val="Heading1"/>
        <w:keepNext/>
        <w:ind w:left="567" w:hanging="567"/>
        <w:rPr>
          <w:b/>
        </w:rPr>
      </w:pPr>
      <w:r>
        <w:rPr>
          <w:b/>
        </w:rPr>
        <w:t>Johdanto: ehdotuksen tausta ja olennainen sisältö</w:t>
      </w:r>
    </w:p>
    <w:p w14:paraId="4B344DF0" w14:textId="77777777" w:rsidR="00011D33" w:rsidRPr="009C1627" w:rsidRDefault="00011D33">
      <w:pPr>
        <w:keepNext/>
        <w:overflowPunct/>
        <w:adjustRightInd/>
        <w:textAlignment w:val="auto"/>
      </w:pPr>
    </w:p>
    <w:p w14:paraId="309ED21F" w14:textId="77777777" w:rsidR="00011D33" w:rsidRPr="009C1627" w:rsidRDefault="000B0ABA">
      <w:pPr>
        <w:pStyle w:val="Heading2"/>
        <w:ind w:left="567" w:hanging="567"/>
      </w:pPr>
      <w:r>
        <w:t xml:space="preserve">Tarkasteltavalla asetusehdotuksella kumotaan ja korvataan renkaiden merkitsemisestä polttoainetaloudellisuuden ja muiden keskeisten ominaisuuksien osalta annettu </w:t>
      </w:r>
      <w:r>
        <w:rPr>
          <w:b/>
        </w:rPr>
        <w:t>asetus (EY) N:o 1222/2009</w:t>
      </w:r>
      <w:r w:rsidRPr="009C1627">
        <w:rPr>
          <w:sz w:val="24"/>
          <w:szCs w:val="24"/>
          <w:vertAlign w:val="superscript"/>
        </w:rPr>
        <w:footnoteReference w:id="1"/>
      </w:r>
      <w:r>
        <w:t>, jäljempänä ’</w:t>
      </w:r>
      <w:r>
        <w:rPr>
          <w:b/>
        </w:rPr>
        <w:t>rengasmerkintäasetus</w:t>
      </w:r>
      <w:r>
        <w:t>’.</w:t>
      </w:r>
    </w:p>
    <w:p w14:paraId="57EFB23F" w14:textId="77777777" w:rsidR="000B0ABA" w:rsidRPr="009C1627" w:rsidRDefault="000B0ABA">
      <w:pPr>
        <w:ind w:left="567" w:hanging="567"/>
      </w:pPr>
    </w:p>
    <w:p w14:paraId="21960390" w14:textId="77777777" w:rsidR="000B0ABA" w:rsidRPr="009C1627" w:rsidRDefault="000B0ABA">
      <w:pPr>
        <w:pStyle w:val="Heading3"/>
        <w:ind w:left="567" w:hanging="567"/>
      </w:pPr>
      <w:r>
        <w:t xml:space="preserve">Rengasmerkintäasetusta muutettiin kahteen otteeseen vuonna 2011, ennen kuin sitä alettiin soveltaa vuonna 2012. Ensimmäisellä muutoksella asetukseen lisättiin uusi </w:t>
      </w:r>
      <w:r>
        <w:rPr>
          <w:b/>
        </w:rPr>
        <w:t>märkäpidon</w:t>
      </w:r>
      <w:r>
        <w:t xml:space="preserve"> testausmenetelmä, ja sen jälkeen siihen lisättiin entistä tiukempi yhdenmukaistamismenettely laboratorioissa tehtäviä </w:t>
      </w:r>
      <w:r>
        <w:rPr>
          <w:b/>
        </w:rPr>
        <w:t>vierintävastusmittauksia</w:t>
      </w:r>
      <w:r>
        <w:t xml:space="preserve"> varten. Nämä kaksi muutosta sisältyvät komission nyt esittämään ehdotukseen.</w:t>
      </w:r>
    </w:p>
    <w:p w14:paraId="13137BA4" w14:textId="77777777" w:rsidR="000B0ABA" w:rsidRPr="009C1627" w:rsidRDefault="000B0ABA"/>
    <w:p w14:paraId="6D7AEB43" w14:textId="77777777" w:rsidR="000B0ABA" w:rsidRPr="009C1627" w:rsidRDefault="000B0ABA" w:rsidP="00812AB2">
      <w:pPr>
        <w:pStyle w:val="Heading2"/>
        <w:keepNext/>
        <w:ind w:left="567" w:hanging="567"/>
      </w:pPr>
      <w:r>
        <w:t xml:space="preserve">Unioni antoi vuonna 2009 </w:t>
      </w:r>
      <w:r>
        <w:rPr>
          <w:b/>
        </w:rPr>
        <w:t>kaksi</w:t>
      </w:r>
      <w:r>
        <w:t xml:space="preserve"> renkaita koskevaa </w:t>
      </w:r>
      <w:r>
        <w:rPr>
          <w:b/>
        </w:rPr>
        <w:t>sääntökokonaisuutta</w:t>
      </w:r>
      <w:r>
        <w:t xml:space="preserve"> uusien tarpeiden ja ammattikunnan näkemysten huomioon ottamiseksi:</w:t>
      </w:r>
    </w:p>
    <w:p w14:paraId="1FA05B62" w14:textId="77777777" w:rsidR="000B0ABA" w:rsidRPr="009C1627" w:rsidRDefault="000B0ABA" w:rsidP="00812AB2">
      <w:pPr>
        <w:keepNext/>
        <w:ind w:left="851" w:hanging="284"/>
      </w:pPr>
    </w:p>
    <w:p w14:paraId="65DE83C2" w14:textId="77777777" w:rsidR="00C06496" w:rsidRPr="009C1627" w:rsidRDefault="00300A77">
      <w:pPr>
        <w:pStyle w:val="ListParagraph"/>
        <w:numPr>
          <w:ilvl w:val="0"/>
          <w:numId w:val="72"/>
        </w:numPr>
        <w:ind w:left="851" w:hanging="284"/>
      </w:pPr>
      <w:r>
        <w:rPr>
          <w:b/>
        </w:rPr>
        <w:t>rengasmerkintäasetuksen</w:t>
      </w:r>
      <w:r>
        <w:t xml:space="preserve">, jossa vahvistetaan loppukäyttäjille renkaiden ominaisuuksista annettavien </w:t>
      </w:r>
      <w:r>
        <w:rPr>
          <w:b/>
        </w:rPr>
        <w:t>tietojen yhdenmukaistamista</w:t>
      </w:r>
      <w:r>
        <w:t xml:space="preserve"> koskevat unionin vaatimukset, jotta ostajat pystyvät tekemään tietoon perustuvia valintoja, ja</w:t>
      </w:r>
    </w:p>
    <w:p w14:paraId="24719C6B" w14:textId="77777777" w:rsidR="00C06496" w:rsidRPr="009C1627" w:rsidRDefault="00C06496">
      <w:pPr>
        <w:pStyle w:val="ListParagraph"/>
        <w:ind w:left="851" w:hanging="284"/>
      </w:pPr>
    </w:p>
    <w:p w14:paraId="358A80C6" w14:textId="77777777" w:rsidR="000B0ABA" w:rsidRPr="009C1627" w:rsidRDefault="00300A77">
      <w:pPr>
        <w:pStyle w:val="ListParagraph"/>
        <w:numPr>
          <w:ilvl w:val="0"/>
          <w:numId w:val="72"/>
        </w:numPr>
        <w:ind w:left="851" w:hanging="284"/>
      </w:pPr>
      <w:r>
        <w:t>asetuksen</w:t>
      </w:r>
      <w:r w:rsidR="000B0ABA" w:rsidRPr="009C1627">
        <w:rPr>
          <w:sz w:val="24"/>
          <w:szCs w:val="24"/>
          <w:vertAlign w:val="superscript"/>
        </w:rPr>
        <w:footnoteReference w:id="2"/>
      </w:r>
      <w:r>
        <w:t xml:space="preserve"> moottoriajoneuvojen yleiseen turvallisuuteen liittyvistä </w:t>
      </w:r>
      <w:r>
        <w:rPr>
          <w:b/>
        </w:rPr>
        <w:t>tyyppihyväksyntävaatimuksista</w:t>
      </w:r>
      <w:r>
        <w:t>, jäljempänä ’</w:t>
      </w:r>
      <w:r>
        <w:rPr>
          <w:b/>
        </w:rPr>
        <w:t>GSR-asetus</w:t>
      </w:r>
      <w:r>
        <w:t>’, jolla otetaan käyttöön yhdenmukaistetut tekniset vaatimukset, jotka renkaiden on täytettävä ennen kuin ne voidaan saattaa unionin markkinoille.</w:t>
      </w:r>
    </w:p>
    <w:p w14:paraId="1D7B05D9" w14:textId="77777777" w:rsidR="000B0ABA" w:rsidRPr="009C1627" w:rsidRDefault="000B0ABA"/>
    <w:p w14:paraId="139C081D" w14:textId="77777777" w:rsidR="000B0ABA" w:rsidRPr="009C1627" w:rsidRDefault="00263414">
      <w:pPr>
        <w:pStyle w:val="Heading3"/>
        <w:ind w:left="567" w:hanging="567"/>
      </w:pPr>
      <w:r>
        <w:t xml:space="preserve">GSR-asetuksessa vahvistetaan erityisesti seuraavia renkaiden ominaisuuksia koskevat vähimmäisvaatimukset: </w:t>
      </w:r>
      <w:r>
        <w:rPr>
          <w:b/>
        </w:rPr>
        <w:t>i) vierintävastus, ii) märkäpito ja iii) renkaiden vierintämelu</w:t>
      </w:r>
      <w:r>
        <w:t>.</w:t>
      </w:r>
    </w:p>
    <w:p w14:paraId="63EFEF70" w14:textId="77777777" w:rsidR="00263414" w:rsidRPr="009C1627" w:rsidRDefault="00263414"/>
    <w:p w14:paraId="06C190A8" w14:textId="77777777" w:rsidR="00263414" w:rsidRPr="009C1627" w:rsidRDefault="00263414">
      <w:pPr>
        <w:pStyle w:val="Heading2"/>
        <w:ind w:left="567" w:hanging="567"/>
      </w:pPr>
      <w:r>
        <w:t>Näitä vaatimuksia ryhdyttiin soveltamaan 1. marraskuuta 2012 ja toisessa vaiheessa vierintävastusta koskevia tiukempia vaatimuksia 1. marraskuuta 2016 (laajempia mukautuksia ryhdytään soveltamaan vuosina 2018 ja 2020).</w:t>
      </w:r>
    </w:p>
    <w:p w14:paraId="4AD71EE6" w14:textId="77777777" w:rsidR="00263414" w:rsidRPr="009C1627" w:rsidRDefault="00263414"/>
    <w:p w14:paraId="39C93B4A" w14:textId="77777777" w:rsidR="00263414" w:rsidRPr="009C1627" w:rsidRDefault="00263414">
      <w:pPr>
        <w:pStyle w:val="Heading3"/>
        <w:ind w:left="567" w:hanging="567"/>
      </w:pPr>
      <w:r>
        <w:rPr>
          <w:b/>
        </w:rPr>
        <w:lastRenderedPageBreak/>
        <w:t>Yleiset energiamerkintää koskevat puitteet</w:t>
      </w:r>
      <w:r>
        <w:t xml:space="preserve"> päivitettiin vuonna 2017 asetuksella (EU) 2017/1369</w:t>
      </w:r>
      <w:r w:rsidRPr="009C1627">
        <w:rPr>
          <w:sz w:val="24"/>
          <w:szCs w:val="24"/>
          <w:vertAlign w:val="superscript"/>
        </w:rPr>
        <w:footnoteReference w:id="3"/>
      </w:r>
      <w:r>
        <w:t>. Sillä kumottiin ja korvattiin direktiivi 2010/30/EU ja otettiin käyttöön useita uusia elementtejä, kuten tuotetietokanta, ja uusia sääntöjä, jotka koskevat visuaalista mainontaa ja etä- ja verkkomyyntiä.</w:t>
      </w:r>
    </w:p>
    <w:p w14:paraId="77F468A3" w14:textId="77777777" w:rsidR="00263414" w:rsidRPr="009C1627" w:rsidRDefault="00263414"/>
    <w:p w14:paraId="765F1E7C" w14:textId="77777777" w:rsidR="00263414" w:rsidRPr="009C1627" w:rsidRDefault="009E0727">
      <w:pPr>
        <w:pStyle w:val="Heading2"/>
        <w:ind w:left="567" w:hanging="567"/>
      </w:pPr>
      <w:r>
        <w:t xml:space="preserve">Neuvosto pyysi jo 17. joulukuuta 2008 </w:t>
      </w:r>
      <w:r>
        <w:rPr>
          <w:b/>
        </w:rPr>
        <w:t>ETSK</w:t>
      </w:r>
      <w:r>
        <w:t>:n lausuntoa ensimmäisestä ehdotuksesta, ja aihepiiristä vastaava erityisjaosto antoi lausuntonsa 12. maaliskuuta 2009 (</w:t>
      </w:r>
      <w:r>
        <w:rPr>
          <w:b/>
        </w:rPr>
        <w:t>TEN/369</w:t>
      </w:r>
      <w:r>
        <w:t>, esittelijä: Virgilio Ranocchiari). ETSK antoi puolestaan oman lausuntonsa 452. täysistunnossaan 25. maaliskuuta 2009.</w:t>
      </w:r>
    </w:p>
    <w:p w14:paraId="3A218331" w14:textId="77777777" w:rsidR="009E0727" w:rsidRPr="009C1627" w:rsidRDefault="009E0727"/>
    <w:p w14:paraId="32B2CA4A" w14:textId="30659972" w:rsidR="009E0727" w:rsidRPr="009C1627" w:rsidRDefault="009E0727" w:rsidP="0041605B">
      <w:pPr>
        <w:pStyle w:val="Heading2"/>
        <w:keepNext/>
        <w:ind w:left="567" w:hanging="567"/>
      </w:pPr>
      <w:r>
        <w:t xml:space="preserve">Euroopan komissio teetti asetuksen (EY) N:o 1222/2009 tehokkuuden arvioimiseksi tutkimuksen ja yksityiskohtaisen vaikutusanalyysin [SWD(2018) 189 final], joiden perusteella tehdyt päätelmät johtivat komission esittämään muutosehdotuksensa. Komissio lisäsi rengasmerkintäasetukseen kaksi ominaisuutta eli mahdollisuuden ilmoittaa </w:t>
      </w:r>
      <w:r>
        <w:rPr>
          <w:b/>
        </w:rPr>
        <w:t>iv. lumipidon</w:t>
      </w:r>
      <w:r>
        <w:t xml:space="preserve"> ja</w:t>
      </w:r>
      <w:bookmarkStart w:id="0" w:name="_GoBack"/>
      <w:bookmarkEnd w:id="0"/>
      <w:r>
        <w:t xml:space="preserve"> </w:t>
      </w:r>
      <w:r w:rsidRPr="0041605B">
        <w:rPr>
          <w:b/>
        </w:rPr>
        <w:t>v. jääpidon</w:t>
      </w:r>
      <w:r>
        <w:t>.</w:t>
      </w:r>
      <w:r w:rsidRPr="0041605B">
        <w:rPr>
          <w:b/>
        </w:rPr>
        <w:t xml:space="preserve"> </w:t>
      </w:r>
      <w:r>
        <w:t>Mitattavan ominaisuuden ja kunkin alan välinen korrelaatio esitetään jäljempänä olevassa taulukossa.</w:t>
      </w:r>
    </w:p>
    <w:p w14:paraId="5479FBC7" w14:textId="7A08E7E4" w:rsidR="00D0109E" w:rsidRDefault="00C23A4A" w:rsidP="008054B4">
      <w:r>
        <w:rPr>
          <w:noProof/>
          <w:lang w:val="en-GB" w:eastAsia="en-GB" w:bidi="ar-SA"/>
        </w:rPr>
        <mc:AlternateContent>
          <mc:Choice Requires="wps">
            <w:drawing>
              <wp:anchor distT="0" distB="0" distL="114300" distR="114300" simplePos="0" relativeHeight="251659264" behindDoc="0" locked="0" layoutInCell="1" allowOverlap="1" wp14:anchorId="3CC880F2" wp14:editId="7EB94AE2">
                <wp:simplePos x="0" y="0"/>
                <wp:positionH relativeFrom="column">
                  <wp:posOffset>269046</wp:posOffset>
                </wp:positionH>
                <wp:positionV relativeFrom="paragraph">
                  <wp:posOffset>202372</wp:posOffset>
                </wp:positionV>
                <wp:extent cx="1534601" cy="389614"/>
                <wp:effectExtent l="0" t="0" r="27940" b="29845"/>
                <wp:wrapNone/>
                <wp:docPr id="4" name="Straight Connector 4"/>
                <wp:cNvGraphicFramePr/>
                <a:graphic xmlns:a="http://schemas.openxmlformats.org/drawingml/2006/main">
                  <a:graphicData uri="http://schemas.microsoft.com/office/word/2010/wordprocessingShape">
                    <wps:wsp>
                      <wps:cNvCnPr/>
                      <wps:spPr>
                        <a:xfrm>
                          <a:off x="0" y="0"/>
                          <a:ext cx="1534601" cy="389614"/>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44F8E56E" id="Straight Connector 4"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21.2pt,15.95pt" to="142.05pt,46.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" strokecolor="black [3040]"/>
            </w:pict>
          </mc:Fallback>
        </mc:AlternateContent>
      </w:r>
    </w:p>
    <w:tbl>
      <w:tblPr>
        <w:tblStyle w:val="TableGrid"/>
        <w:tblW w:w="8213" w:type="dxa"/>
        <w:jc w:val="center"/>
        <w:tblLook w:val="04A0" w:firstRow="1" w:lastRow="0" w:firstColumn="1" w:lastColumn="0" w:noHBand="0" w:noVBand="1"/>
      </w:tblPr>
      <w:tblGrid>
        <w:gridCol w:w="2325"/>
        <w:gridCol w:w="1487"/>
        <w:gridCol w:w="1134"/>
        <w:gridCol w:w="1094"/>
        <w:gridCol w:w="1095"/>
        <w:gridCol w:w="1078"/>
      </w:tblGrid>
      <w:tr w:rsidR="00C23A4A" w14:paraId="57A62AFF" w14:textId="77777777" w:rsidTr="004E71AA">
        <w:trPr>
          <w:jc w:val="center"/>
        </w:trPr>
        <w:tc>
          <w:tcPr>
            <w:tcW w:w="2423" w:type="dxa"/>
            <w:shd w:val="clear" w:color="auto" w:fill="D9D9D9" w:themeFill="background1" w:themeFillShade="D9"/>
          </w:tcPr>
          <w:p w14:paraId="7F3448A4" w14:textId="151C9847" w:rsidR="00B133F9" w:rsidRDefault="008054B4" w:rsidP="004E71AA">
            <w:pPr>
              <w:jc w:val="right"/>
            </w:pPr>
            <w:r>
              <w:t>Ominaisuus</w:t>
            </w:r>
          </w:p>
          <w:p w14:paraId="19C1C94A" w14:textId="14CE14FC" w:rsidR="008054B4" w:rsidRDefault="008054B4">
            <w:r>
              <w:t>Ala</w:t>
            </w:r>
          </w:p>
        </w:tc>
        <w:tc>
          <w:tcPr>
            <w:tcW w:w="1254" w:type="dxa"/>
            <w:shd w:val="clear" w:color="auto" w:fill="D9D9D9" w:themeFill="background1" w:themeFillShade="D9"/>
          </w:tcPr>
          <w:p w14:paraId="3A53E038" w14:textId="122B3114" w:rsidR="00B133F9" w:rsidRDefault="00B133F9" w:rsidP="004E71AA">
            <w:pPr>
              <w:jc w:val="center"/>
            </w:pPr>
            <w:r>
              <w:t>Vierintävastus</w:t>
            </w:r>
          </w:p>
        </w:tc>
        <w:tc>
          <w:tcPr>
            <w:tcW w:w="1134" w:type="dxa"/>
            <w:shd w:val="clear" w:color="auto" w:fill="D9D9D9" w:themeFill="background1" w:themeFillShade="D9"/>
            <w:vAlign w:val="center"/>
          </w:tcPr>
          <w:p w14:paraId="3ECD90FF" w14:textId="60E2F63D" w:rsidR="00B133F9" w:rsidRDefault="00B133F9" w:rsidP="004E71AA">
            <w:pPr>
              <w:jc w:val="center"/>
            </w:pPr>
            <w:r>
              <w:t>Märkäpito</w:t>
            </w:r>
          </w:p>
        </w:tc>
        <w:tc>
          <w:tcPr>
            <w:tcW w:w="1134" w:type="dxa"/>
            <w:shd w:val="clear" w:color="auto" w:fill="D9D9D9" w:themeFill="background1" w:themeFillShade="D9"/>
            <w:vAlign w:val="center"/>
          </w:tcPr>
          <w:p w14:paraId="6F405981" w14:textId="102FB439" w:rsidR="00B133F9" w:rsidRDefault="00B133F9" w:rsidP="004E71AA">
            <w:pPr>
              <w:jc w:val="center"/>
            </w:pPr>
            <w:r>
              <w:t>Melu</w:t>
            </w:r>
          </w:p>
        </w:tc>
        <w:tc>
          <w:tcPr>
            <w:tcW w:w="1134" w:type="dxa"/>
            <w:shd w:val="clear" w:color="auto" w:fill="D9D9D9" w:themeFill="background1" w:themeFillShade="D9"/>
            <w:vAlign w:val="center"/>
          </w:tcPr>
          <w:p w14:paraId="12B6A606" w14:textId="616838FB" w:rsidR="00B133F9" w:rsidRDefault="00B133F9" w:rsidP="004E71AA">
            <w:pPr>
              <w:jc w:val="center"/>
            </w:pPr>
            <w:r>
              <w:t>Lumi</w:t>
            </w:r>
          </w:p>
        </w:tc>
        <w:tc>
          <w:tcPr>
            <w:tcW w:w="1134" w:type="dxa"/>
            <w:shd w:val="clear" w:color="auto" w:fill="D9D9D9" w:themeFill="background1" w:themeFillShade="D9"/>
            <w:vAlign w:val="center"/>
          </w:tcPr>
          <w:p w14:paraId="040BE6E9" w14:textId="19D9D9ED" w:rsidR="00B133F9" w:rsidRDefault="00B133F9" w:rsidP="004E71AA">
            <w:pPr>
              <w:jc w:val="center"/>
            </w:pPr>
            <w:r>
              <w:t>Jää</w:t>
            </w:r>
          </w:p>
        </w:tc>
      </w:tr>
      <w:tr w:rsidR="00B133F9" w14:paraId="72C43B19" w14:textId="77777777" w:rsidTr="004E71AA">
        <w:trPr>
          <w:jc w:val="center"/>
        </w:trPr>
        <w:tc>
          <w:tcPr>
            <w:tcW w:w="2423" w:type="dxa"/>
          </w:tcPr>
          <w:p w14:paraId="1CCC54E0" w14:textId="48E244CA" w:rsidR="00B133F9" w:rsidRDefault="00B133F9">
            <w:r>
              <w:t>Ympäristö</w:t>
            </w:r>
          </w:p>
        </w:tc>
        <w:tc>
          <w:tcPr>
            <w:tcW w:w="1254" w:type="dxa"/>
          </w:tcPr>
          <w:p w14:paraId="65E0DFDA" w14:textId="33369DD5" w:rsidR="00B133F9" w:rsidRDefault="008054B4" w:rsidP="004E71AA">
            <w:pPr>
              <w:jc w:val="center"/>
            </w:pPr>
            <w:r>
              <w:t>X</w:t>
            </w:r>
          </w:p>
        </w:tc>
        <w:tc>
          <w:tcPr>
            <w:tcW w:w="1134" w:type="dxa"/>
          </w:tcPr>
          <w:p w14:paraId="7EF89D29" w14:textId="77777777" w:rsidR="00B133F9" w:rsidRDefault="00B133F9" w:rsidP="004E71AA">
            <w:pPr>
              <w:jc w:val="center"/>
            </w:pPr>
          </w:p>
        </w:tc>
        <w:tc>
          <w:tcPr>
            <w:tcW w:w="1134" w:type="dxa"/>
          </w:tcPr>
          <w:p w14:paraId="22B22E79" w14:textId="3C112364" w:rsidR="00B133F9" w:rsidRDefault="008054B4" w:rsidP="004E71AA">
            <w:pPr>
              <w:jc w:val="center"/>
            </w:pPr>
            <w:r>
              <w:t>X</w:t>
            </w:r>
          </w:p>
        </w:tc>
        <w:tc>
          <w:tcPr>
            <w:tcW w:w="1134" w:type="dxa"/>
          </w:tcPr>
          <w:p w14:paraId="28ADA61C" w14:textId="77777777" w:rsidR="00B133F9" w:rsidRDefault="00B133F9" w:rsidP="004E71AA">
            <w:pPr>
              <w:jc w:val="center"/>
            </w:pPr>
          </w:p>
        </w:tc>
        <w:tc>
          <w:tcPr>
            <w:tcW w:w="1134" w:type="dxa"/>
          </w:tcPr>
          <w:p w14:paraId="28CA44F5" w14:textId="77777777" w:rsidR="00B133F9" w:rsidRDefault="00B133F9" w:rsidP="004E71AA">
            <w:pPr>
              <w:jc w:val="center"/>
            </w:pPr>
          </w:p>
        </w:tc>
      </w:tr>
      <w:tr w:rsidR="00B133F9" w14:paraId="453FD2B1" w14:textId="77777777" w:rsidTr="004E71AA">
        <w:trPr>
          <w:jc w:val="center"/>
        </w:trPr>
        <w:tc>
          <w:tcPr>
            <w:tcW w:w="2423" w:type="dxa"/>
          </w:tcPr>
          <w:p w14:paraId="6D1C34F3" w14:textId="473D9083" w:rsidR="00B133F9" w:rsidRDefault="00B133F9">
            <w:r>
              <w:t>Energia</w:t>
            </w:r>
          </w:p>
        </w:tc>
        <w:tc>
          <w:tcPr>
            <w:tcW w:w="1254" w:type="dxa"/>
          </w:tcPr>
          <w:p w14:paraId="6E284CAE" w14:textId="4E37515C" w:rsidR="00B133F9" w:rsidRDefault="008054B4" w:rsidP="004E71AA">
            <w:pPr>
              <w:jc w:val="center"/>
            </w:pPr>
            <w:r>
              <w:t>X</w:t>
            </w:r>
          </w:p>
        </w:tc>
        <w:tc>
          <w:tcPr>
            <w:tcW w:w="1134" w:type="dxa"/>
          </w:tcPr>
          <w:p w14:paraId="1B129989" w14:textId="77777777" w:rsidR="00B133F9" w:rsidRDefault="00B133F9" w:rsidP="004E71AA">
            <w:pPr>
              <w:jc w:val="center"/>
            </w:pPr>
          </w:p>
        </w:tc>
        <w:tc>
          <w:tcPr>
            <w:tcW w:w="1134" w:type="dxa"/>
          </w:tcPr>
          <w:p w14:paraId="3398ED05" w14:textId="77777777" w:rsidR="00B133F9" w:rsidRDefault="00B133F9" w:rsidP="004E71AA">
            <w:pPr>
              <w:jc w:val="center"/>
            </w:pPr>
          </w:p>
        </w:tc>
        <w:tc>
          <w:tcPr>
            <w:tcW w:w="1134" w:type="dxa"/>
          </w:tcPr>
          <w:p w14:paraId="0CC9A0E7" w14:textId="77777777" w:rsidR="00B133F9" w:rsidRDefault="00B133F9" w:rsidP="004E71AA">
            <w:pPr>
              <w:jc w:val="center"/>
            </w:pPr>
          </w:p>
        </w:tc>
        <w:tc>
          <w:tcPr>
            <w:tcW w:w="1134" w:type="dxa"/>
          </w:tcPr>
          <w:p w14:paraId="2E2E675B" w14:textId="77777777" w:rsidR="00B133F9" w:rsidRDefault="00B133F9" w:rsidP="004E71AA">
            <w:pPr>
              <w:jc w:val="center"/>
            </w:pPr>
          </w:p>
        </w:tc>
      </w:tr>
      <w:tr w:rsidR="00B133F9" w14:paraId="12B6543E" w14:textId="77777777" w:rsidTr="004E71AA">
        <w:trPr>
          <w:jc w:val="center"/>
        </w:trPr>
        <w:tc>
          <w:tcPr>
            <w:tcW w:w="2423" w:type="dxa"/>
          </w:tcPr>
          <w:p w14:paraId="3C82B8D4" w14:textId="735E996D" w:rsidR="00B133F9" w:rsidRDefault="00B133F9">
            <w:r>
              <w:t>Turvallisuus</w:t>
            </w:r>
          </w:p>
        </w:tc>
        <w:tc>
          <w:tcPr>
            <w:tcW w:w="1254" w:type="dxa"/>
          </w:tcPr>
          <w:p w14:paraId="7DF95F66" w14:textId="77777777" w:rsidR="00B133F9" w:rsidRDefault="00B133F9" w:rsidP="004E71AA">
            <w:pPr>
              <w:jc w:val="center"/>
            </w:pPr>
          </w:p>
        </w:tc>
        <w:tc>
          <w:tcPr>
            <w:tcW w:w="1134" w:type="dxa"/>
          </w:tcPr>
          <w:p w14:paraId="62CDC9B5" w14:textId="53554E70" w:rsidR="00B133F9" w:rsidRDefault="008054B4" w:rsidP="004E71AA">
            <w:pPr>
              <w:jc w:val="center"/>
            </w:pPr>
            <w:r>
              <w:t>X</w:t>
            </w:r>
          </w:p>
        </w:tc>
        <w:tc>
          <w:tcPr>
            <w:tcW w:w="1134" w:type="dxa"/>
          </w:tcPr>
          <w:p w14:paraId="0BC01620" w14:textId="77777777" w:rsidR="00B133F9" w:rsidRDefault="00B133F9" w:rsidP="004E71AA">
            <w:pPr>
              <w:jc w:val="center"/>
            </w:pPr>
          </w:p>
        </w:tc>
        <w:tc>
          <w:tcPr>
            <w:tcW w:w="1134" w:type="dxa"/>
          </w:tcPr>
          <w:p w14:paraId="631D7648" w14:textId="1E7C40A3" w:rsidR="00B133F9" w:rsidRDefault="008054B4" w:rsidP="004E71AA">
            <w:pPr>
              <w:jc w:val="center"/>
            </w:pPr>
            <w:r>
              <w:t>X</w:t>
            </w:r>
          </w:p>
        </w:tc>
        <w:tc>
          <w:tcPr>
            <w:tcW w:w="1134" w:type="dxa"/>
          </w:tcPr>
          <w:p w14:paraId="7C4F8BE2" w14:textId="4A8C5A9F" w:rsidR="00B133F9" w:rsidRDefault="008054B4" w:rsidP="004E71AA">
            <w:pPr>
              <w:jc w:val="center"/>
            </w:pPr>
            <w:r>
              <w:t>X</w:t>
            </w:r>
          </w:p>
        </w:tc>
      </w:tr>
    </w:tbl>
    <w:p w14:paraId="64C8D899" w14:textId="77777777" w:rsidR="00B133F9" w:rsidRPr="009C1627" w:rsidRDefault="00B133F9"/>
    <w:p w14:paraId="66BCDBF4" w14:textId="77777777" w:rsidR="00D0109E" w:rsidRPr="009C1627" w:rsidRDefault="00D0109E">
      <w:pPr>
        <w:pStyle w:val="Heading1"/>
        <w:keepNext/>
        <w:ind w:left="567" w:hanging="567"/>
        <w:rPr>
          <w:b/>
        </w:rPr>
      </w:pPr>
      <w:r>
        <w:rPr>
          <w:b/>
        </w:rPr>
        <w:t>Yleistä</w:t>
      </w:r>
    </w:p>
    <w:p w14:paraId="764F1799" w14:textId="77777777" w:rsidR="00D0109E" w:rsidRPr="009C1627" w:rsidRDefault="00D0109E">
      <w:pPr>
        <w:keepNext/>
      </w:pPr>
    </w:p>
    <w:p w14:paraId="5349415E" w14:textId="77777777" w:rsidR="0080411E" w:rsidRPr="009C1627" w:rsidRDefault="0080411E">
      <w:pPr>
        <w:pStyle w:val="Heading2"/>
        <w:ind w:left="567" w:hanging="567"/>
      </w:pPr>
      <w:r>
        <w:t xml:space="preserve">Liikenteen osuus EU:n energiankulutuksesta on yli 30 prosenttia. Maantieliikenteen osuus unionin kaikista kasvihuonekaasupäästöistä on puolestaan 22 prosenttia. Vuonna 2016 annetun tiedonannon </w:t>
      </w:r>
      <w:r>
        <w:rPr>
          <w:b/>
          <w:i/>
        </w:rPr>
        <w:t>Vähäpäästöistä liikkuvuutta</w:t>
      </w:r>
      <w:r>
        <w:rPr>
          <w:i/>
        </w:rPr>
        <w:t xml:space="preserve"> koskeva eurooppalainen strategia</w:t>
      </w:r>
      <w:r>
        <w:t xml:space="preserve"> tavoitteena on vähentää liikenteestä johtuvia kasvihuonekaasupäästöjä vuoteen 2050 mennessä vähintään 60 prosentilla vuoden 1990 tasoon verrattuna. </w:t>
      </w:r>
      <w:r>
        <w:rPr>
          <w:b/>
        </w:rPr>
        <w:t>Kolmannella liikkuvuutta koskevalla toimenpidepaketilla</w:t>
      </w:r>
      <w:r>
        <w:t xml:space="preserve"> pyritään vähentämään henkilöautojen ja raskaiden ajoneuvojen päästöjä, parantamaan maantieliikenteen turvallisuutta ja vähentämään saastumista. Samalla vähennetään osaltaan unionin </w:t>
      </w:r>
      <w:r>
        <w:rPr>
          <w:b/>
        </w:rPr>
        <w:t>riippuvuutta energian tuonnista</w:t>
      </w:r>
      <w:r>
        <w:t>. Ajoneuvojen renkailla on vaikutusta polttoaineenkulutukseen (ja sitä kautta kasvihuonekaasupäästöihin), meluun ja turvallisuuteen.</w:t>
      </w:r>
    </w:p>
    <w:p w14:paraId="3C5D857F" w14:textId="77777777" w:rsidR="0080411E" w:rsidRPr="009C1627" w:rsidRDefault="0080411E"/>
    <w:p w14:paraId="6AD72483" w14:textId="77777777" w:rsidR="0080411E" w:rsidRPr="009C1627" w:rsidRDefault="0080411E" w:rsidP="00812AB2">
      <w:pPr>
        <w:pStyle w:val="Heading2"/>
        <w:keepNext/>
        <w:ind w:left="567" w:hanging="567"/>
      </w:pPr>
      <w:r>
        <w:t xml:space="preserve">Voimassa olevan rengasmerkintäasetuksen tulosten tarkastelu osoittaa, että </w:t>
      </w:r>
      <w:r>
        <w:rPr>
          <w:b/>
        </w:rPr>
        <w:t>asetuksella ei pystytä riittävällä tavalla saavuttamaan tavoitetta</w:t>
      </w:r>
      <w:r>
        <w:t xml:space="preserve"> lisätä tieliikenteen ympäristöystävällisyyttä edistämällä turvallisten, melutasoiltaan alhaisten ja polttoainetehokkaiden renkaiden käyttöä. </w:t>
      </w:r>
      <w:r>
        <w:rPr>
          <w:b/>
        </w:rPr>
        <w:t>Pääasialliset syyt</w:t>
      </w:r>
      <w:r>
        <w:t xml:space="preserve"> tähän ovat seuraavat:</w:t>
      </w:r>
    </w:p>
    <w:p w14:paraId="5AA0AB73" w14:textId="77777777" w:rsidR="009E1982" w:rsidRPr="009C1627" w:rsidRDefault="009E1982">
      <w:pPr>
        <w:pStyle w:val="ListParagraph"/>
        <w:numPr>
          <w:ilvl w:val="0"/>
          <w:numId w:val="73"/>
        </w:numPr>
        <w:ind w:left="851" w:hanging="284"/>
      </w:pPr>
      <w:r>
        <w:t>Rengasmerkinnöillä on heikko erottuvuus, eikä yleisöä ole riittävästi valistettu.</w:t>
      </w:r>
    </w:p>
    <w:p w14:paraId="60DE5057" w14:textId="77777777" w:rsidR="009E1982" w:rsidRPr="009C1627" w:rsidRDefault="009E1982">
      <w:pPr>
        <w:pStyle w:val="ListParagraph"/>
        <w:numPr>
          <w:ilvl w:val="0"/>
          <w:numId w:val="73"/>
        </w:numPr>
        <w:ind w:left="851" w:hanging="284"/>
      </w:pPr>
      <w:r>
        <w:t xml:space="preserve">Säännösten noudattamisessa on ongelmia, eivätkä jäsenvaltiot sovella säännöstöä asianmukaisesti. </w:t>
      </w:r>
    </w:p>
    <w:p w14:paraId="4BBCF338" w14:textId="77777777" w:rsidR="009E1982" w:rsidRPr="009C1627" w:rsidRDefault="00211A1B">
      <w:pPr>
        <w:pStyle w:val="ListParagraph"/>
        <w:numPr>
          <w:ilvl w:val="0"/>
          <w:numId w:val="73"/>
        </w:numPr>
        <w:ind w:left="851" w:hanging="284"/>
      </w:pPr>
      <w:r>
        <w:t>Suorituskykyluokat ovat epävarmoja ja tiedot epätäydellisiä ja virheellisiä.</w:t>
      </w:r>
    </w:p>
    <w:p w14:paraId="2ACB8E7A" w14:textId="77777777" w:rsidR="0028291B" w:rsidRPr="009C1627" w:rsidRDefault="0028291B"/>
    <w:p w14:paraId="5E259DB5" w14:textId="77777777" w:rsidR="0028291B" w:rsidRPr="009C1627" w:rsidRDefault="0028291B" w:rsidP="00812AB2">
      <w:pPr>
        <w:pStyle w:val="Heading2"/>
        <w:keepNext/>
        <w:ind w:left="567" w:hanging="567"/>
      </w:pPr>
      <w:r>
        <w:t xml:space="preserve">Unionin </w:t>
      </w:r>
      <w:r>
        <w:rPr>
          <w:b/>
        </w:rPr>
        <w:t>sääntelytoiminnalla taataan</w:t>
      </w:r>
      <w:r>
        <w:t>, että</w:t>
      </w:r>
    </w:p>
    <w:p w14:paraId="64201C37" w14:textId="77777777" w:rsidR="0028291B" w:rsidRPr="009C1627" w:rsidRDefault="0028291B">
      <w:pPr>
        <w:pStyle w:val="ListParagraph"/>
        <w:numPr>
          <w:ilvl w:val="0"/>
          <w:numId w:val="74"/>
        </w:numPr>
        <w:ind w:left="851" w:hanging="284"/>
      </w:pPr>
      <w:r>
        <w:t>loppukäyttäjillä on käytettävissään samat yhdenmukaistetut tiedot riippumatta siitä, mistä jäsenvaltiosta he ostavat renkaansa</w:t>
      </w:r>
    </w:p>
    <w:p w14:paraId="3EE766A9" w14:textId="77777777" w:rsidR="0028291B" w:rsidRPr="009C1627" w:rsidRDefault="0028291B">
      <w:pPr>
        <w:pStyle w:val="ListParagraph"/>
        <w:numPr>
          <w:ilvl w:val="0"/>
          <w:numId w:val="74"/>
        </w:numPr>
        <w:ind w:left="851" w:hanging="284"/>
      </w:pPr>
      <w:r>
        <w:t>toimittajien kustannukset pienenevät, sillä ne voivat pitää renkaitaan kaupan koko unionissa yhdellä ja samalla merkinnällä.</w:t>
      </w:r>
    </w:p>
    <w:p w14:paraId="4E5A44D3" w14:textId="77777777" w:rsidR="0028291B" w:rsidRPr="009C1627" w:rsidRDefault="0028291B"/>
    <w:p w14:paraId="780F2DE9" w14:textId="77777777" w:rsidR="0028291B" w:rsidRPr="009C1627" w:rsidRDefault="0073350D">
      <w:pPr>
        <w:pStyle w:val="Heading2"/>
        <w:ind w:left="567" w:hanging="567"/>
      </w:pPr>
      <w:r>
        <w:t xml:space="preserve">Ennen kaikkea nämä edut </w:t>
      </w:r>
      <w:r>
        <w:rPr>
          <w:b/>
        </w:rPr>
        <w:t>hyödyttävät kuluttajia, lisäävät turvallisuutta</w:t>
      </w:r>
      <w:r>
        <w:t xml:space="preserve"> ja vahvistavat eurooppalaisen rengasteollisuuden kilpailukykyä. Niillä helpotetaan </w:t>
      </w:r>
      <w:r>
        <w:rPr>
          <w:b/>
        </w:rPr>
        <w:t>rengaskauppaa</w:t>
      </w:r>
      <w:r>
        <w:t xml:space="preserve"> sisämarkkinoilla, ja samalla kuluttajien kokonaiskustannukset vähenevät ja saatavilla oleva tuotevalikoima laajenee. Jotta unionin tason toiminta on tuloksellista, </w:t>
      </w:r>
      <w:r>
        <w:rPr>
          <w:b/>
        </w:rPr>
        <w:t>markkinoita on valvottava</w:t>
      </w:r>
      <w:r>
        <w:t xml:space="preserve"> yhdenmukaisesti koko unionissa sisämarkkinoiden tukemiseksi. Valmistajia on </w:t>
      </w:r>
      <w:r>
        <w:rPr>
          <w:b/>
        </w:rPr>
        <w:t>kannustettava</w:t>
      </w:r>
      <w:r>
        <w:t xml:space="preserve"> sijoittamaan resursseja energiatehokkaiden renkaiden suunnitteluun, valmistamiseen ja myyntiin.</w:t>
      </w:r>
    </w:p>
    <w:p w14:paraId="79614CFC" w14:textId="77777777" w:rsidR="0073350D" w:rsidRPr="009C1627" w:rsidRDefault="0073350D"/>
    <w:p w14:paraId="24D35DCE" w14:textId="77777777" w:rsidR="0073350D" w:rsidRPr="009C1627" w:rsidRDefault="0073350D">
      <w:pPr>
        <w:pStyle w:val="Heading2"/>
        <w:ind w:left="567" w:hanging="567"/>
      </w:pPr>
      <w:r>
        <w:t xml:space="preserve">Julkisessa kuulemisessa kävi ilmi, että tarpeesta parantaa </w:t>
      </w:r>
      <w:r>
        <w:rPr>
          <w:b/>
        </w:rPr>
        <w:t>merkintöjen tunnettuutta</w:t>
      </w:r>
      <w:r>
        <w:t xml:space="preserve"> järjestämällä valistuskampanjoita, tekemällä merkintöjen esittämisestä verkossa pakollista ja merkitsemällä uusien autojen mukana myytävät alkuperäisrenkaat vallitsee yhteisymmärrys. Vastaajat katsoivat, että </w:t>
      </w:r>
      <w:r>
        <w:rPr>
          <w:b/>
        </w:rPr>
        <w:t>kuluttajien luottamuksen</w:t>
      </w:r>
      <w:r>
        <w:t xml:space="preserve"> parantamiseksi olisi lisättävä markkinoiden valvontaa ja luotava viranomaisille nykyistä parempi foorumi, jonka avulla ne voivat toteuttaa ja koordinoida toimintaansa.</w:t>
      </w:r>
    </w:p>
    <w:p w14:paraId="5BC25DDC" w14:textId="77777777" w:rsidR="0073350D" w:rsidRPr="009C1627" w:rsidRDefault="0073350D"/>
    <w:p w14:paraId="4A979956" w14:textId="77777777" w:rsidR="00F811D4" w:rsidRPr="009C1627" w:rsidRDefault="00F811D4">
      <w:pPr>
        <w:pStyle w:val="Heading2"/>
        <w:ind w:left="567" w:hanging="567"/>
      </w:pPr>
      <w:r>
        <w:rPr>
          <w:b/>
        </w:rPr>
        <w:t>Turvallisuuteen</w:t>
      </w:r>
      <w:r>
        <w:t xml:space="preserve"> liittyvien ominaisuuksien määrää ja merkityksellisyyttä on lisättävä merkintöihin sisällytettävien ominaisuuksien joukossa. Tämä vaikuttaa kuitenkin olevan ristiriidassa sen kanssa, että ominaisuuksien esittämiseen varattavaa tilaa pienennetään suhteellisesti, mikä johtaa </w:t>
      </w:r>
      <w:r>
        <w:rPr>
          <w:b/>
        </w:rPr>
        <w:t>merkinnän ulkomuodon</w:t>
      </w:r>
      <w:r>
        <w:t xml:space="preserve"> muuttamiseen. Syyt </w:t>
      </w:r>
      <w:r>
        <w:rPr>
          <w:b/>
        </w:rPr>
        <w:t>merkinnän mittojen</w:t>
      </w:r>
      <w:r>
        <w:t xml:space="preserve"> muuttamiseen ovat myös käsittämättömiä.</w:t>
      </w:r>
    </w:p>
    <w:p w14:paraId="34E25EF8" w14:textId="77777777" w:rsidR="00F811D4" w:rsidRPr="009C1627" w:rsidRDefault="00F811D4"/>
    <w:p w14:paraId="6B622B0E" w14:textId="68F971E9" w:rsidR="0073350D" w:rsidRPr="009C1627" w:rsidRDefault="0073350D">
      <w:pPr>
        <w:pStyle w:val="Heading2"/>
        <w:ind w:left="567" w:hanging="567"/>
      </w:pPr>
      <w:r>
        <w:t xml:space="preserve">Perusteellinen vaikutusanalyysi osoitti, että </w:t>
      </w:r>
      <w:r>
        <w:rPr>
          <w:b/>
        </w:rPr>
        <w:t>luottamus merkintäjärjestelmiin</w:t>
      </w:r>
      <w:r>
        <w:t xml:space="preserve"> on arkaluontoinen ja tärkeä kysymys, minkä vuoksi sääntelyllä on suuri vastuu: on valittava </w:t>
      </w:r>
      <w:r>
        <w:rPr>
          <w:b/>
        </w:rPr>
        <w:t>pieni määrä ominaisuuksia, joista annettavat tiedot ovat täsmällisiä ja luotettavia</w:t>
      </w:r>
      <w:r>
        <w:t xml:space="preserve">, ja niistä on tiedotettava. Lisäksi kyseessä on kansallisten toimivaltaisten markkinavalvontaelinten kannalta kallis tehtävä, sillä niiden on </w:t>
      </w:r>
      <w:r>
        <w:rPr>
          <w:b/>
        </w:rPr>
        <w:t>suojeltava</w:t>
      </w:r>
      <w:r>
        <w:t xml:space="preserve"> paitsi </w:t>
      </w:r>
      <w:r>
        <w:rPr>
          <w:b/>
        </w:rPr>
        <w:t>kuluttajia</w:t>
      </w:r>
      <w:r>
        <w:t xml:space="preserve"> myös rehellisiä valmistajia, jotta viimeksi mainitut eivät joudu epäedulliseen kilpailuasemaan suhteessa vähemmän luotettaviin tai täysin epäluotettaviin yrityksiin, jotka pystyvät näin pitämään kustannuksensa ja hintansa alempina.</w:t>
      </w:r>
    </w:p>
    <w:p w14:paraId="301AA58F" w14:textId="77777777" w:rsidR="0073350D" w:rsidRPr="009C1627" w:rsidRDefault="0073350D"/>
    <w:p w14:paraId="094E20F7" w14:textId="77777777" w:rsidR="0073350D" w:rsidRPr="009C1627" w:rsidRDefault="0073350D">
      <w:pPr>
        <w:pStyle w:val="Heading2"/>
        <w:ind w:left="567" w:hanging="567"/>
      </w:pPr>
      <w:r>
        <w:t xml:space="preserve">Kun kaikki edellä mainitut seikat yhdessä toteutuvat, voidaan luoda asianmukaiset </w:t>
      </w:r>
      <w:r>
        <w:rPr>
          <w:b/>
        </w:rPr>
        <w:t>puitteet tutkimuksen, kehityksen ja innovaatioiden tukemiseksi</w:t>
      </w:r>
      <w:r>
        <w:t xml:space="preserve"> sekä tavoitteiden ja niihin osoitettavien keskeisten resurssien suuntaamiseksi tehokkaasti.</w:t>
      </w:r>
    </w:p>
    <w:p w14:paraId="1553582F" w14:textId="77777777" w:rsidR="0073350D" w:rsidRPr="009C1627" w:rsidRDefault="0073350D"/>
    <w:p w14:paraId="396ABC3F" w14:textId="77777777" w:rsidR="0073350D" w:rsidRPr="009C1627" w:rsidRDefault="0073350D">
      <w:pPr>
        <w:pStyle w:val="Heading1"/>
        <w:keepNext/>
        <w:ind w:left="567" w:hanging="567"/>
        <w:rPr>
          <w:b/>
        </w:rPr>
      </w:pPr>
      <w:r>
        <w:rPr>
          <w:b/>
        </w:rPr>
        <w:t>Erityistä</w:t>
      </w:r>
    </w:p>
    <w:p w14:paraId="4EC48711" w14:textId="77777777" w:rsidR="0073350D" w:rsidRPr="009C1627" w:rsidRDefault="0073350D">
      <w:pPr>
        <w:keepNext/>
      </w:pPr>
    </w:p>
    <w:p w14:paraId="647E6A45" w14:textId="42E01617" w:rsidR="0073350D" w:rsidRPr="009C1627" w:rsidRDefault="0073350D">
      <w:pPr>
        <w:pStyle w:val="Heading2"/>
        <w:ind w:left="567" w:hanging="567"/>
      </w:pPr>
      <w:r>
        <w:t xml:space="preserve">Euroopan komission olisi säädösvallan siirron perusteella </w:t>
      </w:r>
      <w:r>
        <w:rPr>
          <w:b/>
        </w:rPr>
        <w:t>kuultava asiantuntijoita</w:t>
      </w:r>
      <w:r>
        <w:t xml:space="preserve">, ennen kuin uusia vaatimuksia otetaan käyttöön tai liitteitä mukautetaan tekniseen kehitykseen. </w:t>
      </w:r>
      <w:r>
        <w:rPr>
          <w:b/>
        </w:rPr>
        <w:t xml:space="preserve">Säädösvallan siirtoon perustuva asetuksen muuttaminen olisi kuitenkin rajoitettava </w:t>
      </w:r>
      <w:r>
        <w:rPr>
          <w:b/>
        </w:rPr>
        <w:lastRenderedPageBreak/>
        <w:t>toimenpiteisiin, jotka johtuvat teknologisesta edistyksestä. Siihen ei saa sisältyä olennaisia muutoksia, kuten kilometrimäärään, kulumiseen tai pinnoitettuihin renkaisiin liittyviä uusia säännöksiä</w:t>
      </w:r>
      <w:r>
        <w:t xml:space="preserve">, sillä niitä varten ehdotetaan säännöllistä uudelleentarkastelua. Näin varmistetaan parempi lainsäädäntö (ks. </w:t>
      </w:r>
      <w:hyperlink r:id="rId19" w:history="1">
        <w:r>
          <w:rPr>
            <w:rStyle w:val="Hyperlink"/>
          </w:rPr>
          <w:t>EUVL L 123, 12.5.2016, s. 1</w:t>
        </w:r>
      </w:hyperlink>
      <w:r>
        <w:t xml:space="preserve">). Tässä suhteessa on syytä varmistaa, että </w:t>
      </w:r>
      <w:r>
        <w:rPr>
          <w:b/>
        </w:rPr>
        <w:t>kansalaisyhteiskunnan toimialajärjestöillä on vahva edustus</w:t>
      </w:r>
      <w:r>
        <w:t>. Nämä järjestöthän saavat jatkuvasti käyttäjäyhteisön (yksittäisten kuluttajien ja kuljetuspäälliköiden) kautta suoria ja ajankohtaisia tietoja, toisin kuin muut instituutiot, joilla on käytössään hetkellisiä, syklisiä tai välillisiä tietoja.</w:t>
      </w:r>
    </w:p>
    <w:p w14:paraId="60BFC3C3" w14:textId="77777777" w:rsidR="00261F3E" w:rsidRPr="009C1627" w:rsidRDefault="00261F3E"/>
    <w:p w14:paraId="37C602DB" w14:textId="0B74D15C" w:rsidR="00DB0114" w:rsidRPr="009C1627" w:rsidRDefault="00DB0114">
      <w:pPr>
        <w:pStyle w:val="Heading2"/>
        <w:ind w:left="567" w:hanging="567"/>
      </w:pPr>
      <w:r>
        <w:t xml:space="preserve">ETSK katsoo asetuksen uudelleentarkastelua varten laaditun tutkimusraportin ja markkinatutkimusten tietojen perusteella olevan </w:t>
      </w:r>
      <w:r>
        <w:rPr>
          <w:b/>
        </w:rPr>
        <w:t>liian varhaista muuttaa ominaisuusluokkia</w:t>
      </w:r>
      <w:r>
        <w:t>: nykyäänhän vierintävastusta ja märkäpitoa koskevissa luokissa alle 1 prosentti tuotteista saa luokituksen A eli tämä luokka on käytännössä tyhjä. Asetuksen (EU) 2017/1369 nojalla asteikon muutos on perusteltu vain, jos 30 prosenttia tuotteista on saavuttanut korkeimman luokan. Sitä paitsi ei ole kovin motivoivaa, jos asteikossa on 6–7 tasoa, joista kahta ylintä ei käytetä. Tekniseltä kannalta on syytä ottaa huomioon myös se seikka, että samoilla rengassarjoilla tehdyt testit antavat toisinaan tulokseksi kahden luokan eron.</w:t>
      </w:r>
    </w:p>
    <w:p w14:paraId="42685E6E" w14:textId="77777777" w:rsidR="00DB0114" w:rsidRPr="009C1627" w:rsidRDefault="00DB0114"/>
    <w:p w14:paraId="38FB77C1" w14:textId="11604A05" w:rsidR="00261F3E" w:rsidRPr="009C1627" w:rsidRDefault="00261F3E">
      <w:pPr>
        <w:pStyle w:val="Heading2"/>
        <w:ind w:left="567" w:hanging="567"/>
      </w:pPr>
      <w:r>
        <w:t xml:space="preserve">ETSK suhtautuu myönteisesti pyrkimykseen lisätä tulevaisuudessa </w:t>
      </w:r>
      <w:r>
        <w:rPr>
          <w:b/>
        </w:rPr>
        <w:t>kilometrimäärää ja kulumista</w:t>
      </w:r>
      <w:r>
        <w:t xml:space="preserve"> koskevat ominaisuudet – edellyttäen, että käytettävissä on selkeitä ja merkityksellisiä tietoja. ETSK huomauttaa kuitenkin tässä yhteydessä, että viimeisten sadan vuoden aikana ei ole keksitty yhtään riittävän varmaa ja soveltuvaa testimenetelmää (käytännön testien lisäksi). Testiominaisuuksien olisi todella vastattava ja luonnehdittava kestävää, muuttuvaa ja pitkäaikaista käyttöä. Kaikkien näiden ominaisuuksien laboratoriomallintaminen tehokkaasti ja kohtuuhintaan käsittää väistämättä nopeutetun ylikuormitustestin, eikä testi välttämättä vastaa </w:t>
      </w:r>
      <w:r>
        <w:rPr>
          <w:b/>
        </w:rPr>
        <w:t>todellisten vaatimusten monipuolisuutta</w:t>
      </w:r>
      <w:r>
        <w:t xml:space="preserve"> eikä </w:t>
      </w:r>
      <w:r>
        <w:rPr>
          <w:b/>
        </w:rPr>
        <w:t>erilaista luonnollista käyttäytymistä</w:t>
      </w:r>
      <w:r>
        <w:t xml:space="preserve"> näissä oloissa. Erilaisissa olosuhteissa toteutettuina nämä testit johtavat kilometrimäärien ja kulumisarvojen osalta tuotteiden erilaisiin luokituksiin ja paremmuusjärjestyksiin.</w:t>
      </w:r>
    </w:p>
    <w:p w14:paraId="222E0021" w14:textId="77777777" w:rsidR="00261F3E" w:rsidRPr="009C1627" w:rsidRDefault="00261F3E"/>
    <w:p w14:paraId="59C7C3BC" w14:textId="77777777" w:rsidR="00261F3E" w:rsidRPr="009C1627" w:rsidRDefault="00261F3E">
      <w:pPr>
        <w:pStyle w:val="Heading3"/>
        <w:ind w:left="567" w:hanging="567"/>
      </w:pPr>
      <w:r>
        <w:t xml:space="preserve">Voidaan lopuksi todeta, että </w:t>
      </w:r>
      <w:r>
        <w:rPr>
          <w:b/>
        </w:rPr>
        <w:t>merkintöjen uskottavuuden</w:t>
      </w:r>
      <w:r>
        <w:t xml:space="preserve"> kannalta olisi vaarallista tai jopa kohtalokasta, jos kuluttaja havaitsee, että renkaiden suorituskyky poikkeaa käytännössä merkinnöissä olevista tiedoista. Muiden ominaisuuksien kannalta tällaisia ongelmia ei ole, koska kyseessä on täsmällisen ja lyhytaikaisen käyttäytymisen mallintaminen ja osoittaminen. Edellä mainittujen kahden ominaisuuden lisääminen merkintöihin on hyvin uskaliasta, eikä sitä tällä hetkellä suositella.</w:t>
      </w:r>
    </w:p>
    <w:p w14:paraId="5FACE3A7" w14:textId="77777777" w:rsidR="00261F3E" w:rsidRPr="009C1627" w:rsidRDefault="00261F3E"/>
    <w:p w14:paraId="06A66E24" w14:textId="77777777" w:rsidR="00B549A4" w:rsidRPr="009C1627" w:rsidRDefault="00B549A4">
      <w:pPr>
        <w:pStyle w:val="Heading3"/>
        <w:ind w:left="567" w:hanging="567"/>
      </w:pPr>
      <w:r>
        <w:rPr>
          <w:b/>
        </w:rPr>
        <w:t>Kulumisen vähentäminen</w:t>
      </w:r>
      <w:r>
        <w:t xml:space="preserve"> on osoittautunut tärkeäksi, koska kulumisella on havaittu olevan useita kielteisiä vaikutuksia ympäristöön: toisaalta </w:t>
      </w:r>
      <w:r>
        <w:rPr>
          <w:b/>
        </w:rPr>
        <w:t>vesissä</w:t>
      </w:r>
      <w:r>
        <w:t xml:space="preserve"> on todettu olevan </w:t>
      </w:r>
      <w:r>
        <w:rPr>
          <w:b/>
        </w:rPr>
        <w:t>muovihiukkasia</w:t>
      </w:r>
      <w:r>
        <w:t xml:space="preserve">, vaikka kumin osuus niistä onkin suhteellisen vähäinen, ja toisaalta ilmassa on – tosin pienenpieninä pitoisuuksina – </w:t>
      </w:r>
      <w:r>
        <w:rPr>
          <w:b/>
        </w:rPr>
        <w:t>bentsopyreeniä</w:t>
      </w:r>
      <w:r>
        <w:t xml:space="preserve">, joka on todennäköisesti peräisin energiahyötykäytöstä, ja siitä puolestaan suurelta osin johtuvat </w:t>
      </w:r>
      <w:r>
        <w:rPr>
          <w:b/>
        </w:rPr>
        <w:t>savusumun</w:t>
      </w:r>
      <w:r>
        <w:t xml:space="preserve"> muodostuminen ja tietyt hengitysteiden sairaudet.</w:t>
      </w:r>
    </w:p>
    <w:p w14:paraId="39DC00D8" w14:textId="77777777" w:rsidR="00B549A4" w:rsidRPr="009C1627" w:rsidRDefault="00B549A4"/>
    <w:p w14:paraId="481926ED" w14:textId="360451D9" w:rsidR="00261F3E" w:rsidRPr="009C1627" w:rsidRDefault="00261F3E">
      <w:pPr>
        <w:pStyle w:val="Heading2"/>
        <w:ind w:left="567" w:hanging="567"/>
      </w:pPr>
      <w:r>
        <w:t xml:space="preserve">Yleisellä tasolla ETSK yhtyy näkemykseen, jonka mukaan </w:t>
      </w:r>
      <w:r>
        <w:rPr>
          <w:b/>
        </w:rPr>
        <w:t>luokan C3 renkaiden pinnoittaminen</w:t>
      </w:r>
      <w:r>
        <w:t xml:space="preserve"> mahdollistaa </w:t>
      </w:r>
      <w:r>
        <w:rPr>
          <w:b/>
        </w:rPr>
        <w:t>raaka-aineiden ja energian säästöt</w:t>
      </w:r>
      <w:r>
        <w:t xml:space="preserve"> maailmanlaajuisesti. On kuitenkin syytä huomata, että ainoastaan merkinnässä nykyisin olevia kolmea ominaisuutta </w:t>
      </w:r>
      <w:r>
        <w:lastRenderedPageBreak/>
        <w:t xml:space="preserve">voidaan rajoitetusti soveltaa pinnoitettuihin renkaisiin. Siltä osin, kuin on kyse elinkaaren pituudesta ja kulumisesta, laatuvastuu jakautuu vielä epämääräisemmin renkaan rungon valmistajan ja pinnoittajan välillä. Näin ollen näiden ominaisuuksien sisällyttämistä merkintään ei suositella. Vähäisen markkinaosuuden vuoksi ei ole taloudelliselta eikä ympäristön kannalta järkevää sisällyttää </w:t>
      </w:r>
      <w:r>
        <w:rPr>
          <w:b/>
        </w:rPr>
        <w:t>luokkien C1 ja C2 pinnoitettuja</w:t>
      </w:r>
      <w:r>
        <w:t xml:space="preserve"> renkaita rengasmerkintäasetuksen soveltamisalaan. Sitä vastoin olisi syytä harkita mahdollisuutta, että valmistajat varustaisivat luokkien C1 ja C2 pinnoitetut renkaat merkinnöillä </w:t>
      </w:r>
      <w:r>
        <w:rPr>
          <w:b/>
        </w:rPr>
        <w:t>vapaaehtoisesti</w:t>
      </w:r>
      <w:r>
        <w:t xml:space="preserve"> vastatakseen niiden ostajien kysyntään, jotka toivovat mahdollisimman vähäistä merkintöjen vaikuttavuutta.</w:t>
      </w:r>
    </w:p>
    <w:p w14:paraId="07F71E61" w14:textId="77777777" w:rsidR="00261F3E" w:rsidRPr="009C1627" w:rsidRDefault="00261F3E"/>
    <w:p w14:paraId="2E551F45" w14:textId="3B81DCCA" w:rsidR="00261F3E" w:rsidRPr="009C1627" w:rsidRDefault="00261F3E">
      <w:pPr>
        <w:pStyle w:val="Heading3"/>
        <w:ind w:left="567" w:hanging="567"/>
      </w:pPr>
      <w:r>
        <w:t xml:space="preserve">ETSK varoittaa lisäämästä </w:t>
      </w:r>
      <w:r>
        <w:rPr>
          <w:b/>
        </w:rPr>
        <w:t>tuotetietokannan</w:t>
      </w:r>
      <w:r>
        <w:t xml:space="preserve"> tietueiden määrää eksponentiaalisesti, mihin </w:t>
      </w:r>
      <w:r>
        <w:rPr>
          <w:b/>
        </w:rPr>
        <w:t>pinnoitettujen</w:t>
      </w:r>
      <w:r>
        <w:t xml:space="preserve"> renkaiden sisällyttäminen tietokantaan johtaisi uusiin renkaisiin verrattuna. Pinnoittajan ja renkaan rungon valmistajan yhdistelmä, pinnoitusten määrä ja erilaiset pinnoitustekniikat ovat kaikki elementtejä, joiden perusteella syntyy uusi tuotenumero. Tuotteilla tehtävät monenlaiset testit merkitsevät valmistajille, joista erittäin suuri enemmistö on </w:t>
      </w:r>
      <w:r>
        <w:rPr>
          <w:b/>
        </w:rPr>
        <w:t>pk-yrityksiä</w:t>
      </w:r>
      <w:r>
        <w:t xml:space="preserve">, liian raskasta </w:t>
      </w:r>
      <w:r>
        <w:rPr>
          <w:b/>
        </w:rPr>
        <w:t>taloudellista taakkaa</w:t>
      </w:r>
      <w:r>
        <w:t xml:space="preserve">, eikä kuluttajalla voi olla selvää käsitystä tuotteiden </w:t>
      </w:r>
      <w:r>
        <w:rPr>
          <w:b/>
        </w:rPr>
        <w:t>erittäin suuresta valikoimasta</w:t>
      </w:r>
      <w:r>
        <w:t>.</w:t>
      </w:r>
    </w:p>
    <w:p w14:paraId="129D5E1B" w14:textId="77777777" w:rsidR="00261F3E" w:rsidRPr="009C1627" w:rsidRDefault="00261F3E"/>
    <w:p w14:paraId="3A2FE296" w14:textId="77777777" w:rsidR="00463A82" w:rsidRPr="009C1627" w:rsidRDefault="00261F3E">
      <w:pPr>
        <w:pStyle w:val="Heading2"/>
        <w:ind w:left="567" w:hanging="567"/>
      </w:pPr>
      <w:r>
        <w:t xml:space="preserve">ETSK katsoo, että tarkasteltavana olevan asetuksen täytäntöönpanon </w:t>
      </w:r>
      <w:r>
        <w:rPr>
          <w:b/>
        </w:rPr>
        <w:t>valmisteluun varattu määräaika</w:t>
      </w:r>
      <w:r>
        <w:t xml:space="preserve"> on </w:t>
      </w:r>
      <w:r>
        <w:rPr>
          <w:b/>
        </w:rPr>
        <w:t>lyhyt</w:t>
      </w:r>
      <w:r>
        <w:t xml:space="preserve">, ja sitä pitäisi pidentää vuodella. Olisi paljon yksinkertaisempaa ja helpommin hallittavissa, jos otettaisiin huomioon säännösten soveltamisalaan kuuluvien tuotteiden </w:t>
      </w:r>
      <w:r>
        <w:rPr>
          <w:b/>
        </w:rPr>
        <w:t>valmistuspäivä</w:t>
      </w:r>
      <w:r>
        <w:t xml:space="preserve"> niiden markkinoille saattamispäivän sijasta. Valmistuspäivä on merkitty pysyvästi renkaaseen, ja sen avulla voidaan estää kahdenkertainen tallentaminen tietokantaan.</w:t>
      </w:r>
    </w:p>
    <w:p w14:paraId="5A1477D9" w14:textId="77777777" w:rsidR="00463A82" w:rsidRPr="009C1627" w:rsidRDefault="00463A82"/>
    <w:p w14:paraId="5E469420" w14:textId="77777777" w:rsidR="00261F3E" w:rsidRPr="009C1627" w:rsidRDefault="00463A82">
      <w:pPr>
        <w:pStyle w:val="Heading2"/>
        <w:ind w:left="567" w:hanging="567"/>
      </w:pPr>
      <w:r>
        <w:t xml:space="preserve">Kuluttajat eivät lisäksi edelleenkään pystyisi ainoastaan uuden asetuksen ansiosta vertailemaan renkaiden suorituskykyä ja hintaa polttoaineenkulutuksen perusteella. Vaikka kulutuksesta on usein tietoja saatavilla myyntipisteissä tai ajoneuvojen käyttöohjeissa, suurimmalla osalla </w:t>
      </w:r>
      <w:r>
        <w:rPr>
          <w:b/>
        </w:rPr>
        <w:t>kuluttajista</w:t>
      </w:r>
      <w:r>
        <w:t xml:space="preserve"> ei edelleenkään ole </w:t>
      </w:r>
      <w:r>
        <w:rPr>
          <w:b/>
        </w:rPr>
        <w:t>riittävästi tietämystä eikä täydellisiä tietoja</w:t>
      </w:r>
      <w:r>
        <w:t xml:space="preserve"> tästä asiasta.</w:t>
      </w:r>
    </w:p>
    <w:p w14:paraId="54AD76BA" w14:textId="77777777" w:rsidR="00261F3E" w:rsidRPr="009C1627" w:rsidRDefault="00261F3E"/>
    <w:p w14:paraId="1DB09504" w14:textId="000014BE" w:rsidR="00261F3E" w:rsidRPr="009C1627" w:rsidRDefault="00261F3E">
      <w:pPr>
        <w:pStyle w:val="Heading3"/>
        <w:ind w:left="567" w:hanging="567"/>
      </w:pPr>
      <w:r>
        <w:t xml:space="preserve">Koska renkaiden </w:t>
      </w:r>
      <w:r>
        <w:rPr>
          <w:b/>
        </w:rPr>
        <w:t>suorituskyky</w:t>
      </w:r>
      <w:r>
        <w:t xml:space="preserve"> on </w:t>
      </w:r>
      <w:r>
        <w:rPr>
          <w:b/>
        </w:rPr>
        <w:t>sidoksissa</w:t>
      </w:r>
      <w:r>
        <w:t xml:space="preserve"> toisiin renkaisiin ja samalla niille </w:t>
      </w:r>
      <w:r>
        <w:rPr>
          <w:b/>
        </w:rPr>
        <w:t>vastakkainen</w:t>
      </w:r>
      <w:r>
        <w:t xml:space="preserve">, tiedoissa on kyse parhaasta mahdollisesta </w:t>
      </w:r>
      <w:r>
        <w:rPr>
          <w:b/>
        </w:rPr>
        <w:t>optimoinnista</w:t>
      </w:r>
      <w:r>
        <w:t xml:space="preserve"> tehtäessä </w:t>
      </w:r>
      <w:r>
        <w:rPr>
          <w:b/>
        </w:rPr>
        <w:t>valintaa</w:t>
      </w:r>
      <w:r>
        <w:t xml:space="preserve"> näiden ominaisuuksien väliltä. Tällä tavoin kuluttaja ei kuitenkaan pysty tekemään täysin tietoon perustuvaa päätöstä, koska annettujen </w:t>
      </w:r>
      <w:r>
        <w:rPr>
          <w:b/>
        </w:rPr>
        <w:t>ominaisuuksien keskinäiset sidonnaisuudet</w:t>
      </w:r>
      <w:r>
        <w:t xml:space="preserve"> eivät ole hänen tiedossaan.</w:t>
      </w:r>
    </w:p>
    <w:p w14:paraId="1A516CF5" w14:textId="77777777" w:rsidR="00261F3E" w:rsidRPr="009C1627" w:rsidRDefault="00261F3E"/>
    <w:p w14:paraId="40CDB6D0" w14:textId="77777777" w:rsidR="00261F3E" w:rsidRPr="009C1627" w:rsidRDefault="00261F3E">
      <w:pPr>
        <w:pStyle w:val="Heading3"/>
        <w:ind w:left="567" w:hanging="567"/>
      </w:pPr>
      <w:r>
        <w:t xml:space="preserve">ETSK suosittaa, että sekä kansalliset että eurooppalaiset toimialajärjestöt, maantieliikenteen ja kuljetusten turvallisuudesta vastaavat </w:t>
      </w:r>
      <w:r>
        <w:rPr>
          <w:b/>
        </w:rPr>
        <w:t>poliisielimet ja muut tahot</w:t>
      </w:r>
      <w:r>
        <w:t xml:space="preserve"> sekä ajoneuvojen kuljettamista opettavat organisaatiot sisällyttävät </w:t>
      </w:r>
      <w:r>
        <w:rPr>
          <w:b/>
        </w:rPr>
        <w:t>koulutus-, viestintä- ja jatkokoulutusohjelmiinsa</w:t>
      </w:r>
      <w:r>
        <w:t xml:space="preserve"> ja kokeisiinsa rengastuntemuksen sekä kaikki ne tekniset ominaisuudet ja tunnukset, joita tulevaisuudessa on asetuksen nojalla sovellettava.</w:t>
      </w:r>
    </w:p>
    <w:p w14:paraId="2EEB322A" w14:textId="77777777" w:rsidR="00261F3E" w:rsidRPr="009C1627" w:rsidRDefault="00261F3E"/>
    <w:p w14:paraId="0FF03E9E" w14:textId="1E286AF5" w:rsidR="00261F3E" w:rsidRPr="009C1627" w:rsidRDefault="00261F3E">
      <w:pPr>
        <w:pStyle w:val="Heading3"/>
        <w:ind w:left="567" w:hanging="567"/>
      </w:pPr>
      <w:r>
        <w:t xml:space="preserve">Olisi myös tärkeää, että </w:t>
      </w:r>
      <w:r>
        <w:rPr>
          <w:b/>
        </w:rPr>
        <w:t>valmistajat</w:t>
      </w:r>
      <w:r>
        <w:t xml:space="preserve"> omalta osaltaan valvovat, että näiden yhteistyökumppaneina toimivat kauppiaat, jotka ovat usein </w:t>
      </w:r>
      <w:r>
        <w:rPr>
          <w:b/>
        </w:rPr>
        <w:t>rengasmyyjiä</w:t>
      </w:r>
      <w:r>
        <w:t xml:space="preserve">, </w:t>
      </w:r>
      <w:r>
        <w:rPr>
          <w:b/>
        </w:rPr>
        <w:t>tiedottavat</w:t>
      </w:r>
      <w:r>
        <w:t xml:space="preserve"> asianmukaisesti ostajalle myydystä ajoneuvosta tai renkaista, jotka tämä aikoo ostaa, ja ehdottavat tälle mahdollisuuksien mukaan </w:t>
      </w:r>
      <w:r>
        <w:rPr>
          <w:b/>
        </w:rPr>
        <w:t>vaihtoehtoja</w:t>
      </w:r>
      <w:r>
        <w:t xml:space="preserve"> sekä antavat siihen liittyvää neuvontaa.</w:t>
      </w:r>
    </w:p>
    <w:p w14:paraId="0E9EE035" w14:textId="77777777" w:rsidR="00261F3E" w:rsidRPr="009C1627" w:rsidRDefault="00261F3E"/>
    <w:p w14:paraId="000C1C90" w14:textId="77777777" w:rsidR="00261F3E" w:rsidRPr="009C1627" w:rsidRDefault="00261F3E">
      <w:pPr>
        <w:pStyle w:val="Heading3"/>
        <w:ind w:left="567" w:hanging="567"/>
      </w:pPr>
      <w:r>
        <w:lastRenderedPageBreak/>
        <w:t xml:space="preserve">ETSK:n mukaan unionin olisi varmistettava, että </w:t>
      </w:r>
      <w:r>
        <w:rPr>
          <w:b/>
        </w:rPr>
        <w:t>jäsenvaltiot</w:t>
      </w:r>
      <w:r>
        <w:t xml:space="preserve"> valmistelevat tiedotus- ja </w:t>
      </w:r>
      <w:r>
        <w:rPr>
          <w:b/>
        </w:rPr>
        <w:t>valistuskampanjoita</w:t>
      </w:r>
      <w:r>
        <w:t xml:space="preserve"> asetuksen lisäksi myös muista renkaisiin liittyvistä kysymyksistä, kuten vuodenaikaan sopivien renkaiden käytöstä, renkaiden käytöstä yleisesti jne.</w:t>
      </w:r>
    </w:p>
    <w:p w14:paraId="6BB0627A" w14:textId="77777777" w:rsidR="000F1E43" w:rsidRPr="009C1627" w:rsidRDefault="000F1E43"/>
    <w:p w14:paraId="68BEDBEE" w14:textId="77777777" w:rsidR="00FA4013" w:rsidRPr="009C1627" w:rsidRDefault="00FA4013">
      <w:pPr>
        <w:pStyle w:val="Heading2"/>
        <w:ind w:left="567" w:hanging="567"/>
      </w:pPr>
      <w:r>
        <w:t>Huomiota tulevia pohdintoja varten</w:t>
      </w:r>
    </w:p>
    <w:p w14:paraId="7D081971" w14:textId="77777777" w:rsidR="00FA4013" w:rsidRPr="009C1627" w:rsidRDefault="00FA4013"/>
    <w:p w14:paraId="3AC4F80A" w14:textId="4C5D274D" w:rsidR="00FA4013" w:rsidRPr="009C1627" w:rsidRDefault="00720060">
      <w:pPr>
        <w:pStyle w:val="Heading3"/>
        <w:ind w:left="567" w:hanging="567"/>
      </w:pPr>
      <w:r>
        <w:t xml:space="preserve">Unionin tulisi pitkällä aikavälillä harkita, olisiko otettava käyttöön neuvontatarkoituksessa annettavaa tietoa renkaiden </w:t>
      </w:r>
      <w:r>
        <w:rPr>
          <w:b/>
        </w:rPr>
        <w:t>kierrätettävyydestä</w:t>
      </w:r>
      <w:r>
        <w:t xml:space="preserve"> niiden </w:t>
      </w:r>
      <w:r>
        <w:rPr>
          <w:b/>
        </w:rPr>
        <w:t>käyttöiän päätyttyä</w:t>
      </w:r>
      <w:r>
        <w:t>. Tällaisten tietojen ei tulisi sisältyä merkintöihin vaan pikemminkin teknisiin asiakirjoihin ja tekniseen mainosmateriaaliin.</w:t>
      </w:r>
    </w:p>
    <w:p w14:paraId="316C785E" w14:textId="77777777" w:rsidR="00FA4013" w:rsidRPr="009C1627" w:rsidRDefault="00FA4013"/>
    <w:p w14:paraId="295274BC" w14:textId="63B469BC" w:rsidR="00FA4013" w:rsidRPr="009C1627" w:rsidRDefault="00FA4013">
      <w:pPr>
        <w:pStyle w:val="Heading3"/>
        <w:ind w:left="567" w:hanging="567"/>
      </w:pPr>
      <w:r>
        <w:t xml:space="preserve">Asetuksen seuraavan uudelleentarkastelujakson jälkeen voisi olla paikallaan arvioida sitä, onko </w:t>
      </w:r>
      <w:r>
        <w:rPr>
          <w:b/>
        </w:rPr>
        <w:t>eriyttämistä</w:t>
      </w:r>
      <w:r>
        <w:t xml:space="preserve"> lisättävä </w:t>
      </w:r>
      <w:r>
        <w:rPr>
          <w:b/>
        </w:rPr>
        <w:t>talvirenkaiden</w:t>
      </w:r>
      <w:r>
        <w:t xml:space="preserve"> kohdalla (testeissä, teknisissä asiakirjoissa ja teknisessä mainosmateriaalissa tai merkinnöissä).</w:t>
      </w:r>
    </w:p>
    <w:p w14:paraId="5B5507D1" w14:textId="77777777" w:rsidR="00FA4013" w:rsidRPr="009C1627" w:rsidRDefault="00FA4013"/>
    <w:p w14:paraId="6DE98F7C" w14:textId="05BC0BA9" w:rsidR="00A911C3" w:rsidRPr="009C1627" w:rsidRDefault="00A911C3">
      <w:pPr>
        <w:keepNext/>
        <w:keepLines/>
      </w:pPr>
      <w:r>
        <w:t>Bryssel 17. lokakuuta 2018</w:t>
      </w:r>
    </w:p>
    <w:p w14:paraId="34326F13" w14:textId="77777777" w:rsidR="00A911C3" w:rsidRPr="00812AB2" w:rsidRDefault="00A911C3"/>
    <w:p w14:paraId="0DDBFC74" w14:textId="77777777" w:rsidR="00A911C3" w:rsidRPr="00812AB2" w:rsidRDefault="00A911C3"/>
    <w:p w14:paraId="4B70ABBB" w14:textId="77777777" w:rsidR="00A911C3" w:rsidRPr="00812AB2" w:rsidRDefault="00A911C3"/>
    <w:p w14:paraId="3C790A9D" w14:textId="77777777" w:rsidR="00A911C3" w:rsidRPr="00812AB2" w:rsidRDefault="00A911C3"/>
    <w:p w14:paraId="0A98EF2C" w14:textId="1A18148F" w:rsidR="00A911C3" w:rsidRPr="009C1627" w:rsidRDefault="00140B23">
      <w:pPr>
        <w:keepNext/>
      </w:pPr>
      <w:r>
        <w:t>Luca Jahier</w:t>
      </w:r>
    </w:p>
    <w:p w14:paraId="20BF81F6" w14:textId="3950DE89" w:rsidR="00A911C3" w:rsidRPr="009C1627" w:rsidRDefault="00A911C3">
      <w:r>
        <w:t>Euroopan talous- ja sosiaalikomitean puheenjohtaja</w:t>
      </w:r>
    </w:p>
    <w:p w14:paraId="50E5F39C" w14:textId="77777777" w:rsidR="00A911C3" w:rsidRPr="009C1627" w:rsidRDefault="00A911C3">
      <w:pPr>
        <w:overflowPunct/>
        <w:adjustRightInd/>
        <w:jc w:val="center"/>
        <w:textAlignment w:val="auto"/>
      </w:pPr>
    </w:p>
    <w:p w14:paraId="6819CD9E" w14:textId="77777777" w:rsidR="00646AC2" w:rsidRPr="009C1627" w:rsidRDefault="00646AC2">
      <w:pPr>
        <w:overflowPunct/>
        <w:adjustRightInd/>
        <w:jc w:val="center"/>
        <w:textAlignment w:val="auto"/>
      </w:pPr>
      <w:r>
        <w:t>_____________</w:t>
      </w:r>
    </w:p>
    <w:sectPr w:rsidR="00646AC2" w:rsidRPr="009C1627" w:rsidSect="00A22335">
      <w:headerReference w:type="even" r:id="rId20"/>
      <w:headerReference w:type="default" r:id="rId21"/>
      <w:footerReference w:type="even" r:id="rId22"/>
      <w:footerReference w:type="default" r:id="rId23"/>
      <w:headerReference w:type="first" r:id="rId24"/>
      <w:footerReference w:type="first" r:id="rId25"/>
      <w:pgSz w:w="11907" w:h="16839" w:code="9"/>
      <w:pgMar w:top="1417" w:right="1417" w:bottom="1417" w:left="1417" w:header="709" w:footer="709"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5C7EDF8" w14:textId="77777777" w:rsidR="00986554" w:rsidRDefault="00986554">
      <w:r>
        <w:separator/>
      </w:r>
    </w:p>
  </w:endnote>
  <w:endnote w:type="continuationSeparator" w:id="0">
    <w:p w14:paraId="534665F6" w14:textId="77777777" w:rsidR="00986554" w:rsidRDefault="009865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Vrinda">
    <w:panose1 w:val="020B0502040204020203"/>
    <w:charset w:val="00"/>
    <w:family w:val="swiss"/>
    <w:pitch w:val="variable"/>
    <w:sig w:usb0="00010003" w:usb1="00000000" w:usb2="00000000" w:usb3="00000000" w:csb0="00000001" w:csb1="00000000"/>
  </w:font>
  <w:font w:name="Calibri">
    <w:panose1 w:val="020F0502020204030204"/>
    <w:charset w:val="00"/>
    <w:family w:val="swiss"/>
    <w:pitch w:val="variable"/>
    <w:sig w:usb0="E0002AFF" w:usb1="4000ACFF" w:usb2="00000001"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14F4A13" w14:textId="77777777" w:rsidR="00A22335" w:rsidRPr="00A22335" w:rsidRDefault="00A22335" w:rsidP="00A2233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2895767" w14:textId="6BD2952C" w:rsidR="00E32DC6" w:rsidRPr="00A22335" w:rsidRDefault="00A22335" w:rsidP="00A22335">
    <w:pPr>
      <w:pStyle w:val="Footer"/>
    </w:pPr>
    <w:r>
      <w:t xml:space="preserve">TEN/674 – EESC-2018-03474-00-01-AC-TRA (EN) </w:t>
    </w:r>
    <w:r>
      <w:fldChar w:fldCharType="begin"/>
    </w:r>
    <w:r>
      <w:instrText xml:space="preserve"> PAGE  \* Arabic  \* MERGEFORMAT </w:instrText>
    </w:r>
    <w:r>
      <w:fldChar w:fldCharType="separate"/>
    </w:r>
    <w:r w:rsidR="0041605B">
      <w:rPr>
        <w:noProof/>
      </w:rPr>
      <w:t>1</w:t>
    </w:r>
    <w:r>
      <w:fldChar w:fldCharType="end"/>
    </w:r>
    <w:r>
      <w:t>/</w:t>
    </w:r>
    <w:r w:rsidR="0041605B">
      <w:rPr>
        <w:noProof/>
      </w:rPr>
      <w:fldChar w:fldCharType="begin"/>
    </w:r>
    <w:r w:rsidR="0041605B">
      <w:rPr>
        <w:noProof/>
      </w:rPr>
      <w:instrText xml:space="preserve"> NUMPAGES </w:instrText>
    </w:r>
    <w:r w:rsidR="0041605B">
      <w:rPr>
        <w:noProof/>
      </w:rPr>
      <w:fldChar w:fldCharType="separate"/>
    </w:r>
    <w:r w:rsidR="0041605B">
      <w:rPr>
        <w:noProof/>
      </w:rPr>
      <w:t>10</w:t>
    </w:r>
    <w:r w:rsidR="0041605B">
      <w:rPr>
        <w:noProo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C102ABD" w14:textId="77777777" w:rsidR="00A22335" w:rsidRPr="00A22335" w:rsidRDefault="00A22335" w:rsidP="00A22335">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A7E6B95" w14:textId="77777777" w:rsidR="00E21381" w:rsidRPr="00A22335" w:rsidRDefault="00E21381" w:rsidP="00A22335">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76F71AF" w14:textId="2B105595" w:rsidR="00E21381" w:rsidRPr="00A22335" w:rsidRDefault="00A22335" w:rsidP="00A22335">
    <w:pPr>
      <w:pStyle w:val="Footer"/>
    </w:pPr>
    <w:r>
      <w:t xml:space="preserve">TEN/674 – EESC-2018-03474-00-01-AC-TRA (EN) </w:t>
    </w:r>
    <w:r>
      <w:fldChar w:fldCharType="begin"/>
    </w:r>
    <w:r>
      <w:instrText xml:space="preserve"> PAGE  \* Arabic  \* MERGEFORMAT </w:instrText>
    </w:r>
    <w:r>
      <w:fldChar w:fldCharType="separate"/>
    </w:r>
    <w:r w:rsidR="0041605B">
      <w:rPr>
        <w:noProof/>
      </w:rPr>
      <w:t>6</w:t>
    </w:r>
    <w:r>
      <w:fldChar w:fldCharType="end"/>
    </w:r>
    <w:r>
      <w:t>/</w:t>
    </w:r>
    <w:r w:rsidR="0041605B">
      <w:rPr>
        <w:noProof/>
      </w:rPr>
      <w:fldChar w:fldCharType="begin"/>
    </w:r>
    <w:r w:rsidR="0041605B">
      <w:rPr>
        <w:noProof/>
      </w:rPr>
      <w:instrText xml:space="preserve"> NUMPAGES </w:instrText>
    </w:r>
    <w:r w:rsidR="0041605B">
      <w:rPr>
        <w:noProof/>
      </w:rPr>
      <w:fldChar w:fldCharType="separate"/>
    </w:r>
    <w:r w:rsidR="0041605B">
      <w:rPr>
        <w:noProof/>
      </w:rPr>
      <w:t>10</w:t>
    </w:r>
    <w:r w:rsidR="0041605B">
      <w:rPr>
        <w:noProof/>
      </w:rP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84E5F34" w14:textId="77777777" w:rsidR="00E21381" w:rsidRPr="00A22335" w:rsidRDefault="00E21381" w:rsidP="00A2233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1D20CD7" w14:textId="77777777" w:rsidR="00986554" w:rsidRDefault="00986554">
      <w:r>
        <w:separator/>
      </w:r>
    </w:p>
  </w:footnote>
  <w:footnote w:type="continuationSeparator" w:id="0">
    <w:p w14:paraId="2A5D2DF5" w14:textId="77777777" w:rsidR="00986554" w:rsidRDefault="00986554">
      <w:r>
        <w:continuationSeparator/>
      </w:r>
    </w:p>
  </w:footnote>
  <w:footnote w:id="1">
    <w:p w14:paraId="127C5CE5" w14:textId="00D1773B" w:rsidR="000B0ABA" w:rsidRPr="0077159E" w:rsidRDefault="000B0ABA" w:rsidP="00E21381">
      <w:pPr>
        <w:pStyle w:val="FootnoteText"/>
        <w:ind w:left="567" w:hanging="567"/>
      </w:pPr>
      <w:r>
        <w:rPr>
          <w:rStyle w:val="FootnoteReference"/>
        </w:rPr>
        <w:footnoteRef/>
      </w:r>
      <w:r>
        <w:tab/>
      </w:r>
      <w:hyperlink r:id="rId1" w:history="1">
        <w:r>
          <w:rPr>
            <w:rStyle w:val="Hyperlink"/>
          </w:rPr>
          <w:t>EUVL L 342, 22.12.2009, s. 46</w:t>
        </w:r>
      </w:hyperlink>
    </w:p>
  </w:footnote>
  <w:footnote w:id="2">
    <w:p w14:paraId="4804741D" w14:textId="3873FA70" w:rsidR="000B0ABA" w:rsidRPr="0077159E" w:rsidRDefault="000B0ABA" w:rsidP="00EB6F04">
      <w:pPr>
        <w:pStyle w:val="FootnoteText"/>
        <w:ind w:left="567" w:hanging="567"/>
      </w:pPr>
      <w:r>
        <w:rPr>
          <w:rStyle w:val="FootnoteReference"/>
        </w:rPr>
        <w:footnoteRef/>
      </w:r>
      <w:r>
        <w:tab/>
      </w:r>
      <w:hyperlink r:id="rId2" w:history="1">
        <w:r>
          <w:rPr>
            <w:rStyle w:val="Hyperlink"/>
          </w:rPr>
          <w:t>EUVL L 200, 31.7.2009, s. 1</w:t>
        </w:r>
      </w:hyperlink>
    </w:p>
  </w:footnote>
  <w:footnote w:id="3">
    <w:p w14:paraId="6DE75BD7" w14:textId="77777777" w:rsidR="00263414" w:rsidRPr="0077159E" w:rsidRDefault="00263414" w:rsidP="00EB6F04">
      <w:pPr>
        <w:pStyle w:val="FootnoteText"/>
        <w:ind w:left="567" w:hanging="567"/>
      </w:pPr>
      <w:r>
        <w:rPr>
          <w:rStyle w:val="FootnoteReference"/>
        </w:rPr>
        <w:footnoteRef/>
      </w:r>
      <w:r>
        <w:tab/>
      </w:r>
      <w:hyperlink r:id="rId3" w:history="1">
        <w:r>
          <w:rPr>
            <w:rStyle w:val="Hyperlink"/>
          </w:rPr>
          <w:t>EUVL L 198, 28.7.2017, s. 1</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FF271F7" w14:textId="77777777" w:rsidR="00A22335" w:rsidRPr="00A22335" w:rsidRDefault="00A22335" w:rsidP="00A2233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417FD3F" w14:textId="0D08C962" w:rsidR="00A22335" w:rsidRPr="00A22335" w:rsidRDefault="00A22335" w:rsidP="00A2233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80A12C7" w14:textId="77777777" w:rsidR="00A22335" w:rsidRPr="00A22335" w:rsidRDefault="00A22335" w:rsidP="00A22335">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F24991C" w14:textId="77777777" w:rsidR="00E21381" w:rsidRPr="00A22335" w:rsidRDefault="00E21381" w:rsidP="00A22335">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D88BED8" w14:textId="296B9F6F" w:rsidR="00E21381" w:rsidRPr="00A22335" w:rsidRDefault="00E21381" w:rsidP="00A22335">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673F5FA" w14:textId="77777777" w:rsidR="00E21381" w:rsidRPr="00A22335" w:rsidRDefault="00E21381" w:rsidP="00A2233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B"/>
    <w:multiLevelType w:val="multilevel"/>
    <w:tmpl w:val="A7FE706E"/>
    <w:lvl w:ilvl="0">
      <w:start w:val="1"/>
      <w:numFmt w:val="decimal"/>
      <w:pStyle w:val="Heading1"/>
      <w:lvlText w:val="%1."/>
      <w:legacy w:legacy="1" w:legacySpace="0" w:legacyIndent="0"/>
      <w:lvlJc w:val="left"/>
      <w:rPr>
        <w:b w:val="0"/>
      </w:rPr>
    </w:lvl>
    <w:lvl w:ilvl="1">
      <w:start w:val="1"/>
      <w:numFmt w:val="decimal"/>
      <w:pStyle w:val="Heading2"/>
      <w:lvlText w:val="%1.%2"/>
      <w:legacy w:legacy="1" w:legacySpace="144" w:legacyIndent="0"/>
      <w:lvlJc w:val="left"/>
    </w:lvl>
    <w:lvl w:ilvl="2">
      <w:start w:val="1"/>
      <w:numFmt w:val="decimal"/>
      <w:pStyle w:val="Heading3"/>
      <w:lvlText w:val="%1.%2.%3"/>
      <w:legacy w:legacy="1" w:legacySpace="144" w:legacyIndent="0"/>
      <w:lvlJc w:val="left"/>
    </w:lvl>
    <w:lvl w:ilvl="3">
      <w:start w:val="1"/>
      <w:numFmt w:val="decimal"/>
      <w:pStyle w:val="Heading4"/>
      <w:lvlText w:val="%1.%2.%3.%4"/>
      <w:legacy w:legacy="1" w:legacySpace="144" w:legacyIndent="0"/>
      <w:lvlJc w:val="left"/>
    </w:lvl>
    <w:lvl w:ilvl="4">
      <w:start w:val="1"/>
      <w:numFmt w:val="decimal"/>
      <w:pStyle w:val="Heading5"/>
      <w:lvlText w:val="%1.%2.%3.%4.%5"/>
      <w:legacy w:legacy="1" w:legacySpace="144" w:legacyIndent="0"/>
      <w:lvlJc w:val="left"/>
    </w:lvl>
    <w:lvl w:ilvl="5">
      <w:start w:val="1"/>
      <w:numFmt w:val="decimal"/>
      <w:pStyle w:val="Heading6"/>
      <w:lvlText w:val="%1.%2.%3.%4.%5.%6"/>
      <w:legacy w:legacy="1" w:legacySpace="144" w:legacyIndent="0"/>
      <w:lvlJc w:val="left"/>
    </w:lvl>
    <w:lvl w:ilvl="6">
      <w:start w:val="1"/>
      <w:numFmt w:val="decimal"/>
      <w:pStyle w:val="Heading7"/>
      <w:lvlText w:val="%1.%2.%3.%4.%5.%6.%7"/>
      <w:legacy w:legacy="1" w:legacySpace="144" w:legacyIndent="0"/>
      <w:lvlJc w:val="left"/>
    </w:lvl>
    <w:lvl w:ilvl="7">
      <w:start w:val="1"/>
      <w:numFmt w:val="decimal"/>
      <w:pStyle w:val="Heading8"/>
      <w:lvlText w:val="%1.%2.%3.%4.%5.%6.%7.%8"/>
      <w:legacy w:legacy="1" w:legacySpace="144" w:legacyIndent="0"/>
      <w:lvlJc w:val="left"/>
    </w:lvl>
    <w:lvl w:ilvl="8">
      <w:start w:val="1"/>
      <w:numFmt w:val="decimal"/>
      <w:pStyle w:val="Heading9"/>
      <w:lvlText w:val="%1.%2.%3.%4.%5.%6.%7.%8.%9"/>
      <w:legacy w:legacy="1" w:legacySpace="144" w:legacyIndent="0"/>
      <w:lvlJc w:val="left"/>
    </w:lvl>
  </w:abstractNum>
  <w:abstractNum w:abstractNumId="1" w15:restartNumberingAfterBreak="0">
    <w:nsid w:val="072C56B4"/>
    <w:multiLevelType w:val="hybridMultilevel"/>
    <w:tmpl w:val="0E260462"/>
    <w:lvl w:ilvl="0" w:tplc="04090017">
      <w:start w:val="1"/>
      <w:numFmt w:val="lowerLetter"/>
      <w:lvlText w:val="%1)"/>
      <w:lvlJc w:val="left"/>
      <w:pPr>
        <w:ind w:left="1070" w:hanging="360"/>
      </w:pPr>
    </w:lvl>
    <w:lvl w:ilvl="1" w:tplc="04090019" w:tentative="1">
      <w:start w:val="1"/>
      <w:numFmt w:val="lowerLetter"/>
      <w:lvlText w:val="%2."/>
      <w:lvlJc w:val="left"/>
      <w:pPr>
        <w:ind w:left="1790" w:hanging="360"/>
      </w:pPr>
    </w:lvl>
    <w:lvl w:ilvl="2" w:tplc="0409001B" w:tentative="1">
      <w:start w:val="1"/>
      <w:numFmt w:val="lowerRoman"/>
      <w:lvlText w:val="%3."/>
      <w:lvlJc w:val="right"/>
      <w:pPr>
        <w:ind w:left="2510" w:hanging="180"/>
      </w:pPr>
    </w:lvl>
    <w:lvl w:ilvl="3" w:tplc="0409000F" w:tentative="1">
      <w:start w:val="1"/>
      <w:numFmt w:val="decimal"/>
      <w:lvlText w:val="%4."/>
      <w:lvlJc w:val="left"/>
      <w:pPr>
        <w:ind w:left="3230" w:hanging="360"/>
      </w:pPr>
    </w:lvl>
    <w:lvl w:ilvl="4" w:tplc="04090019" w:tentative="1">
      <w:start w:val="1"/>
      <w:numFmt w:val="lowerLetter"/>
      <w:lvlText w:val="%5."/>
      <w:lvlJc w:val="left"/>
      <w:pPr>
        <w:ind w:left="3950" w:hanging="360"/>
      </w:pPr>
    </w:lvl>
    <w:lvl w:ilvl="5" w:tplc="0409001B" w:tentative="1">
      <w:start w:val="1"/>
      <w:numFmt w:val="lowerRoman"/>
      <w:lvlText w:val="%6."/>
      <w:lvlJc w:val="right"/>
      <w:pPr>
        <w:ind w:left="4670" w:hanging="180"/>
      </w:pPr>
    </w:lvl>
    <w:lvl w:ilvl="6" w:tplc="0409000F" w:tentative="1">
      <w:start w:val="1"/>
      <w:numFmt w:val="decimal"/>
      <w:lvlText w:val="%7."/>
      <w:lvlJc w:val="left"/>
      <w:pPr>
        <w:ind w:left="5390" w:hanging="360"/>
      </w:pPr>
    </w:lvl>
    <w:lvl w:ilvl="7" w:tplc="04090019" w:tentative="1">
      <w:start w:val="1"/>
      <w:numFmt w:val="lowerLetter"/>
      <w:lvlText w:val="%8."/>
      <w:lvlJc w:val="left"/>
      <w:pPr>
        <w:ind w:left="6110" w:hanging="360"/>
      </w:pPr>
    </w:lvl>
    <w:lvl w:ilvl="8" w:tplc="0409001B" w:tentative="1">
      <w:start w:val="1"/>
      <w:numFmt w:val="lowerRoman"/>
      <w:lvlText w:val="%9."/>
      <w:lvlJc w:val="right"/>
      <w:pPr>
        <w:ind w:left="6830" w:hanging="180"/>
      </w:pPr>
    </w:lvl>
  </w:abstractNum>
  <w:abstractNum w:abstractNumId="2" w15:restartNumberingAfterBreak="0">
    <w:nsid w:val="288242A6"/>
    <w:multiLevelType w:val="multilevel"/>
    <w:tmpl w:val="B2D41AA6"/>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i w:val="0"/>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 w15:restartNumberingAfterBreak="0">
    <w:nsid w:val="350825A2"/>
    <w:multiLevelType w:val="hybridMultilevel"/>
    <w:tmpl w:val="DF86B07A"/>
    <w:lvl w:ilvl="0" w:tplc="04090017">
      <w:start w:val="1"/>
      <w:numFmt w:val="lowerLetter"/>
      <w:lvlText w:val="%1)"/>
      <w:lvlJc w:val="left"/>
      <w:pPr>
        <w:ind w:left="1070" w:hanging="360"/>
      </w:pPr>
    </w:lvl>
    <w:lvl w:ilvl="1" w:tplc="04090019" w:tentative="1">
      <w:start w:val="1"/>
      <w:numFmt w:val="lowerLetter"/>
      <w:lvlText w:val="%2."/>
      <w:lvlJc w:val="left"/>
      <w:pPr>
        <w:ind w:left="1790" w:hanging="360"/>
      </w:pPr>
    </w:lvl>
    <w:lvl w:ilvl="2" w:tplc="0409001B" w:tentative="1">
      <w:start w:val="1"/>
      <w:numFmt w:val="lowerRoman"/>
      <w:lvlText w:val="%3."/>
      <w:lvlJc w:val="right"/>
      <w:pPr>
        <w:ind w:left="2510" w:hanging="180"/>
      </w:pPr>
    </w:lvl>
    <w:lvl w:ilvl="3" w:tplc="0409000F" w:tentative="1">
      <w:start w:val="1"/>
      <w:numFmt w:val="decimal"/>
      <w:lvlText w:val="%4."/>
      <w:lvlJc w:val="left"/>
      <w:pPr>
        <w:ind w:left="3230" w:hanging="360"/>
      </w:pPr>
    </w:lvl>
    <w:lvl w:ilvl="4" w:tplc="04090019" w:tentative="1">
      <w:start w:val="1"/>
      <w:numFmt w:val="lowerLetter"/>
      <w:lvlText w:val="%5."/>
      <w:lvlJc w:val="left"/>
      <w:pPr>
        <w:ind w:left="3950" w:hanging="360"/>
      </w:pPr>
    </w:lvl>
    <w:lvl w:ilvl="5" w:tplc="0409001B" w:tentative="1">
      <w:start w:val="1"/>
      <w:numFmt w:val="lowerRoman"/>
      <w:lvlText w:val="%6."/>
      <w:lvlJc w:val="right"/>
      <w:pPr>
        <w:ind w:left="4670" w:hanging="180"/>
      </w:pPr>
    </w:lvl>
    <w:lvl w:ilvl="6" w:tplc="0409000F" w:tentative="1">
      <w:start w:val="1"/>
      <w:numFmt w:val="decimal"/>
      <w:lvlText w:val="%7."/>
      <w:lvlJc w:val="left"/>
      <w:pPr>
        <w:ind w:left="5390" w:hanging="360"/>
      </w:pPr>
    </w:lvl>
    <w:lvl w:ilvl="7" w:tplc="04090019" w:tentative="1">
      <w:start w:val="1"/>
      <w:numFmt w:val="lowerLetter"/>
      <w:lvlText w:val="%8."/>
      <w:lvlJc w:val="left"/>
      <w:pPr>
        <w:ind w:left="6110" w:hanging="360"/>
      </w:pPr>
    </w:lvl>
    <w:lvl w:ilvl="8" w:tplc="0409001B" w:tentative="1">
      <w:start w:val="1"/>
      <w:numFmt w:val="lowerRoman"/>
      <w:lvlText w:val="%9."/>
      <w:lvlJc w:val="right"/>
      <w:pPr>
        <w:ind w:left="6830" w:hanging="180"/>
      </w:pPr>
    </w:lvl>
  </w:abstractNum>
  <w:abstractNum w:abstractNumId="4" w15:restartNumberingAfterBreak="0">
    <w:nsid w:val="5E797F8A"/>
    <w:multiLevelType w:val="hybridMultilevel"/>
    <w:tmpl w:val="2C8C60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0851191"/>
    <w:multiLevelType w:val="multilevel"/>
    <w:tmpl w:val="AB708E62"/>
    <w:lvl w:ilvl="0">
      <w:start w:val="1"/>
      <w:numFmt w:val="decimal"/>
      <w:lvlText w:val="%1."/>
      <w:lvlJc w:val="left"/>
      <w:pPr>
        <w:ind w:left="720" w:hanging="360"/>
      </w:pPr>
      <w:rPr>
        <w:rFonts w:hint="default"/>
      </w:rPr>
    </w:lvl>
    <w:lvl w:ilvl="1">
      <w:start w:val="1"/>
      <w:numFmt w:val="decimal"/>
      <w:isLgl/>
      <w:lvlText w:val="%1.%2"/>
      <w:lvlJc w:val="left"/>
      <w:pPr>
        <w:ind w:left="750" w:hanging="39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2160" w:hanging="1800"/>
      </w:pPr>
      <w:rPr>
        <w:rFonts w:hint="default"/>
        <w:b/>
      </w:rPr>
    </w:lvl>
  </w:abstractNum>
  <w:num w:numId="1">
    <w:abstractNumId w:val="0"/>
  </w:num>
  <w:num w:numId="2">
    <w:abstractNumId w:val="0"/>
    <w:lvlOverride w:ilvl="0">
      <w:lvl w:ilvl="0">
        <w:start w:val="1"/>
        <w:numFmt w:val="decimal"/>
        <w:pStyle w:val="Heading1"/>
        <w:lvlText w:val="%1."/>
        <w:legacy w:legacy="1" w:legacySpace="0" w:legacyIndent="0"/>
        <w:lvlJc w:val="left"/>
      </w:lvl>
    </w:lvlOverride>
    <w:lvlOverride w:ilvl="1">
      <w:lvl w:ilvl="1">
        <w:start w:val="1"/>
        <w:numFmt w:val="decimal"/>
        <w:pStyle w:val="Heading2"/>
        <w:lvlText w:val="%1.%2"/>
        <w:legacy w:legacy="1" w:legacySpace="144" w:legacyIndent="0"/>
        <w:lvlJc w:val="left"/>
      </w:lvl>
    </w:lvlOverride>
    <w:lvlOverride w:ilvl="2">
      <w:lvl w:ilvl="2">
        <w:start w:val="1"/>
        <w:numFmt w:val="decimal"/>
        <w:pStyle w:val="Heading3"/>
        <w:lvlText w:val="%1.%2.%3"/>
        <w:legacy w:legacy="1" w:legacySpace="144" w:legacyIndent="0"/>
        <w:lvlJc w:val="left"/>
      </w:lvl>
    </w:lvlOverride>
    <w:lvlOverride w:ilvl="3">
      <w:lvl w:ilvl="3">
        <w:start w:val="1"/>
        <w:numFmt w:val="decimal"/>
        <w:pStyle w:val="Heading4"/>
        <w:lvlText w:val="%1.%2.%3.%4"/>
        <w:legacy w:legacy="1" w:legacySpace="144" w:legacyIndent="0"/>
        <w:lvlJc w:val="left"/>
      </w:lvl>
    </w:lvlOverride>
    <w:lvlOverride w:ilvl="4">
      <w:lvl w:ilvl="4">
        <w:start w:val="1"/>
        <w:numFmt w:val="decimal"/>
        <w:pStyle w:val="Heading5"/>
        <w:lvlText w:val="%1.%2.%3.%4.%5"/>
        <w:legacy w:legacy="1" w:legacySpace="144" w:legacyIndent="0"/>
        <w:lvlJc w:val="left"/>
      </w:lvl>
    </w:lvlOverride>
    <w:lvlOverride w:ilvl="5">
      <w:lvl w:ilvl="5">
        <w:start w:val="1"/>
        <w:numFmt w:val="decimal"/>
        <w:pStyle w:val="Heading6"/>
        <w:lvlText w:val="%1.%2.%3.%4.%5.%6"/>
        <w:legacy w:legacy="1" w:legacySpace="144" w:legacyIndent="0"/>
        <w:lvlJc w:val="left"/>
      </w:lvl>
    </w:lvlOverride>
    <w:lvlOverride w:ilvl="6">
      <w:lvl w:ilvl="6">
        <w:start w:val="1"/>
        <w:numFmt w:val="decimal"/>
        <w:pStyle w:val="Heading7"/>
        <w:lvlText w:val="%1.%2.%3.%4.%5.%6.%7"/>
        <w:legacy w:legacy="1" w:legacySpace="144" w:legacyIndent="0"/>
        <w:lvlJc w:val="left"/>
      </w:lvl>
    </w:lvlOverride>
    <w:lvlOverride w:ilvl="7">
      <w:lvl w:ilvl="7">
        <w:start w:val="1"/>
        <w:numFmt w:val="decimal"/>
        <w:pStyle w:val="Heading8"/>
        <w:lvlText w:val="%1.%2.%3.%4.%5.%6.%7.%8"/>
        <w:legacy w:legacy="1" w:legacySpace="144" w:legacyIndent="0"/>
        <w:lvlJc w:val="left"/>
      </w:lvl>
    </w:lvlOverride>
    <w:lvlOverride w:ilvl="8">
      <w:lvl w:ilvl="8">
        <w:start w:val="1"/>
        <w:numFmt w:val="decimal"/>
        <w:pStyle w:val="Heading9"/>
        <w:lvlText w:val="%1.%2.%3.%4.%5.%6.%7.%8.%9"/>
        <w:legacy w:legacy="1" w:legacySpace="144" w:legacyIndent="0"/>
        <w:lvlJc w:val="left"/>
      </w:lvl>
    </w:lvlOverride>
  </w:num>
  <w:num w:numId="3">
    <w:abstractNumId w:val="0"/>
    <w:lvlOverride w:ilvl="0">
      <w:lvl w:ilvl="0">
        <w:start w:val="1"/>
        <w:numFmt w:val="decimal"/>
        <w:pStyle w:val="Heading1"/>
        <w:lvlText w:val="%1."/>
        <w:legacy w:legacy="1" w:legacySpace="0" w:legacyIndent="0"/>
        <w:lvlJc w:val="left"/>
      </w:lvl>
    </w:lvlOverride>
    <w:lvlOverride w:ilvl="1">
      <w:lvl w:ilvl="1">
        <w:start w:val="1"/>
        <w:numFmt w:val="decimal"/>
        <w:pStyle w:val="Heading2"/>
        <w:lvlText w:val="%1.%2"/>
        <w:legacy w:legacy="1" w:legacySpace="144" w:legacyIndent="0"/>
        <w:lvlJc w:val="left"/>
      </w:lvl>
    </w:lvlOverride>
    <w:lvlOverride w:ilvl="2">
      <w:lvl w:ilvl="2">
        <w:start w:val="1"/>
        <w:numFmt w:val="decimal"/>
        <w:pStyle w:val="Heading3"/>
        <w:lvlText w:val="%1.%2.%3"/>
        <w:legacy w:legacy="1" w:legacySpace="144" w:legacyIndent="0"/>
        <w:lvlJc w:val="left"/>
      </w:lvl>
    </w:lvlOverride>
    <w:lvlOverride w:ilvl="3">
      <w:lvl w:ilvl="3">
        <w:start w:val="1"/>
        <w:numFmt w:val="decimal"/>
        <w:pStyle w:val="Heading4"/>
        <w:lvlText w:val="%1.%2.%3.%4"/>
        <w:legacy w:legacy="1" w:legacySpace="144" w:legacyIndent="0"/>
        <w:lvlJc w:val="left"/>
      </w:lvl>
    </w:lvlOverride>
    <w:lvlOverride w:ilvl="4">
      <w:lvl w:ilvl="4">
        <w:start w:val="1"/>
        <w:numFmt w:val="decimal"/>
        <w:pStyle w:val="Heading5"/>
        <w:lvlText w:val="%1.%2.%3.%4.%5"/>
        <w:legacy w:legacy="1" w:legacySpace="144" w:legacyIndent="0"/>
        <w:lvlJc w:val="left"/>
      </w:lvl>
    </w:lvlOverride>
    <w:lvlOverride w:ilvl="5">
      <w:lvl w:ilvl="5">
        <w:start w:val="1"/>
        <w:numFmt w:val="decimal"/>
        <w:pStyle w:val="Heading6"/>
        <w:lvlText w:val="%1.%2.%3.%4.%5.%6"/>
        <w:legacy w:legacy="1" w:legacySpace="144" w:legacyIndent="0"/>
        <w:lvlJc w:val="left"/>
      </w:lvl>
    </w:lvlOverride>
    <w:lvlOverride w:ilvl="6">
      <w:lvl w:ilvl="6">
        <w:start w:val="1"/>
        <w:numFmt w:val="decimal"/>
        <w:pStyle w:val="Heading7"/>
        <w:lvlText w:val="%1.%2.%3.%4.%5.%6.%7"/>
        <w:legacy w:legacy="1" w:legacySpace="144" w:legacyIndent="0"/>
        <w:lvlJc w:val="left"/>
      </w:lvl>
    </w:lvlOverride>
    <w:lvlOverride w:ilvl="7">
      <w:lvl w:ilvl="7">
        <w:start w:val="1"/>
        <w:numFmt w:val="decimal"/>
        <w:pStyle w:val="Heading8"/>
        <w:lvlText w:val="%1.%2.%3.%4.%5.%6.%7.%8"/>
        <w:legacy w:legacy="1" w:legacySpace="144" w:legacyIndent="0"/>
        <w:lvlJc w:val="left"/>
      </w:lvl>
    </w:lvlOverride>
    <w:lvlOverride w:ilvl="8">
      <w:lvl w:ilvl="8">
        <w:start w:val="1"/>
        <w:numFmt w:val="decimal"/>
        <w:pStyle w:val="Heading9"/>
        <w:lvlText w:val="%1.%2.%3.%4.%5.%6.%7.%8.%9"/>
        <w:legacy w:legacy="1" w:legacySpace="144" w:legacyIndent="0"/>
        <w:lvlJc w:val="left"/>
      </w:lvl>
    </w:lvlOverride>
  </w:num>
  <w:num w:numId="4">
    <w:abstractNumId w:val="0"/>
    <w:lvlOverride w:ilvl="0">
      <w:lvl w:ilvl="0">
        <w:start w:val="1"/>
        <w:numFmt w:val="decimal"/>
        <w:pStyle w:val="Heading1"/>
        <w:lvlText w:val="%1."/>
        <w:legacy w:legacy="1" w:legacySpace="0" w:legacyIndent="0"/>
        <w:lvlJc w:val="left"/>
      </w:lvl>
    </w:lvlOverride>
    <w:lvlOverride w:ilvl="1">
      <w:lvl w:ilvl="1">
        <w:start w:val="1"/>
        <w:numFmt w:val="decimal"/>
        <w:pStyle w:val="Heading2"/>
        <w:lvlText w:val="%1.%2"/>
        <w:legacy w:legacy="1" w:legacySpace="144" w:legacyIndent="0"/>
        <w:lvlJc w:val="left"/>
      </w:lvl>
    </w:lvlOverride>
    <w:lvlOverride w:ilvl="2">
      <w:lvl w:ilvl="2">
        <w:start w:val="1"/>
        <w:numFmt w:val="decimal"/>
        <w:pStyle w:val="Heading3"/>
        <w:lvlText w:val="%1.%2.%3"/>
        <w:legacy w:legacy="1" w:legacySpace="144" w:legacyIndent="0"/>
        <w:lvlJc w:val="left"/>
      </w:lvl>
    </w:lvlOverride>
    <w:lvlOverride w:ilvl="3">
      <w:lvl w:ilvl="3">
        <w:start w:val="1"/>
        <w:numFmt w:val="decimal"/>
        <w:pStyle w:val="Heading4"/>
        <w:lvlText w:val="%1.%2.%3.%4"/>
        <w:legacy w:legacy="1" w:legacySpace="144" w:legacyIndent="0"/>
        <w:lvlJc w:val="left"/>
      </w:lvl>
    </w:lvlOverride>
    <w:lvlOverride w:ilvl="4">
      <w:lvl w:ilvl="4">
        <w:start w:val="1"/>
        <w:numFmt w:val="decimal"/>
        <w:pStyle w:val="Heading5"/>
        <w:lvlText w:val="%1.%2.%3.%4.%5"/>
        <w:legacy w:legacy="1" w:legacySpace="144" w:legacyIndent="0"/>
        <w:lvlJc w:val="left"/>
      </w:lvl>
    </w:lvlOverride>
    <w:lvlOverride w:ilvl="5">
      <w:lvl w:ilvl="5">
        <w:start w:val="1"/>
        <w:numFmt w:val="decimal"/>
        <w:pStyle w:val="Heading6"/>
        <w:lvlText w:val="%1.%2.%3.%4.%5.%6"/>
        <w:legacy w:legacy="1" w:legacySpace="144" w:legacyIndent="0"/>
        <w:lvlJc w:val="left"/>
      </w:lvl>
    </w:lvlOverride>
    <w:lvlOverride w:ilvl="6">
      <w:lvl w:ilvl="6">
        <w:start w:val="1"/>
        <w:numFmt w:val="decimal"/>
        <w:pStyle w:val="Heading7"/>
        <w:lvlText w:val="%1.%2.%3.%4.%5.%6.%7"/>
        <w:legacy w:legacy="1" w:legacySpace="144" w:legacyIndent="0"/>
        <w:lvlJc w:val="left"/>
      </w:lvl>
    </w:lvlOverride>
    <w:lvlOverride w:ilvl="7">
      <w:lvl w:ilvl="7">
        <w:start w:val="1"/>
        <w:numFmt w:val="decimal"/>
        <w:pStyle w:val="Heading8"/>
        <w:lvlText w:val="%1.%2.%3.%4.%5.%6.%7.%8"/>
        <w:legacy w:legacy="1" w:legacySpace="144" w:legacyIndent="0"/>
        <w:lvlJc w:val="left"/>
      </w:lvl>
    </w:lvlOverride>
    <w:lvlOverride w:ilvl="8">
      <w:lvl w:ilvl="8">
        <w:start w:val="1"/>
        <w:numFmt w:val="decimal"/>
        <w:pStyle w:val="Heading9"/>
        <w:lvlText w:val="%1.%2.%3.%4.%5.%6.%7.%8.%9"/>
        <w:legacy w:legacy="1" w:legacySpace="144" w:legacyIndent="0"/>
        <w:lvlJc w:val="left"/>
      </w:lvl>
    </w:lvlOverride>
  </w:num>
  <w:num w:numId="5">
    <w:abstractNumId w:val="0"/>
    <w:lvlOverride w:ilvl="0">
      <w:lvl w:ilvl="0">
        <w:start w:val="1"/>
        <w:numFmt w:val="decimal"/>
        <w:pStyle w:val="Heading1"/>
        <w:lvlText w:val="%1."/>
        <w:legacy w:legacy="1" w:legacySpace="0" w:legacyIndent="0"/>
        <w:lvlJc w:val="left"/>
      </w:lvl>
    </w:lvlOverride>
    <w:lvlOverride w:ilvl="1">
      <w:lvl w:ilvl="1">
        <w:start w:val="1"/>
        <w:numFmt w:val="decimal"/>
        <w:pStyle w:val="Heading2"/>
        <w:lvlText w:val="%1.%2"/>
        <w:legacy w:legacy="1" w:legacySpace="144" w:legacyIndent="0"/>
        <w:lvlJc w:val="left"/>
      </w:lvl>
    </w:lvlOverride>
    <w:lvlOverride w:ilvl="2">
      <w:lvl w:ilvl="2">
        <w:start w:val="1"/>
        <w:numFmt w:val="decimal"/>
        <w:pStyle w:val="Heading3"/>
        <w:lvlText w:val="%1.%2.%3"/>
        <w:legacy w:legacy="1" w:legacySpace="144" w:legacyIndent="0"/>
        <w:lvlJc w:val="left"/>
      </w:lvl>
    </w:lvlOverride>
    <w:lvlOverride w:ilvl="3">
      <w:lvl w:ilvl="3">
        <w:start w:val="1"/>
        <w:numFmt w:val="decimal"/>
        <w:pStyle w:val="Heading4"/>
        <w:lvlText w:val="%1.%2.%3.%4"/>
        <w:legacy w:legacy="1" w:legacySpace="144" w:legacyIndent="0"/>
        <w:lvlJc w:val="left"/>
      </w:lvl>
    </w:lvlOverride>
    <w:lvlOverride w:ilvl="4">
      <w:lvl w:ilvl="4">
        <w:start w:val="1"/>
        <w:numFmt w:val="decimal"/>
        <w:pStyle w:val="Heading5"/>
        <w:lvlText w:val="%1.%2.%3.%4.%5"/>
        <w:legacy w:legacy="1" w:legacySpace="144" w:legacyIndent="0"/>
        <w:lvlJc w:val="left"/>
      </w:lvl>
    </w:lvlOverride>
    <w:lvlOverride w:ilvl="5">
      <w:lvl w:ilvl="5">
        <w:start w:val="1"/>
        <w:numFmt w:val="decimal"/>
        <w:pStyle w:val="Heading6"/>
        <w:lvlText w:val="%1.%2.%3.%4.%5.%6"/>
        <w:legacy w:legacy="1" w:legacySpace="144" w:legacyIndent="0"/>
        <w:lvlJc w:val="left"/>
      </w:lvl>
    </w:lvlOverride>
    <w:lvlOverride w:ilvl="6">
      <w:lvl w:ilvl="6">
        <w:start w:val="1"/>
        <w:numFmt w:val="decimal"/>
        <w:pStyle w:val="Heading7"/>
        <w:lvlText w:val="%1.%2.%3.%4.%5.%6.%7"/>
        <w:legacy w:legacy="1" w:legacySpace="144" w:legacyIndent="0"/>
        <w:lvlJc w:val="left"/>
      </w:lvl>
    </w:lvlOverride>
    <w:lvlOverride w:ilvl="7">
      <w:lvl w:ilvl="7">
        <w:start w:val="1"/>
        <w:numFmt w:val="decimal"/>
        <w:pStyle w:val="Heading8"/>
        <w:lvlText w:val="%1.%2.%3.%4.%5.%6.%7.%8"/>
        <w:legacy w:legacy="1" w:legacySpace="144" w:legacyIndent="0"/>
        <w:lvlJc w:val="left"/>
      </w:lvl>
    </w:lvlOverride>
    <w:lvlOverride w:ilvl="8">
      <w:lvl w:ilvl="8">
        <w:start w:val="1"/>
        <w:numFmt w:val="decimal"/>
        <w:pStyle w:val="Heading9"/>
        <w:lvlText w:val="%1.%2.%3.%4.%5.%6.%7.%8.%9"/>
        <w:legacy w:legacy="1" w:legacySpace="144" w:legacyIndent="0"/>
        <w:lvlJc w:val="left"/>
      </w:lvl>
    </w:lvlOverride>
  </w:num>
  <w:num w:numId="6">
    <w:abstractNumId w:val="0"/>
    <w:lvlOverride w:ilvl="0">
      <w:lvl w:ilvl="0">
        <w:start w:val="1"/>
        <w:numFmt w:val="decimal"/>
        <w:pStyle w:val="Heading1"/>
        <w:lvlText w:val="%1."/>
        <w:legacy w:legacy="1" w:legacySpace="0" w:legacyIndent="0"/>
        <w:lvlJc w:val="left"/>
      </w:lvl>
    </w:lvlOverride>
    <w:lvlOverride w:ilvl="1">
      <w:lvl w:ilvl="1">
        <w:start w:val="1"/>
        <w:numFmt w:val="decimal"/>
        <w:pStyle w:val="Heading2"/>
        <w:lvlText w:val="%1.%2"/>
        <w:legacy w:legacy="1" w:legacySpace="144" w:legacyIndent="0"/>
        <w:lvlJc w:val="left"/>
      </w:lvl>
    </w:lvlOverride>
    <w:lvlOverride w:ilvl="2">
      <w:lvl w:ilvl="2">
        <w:start w:val="1"/>
        <w:numFmt w:val="decimal"/>
        <w:pStyle w:val="Heading3"/>
        <w:lvlText w:val="%1.%2.%3"/>
        <w:legacy w:legacy="1" w:legacySpace="144" w:legacyIndent="0"/>
        <w:lvlJc w:val="left"/>
      </w:lvl>
    </w:lvlOverride>
    <w:lvlOverride w:ilvl="3">
      <w:lvl w:ilvl="3">
        <w:start w:val="1"/>
        <w:numFmt w:val="decimal"/>
        <w:pStyle w:val="Heading4"/>
        <w:lvlText w:val="%1.%2.%3.%4"/>
        <w:legacy w:legacy="1" w:legacySpace="144" w:legacyIndent="0"/>
        <w:lvlJc w:val="left"/>
      </w:lvl>
    </w:lvlOverride>
    <w:lvlOverride w:ilvl="4">
      <w:lvl w:ilvl="4">
        <w:start w:val="1"/>
        <w:numFmt w:val="decimal"/>
        <w:pStyle w:val="Heading5"/>
        <w:lvlText w:val="%1.%2.%3.%4.%5"/>
        <w:legacy w:legacy="1" w:legacySpace="144" w:legacyIndent="0"/>
        <w:lvlJc w:val="left"/>
      </w:lvl>
    </w:lvlOverride>
    <w:lvlOverride w:ilvl="5">
      <w:lvl w:ilvl="5">
        <w:start w:val="1"/>
        <w:numFmt w:val="decimal"/>
        <w:pStyle w:val="Heading6"/>
        <w:lvlText w:val="%1.%2.%3.%4.%5.%6"/>
        <w:legacy w:legacy="1" w:legacySpace="144" w:legacyIndent="0"/>
        <w:lvlJc w:val="left"/>
      </w:lvl>
    </w:lvlOverride>
    <w:lvlOverride w:ilvl="6">
      <w:lvl w:ilvl="6">
        <w:start w:val="1"/>
        <w:numFmt w:val="decimal"/>
        <w:pStyle w:val="Heading7"/>
        <w:lvlText w:val="%1.%2.%3.%4.%5.%6.%7"/>
        <w:legacy w:legacy="1" w:legacySpace="144" w:legacyIndent="0"/>
        <w:lvlJc w:val="left"/>
      </w:lvl>
    </w:lvlOverride>
    <w:lvlOverride w:ilvl="7">
      <w:lvl w:ilvl="7">
        <w:start w:val="1"/>
        <w:numFmt w:val="decimal"/>
        <w:pStyle w:val="Heading8"/>
        <w:lvlText w:val="%1.%2.%3.%4.%5.%6.%7.%8"/>
        <w:legacy w:legacy="1" w:legacySpace="144" w:legacyIndent="0"/>
        <w:lvlJc w:val="left"/>
      </w:lvl>
    </w:lvlOverride>
    <w:lvlOverride w:ilvl="8">
      <w:lvl w:ilvl="8">
        <w:start w:val="1"/>
        <w:numFmt w:val="decimal"/>
        <w:pStyle w:val="Heading9"/>
        <w:lvlText w:val="%1.%2.%3.%4.%5.%6.%7.%8.%9"/>
        <w:legacy w:legacy="1" w:legacySpace="144" w:legacyIndent="0"/>
        <w:lvlJc w:val="left"/>
      </w:lvl>
    </w:lvlOverride>
  </w:num>
  <w:num w:numId="7">
    <w:abstractNumId w:val="0"/>
    <w:lvlOverride w:ilvl="0">
      <w:lvl w:ilvl="0">
        <w:start w:val="1"/>
        <w:numFmt w:val="decimal"/>
        <w:pStyle w:val="Heading1"/>
        <w:lvlText w:val="%1."/>
        <w:legacy w:legacy="1" w:legacySpace="0" w:legacyIndent="0"/>
        <w:lvlJc w:val="left"/>
      </w:lvl>
    </w:lvlOverride>
    <w:lvlOverride w:ilvl="1">
      <w:lvl w:ilvl="1">
        <w:start w:val="1"/>
        <w:numFmt w:val="decimal"/>
        <w:pStyle w:val="Heading2"/>
        <w:lvlText w:val="%1.%2"/>
        <w:legacy w:legacy="1" w:legacySpace="144" w:legacyIndent="0"/>
        <w:lvlJc w:val="left"/>
      </w:lvl>
    </w:lvlOverride>
    <w:lvlOverride w:ilvl="2">
      <w:lvl w:ilvl="2">
        <w:start w:val="1"/>
        <w:numFmt w:val="decimal"/>
        <w:pStyle w:val="Heading3"/>
        <w:lvlText w:val="%1.%2.%3"/>
        <w:legacy w:legacy="1" w:legacySpace="144" w:legacyIndent="0"/>
        <w:lvlJc w:val="left"/>
      </w:lvl>
    </w:lvlOverride>
    <w:lvlOverride w:ilvl="3">
      <w:lvl w:ilvl="3">
        <w:start w:val="1"/>
        <w:numFmt w:val="decimal"/>
        <w:pStyle w:val="Heading4"/>
        <w:lvlText w:val="%1.%2.%3.%4"/>
        <w:legacy w:legacy="1" w:legacySpace="144" w:legacyIndent="0"/>
        <w:lvlJc w:val="left"/>
      </w:lvl>
    </w:lvlOverride>
    <w:lvlOverride w:ilvl="4">
      <w:lvl w:ilvl="4">
        <w:start w:val="1"/>
        <w:numFmt w:val="decimal"/>
        <w:pStyle w:val="Heading5"/>
        <w:lvlText w:val="%1.%2.%3.%4.%5"/>
        <w:legacy w:legacy="1" w:legacySpace="144" w:legacyIndent="0"/>
        <w:lvlJc w:val="left"/>
      </w:lvl>
    </w:lvlOverride>
    <w:lvlOverride w:ilvl="5">
      <w:lvl w:ilvl="5">
        <w:start w:val="1"/>
        <w:numFmt w:val="decimal"/>
        <w:pStyle w:val="Heading6"/>
        <w:lvlText w:val="%1.%2.%3.%4.%5.%6"/>
        <w:legacy w:legacy="1" w:legacySpace="144" w:legacyIndent="0"/>
        <w:lvlJc w:val="left"/>
      </w:lvl>
    </w:lvlOverride>
    <w:lvlOverride w:ilvl="6">
      <w:lvl w:ilvl="6">
        <w:start w:val="1"/>
        <w:numFmt w:val="decimal"/>
        <w:pStyle w:val="Heading7"/>
        <w:lvlText w:val="%1.%2.%3.%4.%5.%6.%7"/>
        <w:legacy w:legacy="1" w:legacySpace="144" w:legacyIndent="0"/>
        <w:lvlJc w:val="left"/>
      </w:lvl>
    </w:lvlOverride>
    <w:lvlOverride w:ilvl="7">
      <w:lvl w:ilvl="7">
        <w:start w:val="1"/>
        <w:numFmt w:val="decimal"/>
        <w:pStyle w:val="Heading8"/>
        <w:lvlText w:val="%1.%2.%3.%4.%5.%6.%7.%8"/>
        <w:legacy w:legacy="1" w:legacySpace="144" w:legacyIndent="0"/>
        <w:lvlJc w:val="left"/>
      </w:lvl>
    </w:lvlOverride>
    <w:lvlOverride w:ilvl="8">
      <w:lvl w:ilvl="8">
        <w:start w:val="1"/>
        <w:numFmt w:val="decimal"/>
        <w:pStyle w:val="Heading9"/>
        <w:lvlText w:val="%1.%2.%3.%4.%5.%6.%7.%8.%9"/>
        <w:legacy w:legacy="1" w:legacySpace="144" w:legacyIndent="0"/>
        <w:lvlJc w:val="left"/>
      </w:lvl>
    </w:lvlOverride>
  </w:num>
  <w:num w:numId="8">
    <w:abstractNumId w:val="0"/>
    <w:lvlOverride w:ilvl="0">
      <w:lvl w:ilvl="0">
        <w:start w:val="1"/>
        <w:numFmt w:val="decimal"/>
        <w:pStyle w:val="Heading1"/>
        <w:lvlText w:val="%1."/>
        <w:legacy w:legacy="1" w:legacySpace="0" w:legacyIndent="0"/>
        <w:lvlJc w:val="left"/>
        <w:rPr>
          <w:b w:val="0"/>
        </w:rPr>
      </w:lvl>
    </w:lvlOverride>
    <w:lvlOverride w:ilvl="1">
      <w:lvl w:ilvl="1">
        <w:start w:val="1"/>
        <w:numFmt w:val="decimal"/>
        <w:pStyle w:val="Heading2"/>
        <w:lvlText w:val="%1.%2"/>
        <w:legacy w:legacy="1" w:legacySpace="144" w:legacyIndent="0"/>
        <w:lvlJc w:val="left"/>
      </w:lvl>
    </w:lvlOverride>
    <w:lvlOverride w:ilvl="2">
      <w:lvl w:ilvl="2">
        <w:start w:val="1"/>
        <w:numFmt w:val="decimal"/>
        <w:pStyle w:val="Heading3"/>
        <w:lvlText w:val="%1.%2.%3"/>
        <w:legacy w:legacy="1" w:legacySpace="144" w:legacyIndent="0"/>
        <w:lvlJc w:val="left"/>
      </w:lvl>
    </w:lvlOverride>
    <w:lvlOverride w:ilvl="3">
      <w:lvl w:ilvl="3">
        <w:start w:val="1"/>
        <w:numFmt w:val="decimal"/>
        <w:pStyle w:val="Heading4"/>
        <w:lvlText w:val="%1.%2.%3.%4"/>
        <w:legacy w:legacy="1" w:legacySpace="144" w:legacyIndent="0"/>
        <w:lvlJc w:val="left"/>
      </w:lvl>
    </w:lvlOverride>
    <w:lvlOverride w:ilvl="4">
      <w:lvl w:ilvl="4">
        <w:start w:val="1"/>
        <w:numFmt w:val="decimal"/>
        <w:pStyle w:val="Heading5"/>
        <w:lvlText w:val="%1.%2.%3.%4.%5"/>
        <w:legacy w:legacy="1" w:legacySpace="144" w:legacyIndent="0"/>
        <w:lvlJc w:val="left"/>
      </w:lvl>
    </w:lvlOverride>
    <w:lvlOverride w:ilvl="5">
      <w:lvl w:ilvl="5">
        <w:start w:val="1"/>
        <w:numFmt w:val="decimal"/>
        <w:pStyle w:val="Heading6"/>
        <w:lvlText w:val="%1.%2.%3.%4.%5.%6"/>
        <w:legacy w:legacy="1" w:legacySpace="144" w:legacyIndent="0"/>
        <w:lvlJc w:val="left"/>
      </w:lvl>
    </w:lvlOverride>
    <w:lvlOverride w:ilvl="6">
      <w:lvl w:ilvl="6">
        <w:start w:val="1"/>
        <w:numFmt w:val="decimal"/>
        <w:pStyle w:val="Heading7"/>
        <w:lvlText w:val="%1.%2.%3.%4.%5.%6.%7"/>
        <w:legacy w:legacy="1" w:legacySpace="144" w:legacyIndent="0"/>
        <w:lvlJc w:val="left"/>
      </w:lvl>
    </w:lvlOverride>
    <w:lvlOverride w:ilvl="7">
      <w:lvl w:ilvl="7">
        <w:start w:val="1"/>
        <w:numFmt w:val="decimal"/>
        <w:pStyle w:val="Heading8"/>
        <w:lvlText w:val="%1.%2.%3.%4.%5.%6.%7.%8"/>
        <w:legacy w:legacy="1" w:legacySpace="144" w:legacyIndent="0"/>
        <w:lvlJc w:val="left"/>
      </w:lvl>
    </w:lvlOverride>
    <w:lvlOverride w:ilvl="8">
      <w:lvl w:ilvl="8">
        <w:start w:val="1"/>
        <w:numFmt w:val="decimal"/>
        <w:pStyle w:val="Heading9"/>
        <w:lvlText w:val="%1.%2.%3.%4.%5.%6.%7.%8.%9"/>
        <w:legacy w:legacy="1" w:legacySpace="144" w:legacyIndent="0"/>
        <w:lvlJc w:val="left"/>
      </w:lvl>
    </w:lvlOverride>
  </w:num>
  <w:num w:numId="9">
    <w:abstractNumId w:val="0"/>
    <w:lvlOverride w:ilvl="0">
      <w:lvl w:ilvl="0">
        <w:start w:val="1"/>
        <w:numFmt w:val="decimal"/>
        <w:pStyle w:val="Heading1"/>
        <w:lvlText w:val="%1."/>
        <w:legacy w:legacy="1" w:legacySpace="0" w:legacyIndent="0"/>
        <w:lvlJc w:val="left"/>
      </w:lvl>
    </w:lvlOverride>
    <w:lvlOverride w:ilvl="1">
      <w:lvl w:ilvl="1">
        <w:start w:val="1"/>
        <w:numFmt w:val="decimal"/>
        <w:pStyle w:val="Heading2"/>
        <w:lvlText w:val="%1.%2"/>
        <w:legacy w:legacy="1" w:legacySpace="144" w:legacyIndent="0"/>
        <w:lvlJc w:val="left"/>
      </w:lvl>
    </w:lvlOverride>
    <w:lvlOverride w:ilvl="2">
      <w:lvl w:ilvl="2">
        <w:start w:val="1"/>
        <w:numFmt w:val="decimal"/>
        <w:pStyle w:val="Heading3"/>
        <w:lvlText w:val="%1.%2.%3"/>
        <w:legacy w:legacy="1" w:legacySpace="144" w:legacyIndent="0"/>
        <w:lvlJc w:val="left"/>
      </w:lvl>
    </w:lvlOverride>
    <w:lvlOverride w:ilvl="3">
      <w:lvl w:ilvl="3">
        <w:start w:val="1"/>
        <w:numFmt w:val="decimal"/>
        <w:pStyle w:val="Heading4"/>
        <w:lvlText w:val="%1.%2.%3.%4"/>
        <w:legacy w:legacy="1" w:legacySpace="144" w:legacyIndent="0"/>
        <w:lvlJc w:val="left"/>
      </w:lvl>
    </w:lvlOverride>
    <w:lvlOverride w:ilvl="4">
      <w:lvl w:ilvl="4">
        <w:start w:val="1"/>
        <w:numFmt w:val="decimal"/>
        <w:pStyle w:val="Heading5"/>
        <w:lvlText w:val="%1.%2.%3.%4.%5"/>
        <w:legacy w:legacy="1" w:legacySpace="144" w:legacyIndent="0"/>
        <w:lvlJc w:val="left"/>
      </w:lvl>
    </w:lvlOverride>
    <w:lvlOverride w:ilvl="5">
      <w:lvl w:ilvl="5">
        <w:start w:val="1"/>
        <w:numFmt w:val="decimal"/>
        <w:pStyle w:val="Heading6"/>
        <w:lvlText w:val="%1.%2.%3.%4.%5.%6"/>
        <w:legacy w:legacy="1" w:legacySpace="144" w:legacyIndent="0"/>
        <w:lvlJc w:val="left"/>
      </w:lvl>
    </w:lvlOverride>
    <w:lvlOverride w:ilvl="6">
      <w:lvl w:ilvl="6">
        <w:start w:val="1"/>
        <w:numFmt w:val="decimal"/>
        <w:pStyle w:val="Heading7"/>
        <w:lvlText w:val="%1.%2.%3.%4.%5.%6.%7"/>
        <w:legacy w:legacy="1" w:legacySpace="144" w:legacyIndent="0"/>
        <w:lvlJc w:val="left"/>
      </w:lvl>
    </w:lvlOverride>
    <w:lvlOverride w:ilvl="7">
      <w:lvl w:ilvl="7">
        <w:start w:val="1"/>
        <w:numFmt w:val="decimal"/>
        <w:pStyle w:val="Heading8"/>
        <w:lvlText w:val="%1.%2.%3.%4.%5.%6.%7.%8"/>
        <w:legacy w:legacy="1" w:legacySpace="144" w:legacyIndent="0"/>
        <w:lvlJc w:val="left"/>
      </w:lvl>
    </w:lvlOverride>
    <w:lvlOverride w:ilvl="8">
      <w:lvl w:ilvl="8">
        <w:start w:val="1"/>
        <w:numFmt w:val="decimal"/>
        <w:pStyle w:val="Heading9"/>
        <w:lvlText w:val="%1.%2.%3.%4.%5.%6.%7.%8.%9"/>
        <w:legacy w:legacy="1" w:legacySpace="144" w:legacyIndent="0"/>
        <w:lvlJc w:val="left"/>
      </w:lvl>
    </w:lvlOverride>
  </w:num>
  <w:num w:numId="10">
    <w:abstractNumId w:val="0"/>
    <w:lvlOverride w:ilvl="0">
      <w:lvl w:ilvl="0">
        <w:start w:val="1"/>
        <w:numFmt w:val="decimal"/>
        <w:pStyle w:val="Heading1"/>
        <w:lvlText w:val="%1."/>
        <w:legacy w:legacy="1" w:legacySpace="0" w:legacyIndent="0"/>
        <w:lvlJc w:val="left"/>
      </w:lvl>
    </w:lvlOverride>
    <w:lvlOverride w:ilvl="1">
      <w:lvl w:ilvl="1">
        <w:start w:val="1"/>
        <w:numFmt w:val="decimal"/>
        <w:pStyle w:val="Heading2"/>
        <w:lvlText w:val="%1.%2"/>
        <w:legacy w:legacy="1" w:legacySpace="144" w:legacyIndent="0"/>
        <w:lvlJc w:val="left"/>
      </w:lvl>
    </w:lvlOverride>
    <w:lvlOverride w:ilvl="2">
      <w:lvl w:ilvl="2">
        <w:start w:val="1"/>
        <w:numFmt w:val="decimal"/>
        <w:pStyle w:val="Heading3"/>
        <w:lvlText w:val="%1.%2.%3"/>
        <w:legacy w:legacy="1" w:legacySpace="144" w:legacyIndent="0"/>
        <w:lvlJc w:val="left"/>
      </w:lvl>
    </w:lvlOverride>
    <w:lvlOverride w:ilvl="3">
      <w:lvl w:ilvl="3">
        <w:start w:val="1"/>
        <w:numFmt w:val="decimal"/>
        <w:pStyle w:val="Heading4"/>
        <w:lvlText w:val="%1.%2.%3.%4"/>
        <w:legacy w:legacy="1" w:legacySpace="144" w:legacyIndent="0"/>
        <w:lvlJc w:val="left"/>
      </w:lvl>
    </w:lvlOverride>
    <w:lvlOverride w:ilvl="4">
      <w:lvl w:ilvl="4">
        <w:start w:val="1"/>
        <w:numFmt w:val="decimal"/>
        <w:pStyle w:val="Heading5"/>
        <w:lvlText w:val="%1.%2.%3.%4.%5"/>
        <w:legacy w:legacy="1" w:legacySpace="144" w:legacyIndent="0"/>
        <w:lvlJc w:val="left"/>
      </w:lvl>
    </w:lvlOverride>
    <w:lvlOverride w:ilvl="5">
      <w:lvl w:ilvl="5">
        <w:start w:val="1"/>
        <w:numFmt w:val="decimal"/>
        <w:pStyle w:val="Heading6"/>
        <w:lvlText w:val="%1.%2.%3.%4.%5.%6"/>
        <w:legacy w:legacy="1" w:legacySpace="144" w:legacyIndent="0"/>
        <w:lvlJc w:val="left"/>
      </w:lvl>
    </w:lvlOverride>
    <w:lvlOverride w:ilvl="6">
      <w:lvl w:ilvl="6">
        <w:start w:val="1"/>
        <w:numFmt w:val="decimal"/>
        <w:pStyle w:val="Heading7"/>
        <w:lvlText w:val="%1.%2.%3.%4.%5.%6.%7"/>
        <w:legacy w:legacy="1" w:legacySpace="144" w:legacyIndent="0"/>
        <w:lvlJc w:val="left"/>
      </w:lvl>
    </w:lvlOverride>
    <w:lvlOverride w:ilvl="7">
      <w:lvl w:ilvl="7">
        <w:start w:val="1"/>
        <w:numFmt w:val="decimal"/>
        <w:pStyle w:val="Heading8"/>
        <w:lvlText w:val="%1.%2.%3.%4.%5.%6.%7.%8"/>
        <w:legacy w:legacy="1" w:legacySpace="144" w:legacyIndent="0"/>
        <w:lvlJc w:val="left"/>
      </w:lvl>
    </w:lvlOverride>
    <w:lvlOverride w:ilvl="8">
      <w:lvl w:ilvl="8">
        <w:start w:val="1"/>
        <w:numFmt w:val="decimal"/>
        <w:pStyle w:val="Heading9"/>
        <w:lvlText w:val="%1.%2.%3.%4.%5.%6.%7.%8.%9"/>
        <w:legacy w:legacy="1" w:legacySpace="144" w:legacyIndent="0"/>
        <w:lvlJc w:val="left"/>
      </w:lvl>
    </w:lvlOverride>
  </w:num>
  <w:num w:numId="11">
    <w:abstractNumId w:val="0"/>
    <w:lvlOverride w:ilvl="0">
      <w:lvl w:ilvl="0">
        <w:start w:val="1"/>
        <w:numFmt w:val="decimal"/>
        <w:pStyle w:val="Heading1"/>
        <w:lvlText w:val="%1."/>
        <w:legacy w:legacy="1" w:legacySpace="0" w:legacyIndent="0"/>
        <w:lvlJc w:val="left"/>
      </w:lvl>
    </w:lvlOverride>
    <w:lvlOverride w:ilvl="1">
      <w:lvl w:ilvl="1">
        <w:start w:val="1"/>
        <w:numFmt w:val="decimal"/>
        <w:pStyle w:val="Heading2"/>
        <w:lvlText w:val="%1.%2"/>
        <w:legacy w:legacy="1" w:legacySpace="144" w:legacyIndent="0"/>
        <w:lvlJc w:val="left"/>
      </w:lvl>
    </w:lvlOverride>
    <w:lvlOverride w:ilvl="2">
      <w:lvl w:ilvl="2">
        <w:start w:val="1"/>
        <w:numFmt w:val="decimal"/>
        <w:pStyle w:val="Heading3"/>
        <w:lvlText w:val="%1.%2.%3"/>
        <w:legacy w:legacy="1" w:legacySpace="144" w:legacyIndent="0"/>
        <w:lvlJc w:val="left"/>
      </w:lvl>
    </w:lvlOverride>
    <w:lvlOverride w:ilvl="3">
      <w:lvl w:ilvl="3">
        <w:start w:val="1"/>
        <w:numFmt w:val="decimal"/>
        <w:pStyle w:val="Heading4"/>
        <w:lvlText w:val="%1.%2.%3.%4"/>
        <w:legacy w:legacy="1" w:legacySpace="144" w:legacyIndent="0"/>
        <w:lvlJc w:val="left"/>
      </w:lvl>
    </w:lvlOverride>
    <w:lvlOverride w:ilvl="4">
      <w:lvl w:ilvl="4">
        <w:start w:val="1"/>
        <w:numFmt w:val="decimal"/>
        <w:pStyle w:val="Heading5"/>
        <w:lvlText w:val="%1.%2.%3.%4.%5"/>
        <w:legacy w:legacy="1" w:legacySpace="144" w:legacyIndent="0"/>
        <w:lvlJc w:val="left"/>
      </w:lvl>
    </w:lvlOverride>
    <w:lvlOverride w:ilvl="5">
      <w:lvl w:ilvl="5">
        <w:start w:val="1"/>
        <w:numFmt w:val="decimal"/>
        <w:pStyle w:val="Heading6"/>
        <w:lvlText w:val="%1.%2.%3.%4.%5.%6"/>
        <w:legacy w:legacy="1" w:legacySpace="144" w:legacyIndent="0"/>
        <w:lvlJc w:val="left"/>
      </w:lvl>
    </w:lvlOverride>
    <w:lvlOverride w:ilvl="6">
      <w:lvl w:ilvl="6">
        <w:start w:val="1"/>
        <w:numFmt w:val="decimal"/>
        <w:pStyle w:val="Heading7"/>
        <w:lvlText w:val="%1.%2.%3.%4.%5.%6.%7"/>
        <w:legacy w:legacy="1" w:legacySpace="144" w:legacyIndent="0"/>
        <w:lvlJc w:val="left"/>
      </w:lvl>
    </w:lvlOverride>
    <w:lvlOverride w:ilvl="7">
      <w:lvl w:ilvl="7">
        <w:start w:val="1"/>
        <w:numFmt w:val="decimal"/>
        <w:pStyle w:val="Heading8"/>
        <w:lvlText w:val="%1.%2.%3.%4.%5.%6.%7.%8"/>
        <w:legacy w:legacy="1" w:legacySpace="144" w:legacyIndent="0"/>
        <w:lvlJc w:val="left"/>
      </w:lvl>
    </w:lvlOverride>
    <w:lvlOverride w:ilvl="8">
      <w:lvl w:ilvl="8">
        <w:start w:val="1"/>
        <w:numFmt w:val="decimal"/>
        <w:pStyle w:val="Heading9"/>
        <w:lvlText w:val="%1.%2.%3.%4.%5.%6.%7.%8.%9"/>
        <w:legacy w:legacy="1" w:legacySpace="144" w:legacyIndent="0"/>
        <w:lvlJc w:val="left"/>
      </w:lvl>
    </w:lvlOverride>
  </w:num>
  <w:num w:numId="12">
    <w:abstractNumId w:val="0"/>
    <w:lvlOverride w:ilvl="0">
      <w:lvl w:ilvl="0">
        <w:start w:val="1"/>
        <w:numFmt w:val="decimal"/>
        <w:pStyle w:val="Heading1"/>
        <w:lvlText w:val="%1."/>
        <w:legacy w:legacy="1" w:legacySpace="0" w:legacyIndent="0"/>
        <w:lvlJc w:val="left"/>
      </w:lvl>
    </w:lvlOverride>
    <w:lvlOverride w:ilvl="1">
      <w:lvl w:ilvl="1">
        <w:start w:val="1"/>
        <w:numFmt w:val="decimal"/>
        <w:pStyle w:val="Heading2"/>
        <w:lvlText w:val="%1.%2"/>
        <w:legacy w:legacy="1" w:legacySpace="144" w:legacyIndent="0"/>
        <w:lvlJc w:val="left"/>
      </w:lvl>
    </w:lvlOverride>
    <w:lvlOverride w:ilvl="2">
      <w:lvl w:ilvl="2">
        <w:start w:val="1"/>
        <w:numFmt w:val="decimal"/>
        <w:pStyle w:val="Heading3"/>
        <w:lvlText w:val="%1.%2.%3"/>
        <w:legacy w:legacy="1" w:legacySpace="144" w:legacyIndent="0"/>
        <w:lvlJc w:val="left"/>
      </w:lvl>
    </w:lvlOverride>
    <w:lvlOverride w:ilvl="3">
      <w:lvl w:ilvl="3">
        <w:start w:val="1"/>
        <w:numFmt w:val="decimal"/>
        <w:pStyle w:val="Heading4"/>
        <w:lvlText w:val="%1.%2.%3.%4"/>
        <w:legacy w:legacy="1" w:legacySpace="144" w:legacyIndent="0"/>
        <w:lvlJc w:val="left"/>
      </w:lvl>
    </w:lvlOverride>
    <w:lvlOverride w:ilvl="4">
      <w:lvl w:ilvl="4">
        <w:start w:val="1"/>
        <w:numFmt w:val="decimal"/>
        <w:pStyle w:val="Heading5"/>
        <w:lvlText w:val="%1.%2.%3.%4.%5"/>
        <w:legacy w:legacy="1" w:legacySpace="144" w:legacyIndent="0"/>
        <w:lvlJc w:val="left"/>
      </w:lvl>
    </w:lvlOverride>
    <w:lvlOverride w:ilvl="5">
      <w:lvl w:ilvl="5">
        <w:start w:val="1"/>
        <w:numFmt w:val="decimal"/>
        <w:pStyle w:val="Heading6"/>
        <w:lvlText w:val="%1.%2.%3.%4.%5.%6"/>
        <w:legacy w:legacy="1" w:legacySpace="144" w:legacyIndent="0"/>
        <w:lvlJc w:val="left"/>
      </w:lvl>
    </w:lvlOverride>
    <w:lvlOverride w:ilvl="6">
      <w:lvl w:ilvl="6">
        <w:start w:val="1"/>
        <w:numFmt w:val="decimal"/>
        <w:pStyle w:val="Heading7"/>
        <w:lvlText w:val="%1.%2.%3.%4.%5.%6.%7"/>
        <w:legacy w:legacy="1" w:legacySpace="144" w:legacyIndent="0"/>
        <w:lvlJc w:val="left"/>
      </w:lvl>
    </w:lvlOverride>
    <w:lvlOverride w:ilvl="7">
      <w:lvl w:ilvl="7">
        <w:start w:val="1"/>
        <w:numFmt w:val="decimal"/>
        <w:pStyle w:val="Heading8"/>
        <w:lvlText w:val="%1.%2.%3.%4.%5.%6.%7.%8"/>
        <w:legacy w:legacy="1" w:legacySpace="144" w:legacyIndent="0"/>
        <w:lvlJc w:val="left"/>
      </w:lvl>
    </w:lvlOverride>
    <w:lvlOverride w:ilvl="8">
      <w:lvl w:ilvl="8">
        <w:start w:val="1"/>
        <w:numFmt w:val="decimal"/>
        <w:pStyle w:val="Heading9"/>
        <w:lvlText w:val="%1.%2.%3.%4.%5.%6.%7.%8.%9"/>
        <w:legacy w:legacy="1" w:legacySpace="144" w:legacyIndent="0"/>
        <w:lvlJc w:val="left"/>
      </w:lvl>
    </w:lvlOverride>
  </w:num>
  <w:num w:numId="13">
    <w:abstractNumId w:val="0"/>
    <w:lvlOverride w:ilvl="0">
      <w:lvl w:ilvl="0">
        <w:start w:val="1"/>
        <w:numFmt w:val="decimal"/>
        <w:pStyle w:val="Heading1"/>
        <w:lvlText w:val="%1."/>
        <w:legacy w:legacy="1" w:legacySpace="0" w:legacyIndent="0"/>
        <w:lvlJc w:val="left"/>
      </w:lvl>
    </w:lvlOverride>
    <w:lvlOverride w:ilvl="1">
      <w:lvl w:ilvl="1">
        <w:start w:val="1"/>
        <w:numFmt w:val="decimal"/>
        <w:pStyle w:val="Heading2"/>
        <w:lvlText w:val="%1.%2"/>
        <w:legacy w:legacy="1" w:legacySpace="144" w:legacyIndent="0"/>
        <w:lvlJc w:val="left"/>
      </w:lvl>
    </w:lvlOverride>
    <w:lvlOverride w:ilvl="2">
      <w:lvl w:ilvl="2">
        <w:start w:val="1"/>
        <w:numFmt w:val="decimal"/>
        <w:pStyle w:val="Heading3"/>
        <w:lvlText w:val="%1.%2.%3"/>
        <w:legacy w:legacy="1" w:legacySpace="144" w:legacyIndent="0"/>
        <w:lvlJc w:val="left"/>
      </w:lvl>
    </w:lvlOverride>
    <w:lvlOverride w:ilvl="3">
      <w:lvl w:ilvl="3">
        <w:start w:val="1"/>
        <w:numFmt w:val="decimal"/>
        <w:pStyle w:val="Heading4"/>
        <w:lvlText w:val="%1.%2.%3.%4"/>
        <w:legacy w:legacy="1" w:legacySpace="144" w:legacyIndent="0"/>
        <w:lvlJc w:val="left"/>
      </w:lvl>
    </w:lvlOverride>
    <w:lvlOverride w:ilvl="4">
      <w:lvl w:ilvl="4">
        <w:start w:val="1"/>
        <w:numFmt w:val="decimal"/>
        <w:pStyle w:val="Heading5"/>
        <w:lvlText w:val="%1.%2.%3.%4.%5"/>
        <w:legacy w:legacy="1" w:legacySpace="144" w:legacyIndent="0"/>
        <w:lvlJc w:val="left"/>
      </w:lvl>
    </w:lvlOverride>
    <w:lvlOverride w:ilvl="5">
      <w:lvl w:ilvl="5">
        <w:start w:val="1"/>
        <w:numFmt w:val="decimal"/>
        <w:pStyle w:val="Heading6"/>
        <w:lvlText w:val="%1.%2.%3.%4.%5.%6"/>
        <w:legacy w:legacy="1" w:legacySpace="144" w:legacyIndent="0"/>
        <w:lvlJc w:val="left"/>
      </w:lvl>
    </w:lvlOverride>
    <w:lvlOverride w:ilvl="6">
      <w:lvl w:ilvl="6">
        <w:start w:val="1"/>
        <w:numFmt w:val="decimal"/>
        <w:pStyle w:val="Heading7"/>
        <w:lvlText w:val="%1.%2.%3.%4.%5.%6.%7"/>
        <w:legacy w:legacy="1" w:legacySpace="144" w:legacyIndent="0"/>
        <w:lvlJc w:val="left"/>
      </w:lvl>
    </w:lvlOverride>
    <w:lvlOverride w:ilvl="7">
      <w:lvl w:ilvl="7">
        <w:start w:val="1"/>
        <w:numFmt w:val="decimal"/>
        <w:pStyle w:val="Heading8"/>
        <w:lvlText w:val="%1.%2.%3.%4.%5.%6.%7.%8"/>
        <w:legacy w:legacy="1" w:legacySpace="144" w:legacyIndent="0"/>
        <w:lvlJc w:val="left"/>
      </w:lvl>
    </w:lvlOverride>
    <w:lvlOverride w:ilvl="8">
      <w:lvl w:ilvl="8">
        <w:start w:val="1"/>
        <w:numFmt w:val="decimal"/>
        <w:pStyle w:val="Heading9"/>
        <w:lvlText w:val="%1.%2.%3.%4.%5.%6.%7.%8.%9"/>
        <w:legacy w:legacy="1" w:legacySpace="144" w:legacyIndent="0"/>
        <w:lvlJc w:val="left"/>
      </w:lvl>
    </w:lvlOverride>
  </w:num>
  <w:num w:numId="14">
    <w:abstractNumId w:val="0"/>
    <w:lvlOverride w:ilvl="0">
      <w:lvl w:ilvl="0">
        <w:start w:val="1"/>
        <w:numFmt w:val="decimal"/>
        <w:pStyle w:val="Heading1"/>
        <w:lvlText w:val="%1."/>
        <w:legacy w:legacy="1" w:legacySpace="0" w:legacyIndent="0"/>
        <w:lvlJc w:val="left"/>
      </w:lvl>
    </w:lvlOverride>
    <w:lvlOverride w:ilvl="1">
      <w:lvl w:ilvl="1">
        <w:start w:val="1"/>
        <w:numFmt w:val="decimal"/>
        <w:pStyle w:val="Heading2"/>
        <w:lvlText w:val="%1.%2"/>
        <w:legacy w:legacy="1" w:legacySpace="144" w:legacyIndent="0"/>
        <w:lvlJc w:val="left"/>
      </w:lvl>
    </w:lvlOverride>
    <w:lvlOverride w:ilvl="2">
      <w:lvl w:ilvl="2">
        <w:start w:val="1"/>
        <w:numFmt w:val="decimal"/>
        <w:pStyle w:val="Heading3"/>
        <w:lvlText w:val="%1.%2.%3"/>
        <w:legacy w:legacy="1" w:legacySpace="144" w:legacyIndent="0"/>
        <w:lvlJc w:val="left"/>
      </w:lvl>
    </w:lvlOverride>
    <w:lvlOverride w:ilvl="3">
      <w:lvl w:ilvl="3">
        <w:start w:val="1"/>
        <w:numFmt w:val="decimal"/>
        <w:pStyle w:val="Heading4"/>
        <w:lvlText w:val="%1.%2.%3.%4"/>
        <w:legacy w:legacy="1" w:legacySpace="144" w:legacyIndent="0"/>
        <w:lvlJc w:val="left"/>
      </w:lvl>
    </w:lvlOverride>
    <w:lvlOverride w:ilvl="4">
      <w:lvl w:ilvl="4">
        <w:start w:val="1"/>
        <w:numFmt w:val="decimal"/>
        <w:pStyle w:val="Heading5"/>
        <w:lvlText w:val="%1.%2.%3.%4.%5"/>
        <w:legacy w:legacy="1" w:legacySpace="144" w:legacyIndent="0"/>
        <w:lvlJc w:val="left"/>
      </w:lvl>
    </w:lvlOverride>
    <w:lvlOverride w:ilvl="5">
      <w:lvl w:ilvl="5">
        <w:start w:val="1"/>
        <w:numFmt w:val="decimal"/>
        <w:pStyle w:val="Heading6"/>
        <w:lvlText w:val="%1.%2.%3.%4.%5.%6"/>
        <w:legacy w:legacy="1" w:legacySpace="144" w:legacyIndent="0"/>
        <w:lvlJc w:val="left"/>
      </w:lvl>
    </w:lvlOverride>
    <w:lvlOverride w:ilvl="6">
      <w:lvl w:ilvl="6">
        <w:start w:val="1"/>
        <w:numFmt w:val="decimal"/>
        <w:pStyle w:val="Heading7"/>
        <w:lvlText w:val="%1.%2.%3.%4.%5.%6.%7"/>
        <w:legacy w:legacy="1" w:legacySpace="144" w:legacyIndent="0"/>
        <w:lvlJc w:val="left"/>
      </w:lvl>
    </w:lvlOverride>
    <w:lvlOverride w:ilvl="7">
      <w:lvl w:ilvl="7">
        <w:start w:val="1"/>
        <w:numFmt w:val="decimal"/>
        <w:pStyle w:val="Heading8"/>
        <w:lvlText w:val="%1.%2.%3.%4.%5.%6.%7.%8"/>
        <w:legacy w:legacy="1" w:legacySpace="144" w:legacyIndent="0"/>
        <w:lvlJc w:val="left"/>
      </w:lvl>
    </w:lvlOverride>
    <w:lvlOverride w:ilvl="8">
      <w:lvl w:ilvl="8">
        <w:start w:val="1"/>
        <w:numFmt w:val="decimal"/>
        <w:pStyle w:val="Heading9"/>
        <w:lvlText w:val="%1.%2.%3.%4.%5.%6.%7.%8.%9"/>
        <w:legacy w:legacy="1" w:legacySpace="144" w:legacyIndent="0"/>
        <w:lvlJc w:val="left"/>
      </w:lvl>
    </w:lvlOverride>
  </w:num>
  <w:num w:numId="15">
    <w:abstractNumId w:val="0"/>
    <w:lvlOverride w:ilvl="0">
      <w:lvl w:ilvl="0">
        <w:start w:val="1"/>
        <w:numFmt w:val="decimal"/>
        <w:pStyle w:val="Heading1"/>
        <w:lvlText w:val="%1."/>
        <w:legacy w:legacy="1" w:legacySpace="0" w:legacyIndent="0"/>
        <w:lvlJc w:val="left"/>
      </w:lvl>
    </w:lvlOverride>
    <w:lvlOverride w:ilvl="1">
      <w:lvl w:ilvl="1">
        <w:start w:val="1"/>
        <w:numFmt w:val="decimal"/>
        <w:pStyle w:val="Heading2"/>
        <w:lvlText w:val="%1.%2"/>
        <w:legacy w:legacy="1" w:legacySpace="144" w:legacyIndent="0"/>
        <w:lvlJc w:val="left"/>
      </w:lvl>
    </w:lvlOverride>
    <w:lvlOverride w:ilvl="2">
      <w:lvl w:ilvl="2">
        <w:start w:val="1"/>
        <w:numFmt w:val="decimal"/>
        <w:pStyle w:val="Heading3"/>
        <w:lvlText w:val="%1.%2.%3"/>
        <w:legacy w:legacy="1" w:legacySpace="144" w:legacyIndent="0"/>
        <w:lvlJc w:val="left"/>
      </w:lvl>
    </w:lvlOverride>
    <w:lvlOverride w:ilvl="3">
      <w:lvl w:ilvl="3">
        <w:start w:val="1"/>
        <w:numFmt w:val="decimal"/>
        <w:pStyle w:val="Heading4"/>
        <w:lvlText w:val="%1.%2.%3.%4"/>
        <w:legacy w:legacy="1" w:legacySpace="144" w:legacyIndent="0"/>
        <w:lvlJc w:val="left"/>
      </w:lvl>
    </w:lvlOverride>
    <w:lvlOverride w:ilvl="4">
      <w:lvl w:ilvl="4">
        <w:start w:val="1"/>
        <w:numFmt w:val="decimal"/>
        <w:pStyle w:val="Heading5"/>
        <w:lvlText w:val="%1.%2.%3.%4.%5"/>
        <w:legacy w:legacy="1" w:legacySpace="144" w:legacyIndent="0"/>
        <w:lvlJc w:val="left"/>
      </w:lvl>
    </w:lvlOverride>
    <w:lvlOverride w:ilvl="5">
      <w:lvl w:ilvl="5">
        <w:start w:val="1"/>
        <w:numFmt w:val="decimal"/>
        <w:pStyle w:val="Heading6"/>
        <w:lvlText w:val="%1.%2.%3.%4.%5.%6"/>
        <w:legacy w:legacy="1" w:legacySpace="144" w:legacyIndent="0"/>
        <w:lvlJc w:val="left"/>
      </w:lvl>
    </w:lvlOverride>
    <w:lvlOverride w:ilvl="6">
      <w:lvl w:ilvl="6">
        <w:start w:val="1"/>
        <w:numFmt w:val="decimal"/>
        <w:pStyle w:val="Heading7"/>
        <w:lvlText w:val="%1.%2.%3.%4.%5.%6.%7"/>
        <w:legacy w:legacy="1" w:legacySpace="144" w:legacyIndent="0"/>
        <w:lvlJc w:val="left"/>
      </w:lvl>
    </w:lvlOverride>
    <w:lvlOverride w:ilvl="7">
      <w:lvl w:ilvl="7">
        <w:start w:val="1"/>
        <w:numFmt w:val="decimal"/>
        <w:pStyle w:val="Heading8"/>
        <w:lvlText w:val="%1.%2.%3.%4.%5.%6.%7.%8"/>
        <w:legacy w:legacy="1" w:legacySpace="144" w:legacyIndent="0"/>
        <w:lvlJc w:val="left"/>
      </w:lvl>
    </w:lvlOverride>
    <w:lvlOverride w:ilvl="8">
      <w:lvl w:ilvl="8">
        <w:start w:val="1"/>
        <w:numFmt w:val="decimal"/>
        <w:pStyle w:val="Heading9"/>
        <w:lvlText w:val="%1.%2.%3.%4.%5.%6.%7.%8.%9"/>
        <w:legacy w:legacy="1" w:legacySpace="144" w:legacyIndent="0"/>
        <w:lvlJc w:val="left"/>
      </w:lvl>
    </w:lvlOverride>
  </w:num>
  <w:num w:numId="16">
    <w:abstractNumId w:val="0"/>
    <w:lvlOverride w:ilvl="0">
      <w:lvl w:ilvl="0">
        <w:start w:val="1"/>
        <w:numFmt w:val="decimal"/>
        <w:pStyle w:val="Heading1"/>
        <w:lvlText w:val="%1."/>
        <w:legacy w:legacy="1" w:legacySpace="0" w:legacyIndent="0"/>
        <w:lvlJc w:val="left"/>
        <w:rPr>
          <w:b w:val="0"/>
        </w:rPr>
      </w:lvl>
    </w:lvlOverride>
    <w:lvlOverride w:ilvl="1">
      <w:lvl w:ilvl="1">
        <w:start w:val="1"/>
        <w:numFmt w:val="decimal"/>
        <w:pStyle w:val="Heading2"/>
        <w:lvlText w:val="%1.%2"/>
        <w:legacy w:legacy="1" w:legacySpace="144" w:legacyIndent="0"/>
        <w:lvlJc w:val="left"/>
      </w:lvl>
    </w:lvlOverride>
    <w:lvlOverride w:ilvl="2">
      <w:lvl w:ilvl="2">
        <w:start w:val="1"/>
        <w:numFmt w:val="decimal"/>
        <w:pStyle w:val="Heading3"/>
        <w:lvlText w:val="%1.%2.%3"/>
        <w:legacy w:legacy="1" w:legacySpace="144" w:legacyIndent="0"/>
        <w:lvlJc w:val="left"/>
      </w:lvl>
    </w:lvlOverride>
    <w:lvlOverride w:ilvl="3">
      <w:lvl w:ilvl="3">
        <w:start w:val="1"/>
        <w:numFmt w:val="decimal"/>
        <w:pStyle w:val="Heading4"/>
        <w:lvlText w:val="%1.%2.%3.%4"/>
        <w:legacy w:legacy="1" w:legacySpace="144" w:legacyIndent="0"/>
        <w:lvlJc w:val="left"/>
      </w:lvl>
    </w:lvlOverride>
    <w:lvlOverride w:ilvl="4">
      <w:lvl w:ilvl="4">
        <w:start w:val="1"/>
        <w:numFmt w:val="decimal"/>
        <w:pStyle w:val="Heading5"/>
        <w:lvlText w:val="%1.%2.%3.%4.%5"/>
        <w:legacy w:legacy="1" w:legacySpace="144" w:legacyIndent="0"/>
        <w:lvlJc w:val="left"/>
      </w:lvl>
    </w:lvlOverride>
    <w:lvlOverride w:ilvl="5">
      <w:lvl w:ilvl="5">
        <w:start w:val="1"/>
        <w:numFmt w:val="decimal"/>
        <w:pStyle w:val="Heading6"/>
        <w:lvlText w:val="%1.%2.%3.%4.%5.%6"/>
        <w:legacy w:legacy="1" w:legacySpace="144" w:legacyIndent="0"/>
        <w:lvlJc w:val="left"/>
      </w:lvl>
    </w:lvlOverride>
    <w:lvlOverride w:ilvl="6">
      <w:lvl w:ilvl="6">
        <w:start w:val="1"/>
        <w:numFmt w:val="decimal"/>
        <w:pStyle w:val="Heading7"/>
        <w:lvlText w:val="%1.%2.%3.%4.%5.%6.%7"/>
        <w:legacy w:legacy="1" w:legacySpace="144" w:legacyIndent="0"/>
        <w:lvlJc w:val="left"/>
      </w:lvl>
    </w:lvlOverride>
    <w:lvlOverride w:ilvl="7">
      <w:lvl w:ilvl="7">
        <w:start w:val="1"/>
        <w:numFmt w:val="decimal"/>
        <w:pStyle w:val="Heading8"/>
        <w:lvlText w:val="%1.%2.%3.%4.%5.%6.%7.%8"/>
        <w:legacy w:legacy="1" w:legacySpace="144" w:legacyIndent="0"/>
        <w:lvlJc w:val="left"/>
      </w:lvl>
    </w:lvlOverride>
    <w:lvlOverride w:ilvl="8">
      <w:lvl w:ilvl="8">
        <w:start w:val="1"/>
        <w:numFmt w:val="decimal"/>
        <w:pStyle w:val="Heading9"/>
        <w:lvlText w:val="%1.%2.%3.%4.%5.%6.%7.%8.%9"/>
        <w:legacy w:legacy="1" w:legacySpace="144" w:legacyIndent="0"/>
        <w:lvlJc w:val="left"/>
      </w:lvl>
    </w:lvlOverride>
  </w:num>
  <w:num w:numId="17">
    <w:abstractNumId w:val="0"/>
    <w:lvlOverride w:ilvl="0">
      <w:lvl w:ilvl="0">
        <w:start w:val="1"/>
        <w:numFmt w:val="decimal"/>
        <w:pStyle w:val="Heading1"/>
        <w:lvlText w:val="%1."/>
        <w:legacy w:legacy="1" w:legacySpace="0" w:legacyIndent="0"/>
        <w:lvlJc w:val="left"/>
      </w:lvl>
    </w:lvlOverride>
    <w:lvlOverride w:ilvl="1">
      <w:lvl w:ilvl="1">
        <w:start w:val="1"/>
        <w:numFmt w:val="decimal"/>
        <w:pStyle w:val="Heading2"/>
        <w:lvlText w:val="%1.%2"/>
        <w:legacy w:legacy="1" w:legacySpace="144" w:legacyIndent="0"/>
        <w:lvlJc w:val="left"/>
      </w:lvl>
    </w:lvlOverride>
    <w:lvlOverride w:ilvl="2">
      <w:lvl w:ilvl="2">
        <w:start w:val="1"/>
        <w:numFmt w:val="decimal"/>
        <w:pStyle w:val="Heading3"/>
        <w:lvlText w:val="%1.%2.%3"/>
        <w:legacy w:legacy="1" w:legacySpace="144" w:legacyIndent="0"/>
        <w:lvlJc w:val="left"/>
      </w:lvl>
    </w:lvlOverride>
    <w:lvlOverride w:ilvl="3">
      <w:lvl w:ilvl="3">
        <w:start w:val="1"/>
        <w:numFmt w:val="decimal"/>
        <w:pStyle w:val="Heading4"/>
        <w:lvlText w:val="%1.%2.%3.%4"/>
        <w:legacy w:legacy="1" w:legacySpace="144" w:legacyIndent="0"/>
        <w:lvlJc w:val="left"/>
      </w:lvl>
    </w:lvlOverride>
    <w:lvlOverride w:ilvl="4">
      <w:lvl w:ilvl="4">
        <w:start w:val="1"/>
        <w:numFmt w:val="decimal"/>
        <w:pStyle w:val="Heading5"/>
        <w:lvlText w:val="%1.%2.%3.%4.%5"/>
        <w:legacy w:legacy="1" w:legacySpace="144" w:legacyIndent="0"/>
        <w:lvlJc w:val="left"/>
      </w:lvl>
    </w:lvlOverride>
    <w:lvlOverride w:ilvl="5">
      <w:lvl w:ilvl="5">
        <w:start w:val="1"/>
        <w:numFmt w:val="decimal"/>
        <w:pStyle w:val="Heading6"/>
        <w:lvlText w:val="%1.%2.%3.%4.%5.%6"/>
        <w:legacy w:legacy="1" w:legacySpace="144" w:legacyIndent="0"/>
        <w:lvlJc w:val="left"/>
      </w:lvl>
    </w:lvlOverride>
    <w:lvlOverride w:ilvl="6">
      <w:lvl w:ilvl="6">
        <w:start w:val="1"/>
        <w:numFmt w:val="decimal"/>
        <w:pStyle w:val="Heading7"/>
        <w:lvlText w:val="%1.%2.%3.%4.%5.%6.%7"/>
        <w:legacy w:legacy="1" w:legacySpace="144" w:legacyIndent="0"/>
        <w:lvlJc w:val="left"/>
      </w:lvl>
    </w:lvlOverride>
    <w:lvlOverride w:ilvl="7">
      <w:lvl w:ilvl="7">
        <w:start w:val="1"/>
        <w:numFmt w:val="decimal"/>
        <w:pStyle w:val="Heading8"/>
        <w:lvlText w:val="%1.%2.%3.%4.%5.%6.%7.%8"/>
        <w:legacy w:legacy="1" w:legacySpace="144" w:legacyIndent="0"/>
        <w:lvlJc w:val="left"/>
      </w:lvl>
    </w:lvlOverride>
    <w:lvlOverride w:ilvl="8">
      <w:lvl w:ilvl="8">
        <w:start w:val="1"/>
        <w:numFmt w:val="decimal"/>
        <w:pStyle w:val="Heading9"/>
        <w:lvlText w:val="%1.%2.%3.%4.%5.%6.%7.%8.%9"/>
        <w:legacy w:legacy="1" w:legacySpace="144" w:legacyIndent="0"/>
        <w:lvlJc w:val="left"/>
      </w:lvl>
    </w:lvlOverride>
  </w:num>
  <w:num w:numId="18">
    <w:abstractNumId w:val="0"/>
    <w:lvlOverride w:ilvl="0">
      <w:lvl w:ilvl="0">
        <w:start w:val="1"/>
        <w:numFmt w:val="decimal"/>
        <w:pStyle w:val="Heading1"/>
        <w:lvlText w:val="%1."/>
        <w:legacy w:legacy="1" w:legacySpace="0" w:legacyIndent="0"/>
        <w:lvlJc w:val="left"/>
      </w:lvl>
    </w:lvlOverride>
    <w:lvlOverride w:ilvl="1">
      <w:lvl w:ilvl="1">
        <w:start w:val="1"/>
        <w:numFmt w:val="decimal"/>
        <w:pStyle w:val="Heading2"/>
        <w:lvlText w:val="%1.%2"/>
        <w:legacy w:legacy="1" w:legacySpace="144" w:legacyIndent="0"/>
        <w:lvlJc w:val="left"/>
      </w:lvl>
    </w:lvlOverride>
    <w:lvlOverride w:ilvl="2">
      <w:lvl w:ilvl="2">
        <w:start w:val="1"/>
        <w:numFmt w:val="decimal"/>
        <w:pStyle w:val="Heading3"/>
        <w:lvlText w:val="%1.%2.%3"/>
        <w:legacy w:legacy="1" w:legacySpace="144" w:legacyIndent="0"/>
        <w:lvlJc w:val="left"/>
      </w:lvl>
    </w:lvlOverride>
    <w:lvlOverride w:ilvl="3">
      <w:lvl w:ilvl="3">
        <w:start w:val="1"/>
        <w:numFmt w:val="decimal"/>
        <w:pStyle w:val="Heading4"/>
        <w:lvlText w:val="%1.%2.%3.%4"/>
        <w:legacy w:legacy="1" w:legacySpace="144" w:legacyIndent="0"/>
        <w:lvlJc w:val="left"/>
      </w:lvl>
    </w:lvlOverride>
    <w:lvlOverride w:ilvl="4">
      <w:lvl w:ilvl="4">
        <w:start w:val="1"/>
        <w:numFmt w:val="decimal"/>
        <w:pStyle w:val="Heading5"/>
        <w:lvlText w:val="%1.%2.%3.%4.%5"/>
        <w:legacy w:legacy="1" w:legacySpace="144" w:legacyIndent="0"/>
        <w:lvlJc w:val="left"/>
      </w:lvl>
    </w:lvlOverride>
    <w:lvlOverride w:ilvl="5">
      <w:lvl w:ilvl="5">
        <w:start w:val="1"/>
        <w:numFmt w:val="decimal"/>
        <w:pStyle w:val="Heading6"/>
        <w:lvlText w:val="%1.%2.%3.%4.%5.%6"/>
        <w:legacy w:legacy="1" w:legacySpace="144" w:legacyIndent="0"/>
        <w:lvlJc w:val="left"/>
      </w:lvl>
    </w:lvlOverride>
    <w:lvlOverride w:ilvl="6">
      <w:lvl w:ilvl="6">
        <w:start w:val="1"/>
        <w:numFmt w:val="decimal"/>
        <w:pStyle w:val="Heading7"/>
        <w:lvlText w:val="%1.%2.%3.%4.%5.%6.%7"/>
        <w:legacy w:legacy="1" w:legacySpace="144" w:legacyIndent="0"/>
        <w:lvlJc w:val="left"/>
      </w:lvl>
    </w:lvlOverride>
    <w:lvlOverride w:ilvl="7">
      <w:lvl w:ilvl="7">
        <w:start w:val="1"/>
        <w:numFmt w:val="decimal"/>
        <w:pStyle w:val="Heading8"/>
        <w:lvlText w:val="%1.%2.%3.%4.%5.%6.%7.%8"/>
        <w:legacy w:legacy="1" w:legacySpace="144" w:legacyIndent="0"/>
        <w:lvlJc w:val="left"/>
      </w:lvl>
    </w:lvlOverride>
    <w:lvlOverride w:ilvl="8">
      <w:lvl w:ilvl="8">
        <w:start w:val="1"/>
        <w:numFmt w:val="decimal"/>
        <w:pStyle w:val="Heading9"/>
        <w:lvlText w:val="%1.%2.%3.%4.%5.%6.%7.%8.%9"/>
        <w:legacy w:legacy="1" w:legacySpace="144" w:legacyIndent="0"/>
        <w:lvlJc w:val="left"/>
      </w:lvl>
    </w:lvlOverride>
  </w:num>
  <w:num w:numId="19">
    <w:abstractNumId w:val="0"/>
    <w:lvlOverride w:ilvl="0">
      <w:lvl w:ilvl="0">
        <w:start w:val="1"/>
        <w:numFmt w:val="decimal"/>
        <w:pStyle w:val="Heading1"/>
        <w:lvlText w:val="%1."/>
        <w:legacy w:legacy="1" w:legacySpace="0" w:legacyIndent="0"/>
        <w:lvlJc w:val="left"/>
      </w:lvl>
    </w:lvlOverride>
    <w:lvlOverride w:ilvl="1">
      <w:lvl w:ilvl="1">
        <w:start w:val="1"/>
        <w:numFmt w:val="decimal"/>
        <w:pStyle w:val="Heading2"/>
        <w:lvlText w:val="%1.%2"/>
        <w:legacy w:legacy="1" w:legacySpace="144" w:legacyIndent="0"/>
        <w:lvlJc w:val="left"/>
      </w:lvl>
    </w:lvlOverride>
    <w:lvlOverride w:ilvl="2">
      <w:lvl w:ilvl="2">
        <w:start w:val="1"/>
        <w:numFmt w:val="decimal"/>
        <w:pStyle w:val="Heading3"/>
        <w:lvlText w:val="%1.%2.%3"/>
        <w:legacy w:legacy="1" w:legacySpace="144" w:legacyIndent="0"/>
        <w:lvlJc w:val="left"/>
      </w:lvl>
    </w:lvlOverride>
    <w:lvlOverride w:ilvl="3">
      <w:lvl w:ilvl="3">
        <w:start w:val="1"/>
        <w:numFmt w:val="decimal"/>
        <w:pStyle w:val="Heading4"/>
        <w:lvlText w:val="%1.%2.%3.%4"/>
        <w:legacy w:legacy="1" w:legacySpace="144" w:legacyIndent="0"/>
        <w:lvlJc w:val="left"/>
      </w:lvl>
    </w:lvlOverride>
    <w:lvlOverride w:ilvl="4">
      <w:lvl w:ilvl="4">
        <w:start w:val="1"/>
        <w:numFmt w:val="decimal"/>
        <w:pStyle w:val="Heading5"/>
        <w:lvlText w:val="%1.%2.%3.%4.%5"/>
        <w:legacy w:legacy="1" w:legacySpace="144" w:legacyIndent="0"/>
        <w:lvlJc w:val="left"/>
      </w:lvl>
    </w:lvlOverride>
    <w:lvlOverride w:ilvl="5">
      <w:lvl w:ilvl="5">
        <w:start w:val="1"/>
        <w:numFmt w:val="decimal"/>
        <w:pStyle w:val="Heading6"/>
        <w:lvlText w:val="%1.%2.%3.%4.%5.%6"/>
        <w:legacy w:legacy="1" w:legacySpace="144" w:legacyIndent="0"/>
        <w:lvlJc w:val="left"/>
      </w:lvl>
    </w:lvlOverride>
    <w:lvlOverride w:ilvl="6">
      <w:lvl w:ilvl="6">
        <w:start w:val="1"/>
        <w:numFmt w:val="decimal"/>
        <w:pStyle w:val="Heading7"/>
        <w:lvlText w:val="%1.%2.%3.%4.%5.%6.%7"/>
        <w:legacy w:legacy="1" w:legacySpace="144" w:legacyIndent="0"/>
        <w:lvlJc w:val="left"/>
      </w:lvl>
    </w:lvlOverride>
    <w:lvlOverride w:ilvl="7">
      <w:lvl w:ilvl="7">
        <w:start w:val="1"/>
        <w:numFmt w:val="decimal"/>
        <w:pStyle w:val="Heading8"/>
        <w:lvlText w:val="%1.%2.%3.%4.%5.%6.%7.%8"/>
        <w:legacy w:legacy="1" w:legacySpace="144" w:legacyIndent="0"/>
        <w:lvlJc w:val="left"/>
      </w:lvl>
    </w:lvlOverride>
    <w:lvlOverride w:ilvl="8">
      <w:lvl w:ilvl="8">
        <w:start w:val="1"/>
        <w:numFmt w:val="decimal"/>
        <w:pStyle w:val="Heading9"/>
        <w:lvlText w:val="%1.%2.%3.%4.%5.%6.%7.%8.%9"/>
        <w:legacy w:legacy="1" w:legacySpace="144" w:legacyIndent="0"/>
        <w:lvlJc w:val="left"/>
      </w:lvl>
    </w:lvlOverride>
  </w:num>
  <w:num w:numId="20">
    <w:abstractNumId w:val="0"/>
    <w:lvlOverride w:ilvl="0">
      <w:lvl w:ilvl="0">
        <w:start w:val="1"/>
        <w:numFmt w:val="decimal"/>
        <w:pStyle w:val="Heading1"/>
        <w:lvlText w:val="%1."/>
        <w:legacy w:legacy="1" w:legacySpace="0" w:legacyIndent="0"/>
        <w:lvlJc w:val="left"/>
      </w:lvl>
    </w:lvlOverride>
    <w:lvlOverride w:ilvl="1">
      <w:lvl w:ilvl="1">
        <w:start w:val="1"/>
        <w:numFmt w:val="decimal"/>
        <w:pStyle w:val="Heading2"/>
        <w:lvlText w:val="%1.%2"/>
        <w:legacy w:legacy="1" w:legacySpace="144" w:legacyIndent="0"/>
        <w:lvlJc w:val="left"/>
      </w:lvl>
    </w:lvlOverride>
    <w:lvlOverride w:ilvl="2">
      <w:lvl w:ilvl="2">
        <w:start w:val="1"/>
        <w:numFmt w:val="decimal"/>
        <w:pStyle w:val="Heading3"/>
        <w:lvlText w:val="%1.%2.%3"/>
        <w:legacy w:legacy="1" w:legacySpace="144" w:legacyIndent="0"/>
        <w:lvlJc w:val="left"/>
      </w:lvl>
    </w:lvlOverride>
    <w:lvlOverride w:ilvl="3">
      <w:lvl w:ilvl="3">
        <w:start w:val="1"/>
        <w:numFmt w:val="decimal"/>
        <w:pStyle w:val="Heading4"/>
        <w:lvlText w:val="%1.%2.%3.%4"/>
        <w:legacy w:legacy="1" w:legacySpace="144" w:legacyIndent="0"/>
        <w:lvlJc w:val="left"/>
      </w:lvl>
    </w:lvlOverride>
    <w:lvlOverride w:ilvl="4">
      <w:lvl w:ilvl="4">
        <w:start w:val="1"/>
        <w:numFmt w:val="decimal"/>
        <w:pStyle w:val="Heading5"/>
        <w:lvlText w:val="%1.%2.%3.%4.%5"/>
        <w:legacy w:legacy="1" w:legacySpace="144" w:legacyIndent="0"/>
        <w:lvlJc w:val="left"/>
      </w:lvl>
    </w:lvlOverride>
    <w:lvlOverride w:ilvl="5">
      <w:lvl w:ilvl="5">
        <w:start w:val="1"/>
        <w:numFmt w:val="decimal"/>
        <w:pStyle w:val="Heading6"/>
        <w:lvlText w:val="%1.%2.%3.%4.%5.%6"/>
        <w:legacy w:legacy="1" w:legacySpace="144" w:legacyIndent="0"/>
        <w:lvlJc w:val="left"/>
      </w:lvl>
    </w:lvlOverride>
    <w:lvlOverride w:ilvl="6">
      <w:lvl w:ilvl="6">
        <w:start w:val="1"/>
        <w:numFmt w:val="decimal"/>
        <w:pStyle w:val="Heading7"/>
        <w:lvlText w:val="%1.%2.%3.%4.%5.%6.%7"/>
        <w:legacy w:legacy="1" w:legacySpace="144" w:legacyIndent="0"/>
        <w:lvlJc w:val="left"/>
      </w:lvl>
    </w:lvlOverride>
    <w:lvlOverride w:ilvl="7">
      <w:lvl w:ilvl="7">
        <w:start w:val="1"/>
        <w:numFmt w:val="decimal"/>
        <w:pStyle w:val="Heading8"/>
        <w:lvlText w:val="%1.%2.%3.%4.%5.%6.%7.%8"/>
        <w:legacy w:legacy="1" w:legacySpace="144" w:legacyIndent="0"/>
        <w:lvlJc w:val="left"/>
      </w:lvl>
    </w:lvlOverride>
    <w:lvlOverride w:ilvl="8">
      <w:lvl w:ilvl="8">
        <w:start w:val="1"/>
        <w:numFmt w:val="decimal"/>
        <w:pStyle w:val="Heading9"/>
        <w:lvlText w:val="%1.%2.%3.%4.%5.%6.%7.%8.%9"/>
        <w:legacy w:legacy="1" w:legacySpace="144" w:legacyIndent="0"/>
        <w:lvlJc w:val="left"/>
      </w:lvl>
    </w:lvlOverride>
  </w:num>
  <w:num w:numId="21">
    <w:abstractNumId w:val="0"/>
    <w:lvlOverride w:ilvl="0">
      <w:lvl w:ilvl="0">
        <w:start w:val="1"/>
        <w:numFmt w:val="decimal"/>
        <w:pStyle w:val="Heading1"/>
        <w:lvlText w:val="%1."/>
        <w:legacy w:legacy="1" w:legacySpace="0" w:legacyIndent="0"/>
        <w:lvlJc w:val="left"/>
      </w:lvl>
    </w:lvlOverride>
    <w:lvlOverride w:ilvl="1">
      <w:lvl w:ilvl="1">
        <w:start w:val="1"/>
        <w:numFmt w:val="decimal"/>
        <w:pStyle w:val="Heading2"/>
        <w:lvlText w:val="%1.%2"/>
        <w:legacy w:legacy="1" w:legacySpace="144" w:legacyIndent="0"/>
        <w:lvlJc w:val="left"/>
      </w:lvl>
    </w:lvlOverride>
    <w:lvlOverride w:ilvl="2">
      <w:lvl w:ilvl="2">
        <w:start w:val="1"/>
        <w:numFmt w:val="decimal"/>
        <w:pStyle w:val="Heading3"/>
        <w:lvlText w:val="%1.%2.%3"/>
        <w:legacy w:legacy="1" w:legacySpace="144" w:legacyIndent="0"/>
        <w:lvlJc w:val="left"/>
      </w:lvl>
    </w:lvlOverride>
    <w:lvlOverride w:ilvl="3">
      <w:lvl w:ilvl="3">
        <w:start w:val="1"/>
        <w:numFmt w:val="decimal"/>
        <w:pStyle w:val="Heading4"/>
        <w:lvlText w:val="%1.%2.%3.%4"/>
        <w:legacy w:legacy="1" w:legacySpace="144" w:legacyIndent="0"/>
        <w:lvlJc w:val="left"/>
      </w:lvl>
    </w:lvlOverride>
    <w:lvlOverride w:ilvl="4">
      <w:lvl w:ilvl="4">
        <w:start w:val="1"/>
        <w:numFmt w:val="decimal"/>
        <w:pStyle w:val="Heading5"/>
        <w:lvlText w:val="%1.%2.%3.%4.%5"/>
        <w:legacy w:legacy="1" w:legacySpace="144" w:legacyIndent="0"/>
        <w:lvlJc w:val="left"/>
      </w:lvl>
    </w:lvlOverride>
    <w:lvlOverride w:ilvl="5">
      <w:lvl w:ilvl="5">
        <w:start w:val="1"/>
        <w:numFmt w:val="decimal"/>
        <w:pStyle w:val="Heading6"/>
        <w:lvlText w:val="%1.%2.%3.%4.%5.%6"/>
        <w:legacy w:legacy="1" w:legacySpace="144" w:legacyIndent="0"/>
        <w:lvlJc w:val="left"/>
      </w:lvl>
    </w:lvlOverride>
    <w:lvlOverride w:ilvl="6">
      <w:lvl w:ilvl="6">
        <w:start w:val="1"/>
        <w:numFmt w:val="decimal"/>
        <w:pStyle w:val="Heading7"/>
        <w:lvlText w:val="%1.%2.%3.%4.%5.%6.%7"/>
        <w:legacy w:legacy="1" w:legacySpace="144" w:legacyIndent="0"/>
        <w:lvlJc w:val="left"/>
      </w:lvl>
    </w:lvlOverride>
    <w:lvlOverride w:ilvl="7">
      <w:lvl w:ilvl="7">
        <w:start w:val="1"/>
        <w:numFmt w:val="decimal"/>
        <w:pStyle w:val="Heading8"/>
        <w:lvlText w:val="%1.%2.%3.%4.%5.%6.%7.%8"/>
        <w:legacy w:legacy="1" w:legacySpace="144" w:legacyIndent="0"/>
        <w:lvlJc w:val="left"/>
      </w:lvl>
    </w:lvlOverride>
    <w:lvlOverride w:ilvl="8">
      <w:lvl w:ilvl="8">
        <w:start w:val="1"/>
        <w:numFmt w:val="decimal"/>
        <w:pStyle w:val="Heading9"/>
        <w:lvlText w:val="%1.%2.%3.%4.%5.%6.%7.%8.%9"/>
        <w:legacy w:legacy="1" w:legacySpace="144" w:legacyIndent="0"/>
        <w:lvlJc w:val="left"/>
      </w:lvl>
    </w:lvlOverride>
  </w:num>
  <w:num w:numId="22">
    <w:abstractNumId w:val="0"/>
    <w:lvlOverride w:ilvl="0">
      <w:lvl w:ilvl="0">
        <w:start w:val="1"/>
        <w:numFmt w:val="decimal"/>
        <w:pStyle w:val="Heading1"/>
        <w:lvlText w:val="%1."/>
        <w:legacy w:legacy="1" w:legacySpace="0" w:legacyIndent="0"/>
        <w:lvlJc w:val="left"/>
      </w:lvl>
    </w:lvlOverride>
    <w:lvlOverride w:ilvl="1">
      <w:lvl w:ilvl="1">
        <w:start w:val="1"/>
        <w:numFmt w:val="decimal"/>
        <w:pStyle w:val="Heading2"/>
        <w:lvlText w:val="%1.%2"/>
        <w:legacy w:legacy="1" w:legacySpace="144" w:legacyIndent="0"/>
        <w:lvlJc w:val="left"/>
      </w:lvl>
    </w:lvlOverride>
    <w:lvlOverride w:ilvl="2">
      <w:lvl w:ilvl="2">
        <w:start w:val="1"/>
        <w:numFmt w:val="decimal"/>
        <w:pStyle w:val="Heading3"/>
        <w:lvlText w:val="%1.%2.%3"/>
        <w:legacy w:legacy="1" w:legacySpace="144" w:legacyIndent="0"/>
        <w:lvlJc w:val="left"/>
      </w:lvl>
    </w:lvlOverride>
    <w:lvlOverride w:ilvl="3">
      <w:lvl w:ilvl="3">
        <w:start w:val="1"/>
        <w:numFmt w:val="decimal"/>
        <w:pStyle w:val="Heading4"/>
        <w:lvlText w:val="%1.%2.%3.%4"/>
        <w:legacy w:legacy="1" w:legacySpace="144" w:legacyIndent="0"/>
        <w:lvlJc w:val="left"/>
      </w:lvl>
    </w:lvlOverride>
    <w:lvlOverride w:ilvl="4">
      <w:lvl w:ilvl="4">
        <w:start w:val="1"/>
        <w:numFmt w:val="decimal"/>
        <w:pStyle w:val="Heading5"/>
        <w:lvlText w:val="%1.%2.%3.%4.%5"/>
        <w:legacy w:legacy="1" w:legacySpace="144" w:legacyIndent="0"/>
        <w:lvlJc w:val="left"/>
      </w:lvl>
    </w:lvlOverride>
    <w:lvlOverride w:ilvl="5">
      <w:lvl w:ilvl="5">
        <w:start w:val="1"/>
        <w:numFmt w:val="decimal"/>
        <w:pStyle w:val="Heading6"/>
        <w:lvlText w:val="%1.%2.%3.%4.%5.%6"/>
        <w:legacy w:legacy="1" w:legacySpace="144" w:legacyIndent="0"/>
        <w:lvlJc w:val="left"/>
      </w:lvl>
    </w:lvlOverride>
    <w:lvlOverride w:ilvl="6">
      <w:lvl w:ilvl="6">
        <w:start w:val="1"/>
        <w:numFmt w:val="decimal"/>
        <w:pStyle w:val="Heading7"/>
        <w:lvlText w:val="%1.%2.%3.%4.%5.%6.%7"/>
        <w:legacy w:legacy="1" w:legacySpace="144" w:legacyIndent="0"/>
        <w:lvlJc w:val="left"/>
      </w:lvl>
    </w:lvlOverride>
    <w:lvlOverride w:ilvl="7">
      <w:lvl w:ilvl="7">
        <w:start w:val="1"/>
        <w:numFmt w:val="decimal"/>
        <w:pStyle w:val="Heading8"/>
        <w:lvlText w:val="%1.%2.%3.%4.%5.%6.%7.%8"/>
        <w:legacy w:legacy="1" w:legacySpace="144" w:legacyIndent="0"/>
        <w:lvlJc w:val="left"/>
      </w:lvl>
    </w:lvlOverride>
    <w:lvlOverride w:ilvl="8">
      <w:lvl w:ilvl="8">
        <w:start w:val="1"/>
        <w:numFmt w:val="decimal"/>
        <w:pStyle w:val="Heading9"/>
        <w:lvlText w:val="%1.%2.%3.%4.%5.%6.%7.%8.%9"/>
        <w:legacy w:legacy="1" w:legacySpace="144" w:legacyIndent="0"/>
        <w:lvlJc w:val="left"/>
      </w:lvl>
    </w:lvlOverride>
  </w:num>
  <w:num w:numId="23">
    <w:abstractNumId w:val="0"/>
    <w:lvlOverride w:ilvl="0">
      <w:lvl w:ilvl="0">
        <w:start w:val="1"/>
        <w:numFmt w:val="decimal"/>
        <w:pStyle w:val="Heading1"/>
        <w:lvlText w:val="%1."/>
        <w:legacy w:legacy="1" w:legacySpace="0" w:legacyIndent="0"/>
        <w:lvlJc w:val="left"/>
      </w:lvl>
    </w:lvlOverride>
    <w:lvlOverride w:ilvl="1">
      <w:lvl w:ilvl="1">
        <w:start w:val="1"/>
        <w:numFmt w:val="decimal"/>
        <w:pStyle w:val="Heading2"/>
        <w:lvlText w:val="%1.%2"/>
        <w:legacy w:legacy="1" w:legacySpace="144" w:legacyIndent="0"/>
        <w:lvlJc w:val="left"/>
      </w:lvl>
    </w:lvlOverride>
    <w:lvlOverride w:ilvl="2">
      <w:lvl w:ilvl="2">
        <w:start w:val="1"/>
        <w:numFmt w:val="decimal"/>
        <w:pStyle w:val="Heading3"/>
        <w:lvlText w:val="%1.%2.%3"/>
        <w:legacy w:legacy="1" w:legacySpace="144" w:legacyIndent="0"/>
        <w:lvlJc w:val="left"/>
      </w:lvl>
    </w:lvlOverride>
    <w:lvlOverride w:ilvl="3">
      <w:lvl w:ilvl="3">
        <w:start w:val="1"/>
        <w:numFmt w:val="decimal"/>
        <w:pStyle w:val="Heading4"/>
        <w:lvlText w:val="%1.%2.%3.%4"/>
        <w:legacy w:legacy="1" w:legacySpace="144" w:legacyIndent="0"/>
        <w:lvlJc w:val="left"/>
      </w:lvl>
    </w:lvlOverride>
    <w:lvlOverride w:ilvl="4">
      <w:lvl w:ilvl="4">
        <w:start w:val="1"/>
        <w:numFmt w:val="decimal"/>
        <w:pStyle w:val="Heading5"/>
        <w:lvlText w:val="%1.%2.%3.%4.%5"/>
        <w:legacy w:legacy="1" w:legacySpace="144" w:legacyIndent="0"/>
        <w:lvlJc w:val="left"/>
      </w:lvl>
    </w:lvlOverride>
    <w:lvlOverride w:ilvl="5">
      <w:lvl w:ilvl="5">
        <w:start w:val="1"/>
        <w:numFmt w:val="decimal"/>
        <w:pStyle w:val="Heading6"/>
        <w:lvlText w:val="%1.%2.%3.%4.%5.%6"/>
        <w:legacy w:legacy="1" w:legacySpace="144" w:legacyIndent="0"/>
        <w:lvlJc w:val="left"/>
      </w:lvl>
    </w:lvlOverride>
    <w:lvlOverride w:ilvl="6">
      <w:lvl w:ilvl="6">
        <w:start w:val="1"/>
        <w:numFmt w:val="decimal"/>
        <w:pStyle w:val="Heading7"/>
        <w:lvlText w:val="%1.%2.%3.%4.%5.%6.%7"/>
        <w:legacy w:legacy="1" w:legacySpace="144" w:legacyIndent="0"/>
        <w:lvlJc w:val="left"/>
      </w:lvl>
    </w:lvlOverride>
    <w:lvlOverride w:ilvl="7">
      <w:lvl w:ilvl="7">
        <w:start w:val="1"/>
        <w:numFmt w:val="decimal"/>
        <w:pStyle w:val="Heading8"/>
        <w:lvlText w:val="%1.%2.%3.%4.%5.%6.%7.%8"/>
        <w:legacy w:legacy="1" w:legacySpace="144" w:legacyIndent="0"/>
        <w:lvlJc w:val="left"/>
      </w:lvl>
    </w:lvlOverride>
    <w:lvlOverride w:ilvl="8">
      <w:lvl w:ilvl="8">
        <w:start w:val="1"/>
        <w:numFmt w:val="decimal"/>
        <w:pStyle w:val="Heading9"/>
        <w:lvlText w:val="%1.%2.%3.%4.%5.%6.%7.%8.%9"/>
        <w:legacy w:legacy="1" w:legacySpace="144" w:legacyIndent="0"/>
        <w:lvlJc w:val="left"/>
      </w:lvl>
    </w:lvlOverride>
  </w:num>
  <w:num w:numId="24">
    <w:abstractNumId w:val="0"/>
    <w:lvlOverride w:ilvl="0">
      <w:lvl w:ilvl="0">
        <w:start w:val="1"/>
        <w:numFmt w:val="decimal"/>
        <w:pStyle w:val="Heading1"/>
        <w:lvlText w:val="%1."/>
        <w:legacy w:legacy="1" w:legacySpace="0" w:legacyIndent="0"/>
        <w:lvlJc w:val="left"/>
      </w:lvl>
    </w:lvlOverride>
    <w:lvlOverride w:ilvl="1">
      <w:lvl w:ilvl="1">
        <w:start w:val="1"/>
        <w:numFmt w:val="decimal"/>
        <w:pStyle w:val="Heading2"/>
        <w:lvlText w:val="%1.%2"/>
        <w:legacy w:legacy="1" w:legacySpace="144" w:legacyIndent="0"/>
        <w:lvlJc w:val="left"/>
      </w:lvl>
    </w:lvlOverride>
    <w:lvlOverride w:ilvl="2">
      <w:lvl w:ilvl="2">
        <w:start w:val="1"/>
        <w:numFmt w:val="decimal"/>
        <w:pStyle w:val="Heading3"/>
        <w:lvlText w:val="%1.%2.%3"/>
        <w:legacy w:legacy="1" w:legacySpace="144" w:legacyIndent="0"/>
        <w:lvlJc w:val="left"/>
      </w:lvl>
    </w:lvlOverride>
    <w:lvlOverride w:ilvl="3">
      <w:lvl w:ilvl="3">
        <w:start w:val="1"/>
        <w:numFmt w:val="decimal"/>
        <w:pStyle w:val="Heading4"/>
        <w:lvlText w:val="%1.%2.%3.%4"/>
        <w:legacy w:legacy="1" w:legacySpace="144" w:legacyIndent="0"/>
        <w:lvlJc w:val="left"/>
      </w:lvl>
    </w:lvlOverride>
    <w:lvlOverride w:ilvl="4">
      <w:lvl w:ilvl="4">
        <w:start w:val="1"/>
        <w:numFmt w:val="decimal"/>
        <w:pStyle w:val="Heading5"/>
        <w:lvlText w:val="%1.%2.%3.%4.%5"/>
        <w:legacy w:legacy="1" w:legacySpace="144" w:legacyIndent="0"/>
        <w:lvlJc w:val="left"/>
      </w:lvl>
    </w:lvlOverride>
    <w:lvlOverride w:ilvl="5">
      <w:lvl w:ilvl="5">
        <w:start w:val="1"/>
        <w:numFmt w:val="decimal"/>
        <w:pStyle w:val="Heading6"/>
        <w:lvlText w:val="%1.%2.%3.%4.%5.%6"/>
        <w:legacy w:legacy="1" w:legacySpace="144" w:legacyIndent="0"/>
        <w:lvlJc w:val="left"/>
      </w:lvl>
    </w:lvlOverride>
    <w:lvlOverride w:ilvl="6">
      <w:lvl w:ilvl="6">
        <w:start w:val="1"/>
        <w:numFmt w:val="decimal"/>
        <w:pStyle w:val="Heading7"/>
        <w:lvlText w:val="%1.%2.%3.%4.%5.%6.%7"/>
        <w:legacy w:legacy="1" w:legacySpace="144" w:legacyIndent="0"/>
        <w:lvlJc w:val="left"/>
      </w:lvl>
    </w:lvlOverride>
    <w:lvlOverride w:ilvl="7">
      <w:lvl w:ilvl="7">
        <w:start w:val="1"/>
        <w:numFmt w:val="decimal"/>
        <w:pStyle w:val="Heading8"/>
        <w:lvlText w:val="%1.%2.%3.%4.%5.%6.%7.%8"/>
        <w:legacy w:legacy="1" w:legacySpace="144" w:legacyIndent="0"/>
        <w:lvlJc w:val="left"/>
      </w:lvl>
    </w:lvlOverride>
    <w:lvlOverride w:ilvl="8">
      <w:lvl w:ilvl="8">
        <w:start w:val="1"/>
        <w:numFmt w:val="decimal"/>
        <w:pStyle w:val="Heading9"/>
        <w:lvlText w:val="%1.%2.%3.%4.%5.%6.%7.%8.%9"/>
        <w:legacy w:legacy="1" w:legacySpace="144" w:legacyIndent="0"/>
        <w:lvlJc w:val="left"/>
      </w:lvl>
    </w:lvlOverride>
  </w:num>
  <w:num w:numId="25">
    <w:abstractNumId w:val="0"/>
    <w:lvlOverride w:ilvl="0">
      <w:lvl w:ilvl="0">
        <w:start w:val="1"/>
        <w:numFmt w:val="decimal"/>
        <w:pStyle w:val="Heading1"/>
        <w:lvlText w:val="%1."/>
        <w:legacy w:legacy="1" w:legacySpace="0" w:legacyIndent="0"/>
        <w:lvlJc w:val="left"/>
      </w:lvl>
    </w:lvlOverride>
    <w:lvlOverride w:ilvl="1">
      <w:lvl w:ilvl="1">
        <w:start w:val="1"/>
        <w:numFmt w:val="decimal"/>
        <w:pStyle w:val="Heading2"/>
        <w:lvlText w:val="%1.%2"/>
        <w:legacy w:legacy="1" w:legacySpace="144" w:legacyIndent="0"/>
        <w:lvlJc w:val="left"/>
      </w:lvl>
    </w:lvlOverride>
    <w:lvlOverride w:ilvl="2">
      <w:lvl w:ilvl="2">
        <w:start w:val="1"/>
        <w:numFmt w:val="decimal"/>
        <w:pStyle w:val="Heading3"/>
        <w:lvlText w:val="%1.%2.%3"/>
        <w:legacy w:legacy="1" w:legacySpace="144" w:legacyIndent="0"/>
        <w:lvlJc w:val="left"/>
      </w:lvl>
    </w:lvlOverride>
    <w:lvlOverride w:ilvl="3">
      <w:lvl w:ilvl="3">
        <w:start w:val="1"/>
        <w:numFmt w:val="decimal"/>
        <w:pStyle w:val="Heading4"/>
        <w:lvlText w:val="%1.%2.%3.%4"/>
        <w:legacy w:legacy="1" w:legacySpace="144" w:legacyIndent="0"/>
        <w:lvlJc w:val="left"/>
      </w:lvl>
    </w:lvlOverride>
    <w:lvlOverride w:ilvl="4">
      <w:lvl w:ilvl="4">
        <w:start w:val="1"/>
        <w:numFmt w:val="decimal"/>
        <w:pStyle w:val="Heading5"/>
        <w:lvlText w:val="%1.%2.%3.%4.%5"/>
        <w:legacy w:legacy="1" w:legacySpace="144" w:legacyIndent="0"/>
        <w:lvlJc w:val="left"/>
      </w:lvl>
    </w:lvlOverride>
    <w:lvlOverride w:ilvl="5">
      <w:lvl w:ilvl="5">
        <w:start w:val="1"/>
        <w:numFmt w:val="decimal"/>
        <w:pStyle w:val="Heading6"/>
        <w:lvlText w:val="%1.%2.%3.%4.%5.%6"/>
        <w:legacy w:legacy="1" w:legacySpace="144" w:legacyIndent="0"/>
        <w:lvlJc w:val="left"/>
      </w:lvl>
    </w:lvlOverride>
    <w:lvlOverride w:ilvl="6">
      <w:lvl w:ilvl="6">
        <w:start w:val="1"/>
        <w:numFmt w:val="decimal"/>
        <w:pStyle w:val="Heading7"/>
        <w:lvlText w:val="%1.%2.%3.%4.%5.%6.%7"/>
        <w:legacy w:legacy="1" w:legacySpace="144" w:legacyIndent="0"/>
        <w:lvlJc w:val="left"/>
      </w:lvl>
    </w:lvlOverride>
    <w:lvlOverride w:ilvl="7">
      <w:lvl w:ilvl="7">
        <w:start w:val="1"/>
        <w:numFmt w:val="decimal"/>
        <w:pStyle w:val="Heading8"/>
        <w:lvlText w:val="%1.%2.%3.%4.%5.%6.%7.%8"/>
        <w:legacy w:legacy="1" w:legacySpace="144" w:legacyIndent="0"/>
        <w:lvlJc w:val="left"/>
      </w:lvl>
    </w:lvlOverride>
    <w:lvlOverride w:ilvl="8">
      <w:lvl w:ilvl="8">
        <w:start w:val="1"/>
        <w:numFmt w:val="decimal"/>
        <w:pStyle w:val="Heading9"/>
        <w:lvlText w:val="%1.%2.%3.%4.%5.%6.%7.%8.%9"/>
        <w:legacy w:legacy="1" w:legacySpace="144" w:legacyIndent="0"/>
        <w:lvlJc w:val="left"/>
      </w:lvl>
    </w:lvlOverride>
  </w:num>
  <w:num w:numId="26">
    <w:abstractNumId w:val="0"/>
    <w:lvlOverride w:ilvl="0">
      <w:lvl w:ilvl="0">
        <w:start w:val="1"/>
        <w:numFmt w:val="decimal"/>
        <w:pStyle w:val="Heading1"/>
        <w:lvlText w:val="%1."/>
        <w:legacy w:legacy="1" w:legacySpace="0" w:legacyIndent="0"/>
        <w:lvlJc w:val="left"/>
      </w:lvl>
    </w:lvlOverride>
    <w:lvlOverride w:ilvl="1">
      <w:lvl w:ilvl="1">
        <w:start w:val="1"/>
        <w:numFmt w:val="decimal"/>
        <w:pStyle w:val="Heading2"/>
        <w:lvlText w:val="%1.%2"/>
        <w:legacy w:legacy="1" w:legacySpace="144" w:legacyIndent="0"/>
        <w:lvlJc w:val="left"/>
      </w:lvl>
    </w:lvlOverride>
    <w:lvlOverride w:ilvl="2">
      <w:lvl w:ilvl="2">
        <w:start w:val="1"/>
        <w:numFmt w:val="decimal"/>
        <w:pStyle w:val="Heading3"/>
        <w:lvlText w:val="%1.%2.%3"/>
        <w:legacy w:legacy="1" w:legacySpace="144" w:legacyIndent="0"/>
        <w:lvlJc w:val="left"/>
      </w:lvl>
    </w:lvlOverride>
    <w:lvlOverride w:ilvl="3">
      <w:lvl w:ilvl="3">
        <w:start w:val="1"/>
        <w:numFmt w:val="decimal"/>
        <w:pStyle w:val="Heading4"/>
        <w:lvlText w:val="%1.%2.%3.%4"/>
        <w:legacy w:legacy="1" w:legacySpace="144" w:legacyIndent="0"/>
        <w:lvlJc w:val="left"/>
      </w:lvl>
    </w:lvlOverride>
    <w:lvlOverride w:ilvl="4">
      <w:lvl w:ilvl="4">
        <w:start w:val="1"/>
        <w:numFmt w:val="decimal"/>
        <w:pStyle w:val="Heading5"/>
        <w:lvlText w:val="%1.%2.%3.%4.%5"/>
        <w:legacy w:legacy="1" w:legacySpace="144" w:legacyIndent="0"/>
        <w:lvlJc w:val="left"/>
      </w:lvl>
    </w:lvlOverride>
    <w:lvlOverride w:ilvl="5">
      <w:lvl w:ilvl="5">
        <w:start w:val="1"/>
        <w:numFmt w:val="decimal"/>
        <w:pStyle w:val="Heading6"/>
        <w:lvlText w:val="%1.%2.%3.%4.%5.%6"/>
        <w:legacy w:legacy="1" w:legacySpace="144" w:legacyIndent="0"/>
        <w:lvlJc w:val="left"/>
      </w:lvl>
    </w:lvlOverride>
    <w:lvlOverride w:ilvl="6">
      <w:lvl w:ilvl="6">
        <w:start w:val="1"/>
        <w:numFmt w:val="decimal"/>
        <w:pStyle w:val="Heading7"/>
        <w:lvlText w:val="%1.%2.%3.%4.%5.%6.%7"/>
        <w:legacy w:legacy="1" w:legacySpace="144" w:legacyIndent="0"/>
        <w:lvlJc w:val="left"/>
      </w:lvl>
    </w:lvlOverride>
    <w:lvlOverride w:ilvl="7">
      <w:lvl w:ilvl="7">
        <w:start w:val="1"/>
        <w:numFmt w:val="decimal"/>
        <w:pStyle w:val="Heading8"/>
        <w:lvlText w:val="%1.%2.%3.%4.%5.%6.%7.%8"/>
        <w:legacy w:legacy="1" w:legacySpace="144" w:legacyIndent="0"/>
        <w:lvlJc w:val="left"/>
      </w:lvl>
    </w:lvlOverride>
    <w:lvlOverride w:ilvl="8">
      <w:lvl w:ilvl="8">
        <w:start w:val="1"/>
        <w:numFmt w:val="decimal"/>
        <w:pStyle w:val="Heading9"/>
        <w:lvlText w:val="%1.%2.%3.%4.%5.%6.%7.%8.%9"/>
        <w:legacy w:legacy="1" w:legacySpace="144" w:legacyIndent="0"/>
        <w:lvlJc w:val="left"/>
      </w:lvl>
    </w:lvlOverride>
  </w:num>
  <w:num w:numId="27">
    <w:abstractNumId w:val="0"/>
    <w:lvlOverride w:ilvl="0">
      <w:lvl w:ilvl="0">
        <w:start w:val="1"/>
        <w:numFmt w:val="decimal"/>
        <w:pStyle w:val="Heading1"/>
        <w:lvlText w:val="%1."/>
        <w:legacy w:legacy="1" w:legacySpace="0" w:legacyIndent="0"/>
        <w:lvlJc w:val="left"/>
      </w:lvl>
    </w:lvlOverride>
    <w:lvlOverride w:ilvl="1">
      <w:lvl w:ilvl="1">
        <w:start w:val="1"/>
        <w:numFmt w:val="decimal"/>
        <w:pStyle w:val="Heading2"/>
        <w:lvlText w:val="%1.%2"/>
        <w:legacy w:legacy="1" w:legacySpace="144" w:legacyIndent="0"/>
        <w:lvlJc w:val="left"/>
      </w:lvl>
    </w:lvlOverride>
    <w:lvlOverride w:ilvl="2">
      <w:lvl w:ilvl="2">
        <w:start w:val="1"/>
        <w:numFmt w:val="decimal"/>
        <w:pStyle w:val="Heading3"/>
        <w:lvlText w:val="%1.%2.%3"/>
        <w:legacy w:legacy="1" w:legacySpace="144" w:legacyIndent="0"/>
        <w:lvlJc w:val="left"/>
      </w:lvl>
    </w:lvlOverride>
    <w:lvlOverride w:ilvl="3">
      <w:lvl w:ilvl="3">
        <w:start w:val="1"/>
        <w:numFmt w:val="decimal"/>
        <w:pStyle w:val="Heading4"/>
        <w:lvlText w:val="%1.%2.%3.%4"/>
        <w:legacy w:legacy="1" w:legacySpace="144" w:legacyIndent="0"/>
        <w:lvlJc w:val="left"/>
      </w:lvl>
    </w:lvlOverride>
    <w:lvlOverride w:ilvl="4">
      <w:lvl w:ilvl="4">
        <w:start w:val="1"/>
        <w:numFmt w:val="decimal"/>
        <w:pStyle w:val="Heading5"/>
        <w:lvlText w:val="%1.%2.%3.%4.%5"/>
        <w:legacy w:legacy="1" w:legacySpace="144" w:legacyIndent="0"/>
        <w:lvlJc w:val="left"/>
      </w:lvl>
    </w:lvlOverride>
    <w:lvlOverride w:ilvl="5">
      <w:lvl w:ilvl="5">
        <w:start w:val="1"/>
        <w:numFmt w:val="decimal"/>
        <w:pStyle w:val="Heading6"/>
        <w:lvlText w:val="%1.%2.%3.%4.%5.%6"/>
        <w:legacy w:legacy="1" w:legacySpace="144" w:legacyIndent="0"/>
        <w:lvlJc w:val="left"/>
      </w:lvl>
    </w:lvlOverride>
    <w:lvlOverride w:ilvl="6">
      <w:lvl w:ilvl="6">
        <w:start w:val="1"/>
        <w:numFmt w:val="decimal"/>
        <w:pStyle w:val="Heading7"/>
        <w:lvlText w:val="%1.%2.%3.%4.%5.%6.%7"/>
        <w:legacy w:legacy="1" w:legacySpace="144" w:legacyIndent="0"/>
        <w:lvlJc w:val="left"/>
      </w:lvl>
    </w:lvlOverride>
    <w:lvlOverride w:ilvl="7">
      <w:lvl w:ilvl="7">
        <w:start w:val="1"/>
        <w:numFmt w:val="decimal"/>
        <w:pStyle w:val="Heading8"/>
        <w:lvlText w:val="%1.%2.%3.%4.%5.%6.%7.%8"/>
        <w:legacy w:legacy="1" w:legacySpace="144" w:legacyIndent="0"/>
        <w:lvlJc w:val="left"/>
      </w:lvl>
    </w:lvlOverride>
    <w:lvlOverride w:ilvl="8">
      <w:lvl w:ilvl="8">
        <w:start w:val="1"/>
        <w:numFmt w:val="decimal"/>
        <w:pStyle w:val="Heading9"/>
        <w:lvlText w:val="%1.%2.%3.%4.%5.%6.%7.%8.%9"/>
        <w:legacy w:legacy="1" w:legacySpace="144" w:legacyIndent="0"/>
        <w:lvlJc w:val="left"/>
      </w:lvl>
    </w:lvlOverride>
  </w:num>
  <w:num w:numId="28">
    <w:abstractNumId w:val="0"/>
    <w:lvlOverride w:ilvl="0">
      <w:lvl w:ilvl="0">
        <w:start w:val="1"/>
        <w:numFmt w:val="decimal"/>
        <w:pStyle w:val="Heading1"/>
        <w:lvlText w:val="%1."/>
        <w:legacy w:legacy="1" w:legacySpace="0" w:legacyIndent="0"/>
        <w:lvlJc w:val="left"/>
      </w:lvl>
    </w:lvlOverride>
    <w:lvlOverride w:ilvl="1">
      <w:lvl w:ilvl="1">
        <w:start w:val="1"/>
        <w:numFmt w:val="decimal"/>
        <w:pStyle w:val="Heading2"/>
        <w:lvlText w:val="%1.%2"/>
        <w:legacy w:legacy="1" w:legacySpace="144" w:legacyIndent="0"/>
        <w:lvlJc w:val="left"/>
      </w:lvl>
    </w:lvlOverride>
    <w:lvlOverride w:ilvl="2">
      <w:lvl w:ilvl="2">
        <w:start w:val="1"/>
        <w:numFmt w:val="decimal"/>
        <w:pStyle w:val="Heading3"/>
        <w:lvlText w:val="%1.%2.%3"/>
        <w:legacy w:legacy="1" w:legacySpace="144" w:legacyIndent="0"/>
        <w:lvlJc w:val="left"/>
      </w:lvl>
    </w:lvlOverride>
    <w:lvlOverride w:ilvl="3">
      <w:lvl w:ilvl="3">
        <w:start w:val="1"/>
        <w:numFmt w:val="decimal"/>
        <w:pStyle w:val="Heading4"/>
        <w:lvlText w:val="%1.%2.%3.%4"/>
        <w:legacy w:legacy="1" w:legacySpace="144" w:legacyIndent="0"/>
        <w:lvlJc w:val="left"/>
      </w:lvl>
    </w:lvlOverride>
    <w:lvlOverride w:ilvl="4">
      <w:lvl w:ilvl="4">
        <w:start w:val="1"/>
        <w:numFmt w:val="decimal"/>
        <w:pStyle w:val="Heading5"/>
        <w:lvlText w:val="%1.%2.%3.%4.%5"/>
        <w:legacy w:legacy="1" w:legacySpace="144" w:legacyIndent="0"/>
        <w:lvlJc w:val="left"/>
      </w:lvl>
    </w:lvlOverride>
    <w:lvlOverride w:ilvl="5">
      <w:lvl w:ilvl="5">
        <w:start w:val="1"/>
        <w:numFmt w:val="decimal"/>
        <w:pStyle w:val="Heading6"/>
        <w:lvlText w:val="%1.%2.%3.%4.%5.%6"/>
        <w:legacy w:legacy="1" w:legacySpace="144" w:legacyIndent="0"/>
        <w:lvlJc w:val="left"/>
      </w:lvl>
    </w:lvlOverride>
    <w:lvlOverride w:ilvl="6">
      <w:lvl w:ilvl="6">
        <w:start w:val="1"/>
        <w:numFmt w:val="decimal"/>
        <w:pStyle w:val="Heading7"/>
        <w:lvlText w:val="%1.%2.%3.%4.%5.%6.%7"/>
        <w:legacy w:legacy="1" w:legacySpace="144" w:legacyIndent="0"/>
        <w:lvlJc w:val="left"/>
      </w:lvl>
    </w:lvlOverride>
    <w:lvlOverride w:ilvl="7">
      <w:lvl w:ilvl="7">
        <w:start w:val="1"/>
        <w:numFmt w:val="decimal"/>
        <w:pStyle w:val="Heading8"/>
        <w:lvlText w:val="%1.%2.%3.%4.%5.%6.%7.%8"/>
        <w:legacy w:legacy="1" w:legacySpace="144" w:legacyIndent="0"/>
        <w:lvlJc w:val="left"/>
      </w:lvl>
    </w:lvlOverride>
    <w:lvlOverride w:ilvl="8">
      <w:lvl w:ilvl="8">
        <w:start w:val="1"/>
        <w:numFmt w:val="decimal"/>
        <w:pStyle w:val="Heading9"/>
        <w:lvlText w:val="%1.%2.%3.%4.%5.%6.%7.%8.%9"/>
        <w:legacy w:legacy="1" w:legacySpace="144" w:legacyIndent="0"/>
        <w:lvlJc w:val="left"/>
      </w:lvl>
    </w:lvlOverride>
  </w:num>
  <w:num w:numId="29">
    <w:abstractNumId w:val="0"/>
    <w:lvlOverride w:ilvl="0">
      <w:lvl w:ilvl="0">
        <w:start w:val="1"/>
        <w:numFmt w:val="decimal"/>
        <w:pStyle w:val="Heading1"/>
        <w:lvlText w:val="%1."/>
        <w:legacy w:legacy="1" w:legacySpace="0" w:legacyIndent="0"/>
        <w:lvlJc w:val="left"/>
      </w:lvl>
    </w:lvlOverride>
    <w:lvlOverride w:ilvl="1">
      <w:lvl w:ilvl="1">
        <w:start w:val="1"/>
        <w:numFmt w:val="decimal"/>
        <w:pStyle w:val="Heading2"/>
        <w:lvlText w:val="%1.%2"/>
        <w:legacy w:legacy="1" w:legacySpace="144" w:legacyIndent="0"/>
        <w:lvlJc w:val="left"/>
      </w:lvl>
    </w:lvlOverride>
    <w:lvlOverride w:ilvl="2">
      <w:lvl w:ilvl="2">
        <w:start w:val="1"/>
        <w:numFmt w:val="decimal"/>
        <w:pStyle w:val="Heading3"/>
        <w:lvlText w:val="%1.%2.%3"/>
        <w:legacy w:legacy="1" w:legacySpace="144" w:legacyIndent="0"/>
        <w:lvlJc w:val="left"/>
      </w:lvl>
    </w:lvlOverride>
    <w:lvlOverride w:ilvl="3">
      <w:lvl w:ilvl="3">
        <w:start w:val="1"/>
        <w:numFmt w:val="decimal"/>
        <w:pStyle w:val="Heading4"/>
        <w:lvlText w:val="%1.%2.%3.%4"/>
        <w:legacy w:legacy="1" w:legacySpace="144" w:legacyIndent="0"/>
        <w:lvlJc w:val="left"/>
      </w:lvl>
    </w:lvlOverride>
    <w:lvlOverride w:ilvl="4">
      <w:lvl w:ilvl="4">
        <w:start w:val="1"/>
        <w:numFmt w:val="decimal"/>
        <w:pStyle w:val="Heading5"/>
        <w:lvlText w:val="%1.%2.%3.%4.%5"/>
        <w:legacy w:legacy="1" w:legacySpace="144" w:legacyIndent="0"/>
        <w:lvlJc w:val="left"/>
      </w:lvl>
    </w:lvlOverride>
    <w:lvlOverride w:ilvl="5">
      <w:lvl w:ilvl="5">
        <w:start w:val="1"/>
        <w:numFmt w:val="decimal"/>
        <w:pStyle w:val="Heading6"/>
        <w:lvlText w:val="%1.%2.%3.%4.%5.%6"/>
        <w:legacy w:legacy="1" w:legacySpace="144" w:legacyIndent="0"/>
        <w:lvlJc w:val="left"/>
      </w:lvl>
    </w:lvlOverride>
    <w:lvlOverride w:ilvl="6">
      <w:lvl w:ilvl="6">
        <w:start w:val="1"/>
        <w:numFmt w:val="decimal"/>
        <w:pStyle w:val="Heading7"/>
        <w:lvlText w:val="%1.%2.%3.%4.%5.%6.%7"/>
        <w:legacy w:legacy="1" w:legacySpace="144" w:legacyIndent="0"/>
        <w:lvlJc w:val="left"/>
      </w:lvl>
    </w:lvlOverride>
    <w:lvlOverride w:ilvl="7">
      <w:lvl w:ilvl="7">
        <w:start w:val="1"/>
        <w:numFmt w:val="decimal"/>
        <w:pStyle w:val="Heading8"/>
        <w:lvlText w:val="%1.%2.%3.%4.%5.%6.%7.%8"/>
        <w:legacy w:legacy="1" w:legacySpace="144" w:legacyIndent="0"/>
        <w:lvlJc w:val="left"/>
      </w:lvl>
    </w:lvlOverride>
    <w:lvlOverride w:ilvl="8">
      <w:lvl w:ilvl="8">
        <w:start w:val="1"/>
        <w:numFmt w:val="decimal"/>
        <w:pStyle w:val="Heading9"/>
        <w:lvlText w:val="%1.%2.%3.%4.%5.%6.%7.%8.%9"/>
        <w:legacy w:legacy="1" w:legacySpace="144" w:legacyIndent="0"/>
        <w:lvlJc w:val="left"/>
      </w:lvl>
    </w:lvlOverride>
  </w:num>
  <w:num w:numId="30">
    <w:abstractNumId w:val="0"/>
    <w:lvlOverride w:ilvl="0">
      <w:lvl w:ilvl="0">
        <w:start w:val="1"/>
        <w:numFmt w:val="decimal"/>
        <w:pStyle w:val="Heading1"/>
        <w:lvlText w:val="%1."/>
        <w:legacy w:legacy="1" w:legacySpace="0" w:legacyIndent="0"/>
        <w:lvlJc w:val="left"/>
      </w:lvl>
    </w:lvlOverride>
    <w:lvlOverride w:ilvl="1">
      <w:lvl w:ilvl="1">
        <w:start w:val="1"/>
        <w:numFmt w:val="decimal"/>
        <w:pStyle w:val="Heading2"/>
        <w:lvlText w:val="%1.%2"/>
        <w:legacy w:legacy="1" w:legacySpace="144" w:legacyIndent="0"/>
        <w:lvlJc w:val="left"/>
      </w:lvl>
    </w:lvlOverride>
    <w:lvlOverride w:ilvl="2">
      <w:lvl w:ilvl="2">
        <w:start w:val="1"/>
        <w:numFmt w:val="decimal"/>
        <w:pStyle w:val="Heading3"/>
        <w:lvlText w:val="%1.%2.%3"/>
        <w:legacy w:legacy="1" w:legacySpace="144" w:legacyIndent="0"/>
        <w:lvlJc w:val="left"/>
      </w:lvl>
    </w:lvlOverride>
    <w:lvlOverride w:ilvl="3">
      <w:lvl w:ilvl="3">
        <w:start w:val="1"/>
        <w:numFmt w:val="decimal"/>
        <w:pStyle w:val="Heading4"/>
        <w:lvlText w:val="%1.%2.%3.%4"/>
        <w:legacy w:legacy="1" w:legacySpace="144" w:legacyIndent="0"/>
        <w:lvlJc w:val="left"/>
      </w:lvl>
    </w:lvlOverride>
    <w:lvlOverride w:ilvl="4">
      <w:lvl w:ilvl="4">
        <w:start w:val="1"/>
        <w:numFmt w:val="decimal"/>
        <w:pStyle w:val="Heading5"/>
        <w:lvlText w:val="%1.%2.%3.%4.%5"/>
        <w:legacy w:legacy="1" w:legacySpace="144" w:legacyIndent="0"/>
        <w:lvlJc w:val="left"/>
      </w:lvl>
    </w:lvlOverride>
    <w:lvlOverride w:ilvl="5">
      <w:lvl w:ilvl="5">
        <w:start w:val="1"/>
        <w:numFmt w:val="decimal"/>
        <w:pStyle w:val="Heading6"/>
        <w:lvlText w:val="%1.%2.%3.%4.%5.%6"/>
        <w:legacy w:legacy="1" w:legacySpace="144" w:legacyIndent="0"/>
        <w:lvlJc w:val="left"/>
      </w:lvl>
    </w:lvlOverride>
    <w:lvlOverride w:ilvl="6">
      <w:lvl w:ilvl="6">
        <w:start w:val="1"/>
        <w:numFmt w:val="decimal"/>
        <w:pStyle w:val="Heading7"/>
        <w:lvlText w:val="%1.%2.%3.%4.%5.%6.%7"/>
        <w:legacy w:legacy="1" w:legacySpace="144" w:legacyIndent="0"/>
        <w:lvlJc w:val="left"/>
      </w:lvl>
    </w:lvlOverride>
    <w:lvlOverride w:ilvl="7">
      <w:lvl w:ilvl="7">
        <w:start w:val="1"/>
        <w:numFmt w:val="decimal"/>
        <w:pStyle w:val="Heading8"/>
        <w:lvlText w:val="%1.%2.%3.%4.%5.%6.%7.%8"/>
        <w:legacy w:legacy="1" w:legacySpace="144" w:legacyIndent="0"/>
        <w:lvlJc w:val="left"/>
      </w:lvl>
    </w:lvlOverride>
    <w:lvlOverride w:ilvl="8">
      <w:lvl w:ilvl="8">
        <w:start w:val="1"/>
        <w:numFmt w:val="decimal"/>
        <w:pStyle w:val="Heading9"/>
        <w:lvlText w:val="%1.%2.%3.%4.%5.%6.%7.%8.%9"/>
        <w:legacy w:legacy="1" w:legacySpace="144" w:legacyIndent="0"/>
        <w:lvlJc w:val="left"/>
      </w:lvl>
    </w:lvlOverride>
  </w:num>
  <w:num w:numId="31">
    <w:abstractNumId w:val="0"/>
    <w:lvlOverride w:ilvl="0">
      <w:lvl w:ilvl="0">
        <w:start w:val="1"/>
        <w:numFmt w:val="decimal"/>
        <w:pStyle w:val="Heading1"/>
        <w:lvlText w:val="%1."/>
        <w:legacy w:legacy="1" w:legacySpace="0" w:legacyIndent="0"/>
        <w:lvlJc w:val="left"/>
      </w:lvl>
    </w:lvlOverride>
    <w:lvlOverride w:ilvl="1">
      <w:lvl w:ilvl="1">
        <w:start w:val="1"/>
        <w:numFmt w:val="decimal"/>
        <w:pStyle w:val="Heading2"/>
        <w:lvlText w:val="%1.%2"/>
        <w:legacy w:legacy="1" w:legacySpace="144" w:legacyIndent="0"/>
        <w:lvlJc w:val="left"/>
      </w:lvl>
    </w:lvlOverride>
    <w:lvlOverride w:ilvl="2">
      <w:lvl w:ilvl="2">
        <w:start w:val="1"/>
        <w:numFmt w:val="decimal"/>
        <w:pStyle w:val="Heading3"/>
        <w:lvlText w:val="%1.%2.%3"/>
        <w:legacy w:legacy="1" w:legacySpace="144" w:legacyIndent="0"/>
        <w:lvlJc w:val="left"/>
      </w:lvl>
    </w:lvlOverride>
    <w:lvlOverride w:ilvl="3">
      <w:lvl w:ilvl="3">
        <w:start w:val="1"/>
        <w:numFmt w:val="decimal"/>
        <w:pStyle w:val="Heading4"/>
        <w:lvlText w:val="%1.%2.%3.%4"/>
        <w:legacy w:legacy="1" w:legacySpace="144" w:legacyIndent="0"/>
        <w:lvlJc w:val="left"/>
      </w:lvl>
    </w:lvlOverride>
    <w:lvlOverride w:ilvl="4">
      <w:lvl w:ilvl="4">
        <w:start w:val="1"/>
        <w:numFmt w:val="decimal"/>
        <w:pStyle w:val="Heading5"/>
        <w:lvlText w:val="%1.%2.%3.%4.%5"/>
        <w:legacy w:legacy="1" w:legacySpace="144" w:legacyIndent="0"/>
        <w:lvlJc w:val="left"/>
      </w:lvl>
    </w:lvlOverride>
    <w:lvlOverride w:ilvl="5">
      <w:lvl w:ilvl="5">
        <w:start w:val="1"/>
        <w:numFmt w:val="decimal"/>
        <w:pStyle w:val="Heading6"/>
        <w:lvlText w:val="%1.%2.%3.%4.%5.%6"/>
        <w:legacy w:legacy="1" w:legacySpace="144" w:legacyIndent="0"/>
        <w:lvlJc w:val="left"/>
      </w:lvl>
    </w:lvlOverride>
    <w:lvlOverride w:ilvl="6">
      <w:lvl w:ilvl="6">
        <w:start w:val="1"/>
        <w:numFmt w:val="decimal"/>
        <w:pStyle w:val="Heading7"/>
        <w:lvlText w:val="%1.%2.%3.%4.%5.%6.%7"/>
        <w:legacy w:legacy="1" w:legacySpace="144" w:legacyIndent="0"/>
        <w:lvlJc w:val="left"/>
      </w:lvl>
    </w:lvlOverride>
    <w:lvlOverride w:ilvl="7">
      <w:lvl w:ilvl="7">
        <w:start w:val="1"/>
        <w:numFmt w:val="decimal"/>
        <w:pStyle w:val="Heading8"/>
        <w:lvlText w:val="%1.%2.%3.%4.%5.%6.%7.%8"/>
        <w:legacy w:legacy="1" w:legacySpace="144" w:legacyIndent="0"/>
        <w:lvlJc w:val="left"/>
      </w:lvl>
    </w:lvlOverride>
    <w:lvlOverride w:ilvl="8">
      <w:lvl w:ilvl="8">
        <w:start w:val="1"/>
        <w:numFmt w:val="decimal"/>
        <w:pStyle w:val="Heading9"/>
        <w:lvlText w:val="%1.%2.%3.%4.%5.%6.%7.%8.%9"/>
        <w:legacy w:legacy="1" w:legacySpace="144" w:legacyIndent="0"/>
        <w:lvlJc w:val="left"/>
      </w:lvl>
    </w:lvlOverride>
  </w:num>
  <w:num w:numId="32">
    <w:abstractNumId w:val="0"/>
    <w:lvlOverride w:ilvl="0">
      <w:lvl w:ilvl="0">
        <w:start w:val="1"/>
        <w:numFmt w:val="decimal"/>
        <w:pStyle w:val="Heading1"/>
        <w:lvlText w:val="%1."/>
        <w:legacy w:legacy="1" w:legacySpace="0" w:legacyIndent="0"/>
        <w:lvlJc w:val="left"/>
      </w:lvl>
    </w:lvlOverride>
    <w:lvlOverride w:ilvl="1">
      <w:lvl w:ilvl="1">
        <w:start w:val="1"/>
        <w:numFmt w:val="decimal"/>
        <w:pStyle w:val="Heading2"/>
        <w:lvlText w:val="%1.%2"/>
        <w:legacy w:legacy="1" w:legacySpace="144" w:legacyIndent="0"/>
        <w:lvlJc w:val="left"/>
      </w:lvl>
    </w:lvlOverride>
    <w:lvlOverride w:ilvl="2">
      <w:lvl w:ilvl="2">
        <w:start w:val="1"/>
        <w:numFmt w:val="decimal"/>
        <w:pStyle w:val="Heading3"/>
        <w:lvlText w:val="%1.%2.%3"/>
        <w:legacy w:legacy="1" w:legacySpace="144" w:legacyIndent="0"/>
        <w:lvlJc w:val="left"/>
      </w:lvl>
    </w:lvlOverride>
    <w:lvlOverride w:ilvl="3">
      <w:lvl w:ilvl="3">
        <w:start w:val="1"/>
        <w:numFmt w:val="decimal"/>
        <w:pStyle w:val="Heading4"/>
        <w:lvlText w:val="%1.%2.%3.%4"/>
        <w:legacy w:legacy="1" w:legacySpace="144" w:legacyIndent="0"/>
        <w:lvlJc w:val="left"/>
      </w:lvl>
    </w:lvlOverride>
    <w:lvlOverride w:ilvl="4">
      <w:lvl w:ilvl="4">
        <w:start w:val="1"/>
        <w:numFmt w:val="decimal"/>
        <w:pStyle w:val="Heading5"/>
        <w:lvlText w:val="%1.%2.%3.%4.%5"/>
        <w:legacy w:legacy="1" w:legacySpace="144" w:legacyIndent="0"/>
        <w:lvlJc w:val="left"/>
      </w:lvl>
    </w:lvlOverride>
    <w:lvlOverride w:ilvl="5">
      <w:lvl w:ilvl="5">
        <w:start w:val="1"/>
        <w:numFmt w:val="decimal"/>
        <w:pStyle w:val="Heading6"/>
        <w:lvlText w:val="%1.%2.%3.%4.%5.%6"/>
        <w:legacy w:legacy="1" w:legacySpace="144" w:legacyIndent="0"/>
        <w:lvlJc w:val="left"/>
      </w:lvl>
    </w:lvlOverride>
    <w:lvlOverride w:ilvl="6">
      <w:lvl w:ilvl="6">
        <w:start w:val="1"/>
        <w:numFmt w:val="decimal"/>
        <w:pStyle w:val="Heading7"/>
        <w:lvlText w:val="%1.%2.%3.%4.%5.%6.%7"/>
        <w:legacy w:legacy="1" w:legacySpace="144" w:legacyIndent="0"/>
        <w:lvlJc w:val="left"/>
      </w:lvl>
    </w:lvlOverride>
    <w:lvlOverride w:ilvl="7">
      <w:lvl w:ilvl="7">
        <w:start w:val="1"/>
        <w:numFmt w:val="decimal"/>
        <w:pStyle w:val="Heading8"/>
        <w:lvlText w:val="%1.%2.%3.%4.%5.%6.%7.%8"/>
        <w:legacy w:legacy="1" w:legacySpace="144" w:legacyIndent="0"/>
        <w:lvlJc w:val="left"/>
      </w:lvl>
    </w:lvlOverride>
    <w:lvlOverride w:ilvl="8">
      <w:lvl w:ilvl="8">
        <w:start w:val="1"/>
        <w:numFmt w:val="decimal"/>
        <w:pStyle w:val="Heading9"/>
        <w:lvlText w:val="%1.%2.%3.%4.%5.%6.%7.%8.%9"/>
        <w:legacy w:legacy="1" w:legacySpace="144" w:legacyIndent="0"/>
        <w:lvlJc w:val="left"/>
      </w:lvl>
    </w:lvlOverride>
  </w:num>
  <w:num w:numId="33">
    <w:abstractNumId w:val="0"/>
    <w:lvlOverride w:ilvl="0">
      <w:lvl w:ilvl="0">
        <w:start w:val="1"/>
        <w:numFmt w:val="decimal"/>
        <w:pStyle w:val="Heading1"/>
        <w:lvlText w:val="%1."/>
        <w:legacy w:legacy="1" w:legacySpace="0" w:legacyIndent="0"/>
        <w:lvlJc w:val="left"/>
      </w:lvl>
    </w:lvlOverride>
    <w:lvlOverride w:ilvl="1">
      <w:lvl w:ilvl="1">
        <w:start w:val="1"/>
        <w:numFmt w:val="decimal"/>
        <w:pStyle w:val="Heading2"/>
        <w:lvlText w:val="%1.%2"/>
        <w:legacy w:legacy="1" w:legacySpace="144" w:legacyIndent="0"/>
        <w:lvlJc w:val="left"/>
      </w:lvl>
    </w:lvlOverride>
    <w:lvlOverride w:ilvl="2">
      <w:lvl w:ilvl="2">
        <w:start w:val="1"/>
        <w:numFmt w:val="decimal"/>
        <w:pStyle w:val="Heading3"/>
        <w:lvlText w:val="%1.%2.%3"/>
        <w:legacy w:legacy="1" w:legacySpace="144" w:legacyIndent="0"/>
        <w:lvlJc w:val="left"/>
      </w:lvl>
    </w:lvlOverride>
    <w:lvlOverride w:ilvl="3">
      <w:lvl w:ilvl="3">
        <w:start w:val="1"/>
        <w:numFmt w:val="decimal"/>
        <w:pStyle w:val="Heading4"/>
        <w:lvlText w:val="%1.%2.%3.%4"/>
        <w:legacy w:legacy="1" w:legacySpace="144" w:legacyIndent="0"/>
        <w:lvlJc w:val="left"/>
      </w:lvl>
    </w:lvlOverride>
    <w:lvlOverride w:ilvl="4">
      <w:lvl w:ilvl="4">
        <w:start w:val="1"/>
        <w:numFmt w:val="decimal"/>
        <w:pStyle w:val="Heading5"/>
        <w:lvlText w:val="%1.%2.%3.%4.%5"/>
        <w:legacy w:legacy="1" w:legacySpace="144" w:legacyIndent="0"/>
        <w:lvlJc w:val="left"/>
      </w:lvl>
    </w:lvlOverride>
    <w:lvlOverride w:ilvl="5">
      <w:lvl w:ilvl="5">
        <w:start w:val="1"/>
        <w:numFmt w:val="decimal"/>
        <w:pStyle w:val="Heading6"/>
        <w:lvlText w:val="%1.%2.%3.%4.%5.%6"/>
        <w:legacy w:legacy="1" w:legacySpace="144" w:legacyIndent="0"/>
        <w:lvlJc w:val="left"/>
      </w:lvl>
    </w:lvlOverride>
    <w:lvlOverride w:ilvl="6">
      <w:lvl w:ilvl="6">
        <w:start w:val="1"/>
        <w:numFmt w:val="decimal"/>
        <w:pStyle w:val="Heading7"/>
        <w:lvlText w:val="%1.%2.%3.%4.%5.%6.%7"/>
        <w:legacy w:legacy="1" w:legacySpace="144" w:legacyIndent="0"/>
        <w:lvlJc w:val="left"/>
      </w:lvl>
    </w:lvlOverride>
    <w:lvlOverride w:ilvl="7">
      <w:lvl w:ilvl="7">
        <w:start w:val="1"/>
        <w:numFmt w:val="decimal"/>
        <w:pStyle w:val="Heading8"/>
        <w:lvlText w:val="%1.%2.%3.%4.%5.%6.%7.%8"/>
        <w:legacy w:legacy="1" w:legacySpace="144" w:legacyIndent="0"/>
        <w:lvlJc w:val="left"/>
      </w:lvl>
    </w:lvlOverride>
    <w:lvlOverride w:ilvl="8">
      <w:lvl w:ilvl="8">
        <w:start w:val="1"/>
        <w:numFmt w:val="decimal"/>
        <w:pStyle w:val="Heading9"/>
        <w:lvlText w:val="%1.%2.%3.%4.%5.%6.%7.%8.%9"/>
        <w:legacy w:legacy="1" w:legacySpace="144" w:legacyIndent="0"/>
        <w:lvlJc w:val="left"/>
      </w:lvl>
    </w:lvlOverride>
  </w:num>
  <w:num w:numId="34">
    <w:abstractNumId w:val="0"/>
    <w:lvlOverride w:ilvl="0">
      <w:lvl w:ilvl="0">
        <w:start w:val="1"/>
        <w:numFmt w:val="decimal"/>
        <w:pStyle w:val="Heading1"/>
        <w:lvlText w:val="%1."/>
        <w:legacy w:legacy="1" w:legacySpace="0" w:legacyIndent="0"/>
        <w:lvlJc w:val="left"/>
      </w:lvl>
    </w:lvlOverride>
    <w:lvlOverride w:ilvl="1">
      <w:lvl w:ilvl="1">
        <w:start w:val="1"/>
        <w:numFmt w:val="decimal"/>
        <w:pStyle w:val="Heading2"/>
        <w:lvlText w:val="%1.%2"/>
        <w:legacy w:legacy="1" w:legacySpace="144" w:legacyIndent="0"/>
        <w:lvlJc w:val="left"/>
      </w:lvl>
    </w:lvlOverride>
    <w:lvlOverride w:ilvl="2">
      <w:lvl w:ilvl="2">
        <w:start w:val="1"/>
        <w:numFmt w:val="decimal"/>
        <w:pStyle w:val="Heading3"/>
        <w:lvlText w:val="%1.%2.%3"/>
        <w:legacy w:legacy="1" w:legacySpace="144" w:legacyIndent="0"/>
        <w:lvlJc w:val="left"/>
      </w:lvl>
    </w:lvlOverride>
    <w:lvlOverride w:ilvl="3">
      <w:lvl w:ilvl="3">
        <w:start w:val="1"/>
        <w:numFmt w:val="decimal"/>
        <w:pStyle w:val="Heading4"/>
        <w:lvlText w:val="%1.%2.%3.%4"/>
        <w:legacy w:legacy="1" w:legacySpace="144" w:legacyIndent="0"/>
        <w:lvlJc w:val="left"/>
      </w:lvl>
    </w:lvlOverride>
    <w:lvlOverride w:ilvl="4">
      <w:lvl w:ilvl="4">
        <w:start w:val="1"/>
        <w:numFmt w:val="decimal"/>
        <w:pStyle w:val="Heading5"/>
        <w:lvlText w:val="%1.%2.%3.%4.%5"/>
        <w:legacy w:legacy="1" w:legacySpace="144" w:legacyIndent="0"/>
        <w:lvlJc w:val="left"/>
      </w:lvl>
    </w:lvlOverride>
    <w:lvlOverride w:ilvl="5">
      <w:lvl w:ilvl="5">
        <w:start w:val="1"/>
        <w:numFmt w:val="decimal"/>
        <w:pStyle w:val="Heading6"/>
        <w:lvlText w:val="%1.%2.%3.%4.%5.%6"/>
        <w:legacy w:legacy="1" w:legacySpace="144" w:legacyIndent="0"/>
        <w:lvlJc w:val="left"/>
      </w:lvl>
    </w:lvlOverride>
    <w:lvlOverride w:ilvl="6">
      <w:lvl w:ilvl="6">
        <w:start w:val="1"/>
        <w:numFmt w:val="decimal"/>
        <w:pStyle w:val="Heading7"/>
        <w:lvlText w:val="%1.%2.%3.%4.%5.%6.%7"/>
        <w:legacy w:legacy="1" w:legacySpace="144" w:legacyIndent="0"/>
        <w:lvlJc w:val="left"/>
      </w:lvl>
    </w:lvlOverride>
    <w:lvlOverride w:ilvl="7">
      <w:lvl w:ilvl="7">
        <w:start w:val="1"/>
        <w:numFmt w:val="decimal"/>
        <w:pStyle w:val="Heading8"/>
        <w:lvlText w:val="%1.%2.%3.%4.%5.%6.%7.%8"/>
        <w:legacy w:legacy="1" w:legacySpace="144" w:legacyIndent="0"/>
        <w:lvlJc w:val="left"/>
      </w:lvl>
    </w:lvlOverride>
    <w:lvlOverride w:ilvl="8">
      <w:lvl w:ilvl="8">
        <w:start w:val="1"/>
        <w:numFmt w:val="decimal"/>
        <w:pStyle w:val="Heading9"/>
        <w:lvlText w:val="%1.%2.%3.%4.%5.%6.%7.%8.%9"/>
        <w:legacy w:legacy="1" w:legacySpace="144" w:legacyIndent="0"/>
        <w:lvlJc w:val="left"/>
      </w:lvl>
    </w:lvlOverride>
  </w:num>
  <w:num w:numId="35">
    <w:abstractNumId w:val="0"/>
    <w:lvlOverride w:ilvl="0">
      <w:lvl w:ilvl="0">
        <w:start w:val="1"/>
        <w:numFmt w:val="decimal"/>
        <w:pStyle w:val="Heading1"/>
        <w:lvlText w:val="%1."/>
        <w:legacy w:legacy="1" w:legacySpace="0" w:legacyIndent="0"/>
        <w:lvlJc w:val="left"/>
      </w:lvl>
    </w:lvlOverride>
    <w:lvlOverride w:ilvl="1">
      <w:lvl w:ilvl="1">
        <w:start w:val="1"/>
        <w:numFmt w:val="decimal"/>
        <w:pStyle w:val="Heading2"/>
        <w:lvlText w:val="%1.%2"/>
        <w:legacy w:legacy="1" w:legacySpace="144" w:legacyIndent="0"/>
        <w:lvlJc w:val="left"/>
      </w:lvl>
    </w:lvlOverride>
    <w:lvlOverride w:ilvl="2">
      <w:lvl w:ilvl="2">
        <w:start w:val="1"/>
        <w:numFmt w:val="decimal"/>
        <w:pStyle w:val="Heading3"/>
        <w:lvlText w:val="%1.%2.%3"/>
        <w:legacy w:legacy="1" w:legacySpace="144" w:legacyIndent="0"/>
        <w:lvlJc w:val="left"/>
      </w:lvl>
    </w:lvlOverride>
    <w:lvlOverride w:ilvl="3">
      <w:lvl w:ilvl="3">
        <w:start w:val="1"/>
        <w:numFmt w:val="decimal"/>
        <w:pStyle w:val="Heading4"/>
        <w:lvlText w:val="%1.%2.%3.%4"/>
        <w:legacy w:legacy="1" w:legacySpace="144" w:legacyIndent="0"/>
        <w:lvlJc w:val="left"/>
      </w:lvl>
    </w:lvlOverride>
    <w:lvlOverride w:ilvl="4">
      <w:lvl w:ilvl="4">
        <w:start w:val="1"/>
        <w:numFmt w:val="decimal"/>
        <w:pStyle w:val="Heading5"/>
        <w:lvlText w:val="%1.%2.%3.%4.%5"/>
        <w:legacy w:legacy="1" w:legacySpace="144" w:legacyIndent="0"/>
        <w:lvlJc w:val="left"/>
      </w:lvl>
    </w:lvlOverride>
    <w:lvlOverride w:ilvl="5">
      <w:lvl w:ilvl="5">
        <w:start w:val="1"/>
        <w:numFmt w:val="decimal"/>
        <w:pStyle w:val="Heading6"/>
        <w:lvlText w:val="%1.%2.%3.%4.%5.%6"/>
        <w:legacy w:legacy="1" w:legacySpace="144" w:legacyIndent="0"/>
        <w:lvlJc w:val="left"/>
      </w:lvl>
    </w:lvlOverride>
    <w:lvlOverride w:ilvl="6">
      <w:lvl w:ilvl="6">
        <w:start w:val="1"/>
        <w:numFmt w:val="decimal"/>
        <w:pStyle w:val="Heading7"/>
        <w:lvlText w:val="%1.%2.%3.%4.%5.%6.%7"/>
        <w:legacy w:legacy="1" w:legacySpace="144" w:legacyIndent="0"/>
        <w:lvlJc w:val="left"/>
      </w:lvl>
    </w:lvlOverride>
    <w:lvlOverride w:ilvl="7">
      <w:lvl w:ilvl="7">
        <w:start w:val="1"/>
        <w:numFmt w:val="decimal"/>
        <w:pStyle w:val="Heading8"/>
        <w:lvlText w:val="%1.%2.%3.%4.%5.%6.%7.%8"/>
        <w:legacy w:legacy="1" w:legacySpace="144" w:legacyIndent="0"/>
        <w:lvlJc w:val="left"/>
      </w:lvl>
    </w:lvlOverride>
    <w:lvlOverride w:ilvl="8">
      <w:lvl w:ilvl="8">
        <w:start w:val="1"/>
        <w:numFmt w:val="decimal"/>
        <w:pStyle w:val="Heading9"/>
        <w:lvlText w:val="%1.%2.%3.%4.%5.%6.%7.%8.%9"/>
        <w:legacy w:legacy="1" w:legacySpace="144" w:legacyIndent="0"/>
        <w:lvlJc w:val="left"/>
      </w:lvl>
    </w:lvlOverride>
  </w:num>
  <w:num w:numId="36">
    <w:abstractNumId w:val="0"/>
    <w:lvlOverride w:ilvl="0">
      <w:lvl w:ilvl="0">
        <w:start w:val="1"/>
        <w:numFmt w:val="decimal"/>
        <w:pStyle w:val="Heading1"/>
        <w:lvlText w:val="%1."/>
        <w:legacy w:legacy="1" w:legacySpace="0" w:legacyIndent="0"/>
        <w:lvlJc w:val="left"/>
      </w:lvl>
    </w:lvlOverride>
    <w:lvlOverride w:ilvl="1">
      <w:lvl w:ilvl="1">
        <w:start w:val="1"/>
        <w:numFmt w:val="decimal"/>
        <w:pStyle w:val="Heading2"/>
        <w:lvlText w:val="%1.%2"/>
        <w:legacy w:legacy="1" w:legacySpace="144" w:legacyIndent="0"/>
        <w:lvlJc w:val="left"/>
      </w:lvl>
    </w:lvlOverride>
    <w:lvlOverride w:ilvl="2">
      <w:lvl w:ilvl="2">
        <w:start w:val="1"/>
        <w:numFmt w:val="decimal"/>
        <w:pStyle w:val="Heading3"/>
        <w:lvlText w:val="%1.%2.%3"/>
        <w:legacy w:legacy="1" w:legacySpace="144" w:legacyIndent="0"/>
        <w:lvlJc w:val="left"/>
      </w:lvl>
    </w:lvlOverride>
    <w:lvlOverride w:ilvl="3">
      <w:lvl w:ilvl="3">
        <w:start w:val="1"/>
        <w:numFmt w:val="decimal"/>
        <w:pStyle w:val="Heading4"/>
        <w:lvlText w:val="%1.%2.%3.%4"/>
        <w:legacy w:legacy="1" w:legacySpace="144" w:legacyIndent="0"/>
        <w:lvlJc w:val="left"/>
      </w:lvl>
    </w:lvlOverride>
    <w:lvlOverride w:ilvl="4">
      <w:lvl w:ilvl="4">
        <w:start w:val="1"/>
        <w:numFmt w:val="decimal"/>
        <w:pStyle w:val="Heading5"/>
        <w:lvlText w:val="%1.%2.%3.%4.%5"/>
        <w:legacy w:legacy="1" w:legacySpace="144" w:legacyIndent="0"/>
        <w:lvlJc w:val="left"/>
      </w:lvl>
    </w:lvlOverride>
    <w:lvlOverride w:ilvl="5">
      <w:lvl w:ilvl="5">
        <w:start w:val="1"/>
        <w:numFmt w:val="decimal"/>
        <w:pStyle w:val="Heading6"/>
        <w:lvlText w:val="%1.%2.%3.%4.%5.%6"/>
        <w:legacy w:legacy="1" w:legacySpace="144" w:legacyIndent="0"/>
        <w:lvlJc w:val="left"/>
      </w:lvl>
    </w:lvlOverride>
    <w:lvlOverride w:ilvl="6">
      <w:lvl w:ilvl="6">
        <w:start w:val="1"/>
        <w:numFmt w:val="decimal"/>
        <w:pStyle w:val="Heading7"/>
        <w:lvlText w:val="%1.%2.%3.%4.%5.%6.%7"/>
        <w:legacy w:legacy="1" w:legacySpace="144" w:legacyIndent="0"/>
        <w:lvlJc w:val="left"/>
      </w:lvl>
    </w:lvlOverride>
    <w:lvlOverride w:ilvl="7">
      <w:lvl w:ilvl="7">
        <w:start w:val="1"/>
        <w:numFmt w:val="decimal"/>
        <w:pStyle w:val="Heading8"/>
        <w:lvlText w:val="%1.%2.%3.%4.%5.%6.%7.%8"/>
        <w:legacy w:legacy="1" w:legacySpace="144" w:legacyIndent="0"/>
        <w:lvlJc w:val="left"/>
      </w:lvl>
    </w:lvlOverride>
    <w:lvlOverride w:ilvl="8">
      <w:lvl w:ilvl="8">
        <w:start w:val="1"/>
        <w:numFmt w:val="decimal"/>
        <w:pStyle w:val="Heading9"/>
        <w:lvlText w:val="%1.%2.%3.%4.%5.%6.%7.%8.%9"/>
        <w:legacy w:legacy="1" w:legacySpace="144" w:legacyIndent="0"/>
        <w:lvlJc w:val="left"/>
      </w:lvl>
    </w:lvlOverride>
  </w:num>
  <w:num w:numId="37">
    <w:abstractNumId w:val="0"/>
    <w:lvlOverride w:ilvl="0">
      <w:lvl w:ilvl="0">
        <w:start w:val="1"/>
        <w:numFmt w:val="decimal"/>
        <w:pStyle w:val="Heading1"/>
        <w:lvlText w:val="%1."/>
        <w:legacy w:legacy="1" w:legacySpace="0" w:legacyIndent="0"/>
        <w:lvlJc w:val="left"/>
      </w:lvl>
    </w:lvlOverride>
    <w:lvlOverride w:ilvl="1">
      <w:lvl w:ilvl="1">
        <w:start w:val="1"/>
        <w:numFmt w:val="decimal"/>
        <w:pStyle w:val="Heading2"/>
        <w:lvlText w:val="%1.%2"/>
        <w:legacy w:legacy="1" w:legacySpace="144" w:legacyIndent="0"/>
        <w:lvlJc w:val="left"/>
      </w:lvl>
    </w:lvlOverride>
    <w:lvlOverride w:ilvl="2">
      <w:lvl w:ilvl="2">
        <w:start w:val="1"/>
        <w:numFmt w:val="decimal"/>
        <w:pStyle w:val="Heading3"/>
        <w:lvlText w:val="%1.%2.%3"/>
        <w:legacy w:legacy="1" w:legacySpace="144" w:legacyIndent="0"/>
        <w:lvlJc w:val="left"/>
      </w:lvl>
    </w:lvlOverride>
    <w:lvlOverride w:ilvl="3">
      <w:lvl w:ilvl="3">
        <w:start w:val="1"/>
        <w:numFmt w:val="decimal"/>
        <w:pStyle w:val="Heading4"/>
        <w:lvlText w:val="%1.%2.%3.%4"/>
        <w:legacy w:legacy="1" w:legacySpace="144" w:legacyIndent="0"/>
        <w:lvlJc w:val="left"/>
      </w:lvl>
    </w:lvlOverride>
    <w:lvlOverride w:ilvl="4">
      <w:lvl w:ilvl="4">
        <w:start w:val="1"/>
        <w:numFmt w:val="decimal"/>
        <w:pStyle w:val="Heading5"/>
        <w:lvlText w:val="%1.%2.%3.%4.%5"/>
        <w:legacy w:legacy="1" w:legacySpace="144" w:legacyIndent="0"/>
        <w:lvlJc w:val="left"/>
      </w:lvl>
    </w:lvlOverride>
    <w:lvlOverride w:ilvl="5">
      <w:lvl w:ilvl="5">
        <w:start w:val="1"/>
        <w:numFmt w:val="decimal"/>
        <w:pStyle w:val="Heading6"/>
        <w:lvlText w:val="%1.%2.%3.%4.%5.%6"/>
        <w:legacy w:legacy="1" w:legacySpace="144" w:legacyIndent="0"/>
        <w:lvlJc w:val="left"/>
      </w:lvl>
    </w:lvlOverride>
    <w:lvlOverride w:ilvl="6">
      <w:lvl w:ilvl="6">
        <w:start w:val="1"/>
        <w:numFmt w:val="decimal"/>
        <w:pStyle w:val="Heading7"/>
        <w:lvlText w:val="%1.%2.%3.%4.%5.%6.%7"/>
        <w:legacy w:legacy="1" w:legacySpace="144" w:legacyIndent="0"/>
        <w:lvlJc w:val="left"/>
      </w:lvl>
    </w:lvlOverride>
    <w:lvlOverride w:ilvl="7">
      <w:lvl w:ilvl="7">
        <w:start w:val="1"/>
        <w:numFmt w:val="decimal"/>
        <w:pStyle w:val="Heading8"/>
        <w:lvlText w:val="%1.%2.%3.%4.%5.%6.%7.%8"/>
        <w:legacy w:legacy="1" w:legacySpace="144" w:legacyIndent="0"/>
        <w:lvlJc w:val="left"/>
      </w:lvl>
    </w:lvlOverride>
    <w:lvlOverride w:ilvl="8">
      <w:lvl w:ilvl="8">
        <w:start w:val="1"/>
        <w:numFmt w:val="decimal"/>
        <w:pStyle w:val="Heading9"/>
        <w:lvlText w:val="%1.%2.%3.%4.%5.%6.%7.%8.%9"/>
        <w:legacy w:legacy="1" w:legacySpace="144" w:legacyIndent="0"/>
        <w:lvlJc w:val="left"/>
      </w:lvl>
    </w:lvlOverride>
  </w:num>
  <w:num w:numId="38">
    <w:abstractNumId w:val="0"/>
    <w:lvlOverride w:ilvl="0">
      <w:lvl w:ilvl="0">
        <w:start w:val="1"/>
        <w:numFmt w:val="decimal"/>
        <w:pStyle w:val="Heading1"/>
        <w:lvlText w:val="%1."/>
        <w:legacy w:legacy="1" w:legacySpace="0" w:legacyIndent="0"/>
        <w:lvlJc w:val="left"/>
      </w:lvl>
    </w:lvlOverride>
    <w:lvlOverride w:ilvl="1">
      <w:lvl w:ilvl="1">
        <w:start w:val="1"/>
        <w:numFmt w:val="decimal"/>
        <w:pStyle w:val="Heading2"/>
        <w:lvlText w:val="%1.%2"/>
        <w:legacy w:legacy="1" w:legacySpace="144" w:legacyIndent="0"/>
        <w:lvlJc w:val="left"/>
      </w:lvl>
    </w:lvlOverride>
    <w:lvlOverride w:ilvl="2">
      <w:lvl w:ilvl="2">
        <w:start w:val="1"/>
        <w:numFmt w:val="decimal"/>
        <w:pStyle w:val="Heading3"/>
        <w:lvlText w:val="%1.%2.%3"/>
        <w:legacy w:legacy="1" w:legacySpace="144" w:legacyIndent="0"/>
        <w:lvlJc w:val="left"/>
      </w:lvl>
    </w:lvlOverride>
    <w:lvlOverride w:ilvl="3">
      <w:lvl w:ilvl="3">
        <w:start w:val="1"/>
        <w:numFmt w:val="decimal"/>
        <w:pStyle w:val="Heading4"/>
        <w:lvlText w:val="%1.%2.%3.%4"/>
        <w:legacy w:legacy="1" w:legacySpace="144" w:legacyIndent="0"/>
        <w:lvlJc w:val="left"/>
      </w:lvl>
    </w:lvlOverride>
    <w:lvlOverride w:ilvl="4">
      <w:lvl w:ilvl="4">
        <w:start w:val="1"/>
        <w:numFmt w:val="decimal"/>
        <w:pStyle w:val="Heading5"/>
        <w:lvlText w:val="%1.%2.%3.%4.%5"/>
        <w:legacy w:legacy="1" w:legacySpace="144" w:legacyIndent="0"/>
        <w:lvlJc w:val="left"/>
      </w:lvl>
    </w:lvlOverride>
    <w:lvlOverride w:ilvl="5">
      <w:lvl w:ilvl="5">
        <w:start w:val="1"/>
        <w:numFmt w:val="decimal"/>
        <w:pStyle w:val="Heading6"/>
        <w:lvlText w:val="%1.%2.%3.%4.%5.%6"/>
        <w:legacy w:legacy="1" w:legacySpace="144" w:legacyIndent="0"/>
        <w:lvlJc w:val="left"/>
      </w:lvl>
    </w:lvlOverride>
    <w:lvlOverride w:ilvl="6">
      <w:lvl w:ilvl="6">
        <w:start w:val="1"/>
        <w:numFmt w:val="decimal"/>
        <w:pStyle w:val="Heading7"/>
        <w:lvlText w:val="%1.%2.%3.%4.%5.%6.%7"/>
        <w:legacy w:legacy="1" w:legacySpace="144" w:legacyIndent="0"/>
        <w:lvlJc w:val="left"/>
      </w:lvl>
    </w:lvlOverride>
    <w:lvlOverride w:ilvl="7">
      <w:lvl w:ilvl="7">
        <w:start w:val="1"/>
        <w:numFmt w:val="decimal"/>
        <w:pStyle w:val="Heading8"/>
        <w:lvlText w:val="%1.%2.%3.%4.%5.%6.%7.%8"/>
        <w:legacy w:legacy="1" w:legacySpace="144" w:legacyIndent="0"/>
        <w:lvlJc w:val="left"/>
      </w:lvl>
    </w:lvlOverride>
    <w:lvlOverride w:ilvl="8">
      <w:lvl w:ilvl="8">
        <w:start w:val="1"/>
        <w:numFmt w:val="decimal"/>
        <w:pStyle w:val="Heading9"/>
        <w:lvlText w:val="%1.%2.%3.%4.%5.%6.%7.%8.%9"/>
        <w:legacy w:legacy="1" w:legacySpace="144" w:legacyIndent="0"/>
        <w:lvlJc w:val="left"/>
      </w:lvl>
    </w:lvlOverride>
  </w:num>
  <w:num w:numId="39">
    <w:abstractNumId w:val="0"/>
    <w:lvlOverride w:ilvl="0">
      <w:lvl w:ilvl="0">
        <w:start w:val="1"/>
        <w:numFmt w:val="decimal"/>
        <w:pStyle w:val="Heading1"/>
        <w:lvlText w:val="%1."/>
        <w:legacy w:legacy="1" w:legacySpace="0" w:legacyIndent="0"/>
        <w:lvlJc w:val="left"/>
      </w:lvl>
    </w:lvlOverride>
    <w:lvlOverride w:ilvl="1">
      <w:lvl w:ilvl="1">
        <w:start w:val="1"/>
        <w:numFmt w:val="decimal"/>
        <w:pStyle w:val="Heading2"/>
        <w:lvlText w:val="%1.%2"/>
        <w:legacy w:legacy="1" w:legacySpace="144" w:legacyIndent="0"/>
        <w:lvlJc w:val="left"/>
      </w:lvl>
    </w:lvlOverride>
    <w:lvlOverride w:ilvl="2">
      <w:lvl w:ilvl="2">
        <w:start w:val="1"/>
        <w:numFmt w:val="decimal"/>
        <w:pStyle w:val="Heading3"/>
        <w:lvlText w:val="%1.%2.%3"/>
        <w:legacy w:legacy="1" w:legacySpace="144" w:legacyIndent="0"/>
        <w:lvlJc w:val="left"/>
      </w:lvl>
    </w:lvlOverride>
    <w:lvlOverride w:ilvl="3">
      <w:lvl w:ilvl="3">
        <w:start w:val="1"/>
        <w:numFmt w:val="decimal"/>
        <w:pStyle w:val="Heading4"/>
        <w:lvlText w:val="%1.%2.%3.%4"/>
        <w:legacy w:legacy="1" w:legacySpace="144" w:legacyIndent="0"/>
        <w:lvlJc w:val="left"/>
      </w:lvl>
    </w:lvlOverride>
    <w:lvlOverride w:ilvl="4">
      <w:lvl w:ilvl="4">
        <w:start w:val="1"/>
        <w:numFmt w:val="decimal"/>
        <w:pStyle w:val="Heading5"/>
        <w:lvlText w:val="%1.%2.%3.%4.%5"/>
        <w:legacy w:legacy="1" w:legacySpace="144" w:legacyIndent="0"/>
        <w:lvlJc w:val="left"/>
      </w:lvl>
    </w:lvlOverride>
    <w:lvlOverride w:ilvl="5">
      <w:lvl w:ilvl="5">
        <w:start w:val="1"/>
        <w:numFmt w:val="decimal"/>
        <w:pStyle w:val="Heading6"/>
        <w:lvlText w:val="%1.%2.%3.%4.%5.%6"/>
        <w:legacy w:legacy="1" w:legacySpace="144" w:legacyIndent="0"/>
        <w:lvlJc w:val="left"/>
      </w:lvl>
    </w:lvlOverride>
    <w:lvlOverride w:ilvl="6">
      <w:lvl w:ilvl="6">
        <w:start w:val="1"/>
        <w:numFmt w:val="decimal"/>
        <w:pStyle w:val="Heading7"/>
        <w:lvlText w:val="%1.%2.%3.%4.%5.%6.%7"/>
        <w:legacy w:legacy="1" w:legacySpace="144" w:legacyIndent="0"/>
        <w:lvlJc w:val="left"/>
      </w:lvl>
    </w:lvlOverride>
    <w:lvlOverride w:ilvl="7">
      <w:lvl w:ilvl="7">
        <w:start w:val="1"/>
        <w:numFmt w:val="decimal"/>
        <w:pStyle w:val="Heading8"/>
        <w:lvlText w:val="%1.%2.%3.%4.%5.%6.%7.%8"/>
        <w:legacy w:legacy="1" w:legacySpace="144" w:legacyIndent="0"/>
        <w:lvlJc w:val="left"/>
      </w:lvl>
    </w:lvlOverride>
    <w:lvlOverride w:ilvl="8">
      <w:lvl w:ilvl="8">
        <w:start w:val="1"/>
        <w:numFmt w:val="decimal"/>
        <w:pStyle w:val="Heading9"/>
        <w:lvlText w:val="%1.%2.%3.%4.%5.%6.%7.%8.%9"/>
        <w:legacy w:legacy="1" w:legacySpace="144" w:legacyIndent="0"/>
        <w:lvlJc w:val="left"/>
      </w:lvl>
    </w:lvlOverride>
  </w:num>
  <w:num w:numId="40">
    <w:abstractNumId w:val="0"/>
    <w:lvlOverride w:ilvl="0">
      <w:lvl w:ilvl="0">
        <w:start w:val="1"/>
        <w:numFmt w:val="decimal"/>
        <w:pStyle w:val="Heading1"/>
        <w:lvlText w:val="%1."/>
        <w:legacy w:legacy="1" w:legacySpace="0" w:legacyIndent="0"/>
        <w:lvlJc w:val="left"/>
        <w:rPr>
          <w:b w:val="0"/>
        </w:rPr>
      </w:lvl>
    </w:lvlOverride>
    <w:lvlOverride w:ilvl="1">
      <w:lvl w:ilvl="1">
        <w:start w:val="1"/>
        <w:numFmt w:val="decimal"/>
        <w:pStyle w:val="Heading2"/>
        <w:lvlText w:val="%1.%2"/>
        <w:legacy w:legacy="1" w:legacySpace="144" w:legacyIndent="0"/>
        <w:lvlJc w:val="left"/>
      </w:lvl>
    </w:lvlOverride>
    <w:lvlOverride w:ilvl="2">
      <w:lvl w:ilvl="2">
        <w:start w:val="1"/>
        <w:numFmt w:val="decimal"/>
        <w:pStyle w:val="Heading3"/>
        <w:lvlText w:val="%1.%2.%3"/>
        <w:legacy w:legacy="1" w:legacySpace="144" w:legacyIndent="0"/>
        <w:lvlJc w:val="left"/>
      </w:lvl>
    </w:lvlOverride>
    <w:lvlOverride w:ilvl="3">
      <w:lvl w:ilvl="3">
        <w:start w:val="1"/>
        <w:numFmt w:val="decimal"/>
        <w:pStyle w:val="Heading4"/>
        <w:lvlText w:val="%1.%2.%3.%4"/>
        <w:legacy w:legacy="1" w:legacySpace="144" w:legacyIndent="0"/>
        <w:lvlJc w:val="left"/>
      </w:lvl>
    </w:lvlOverride>
    <w:lvlOverride w:ilvl="4">
      <w:lvl w:ilvl="4">
        <w:start w:val="1"/>
        <w:numFmt w:val="decimal"/>
        <w:pStyle w:val="Heading5"/>
        <w:lvlText w:val="%1.%2.%3.%4.%5"/>
        <w:legacy w:legacy="1" w:legacySpace="144" w:legacyIndent="0"/>
        <w:lvlJc w:val="left"/>
      </w:lvl>
    </w:lvlOverride>
    <w:lvlOverride w:ilvl="5">
      <w:lvl w:ilvl="5">
        <w:start w:val="1"/>
        <w:numFmt w:val="decimal"/>
        <w:pStyle w:val="Heading6"/>
        <w:lvlText w:val="%1.%2.%3.%4.%5.%6"/>
        <w:legacy w:legacy="1" w:legacySpace="144" w:legacyIndent="0"/>
        <w:lvlJc w:val="left"/>
      </w:lvl>
    </w:lvlOverride>
    <w:lvlOverride w:ilvl="6">
      <w:lvl w:ilvl="6">
        <w:start w:val="1"/>
        <w:numFmt w:val="decimal"/>
        <w:pStyle w:val="Heading7"/>
        <w:lvlText w:val="%1.%2.%3.%4.%5.%6.%7"/>
        <w:legacy w:legacy="1" w:legacySpace="144" w:legacyIndent="0"/>
        <w:lvlJc w:val="left"/>
      </w:lvl>
    </w:lvlOverride>
    <w:lvlOverride w:ilvl="7">
      <w:lvl w:ilvl="7">
        <w:start w:val="1"/>
        <w:numFmt w:val="decimal"/>
        <w:pStyle w:val="Heading8"/>
        <w:lvlText w:val="%1.%2.%3.%4.%5.%6.%7.%8"/>
        <w:legacy w:legacy="1" w:legacySpace="144" w:legacyIndent="0"/>
        <w:lvlJc w:val="left"/>
      </w:lvl>
    </w:lvlOverride>
    <w:lvlOverride w:ilvl="8">
      <w:lvl w:ilvl="8">
        <w:start w:val="1"/>
        <w:numFmt w:val="decimal"/>
        <w:pStyle w:val="Heading9"/>
        <w:lvlText w:val="%1.%2.%3.%4.%5.%6.%7.%8.%9"/>
        <w:legacy w:legacy="1" w:legacySpace="144" w:legacyIndent="0"/>
        <w:lvlJc w:val="left"/>
      </w:lvl>
    </w:lvlOverride>
  </w:num>
  <w:num w:numId="41">
    <w:abstractNumId w:val="0"/>
    <w:lvlOverride w:ilvl="0">
      <w:lvl w:ilvl="0">
        <w:start w:val="1"/>
        <w:numFmt w:val="decimal"/>
        <w:pStyle w:val="Heading1"/>
        <w:lvlText w:val="%1."/>
        <w:legacy w:legacy="1" w:legacySpace="0" w:legacyIndent="0"/>
        <w:lvlJc w:val="left"/>
      </w:lvl>
    </w:lvlOverride>
    <w:lvlOverride w:ilvl="1">
      <w:lvl w:ilvl="1">
        <w:start w:val="1"/>
        <w:numFmt w:val="decimal"/>
        <w:pStyle w:val="Heading2"/>
        <w:lvlText w:val="%1.%2"/>
        <w:legacy w:legacy="1" w:legacySpace="144" w:legacyIndent="0"/>
        <w:lvlJc w:val="left"/>
      </w:lvl>
    </w:lvlOverride>
    <w:lvlOverride w:ilvl="2">
      <w:lvl w:ilvl="2">
        <w:start w:val="1"/>
        <w:numFmt w:val="decimal"/>
        <w:pStyle w:val="Heading3"/>
        <w:lvlText w:val="%1.%2.%3"/>
        <w:legacy w:legacy="1" w:legacySpace="144" w:legacyIndent="0"/>
        <w:lvlJc w:val="left"/>
      </w:lvl>
    </w:lvlOverride>
    <w:lvlOverride w:ilvl="3">
      <w:lvl w:ilvl="3">
        <w:start w:val="1"/>
        <w:numFmt w:val="decimal"/>
        <w:pStyle w:val="Heading4"/>
        <w:lvlText w:val="%1.%2.%3.%4"/>
        <w:legacy w:legacy="1" w:legacySpace="144" w:legacyIndent="0"/>
        <w:lvlJc w:val="left"/>
      </w:lvl>
    </w:lvlOverride>
    <w:lvlOverride w:ilvl="4">
      <w:lvl w:ilvl="4">
        <w:start w:val="1"/>
        <w:numFmt w:val="decimal"/>
        <w:pStyle w:val="Heading5"/>
        <w:lvlText w:val="%1.%2.%3.%4.%5"/>
        <w:legacy w:legacy="1" w:legacySpace="144" w:legacyIndent="0"/>
        <w:lvlJc w:val="left"/>
      </w:lvl>
    </w:lvlOverride>
    <w:lvlOverride w:ilvl="5">
      <w:lvl w:ilvl="5">
        <w:start w:val="1"/>
        <w:numFmt w:val="decimal"/>
        <w:pStyle w:val="Heading6"/>
        <w:lvlText w:val="%1.%2.%3.%4.%5.%6"/>
        <w:legacy w:legacy="1" w:legacySpace="144" w:legacyIndent="0"/>
        <w:lvlJc w:val="left"/>
      </w:lvl>
    </w:lvlOverride>
    <w:lvlOverride w:ilvl="6">
      <w:lvl w:ilvl="6">
        <w:start w:val="1"/>
        <w:numFmt w:val="decimal"/>
        <w:pStyle w:val="Heading7"/>
        <w:lvlText w:val="%1.%2.%3.%4.%5.%6.%7"/>
        <w:legacy w:legacy="1" w:legacySpace="144" w:legacyIndent="0"/>
        <w:lvlJc w:val="left"/>
      </w:lvl>
    </w:lvlOverride>
    <w:lvlOverride w:ilvl="7">
      <w:lvl w:ilvl="7">
        <w:start w:val="1"/>
        <w:numFmt w:val="decimal"/>
        <w:pStyle w:val="Heading8"/>
        <w:lvlText w:val="%1.%2.%3.%4.%5.%6.%7.%8"/>
        <w:legacy w:legacy="1" w:legacySpace="144" w:legacyIndent="0"/>
        <w:lvlJc w:val="left"/>
      </w:lvl>
    </w:lvlOverride>
    <w:lvlOverride w:ilvl="8">
      <w:lvl w:ilvl="8">
        <w:start w:val="1"/>
        <w:numFmt w:val="decimal"/>
        <w:pStyle w:val="Heading9"/>
        <w:lvlText w:val="%1.%2.%3.%4.%5.%6.%7.%8.%9"/>
        <w:legacy w:legacy="1" w:legacySpace="144" w:legacyIndent="0"/>
        <w:lvlJc w:val="left"/>
      </w:lvl>
    </w:lvlOverride>
  </w:num>
  <w:num w:numId="42">
    <w:abstractNumId w:val="0"/>
    <w:lvlOverride w:ilvl="0">
      <w:lvl w:ilvl="0">
        <w:start w:val="1"/>
        <w:numFmt w:val="decimal"/>
        <w:pStyle w:val="Heading1"/>
        <w:lvlText w:val="%1."/>
        <w:legacy w:legacy="1" w:legacySpace="0" w:legacyIndent="0"/>
        <w:lvlJc w:val="left"/>
      </w:lvl>
    </w:lvlOverride>
    <w:lvlOverride w:ilvl="1">
      <w:lvl w:ilvl="1">
        <w:start w:val="1"/>
        <w:numFmt w:val="decimal"/>
        <w:pStyle w:val="Heading2"/>
        <w:lvlText w:val="%1.%2"/>
        <w:legacy w:legacy="1" w:legacySpace="144" w:legacyIndent="0"/>
        <w:lvlJc w:val="left"/>
      </w:lvl>
    </w:lvlOverride>
    <w:lvlOverride w:ilvl="2">
      <w:lvl w:ilvl="2">
        <w:start w:val="1"/>
        <w:numFmt w:val="decimal"/>
        <w:pStyle w:val="Heading3"/>
        <w:lvlText w:val="%1.%2.%3"/>
        <w:legacy w:legacy="1" w:legacySpace="144" w:legacyIndent="0"/>
        <w:lvlJc w:val="left"/>
      </w:lvl>
    </w:lvlOverride>
    <w:lvlOverride w:ilvl="3">
      <w:lvl w:ilvl="3">
        <w:start w:val="1"/>
        <w:numFmt w:val="decimal"/>
        <w:pStyle w:val="Heading4"/>
        <w:lvlText w:val="%1.%2.%3.%4"/>
        <w:legacy w:legacy="1" w:legacySpace="144" w:legacyIndent="0"/>
        <w:lvlJc w:val="left"/>
      </w:lvl>
    </w:lvlOverride>
    <w:lvlOverride w:ilvl="4">
      <w:lvl w:ilvl="4">
        <w:start w:val="1"/>
        <w:numFmt w:val="decimal"/>
        <w:pStyle w:val="Heading5"/>
        <w:lvlText w:val="%1.%2.%3.%4.%5"/>
        <w:legacy w:legacy="1" w:legacySpace="144" w:legacyIndent="0"/>
        <w:lvlJc w:val="left"/>
      </w:lvl>
    </w:lvlOverride>
    <w:lvlOverride w:ilvl="5">
      <w:lvl w:ilvl="5">
        <w:start w:val="1"/>
        <w:numFmt w:val="decimal"/>
        <w:pStyle w:val="Heading6"/>
        <w:lvlText w:val="%1.%2.%3.%4.%5.%6"/>
        <w:legacy w:legacy="1" w:legacySpace="144" w:legacyIndent="0"/>
        <w:lvlJc w:val="left"/>
      </w:lvl>
    </w:lvlOverride>
    <w:lvlOverride w:ilvl="6">
      <w:lvl w:ilvl="6">
        <w:start w:val="1"/>
        <w:numFmt w:val="decimal"/>
        <w:pStyle w:val="Heading7"/>
        <w:lvlText w:val="%1.%2.%3.%4.%5.%6.%7"/>
        <w:legacy w:legacy="1" w:legacySpace="144" w:legacyIndent="0"/>
        <w:lvlJc w:val="left"/>
      </w:lvl>
    </w:lvlOverride>
    <w:lvlOverride w:ilvl="7">
      <w:lvl w:ilvl="7">
        <w:start w:val="1"/>
        <w:numFmt w:val="decimal"/>
        <w:pStyle w:val="Heading8"/>
        <w:lvlText w:val="%1.%2.%3.%4.%5.%6.%7.%8"/>
        <w:legacy w:legacy="1" w:legacySpace="144" w:legacyIndent="0"/>
        <w:lvlJc w:val="left"/>
      </w:lvl>
    </w:lvlOverride>
    <w:lvlOverride w:ilvl="8">
      <w:lvl w:ilvl="8">
        <w:start w:val="1"/>
        <w:numFmt w:val="decimal"/>
        <w:pStyle w:val="Heading9"/>
        <w:lvlText w:val="%1.%2.%3.%4.%5.%6.%7.%8.%9"/>
        <w:legacy w:legacy="1" w:legacySpace="144" w:legacyIndent="0"/>
        <w:lvlJc w:val="left"/>
      </w:lvl>
    </w:lvlOverride>
  </w:num>
  <w:num w:numId="43">
    <w:abstractNumId w:val="0"/>
    <w:lvlOverride w:ilvl="0">
      <w:lvl w:ilvl="0">
        <w:start w:val="1"/>
        <w:numFmt w:val="decimal"/>
        <w:pStyle w:val="Heading1"/>
        <w:lvlText w:val="%1."/>
        <w:legacy w:legacy="1" w:legacySpace="0" w:legacyIndent="0"/>
        <w:lvlJc w:val="left"/>
      </w:lvl>
    </w:lvlOverride>
    <w:lvlOverride w:ilvl="1">
      <w:lvl w:ilvl="1">
        <w:start w:val="1"/>
        <w:numFmt w:val="decimal"/>
        <w:pStyle w:val="Heading2"/>
        <w:lvlText w:val="%1.%2"/>
        <w:legacy w:legacy="1" w:legacySpace="144" w:legacyIndent="0"/>
        <w:lvlJc w:val="left"/>
      </w:lvl>
    </w:lvlOverride>
    <w:lvlOverride w:ilvl="2">
      <w:lvl w:ilvl="2">
        <w:start w:val="1"/>
        <w:numFmt w:val="decimal"/>
        <w:pStyle w:val="Heading3"/>
        <w:lvlText w:val="%1.%2.%3"/>
        <w:legacy w:legacy="1" w:legacySpace="144" w:legacyIndent="0"/>
        <w:lvlJc w:val="left"/>
      </w:lvl>
    </w:lvlOverride>
    <w:lvlOverride w:ilvl="3">
      <w:lvl w:ilvl="3">
        <w:start w:val="1"/>
        <w:numFmt w:val="decimal"/>
        <w:pStyle w:val="Heading4"/>
        <w:lvlText w:val="%1.%2.%3.%4"/>
        <w:legacy w:legacy="1" w:legacySpace="144" w:legacyIndent="0"/>
        <w:lvlJc w:val="left"/>
      </w:lvl>
    </w:lvlOverride>
    <w:lvlOverride w:ilvl="4">
      <w:lvl w:ilvl="4">
        <w:start w:val="1"/>
        <w:numFmt w:val="decimal"/>
        <w:pStyle w:val="Heading5"/>
        <w:lvlText w:val="%1.%2.%3.%4.%5"/>
        <w:legacy w:legacy="1" w:legacySpace="144" w:legacyIndent="0"/>
        <w:lvlJc w:val="left"/>
      </w:lvl>
    </w:lvlOverride>
    <w:lvlOverride w:ilvl="5">
      <w:lvl w:ilvl="5">
        <w:start w:val="1"/>
        <w:numFmt w:val="decimal"/>
        <w:pStyle w:val="Heading6"/>
        <w:lvlText w:val="%1.%2.%3.%4.%5.%6"/>
        <w:legacy w:legacy="1" w:legacySpace="144" w:legacyIndent="0"/>
        <w:lvlJc w:val="left"/>
      </w:lvl>
    </w:lvlOverride>
    <w:lvlOverride w:ilvl="6">
      <w:lvl w:ilvl="6">
        <w:start w:val="1"/>
        <w:numFmt w:val="decimal"/>
        <w:pStyle w:val="Heading7"/>
        <w:lvlText w:val="%1.%2.%3.%4.%5.%6.%7"/>
        <w:legacy w:legacy="1" w:legacySpace="144" w:legacyIndent="0"/>
        <w:lvlJc w:val="left"/>
      </w:lvl>
    </w:lvlOverride>
    <w:lvlOverride w:ilvl="7">
      <w:lvl w:ilvl="7">
        <w:start w:val="1"/>
        <w:numFmt w:val="decimal"/>
        <w:pStyle w:val="Heading8"/>
        <w:lvlText w:val="%1.%2.%3.%4.%5.%6.%7.%8"/>
        <w:legacy w:legacy="1" w:legacySpace="144" w:legacyIndent="0"/>
        <w:lvlJc w:val="left"/>
      </w:lvl>
    </w:lvlOverride>
    <w:lvlOverride w:ilvl="8">
      <w:lvl w:ilvl="8">
        <w:start w:val="1"/>
        <w:numFmt w:val="decimal"/>
        <w:pStyle w:val="Heading9"/>
        <w:lvlText w:val="%1.%2.%3.%4.%5.%6.%7.%8.%9"/>
        <w:legacy w:legacy="1" w:legacySpace="144" w:legacyIndent="0"/>
        <w:lvlJc w:val="left"/>
      </w:lvl>
    </w:lvlOverride>
  </w:num>
  <w:num w:numId="44">
    <w:abstractNumId w:val="0"/>
    <w:lvlOverride w:ilvl="0">
      <w:lvl w:ilvl="0">
        <w:start w:val="1"/>
        <w:numFmt w:val="decimal"/>
        <w:pStyle w:val="Heading1"/>
        <w:lvlText w:val="%1."/>
        <w:legacy w:legacy="1" w:legacySpace="0" w:legacyIndent="0"/>
        <w:lvlJc w:val="left"/>
      </w:lvl>
    </w:lvlOverride>
    <w:lvlOverride w:ilvl="1">
      <w:lvl w:ilvl="1">
        <w:start w:val="1"/>
        <w:numFmt w:val="decimal"/>
        <w:pStyle w:val="Heading2"/>
        <w:lvlText w:val="%1.%2"/>
        <w:legacy w:legacy="1" w:legacySpace="144" w:legacyIndent="0"/>
        <w:lvlJc w:val="left"/>
      </w:lvl>
    </w:lvlOverride>
    <w:lvlOverride w:ilvl="2">
      <w:lvl w:ilvl="2">
        <w:start w:val="1"/>
        <w:numFmt w:val="decimal"/>
        <w:pStyle w:val="Heading3"/>
        <w:lvlText w:val="%1.%2.%3"/>
        <w:legacy w:legacy="1" w:legacySpace="144" w:legacyIndent="0"/>
        <w:lvlJc w:val="left"/>
      </w:lvl>
    </w:lvlOverride>
    <w:lvlOverride w:ilvl="3">
      <w:lvl w:ilvl="3">
        <w:start w:val="1"/>
        <w:numFmt w:val="decimal"/>
        <w:pStyle w:val="Heading4"/>
        <w:lvlText w:val="%1.%2.%3.%4"/>
        <w:legacy w:legacy="1" w:legacySpace="144" w:legacyIndent="0"/>
        <w:lvlJc w:val="left"/>
      </w:lvl>
    </w:lvlOverride>
    <w:lvlOverride w:ilvl="4">
      <w:lvl w:ilvl="4">
        <w:start w:val="1"/>
        <w:numFmt w:val="decimal"/>
        <w:pStyle w:val="Heading5"/>
        <w:lvlText w:val="%1.%2.%3.%4.%5"/>
        <w:legacy w:legacy="1" w:legacySpace="144" w:legacyIndent="0"/>
        <w:lvlJc w:val="left"/>
      </w:lvl>
    </w:lvlOverride>
    <w:lvlOverride w:ilvl="5">
      <w:lvl w:ilvl="5">
        <w:start w:val="1"/>
        <w:numFmt w:val="decimal"/>
        <w:pStyle w:val="Heading6"/>
        <w:lvlText w:val="%1.%2.%3.%4.%5.%6"/>
        <w:legacy w:legacy="1" w:legacySpace="144" w:legacyIndent="0"/>
        <w:lvlJc w:val="left"/>
      </w:lvl>
    </w:lvlOverride>
    <w:lvlOverride w:ilvl="6">
      <w:lvl w:ilvl="6">
        <w:start w:val="1"/>
        <w:numFmt w:val="decimal"/>
        <w:pStyle w:val="Heading7"/>
        <w:lvlText w:val="%1.%2.%3.%4.%5.%6.%7"/>
        <w:legacy w:legacy="1" w:legacySpace="144" w:legacyIndent="0"/>
        <w:lvlJc w:val="left"/>
      </w:lvl>
    </w:lvlOverride>
    <w:lvlOverride w:ilvl="7">
      <w:lvl w:ilvl="7">
        <w:start w:val="1"/>
        <w:numFmt w:val="decimal"/>
        <w:pStyle w:val="Heading8"/>
        <w:lvlText w:val="%1.%2.%3.%4.%5.%6.%7.%8"/>
        <w:legacy w:legacy="1" w:legacySpace="144" w:legacyIndent="0"/>
        <w:lvlJc w:val="left"/>
      </w:lvl>
    </w:lvlOverride>
    <w:lvlOverride w:ilvl="8">
      <w:lvl w:ilvl="8">
        <w:start w:val="1"/>
        <w:numFmt w:val="decimal"/>
        <w:pStyle w:val="Heading9"/>
        <w:lvlText w:val="%1.%2.%3.%4.%5.%6.%7.%8.%9"/>
        <w:legacy w:legacy="1" w:legacySpace="144" w:legacyIndent="0"/>
        <w:lvlJc w:val="left"/>
      </w:lvl>
    </w:lvlOverride>
  </w:num>
  <w:num w:numId="45">
    <w:abstractNumId w:val="0"/>
    <w:lvlOverride w:ilvl="0">
      <w:lvl w:ilvl="0">
        <w:start w:val="1"/>
        <w:numFmt w:val="decimal"/>
        <w:pStyle w:val="Heading1"/>
        <w:lvlText w:val="%1."/>
        <w:legacy w:legacy="1" w:legacySpace="0" w:legacyIndent="0"/>
        <w:lvlJc w:val="left"/>
      </w:lvl>
    </w:lvlOverride>
    <w:lvlOverride w:ilvl="1">
      <w:lvl w:ilvl="1">
        <w:start w:val="1"/>
        <w:numFmt w:val="decimal"/>
        <w:pStyle w:val="Heading2"/>
        <w:lvlText w:val="%1.%2"/>
        <w:legacy w:legacy="1" w:legacySpace="144" w:legacyIndent="0"/>
        <w:lvlJc w:val="left"/>
      </w:lvl>
    </w:lvlOverride>
    <w:lvlOverride w:ilvl="2">
      <w:lvl w:ilvl="2">
        <w:start w:val="1"/>
        <w:numFmt w:val="decimal"/>
        <w:pStyle w:val="Heading3"/>
        <w:lvlText w:val="%1.%2.%3"/>
        <w:legacy w:legacy="1" w:legacySpace="144" w:legacyIndent="0"/>
        <w:lvlJc w:val="left"/>
      </w:lvl>
    </w:lvlOverride>
    <w:lvlOverride w:ilvl="3">
      <w:lvl w:ilvl="3">
        <w:start w:val="1"/>
        <w:numFmt w:val="decimal"/>
        <w:pStyle w:val="Heading4"/>
        <w:lvlText w:val="%1.%2.%3.%4"/>
        <w:legacy w:legacy="1" w:legacySpace="144" w:legacyIndent="0"/>
        <w:lvlJc w:val="left"/>
      </w:lvl>
    </w:lvlOverride>
    <w:lvlOverride w:ilvl="4">
      <w:lvl w:ilvl="4">
        <w:start w:val="1"/>
        <w:numFmt w:val="decimal"/>
        <w:pStyle w:val="Heading5"/>
        <w:lvlText w:val="%1.%2.%3.%4.%5"/>
        <w:legacy w:legacy="1" w:legacySpace="144" w:legacyIndent="0"/>
        <w:lvlJc w:val="left"/>
      </w:lvl>
    </w:lvlOverride>
    <w:lvlOverride w:ilvl="5">
      <w:lvl w:ilvl="5">
        <w:start w:val="1"/>
        <w:numFmt w:val="decimal"/>
        <w:pStyle w:val="Heading6"/>
        <w:lvlText w:val="%1.%2.%3.%4.%5.%6"/>
        <w:legacy w:legacy="1" w:legacySpace="144" w:legacyIndent="0"/>
        <w:lvlJc w:val="left"/>
      </w:lvl>
    </w:lvlOverride>
    <w:lvlOverride w:ilvl="6">
      <w:lvl w:ilvl="6">
        <w:start w:val="1"/>
        <w:numFmt w:val="decimal"/>
        <w:pStyle w:val="Heading7"/>
        <w:lvlText w:val="%1.%2.%3.%4.%5.%6.%7"/>
        <w:legacy w:legacy="1" w:legacySpace="144" w:legacyIndent="0"/>
        <w:lvlJc w:val="left"/>
      </w:lvl>
    </w:lvlOverride>
    <w:lvlOverride w:ilvl="7">
      <w:lvl w:ilvl="7">
        <w:start w:val="1"/>
        <w:numFmt w:val="decimal"/>
        <w:pStyle w:val="Heading8"/>
        <w:lvlText w:val="%1.%2.%3.%4.%5.%6.%7.%8"/>
        <w:legacy w:legacy="1" w:legacySpace="144" w:legacyIndent="0"/>
        <w:lvlJc w:val="left"/>
      </w:lvl>
    </w:lvlOverride>
    <w:lvlOverride w:ilvl="8">
      <w:lvl w:ilvl="8">
        <w:start w:val="1"/>
        <w:numFmt w:val="decimal"/>
        <w:pStyle w:val="Heading9"/>
        <w:lvlText w:val="%1.%2.%3.%4.%5.%6.%7.%8.%9"/>
        <w:legacy w:legacy="1" w:legacySpace="144" w:legacyIndent="0"/>
        <w:lvlJc w:val="left"/>
      </w:lvl>
    </w:lvlOverride>
  </w:num>
  <w:num w:numId="46">
    <w:abstractNumId w:val="0"/>
    <w:lvlOverride w:ilvl="0">
      <w:lvl w:ilvl="0">
        <w:start w:val="1"/>
        <w:numFmt w:val="decimal"/>
        <w:pStyle w:val="Heading1"/>
        <w:lvlText w:val="%1."/>
        <w:legacy w:legacy="1" w:legacySpace="0" w:legacyIndent="0"/>
        <w:lvlJc w:val="left"/>
      </w:lvl>
    </w:lvlOverride>
    <w:lvlOverride w:ilvl="1">
      <w:lvl w:ilvl="1">
        <w:start w:val="1"/>
        <w:numFmt w:val="decimal"/>
        <w:pStyle w:val="Heading2"/>
        <w:lvlText w:val="%1.%2"/>
        <w:legacy w:legacy="1" w:legacySpace="144" w:legacyIndent="0"/>
        <w:lvlJc w:val="left"/>
      </w:lvl>
    </w:lvlOverride>
    <w:lvlOverride w:ilvl="2">
      <w:lvl w:ilvl="2">
        <w:start w:val="1"/>
        <w:numFmt w:val="decimal"/>
        <w:pStyle w:val="Heading3"/>
        <w:lvlText w:val="%1.%2.%3"/>
        <w:legacy w:legacy="1" w:legacySpace="144" w:legacyIndent="0"/>
        <w:lvlJc w:val="left"/>
      </w:lvl>
    </w:lvlOverride>
    <w:lvlOverride w:ilvl="3">
      <w:lvl w:ilvl="3">
        <w:start w:val="1"/>
        <w:numFmt w:val="decimal"/>
        <w:pStyle w:val="Heading4"/>
        <w:lvlText w:val="%1.%2.%3.%4"/>
        <w:legacy w:legacy="1" w:legacySpace="144" w:legacyIndent="0"/>
        <w:lvlJc w:val="left"/>
      </w:lvl>
    </w:lvlOverride>
    <w:lvlOverride w:ilvl="4">
      <w:lvl w:ilvl="4">
        <w:start w:val="1"/>
        <w:numFmt w:val="decimal"/>
        <w:pStyle w:val="Heading5"/>
        <w:lvlText w:val="%1.%2.%3.%4.%5"/>
        <w:legacy w:legacy="1" w:legacySpace="144" w:legacyIndent="0"/>
        <w:lvlJc w:val="left"/>
      </w:lvl>
    </w:lvlOverride>
    <w:lvlOverride w:ilvl="5">
      <w:lvl w:ilvl="5">
        <w:start w:val="1"/>
        <w:numFmt w:val="decimal"/>
        <w:pStyle w:val="Heading6"/>
        <w:lvlText w:val="%1.%2.%3.%4.%5.%6"/>
        <w:legacy w:legacy="1" w:legacySpace="144" w:legacyIndent="0"/>
        <w:lvlJc w:val="left"/>
      </w:lvl>
    </w:lvlOverride>
    <w:lvlOverride w:ilvl="6">
      <w:lvl w:ilvl="6">
        <w:start w:val="1"/>
        <w:numFmt w:val="decimal"/>
        <w:pStyle w:val="Heading7"/>
        <w:lvlText w:val="%1.%2.%3.%4.%5.%6.%7"/>
        <w:legacy w:legacy="1" w:legacySpace="144" w:legacyIndent="0"/>
        <w:lvlJc w:val="left"/>
      </w:lvl>
    </w:lvlOverride>
    <w:lvlOverride w:ilvl="7">
      <w:lvl w:ilvl="7">
        <w:start w:val="1"/>
        <w:numFmt w:val="decimal"/>
        <w:pStyle w:val="Heading8"/>
        <w:lvlText w:val="%1.%2.%3.%4.%5.%6.%7.%8"/>
        <w:legacy w:legacy="1" w:legacySpace="144" w:legacyIndent="0"/>
        <w:lvlJc w:val="left"/>
      </w:lvl>
    </w:lvlOverride>
    <w:lvlOverride w:ilvl="8">
      <w:lvl w:ilvl="8">
        <w:start w:val="1"/>
        <w:numFmt w:val="decimal"/>
        <w:pStyle w:val="Heading9"/>
        <w:lvlText w:val="%1.%2.%3.%4.%5.%6.%7.%8.%9"/>
        <w:legacy w:legacy="1" w:legacySpace="144" w:legacyIndent="0"/>
        <w:lvlJc w:val="left"/>
      </w:lvl>
    </w:lvlOverride>
  </w:num>
  <w:num w:numId="47">
    <w:abstractNumId w:val="0"/>
    <w:lvlOverride w:ilvl="0">
      <w:lvl w:ilvl="0">
        <w:start w:val="1"/>
        <w:numFmt w:val="decimal"/>
        <w:pStyle w:val="Heading1"/>
        <w:lvlText w:val="%1."/>
        <w:legacy w:legacy="1" w:legacySpace="0" w:legacyIndent="0"/>
        <w:lvlJc w:val="left"/>
      </w:lvl>
    </w:lvlOverride>
    <w:lvlOverride w:ilvl="1">
      <w:lvl w:ilvl="1">
        <w:start w:val="1"/>
        <w:numFmt w:val="decimal"/>
        <w:pStyle w:val="Heading2"/>
        <w:lvlText w:val="%1.%2"/>
        <w:legacy w:legacy="1" w:legacySpace="144" w:legacyIndent="0"/>
        <w:lvlJc w:val="left"/>
      </w:lvl>
    </w:lvlOverride>
    <w:lvlOverride w:ilvl="2">
      <w:lvl w:ilvl="2">
        <w:start w:val="1"/>
        <w:numFmt w:val="decimal"/>
        <w:pStyle w:val="Heading3"/>
        <w:lvlText w:val="%1.%2.%3"/>
        <w:legacy w:legacy="1" w:legacySpace="144" w:legacyIndent="0"/>
        <w:lvlJc w:val="left"/>
      </w:lvl>
    </w:lvlOverride>
    <w:lvlOverride w:ilvl="3">
      <w:lvl w:ilvl="3">
        <w:start w:val="1"/>
        <w:numFmt w:val="decimal"/>
        <w:pStyle w:val="Heading4"/>
        <w:lvlText w:val="%1.%2.%3.%4"/>
        <w:legacy w:legacy="1" w:legacySpace="144" w:legacyIndent="0"/>
        <w:lvlJc w:val="left"/>
      </w:lvl>
    </w:lvlOverride>
    <w:lvlOverride w:ilvl="4">
      <w:lvl w:ilvl="4">
        <w:start w:val="1"/>
        <w:numFmt w:val="decimal"/>
        <w:pStyle w:val="Heading5"/>
        <w:lvlText w:val="%1.%2.%3.%4.%5"/>
        <w:legacy w:legacy="1" w:legacySpace="144" w:legacyIndent="0"/>
        <w:lvlJc w:val="left"/>
      </w:lvl>
    </w:lvlOverride>
    <w:lvlOverride w:ilvl="5">
      <w:lvl w:ilvl="5">
        <w:start w:val="1"/>
        <w:numFmt w:val="decimal"/>
        <w:pStyle w:val="Heading6"/>
        <w:lvlText w:val="%1.%2.%3.%4.%5.%6"/>
        <w:legacy w:legacy="1" w:legacySpace="144" w:legacyIndent="0"/>
        <w:lvlJc w:val="left"/>
      </w:lvl>
    </w:lvlOverride>
    <w:lvlOverride w:ilvl="6">
      <w:lvl w:ilvl="6">
        <w:start w:val="1"/>
        <w:numFmt w:val="decimal"/>
        <w:pStyle w:val="Heading7"/>
        <w:lvlText w:val="%1.%2.%3.%4.%5.%6.%7"/>
        <w:legacy w:legacy="1" w:legacySpace="144" w:legacyIndent="0"/>
        <w:lvlJc w:val="left"/>
      </w:lvl>
    </w:lvlOverride>
    <w:lvlOverride w:ilvl="7">
      <w:lvl w:ilvl="7">
        <w:start w:val="1"/>
        <w:numFmt w:val="decimal"/>
        <w:pStyle w:val="Heading8"/>
        <w:lvlText w:val="%1.%2.%3.%4.%5.%6.%7.%8"/>
        <w:legacy w:legacy="1" w:legacySpace="144" w:legacyIndent="0"/>
        <w:lvlJc w:val="left"/>
      </w:lvl>
    </w:lvlOverride>
    <w:lvlOverride w:ilvl="8">
      <w:lvl w:ilvl="8">
        <w:start w:val="1"/>
        <w:numFmt w:val="decimal"/>
        <w:pStyle w:val="Heading9"/>
        <w:lvlText w:val="%1.%2.%3.%4.%5.%6.%7.%8.%9"/>
        <w:legacy w:legacy="1" w:legacySpace="144" w:legacyIndent="0"/>
        <w:lvlJc w:val="left"/>
      </w:lvl>
    </w:lvlOverride>
  </w:num>
  <w:num w:numId="48">
    <w:abstractNumId w:val="0"/>
    <w:lvlOverride w:ilvl="0">
      <w:lvl w:ilvl="0">
        <w:start w:val="1"/>
        <w:numFmt w:val="decimal"/>
        <w:pStyle w:val="Heading1"/>
        <w:lvlText w:val="%1."/>
        <w:legacy w:legacy="1" w:legacySpace="0" w:legacyIndent="0"/>
        <w:lvlJc w:val="left"/>
      </w:lvl>
    </w:lvlOverride>
    <w:lvlOverride w:ilvl="1">
      <w:lvl w:ilvl="1">
        <w:start w:val="1"/>
        <w:numFmt w:val="decimal"/>
        <w:pStyle w:val="Heading2"/>
        <w:lvlText w:val="%1.%2"/>
        <w:legacy w:legacy="1" w:legacySpace="144" w:legacyIndent="0"/>
        <w:lvlJc w:val="left"/>
      </w:lvl>
    </w:lvlOverride>
    <w:lvlOverride w:ilvl="2">
      <w:lvl w:ilvl="2">
        <w:start w:val="1"/>
        <w:numFmt w:val="decimal"/>
        <w:pStyle w:val="Heading3"/>
        <w:lvlText w:val="%1.%2.%3"/>
        <w:legacy w:legacy="1" w:legacySpace="144" w:legacyIndent="0"/>
        <w:lvlJc w:val="left"/>
      </w:lvl>
    </w:lvlOverride>
    <w:lvlOverride w:ilvl="3">
      <w:lvl w:ilvl="3">
        <w:start w:val="1"/>
        <w:numFmt w:val="decimal"/>
        <w:pStyle w:val="Heading4"/>
        <w:lvlText w:val="%1.%2.%3.%4"/>
        <w:legacy w:legacy="1" w:legacySpace="144" w:legacyIndent="0"/>
        <w:lvlJc w:val="left"/>
      </w:lvl>
    </w:lvlOverride>
    <w:lvlOverride w:ilvl="4">
      <w:lvl w:ilvl="4">
        <w:start w:val="1"/>
        <w:numFmt w:val="decimal"/>
        <w:pStyle w:val="Heading5"/>
        <w:lvlText w:val="%1.%2.%3.%4.%5"/>
        <w:legacy w:legacy="1" w:legacySpace="144" w:legacyIndent="0"/>
        <w:lvlJc w:val="left"/>
      </w:lvl>
    </w:lvlOverride>
    <w:lvlOverride w:ilvl="5">
      <w:lvl w:ilvl="5">
        <w:start w:val="1"/>
        <w:numFmt w:val="decimal"/>
        <w:pStyle w:val="Heading6"/>
        <w:lvlText w:val="%1.%2.%3.%4.%5.%6"/>
        <w:legacy w:legacy="1" w:legacySpace="144" w:legacyIndent="0"/>
        <w:lvlJc w:val="left"/>
      </w:lvl>
    </w:lvlOverride>
    <w:lvlOverride w:ilvl="6">
      <w:lvl w:ilvl="6">
        <w:start w:val="1"/>
        <w:numFmt w:val="decimal"/>
        <w:pStyle w:val="Heading7"/>
        <w:lvlText w:val="%1.%2.%3.%4.%5.%6.%7"/>
        <w:legacy w:legacy="1" w:legacySpace="144" w:legacyIndent="0"/>
        <w:lvlJc w:val="left"/>
      </w:lvl>
    </w:lvlOverride>
    <w:lvlOverride w:ilvl="7">
      <w:lvl w:ilvl="7">
        <w:start w:val="1"/>
        <w:numFmt w:val="decimal"/>
        <w:pStyle w:val="Heading8"/>
        <w:lvlText w:val="%1.%2.%3.%4.%5.%6.%7.%8"/>
        <w:legacy w:legacy="1" w:legacySpace="144" w:legacyIndent="0"/>
        <w:lvlJc w:val="left"/>
      </w:lvl>
    </w:lvlOverride>
    <w:lvlOverride w:ilvl="8">
      <w:lvl w:ilvl="8">
        <w:start w:val="1"/>
        <w:numFmt w:val="decimal"/>
        <w:pStyle w:val="Heading9"/>
        <w:lvlText w:val="%1.%2.%3.%4.%5.%6.%7.%8.%9"/>
        <w:legacy w:legacy="1" w:legacySpace="144" w:legacyIndent="0"/>
        <w:lvlJc w:val="left"/>
      </w:lvl>
    </w:lvlOverride>
  </w:num>
  <w:num w:numId="49">
    <w:abstractNumId w:val="0"/>
    <w:lvlOverride w:ilvl="0">
      <w:lvl w:ilvl="0">
        <w:start w:val="1"/>
        <w:numFmt w:val="decimal"/>
        <w:pStyle w:val="Heading1"/>
        <w:lvlText w:val="%1."/>
        <w:legacy w:legacy="1" w:legacySpace="0" w:legacyIndent="0"/>
        <w:lvlJc w:val="left"/>
      </w:lvl>
    </w:lvlOverride>
    <w:lvlOverride w:ilvl="1">
      <w:lvl w:ilvl="1">
        <w:start w:val="1"/>
        <w:numFmt w:val="decimal"/>
        <w:pStyle w:val="Heading2"/>
        <w:lvlText w:val="%1.%2"/>
        <w:legacy w:legacy="1" w:legacySpace="144" w:legacyIndent="0"/>
        <w:lvlJc w:val="left"/>
      </w:lvl>
    </w:lvlOverride>
    <w:lvlOverride w:ilvl="2">
      <w:lvl w:ilvl="2">
        <w:start w:val="1"/>
        <w:numFmt w:val="decimal"/>
        <w:pStyle w:val="Heading3"/>
        <w:lvlText w:val="%1.%2.%3"/>
        <w:legacy w:legacy="1" w:legacySpace="144" w:legacyIndent="0"/>
        <w:lvlJc w:val="left"/>
      </w:lvl>
    </w:lvlOverride>
    <w:lvlOverride w:ilvl="3">
      <w:lvl w:ilvl="3">
        <w:start w:val="1"/>
        <w:numFmt w:val="decimal"/>
        <w:pStyle w:val="Heading4"/>
        <w:lvlText w:val="%1.%2.%3.%4"/>
        <w:legacy w:legacy="1" w:legacySpace="144" w:legacyIndent="0"/>
        <w:lvlJc w:val="left"/>
      </w:lvl>
    </w:lvlOverride>
    <w:lvlOverride w:ilvl="4">
      <w:lvl w:ilvl="4">
        <w:start w:val="1"/>
        <w:numFmt w:val="decimal"/>
        <w:pStyle w:val="Heading5"/>
        <w:lvlText w:val="%1.%2.%3.%4.%5"/>
        <w:legacy w:legacy="1" w:legacySpace="144" w:legacyIndent="0"/>
        <w:lvlJc w:val="left"/>
      </w:lvl>
    </w:lvlOverride>
    <w:lvlOverride w:ilvl="5">
      <w:lvl w:ilvl="5">
        <w:start w:val="1"/>
        <w:numFmt w:val="decimal"/>
        <w:pStyle w:val="Heading6"/>
        <w:lvlText w:val="%1.%2.%3.%4.%5.%6"/>
        <w:legacy w:legacy="1" w:legacySpace="144" w:legacyIndent="0"/>
        <w:lvlJc w:val="left"/>
      </w:lvl>
    </w:lvlOverride>
    <w:lvlOverride w:ilvl="6">
      <w:lvl w:ilvl="6">
        <w:start w:val="1"/>
        <w:numFmt w:val="decimal"/>
        <w:pStyle w:val="Heading7"/>
        <w:lvlText w:val="%1.%2.%3.%4.%5.%6.%7"/>
        <w:legacy w:legacy="1" w:legacySpace="144" w:legacyIndent="0"/>
        <w:lvlJc w:val="left"/>
      </w:lvl>
    </w:lvlOverride>
    <w:lvlOverride w:ilvl="7">
      <w:lvl w:ilvl="7">
        <w:start w:val="1"/>
        <w:numFmt w:val="decimal"/>
        <w:pStyle w:val="Heading8"/>
        <w:lvlText w:val="%1.%2.%3.%4.%5.%6.%7.%8"/>
        <w:legacy w:legacy="1" w:legacySpace="144" w:legacyIndent="0"/>
        <w:lvlJc w:val="left"/>
      </w:lvl>
    </w:lvlOverride>
    <w:lvlOverride w:ilvl="8">
      <w:lvl w:ilvl="8">
        <w:start w:val="1"/>
        <w:numFmt w:val="decimal"/>
        <w:pStyle w:val="Heading9"/>
        <w:lvlText w:val="%1.%2.%3.%4.%5.%6.%7.%8.%9"/>
        <w:legacy w:legacy="1" w:legacySpace="144" w:legacyIndent="0"/>
        <w:lvlJc w:val="left"/>
      </w:lvl>
    </w:lvlOverride>
  </w:num>
  <w:num w:numId="50">
    <w:abstractNumId w:val="0"/>
    <w:lvlOverride w:ilvl="0">
      <w:lvl w:ilvl="0">
        <w:start w:val="1"/>
        <w:numFmt w:val="decimal"/>
        <w:pStyle w:val="Heading1"/>
        <w:lvlText w:val="%1."/>
        <w:legacy w:legacy="1" w:legacySpace="0" w:legacyIndent="0"/>
        <w:lvlJc w:val="left"/>
      </w:lvl>
    </w:lvlOverride>
    <w:lvlOverride w:ilvl="1">
      <w:lvl w:ilvl="1">
        <w:start w:val="1"/>
        <w:numFmt w:val="decimal"/>
        <w:pStyle w:val="Heading2"/>
        <w:lvlText w:val="%1.%2"/>
        <w:legacy w:legacy="1" w:legacySpace="144" w:legacyIndent="0"/>
        <w:lvlJc w:val="left"/>
      </w:lvl>
    </w:lvlOverride>
    <w:lvlOverride w:ilvl="2">
      <w:lvl w:ilvl="2">
        <w:start w:val="1"/>
        <w:numFmt w:val="decimal"/>
        <w:pStyle w:val="Heading3"/>
        <w:lvlText w:val="%1.%2.%3"/>
        <w:legacy w:legacy="1" w:legacySpace="144" w:legacyIndent="0"/>
        <w:lvlJc w:val="left"/>
      </w:lvl>
    </w:lvlOverride>
    <w:lvlOverride w:ilvl="3">
      <w:lvl w:ilvl="3">
        <w:start w:val="1"/>
        <w:numFmt w:val="decimal"/>
        <w:pStyle w:val="Heading4"/>
        <w:lvlText w:val="%1.%2.%3.%4"/>
        <w:legacy w:legacy="1" w:legacySpace="144" w:legacyIndent="0"/>
        <w:lvlJc w:val="left"/>
      </w:lvl>
    </w:lvlOverride>
    <w:lvlOverride w:ilvl="4">
      <w:lvl w:ilvl="4">
        <w:start w:val="1"/>
        <w:numFmt w:val="decimal"/>
        <w:pStyle w:val="Heading5"/>
        <w:lvlText w:val="%1.%2.%3.%4.%5"/>
        <w:legacy w:legacy="1" w:legacySpace="144" w:legacyIndent="0"/>
        <w:lvlJc w:val="left"/>
      </w:lvl>
    </w:lvlOverride>
    <w:lvlOverride w:ilvl="5">
      <w:lvl w:ilvl="5">
        <w:start w:val="1"/>
        <w:numFmt w:val="decimal"/>
        <w:pStyle w:val="Heading6"/>
        <w:lvlText w:val="%1.%2.%3.%4.%5.%6"/>
        <w:legacy w:legacy="1" w:legacySpace="144" w:legacyIndent="0"/>
        <w:lvlJc w:val="left"/>
      </w:lvl>
    </w:lvlOverride>
    <w:lvlOverride w:ilvl="6">
      <w:lvl w:ilvl="6">
        <w:start w:val="1"/>
        <w:numFmt w:val="decimal"/>
        <w:pStyle w:val="Heading7"/>
        <w:lvlText w:val="%1.%2.%3.%4.%5.%6.%7"/>
        <w:legacy w:legacy="1" w:legacySpace="144" w:legacyIndent="0"/>
        <w:lvlJc w:val="left"/>
      </w:lvl>
    </w:lvlOverride>
    <w:lvlOverride w:ilvl="7">
      <w:lvl w:ilvl="7">
        <w:start w:val="1"/>
        <w:numFmt w:val="decimal"/>
        <w:pStyle w:val="Heading8"/>
        <w:lvlText w:val="%1.%2.%3.%4.%5.%6.%7.%8"/>
        <w:legacy w:legacy="1" w:legacySpace="144" w:legacyIndent="0"/>
        <w:lvlJc w:val="left"/>
      </w:lvl>
    </w:lvlOverride>
    <w:lvlOverride w:ilvl="8">
      <w:lvl w:ilvl="8">
        <w:start w:val="1"/>
        <w:numFmt w:val="decimal"/>
        <w:pStyle w:val="Heading9"/>
        <w:lvlText w:val="%1.%2.%3.%4.%5.%6.%7.%8.%9"/>
        <w:legacy w:legacy="1" w:legacySpace="144" w:legacyIndent="0"/>
        <w:lvlJc w:val="left"/>
      </w:lvl>
    </w:lvlOverride>
  </w:num>
  <w:num w:numId="51">
    <w:abstractNumId w:val="0"/>
    <w:lvlOverride w:ilvl="0">
      <w:lvl w:ilvl="0">
        <w:start w:val="1"/>
        <w:numFmt w:val="decimal"/>
        <w:pStyle w:val="Heading1"/>
        <w:lvlText w:val="%1."/>
        <w:legacy w:legacy="1" w:legacySpace="0" w:legacyIndent="0"/>
        <w:lvlJc w:val="left"/>
      </w:lvl>
    </w:lvlOverride>
    <w:lvlOverride w:ilvl="1">
      <w:lvl w:ilvl="1">
        <w:start w:val="1"/>
        <w:numFmt w:val="decimal"/>
        <w:pStyle w:val="Heading2"/>
        <w:lvlText w:val="%1.%2"/>
        <w:legacy w:legacy="1" w:legacySpace="144" w:legacyIndent="0"/>
        <w:lvlJc w:val="left"/>
      </w:lvl>
    </w:lvlOverride>
    <w:lvlOverride w:ilvl="2">
      <w:lvl w:ilvl="2">
        <w:start w:val="1"/>
        <w:numFmt w:val="decimal"/>
        <w:pStyle w:val="Heading3"/>
        <w:lvlText w:val="%1.%2.%3"/>
        <w:legacy w:legacy="1" w:legacySpace="144" w:legacyIndent="0"/>
        <w:lvlJc w:val="left"/>
      </w:lvl>
    </w:lvlOverride>
    <w:lvlOverride w:ilvl="3">
      <w:lvl w:ilvl="3">
        <w:start w:val="1"/>
        <w:numFmt w:val="decimal"/>
        <w:pStyle w:val="Heading4"/>
        <w:lvlText w:val="%1.%2.%3.%4"/>
        <w:legacy w:legacy="1" w:legacySpace="144" w:legacyIndent="0"/>
        <w:lvlJc w:val="left"/>
      </w:lvl>
    </w:lvlOverride>
    <w:lvlOverride w:ilvl="4">
      <w:lvl w:ilvl="4">
        <w:start w:val="1"/>
        <w:numFmt w:val="decimal"/>
        <w:pStyle w:val="Heading5"/>
        <w:lvlText w:val="%1.%2.%3.%4.%5"/>
        <w:legacy w:legacy="1" w:legacySpace="144" w:legacyIndent="0"/>
        <w:lvlJc w:val="left"/>
      </w:lvl>
    </w:lvlOverride>
    <w:lvlOverride w:ilvl="5">
      <w:lvl w:ilvl="5">
        <w:start w:val="1"/>
        <w:numFmt w:val="decimal"/>
        <w:pStyle w:val="Heading6"/>
        <w:lvlText w:val="%1.%2.%3.%4.%5.%6"/>
        <w:legacy w:legacy="1" w:legacySpace="144" w:legacyIndent="0"/>
        <w:lvlJc w:val="left"/>
      </w:lvl>
    </w:lvlOverride>
    <w:lvlOverride w:ilvl="6">
      <w:lvl w:ilvl="6">
        <w:start w:val="1"/>
        <w:numFmt w:val="decimal"/>
        <w:pStyle w:val="Heading7"/>
        <w:lvlText w:val="%1.%2.%3.%4.%5.%6.%7"/>
        <w:legacy w:legacy="1" w:legacySpace="144" w:legacyIndent="0"/>
        <w:lvlJc w:val="left"/>
      </w:lvl>
    </w:lvlOverride>
    <w:lvlOverride w:ilvl="7">
      <w:lvl w:ilvl="7">
        <w:start w:val="1"/>
        <w:numFmt w:val="decimal"/>
        <w:pStyle w:val="Heading8"/>
        <w:lvlText w:val="%1.%2.%3.%4.%5.%6.%7.%8"/>
        <w:legacy w:legacy="1" w:legacySpace="144" w:legacyIndent="0"/>
        <w:lvlJc w:val="left"/>
      </w:lvl>
    </w:lvlOverride>
    <w:lvlOverride w:ilvl="8">
      <w:lvl w:ilvl="8">
        <w:start w:val="1"/>
        <w:numFmt w:val="decimal"/>
        <w:pStyle w:val="Heading9"/>
        <w:lvlText w:val="%1.%2.%3.%4.%5.%6.%7.%8.%9"/>
        <w:legacy w:legacy="1" w:legacySpace="144" w:legacyIndent="0"/>
        <w:lvlJc w:val="left"/>
      </w:lvl>
    </w:lvlOverride>
  </w:num>
  <w:num w:numId="52">
    <w:abstractNumId w:val="0"/>
    <w:lvlOverride w:ilvl="0">
      <w:lvl w:ilvl="0">
        <w:start w:val="1"/>
        <w:numFmt w:val="decimal"/>
        <w:pStyle w:val="Heading1"/>
        <w:lvlText w:val="%1."/>
        <w:legacy w:legacy="1" w:legacySpace="0" w:legacyIndent="0"/>
        <w:lvlJc w:val="left"/>
      </w:lvl>
    </w:lvlOverride>
    <w:lvlOverride w:ilvl="1">
      <w:lvl w:ilvl="1">
        <w:start w:val="1"/>
        <w:numFmt w:val="decimal"/>
        <w:pStyle w:val="Heading2"/>
        <w:lvlText w:val="%1.%2"/>
        <w:legacy w:legacy="1" w:legacySpace="144" w:legacyIndent="0"/>
        <w:lvlJc w:val="left"/>
      </w:lvl>
    </w:lvlOverride>
    <w:lvlOverride w:ilvl="2">
      <w:lvl w:ilvl="2">
        <w:start w:val="1"/>
        <w:numFmt w:val="decimal"/>
        <w:pStyle w:val="Heading3"/>
        <w:lvlText w:val="%1.%2.%3"/>
        <w:legacy w:legacy="1" w:legacySpace="144" w:legacyIndent="0"/>
        <w:lvlJc w:val="left"/>
      </w:lvl>
    </w:lvlOverride>
    <w:lvlOverride w:ilvl="3">
      <w:lvl w:ilvl="3">
        <w:start w:val="1"/>
        <w:numFmt w:val="decimal"/>
        <w:pStyle w:val="Heading4"/>
        <w:lvlText w:val="%1.%2.%3.%4"/>
        <w:legacy w:legacy="1" w:legacySpace="144" w:legacyIndent="0"/>
        <w:lvlJc w:val="left"/>
      </w:lvl>
    </w:lvlOverride>
    <w:lvlOverride w:ilvl="4">
      <w:lvl w:ilvl="4">
        <w:start w:val="1"/>
        <w:numFmt w:val="decimal"/>
        <w:pStyle w:val="Heading5"/>
        <w:lvlText w:val="%1.%2.%3.%4.%5"/>
        <w:legacy w:legacy="1" w:legacySpace="144" w:legacyIndent="0"/>
        <w:lvlJc w:val="left"/>
      </w:lvl>
    </w:lvlOverride>
    <w:lvlOverride w:ilvl="5">
      <w:lvl w:ilvl="5">
        <w:start w:val="1"/>
        <w:numFmt w:val="decimal"/>
        <w:pStyle w:val="Heading6"/>
        <w:lvlText w:val="%1.%2.%3.%4.%5.%6"/>
        <w:legacy w:legacy="1" w:legacySpace="144" w:legacyIndent="0"/>
        <w:lvlJc w:val="left"/>
      </w:lvl>
    </w:lvlOverride>
    <w:lvlOverride w:ilvl="6">
      <w:lvl w:ilvl="6">
        <w:start w:val="1"/>
        <w:numFmt w:val="decimal"/>
        <w:pStyle w:val="Heading7"/>
        <w:lvlText w:val="%1.%2.%3.%4.%5.%6.%7"/>
        <w:legacy w:legacy="1" w:legacySpace="144" w:legacyIndent="0"/>
        <w:lvlJc w:val="left"/>
      </w:lvl>
    </w:lvlOverride>
    <w:lvlOverride w:ilvl="7">
      <w:lvl w:ilvl="7">
        <w:start w:val="1"/>
        <w:numFmt w:val="decimal"/>
        <w:pStyle w:val="Heading8"/>
        <w:lvlText w:val="%1.%2.%3.%4.%5.%6.%7.%8"/>
        <w:legacy w:legacy="1" w:legacySpace="144" w:legacyIndent="0"/>
        <w:lvlJc w:val="left"/>
      </w:lvl>
    </w:lvlOverride>
    <w:lvlOverride w:ilvl="8">
      <w:lvl w:ilvl="8">
        <w:start w:val="1"/>
        <w:numFmt w:val="decimal"/>
        <w:pStyle w:val="Heading9"/>
        <w:lvlText w:val="%1.%2.%3.%4.%5.%6.%7.%8.%9"/>
        <w:legacy w:legacy="1" w:legacySpace="144" w:legacyIndent="0"/>
        <w:lvlJc w:val="left"/>
      </w:lvl>
    </w:lvlOverride>
  </w:num>
  <w:num w:numId="53">
    <w:abstractNumId w:val="0"/>
    <w:lvlOverride w:ilvl="0">
      <w:lvl w:ilvl="0">
        <w:start w:val="1"/>
        <w:numFmt w:val="decimal"/>
        <w:pStyle w:val="Heading1"/>
        <w:lvlText w:val="%1."/>
        <w:legacy w:legacy="1" w:legacySpace="0" w:legacyIndent="0"/>
        <w:lvlJc w:val="left"/>
      </w:lvl>
    </w:lvlOverride>
    <w:lvlOverride w:ilvl="1">
      <w:lvl w:ilvl="1">
        <w:start w:val="1"/>
        <w:numFmt w:val="decimal"/>
        <w:pStyle w:val="Heading2"/>
        <w:lvlText w:val="%1.%2"/>
        <w:legacy w:legacy="1" w:legacySpace="144" w:legacyIndent="0"/>
        <w:lvlJc w:val="left"/>
      </w:lvl>
    </w:lvlOverride>
    <w:lvlOverride w:ilvl="2">
      <w:lvl w:ilvl="2">
        <w:start w:val="1"/>
        <w:numFmt w:val="decimal"/>
        <w:pStyle w:val="Heading3"/>
        <w:lvlText w:val="%1.%2.%3"/>
        <w:legacy w:legacy="1" w:legacySpace="144" w:legacyIndent="0"/>
        <w:lvlJc w:val="left"/>
      </w:lvl>
    </w:lvlOverride>
    <w:lvlOverride w:ilvl="3">
      <w:lvl w:ilvl="3">
        <w:start w:val="1"/>
        <w:numFmt w:val="decimal"/>
        <w:pStyle w:val="Heading4"/>
        <w:lvlText w:val="%1.%2.%3.%4"/>
        <w:legacy w:legacy="1" w:legacySpace="144" w:legacyIndent="0"/>
        <w:lvlJc w:val="left"/>
      </w:lvl>
    </w:lvlOverride>
    <w:lvlOverride w:ilvl="4">
      <w:lvl w:ilvl="4">
        <w:start w:val="1"/>
        <w:numFmt w:val="decimal"/>
        <w:pStyle w:val="Heading5"/>
        <w:lvlText w:val="%1.%2.%3.%4.%5"/>
        <w:legacy w:legacy="1" w:legacySpace="144" w:legacyIndent="0"/>
        <w:lvlJc w:val="left"/>
      </w:lvl>
    </w:lvlOverride>
    <w:lvlOverride w:ilvl="5">
      <w:lvl w:ilvl="5">
        <w:start w:val="1"/>
        <w:numFmt w:val="decimal"/>
        <w:pStyle w:val="Heading6"/>
        <w:lvlText w:val="%1.%2.%3.%4.%5.%6"/>
        <w:legacy w:legacy="1" w:legacySpace="144" w:legacyIndent="0"/>
        <w:lvlJc w:val="left"/>
      </w:lvl>
    </w:lvlOverride>
    <w:lvlOverride w:ilvl="6">
      <w:lvl w:ilvl="6">
        <w:start w:val="1"/>
        <w:numFmt w:val="decimal"/>
        <w:pStyle w:val="Heading7"/>
        <w:lvlText w:val="%1.%2.%3.%4.%5.%6.%7"/>
        <w:legacy w:legacy="1" w:legacySpace="144" w:legacyIndent="0"/>
        <w:lvlJc w:val="left"/>
      </w:lvl>
    </w:lvlOverride>
    <w:lvlOverride w:ilvl="7">
      <w:lvl w:ilvl="7">
        <w:start w:val="1"/>
        <w:numFmt w:val="decimal"/>
        <w:pStyle w:val="Heading8"/>
        <w:lvlText w:val="%1.%2.%3.%4.%5.%6.%7.%8"/>
        <w:legacy w:legacy="1" w:legacySpace="144" w:legacyIndent="0"/>
        <w:lvlJc w:val="left"/>
      </w:lvl>
    </w:lvlOverride>
    <w:lvlOverride w:ilvl="8">
      <w:lvl w:ilvl="8">
        <w:start w:val="1"/>
        <w:numFmt w:val="decimal"/>
        <w:pStyle w:val="Heading9"/>
        <w:lvlText w:val="%1.%2.%3.%4.%5.%6.%7.%8.%9"/>
        <w:legacy w:legacy="1" w:legacySpace="144" w:legacyIndent="0"/>
        <w:lvlJc w:val="left"/>
      </w:lvl>
    </w:lvlOverride>
  </w:num>
  <w:num w:numId="54">
    <w:abstractNumId w:val="0"/>
    <w:lvlOverride w:ilvl="0">
      <w:lvl w:ilvl="0">
        <w:start w:val="1"/>
        <w:numFmt w:val="decimal"/>
        <w:pStyle w:val="Heading1"/>
        <w:lvlText w:val="%1."/>
        <w:legacy w:legacy="1" w:legacySpace="0" w:legacyIndent="0"/>
        <w:lvlJc w:val="left"/>
      </w:lvl>
    </w:lvlOverride>
    <w:lvlOverride w:ilvl="1">
      <w:lvl w:ilvl="1">
        <w:start w:val="1"/>
        <w:numFmt w:val="decimal"/>
        <w:pStyle w:val="Heading2"/>
        <w:lvlText w:val="%1.%2"/>
        <w:legacy w:legacy="1" w:legacySpace="144" w:legacyIndent="0"/>
        <w:lvlJc w:val="left"/>
      </w:lvl>
    </w:lvlOverride>
    <w:lvlOverride w:ilvl="2">
      <w:lvl w:ilvl="2">
        <w:start w:val="1"/>
        <w:numFmt w:val="decimal"/>
        <w:pStyle w:val="Heading3"/>
        <w:lvlText w:val="%1.%2.%3"/>
        <w:legacy w:legacy="1" w:legacySpace="144" w:legacyIndent="0"/>
        <w:lvlJc w:val="left"/>
      </w:lvl>
    </w:lvlOverride>
    <w:lvlOverride w:ilvl="3">
      <w:lvl w:ilvl="3">
        <w:start w:val="1"/>
        <w:numFmt w:val="decimal"/>
        <w:pStyle w:val="Heading4"/>
        <w:lvlText w:val="%1.%2.%3.%4"/>
        <w:legacy w:legacy="1" w:legacySpace="144" w:legacyIndent="0"/>
        <w:lvlJc w:val="left"/>
      </w:lvl>
    </w:lvlOverride>
    <w:lvlOverride w:ilvl="4">
      <w:lvl w:ilvl="4">
        <w:start w:val="1"/>
        <w:numFmt w:val="decimal"/>
        <w:pStyle w:val="Heading5"/>
        <w:lvlText w:val="%1.%2.%3.%4.%5"/>
        <w:legacy w:legacy="1" w:legacySpace="144" w:legacyIndent="0"/>
        <w:lvlJc w:val="left"/>
      </w:lvl>
    </w:lvlOverride>
    <w:lvlOverride w:ilvl="5">
      <w:lvl w:ilvl="5">
        <w:start w:val="1"/>
        <w:numFmt w:val="decimal"/>
        <w:pStyle w:val="Heading6"/>
        <w:lvlText w:val="%1.%2.%3.%4.%5.%6"/>
        <w:legacy w:legacy="1" w:legacySpace="144" w:legacyIndent="0"/>
        <w:lvlJc w:val="left"/>
      </w:lvl>
    </w:lvlOverride>
    <w:lvlOverride w:ilvl="6">
      <w:lvl w:ilvl="6">
        <w:start w:val="1"/>
        <w:numFmt w:val="decimal"/>
        <w:pStyle w:val="Heading7"/>
        <w:lvlText w:val="%1.%2.%3.%4.%5.%6.%7"/>
        <w:legacy w:legacy="1" w:legacySpace="144" w:legacyIndent="0"/>
        <w:lvlJc w:val="left"/>
      </w:lvl>
    </w:lvlOverride>
    <w:lvlOverride w:ilvl="7">
      <w:lvl w:ilvl="7">
        <w:start w:val="1"/>
        <w:numFmt w:val="decimal"/>
        <w:pStyle w:val="Heading8"/>
        <w:lvlText w:val="%1.%2.%3.%4.%5.%6.%7.%8"/>
        <w:legacy w:legacy="1" w:legacySpace="144" w:legacyIndent="0"/>
        <w:lvlJc w:val="left"/>
      </w:lvl>
    </w:lvlOverride>
    <w:lvlOverride w:ilvl="8">
      <w:lvl w:ilvl="8">
        <w:start w:val="1"/>
        <w:numFmt w:val="decimal"/>
        <w:pStyle w:val="Heading9"/>
        <w:lvlText w:val="%1.%2.%3.%4.%5.%6.%7.%8.%9"/>
        <w:legacy w:legacy="1" w:legacySpace="144" w:legacyIndent="0"/>
        <w:lvlJc w:val="left"/>
      </w:lvl>
    </w:lvlOverride>
  </w:num>
  <w:num w:numId="55">
    <w:abstractNumId w:val="0"/>
    <w:lvlOverride w:ilvl="0">
      <w:lvl w:ilvl="0">
        <w:start w:val="1"/>
        <w:numFmt w:val="decimal"/>
        <w:pStyle w:val="Heading1"/>
        <w:lvlText w:val="%1."/>
        <w:legacy w:legacy="1" w:legacySpace="0" w:legacyIndent="0"/>
        <w:lvlJc w:val="left"/>
      </w:lvl>
    </w:lvlOverride>
    <w:lvlOverride w:ilvl="1">
      <w:lvl w:ilvl="1">
        <w:start w:val="1"/>
        <w:numFmt w:val="decimal"/>
        <w:pStyle w:val="Heading2"/>
        <w:lvlText w:val="%1.%2"/>
        <w:legacy w:legacy="1" w:legacySpace="144" w:legacyIndent="0"/>
        <w:lvlJc w:val="left"/>
      </w:lvl>
    </w:lvlOverride>
    <w:lvlOverride w:ilvl="2">
      <w:lvl w:ilvl="2">
        <w:start w:val="1"/>
        <w:numFmt w:val="decimal"/>
        <w:pStyle w:val="Heading3"/>
        <w:lvlText w:val="%1.%2.%3"/>
        <w:legacy w:legacy="1" w:legacySpace="144" w:legacyIndent="0"/>
        <w:lvlJc w:val="left"/>
      </w:lvl>
    </w:lvlOverride>
    <w:lvlOverride w:ilvl="3">
      <w:lvl w:ilvl="3">
        <w:start w:val="1"/>
        <w:numFmt w:val="decimal"/>
        <w:pStyle w:val="Heading4"/>
        <w:lvlText w:val="%1.%2.%3.%4"/>
        <w:legacy w:legacy="1" w:legacySpace="144" w:legacyIndent="0"/>
        <w:lvlJc w:val="left"/>
      </w:lvl>
    </w:lvlOverride>
    <w:lvlOverride w:ilvl="4">
      <w:lvl w:ilvl="4">
        <w:start w:val="1"/>
        <w:numFmt w:val="decimal"/>
        <w:pStyle w:val="Heading5"/>
        <w:lvlText w:val="%1.%2.%3.%4.%5"/>
        <w:legacy w:legacy="1" w:legacySpace="144" w:legacyIndent="0"/>
        <w:lvlJc w:val="left"/>
      </w:lvl>
    </w:lvlOverride>
    <w:lvlOverride w:ilvl="5">
      <w:lvl w:ilvl="5">
        <w:start w:val="1"/>
        <w:numFmt w:val="decimal"/>
        <w:pStyle w:val="Heading6"/>
        <w:lvlText w:val="%1.%2.%3.%4.%5.%6"/>
        <w:legacy w:legacy="1" w:legacySpace="144" w:legacyIndent="0"/>
        <w:lvlJc w:val="left"/>
      </w:lvl>
    </w:lvlOverride>
    <w:lvlOverride w:ilvl="6">
      <w:lvl w:ilvl="6">
        <w:start w:val="1"/>
        <w:numFmt w:val="decimal"/>
        <w:pStyle w:val="Heading7"/>
        <w:lvlText w:val="%1.%2.%3.%4.%5.%6.%7"/>
        <w:legacy w:legacy="1" w:legacySpace="144" w:legacyIndent="0"/>
        <w:lvlJc w:val="left"/>
      </w:lvl>
    </w:lvlOverride>
    <w:lvlOverride w:ilvl="7">
      <w:lvl w:ilvl="7">
        <w:start w:val="1"/>
        <w:numFmt w:val="decimal"/>
        <w:pStyle w:val="Heading8"/>
        <w:lvlText w:val="%1.%2.%3.%4.%5.%6.%7.%8"/>
        <w:legacy w:legacy="1" w:legacySpace="144" w:legacyIndent="0"/>
        <w:lvlJc w:val="left"/>
      </w:lvl>
    </w:lvlOverride>
    <w:lvlOverride w:ilvl="8">
      <w:lvl w:ilvl="8">
        <w:start w:val="1"/>
        <w:numFmt w:val="decimal"/>
        <w:pStyle w:val="Heading9"/>
        <w:lvlText w:val="%1.%2.%3.%4.%5.%6.%7.%8.%9"/>
        <w:legacy w:legacy="1" w:legacySpace="144" w:legacyIndent="0"/>
        <w:lvlJc w:val="left"/>
      </w:lvl>
    </w:lvlOverride>
  </w:num>
  <w:num w:numId="56">
    <w:abstractNumId w:val="0"/>
    <w:lvlOverride w:ilvl="0">
      <w:lvl w:ilvl="0">
        <w:start w:val="1"/>
        <w:numFmt w:val="decimal"/>
        <w:pStyle w:val="Heading1"/>
        <w:lvlText w:val="%1."/>
        <w:legacy w:legacy="1" w:legacySpace="0" w:legacyIndent="0"/>
        <w:lvlJc w:val="left"/>
      </w:lvl>
    </w:lvlOverride>
    <w:lvlOverride w:ilvl="1">
      <w:lvl w:ilvl="1">
        <w:start w:val="1"/>
        <w:numFmt w:val="decimal"/>
        <w:pStyle w:val="Heading2"/>
        <w:lvlText w:val="%1.%2"/>
        <w:legacy w:legacy="1" w:legacySpace="144" w:legacyIndent="0"/>
        <w:lvlJc w:val="left"/>
      </w:lvl>
    </w:lvlOverride>
    <w:lvlOverride w:ilvl="2">
      <w:lvl w:ilvl="2">
        <w:start w:val="1"/>
        <w:numFmt w:val="decimal"/>
        <w:pStyle w:val="Heading3"/>
        <w:lvlText w:val="%1.%2.%3"/>
        <w:legacy w:legacy="1" w:legacySpace="144" w:legacyIndent="0"/>
        <w:lvlJc w:val="left"/>
      </w:lvl>
    </w:lvlOverride>
    <w:lvlOverride w:ilvl="3">
      <w:lvl w:ilvl="3">
        <w:start w:val="1"/>
        <w:numFmt w:val="decimal"/>
        <w:pStyle w:val="Heading4"/>
        <w:lvlText w:val="%1.%2.%3.%4"/>
        <w:legacy w:legacy="1" w:legacySpace="144" w:legacyIndent="0"/>
        <w:lvlJc w:val="left"/>
      </w:lvl>
    </w:lvlOverride>
    <w:lvlOverride w:ilvl="4">
      <w:lvl w:ilvl="4">
        <w:start w:val="1"/>
        <w:numFmt w:val="decimal"/>
        <w:pStyle w:val="Heading5"/>
        <w:lvlText w:val="%1.%2.%3.%4.%5"/>
        <w:legacy w:legacy="1" w:legacySpace="144" w:legacyIndent="0"/>
        <w:lvlJc w:val="left"/>
      </w:lvl>
    </w:lvlOverride>
    <w:lvlOverride w:ilvl="5">
      <w:lvl w:ilvl="5">
        <w:start w:val="1"/>
        <w:numFmt w:val="decimal"/>
        <w:pStyle w:val="Heading6"/>
        <w:lvlText w:val="%1.%2.%3.%4.%5.%6"/>
        <w:legacy w:legacy="1" w:legacySpace="144" w:legacyIndent="0"/>
        <w:lvlJc w:val="left"/>
      </w:lvl>
    </w:lvlOverride>
    <w:lvlOverride w:ilvl="6">
      <w:lvl w:ilvl="6">
        <w:start w:val="1"/>
        <w:numFmt w:val="decimal"/>
        <w:pStyle w:val="Heading7"/>
        <w:lvlText w:val="%1.%2.%3.%4.%5.%6.%7"/>
        <w:legacy w:legacy="1" w:legacySpace="144" w:legacyIndent="0"/>
        <w:lvlJc w:val="left"/>
      </w:lvl>
    </w:lvlOverride>
    <w:lvlOverride w:ilvl="7">
      <w:lvl w:ilvl="7">
        <w:start w:val="1"/>
        <w:numFmt w:val="decimal"/>
        <w:pStyle w:val="Heading8"/>
        <w:lvlText w:val="%1.%2.%3.%4.%5.%6.%7.%8"/>
        <w:legacy w:legacy="1" w:legacySpace="144" w:legacyIndent="0"/>
        <w:lvlJc w:val="left"/>
      </w:lvl>
    </w:lvlOverride>
    <w:lvlOverride w:ilvl="8">
      <w:lvl w:ilvl="8">
        <w:start w:val="1"/>
        <w:numFmt w:val="decimal"/>
        <w:pStyle w:val="Heading9"/>
        <w:lvlText w:val="%1.%2.%3.%4.%5.%6.%7.%8.%9"/>
        <w:legacy w:legacy="1" w:legacySpace="144" w:legacyIndent="0"/>
        <w:lvlJc w:val="left"/>
      </w:lvl>
    </w:lvlOverride>
  </w:num>
  <w:num w:numId="57">
    <w:abstractNumId w:val="0"/>
    <w:lvlOverride w:ilvl="0">
      <w:lvl w:ilvl="0">
        <w:start w:val="1"/>
        <w:numFmt w:val="decimal"/>
        <w:pStyle w:val="Heading1"/>
        <w:lvlText w:val="%1."/>
        <w:legacy w:legacy="1" w:legacySpace="0" w:legacyIndent="0"/>
        <w:lvlJc w:val="left"/>
        <w:rPr>
          <w:b w:val="0"/>
        </w:rPr>
      </w:lvl>
    </w:lvlOverride>
    <w:lvlOverride w:ilvl="1">
      <w:lvl w:ilvl="1">
        <w:start w:val="1"/>
        <w:numFmt w:val="decimal"/>
        <w:pStyle w:val="Heading2"/>
        <w:lvlText w:val="%1.%2"/>
        <w:legacy w:legacy="1" w:legacySpace="144" w:legacyIndent="0"/>
        <w:lvlJc w:val="left"/>
      </w:lvl>
    </w:lvlOverride>
    <w:lvlOverride w:ilvl="2">
      <w:lvl w:ilvl="2">
        <w:start w:val="1"/>
        <w:numFmt w:val="decimal"/>
        <w:pStyle w:val="Heading3"/>
        <w:lvlText w:val="%1.%2.%3"/>
        <w:legacy w:legacy="1" w:legacySpace="144" w:legacyIndent="0"/>
        <w:lvlJc w:val="left"/>
      </w:lvl>
    </w:lvlOverride>
    <w:lvlOverride w:ilvl="3">
      <w:lvl w:ilvl="3">
        <w:start w:val="1"/>
        <w:numFmt w:val="decimal"/>
        <w:pStyle w:val="Heading4"/>
        <w:lvlText w:val="%1.%2.%3.%4"/>
        <w:legacy w:legacy="1" w:legacySpace="144" w:legacyIndent="0"/>
        <w:lvlJc w:val="left"/>
      </w:lvl>
    </w:lvlOverride>
    <w:lvlOverride w:ilvl="4">
      <w:lvl w:ilvl="4">
        <w:start w:val="1"/>
        <w:numFmt w:val="decimal"/>
        <w:pStyle w:val="Heading5"/>
        <w:lvlText w:val="%1.%2.%3.%4.%5"/>
        <w:legacy w:legacy="1" w:legacySpace="144" w:legacyIndent="0"/>
        <w:lvlJc w:val="left"/>
      </w:lvl>
    </w:lvlOverride>
    <w:lvlOverride w:ilvl="5">
      <w:lvl w:ilvl="5">
        <w:start w:val="1"/>
        <w:numFmt w:val="decimal"/>
        <w:pStyle w:val="Heading6"/>
        <w:lvlText w:val="%1.%2.%3.%4.%5.%6"/>
        <w:legacy w:legacy="1" w:legacySpace="144" w:legacyIndent="0"/>
        <w:lvlJc w:val="left"/>
      </w:lvl>
    </w:lvlOverride>
    <w:lvlOverride w:ilvl="6">
      <w:lvl w:ilvl="6">
        <w:start w:val="1"/>
        <w:numFmt w:val="decimal"/>
        <w:pStyle w:val="Heading7"/>
        <w:lvlText w:val="%1.%2.%3.%4.%5.%6.%7"/>
        <w:legacy w:legacy="1" w:legacySpace="144" w:legacyIndent="0"/>
        <w:lvlJc w:val="left"/>
      </w:lvl>
    </w:lvlOverride>
    <w:lvlOverride w:ilvl="7">
      <w:lvl w:ilvl="7">
        <w:start w:val="1"/>
        <w:numFmt w:val="decimal"/>
        <w:pStyle w:val="Heading8"/>
        <w:lvlText w:val="%1.%2.%3.%4.%5.%6.%7.%8"/>
        <w:legacy w:legacy="1" w:legacySpace="144" w:legacyIndent="0"/>
        <w:lvlJc w:val="left"/>
      </w:lvl>
    </w:lvlOverride>
    <w:lvlOverride w:ilvl="8">
      <w:lvl w:ilvl="8">
        <w:start w:val="1"/>
        <w:numFmt w:val="decimal"/>
        <w:pStyle w:val="Heading9"/>
        <w:lvlText w:val="%1.%2.%3.%4.%5.%6.%7.%8.%9"/>
        <w:legacy w:legacy="1" w:legacySpace="144" w:legacyIndent="0"/>
        <w:lvlJc w:val="left"/>
      </w:lvl>
    </w:lvlOverride>
  </w:num>
  <w:num w:numId="58">
    <w:abstractNumId w:val="0"/>
    <w:lvlOverride w:ilvl="0">
      <w:lvl w:ilvl="0">
        <w:start w:val="1"/>
        <w:numFmt w:val="decimal"/>
        <w:pStyle w:val="Heading1"/>
        <w:lvlText w:val="%1."/>
        <w:legacy w:legacy="1" w:legacySpace="0" w:legacyIndent="0"/>
        <w:lvlJc w:val="left"/>
      </w:lvl>
    </w:lvlOverride>
    <w:lvlOverride w:ilvl="1">
      <w:lvl w:ilvl="1">
        <w:start w:val="1"/>
        <w:numFmt w:val="decimal"/>
        <w:pStyle w:val="Heading2"/>
        <w:lvlText w:val="%1.%2"/>
        <w:legacy w:legacy="1" w:legacySpace="144" w:legacyIndent="0"/>
        <w:lvlJc w:val="left"/>
      </w:lvl>
    </w:lvlOverride>
    <w:lvlOverride w:ilvl="2">
      <w:lvl w:ilvl="2">
        <w:start w:val="1"/>
        <w:numFmt w:val="decimal"/>
        <w:pStyle w:val="Heading3"/>
        <w:lvlText w:val="%1.%2.%3"/>
        <w:legacy w:legacy="1" w:legacySpace="144" w:legacyIndent="0"/>
        <w:lvlJc w:val="left"/>
      </w:lvl>
    </w:lvlOverride>
    <w:lvlOverride w:ilvl="3">
      <w:lvl w:ilvl="3">
        <w:start w:val="1"/>
        <w:numFmt w:val="decimal"/>
        <w:pStyle w:val="Heading4"/>
        <w:lvlText w:val="%1.%2.%3.%4"/>
        <w:legacy w:legacy="1" w:legacySpace="144" w:legacyIndent="0"/>
        <w:lvlJc w:val="left"/>
      </w:lvl>
    </w:lvlOverride>
    <w:lvlOverride w:ilvl="4">
      <w:lvl w:ilvl="4">
        <w:start w:val="1"/>
        <w:numFmt w:val="decimal"/>
        <w:pStyle w:val="Heading5"/>
        <w:lvlText w:val="%1.%2.%3.%4.%5"/>
        <w:legacy w:legacy="1" w:legacySpace="144" w:legacyIndent="0"/>
        <w:lvlJc w:val="left"/>
      </w:lvl>
    </w:lvlOverride>
    <w:lvlOverride w:ilvl="5">
      <w:lvl w:ilvl="5">
        <w:start w:val="1"/>
        <w:numFmt w:val="decimal"/>
        <w:pStyle w:val="Heading6"/>
        <w:lvlText w:val="%1.%2.%3.%4.%5.%6"/>
        <w:legacy w:legacy="1" w:legacySpace="144" w:legacyIndent="0"/>
        <w:lvlJc w:val="left"/>
      </w:lvl>
    </w:lvlOverride>
    <w:lvlOverride w:ilvl="6">
      <w:lvl w:ilvl="6">
        <w:start w:val="1"/>
        <w:numFmt w:val="decimal"/>
        <w:pStyle w:val="Heading7"/>
        <w:lvlText w:val="%1.%2.%3.%4.%5.%6.%7"/>
        <w:legacy w:legacy="1" w:legacySpace="144" w:legacyIndent="0"/>
        <w:lvlJc w:val="left"/>
      </w:lvl>
    </w:lvlOverride>
    <w:lvlOverride w:ilvl="7">
      <w:lvl w:ilvl="7">
        <w:start w:val="1"/>
        <w:numFmt w:val="decimal"/>
        <w:pStyle w:val="Heading8"/>
        <w:lvlText w:val="%1.%2.%3.%4.%5.%6.%7.%8"/>
        <w:legacy w:legacy="1" w:legacySpace="144" w:legacyIndent="0"/>
        <w:lvlJc w:val="left"/>
      </w:lvl>
    </w:lvlOverride>
    <w:lvlOverride w:ilvl="8">
      <w:lvl w:ilvl="8">
        <w:start w:val="1"/>
        <w:numFmt w:val="decimal"/>
        <w:pStyle w:val="Heading9"/>
        <w:lvlText w:val="%1.%2.%3.%4.%5.%6.%7.%8.%9"/>
        <w:legacy w:legacy="1" w:legacySpace="144" w:legacyIndent="0"/>
        <w:lvlJc w:val="left"/>
      </w:lvl>
    </w:lvlOverride>
  </w:num>
  <w:num w:numId="59">
    <w:abstractNumId w:val="0"/>
    <w:lvlOverride w:ilvl="0">
      <w:lvl w:ilvl="0">
        <w:start w:val="1"/>
        <w:numFmt w:val="decimal"/>
        <w:pStyle w:val="Heading1"/>
        <w:lvlText w:val="%1."/>
        <w:legacy w:legacy="1" w:legacySpace="0" w:legacyIndent="0"/>
        <w:lvlJc w:val="left"/>
      </w:lvl>
    </w:lvlOverride>
    <w:lvlOverride w:ilvl="1">
      <w:lvl w:ilvl="1">
        <w:start w:val="1"/>
        <w:numFmt w:val="decimal"/>
        <w:pStyle w:val="Heading2"/>
        <w:lvlText w:val="%1.%2"/>
        <w:legacy w:legacy="1" w:legacySpace="144" w:legacyIndent="0"/>
        <w:lvlJc w:val="left"/>
      </w:lvl>
    </w:lvlOverride>
    <w:lvlOverride w:ilvl="2">
      <w:lvl w:ilvl="2">
        <w:start w:val="1"/>
        <w:numFmt w:val="decimal"/>
        <w:pStyle w:val="Heading3"/>
        <w:lvlText w:val="%1.%2.%3"/>
        <w:legacy w:legacy="1" w:legacySpace="144" w:legacyIndent="0"/>
        <w:lvlJc w:val="left"/>
      </w:lvl>
    </w:lvlOverride>
    <w:lvlOverride w:ilvl="3">
      <w:lvl w:ilvl="3">
        <w:start w:val="1"/>
        <w:numFmt w:val="decimal"/>
        <w:pStyle w:val="Heading4"/>
        <w:lvlText w:val="%1.%2.%3.%4"/>
        <w:legacy w:legacy="1" w:legacySpace="144" w:legacyIndent="0"/>
        <w:lvlJc w:val="left"/>
      </w:lvl>
    </w:lvlOverride>
    <w:lvlOverride w:ilvl="4">
      <w:lvl w:ilvl="4">
        <w:start w:val="1"/>
        <w:numFmt w:val="decimal"/>
        <w:pStyle w:val="Heading5"/>
        <w:lvlText w:val="%1.%2.%3.%4.%5"/>
        <w:legacy w:legacy="1" w:legacySpace="144" w:legacyIndent="0"/>
        <w:lvlJc w:val="left"/>
      </w:lvl>
    </w:lvlOverride>
    <w:lvlOverride w:ilvl="5">
      <w:lvl w:ilvl="5">
        <w:start w:val="1"/>
        <w:numFmt w:val="decimal"/>
        <w:pStyle w:val="Heading6"/>
        <w:lvlText w:val="%1.%2.%3.%4.%5.%6"/>
        <w:legacy w:legacy="1" w:legacySpace="144" w:legacyIndent="0"/>
        <w:lvlJc w:val="left"/>
      </w:lvl>
    </w:lvlOverride>
    <w:lvlOverride w:ilvl="6">
      <w:lvl w:ilvl="6">
        <w:start w:val="1"/>
        <w:numFmt w:val="decimal"/>
        <w:pStyle w:val="Heading7"/>
        <w:lvlText w:val="%1.%2.%3.%4.%5.%6.%7"/>
        <w:legacy w:legacy="1" w:legacySpace="144" w:legacyIndent="0"/>
        <w:lvlJc w:val="left"/>
      </w:lvl>
    </w:lvlOverride>
    <w:lvlOverride w:ilvl="7">
      <w:lvl w:ilvl="7">
        <w:start w:val="1"/>
        <w:numFmt w:val="decimal"/>
        <w:pStyle w:val="Heading8"/>
        <w:lvlText w:val="%1.%2.%3.%4.%5.%6.%7.%8"/>
        <w:legacy w:legacy="1" w:legacySpace="144" w:legacyIndent="0"/>
        <w:lvlJc w:val="left"/>
      </w:lvl>
    </w:lvlOverride>
    <w:lvlOverride w:ilvl="8">
      <w:lvl w:ilvl="8">
        <w:start w:val="1"/>
        <w:numFmt w:val="decimal"/>
        <w:pStyle w:val="Heading9"/>
        <w:lvlText w:val="%1.%2.%3.%4.%5.%6.%7.%8.%9"/>
        <w:legacy w:legacy="1" w:legacySpace="144" w:legacyIndent="0"/>
        <w:lvlJc w:val="left"/>
      </w:lvl>
    </w:lvlOverride>
  </w:num>
  <w:num w:numId="60">
    <w:abstractNumId w:val="0"/>
    <w:lvlOverride w:ilvl="0">
      <w:lvl w:ilvl="0">
        <w:start w:val="1"/>
        <w:numFmt w:val="decimal"/>
        <w:pStyle w:val="Heading1"/>
        <w:lvlText w:val="%1."/>
        <w:legacy w:legacy="1" w:legacySpace="0" w:legacyIndent="0"/>
        <w:lvlJc w:val="left"/>
      </w:lvl>
    </w:lvlOverride>
    <w:lvlOverride w:ilvl="1">
      <w:lvl w:ilvl="1">
        <w:start w:val="1"/>
        <w:numFmt w:val="decimal"/>
        <w:pStyle w:val="Heading2"/>
        <w:lvlText w:val="%1.%2"/>
        <w:legacy w:legacy="1" w:legacySpace="144" w:legacyIndent="0"/>
        <w:lvlJc w:val="left"/>
      </w:lvl>
    </w:lvlOverride>
    <w:lvlOverride w:ilvl="2">
      <w:lvl w:ilvl="2">
        <w:start w:val="1"/>
        <w:numFmt w:val="decimal"/>
        <w:pStyle w:val="Heading3"/>
        <w:lvlText w:val="%1.%2.%3"/>
        <w:legacy w:legacy="1" w:legacySpace="144" w:legacyIndent="0"/>
        <w:lvlJc w:val="left"/>
      </w:lvl>
    </w:lvlOverride>
    <w:lvlOverride w:ilvl="3">
      <w:lvl w:ilvl="3">
        <w:start w:val="1"/>
        <w:numFmt w:val="decimal"/>
        <w:pStyle w:val="Heading4"/>
        <w:lvlText w:val="%1.%2.%3.%4"/>
        <w:legacy w:legacy="1" w:legacySpace="144" w:legacyIndent="0"/>
        <w:lvlJc w:val="left"/>
      </w:lvl>
    </w:lvlOverride>
    <w:lvlOverride w:ilvl="4">
      <w:lvl w:ilvl="4">
        <w:start w:val="1"/>
        <w:numFmt w:val="decimal"/>
        <w:pStyle w:val="Heading5"/>
        <w:lvlText w:val="%1.%2.%3.%4.%5"/>
        <w:legacy w:legacy="1" w:legacySpace="144" w:legacyIndent="0"/>
        <w:lvlJc w:val="left"/>
      </w:lvl>
    </w:lvlOverride>
    <w:lvlOverride w:ilvl="5">
      <w:lvl w:ilvl="5">
        <w:start w:val="1"/>
        <w:numFmt w:val="decimal"/>
        <w:pStyle w:val="Heading6"/>
        <w:lvlText w:val="%1.%2.%3.%4.%5.%6"/>
        <w:legacy w:legacy="1" w:legacySpace="144" w:legacyIndent="0"/>
        <w:lvlJc w:val="left"/>
      </w:lvl>
    </w:lvlOverride>
    <w:lvlOverride w:ilvl="6">
      <w:lvl w:ilvl="6">
        <w:start w:val="1"/>
        <w:numFmt w:val="decimal"/>
        <w:pStyle w:val="Heading7"/>
        <w:lvlText w:val="%1.%2.%3.%4.%5.%6.%7"/>
        <w:legacy w:legacy="1" w:legacySpace="144" w:legacyIndent="0"/>
        <w:lvlJc w:val="left"/>
      </w:lvl>
    </w:lvlOverride>
    <w:lvlOverride w:ilvl="7">
      <w:lvl w:ilvl="7">
        <w:start w:val="1"/>
        <w:numFmt w:val="decimal"/>
        <w:pStyle w:val="Heading8"/>
        <w:lvlText w:val="%1.%2.%3.%4.%5.%6.%7.%8"/>
        <w:legacy w:legacy="1" w:legacySpace="144" w:legacyIndent="0"/>
        <w:lvlJc w:val="left"/>
      </w:lvl>
    </w:lvlOverride>
    <w:lvlOverride w:ilvl="8">
      <w:lvl w:ilvl="8">
        <w:start w:val="1"/>
        <w:numFmt w:val="decimal"/>
        <w:pStyle w:val="Heading9"/>
        <w:lvlText w:val="%1.%2.%3.%4.%5.%6.%7.%8.%9"/>
        <w:legacy w:legacy="1" w:legacySpace="144" w:legacyIndent="0"/>
        <w:lvlJc w:val="left"/>
      </w:lvl>
    </w:lvlOverride>
  </w:num>
  <w:num w:numId="61">
    <w:abstractNumId w:val="0"/>
    <w:lvlOverride w:ilvl="0">
      <w:lvl w:ilvl="0">
        <w:start w:val="1"/>
        <w:numFmt w:val="decimal"/>
        <w:pStyle w:val="Heading1"/>
        <w:lvlText w:val="%1."/>
        <w:legacy w:legacy="1" w:legacySpace="0" w:legacyIndent="0"/>
        <w:lvlJc w:val="left"/>
      </w:lvl>
    </w:lvlOverride>
    <w:lvlOverride w:ilvl="1">
      <w:lvl w:ilvl="1">
        <w:start w:val="1"/>
        <w:numFmt w:val="decimal"/>
        <w:pStyle w:val="Heading2"/>
        <w:lvlText w:val="%1.%2"/>
        <w:legacy w:legacy="1" w:legacySpace="144" w:legacyIndent="0"/>
        <w:lvlJc w:val="left"/>
      </w:lvl>
    </w:lvlOverride>
    <w:lvlOverride w:ilvl="2">
      <w:lvl w:ilvl="2">
        <w:start w:val="1"/>
        <w:numFmt w:val="decimal"/>
        <w:pStyle w:val="Heading3"/>
        <w:lvlText w:val="%1.%2.%3"/>
        <w:legacy w:legacy="1" w:legacySpace="144" w:legacyIndent="0"/>
        <w:lvlJc w:val="left"/>
      </w:lvl>
    </w:lvlOverride>
    <w:lvlOverride w:ilvl="3">
      <w:lvl w:ilvl="3">
        <w:start w:val="1"/>
        <w:numFmt w:val="decimal"/>
        <w:pStyle w:val="Heading4"/>
        <w:lvlText w:val="%1.%2.%3.%4"/>
        <w:legacy w:legacy="1" w:legacySpace="144" w:legacyIndent="0"/>
        <w:lvlJc w:val="left"/>
      </w:lvl>
    </w:lvlOverride>
    <w:lvlOverride w:ilvl="4">
      <w:lvl w:ilvl="4">
        <w:start w:val="1"/>
        <w:numFmt w:val="decimal"/>
        <w:pStyle w:val="Heading5"/>
        <w:lvlText w:val="%1.%2.%3.%4.%5"/>
        <w:legacy w:legacy="1" w:legacySpace="144" w:legacyIndent="0"/>
        <w:lvlJc w:val="left"/>
      </w:lvl>
    </w:lvlOverride>
    <w:lvlOverride w:ilvl="5">
      <w:lvl w:ilvl="5">
        <w:start w:val="1"/>
        <w:numFmt w:val="decimal"/>
        <w:pStyle w:val="Heading6"/>
        <w:lvlText w:val="%1.%2.%3.%4.%5.%6"/>
        <w:legacy w:legacy="1" w:legacySpace="144" w:legacyIndent="0"/>
        <w:lvlJc w:val="left"/>
      </w:lvl>
    </w:lvlOverride>
    <w:lvlOverride w:ilvl="6">
      <w:lvl w:ilvl="6">
        <w:start w:val="1"/>
        <w:numFmt w:val="decimal"/>
        <w:pStyle w:val="Heading7"/>
        <w:lvlText w:val="%1.%2.%3.%4.%5.%6.%7"/>
        <w:legacy w:legacy="1" w:legacySpace="144" w:legacyIndent="0"/>
        <w:lvlJc w:val="left"/>
      </w:lvl>
    </w:lvlOverride>
    <w:lvlOverride w:ilvl="7">
      <w:lvl w:ilvl="7">
        <w:start w:val="1"/>
        <w:numFmt w:val="decimal"/>
        <w:pStyle w:val="Heading8"/>
        <w:lvlText w:val="%1.%2.%3.%4.%5.%6.%7.%8"/>
        <w:legacy w:legacy="1" w:legacySpace="144" w:legacyIndent="0"/>
        <w:lvlJc w:val="left"/>
      </w:lvl>
    </w:lvlOverride>
    <w:lvlOverride w:ilvl="8">
      <w:lvl w:ilvl="8">
        <w:start w:val="1"/>
        <w:numFmt w:val="decimal"/>
        <w:pStyle w:val="Heading9"/>
        <w:lvlText w:val="%1.%2.%3.%4.%5.%6.%7.%8.%9"/>
        <w:legacy w:legacy="1" w:legacySpace="144" w:legacyIndent="0"/>
        <w:lvlJc w:val="left"/>
      </w:lvl>
    </w:lvlOverride>
  </w:num>
  <w:num w:numId="62">
    <w:abstractNumId w:val="0"/>
    <w:lvlOverride w:ilvl="0">
      <w:lvl w:ilvl="0">
        <w:start w:val="1"/>
        <w:numFmt w:val="decimal"/>
        <w:pStyle w:val="Heading1"/>
        <w:lvlText w:val="%1."/>
        <w:legacy w:legacy="1" w:legacySpace="0" w:legacyIndent="0"/>
        <w:lvlJc w:val="left"/>
      </w:lvl>
    </w:lvlOverride>
    <w:lvlOverride w:ilvl="1">
      <w:lvl w:ilvl="1">
        <w:start w:val="1"/>
        <w:numFmt w:val="decimal"/>
        <w:pStyle w:val="Heading2"/>
        <w:lvlText w:val="%1.%2"/>
        <w:legacy w:legacy="1" w:legacySpace="144" w:legacyIndent="0"/>
        <w:lvlJc w:val="left"/>
      </w:lvl>
    </w:lvlOverride>
    <w:lvlOverride w:ilvl="2">
      <w:lvl w:ilvl="2">
        <w:start w:val="1"/>
        <w:numFmt w:val="decimal"/>
        <w:pStyle w:val="Heading3"/>
        <w:lvlText w:val="%1.%2.%3"/>
        <w:legacy w:legacy="1" w:legacySpace="144" w:legacyIndent="0"/>
        <w:lvlJc w:val="left"/>
      </w:lvl>
    </w:lvlOverride>
    <w:lvlOverride w:ilvl="3">
      <w:lvl w:ilvl="3">
        <w:start w:val="1"/>
        <w:numFmt w:val="decimal"/>
        <w:pStyle w:val="Heading4"/>
        <w:lvlText w:val="%1.%2.%3.%4"/>
        <w:legacy w:legacy="1" w:legacySpace="144" w:legacyIndent="0"/>
        <w:lvlJc w:val="left"/>
      </w:lvl>
    </w:lvlOverride>
    <w:lvlOverride w:ilvl="4">
      <w:lvl w:ilvl="4">
        <w:start w:val="1"/>
        <w:numFmt w:val="decimal"/>
        <w:pStyle w:val="Heading5"/>
        <w:lvlText w:val="%1.%2.%3.%4.%5"/>
        <w:legacy w:legacy="1" w:legacySpace="144" w:legacyIndent="0"/>
        <w:lvlJc w:val="left"/>
      </w:lvl>
    </w:lvlOverride>
    <w:lvlOverride w:ilvl="5">
      <w:lvl w:ilvl="5">
        <w:start w:val="1"/>
        <w:numFmt w:val="decimal"/>
        <w:pStyle w:val="Heading6"/>
        <w:lvlText w:val="%1.%2.%3.%4.%5.%6"/>
        <w:legacy w:legacy="1" w:legacySpace="144" w:legacyIndent="0"/>
        <w:lvlJc w:val="left"/>
      </w:lvl>
    </w:lvlOverride>
    <w:lvlOverride w:ilvl="6">
      <w:lvl w:ilvl="6">
        <w:start w:val="1"/>
        <w:numFmt w:val="decimal"/>
        <w:pStyle w:val="Heading7"/>
        <w:lvlText w:val="%1.%2.%3.%4.%5.%6.%7"/>
        <w:legacy w:legacy="1" w:legacySpace="144" w:legacyIndent="0"/>
        <w:lvlJc w:val="left"/>
      </w:lvl>
    </w:lvlOverride>
    <w:lvlOverride w:ilvl="7">
      <w:lvl w:ilvl="7">
        <w:start w:val="1"/>
        <w:numFmt w:val="decimal"/>
        <w:pStyle w:val="Heading8"/>
        <w:lvlText w:val="%1.%2.%3.%4.%5.%6.%7.%8"/>
        <w:legacy w:legacy="1" w:legacySpace="144" w:legacyIndent="0"/>
        <w:lvlJc w:val="left"/>
      </w:lvl>
    </w:lvlOverride>
    <w:lvlOverride w:ilvl="8">
      <w:lvl w:ilvl="8">
        <w:start w:val="1"/>
        <w:numFmt w:val="decimal"/>
        <w:pStyle w:val="Heading9"/>
        <w:lvlText w:val="%1.%2.%3.%4.%5.%6.%7.%8.%9"/>
        <w:legacy w:legacy="1" w:legacySpace="144" w:legacyIndent="0"/>
        <w:lvlJc w:val="left"/>
      </w:lvl>
    </w:lvlOverride>
  </w:num>
  <w:num w:numId="63">
    <w:abstractNumId w:val="0"/>
    <w:lvlOverride w:ilvl="0">
      <w:lvl w:ilvl="0">
        <w:start w:val="1"/>
        <w:numFmt w:val="decimal"/>
        <w:pStyle w:val="Heading1"/>
        <w:lvlText w:val="%1."/>
        <w:legacy w:legacy="1" w:legacySpace="0" w:legacyIndent="0"/>
        <w:lvlJc w:val="left"/>
      </w:lvl>
    </w:lvlOverride>
    <w:lvlOverride w:ilvl="1">
      <w:lvl w:ilvl="1">
        <w:start w:val="1"/>
        <w:numFmt w:val="decimal"/>
        <w:pStyle w:val="Heading2"/>
        <w:lvlText w:val="%1.%2"/>
        <w:legacy w:legacy="1" w:legacySpace="144" w:legacyIndent="0"/>
        <w:lvlJc w:val="left"/>
      </w:lvl>
    </w:lvlOverride>
    <w:lvlOverride w:ilvl="2">
      <w:lvl w:ilvl="2">
        <w:start w:val="1"/>
        <w:numFmt w:val="decimal"/>
        <w:pStyle w:val="Heading3"/>
        <w:lvlText w:val="%1.%2.%3"/>
        <w:legacy w:legacy="1" w:legacySpace="144" w:legacyIndent="0"/>
        <w:lvlJc w:val="left"/>
      </w:lvl>
    </w:lvlOverride>
    <w:lvlOverride w:ilvl="3">
      <w:lvl w:ilvl="3">
        <w:start w:val="1"/>
        <w:numFmt w:val="decimal"/>
        <w:pStyle w:val="Heading4"/>
        <w:lvlText w:val="%1.%2.%3.%4"/>
        <w:legacy w:legacy="1" w:legacySpace="144" w:legacyIndent="0"/>
        <w:lvlJc w:val="left"/>
      </w:lvl>
    </w:lvlOverride>
    <w:lvlOverride w:ilvl="4">
      <w:lvl w:ilvl="4">
        <w:start w:val="1"/>
        <w:numFmt w:val="decimal"/>
        <w:pStyle w:val="Heading5"/>
        <w:lvlText w:val="%1.%2.%3.%4.%5"/>
        <w:legacy w:legacy="1" w:legacySpace="144" w:legacyIndent="0"/>
        <w:lvlJc w:val="left"/>
      </w:lvl>
    </w:lvlOverride>
    <w:lvlOverride w:ilvl="5">
      <w:lvl w:ilvl="5">
        <w:start w:val="1"/>
        <w:numFmt w:val="decimal"/>
        <w:pStyle w:val="Heading6"/>
        <w:lvlText w:val="%1.%2.%3.%4.%5.%6"/>
        <w:legacy w:legacy="1" w:legacySpace="144" w:legacyIndent="0"/>
        <w:lvlJc w:val="left"/>
      </w:lvl>
    </w:lvlOverride>
    <w:lvlOverride w:ilvl="6">
      <w:lvl w:ilvl="6">
        <w:start w:val="1"/>
        <w:numFmt w:val="decimal"/>
        <w:pStyle w:val="Heading7"/>
        <w:lvlText w:val="%1.%2.%3.%4.%5.%6.%7"/>
        <w:legacy w:legacy="1" w:legacySpace="144" w:legacyIndent="0"/>
        <w:lvlJc w:val="left"/>
      </w:lvl>
    </w:lvlOverride>
    <w:lvlOverride w:ilvl="7">
      <w:lvl w:ilvl="7">
        <w:start w:val="1"/>
        <w:numFmt w:val="decimal"/>
        <w:pStyle w:val="Heading8"/>
        <w:lvlText w:val="%1.%2.%3.%4.%5.%6.%7.%8"/>
        <w:legacy w:legacy="1" w:legacySpace="144" w:legacyIndent="0"/>
        <w:lvlJc w:val="left"/>
      </w:lvl>
    </w:lvlOverride>
    <w:lvlOverride w:ilvl="8">
      <w:lvl w:ilvl="8">
        <w:start w:val="1"/>
        <w:numFmt w:val="decimal"/>
        <w:pStyle w:val="Heading9"/>
        <w:lvlText w:val="%1.%2.%3.%4.%5.%6.%7.%8.%9"/>
        <w:legacy w:legacy="1" w:legacySpace="144" w:legacyIndent="0"/>
        <w:lvlJc w:val="left"/>
      </w:lvl>
    </w:lvlOverride>
  </w:num>
  <w:num w:numId="64">
    <w:abstractNumId w:val="0"/>
    <w:lvlOverride w:ilvl="0">
      <w:lvl w:ilvl="0">
        <w:start w:val="1"/>
        <w:numFmt w:val="decimal"/>
        <w:pStyle w:val="Heading1"/>
        <w:lvlText w:val="%1."/>
        <w:legacy w:legacy="1" w:legacySpace="0" w:legacyIndent="0"/>
        <w:lvlJc w:val="left"/>
      </w:lvl>
    </w:lvlOverride>
    <w:lvlOverride w:ilvl="1">
      <w:lvl w:ilvl="1">
        <w:start w:val="1"/>
        <w:numFmt w:val="decimal"/>
        <w:pStyle w:val="Heading2"/>
        <w:lvlText w:val="%1.%2"/>
        <w:legacy w:legacy="1" w:legacySpace="144" w:legacyIndent="0"/>
        <w:lvlJc w:val="left"/>
      </w:lvl>
    </w:lvlOverride>
    <w:lvlOverride w:ilvl="2">
      <w:lvl w:ilvl="2">
        <w:start w:val="1"/>
        <w:numFmt w:val="decimal"/>
        <w:pStyle w:val="Heading3"/>
        <w:lvlText w:val="%1.%2.%3"/>
        <w:legacy w:legacy="1" w:legacySpace="144" w:legacyIndent="0"/>
        <w:lvlJc w:val="left"/>
      </w:lvl>
    </w:lvlOverride>
    <w:lvlOverride w:ilvl="3">
      <w:lvl w:ilvl="3">
        <w:start w:val="1"/>
        <w:numFmt w:val="decimal"/>
        <w:pStyle w:val="Heading4"/>
        <w:lvlText w:val="%1.%2.%3.%4"/>
        <w:legacy w:legacy="1" w:legacySpace="144" w:legacyIndent="0"/>
        <w:lvlJc w:val="left"/>
      </w:lvl>
    </w:lvlOverride>
    <w:lvlOverride w:ilvl="4">
      <w:lvl w:ilvl="4">
        <w:start w:val="1"/>
        <w:numFmt w:val="decimal"/>
        <w:pStyle w:val="Heading5"/>
        <w:lvlText w:val="%1.%2.%3.%4.%5"/>
        <w:legacy w:legacy="1" w:legacySpace="144" w:legacyIndent="0"/>
        <w:lvlJc w:val="left"/>
      </w:lvl>
    </w:lvlOverride>
    <w:lvlOverride w:ilvl="5">
      <w:lvl w:ilvl="5">
        <w:start w:val="1"/>
        <w:numFmt w:val="decimal"/>
        <w:pStyle w:val="Heading6"/>
        <w:lvlText w:val="%1.%2.%3.%4.%5.%6"/>
        <w:legacy w:legacy="1" w:legacySpace="144" w:legacyIndent="0"/>
        <w:lvlJc w:val="left"/>
      </w:lvl>
    </w:lvlOverride>
    <w:lvlOverride w:ilvl="6">
      <w:lvl w:ilvl="6">
        <w:start w:val="1"/>
        <w:numFmt w:val="decimal"/>
        <w:pStyle w:val="Heading7"/>
        <w:lvlText w:val="%1.%2.%3.%4.%5.%6.%7"/>
        <w:legacy w:legacy="1" w:legacySpace="144" w:legacyIndent="0"/>
        <w:lvlJc w:val="left"/>
      </w:lvl>
    </w:lvlOverride>
    <w:lvlOverride w:ilvl="7">
      <w:lvl w:ilvl="7">
        <w:start w:val="1"/>
        <w:numFmt w:val="decimal"/>
        <w:pStyle w:val="Heading8"/>
        <w:lvlText w:val="%1.%2.%3.%4.%5.%6.%7.%8"/>
        <w:legacy w:legacy="1" w:legacySpace="144" w:legacyIndent="0"/>
        <w:lvlJc w:val="left"/>
      </w:lvl>
    </w:lvlOverride>
    <w:lvlOverride w:ilvl="8">
      <w:lvl w:ilvl="8">
        <w:start w:val="1"/>
        <w:numFmt w:val="decimal"/>
        <w:pStyle w:val="Heading9"/>
        <w:lvlText w:val="%1.%2.%3.%4.%5.%6.%7.%8.%9"/>
        <w:legacy w:legacy="1" w:legacySpace="144" w:legacyIndent="0"/>
        <w:lvlJc w:val="left"/>
      </w:lvl>
    </w:lvlOverride>
  </w:num>
  <w:num w:numId="65">
    <w:abstractNumId w:val="2"/>
  </w:num>
  <w:num w:numId="66">
    <w:abstractNumId w:val="0"/>
  </w:num>
  <w:num w:numId="67">
    <w:abstractNumId w:val="0"/>
  </w:num>
  <w:num w:numId="68">
    <w:abstractNumId w:val="0"/>
  </w:num>
  <w:num w:numId="69">
    <w:abstractNumId w:val="0"/>
  </w:num>
  <w:num w:numId="70">
    <w:abstractNumId w:val="0"/>
  </w:num>
  <w:num w:numId="71">
    <w:abstractNumId w:val="5"/>
  </w:num>
  <w:num w:numId="72">
    <w:abstractNumId w:val="4"/>
  </w:num>
  <w:num w:numId="73">
    <w:abstractNumId w:val="1"/>
  </w:num>
  <w:num w:numId="74">
    <w:abstractNumId w:val="3"/>
  </w:num>
  <w:num w:numId="75">
    <w:abstractNumId w:val="0"/>
  </w:num>
  <w:numIdMacAtCleanup w:val="7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embedSystemFonts/>
  <w:hideSpellingErrors/>
  <w:hideGrammaticalErrors/>
  <w:attachedTemplate r:id="rId1"/>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defaultTabStop w:val="720"/>
  <w:hyphenationZone w:val="425"/>
  <w:doNotHyphenateCaps/>
  <w:drawingGridHorizontalSpacing w:val="110"/>
  <w:drawingGridVerticalSpacing w:val="299"/>
  <w:displayHorizontalDrawingGridEvery w:val="2"/>
  <w:displayVerticalDrawingGridEvery w:val="0"/>
  <w:noPunctuationKerning/>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27F8F"/>
    <w:rsid w:val="00005AB9"/>
    <w:rsid w:val="00005EB9"/>
    <w:rsid w:val="00006E24"/>
    <w:rsid w:val="00007A40"/>
    <w:rsid w:val="00011D33"/>
    <w:rsid w:val="000135D3"/>
    <w:rsid w:val="00020E6E"/>
    <w:rsid w:val="00031A4B"/>
    <w:rsid w:val="00033269"/>
    <w:rsid w:val="00033913"/>
    <w:rsid w:val="00033E5B"/>
    <w:rsid w:val="000357A8"/>
    <w:rsid w:val="000430A6"/>
    <w:rsid w:val="00044923"/>
    <w:rsid w:val="0005249C"/>
    <w:rsid w:val="000534A5"/>
    <w:rsid w:val="0005680D"/>
    <w:rsid w:val="00063FB4"/>
    <w:rsid w:val="00067619"/>
    <w:rsid w:val="0006793E"/>
    <w:rsid w:val="00072E0F"/>
    <w:rsid w:val="000735E5"/>
    <w:rsid w:val="0007392F"/>
    <w:rsid w:val="00086526"/>
    <w:rsid w:val="00087B39"/>
    <w:rsid w:val="00090046"/>
    <w:rsid w:val="00096502"/>
    <w:rsid w:val="000A49BB"/>
    <w:rsid w:val="000B0ABA"/>
    <w:rsid w:val="000B673D"/>
    <w:rsid w:val="000C3441"/>
    <w:rsid w:val="000C7F53"/>
    <w:rsid w:val="000D2F8E"/>
    <w:rsid w:val="000F196B"/>
    <w:rsid w:val="000F1E43"/>
    <w:rsid w:val="00105361"/>
    <w:rsid w:val="001101F8"/>
    <w:rsid w:val="0011206F"/>
    <w:rsid w:val="0011656A"/>
    <w:rsid w:val="00117EEC"/>
    <w:rsid w:val="0012220C"/>
    <w:rsid w:val="00136EA3"/>
    <w:rsid w:val="00137575"/>
    <w:rsid w:val="00140B23"/>
    <w:rsid w:val="00143DD2"/>
    <w:rsid w:val="00144231"/>
    <w:rsid w:val="00150434"/>
    <w:rsid w:val="00155721"/>
    <w:rsid w:val="0016503F"/>
    <w:rsid w:val="0016674F"/>
    <w:rsid w:val="00167CA0"/>
    <w:rsid w:val="00170CE4"/>
    <w:rsid w:val="0017120D"/>
    <w:rsid w:val="001714F6"/>
    <w:rsid w:val="0017229D"/>
    <w:rsid w:val="00176168"/>
    <w:rsid w:val="00177158"/>
    <w:rsid w:val="001805CA"/>
    <w:rsid w:val="001808A5"/>
    <w:rsid w:val="00181129"/>
    <w:rsid w:val="00184FD4"/>
    <w:rsid w:val="00186B04"/>
    <w:rsid w:val="00186BDA"/>
    <w:rsid w:val="00186F1E"/>
    <w:rsid w:val="00190836"/>
    <w:rsid w:val="00191E83"/>
    <w:rsid w:val="00193930"/>
    <w:rsid w:val="001963A5"/>
    <w:rsid w:val="00196F1E"/>
    <w:rsid w:val="00197FCA"/>
    <w:rsid w:val="001A0995"/>
    <w:rsid w:val="001A0EEC"/>
    <w:rsid w:val="001A2052"/>
    <w:rsid w:val="001A27DB"/>
    <w:rsid w:val="001A6852"/>
    <w:rsid w:val="001B028F"/>
    <w:rsid w:val="001B286A"/>
    <w:rsid w:val="001B2A60"/>
    <w:rsid w:val="001B2D02"/>
    <w:rsid w:val="001B3647"/>
    <w:rsid w:val="001B77FA"/>
    <w:rsid w:val="001C0ABE"/>
    <w:rsid w:val="001C2773"/>
    <w:rsid w:val="001C5852"/>
    <w:rsid w:val="001D3A7B"/>
    <w:rsid w:val="001D45F0"/>
    <w:rsid w:val="001D62A8"/>
    <w:rsid w:val="001E413A"/>
    <w:rsid w:val="001E4A33"/>
    <w:rsid w:val="001E5C27"/>
    <w:rsid w:val="001E70A5"/>
    <w:rsid w:val="001F602B"/>
    <w:rsid w:val="001F6AC8"/>
    <w:rsid w:val="001F771B"/>
    <w:rsid w:val="002037D5"/>
    <w:rsid w:val="00206F90"/>
    <w:rsid w:val="00211A1B"/>
    <w:rsid w:val="00212B03"/>
    <w:rsid w:val="002131AE"/>
    <w:rsid w:val="00215C10"/>
    <w:rsid w:val="00215C2D"/>
    <w:rsid w:val="002252C4"/>
    <w:rsid w:val="0023183E"/>
    <w:rsid w:val="00235138"/>
    <w:rsid w:val="00243E36"/>
    <w:rsid w:val="0024540B"/>
    <w:rsid w:val="00245EF4"/>
    <w:rsid w:val="00250E11"/>
    <w:rsid w:val="00251383"/>
    <w:rsid w:val="002522C9"/>
    <w:rsid w:val="00252A21"/>
    <w:rsid w:val="00252AD8"/>
    <w:rsid w:val="00253E4F"/>
    <w:rsid w:val="002542E4"/>
    <w:rsid w:val="00261053"/>
    <w:rsid w:val="00261F3E"/>
    <w:rsid w:val="00262FDE"/>
    <w:rsid w:val="00263414"/>
    <w:rsid w:val="00263629"/>
    <w:rsid w:val="0026636E"/>
    <w:rsid w:val="0027374C"/>
    <w:rsid w:val="00276242"/>
    <w:rsid w:val="002769BD"/>
    <w:rsid w:val="00276A75"/>
    <w:rsid w:val="00276CB4"/>
    <w:rsid w:val="002809EA"/>
    <w:rsid w:val="0028135F"/>
    <w:rsid w:val="0028291B"/>
    <w:rsid w:val="00284962"/>
    <w:rsid w:val="00287B0E"/>
    <w:rsid w:val="0029643B"/>
    <w:rsid w:val="002A0B53"/>
    <w:rsid w:val="002A0EEF"/>
    <w:rsid w:val="002A37DF"/>
    <w:rsid w:val="002B2DF7"/>
    <w:rsid w:val="002C1519"/>
    <w:rsid w:val="002C3BF4"/>
    <w:rsid w:val="002C749F"/>
    <w:rsid w:val="002D1723"/>
    <w:rsid w:val="002E10CB"/>
    <w:rsid w:val="002E1AE2"/>
    <w:rsid w:val="002E7B33"/>
    <w:rsid w:val="002F059B"/>
    <w:rsid w:val="002F1208"/>
    <w:rsid w:val="002F4C06"/>
    <w:rsid w:val="002F5B0B"/>
    <w:rsid w:val="00300275"/>
    <w:rsid w:val="00300924"/>
    <w:rsid w:val="00300A77"/>
    <w:rsid w:val="00304B68"/>
    <w:rsid w:val="003054BD"/>
    <w:rsid w:val="0030596E"/>
    <w:rsid w:val="003073C3"/>
    <w:rsid w:val="003119D8"/>
    <w:rsid w:val="00316BDB"/>
    <w:rsid w:val="00322687"/>
    <w:rsid w:val="00323637"/>
    <w:rsid w:val="00324E8A"/>
    <w:rsid w:val="00331D87"/>
    <w:rsid w:val="00332850"/>
    <w:rsid w:val="00334478"/>
    <w:rsid w:val="003346B4"/>
    <w:rsid w:val="00334AE6"/>
    <w:rsid w:val="003365D0"/>
    <w:rsid w:val="003439AB"/>
    <w:rsid w:val="0035034C"/>
    <w:rsid w:val="00354695"/>
    <w:rsid w:val="0035549B"/>
    <w:rsid w:val="00356D00"/>
    <w:rsid w:val="00363204"/>
    <w:rsid w:val="003755C8"/>
    <w:rsid w:val="00375687"/>
    <w:rsid w:val="00375AD4"/>
    <w:rsid w:val="00380AE0"/>
    <w:rsid w:val="00383324"/>
    <w:rsid w:val="00387A75"/>
    <w:rsid w:val="003904FD"/>
    <w:rsid w:val="00391FA8"/>
    <w:rsid w:val="00394254"/>
    <w:rsid w:val="003C124A"/>
    <w:rsid w:val="003C289A"/>
    <w:rsid w:val="003C2BFB"/>
    <w:rsid w:val="003C436B"/>
    <w:rsid w:val="003C5337"/>
    <w:rsid w:val="003C5F92"/>
    <w:rsid w:val="003D7A8C"/>
    <w:rsid w:val="003D7C00"/>
    <w:rsid w:val="003E3670"/>
    <w:rsid w:val="003E56E5"/>
    <w:rsid w:val="003E7E60"/>
    <w:rsid w:val="003F00D4"/>
    <w:rsid w:val="003F1225"/>
    <w:rsid w:val="003F2209"/>
    <w:rsid w:val="003F3D39"/>
    <w:rsid w:val="003F646A"/>
    <w:rsid w:val="003F6761"/>
    <w:rsid w:val="003F6A0A"/>
    <w:rsid w:val="004024F5"/>
    <w:rsid w:val="00402DE1"/>
    <w:rsid w:val="00403D8B"/>
    <w:rsid w:val="004058F1"/>
    <w:rsid w:val="00407E7D"/>
    <w:rsid w:val="0041283D"/>
    <w:rsid w:val="00413AB4"/>
    <w:rsid w:val="0041605B"/>
    <w:rsid w:val="004203C4"/>
    <w:rsid w:val="00421373"/>
    <w:rsid w:val="00421ABB"/>
    <w:rsid w:val="00421FB7"/>
    <w:rsid w:val="0042763B"/>
    <w:rsid w:val="0043024C"/>
    <w:rsid w:val="00436706"/>
    <w:rsid w:val="00443D38"/>
    <w:rsid w:val="00450E7A"/>
    <w:rsid w:val="00456AF8"/>
    <w:rsid w:val="0046178A"/>
    <w:rsid w:val="00463A82"/>
    <w:rsid w:val="00470B15"/>
    <w:rsid w:val="00475869"/>
    <w:rsid w:val="00475A77"/>
    <w:rsid w:val="004866A9"/>
    <w:rsid w:val="00492774"/>
    <w:rsid w:val="00496D7A"/>
    <w:rsid w:val="004A22CA"/>
    <w:rsid w:val="004A2591"/>
    <w:rsid w:val="004A31BC"/>
    <w:rsid w:val="004A3F1A"/>
    <w:rsid w:val="004A3F45"/>
    <w:rsid w:val="004B1AFA"/>
    <w:rsid w:val="004B5F7A"/>
    <w:rsid w:val="004B7088"/>
    <w:rsid w:val="004C0693"/>
    <w:rsid w:val="004C3C48"/>
    <w:rsid w:val="004C4D12"/>
    <w:rsid w:val="004C5B76"/>
    <w:rsid w:val="004D02CD"/>
    <w:rsid w:val="004D0B24"/>
    <w:rsid w:val="004D189F"/>
    <w:rsid w:val="004D4B90"/>
    <w:rsid w:val="004D6B95"/>
    <w:rsid w:val="004D7F41"/>
    <w:rsid w:val="004E03A2"/>
    <w:rsid w:val="004E317E"/>
    <w:rsid w:val="004E3954"/>
    <w:rsid w:val="004E5856"/>
    <w:rsid w:val="004E71AA"/>
    <w:rsid w:val="004F2330"/>
    <w:rsid w:val="004F53C6"/>
    <w:rsid w:val="004F55C6"/>
    <w:rsid w:val="004F5E69"/>
    <w:rsid w:val="004F69DB"/>
    <w:rsid w:val="004F6B87"/>
    <w:rsid w:val="00501C2D"/>
    <w:rsid w:val="00502637"/>
    <w:rsid w:val="00502D1E"/>
    <w:rsid w:val="00511140"/>
    <w:rsid w:val="00513CFE"/>
    <w:rsid w:val="00523B6A"/>
    <w:rsid w:val="0052512F"/>
    <w:rsid w:val="00525F6C"/>
    <w:rsid w:val="0053052C"/>
    <w:rsid w:val="00532C67"/>
    <w:rsid w:val="00546AB4"/>
    <w:rsid w:val="005514E5"/>
    <w:rsid w:val="005530F6"/>
    <w:rsid w:val="00563C84"/>
    <w:rsid w:val="005762F6"/>
    <w:rsid w:val="00584FBE"/>
    <w:rsid w:val="00585483"/>
    <w:rsid w:val="00587378"/>
    <w:rsid w:val="00587C05"/>
    <w:rsid w:val="00590AAB"/>
    <w:rsid w:val="005938C3"/>
    <w:rsid w:val="0059468C"/>
    <w:rsid w:val="00595125"/>
    <w:rsid w:val="00596F21"/>
    <w:rsid w:val="005A0A2C"/>
    <w:rsid w:val="005A2D2F"/>
    <w:rsid w:val="005B1CDD"/>
    <w:rsid w:val="005B1E19"/>
    <w:rsid w:val="005B55FC"/>
    <w:rsid w:val="005C2D5E"/>
    <w:rsid w:val="005C3B81"/>
    <w:rsid w:val="005C5B9F"/>
    <w:rsid w:val="005C650C"/>
    <w:rsid w:val="005D086C"/>
    <w:rsid w:val="005D11D3"/>
    <w:rsid w:val="005D1A54"/>
    <w:rsid w:val="005D3B9C"/>
    <w:rsid w:val="005D4E1F"/>
    <w:rsid w:val="005D4FB3"/>
    <w:rsid w:val="005E2F07"/>
    <w:rsid w:val="005E2FEA"/>
    <w:rsid w:val="005F314B"/>
    <w:rsid w:val="00611AF2"/>
    <w:rsid w:val="0061212B"/>
    <w:rsid w:val="006127AF"/>
    <w:rsid w:val="00612BFB"/>
    <w:rsid w:val="00613A98"/>
    <w:rsid w:val="00615FB2"/>
    <w:rsid w:val="00617BD1"/>
    <w:rsid w:val="00617CE8"/>
    <w:rsid w:val="006278A0"/>
    <w:rsid w:val="006303D3"/>
    <w:rsid w:val="0063095F"/>
    <w:rsid w:val="00631CBD"/>
    <w:rsid w:val="00632573"/>
    <w:rsid w:val="0063704F"/>
    <w:rsid w:val="00646AC2"/>
    <w:rsid w:val="00650390"/>
    <w:rsid w:val="00654DAB"/>
    <w:rsid w:val="006619D8"/>
    <w:rsid w:val="0066204A"/>
    <w:rsid w:val="00665C0E"/>
    <w:rsid w:val="00670E3C"/>
    <w:rsid w:val="00677B70"/>
    <w:rsid w:val="00677F57"/>
    <w:rsid w:val="00680F5B"/>
    <w:rsid w:val="00681088"/>
    <w:rsid w:val="006847D0"/>
    <w:rsid w:val="0069577E"/>
    <w:rsid w:val="0069634B"/>
    <w:rsid w:val="00696623"/>
    <w:rsid w:val="006A04E9"/>
    <w:rsid w:val="006A2AA9"/>
    <w:rsid w:val="006A4A03"/>
    <w:rsid w:val="006A7543"/>
    <w:rsid w:val="006B725C"/>
    <w:rsid w:val="006C0B88"/>
    <w:rsid w:val="006C273D"/>
    <w:rsid w:val="006C5C4F"/>
    <w:rsid w:val="006C6282"/>
    <w:rsid w:val="006C762A"/>
    <w:rsid w:val="006D5FF9"/>
    <w:rsid w:val="006E0772"/>
    <w:rsid w:val="006E0F86"/>
    <w:rsid w:val="006F0B15"/>
    <w:rsid w:val="006F0DCC"/>
    <w:rsid w:val="00703DF9"/>
    <w:rsid w:val="007048EB"/>
    <w:rsid w:val="00704FBB"/>
    <w:rsid w:val="00706CDE"/>
    <w:rsid w:val="0070726A"/>
    <w:rsid w:val="0071226B"/>
    <w:rsid w:val="00717040"/>
    <w:rsid w:val="00720060"/>
    <w:rsid w:val="0073350D"/>
    <w:rsid w:val="00746081"/>
    <w:rsid w:val="007622A7"/>
    <w:rsid w:val="0077159E"/>
    <w:rsid w:val="007750A2"/>
    <w:rsid w:val="007817D6"/>
    <w:rsid w:val="00781E1C"/>
    <w:rsid w:val="007873FB"/>
    <w:rsid w:val="00787912"/>
    <w:rsid w:val="0079177A"/>
    <w:rsid w:val="00794836"/>
    <w:rsid w:val="007948D5"/>
    <w:rsid w:val="007A0B1E"/>
    <w:rsid w:val="007A15C9"/>
    <w:rsid w:val="007A2E6F"/>
    <w:rsid w:val="007A6676"/>
    <w:rsid w:val="007B1A5E"/>
    <w:rsid w:val="007B7FF5"/>
    <w:rsid w:val="007C3FC6"/>
    <w:rsid w:val="007D2CE9"/>
    <w:rsid w:val="007D4FED"/>
    <w:rsid w:val="007D69DA"/>
    <w:rsid w:val="007D70B1"/>
    <w:rsid w:val="007D7140"/>
    <w:rsid w:val="007D7AEC"/>
    <w:rsid w:val="007E1803"/>
    <w:rsid w:val="007E1CDB"/>
    <w:rsid w:val="007E2195"/>
    <w:rsid w:val="007E408C"/>
    <w:rsid w:val="007E7056"/>
    <w:rsid w:val="007E7E21"/>
    <w:rsid w:val="007F0460"/>
    <w:rsid w:val="007F0DA2"/>
    <w:rsid w:val="007F39CE"/>
    <w:rsid w:val="007F5E0D"/>
    <w:rsid w:val="00801085"/>
    <w:rsid w:val="00801A89"/>
    <w:rsid w:val="0080411E"/>
    <w:rsid w:val="008054B4"/>
    <w:rsid w:val="00812138"/>
    <w:rsid w:val="00812AB2"/>
    <w:rsid w:val="008151F2"/>
    <w:rsid w:val="0081777A"/>
    <w:rsid w:val="008210E0"/>
    <w:rsid w:val="00824079"/>
    <w:rsid w:val="00831F0A"/>
    <w:rsid w:val="00833A78"/>
    <w:rsid w:val="0084585F"/>
    <w:rsid w:val="00853E53"/>
    <w:rsid w:val="0085535C"/>
    <w:rsid w:val="008570CB"/>
    <w:rsid w:val="00864D76"/>
    <w:rsid w:val="008656C9"/>
    <w:rsid w:val="0086711C"/>
    <w:rsid w:val="00867535"/>
    <w:rsid w:val="00871225"/>
    <w:rsid w:val="00872FDF"/>
    <w:rsid w:val="00875C5B"/>
    <w:rsid w:val="0088377A"/>
    <w:rsid w:val="00883C5F"/>
    <w:rsid w:val="00891C7D"/>
    <w:rsid w:val="00892FA7"/>
    <w:rsid w:val="008A3301"/>
    <w:rsid w:val="008A4DF1"/>
    <w:rsid w:val="008A5636"/>
    <w:rsid w:val="008B125E"/>
    <w:rsid w:val="008B241C"/>
    <w:rsid w:val="008B408B"/>
    <w:rsid w:val="008B4F11"/>
    <w:rsid w:val="008C16E6"/>
    <w:rsid w:val="008C2362"/>
    <w:rsid w:val="008C3049"/>
    <w:rsid w:val="008D4AE9"/>
    <w:rsid w:val="008D5CF3"/>
    <w:rsid w:val="008D7D39"/>
    <w:rsid w:val="008E114A"/>
    <w:rsid w:val="008E4574"/>
    <w:rsid w:val="008F005B"/>
    <w:rsid w:val="008F4016"/>
    <w:rsid w:val="008F42FE"/>
    <w:rsid w:val="008F4A00"/>
    <w:rsid w:val="008F5402"/>
    <w:rsid w:val="0090053A"/>
    <w:rsid w:val="00901C2A"/>
    <w:rsid w:val="00901D35"/>
    <w:rsid w:val="009118C7"/>
    <w:rsid w:val="0091290F"/>
    <w:rsid w:val="009225B6"/>
    <w:rsid w:val="00924C89"/>
    <w:rsid w:val="00925397"/>
    <w:rsid w:val="00933A21"/>
    <w:rsid w:val="00934C10"/>
    <w:rsid w:val="0093662A"/>
    <w:rsid w:val="0094060C"/>
    <w:rsid w:val="00942C4B"/>
    <w:rsid w:val="00944196"/>
    <w:rsid w:val="009606A5"/>
    <w:rsid w:val="00962F1F"/>
    <w:rsid w:val="00965304"/>
    <w:rsid w:val="00971293"/>
    <w:rsid w:val="00973A3B"/>
    <w:rsid w:val="00983EAE"/>
    <w:rsid w:val="00986554"/>
    <w:rsid w:val="0098760B"/>
    <w:rsid w:val="00993C55"/>
    <w:rsid w:val="009A11DD"/>
    <w:rsid w:val="009B30AA"/>
    <w:rsid w:val="009B5217"/>
    <w:rsid w:val="009B7A90"/>
    <w:rsid w:val="009C1627"/>
    <w:rsid w:val="009C1D01"/>
    <w:rsid w:val="009C48DE"/>
    <w:rsid w:val="009D60D9"/>
    <w:rsid w:val="009D69B3"/>
    <w:rsid w:val="009D728D"/>
    <w:rsid w:val="009E0727"/>
    <w:rsid w:val="009E1982"/>
    <w:rsid w:val="009E1E1E"/>
    <w:rsid w:val="009E33E3"/>
    <w:rsid w:val="009E4FC1"/>
    <w:rsid w:val="009E7F16"/>
    <w:rsid w:val="009F127B"/>
    <w:rsid w:val="009F5052"/>
    <w:rsid w:val="009F7160"/>
    <w:rsid w:val="00A03083"/>
    <w:rsid w:val="00A04C85"/>
    <w:rsid w:val="00A06D17"/>
    <w:rsid w:val="00A100F0"/>
    <w:rsid w:val="00A156E6"/>
    <w:rsid w:val="00A177C5"/>
    <w:rsid w:val="00A22335"/>
    <w:rsid w:val="00A27D86"/>
    <w:rsid w:val="00A30A3D"/>
    <w:rsid w:val="00A33151"/>
    <w:rsid w:val="00A36970"/>
    <w:rsid w:val="00A37BDC"/>
    <w:rsid w:val="00A41EB4"/>
    <w:rsid w:val="00A44BFF"/>
    <w:rsid w:val="00A501E3"/>
    <w:rsid w:val="00A50F0C"/>
    <w:rsid w:val="00A56441"/>
    <w:rsid w:val="00A736DD"/>
    <w:rsid w:val="00A75E2C"/>
    <w:rsid w:val="00A82869"/>
    <w:rsid w:val="00A8758C"/>
    <w:rsid w:val="00A911C3"/>
    <w:rsid w:val="00A93365"/>
    <w:rsid w:val="00AA032A"/>
    <w:rsid w:val="00AA127E"/>
    <w:rsid w:val="00AA19AE"/>
    <w:rsid w:val="00AA3A27"/>
    <w:rsid w:val="00AA423D"/>
    <w:rsid w:val="00AA501B"/>
    <w:rsid w:val="00AA6615"/>
    <w:rsid w:val="00AA6A95"/>
    <w:rsid w:val="00AB10DE"/>
    <w:rsid w:val="00AB3668"/>
    <w:rsid w:val="00AB5ED7"/>
    <w:rsid w:val="00AC0B4C"/>
    <w:rsid w:val="00AC1681"/>
    <w:rsid w:val="00AC5292"/>
    <w:rsid w:val="00AC7146"/>
    <w:rsid w:val="00AD0AEE"/>
    <w:rsid w:val="00AD49E3"/>
    <w:rsid w:val="00AD4B4F"/>
    <w:rsid w:val="00AE4D83"/>
    <w:rsid w:val="00AF0616"/>
    <w:rsid w:val="00AF0E28"/>
    <w:rsid w:val="00AF6F9B"/>
    <w:rsid w:val="00B00E1D"/>
    <w:rsid w:val="00B01409"/>
    <w:rsid w:val="00B03686"/>
    <w:rsid w:val="00B06DA3"/>
    <w:rsid w:val="00B10DBD"/>
    <w:rsid w:val="00B130BE"/>
    <w:rsid w:val="00B133F9"/>
    <w:rsid w:val="00B15629"/>
    <w:rsid w:val="00B2372C"/>
    <w:rsid w:val="00B25A12"/>
    <w:rsid w:val="00B271DD"/>
    <w:rsid w:val="00B32F70"/>
    <w:rsid w:val="00B35036"/>
    <w:rsid w:val="00B373D0"/>
    <w:rsid w:val="00B3792F"/>
    <w:rsid w:val="00B43AAA"/>
    <w:rsid w:val="00B53139"/>
    <w:rsid w:val="00B549A4"/>
    <w:rsid w:val="00B562CE"/>
    <w:rsid w:val="00B62DE2"/>
    <w:rsid w:val="00B65A10"/>
    <w:rsid w:val="00B74417"/>
    <w:rsid w:val="00B75599"/>
    <w:rsid w:val="00B77246"/>
    <w:rsid w:val="00B866CD"/>
    <w:rsid w:val="00B868EF"/>
    <w:rsid w:val="00B93034"/>
    <w:rsid w:val="00B97C5D"/>
    <w:rsid w:val="00BA1290"/>
    <w:rsid w:val="00BB2792"/>
    <w:rsid w:val="00BB76BF"/>
    <w:rsid w:val="00BC0052"/>
    <w:rsid w:val="00BC1AD1"/>
    <w:rsid w:val="00BC4A58"/>
    <w:rsid w:val="00BC613B"/>
    <w:rsid w:val="00BD51D9"/>
    <w:rsid w:val="00BD64E2"/>
    <w:rsid w:val="00BE4995"/>
    <w:rsid w:val="00BF429A"/>
    <w:rsid w:val="00BF62BE"/>
    <w:rsid w:val="00C06496"/>
    <w:rsid w:val="00C07126"/>
    <w:rsid w:val="00C16853"/>
    <w:rsid w:val="00C23A4A"/>
    <w:rsid w:val="00C241AD"/>
    <w:rsid w:val="00C263F0"/>
    <w:rsid w:val="00C31D78"/>
    <w:rsid w:val="00C33D41"/>
    <w:rsid w:val="00C3669B"/>
    <w:rsid w:val="00C40AFD"/>
    <w:rsid w:val="00C4171D"/>
    <w:rsid w:val="00C41E20"/>
    <w:rsid w:val="00C42E3E"/>
    <w:rsid w:val="00C51C13"/>
    <w:rsid w:val="00C525A5"/>
    <w:rsid w:val="00C5300F"/>
    <w:rsid w:val="00C54594"/>
    <w:rsid w:val="00C66CE0"/>
    <w:rsid w:val="00C71BED"/>
    <w:rsid w:val="00C737B2"/>
    <w:rsid w:val="00C81B53"/>
    <w:rsid w:val="00C82AD2"/>
    <w:rsid w:val="00C90FB6"/>
    <w:rsid w:val="00C9220E"/>
    <w:rsid w:val="00C932BD"/>
    <w:rsid w:val="00C93429"/>
    <w:rsid w:val="00C95336"/>
    <w:rsid w:val="00CA16C5"/>
    <w:rsid w:val="00CA415A"/>
    <w:rsid w:val="00CA7A35"/>
    <w:rsid w:val="00CB1536"/>
    <w:rsid w:val="00CB7BFE"/>
    <w:rsid w:val="00CB7FB8"/>
    <w:rsid w:val="00CC0CBA"/>
    <w:rsid w:val="00CC1F71"/>
    <w:rsid w:val="00CC5588"/>
    <w:rsid w:val="00CC5EB3"/>
    <w:rsid w:val="00CD0E7B"/>
    <w:rsid w:val="00CD2ABD"/>
    <w:rsid w:val="00CD4024"/>
    <w:rsid w:val="00CD4617"/>
    <w:rsid w:val="00CD4855"/>
    <w:rsid w:val="00CD56FE"/>
    <w:rsid w:val="00CE435C"/>
    <w:rsid w:val="00CE58D3"/>
    <w:rsid w:val="00CE6B16"/>
    <w:rsid w:val="00CE6D43"/>
    <w:rsid w:val="00CE7888"/>
    <w:rsid w:val="00D0109E"/>
    <w:rsid w:val="00D07FEE"/>
    <w:rsid w:val="00D10E1C"/>
    <w:rsid w:val="00D161A3"/>
    <w:rsid w:val="00D22E49"/>
    <w:rsid w:val="00D23716"/>
    <w:rsid w:val="00D25ED8"/>
    <w:rsid w:val="00D27F8F"/>
    <w:rsid w:val="00D316B8"/>
    <w:rsid w:val="00D31CFC"/>
    <w:rsid w:val="00D3255D"/>
    <w:rsid w:val="00D340C3"/>
    <w:rsid w:val="00D409CD"/>
    <w:rsid w:val="00D423D4"/>
    <w:rsid w:val="00D42CAF"/>
    <w:rsid w:val="00D44C0B"/>
    <w:rsid w:val="00D5310F"/>
    <w:rsid w:val="00D601EF"/>
    <w:rsid w:val="00D61533"/>
    <w:rsid w:val="00D63B2F"/>
    <w:rsid w:val="00D67ED1"/>
    <w:rsid w:val="00D70747"/>
    <w:rsid w:val="00D7261D"/>
    <w:rsid w:val="00D755FC"/>
    <w:rsid w:val="00D76B6D"/>
    <w:rsid w:val="00D84754"/>
    <w:rsid w:val="00D84D07"/>
    <w:rsid w:val="00D8526A"/>
    <w:rsid w:val="00D857FD"/>
    <w:rsid w:val="00D90E91"/>
    <w:rsid w:val="00D93A4F"/>
    <w:rsid w:val="00DA363D"/>
    <w:rsid w:val="00DA6EEE"/>
    <w:rsid w:val="00DB0114"/>
    <w:rsid w:val="00DB60E1"/>
    <w:rsid w:val="00DC1347"/>
    <w:rsid w:val="00DC39F1"/>
    <w:rsid w:val="00DC5A66"/>
    <w:rsid w:val="00DD2D19"/>
    <w:rsid w:val="00DE4B35"/>
    <w:rsid w:val="00DF19C1"/>
    <w:rsid w:val="00DF54CA"/>
    <w:rsid w:val="00DF56C9"/>
    <w:rsid w:val="00DF5B64"/>
    <w:rsid w:val="00E02794"/>
    <w:rsid w:val="00E043E3"/>
    <w:rsid w:val="00E0505B"/>
    <w:rsid w:val="00E06394"/>
    <w:rsid w:val="00E11280"/>
    <w:rsid w:val="00E12359"/>
    <w:rsid w:val="00E136FC"/>
    <w:rsid w:val="00E152FF"/>
    <w:rsid w:val="00E21381"/>
    <w:rsid w:val="00E2461B"/>
    <w:rsid w:val="00E24886"/>
    <w:rsid w:val="00E276FB"/>
    <w:rsid w:val="00E27FED"/>
    <w:rsid w:val="00E32595"/>
    <w:rsid w:val="00E32DC6"/>
    <w:rsid w:val="00E33A74"/>
    <w:rsid w:val="00E33C62"/>
    <w:rsid w:val="00E4030B"/>
    <w:rsid w:val="00E41D56"/>
    <w:rsid w:val="00E44B1D"/>
    <w:rsid w:val="00E457DF"/>
    <w:rsid w:val="00E46642"/>
    <w:rsid w:val="00E5139A"/>
    <w:rsid w:val="00E51CC9"/>
    <w:rsid w:val="00E5413D"/>
    <w:rsid w:val="00E57977"/>
    <w:rsid w:val="00E635D7"/>
    <w:rsid w:val="00E70576"/>
    <w:rsid w:val="00E71DED"/>
    <w:rsid w:val="00E83954"/>
    <w:rsid w:val="00E91730"/>
    <w:rsid w:val="00E96F04"/>
    <w:rsid w:val="00E97AEC"/>
    <w:rsid w:val="00EA20FE"/>
    <w:rsid w:val="00EB3507"/>
    <w:rsid w:val="00EB4694"/>
    <w:rsid w:val="00EB491E"/>
    <w:rsid w:val="00EB681B"/>
    <w:rsid w:val="00EB6F04"/>
    <w:rsid w:val="00EC4FAD"/>
    <w:rsid w:val="00EC6334"/>
    <w:rsid w:val="00EE3CFA"/>
    <w:rsid w:val="00EE69E4"/>
    <w:rsid w:val="00EF0359"/>
    <w:rsid w:val="00EF2A41"/>
    <w:rsid w:val="00EF2A7F"/>
    <w:rsid w:val="00EF7E90"/>
    <w:rsid w:val="00F002B6"/>
    <w:rsid w:val="00F1075B"/>
    <w:rsid w:val="00F10AFE"/>
    <w:rsid w:val="00F15C6C"/>
    <w:rsid w:val="00F17173"/>
    <w:rsid w:val="00F17960"/>
    <w:rsid w:val="00F20987"/>
    <w:rsid w:val="00F224DC"/>
    <w:rsid w:val="00F2687F"/>
    <w:rsid w:val="00F26A5E"/>
    <w:rsid w:val="00F27F29"/>
    <w:rsid w:val="00F32D54"/>
    <w:rsid w:val="00F36C54"/>
    <w:rsid w:val="00F401E3"/>
    <w:rsid w:val="00F418EA"/>
    <w:rsid w:val="00F41A29"/>
    <w:rsid w:val="00F44C1C"/>
    <w:rsid w:val="00F518DF"/>
    <w:rsid w:val="00F544DB"/>
    <w:rsid w:val="00F6055A"/>
    <w:rsid w:val="00F6502E"/>
    <w:rsid w:val="00F65663"/>
    <w:rsid w:val="00F75147"/>
    <w:rsid w:val="00F756C0"/>
    <w:rsid w:val="00F75A40"/>
    <w:rsid w:val="00F77637"/>
    <w:rsid w:val="00F808DA"/>
    <w:rsid w:val="00F811D4"/>
    <w:rsid w:val="00F8435D"/>
    <w:rsid w:val="00F862E5"/>
    <w:rsid w:val="00F87DD0"/>
    <w:rsid w:val="00F93360"/>
    <w:rsid w:val="00F93FE4"/>
    <w:rsid w:val="00F94A28"/>
    <w:rsid w:val="00F97E4E"/>
    <w:rsid w:val="00FA1A40"/>
    <w:rsid w:val="00FA217B"/>
    <w:rsid w:val="00FA4013"/>
    <w:rsid w:val="00FB0BC5"/>
    <w:rsid w:val="00FB0BCC"/>
    <w:rsid w:val="00FB5119"/>
    <w:rsid w:val="00FC0FE5"/>
    <w:rsid w:val="00FC2C59"/>
    <w:rsid w:val="00FC6AE9"/>
    <w:rsid w:val="00FD1ABC"/>
    <w:rsid w:val="00FD7DDF"/>
    <w:rsid w:val="00FE4C92"/>
    <w:rsid w:val="00FF0FAA"/>
    <w:rsid w:val="00FF1297"/>
    <w:rsid w:val="00FF34D4"/>
    <w:rsid w:val="00FF3759"/>
    <w:rsid w:val="00FF4396"/>
    <w:rsid w:val="00FF56C2"/>
  </w:rsids>
  <m:mathPr>
    <m:mathFont m:val="Cambria Math"/>
    <m:brkBin m:val="before"/>
    <m:brkBinSub m:val="--"/>
    <m:smallFrac m:val="0"/>
    <m:dispDef/>
    <m:lMargin m:val="0"/>
    <m:rMargin m:val="0"/>
    <m:defJc m:val="centerGroup"/>
    <m:wrapIndent m:val="1440"/>
    <m:intLim m:val="subSup"/>
    <m:naryLim m:val="undOvr"/>
  </m:mathPr>
  <w:themeFontLang w:val="es-ES" w:bidi="bn-BD"/>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D041A43"/>
  <w15:docId w15:val="{F0BAA5B1-5A14-4F4D-A668-189BA2278573}"/>
  <w:attachedTemplate r:id="relationI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2"/>
        <w:szCs w:val="22"/>
        <w:lang w:val="fi-FI" w:eastAsia="hu-HU" w:bidi="hu-HU"/>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0" w:unhideWhenUsed="1"/>
    <w:lsdException w:name="toc 2" w:locked="1" w:semiHidden="1" w:uiPriority="0" w:unhideWhenUsed="1"/>
    <w:lsdException w:name="toc 3" w:locked="1" w:semiHidden="1" w:uiPriority="0" w:unhideWhenUsed="1"/>
    <w:lsdException w:name="toc 4" w:locked="1" w:semiHidden="1" w:uiPriority="0" w:unhideWhenUsed="1"/>
    <w:lsdException w:name="toc 5" w:locked="1" w:semiHidden="1" w:uiPriority="0" w:unhideWhenUsed="1"/>
    <w:lsdException w:name="toc 6" w:locked="1" w:semiHidden="1" w:uiPriority="0" w:unhideWhenUsed="1"/>
    <w:lsdException w:name="toc 7" w:locked="1" w:semiHidden="1" w:uiPriority="0" w:unhideWhenUsed="1"/>
    <w:lsdException w:name="toc 8" w:locked="1" w:semiHidden="1" w:uiPriority="0" w:unhideWhenUsed="1"/>
    <w:lsdException w:name="toc 9" w:locked="1" w:semiHidden="1" w:uiPriority="0" w:unhideWhenUsed="1"/>
    <w:lsdException w:name="Normal Indent" w:semiHidden="1" w:unhideWhenUsed="1"/>
    <w:lsdException w:name="footnote text" w:locked="1" w:semiHidden="1" w:uiPriority="0" w:unhideWhenUsed="1" w:qFormat="1"/>
    <w:lsdException w:name="annotation text" w:semiHidden="1" w:uiPriority="0" w:unhideWhenUsed="1"/>
    <w:lsdException w:name="header" w:locked="1" w:semiHidden="1" w:uiPriority="0" w:unhideWhenUsed="1" w:qFormat="1"/>
    <w:lsdException w:name="footer" w:locked="1" w:semiHidden="1" w:uiPriority="0" w:unhideWhenUsed="1"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locked="1" w:semiHidden="1" w:unhideWhenUsed="1" w:qFormat="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locked="1"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131AE"/>
    <w:pPr>
      <w:overflowPunct w:val="0"/>
      <w:autoSpaceDE w:val="0"/>
      <w:autoSpaceDN w:val="0"/>
      <w:adjustRightInd w:val="0"/>
      <w:spacing w:line="288" w:lineRule="auto"/>
      <w:jc w:val="both"/>
      <w:textAlignment w:val="baseline"/>
    </w:pPr>
    <w:rPr>
      <w:szCs w:val="20"/>
    </w:rPr>
  </w:style>
  <w:style w:type="paragraph" w:styleId="Heading1">
    <w:name w:val="heading 1"/>
    <w:basedOn w:val="Normal"/>
    <w:next w:val="Normal"/>
    <w:link w:val="Heading1Char"/>
    <w:qFormat/>
    <w:rsid w:val="002131AE"/>
    <w:pPr>
      <w:numPr>
        <w:numId w:val="1"/>
      </w:numPr>
      <w:ind w:left="720" w:hanging="720"/>
      <w:outlineLvl w:val="0"/>
    </w:pPr>
    <w:rPr>
      <w:kern w:val="28"/>
    </w:rPr>
  </w:style>
  <w:style w:type="paragraph" w:styleId="Heading2">
    <w:name w:val="heading 2"/>
    <w:basedOn w:val="Normal"/>
    <w:next w:val="Normal"/>
    <w:link w:val="Heading2Char"/>
    <w:qFormat/>
    <w:rsid w:val="002131AE"/>
    <w:pPr>
      <w:numPr>
        <w:ilvl w:val="1"/>
        <w:numId w:val="1"/>
      </w:numPr>
      <w:ind w:left="720" w:hanging="720"/>
      <w:outlineLvl w:val="1"/>
    </w:pPr>
  </w:style>
  <w:style w:type="paragraph" w:styleId="Heading3">
    <w:name w:val="heading 3"/>
    <w:basedOn w:val="Normal"/>
    <w:next w:val="Normal"/>
    <w:link w:val="Heading3Char"/>
    <w:qFormat/>
    <w:rsid w:val="002131AE"/>
    <w:pPr>
      <w:numPr>
        <w:ilvl w:val="2"/>
        <w:numId w:val="1"/>
      </w:numPr>
      <w:outlineLvl w:val="2"/>
    </w:pPr>
  </w:style>
  <w:style w:type="paragraph" w:styleId="Heading4">
    <w:name w:val="heading 4"/>
    <w:basedOn w:val="Normal"/>
    <w:next w:val="Normal"/>
    <w:link w:val="Heading4Char"/>
    <w:qFormat/>
    <w:rsid w:val="002131AE"/>
    <w:pPr>
      <w:numPr>
        <w:ilvl w:val="3"/>
        <w:numId w:val="1"/>
      </w:numPr>
      <w:ind w:left="720" w:hanging="720"/>
      <w:outlineLvl w:val="3"/>
    </w:pPr>
  </w:style>
  <w:style w:type="paragraph" w:styleId="Heading5">
    <w:name w:val="heading 5"/>
    <w:basedOn w:val="Normal"/>
    <w:next w:val="Normal"/>
    <w:link w:val="Heading5Char"/>
    <w:qFormat/>
    <w:rsid w:val="002131AE"/>
    <w:pPr>
      <w:numPr>
        <w:ilvl w:val="4"/>
        <w:numId w:val="1"/>
      </w:numPr>
      <w:ind w:left="720" w:hanging="720"/>
      <w:outlineLvl w:val="4"/>
    </w:pPr>
  </w:style>
  <w:style w:type="paragraph" w:styleId="Heading6">
    <w:name w:val="heading 6"/>
    <w:basedOn w:val="Normal"/>
    <w:next w:val="Normal"/>
    <w:link w:val="Heading6Char"/>
    <w:qFormat/>
    <w:rsid w:val="002131AE"/>
    <w:pPr>
      <w:numPr>
        <w:ilvl w:val="5"/>
        <w:numId w:val="1"/>
      </w:numPr>
      <w:ind w:left="720" w:hanging="720"/>
      <w:outlineLvl w:val="5"/>
    </w:pPr>
  </w:style>
  <w:style w:type="paragraph" w:styleId="Heading7">
    <w:name w:val="heading 7"/>
    <w:basedOn w:val="Normal"/>
    <w:next w:val="Normal"/>
    <w:link w:val="Heading7Char"/>
    <w:qFormat/>
    <w:rsid w:val="002131AE"/>
    <w:pPr>
      <w:numPr>
        <w:ilvl w:val="6"/>
        <w:numId w:val="1"/>
      </w:numPr>
      <w:ind w:left="720" w:hanging="720"/>
      <w:outlineLvl w:val="6"/>
    </w:pPr>
  </w:style>
  <w:style w:type="paragraph" w:styleId="Heading8">
    <w:name w:val="heading 8"/>
    <w:basedOn w:val="Normal"/>
    <w:next w:val="Normal"/>
    <w:link w:val="Heading8Char"/>
    <w:qFormat/>
    <w:rsid w:val="002131AE"/>
    <w:pPr>
      <w:numPr>
        <w:ilvl w:val="7"/>
        <w:numId w:val="1"/>
      </w:numPr>
      <w:ind w:left="720" w:hanging="720"/>
      <w:outlineLvl w:val="7"/>
    </w:pPr>
  </w:style>
  <w:style w:type="paragraph" w:styleId="Heading9">
    <w:name w:val="heading 9"/>
    <w:basedOn w:val="Normal"/>
    <w:next w:val="Normal"/>
    <w:link w:val="Heading9Char"/>
    <w:qFormat/>
    <w:rsid w:val="002131AE"/>
    <w:pPr>
      <w:numPr>
        <w:ilvl w:val="8"/>
        <w:numId w:val="1"/>
      </w:numPr>
      <w:ind w:left="720" w:hanging="720"/>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locked/>
    <w:rsid w:val="00CB1536"/>
    <w:rPr>
      <w:kern w:val="28"/>
      <w:szCs w:val="20"/>
      <w:lang w:eastAsia="hu-HU" w:bidi="hu-HU"/>
    </w:rPr>
  </w:style>
  <w:style w:type="character" w:customStyle="1" w:styleId="Heading2Char">
    <w:name w:val="Heading 2 Char"/>
    <w:basedOn w:val="DefaultParagraphFont"/>
    <w:link w:val="Heading2"/>
    <w:locked/>
    <w:rsid w:val="00CB1536"/>
    <w:rPr>
      <w:szCs w:val="20"/>
      <w:lang w:eastAsia="hu-HU" w:bidi="hu-HU"/>
    </w:rPr>
  </w:style>
  <w:style w:type="character" w:customStyle="1" w:styleId="Heading3Char">
    <w:name w:val="Heading 3 Char"/>
    <w:basedOn w:val="DefaultParagraphFont"/>
    <w:link w:val="Heading3"/>
    <w:locked/>
    <w:rsid w:val="00CB1536"/>
    <w:rPr>
      <w:szCs w:val="20"/>
      <w:lang w:eastAsia="hu-HU" w:bidi="hu-HU"/>
    </w:rPr>
  </w:style>
  <w:style w:type="character" w:customStyle="1" w:styleId="Heading4Char">
    <w:name w:val="Heading 4 Char"/>
    <w:basedOn w:val="DefaultParagraphFont"/>
    <w:link w:val="Heading4"/>
    <w:locked/>
    <w:rsid w:val="00CB1536"/>
    <w:rPr>
      <w:szCs w:val="20"/>
      <w:lang w:eastAsia="hu-HU" w:bidi="hu-HU"/>
    </w:rPr>
  </w:style>
  <w:style w:type="character" w:customStyle="1" w:styleId="Heading5Char">
    <w:name w:val="Heading 5 Char"/>
    <w:basedOn w:val="DefaultParagraphFont"/>
    <w:link w:val="Heading5"/>
    <w:locked/>
    <w:rsid w:val="00CB1536"/>
    <w:rPr>
      <w:szCs w:val="20"/>
      <w:lang w:eastAsia="hu-HU" w:bidi="hu-HU"/>
    </w:rPr>
  </w:style>
  <w:style w:type="character" w:customStyle="1" w:styleId="Heading6Char">
    <w:name w:val="Heading 6 Char"/>
    <w:basedOn w:val="DefaultParagraphFont"/>
    <w:link w:val="Heading6"/>
    <w:locked/>
    <w:rsid w:val="00CB1536"/>
    <w:rPr>
      <w:szCs w:val="20"/>
      <w:lang w:eastAsia="hu-HU" w:bidi="hu-HU"/>
    </w:rPr>
  </w:style>
  <w:style w:type="character" w:customStyle="1" w:styleId="Heading7Char">
    <w:name w:val="Heading 7 Char"/>
    <w:basedOn w:val="DefaultParagraphFont"/>
    <w:link w:val="Heading7"/>
    <w:locked/>
    <w:rsid w:val="00CB1536"/>
    <w:rPr>
      <w:szCs w:val="20"/>
      <w:lang w:eastAsia="hu-HU" w:bidi="hu-HU"/>
    </w:rPr>
  </w:style>
  <w:style w:type="character" w:customStyle="1" w:styleId="Heading8Char">
    <w:name w:val="Heading 8 Char"/>
    <w:basedOn w:val="DefaultParagraphFont"/>
    <w:link w:val="Heading8"/>
    <w:locked/>
    <w:rsid w:val="00CB1536"/>
    <w:rPr>
      <w:szCs w:val="20"/>
      <w:lang w:eastAsia="hu-HU" w:bidi="hu-HU"/>
    </w:rPr>
  </w:style>
  <w:style w:type="character" w:customStyle="1" w:styleId="Heading9Char">
    <w:name w:val="Heading 9 Char"/>
    <w:basedOn w:val="DefaultParagraphFont"/>
    <w:link w:val="Heading9"/>
    <w:locked/>
    <w:rsid w:val="00CB1536"/>
    <w:rPr>
      <w:szCs w:val="20"/>
      <w:lang w:eastAsia="hu-HU" w:bidi="hu-HU"/>
    </w:rPr>
  </w:style>
  <w:style w:type="paragraph" w:styleId="Footer">
    <w:name w:val="footer"/>
    <w:basedOn w:val="Normal"/>
    <w:link w:val="FooterChar"/>
    <w:rsid w:val="002131AE"/>
  </w:style>
  <w:style w:type="character" w:customStyle="1" w:styleId="FooterChar">
    <w:name w:val="Footer Char"/>
    <w:basedOn w:val="DefaultParagraphFont"/>
    <w:link w:val="Footer"/>
    <w:locked/>
    <w:rsid w:val="00CB1536"/>
    <w:rPr>
      <w:szCs w:val="20"/>
    </w:rPr>
  </w:style>
  <w:style w:type="paragraph" w:styleId="FootnoteText">
    <w:name w:val="footnote text"/>
    <w:basedOn w:val="Normal"/>
    <w:link w:val="FootnoteTextChar"/>
    <w:rsid w:val="002131AE"/>
    <w:pPr>
      <w:keepLines/>
      <w:spacing w:after="60" w:line="240" w:lineRule="auto"/>
      <w:ind w:left="720" w:hanging="720"/>
    </w:pPr>
    <w:rPr>
      <w:sz w:val="16"/>
    </w:rPr>
  </w:style>
  <w:style w:type="character" w:customStyle="1" w:styleId="FootnoteTextChar">
    <w:name w:val="Footnote Text Char"/>
    <w:basedOn w:val="DefaultParagraphFont"/>
    <w:link w:val="FootnoteText"/>
    <w:locked/>
    <w:rsid w:val="00CB1536"/>
    <w:rPr>
      <w:sz w:val="16"/>
      <w:szCs w:val="20"/>
      <w:lang w:eastAsia="hu-HU" w:bidi="hu-HU"/>
    </w:rPr>
  </w:style>
  <w:style w:type="paragraph" w:styleId="Header">
    <w:name w:val="header"/>
    <w:basedOn w:val="Normal"/>
    <w:link w:val="HeaderChar"/>
    <w:rsid w:val="002131AE"/>
  </w:style>
  <w:style w:type="character" w:customStyle="1" w:styleId="HeaderChar">
    <w:name w:val="Header Char"/>
    <w:basedOn w:val="DefaultParagraphFont"/>
    <w:link w:val="Header"/>
    <w:locked/>
    <w:rsid w:val="00CB1536"/>
    <w:rPr>
      <w:szCs w:val="20"/>
    </w:rPr>
  </w:style>
  <w:style w:type="character" w:styleId="Hyperlink">
    <w:name w:val="Hyperlink"/>
    <w:basedOn w:val="DefaultParagraphFont"/>
    <w:uiPriority w:val="99"/>
    <w:rsid w:val="00934C10"/>
    <w:rPr>
      <w:color w:val="0000FF"/>
      <w:u w:val="single"/>
    </w:rPr>
  </w:style>
  <w:style w:type="character" w:styleId="FootnoteReference">
    <w:name w:val="footnote reference"/>
    <w:basedOn w:val="DefaultParagraphFont"/>
    <w:uiPriority w:val="99"/>
    <w:rsid w:val="002131AE"/>
    <w:rPr>
      <w:sz w:val="24"/>
      <w:vertAlign w:val="superscript"/>
    </w:rPr>
  </w:style>
  <w:style w:type="character" w:styleId="FollowedHyperlink">
    <w:name w:val="FollowedHyperlink"/>
    <w:basedOn w:val="DefaultParagraphFont"/>
    <w:uiPriority w:val="99"/>
    <w:rsid w:val="00934C10"/>
    <w:rPr>
      <w:color w:val="800080"/>
      <w:u w:val="single"/>
    </w:rPr>
  </w:style>
  <w:style w:type="paragraph" w:customStyle="1" w:styleId="LOGO">
    <w:name w:val="LOGO"/>
    <w:basedOn w:val="Normal"/>
    <w:uiPriority w:val="99"/>
    <w:rsid w:val="00934C10"/>
    <w:pPr>
      <w:jc w:val="center"/>
    </w:pPr>
    <w:rPr>
      <w:rFonts w:ascii="Arial" w:hAnsi="Arial" w:cs="Arial"/>
      <w:b/>
      <w:bCs/>
      <w:i/>
      <w:iCs/>
      <w:sz w:val="20"/>
    </w:rPr>
  </w:style>
  <w:style w:type="paragraph" w:styleId="Revision">
    <w:name w:val="Revision"/>
    <w:hidden/>
    <w:uiPriority w:val="99"/>
    <w:semiHidden/>
    <w:rsid w:val="00B2372C"/>
  </w:style>
  <w:style w:type="paragraph" w:styleId="BalloonText">
    <w:name w:val="Balloon Text"/>
    <w:basedOn w:val="Normal"/>
    <w:link w:val="BalloonTextChar"/>
    <w:uiPriority w:val="99"/>
    <w:semiHidden/>
    <w:unhideWhenUsed/>
    <w:rsid w:val="00C737B2"/>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737B2"/>
    <w:rPr>
      <w:rFonts w:ascii="Tahoma" w:hAnsi="Tahoma" w:cs="Tahoma"/>
      <w:sz w:val="16"/>
      <w:szCs w:val="16"/>
      <w:lang w:eastAsia="hu-HU" w:bidi="hu-HU"/>
    </w:rPr>
  </w:style>
  <w:style w:type="paragraph" w:styleId="ListParagraph">
    <w:name w:val="List Paragraph"/>
    <w:basedOn w:val="Normal"/>
    <w:uiPriority w:val="34"/>
    <w:qFormat/>
    <w:rsid w:val="000B0ABA"/>
    <w:pPr>
      <w:ind w:left="720"/>
      <w:contextualSpacing/>
    </w:pPr>
  </w:style>
  <w:style w:type="character" w:styleId="CommentReference">
    <w:name w:val="annotation reference"/>
    <w:basedOn w:val="DefaultParagraphFont"/>
    <w:semiHidden/>
    <w:unhideWhenUsed/>
    <w:rsid w:val="00B130BE"/>
    <w:rPr>
      <w:sz w:val="16"/>
      <w:szCs w:val="16"/>
    </w:rPr>
  </w:style>
  <w:style w:type="paragraph" w:styleId="CommentText">
    <w:name w:val="annotation text"/>
    <w:basedOn w:val="Normal"/>
    <w:link w:val="CommentTextChar"/>
    <w:semiHidden/>
    <w:unhideWhenUsed/>
    <w:rsid w:val="00B130BE"/>
    <w:pPr>
      <w:spacing w:line="240" w:lineRule="auto"/>
    </w:pPr>
    <w:rPr>
      <w:sz w:val="20"/>
    </w:rPr>
  </w:style>
  <w:style w:type="character" w:customStyle="1" w:styleId="CommentTextChar">
    <w:name w:val="Comment Text Char"/>
    <w:basedOn w:val="DefaultParagraphFont"/>
    <w:link w:val="CommentText"/>
    <w:semiHidden/>
    <w:rsid w:val="00B130BE"/>
    <w:rPr>
      <w:sz w:val="20"/>
      <w:szCs w:val="20"/>
    </w:rPr>
  </w:style>
  <w:style w:type="paragraph" w:styleId="CommentSubject">
    <w:name w:val="annotation subject"/>
    <w:basedOn w:val="CommentText"/>
    <w:next w:val="CommentText"/>
    <w:link w:val="CommentSubjectChar"/>
    <w:uiPriority w:val="99"/>
    <w:semiHidden/>
    <w:unhideWhenUsed/>
    <w:rsid w:val="00B130BE"/>
    <w:rPr>
      <w:b/>
      <w:bCs/>
    </w:rPr>
  </w:style>
  <w:style w:type="character" w:customStyle="1" w:styleId="CommentSubjectChar">
    <w:name w:val="Comment Subject Char"/>
    <w:basedOn w:val="CommentTextChar"/>
    <w:link w:val="CommentSubject"/>
    <w:uiPriority w:val="99"/>
    <w:semiHidden/>
    <w:rsid w:val="00B130BE"/>
    <w:rPr>
      <w:b/>
      <w:bCs/>
      <w:sz w:val="20"/>
      <w:szCs w:val="20"/>
    </w:rPr>
  </w:style>
  <w:style w:type="table" w:styleId="TableGrid">
    <w:name w:val="Table Grid"/>
    <w:basedOn w:val="TableNormal"/>
    <w:locked/>
    <w:rsid w:val="00FC2C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729498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footer" Target="footer3.xm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eader" Target="header5.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eader" Target="header3.xml"/><Relationship Id="rId25" Type="http://schemas.openxmlformats.org/officeDocument/2006/relationships/footer" Target="footer6.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eader" Target="header6.xml"/><Relationship Id="rId5" Type="http://schemas.openxmlformats.org/officeDocument/2006/relationships/customXml" Target="../customXml/item5.xml"/><Relationship Id="rId15" Type="http://schemas.openxmlformats.org/officeDocument/2006/relationships/footer" Target="footer1.xml"/><Relationship Id="rId23" Type="http://schemas.openxmlformats.org/officeDocument/2006/relationships/footer" Target="footer5.xml"/><Relationship Id="rId10" Type="http://schemas.openxmlformats.org/officeDocument/2006/relationships/footnotes" Target="footnotes.xml"/><Relationship Id="rId19" Type="http://schemas.openxmlformats.org/officeDocument/2006/relationships/hyperlink" Target="https://eur-lex.europa.eu/LexUriServ/LexUriServ.do?uri=OJ:L:2016:123:SOM:FI:HTML"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 Id="rId22" Type="http://schemas.openxmlformats.org/officeDocument/2006/relationships/footer" Target="footer4.xml"/><Relationship Id="rId27"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s://eur-lex.europa.eu/LexUriServ/LexUriServ.do?uri=OJ:L:2017:198:SOM:FI:HTML" TargetMode="External"/><Relationship Id="rId2" Type="http://schemas.openxmlformats.org/officeDocument/2006/relationships/hyperlink" Target="https://eur-lex.europa.eu/LexUriServ/LexUriServ.do?uri=OJ:L:2009:200:SOM:FI:HTML" TargetMode="External"/><Relationship Id="rId1" Type="http://schemas.openxmlformats.org/officeDocument/2006/relationships/hyperlink" Target="https://eur-lex.europa.eu/LexUriServ/LexUriServ.do?uri=OJ:L:2009:342:SOM:FI:HTML"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Y:\word2010\Templates\Global\Styles.dotm" TargetMode="External"/><Relationship Id="relationId1" Type="http://schemas.openxmlformats.org/officeDocument/2006/relationships/attachedTemplate" Target="Normal.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3.xml><?xml version="1.0" encoding="utf-8"?>
<p:properties xmlns:p="http://schemas.microsoft.com/office/2006/metadata/properties" xmlns:xsi="http://www.w3.org/2001/XMLSchema-instance" xmlns:pc="http://schemas.microsoft.com/office/infopath/2007/PartnerControls">
  <documentManagement>
    <_dlc_DocId xmlns="8975caae-a2e4-4a1b-856a-87d8a7cad937">RCSZ5D2JPTA3-7-10627</_dlc_DocId>
    <_dlc_DocIdUrl xmlns="8975caae-a2e4-4a1b-856a-87d8a7cad937">
      <Url>http://dm2016/eesc/2018/_layouts/DocIdRedir.aspx?ID=RCSZ5D2JPTA3-7-10627</Url>
      <Description>RCSZ5D2JPTA3-7-10627</Description>
    </_dlc_DocIdUrl>
    <DocumentType_0 xmlns="http://schemas.microsoft.com/sharepoint/v3/fields">
      <Terms xmlns="http://schemas.microsoft.com/office/infopath/2007/PartnerControls">
        <TermInfo xmlns="http://schemas.microsoft.com/office/infopath/2007/PartnerControls">
          <TermName xmlns="http://schemas.microsoft.com/office/infopath/2007/PartnerControls">AC</TermName>
          <TermId xmlns="http://schemas.microsoft.com/office/infopath/2007/PartnerControls">a4cc1d15-fb08-4679-ad46-e4e0cba5fe92</TermId>
        </TermInfo>
      </Terms>
    </DocumentType_0>
    <Procedure xmlns="8975caae-a2e4-4a1b-856a-87d8a7cad937">2018/0148(COD)</Procedure>
    <MeetingNumber xmlns="b96833ba-8621-4012-9120-ea22cde94db8" xsi:nil="true"/>
    <DossierName_0 xmlns="http://schemas.microsoft.com/sharepoint/v3/fields">
      <Terms xmlns="http://schemas.microsoft.com/office/infopath/2007/PartnerControls">
        <TermInfo xmlns="http://schemas.microsoft.com/office/infopath/2007/PartnerControls">
          <TermName xmlns="http://schemas.microsoft.com/office/infopath/2007/PartnerControls">TEN</TermName>
          <TermId xmlns="http://schemas.microsoft.com/office/infopath/2007/PartnerControls">5e12260d-3aca-41f8-baf2-ad3d18475f10</TermId>
        </TermInfo>
      </Terms>
    </DossierName_0>
    <DocumentSource_0 xmlns="http://schemas.microsoft.com/sharepoint/v3/fields">
      <Terms xmlns="http://schemas.microsoft.com/office/infopath/2007/PartnerControls">
        <TermInfo xmlns="http://schemas.microsoft.com/office/infopath/2007/PartnerControls">
          <TermName xmlns="http://schemas.microsoft.com/office/infopath/2007/PartnerControls">EESC</TermName>
          <TermId xmlns="http://schemas.microsoft.com/office/infopath/2007/PartnerControls">422833ec-8d7e-4e65-8e4e-8bed07ffb729</TermId>
        </TermInfo>
      </Terms>
    </DocumentSource_0>
    <ProductionDate xmlns="8975caae-a2e4-4a1b-856a-87d8a7cad937">2018-11-29T12:00:00+00:00</ProductionDate>
    <DocumentNumber xmlns="b96833ba-8621-4012-9120-ea22cde94db8">3474</DocumentNumber>
    <FicheYear xmlns="8975caae-a2e4-4a1b-856a-87d8a7cad937">2018</FicheYear>
    <DocumentVersion xmlns="8975caae-a2e4-4a1b-856a-87d8a7cad937">1</DocumentVersion>
    <DossierNumber xmlns="8975caae-a2e4-4a1b-856a-87d8a7cad937">674</DossierNumber>
    <Confidentiality_0 xmlns="http://schemas.microsoft.com/sharepoint/v3/fields">
      <Terms xmlns="http://schemas.microsoft.com/office/infopath/2007/PartnerControls">
        <TermInfo xmlns="http://schemas.microsoft.com/office/infopath/2007/PartnerControls">
          <TermName xmlns="http://schemas.microsoft.com/office/infopath/2007/PartnerControls">Unrestricted</TermName>
          <TermId xmlns="http://schemas.microsoft.com/office/infopath/2007/PartnerControls">826e22d7-d029-4ec0-a450-0c28ff673572</TermId>
        </TermInfo>
      </Terms>
    </Confidentiality_0>
    <MeetingDate xmlns="8975caae-a2e4-4a1b-856a-87d8a7cad937" xsi:nil="true"/>
    <TaxCatchAll xmlns="8975caae-a2e4-4a1b-856a-87d8a7cad937">
      <Value>45</Value>
      <Value>41</Value>
      <Value>40</Value>
      <Value>39</Value>
      <Value>38</Value>
      <Value>37</Value>
      <Value>33</Value>
      <Value>31</Value>
      <Value>28</Value>
      <Value>27</Value>
      <Value>73</Value>
      <Value>23</Value>
      <Value>24</Value>
      <Value>66</Value>
      <Value>22</Value>
      <Value>21</Value>
      <Value>20</Value>
      <Value>19</Value>
      <Value>18</Value>
      <Value>16</Value>
      <Value>14</Value>
      <Value>13</Value>
      <Value>8</Value>
      <Value>7</Value>
      <Value>6</Value>
      <Value>5</Value>
      <Value>4</Value>
      <Value>1</Value>
      <Value>47</Value>
    </TaxCatchAll>
    <DocumentLanguage_0 xmlns="http://schemas.microsoft.com/sharepoint/v3/fields">
      <Terms xmlns="http://schemas.microsoft.com/office/infopath/2007/PartnerControls">
        <TermInfo xmlns="http://schemas.microsoft.com/office/infopath/2007/PartnerControls">
          <TermName xmlns="http://schemas.microsoft.com/office/infopath/2007/PartnerControls">FI</TermName>
          <TermId xmlns="http://schemas.microsoft.com/office/infopath/2007/PartnerControls">87606a43-d45f-42d6-b8c9-e1a3457db5b7</TermId>
        </TermInfo>
      </Terms>
    </DocumentLanguage_0>
    <Rapporteur xmlns="8975caae-a2e4-4a1b-856a-87d8a7cad937">EDELÉNYI</Rapporteur>
    <VersionStatus_0 xmlns="http://schemas.microsoft.com/sharepoint/v3/fields">
      <Terms xmlns="http://schemas.microsoft.com/office/infopath/2007/PartnerControls">
        <TermInfo xmlns="http://schemas.microsoft.com/office/infopath/2007/PartnerControls">
          <TermName xmlns="http://schemas.microsoft.com/office/infopath/2007/PartnerControls">Final</TermName>
          <TermId xmlns="http://schemas.microsoft.com/office/infopath/2007/PartnerControls">ea5e6674-7b27-4bac-b091-73adbb394efe</TermId>
        </TermInfo>
      </Terms>
    </VersionStatus_0>
    <FicheNumber xmlns="8975caae-a2e4-4a1b-856a-87d8a7cad937">13874</FicheNumber>
    <DocumentYear xmlns="8975caae-a2e4-4a1b-856a-87d8a7cad937">2018</DocumentYear>
    <AdoptionDate xmlns="8975caae-a2e4-4a1b-856a-87d8a7cad937">2018-10-17T12:00:00+00:00</AdoptionDate>
    <DocumentPart xmlns="8975caae-a2e4-4a1b-856a-87d8a7cad937">0</DocumentPart>
    <MeetingName_0 xmlns="http://schemas.microsoft.com/sharepoint/v3/fields">
      <Terms xmlns="http://schemas.microsoft.com/office/infopath/2007/PartnerControls"/>
    </MeetingName_0>
    <RequestingService xmlns="8975caae-a2e4-4a1b-856a-87d8a7cad937">Transports, énergie, infrastructures, société de l'information</RequestingService>
    <DocumentStatus_0 xmlns="http://schemas.microsoft.com/sharepoint/v3/fields">
      <Terms xmlns="http://schemas.microsoft.com/office/infopath/2007/PartnerControls">
        <TermInfo xmlns="http://schemas.microsoft.com/office/infopath/2007/PartnerControls">
          <TermName xmlns="http://schemas.microsoft.com/office/infopath/2007/PartnerControls">TRA</TermName>
          <TermId xmlns="http://schemas.microsoft.com/office/infopath/2007/PartnerControls">150d2a88-1431-44e6-a8ca-0bb753ab8672</TermId>
        </TermInfo>
      </Terms>
    </DocumentStatus_0>
    <OriginalLanguage_0 xmlns="http://schemas.microsoft.com/sharepoint/v3/fields">
      <Terms xmlns="http://schemas.microsoft.com/office/infopath/2007/PartnerControls">
        <TermInfo xmlns="http://schemas.microsoft.com/office/infopath/2007/PartnerControls">
          <TermName xmlns="http://schemas.microsoft.com/office/infopath/2007/PartnerControls">EN</TermName>
          <TermId xmlns="http://schemas.microsoft.com/office/infopath/2007/PartnerControls">f2175f21-25d7-44a3-96da-d6a61b075e1b</TermId>
        </TermInfo>
      </Terms>
    </OriginalLanguage_0>
    <AvailableTranslations_0 xmlns="http://schemas.microsoft.com/sharepoint/v3/fields">
      <Terms xmlns="http://schemas.microsoft.com/office/infopath/2007/PartnerControls">
        <TermInfo xmlns="http://schemas.microsoft.com/office/infopath/2007/PartnerControls">
          <TermName xmlns="http://schemas.microsoft.com/office/infopath/2007/PartnerControls">EL</TermName>
          <TermId xmlns="http://schemas.microsoft.com/office/infopath/2007/PartnerControls">6d4f4d51-af9b-4650-94b4-4276bee85c91</TermId>
        </TermInfo>
        <TermInfo xmlns="http://schemas.microsoft.com/office/infopath/2007/PartnerControls">
          <TermName xmlns="http://schemas.microsoft.com/office/infopath/2007/PartnerControls">ES</TermName>
          <TermId xmlns="http://schemas.microsoft.com/office/infopath/2007/PartnerControls">e7a6b05b-ae16-40c8-add9-68b64b03aeba</TermId>
        </TermInfo>
        <TermInfo xmlns="http://schemas.microsoft.com/office/infopath/2007/PartnerControls">
          <TermName xmlns="http://schemas.microsoft.com/office/infopath/2007/PartnerControls">ET</TermName>
          <TermId xmlns="http://schemas.microsoft.com/office/infopath/2007/PartnerControls">ff6c3f4c-b02c-4c3c-ab07-2c37995a7a0a</TermId>
        </TermInfo>
        <TermInfo xmlns="http://schemas.microsoft.com/office/infopath/2007/PartnerControls">
          <TermName xmlns="http://schemas.microsoft.com/office/infopath/2007/PartnerControls">EN</TermName>
          <TermId xmlns="http://schemas.microsoft.com/office/infopath/2007/PartnerControls">f2175f21-25d7-44a3-96da-d6a61b075e1b</TermId>
        </TermInfo>
        <TermInfo xmlns="http://schemas.microsoft.com/office/infopath/2007/PartnerControls">
          <TermName xmlns="http://schemas.microsoft.com/office/infopath/2007/PartnerControls">SL</TermName>
          <TermId xmlns="http://schemas.microsoft.com/office/infopath/2007/PartnerControls">98a412ae-eb01-49e9-ae3d-585a81724cfc</TermId>
        </TermInfo>
        <TermInfo xmlns="http://schemas.microsoft.com/office/infopath/2007/PartnerControls">
          <TermName xmlns="http://schemas.microsoft.com/office/infopath/2007/PartnerControls">CS</TermName>
          <TermId xmlns="http://schemas.microsoft.com/office/infopath/2007/PartnerControls">72f9705b-0217-4fd3-bea2-cbc7ed80e26e</TermId>
        </TermInfo>
        <TermInfo xmlns="http://schemas.microsoft.com/office/infopath/2007/PartnerControls">
          <TermName xmlns="http://schemas.microsoft.com/office/infopath/2007/PartnerControls">LV</TermName>
          <TermId xmlns="http://schemas.microsoft.com/office/infopath/2007/PartnerControls">46f7e311-5d9f-4663-b433-18aeccb7ace7</TermId>
        </TermInfo>
        <TermInfo xmlns="http://schemas.microsoft.com/office/infopath/2007/PartnerControls">
          <TermName xmlns="http://schemas.microsoft.com/office/infopath/2007/PartnerControls">FR</TermName>
          <TermId xmlns="http://schemas.microsoft.com/office/infopath/2007/PartnerControls">d2afafd3-4c81-4f60-8f52-ee33f2f54ff3</TermId>
        </TermInfo>
        <TermInfo xmlns="http://schemas.microsoft.com/office/infopath/2007/PartnerControls">
          <TermName xmlns="http://schemas.microsoft.com/office/infopath/2007/PartnerControls">DE</TermName>
          <TermId xmlns="http://schemas.microsoft.com/office/infopath/2007/PartnerControls">f6b31e5a-26fa-4935-b661-318e46daf27e</TermId>
        </TermInfo>
        <TermInfo xmlns="http://schemas.microsoft.com/office/infopath/2007/PartnerControls">
          <TermName xmlns="http://schemas.microsoft.com/office/infopath/2007/PartnerControls">SV</TermName>
          <TermId xmlns="http://schemas.microsoft.com/office/infopath/2007/PartnerControls">c2ed69e7-a339-43d7-8f22-d93680a92aa0</TermId>
        </TermInfo>
        <TermInfo xmlns="http://schemas.microsoft.com/office/infopath/2007/PartnerControls">
          <TermName xmlns="http://schemas.microsoft.com/office/infopath/2007/PartnerControls">SK</TermName>
          <TermId xmlns="http://schemas.microsoft.com/office/infopath/2007/PartnerControls">46d9fce0-ef79-4f71-b89b-cd6aa82426b8</TermId>
        </TermInfo>
        <TermInfo xmlns="http://schemas.microsoft.com/office/infopath/2007/PartnerControls">
          <TermName xmlns="http://schemas.microsoft.com/office/infopath/2007/PartnerControls">FI</TermName>
          <TermId xmlns="http://schemas.microsoft.com/office/infopath/2007/PartnerControls">87606a43-d45f-42d6-b8c9-e1a3457db5b7</TermId>
        </TermInfo>
        <TermInfo xmlns="http://schemas.microsoft.com/office/infopath/2007/PartnerControls">
          <TermName xmlns="http://schemas.microsoft.com/office/infopath/2007/PartnerControls">PL</TermName>
          <TermId xmlns="http://schemas.microsoft.com/office/infopath/2007/PartnerControls">1e03da61-4678-4e07-b136-b5024ca9197b</TermId>
        </TermInfo>
        <TermInfo xmlns="http://schemas.microsoft.com/office/infopath/2007/PartnerControls">
          <TermName xmlns="http://schemas.microsoft.com/office/infopath/2007/PartnerControls">PT</TermName>
          <TermId xmlns="http://schemas.microsoft.com/office/infopath/2007/PartnerControls">50ccc04a-eadd-42ae-a0cb-acaf45f812ba</TermId>
        </TermInfo>
        <TermInfo xmlns="http://schemas.microsoft.com/office/infopath/2007/PartnerControls">
          <TermName xmlns="http://schemas.microsoft.com/office/infopath/2007/PartnerControls">IT</TermName>
          <TermId xmlns="http://schemas.microsoft.com/office/infopath/2007/PartnerControls">0774613c-01ed-4e5d-a25d-11d2388de825</TermId>
        </TermInfo>
        <TermInfo xmlns="http://schemas.microsoft.com/office/infopath/2007/PartnerControls">
          <TermName xmlns="http://schemas.microsoft.com/office/infopath/2007/PartnerControls">HU</TermName>
          <TermId xmlns="http://schemas.microsoft.com/office/infopath/2007/PartnerControls">6b229040-c589-4408-b4c1-4285663d20a8</TermId>
        </TermInfo>
        <TermInfo xmlns="http://schemas.microsoft.com/office/infopath/2007/PartnerControls">
          <TermName xmlns="http://schemas.microsoft.com/office/infopath/2007/PartnerControls">MT</TermName>
          <TermId xmlns="http://schemas.microsoft.com/office/infopath/2007/PartnerControls">7df99101-6854-4a26-b53a-b88c0da02c26</TermId>
        </TermInfo>
        <TermInfo xmlns="http://schemas.microsoft.com/office/infopath/2007/PartnerControls">
          <TermName xmlns="http://schemas.microsoft.com/office/infopath/2007/PartnerControls">DA</TermName>
          <TermId xmlns="http://schemas.microsoft.com/office/infopath/2007/PartnerControls">5d49c027-8956-412b-aa16-e85a0f96ad0e</TermId>
        </TermInfo>
        <TermInfo xmlns="http://schemas.microsoft.com/office/infopath/2007/PartnerControls">
          <TermName xmlns="http://schemas.microsoft.com/office/infopath/2007/PartnerControls">HR</TermName>
          <TermId xmlns="http://schemas.microsoft.com/office/infopath/2007/PartnerControls">2f555653-ed1a-4fe6-8362-9082d95989e5</TermId>
        </TermInfo>
        <TermInfo xmlns="http://schemas.microsoft.com/office/infopath/2007/PartnerControls">
          <TermName xmlns="http://schemas.microsoft.com/office/infopath/2007/PartnerControls">NL</TermName>
          <TermId xmlns="http://schemas.microsoft.com/office/infopath/2007/PartnerControls">55c6556c-b4f4-441d-9acf-c498d4f838bd</TermId>
        </TermInfo>
        <TermInfo xmlns="http://schemas.microsoft.com/office/infopath/2007/PartnerControls">
          <TermName xmlns="http://schemas.microsoft.com/office/infopath/2007/PartnerControls">LT</TermName>
          <TermId xmlns="http://schemas.microsoft.com/office/infopath/2007/PartnerControls">a7ff5ce7-6123-4f68-865a-a57c31810414</TermId>
        </TermInfo>
        <TermInfo xmlns="http://schemas.microsoft.com/office/infopath/2007/PartnerControls">
          <TermName xmlns="http://schemas.microsoft.com/office/infopath/2007/PartnerControls">RO</TermName>
          <TermId xmlns="http://schemas.microsoft.com/office/infopath/2007/PartnerControls">feb747a2-64cd-4299-af12-4833ddc30497</TermId>
        </TermInfo>
        <TermInfo xmlns="http://schemas.microsoft.com/office/infopath/2007/PartnerControls">
          <TermName xmlns="http://schemas.microsoft.com/office/infopath/2007/PartnerControls">BG</TermName>
          <TermId xmlns="http://schemas.microsoft.com/office/infopath/2007/PartnerControls">1a1b3951-7821-4e6a-85f5-5673fc08bd2c</TermId>
        </TermInfo>
      </Terms>
    </AvailableTranslations_0>
  </documentManagement>
</p:properties>
</file>

<file path=customXml/item4.xml><?xml version="1.0" encoding="utf-8"?>
<ct:contentTypeSchema xmlns:ct="http://schemas.microsoft.com/office/2006/metadata/contentType" xmlns:ma="http://schemas.microsoft.com/office/2006/metadata/properties/metaAttributes" ct:_="" ma:_="" ma:contentTypeName="DM Document" ma:contentTypeID="0x010100EA97B91038054C99906057A708A1480A00135AEC72E874B8448CC1C05B56464BC2" ma:contentTypeVersion="4" ma:contentTypeDescription="Defines the documents for Document Manager V2" ma:contentTypeScope="" ma:versionID="796867c1c04bffba582fe1cd3955b3e8">
  <xsd:schema xmlns:xsd="http://www.w3.org/2001/XMLSchema" xmlns:xs="http://www.w3.org/2001/XMLSchema" xmlns:p="http://schemas.microsoft.com/office/2006/metadata/properties" xmlns:ns2="8975caae-a2e4-4a1b-856a-87d8a7cad937" xmlns:ns3="http://schemas.microsoft.com/sharepoint/v3/fields" xmlns:ns4="b96833ba-8621-4012-9120-ea22cde94db8" targetNamespace="http://schemas.microsoft.com/office/2006/metadata/properties" ma:root="true" ma:fieldsID="a755bf6ec002fd71e42923ba0d84d072" ns2:_="" ns3:_="" ns4:_="">
    <xsd:import namespace="8975caae-a2e4-4a1b-856a-87d8a7cad937"/>
    <xsd:import namespace="http://schemas.microsoft.com/sharepoint/v3/fields"/>
    <xsd:import namespace="b96833ba-8621-4012-9120-ea22cde94db8"/>
    <xsd:element name="properties">
      <xsd:complexType>
        <xsd:sequence>
          <xsd:element name="documentManagement">
            <xsd:complexType>
              <xsd:all>
                <xsd:element ref="ns2:_dlc_DocId" minOccurs="0"/>
                <xsd:element ref="ns2:_dlc_DocIdUrl" minOccurs="0"/>
                <xsd:element ref="ns2:_dlc_DocIdPersistId" minOccurs="0"/>
                <xsd:element ref="ns2:ProductionDate" minOccurs="0"/>
                <xsd:element ref="ns3:DocumentLanguage_0" minOccurs="0"/>
                <xsd:element ref="ns2:Rapporteur" minOccurs="0"/>
                <xsd:element ref="ns2:RequestingService" minOccurs="0"/>
                <xsd:element ref="ns4:DocumentNumber" minOccurs="0"/>
                <xsd:element ref="ns2:AdoptionDate" minOccurs="0"/>
                <xsd:element ref="ns2:DossierNumber" minOccurs="0"/>
                <xsd:element ref="ns3:Confidentiality_0" minOccurs="0"/>
                <xsd:element ref="ns2:TaxCatchAll" minOccurs="0"/>
                <xsd:element ref="ns2:TaxCatchAllLabel" minOccurs="0"/>
                <xsd:element ref="ns2:FicheNumber" minOccurs="0"/>
                <xsd:element ref="ns2:Procedure" minOccurs="0"/>
                <xsd:element ref="ns2:DocumentPart" minOccurs="0"/>
                <xsd:element ref="ns3:DossierName_0" minOccurs="0"/>
                <xsd:element ref="ns3:DocumentType_0" minOccurs="0"/>
                <xsd:element ref="ns3:DocumentStatus_0" minOccurs="0"/>
                <xsd:element ref="ns3:AvailableTranslations_0" minOccurs="0"/>
                <xsd:element ref="ns2:FicheYear" minOccurs="0"/>
                <xsd:element ref="ns3:MeetingName_0" minOccurs="0"/>
                <xsd:element ref="ns3:DocumentSource_0" minOccurs="0"/>
                <xsd:element ref="ns3:OriginalLanguage_0" minOccurs="0"/>
                <xsd:element ref="ns2:DocumentYear"/>
                <xsd:element ref="ns3:VersionStatus_0" minOccurs="0"/>
                <xsd:element ref="ns2:MeetingDate" minOccurs="0"/>
                <xsd:element ref="ns4:MeetingNumber" minOccurs="0"/>
                <xsd:element ref="ns2:DocumentVers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975caae-a2e4-4a1b-856a-87d8a7cad937"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ProductionDate" ma:index="12" nillable="true" ma:displayName="Production Date" ma:format="DateOnly" ma:internalName="ProductionDate">
      <xsd:simpleType>
        <xsd:restriction base="dms:DateTime"/>
      </xsd:simpleType>
    </xsd:element>
    <xsd:element name="Rapporteur" ma:index="14" nillable="true" ma:displayName="Rapporteur" ma:internalName="Rapporteur" ma:readOnly="false">
      <xsd:simpleType>
        <xsd:restriction base="dms:Text"/>
      </xsd:simpleType>
    </xsd:element>
    <xsd:element name="RequestingService" ma:index="15" nillable="true" ma:displayName="Requesting Service" ma:internalName="RequestingService" ma:readOnly="false">
      <xsd:simpleType>
        <xsd:restriction base="dms:Text"/>
      </xsd:simpleType>
    </xsd:element>
    <xsd:element name="AdoptionDate" ma:index="17" nillable="true" ma:displayName="Adoption Date" ma:format="DateOnly" ma:internalName="AdoptionDate" ma:readOnly="false">
      <xsd:simpleType>
        <xsd:restriction base="dms:DateTime"/>
      </xsd:simpleType>
    </xsd:element>
    <xsd:element name="DossierNumber" ma:index="18" nillable="true" ma:displayName="Dossier Number" ma:decimals="0" ma:internalName="DossierNumber" ma:readOnly="false">
      <xsd:simpleType>
        <xsd:restriction base="dms:Unknown"/>
      </xsd:simpleType>
    </xsd:element>
    <xsd:element name="TaxCatchAll" ma:index="20" nillable="true" ma:displayName="Taxonomy Catch All Column" ma:hidden="true" ma:list="{a5648c8e-9787-4c2b-a5af-05cabe47a075}" ma:internalName="TaxCatchAll" ma:showField="CatchAllData" ma:web="8975caae-a2e4-4a1b-856a-87d8a7cad937">
      <xsd:complexType>
        <xsd:complexContent>
          <xsd:extension base="dms:MultiChoiceLookup">
            <xsd:sequence>
              <xsd:element name="Value" type="dms:Lookup" maxOccurs="unbounded" minOccurs="0" nillable="true"/>
            </xsd:sequence>
          </xsd:extension>
        </xsd:complexContent>
      </xsd:complexType>
    </xsd:element>
    <xsd:element name="TaxCatchAllLabel" ma:index="21" nillable="true" ma:displayName="Taxonomy Catch All Column1" ma:hidden="true" ma:list="{a5648c8e-9787-4c2b-a5af-05cabe47a075}" ma:internalName="TaxCatchAllLabel" ma:readOnly="true" ma:showField="CatchAllDataLabel" ma:web="8975caae-a2e4-4a1b-856a-87d8a7cad937">
      <xsd:complexType>
        <xsd:complexContent>
          <xsd:extension base="dms:MultiChoiceLookup">
            <xsd:sequence>
              <xsd:element name="Value" type="dms:Lookup" maxOccurs="unbounded" minOccurs="0" nillable="true"/>
            </xsd:sequence>
          </xsd:extension>
        </xsd:complexContent>
      </xsd:complexType>
    </xsd:element>
    <xsd:element name="FicheNumber" ma:index="23" nillable="true" ma:displayName="Fiche Number" ma:decimals="0" ma:internalName="FicheNumber" ma:readOnly="false">
      <xsd:simpleType>
        <xsd:restriction base="dms:Unknown"/>
      </xsd:simpleType>
    </xsd:element>
    <xsd:element name="Procedure" ma:index="24" nillable="true" ma:displayName="Procedure" ma:internalName="Procedure" ma:readOnly="false">
      <xsd:simpleType>
        <xsd:restriction base="dms:Text"/>
      </xsd:simpleType>
    </xsd:element>
    <xsd:element name="DocumentPart" ma:index="25" nillable="true" ma:displayName="Document Part" ma:decimals="0" ma:internalName="DocumentPart" ma:readOnly="false">
      <xsd:simpleType>
        <xsd:restriction base="dms:Unknown"/>
      </xsd:simpleType>
    </xsd:element>
    <xsd:element name="FicheYear" ma:index="34" nillable="true" ma:displayName="Fiche Year" ma:decimals="0" ma:internalName="FicheYear" ma:readOnly="false">
      <xsd:simpleType>
        <xsd:restriction base="dms:Unknown"/>
      </xsd:simpleType>
    </xsd:element>
    <xsd:element name="DocumentYear" ma:index="41" ma:displayName="Document Year" ma:decimals="0" ma:internalName="DocumentYear" ma:readOnly="false">
      <xsd:simpleType>
        <xsd:restriction base="dms:Unknown"/>
      </xsd:simpleType>
    </xsd:element>
    <xsd:element name="MeetingDate" ma:index="44" nillable="true" ma:displayName="Meeting Date" ma:format="DateOnly" ma:internalName="MeetingDate" ma:readOnly="false">
      <xsd:simpleType>
        <xsd:restriction base="dms:DateTime"/>
      </xsd:simpleType>
    </xsd:element>
    <xsd:element name="DocumentVersion" ma:index="46" nillable="true" ma:displayName="Document Version" ma:decimals="0" ma:internalName="DocumentVersion" ma:readOnly="fals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DocumentLanguage_0" ma:index="13" nillable="true" ma:taxonomy="true" ma:internalName="DocumentLanguage_0" ma:taxonomyFieldName="DocumentLanguage" ma:displayName="Document Language" ma:fieldId="{ee5c55ab-e8dd-441f-8840-fdce66906fe3}" ma:sspId="995823bb-b37b-4c02-aebb-d0209d382c3c" ma:termSetId="3e8d1f59-71f7-428c-bd68-e1e655ad5441" ma:anchorId="00000000-0000-0000-0000-000000000000" ma:open="false" ma:isKeyword="false">
      <xsd:complexType>
        <xsd:sequence>
          <xsd:element ref="pc:Terms" minOccurs="0" maxOccurs="1"/>
        </xsd:sequence>
      </xsd:complexType>
    </xsd:element>
    <xsd:element name="Confidentiality_0" ma:index="19" nillable="true" ma:taxonomy="true" ma:internalName="Confidentiality_0" ma:taxonomyFieldName="Confidentiality" ma:displayName="Confidentiality" ma:readOnly="false" ma:fieldId="{ee5c4bfe-2b62-4831-9131-22edf8f3665c}" ma:sspId="995823bb-b37b-4c02-aebb-d0209d382c3c" ma:termSetId="11d040ac-3a9a-4d4c-b9cf-922342a701d6" ma:anchorId="00000000-0000-0000-0000-000000000000" ma:open="false" ma:isKeyword="false">
      <xsd:complexType>
        <xsd:sequence>
          <xsd:element ref="pc:Terms" minOccurs="0" maxOccurs="1"/>
        </xsd:sequence>
      </xsd:complexType>
    </xsd:element>
    <xsd:element name="DossierName_0" ma:index="26" nillable="true" ma:taxonomy="true" ma:internalName="DossierName_0" ma:taxonomyFieldName="DossierName" ma:displayName="Dossier Name" ma:readOnly="false" ma:fieldId="{ee5cf7da-503b-4593-8db2-4f0e09c901fd}" ma:sspId="995823bb-b37b-4c02-aebb-d0209d382c3c" ma:termSetId="2b392f04-1222-4352-87c1-6fd60ec33b64" ma:anchorId="00000000-0000-0000-0000-000000000000" ma:open="false" ma:isKeyword="false">
      <xsd:complexType>
        <xsd:sequence>
          <xsd:element ref="pc:Terms" minOccurs="0" maxOccurs="1"/>
        </xsd:sequence>
      </xsd:complexType>
    </xsd:element>
    <xsd:element name="DocumentType_0" ma:index="28" nillable="true" ma:taxonomy="true" ma:internalName="DocumentType_0" ma:taxonomyFieldName="DocumentType" ma:displayName="Document Type" ma:indexed="true" ma:readOnly="false" ma:fieldId="{ee5cf431-2d10-41e6-bd88-1b6bd5b84f5f}" ma:sspId="995823bb-b37b-4c02-aebb-d0209d382c3c" ma:termSetId="67a76952-94e0-437b-9a60-5085083dde02" ma:anchorId="00000000-0000-0000-0000-000000000000" ma:open="false" ma:isKeyword="false">
      <xsd:complexType>
        <xsd:sequence>
          <xsd:element ref="pc:Terms" minOccurs="0" maxOccurs="1"/>
        </xsd:sequence>
      </xsd:complexType>
    </xsd:element>
    <xsd:element name="DocumentStatus_0" ma:index="30" nillable="true" ma:taxonomy="true" ma:internalName="DocumentStatus_0" ma:taxonomyFieldName="DocumentStatus" ma:displayName="Document Status" ma:readOnly="false" ma:fieldId="{ee5cab93-ac4d-4e2f-b298-e5342324388c}" ma:sspId="995823bb-b37b-4c02-aebb-d0209d382c3c" ma:termSetId="54b85ca4-9023-4cbf-8e96-81af7735228f" ma:anchorId="00000000-0000-0000-0000-000000000000" ma:open="false" ma:isKeyword="false">
      <xsd:complexType>
        <xsd:sequence>
          <xsd:element ref="pc:Terms" minOccurs="0" maxOccurs="1"/>
        </xsd:sequence>
      </xsd:complexType>
    </xsd:element>
    <xsd:element name="AvailableTranslations_0" ma:index="32" nillable="true" ma:taxonomy="true" ma:internalName="AvailableTranslations_0" ma:taxonomyFieldName="AvailableTranslations" ma:displayName="Available Translations" ma:readOnly="false" ma:fieldId="{ee5c7c01-1a65-4138-aa64-80e01e34d799}" ma:taxonomyMulti="true" ma:sspId="995823bb-b37b-4c02-aebb-d0209d382c3c" ma:termSetId="3e8d1f59-71f7-428c-bd68-e1e655ad5441" ma:anchorId="00000000-0000-0000-0000-000000000000" ma:open="false" ma:isKeyword="false">
      <xsd:complexType>
        <xsd:sequence>
          <xsd:element ref="pc:Terms" minOccurs="0" maxOccurs="1"/>
        </xsd:sequence>
      </xsd:complexType>
    </xsd:element>
    <xsd:element name="MeetingName_0" ma:index="35" nillable="true" ma:taxonomy="true" ma:internalName="MeetingName_0" ma:taxonomyFieldName="MeetingName" ma:displayName="Meeting Name" ma:indexed="true" ma:readOnly="false" ma:fieldId="{ee5c9b55-8403-4f9e-a156-b6ce5b7b9456}" ma:sspId="995823bb-b37b-4c02-aebb-d0209d382c3c" ma:termSetId="a04e9634-de73-4a41-8cb5-e1efdb89060c" ma:anchorId="00000000-0000-0000-0000-000000000000" ma:open="false" ma:isKeyword="false">
      <xsd:complexType>
        <xsd:sequence>
          <xsd:element ref="pc:Terms" minOccurs="0" maxOccurs="1"/>
        </xsd:sequence>
      </xsd:complexType>
    </xsd:element>
    <xsd:element name="DocumentSource_0" ma:index="37" ma:taxonomy="true" ma:internalName="DocumentSource_0" ma:taxonomyFieldName="DocumentSource" ma:displayName="Document Source" ma:readOnly="false" ma:fieldId="{ee5c1c29-f257-4aae-8e5e-529c0040e17a}" ma:sspId="995823bb-b37b-4c02-aebb-d0209d382c3c" ma:termSetId="ca143256-a90d-4d26-b249-02646b17c0c5" ma:anchorId="00000000-0000-0000-0000-000000000000" ma:open="false" ma:isKeyword="false">
      <xsd:complexType>
        <xsd:sequence>
          <xsd:element ref="pc:Terms" minOccurs="0" maxOccurs="1"/>
        </xsd:sequence>
      </xsd:complexType>
    </xsd:element>
    <xsd:element name="OriginalLanguage_0" ma:index="39" nillable="true" ma:taxonomy="true" ma:internalName="OriginalLanguage_0" ma:taxonomyFieldName="OriginalLanguage" ma:displayName="Original Language" ma:readOnly="false" ma:fieldId="{ee5ce750-ff6c-4875-8192-ef11fb51efba}" ma:taxonomyMulti="true" ma:sspId="995823bb-b37b-4c02-aebb-d0209d382c3c" ma:termSetId="3e8d1f59-71f7-428c-bd68-e1e655ad5441" ma:anchorId="00000000-0000-0000-0000-000000000000" ma:open="false" ma:isKeyword="false">
      <xsd:complexType>
        <xsd:sequence>
          <xsd:element ref="pc:Terms" minOccurs="0" maxOccurs="1"/>
        </xsd:sequence>
      </xsd:complexType>
    </xsd:element>
    <xsd:element name="VersionStatus_0" ma:index="42" ma:taxonomy="true" ma:internalName="VersionStatus_0" ma:taxonomyFieldName="VersionStatus" ma:displayName="Version Status" ma:indexed="true" ma:readOnly="false" ma:fieldId="{ee5cb94b-3df1-4df3-b49b-6e47ce2a7e87}" ma:sspId="995823bb-b37b-4c02-aebb-d0209d382c3c" ma:termSetId="adeca67b-2bdd-4d0f-b3af-a690b4c6d95d"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b96833ba-8621-4012-9120-ea22cde94db8" elementFormDefault="qualified">
    <xsd:import namespace="http://schemas.microsoft.com/office/2006/documentManagement/types"/>
    <xsd:import namespace="http://schemas.microsoft.com/office/infopath/2007/PartnerControls"/>
    <xsd:element name="DocumentNumber" ma:index="16" nillable="true" ma:displayName="Document Number" ma:decimals="0" ma:indexed="true" ma:internalName="DocumentNumber" ma:readOnly="false">
      <xsd:simpleType>
        <xsd:restriction base="dms:Unknown"/>
      </xsd:simpleType>
    </xsd:element>
    <xsd:element name="MeetingNumber" ma:index="45" nillable="true" ma:displayName="Meeting Number" ma:decimals="0" ma:indexed="true" ma:internalName="MeetingNumber" ma:readOnly="fals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74A1A18-EDB9-466D-BB89-450582F60293}"/>
</file>

<file path=customXml/itemProps2.xml><?xml version="1.0" encoding="utf-8"?>
<ds:datastoreItem xmlns:ds="http://schemas.openxmlformats.org/officeDocument/2006/customXml" ds:itemID="{48CB7629-FCBF-4B13-AF7D-278C9811008E}"/>
</file>

<file path=customXml/itemProps3.xml><?xml version="1.0" encoding="utf-8"?>
<ds:datastoreItem xmlns:ds="http://schemas.openxmlformats.org/officeDocument/2006/customXml" ds:itemID="{90CBD04E-6A5E-48AF-A4C2-39AF8D6C755C}"/>
</file>

<file path=customXml/itemProps4.xml><?xml version="1.0" encoding="utf-8"?>
<ds:datastoreItem xmlns:ds="http://schemas.openxmlformats.org/officeDocument/2006/customXml" ds:itemID="{1299E6CA-7E80-4066-9A51-5BFA55D83B2D}"/>
</file>

<file path=customXml/itemProps5.xml><?xml version="1.0" encoding="utf-8"?>
<ds:datastoreItem xmlns:ds="http://schemas.openxmlformats.org/officeDocument/2006/customXml" ds:itemID="{BA470676-BA11-4F02-B286-5FDA13F4F3A5}"/>
</file>

<file path=docProps/app.xml><?xml version="1.0" encoding="utf-8"?>
<Properties xmlns="http://schemas.openxmlformats.org/officeDocument/2006/extended-properties" xmlns:vt="http://schemas.openxmlformats.org/officeDocument/2006/docPropsVTypes">
  <Template>Styles.dotm</Template>
  <TotalTime>33</TotalTime>
  <Pages>10</Pages>
  <Words>3328</Words>
  <Characters>18975</Characters>
  <Application>Microsoft Office Word</Application>
  <DocSecurity>0</DocSecurity>
  <Lines>158</Lines>
  <Paragraphs>44</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Tyre labelling</vt:lpstr>
      <vt:lpstr>European Agenda on Migration: Second implementation package - A permanent crisis relocation mechanism under the Dublin system</vt:lpstr>
    </vt:vector>
  </TitlesOfParts>
  <Company>CESE-CdR</Company>
  <LinksUpToDate>false</LinksUpToDate>
  <CharactersWithSpaces>22259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Rengasmerkinnät</dc:title>
  <dc:subject>Komitean lausunto</dc:subject>
  <dc:creator/>
  <cp:keywords>EESC-2018-03474-00-01-AC-TRA-EN</cp:keywords>
  <dc:description>Rapporteur: EDELÉNYI - Original language: EN - Date of document: 29/11/2018 - Date of meeting:  - External documents: COM(2018)296-final - Administrator: MME Paulinova Erika</dc:description>
  <cp:lastModifiedBy/>
  <cp:revision>10</cp:revision>
  <cp:lastPrinted>2018-10-18T14:34:00Z</cp:lastPrinted>
  <dcterms:created xsi:type="dcterms:W3CDTF">2018-11-23T11:50:00Z</dcterms:created>
  <dcterms:modified xsi:type="dcterms:W3CDTF">2018-11-29T15:03:00Z</dcterms:modified>
  <cp:category>TEN/674</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ref_formatted">
    <vt:bool>true</vt:bool>
  </property>
  <property fmtid="{D5CDD505-2E9C-101B-9397-08002B2CF9AE}" pid="3" name="Pref_Date">
    <vt:lpwstr>23/11/2018, 22/10/2018, 22/10/2018, 10/10/2018, 14/09/2018, 17/08/2018, 17/08/2018, 28/06/2018, 04/11/2015, 27/10/2015, 19/10/2015, 09/10/2015, 05/10/2015, 05/10/2015, 26/08/2015, 26/08/2015, 25/08/2015</vt:lpwstr>
  </property>
  <property fmtid="{D5CDD505-2E9C-101B-9397-08002B2CF9AE}" pid="4" name="Pref_Time">
    <vt:lpwstr>12:50:20, 11:29:53, 11:20:14, 18:04:05, 16:54:43, 15:16:37, 14:49:52, 15:43:33, 12:10:07, 14:44:02, 16:04:16, 14:09:30, 16:24:55, 16:04:02, 08:56:14, 07:27:56, 17:31:53</vt:lpwstr>
  </property>
  <property fmtid="{D5CDD505-2E9C-101B-9397-08002B2CF9AE}" pid="5" name="Pref_User">
    <vt:lpwstr>tvoc, amett, htoo, amett, jhvi, amett, LAchi, enied, ssex, enied, amett, tvoc, mreg, mreg, amett, enied, ssex</vt:lpwstr>
  </property>
  <property fmtid="{D5CDD505-2E9C-101B-9397-08002B2CF9AE}" pid="6" name="Pref_FileName">
    <vt:lpwstr>EESC-2018-03474-00-01-AC-ORI.docx, EESC-2018-03474-00-00-AC-TRA-EN-CRR.docx, EESC-2018-03474-00-00-AC-CRR-EN.docx, EESC-2018-03474-00-00-AS-TRA-EN-CRR.docx, EESC-2018-03474-00-00-PA-ORI.docx, EESC-2018-03474-00-00-APA-ORI.docx, EESC-2018-03474-00-00-APA-T</vt:lpwstr>
  </property>
  <property fmtid="{D5CDD505-2E9C-101B-9397-08002B2CF9AE}" pid="7" name="ContentTypeId">
    <vt:lpwstr>0x010100EA97B91038054C99906057A708A1480A00135AEC72E874B8448CC1C05B56464BC2</vt:lpwstr>
  </property>
  <property fmtid="{D5CDD505-2E9C-101B-9397-08002B2CF9AE}" pid="8" name="_dlc_DocIdItemGuid">
    <vt:lpwstr>93cdd000-cf5f-4e03-b041-c20170dd4bc0</vt:lpwstr>
  </property>
  <property fmtid="{D5CDD505-2E9C-101B-9397-08002B2CF9AE}" pid="9" name="DocumentType_0">
    <vt:lpwstr>AC|a4cc1d15-fb08-4679-ad46-e4e0cba5fe92</vt:lpwstr>
  </property>
  <property fmtid="{D5CDD505-2E9C-101B-9397-08002B2CF9AE}" pid="10" name="Procedure">
    <vt:lpwstr>2018/0148(COD)</vt:lpwstr>
  </property>
  <property fmtid="{D5CDD505-2E9C-101B-9397-08002B2CF9AE}" pid="11" name="AvailableTranslations">
    <vt:lpwstr>33;#EL|6d4f4d51-af9b-4650-94b4-4276bee85c91;#18;#ES|e7a6b05b-ae16-40c8-add9-68b64b03aeba;#47;#ET|ff6c3f4c-b02c-4c3c-ab07-2c37995a7a0a;#4;#EN|f2175f21-25d7-44a3-96da-d6a61b075e1b;#19;#SL|98a412ae-eb01-49e9-ae3d-585a81724cfc;#21;#CS|72f9705b-0217-4fd3-bea2-cbc7ed80e26e;#39;#LV|46f7e311-5d9f-4663-b433-18aeccb7ace7;#8;#FR|d2afafd3-4c81-4f60-8f52-ee33f2f54ff3;#27;#DE|f6b31e5a-26fa-4935-b661-318e46daf27e;#41;#SV|c2ed69e7-a339-43d7-8f22-d93680a92aa0;#23;#SK|46d9fce0-ef79-4f71-b89b-cd6aa82426b8;#22;#FI|87606a43-d45f-42d6-b8c9-e1a3457db5b7;#20;#PL|1e03da61-4678-4e07-b136-b5024ca9197b;#24;#PT|50ccc04a-eadd-42ae-a0cb-acaf45f812ba;#38;#IT|0774613c-01ed-4e5d-a25d-11d2388de825;#16;#HU|6b229040-c589-4408-b4c1-4285663d20a8;#45;#MT|7df99101-6854-4a26-b53a-b88c0da02c26;#13;#DA|5d49c027-8956-412b-aa16-e85a0f96ad0e;#40;#HR|2f555653-ed1a-4fe6-8362-9082d95989e5;#14;#NL|55c6556c-b4f4-441d-9acf-c498d4f838bd;#37;#LT|a7ff5ce7-6123-4f68-865a-a57c31810414;#31;#RO|feb747a2-64cd-4299-af12-4833ddc30497;#28;#BG|1a1b3951-7821-4e6a-85f5-5673fc08bd2c</vt:lpwstr>
  </property>
  <property fmtid="{D5CDD505-2E9C-101B-9397-08002B2CF9AE}" pid="12" name="DossierName_0">
    <vt:lpwstr>TEN|5e12260d-3aca-41f8-baf2-ad3d18475f10</vt:lpwstr>
  </property>
  <property fmtid="{D5CDD505-2E9C-101B-9397-08002B2CF9AE}" pid="13" name="DocumentSource_0">
    <vt:lpwstr>EESC|422833ec-8d7e-4e65-8e4e-8bed07ffb729</vt:lpwstr>
  </property>
  <property fmtid="{D5CDD505-2E9C-101B-9397-08002B2CF9AE}" pid="14" name="FicheYear">
    <vt:i4>2018</vt:i4>
  </property>
  <property fmtid="{D5CDD505-2E9C-101B-9397-08002B2CF9AE}" pid="15" name="DocumentNumber">
    <vt:i4>3474</vt:i4>
  </property>
  <property fmtid="{D5CDD505-2E9C-101B-9397-08002B2CF9AE}" pid="16" name="DocumentVersion">
    <vt:i4>1</vt:i4>
  </property>
  <property fmtid="{D5CDD505-2E9C-101B-9397-08002B2CF9AE}" pid="17" name="DossierNumber">
    <vt:i4>674</vt:i4>
  </property>
  <property fmtid="{D5CDD505-2E9C-101B-9397-08002B2CF9AE}" pid="18" name="DocumentSource">
    <vt:lpwstr>1;#EESC|422833ec-8d7e-4e65-8e4e-8bed07ffb729</vt:lpwstr>
  </property>
  <property fmtid="{D5CDD505-2E9C-101B-9397-08002B2CF9AE}" pid="19" name="AdoptionDate">
    <vt:filetime>2018-10-17T12:00:00Z</vt:filetime>
  </property>
  <property fmtid="{D5CDD505-2E9C-101B-9397-08002B2CF9AE}" pid="20" name="DocumentType">
    <vt:lpwstr>73;#AC|a4cc1d15-fb08-4679-ad46-e4e0cba5fe92</vt:lpwstr>
  </property>
  <property fmtid="{D5CDD505-2E9C-101B-9397-08002B2CF9AE}" pid="21" name="DocumentStatus">
    <vt:lpwstr>7;#TRA|150d2a88-1431-44e6-a8ca-0bb753ab8672</vt:lpwstr>
  </property>
  <property fmtid="{D5CDD505-2E9C-101B-9397-08002B2CF9AE}" pid="22" name="DossierName">
    <vt:lpwstr>66;#TEN|5e12260d-3aca-41f8-baf2-ad3d18475f10</vt:lpwstr>
  </property>
  <property fmtid="{D5CDD505-2E9C-101B-9397-08002B2CF9AE}" pid="23" name="DocumentPart">
    <vt:i4>0</vt:i4>
  </property>
  <property fmtid="{D5CDD505-2E9C-101B-9397-08002B2CF9AE}" pid="24" name="RequestingService">
    <vt:lpwstr>Transports, énergie, infrastructures, société de l'information</vt:lpwstr>
  </property>
  <property fmtid="{D5CDD505-2E9C-101B-9397-08002B2CF9AE}" pid="25" name="Confidentiality">
    <vt:lpwstr>5;#Unrestricted|826e22d7-d029-4ec0-a450-0c28ff673572</vt:lpwstr>
  </property>
  <property fmtid="{D5CDD505-2E9C-101B-9397-08002B2CF9AE}" pid="26" name="Confidentiality_0">
    <vt:lpwstr>Unrestricted|826e22d7-d029-4ec0-a450-0c28ff673572</vt:lpwstr>
  </property>
  <property fmtid="{D5CDD505-2E9C-101B-9397-08002B2CF9AE}" pid="27" name="MeetingName_0">
    <vt:lpwstr/>
  </property>
  <property fmtid="{D5CDD505-2E9C-101B-9397-08002B2CF9AE}" pid="28" name="OriginalLanguage">
    <vt:lpwstr>4;#EN|f2175f21-25d7-44a3-96da-d6a61b075e1b</vt:lpwstr>
  </property>
  <property fmtid="{D5CDD505-2E9C-101B-9397-08002B2CF9AE}" pid="29" name="MeetingName">
    <vt:lpwstr/>
  </property>
  <property fmtid="{D5CDD505-2E9C-101B-9397-08002B2CF9AE}" pid="30" name="DocumentStatus_0">
    <vt:lpwstr>TRA|150d2a88-1431-44e6-a8ca-0bb753ab8672</vt:lpwstr>
  </property>
  <property fmtid="{D5CDD505-2E9C-101B-9397-08002B2CF9AE}" pid="31" name="OriginalLanguage_0">
    <vt:lpwstr>EN|f2175f21-25d7-44a3-96da-d6a61b075e1b</vt:lpwstr>
  </property>
  <property fmtid="{D5CDD505-2E9C-101B-9397-08002B2CF9AE}" pid="33" name="TaxCatchAll">
    <vt:lpwstr>21;#CS|72f9705b-0217-4fd3-bea2-cbc7ed80e26e;#66;#TEN|5e12260d-3aca-41f8-baf2-ad3d18475f10;#18;#ES|e7a6b05b-ae16-40c8-add9-68b64b03aeba;#38;#IT|0774613c-01ed-4e5d-a25d-11d2388de825;#14;#NL|55c6556c-b4f4-441d-9acf-c498d4f838bd;#41;#SV|c2ed69e7-a339-43d7-8f22-d93680a92aa0;#6;#Final|ea5e6674-7b27-4bac-b091-73adbb394efe;#7;#TRA|150d2a88-1431-44e6-a8ca-0bb753ab8672;#4;#EN|f2175f21-25d7-44a3-96da-d6a61b075e1b;#5;#Unrestricted|826e22d7-d029-4ec0-a450-0c28ff673572;#73;#AC|a4cc1d15-fb08-4679-ad46-e4e0cba5fe92;#1;#EESC|422833ec-8d7e-4e65-8e4e-8bed07ffb729;#23;#SK|46d9fce0-ef79-4f71-b89b-cd6aa82426b8</vt:lpwstr>
  </property>
  <property fmtid="{D5CDD505-2E9C-101B-9397-08002B2CF9AE}" pid="34" name="AvailableTranslations_0">
    <vt:lpwstr>ES|e7a6b05b-ae16-40c8-add9-68b64b03aeba;EN|f2175f21-25d7-44a3-96da-d6a61b075e1b;CS|72f9705b-0217-4fd3-bea2-cbc7ed80e26e;SV|c2ed69e7-a339-43d7-8f22-d93680a92aa0;SK|46d9fce0-ef79-4f71-b89b-cd6aa82426b8;IT|0774613c-01ed-4e5d-a25d-11d2388de825;NL|55c6556c-b4f4-441d-9acf-c498d4f838bd</vt:lpwstr>
  </property>
  <property fmtid="{D5CDD505-2E9C-101B-9397-08002B2CF9AE}" pid="35" name="VersionStatus">
    <vt:lpwstr>6;#Final|ea5e6674-7b27-4bac-b091-73adbb394efe</vt:lpwstr>
  </property>
  <property fmtid="{D5CDD505-2E9C-101B-9397-08002B2CF9AE}" pid="36" name="Rapporteur">
    <vt:lpwstr>EDELÉNYI</vt:lpwstr>
  </property>
  <property fmtid="{D5CDD505-2E9C-101B-9397-08002B2CF9AE}" pid="37" name="VersionStatus_0">
    <vt:lpwstr>Final|ea5e6674-7b27-4bac-b091-73adbb394efe</vt:lpwstr>
  </property>
  <property fmtid="{D5CDD505-2E9C-101B-9397-08002B2CF9AE}" pid="38" name="FicheNumber">
    <vt:i4>13874</vt:i4>
  </property>
  <property fmtid="{D5CDD505-2E9C-101B-9397-08002B2CF9AE}" pid="39" name="DocumentYear">
    <vt:i4>2018</vt:i4>
  </property>
  <property fmtid="{D5CDD505-2E9C-101B-9397-08002B2CF9AE}" pid="40" name="DocumentLanguage">
    <vt:lpwstr>22;#FI|87606a43-d45f-42d6-b8c9-e1a3457db5b7</vt:lpwstr>
  </property>
  <property name="OP_sanitized" fmtid="{D5CDD505-2E9C-101B-9397-08002B2CF9AE}" pid="40">
    <vt:lpwstr>True</vt:lpwstr>
  </property>
</Properties>
</file>